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34201" w14:textId="39E10EAE" w:rsidR="002A21AE" w:rsidRDefault="00057948" w:rsidP="00D84B16">
      <w:pPr>
        <w:pStyle w:val="StyleTitlePageCentered"/>
      </w:pPr>
      <w:r>
        <w:rPr>
          <w:noProof/>
        </w:rPr>
        <w:drawing>
          <wp:inline distT="0" distB="0" distL="0" distR="0" wp14:anchorId="79423332" wp14:editId="7BB2F0FC">
            <wp:extent cx="3399155" cy="1209675"/>
            <wp:effectExtent l="0" t="0" r="0" b="9525"/>
            <wp:docPr id="2" name="Picture 2" descr="vbec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ecslogo_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9155" cy="1209675"/>
                    </a:xfrm>
                    <a:prstGeom prst="rect">
                      <a:avLst/>
                    </a:prstGeom>
                    <a:noFill/>
                    <a:ln>
                      <a:noFill/>
                    </a:ln>
                  </pic:spPr>
                </pic:pic>
              </a:graphicData>
            </a:graphic>
          </wp:inline>
        </w:drawing>
      </w:r>
    </w:p>
    <w:p w14:paraId="78B81540" w14:textId="77777777" w:rsidR="002A21AE" w:rsidRDefault="002A21AE">
      <w:pPr>
        <w:pStyle w:val="TitlePage"/>
      </w:pPr>
    </w:p>
    <w:p w14:paraId="49141FE0" w14:textId="77777777" w:rsidR="002A21AE" w:rsidRDefault="002A21AE">
      <w:pPr>
        <w:pStyle w:val="StyleTitlePageCentered"/>
      </w:pPr>
    </w:p>
    <w:p w14:paraId="2417B64F" w14:textId="77777777" w:rsidR="002A21AE" w:rsidRDefault="002A21AE">
      <w:pPr>
        <w:pStyle w:val="StyleTitlePageCentered"/>
      </w:pPr>
    </w:p>
    <w:p w14:paraId="3CB9B7B0" w14:textId="77777777" w:rsidR="002A21AE" w:rsidRDefault="002A21AE">
      <w:pPr>
        <w:pStyle w:val="StyleTitlePageCentered"/>
      </w:pPr>
    </w:p>
    <w:p w14:paraId="3BC89D40" w14:textId="77777777" w:rsidR="002A21AE" w:rsidRDefault="002A21AE">
      <w:pPr>
        <w:pStyle w:val="StyleTitlePageCentered"/>
      </w:pPr>
    </w:p>
    <w:p w14:paraId="1A457093" w14:textId="3F810556" w:rsidR="002A21AE" w:rsidRDefault="00D41F17">
      <w:pPr>
        <w:pStyle w:val="StyleTitlePageCentered"/>
      </w:pPr>
      <w:r>
        <w:t>V</w:t>
      </w:r>
      <w:r w:rsidR="000C7684">
        <w:t>ist</w:t>
      </w:r>
      <w:r w:rsidR="00EB26A1">
        <w:t>A</w:t>
      </w:r>
      <w:r w:rsidR="000C7684">
        <w:t xml:space="preserve"> </w:t>
      </w:r>
      <w:r w:rsidR="002A21AE">
        <w:t xml:space="preserve">Blood Establishment Computer Software (VBECS) </w:t>
      </w:r>
      <w:r w:rsidR="00662F2F">
        <w:t>Version</w:t>
      </w:r>
      <w:r w:rsidR="002A21AE">
        <w:t xml:space="preserve"> </w:t>
      </w:r>
      <w:r w:rsidR="00C94A42">
        <w:t>2.3.</w:t>
      </w:r>
      <w:r w:rsidR="00B46E8E">
        <w:t>4</w:t>
      </w:r>
    </w:p>
    <w:p w14:paraId="74FC8673" w14:textId="77777777" w:rsidR="00D10407" w:rsidRDefault="00D10407">
      <w:pPr>
        <w:pStyle w:val="StyleTitlePageCentered"/>
      </w:pPr>
    </w:p>
    <w:p w14:paraId="16BEDBD2" w14:textId="77777777" w:rsidR="00D10407" w:rsidRDefault="00D10407">
      <w:pPr>
        <w:pStyle w:val="StyleTitlePageCentered"/>
      </w:pPr>
    </w:p>
    <w:p w14:paraId="3303CC73" w14:textId="472E7306" w:rsidR="002A21AE" w:rsidRDefault="002A21AE">
      <w:pPr>
        <w:pStyle w:val="StyleTitlePageCentered"/>
      </w:pPr>
      <w:r>
        <w:t>User Guide</w:t>
      </w:r>
      <w:r w:rsidR="00F036AD">
        <w:t xml:space="preserve"> Version </w:t>
      </w:r>
      <w:r w:rsidR="007D3487">
        <w:t>3</w:t>
      </w:r>
      <w:r w:rsidR="00F036AD">
        <w:t>.0</w:t>
      </w:r>
    </w:p>
    <w:p w14:paraId="33C7245B" w14:textId="77777777" w:rsidR="008B7F48" w:rsidRDefault="008B7F48">
      <w:pPr>
        <w:pStyle w:val="StyleTitlePageCentered"/>
      </w:pPr>
    </w:p>
    <w:p w14:paraId="79CA82F5" w14:textId="641B766E" w:rsidR="002A21AE" w:rsidRPr="006E05B3" w:rsidRDefault="007D3487">
      <w:pPr>
        <w:pStyle w:val="StyleTitlePageCentered"/>
      </w:pPr>
      <w:r>
        <w:t>January</w:t>
      </w:r>
      <w:r w:rsidR="00DA3678">
        <w:t xml:space="preserve"> </w:t>
      </w:r>
      <w:r w:rsidR="00B30206">
        <w:t>20</w:t>
      </w:r>
      <w:r w:rsidR="005F6FBE">
        <w:t>2</w:t>
      </w:r>
      <w:r>
        <w:t>4</w:t>
      </w:r>
    </w:p>
    <w:p w14:paraId="690EF147" w14:textId="77777777" w:rsidR="002A21AE" w:rsidRDefault="002A21AE">
      <w:pPr>
        <w:pStyle w:val="StyleTitlePageCentered"/>
      </w:pPr>
    </w:p>
    <w:p w14:paraId="7D4B2FCB" w14:textId="77777777" w:rsidR="002A21AE" w:rsidRDefault="002A21AE">
      <w:pPr>
        <w:pStyle w:val="StyleTitlePageCentered"/>
      </w:pPr>
    </w:p>
    <w:p w14:paraId="48757A61" w14:textId="77777777" w:rsidR="002A21AE" w:rsidRDefault="002A21AE">
      <w:pPr>
        <w:pStyle w:val="StyleTitlePageCentered"/>
      </w:pPr>
    </w:p>
    <w:p w14:paraId="5DE4A9FD" w14:textId="77777777" w:rsidR="002A21AE" w:rsidRDefault="002A21AE">
      <w:pPr>
        <w:pStyle w:val="StyleTitlePageCentered"/>
      </w:pPr>
    </w:p>
    <w:p w14:paraId="285A2514" w14:textId="77777777" w:rsidR="002A21AE" w:rsidRPr="00E6048C" w:rsidRDefault="002A21AE">
      <w:pPr>
        <w:pStyle w:val="StyleTitlePageCentered"/>
        <w:rPr>
          <w:b/>
        </w:rPr>
      </w:pPr>
    </w:p>
    <w:p w14:paraId="254D45C3" w14:textId="77777777" w:rsidR="002A21AE" w:rsidRDefault="002A21AE">
      <w:pPr>
        <w:pStyle w:val="StyleTitlePageCentered"/>
      </w:pPr>
    </w:p>
    <w:p w14:paraId="207A06FC" w14:textId="77777777" w:rsidR="002A21AE" w:rsidRDefault="002A21AE">
      <w:pPr>
        <w:pStyle w:val="StyleTitlePageCentered"/>
      </w:pPr>
    </w:p>
    <w:p w14:paraId="046AAD6B" w14:textId="77777777" w:rsidR="002A21AE" w:rsidRDefault="002A21AE">
      <w:pPr>
        <w:pStyle w:val="StyleTitlePageBottom"/>
      </w:pPr>
      <w:r>
        <w:t>Department of Veterans Affairs</w:t>
      </w:r>
    </w:p>
    <w:p w14:paraId="0B8B9A5F" w14:textId="77777777" w:rsidR="002A21AE" w:rsidRDefault="00B27B40">
      <w:pPr>
        <w:pStyle w:val="StyleTitlePageBottom"/>
        <w:sectPr w:rsidR="002A21AE" w:rsidSect="00EE771C">
          <w:headerReference w:type="default" r:id="rId10"/>
          <w:footerReference w:type="even" r:id="rId11"/>
          <w:footerReference w:type="default" r:id="rId12"/>
          <w:type w:val="nextColumn"/>
          <w:pgSz w:w="12240" w:h="15840" w:code="1"/>
          <w:pgMar w:top="1440" w:right="1440" w:bottom="1440" w:left="1440" w:header="720" w:footer="720" w:gutter="0"/>
          <w:cols w:space="720"/>
          <w:docGrid w:linePitch="360"/>
        </w:sectPr>
      </w:pPr>
      <w:r>
        <w:t>Enterprise Project Management</w:t>
      </w:r>
      <w:r w:rsidR="000D79B6">
        <w:t xml:space="preserve"> </w:t>
      </w:r>
      <w:r>
        <w:t>Office</w:t>
      </w:r>
    </w:p>
    <w:p w14:paraId="298F35F8" w14:textId="5B186905" w:rsidR="00062D0F" w:rsidRPr="00672710" w:rsidRDefault="00062D0F" w:rsidP="00D67527">
      <w:pPr>
        <w:pStyle w:val="TableofContents"/>
        <w:jc w:val="center"/>
      </w:pPr>
      <w:bookmarkStart w:id="0" w:name="_Toc63137949"/>
      <w:r w:rsidRPr="00D67527">
        <w:rPr>
          <w:rFonts w:ascii="Times New Roman" w:hAnsi="Times New Roman" w:cs="Times New Roman"/>
        </w:rPr>
        <w:lastRenderedPageBreak/>
        <w:t>Table of Contents</w:t>
      </w:r>
    </w:p>
    <w:p w14:paraId="76163964" w14:textId="77777777" w:rsidR="00D207B7" w:rsidRDefault="00D207B7" w:rsidP="00B116A6">
      <w:pPr>
        <w:pStyle w:val="BodyText"/>
        <w:jc w:val="center"/>
      </w:pPr>
    </w:p>
    <w:bookmarkEnd w:id="0"/>
    <w:p w14:paraId="1F9A3BD3" w14:textId="45592498" w:rsidR="00A91C73" w:rsidRDefault="002A21AE">
      <w:pPr>
        <w:pStyle w:val="TOC1"/>
        <w:tabs>
          <w:tab w:val="right" w:leader="dot" w:pos="9350"/>
        </w:tabs>
        <w:rPr>
          <w:rFonts w:asciiTheme="minorHAnsi" w:eastAsiaTheme="minorEastAsia" w:hAnsiTheme="minorHAnsi" w:cstheme="minorBidi"/>
          <w:b w:val="0"/>
          <w:caps w:val="0"/>
          <w:noProof/>
        </w:rPr>
      </w:pPr>
      <w:r>
        <w:fldChar w:fldCharType="begin"/>
      </w:r>
      <w:r>
        <w:instrText xml:space="preserve"> TOC \o "2-3" \h \z \t "Heading 1,1" </w:instrText>
      </w:r>
      <w:r>
        <w:fldChar w:fldCharType="separate"/>
      </w:r>
      <w:hyperlink w:anchor="_Toc149064036" w:history="1">
        <w:r w:rsidR="00A91C73" w:rsidRPr="00B1389E">
          <w:rPr>
            <w:rStyle w:val="Hyperlink"/>
            <w:noProof/>
          </w:rPr>
          <w:t>Introduction</w:t>
        </w:r>
        <w:r w:rsidR="00A91C73">
          <w:rPr>
            <w:noProof/>
            <w:webHidden/>
          </w:rPr>
          <w:tab/>
        </w:r>
        <w:r w:rsidR="00A91C73">
          <w:rPr>
            <w:noProof/>
            <w:webHidden/>
          </w:rPr>
          <w:fldChar w:fldCharType="begin"/>
        </w:r>
        <w:r w:rsidR="00A91C73">
          <w:rPr>
            <w:noProof/>
            <w:webHidden/>
          </w:rPr>
          <w:instrText xml:space="preserve"> PAGEREF _Toc149064036 \h </w:instrText>
        </w:r>
        <w:r w:rsidR="00A91C73">
          <w:rPr>
            <w:noProof/>
            <w:webHidden/>
          </w:rPr>
        </w:r>
        <w:r w:rsidR="00A91C73">
          <w:rPr>
            <w:noProof/>
            <w:webHidden/>
          </w:rPr>
          <w:fldChar w:fldCharType="separate"/>
        </w:r>
        <w:r w:rsidR="00ED2D38">
          <w:rPr>
            <w:noProof/>
            <w:webHidden/>
          </w:rPr>
          <w:t>6</w:t>
        </w:r>
        <w:r w:rsidR="00A91C73">
          <w:rPr>
            <w:noProof/>
            <w:webHidden/>
          </w:rPr>
          <w:fldChar w:fldCharType="end"/>
        </w:r>
      </w:hyperlink>
    </w:p>
    <w:p w14:paraId="7AF5CF96" w14:textId="749B2E71" w:rsidR="00A91C73" w:rsidRDefault="00A53403">
      <w:pPr>
        <w:pStyle w:val="TOC2"/>
        <w:tabs>
          <w:tab w:val="right" w:leader="dot" w:pos="9350"/>
        </w:tabs>
        <w:rPr>
          <w:rFonts w:asciiTheme="minorHAnsi" w:eastAsiaTheme="minorEastAsia" w:hAnsiTheme="minorHAnsi" w:cstheme="minorBidi"/>
          <w:smallCaps w:val="0"/>
          <w:noProof/>
        </w:rPr>
      </w:pPr>
      <w:hyperlink w:anchor="_Toc149064037" w:history="1">
        <w:r w:rsidR="00A91C73" w:rsidRPr="00B1389E">
          <w:rPr>
            <w:rStyle w:val="Hyperlink"/>
            <w:noProof/>
          </w:rPr>
          <w:t>Freeware Disclaimer</w:t>
        </w:r>
        <w:r w:rsidR="00A91C73">
          <w:rPr>
            <w:noProof/>
            <w:webHidden/>
          </w:rPr>
          <w:tab/>
        </w:r>
        <w:r w:rsidR="00A91C73">
          <w:rPr>
            <w:noProof/>
            <w:webHidden/>
          </w:rPr>
          <w:fldChar w:fldCharType="begin"/>
        </w:r>
        <w:r w:rsidR="00A91C73">
          <w:rPr>
            <w:noProof/>
            <w:webHidden/>
          </w:rPr>
          <w:instrText xml:space="preserve"> PAGEREF _Toc149064037 \h </w:instrText>
        </w:r>
        <w:r w:rsidR="00A91C73">
          <w:rPr>
            <w:noProof/>
            <w:webHidden/>
          </w:rPr>
        </w:r>
        <w:r w:rsidR="00A91C73">
          <w:rPr>
            <w:noProof/>
            <w:webHidden/>
          </w:rPr>
          <w:fldChar w:fldCharType="separate"/>
        </w:r>
        <w:r w:rsidR="00ED2D38">
          <w:rPr>
            <w:noProof/>
            <w:webHidden/>
          </w:rPr>
          <w:t>7</w:t>
        </w:r>
        <w:r w:rsidR="00A91C73">
          <w:rPr>
            <w:noProof/>
            <w:webHidden/>
          </w:rPr>
          <w:fldChar w:fldCharType="end"/>
        </w:r>
      </w:hyperlink>
    </w:p>
    <w:p w14:paraId="4329A7B3" w14:textId="5568F55D" w:rsidR="00A91C73" w:rsidRDefault="00A53403">
      <w:pPr>
        <w:pStyle w:val="TOC2"/>
        <w:tabs>
          <w:tab w:val="right" w:leader="dot" w:pos="9350"/>
        </w:tabs>
        <w:rPr>
          <w:rFonts w:asciiTheme="minorHAnsi" w:eastAsiaTheme="minorEastAsia" w:hAnsiTheme="minorHAnsi" w:cstheme="minorBidi"/>
          <w:smallCaps w:val="0"/>
          <w:noProof/>
        </w:rPr>
      </w:pPr>
      <w:hyperlink w:anchor="_Toc149064038" w:history="1">
        <w:r w:rsidR="00A91C73" w:rsidRPr="00B1389E">
          <w:rPr>
            <w:rStyle w:val="Hyperlink"/>
            <w:noProof/>
          </w:rPr>
          <w:t>Related Manuals and Materials</w:t>
        </w:r>
        <w:r w:rsidR="00A91C73">
          <w:rPr>
            <w:noProof/>
            <w:webHidden/>
          </w:rPr>
          <w:tab/>
        </w:r>
        <w:r w:rsidR="00A91C73">
          <w:rPr>
            <w:noProof/>
            <w:webHidden/>
          </w:rPr>
          <w:fldChar w:fldCharType="begin"/>
        </w:r>
        <w:r w:rsidR="00A91C73">
          <w:rPr>
            <w:noProof/>
            <w:webHidden/>
          </w:rPr>
          <w:instrText xml:space="preserve"> PAGEREF _Toc149064038 \h </w:instrText>
        </w:r>
        <w:r w:rsidR="00A91C73">
          <w:rPr>
            <w:noProof/>
            <w:webHidden/>
          </w:rPr>
        </w:r>
        <w:r w:rsidR="00A91C73">
          <w:rPr>
            <w:noProof/>
            <w:webHidden/>
          </w:rPr>
          <w:fldChar w:fldCharType="separate"/>
        </w:r>
        <w:r w:rsidR="00ED2D38">
          <w:rPr>
            <w:noProof/>
            <w:webHidden/>
          </w:rPr>
          <w:t>7</w:t>
        </w:r>
        <w:r w:rsidR="00A91C73">
          <w:rPr>
            <w:noProof/>
            <w:webHidden/>
          </w:rPr>
          <w:fldChar w:fldCharType="end"/>
        </w:r>
      </w:hyperlink>
    </w:p>
    <w:p w14:paraId="301361C2" w14:textId="47DC3B34" w:rsidR="00A91C73" w:rsidRDefault="00A53403">
      <w:pPr>
        <w:pStyle w:val="TOC1"/>
        <w:tabs>
          <w:tab w:val="right" w:leader="dot" w:pos="9350"/>
        </w:tabs>
        <w:rPr>
          <w:rFonts w:asciiTheme="minorHAnsi" w:eastAsiaTheme="minorEastAsia" w:hAnsiTheme="minorHAnsi" w:cstheme="minorBidi"/>
          <w:b w:val="0"/>
          <w:caps w:val="0"/>
          <w:noProof/>
        </w:rPr>
      </w:pPr>
      <w:hyperlink w:anchor="_Toc149064039" w:history="1">
        <w:r w:rsidR="00A91C73" w:rsidRPr="00B1389E">
          <w:rPr>
            <w:rStyle w:val="Hyperlink"/>
            <w:noProof/>
          </w:rPr>
          <w:t>Orientation</w:t>
        </w:r>
        <w:r w:rsidR="00A91C73">
          <w:rPr>
            <w:noProof/>
            <w:webHidden/>
          </w:rPr>
          <w:tab/>
        </w:r>
        <w:r w:rsidR="00A91C73">
          <w:rPr>
            <w:noProof/>
            <w:webHidden/>
          </w:rPr>
          <w:fldChar w:fldCharType="begin"/>
        </w:r>
        <w:r w:rsidR="00A91C73">
          <w:rPr>
            <w:noProof/>
            <w:webHidden/>
          </w:rPr>
          <w:instrText xml:space="preserve"> PAGEREF _Toc149064039 \h </w:instrText>
        </w:r>
        <w:r w:rsidR="00A91C73">
          <w:rPr>
            <w:noProof/>
            <w:webHidden/>
          </w:rPr>
        </w:r>
        <w:r w:rsidR="00A91C73">
          <w:rPr>
            <w:noProof/>
            <w:webHidden/>
          </w:rPr>
          <w:fldChar w:fldCharType="separate"/>
        </w:r>
        <w:r w:rsidR="00ED2D38">
          <w:rPr>
            <w:noProof/>
            <w:webHidden/>
          </w:rPr>
          <w:t>8</w:t>
        </w:r>
        <w:r w:rsidR="00A91C73">
          <w:rPr>
            <w:noProof/>
            <w:webHidden/>
          </w:rPr>
          <w:fldChar w:fldCharType="end"/>
        </w:r>
      </w:hyperlink>
    </w:p>
    <w:p w14:paraId="729A203F" w14:textId="0D2E7F71" w:rsidR="00A91C73" w:rsidRDefault="00A53403">
      <w:pPr>
        <w:pStyle w:val="TOC2"/>
        <w:tabs>
          <w:tab w:val="right" w:leader="dot" w:pos="9350"/>
        </w:tabs>
        <w:rPr>
          <w:rFonts w:asciiTheme="minorHAnsi" w:eastAsiaTheme="minorEastAsia" w:hAnsiTheme="minorHAnsi" w:cstheme="minorBidi"/>
          <w:smallCaps w:val="0"/>
          <w:noProof/>
        </w:rPr>
      </w:pPr>
      <w:hyperlink w:anchor="_Toc149064040" w:history="1">
        <w:r w:rsidR="00A91C73" w:rsidRPr="00B1389E">
          <w:rPr>
            <w:rStyle w:val="Hyperlink"/>
            <w:noProof/>
          </w:rPr>
          <w:t>How This User Guide Is Organized</w:t>
        </w:r>
        <w:r w:rsidR="00A91C73">
          <w:rPr>
            <w:noProof/>
            <w:webHidden/>
          </w:rPr>
          <w:tab/>
        </w:r>
        <w:r w:rsidR="00A91C73">
          <w:rPr>
            <w:noProof/>
            <w:webHidden/>
          </w:rPr>
          <w:fldChar w:fldCharType="begin"/>
        </w:r>
        <w:r w:rsidR="00A91C73">
          <w:rPr>
            <w:noProof/>
            <w:webHidden/>
          </w:rPr>
          <w:instrText xml:space="preserve"> PAGEREF _Toc149064040 \h </w:instrText>
        </w:r>
        <w:r w:rsidR="00A91C73">
          <w:rPr>
            <w:noProof/>
            <w:webHidden/>
          </w:rPr>
        </w:r>
        <w:r w:rsidR="00A91C73">
          <w:rPr>
            <w:noProof/>
            <w:webHidden/>
          </w:rPr>
          <w:fldChar w:fldCharType="separate"/>
        </w:r>
        <w:r w:rsidR="00ED2D38">
          <w:rPr>
            <w:noProof/>
            <w:webHidden/>
          </w:rPr>
          <w:t>8</w:t>
        </w:r>
        <w:r w:rsidR="00A91C73">
          <w:rPr>
            <w:noProof/>
            <w:webHidden/>
          </w:rPr>
          <w:fldChar w:fldCharType="end"/>
        </w:r>
      </w:hyperlink>
    </w:p>
    <w:p w14:paraId="1DD409C0" w14:textId="49C8371E" w:rsidR="00A91C73" w:rsidRDefault="00A53403">
      <w:pPr>
        <w:pStyle w:val="TOC3"/>
        <w:tabs>
          <w:tab w:val="right" w:leader="dot" w:pos="9350"/>
        </w:tabs>
        <w:rPr>
          <w:rFonts w:asciiTheme="minorHAnsi" w:eastAsiaTheme="minorEastAsia" w:hAnsiTheme="minorHAnsi" w:cstheme="minorBidi"/>
          <w:noProof/>
        </w:rPr>
      </w:pPr>
      <w:hyperlink w:anchor="_Toc149064041" w:history="1">
        <w:r w:rsidR="00A91C73" w:rsidRPr="00B1389E">
          <w:rPr>
            <w:rStyle w:val="Hyperlink"/>
            <w:noProof/>
          </w:rPr>
          <w:t>Terms</w:t>
        </w:r>
        <w:r w:rsidR="00A91C73">
          <w:rPr>
            <w:noProof/>
            <w:webHidden/>
          </w:rPr>
          <w:tab/>
        </w:r>
        <w:r w:rsidR="00A91C73">
          <w:rPr>
            <w:noProof/>
            <w:webHidden/>
          </w:rPr>
          <w:fldChar w:fldCharType="begin"/>
        </w:r>
        <w:r w:rsidR="00A91C73">
          <w:rPr>
            <w:noProof/>
            <w:webHidden/>
          </w:rPr>
          <w:instrText xml:space="preserve"> PAGEREF _Toc149064041 \h </w:instrText>
        </w:r>
        <w:r w:rsidR="00A91C73">
          <w:rPr>
            <w:noProof/>
            <w:webHidden/>
          </w:rPr>
        </w:r>
        <w:r w:rsidR="00A91C73">
          <w:rPr>
            <w:noProof/>
            <w:webHidden/>
          </w:rPr>
          <w:fldChar w:fldCharType="separate"/>
        </w:r>
        <w:r w:rsidR="00ED2D38">
          <w:rPr>
            <w:noProof/>
            <w:webHidden/>
          </w:rPr>
          <w:t>8</w:t>
        </w:r>
        <w:r w:rsidR="00A91C73">
          <w:rPr>
            <w:noProof/>
            <w:webHidden/>
          </w:rPr>
          <w:fldChar w:fldCharType="end"/>
        </w:r>
      </w:hyperlink>
    </w:p>
    <w:p w14:paraId="6A86BDC6" w14:textId="4E428994" w:rsidR="00A91C73" w:rsidRDefault="00A53403">
      <w:pPr>
        <w:pStyle w:val="TOC3"/>
        <w:tabs>
          <w:tab w:val="right" w:leader="dot" w:pos="9350"/>
        </w:tabs>
        <w:rPr>
          <w:rFonts w:asciiTheme="minorHAnsi" w:eastAsiaTheme="minorEastAsia" w:hAnsiTheme="minorHAnsi" w:cstheme="minorBidi"/>
          <w:noProof/>
        </w:rPr>
      </w:pPr>
      <w:hyperlink w:anchor="_Toc149064042" w:history="1">
        <w:r w:rsidR="00A91C73" w:rsidRPr="00B1389E">
          <w:rPr>
            <w:rStyle w:val="Hyperlink"/>
            <w:noProof/>
          </w:rPr>
          <w:t>Background and Basic Knowledge</w:t>
        </w:r>
        <w:r w:rsidR="00A91C73">
          <w:rPr>
            <w:noProof/>
            <w:webHidden/>
          </w:rPr>
          <w:tab/>
        </w:r>
        <w:r w:rsidR="00A91C73">
          <w:rPr>
            <w:noProof/>
            <w:webHidden/>
          </w:rPr>
          <w:fldChar w:fldCharType="begin"/>
        </w:r>
        <w:r w:rsidR="00A91C73">
          <w:rPr>
            <w:noProof/>
            <w:webHidden/>
          </w:rPr>
          <w:instrText xml:space="preserve"> PAGEREF _Toc149064042 \h </w:instrText>
        </w:r>
        <w:r w:rsidR="00A91C73">
          <w:rPr>
            <w:noProof/>
            <w:webHidden/>
          </w:rPr>
        </w:r>
        <w:r w:rsidR="00A91C73">
          <w:rPr>
            <w:noProof/>
            <w:webHidden/>
          </w:rPr>
          <w:fldChar w:fldCharType="separate"/>
        </w:r>
        <w:r w:rsidR="00ED2D38">
          <w:rPr>
            <w:noProof/>
            <w:webHidden/>
          </w:rPr>
          <w:t>8</w:t>
        </w:r>
        <w:r w:rsidR="00A91C73">
          <w:rPr>
            <w:noProof/>
            <w:webHidden/>
          </w:rPr>
          <w:fldChar w:fldCharType="end"/>
        </w:r>
      </w:hyperlink>
    </w:p>
    <w:p w14:paraId="4E2B4984" w14:textId="72024B36" w:rsidR="00A91C73" w:rsidRDefault="00A53403">
      <w:pPr>
        <w:pStyle w:val="TOC3"/>
        <w:tabs>
          <w:tab w:val="right" w:leader="dot" w:pos="9350"/>
        </w:tabs>
        <w:rPr>
          <w:rFonts w:asciiTheme="minorHAnsi" w:eastAsiaTheme="minorEastAsia" w:hAnsiTheme="minorHAnsi" w:cstheme="minorBidi"/>
          <w:noProof/>
        </w:rPr>
      </w:pPr>
      <w:hyperlink w:anchor="_Toc149064043" w:history="1">
        <w:r w:rsidR="00A91C73" w:rsidRPr="00B1389E">
          <w:rPr>
            <w:rStyle w:val="Hyperlink"/>
            <w:noProof/>
          </w:rPr>
          <w:t>Figures and Tables</w:t>
        </w:r>
        <w:r w:rsidR="00A91C73">
          <w:rPr>
            <w:noProof/>
            <w:webHidden/>
          </w:rPr>
          <w:tab/>
        </w:r>
        <w:r w:rsidR="00A91C73">
          <w:rPr>
            <w:noProof/>
            <w:webHidden/>
          </w:rPr>
          <w:fldChar w:fldCharType="begin"/>
        </w:r>
        <w:r w:rsidR="00A91C73">
          <w:rPr>
            <w:noProof/>
            <w:webHidden/>
          </w:rPr>
          <w:instrText xml:space="preserve"> PAGEREF _Toc149064043 \h </w:instrText>
        </w:r>
        <w:r w:rsidR="00A91C73">
          <w:rPr>
            <w:noProof/>
            <w:webHidden/>
          </w:rPr>
        </w:r>
        <w:r w:rsidR="00A91C73">
          <w:rPr>
            <w:noProof/>
            <w:webHidden/>
          </w:rPr>
          <w:fldChar w:fldCharType="separate"/>
        </w:r>
        <w:r w:rsidR="00ED2D38">
          <w:rPr>
            <w:noProof/>
            <w:webHidden/>
          </w:rPr>
          <w:t>8</w:t>
        </w:r>
        <w:r w:rsidR="00A91C73">
          <w:rPr>
            <w:noProof/>
            <w:webHidden/>
          </w:rPr>
          <w:fldChar w:fldCharType="end"/>
        </w:r>
      </w:hyperlink>
    </w:p>
    <w:p w14:paraId="6DB03F11" w14:textId="3B8B7D8F" w:rsidR="00A91C73" w:rsidRDefault="00A53403">
      <w:pPr>
        <w:pStyle w:val="TOC3"/>
        <w:tabs>
          <w:tab w:val="right" w:leader="dot" w:pos="9350"/>
        </w:tabs>
        <w:rPr>
          <w:rFonts w:asciiTheme="minorHAnsi" w:eastAsiaTheme="minorEastAsia" w:hAnsiTheme="minorHAnsi" w:cstheme="minorBidi"/>
          <w:noProof/>
        </w:rPr>
      </w:pPr>
      <w:hyperlink w:anchor="_Toc149064044" w:history="1">
        <w:r w:rsidR="00A91C73" w:rsidRPr="00B1389E">
          <w:rPr>
            <w:rStyle w:val="Hyperlink"/>
            <w:noProof/>
          </w:rPr>
          <w:t>Options</w:t>
        </w:r>
        <w:r w:rsidR="00A91C73">
          <w:rPr>
            <w:noProof/>
            <w:webHidden/>
          </w:rPr>
          <w:tab/>
        </w:r>
        <w:r w:rsidR="00A91C73">
          <w:rPr>
            <w:noProof/>
            <w:webHidden/>
          </w:rPr>
          <w:fldChar w:fldCharType="begin"/>
        </w:r>
        <w:r w:rsidR="00A91C73">
          <w:rPr>
            <w:noProof/>
            <w:webHidden/>
          </w:rPr>
          <w:instrText xml:space="preserve"> PAGEREF _Toc149064044 \h </w:instrText>
        </w:r>
        <w:r w:rsidR="00A91C73">
          <w:rPr>
            <w:noProof/>
            <w:webHidden/>
          </w:rPr>
        </w:r>
        <w:r w:rsidR="00A91C73">
          <w:rPr>
            <w:noProof/>
            <w:webHidden/>
          </w:rPr>
          <w:fldChar w:fldCharType="separate"/>
        </w:r>
        <w:r w:rsidR="00ED2D38">
          <w:rPr>
            <w:noProof/>
            <w:webHidden/>
          </w:rPr>
          <w:t>8</w:t>
        </w:r>
        <w:r w:rsidR="00A91C73">
          <w:rPr>
            <w:noProof/>
            <w:webHidden/>
          </w:rPr>
          <w:fldChar w:fldCharType="end"/>
        </w:r>
      </w:hyperlink>
    </w:p>
    <w:p w14:paraId="1D706185" w14:textId="0B8CABD8" w:rsidR="00A91C73" w:rsidRDefault="00A53403">
      <w:pPr>
        <w:pStyle w:val="TOC3"/>
        <w:tabs>
          <w:tab w:val="right" w:leader="dot" w:pos="9350"/>
        </w:tabs>
        <w:rPr>
          <w:rFonts w:asciiTheme="minorHAnsi" w:eastAsiaTheme="minorEastAsia" w:hAnsiTheme="minorHAnsi" w:cstheme="minorBidi"/>
          <w:noProof/>
        </w:rPr>
      </w:pPr>
      <w:hyperlink w:anchor="_Toc149064045" w:history="1">
        <w:r w:rsidR="00A91C73" w:rsidRPr="00B1389E">
          <w:rPr>
            <w:rStyle w:val="Hyperlink"/>
            <w:noProof/>
          </w:rPr>
          <w:t>Supplemental Information</w:t>
        </w:r>
        <w:r w:rsidR="00A91C73">
          <w:rPr>
            <w:noProof/>
            <w:webHidden/>
          </w:rPr>
          <w:tab/>
        </w:r>
        <w:r w:rsidR="00A91C73">
          <w:rPr>
            <w:noProof/>
            <w:webHidden/>
          </w:rPr>
          <w:fldChar w:fldCharType="begin"/>
        </w:r>
        <w:r w:rsidR="00A91C73">
          <w:rPr>
            <w:noProof/>
            <w:webHidden/>
          </w:rPr>
          <w:instrText xml:space="preserve"> PAGEREF _Toc149064045 \h </w:instrText>
        </w:r>
        <w:r w:rsidR="00A91C73">
          <w:rPr>
            <w:noProof/>
            <w:webHidden/>
          </w:rPr>
        </w:r>
        <w:r w:rsidR="00A91C73">
          <w:rPr>
            <w:noProof/>
            <w:webHidden/>
          </w:rPr>
          <w:fldChar w:fldCharType="separate"/>
        </w:r>
        <w:r w:rsidR="00ED2D38">
          <w:rPr>
            <w:noProof/>
            <w:webHidden/>
          </w:rPr>
          <w:t>9</w:t>
        </w:r>
        <w:r w:rsidR="00A91C73">
          <w:rPr>
            <w:noProof/>
            <w:webHidden/>
          </w:rPr>
          <w:fldChar w:fldCharType="end"/>
        </w:r>
      </w:hyperlink>
    </w:p>
    <w:p w14:paraId="7B59E5FB" w14:textId="2B93C7EA" w:rsidR="00A91C73" w:rsidRDefault="00A53403">
      <w:pPr>
        <w:pStyle w:val="TOC3"/>
        <w:tabs>
          <w:tab w:val="right" w:leader="dot" w:pos="9350"/>
        </w:tabs>
        <w:rPr>
          <w:rFonts w:asciiTheme="minorHAnsi" w:eastAsiaTheme="minorEastAsia" w:hAnsiTheme="minorHAnsi" w:cstheme="minorBidi"/>
          <w:noProof/>
        </w:rPr>
      </w:pPr>
      <w:hyperlink w:anchor="_Toc149064046" w:history="1">
        <w:r w:rsidR="00A91C73" w:rsidRPr="00B1389E">
          <w:rPr>
            <w:rStyle w:val="Hyperlink"/>
            <w:noProof/>
          </w:rPr>
          <w:t>Appendices</w:t>
        </w:r>
        <w:r w:rsidR="00A91C73">
          <w:rPr>
            <w:noProof/>
            <w:webHidden/>
          </w:rPr>
          <w:tab/>
        </w:r>
        <w:r w:rsidR="00A91C73">
          <w:rPr>
            <w:noProof/>
            <w:webHidden/>
          </w:rPr>
          <w:fldChar w:fldCharType="begin"/>
        </w:r>
        <w:r w:rsidR="00A91C73">
          <w:rPr>
            <w:noProof/>
            <w:webHidden/>
          </w:rPr>
          <w:instrText xml:space="preserve"> PAGEREF _Toc149064046 \h </w:instrText>
        </w:r>
        <w:r w:rsidR="00A91C73">
          <w:rPr>
            <w:noProof/>
            <w:webHidden/>
          </w:rPr>
        </w:r>
        <w:r w:rsidR="00A91C73">
          <w:rPr>
            <w:noProof/>
            <w:webHidden/>
          </w:rPr>
          <w:fldChar w:fldCharType="separate"/>
        </w:r>
        <w:r w:rsidR="00ED2D38">
          <w:rPr>
            <w:noProof/>
            <w:webHidden/>
          </w:rPr>
          <w:t>9</w:t>
        </w:r>
        <w:r w:rsidR="00A91C73">
          <w:rPr>
            <w:noProof/>
            <w:webHidden/>
          </w:rPr>
          <w:fldChar w:fldCharType="end"/>
        </w:r>
      </w:hyperlink>
    </w:p>
    <w:p w14:paraId="42D8D701" w14:textId="61D09CAD" w:rsidR="00A91C73" w:rsidRDefault="00A53403">
      <w:pPr>
        <w:pStyle w:val="TOC2"/>
        <w:tabs>
          <w:tab w:val="right" w:leader="dot" w:pos="9350"/>
        </w:tabs>
        <w:rPr>
          <w:rFonts w:asciiTheme="minorHAnsi" w:eastAsiaTheme="minorEastAsia" w:hAnsiTheme="minorHAnsi" w:cstheme="minorBidi"/>
          <w:smallCaps w:val="0"/>
          <w:noProof/>
        </w:rPr>
      </w:pPr>
      <w:hyperlink w:anchor="_Toc149064047" w:history="1">
        <w:r w:rsidR="00A91C73" w:rsidRPr="00B1389E">
          <w:rPr>
            <w:rStyle w:val="Hyperlink"/>
            <w:noProof/>
          </w:rPr>
          <w:t>Security</w:t>
        </w:r>
        <w:r w:rsidR="00A91C73">
          <w:rPr>
            <w:noProof/>
            <w:webHidden/>
          </w:rPr>
          <w:tab/>
        </w:r>
        <w:r w:rsidR="00A91C73">
          <w:rPr>
            <w:noProof/>
            <w:webHidden/>
          </w:rPr>
          <w:fldChar w:fldCharType="begin"/>
        </w:r>
        <w:r w:rsidR="00A91C73">
          <w:rPr>
            <w:noProof/>
            <w:webHidden/>
          </w:rPr>
          <w:instrText xml:space="preserve"> PAGEREF _Toc149064047 \h </w:instrText>
        </w:r>
        <w:r w:rsidR="00A91C73">
          <w:rPr>
            <w:noProof/>
            <w:webHidden/>
          </w:rPr>
        </w:r>
        <w:r w:rsidR="00A91C73">
          <w:rPr>
            <w:noProof/>
            <w:webHidden/>
          </w:rPr>
          <w:fldChar w:fldCharType="separate"/>
        </w:r>
        <w:r w:rsidR="00ED2D38">
          <w:rPr>
            <w:noProof/>
            <w:webHidden/>
          </w:rPr>
          <w:t>9</w:t>
        </w:r>
        <w:r w:rsidR="00A91C73">
          <w:rPr>
            <w:noProof/>
            <w:webHidden/>
          </w:rPr>
          <w:fldChar w:fldCharType="end"/>
        </w:r>
      </w:hyperlink>
    </w:p>
    <w:p w14:paraId="13BD0EEB" w14:textId="6F3B48BA" w:rsidR="00A91C73" w:rsidRDefault="00A53403">
      <w:pPr>
        <w:pStyle w:val="TOC2"/>
        <w:tabs>
          <w:tab w:val="right" w:leader="dot" w:pos="9350"/>
        </w:tabs>
        <w:rPr>
          <w:rFonts w:asciiTheme="minorHAnsi" w:eastAsiaTheme="minorEastAsia" w:hAnsiTheme="minorHAnsi" w:cstheme="minorBidi"/>
          <w:smallCaps w:val="0"/>
          <w:noProof/>
        </w:rPr>
      </w:pPr>
      <w:hyperlink w:anchor="_Toc149064048" w:history="1">
        <w:r w:rsidR="00A91C73" w:rsidRPr="00B1389E">
          <w:rPr>
            <w:rStyle w:val="Hyperlink"/>
            <w:noProof/>
          </w:rPr>
          <w:t>Application Architecture</w:t>
        </w:r>
        <w:r w:rsidR="00A91C73">
          <w:rPr>
            <w:noProof/>
            <w:webHidden/>
          </w:rPr>
          <w:tab/>
        </w:r>
        <w:r w:rsidR="00A91C73">
          <w:rPr>
            <w:noProof/>
            <w:webHidden/>
          </w:rPr>
          <w:fldChar w:fldCharType="begin"/>
        </w:r>
        <w:r w:rsidR="00A91C73">
          <w:rPr>
            <w:noProof/>
            <w:webHidden/>
          </w:rPr>
          <w:instrText xml:space="preserve"> PAGEREF _Toc149064048 \h </w:instrText>
        </w:r>
        <w:r w:rsidR="00A91C73">
          <w:rPr>
            <w:noProof/>
            <w:webHidden/>
          </w:rPr>
        </w:r>
        <w:r w:rsidR="00A91C73">
          <w:rPr>
            <w:noProof/>
            <w:webHidden/>
          </w:rPr>
          <w:fldChar w:fldCharType="separate"/>
        </w:r>
        <w:r w:rsidR="00ED2D38">
          <w:rPr>
            <w:noProof/>
            <w:webHidden/>
          </w:rPr>
          <w:t>11</w:t>
        </w:r>
        <w:r w:rsidR="00A91C73">
          <w:rPr>
            <w:noProof/>
            <w:webHidden/>
          </w:rPr>
          <w:fldChar w:fldCharType="end"/>
        </w:r>
      </w:hyperlink>
    </w:p>
    <w:p w14:paraId="56F200C5" w14:textId="57D1B6B7" w:rsidR="00A91C73" w:rsidRDefault="00A53403">
      <w:pPr>
        <w:pStyle w:val="TOC3"/>
        <w:tabs>
          <w:tab w:val="right" w:leader="dot" w:pos="9350"/>
        </w:tabs>
        <w:rPr>
          <w:rFonts w:asciiTheme="minorHAnsi" w:eastAsiaTheme="minorEastAsia" w:hAnsiTheme="minorHAnsi" w:cstheme="minorBidi"/>
          <w:noProof/>
        </w:rPr>
      </w:pPr>
      <w:hyperlink w:anchor="_Toc149064049" w:history="1">
        <w:r w:rsidR="00A91C73" w:rsidRPr="00B1389E">
          <w:rPr>
            <w:rStyle w:val="Hyperlink"/>
            <w:noProof/>
          </w:rPr>
          <w:t>Options That Require VistALink</w:t>
        </w:r>
        <w:r w:rsidR="00A91C73">
          <w:rPr>
            <w:noProof/>
            <w:webHidden/>
          </w:rPr>
          <w:tab/>
        </w:r>
        <w:r w:rsidR="00A91C73">
          <w:rPr>
            <w:noProof/>
            <w:webHidden/>
          </w:rPr>
          <w:fldChar w:fldCharType="begin"/>
        </w:r>
        <w:r w:rsidR="00A91C73">
          <w:rPr>
            <w:noProof/>
            <w:webHidden/>
          </w:rPr>
          <w:instrText xml:space="preserve"> PAGEREF _Toc149064049 \h </w:instrText>
        </w:r>
        <w:r w:rsidR="00A91C73">
          <w:rPr>
            <w:noProof/>
            <w:webHidden/>
          </w:rPr>
        </w:r>
        <w:r w:rsidR="00A91C73">
          <w:rPr>
            <w:noProof/>
            <w:webHidden/>
          </w:rPr>
          <w:fldChar w:fldCharType="separate"/>
        </w:r>
        <w:r w:rsidR="00ED2D38">
          <w:rPr>
            <w:noProof/>
            <w:webHidden/>
          </w:rPr>
          <w:t>11</w:t>
        </w:r>
        <w:r w:rsidR="00A91C73">
          <w:rPr>
            <w:noProof/>
            <w:webHidden/>
          </w:rPr>
          <w:fldChar w:fldCharType="end"/>
        </w:r>
      </w:hyperlink>
    </w:p>
    <w:p w14:paraId="1D1476A3" w14:textId="0682F42D" w:rsidR="00A91C73" w:rsidRDefault="00A53403">
      <w:pPr>
        <w:pStyle w:val="TOC2"/>
        <w:tabs>
          <w:tab w:val="right" w:leader="dot" w:pos="9350"/>
        </w:tabs>
        <w:rPr>
          <w:rFonts w:asciiTheme="minorHAnsi" w:eastAsiaTheme="minorEastAsia" w:hAnsiTheme="minorHAnsi" w:cstheme="minorBidi"/>
          <w:smallCaps w:val="0"/>
          <w:noProof/>
        </w:rPr>
      </w:pPr>
      <w:hyperlink w:anchor="_Toc149064050" w:history="1">
        <w:r w:rsidR="00A91C73" w:rsidRPr="00B1389E">
          <w:rPr>
            <w:rStyle w:val="Hyperlink"/>
            <w:noProof/>
          </w:rPr>
          <w:t>Getting Help from Customer Support</w:t>
        </w:r>
        <w:r w:rsidR="00A91C73">
          <w:rPr>
            <w:noProof/>
            <w:webHidden/>
          </w:rPr>
          <w:tab/>
        </w:r>
        <w:r w:rsidR="00A91C73">
          <w:rPr>
            <w:noProof/>
            <w:webHidden/>
          </w:rPr>
          <w:fldChar w:fldCharType="begin"/>
        </w:r>
        <w:r w:rsidR="00A91C73">
          <w:rPr>
            <w:noProof/>
            <w:webHidden/>
          </w:rPr>
          <w:instrText xml:space="preserve"> PAGEREF _Toc149064050 \h </w:instrText>
        </w:r>
        <w:r w:rsidR="00A91C73">
          <w:rPr>
            <w:noProof/>
            <w:webHidden/>
          </w:rPr>
        </w:r>
        <w:r w:rsidR="00A91C73">
          <w:rPr>
            <w:noProof/>
            <w:webHidden/>
          </w:rPr>
          <w:fldChar w:fldCharType="separate"/>
        </w:r>
        <w:r w:rsidR="00ED2D38">
          <w:rPr>
            <w:noProof/>
            <w:webHidden/>
          </w:rPr>
          <w:t>12</w:t>
        </w:r>
        <w:r w:rsidR="00A91C73">
          <w:rPr>
            <w:noProof/>
            <w:webHidden/>
          </w:rPr>
          <w:fldChar w:fldCharType="end"/>
        </w:r>
      </w:hyperlink>
    </w:p>
    <w:p w14:paraId="3518025D" w14:textId="2CD25BFD" w:rsidR="00A91C73" w:rsidRDefault="00A53403">
      <w:pPr>
        <w:pStyle w:val="TOC1"/>
        <w:tabs>
          <w:tab w:val="right" w:leader="dot" w:pos="9350"/>
        </w:tabs>
        <w:rPr>
          <w:rFonts w:asciiTheme="minorHAnsi" w:eastAsiaTheme="minorEastAsia" w:hAnsiTheme="minorHAnsi" w:cstheme="minorBidi"/>
          <w:b w:val="0"/>
          <w:caps w:val="0"/>
          <w:noProof/>
        </w:rPr>
      </w:pPr>
      <w:hyperlink w:anchor="_Toc149064051" w:history="1">
        <w:r w:rsidR="00A91C73" w:rsidRPr="00B1389E">
          <w:rPr>
            <w:rStyle w:val="Hyperlink"/>
            <w:noProof/>
          </w:rPr>
          <w:t>Using the Software</w:t>
        </w:r>
        <w:r w:rsidR="00A91C73">
          <w:rPr>
            <w:noProof/>
            <w:webHidden/>
          </w:rPr>
          <w:tab/>
        </w:r>
        <w:r w:rsidR="00A91C73">
          <w:rPr>
            <w:noProof/>
            <w:webHidden/>
          </w:rPr>
          <w:fldChar w:fldCharType="begin"/>
        </w:r>
        <w:r w:rsidR="00A91C73">
          <w:rPr>
            <w:noProof/>
            <w:webHidden/>
          </w:rPr>
          <w:instrText xml:space="preserve"> PAGEREF _Toc149064051 \h </w:instrText>
        </w:r>
        <w:r w:rsidR="00A91C73">
          <w:rPr>
            <w:noProof/>
            <w:webHidden/>
          </w:rPr>
        </w:r>
        <w:r w:rsidR="00A91C73">
          <w:rPr>
            <w:noProof/>
            <w:webHidden/>
          </w:rPr>
          <w:fldChar w:fldCharType="separate"/>
        </w:r>
        <w:r w:rsidR="00ED2D38">
          <w:rPr>
            <w:noProof/>
            <w:webHidden/>
          </w:rPr>
          <w:t>13</w:t>
        </w:r>
        <w:r w:rsidR="00A91C73">
          <w:rPr>
            <w:noProof/>
            <w:webHidden/>
          </w:rPr>
          <w:fldChar w:fldCharType="end"/>
        </w:r>
      </w:hyperlink>
    </w:p>
    <w:p w14:paraId="751F77A2" w14:textId="64A9322D" w:rsidR="00A91C73" w:rsidRDefault="00A53403">
      <w:pPr>
        <w:pStyle w:val="TOC2"/>
        <w:tabs>
          <w:tab w:val="right" w:leader="dot" w:pos="9350"/>
        </w:tabs>
        <w:rPr>
          <w:rFonts w:asciiTheme="minorHAnsi" w:eastAsiaTheme="minorEastAsia" w:hAnsiTheme="minorHAnsi" w:cstheme="minorBidi"/>
          <w:smallCaps w:val="0"/>
          <w:noProof/>
        </w:rPr>
      </w:pPr>
      <w:hyperlink w:anchor="_Toc149064052" w:history="1">
        <w:r w:rsidR="00A91C73" w:rsidRPr="00B1389E">
          <w:rPr>
            <w:rStyle w:val="Hyperlink"/>
            <w:noProof/>
          </w:rPr>
          <w:t>Software Basics</w:t>
        </w:r>
        <w:r w:rsidR="00A91C73">
          <w:rPr>
            <w:noProof/>
            <w:webHidden/>
          </w:rPr>
          <w:tab/>
        </w:r>
        <w:r w:rsidR="00A91C73">
          <w:rPr>
            <w:noProof/>
            <w:webHidden/>
          </w:rPr>
          <w:fldChar w:fldCharType="begin"/>
        </w:r>
        <w:r w:rsidR="00A91C73">
          <w:rPr>
            <w:noProof/>
            <w:webHidden/>
          </w:rPr>
          <w:instrText xml:space="preserve"> PAGEREF _Toc149064052 \h </w:instrText>
        </w:r>
        <w:r w:rsidR="00A91C73">
          <w:rPr>
            <w:noProof/>
            <w:webHidden/>
          </w:rPr>
        </w:r>
        <w:r w:rsidR="00A91C73">
          <w:rPr>
            <w:noProof/>
            <w:webHidden/>
          </w:rPr>
          <w:fldChar w:fldCharType="separate"/>
        </w:r>
        <w:r w:rsidR="00ED2D38">
          <w:rPr>
            <w:noProof/>
            <w:webHidden/>
          </w:rPr>
          <w:t>13</w:t>
        </w:r>
        <w:r w:rsidR="00A91C73">
          <w:rPr>
            <w:noProof/>
            <w:webHidden/>
          </w:rPr>
          <w:fldChar w:fldCharType="end"/>
        </w:r>
      </w:hyperlink>
    </w:p>
    <w:p w14:paraId="533D777D" w14:textId="1D503CE9" w:rsidR="00A91C73" w:rsidRDefault="00A53403">
      <w:pPr>
        <w:pStyle w:val="TOC2"/>
        <w:tabs>
          <w:tab w:val="right" w:leader="dot" w:pos="9350"/>
        </w:tabs>
        <w:rPr>
          <w:rFonts w:asciiTheme="minorHAnsi" w:eastAsiaTheme="minorEastAsia" w:hAnsiTheme="minorHAnsi" w:cstheme="minorBidi"/>
          <w:smallCaps w:val="0"/>
          <w:noProof/>
        </w:rPr>
      </w:pPr>
      <w:hyperlink w:anchor="_Toc149064053" w:history="1">
        <w:r w:rsidR="00A91C73" w:rsidRPr="00B1389E">
          <w:rPr>
            <w:rStyle w:val="Hyperlink"/>
            <w:noProof/>
          </w:rPr>
          <w:t>Commonly Used System Rules</w:t>
        </w:r>
        <w:r w:rsidR="00A91C73">
          <w:rPr>
            <w:noProof/>
            <w:webHidden/>
          </w:rPr>
          <w:tab/>
        </w:r>
        <w:r w:rsidR="00A91C73">
          <w:rPr>
            <w:noProof/>
            <w:webHidden/>
          </w:rPr>
          <w:fldChar w:fldCharType="begin"/>
        </w:r>
        <w:r w:rsidR="00A91C73">
          <w:rPr>
            <w:noProof/>
            <w:webHidden/>
          </w:rPr>
          <w:instrText xml:space="preserve"> PAGEREF _Toc149064053 \h </w:instrText>
        </w:r>
        <w:r w:rsidR="00A91C73">
          <w:rPr>
            <w:noProof/>
            <w:webHidden/>
          </w:rPr>
        </w:r>
        <w:r w:rsidR="00A91C73">
          <w:rPr>
            <w:noProof/>
            <w:webHidden/>
          </w:rPr>
          <w:fldChar w:fldCharType="separate"/>
        </w:r>
        <w:r w:rsidR="00ED2D38">
          <w:rPr>
            <w:noProof/>
            <w:webHidden/>
          </w:rPr>
          <w:t>15</w:t>
        </w:r>
        <w:r w:rsidR="00A91C73">
          <w:rPr>
            <w:noProof/>
            <w:webHidden/>
          </w:rPr>
          <w:fldChar w:fldCharType="end"/>
        </w:r>
      </w:hyperlink>
    </w:p>
    <w:p w14:paraId="781DD724" w14:textId="127E8908" w:rsidR="00A91C73" w:rsidRDefault="00A53403">
      <w:pPr>
        <w:pStyle w:val="TOC3"/>
        <w:tabs>
          <w:tab w:val="right" w:leader="dot" w:pos="9350"/>
        </w:tabs>
        <w:rPr>
          <w:rFonts w:asciiTheme="minorHAnsi" w:eastAsiaTheme="minorEastAsia" w:hAnsiTheme="minorHAnsi" w:cstheme="minorBidi"/>
          <w:noProof/>
        </w:rPr>
      </w:pPr>
      <w:hyperlink w:anchor="_Toc149064054" w:history="1">
        <w:r w:rsidR="00A91C73" w:rsidRPr="00B1389E">
          <w:rPr>
            <w:rStyle w:val="Hyperlink"/>
            <w:noProof/>
          </w:rPr>
          <w:t>Date and Time</w:t>
        </w:r>
        <w:r w:rsidR="00A91C73">
          <w:rPr>
            <w:noProof/>
            <w:webHidden/>
          </w:rPr>
          <w:tab/>
        </w:r>
        <w:r w:rsidR="00A91C73">
          <w:rPr>
            <w:noProof/>
            <w:webHidden/>
          </w:rPr>
          <w:fldChar w:fldCharType="begin"/>
        </w:r>
        <w:r w:rsidR="00A91C73">
          <w:rPr>
            <w:noProof/>
            <w:webHidden/>
          </w:rPr>
          <w:instrText xml:space="preserve"> PAGEREF _Toc149064054 \h </w:instrText>
        </w:r>
        <w:r w:rsidR="00A91C73">
          <w:rPr>
            <w:noProof/>
            <w:webHidden/>
          </w:rPr>
        </w:r>
        <w:r w:rsidR="00A91C73">
          <w:rPr>
            <w:noProof/>
            <w:webHidden/>
          </w:rPr>
          <w:fldChar w:fldCharType="separate"/>
        </w:r>
        <w:r w:rsidR="00ED2D38">
          <w:rPr>
            <w:noProof/>
            <w:webHidden/>
          </w:rPr>
          <w:t>15</w:t>
        </w:r>
        <w:r w:rsidR="00A91C73">
          <w:rPr>
            <w:noProof/>
            <w:webHidden/>
          </w:rPr>
          <w:fldChar w:fldCharType="end"/>
        </w:r>
      </w:hyperlink>
    </w:p>
    <w:p w14:paraId="2BD36D07" w14:textId="25800F26" w:rsidR="00A91C73" w:rsidRDefault="00A53403">
      <w:pPr>
        <w:pStyle w:val="TOC3"/>
        <w:tabs>
          <w:tab w:val="right" w:leader="dot" w:pos="9350"/>
        </w:tabs>
        <w:rPr>
          <w:rFonts w:asciiTheme="minorHAnsi" w:eastAsiaTheme="minorEastAsia" w:hAnsiTheme="minorHAnsi" w:cstheme="minorBidi"/>
          <w:noProof/>
        </w:rPr>
      </w:pPr>
      <w:hyperlink w:anchor="_Toc149064055" w:history="1">
        <w:r w:rsidR="00A91C73" w:rsidRPr="00B1389E">
          <w:rPr>
            <w:rStyle w:val="Hyperlink"/>
            <w:noProof/>
          </w:rPr>
          <w:t>Working with Data</w:t>
        </w:r>
        <w:r w:rsidR="00A91C73">
          <w:rPr>
            <w:noProof/>
            <w:webHidden/>
          </w:rPr>
          <w:tab/>
        </w:r>
        <w:r w:rsidR="00A91C73">
          <w:rPr>
            <w:noProof/>
            <w:webHidden/>
          </w:rPr>
          <w:fldChar w:fldCharType="begin"/>
        </w:r>
        <w:r w:rsidR="00A91C73">
          <w:rPr>
            <w:noProof/>
            <w:webHidden/>
          </w:rPr>
          <w:instrText xml:space="preserve"> PAGEREF _Toc149064055 \h </w:instrText>
        </w:r>
        <w:r w:rsidR="00A91C73">
          <w:rPr>
            <w:noProof/>
            <w:webHidden/>
          </w:rPr>
        </w:r>
        <w:r w:rsidR="00A91C73">
          <w:rPr>
            <w:noProof/>
            <w:webHidden/>
          </w:rPr>
          <w:fldChar w:fldCharType="separate"/>
        </w:r>
        <w:r w:rsidR="00ED2D38">
          <w:rPr>
            <w:noProof/>
            <w:webHidden/>
          </w:rPr>
          <w:t>15</w:t>
        </w:r>
        <w:r w:rsidR="00A91C73">
          <w:rPr>
            <w:noProof/>
            <w:webHidden/>
          </w:rPr>
          <w:fldChar w:fldCharType="end"/>
        </w:r>
      </w:hyperlink>
    </w:p>
    <w:p w14:paraId="690A5D36" w14:textId="5B5A1D32" w:rsidR="00A91C73" w:rsidRDefault="00A53403">
      <w:pPr>
        <w:pStyle w:val="TOC3"/>
        <w:tabs>
          <w:tab w:val="right" w:leader="dot" w:pos="9350"/>
        </w:tabs>
        <w:rPr>
          <w:rFonts w:asciiTheme="minorHAnsi" w:eastAsiaTheme="minorEastAsia" w:hAnsiTheme="minorHAnsi" w:cstheme="minorBidi"/>
          <w:noProof/>
        </w:rPr>
      </w:pPr>
      <w:hyperlink w:anchor="_Toc149064056" w:history="1">
        <w:r w:rsidR="00A91C73" w:rsidRPr="00B1389E">
          <w:rPr>
            <w:rStyle w:val="Hyperlink"/>
            <w:noProof/>
          </w:rPr>
          <w:t>Searching the Database</w:t>
        </w:r>
        <w:r w:rsidR="00A91C73">
          <w:rPr>
            <w:noProof/>
            <w:webHidden/>
          </w:rPr>
          <w:tab/>
        </w:r>
        <w:r w:rsidR="00A91C73">
          <w:rPr>
            <w:noProof/>
            <w:webHidden/>
          </w:rPr>
          <w:fldChar w:fldCharType="begin"/>
        </w:r>
        <w:r w:rsidR="00A91C73">
          <w:rPr>
            <w:noProof/>
            <w:webHidden/>
          </w:rPr>
          <w:instrText xml:space="preserve"> PAGEREF _Toc149064056 \h </w:instrText>
        </w:r>
        <w:r w:rsidR="00A91C73">
          <w:rPr>
            <w:noProof/>
            <w:webHidden/>
          </w:rPr>
        </w:r>
        <w:r w:rsidR="00A91C73">
          <w:rPr>
            <w:noProof/>
            <w:webHidden/>
          </w:rPr>
          <w:fldChar w:fldCharType="separate"/>
        </w:r>
        <w:r w:rsidR="00ED2D38">
          <w:rPr>
            <w:noProof/>
            <w:webHidden/>
          </w:rPr>
          <w:t>16</w:t>
        </w:r>
        <w:r w:rsidR="00A91C73">
          <w:rPr>
            <w:noProof/>
            <w:webHidden/>
          </w:rPr>
          <w:fldChar w:fldCharType="end"/>
        </w:r>
      </w:hyperlink>
    </w:p>
    <w:p w14:paraId="4DA6DF3F" w14:textId="5BC1887D" w:rsidR="00A91C73" w:rsidRDefault="00A53403">
      <w:pPr>
        <w:pStyle w:val="TOC3"/>
        <w:tabs>
          <w:tab w:val="right" w:leader="dot" w:pos="9350"/>
        </w:tabs>
        <w:rPr>
          <w:rFonts w:asciiTheme="minorHAnsi" w:eastAsiaTheme="minorEastAsia" w:hAnsiTheme="minorHAnsi" w:cstheme="minorBidi"/>
          <w:noProof/>
        </w:rPr>
      </w:pPr>
      <w:hyperlink w:anchor="_Toc149064057" w:history="1">
        <w:r w:rsidR="00A91C73" w:rsidRPr="00B1389E">
          <w:rPr>
            <w:rStyle w:val="Hyperlink"/>
            <w:noProof/>
          </w:rPr>
          <w:t>Testing</w:t>
        </w:r>
        <w:r w:rsidR="00A91C73">
          <w:rPr>
            <w:noProof/>
            <w:webHidden/>
          </w:rPr>
          <w:tab/>
        </w:r>
        <w:r w:rsidR="00A91C73">
          <w:rPr>
            <w:noProof/>
            <w:webHidden/>
          </w:rPr>
          <w:fldChar w:fldCharType="begin"/>
        </w:r>
        <w:r w:rsidR="00A91C73">
          <w:rPr>
            <w:noProof/>
            <w:webHidden/>
          </w:rPr>
          <w:instrText xml:space="preserve"> PAGEREF _Toc149064057 \h </w:instrText>
        </w:r>
        <w:r w:rsidR="00A91C73">
          <w:rPr>
            <w:noProof/>
            <w:webHidden/>
          </w:rPr>
        </w:r>
        <w:r w:rsidR="00A91C73">
          <w:rPr>
            <w:noProof/>
            <w:webHidden/>
          </w:rPr>
          <w:fldChar w:fldCharType="separate"/>
        </w:r>
        <w:r w:rsidR="00ED2D38">
          <w:rPr>
            <w:noProof/>
            <w:webHidden/>
          </w:rPr>
          <w:t>17</w:t>
        </w:r>
        <w:r w:rsidR="00A91C73">
          <w:rPr>
            <w:noProof/>
            <w:webHidden/>
          </w:rPr>
          <w:fldChar w:fldCharType="end"/>
        </w:r>
      </w:hyperlink>
    </w:p>
    <w:p w14:paraId="15CF4CAE" w14:textId="0D4DCC4B" w:rsidR="00A91C73" w:rsidRDefault="00A53403">
      <w:pPr>
        <w:pStyle w:val="TOC3"/>
        <w:tabs>
          <w:tab w:val="right" w:leader="dot" w:pos="9350"/>
        </w:tabs>
        <w:rPr>
          <w:rFonts w:asciiTheme="minorHAnsi" w:eastAsiaTheme="minorEastAsia" w:hAnsiTheme="minorHAnsi" w:cstheme="minorBidi"/>
          <w:noProof/>
        </w:rPr>
      </w:pPr>
      <w:hyperlink w:anchor="_Toc149064058" w:history="1">
        <w:r w:rsidR="00A91C73" w:rsidRPr="00B1389E">
          <w:rPr>
            <w:rStyle w:val="Hyperlink"/>
            <w:noProof/>
          </w:rPr>
          <w:t>Creating and Viewing Reports</w:t>
        </w:r>
        <w:r w:rsidR="00A91C73">
          <w:rPr>
            <w:noProof/>
            <w:webHidden/>
          </w:rPr>
          <w:tab/>
        </w:r>
        <w:r w:rsidR="00A91C73">
          <w:rPr>
            <w:noProof/>
            <w:webHidden/>
          </w:rPr>
          <w:fldChar w:fldCharType="begin"/>
        </w:r>
        <w:r w:rsidR="00A91C73">
          <w:rPr>
            <w:noProof/>
            <w:webHidden/>
          </w:rPr>
          <w:instrText xml:space="preserve"> PAGEREF _Toc149064058 \h </w:instrText>
        </w:r>
        <w:r w:rsidR="00A91C73">
          <w:rPr>
            <w:noProof/>
            <w:webHidden/>
          </w:rPr>
        </w:r>
        <w:r w:rsidR="00A91C73">
          <w:rPr>
            <w:noProof/>
            <w:webHidden/>
          </w:rPr>
          <w:fldChar w:fldCharType="separate"/>
        </w:r>
        <w:r w:rsidR="00ED2D38">
          <w:rPr>
            <w:noProof/>
            <w:webHidden/>
          </w:rPr>
          <w:t>20</w:t>
        </w:r>
        <w:r w:rsidR="00A91C73">
          <w:rPr>
            <w:noProof/>
            <w:webHidden/>
          </w:rPr>
          <w:fldChar w:fldCharType="end"/>
        </w:r>
      </w:hyperlink>
    </w:p>
    <w:p w14:paraId="4CBD6C0D" w14:textId="149C58DC" w:rsidR="00A91C73" w:rsidRDefault="00A53403">
      <w:pPr>
        <w:pStyle w:val="TOC3"/>
        <w:tabs>
          <w:tab w:val="right" w:leader="dot" w:pos="9350"/>
        </w:tabs>
        <w:rPr>
          <w:rFonts w:asciiTheme="minorHAnsi" w:eastAsiaTheme="minorEastAsia" w:hAnsiTheme="minorHAnsi" w:cstheme="minorBidi"/>
          <w:noProof/>
        </w:rPr>
      </w:pPr>
      <w:hyperlink w:anchor="_Toc149064059" w:history="1">
        <w:r w:rsidR="00A91C73" w:rsidRPr="00B1389E">
          <w:rPr>
            <w:rStyle w:val="Hyperlink"/>
            <w:noProof/>
          </w:rPr>
          <w:t>Scheduling Report Print Jobs</w:t>
        </w:r>
        <w:r w:rsidR="00A91C73">
          <w:rPr>
            <w:noProof/>
            <w:webHidden/>
          </w:rPr>
          <w:tab/>
        </w:r>
        <w:r w:rsidR="00A91C73">
          <w:rPr>
            <w:noProof/>
            <w:webHidden/>
          </w:rPr>
          <w:fldChar w:fldCharType="begin"/>
        </w:r>
        <w:r w:rsidR="00A91C73">
          <w:rPr>
            <w:noProof/>
            <w:webHidden/>
          </w:rPr>
          <w:instrText xml:space="preserve"> PAGEREF _Toc149064059 \h </w:instrText>
        </w:r>
        <w:r w:rsidR="00A91C73">
          <w:rPr>
            <w:noProof/>
            <w:webHidden/>
          </w:rPr>
        </w:r>
        <w:r w:rsidR="00A91C73">
          <w:rPr>
            <w:noProof/>
            <w:webHidden/>
          </w:rPr>
          <w:fldChar w:fldCharType="separate"/>
        </w:r>
        <w:r w:rsidR="00ED2D38">
          <w:rPr>
            <w:noProof/>
            <w:webHidden/>
          </w:rPr>
          <w:t>18</w:t>
        </w:r>
        <w:r w:rsidR="00A91C73">
          <w:rPr>
            <w:noProof/>
            <w:webHidden/>
          </w:rPr>
          <w:fldChar w:fldCharType="end"/>
        </w:r>
      </w:hyperlink>
    </w:p>
    <w:p w14:paraId="19E71B72" w14:textId="055B56E7" w:rsidR="00A91C73" w:rsidRDefault="00A53403">
      <w:pPr>
        <w:pStyle w:val="TOC2"/>
        <w:tabs>
          <w:tab w:val="right" w:leader="dot" w:pos="9350"/>
        </w:tabs>
        <w:rPr>
          <w:rFonts w:asciiTheme="minorHAnsi" w:eastAsiaTheme="minorEastAsia" w:hAnsiTheme="minorHAnsi" w:cstheme="minorBidi"/>
          <w:smallCaps w:val="0"/>
          <w:noProof/>
        </w:rPr>
      </w:pPr>
      <w:hyperlink w:anchor="_Toc149064060" w:history="1">
        <w:r w:rsidR="00A91C73" w:rsidRPr="00B1389E">
          <w:rPr>
            <w:rStyle w:val="Hyperlink"/>
            <w:noProof/>
          </w:rPr>
          <w:t>Report Toolbar</w:t>
        </w:r>
        <w:r w:rsidR="00A91C73">
          <w:rPr>
            <w:noProof/>
            <w:webHidden/>
          </w:rPr>
          <w:tab/>
        </w:r>
        <w:r w:rsidR="00A91C73">
          <w:rPr>
            <w:noProof/>
            <w:webHidden/>
          </w:rPr>
          <w:fldChar w:fldCharType="begin"/>
        </w:r>
        <w:r w:rsidR="00A91C73">
          <w:rPr>
            <w:noProof/>
            <w:webHidden/>
          </w:rPr>
          <w:instrText xml:space="preserve"> PAGEREF _Toc149064060 \h </w:instrText>
        </w:r>
        <w:r w:rsidR="00A91C73">
          <w:rPr>
            <w:noProof/>
            <w:webHidden/>
          </w:rPr>
        </w:r>
        <w:r w:rsidR="00A91C73">
          <w:rPr>
            <w:noProof/>
            <w:webHidden/>
          </w:rPr>
          <w:fldChar w:fldCharType="separate"/>
        </w:r>
        <w:r w:rsidR="00ED2D38">
          <w:rPr>
            <w:noProof/>
            <w:webHidden/>
          </w:rPr>
          <w:t>18</w:t>
        </w:r>
        <w:r w:rsidR="00A91C73">
          <w:rPr>
            <w:noProof/>
            <w:webHidden/>
          </w:rPr>
          <w:fldChar w:fldCharType="end"/>
        </w:r>
      </w:hyperlink>
    </w:p>
    <w:p w14:paraId="5214AD65" w14:textId="502A947B" w:rsidR="00A91C73" w:rsidRDefault="00A53403">
      <w:pPr>
        <w:pStyle w:val="TOC3"/>
        <w:tabs>
          <w:tab w:val="right" w:leader="dot" w:pos="9350"/>
        </w:tabs>
        <w:rPr>
          <w:rFonts w:asciiTheme="minorHAnsi" w:eastAsiaTheme="minorEastAsia" w:hAnsiTheme="minorHAnsi" w:cstheme="minorBidi"/>
          <w:noProof/>
        </w:rPr>
      </w:pPr>
      <w:hyperlink w:anchor="_Toc149064061" w:history="1">
        <w:r w:rsidR="00A91C73" w:rsidRPr="00B1389E">
          <w:rPr>
            <w:rStyle w:val="Hyperlink"/>
            <w:noProof/>
          </w:rPr>
          <w:t>Navigation Arrows and Report Pages</w:t>
        </w:r>
        <w:r w:rsidR="00A91C73">
          <w:rPr>
            <w:noProof/>
            <w:webHidden/>
          </w:rPr>
          <w:tab/>
        </w:r>
        <w:r w:rsidR="00A91C73">
          <w:rPr>
            <w:noProof/>
            <w:webHidden/>
          </w:rPr>
          <w:fldChar w:fldCharType="begin"/>
        </w:r>
        <w:r w:rsidR="00A91C73">
          <w:rPr>
            <w:noProof/>
            <w:webHidden/>
          </w:rPr>
          <w:instrText xml:space="preserve"> PAGEREF _Toc149064061 \h </w:instrText>
        </w:r>
        <w:r w:rsidR="00A91C73">
          <w:rPr>
            <w:noProof/>
            <w:webHidden/>
          </w:rPr>
        </w:r>
        <w:r w:rsidR="00A91C73">
          <w:rPr>
            <w:noProof/>
            <w:webHidden/>
          </w:rPr>
          <w:fldChar w:fldCharType="separate"/>
        </w:r>
        <w:r w:rsidR="00ED2D38">
          <w:rPr>
            <w:noProof/>
            <w:webHidden/>
          </w:rPr>
          <w:t>18</w:t>
        </w:r>
        <w:r w:rsidR="00A91C73">
          <w:rPr>
            <w:noProof/>
            <w:webHidden/>
          </w:rPr>
          <w:fldChar w:fldCharType="end"/>
        </w:r>
      </w:hyperlink>
    </w:p>
    <w:p w14:paraId="7E4CD261" w14:textId="68A0AE2D" w:rsidR="00A91C73" w:rsidRDefault="00A53403">
      <w:pPr>
        <w:pStyle w:val="TOC3"/>
        <w:tabs>
          <w:tab w:val="right" w:leader="dot" w:pos="9350"/>
        </w:tabs>
        <w:rPr>
          <w:rFonts w:asciiTheme="minorHAnsi" w:eastAsiaTheme="minorEastAsia" w:hAnsiTheme="minorHAnsi" w:cstheme="minorBidi"/>
          <w:noProof/>
        </w:rPr>
      </w:pPr>
      <w:hyperlink w:anchor="_Toc149064062" w:history="1">
        <w:r w:rsidR="00A91C73" w:rsidRPr="00B1389E">
          <w:rPr>
            <w:rStyle w:val="Hyperlink"/>
            <w:noProof/>
          </w:rPr>
          <w:t>Report Layout</w:t>
        </w:r>
        <w:r w:rsidR="00A91C73">
          <w:rPr>
            <w:noProof/>
            <w:webHidden/>
          </w:rPr>
          <w:tab/>
        </w:r>
        <w:r w:rsidR="00A91C73">
          <w:rPr>
            <w:noProof/>
            <w:webHidden/>
          </w:rPr>
          <w:fldChar w:fldCharType="begin"/>
        </w:r>
        <w:r w:rsidR="00A91C73">
          <w:rPr>
            <w:noProof/>
            <w:webHidden/>
          </w:rPr>
          <w:instrText xml:space="preserve"> PAGEREF _Toc149064062 \h </w:instrText>
        </w:r>
        <w:r w:rsidR="00A91C73">
          <w:rPr>
            <w:noProof/>
            <w:webHidden/>
          </w:rPr>
        </w:r>
        <w:r w:rsidR="00A91C73">
          <w:rPr>
            <w:noProof/>
            <w:webHidden/>
          </w:rPr>
          <w:fldChar w:fldCharType="separate"/>
        </w:r>
        <w:r w:rsidR="00ED2D38">
          <w:rPr>
            <w:noProof/>
            <w:webHidden/>
          </w:rPr>
          <w:t>19</w:t>
        </w:r>
        <w:r w:rsidR="00A91C73">
          <w:rPr>
            <w:noProof/>
            <w:webHidden/>
          </w:rPr>
          <w:fldChar w:fldCharType="end"/>
        </w:r>
      </w:hyperlink>
    </w:p>
    <w:p w14:paraId="642FD982" w14:textId="73B409D9" w:rsidR="00A91C73" w:rsidRDefault="00A53403">
      <w:pPr>
        <w:pStyle w:val="TOC3"/>
        <w:tabs>
          <w:tab w:val="right" w:leader="dot" w:pos="9350"/>
        </w:tabs>
        <w:rPr>
          <w:rFonts w:asciiTheme="minorHAnsi" w:eastAsiaTheme="minorEastAsia" w:hAnsiTheme="minorHAnsi" w:cstheme="minorBidi"/>
          <w:noProof/>
        </w:rPr>
      </w:pPr>
      <w:hyperlink w:anchor="_Toc149064063" w:history="1">
        <w:r w:rsidR="00A91C73" w:rsidRPr="00B1389E">
          <w:rPr>
            <w:rStyle w:val="Hyperlink"/>
            <w:noProof/>
          </w:rPr>
          <w:t>Report Zoom-in/Zoom-out</w:t>
        </w:r>
        <w:r w:rsidR="00A91C73">
          <w:rPr>
            <w:noProof/>
            <w:webHidden/>
          </w:rPr>
          <w:tab/>
        </w:r>
        <w:r w:rsidR="00A91C73">
          <w:rPr>
            <w:noProof/>
            <w:webHidden/>
          </w:rPr>
          <w:fldChar w:fldCharType="begin"/>
        </w:r>
        <w:r w:rsidR="00A91C73">
          <w:rPr>
            <w:noProof/>
            <w:webHidden/>
          </w:rPr>
          <w:instrText xml:space="preserve"> PAGEREF _Toc149064063 \h </w:instrText>
        </w:r>
        <w:r w:rsidR="00A91C73">
          <w:rPr>
            <w:noProof/>
            <w:webHidden/>
          </w:rPr>
        </w:r>
        <w:r w:rsidR="00A91C73">
          <w:rPr>
            <w:noProof/>
            <w:webHidden/>
          </w:rPr>
          <w:fldChar w:fldCharType="separate"/>
        </w:r>
        <w:r w:rsidR="00ED2D38">
          <w:rPr>
            <w:noProof/>
            <w:webHidden/>
          </w:rPr>
          <w:t>19</w:t>
        </w:r>
        <w:r w:rsidR="00A91C73">
          <w:rPr>
            <w:noProof/>
            <w:webHidden/>
          </w:rPr>
          <w:fldChar w:fldCharType="end"/>
        </w:r>
      </w:hyperlink>
    </w:p>
    <w:p w14:paraId="1AB83D40" w14:textId="3261BA8A" w:rsidR="00A91C73" w:rsidRDefault="00A53403">
      <w:pPr>
        <w:pStyle w:val="TOC3"/>
        <w:tabs>
          <w:tab w:val="right" w:leader="dot" w:pos="9350"/>
        </w:tabs>
        <w:rPr>
          <w:rFonts w:asciiTheme="minorHAnsi" w:eastAsiaTheme="minorEastAsia" w:hAnsiTheme="minorHAnsi" w:cstheme="minorBidi"/>
          <w:noProof/>
        </w:rPr>
      </w:pPr>
      <w:hyperlink w:anchor="_Toc149064064" w:history="1">
        <w:r w:rsidR="00A91C73" w:rsidRPr="00B1389E">
          <w:rPr>
            <w:rStyle w:val="Hyperlink"/>
            <w:noProof/>
          </w:rPr>
          <w:t>Report Search</w:t>
        </w:r>
        <w:r w:rsidR="00A91C73">
          <w:rPr>
            <w:noProof/>
            <w:webHidden/>
          </w:rPr>
          <w:tab/>
        </w:r>
        <w:r w:rsidR="00A91C73">
          <w:rPr>
            <w:noProof/>
            <w:webHidden/>
          </w:rPr>
          <w:fldChar w:fldCharType="begin"/>
        </w:r>
        <w:r w:rsidR="00A91C73">
          <w:rPr>
            <w:noProof/>
            <w:webHidden/>
          </w:rPr>
          <w:instrText xml:space="preserve"> PAGEREF _Toc149064064 \h </w:instrText>
        </w:r>
        <w:r w:rsidR="00A91C73">
          <w:rPr>
            <w:noProof/>
            <w:webHidden/>
          </w:rPr>
        </w:r>
        <w:r w:rsidR="00A91C73">
          <w:rPr>
            <w:noProof/>
            <w:webHidden/>
          </w:rPr>
          <w:fldChar w:fldCharType="separate"/>
        </w:r>
        <w:r w:rsidR="00ED2D38">
          <w:rPr>
            <w:noProof/>
            <w:webHidden/>
          </w:rPr>
          <w:t>19</w:t>
        </w:r>
        <w:r w:rsidR="00A91C73">
          <w:rPr>
            <w:noProof/>
            <w:webHidden/>
          </w:rPr>
          <w:fldChar w:fldCharType="end"/>
        </w:r>
      </w:hyperlink>
    </w:p>
    <w:p w14:paraId="29127EBE" w14:textId="6B5D584A" w:rsidR="00A91C73" w:rsidRDefault="00A53403">
      <w:pPr>
        <w:pStyle w:val="TOC3"/>
        <w:tabs>
          <w:tab w:val="right" w:leader="dot" w:pos="9350"/>
        </w:tabs>
        <w:rPr>
          <w:rFonts w:asciiTheme="minorHAnsi" w:eastAsiaTheme="minorEastAsia" w:hAnsiTheme="minorHAnsi" w:cstheme="minorBidi"/>
          <w:noProof/>
        </w:rPr>
      </w:pPr>
      <w:hyperlink w:anchor="_Toc149064065" w:history="1">
        <w:r w:rsidR="00A91C73" w:rsidRPr="00B1389E">
          <w:rPr>
            <w:rStyle w:val="Hyperlink"/>
            <w:noProof/>
          </w:rPr>
          <w:t>Report Export</w:t>
        </w:r>
        <w:r w:rsidR="00A91C73">
          <w:rPr>
            <w:noProof/>
            <w:webHidden/>
          </w:rPr>
          <w:tab/>
        </w:r>
        <w:r w:rsidR="00A91C73">
          <w:rPr>
            <w:noProof/>
            <w:webHidden/>
          </w:rPr>
          <w:fldChar w:fldCharType="begin"/>
        </w:r>
        <w:r w:rsidR="00A91C73">
          <w:rPr>
            <w:noProof/>
            <w:webHidden/>
          </w:rPr>
          <w:instrText xml:space="preserve"> PAGEREF _Toc149064065 \h </w:instrText>
        </w:r>
        <w:r w:rsidR="00A91C73">
          <w:rPr>
            <w:noProof/>
            <w:webHidden/>
          </w:rPr>
        </w:r>
        <w:r w:rsidR="00A91C73">
          <w:rPr>
            <w:noProof/>
            <w:webHidden/>
          </w:rPr>
          <w:fldChar w:fldCharType="separate"/>
        </w:r>
        <w:r w:rsidR="00ED2D38">
          <w:rPr>
            <w:noProof/>
            <w:webHidden/>
          </w:rPr>
          <w:t>20</w:t>
        </w:r>
        <w:r w:rsidR="00A91C73">
          <w:rPr>
            <w:noProof/>
            <w:webHidden/>
          </w:rPr>
          <w:fldChar w:fldCharType="end"/>
        </w:r>
      </w:hyperlink>
    </w:p>
    <w:p w14:paraId="4595053B" w14:textId="643A73A3" w:rsidR="00A91C73" w:rsidRDefault="00A53403">
      <w:pPr>
        <w:pStyle w:val="TOC2"/>
        <w:tabs>
          <w:tab w:val="right" w:leader="dot" w:pos="9350"/>
        </w:tabs>
        <w:rPr>
          <w:rFonts w:asciiTheme="minorHAnsi" w:eastAsiaTheme="minorEastAsia" w:hAnsiTheme="minorHAnsi" w:cstheme="minorBidi"/>
          <w:smallCaps w:val="0"/>
          <w:noProof/>
        </w:rPr>
      </w:pPr>
      <w:hyperlink w:anchor="_Toc149064066" w:history="1">
        <w:r w:rsidR="00A91C73" w:rsidRPr="00B1389E">
          <w:rPr>
            <w:rStyle w:val="Hyperlink"/>
            <w:noProof/>
          </w:rPr>
          <w:t>Using VBECS</w:t>
        </w:r>
        <w:r w:rsidR="00A91C73">
          <w:rPr>
            <w:noProof/>
            <w:webHidden/>
          </w:rPr>
          <w:tab/>
        </w:r>
        <w:r w:rsidR="00A91C73">
          <w:rPr>
            <w:noProof/>
            <w:webHidden/>
          </w:rPr>
          <w:fldChar w:fldCharType="begin"/>
        </w:r>
        <w:r w:rsidR="00A91C73">
          <w:rPr>
            <w:noProof/>
            <w:webHidden/>
          </w:rPr>
          <w:instrText xml:space="preserve"> PAGEREF _Toc149064066 \h </w:instrText>
        </w:r>
        <w:r w:rsidR="00A91C73">
          <w:rPr>
            <w:noProof/>
            <w:webHidden/>
          </w:rPr>
        </w:r>
        <w:r w:rsidR="00A91C73">
          <w:rPr>
            <w:noProof/>
            <w:webHidden/>
          </w:rPr>
          <w:fldChar w:fldCharType="separate"/>
        </w:r>
        <w:r w:rsidR="00ED2D38">
          <w:rPr>
            <w:noProof/>
            <w:webHidden/>
          </w:rPr>
          <w:t>22</w:t>
        </w:r>
        <w:r w:rsidR="00A91C73">
          <w:rPr>
            <w:noProof/>
            <w:webHidden/>
          </w:rPr>
          <w:fldChar w:fldCharType="end"/>
        </w:r>
      </w:hyperlink>
    </w:p>
    <w:p w14:paraId="00F689D8" w14:textId="2895623D" w:rsidR="00A91C73" w:rsidRDefault="00A53403">
      <w:pPr>
        <w:pStyle w:val="TOC3"/>
        <w:tabs>
          <w:tab w:val="right" w:leader="dot" w:pos="9350"/>
        </w:tabs>
        <w:rPr>
          <w:rFonts w:asciiTheme="minorHAnsi" w:eastAsiaTheme="minorEastAsia" w:hAnsiTheme="minorHAnsi" w:cstheme="minorBidi"/>
          <w:noProof/>
        </w:rPr>
      </w:pPr>
      <w:hyperlink w:anchor="_Toc149064067" w:history="1">
        <w:r w:rsidR="00A91C73" w:rsidRPr="00B1389E">
          <w:rPr>
            <w:rStyle w:val="Hyperlink"/>
            <w:noProof/>
          </w:rPr>
          <w:t>Searching Using the Table of Contents</w:t>
        </w:r>
        <w:r w:rsidR="00A91C73">
          <w:rPr>
            <w:noProof/>
            <w:webHidden/>
          </w:rPr>
          <w:tab/>
        </w:r>
        <w:r w:rsidR="00A91C73">
          <w:rPr>
            <w:noProof/>
            <w:webHidden/>
          </w:rPr>
          <w:fldChar w:fldCharType="begin"/>
        </w:r>
        <w:r w:rsidR="00A91C73">
          <w:rPr>
            <w:noProof/>
            <w:webHidden/>
          </w:rPr>
          <w:instrText xml:space="preserve"> PAGEREF _Toc149064067 \h </w:instrText>
        </w:r>
        <w:r w:rsidR="00A91C73">
          <w:rPr>
            <w:noProof/>
            <w:webHidden/>
          </w:rPr>
        </w:r>
        <w:r w:rsidR="00A91C73">
          <w:rPr>
            <w:noProof/>
            <w:webHidden/>
          </w:rPr>
          <w:fldChar w:fldCharType="separate"/>
        </w:r>
        <w:r w:rsidR="00ED2D38">
          <w:rPr>
            <w:noProof/>
            <w:webHidden/>
          </w:rPr>
          <w:t>22</w:t>
        </w:r>
        <w:r w:rsidR="00A91C73">
          <w:rPr>
            <w:noProof/>
            <w:webHidden/>
          </w:rPr>
          <w:fldChar w:fldCharType="end"/>
        </w:r>
      </w:hyperlink>
    </w:p>
    <w:p w14:paraId="0D12DC0B" w14:textId="784B61B9" w:rsidR="00A91C73" w:rsidRDefault="00A53403">
      <w:pPr>
        <w:pStyle w:val="TOC2"/>
        <w:tabs>
          <w:tab w:val="right" w:leader="dot" w:pos="9350"/>
        </w:tabs>
        <w:rPr>
          <w:rFonts w:asciiTheme="minorHAnsi" w:eastAsiaTheme="minorEastAsia" w:hAnsiTheme="minorHAnsi" w:cstheme="minorBidi"/>
          <w:smallCaps w:val="0"/>
          <w:noProof/>
        </w:rPr>
      </w:pPr>
      <w:hyperlink w:anchor="_Toc149064068" w:history="1">
        <w:r w:rsidR="00A91C73" w:rsidRPr="00B1389E">
          <w:rPr>
            <w:rStyle w:val="Hyperlink"/>
            <w:noProof/>
          </w:rPr>
          <w:t>VistA Records in VBECS</w:t>
        </w:r>
        <w:r w:rsidR="00A91C73">
          <w:rPr>
            <w:noProof/>
            <w:webHidden/>
          </w:rPr>
          <w:tab/>
        </w:r>
        <w:r w:rsidR="00A91C73">
          <w:rPr>
            <w:noProof/>
            <w:webHidden/>
          </w:rPr>
          <w:fldChar w:fldCharType="begin"/>
        </w:r>
        <w:r w:rsidR="00A91C73">
          <w:rPr>
            <w:noProof/>
            <w:webHidden/>
          </w:rPr>
          <w:instrText xml:space="preserve"> PAGEREF _Toc149064068 \h </w:instrText>
        </w:r>
        <w:r w:rsidR="00A91C73">
          <w:rPr>
            <w:noProof/>
            <w:webHidden/>
          </w:rPr>
        </w:r>
        <w:r w:rsidR="00A91C73">
          <w:rPr>
            <w:noProof/>
            <w:webHidden/>
          </w:rPr>
          <w:fldChar w:fldCharType="separate"/>
        </w:r>
        <w:r w:rsidR="00ED2D38">
          <w:rPr>
            <w:noProof/>
            <w:webHidden/>
          </w:rPr>
          <w:t>23</w:t>
        </w:r>
        <w:r w:rsidR="00A91C73">
          <w:rPr>
            <w:noProof/>
            <w:webHidden/>
          </w:rPr>
          <w:fldChar w:fldCharType="end"/>
        </w:r>
      </w:hyperlink>
    </w:p>
    <w:p w14:paraId="27904ACB" w14:textId="7CFBEDF5" w:rsidR="00A91C73" w:rsidRDefault="00A53403">
      <w:pPr>
        <w:pStyle w:val="TOC2"/>
        <w:tabs>
          <w:tab w:val="right" w:leader="dot" w:pos="9350"/>
        </w:tabs>
        <w:rPr>
          <w:rFonts w:asciiTheme="minorHAnsi" w:eastAsiaTheme="minorEastAsia" w:hAnsiTheme="minorHAnsi" w:cstheme="minorBidi"/>
          <w:smallCaps w:val="0"/>
          <w:noProof/>
        </w:rPr>
      </w:pPr>
      <w:hyperlink w:anchor="_Toc149064069" w:history="1">
        <w:r w:rsidR="00A91C73" w:rsidRPr="00B1389E">
          <w:rPr>
            <w:rStyle w:val="Hyperlink"/>
            <w:noProof/>
          </w:rPr>
          <w:t>Accessing the System</w:t>
        </w:r>
        <w:r w:rsidR="00A91C73">
          <w:rPr>
            <w:noProof/>
            <w:webHidden/>
          </w:rPr>
          <w:tab/>
        </w:r>
        <w:r w:rsidR="00A91C73">
          <w:rPr>
            <w:noProof/>
            <w:webHidden/>
          </w:rPr>
          <w:fldChar w:fldCharType="begin"/>
        </w:r>
        <w:r w:rsidR="00A91C73">
          <w:rPr>
            <w:noProof/>
            <w:webHidden/>
          </w:rPr>
          <w:instrText xml:space="preserve"> PAGEREF _Toc149064069 \h </w:instrText>
        </w:r>
        <w:r w:rsidR="00A91C73">
          <w:rPr>
            <w:noProof/>
            <w:webHidden/>
          </w:rPr>
        </w:r>
        <w:r w:rsidR="00A91C73">
          <w:rPr>
            <w:noProof/>
            <w:webHidden/>
          </w:rPr>
          <w:fldChar w:fldCharType="separate"/>
        </w:r>
        <w:r w:rsidR="00ED2D38">
          <w:rPr>
            <w:noProof/>
            <w:webHidden/>
          </w:rPr>
          <w:t>24</w:t>
        </w:r>
        <w:r w:rsidR="00A91C73">
          <w:rPr>
            <w:noProof/>
            <w:webHidden/>
          </w:rPr>
          <w:fldChar w:fldCharType="end"/>
        </w:r>
      </w:hyperlink>
    </w:p>
    <w:p w14:paraId="659226F2" w14:textId="4F735A3E" w:rsidR="00A91C73" w:rsidRDefault="00A53403">
      <w:pPr>
        <w:pStyle w:val="TOC3"/>
        <w:tabs>
          <w:tab w:val="right" w:leader="dot" w:pos="9350"/>
        </w:tabs>
        <w:rPr>
          <w:rFonts w:asciiTheme="minorHAnsi" w:eastAsiaTheme="minorEastAsia" w:hAnsiTheme="minorHAnsi" w:cstheme="minorBidi"/>
          <w:noProof/>
        </w:rPr>
      </w:pPr>
      <w:hyperlink w:anchor="_Toc149064070" w:history="1">
        <w:r w:rsidR="00A91C73" w:rsidRPr="00B1389E">
          <w:rPr>
            <w:rStyle w:val="Hyperlink"/>
            <w:noProof/>
          </w:rPr>
          <w:t>Log into VBECS and VistA</w:t>
        </w:r>
        <w:r w:rsidR="00A91C73">
          <w:rPr>
            <w:noProof/>
            <w:webHidden/>
          </w:rPr>
          <w:tab/>
        </w:r>
        <w:r w:rsidR="00A91C73">
          <w:rPr>
            <w:noProof/>
            <w:webHidden/>
          </w:rPr>
          <w:fldChar w:fldCharType="begin"/>
        </w:r>
        <w:r w:rsidR="00A91C73">
          <w:rPr>
            <w:noProof/>
            <w:webHidden/>
          </w:rPr>
          <w:instrText xml:space="preserve"> PAGEREF _Toc149064070 \h </w:instrText>
        </w:r>
        <w:r w:rsidR="00A91C73">
          <w:rPr>
            <w:noProof/>
            <w:webHidden/>
          </w:rPr>
        </w:r>
        <w:r w:rsidR="00A91C73">
          <w:rPr>
            <w:noProof/>
            <w:webHidden/>
          </w:rPr>
          <w:fldChar w:fldCharType="separate"/>
        </w:r>
        <w:r w:rsidR="00ED2D38">
          <w:rPr>
            <w:noProof/>
            <w:webHidden/>
          </w:rPr>
          <w:t>24</w:t>
        </w:r>
        <w:r w:rsidR="00A91C73">
          <w:rPr>
            <w:noProof/>
            <w:webHidden/>
          </w:rPr>
          <w:fldChar w:fldCharType="end"/>
        </w:r>
      </w:hyperlink>
    </w:p>
    <w:p w14:paraId="32ED0844" w14:textId="6D92932B" w:rsidR="00A91C73" w:rsidRDefault="00A53403">
      <w:pPr>
        <w:pStyle w:val="TOC3"/>
        <w:tabs>
          <w:tab w:val="right" w:leader="dot" w:pos="9350"/>
        </w:tabs>
        <w:rPr>
          <w:rFonts w:asciiTheme="minorHAnsi" w:eastAsiaTheme="minorEastAsia" w:hAnsiTheme="minorHAnsi" w:cstheme="minorBidi"/>
          <w:noProof/>
        </w:rPr>
      </w:pPr>
      <w:hyperlink w:anchor="_Toc149064071" w:history="1">
        <w:r w:rsidR="00A91C73" w:rsidRPr="00B1389E">
          <w:rPr>
            <w:rStyle w:val="Hyperlink"/>
            <w:noProof/>
          </w:rPr>
          <w:t>Closing VBECS</w:t>
        </w:r>
        <w:r w:rsidR="00A91C73">
          <w:rPr>
            <w:noProof/>
            <w:webHidden/>
          </w:rPr>
          <w:tab/>
        </w:r>
        <w:r w:rsidR="00A91C73">
          <w:rPr>
            <w:noProof/>
            <w:webHidden/>
          </w:rPr>
          <w:fldChar w:fldCharType="begin"/>
        </w:r>
        <w:r w:rsidR="00A91C73">
          <w:rPr>
            <w:noProof/>
            <w:webHidden/>
          </w:rPr>
          <w:instrText xml:space="preserve"> PAGEREF _Toc149064071 \h </w:instrText>
        </w:r>
        <w:r w:rsidR="00A91C73">
          <w:rPr>
            <w:noProof/>
            <w:webHidden/>
          </w:rPr>
        </w:r>
        <w:r w:rsidR="00A91C73">
          <w:rPr>
            <w:noProof/>
            <w:webHidden/>
          </w:rPr>
          <w:fldChar w:fldCharType="separate"/>
        </w:r>
        <w:r w:rsidR="00ED2D38">
          <w:rPr>
            <w:noProof/>
            <w:webHidden/>
          </w:rPr>
          <w:t>28</w:t>
        </w:r>
        <w:r w:rsidR="00A91C73">
          <w:rPr>
            <w:noProof/>
            <w:webHidden/>
          </w:rPr>
          <w:fldChar w:fldCharType="end"/>
        </w:r>
      </w:hyperlink>
    </w:p>
    <w:p w14:paraId="4A62DB8A" w14:textId="3E5FD6AE" w:rsidR="00A91C73" w:rsidRDefault="00A53403">
      <w:pPr>
        <w:pStyle w:val="TOC3"/>
        <w:tabs>
          <w:tab w:val="right" w:leader="dot" w:pos="9350"/>
        </w:tabs>
        <w:rPr>
          <w:rFonts w:asciiTheme="minorHAnsi" w:eastAsiaTheme="minorEastAsia" w:hAnsiTheme="minorHAnsi" w:cstheme="minorBidi"/>
          <w:noProof/>
        </w:rPr>
      </w:pPr>
      <w:hyperlink w:anchor="_Toc149064072" w:history="1">
        <w:r w:rsidR="00A91C73" w:rsidRPr="00B1389E">
          <w:rPr>
            <w:rStyle w:val="Hyperlink"/>
            <w:noProof/>
          </w:rPr>
          <w:t>Application Windows</w:t>
        </w:r>
        <w:r w:rsidR="00A91C73">
          <w:rPr>
            <w:noProof/>
            <w:webHidden/>
          </w:rPr>
          <w:tab/>
        </w:r>
        <w:r w:rsidR="00A91C73">
          <w:rPr>
            <w:noProof/>
            <w:webHidden/>
          </w:rPr>
          <w:fldChar w:fldCharType="begin"/>
        </w:r>
        <w:r w:rsidR="00A91C73">
          <w:rPr>
            <w:noProof/>
            <w:webHidden/>
          </w:rPr>
          <w:instrText xml:space="preserve"> PAGEREF _Toc149064072 \h </w:instrText>
        </w:r>
        <w:r w:rsidR="00A91C73">
          <w:rPr>
            <w:noProof/>
            <w:webHidden/>
          </w:rPr>
        </w:r>
        <w:r w:rsidR="00A91C73">
          <w:rPr>
            <w:noProof/>
            <w:webHidden/>
          </w:rPr>
          <w:fldChar w:fldCharType="separate"/>
        </w:r>
        <w:r w:rsidR="00ED2D38">
          <w:rPr>
            <w:noProof/>
            <w:webHidden/>
          </w:rPr>
          <w:t>31</w:t>
        </w:r>
        <w:r w:rsidR="00A91C73">
          <w:rPr>
            <w:noProof/>
            <w:webHidden/>
          </w:rPr>
          <w:fldChar w:fldCharType="end"/>
        </w:r>
      </w:hyperlink>
    </w:p>
    <w:p w14:paraId="4D8D17DF" w14:textId="231C8937" w:rsidR="00A91C73" w:rsidRDefault="00A53403">
      <w:pPr>
        <w:pStyle w:val="TOC3"/>
        <w:tabs>
          <w:tab w:val="right" w:leader="dot" w:pos="9350"/>
        </w:tabs>
        <w:rPr>
          <w:rFonts w:asciiTheme="minorHAnsi" w:eastAsiaTheme="minorEastAsia" w:hAnsiTheme="minorHAnsi" w:cstheme="minorBidi"/>
          <w:noProof/>
        </w:rPr>
      </w:pPr>
      <w:hyperlink w:anchor="_Toc149064073" w:history="1">
        <w:r w:rsidR="00A91C73" w:rsidRPr="00B1389E">
          <w:rPr>
            <w:rStyle w:val="Hyperlink"/>
            <w:noProof/>
          </w:rPr>
          <w:t>Keyboard Shortcuts for Windows</w:t>
        </w:r>
        <w:r w:rsidR="00A91C73">
          <w:rPr>
            <w:noProof/>
            <w:webHidden/>
          </w:rPr>
          <w:tab/>
        </w:r>
        <w:r w:rsidR="00A91C73">
          <w:rPr>
            <w:noProof/>
            <w:webHidden/>
          </w:rPr>
          <w:fldChar w:fldCharType="begin"/>
        </w:r>
        <w:r w:rsidR="00A91C73">
          <w:rPr>
            <w:noProof/>
            <w:webHidden/>
          </w:rPr>
          <w:instrText xml:space="preserve"> PAGEREF _Toc149064073 \h </w:instrText>
        </w:r>
        <w:r w:rsidR="00A91C73">
          <w:rPr>
            <w:noProof/>
            <w:webHidden/>
          </w:rPr>
        </w:r>
        <w:r w:rsidR="00A91C73">
          <w:rPr>
            <w:noProof/>
            <w:webHidden/>
          </w:rPr>
          <w:fldChar w:fldCharType="separate"/>
        </w:r>
        <w:r w:rsidR="00ED2D38">
          <w:rPr>
            <w:noProof/>
            <w:webHidden/>
          </w:rPr>
          <w:t>32</w:t>
        </w:r>
        <w:r w:rsidR="00A91C73">
          <w:rPr>
            <w:noProof/>
            <w:webHidden/>
          </w:rPr>
          <w:fldChar w:fldCharType="end"/>
        </w:r>
      </w:hyperlink>
    </w:p>
    <w:p w14:paraId="38D99E94" w14:textId="6BC98199" w:rsidR="00A91C73" w:rsidRDefault="00A53403">
      <w:pPr>
        <w:pStyle w:val="TOC3"/>
        <w:tabs>
          <w:tab w:val="right" w:leader="dot" w:pos="9350"/>
        </w:tabs>
        <w:rPr>
          <w:rFonts w:asciiTheme="minorHAnsi" w:eastAsiaTheme="minorEastAsia" w:hAnsiTheme="minorHAnsi" w:cstheme="minorBidi"/>
          <w:noProof/>
        </w:rPr>
      </w:pPr>
      <w:hyperlink w:anchor="_Toc149064074" w:history="1">
        <w:r w:rsidR="00A91C73" w:rsidRPr="00B1389E">
          <w:rPr>
            <w:rStyle w:val="Hyperlink"/>
            <w:noProof/>
          </w:rPr>
          <w:t>Drop-Down Menus</w:t>
        </w:r>
        <w:r w:rsidR="00A91C73">
          <w:rPr>
            <w:noProof/>
            <w:webHidden/>
          </w:rPr>
          <w:tab/>
        </w:r>
        <w:r w:rsidR="00A91C73">
          <w:rPr>
            <w:noProof/>
            <w:webHidden/>
          </w:rPr>
          <w:fldChar w:fldCharType="begin"/>
        </w:r>
        <w:r w:rsidR="00A91C73">
          <w:rPr>
            <w:noProof/>
            <w:webHidden/>
          </w:rPr>
          <w:instrText xml:space="preserve"> PAGEREF _Toc149064074 \h </w:instrText>
        </w:r>
        <w:r w:rsidR="00A91C73">
          <w:rPr>
            <w:noProof/>
            <w:webHidden/>
          </w:rPr>
        </w:r>
        <w:r w:rsidR="00A91C73">
          <w:rPr>
            <w:noProof/>
            <w:webHidden/>
          </w:rPr>
          <w:fldChar w:fldCharType="separate"/>
        </w:r>
        <w:r w:rsidR="00ED2D38">
          <w:rPr>
            <w:noProof/>
            <w:webHidden/>
          </w:rPr>
          <w:t>33</w:t>
        </w:r>
        <w:r w:rsidR="00A91C73">
          <w:rPr>
            <w:noProof/>
            <w:webHidden/>
          </w:rPr>
          <w:fldChar w:fldCharType="end"/>
        </w:r>
      </w:hyperlink>
    </w:p>
    <w:p w14:paraId="0FA56212" w14:textId="6EDF6986" w:rsidR="00A91C73" w:rsidRDefault="00A53403">
      <w:pPr>
        <w:pStyle w:val="TOC3"/>
        <w:tabs>
          <w:tab w:val="right" w:leader="dot" w:pos="9350"/>
        </w:tabs>
        <w:rPr>
          <w:rFonts w:asciiTheme="minorHAnsi" w:eastAsiaTheme="minorEastAsia" w:hAnsiTheme="minorHAnsi" w:cstheme="minorBidi"/>
          <w:noProof/>
        </w:rPr>
      </w:pPr>
      <w:hyperlink w:anchor="_Toc149064075" w:history="1">
        <w:r w:rsidR="00A91C73" w:rsidRPr="00B1389E">
          <w:rPr>
            <w:rStyle w:val="Hyperlink"/>
            <w:noProof/>
          </w:rPr>
          <w:t>Tool Tips</w:t>
        </w:r>
        <w:r w:rsidR="00A91C73">
          <w:rPr>
            <w:noProof/>
            <w:webHidden/>
          </w:rPr>
          <w:tab/>
        </w:r>
        <w:r w:rsidR="00A91C73">
          <w:rPr>
            <w:noProof/>
            <w:webHidden/>
          </w:rPr>
          <w:fldChar w:fldCharType="begin"/>
        </w:r>
        <w:r w:rsidR="00A91C73">
          <w:rPr>
            <w:noProof/>
            <w:webHidden/>
          </w:rPr>
          <w:instrText xml:space="preserve"> PAGEREF _Toc149064075 \h </w:instrText>
        </w:r>
        <w:r w:rsidR="00A91C73">
          <w:rPr>
            <w:noProof/>
            <w:webHidden/>
          </w:rPr>
        </w:r>
        <w:r w:rsidR="00A91C73">
          <w:rPr>
            <w:noProof/>
            <w:webHidden/>
          </w:rPr>
          <w:fldChar w:fldCharType="separate"/>
        </w:r>
        <w:r w:rsidR="00ED2D38">
          <w:rPr>
            <w:noProof/>
            <w:webHidden/>
          </w:rPr>
          <w:t>33</w:t>
        </w:r>
        <w:r w:rsidR="00A91C73">
          <w:rPr>
            <w:noProof/>
            <w:webHidden/>
          </w:rPr>
          <w:fldChar w:fldCharType="end"/>
        </w:r>
      </w:hyperlink>
    </w:p>
    <w:p w14:paraId="56AFF8E5" w14:textId="34897FE1" w:rsidR="00A91C73" w:rsidRDefault="00A53403">
      <w:pPr>
        <w:pStyle w:val="TOC3"/>
        <w:tabs>
          <w:tab w:val="right" w:leader="dot" w:pos="9350"/>
        </w:tabs>
        <w:rPr>
          <w:rFonts w:asciiTheme="minorHAnsi" w:eastAsiaTheme="minorEastAsia" w:hAnsiTheme="minorHAnsi" w:cstheme="minorBidi"/>
          <w:noProof/>
        </w:rPr>
      </w:pPr>
      <w:hyperlink w:anchor="_Toc149064076" w:history="1">
        <w:r w:rsidR="00A91C73" w:rsidRPr="00B1389E">
          <w:rPr>
            <w:rStyle w:val="Hyperlink"/>
            <w:noProof/>
          </w:rPr>
          <w:t>Icons and Buttons</w:t>
        </w:r>
        <w:r w:rsidR="00A91C73">
          <w:rPr>
            <w:noProof/>
            <w:webHidden/>
          </w:rPr>
          <w:tab/>
        </w:r>
        <w:r w:rsidR="00A91C73">
          <w:rPr>
            <w:noProof/>
            <w:webHidden/>
          </w:rPr>
          <w:fldChar w:fldCharType="begin"/>
        </w:r>
        <w:r w:rsidR="00A91C73">
          <w:rPr>
            <w:noProof/>
            <w:webHidden/>
          </w:rPr>
          <w:instrText xml:space="preserve"> PAGEREF _Toc149064076 \h </w:instrText>
        </w:r>
        <w:r w:rsidR="00A91C73">
          <w:rPr>
            <w:noProof/>
            <w:webHidden/>
          </w:rPr>
        </w:r>
        <w:r w:rsidR="00A91C73">
          <w:rPr>
            <w:noProof/>
            <w:webHidden/>
          </w:rPr>
          <w:fldChar w:fldCharType="separate"/>
        </w:r>
        <w:r w:rsidR="00ED2D38">
          <w:rPr>
            <w:noProof/>
            <w:webHidden/>
          </w:rPr>
          <w:t>33</w:t>
        </w:r>
        <w:r w:rsidR="00A91C73">
          <w:rPr>
            <w:noProof/>
            <w:webHidden/>
          </w:rPr>
          <w:fldChar w:fldCharType="end"/>
        </w:r>
      </w:hyperlink>
    </w:p>
    <w:p w14:paraId="37EC5769" w14:textId="6939F8B4" w:rsidR="00A91C73" w:rsidRDefault="00A53403">
      <w:pPr>
        <w:pStyle w:val="TOC3"/>
        <w:tabs>
          <w:tab w:val="right" w:leader="dot" w:pos="9350"/>
        </w:tabs>
        <w:rPr>
          <w:rFonts w:asciiTheme="minorHAnsi" w:eastAsiaTheme="minorEastAsia" w:hAnsiTheme="minorHAnsi" w:cstheme="minorBidi"/>
          <w:noProof/>
        </w:rPr>
      </w:pPr>
      <w:hyperlink w:anchor="_Toc149064077" w:history="1">
        <w:r w:rsidR="00A91C73" w:rsidRPr="00B1389E">
          <w:rPr>
            <w:rStyle w:val="Hyperlink"/>
            <w:noProof/>
          </w:rPr>
          <w:t>Toolbars</w:t>
        </w:r>
        <w:r w:rsidR="00A91C73">
          <w:rPr>
            <w:noProof/>
            <w:webHidden/>
          </w:rPr>
          <w:tab/>
        </w:r>
        <w:r w:rsidR="00A91C73">
          <w:rPr>
            <w:noProof/>
            <w:webHidden/>
          </w:rPr>
          <w:fldChar w:fldCharType="begin"/>
        </w:r>
        <w:r w:rsidR="00A91C73">
          <w:rPr>
            <w:noProof/>
            <w:webHidden/>
          </w:rPr>
          <w:instrText xml:space="preserve"> PAGEREF _Toc149064077 \h </w:instrText>
        </w:r>
        <w:r w:rsidR="00A91C73">
          <w:rPr>
            <w:noProof/>
            <w:webHidden/>
          </w:rPr>
        </w:r>
        <w:r w:rsidR="00A91C73">
          <w:rPr>
            <w:noProof/>
            <w:webHidden/>
          </w:rPr>
          <w:fldChar w:fldCharType="separate"/>
        </w:r>
        <w:r w:rsidR="00ED2D38">
          <w:rPr>
            <w:noProof/>
            <w:webHidden/>
          </w:rPr>
          <w:t>34</w:t>
        </w:r>
        <w:r w:rsidR="00A91C73">
          <w:rPr>
            <w:noProof/>
            <w:webHidden/>
          </w:rPr>
          <w:fldChar w:fldCharType="end"/>
        </w:r>
      </w:hyperlink>
    </w:p>
    <w:p w14:paraId="00E23868" w14:textId="54E56352" w:rsidR="00A91C73" w:rsidRDefault="00A53403">
      <w:pPr>
        <w:pStyle w:val="TOC2"/>
        <w:tabs>
          <w:tab w:val="right" w:leader="dot" w:pos="9350"/>
        </w:tabs>
        <w:rPr>
          <w:rFonts w:asciiTheme="minorHAnsi" w:eastAsiaTheme="minorEastAsia" w:hAnsiTheme="minorHAnsi" w:cstheme="minorBidi"/>
          <w:smallCaps w:val="0"/>
          <w:noProof/>
        </w:rPr>
      </w:pPr>
      <w:hyperlink w:anchor="_Toc149064078" w:history="1">
        <w:r w:rsidR="00A91C73" w:rsidRPr="00B1389E">
          <w:rPr>
            <w:rStyle w:val="Hyperlink"/>
            <w:noProof/>
          </w:rPr>
          <w:t>Patient Information Toolbar</w:t>
        </w:r>
        <w:r w:rsidR="00A91C73">
          <w:rPr>
            <w:noProof/>
            <w:webHidden/>
          </w:rPr>
          <w:tab/>
        </w:r>
        <w:r w:rsidR="00A91C73">
          <w:rPr>
            <w:noProof/>
            <w:webHidden/>
          </w:rPr>
          <w:fldChar w:fldCharType="begin"/>
        </w:r>
        <w:r w:rsidR="00A91C73">
          <w:rPr>
            <w:noProof/>
            <w:webHidden/>
          </w:rPr>
          <w:instrText xml:space="preserve"> PAGEREF _Toc149064078 \h </w:instrText>
        </w:r>
        <w:r w:rsidR="00A91C73">
          <w:rPr>
            <w:noProof/>
            <w:webHidden/>
          </w:rPr>
        </w:r>
        <w:r w:rsidR="00A91C73">
          <w:rPr>
            <w:noProof/>
            <w:webHidden/>
          </w:rPr>
          <w:fldChar w:fldCharType="separate"/>
        </w:r>
        <w:r w:rsidR="00ED2D38">
          <w:rPr>
            <w:noProof/>
            <w:webHidden/>
          </w:rPr>
          <w:t>35</w:t>
        </w:r>
        <w:r w:rsidR="00A91C73">
          <w:rPr>
            <w:noProof/>
            <w:webHidden/>
          </w:rPr>
          <w:fldChar w:fldCharType="end"/>
        </w:r>
      </w:hyperlink>
    </w:p>
    <w:p w14:paraId="019A986B" w14:textId="0DC16321" w:rsidR="00A91C73" w:rsidRDefault="00A53403">
      <w:pPr>
        <w:pStyle w:val="TOC3"/>
        <w:tabs>
          <w:tab w:val="right" w:leader="dot" w:pos="9350"/>
        </w:tabs>
        <w:rPr>
          <w:rFonts w:asciiTheme="minorHAnsi" w:eastAsiaTheme="minorEastAsia" w:hAnsiTheme="minorHAnsi" w:cstheme="minorBidi"/>
          <w:noProof/>
        </w:rPr>
      </w:pPr>
      <w:hyperlink w:anchor="_Toc149064079" w:history="1">
        <w:r w:rsidR="00A91C73" w:rsidRPr="00B1389E">
          <w:rPr>
            <w:rStyle w:val="Hyperlink"/>
            <w:noProof/>
          </w:rPr>
          <w:drawing>
            <wp:inline distT="0" distB="0" distL="0" distR="0" wp14:anchorId="72207E45" wp14:editId="63991B78">
              <wp:extent cx="156845" cy="156845"/>
              <wp:effectExtent l="0" t="0" r="0" b="0"/>
              <wp:docPr id="157" name="Picture 157" descr="Blood Availability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Blood Availability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A91C73" w:rsidRPr="00B1389E">
          <w:rPr>
            <w:rStyle w:val="Hyperlink"/>
            <w:noProof/>
          </w:rPr>
          <w:t xml:space="preserve"> Patient Blood Availability</w:t>
        </w:r>
        <w:r w:rsidR="00A91C73">
          <w:rPr>
            <w:noProof/>
            <w:webHidden/>
          </w:rPr>
          <w:tab/>
        </w:r>
        <w:r w:rsidR="00A91C73">
          <w:rPr>
            <w:noProof/>
            <w:webHidden/>
          </w:rPr>
          <w:fldChar w:fldCharType="begin"/>
        </w:r>
        <w:r w:rsidR="00A91C73">
          <w:rPr>
            <w:noProof/>
            <w:webHidden/>
          </w:rPr>
          <w:instrText xml:space="preserve"> PAGEREF _Toc149064079 \h </w:instrText>
        </w:r>
        <w:r w:rsidR="00A91C73">
          <w:rPr>
            <w:noProof/>
            <w:webHidden/>
          </w:rPr>
        </w:r>
        <w:r w:rsidR="00A91C73">
          <w:rPr>
            <w:noProof/>
            <w:webHidden/>
          </w:rPr>
          <w:fldChar w:fldCharType="separate"/>
        </w:r>
        <w:r w:rsidR="00ED2D38">
          <w:rPr>
            <w:noProof/>
            <w:webHidden/>
          </w:rPr>
          <w:t>35</w:t>
        </w:r>
        <w:r w:rsidR="00A91C73">
          <w:rPr>
            <w:noProof/>
            <w:webHidden/>
          </w:rPr>
          <w:fldChar w:fldCharType="end"/>
        </w:r>
      </w:hyperlink>
    </w:p>
    <w:p w14:paraId="22D601EA" w14:textId="7FB6CA1B" w:rsidR="00A91C73" w:rsidRDefault="00A53403">
      <w:pPr>
        <w:pStyle w:val="TOC3"/>
        <w:tabs>
          <w:tab w:val="right" w:leader="dot" w:pos="9350"/>
        </w:tabs>
        <w:rPr>
          <w:rFonts w:asciiTheme="minorHAnsi" w:eastAsiaTheme="minorEastAsia" w:hAnsiTheme="minorHAnsi" w:cstheme="minorBidi"/>
          <w:noProof/>
        </w:rPr>
      </w:pPr>
      <w:hyperlink w:anchor="_Toc149064080" w:history="1">
        <w:r w:rsidR="00A91C73" w:rsidRPr="00B1389E">
          <w:rPr>
            <w:rStyle w:val="Hyperlink"/>
            <w:noProof/>
          </w:rPr>
          <w:drawing>
            <wp:inline distT="0" distB="0" distL="0" distR="0" wp14:anchorId="03BFB4EC" wp14:editId="6C8C6B8B">
              <wp:extent cx="156845" cy="193675"/>
              <wp:effectExtent l="0" t="0" r="0" b="0"/>
              <wp:docPr id="158" name="Picture 158" descr="Medication Profi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Medication Profile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sidR="00A91C73" w:rsidRPr="00B1389E">
          <w:rPr>
            <w:rStyle w:val="Hyperlink"/>
            <w:noProof/>
          </w:rPr>
          <w:t xml:space="preserve"> Medication Profile</w:t>
        </w:r>
        <w:r w:rsidR="00A91C73">
          <w:rPr>
            <w:noProof/>
            <w:webHidden/>
          </w:rPr>
          <w:tab/>
        </w:r>
        <w:r w:rsidR="00A91C73">
          <w:rPr>
            <w:noProof/>
            <w:webHidden/>
          </w:rPr>
          <w:fldChar w:fldCharType="begin"/>
        </w:r>
        <w:r w:rsidR="00A91C73">
          <w:rPr>
            <w:noProof/>
            <w:webHidden/>
          </w:rPr>
          <w:instrText xml:space="preserve"> PAGEREF _Toc149064080 \h </w:instrText>
        </w:r>
        <w:r w:rsidR="00A91C73">
          <w:rPr>
            <w:noProof/>
            <w:webHidden/>
          </w:rPr>
        </w:r>
        <w:r w:rsidR="00A91C73">
          <w:rPr>
            <w:noProof/>
            <w:webHidden/>
          </w:rPr>
          <w:fldChar w:fldCharType="separate"/>
        </w:r>
        <w:r w:rsidR="00ED2D38">
          <w:rPr>
            <w:noProof/>
            <w:webHidden/>
          </w:rPr>
          <w:t>36</w:t>
        </w:r>
        <w:r w:rsidR="00A91C73">
          <w:rPr>
            <w:noProof/>
            <w:webHidden/>
          </w:rPr>
          <w:fldChar w:fldCharType="end"/>
        </w:r>
      </w:hyperlink>
    </w:p>
    <w:p w14:paraId="07142019" w14:textId="65DB8FC9" w:rsidR="00A91C73" w:rsidRDefault="00A53403">
      <w:pPr>
        <w:pStyle w:val="TOC3"/>
        <w:tabs>
          <w:tab w:val="right" w:leader="dot" w:pos="9350"/>
        </w:tabs>
        <w:rPr>
          <w:rFonts w:asciiTheme="minorHAnsi" w:eastAsiaTheme="minorEastAsia" w:hAnsiTheme="minorHAnsi" w:cstheme="minorBidi"/>
          <w:noProof/>
        </w:rPr>
      </w:pPr>
      <w:hyperlink w:anchor="_Toc149064081" w:history="1">
        <w:r w:rsidR="00A91C73" w:rsidRPr="00B1389E">
          <w:rPr>
            <w:rStyle w:val="Hyperlink"/>
            <w:noProof/>
          </w:rPr>
          <w:drawing>
            <wp:inline distT="0" distB="0" distL="0" distR="0" wp14:anchorId="62069AF8" wp14:editId="32741674">
              <wp:extent cx="156845" cy="156845"/>
              <wp:effectExtent l="0" t="0" r="0" b="0"/>
              <wp:docPr id="159" name="Picture 159"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A91C73" w:rsidRPr="00B1389E">
          <w:rPr>
            <w:rStyle w:val="Hyperlink"/>
            <w:noProof/>
          </w:rPr>
          <w:t xml:space="preserve"> View Special Instructions and Transfusion Requirements</w:t>
        </w:r>
        <w:r w:rsidR="00A91C73">
          <w:rPr>
            <w:noProof/>
            <w:webHidden/>
          </w:rPr>
          <w:tab/>
        </w:r>
        <w:r w:rsidR="00A91C73">
          <w:rPr>
            <w:noProof/>
            <w:webHidden/>
          </w:rPr>
          <w:fldChar w:fldCharType="begin"/>
        </w:r>
        <w:r w:rsidR="00A91C73">
          <w:rPr>
            <w:noProof/>
            <w:webHidden/>
          </w:rPr>
          <w:instrText xml:space="preserve"> PAGEREF _Toc149064081 \h </w:instrText>
        </w:r>
        <w:r w:rsidR="00A91C73">
          <w:rPr>
            <w:noProof/>
            <w:webHidden/>
          </w:rPr>
        </w:r>
        <w:r w:rsidR="00A91C73">
          <w:rPr>
            <w:noProof/>
            <w:webHidden/>
          </w:rPr>
          <w:fldChar w:fldCharType="separate"/>
        </w:r>
        <w:r w:rsidR="00ED2D38">
          <w:rPr>
            <w:noProof/>
            <w:webHidden/>
          </w:rPr>
          <w:t>37</w:t>
        </w:r>
        <w:r w:rsidR="00A91C73">
          <w:rPr>
            <w:noProof/>
            <w:webHidden/>
          </w:rPr>
          <w:fldChar w:fldCharType="end"/>
        </w:r>
      </w:hyperlink>
    </w:p>
    <w:p w14:paraId="2A201F1C" w14:textId="20DA62B4" w:rsidR="00A91C73" w:rsidRDefault="00A53403">
      <w:pPr>
        <w:pStyle w:val="TOC3"/>
        <w:tabs>
          <w:tab w:val="right" w:leader="dot" w:pos="9350"/>
        </w:tabs>
        <w:rPr>
          <w:rFonts w:asciiTheme="minorHAnsi" w:eastAsiaTheme="minorEastAsia" w:hAnsiTheme="minorHAnsi" w:cstheme="minorBidi"/>
          <w:noProof/>
        </w:rPr>
      </w:pPr>
      <w:hyperlink w:anchor="_Toc149064082" w:history="1">
        <w:r w:rsidR="00A91C73" w:rsidRPr="00B1389E">
          <w:rPr>
            <w:rStyle w:val="Hyperlink"/>
            <w:noProof/>
          </w:rPr>
          <w:t>View Recent Orders, Recent Transfusions/Issued Units, and Transfusion Reaction History</w:t>
        </w:r>
        <w:r w:rsidR="00A91C73">
          <w:rPr>
            <w:noProof/>
            <w:webHidden/>
          </w:rPr>
          <w:tab/>
        </w:r>
        <w:r w:rsidR="00A91C73">
          <w:rPr>
            <w:noProof/>
            <w:webHidden/>
          </w:rPr>
          <w:fldChar w:fldCharType="begin"/>
        </w:r>
        <w:r w:rsidR="00A91C73">
          <w:rPr>
            <w:noProof/>
            <w:webHidden/>
          </w:rPr>
          <w:instrText xml:space="preserve"> PAGEREF _Toc149064082 \h </w:instrText>
        </w:r>
        <w:r w:rsidR="00A91C73">
          <w:rPr>
            <w:noProof/>
            <w:webHidden/>
          </w:rPr>
        </w:r>
        <w:r w:rsidR="00A91C73">
          <w:rPr>
            <w:noProof/>
            <w:webHidden/>
          </w:rPr>
          <w:fldChar w:fldCharType="separate"/>
        </w:r>
        <w:r w:rsidR="00ED2D38">
          <w:rPr>
            <w:noProof/>
            <w:webHidden/>
          </w:rPr>
          <w:t>39</w:t>
        </w:r>
        <w:r w:rsidR="00A91C73">
          <w:rPr>
            <w:noProof/>
            <w:webHidden/>
          </w:rPr>
          <w:fldChar w:fldCharType="end"/>
        </w:r>
      </w:hyperlink>
    </w:p>
    <w:p w14:paraId="2D5643F6" w14:textId="02E48250" w:rsidR="00A91C73" w:rsidRDefault="00A53403">
      <w:pPr>
        <w:pStyle w:val="TOC3"/>
        <w:tabs>
          <w:tab w:val="right" w:leader="dot" w:pos="9350"/>
        </w:tabs>
        <w:rPr>
          <w:rFonts w:asciiTheme="minorHAnsi" w:eastAsiaTheme="minorEastAsia" w:hAnsiTheme="minorHAnsi" w:cstheme="minorBidi"/>
          <w:noProof/>
        </w:rPr>
      </w:pPr>
      <w:hyperlink w:anchor="_Toc149064083" w:history="1">
        <w:r w:rsidR="00A91C73" w:rsidRPr="00B1389E">
          <w:rPr>
            <w:rStyle w:val="Hyperlink"/>
            <w:noProof/>
          </w:rPr>
          <w:drawing>
            <wp:inline distT="0" distB="0" distL="0" distR="0" wp14:anchorId="2A8E2B5F" wp14:editId="2B229D13">
              <wp:extent cx="156845" cy="156845"/>
              <wp:effectExtent l="0" t="0" r="0" b="0"/>
              <wp:docPr id="226" name="Picture 226" descr="Recent Ord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Recent Orders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A91C73" w:rsidRPr="00B1389E">
          <w:rPr>
            <w:rStyle w:val="Hyperlink"/>
            <w:noProof/>
          </w:rPr>
          <w:t xml:space="preserve"> Patient Information Toolbar: Recent Orders</w:t>
        </w:r>
        <w:r w:rsidR="00A91C73">
          <w:rPr>
            <w:noProof/>
            <w:webHidden/>
          </w:rPr>
          <w:tab/>
        </w:r>
        <w:r w:rsidR="00A91C73">
          <w:rPr>
            <w:noProof/>
            <w:webHidden/>
          </w:rPr>
          <w:fldChar w:fldCharType="begin"/>
        </w:r>
        <w:r w:rsidR="00A91C73">
          <w:rPr>
            <w:noProof/>
            <w:webHidden/>
          </w:rPr>
          <w:instrText xml:space="preserve"> PAGEREF _Toc149064083 \h </w:instrText>
        </w:r>
        <w:r w:rsidR="00A91C73">
          <w:rPr>
            <w:noProof/>
            <w:webHidden/>
          </w:rPr>
        </w:r>
        <w:r w:rsidR="00A91C73">
          <w:rPr>
            <w:noProof/>
            <w:webHidden/>
          </w:rPr>
          <w:fldChar w:fldCharType="separate"/>
        </w:r>
        <w:r w:rsidR="00ED2D38">
          <w:rPr>
            <w:noProof/>
            <w:webHidden/>
          </w:rPr>
          <w:t>39</w:t>
        </w:r>
        <w:r w:rsidR="00A91C73">
          <w:rPr>
            <w:noProof/>
            <w:webHidden/>
          </w:rPr>
          <w:fldChar w:fldCharType="end"/>
        </w:r>
      </w:hyperlink>
    </w:p>
    <w:p w14:paraId="6179FAD6" w14:textId="131C5324" w:rsidR="00A91C73" w:rsidRDefault="00A53403">
      <w:pPr>
        <w:pStyle w:val="TOC3"/>
        <w:tabs>
          <w:tab w:val="right" w:leader="dot" w:pos="9350"/>
        </w:tabs>
        <w:rPr>
          <w:rFonts w:asciiTheme="minorHAnsi" w:eastAsiaTheme="minorEastAsia" w:hAnsiTheme="minorHAnsi" w:cstheme="minorBidi"/>
          <w:noProof/>
        </w:rPr>
      </w:pPr>
      <w:hyperlink w:anchor="_Toc149064084" w:history="1">
        <w:r w:rsidR="00A91C73" w:rsidRPr="00B1389E">
          <w:rPr>
            <w:rStyle w:val="Hyperlink"/>
            <w:noProof/>
          </w:rPr>
          <w:drawing>
            <wp:inline distT="0" distB="0" distL="0" distR="0" wp14:anchorId="69F0B944" wp14:editId="53005DF6">
              <wp:extent cx="156845" cy="156845"/>
              <wp:effectExtent l="0" t="0" r="0" b="0"/>
              <wp:docPr id="244" name="Picture 244" descr="Recent Transfusions/Issued Uni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Recent Transfusions/Issued Units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A91C73" w:rsidRPr="00B1389E">
          <w:rPr>
            <w:rStyle w:val="Hyperlink"/>
            <w:noProof/>
          </w:rPr>
          <w:t xml:space="preserve"> Patient Information Toolbar: Recent Transfusions/Issued Units</w:t>
        </w:r>
        <w:r w:rsidR="00A91C73">
          <w:rPr>
            <w:noProof/>
            <w:webHidden/>
          </w:rPr>
          <w:tab/>
        </w:r>
        <w:r w:rsidR="00A91C73">
          <w:rPr>
            <w:noProof/>
            <w:webHidden/>
          </w:rPr>
          <w:fldChar w:fldCharType="begin"/>
        </w:r>
        <w:r w:rsidR="00A91C73">
          <w:rPr>
            <w:noProof/>
            <w:webHidden/>
          </w:rPr>
          <w:instrText xml:space="preserve"> PAGEREF _Toc149064084 \h </w:instrText>
        </w:r>
        <w:r w:rsidR="00A91C73">
          <w:rPr>
            <w:noProof/>
            <w:webHidden/>
          </w:rPr>
        </w:r>
        <w:r w:rsidR="00A91C73">
          <w:rPr>
            <w:noProof/>
            <w:webHidden/>
          </w:rPr>
          <w:fldChar w:fldCharType="separate"/>
        </w:r>
        <w:r w:rsidR="00ED2D38">
          <w:rPr>
            <w:noProof/>
            <w:webHidden/>
          </w:rPr>
          <w:t>40</w:t>
        </w:r>
        <w:r w:rsidR="00A91C73">
          <w:rPr>
            <w:noProof/>
            <w:webHidden/>
          </w:rPr>
          <w:fldChar w:fldCharType="end"/>
        </w:r>
      </w:hyperlink>
    </w:p>
    <w:p w14:paraId="1F98CA5C" w14:textId="77AF1D6B" w:rsidR="00A91C73" w:rsidRDefault="00A53403">
      <w:pPr>
        <w:pStyle w:val="TOC3"/>
        <w:tabs>
          <w:tab w:val="right" w:leader="dot" w:pos="9350"/>
        </w:tabs>
        <w:rPr>
          <w:rFonts w:asciiTheme="minorHAnsi" w:eastAsiaTheme="minorEastAsia" w:hAnsiTheme="minorHAnsi" w:cstheme="minorBidi"/>
          <w:noProof/>
        </w:rPr>
      </w:pPr>
      <w:hyperlink w:anchor="_Toc149064085" w:history="1">
        <w:r w:rsidR="00A91C73" w:rsidRPr="00B1389E">
          <w:rPr>
            <w:rStyle w:val="Hyperlink"/>
            <w:noProof/>
          </w:rPr>
          <w:drawing>
            <wp:inline distT="0" distB="0" distL="0" distR="0" wp14:anchorId="502194A9" wp14:editId="3350FF9F">
              <wp:extent cx="156845" cy="156845"/>
              <wp:effectExtent l="0" t="0" r="0" b="0"/>
              <wp:docPr id="245" name="Picture 245" descr="Transfusion Reaction Histo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ransfusion Reaction History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A91C73" w:rsidRPr="00B1389E">
          <w:rPr>
            <w:rStyle w:val="Hyperlink"/>
            <w:noProof/>
          </w:rPr>
          <w:t xml:space="preserve"> Patient Information Toolbar: Transfusion Reaction History</w:t>
        </w:r>
        <w:r w:rsidR="00A91C73">
          <w:rPr>
            <w:noProof/>
            <w:webHidden/>
          </w:rPr>
          <w:tab/>
        </w:r>
        <w:r w:rsidR="00A91C73">
          <w:rPr>
            <w:noProof/>
            <w:webHidden/>
          </w:rPr>
          <w:fldChar w:fldCharType="begin"/>
        </w:r>
        <w:r w:rsidR="00A91C73">
          <w:rPr>
            <w:noProof/>
            <w:webHidden/>
          </w:rPr>
          <w:instrText xml:space="preserve"> PAGEREF _Toc149064085 \h </w:instrText>
        </w:r>
        <w:r w:rsidR="00A91C73">
          <w:rPr>
            <w:noProof/>
            <w:webHidden/>
          </w:rPr>
        </w:r>
        <w:r w:rsidR="00A91C73">
          <w:rPr>
            <w:noProof/>
            <w:webHidden/>
          </w:rPr>
          <w:fldChar w:fldCharType="separate"/>
        </w:r>
        <w:r w:rsidR="00ED2D38">
          <w:rPr>
            <w:noProof/>
            <w:webHidden/>
          </w:rPr>
          <w:t>40</w:t>
        </w:r>
        <w:r w:rsidR="00A91C73">
          <w:rPr>
            <w:noProof/>
            <w:webHidden/>
          </w:rPr>
          <w:fldChar w:fldCharType="end"/>
        </w:r>
      </w:hyperlink>
    </w:p>
    <w:p w14:paraId="4397E8B7" w14:textId="2796978D" w:rsidR="00A91C73" w:rsidRDefault="00A53403">
      <w:pPr>
        <w:pStyle w:val="TOC3"/>
        <w:tabs>
          <w:tab w:val="right" w:leader="dot" w:pos="9350"/>
        </w:tabs>
        <w:rPr>
          <w:rFonts w:asciiTheme="minorHAnsi" w:eastAsiaTheme="minorEastAsia" w:hAnsiTheme="minorHAnsi" w:cstheme="minorBidi"/>
          <w:noProof/>
        </w:rPr>
      </w:pPr>
      <w:hyperlink w:anchor="_Toc149064086" w:history="1">
        <w:r w:rsidR="00A91C73" w:rsidRPr="00B1389E">
          <w:rPr>
            <w:rStyle w:val="Hyperlink"/>
            <w:noProof/>
          </w:rPr>
          <w:t>Main Status Bar</w:t>
        </w:r>
        <w:r w:rsidR="00A91C73">
          <w:rPr>
            <w:noProof/>
            <w:webHidden/>
          </w:rPr>
          <w:tab/>
        </w:r>
        <w:r w:rsidR="00A91C73">
          <w:rPr>
            <w:noProof/>
            <w:webHidden/>
          </w:rPr>
          <w:fldChar w:fldCharType="begin"/>
        </w:r>
        <w:r w:rsidR="00A91C73">
          <w:rPr>
            <w:noProof/>
            <w:webHidden/>
          </w:rPr>
          <w:instrText xml:space="preserve"> PAGEREF _Toc149064086 \h </w:instrText>
        </w:r>
        <w:r w:rsidR="00A91C73">
          <w:rPr>
            <w:noProof/>
            <w:webHidden/>
          </w:rPr>
        </w:r>
        <w:r w:rsidR="00A91C73">
          <w:rPr>
            <w:noProof/>
            <w:webHidden/>
          </w:rPr>
          <w:fldChar w:fldCharType="separate"/>
        </w:r>
        <w:r w:rsidR="00ED2D38">
          <w:rPr>
            <w:noProof/>
            <w:webHidden/>
          </w:rPr>
          <w:t>41</w:t>
        </w:r>
        <w:r w:rsidR="00A91C73">
          <w:rPr>
            <w:noProof/>
            <w:webHidden/>
          </w:rPr>
          <w:fldChar w:fldCharType="end"/>
        </w:r>
      </w:hyperlink>
    </w:p>
    <w:p w14:paraId="35C77E49" w14:textId="6A44B94E" w:rsidR="00A91C73" w:rsidRDefault="00A53403">
      <w:pPr>
        <w:pStyle w:val="TOC3"/>
        <w:tabs>
          <w:tab w:val="right" w:leader="dot" w:pos="9350"/>
        </w:tabs>
        <w:rPr>
          <w:rFonts w:asciiTheme="minorHAnsi" w:eastAsiaTheme="minorEastAsia" w:hAnsiTheme="minorHAnsi" w:cstheme="minorBidi"/>
          <w:noProof/>
        </w:rPr>
      </w:pPr>
      <w:hyperlink w:anchor="_Toc149064087" w:history="1">
        <w:r w:rsidR="00A91C73" w:rsidRPr="00B1389E">
          <w:rPr>
            <w:rStyle w:val="Hyperlink"/>
            <w:noProof/>
          </w:rPr>
          <w:t>Throughout VBECS</w:t>
        </w:r>
        <w:r w:rsidR="00A91C73">
          <w:rPr>
            <w:noProof/>
            <w:webHidden/>
          </w:rPr>
          <w:tab/>
        </w:r>
        <w:r w:rsidR="00A91C73">
          <w:rPr>
            <w:noProof/>
            <w:webHidden/>
          </w:rPr>
          <w:fldChar w:fldCharType="begin"/>
        </w:r>
        <w:r w:rsidR="00A91C73">
          <w:rPr>
            <w:noProof/>
            <w:webHidden/>
          </w:rPr>
          <w:instrText xml:space="preserve"> PAGEREF _Toc149064087 \h </w:instrText>
        </w:r>
        <w:r w:rsidR="00A91C73">
          <w:rPr>
            <w:noProof/>
            <w:webHidden/>
          </w:rPr>
        </w:r>
        <w:r w:rsidR="00A91C73">
          <w:rPr>
            <w:noProof/>
            <w:webHidden/>
          </w:rPr>
          <w:fldChar w:fldCharType="separate"/>
        </w:r>
        <w:r w:rsidR="00ED2D38">
          <w:rPr>
            <w:noProof/>
            <w:webHidden/>
          </w:rPr>
          <w:t>41</w:t>
        </w:r>
        <w:r w:rsidR="00A91C73">
          <w:rPr>
            <w:noProof/>
            <w:webHidden/>
          </w:rPr>
          <w:fldChar w:fldCharType="end"/>
        </w:r>
      </w:hyperlink>
    </w:p>
    <w:p w14:paraId="41448D23" w14:textId="4F4B21BF" w:rsidR="00A91C73" w:rsidRDefault="00A53403">
      <w:pPr>
        <w:pStyle w:val="TOC2"/>
        <w:tabs>
          <w:tab w:val="right" w:leader="dot" w:pos="9350"/>
        </w:tabs>
        <w:rPr>
          <w:rFonts w:asciiTheme="minorHAnsi" w:eastAsiaTheme="minorEastAsia" w:hAnsiTheme="minorHAnsi" w:cstheme="minorBidi"/>
          <w:smallCaps w:val="0"/>
          <w:noProof/>
        </w:rPr>
      </w:pPr>
      <w:hyperlink w:anchor="_Toc149064088" w:history="1">
        <w:r w:rsidR="00A91C73" w:rsidRPr="00B1389E">
          <w:rPr>
            <w:rStyle w:val="Hyperlink"/>
            <w:noProof/>
          </w:rPr>
          <w:t>Other VBECS Functions</w:t>
        </w:r>
        <w:r w:rsidR="00A91C73">
          <w:rPr>
            <w:noProof/>
            <w:webHidden/>
          </w:rPr>
          <w:tab/>
        </w:r>
        <w:r w:rsidR="00A91C73">
          <w:rPr>
            <w:noProof/>
            <w:webHidden/>
          </w:rPr>
          <w:fldChar w:fldCharType="begin"/>
        </w:r>
        <w:r w:rsidR="00A91C73">
          <w:rPr>
            <w:noProof/>
            <w:webHidden/>
          </w:rPr>
          <w:instrText xml:space="preserve"> PAGEREF _Toc149064088 \h </w:instrText>
        </w:r>
        <w:r w:rsidR="00A91C73">
          <w:rPr>
            <w:noProof/>
            <w:webHidden/>
          </w:rPr>
        </w:r>
        <w:r w:rsidR="00A91C73">
          <w:rPr>
            <w:noProof/>
            <w:webHidden/>
          </w:rPr>
          <w:fldChar w:fldCharType="separate"/>
        </w:r>
        <w:r w:rsidR="00ED2D38">
          <w:rPr>
            <w:noProof/>
            <w:webHidden/>
          </w:rPr>
          <w:t>42</w:t>
        </w:r>
        <w:r w:rsidR="00A91C73">
          <w:rPr>
            <w:noProof/>
            <w:webHidden/>
          </w:rPr>
          <w:fldChar w:fldCharType="end"/>
        </w:r>
      </w:hyperlink>
    </w:p>
    <w:p w14:paraId="7DE750A7" w14:textId="79CF7CBB" w:rsidR="00A91C73" w:rsidRDefault="00A53403">
      <w:pPr>
        <w:pStyle w:val="TOC3"/>
        <w:tabs>
          <w:tab w:val="right" w:leader="dot" w:pos="9350"/>
        </w:tabs>
        <w:rPr>
          <w:rFonts w:asciiTheme="minorHAnsi" w:eastAsiaTheme="minorEastAsia" w:hAnsiTheme="minorHAnsi" w:cstheme="minorBidi"/>
          <w:noProof/>
        </w:rPr>
      </w:pPr>
      <w:hyperlink w:anchor="_Toc149064089" w:history="1">
        <w:r w:rsidR="00A91C73" w:rsidRPr="00B1389E">
          <w:rPr>
            <w:rStyle w:val="Hyperlink"/>
            <w:noProof/>
          </w:rPr>
          <w:t>Collecting Workload</w:t>
        </w:r>
        <w:r w:rsidR="00A91C73">
          <w:rPr>
            <w:noProof/>
            <w:webHidden/>
          </w:rPr>
          <w:tab/>
        </w:r>
        <w:r w:rsidR="00A91C73">
          <w:rPr>
            <w:noProof/>
            <w:webHidden/>
          </w:rPr>
          <w:fldChar w:fldCharType="begin"/>
        </w:r>
        <w:r w:rsidR="00A91C73">
          <w:rPr>
            <w:noProof/>
            <w:webHidden/>
          </w:rPr>
          <w:instrText xml:space="preserve"> PAGEREF _Toc149064089 \h </w:instrText>
        </w:r>
        <w:r w:rsidR="00A91C73">
          <w:rPr>
            <w:noProof/>
            <w:webHidden/>
          </w:rPr>
        </w:r>
        <w:r w:rsidR="00A91C73">
          <w:rPr>
            <w:noProof/>
            <w:webHidden/>
          </w:rPr>
          <w:fldChar w:fldCharType="separate"/>
        </w:r>
        <w:r w:rsidR="00ED2D38">
          <w:rPr>
            <w:noProof/>
            <w:webHidden/>
          </w:rPr>
          <w:t>42</w:t>
        </w:r>
        <w:r w:rsidR="00A91C73">
          <w:rPr>
            <w:noProof/>
            <w:webHidden/>
          </w:rPr>
          <w:fldChar w:fldCharType="end"/>
        </w:r>
      </w:hyperlink>
    </w:p>
    <w:p w14:paraId="2E0E07D0" w14:textId="645A9104" w:rsidR="00A91C73" w:rsidRDefault="00A53403">
      <w:pPr>
        <w:pStyle w:val="TOC1"/>
        <w:tabs>
          <w:tab w:val="right" w:leader="dot" w:pos="9350"/>
        </w:tabs>
        <w:rPr>
          <w:rFonts w:asciiTheme="minorHAnsi" w:eastAsiaTheme="minorEastAsia" w:hAnsiTheme="minorHAnsi" w:cstheme="minorBidi"/>
          <w:b w:val="0"/>
          <w:caps w:val="0"/>
          <w:noProof/>
        </w:rPr>
      </w:pPr>
      <w:hyperlink w:anchor="_Toc149064090" w:history="1">
        <w:r w:rsidR="00A91C73" w:rsidRPr="00B1389E">
          <w:rPr>
            <w:rStyle w:val="Hyperlink"/>
            <w:noProof/>
          </w:rPr>
          <w:t>Configuring Site Parameters</w:t>
        </w:r>
        <w:r w:rsidR="00A91C73">
          <w:rPr>
            <w:noProof/>
            <w:webHidden/>
          </w:rPr>
          <w:tab/>
        </w:r>
        <w:r w:rsidR="00A91C73">
          <w:rPr>
            <w:noProof/>
            <w:webHidden/>
          </w:rPr>
          <w:fldChar w:fldCharType="begin"/>
        </w:r>
        <w:r w:rsidR="00A91C73">
          <w:rPr>
            <w:noProof/>
            <w:webHidden/>
          </w:rPr>
          <w:instrText xml:space="preserve"> PAGEREF _Toc149064090 \h </w:instrText>
        </w:r>
        <w:r w:rsidR="00A91C73">
          <w:rPr>
            <w:noProof/>
            <w:webHidden/>
          </w:rPr>
        </w:r>
        <w:r w:rsidR="00A91C73">
          <w:rPr>
            <w:noProof/>
            <w:webHidden/>
          </w:rPr>
          <w:fldChar w:fldCharType="separate"/>
        </w:r>
        <w:r w:rsidR="00ED2D38">
          <w:rPr>
            <w:noProof/>
            <w:webHidden/>
          </w:rPr>
          <w:t>43</w:t>
        </w:r>
        <w:r w:rsidR="00A91C73">
          <w:rPr>
            <w:noProof/>
            <w:webHidden/>
          </w:rPr>
          <w:fldChar w:fldCharType="end"/>
        </w:r>
      </w:hyperlink>
    </w:p>
    <w:p w14:paraId="6B4E74D3" w14:textId="49BC1ACD" w:rsidR="00A91C73" w:rsidRDefault="00A53403">
      <w:pPr>
        <w:pStyle w:val="TOC2"/>
        <w:tabs>
          <w:tab w:val="right" w:leader="dot" w:pos="9350"/>
        </w:tabs>
        <w:rPr>
          <w:rFonts w:asciiTheme="minorHAnsi" w:eastAsiaTheme="minorEastAsia" w:hAnsiTheme="minorHAnsi" w:cstheme="minorBidi"/>
          <w:smallCaps w:val="0"/>
          <w:noProof/>
        </w:rPr>
      </w:pPr>
      <w:hyperlink w:anchor="_Toc149064091" w:history="1">
        <w:r w:rsidR="00A91C73" w:rsidRPr="00B1389E">
          <w:rPr>
            <w:rStyle w:val="Hyperlink"/>
            <w:noProof/>
          </w:rPr>
          <w:t>Update User Roles</w:t>
        </w:r>
        <w:r w:rsidR="00A91C73">
          <w:rPr>
            <w:noProof/>
            <w:webHidden/>
          </w:rPr>
          <w:tab/>
        </w:r>
        <w:r w:rsidR="00A91C73">
          <w:rPr>
            <w:noProof/>
            <w:webHidden/>
          </w:rPr>
          <w:fldChar w:fldCharType="begin"/>
        </w:r>
        <w:r w:rsidR="00A91C73">
          <w:rPr>
            <w:noProof/>
            <w:webHidden/>
          </w:rPr>
          <w:instrText xml:space="preserve"> PAGEREF _Toc149064091 \h </w:instrText>
        </w:r>
        <w:r w:rsidR="00A91C73">
          <w:rPr>
            <w:noProof/>
            <w:webHidden/>
          </w:rPr>
        </w:r>
        <w:r w:rsidR="00A91C73">
          <w:rPr>
            <w:noProof/>
            <w:webHidden/>
          </w:rPr>
          <w:fldChar w:fldCharType="separate"/>
        </w:r>
        <w:r w:rsidR="00ED2D38">
          <w:rPr>
            <w:noProof/>
            <w:webHidden/>
          </w:rPr>
          <w:t>43</w:t>
        </w:r>
        <w:r w:rsidR="00A91C73">
          <w:rPr>
            <w:noProof/>
            <w:webHidden/>
          </w:rPr>
          <w:fldChar w:fldCharType="end"/>
        </w:r>
      </w:hyperlink>
    </w:p>
    <w:p w14:paraId="3BE4C0AF" w14:textId="19BDC23F" w:rsidR="00A91C73" w:rsidRDefault="00A53403">
      <w:pPr>
        <w:pStyle w:val="TOC2"/>
        <w:tabs>
          <w:tab w:val="right" w:leader="dot" w:pos="9350"/>
        </w:tabs>
        <w:rPr>
          <w:rFonts w:asciiTheme="minorHAnsi" w:eastAsiaTheme="minorEastAsia" w:hAnsiTheme="minorHAnsi" w:cstheme="minorBidi"/>
          <w:smallCaps w:val="0"/>
          <w:noProof/>
        </w:rPr>
      </w:pPr>
      <w:hyperlink w:anchor="_Toc149064092" w:history="1">
        <w:r w:rsidR="00A91C73" w:rsidRPr="00B1389E">
          <w:rPr>
            <w:rStyle w:val="Hyperlink"/>
            <w:noProof/>
          </w:rPr>
          <w:t>Component Classes</w:t>
        </w:r>
        <w:r w:rsidR="00A91C73">
          <w:rPr>
            <w:noProof/>
            <w:webHidden/>
          </w:rPr>
          <w:tab/>
        </w:r>
        <w:r w:rsidR="00A91C73">
          <w:rPr>
            <w:noProof/>
            <w:webHidden/>
          </w:rPr>
          <w:fldChar w:fldCharType="begin"/>
        </w:r>
        <w:r w:rsidR="00A91C73">
          <w:rPr>
            <w:noProof/>
            <w:webHidden/>
          </w:rPr>
          <w:instrText xml:space="preserve"> PAGEREF _Toc149064092 \h </w:instrText>
        </w:r>
        <w:r w:rsidR="00A91C73">
          <w:rPr>
            <w:noProof/>
            <w:webHidden/>
          </w:rPr>
        </w:r>
        <w:r w:rsidR="00A91C73">
          <w:rPr>
            <w:noProof/>
            <w:webHidden/>
          </w:rPr>
          <w:fldChar w:fldCharType="separate"/>
        </w:r>
        <w:r w:rsidR="00ED2D38">
          <w:rPr>
            <w:noProof/>
            <w:webHidden/>
          </w:rPr>
          <w:t>46</w:t>
        </w:r>
        <w:r w:rsidR="00A91C73">
          <w:rPr>
            <w:noProof/>
            <w:webHidden/>
          </w:rPr>
          <w:fldChar w:fldCharType="end"/>
        </w:r>
      </w:hyperlink>
    </w:p>
    <w:p w14:paraId="51C0C121" w14:textId="4A2D8B01" w:rsidR="00A91C73" w:rsidRDefault="00A53403">
      <w:pPr>
        <w:pStyle w:val="TOC2"/>
        <w:tabs>
          <w:tab w:val="right" w:leader="dot" w:pos="9350"/>
        </w:tabs>
        <w:rPr>
          <w:rFonts w:asciiTheme="minorHAnsi" w:eastAsiaTheme="minorEastAsia" w:hAnsiTheme="minorHAnsi" w:cstheme="minorBidi"/>
          <w:smallCaps w:val="0"/>
          <w:noProof/>
        </w:rPr>
      </w:pPr>
      <w:hyperlink w:anchor="_Toc149064093" w:history="1">
        <w:r w:rsidR="00A91C73" w:rsidRPr="00B1389E">
          <w:rPr>
            <w:rStyle w:val="Hyperlink"/>
            <w:noProof/>
          </w:rPr>
          <w:t>Configure Daily QC</w:t>
        </w:r>
        <w:r w:rsidR="00A91C73">
          <w:rPr>
            <w:noProof/>
            <w:webHidden/>
          </w:rPr>
          <w:tab/>
        </w:r>
        <w:r w:rsidR="00A91C73">
          <w:rPr>
            <w:noProof/>
            <w:webHidden/>
          </w:rPr>
          <w:fldChar w:fldCharType="begin"/>
        </w:r>
        <w:r w:rsidR="00A91C73">
          <w:rPr>
            <w:noProof/>
            <w:webHidden/>
          </w:rPr>
          <w:instrText xml:space="preserve"> PAGEREF _Toc149064093 \h </w:instrText>
        </w:r>
        <w:r w:rsidR="00A91C73">
          <w:rPr>
            <w:noProof/>
            <w:webHidden/>
          </w:rPr>
        </w:r>
        <w:r w:rsidR="00A91C73">
          <w:rPr>
            <w:noProof/>
            <w:webHidden/>
          </w:rPr>
          <w:fldChar w:fldCharType="separate"/>
        </w:r>
        <w:r w:rsidR="00ED2D38">
          <w:rPr>
            <w:noProof/>
            <w:webHidden/>
          </w:rPr>
          <w:t>49</w:t>
        </w:r>
        <w:r w:rsidR="00A91C73">
          <w:rPr>
            <w:noProof/>
            <w:webHidden/>
          </w:rPr>
          <w:fldChar w:fldCharType="end"/>
        </w:r>
      </w:hyperlink>
    </w:p>
    <w:p w14:paraId="6ABDFABC" w14:textId="7139E806" w:rsidR="00A91C73" w:rsidRDefault="00A53403">
      <w:pPr>
        <w:pStyle w:val="TOC2"/>
        <w:tabs>
          <w:tab w:val="right" w:leader="dot" w:pos="9350"/>
        </w:tabs>
        <w:rPr>
          <w:rFonts w:asciiTheme="minorHAnsi" w:eastAsiaTheme="minorEastAsia" w:hAnsiTheme="minorHAnsi" w:cstheme="minorBidi"/>
          <w:smallCaps w:val="0"/>
          <w:noProof/>
        </w:rPr>
      </w:pPr>
      <w:hyperlink w:anchor="_Toc149064094" w:history="1">
        <w:r w:rsidR="00A91C73" w:rsidRPr="00B1389E">
          <w:rPr>
            <w:rStyle w:val="Hyperlink"/>
            <w:noProof/>
          </w:rPr>
          <w:t>Configure Division</w:t>
        </w:r>
        <w:r w:rsidR="00A91C73">
          <w:rPr>
            <w:noProof/>
            <w:webHidden/>
          </w:rPr>
          <w:tab/>
        </w:r>
        <w:r w:rsidR="00A91C73">
          <w:rPr>
            <w:noProof/>
            <w:webHidden/>
          </w:rPr>
          <w:fldChar w:fldCharType="begin"/>
        </w:r>
        <w:r w:rsidR="00A91C73">
          <w:rPr>
            <w:noProof/>
            <w:webHidden/>
          </w:rPr>
          <w:instrText xml:space="preserve"> PAGEREF _Toc149064094 \h </w:instrText>
        </w:r>
        <w:r w:rsidR="00A91C73">
          <w:rPr>
            <w:noProof/>
            <w:webHidden/>
          </w:rPr>
        </w:r>
        <w:r w:rsidR="00A91C73">
          <w:rPr>
            <w:noProof/>
            <w:webHidden/>
          </w:rPr>
          <w:fldChar w:fldCharType="separate"/>
        </w:r>
        <w:r w:rsidR="00ED2D38">
          <w:rPr>
            <w:noProof/>
            <w:webHidden/>
          </w:rPr>
          <w:t>52</w:t>
        </w:r>
        <w:r w:rsidR="00A91C73">
          <w:rPr>
            <w:noProof/>
            <w:webHidden/>
          </w:rPr>
          <w:fldChar w:fldCharType="end"/>
        </w:r>
      </w:hyperlink>
    </w:p>
    <w:p w14:paraId="1548DFC8" w14:textId="3ACF5C98" w:rsidR="00A91C73" w:rsidRDefault="00A53403">
      <w:pPr>
        <w:pStyle w:val="TOC3"/>
        <w:tabs>
          <w:tab w:val="right" w:leader="dot" w:pos="9350"/>
        </w:tabs>
        <w:rPr>
          <w:rFonts w:asciiTheme="minorHAnsi" w:eastAsiaTheme="minorEastAsia" w:hAnsiTheme="minorHAnsi" w:cstheme="minorBidi"/>
          <w:noProof/>
        </w:rPr>
      </w:pPr>
      <w:hyperlink w:anchor="_Toc149064095" w:history="1">
        <w:r w:rsidR="00A91C73" w:rsidRPr="00B1389E">
          <w:rPr>
            <w:rStyle w:val="Hyperlink"/>
            <w:noProof/>
          </w:rPr>
          <w:t>Configure Division</w:t>
        </w:r>
        <w:r w:rsidR="00A91C73">
          <w:rPr>
            <w:noProof/>
            <w:webHidden/>
          </w:rPr>
          <w:tab/>
        </w:r>
        <w:r w:rsidR="00A91C73">
          <w:rPr>
            <w:noProof/>
            <w:webHidden/>
          </w:rPr>
          <w:fldChar w:fldCharType="begin"/>
        </w:r>
        <w:r w:rsidR="00A91C73">
          <w:rPr>
            <w:noProof/>
            <w:webHidden/>
          </w:rPr>
          <w:instrText xml:space="preserve"> PAGEREF _Toc149064095 \h </w:instrText>
        </w:r>
        <w:r w:rsidR="00A91C73">
          <w:rPr>
            <w:noProof/>
            <w:webHidden/>
          </w:rPr>
        </w:r>
        <w:r w:rsidR="00A91C73">
          <w:rPr>
            <w:noProof/>
            <w:webHidden/>
          </w:rPr>
          <w:fldChar w:fldCharType="separate"/>
        </w:r>
        <w:r w:rsidR="00ED2D38">
          <w:rPr>
            <w:noProof/>
            <w:webHidden/>
          </w:rPr>
          <w:t>52</w:t>
        </w:r>
        <w:r w:rsidR="00A91C73">
          <w:rPr>
            <w:noProof/>
            <w:webHidden/>
          </w:rPr>
          <w:fldChar w:fldCharType="end"/>
        </w:r>
      </w:hyperlink>
    </w:p>
    <w:p w14:paraId="27BDBB32" w14:textId="293FE303" w:rsidR="00A91C73" w:rsidRDefault="00A53403">
      <w:pPr>
        <w:pStyle w:val="TOC3"/>
        <w:tabs>
          <w:tab w:val="right" w:leader="dot" w:pos="9350"/>
        </w:tabs>
        <w:rPr>
          <w:rFonts w:asciiTheme="minorHAnsi" w:eastAsiaTheme="minorEastAsia" w:hAnsiTheme="minorHAnsi" w:cstheme="minorBidi"/>
          <w:noProof/>
        </w:rPr>
      </w:pPr>
      <w:hyperlink w:anchor="_Toc149064096" w:history="1">
        <w:r w:rsidR="00A91C73" w:rsidRPr="00B1389E">
          <w:rPr>
            <w:rStyle w:val="Hyperlink"/>
            <w:noProof/>
          </w:rPr>
          <w:t>Configure Testing</w:t>
        </w:r>
        <w:r w:rsidR="00A91C73">
          <w:rPr>
            <w:noProof/>
            <w:webHidden/>
          </w:rPr>
          <w:tab/>
        </w:r>
        <w:r w:rsidR="00A91C73">
          <w:rPr>
            <w:noProof/>
            <w:webHidden/>
          </w:rPr>
          <w:fldChar w:fldCharType="begin"/>
        </w:r>
        <w:r w:rsidR="00A91C73">
          <w:rPr>
            <w:noProof/>
            <w:webHidden/>
          </w:rPr>
          <w:instrText xml:space="preserve"> PAGEREF _Toc149064096 \h </w:instrText>
        </w:r>
        <w:r w:rsidR="00A91C73">
          <w:rPr>
            <w:noProof/>
            <w:webHidden/>
          </w:rPr>
        </w:r>
        <w:r w:rsidR="00A91C73">
          <w:rPr>
            <w:noProof/>
            <w:webHidden/>
          </w:rPr>
          <w:fldChar w:fldCharType="separate"/>
        </w:r>
        <w:r w:rsidR="00ED2D38">
          <w:rPr>
            <w:noProof/>
            <w:webHidden/>
          </w:rPr>
          <w:t>54</w:t>
        </w:r>
        <w:r w:rsidR="00A91C73">
          <w:rPr>
            <w:noProof/>
            <w:webHidden/>
          </w:rPr>
          <w:fldChar w:fldCharType="end"/>
        </w:r>
      </w:hyperlink>
    </w:p>
    <w:p w14:paraId="34C34834" w14:textId="4DC3700B" w:rsidR="00A91C73" w:rsidRDefault="00A53403">
      <w:pPr>
        <w:pStyle w:val="TOC3"/>
        <w:tabs>
          <w:tab w:val="right" w:leader="dot" w:pos="9350"/>
        </w:tabs>
        <w:rPr>
          <w:rFonts w:asciiTheme="minorHAnsi" w:eastAsiaTheme="minorEastAsia" w:hAnsiTheme="minorHAnsi" w:cstheme="minorBidi"/>
          <w:noProof/>
        </w:rPr>
      </w:pPr>
      <w:hyperlink w:anchor="_Toc149064097" w:history="1">
        <w:r w:rsidR="00A91C73" w:rsidRPr="00B1389E">
          <w:rPr>
            <w:rStyle w:val="Hyperlink"/>
            <w:noProof/>
          </w:rPr>
          <w:t>Product Modifications</w:t>
        </w:r>
        <w:r w:rsidR="00A91C73">
          <w:rPr>
            <w:noProof/>
            <w:webHidden/>
          </w:rPr>
          <w:tab/>
        </w:r>
        <w:r w:rsidR="00A91C73">
          <w:rPr>
            <w:noProof/>
            <w:webHidden/>
          </w:rPr>
          <w:fldChar w:fldCharType="begin"/>
        </w:r>
        <w:r w:rsidR="00A91C73">
          <w:rPr>
            <w:noProof/>
            <w:webHidden/>
          </w:rPr>
          <w:instrText xml:space="preserve"> PAGEREF _Toc149064097 \h </w:instrText>
        </w:r>
        <w:r w:rsidR="00A91C73">
          <w:rPr>
            <w:noProof/>
            <w:webHidden/>
          </w:rPr>
        </w:r>
        <w:r w:rsidR="00A91C73">
          <w:rPr>
            <w:noProof/>
            <w:webHidden/>
          </w:rPr>
          <w:fldChar w:fldCharType="separate"/>
        </w:r>
        <w:r w:rsidR="00ED2D38">
          <w:rPr>
            <w:noProof/>
            <w:webHidden/>
          </w:rPr>
          <w:t>56</w:t>
        </w:r>
        <w:r w:rsidR="00A91C73">
          <w:rPr>
            <w:noProof/>
            <w:webHidden/>
          </w:rPr>
          <w:fldChar w:fldCharType="end"/>
        </w:r>
      </w:hyperlink>
    </w:p>
    <w:p w14:paraId="42B5C0F7" w14:textId="01C96FC0" w:rsidR="00A91C73" w:rsidRDefault="00A53403">
      <w:pPr>
        <w:pStyle w:val="TOC3"/>
        <w:tabs>
          <w:tab w:val="right" w:leader="dot" w:pos="9350"/>
        </w:tabs>
        <w:rPr>
          <w:rFonts w:asciiTheme="minorHAnsi" w:eastAsiaTheme="minorEastAsia" w:hAnsiTheme="minorHAnsi" w:cstheme="minorBidi"/>
          <w:noProof/>
        </w:rPr>
      </w:pPr>
      <w:hyperlink w:anchor="_Toc149064098" w:history="1">
        <w:r w:rsidR="00A91C73" w:rsidRPr="00B1389E">
          <w:rPr>
            <w:rStyle w:val="Hyperlink"/>
            <w:noProof/>
          </w:rPr>
          <w:t>Order Alerts</w:t>
        </w:r>
        <w:r w:rsidR="00A91C73">
          <w:rPr>
            <w:noProof/>
            <w:webHidden/>
          </w:rPr>
          <w:tab/>
        </w:r>
        <w:r w:rsidR="00A91C73">
          <w:rPr>
            <w:noProof/>
            <w:webHidden/>
          </w:rPr>
          <w:fldChar w:fldCharType="begin"/>
        </w:r>
        <w:r w:rsidR="00A91C73">
          <w:rPr>
            <w:noProof/>
            <w:webHidden/>
          </w:rPr>
          <w:instrText xml:space="preserve"> PAGEREF _Toc149064098 \h </w:instrText>
        </w:r>
        <w:r w:rsidR="00A91C73">
          <w:rPr>
            <w:noProof/>
            <w:webHidden/>
          </w:rPr>
        </w:r>
        <w:r w:rsidR="00A91C73">
          <w:rPr>
            <w:noProof/>
            <w:webHidden/>
          </w:rPr>
          <w:fldChar w:fldCharType="separate"/>
        </w:r>
        <w:r w:rsidR="00ED2D38">
          <w:rPr>
            <w:noProof/>
            <w:webHidden/>
          </w:rPr>
          <w:t>58</w:t>
        </w:r>
        <w:r w:rsidR="00A91C73">
          <w:rPr>
            <w:noProof/>
            <w:webHidden/>
          </w:rPr>
          <w:fldChar w:fldCharType="end"/>
        </w:r>
      </w:hyperlink>
    </w:p>
    <w:p w14:paraId="51B8A7E9" w14:textId="0F77076A" w:rsidR="00A91C73" w:rsidRDefault="00A53403">
      <w:pPr>
        <w:pStyle w:val="TOC3"/>
        <w:tabs>
          <w:tab w:val="right" w:leader="dot" w:pos="9350"/>
        </w:tabs>
        <w:rPr>
          <w:rFonts w:asciiTheme="minorHAnsi" w:eastAsiaTheme="minorEastAsia" w:hAnsiTheme="minorHAnsi" w:cstheme="minorBidi"/>
          <w:noProof/>
        </w:rPr>
      </w:pPr>
      <w:hyperlink w:anchor="_Toc149064099" w:history="1">
        <w:r w:rsidR="00A91C73" w:rsidRPr="00B1389E">
          <w:rPr>
            <w:rStyle w:val="Hyperlink"/>
            <w:noProof/>
          </w:rPr>
          <w:t>Login Message</w:t>
        </w:r>
        <w:r w:rsidR="00A91C73">
          <w:rPr>
            <w:noProof/>
            <w:webHidden/>
          </w:rPr>
          <w:tab/>
        </w:r>
        <w:r w:rsidR="00A91C73">
          <w:rPr>
            <w:noProof/>
            <w:webHidden/>
          </w:rPr>
          <w:fldChar w:fldCharType="begin"/>
        </w:r>
        <w:r w:rsidR="00A91C73">
          <w:rPr>
            <w:noProof/>
            <w:webHidden/>
          </w:rPr>
          <w:instrText xml:space="preserve"> PAGEREF _Toc149064099 \h </w:instrText>
        </w:r>
        <w:r w:rsidR="00A91C73">
          <w:rPr>
            <w:noProof/>
            <w:webHidden/>
          </w:rPr>
        </w:r>
        <w:r w:rsidR="00A91C73">
          <w:rPr>
            <w:noProof/>
            <w:webHidden/>
          </w:rPr>
          <w:fldChar w:fldCharType="separate"/>
        </w:r>
        <w:r w:rsidR="00ED2D38">
          <w:rPr>
            <w:noProof/>
            <w:webHidden/>
          </w:rPr>
          <w:t>60</w:t>
        </w:r>
        <w:r w:rsidR="00A91C73">
          <w:rPr>
            <w:noProof/>
            <w:webHidden/>
          </w:rPr>
          <w:fldChar w:fldCharType="end"/>
        </w:r>
      </w:hyperlink>
    </w:p>
    <w:p w14:paraId="340E69DD" w14:textId="6F160371" w:rsidR="00A91C73" w:rsidRDefault="00A53403">
      <w:pPr>
        <w:pStyle w:val="TOC2"/>
        <w:tabs>
          <w:tab w:val="right" w:leader="dot" w:pos="9350"/>
        </w:tabs>
        <w:rPr>
          <w:rFonts w:asciiTheme="minorHAnsi" w:eastAsiaTheme="minorEastAsia" w:hAnsiTheme="minorHAnsi" w:cstheme="minorBidi"/>
          <w:smallCaps w:val="0"/>
          <w:noProof/>
        </w:rPr>
      </w:pPr>
      <w:hyperlink w:anchor="_Toc149064100" w:history="1">
        <w:r w:rsidR="00A91C73" w:rsidRPr="00B1389E">
          <w:rPr>
            <w:rStyle w:val="Hyperlink"/>
            <w:noProof/>
          </w:rPr>
          <w:t>Local Facilities</w:t>
        </w:r>
        <w:r w:rsidR="00A91C73">
          <w:rPr>
            <w:noProof/>
            <w:webHidden/>
          </w:rPr>
          <w:tab/>
        </w:r>
        <w:r w:rsidR="00A91C73">
          <w:rPr>
            <w:noProof/>
            <w:webHidden/>
          </w:rPr>
          <w:fldChar w:fldCharType="begin"/>
        </w:r>
        <w:r w:rsidR="00A91C73">
          <w:rPr>
            <w:noProof/>
            <w:webHidden/>
          </w:rPr>
          <w:instrText xml:space="preserve"> PAGEREF _Toc149064100 \h </w:instrText>
        </w:r>
        <w:r w:rsidR="00A91C73">
          <w:rPr>
            <w:noProof/>
            <w:webHidden/>
          </w:rPr>
        </w:r>
        <w:r w:rsidR="00A91C73">
          <w:rPr>
            <w:noProof/>
            <w:webHidden/>
          </w:rPr>
          <w:fldChar w:fldCharType="separate"/>
        </w:r>
        <w:r w:rsidR="00ED2D38">
          <w:rPr>
            <w:noProof/>
            <w:webHidden/>
          </w:rPr>
          <w:t>62</w:t>
        </w:r>
        <w:r w:rsidR="00A91C73">
          <w:rPr>
            <w:noProof/>
            <w:webHidden/>
          </w:rPr>
          <w:fldChar w:fldCharType="end"/>
        </w:r>
      </w:hyperlink>
    </w:p>
    <w:p w14:paraId="2800236C" w14:textId="1AD04A4C" w:rsidR="00A91C73" w:rsidRDefault="00A53403">
      <w:pPr>
        <w:pStyle w:val="TOC3"/>
        <w:tabs>
          <w:tab w:val="right" w:leader="dot" w:pos="9350"/>
        </w:tabs>
        <w:rPr>
          <w:rFonts w:asciiTheme="minorHAnsi" w:eastAsiaTheme="minorEastAsia" w:hAnsiTheme="minorHAnsi" w:cstheme="minorBidi"/>
          <w:noProof/>
        </w:rPr>
      </w:pPr>
      <w:hyperlink w:anchor="_Toc149064101" w:history="1">
        <w:r w:rsidR="00A91C73" w:rsidRPr="00B1389E">
          <w:rPr>
            <w:rStyle w:val="Hyperlink"/>
            <w:noProof/>
          </w:rPr>
          <w:t>Local Facilities</w:t>
        </w:r>
        <w:r w:rsidR="00A91C73">
          <w:rPr>
            <w:noProof/>
            <w:webHidden/>
          </w:rPr>
          <w:tab/>
        </w:r>
        <w:r w:rsidR="00A91C73">
          <w:rPr>
            <w:noProof/>
            <w:webHidden/>
          </w:rPr>
          <w:fldChar w:fldCharType="begin"/>
        </w:r>
        <w:r w:rsidR="00A91C73">
          <w:rPr>
            <w:noProof/>
            <w:webHidden/>
          </w:rPr>
          <w:instrText xml:space="preserve"> PAGEREF _Toc149064101 \h </w:instrText>
        </w:r>
        <w:r w:rsidR="00A91C73">
          <w:rPr>
            <w:noProof/>
            <w:webHidden/>
          </w:rPr>
        </w:r>
        <w:r w:rsidR="00A91C73">
          <w:rPr>
            <w:noProof/>
            <w:webHidden/>
          </w:rPr>
          <w:fldChar w:fldCharType="separate"/>
        </w:r>
        <w:r w:rsidR="00ED2D38">
          <w:rPr>
            <w:noProof/>
            <w:webHidden/>
          </w:rPr>
          <w:t>62</w:t>
        </w:r>
        <w:r w:rsidR="00A91C73">
          <w:rPr>
            <w:noProof/>
            <w:webHidden/>
          </w:rPr>
          <w:fldChar w:fldCharType="end"/>
        </w:r>
      </w:hyperlink>
    </w:p>
    <w:p w14:paraId="285B9B6F" w14:textId="0FE5387D" w:rsidR="00A91C73" w:rsidRDefault="00A53403">
      <w:pPr>
        <w:pStyle w:val="TOC3"/>
        <w:tabs>
          <w:tab w:val="right" w:leader="dot" w:pos="9350"/>
        </w:tabs>
        <w:rPr>
          <w:rFonts w:asciiTheme="minorHAnsi" w:eastAsiaTheme="minorEastAsia" w:hAnsiTheme="minorHAnsi" w:cstheme="minorBidi"/>
          <w:noProof/>
        </w:rPr>
      </w:pPr>
      <w:hyperlink w:anchor="_Toc149064102" w:history="1">
        <w:r w:rsidR="00A91C73" w:rsidRPr="00B1389E">
          <w:rPr>
            <w:rStyle w:val="Hyperlink"/>
            <w:noProof/>
          </w:rPr>
          <w:t>Blood Products</w:t>
        </w:r>
        <w:r w:rsidR="00A91C73">
          <w:rPr>
            <w:noProof/>
            <w:webHidden/>
          </w:rPr>
          <w:tab/>
        </w:r>
        <w:r w:rsidR="00A91C73">
          <w:rPr>
            <w:noProof/>
            <w:webHidden/>
          </w:rPr>
          <w:fldChar w:fldCharType="begin"/>
        </w:r>
        <w:r w:rsidR="00A91C73">
          <w:rPr>
            <w:noProof/>
            <w:webHidden/>
          </w:rPr>
          <w:instrText xml:space="preserve"> PAGEREF _Toc149064102 \h </w:instrText>
        </w:r>
        <w:r w:rsidR="00A91C73">
          <w:rPr>
            <w:noProof/>
            <w:webHidden/>
          </w:rPr>
        </w:r>
        <w:r w:rsidR="00A91C73">
          <w:rPr>
            <w:noProof/>
            <w:webHidden/>
          </w:rPr>
          <w:fldChar w:fldCharType="separate"/>
        </w:r>
        <w:r w:rsidR="00ED2D38">
          <w:rPr>
            <w:noProof/>
            <w:webHidden/>
          </w:rPr>
          <w:t>66</w:t>
        </w:r>
        <w:r w:rsidR="00A91C73">
          <w:rPr>
            <w:noProof/>
            <w:webHidden/>
          </w:rPr>
          <w:fldChar w:fldCharType="end"/>
        </w:r>
      </w:hyperlink>
    </w:p>
    <w:p w14:paraId="5D66C9D0" w14:textId="1C392FE8" w:rsidR="00A91C73" w:rsidRDefault="00A53403">
      <w:pPr>
        <w:pStyle w:val="TOC3"/>
        <w:tabs>
          <w:tab w:val="right" w:leader="dot" w:pos="9350"/>
        </w:tabs>
        <w:rPr>
          <w:rFonts w:asciiTheme="minorHAnsi" w:eastAsiaTheme="minorEastAsia" w:hAnsiTheme="minorHAnsi" w:cstheme="minorBidi"/>
          <w:noProof/>
        </w:rPr>
      </w:pPr>
      <w:hyperlink w:anchor="_Toc149064103" w:history="1">
        <w:r w:rsidR="00A91C73" w:rsidRPr="00B1389E">
          <w:rPr>
            <w:rStyle w:val="Hyperlink"/>
            <w:noProof/>
          </w:rPr>
          <w:t>Antibodies</w:t>
        </w:r>
        <w:r w:rsidR="00A91C73">
          <w:rPr>
            <w:noProof/>
            <w:webHidden/>
          </w:rPr>
          <w:tab/>
        </w:r>
        <w:r w:rsidR="00A91C73">
          <w:rPr>
            <w:noProof/>
            <w:webHidden/>
          </w:rPr>
          <w:fldChar w:fldCharType="begin"/>
        </w:r>
        <w:r w:rsidR="00A91C73">
          <w:rPr>
            <w:noProof/>
            <w:webHidden/>
          </w:rPr>
          <w:instrText xml:space="preserve"> PAGEREF _Toc149064103 \h </w:instrText>
        </w:r>
        <w:r w:rsidR="00A91C73">
          <w:rPr>
            <w:noProof/>
            <w:webHidden/>
          </w:rPr>
        </w:r>
        <w:r w:rsidR="00A91C73">
          <w:rPr>
            <w:noProof/>
            <w:webHidden/>
          </w:rPr>
          <w:fldChar w:fldCharType="separate"/>
        </w:r>
        <w:r w:rsidR="00ED2D38">
          <w:rPr>
            <w:noProof/>
            <w:webHidden/>
          </w:rPr>
          <w:t>69</w:t>
        </w:r>
        <w:r w:rsidR="00A91C73">
          <w:rPr>
            <w:noProof/>
            <w:webHidden/>
          </w:rPr>
          <w:fldChar w:fldCharType="end"/>
        </w:r>
      </w:hyperlink>
    </w:p>
    <w:p w14:paraId="4B591E42" w14:textId="7D0EF394" w:rsidR="00A91C73" w:rsidRDefault="00A53403">
      <w:pPr>
        <w:pStyle w:val="TOC3"/>
        <w:tabs>
          <w:tab w:val="right" w:leader="dot" w:pos="9350"/>
        </w:tabs>
        <w:rPr>
          <w:rFonts w:asciiTheme="minorHAnsi" w:eastAsiaTheme="minorEastAsia" w:hAnsiTheme="minorHAnsi" w:cstheme="minorBidi"/>
          <w:noProof/>
        </w:rPr>
      </w:pPr>
      <w:hyperlink w:anchor="_Toc149064104" w:history="1">
        <w:r w:rsidR="00A91C73" w:rsidRPr="00B1389E">
          <w:rPr>
            <w:rStyle w:val="Hyperlink"/>
            <w:noProof/>
          </w:rPr>
          <w:t>Canned Comments</w:t>
        </w:r>
        <w:r w:rsidR="00A91C73">
          <w:rPr>
            <w:noProof/>
            <w:webHidden/>
          </w:rPr>
          <w:tab/>
        </w:r>
        <w:r w:rsidR="00A91C73">
          <w:rPr>
            <w:noProof/>
            <w:webHidden/>
          </w:rPr>
          <w:fldChar w:fldCharType="begin"/>
        </w:r>
        <w:r w:rsidR="00A91C73">
          <w:rPr>
            <w:noProof/>
            <w:webHidden/>
          </w:rPr>
          <w:instrText xml:space="preserve"> PAGEREF _Toc149064104 \h </w:instrText>
        </w:r>
        <w:r w:rsidR="00A91C73">
          <w:rPr>
            <w:noProof/>
            <w:webHidden/>
          </w:rPr>
        </w:r>
        <w:r w:rsidR="00A91C73">
          <w:rPr>
            <w:noProof/>
            <w:webHidden/>
          </w:rPr>
          <w:fldChar w:fldCharType="separate"/>
        </w:r>
        <w:r w:rsidR="00ED2D38">
          <w:rPr>
            <w:noProof/>
            <w:webHidden/>
          </w:rPr>
          <w:t>71</w:t>
        </w:r>
        <w:r w:rsidR="00A91C73">
          <w:rPr>
            <w:noProof/>
            <w:webHidden/>
          </w:rPr>
          <w:fldChar w:fldCharType="end"/>
        </w:r>
      </w:hyperlink>
    </w:p>
    <w:p w14:paraId="34EAA0D2" w14:textId="36B700AC" w:rsidR="00A91C73" w:rsidRDefault="00A53403">
      <w:pPr>
        <w:pStyle w:val="TOC2"/>
        <w:tabs>
          <w:tab w:val="right" w:leader="dot" w:pos="9350"/>
        </w:tabs>
        <w:rPr>
          <w:rFonts w:asciiTheme="minorHAnsi" w:eastAsiaTheme="minorEastAsia" w:hAnsiTheme="minorHAnsi" w:cstheme="minorBidi"/>
          <w:smallCaps w:val="0"/>
          <w:noProof/>
        </w:rPr>
      </w:pPr>
      <w:hyperlink w:anchor="_Toc149064105" w:history="1">
        <w:r w:rsidR="00A91C73" w:rsidRPr="00B1389E">
          <w:rPr>
            <w:rStyle w:val="Hyperlink"/>
            <w:noProof/>
          </w:rPr>
          <w:t>Setting Transfusion Parameters</w:t>
        </w:r>
        <w:r w:rsidR="00A91C73">
          <w:rPr>
            <w:noProof/>
            <w:webHidden/>
          </w:rPr>
          <w:tab/>
        </w:r>
        <w:r w:rsidR="00A91C73">
          <w:rPr>
            <w:noProof/>
            <w:webHidden/>
          </w:rPr>
          <w:fldChar w:fldCharType="begin"/>
        </w:r>
        <w:r w:rsidR="00A91C73">
          <w:rPr>
            <w:noProof/>
            <w:webHidden/>
          </w:rPr>
          <w:instrText xml:space="preserve"> PAGEREF _Toc149064105 \h </w:instrText>
        </w:r>
        <w:r w:rsidR="00A91C73">
          <w:rPr>
            <w:noProof/>
            <w:webHidden/>
          </w:rPr>
        </w:r>
        <w:r w:rsidR="00A91C73">
          <w:rPr>
            <w:noProof/>
            <w:webHidden/>
          </w:rPr>
          <w:fldChar w:fldCharType="separate"/>
        </w:r>
        <w:r w:rsidR="00ED2D38">
          <w:rPr>
            <w:noProof/>
            <w:webHidden/>
          </w:rPr>
          <w:t>73</w:t>
        </w:r>
        <w:r w:rsidR="00A91C73">
          <w:rPr>
            <w:noProof/>
            <w:webHidden/>
          </w:rPr>
          <w:fldChar w:fldCharType="end"/>
        </w:r>
      </w:hyperlink>
    </w:p>
    <w:p w14:paraId="28285FC6" w14:textId="43121306" w:rsidR="00A91C73" w:rsidRDefault="00A53403">
      <w:pPr>
        <w:pStyle w:val="TOC3"/>
        <w:tabs>
          <w:tab w:val="right" w:leader="dot" w:pos="9350"/>
        </w:tabs>
        <w:rPr>
          <w:rFonts w:asciiTheme="minorHAnsi" w:eastAsiaTheme="minorEastAsia" w:hAnsiTheme="minorHAnsi" w:cstheme="minorBidi"/>
          <w:noProof/>
        </w:rPr>
      </w:pPr>
      <w:hyperlink w:anchor="_Toc149064106" w:history="1">
        <w:r w:rsidR="00A91C73" w:rsidRPr="00B1389E">
          <w:rPr>
            <w:rStyle w:val="Hyperlink"/>
            <w:noProof/>
          </w:rPr>
          <w:t>Transfusion Complications</w:t>
        </w:r>
        <w:r w:rsidR="00A91C73">
          <w:rPr>
            <w:noProof/>
            <w:webHidden/>
          </w:rPr>
          <w:tab/>
        </w:r>
        <w:r w:rsidR="00A91C73">
          <w:rPr>
            <w:noProof/>
            <w:webHidden/>
          </w:rPr>
          <w:fldChar w:fldCharType="begin"/>
        </w:r>
        <w:r w:rsidR="00A91C73">
          <w:rPr>
            <w:noProof/>
            <w:webHidden/>
          </w:rPr>
          <w:instrText xml:space="preserve"> PAGEREF _Toc149064106 \h </w:instrText>
        </w:r>
        <w:r w:rsidR="00A91C73">
          <w:rPr>
            <w:noProof/>
            <w:webHidden/>
          </w:rPr>
        </w:r>
        <w:r w:rsidR="00A91C73">
          <w:rPr>
            <w:noProof/>
            <w:webHidden/>
          </w:rPr>
          <w:fldChar w:fldCharType="separate"/>
        </w:r>
        <w:r w:rsidR="00ED2D38">
          <w:rPr>
            <w:noProof/>
            <w:webHidden/>
          </w:rPr>
          <w:t>73</w:t>
        </w:r>
        <w:r w:rsidR="00A91C73">
          <w:rPr>
            <w:noProof/>
            <w:webHidden/>
          </w:rPr>
          <w:fldChar w:fldCharType="end"/>
        </w:r>
      </w:hyperlink>
    </w:p>
    <w:p w14:paraId="2FEEED59" w14:textId="29598A41" w:rsidR="00A91C73" w:rsidRDefault="00A53403">
      <w:pPr>
        <w:pStyle w:val="TOC3"/>
        <w:tabs>
          <w:tab w:val="right" w:leader="dot" w:pos="9350"/>
        </w:tabs>
        <w:rPr>
          <w:rFonts w:asciiTheme="minorHAnsi" w:eastAsiaTheme="minorEastAsia" w:hAnsiTheme="minorHAnsi" w:cstheme="minorBidi"/>
          <w:noProof/>
        </w:rPr>
      </w:pPr>
      <w:hyperlink w:anchor="_Toc149064107" w:history="1">
        <w:r w:rsidR="00A91C73" w:rsidRPr="00B1389E">
          <w:rPr>
            <w:rStyle w:val="Hyperlink"/>
            <w:noProof/>
          </w:rPr>
          <w:t>Transfusion Effectiveness</w:t>
        </w:r>
        <w:r w:rsidR="00A91C73">
          <w:rPr>
            <w:noProof/>
            <w:webHidden/>
          </w:rPr>
          <w:tab/>
        </w:r>
        <w:r w:rsidR="00A91C73">
          <w:rPr>
            <w:noProof/>
            <w:webHidden/>
          </w:rPr>
          <w:fldChar w:fldCharType="begin"/>
        </w:r>
        <w:r w:rsidR="00A91C73">
          <w:rPr>
            <w:noProof/>
            <w:webHidden/>
          </w:rPr>
          <w:instrText xml:space="preserve"> PAGEREF _Toc149064107 \h </w:instrText>
        </w:r>
        <w:r w:rsidR="00A91C73">
          <w:rPr>
            <w:noProof/>
            <w:webHidden/>
          </w:rPr>
        </w:r>
        <w:r w:rsidR="00A91C73">
          <w:rPr>
            <w:noProof/>
            <w:webHidden/>
          </w:rPr>
          <w:fldChar w:fldCharType="separate"/>
        </w:r>
        <w:r w:rsidR="00ED2D38">
          <w:rPr>
            <w:noProof/>
            <w:webHidden/>
          </w:rPr>
          <w:t>75</w:t>
        </w:r>
        <w:r w:rsidR="00A91C73">
          <w:rPr>
            <w:noProof/>
            <w:webHidden/>
          </w:rPr>
          <w:fldChar w:fldCharType="end"/>
        </w:r>
      </w:hyperlink>
    </w:p>
    <w:p w14:paraId="7C142E91" w14:textId="54039349" w:rsidR="00A91C73" w:rsidRDefault="00A53403">
      <w:pPr>
        <w:pStyle w:val="TOC3"/>
        <w:tabs>
          <w:tab w:val="right" w:leader="dot" w:pos="9350"/>
        </w:tabs>
        <w:rPr>
          <w:rFonts w:asciiTheme="minorHAnsi" w:eastAsiaTheme="minorEastAsia" w:hAnsiTheme="minorHAnsi" w:cstheme="minorBidi"/>
          <w:noProof/>
        </w:rPr>
      </w:pPr>
      <w:hyperlink w:anchor="_Toc149064108" w:history="1">
        <w:r w:rsidR="00A91C73" w:rsidRPr="00B1389E">
          <w:rPr>
            <w:rStyle w:val="Hyperlink"/>
            <w:noProof/>
          </w:rPr>
          <w:t>MSBOS</w:t>
        </w:r>
        <w:r w:rsidR="00A91C73">
          <w:rPr>
            <w:noProof/>
            <w:webHidden/>
          </w:rPr>
          <w:tab/>
        </w:r>
        <w:r w:rsidR="00A91C73">
          <w:rPr>
            <w:noProof/>
            <w:webHidden/>
          </w:rPr>
          <w:fldChar w:fldCharType="begin"/>
        </w:r>
        <w:r w:rsidR="00A91C73">
          <w:rPr>
            <w:noProof/>
            <w:webHidden/>
          </w:rPr>
          <w:instrText xml:space="preserve"> PAGEREF _Toc149064108 \h </w:instrText>
        </w:r>
        <w:r w:rsidR="00A91C73">
          <w:rPr>
            <w:noProof/>
            <w:webHidden/>
          </w:rPr>
        </w:r>
        <w:r w:rsidR="00A91C73">
          <w:rPr>
            <w:noProof/>
            <w:webHidden/>
          </w:rPr>
          <w:fldChar w:fldCharType="separate"/>
        </w:r>
        <w:r w:rsidR="00ED2D38">
          <w:rPr>
            <w:noProof/>
            <w:webHidden/>
          </w:rPr>
          <w:t>77</w:t>
        </w:r>
        <w:r w:rsidR="00A91C73">
          <w:rPr>
            <w:noProof/>
            <w:webHidden/>
          </w:rPr>
          <w:fldChar w:fldCharType="end"/>
        </w:r>
      </w:hyperlink>
    </w:p>
    <w:p w14:paraId="2D4B7C92" w14:textId="4609FA50" w:rsidR="00A91C73" w:rsidRDefault="00A53403">
      <w:pPr>
        <w:pStyle w:val="TOC3"/>
        <w:tabs>
          <w:tab w:val="right" w:leader="dot" w:pos="9350"/>
        </w:tabs>
        <w:rPr>
          <w:rFonts w:asciiTheme="minorHAnsi" w:eastAsiaTheme="minorEastAsia" w:hAnsiTheme="minorHAnsi" w:cstheme="minorBidi"/>
          <w:noProof/>
        </w:rPr>
      </w:pPr>
      <w:hyperlink w:anchor="_Toc149064109" w:history="1">
        <w:r w:rsidR="00A91C73" w:rsidRPr="00B1389E">
          <w:rPr>
            <w:rStyle w:val="Hyperlink"/>
            <w:noProof/>
          </w:rPr>
          <w:t>Workload Codes</w:t>
        </w:r>
        <w:r w:rsidR="00A91C73">
          <w:rPr>
            <w:noProof/>
            <w:webHidden/>
          </w:rPr>
          <w:tab/>
        </w:r>
        <w:r w:rsidR="00A91C73">
          <w:rPr>
            <w:noProof/>
            <w:webHidden/>
          </w:rPr>
          <w:fldChar w:fldCharType="begin"/>
        </w:r>
        <w:r w:rsidR="00A91C73">
          <w:rPr>
            <w:noProof/>
            <w:webHidden/>
          </w:rPr>
          <w:instrText xml:space="preserve"> PAGEREF _Toc149064109 \h </w:instrText>
        </w:r>
        <w:r w:rsidR="00A91C73">
          <w:rPr>
            <w:noProof/>
            <w:webHidden/>
          </w:rPr>
        </w:r>
        <w:r w:rsidR="00A91C73">
          <w:rPr>
            <w:noProof/>
            <w:webHidden/>
          </w:rPr>
          <w:fldChar w:fldCharType="separate"/>
        </w:r>
        <w:r w:rsidR="00ED2D38">
          <w:rPr>
            <w:noProof/>
            <w:webHidden/>
          </w:rPr>
          <w:t>79</w:t>
        </w:r>
        <w:r w:rsidR="00A91C73">
          <w:rPr>
            <w:noProof/>
            <w:webHidden/>
          </w:rPr>
          <w:fldChar w:fldCharType="end"/>
        </w:r>
      </w:hyperlink>
    </w:p>
    <w:p w14:paraId="43F6A54F" w14:textId="0426FA2E" w:rsidR="00A91C73" w:rsidRDefault="00A53403">
      <w:pPr>
        <w:pStyle w:val="TOC2"/>
        <w:tabs>
          <w:tab w:val="right" w:leader="dot" w:pos="9350"/>
        </w:tabs>
        <w:rPr>
          <w:rFonts w:asciiTheme="minorHAnsi" w:eastAsiaTheme="minorEastAsia" w:hAnsiTheme="minorHAnsi" w:cstheme="minorBidi"/>
          <w:smallCaps w:val="0"/>
          <w:noProof/>
        </w:rPr>
      </w:pPr>
      <w:hyperlink w:anchor="_Toc149064110" w:history="1">
        <w:r w:rsidR="00A91C73" w:rsidRPr="00B1389E">
          <w:rPr>
            <w:rStyle w:val="Hyperlink"/>
            <w:noProof/>
          </w:rPr>
          <w:t>Reagents and Supplies</w:t>
        </w:r>
        <w:r w:rsidR="00A91C73">
          <w:rPr>
            <w:noProof/>
            <w:webHidden/>
          </w:rPr>
          <w:tab/>
        </w:r>
        <w:r w:rsidR="00A91C73">
          <w:rPr>
            <w:noProof/>
            <w:webHidden/>
          </w:rPr>
          <w:fldChar w:fldCharType="begin"/>
        </w:r>
        <w:r w:rsidR="00A91C73">
          <w:rPr>
            <w:noProof/>
            <w:webHidden/>
          </w:rPr>
          <w:instrText xml:space="preserve"> PAGEREF _Toc149064110 \h </w:instrText>
        </w:r>
        <w:r w:rsidR="00A91C73">
          <w:rPr>
            <w:noProof/>
            <w:webHidden/>
          </w:rPr>
        </w:r>
        <w:r w:rsidR="00A91C73">
          <w:rPr>
            <w:noProof/>
            <w:webHidden/>
          </w:rPr>
          <w:fldChar w:fldCharType="separate"/>
        </w:r>
        <w:r w:rsidR="00ED2D38">
          <w:rPr>
            <w:noProof/>
            <w:webHidden/>
          </w:rPr>
          <w:t>82</w:t>
        </w:r>
        <w:r w:rsidR="00A91C73">
          <w:rPr>
            <w:noProof/>
            <w:webHidden/>
          </w:rPr>
          <w:fldChar w:fldCharType="end"/>
        </w:r>
      </w:hyperlink>
    </w:p>
    <w:p w14:paraId="6830B159" w14:textId="69B7BC0E" w:rsidR="00A91C73" w:rsidRDefault="00A53403">
      <w:pPr>
        <w:pStyle w:val="TOC3"/>
        <w:tabs>
          <w:tab w:val="right" w:leader="dot" w:pos="9350"/>
        </w:tabs>
        <w:rPr>
          <w:rFonts w:asciiTheme="minorHAnsi" w:eastAsiaTheme="minorEastAsia" w:hAnsiTheme="minorHAnsi" w:cstheme="minorBidi"/>
          <w:noProof/>
        </w:rPr>
      </w:pPr>
      <w:hyperlink w:anchor="_Toc149064111" w:history="1">
        <w:r w:rsidR="00A91C73" w:rsidRPr="00B1389E">
          <w:rPr>
            <w:rStyle w:val="Hyperlink"/>
            <w:noProof/>
          </w:rPr>
          <w:t>Enter Daily QC Results</w:t>
        </w:r>
        <w:r w:rsidR="00A91C73">
          <w:rPr>
            <w:noProof/>
            <w:webHidden/>
          </w:rPr>
          <w:tab/>
        </w:r>
        <w:r w:rsidR="00A91C73">
          <w:rPr>
            <w:noProof/>
            <w:webHidden/>
          </w:rPr>
          <w:fldChar w:fldCharType="begin"/>
        </w:r>
        <w:r w:rsidR="00A91C73">
          <w:rPr>
            <w:noProof/>
            <w:webHidden/>
          </w:rPr>
          <w:instrText xml:space="preserve"> PAGEREF _Toc149064111 \h </w:instrText>
        </w:r>
        <w:r w:rsidR="00A91C73">
          <w:rPr>
            <w:noProof/>
            <w:webHidden/>
          </w:rPr>
        </w:r>
        <w:r w:rsidR="00A91C73">
          <w:rPr>
            <w:noProof/>
            <w:webHidden/>
          </w:rPr>
          <w:fldChar w:fldCharType="separate"/>
        </w:r>
        <w:r w:rsidR="00ED2D38">
          <w:rPr>
            <w:noProof/>
            <w:webHidden/>
          </w:rPr>
          <w:t>82</w:t>
        </w:r>
        <w:r w:rsidR="00A91C73">
          <w:rPr>
            <w:noProof/>
            <w:webHidden/>
          </w:rPr>
          <w:fldChar w:fldCharType="end"/>
        </w:r>
      </w:hyperlink>
    </w:p>
    <w:p w14:paraId="2F108185" w14:textId="154ABCBC" w:rsidR="00A91C73" w:rsidRDefault="00A53403">
      <w:pPr>
        <w:pStyle w:val="TOC3"/>
        <w:tabs>
          <w:tab w:val="right" w:leader="dot" w:pos="9350"/>
        </w:tabs>
        <w:rPr>
          <w:rFonts w:asciiTheme="minorHAnsi" w:eastAsiaTheme="minorEastAsia" w:hAnsiTheme="minorHAnsi" w:cstheme="minorBidi"/>
          <w:noProof/>
        </w:rPr>
      </w:pPr>
      <w:hyperlink w:anchor="_Toc149064112" w:history="1">
        <w:r w:rsidR="00A91C73" w:rsidRPr="00B1389E">
          <w:rPr>
            <w:rStyle w:val="Hyperlink"/>
            <w:noProof/>
          </w:rPr>
          <w:t>Reagents</w:t>
        </w:r>
        <w:r w:rsidR="00A91C73">
          <w:rPr>
            <w:noProof/>
            <w:webHidden/>
          </w:rPr>
          <w:tab/>
        </w:r>
        <w:r w:rsidR="00A91C73">
          <w:rPr>
            <w:noProof/>
            <w:webHidden/>
          </w:rPr>
          <w:fldChar w:fldCharType="begin"/>
        </w:r>
        <w:r w:rsidR="00A91C73">
          <w:rPr>
            <w:noProof/>
            <w:webHidden/>
          </w:rPr>
          <w:instrText xml:space="preserve"> PAGEREF _Toc149064112 \h </w:instrText>
        </w:r>
        <w:r w:rsidR="00A91C73">
          <w:rPr>
            <w:noProof/>
            <w:webHidden/>
          </w:rPr>
        </w:r>
        <w:r w:rsidR="00A91C73">
          <w:rPr>
            <w:noProof/>
            <w:webHidden/>
          </w:rPr>
          <w:fldChar w:fldCharType="separate"/>
        </w:r>
        <w:r w:rsidR="00ED2D38">
          <w:rPr>
            <w:noProof/>
            <w:webHidden/>
          </w:rPr>
          <w:t>90</w:t>
        </w:r>
        <w:r w:rsidR="00A91C73">
          <w:rPr>
            <w:noProof/>
            <w:webHidden/>
          </w:rPr>
          <w:fldChar w:fldCharType="end"/>
        </w:r>
      </w:hyperlink>
    </w:p>
    <w:p w14:paraId="27458B28" w14:textId="33C7CEE5" w:rsidR="00A91C73" w:rsidRDefault="00A53403">
      <w:pPr>
        <w:pStyle w:val="TOC3"/>
        <w:tabs>
          <w:tab w:val="right" w:leader="dot" w:pos="9350"/>
        </w:tabs>
        <w:rPr>
          <w:rFonts w:asciiTheme="minorHAnsi" w:eastAsiaTheme="minorEastAsia" w:hAnsiTheme="minorHAnsi" w:cstheme="minorBidi"/>
          <w:noProof/>
        </w:rPr>
      </w:pPr>
      <w:hyperlink w:anchor="_Toc149064113" w:history="1">
        <w:r w:rsidR="00A91C73" w:rsidRPr="00B1389E">
          <w:rPr>
            <w:rStyle w:val="Hyperlink"/>
            <w:noProof/>
          </w:rPr>
          <w:t>Supplies</w:t>
        </w:r>
        <w:r w:rsidR="00A91C73">
          <w:rPr>
            <w:noProof/>
            <w:webHidden/>
          </w:rPr>
          <w:tab/>
        </w:r>
        <w:r w:rsidR="00A91C73">
          <w:rPr>
            <w:noProof/>
            <w:webHidden/>
          </w:rPr>
          <w:fldChar w:fldCharType="begin"/>
        </w:r>
        <w:r w:rsidR="00A91C73">
          <w:rPr>
            <w:noProof/>
            <w:webHidden/>
          </w:rPr>
          <w:instrText xml:space="preserve"> PAGEREF _Toc149064113 \h </w:instrText>
        </w:r>
        <w:r w:rsidR="00A91C73">
          <w:rPr>
            <w:noProof/>
            <w:webHidden/>
          </w:rPr>
        </w:r>
        <w:r w:rsidR="00A91C73">
          <w:rPr>
            <w:noProof/>
            <w:webHidden/>
          </w:rPr>
          <w:fldChar w:fldCharType="separate"/>
        </w:r>
        <w:r w:rsidR="00ED2D38">
          <w:rPr>
            <w:noProof/>
            <w:webHidden/>
          </w:rPr>
          <w:t>99</w:t>
        </w:r>
        <w:r w:rsidR="00A91C73">
          <w:rPr>
            <w:noProof/>
            <w:webHidden/>
          </w:rPr>
          <w:fldChar w:fldCharType="end"/>
        </w:r>
      </w:hyperlink>
    </w:p>
    <w:p w14:paraId="31F84E15" w14:textId="563EFBF6" w:rsidR="00A91C73" w:rsidRDefault="00A53403">
      <w:pPr>
        <w:pStyle w:val="TOC3"/>
        <w:tabs>
          <w:tab w:val="right" w:leader="dot" w:pos="9350"/>
        </w:tabs>
        <w:rPr>
          <w:rFonts w:asciiTheme="minorHAnsi" w:eastAsiaTheme="minorEastAsia" w:hAnsiTheme="minorHAnsi" w:cstheme="minorBidi"/>
          <w:noProof/>
        </w:rPr>
      </w:pPr>
      <w:hyperlink w:anchor="_Toc149064114" w:history="1">
        <w:r w:rsidR="00A91C73" w:rsidRPr="00B1389E">
          <w:rPr>
            <w:rStyle w:val="Hyperlink"/>
            <w:noProof/>
          </w:rPr>
          <w:t>Equipment</w:t>
        </w:r>
        <w:r w:rsidR="00A91C73">
          <w:rPr>
            <w:noProof/>
            <w:webHidden/>
          </w:rPr>
          <w:tab/>
        </w:r>
        <w:r w:rsidR="00A91C73">
          <w:rPr>
            <w:noProof/>
            <w:webHidden/>
          </w:rPr>
          <w:fldChar w:fldCharType="begin"/>
        </w:r>
        <w:r w:rsidR="00A91C73">
          <w:rPr>
            <w:noProof/>
            <w:webHidden/>
          </w:rPr>
          <w:instrText xml:space="preserve"> PAGEREF _Toc149064114 \h </w:instrText>
        </w:r>
        <w:r w:rsidR="00A91C73">
          <w:rPr>
            <w:noProof/>
            <w:webHidden/>
          </w:rPr>
        </w:r>
        <w:r w:rsidR="00A91C73">
          <w:rPr>
            <w:noProof/>
            <w:webHidden/>
          </w:rPr>
          <w:fldChar w:fldCharType="separate"/>
        </w:r>
        <w:r w:rsidR="00ED2D38">
          <w:rPr>
            <w:noProof/>
            <w:webHidden/>
          </w:rPr>
          <w:t>104</w:t>
        </w:r>
        <w:r w:rsidR="00A91C73">
          <w:rPr>
            <w:noProof/>
            <w:webHidden/>
          </w:rPr>
          <w:fldChar w:fldCharType="end"/>
        </w:r>
      </w:hyperlink>
    </w:p>
    <w:p w14:paraId="1DD83939" w14:textId="58809764" w:rsidR="00A91C73" w:rsidRDefault="00A53403">
      <w:pPr>
        <w:pStyle w:val="TOC1"/>
        <w:tabs>
          <w:tab w:val="right" w:leader="dot" w:pos="9350"/>
        </w:tabs>
        <w:rPr>
          <w:rFonts w:asciiTheme="minorHAnsi" w:eastAsiaTheme="minorEastAsia" w:hAnsiTheme="minorHAnsi" w:cstheme="minorBidi"/>
          <w:b w:val="0"/>
          <w:caps w:val="0"/>
          <w:noProof/>
        </w:rPr>
      </w:pPr>
      <w:hyperlink w:anchor="_Toc149064115" w:history="1">
        <w:r w:rsidR="00A91C73" w:rsidRPr="00B1389E">
          <w:rPr>
            <w:rStyle w:val="Hyperlink"/>
            <w:noProof/>
          </w:rPr>
          <w:t>Component Processing</w:t>
        </w:r>
        <w:r w:rsidR="00A91C73">
          <w:rPr>
            <w:noProof/>
            <w:webHidden/>
          </w:rPr>
          <w:tab/>
        </w:r>
        <w:r w:rsidR="00A91C73">
          <w:rPr>
            <w:noProof/>
            <w:webHidden/>
          </w:rPr>
          <w:fldChar w:fldCharType="begin"/>
        </w:r>
        <w:r w:rsidR="00A91C73">
          <w:rPr>
            <w:noProof/>
            <w:webHidden/>
          </w:rPr>
          <w:instrText xml:space="preserve"> PAGEREF _Toc149064115 \h </w:instrText>
        </w:r>
        <w:r w:rsidR="00A91C73">
          <w:rPr>
            <w:noProof/>
            <w:webHidden/>
          </w:rPr>
        </w:r>
        <w:r w:rsidR="00A91C73">
          <w:rPr>
            <w:noProof/>
            <w:webHidden/>
          </w:rPr>
          <w:fldChar w:fldCharType="separate"/>
        </w:r>
        <w:r w:rsidR="00ED2D38">
          <w:rPr>
            <w:noProof/>
            <w:webHidden/>
          </w:rPr>
          <w:t>109</w:t>
        </w:r>
        <w:r w:rsidR="00A91C73">
          <w:rPr>
            <w:noProof/>
            <w:webHidden/>
          </w:rPr>
          <w:fldChar w:fldCharType="end"/>
        </w:r>
      </w:hyperlink>
    </w:p>
    <w:p w14:paraId="0B17FF06" w14:textId="2D767880" w:rsidR="00A91C73" w:rsidRDefault="00A53403">
      <w:pPr>
        <w:pStyle w:val="TOC2"/>
        <w:tabs>
          <w:tab w:val="right" w:leader="dot" w:pos="9350"/>
        </w:tabs>
        <w:rPr>
          <w:rFonts w:asciiTheme="minorHAnsi" w:eastAsiaTheme="minorEastAsia" w:hAnsiTheme="minorHAnsi" w:cstheme="minorBidi"/>
          <w:smallCaps w:val="0"/>
          <w:noProof/>
        </w:rPr>
      </w:pPr>
      <w:hyperlink w:anchor="_Toc149064116" w:history="1">
        <w:r w:rsidR="00A91C73" w:rsidRPr="00B1389E">
          <w:rPr>
            <w:rStyle w:val="Hyperlink"/>
            <w:noProof/>
          </w:rPr>
          <w:t>Shipments</w:t>
        </w:r>
        <w:r w:rsidR="00A91C73">
          <w:rPr>
            <w:noProof/>
            <w:webHidden/>
          </w:rPr>
          <w:tab/>
        </w:r>
        <w:r w:rsidR="00A91C73">
          <w:rPr>
            <w:noProof/>
            <w:webHidden/>
          </w:rPr>
          <w:fldChar w:fldCharType="begin"/>
        </w:r>
        <w:r w:rsidR="00A91C73">
          <w:rPr>
            <w:noProof/>
            <w:webHidden/>
          </w:rPr>
          <w:instrText xml:space="preserve"> PAGEREF _Toc149064116 \h </w:instrText>
        </w:r>
        <w:r w:rsidR="00A91C73">
          <w:rPr>
            <w:noProof/>
            <w:webHidden/>
          </w:rPr>
        </w:r>
        <w:r w:rsidR="00A91C73">
          <w:rPr>
            <w:noProof/>
            <w:webHidden/>
          </w:rPr>
          <w:fldChar w:fldCharType="separate"/>
        </w:r>
        <w:r w:rsidR="00ED2D38">
          <w:rPr>
            <w:noProof/>
            <w:webHidden/>
          </w:rPr>
          <w:t>109</w:t>
        </w:r>
        <w:r w:rsidR="00A91C73">
          <w:rPr>
            <w:noProof/>
            <w:webHidden/>
          </w:rPr>
          <w:fldChar w:fldCharType="end"/>
        </w:r>
      </w:hyperlink>
    </w:p>
    <w:p w14:paraId="329F4F50" w14:textId="6310EEBF" w:rsidR="00A91C73" w:rsidRDefault="00A53403">
      <w:pPr>
        <w:pStyle w:val="TOC3"/>
        <w:tabs>
          <w:tab w:val="right" w:leader="dot" w:pos="9350"/>
        </w:tabs>
        <w:rPr>
          <w:rFonts w:asciiTheme="minorHAnsi" w:eastAsiaTheme="minorEastAsia" w:hAnsiTheme="minorHAnsi" w:cstheme="minorBidi"/>
          <w:noProof/>
        </w:rPr>
      </w:pPr>
      <w:hyperlink w:anchor="_Toc149064117" w:history="1">
        <w:r w:rsidR="00A91C73" w:rsidRPr="00B1389E">
          <w:rPr>
            <w:rStyle w:val="Hyperlink"/>
            <w:noProof/>
          </w:rPr>
          <w:t>Incoming Shipment</w:t>
        </w:r>
        <w:r w:rsidR="00A91C73">
          <w:rPr>
            <w:noProof/>
            <w:webHidden/>
          </w:rPr>
          <w:tab/>
        </w:r>
        <w:r w:rsidR="00A91C73">
          <w:rPr>
            <w:noProof/>
            <w:webHidden/>
          </w:rPr>
          <w:fldChar w:fldCharType="begin"/>
        </w:r>
        <w:r w:rsidR="00A91C73">
          <w:rPr>
            <w:noProof/>
            <w:webHidden/>
          </w:rPr>
          <w:instrText xml:space="preserve"> PAGEREF _Toc149064117 \h </w:instrText>
        </w:r>
        <w:r w:rsidR="00A91C73">
          <w:rPr>
            <w:noProof/>
            <w:webHidden/>
          </w:rPr>
        </w:r>
        <w:r w:rsidR="00A91C73">
          <w:rPr>
            <w:noProof/>
            <w:webHidden/>
          </w:rPr>
          <w:fldChar w:fldCharType="separate"/>
        </w:r>
        <w:r w:rsidR="00ED2D38">
          <w:rPr>
            <w:noProof/>
            <w:webHidden/>
          </w:rPr>
          <w:t>109</w:t>
        </w:r>
        <w:r w:rsidR="00A91C73">
          <w:rPr>
            <w:noProof/>
            <w:webHidden/>
          </w:rPr>
          <w:fldChar w:fldCharType="end"/>
        </w:r>
      </w:hyperlink>
    </w:p>
    <w:p w14:paraId="24B28A81" w14:textId="7F61A498" w:rsidR="00A91C73" w:rsidRDefault="00A53403">
      <w:pPr>
        <w:pStyle w:val="TOC3"/>
        <w:tabs>
          <w:tab w:val="right" w:leader="dot" w:pos="9350"/>
        </w:tabs>
        <w:rPr>
          <w:rFonts w:asciiTheme="minorHAnsi" w:eastAsiaTheme="minorEastAsia" w:hAnsiTheme="minorHAnsi" w:cstheme="minorBidi"/>
          <w:noProof/>
        </w:rPr>
      </w:pPr>
      <w:hyperlink w:anchor="_Toc149064118" w:history="1">
        <w:r w:rsidR="00A91C73" w:rsidRPr="00B1389E">
          <w:rPr>
            <w:rStyle w:val="Hyperlink"/>
            <w:noProof/>
          </w:rPr>
          <w:t>Outgoing Shipment</w:t>
        </w:r>
        <w:r w:rsidR="00A91C73">
          <w:rPr>
            <w:noProof/>
            <w:webHidden/>
          </w:rPr>
          <w:tab/>
        </w:r>
        <w:r w:rsidR="00A91C73">
          <w:rPr>
            <w:noProof/>
            <w:webHidden/>
          </w:rPr>
          <w:fldChar w:fldCharType="begin"/>
        </w:r>
        <w:r w:rsidR="00A91C73">
          <w:rPr>
            <w:noProof/>
            <w:webHidden/>
          </w:rPr>
          <w:instrText xml:space="preserve"> PAGEREF _Toc149064118 \h </w:instrText>
        </w:r>
        <w:r w:rsidR="00A91C73">
          <w:rPr>
            <w:noProof/>
            <w:webHidden/>
          </w:rPr>
        </w:r>
        <w:r w:rsidR="00A91C73">
          <w:rPr>
            <w:noProof/>
            <w:webHidden/>
          </w:rPr>
          <w:fldChar w:fldCharType="separate"/>
        </w:r>
        <w:r w:rsidR="00ED2D38">
          <w:rPr>
            <w:noProof/>
            <w:webHidden/>
          </w:rPr>
          <w:t>121</w:t>
        </w:r>
        <w:r w:rsidR="00A91C73">
          <w:rPr>
            <w:noProof/>
            <w:webHidden/>
          </w:rPr>
          <w:fldChar w:fldCharType="end"/>
        </w:r>
      </w:hyperlink>
    </w:p>
    <w:p w14:paraId="7078338D" w14:textId="3D5B44DC" w:rsidR="00A91C73" w:rsidRDefault="00A53403">
      <w:pPr>
        <w:pStyle w:val="TOC3"/>
        <w:tabs>
          <w:tab w:val="right" w:leader="dot" w:pos="9350"/>
        </w:tabs>
        <w:rPr>
          <w:rFonts w:asciiTheme="minorHAnsi" w:eastAsiaTheme="minorEastAsia" w:hAnsiTheme="minorHAnsi" w:cstheme="minorBidi"/>
          <w:noProof/>
        </w:rPr>
      </w:pPr>
      <w:hyperlink w:anchor="_Toc149064119" w:history="1">
        <w:r w:rsidR="00A91C73" w:rsidRPr="00B1389E">
          <w:rPr>
            <w:rStyle w:val="Hyperlink"/>
            <w:noProof/>
          </w:rPr>
          <w:t>Edit Invoice Text</w:t>
        </w:r>
        <w:r w:rsidR="00A91C73">
          <w:rPr>
            <w:noProof/>
            <w:webHidden/>
          </w:rPr>
          <w:tab/>
        </w:r>
        <w:r w:rsidR="00A91C73">
          <w:rPr>
            <w:noProof/>
            <w:webHidden/>
          </w:rPr>
          <w:fldChar w:fldCharType="begin"/>
        </w:r>
        <w:r w:rsidR="00A91C73">
          <w:rPr>
            <w:noProof/>
            <w:webHidden/>
          </w:rPr>
          <w:instrText xml:space="preserve"> PAGEREF _Toc149064119 \h </w:instrText>
        </w:r>
        <w:r w:rsidR="00A91C73">
          <w:rPr>
            <w:noProof/>
            <w:webHidden/>
          </w:rPr>
        </w:r>
        <w:r w:rsidR="00A91C73">
          <w:rPr>
            <w:noProof/>
            <w:webHidden/>
          </w:rPr>
          <w:fldChar w:fldCharType="separate"/>
        </w:r>
        <w:r w:rsidR="00ED2D38">
          <w:rPr>
            <w:noProof/>
            <w:webHidden/>
          </w:rPr>
          <w:t>128</w:t>
        </w:r>
        <w:r w:rsidR="00A91C73">
          <w:rPr>
            <w:noProof/>
            <w:webHidden/>
          </w:rPr>
          <w:fldChar w:fldCharType="end"/>
        </w:r>
      </w:hyperlink>
    </w:p>
    <w:p w14:paraId="4E5EAD5F" w14:textId="114CC00B" w:rsidR="00A91C73" w:rsidRDefault="00A53403">
      <w:pPr>
        <w:pStyle w:val="TOC2"/>
        <w:tabs>
          <w:tab w:val="right" w:leader="dot" w:pos="9350"/>
        </w:tabs>
        <w:rPr>
          <w:rFonts w:asciiTheme="minorHAnsi" w:eastAsiaTheme="minorEastAsia" w:hAnsiTheme="minorHAnsi" w:cstheme="minorBidi"/>
          <w:smallCaps w:val="0"/>
          <w:noProof/>
        </w:rPr>
      </w:pPr>
      <w:hyperlink w:anchor="_Toc149064120" w:history="1">
        <w:r w:rsidR="00A91C73" w:rsidRPr="00B1389E">
          <w:rPr>
            <w:rStyle w:val="Hyperlink"/>
            <w:noProof/>
          </w:rPr>
          <w:t>Unit Search Screen</w:t>
        </w:r>
        <w:r w:rsidR="00A91C73">
          <w:rPr>
            <w:noProof/>
            <w:webHidden/>
          </w:rPr>
          <w:tab/>
        </w:r>
        <w:r w:rsidR="00A91C73">
          <w:rPr>
            <w:noProof/>
            <w:webHidden/>
          </w:rPr>
          <w:fldChar w:fldCharType="begin"/>
        </w:r>
        <w:r w:rsidR="00A91C73">
          <w:rPr>
            <w:noProof/>
            <w:webHidden/>
          </w:rPr>
          <w:instrText xml:space="preserve"> PAGEREF _Toc149064120 \h </w:instrText>
        </w:r>
        <w:r w:rsidR="00A91C73">
          <w:rPr>
            <w:noProof/>
            <w:webHidden/>
          </w:rPr>
        </w:r>
        <w:r w:rsidR="00A91C73">
          <w:rPr>
            <w:noProof/>
            <w:webHidden/>
          </w:rPr>
          <w:fldChar w:fldCharType="separate"/>
        </w:r>
        <w:r w:rsidR="00ED2D38">
          <w:rPr>
            <w:noProof/>
            <w:webHidden/>
          </w:rPr>
          <w:t>128</w:t>
        </w:r>
        <w:r w:rsidR="00A91C73">
          <w:rPr>
            <w:noProof/>
            <w:webHidden/>
          </w:rPr>
          <w:fldChar w:fldCharType="end"/>
        </w:r>
      </w:hyperlink>
    </w:p>
    <w:p w14:paraId="212DE6D0" w14:textId="0E1E1930" w:rsidR="00A91C73" w:rsidRDefault="00A53403">
      <w:pPr>
        <w:pStyle w:val="TOC2"/>
        <w:tabs>
          <w:tab w:val="right" w:leader="dot" w:pos="9350"/>
        </w:tabs>
        <w:rPr>
          <w:rFonts w:asciiTheme="minorHAnsi" w:eastAsiaTheme="minorEastAsia" w:hAnsiTheme="minorHAnsi" w:cstheme="minorBidi"/>
          <w:smallCaps w:val="0"/>
          <w:noProof/>
        </w:rPr>
      </w:pPr>
      <w:hyperlink w:anchor="_Toc149064121" w:history="1">
        <w:r w:rsidR="00A91C73" w:rsidRPr="00B1389E">
          <w:rPr>
            <w:rStyle w:val="Hyperlink"/>
            <w:noProof/>
          </w:rPr>
          <w:t>Test Units</w:t>
        </w:r>
        <w:r w:rsidR="00A91C73">
          <w:rPr>
            <w:noProof/>
            <w:webHidden/>
          </w:rPr>
          <w:tab/>
        </w:r>
        <w:r w:rsidR="00A91C73">
          <w:rPr>
            <w:noProof/>
            <w:webHidden/>
          </w:rPr>
          <w:fldChar w:fldCharType="begin"/>
        </w:r>
        <w:r w:rsidR="00A91C73">
          <w:rPr>
            <w:noProof/>
            <w:webHidden/>
          </w:rPr>
          <w:instrText xml:space="preserve"> PAGEREF _Toc149064121 \h </w:instrText>
        </w:r>
        <w:r w:rsidR="00A91C73">
          <w:rPr>
            <w:noProof/>
            <w:webHidden/>
          </w:rPr>
        </w:r>
        <w:r w:rsidR="00A91C73">
          <w:rPr>
            <w:noProof/>
            <w:webHidden/>
          </w:rPr>
          <w:fldChar w:fldCharType="separate"/>
        </w:r>
        <w:r w:rsidR="00ED2D38">
          <w:rPr>
            <w:noProof/>
            <w:webHidden/>
          </w:rPr>
          <w:t>131</w:t>
        </w:r>
        <w:r w:rsidR="00A91C73">
          <w:rPr>
            <w:noProof/>
            <w:webHidden/>
          </w:rPr>
          <w:fldChar w:fldCharType="end"/>
        </w:r>
      </w:hyperlink>
    </w:p>
    <w:p w14:paraId="78FC701B" w14:textId="58D72902" w:rsidR="00A91C73" w:rsidRDefault="00A53403">
      <w:pPr>
        <w:pStyle w:val="TOC3"/>
        <w:tabs>
          <w:tab w:val="right" w:leader="dot" w:pos="9350"/>
        </w:tabs>
        <w:rPr>
          <w:rFonts w:asciiTheme="minorHAnsi" w:eastAsiaTheme="minorEastAsia" w:hAnsiTheme="minorHAnsi" w:cstheme="minorBidi"/>
          <w:noProof/>
        </w:rPr>
      </w:pPr>
      <w:hyperlink w:anchor="_Toc149064122" w:history="1">
        <w:r w:rsidR="00A91C73" w:rsidRPr="00B1389E">
          <w:rPr>
            <w:rStyle w:val="Hyperlink"/>
            <w:noProof/>
          </w:rPr>
          <w:t>ABO/Rh Confirmation</w:t>
        </w:r>
        <w:r w:rsidR="00A91C73">
          <w:rPr>
            <w:noProof/>
            <w:webHidden/>
          </w:rPr>
          <w:tab/>
        </w:r>
        <w:r w:rsidR="00A91C73">
          <w:rPr>
            <w:noProof/>
            <w:webHidden/>
          </w:rPr>
          <w:fldChar w:fldCharType="begin"/>
        </w:r>
        <w:r w:rsidR="00A91C73">
          <w:rPr>
            <w:noProof/>
            <w:webHidden/>
          </w:rPr>
          <w:instrText xml:space="preserve"> PAGEREF _Toc149064122 \h </w:instrText>
        </w:r>
        <w:r w:rsidR="00A91C73">
          <w:rPr>
            <w:noProof/>
            <w:webHidden/>
          </w:rPr>
        </w:r>
        <w:r w:rsidR="00A91C73">
          <w:rPr>
            <w:noProof/>
            <w:webHidden/>
          </w:rPr>
          <w:fldChar w:fldCharType="separate"/>
        </w:r>
        <w:r w:rsidR="00ED2D38">
          <w:rPr>
            <w:noProof/>
            <w:webHidden/>
          </w:rPr>
          <w:t>131</w:t>
        </w:r>
        <w:r w:rsidR="00A91C73">
          <w:rPr>
            <w:noProof/>
            <w:webHidden/>
          </w:rPr>
          <w:fldChar w:fldCharType="end"/>
        </w:r>
      </w:hyperlink>
    </w:p>
    <w:p w14:paraId="0765C502" w14:textId="15F4F201" w:rsidR="00A91C73" w:rsidRDefault="00A53403">
      <w:pPr>
        <w:pStyle w:val="TOC3"/>
        <w:tabs>
          <w:tab w:val="right" w:leader="dot" w:pos="9350"/>
        </w:tabs>
        <w:rPr>
          <w:rFonts w:asciiTheme="minorHAnsi" w:eastAsiaTheme="minorEastAsia" w:hAnsiTheme="minorHAnsi" w:cstheme="minorBidi"/>
          <w:noProof/>
        </w:rPr>
      </w:pPr>
      <w:hyperlink w:anchor="_Toc149064123" w:history="1">
        <w:r w:rsidR="00A91C73" w:rsidRPr="00B1389E">
          <w:rPr>
            <w:rStyle w:val="Hyperlink"/>
            <w:noProof/>
          </w:rPr>
          <w:t>Unit Antigen Typing</w:t>
        </w:r>
        <w:r w:rsidR="00A91C73">
          <w:rPr>
            <w:noProof/>
            <w:webHidden/>
          </w:rPr>
          <w:tab/>
        </w:r>
        <w:r w:rsidR="00A91C73">
          <w:rPr>
            <w:noProof/>
            <w:webHidden/>
          </w:rPr>
          <w:fldChar w:fldCharType="begin"/>
        </w:r>
        <w:r w:rsidR="00A91C73">
          <w:rPr>
            <w:noProof/>
            <w:webHidden/>
          </w:rPr>
          <w:instrText xml:space="preserve"> PAGEREF _Toc149064123 \h </w:instrText>
        </w:r>
        <w:r w:rsidR="00A91C73">
          <w:rPr>
            <w:noProof/>
            <w:webHidden/>
          </w:rPr>
        </w:r>
        <w:r w:rsidR="00A91C73">
          <w:rPr>
            <w:noProof/>
            <w:webHidden/>
          </w:rPr>
          <w:fldChar w:fldCharType="separate"/>
        </w:r>
        <w:r w:rsidR="00ED2D38">
          <w:rPr>
            <w:noProof/>
            <w:webHidden/>
          </w:rPr>
          <w:t>135</w:t>
        </w:r>
        <w:r w:rsidR="00A91C73">
          <w:rPr>
            <w:noProof/>
            <w:webHidden/>
          </w:rPr>
          <w:fldChar w:fldCharType="end"/>
        </w:r>
      </w:hyperlink>
    </w:p>
    <w:p w14:paraId="66438151" w14:textId="78A8252C" w:rsidR="00A91C73" w:rsidRDefault="00A53403">
      <w:pPr>
        <w:pStyle w:val="TOC2"/>
        <w:tabs>
          <w:tab w:val="right" w:leader="dot" w:pos="9350"/>
        </w:tabs>
        <w:rPr>
          <w:rFonts w:asciiTheme="minorHAnsi" w:eastAsiaTheme="minorEastAsia" w:hAnsiTheme="minorHAnsi" w:cstheme="minorBidi"/>
          <w:smallCaps w:val="0"/>
          <w:noProof/>
        </w:rPr>
      </w:pPr>
      <w:hyperlink w:anchor="_Toc149064124" w:history="1">
        <w:r w:rsidR="00A91C73" w:rsidRPr="00B1389E">
          <w:rPr>
            <w:rStyle w:val="Hyperlink"/>
            <w:noProof/>
          </w:rPr>
          <w:t>Modify Components</w:t>
        </w:r>
        <w:r w:rsidR="00A91C73">
          <w:rPr>
            <w:noProof/>
            <w:webHidden/>
          </w:rPr>
          <w:tab/>
        </w:r>
        <w:r w:rsidR="00A91C73">
          <w:rPr>
            <w:noProof/>
            <w:webHidden/>
          </w:rPr>
          <w:fldChar w:fldCharType="begin"/>
        </w:r>
        <w:r w:rsidR="00A91C73">
          <w:rPr>
            <w:noProof/>
            <w:webHidden/>
          </w:rPr>
          <w:instrText xml:space="preserve"> PAGEREF _Toc149064124 \h </w:instrText>
        </w:r>
        <w:r w:rsidR="00A91C73">
          <w:rPr>
            <w:noProof/>
            <w:webHidden/>
          </w:rPr>
        </w:r>
        <w:r w:rsidR="00A91C73">
          <w:rPr>
            <w:noProof/>
            <w:webHidden/>
          </w:rPr>
          <w:fldChar w:fldCharType="separate"/>
        </w:r>
        <w:r w:rsidR="00ED2D38">
          <w:rPr>
            <w:noProof/>
            <w:webHidden/>
          </w:rPr>
          <w:t>146</w:t>
        </w:r>
        <w:r w:rsidR="00A91C73">
          <w:rPr>
            <w:noProof/>
            <w:webHidden/>
          </w:rPr>
          <w:fldChar w:fldCharType="end"/>
        </w:r>
      </w:hyperlink>
    </w:p>
    <w:p w14:paraId="46C4E4FB" w14:textId="52075FFB" w:rsidR="00A91C73" w:rsidRDefault="00A53403">
      <w:pPr>
        <w:pStyle w:val="TOC3"/>
        <w:tabs>
          <w:tab w:val="right" w:leader="dot" w:pos="9350"/>
        </w:tabs>
        <w:rPr>
          <w:rFonts w:asciiTheme="minorHAnsi" w:eastAsiaTheme="minorEastAsia" w:hAnsiTheme="minorHAnsi" w:cstheme="minorBidi"/>
          <w:noProof/>
        </w:rPr>
      </w:pPr>
      <w:hyperlink w:anchor="_Toc149064125" w:history="1">
        <w:r w:rsidR="00A91C73" w:rsidRPr="00B1389E">
          <w:rPr>
            <w:rStyle w:val="Hyperlink"/>
            <w:noProof/>
          </w:rPr>
          <w:t>Modify Units</w:t>
        </w:r>
        <w:r w:rsidR="00A91C73">
          <w:rPr>
            <w:noProof/>
            <w:webHidden/>
          </w:rPr>
          <w:tab/>
        </w:r>
        <w:r w:rsidR="00A91C73">
          <w:rPr>
            <w:noProof/>
            <w:webHidden/>
          </w:rPr>
          <w:fldChar w:fldCharType="begin"/>
        </w:r>
        <w:r w:rsidR="00A91C73">
          <w:rPr>
            <w:noProof/>
            <w:webHidden/>
          </w:rPr>
          <w:instrText xml:space="preserve"> PAGEREF _Toc149064125 \h </w:instrText>
        </w:r>
        <w:r w:rsidR="00A91C73">
          <w:rPr>
            <w:noProof/>
            <w:webHidden/>
          </w:rPr>
        </w:r>
        <w:r w:rsidR="00A91C73">
          <w:rPr>
            <w:noProof/>
            <w:webHidden/>
          </w:rPr>
          <w:fldChar w:fldCharType="separate"/>
        </w:r>
        <w:r w:rsidR="00ED2D38">
          <w:rPr>
            <w:noProof/>
            <w:webHidden/>
          </w:rPr>
          <w:t>146</w:t>
        </w:r>
        <w:r w:rsidR="00A91C73">
          <w:rPr>
            <w:noProof/>
            <w:webHidden/>
          </w:rPr>
          <w:fldChar w:fldCharType="end"/>
        </w:r>
      </w:hyperlink>
    </w:p>
    <w:p w14:paraId="0A9141E3" w14:textId="339AAE1F" w:rsidR="00A91C73" w:rsidRDefault="00A53403">
      <w:pPr>
        <w:pStyle w:val="TOC3"/>
        <w:tabs>
          <w:tab w:val="right" w:leader="dot" w:pos="9350"/>
        </w:tabs>
        <w:rPr>
          <w:rFonts w:asciiTheme="minorHAnsi" w:eastAsiaTheme="minorEastAsia" w:hAnsiTheme="minorHAnsi" w:cstheme="minorBidi"/>
          <w:noProof/>
        </w:rPr>
      </w:pPr>
      <w:hyperlink w:anchor="_Toc149064126" w:history="1">
        <w:r w:rsidR="00A91C73" w:rsidRPr="00B1389E">
          <w:rPr>
            <w:rStyle w:val="Hyperlink"/>
            <w:noProof/>
          </w:rPr>
          <w:t>Modify Units: Split a Unit</w:t>
        </w:r>
        <w:r w:rsidR="00A91C73">
          <w:rPr>
            <w:noProof/>
            <w:webHidden/>
          </w:rPr>
          <w:tab/>
        </w:r>
        <w:r w:rsidR="00A91C73">
          <w:rPr>
            <w:noProof/>
            <w:webHidden/>
          </w:rPr>
          <w:fldChar w:fldCharType="begin"/>
        </w:r>
        <w:r w:rsidR="00A91C73">
          <w:rPr>
            <w:noProof/>
            <w:webHidden/>
          </w:rPr>
          <w:instrText xml:space="preserve"> PAGEREF _Toc149064126 \h </w:instrText>
        </w:r>
        <w:r w:rsidR="00A91C73">
          <w:rPr>
            <w:noProof/>
            <w:webHidden/>
          </w:rPr>
        </w:r>
        <w:r w:rsidR="00A91C73">
          <w:rPr>
            <w:noProof/>
            <w:webHidden/>
          </w:rPr>
          <w:fldChar w:fldCharType="separate"/>
        </w:r>
        <w:r w:rsidR="00ED2D38">
          <w:rPr>
            <w:noProof/>
            <w:webHidden/>
          </w:rPr>
          <w:t>158</w:t>
        </w:r>
        <w:r w:rsidR="00A91C73">
          <w:rPr>
            <w:noProof/>
            <w:webHidden/>
          </w:rPr>
          <w:fldChar w:fldCharType="end"/>
        </w:r>
      </w:hyperlink>
    </w:p>
    <w:p w14:paraId="019946A2" w14:textId="0F8256E6" w:rsidR="00A91C73" w:rsidRDefault="00A53403">
      <w:pPr>
        <w:pStyle w:val="TOC3"/>
        <w:tabs>
          <w:tab w:val="right" w:leader="dot" w:pos="9350"/>
        </w:tabs>
        <w:rPr>
          <w:rFonts w:asciiTheme="minorHAnsi" w:eastAsiaTheme="minorEastAsia" w:hAnsiTheme="minorHAnsi" w:cstheme="minorBidi"/>
          <w:noProof/>
        </w:rPr>
      </w:pPr>
      <w:hyperlink w:anchor="_Toc149064127" w:history="1">
        <w:r w:rsidR="00A91C73" w:rsidRPr="00B1389E">
          <w:rPr>
            <w:rStyle w:val="Hyperlink"/>
            <w:noProof/>
          </w:rPr>
          <w:t>Modify Units: Pool Units</w:t>
        </w:r>
        <w:r w:rsidR="00A91C73">
          <w:rPr>
            <w:noProof/>
            <w:webHidden/>
          </w:rPr>
          <w:tab/>
        </w:r>
        <w:r w:rsidR="00A91C73">
          <w:rPr>
            <w:noProof/>
            <w:webHidden/>
          </w:rPr>
          <w:fldChar w:fldCharType="begin"/>
        </w:r>
        <w:r w:rsidR="00A91C73">
          <w:rPr>
            <w:noProof/>
            <w:webHidden/>
          </w:rPr>
          <w:instrText xml:space="preserve"> PAGEREF _Toc149064127 \h </w:instrText>
        </w:r>
        <w:r w:rsidR="00A91C73">
          <w:rPr>
            <w:noProof/>
            <w:webHidden/>
          </w:rPr>
        </w:r>
        <w:r w:rsidR="00A91C73">
          <w:rPr>
            <w:noProof/>
            <w:webHidden/>
          </w:rPr>
          <w:fldChar w:fldCharType="separate"/>
        </w:r>
        <w:r w:rsidR="00ED2D38">
          <w:rPr>
            <w:noProof/>
            <w:webHidden/>
          </w:rPr>
          <w:t>161</w:t>
        </w:r>
        <w:r w:rsidR="00A91C73">
          <w:rPr>
            <w:noProof/>
            <w:webHidden/>
          </w:rPr>
          <w:fldChar w:fldCharType="end"/>
        </w:r>
      </w:hyperlink>
    </w:p>
    <w:p w14:paraId="70376BEC" w14:textId="0F9684DA" w:rsidR="00A91C73" w:rsidRDefault="00A53403">
      <w:pPr>
        <w:pStyle w:val="TOC3"/>
        <w:tabs>
          <w:tab w:val="right" w:leader="dot" w:pos="9350"/>
        </w:tabs>
        <w:rPr>
          <w:rFonts w:asciiTheme="minorHAnsi" w:eastAsiaTheme="minorEastAsia" w:hAnsiTheme="minorHAnsi" w:cstheme="minorBidi"/>
          <w:noProof/>
        </w:rPr>
      </w:pPr>
      <w:hyperlink w:anchor="_Toc149064128" w:history="1">
        <w:r w:rsidR="00A91C73" w:rsidRPr="00B1389E">
          <w:rPr>
            <w:rStyle w:val="Hyperlink"/>
            <w:noProof/>
          </w:rPr>
          <w:t>Add and/or Remove Units from a Pool</w:t>
        </w:r>
        <w:r w:rsidR="00A91C73">
          <w:rPr>
            <w:noProof/>
            <w:webHidden/>
          </w:rPr>
          <w:tab/>
        </w:r>
        <w:r w:rsidR="00A91C73">
          <w:rPr>
            <w:noProof/>
            <w:webHidden/>
          </w:rPr>
          <w:fldChar w:fldCharType="begin"/>
        </w:r>
        <w:r w:rsidR="00A91C73">
          <w:rPr>
            <w:noProof/>
            <w:webHidden/>
          </w:rPr>
          <w:instrText xml:space="preserve"> PAGEREF _Toc149064128 \h </w:instrText>
        </w:r>
        <w:r w:rsidR="00A91C73">
          <w:rPr>
            <w:noProof/>
            <w:webHidden/>
          </w:rPr>
        </w:r>
        <w:r w:rsidR="00A91C73">
          <w:rPr>
            <w:noProof/>
            <w:webHidden/>
          </w:rPr>
          <w:fldChar w:fldCharType="separate"/>
        </w:r>
        <w:r w:rsidR="00ED2D38">
          <w:rPr>
            <w:noProof/>
            <w:webHidden/>
          </w:rPr>
          <w:t>165</w:t>
        </w:r>
        <w:r w:rsidR="00A91C73">
          <w:rPr>
            <w:noProof/>
            <w:webHidden/>
          </w:rPr>
          <w:fldChar w:fldCharType="end"/>
        </w:r>
      </w:hyperlink>
    </w:p>
    <w:p w14:paraId="193429FC" w14:textId="11FA8258" w:rsidR="00A91C73" w:rsidRDefault="00A53403">
      <w:pPr>
        <w:pStyle w:val="TOC2"/>
        <w:tabs>
          <w:tab w:val="right" w:leader="dot" w:pos="9350"/>
        </w:tabs>
        <w:rPr>
          <w:rFonts w:asciiTheme="minorHAnsi" w:eastAsiaTheme="minorEastAsia" w:hAnsiTheme="minorHAnsi" w:cstheme="minorBidi"/>
          <w:smallCaps w:val="0"/>
          <w:noProof/>
        </w:rPr>
      </w:pPr>
      <w:hyperlink w:anchor="_Toc149064129" w:history="1">
        <w:r w:rsidR="00A91C73" w:rsidRPr="00B1389E">
          <w:rPr>
            <w:rStyle w:val="Hyperlink"/>
            <w:noProof/>
          </w:rPr>
          <w:t>Maintain Unit Records</w:t>
        </w:r>
        <w:r w:rsidR="00A91C73">
          <w:rPr>
            <w:noProof/>
            <w:webHidden/>
          </w:rPr>
          <w:tab/>
        </w:r>
        <w:r w:rsidR="00A91C73">
          <w:rPr>
            <w:noProof/>
            <w:webHidden/>
          </w:rPr>
          <w:fldChar w:fldCharType="begin"/>
        </w:r>
        <w:r w:rsidR="00A91C73">
          <w:rPr>
            <w:noProof/>
            <w:webHidden/>
          </w:rPr>
          <w:instrText xml:space="preserve"> PAGEREF _Toc149064129 \h </w:instrText>
        </w:r>
        <w:r w:rsidR="00A91C73">
          <w:rPr>
            <w:noProof/>
            <w:webHidden/>
          </w:rPr>
        </w:r>
        <w:r w:rsidR="00A91C73">
          <w:rPr>
            <w:noProof/>
            <w:webHidden/>
          </w:rPr>
          <w:fldChar w:fldCharType="separate"/>
        </w:r>
        <w:r w:rsidR="00ED2D38">
          <w:rPr>
            <w:noProof/>
            <w:webHidden/>
          </w:rPr>
          <w:t>168</w:t>
        </w:r>
        <w:r w:rsidR="00A91C73">
          <w:rPr>
            <w:noProof/>
            <w:webHidden/>
          </w:rPr>
          <w:fldChar w:fldCharType="end"/>
        </w:r>
      </w:hyperlink>
    </w:p>
    <w:p w14:paraId="013B611F" w14:textId="5C1D4AD7" w:rsidR="00A91C73" w:rsidRDefault="00A53403">
      <w:pPr>
        <w:pStyle w:val="TOC3"/>
        <w:tabs>
          <w:tab w:val="right" w:leader="dot" w:pos="9350"/>
        </w:tabs>
        <w:rPr>
          <w:rFonts w:asciiTheme="minorHAnsi" w:eastAsiaTheme="minorEastAsia" w:hAnsiTheme="minorHAnsi" w:cstheme="minorBidi"/>
          <w:noProof/>
        </w:rPr>
      </w:pPr>
      <w:hyperlink w:anchor="_Toc149064130" w:history="1">
        <w:r w:rsidR="00A91C73" w:rsidRPr="00B1389E">
          <w:rPr>
            <w:rStyle w:val="Hyperlink"/>
            <w:noProof/>
          </w:rPr>
          <w:t>Edit Unit Information</w:t>
        </w:r>
        <w:r w:rsidR="00A91C73">
          <w:rPr>
            <w:noProof/>
            <w:webHidden/>
          </w:rPr>
          <w:tab/>
        </w:r>
        <w:r w:rsidR="00A91C73">
          <w:rPr>
            <w:noProof/>
            <w:webHidden/>
          </w:rPr>
          <w:fldChar w:fldCharType="begin"/>
        </w:r>
        <w:r w:rsidR="00A91C73">
          <w:rPr>
            <w:noProof/>
            <w:webHidden/>
          </w:rPr>
          <w:instrText xml:space="preserve"> PAGEREF _Toc149064130 \h </w:instrText>
        </w:r>
        <w:r w:rsidR="00A91C73">
          <w:rPr>
            <w:noProof/>
            <w:webHidden/>
          </w:rPr>
        </w:r>
        <w:r w:rsidR="00A91C73">
          <w:rPr>
            <w:noProof/>
            <w:webHidden/>
          </w:rPr>
          <w:fldChar w:fldCharType="separate"/>
        </w:r>
        <w:r w:rsidR="00ED2D38">
          <w:rPr>
            <w:noProof/>
            <w:webHidden/>
          </w:rPr>
          <w:t>168</w:t>
        </w:r>
        <w:r w:rsidR="00A91C73">
          <w:rPr>
            <w:noProof/>
            <w:webHidden/>
          </w:rPr>
          <w:fldChar w:fldCharType="end"/>
        </w:r>
      </w:hyperlink>
    </w:p>
    <w:p w14:paraId="5E099B0E" w14:textId="54021939" w:rsidR="00A91C73" w:rsidRDefault="00A53403">
      <w:pPr>
        <w:pStyle w:val="TOC3"/>
        <w:tabs>
          <w:tab w:val="right" w:leader="dot" w:pos="9350"/>
        </w:tabs>
        <w:rPr>
          <w:rFonts w:asciiTheme="minorHAnsi" w:eastAsiaTheme="minorEastAsia" w:hAnsiTheme="minorHAnsi" w:cstheme="minorBidi"/>
          <w:noProof/>
        </w:rPr>
      </w:pPr>
      <w:hyperlink w:anchor="_Toc149064131" w:history="1">
        <w:r w:rsidR="00A91C73" w:rsidRPr="00B1389E">
          <w:rPr>
            <w:rStyle w:val="Hyperlink"/>
            <w:noProof/>
          </w:rPr>
          <w:t>Edit Financial Data</w:t>
        </w:r>
        <w:r w:rsidR="00A91C73">
          <w:rPr>
            <w:noProof/>
            <w:webHidden/>
          </w:rPr>
          <w:tab/>
        </w:r>
        <w:r w:rsidR="00A91C73">
          <w:rPr>
            <w:noProof/>
            <w:webHidden/>
          </w:rPr>
          <w:fldChar w:fldCharType="begin"/>
        </w:r>
        <w:r w:rsidR="00A91C73">
          <w:rPr>
            <w:noProof/>
            <w:webHidden/>
          </w:rPr>
          <w:instrText xml:space="preserve"> PAGEREF _Toc149064131 \h </w:instrText>
        </w:r>
        <w:r w:rsidR="00A91C73">
          <w:rPr>
            <w:noProof/>
            <w:webHidden/>
          </w:rPr>
        </w:r>
        <w:r w:rsidR="00A91C73">
          <w:rPr>
            <w:noProof/>
            <w:webHidden/>
          </w:rPr>
          <w:fldChar w:fldCharType="separate"/>
        </w:r>
        <w:r w:rsidR="00ED2D38">
          <w:rPr>
            <w:noProof/>
            <w:webHidden/>
          </w:rPr>
          <w:t>175</w:t>
        </w:r>
        <w:r w:rsidR="00A91C73">
          <w:rPr>
            <w:noProof/>
            <w:webHidden/>
          </w:rPr>
          <w:fldChar w:fldCharType="end"/>
        </w:r>
      </w:hyperlink>
    </w:p>
    <w:p w14:paraId="318E5C27" w14:textId="48F93499" w:rsidR="00A91C73" w:rsidRDefault="00A53403">
      <w:pPr>
        <w:pStyle w:val="TOC3"/>
        <w:tabs>
          <w:tab w:val="right" w:leader="dot" w:pos="9350"/>
        </w:tabs>
        <w:rPr>
          <w:rFonts w:asciiTheme="minorHAnsi" w:eastAsiaTheme="minorEastAsia" w:hAnsiTheme="minorHAnsi" w:cstheme="minorBidi"/>
          <w:noProof/>
        </w:rPr>
      </w:pPr>
      <w:hyperlink w:anchor="_Toc149064132" w:history="1">
        <w:r w:rsidR="00A91C73" w:rsidRPr="00B1389E">
          <w:rPr>
            <w:rStyle w:val="Hyperlink"/>
            <w:noProof/>
          </w:rPr>
          <w:t>Free Directed Unit For Crossover</w:t>
        </w:r>
        <w:r w:rsidR="00A91C73">
          <w:rPr>
            <w:noProof/>
            <w:webHidden/>
          </w:rPr>
          <w:tab/>
        </w:r>
        <w:r w:rsidR="00A91C73">
          <w:rPr>
            <w:noProof/>
            <w:webHidden/>
          </w:rPr>
          <w:fldChar w:fldCharType="begin"/>
        </w:r>
        <w:r w:rsidR="00A91C73">
          <w:rPr>
            <w:noProof/>
            <w:webHidden/>
          </w:rPr>
          <w:instrText xml:space="preserve"> PAGEREF _Toc149064132 \h </w:instrText>
        </w:r>
        <w:r w:rsidR="00A91C73">
          <w:rPr>
            <w:noProof/>
            <w:webHidden/>
          </w:rPr>
        </w:r>
        <w:r w:rsidR="00A91C73">
          <w:rPr>
            <w:noProof/>
            <w:webHidden/>
          </w:rPr>
          <w:fldChar w:fldCharType="separate"/>
        </w:r>
        <w:r w:rsidR="00ED2D38">
          <w:rPr>
            <w:noProof/>
            <w:webHidden/>
          </w:rPr>
          <w:t>177</w:t>
        </w:r>
        <w:r w:rsidR="00A91C73">
          <w:rPr>
            <w:noProof/>
            <w:webHidden/>
          </w:rPr>
          <w:fldChar w:fldCharType="end"/>
        </w:r>
      </w:hyperlink>
    </w:p>
    <w:p w14:paraId="3D7210F8" w14:textId="5B240F5A" w:rsidR="00A91C73" w:rsidRDefault="00A53403">
      <w:pPr>
        <w:pStyle w:val="TOC3"/>
        <w:tabs>
          <w:tab w:val="right" w:leader="dot" w:pos="9350"/>
        </w:tabs>
        <w:rPr>
          <w:rFonts w:asciiTheme="minorHAnsi" w:eastAsiaTheme="minorEastAsia" w:hAnsiTheme="minorHAnsi" w:cstheme="minorBidi"/>
          <w:noProof/>
        </w:rPr>
      </w:pPr>
      <w:hyperlink w:anchor="_Toc149064133" w:history="1">
        <w:r w:rsidR="00A91C73" w:rsidRPr="00B1389E">
          <w:rPr>
            <w:rStyle w:val="Hyperlink"/>
            <w:noProof/>
          </w:rPr>
          <w:t>Discard or Quarantine</w:t>
        </w:r>
        <w:r w:rsidR="00A91C73">
          <w:rPr>
            <w:noProof/>
            <w:webHidden/>
          </w:rPr>
          <w:tab/>
        </w:r>
        <w:r w:rsidR="00A91C73">
          <w:rPr>
            <w:noProof/>
            <w:webHidden/>
          </w:rPr>
          <w:fldChar w:fldCharType="begin"/>
        </w:r>
        <w:r w:rsidR="00A91C73">
          <w:rPr>
            <w:noProof/>
            <w:webHidden/>
          </w:rPr>
          <w:instrText xml:space="preserve"> PAGEREF _Toc149064133 \h </w:instrText>
        </w:r>
        <w:r w:rsidR="00A91C73">
          <w:rPr>
            <w:noProof/>
            <w:webHidden/>
          </w:rPr>
        </w:r>
        <w:r w:rsidR="00A91C73">
          <w:rPr>
            <w:noProof/>
            <w:webHidden/>
          </w:rPr>
          <w:fldChar w:fldCharType="separate"/>
        </w:r>
        <w:r w:rsidR="00ED2D38">
          <w:rPr>
            <w:noProof/>
            <w:webHidden/>
          </w:rPr>
          <w:t>179</w:t>
        </w:r>
        <w:r w:rsidR="00A91C73">
          <w:rPr>
            <w:noProof/>
            <w:webHidden/>
          </w:rPr>
          <w:fldChar w:fldCharType="end"/>
        </w:r>
      </w:hyperlink>
    </w:p>
    <w:p w14:paraId="5C01DAE6" w14:textId="3D380EAA" w:rsidR="00A91C73" w:rsidRDefault="00A53403">
      <w:pPr>
        <w:pStyle w:val="TOC2"/>
        <w:tabs>
          <w:tab w:val="right" w:leader="dot" w:pos="9350"/>
        </w:tabs>
        <w:rPr>
          <w:rFonts w:asciiTheme="minorHAnsi" w:eastAsiaTheme="minorEastAsia" w:hAnsiTheme="minorHAnsi" w:cstheme="minorBidi"/>
          <w:smallCaps w:val="0"/>
          <w:noProof/>
        </w:rPr>
      </w:pPr>
      <w:hyperlink w:anchor="_Toc149064134" w:history="1">
        <w:r w:rsidR="00A91C73" w:rsidRPr="00B1389E">
          <w:rPr>
            <w:rStyle w:val="Hyperlink"/>
            <w:noProof/>
          </w:rPr>
          <w:t>Select Units</w:t>
        </w:r>
        <w:r w:rsidR="00A91C73">
          <w:rPr>
            <w:noProof/>
            <w:webHidden/>
          </w:rPr>
          <w:tab/>
        </w:r>
        <w:r w:rsidR="00A91C73">
          <w:rPr>
            <w:noProof/>
            <w:webHidden/>
          </w:rPr>
          <w:fldChar w:fldCharType="begin"/>
        </w:r>
        <w:r w:rsidR="00A91C73">
          <w:rPr>
            <w:noProof/>
            <w:webHidden/>
          </w:rPr>
          <w:instrText xml:space="preserve"> PAGEREF _Toc149064134 \h </w:instrText>
        </w:r>
        <w:r w:rsidR="00A91C73">
          <w:rPr>
            <w:noProof/>
            <w:webHidden/>
          </w:rPr>
        </w:r>
        <w:r w:rsidR="00A91C73">
          <w:rPr>
            <w:noProof/>
            <w:webHidden/>
          </w:rPr>
          <w:fldChar w:fldCharType="separate"/>
        </w:r>
        <w:r w:rsidR="00ED2D38">
          <w:rPr>
            <w:noProof/>
            <w:webHidden/>
          </w:rPr>
          <w:t>185</w:t>
        </w:r>
        <w:r w:rsidR="00A91C73">
          <w:rPr>
            <w:noProof/>
            <w:webHidden/>
          </w:rPr>
          <w:fldChar w:fldCharType="end"/>
        </w:r>
      </w:hyperlink>
    </w:p>
    <w:p w14:paraId="4E379D78" w14:textId="0D0E6C04" w:rsidR="00A91C73" w:rsidRDefault="00A53403">
      <w:pPr>
        <w:pStyle w:val="TOC2"/>
        <w:tabs>
          <w:tab w:val="right" w:leader="dot" w:pos="9350"/>
        </w:tabs>
        <w:rPr>
          <w:rFonts w:asciiTheme="minorHAnsi" w:eastAsiaTheme="minorEastAsia" w:hAnsiTheme="minorHAnsi" w:cstheme="minorBidi"/>
          <w:smallCaps w:val="0"/>
          <w:noProof/>
        </w:rPr>
      </w:pPr>
      <w:hyperlink w:anchor="_Toc149064135" w:history="1">
        <w:r w:rsidR="00A91C73" w:rsidRPr="00B1389E">
          <w:rPr>
            <w:rStyle w:val="Hyperlink"/>
            <w:noProof/>
          </w:rPr>
          <w:t>Issue Blood Components</w:t>
        </w:r>
        <w:r w:rsidR="00A91C73">
          <w:rPr>
            <w:noProof/>
            <w:webHidden/>
          </w:rPr>
          <w:tab/>
        </w:r>
        <w:r w:rsidR="00A91C73">
          <w:rPr>
            <w:noProof/>
            <w:webHidden/>
          </w:rPr>
          <w:fldChar w:fldCharType="begin"/>
        </w:r>
        <w:r w:rsidR="00A91C73">
          <w:rPr>
            <w:noProof/>
            <w:webHidden/>
          </w:rPr>
          <w:instrText xml:space="preserve"> PAGEREF _Toc149064135 \h </w:instrText>
        </w:r>
        <w:r w:rsidR="00A91C73">
          <w:rPr>
            <w:noProof/>
            <w:webHidden/>
          </w:rPr>
        </w:r>
        <w:r w:rsidR="00A91C73">
          <w:rPr>
            <w:noProof/>
            <w:webHidden/>
          </w:rPr>
          <w:fldChar w:fldCharType="separate"/>
        </w:r>
        <w:r w:rsidR="00ED2D38">
          <w:rPr>
            <w:noProof/>
            <w:webHidden/>
          </w:rPr>
          <w:t>196</w:t>
        </w:r>
        <w:r w:rsidR="00A91C73">
          <w:rPr>
            <w:noProof/>
            <w:webHidden/>
          </w:rPr>
          <w:fldChar w:fldCharType="end"/>
        </w:r>
      </w:hyperlink>
    </w:p>
    <w:p w14:paraId="46A0DE5C" w14:textId="64DA076C" w:rsidR="00A91C73" w:rsidRDefault="00A53403">
      <w:pPr>
        <w:pStyle w:val="TOC2"/>
        <w:tabs>
          <w:tab w:val="right" w:leader="dot" w:pos="9350"/>
        </w:tabs>
        <w:rPr>
          <w:rFonts w:asciiTheme="minorHAnsi" w:eastAsiaTheme="minorEastAsia" w:hAnsiTheme="minorHAnsi" w:cstheme="minorBidi"/>
          <w:smallCaps w:val="0"/>
          <w:noProof/>
        </w:rPr>
      </w:pPr>
      <w:hyperlink w:anchor="_Toc149064136" w:history="1">
        <w:r w:rsidR="00A91C73" w:rsidRPr="00B1389E">
          <w:rPr>
            <w:rStyle w:val="Hyperlink"/>
            <w:noProof/>
          </w:rPr>
          <w:t>Return Issued Units To Blood Bank</w:t>
        </w:r>
        <w:r w:rsidR="00A91C73">
          <w:rPr>
            <w:noProof/>
            <w:webHidden/>
          </w:rPr>
          <w:tab/>
        </w:r>
        <w:r w:rsidR="00A91C73">
          <w:rPr>
            <w:noProof/>
            <w:webHidden/>
          </w:rPr>
          <w:fldChar w:fldCharType="begin"/>
        </w:r>
        <w:r w:rsidR="00A91C73">
          <w:rPr>
            <w:noProof/>
            <w:webHidden/>
          </w:rPr>
          <w:instrText xml:space="preserve"> PAGEREF _Toc149064136 \h </w:instrText>
        </w:r>
        <w:r w:rsidR="00A91C73">
          <w:rPr>
            <w:noProof/>
            <w:webHidden/>
          </w:rPr>
        </w:r>
        <w:r w:rsidR="00A91C73">
          <w:rPr>
            <w:noProof/>
            <w:webHidden/>
          </w:rPr>
          <w:fldChar w:fldCharType="separate"/>
        </w:r>
        <w:r w:rsidR="00ED2D38">
          <w:rPr>
            <w:noProof/>
            <w:webHidden/>
          </w:rPr>
          <w:t>210</w:t>
        </w:r>
        <w:r w:rsidR="00A91C73">
          <w:rPr>
            <w:noProof/>
            <w:webHidden/>
          </w:rPr>
          <w:fldChar w:fldCharType="end"/>
        </w:r>
      </w:hyperlink>
    </w:p>
    <w:p w14:paraId="247F3A21" w14:textId="241B6544" w:rsidR="00A91C73" w:rsidRDefault="00A53403">
      <w:pPr>
        <w:pStyle w:val="TOC2"/>
        <w:tabs>
          <w:tab w:val="right" w:leader="dot" w:pos="9350"/>
        </w:tabs>
        <w:rPr>
          <w:rFonts w:asciiTheme="minorHAnsi" w:eastAsiaTheme="minorEastAsia" w:hAnsiTheme="minorHAnsi" w:cstheme="minorBidi"/>
          <w:smallCaps w:val="0"/>
          <w:noProof/>
        </w:rPr>
      </w:pPr>
      <w:hyperlink w:anchor="_Toc149064137" w:history="1">
        <w:r w:rsidR="00A91C73" w:rsidRPr="00B1389E">
          <w:rPr>
            <w:rStyle w:val="Hyperlink"/>
            <w:noProof/>
          </w:rPr>
          <w:t>Release Units From Patient Assignment</w:t>
        </w:r>
        <w:r w:rsidR="00A91C73">
          <w:rPr>
            <w:noProof/>
            <w:webHidden/>
          </w:rPr>
          <w:tab/>
        </w:r>
        <w:r w:rsidR="00A91C73">
          <w:rPr>
            <w:noProof/>
            <w:webHidden/>
          </w:rPr>
          <w:fldChar w:fldCharType="begin"/>
        </w:r>
        <w:r w:rsidR="00A91C73">
          <w:rPr>
            <w:noProof/>
            <w:webHidden/>
          </w:rPr>
          <w:instrText xml:space="preserve"> PAGEREF _Toc149064137 \h </w:instrText>
        </w:r>
        <w:r w:rsidR="00A91C73">
          <w:rPr>
            <w:noProof/>
            <w:webHidden/>
          </w:rPr>
        </w:r>
        <w:r w:rsidR="00A91C73">
          <w:rPr>
            <w:noProof/>
            <w:webHidden/>
          </w:rPr>
          <w:fldChar w:fldCharType="separate"/>
        </w:r>
        <w:r w:rsidR="00ED2D38">
          <w:rPr>
            <w:noProof/>
            <w:webHidden/>
          </w:rPr>
          <w:t>214</w:t>
        </w:r>
        <w:r w:rsidR="00A91C73">
          <w:rPr>
            <w:noProof/>
            <w:webHidden/>
          </w:rPr>
          <w:fldChar w:fldCharType="end"/>
        </w:r>
      </w:hyperlink>
    </w:p>
    <w:p w14:paraId="3FE5BB23" w14:textId="47C58692" w:rsidR="00A91C73" w:rsidRDefault="00A53403">
      <w:pPr>
        <w:pStyle w:val="TOC2"/>
        <w:tabs>
          <w:tab w:val="right" w:leader="dot" w:pos="9350"/>
        </w:tabs>
        <w:rPr>
          <w:rFonts w:asciiTheme="minorHAnsi" w:eastAsiaTheme="minorEastAsia" w:hAnsiTheme="minorHAnsi" w:cstheme="minorBidi"/>
          <w:smallCaps w:val="0"/>
          <w:noProof/>
        </w:rPr>
      </w:pPr>
      <w:hyperlink w:anchor="_Toc149064138" w:history="1">
        <w:r w:rsidR="00A91C73" w:rsidRPr="00B1389E">
          <w:rPr>
            <w:rStyle w:val="Hyperlink"/>
            <w:noProof/>
          </w:rPr>
          <w:t>Print Unit Caution Tag &amp; Transfusion Record Form</w:t>
        </w:r>
        <w:r w:rsidR="00A91C73">
          <w:rPr>
            <w:noProof/>
            <w:webHidden/>
          </w:rPr>
          <w:tab/>
        </w:r>
        <w:r w:rsidR="00A91C73">
          <w:rPr>
            <w:noProof/>
            <w:webHidden/>
          </w:rPr>
          <w:fldChar w:fldCharType="begin"/>
        </w:r>
        <w:r w:rsidR="00A91C73">
          <w:rPr>
            <w:noProof/>
            <w:webHidden/>
          </w:rPr>
          <w:instrText xml:space="preserve"> PAGEREF _Toc149064138 \h </w:instrText>
        </w:r>
        <w:r w:rsidR="00A91C73">
          <w:rPr>
            <w:noProof/>
            <w:webHidden/>
          </w:rPr>
        </w:r>
        <w:r w:rsidR="00A91C73">
          <w:rPr>
            <w:noProof/>
            <w:webHidden/>
          </w:rPr>
          <w:fldChar w:fldCharType="separate"/>
        </w:r>
        <w:r w:rsidR="00ED2D38">
          <w:rPr>
            <w:noProof/>
            <w:webHidden/>
          </w:rPr>
          <w:t>217</w:t>
        </w:r>
        <w:r w:rsidR="00A91C73">
          <w:rPr>
            <w:noProof/>
            <w:webHidden/>
          </w:rPr>
          <w:fldChar w:fldCharType="end"/>
        </w:r>
      </w:hyperlink>
    </w:p>
    <w:p w14:paraId="6B48FB90" w14:textId="468ECFDC" w:rsidR="00A91C73" w:rsidRDefault="00A53403">
      <w:pPr>
        <w:pStyle w:val="TOC2"/>
        <w:tabs>
          <w:tab w:val="right" w:leader="dot" w:pos="9350"/>
        </w:tabs>
        <w:rPr>
          <w:rFonts w:asciiTheme="minorHAnsi" w:eastAsiaTheme="minorEastAsia" w:hAnsiTheme="minorHAnsi" w:cstheme="minorBidi"/>
          <w:smallCaps w:val="0"/>
          <w:noProof/>
        </w:rPr>
      </w:pPr>
      <w:hyperlink w:anchor="_Toc149064139" w:history="1">
        <w:r w:rsidR="00A91C73" w:rsidRPr="00B1389E">
          <w:rPr>
            <w:rStyle w:val="Hyperlink"/>
            <w:noProof/>
          </w:rPr>
          <w:t>Invalidate Test Results</w:t>
        </w:r>
        <w:r w:rsidR="00A91C73">
          <w:rPr>
            <w:noProof/>
            <w:webHidden/>
          </w:rPr>
          <w:tab/>
        </w:r>
        <w:r w:rsidR="00A91C73">
          <w:rPr>
            <w:noProof/>
            <w:webHidden/>
          </w:rPr>
          <w:fldChar w:fldCharType="begin"/>
        </w:r>
        <w:r w:rsidR="00A91C73">
          <w:rPr>
            <w:noProof/>
            <w:webHidden/>
          </w:rPr>
          <w:instrText xml:space="preserve"> PAGEREF _Toc149064139 \h </w:instrText>
        </w:r>
        <w:r w:rsidR="00A91C73">
          <w:rPr>
            <w:noProof/>
            <w:webHidden/>
          </w:rPr>
        </w:r>
        <w:r w:rsidR="00A91C73">
          <w:rPr>
            <w:noProof/>
            <w:webHidden/>
          </w:rPr>
          <w:fldChar w:fldCharType="separate"/>
        </w:r>
        <w:r w:rsidR="00ED2D38">
          <w:rPr>
            <w:noProof/>
            <w:webHidden/>
          </w:rPr>
          <w:t>227</w:t>
        </w:r>
        <w:r w:rsidR="00A91C73">
          <w:rPr>
            <w:noProof/>
            <w:webHidden/>
          </w:rPr>
          <w:fldChar w:fldCharType="end"/>
        </w:r>
      </w:hyperlink>
    </w:p>
    <w:p w14:paraId="69E7B8F3" w14:textId="0C13922C" w:rsidR="00A91C73" w:rsidRDefault="00A53403">
      <w:pPr>
        <w:pStyle w:val="TOC2"/>
        <w:tabs>
          <w:tab w:val="right" w:leader="dot" w:pos="9350"/>
        </w:tabs>
        <w:rPr>
          <w:rFonts w:asciiTheme="minorHAnsi" w:eastAsiaTheme="minorEastAsia" w:hAnsiTheme="minorHAnsi" w:cstheme="minorBidi"/>
          <w:smallCaps w:val="0"/>
          <w:noProof/>
        </w:rPr>
      </w:pPr>
      <w:hyperlink w:anchor="_Toc149064140" w:history="1">
        <w:r w:rsidR="00A91C73" w:rsidRPr="00B1389E">
          <w:rPr>
            <w:rStyle w:val="Hyperlink"/>
            <w:noProof/>
          </w:rPr>
          <w:t>Remove Final Status</w:t>
        </w:r>
        <w:r w:rsidR="00A91C73">
          <w:rPr>
            <w:noProof/>
            <w:webHidden/>
          </w:rPr>
          <w:tab/>
        </w:r>
        <w:r w:rsidR="00A91C73">
          <w:rPr>
            <w:noProof/>
            <w:webHidden/>
          </w:rPr>
          <w:fldChar w:fldCharType="begin"/>
        </w:r>
        <w:r w:rsidR="00A91C73">
          <w:rPr>
            <w:noProof/>
            <w:webHidden/>
          </w:rPr>
          <w:instrText xml:space="preserve"> PAGEREF _Toc149064140 \h </w:instrText>
        </w:r>
        <w:r w:rsidR="00A91C73">
          <w:rPr>
            <w:noProof/>
            <w:webHidden/>
          </w:rPr>
        </w:r>
        <w:r w:rsidR="00A91C73">
          <w:rPr>
            <w:noProof/>
            <w:webHidden/>
          </w:rPr>
          <w:fldChar w:fldCharType="separate"/>
        </w:r>
        <w:r w:rsidR="00ED2D38">
          <w:rPr>
            <w:noProof/>
            <w:webHidden/>
          </w:rPr>
          <w:t>231</w:t>
        </w:r>
        <w:r w:rsidR="00A91C73">
          <w:rPr>
            <w:noProof/>
            <w:webHidden/>
          </w:rPr>
          <w:fldChar w:fldCharType="end"/>
        </w:r>
      </w:hyperlink>
    </w:p>
    <w:p w14:paraId="79AF2302" w14:textId="2C41CC55" w:rsidR="00A91C73" w:rsidRDefault="00A53403">
      <w:pPr>
        <w:pStyle w:val="TOC1"/>
        <w:tabs>
          <w:tab w:val="right" w:leader="dot" w:pos="9350"/>
        </w:tabs>
        <w:rPr>
          <w:rFonts w:asciiTheme="minorHAnsi" w:eastAsiaTheme="minorEastAsia" w:hAnsiTheme="minorHAnsi" w:cstheme="minorBidi"/>
          <w:b w:val="0"/>
          <w:caps w:val="0"/>
          <w:noProof/>
        </w:rPr>
      </w:pPr>
      <w:hyperlink w:anchor="_Toc149064141" w:history="1">
        <w:r w:rsidR="00A91C73" w:rsidRPr="00B1389E">
          <w:rPr>
            <w:rStyle w:val="Hyperlink"/>
            <w:noProof/>
          </w:rPr>
          <w:t>Processing Orders</w:t>
        </w:r>
        <w:r w:rsidR="00A91C73">
          <w:rPr>
            <w:noProof/>
            <w:webHidden/>
          </w:rPr>
          <w:tab/>
        </w:r>
        <w:r w:rsidR="00A91C73">
          <w:rPr>
            <w:noProof/>
            <w:webHidden/>
          </w:rPr>
          <w:fldChar w:fldCharType="begin"/>
        </w:r>
        <w:r w:rsidR="00A91C73">
          <w:rPr>
            <w:noProof/>
            <w:webHidden/>
          </w:rPr>
          <w:instrText xml:space="preserve"> PAGEREF _Toc149064141 \h </w:instrText>
        </w:r>
        <w:r w:rsidR="00A91C73">
          <w:rPr>
            <w:noProof/>
            <w:webHidden/>
          </w:rPr>
        </w:r>
        <w:r w:rsidR="00A91C73">
          <w:rPr>
            <w:noProof/>
            <w:webHidden/>
          </w:rPr>
          <w:fldChar w:fldCharType="separate"/>
        </w:r>
        <w:r w:rsidR="00ED2D38">
          <w:rPr>
            <w:noProof/>
            <w:webHidden/>
          </w:rPr>
          <w:t>234</w:t>
        </w:r>
        <w:r w:rsidR="00A91C73">
          <w:rPr>
            <w:noProof/>
            <w:webHidden/>
          </w:rPr>
          <w:fldChar w:fldCharType="end"/>
        </w:r>
      </w:hyperlink>
    </w:p>
    <w:p w14:paraId="4EDEF0AC" w14:textId="435F7829" w:rsidR="00A91C73" w:rsidRDefault="00A53403">
      <w:pPr>
        <w:pStyle w:val="TOC2"/>
        <w:tabs>
          <w:tab w:val="right" w:leader="dot" w:pos="9350"/>
        </w:tabs>
        <w:rPr>
          <w:rFonts w:asciiTheme="minorHAnsi" w:eastAsiaTheme="minorEastAsia" w:hAnsiTheme="minorHAnsi" w:cstheme="minorBidi"/>
          <w:smallCaps w:val="0"/>
          <w:noProof/>
        </w:rPr>
      </w:pPr>
      <w:hyperlink w:anchor="_Toc149064142" w:history="1">
        <w:r w:rsidR="00A91C73" w:rsidRPr="00B1389E">
          <w:rPr>
            <w:rStyle w:val="Hyperlink"/>
            <w:noProof/>
          </w:rPr>
          <w:t>Accept Orders: Accept an Order</w:t>
        </w:r>
        <w:r w:rsidR="00A91C73">
          <w:rPr>
            <w:noProof/>
            <w:webHidden/>
          </w:rPr>
          <w:tab/>
        </w:r>
        <w:r w:rsidR="00A91C73">
          <w:rPr>
            <w:noProof/>
            <w:webHidden/>
          </w:rPr>
          <w:fldChar w:fldCharType="begin"/>
        </w:r>
        <w:r w:rsidR="00A91C73">
          <w:rPr>
            <w:noProof/>
            <w:webHidden/>
          </w:rPr>
          <w:instrText xml:space="preserve"> PAGEREF _Toc149064142 \h </w:instrText>
        </w:r>
        <w:r w:rsidR="00A91C73">
          <w:rPr>
            <w:noProof/>
            <w:webHidden/>
          </w:rPr>
        </w:r>
        <w:r w:rsidR="00A91C73">
          <w:rPr>
            <w:noProof/>
            <w:webHidden/>
          </w:rPr>
          <w:fldChar w:fldCharType="separate"/>
        </w:r>
        <w:r w:rsidR="00ED2D38">
          <w:rPr>
            <w:noProof/>
            <w:webHidden/>
          </w:rPr>
          <w:t>234</w:t>
        </w:r>
        <w:r w:rsidR="00A91C73">
          <w:rPr>
            <w:noProof/>
            <w:webHidden/>
          </w:rPr>
          <w:fldChar w:fldCharType="end"/>
        </w:r>
      </w:hyperlink>
    </w:p>
    <w:p w14:paraId="59C3D485" w14:textId="29E397E8" w:rsidR="00A91C73" w:rsidRDefault="00A53403">
      <w:pPr>
        <w:pStyle w:val="TOC3"/>
        <w:tabs>
          <w:tab w:val="right" w:leader="dot" w:pos="9350"/>
        </w:tabs>
        <w:rPr>
          <w:rFonts w:asciiTheme="minorHAnsi" w:eastAsiaTheme="minorEastAsia" w:hAnsiTheme="minorHAnsi" w:cstheme="minorBidi"/>
          <w:noProof/>
        </w:rPr>
      </w:pPr>
      <w:hyperlink w:anchor="_Toc149064143" w:history="1">
        <w:r w:rsidR="00A91C73" w:rsidRPr="00B1389E">
          <w:rPr>
            <w:rStyle w:val="Hyperlink"/>
            <w:noProof/>
          </w:rPr>
          <w:t>Accept Orders: Pending Order List</w:t>
        </w:r>
        <w:r w:rsidR="00A91C73">
          <w:rPr>
            <w:noProof/>
            <w:webHidden/>
          </w:rPr>
          <w:tab/>
        </w:r>
        <w:r w:rsidR="00A91C73">
          <w:rPr>
            <w:noProof/>
            <w:webHidden/>
          </w:rPr>
          <w:fldChar w:fldCharType="begin"/>
        </w:r>
        <w:r w:rsidR="00A91C73">
          <w:rPr>
            <w:noProof/>
            <w:webHidden/>
          </w:rPr>
          <w:instrText xml:space="preserve"> PAGEREF _Toc149064143 \h </w:instrText>
        </w:r>
        <w:r w:rsidR="00A91C73">
          <w:rPr>
            <w:noProof/>
            <w:webHidden/>
          </w:rPr>
        </w:r>
        <w:r w:rsidR="00A91C73">
          <w:rPr>
            <w:noProof/>
            <w:webHidden/>
          </w:rPr>
          <w:fldChar w:fldCharType="separate"/>
        </w:r>
        <w:r w:rsidR="00ED2D38">
          <w:rPr>
            <w:noProof/>
            <w:webHidden/>
          </w:rPr>
          <w:t>240</w:t>
        </w:r>
        <w:r w:rsidR="00A91C73">
          <w:rPr>
            <w:noProof/>
            <w:webHidden/>
          </w:rPr>
          <w:fldChar w:fldCharType="end"/>
        </w:r>
      </w:hyperlink>
    </w:p>
    <w:p w14:paraId="48BCCA95" w14:textId="1B58617A" w:rsidR="00A91C73" w:rsidRDefault="00A53403">
      <w:pPr>
        <w:pStyle w:val="TOC3"/>
        <w:tabs>
          <w:tab w:val="right" w:leader="dot" w:pos="9350"/>
        </w:tabs>
        <w:rPr>
          <w:rFonts w:asciiTheme="minorHAnsi" w:eastAsiaTheme="minorEastAsia" w:hAnsiTheme="minorHAnsi" w:cstheme="minorBidi"/>
          <w:noProof/>
        </w:rPr>
      </w:pPr>
      <w:hyperlink w:anchor="_Toc149064144" w:history="1">
        <w:r w:rsidR="00A91C73" w:rsidRPr="00B1389E">
          <w:rPr>
            <w:rStyle w:val="Hyperlink"/>
            <w:noProof/>
          </w:rPr>
          <w:drawing>
            <wp:inline distT="0" distB="0" distL="0" distR="0" wp14:anchorId="456B43A3" wp14:editId="3F0EABFE">
              <wp:extent cx="156845" cy="156845"/>
              <wp:effectExtent l="0" t="0" r="0" b="0"/>
              <wp:docPr id="246" name="Picture 246" descr="Order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Order Alert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A91C73" w:rsidRPr="00B1389E">
          <w:rPr>
            <w:rStyle w:val="Hyperlink"/>
            <w:noProof/>
          </w:rPr>
          <w:t xml:space="preserve"> Display Order Alerts</w:t>
        </w:r>
        <w:r w:rsidR="00A91C73">
          <w:rPr>
            <w:noProof/>
            <w:webHidden/>
          </w:rPr>
          <w:tab/>
        </w:r>
        <w:r w:rsidR="00A91C73">
          <w:rPr>
            <w:noProof/>
            <w:webHidden/>
          </w:rPr>
          <w:fldChar w:fldCharType="begin"/>
        </w:r>
        <w:r w:rsidR="00A91C73">
          <w:rPr>
            <w:noProof/>
            <w:webHidden/>
          </w:rPr>
          <w:instrText xml:space="preserve"> PAGEREF _Toc149064144 \h </w:instrText>
        </w:r>
        <w:r w:rsidR="00A91C73">
          <w:rPr>
            <w:noProof/>
            <w:webHidden/>
          </w:rPr>
        </w:r>
        <w:r w:rsidR="00A91C73">
          <w:rPr>
            <w:noProof/>
            <w:webHidden/>
          </w:rPr>
          <w:fldChar w:fldCharType="separate"/>
        </w:r>
        <w:r w:rsidR="00ED2D38">
          <w:rPr>
            <w:noProof/>
            <w:webHidden/>
          </w:rPr>
          <w:t>242</w:t>
        </w:r>
        <w:r w:rsidR="00A91C73">
          <w:rPr>
            <w:noProof/>
            <w:webHidden/>
          </w:rPr>
          <w:fldChar w:fldCharType="end"/>
        </w:r>
      </w:hyperlink>
    </w:p>
    <w:p w14:paraId="0DB48EEC" w14:textId="28561D43" w:rsidR="00A91C73" w:rsidRDefault="00A53403">
      <w:pPr>
        <w:pStyle w:val="TOC3"/>
        <w:tabs>
          <w:tab w:val="right" w:leader="dot" w:pos="9350"/>
        </w:tabs>
        <w:rPr>
          <w:rFonts w:asciiTheme="minorHAnsi" w:eastAsiaTheme="minorEastAsia" w:hAnsiTheme="minorHAnsi" w:cstheme="minorBidi"/>
          <w:noProof/>
        </w:rPr>
      </w:pPr>
      <w:hyperlink w:anchor="_Toc149064145" w:history="1">
        <w:r w:rsidR="00A91C73" w:rsidRPr="00B1389E">
          <w:rPr>
            <w:rStyle w:val="Hyperlink"/>
            <w:noProof/>
          </w:rPr>
          <w:t>CPRS Order Status Alert</w:t>
        </w:r>
        <w:r w:rsidR="00A91C73">
          <w:rPr>
            <w:noProof/>
            <w:webHidden/>
          </w:rPr>
          <w:tab/>
        </w:r>
        <w:r w:rsidR="00A91C73">
          <w:rPr>
            <w:noProof/>
            <w:webHidden/>
          </w:rPr>
          <w:fldChar w:fldCharType="begin"/>
        </w:r>
        <w:r w:rsidR="00A91C73">
          <w:rPr>
            <w:noProof/>
            <w:webHidden/>
          </w:rPr>
          <w:instrText xml:space="preserve"> PAGEREF _Toc149064145 \h </w:instrText>
        </w:r>
        <w:r w:rsidR="00A91C73">
          <w:rPr>
            <w:noProof/>
            <w:webHidden/>
          </w:rPr>
        </w:r>
        <w:r w:rsidR="00A91C73">
          <w:rPr>
            <w:noProof/>
            <w:webHidden/>
          </w:rPr>
          <w:fldChar w:fldCharType="separate"/>
        </w:r>
        <w:r w:rsidR="00ED2D38">
          <w:rPr>
            <w:noProof/>
            <w:webHidden/>
          </w:rPr>
          <w:t>244</w:t>
        </w:r>
        <w:r w:rsidR="00A91C73">
          <w:rPr>
            <w:noProof/>
            <w:webHidden/>
          </w:rPr>
          <w:fldChar w:fldCharType="end"/>
        </w:r>
      </w:hyperlink>
    </w:p>
    <w:p w14:paraId="62DBB093" w14:textId="382BA770" w:rsidR="00A91C73" w:rsidRDefault="00A53403">
      <w:pPr>
        <w:pStyle w:val="TOC3"/>
        <w:tabs>
          <w:tab w:val="right" w:leader="dot" w:pos="9350"/>
        </w:tabs>
        <w:rPr>
          <w:rFonts w:asciiTheme="minorHAnsi" w:eastAsiaTheme="minorEastAsia" w:hAnsiTheme="minorHAnsi" w:cstheme="minorBidi"/>
          <w:noProof/>
        </w:rPr>
      </w:pPr>
      <w:hyperlink w:anchor="_Toc149064146" w:history="1">
        <w:r w:rsidR="00A91C73" w:rsidRPr="00B1389E">
          <w:rPr>
            <w:rStyle w:val="Hyperlink"/>
            <w:noProof/>
          </w:rPr>
          <w:drawing>
            <wp:inline distT="0" distB="0" distL="0" distR="0" wp14:anchorId="30E8F8B4" wp14:editId="7499EB87">
              <wp:extent cx="166370" cy="156845"/>
              <wp:effectExtent l="0" t="0" r="5080" b="0"/>
              <wp:docPr id="247" name="Picture 247"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A91C73" w:rsidRPr="00B1389E">
          <w:rPr>
            <w:rStyle w:val="Hyperlink"/>
            <w:noProof/>
          </w:rPr>
          <w:t xml:space="preserve"> Display Patient Update Alerts</w:t>
        </w:r>
        <w:r w:rsidR="00A91C73">
          <w:rPr>
            <w:noProof/>
            <w:webHidden/>
          </w:rPr>
          <w:tab/>
        </w:r>
        <w:r w:rsidR="00A91C73">
          <w:rPr>
            <w:noProof/>
            <w:webHidden/>
          </w:rPr>
          <w:fldChar w:fldCharType="begin"/>
        </w:r>
        <w:r w:rsidR="00A91C73">
          <w:rPr>
            <w:noProof/>
            <w:webHidden/>
          </w:rPr>
          <w:instrText xml:space="preserve"> PAGEREF _Toc149064146 \h </w:instrText>
        </w:r>
        <w:r w:rsidR="00A91C73">
          <w:rPr>
            <w:noProof/>
            <w:webHidden/>
          </w:rPr>
        </w:r>
        <w:r w:rsidR="00A91C73">
          <w:rPr>
            <w:noProof/>
            <w:webHidden/>
          </w:rPr>
          <w:fldChar w:fldCharType="separate"/>
        </w:r>
        <w:r w:rsidR="00ED2D38">
          <w:rPr>
            <w:noProof/>
            <w:webHidden/>
          </w:rPr>
          <w:t>245</w:t>
        </w:r>
        <w:r w:rsidR="00A91C73">
          <w:rPr>
            <w:noProof/>
            <w:webHidden/>
          </w:rPr>
          <w:fldChar w:fldCharType="end"/>
        </w:r>
      </w:hyperlink>
    </w:p>
    <w:p w14:paraId="2111E420" w14:textId="485407C9" w:rsidR="00A91C73" w:rsidRDefault="00A53403">
      <w:pPr>
        <w:pStyle w:val="TOC3"/>
        <w:tabs>
          <w:tab w:val="right" w:leader="dot" w:pos="9350"/>
        </w:tabs>
        <w:rPr>
          <w:rFonts w:asciiTheme="minorHAnsi" w:eastAsiaTheme="minorEastAsia" w:hAnsiTheme="minorHAnsi" w:cstheme="minorBidi"/>
          <w:noProof/>
        </w:rPr>
      </w:pPr>
      <w:hyperlink w:anchor="_Toc149064147" w:history="1">
        <w:r w:rsidR="00A91C73" w:rsidRPr="00B1389E">
          <w:rPr>
            <w:rStyle w:val="Hyperlink"/>
            <w:noProof/>
          </w:rPr>
          <w:drawing>
            <wp:inline distT="0" distB="0" distL="0" distR="0" wp14:anchorId="4FED8796" wp14:editId="667774E9">
              <wp:extent cx="166370" cy="156845"/>
              <wp:effectExtent l="0" t="0" r="5080" b="0"/>
              <wp:docPr id="248" name="Picture 248"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A91C73" w:rsidRPr="00B1389E">
          <w:rPr>
            <w:rStyle w:val="Hyperlink"/>
            <w:noProof/>
          </w:rPr>
          <w:t xml:space="preserve"> Display Patient Merge Alerts</w:t>
        </w:r>
        <w:r w:rsidR="00A91C73">
          <w:rPr>
            <w:noProof/>
            <w:webHidden/>
          </w:rPr>
          <w:tab/>
        </w:r>
        <w:r w:rsidR="00A91C73">
          <w:rPr>
            <w:noProof/>
            <w:webHidden/>
          </w:rPr>
          <w:fldChar w:fldCharType="begin"/>
        </w:r>
        <w:r w:rsidR="00A91C73">
          <w:rPr>
            <w:noProof/>
            <w:webHidden/>
          </w:rPr>
          <w:instrText xml:space="preserve"> PAGEREF _Toc149064147 \h </w:instrText>
        </w:r>
        <w:r w:rsidR="00A91C73">
          <w:rPr>
            <w:noProof/>
            <w:webHidden/>
          </w:rPr>
        </w:r>
        <w:r w:rsidR="00A91C73">
          <w:rPr>
            <w:noProof/>
            <w:webHidden/>
          </w:rPr>
          <w:fldChar w:fldCharType="separate"/>
        </w:r>
        <w:r w:rsidR="00ED2D38">
          <w:rPr>
            <w:noProof/>
            <w:webHidden/>
          </w:rPr>
          <w:t>246</w:t>
        </w:r>
        <w:r w:rsidR="00A91C73">
          <w:rPr>
            <w:noProof/>
            <w:webHidden/>
          </w:rPr>
          <w:fldChar w:fldCharType="end"/>
        </w:r>
      </w:hyperlink>
    </w:p>
    <w:p w14:paraId="4669689B" w14:textId="6514F3BB" w:rsidR="00A91C73" w:rsidRDefault="00A53403">
      <w:pPr>
        <w:pStyle w:val="TOC2"/>
        <w:tabs>
          <w:tab w:val="right" w:leader="dot" w:pos="9350"/>
        </w:tabs>
        <w:rPr>
          <w:rFonts w:asciiTheme="minorHAnsi" w:eastAsiaTheme="minorEastAsia" w:hAnsiTheme="minorHAnsi" w:cstheme="minorBidi"/>
          <w:smallCaps w:val="0"/>
          <w:noProof/>
        </w:rPr>
      </w:pPr>
      <w:hyperlink w:anchor="_Toc149064148" w:history="1">
        <w:r w:rsidR="00A91C73" w:rsidRPr="00B1389E">
          <w:rPr>
            <w:rStyle w:val="Hyperlink"/>
            <w:noProof/>
          </w:rPr>
          <w:t>Emergency Transfusion Order Processing</w:t>
        </w:r>
        <w:r w:rsidR="00A91C73">
          <w:rPr>
            <w:noProof/>
            <w:webHidden/>
          </w:rPr>
          <w:tab/>
        </w:r>
        <w:r w:rsidR="00A91C73">
          <w:rPr>
            <w:noProof/>
            <w:webHidden/>
          </w:rPr>
          <w:fldChar w:fldCharType="begin"/>
        </w:r>
        <w:r w:rsidR="00A91C73">
          <w:rPr>
            <w:noProof/>
            <w:webHidden/>
          </w:rPr>
          <w:instrText xml:space="preserve"> PAGEREF _Toc149064148 \h </w:instrText>
        </w:r>
        <w:r w:rsidR="00A91C73">
          <w:rPr>
            <w:noProof/>
            <w:webHidden/>
          </w:rPr>
        </w:r>
        <w:r w:rsidR="00A91C73">
          <w:rPr>
            <w:noProof/>
            <w:webHidden/>
          </w:rPr>
          <w:fldChar w:fldCharType="separate"/>
        </w:r>
        <w:r w:rsidR="00ED2D38">
          <w:rPr>
            <w:noProof/>
            <w:webHidden/>
          </w:rPr>
          <w:t>247</w:t>
        </w:r>
        <w:r w:rsidR="00A91C73">
          <w:rPr>
            <w:noProof/>
            <w:webHidden/>
          </w:rPr>
          <w:fldChar w:fldCharType="end"/>
        </w:r>
      </w:hyperlink>
    </w:p>
    <w:p w14:paraId="54DED900" w14:textId="311050E4" w:rsidR="00A91C73" w:rsidRDefault="00A53403">
      <w:pPr>
        <w:pStyle w:val="TOC2"/>
        <w:tabs>
          <w:tab w:val="right" w:leader="dot" w:pos="9350"/>
        </w:tabs>
        <w:rPr>
          <w:rFonts w:asciiTheme="minorHAnsi" w:eastAsiaTheme="minorEastAsia" w:hAnsiTheme="minorHAnsi" w:cstheme="minorBidi"/>
          <w:smallCaps w:val="0"/>
          <w:noProof/>
        </w:rPr>
      </w:pPr>
      <w:hyperlink w:anchor="_Toc149064149" w:history="1">
        <w:r w:rsidR="00A91C73" w:rsidRPr="00B1389E">
          <w:rPr>
            <w:rStyle w:val="Hyperlink"/>
            <w:noProof/>
          </w:rPr>
          <w:t>Maintain Specimen</w:t>
        </w:r>
        <w:r w:rsidR="00A91C73">
          <w:rPr>
            <w:noProof/>
            <w:webHidden/>
          </w:rPr>
          <w:tab/>
        </w:r>
        <w:r w:rsidR="00A91C73">
          <w:rPr>
            <w:noProof/>
            <w:webHidden/>
          </w:rPr>
          <w:fldChar w:fldCharType="begin"/>
        </w:r>
        <w:r w:rsidR="00A91C73">
          <w:rPr>
            <w:noProof/>
            <w:webHidden/>
          </w:rPr>
          <w:instrText xml:space="preserve"> PAGEREF _Toc149064149 \h </w:instrText>
        </w:r>
        <w:r w:rsidR="00A91C73">
          <w:rPr>
            <w:noProof/>
            <w:webHidden/>
          </w:rPr>
        </w:r>
        <w:r w:rsidR="00A91C73">
          <w:rPr>
            <w:noProof/>
            <w:webHidden/>
          </w:rPr>
          <w:fldChar w:fldCharType="separate"/>
        </w:r>
        <w:r w:rsidR="00ED2D38">
          <w:rPr>
            <w:noProof/>
            <w:webHidden/>
          </w:rPr>
          <w:t>250</w:t>
        </w:r>
        <w:r w:rsidR="00A91C73">
          <w:rPr>
            <w:noProof/>
            <w:webHidden/>
          </w:rPr>
          <w:fldChar w:fldCharType="end"/>
        </w:r>
      </w:hyperlink>
    </w:p>
    <w:p w14:paraId="0437B4EA" w14:textId="3233E986" w:rsidR="00A91C73" w:rsidRDefault="00A53403">
      <w:pPr>
        <w:pStyle w:val="TOC2"/>
        <w:tabs>
          <w:tab w:val="right" w:leader="dot" w:pos="9350"/>
        </w:tabs>
        <w:rPr>
          <w:rFonts w:asciiTheme="minorHAnsi" w:eastAsiaTheme="minorEastAsia" w:hAnsiTheme="minorHAnsi" w:cstheme="minorBidi"/>
          <w:smallCaps w:val="0"/>
          <w:noProof/>
        </w:rPr>
      </w:pPr>
      <w:hyperlink w:anchor="_Toc149064150" w:history="1">
        <w:r w:rsidR="00A91C73" w:rsidRPr="00B1389E">
          <w:rPr>
            <w:rStyle w:val="Hyperlink"/>
            <w:noProof/>
          </w:rPr>
          <w:t>Patient Testing: Cancel an Active Order</w:t>
        </w:r>
        <w:r w:rsidR="00A91C73">
          <w:rPr>
            <w:noProof/>
            <w:webHidden/>
          </w:rPr>
          <w:tab/>
        </w:r>
        <w:r w:rsidR="00A91C73">
          <w:rPr>
            <w:noProof/>
            <w:webHidden/>
          </w:rPr>
          <w:fldChar w:fldCharType="begin"/>
        </w:r>
        <w:r w:rsidR="00A91C73">
          <w:rPr>
            <w:noProof/>
            <w:webHidden/>
          </w:rPr>
          <w:instrText xml:space="preserve"> PAGEREF _Toc149064150 \h </w:instrText>
        </w:r>
        <w:r w:rsidR="00A91C73">
          <w:rPr>
            <w:noProof/>
            <w:webHidden/>
          </w:rPr>
        </w:r>
        <w:r w:rsidR="00A91C73">
          <w:rPr>
            <w:noProof/>
            <w:webHidden/>
          </w:rPr>
          <w:fldChar w:fldCharType="separate"/>
        </w:r>
        <w:r w:rsidR="00ED2D38">
          <w:rPr>
            <w:noProof/>
            <w:webHidden/>
          </w:rPr>
          <w:t>254</w:t>
        </w:r>
        <w:r w:rsidR="00A91C73">
          <w:rPr>
            <w:noProof/>
            <w:webHidden/>
          </w:rPr>
          <w:fldChar w:fldCharType="end"/>
        </w:r>
      </w:hyperlink>
    </w:p>
    <w:p w14:paraId="6824154D" w14:textId="6DF2E9D5" w:rsidR="00A91C73" w:rsidRDefault="00A53403">
      <w:pPr>
        <w:pStyle w:val="TOC2"/>
        <w:tabs>
          <w:tab w:val="right" w:leader="dot" w:pos="9350"/>
        </w:tabs>
        <w:rPr>
          <w:rFonts w:asciiTheme="minorHAnsi" w:eastAsiaTheme="minorEastAsia" w:hAnsiTheme="minorHAnsi" w:cstheme="minorBidi"/>
          <w:smallCaps w:val="0"/>
          <w:noProof/>
        </w:rPr>
      </w:pPr>
      <w:hyperlink w:anchor="_Toc149064151" w:history="1">
        <w:r w:rsidR="00A91C73" w:rsidRPr="00B1389E">
          <w:rPr>
            <w:rStyle w:val="Hyperlink"/>
            <w:noProof/>
          </w:rPr>
          <w:t>Patient Testing: Pending Task List</w:t>
        </w:r>
        <w:r w:rsidR="00A91C73">
          <w:rPr>
            <w:noProof/>
            <w:webHidden/>
          </w:rPr>
          <w:tab/>
        </w:r>
        <w:r w:rsidR="00A91C73">
          <w:rPr>
            <w:noProof/>
            <w:webHidden/>
          </w:rPr>
          <w:fldChar w:fldCharType="begin"/>
        </w:r>
        <w:r w:rsidR="00A91C73">
          <w:rPr>
            <w:noProof/>
            <w:webHidden/>
          </w:rPr>
          <w:instrText xml:space="preserve"> PAGEREF _Toc149064151 \h </w:instrText>
        </w:r>
        <w:r w:rsidR="00A91C73">
          <w:rPr>
            <w:noProof/>
            <w:webHidden/>
          </w:rPr>
        </w:r>
        <w:r w:rsidR="00A91C73">
          <w:rPr>
            <w:noProof/>
            <w:webHidden/>
          </w:rPr>
          <w:fldChar w:fldCharType="separate"/>
        </w:r>
        <w:r w:rsidR="00ED2D38">
          <w:rPr>
            <w:noProof/>
            <w:webHidden/>
          </w:rPr>
          <w:t>256</w:t>
        </w:r>
        <w:r w:rsidR="00A91C73">
          <w:rPr>
            <w:noProof/>
            <w:webHidden/>
          </w:rPr>
          <w:fldChar w:fldCharType="end"/>
        </w:r>
      </w:hyperlink>
    </w:p>
    <w:p w14:paraId="4B520FD3" w14:textId="225A20D0" w:rsidR="00A91C73" w:rsidRDefault="00A53403">
      <w:pPr>
        <w:pStyle w:val="TOC3"/>
        <w:tabs>
          <w:tab w:val="right" w:leader="dot" w:pos="9350"/>
        </w:tabs>
        <w:rPr>
          <w:rFonts w:asciiTheme="minorHAnsi" w:eastAsiaTheme="minorEastAsia" w:hAnsiTheme="minorHAnsi" w:cstheme="minorBidi"/>
          <w:noProof/>
        </w:rPr>
      </w:pPr>
      <w:hyperlink w:anchor="_Toc149064152" w:history="1">
        <w:r w:rsidR="00A91C73" w:rsidRPr="00B1389E">
          <w:rPr>
            <w:rStyle w:val="Hyperlink"/>
            <w:noProof/>
          </w:rPr>
          <w:t>Accept Orders: Cancel a Pending Order</w:t>
        </w:r>
        <w:r w:rsidR="00A91C73">
          <w:rPr>
            <w:noProof/>
            <w:webHidden/>
          </w:rPr>
          <w:tab/>
        </w:r>
        <w:r w:rsidR="00A91C73">
          <w:rPr>
            <w:noProof/>
            <w:webHidden/>
          </w:rPr>
          <w:fldChar w:fldCharType="begin"/>
        </w:r>
        <w:r w:rsidR="00A91C73">
          <w:rPr>
            <w:noProof/>
            <w:webHidden/>
          </w:rPr>
          <w:instrText xml:space="preserve"> PAGEREF _Toc149064152 \h </w:instrText>
        </w:r>
        <w:r w:rsidR="00A91C73">
          <w:rPr>
            <w:noProof/>
            <w:webHidden/>
          </w:rPr>
        </w:r>
        <w:r w:rsidR="00A91C73">
          <w:rPr>
            <w:noProof/>
            <w:webHidden/>
          </w:rPr>
          <w:fldChar w:fldCharType="separate"/>
        </w:r>
        <w:r w:rsidR="00ED2D38">
          <w:rPr>
            <w:noProof/>
            <w:webHidden/>
          </w:rPr>
          <w:t>259</w:t>
        </w:r>
        <w:r w:rsidR="00A91C73">
          <w:rPr>
            <w:noProof/>
            <w:webHidden/>
          </w:rPr>
          <w:fldChar w:fldCharType="end"/>
        </w:r>
      </w:hyperlink>
    </w:p>
    <w:p w14:paraId="2635FE3A" w14:textId="6446DD15" w:rsidR="00A91C73" w:rsidRDefault="00A53403">
      <w:pPr>
        <w:pStyle w:val="TOC2"/>
        <w:tabs>
          <w:tab w:val="right" w:leader="dot" w:pos="9350"/>
        </w:tabs>
        <w:rPr>
          <w:rFonts w:asciiTheme="minorHAnsi" w:eastAsiaTheme="minorEastAsia" w:hAnsiTheme="minorHAnsi" w:cstheme="minorBidi"/>
          <w:smallCaps w:val="0"/>
          <w:noProof/>
        </w:rPr>
      </w:pPr>
      <w:hyperlink w:anchor="_Toc149064153" w:history="1">
        <w:r w:rsidR="00A91C73" w:rsidRPr="00B1389E">
          <w:rPr>
            <w:rStyle w:val="Hyperlink"/>
            <w:noProof/>
          </w:rPr>
          <w:t>Order Reflex Tests</w:t>
        </w:r>
        <w:r w:rsidR="00A91C73">
          <w:rPr>
            <w:noProof/>
            <w:webHidden/>
          </w:rPr>
          <w:tab/>
        </w:r>
        <w:r w:rsidR="00A91C73">
          <w:rPr>
            <w:noProof/>
            <w:webHidden/>
          </w:rPr>
          <w:fldChar w:fldCharType="begin"/>
        </w:r>
        <w:r w:rsidR="00A91C73">
          <w:rPr>
            <w:noProof/>
            <w:webHidden/>
          </w:rPr>
          <w:instrText xml:space="preserve"> PAGEREF _Toc149064153 \h </w:instrText>
        </w:r>
        <w:r w:rsidR="00A91C73">
          <w:rPr>
            <w:noProof/>
            <w:webHidden/>
          </w:rPr>
        </w:r>
        <w:r w:rsidR="00A91C73">
          <w:rPr>
            <w:noProof/>
            <w:webHidden/>
          </w:rPr>
          <w:fldChar w:fldCharType="separate"/>
        </w:r>
        <w:r w:rsidR="00ED2D38">
          <w:rPr>
            <w:noProof/>
            <w:webHidden/>
          </w:rPr>
          <w:t>261</w:t>
        </w:r>
        <w:r w:rsidR="00A91C73">
          <w:rPr>
            <w:noProof/>
            <w:webHidden/>
          </w:rPr>
          <w:fldChar w:fldCharType="end"/>
        </w:r>
      </w:hyperlink>
    </w:p>
    <w:p w14:paraId="0066B21E" w14:textId="40472D3F" w:rsidR="00A91C73" w:rsidRDefault="00A53403">
      <w:pPr>
        <w:pStyle w:val="TOC1"/>
        <w:tabs>
          <w:tab w:val="right" w:leader="dot" w:pos="9350"/>
        </w:tabs>
        <w:rPr>
          <w:rFonts w:asciiTheme="minorHAnsi" w:eastAsiaTheme="minorEastAsia" w:hAnsiTheme="minorHAnsi" w:cstheme="minorBidi"/>
          <w:b w:val="0"/>
          <w:caps w:val="0"/>
          <w:noProof/>
        </w:rPr>
      </w:pPr>
      <w:hyperlink w:anchor="_Toc149064154" w:history="1">
        <w:r w:rsidR="00A91C73" w:rsidRPr="00B1389E">
          <w:rPr>
            <w:rStyle w:val="Hyperlink"/>
            <w:noProof/>
          </w:rPr>
          <w:t>Patient Services</w:t>
        </w:r>
        <w:r w:rsidR="00A91C73">
          <w:rPr>
            <w:noProof/>
            <w:webHidden/>
          </w:rPr>
          <w:tab/>
        </w:r>
        <w:r w:rsidR="00A91C73">
          <w:rPr>
            <w:noProof/>
            <w:webHidden/>
          </w:rPr>
          <w:fldChar w:fldCharType="begin"/>
        </w:r>
        <w:r w:rsidR="00A91C73">
          <w:rPr>
            <w:noProof/>
            <w:webHidden/>
          </w:rPr>
          <w:instrText xml:space="preserve"> PAGEREF _Toc149064154 \h </w:instrText>
        </w:r>
        <w:r w:rsidR="00A91C73">
          <w:rPr>
            <w:noProof/>
            <w:webHidden/>
          </w:rPr>
        </w:r>
        <w:r w:rsidR="00A91C73">
          <w:rPr>
            <w:noProof/>
            <w:webHidden/>
          </w:rPr>
          <w:fldChar w:fldCharType="separate"/>
        </w:r>
        <w:r w:rsidR="00ED2D38">
          <w:rPr>
            <w:noProof/>
            <w:webHidden/>
          </w:rPr>
          <w:t>264</w:t>
        </w:r>
        <w:r w:rsidR="00A91C73">
          <w:rPr>
            <w:noProof/>
            <w:webHidden/>
          </w:rPr>
          <w:fldChar w:fldCharType="end"/>
        </w:r>
      </w:hyperlink>
    </w:p>
    <w:p w14:paraId="7ECBE177" w14:textId="5A3BD284" w:rsidR="00A91C73" w:rsidRDefault="00A53403">
      <w:pPr>
        <w:pStyle w:val="TOC2"/>
        <w:tabs>
          <w:tab w:val="right" w:leader="dot" w:pos="9350"/>
        </w:tabs>
        <w:rPr>
          <w:rFonts w:asciiTheme="minorHAnsi" w:eastAsiaTheme="minorEastAsia" w:hAnsiTheme="minorHAnsi" w:cstheme="minorBidi"/>
          <w:smallCaps w:val="0"/>
          <w:noProof/>
        </w:rPr>
      </w:pPr>
      <w:hyperlink w:anchor="_Toc149064155" w:history="1">
        <w:r w:rsidR="00A91C73" w:rsidRPr="00B1389E">
          <w:rPr>
            <w:rStyle w:val="Hyperlink"/>
            <w:noProof/>
          </w:rPr>
          <w:t>Patient Search Screen</w:t>
        </w:r>
        <w:r w:rsidR="00A91C73">
          <w:rPr>
            <w:noProof/>
            <w:webHidden/>
          </w:rPr>
          <w:tab/>
        </w:r>
        <w:r w:rsidR="00A91C73">
          <w:rPr>
            <w:noProof/>
            <w:webHidden/>
          </w:rPr>
          <w:fldChar w:fldCharType="begin"/>
        </w:r>
        <w:r w:rsidR="00A91C73">
          <w:rPr>
            <w:noProof/>
            <w:webHidden/>
          </w:rPr>
          <w:instrText xml:space="preserve"> PAGEREF _Toc149064155 \h </w:instrText>
        </w:r>
        <w:r w:rsidR="00A91C73">
          <w:rPr>
            <w:noProof/>
            <w:webHidden/>
          </w:rPr>
        </w:r>
        <w:r w:rsidR="00A91C73">
          <w:rPr>
            <w:noProof/>
            <w:webHidden/>
          </w:rPr>
          <w:fldChar w:fldCharType="separate"/>
        </w:r>
        <w:r w:rsidR="00ED2D38">
          <w:rPr>
            <w:noProof/>
            <w:webHidden/>
          </w:rPr>
          <w:t>264</w:t>
        </w:r>
        <w:r w:rsidR="00A91C73">
          <w:rPr>
            <w:noProof/>
            <w:webHidden/>
          </w:rPr>
          <w:fldChar w:fldCharType="end"/>
        </w:r>
      </w:hyperlink>
    </w:p>
    <w:p w14:paraId="6E9597C0" w14:textId="7E97604B" w:rsidR="00A91C73" w:rsidRDefault="00A53403">
      <w:pPr>
        <w:pStyle w:val="TOC3"/>
        <w:tabs>
          <w:tab w:val="right" w:leader="dot" w:pos="9350"/>
        </w:tabs>
        <w:rPr>
          <w:rFonts w:asciiTheme="minorHAnsi" w:eastAsiaTheme="minorEastAsia" w:hAnsiTheme="minorHAnsi" w:cstheme="minorBidi"/>
          <w:noProof/>
        </w:rPr>
      </w:pPr>
      <w:hyperlink w:anchor="_Toc149064156" w:history="1">
        <w:r w:rsidR="00A91C73" w:rsidRPr="00B1389E">
          <w:rPr>
            <w:rStyle w:val="Hyperlink"/>
            <w:noProof/>
          </w:rPr>
          <w:t>Patient Merge</w:t>
        </w:r>
        <w:r w:rsidR="00A91C73">
          <w:rPr>
            <w:noProof/>
            <w:webHidden/>
          </w:rPr>
          <w:tab/>
        </w:r>
        <w:r w:rsidR="00A91C73">
          <w:rPr>
            <w:noProof/>
            <w:webHidden/>
          </w:rPr>
          <w:fldChar w:fldCharType="begin"/>
        </w:r>
        <w:r w:rsidR="00A91C73">
          <w:rPr>
            <w:noProof/>
            <w:webHidden/>
          </w:rPr>
          <w:instrText xml:space="preserve"> PAGEREF _Toc149064156 \h </w:instrText>
        </w:r>
        <w:r w:rsidR="00A91C73">
          <w:rPr>
            <w:noProof/>
            <w:webHidden/>
          </w:rPr>
        </w:r>
        <w:r w:rsidR="00A91C73">
          <w:rPr>
            <w:noProof/>
            <w:webHidden/>
          </w:rPr>
          <w:fldChar w:fldCharType="separate"/>
        </w:r>
        <w:r w:rsidR="00ED2D38">
          <w:rPr>
            <w:noProof/>
            <w:webHidden/>
          </w:rPr>
          <w:t>267</w:t>
        </w:r>
        <w:r w:rsidR="00A91C73">
          <w:rPr>
            <w:noProof/>
            <w:webHidden/>
          </w:rPr>
          <w:fldChar w:fldCharType="end"/>
        </w:r>
      </w:hyperlink>
    </w:p>
    <w:p w14:paraId="7BEBA332" w14:textId="53EB088E" w:rsidR="00A91C73" w:rsidRDefault="00A53403">
      <w:pPr>
        <w:pStyle w:val="TOC3"/>
        <w:tabs>
          <w:tab w:val="right" w:leader="dot" w:pos="9350"/>
        </w:tabs>
        <w:rPr>
          <w:rFonts w:asciiTheme="minorHAnsi" w:eastAsiaTheme="minorEastAsia" w:hAnsiTheme="minorHAnsi" w:cstheme="minorBidi"/>
          <w:noProof/>
        </w:rPr>
      </w:pPr>
      <w:hyperlink w:anchor="_Toc149064157" w:history="1">
        <w:r w:rsidR="00A91C73" w:rsidRPr="00B1389E">
          <w:rPr>
            <w:rStyle w:val="Hyperlink"/>
            <w:noProof/>
          </w:rPr>
          <w:t>Updated Patients and Deceased Patients</w:t>
        </w:r>
        <w:r w:rsidR="00A91C73">
          <w:rPr>
            <w:noProof/>
            <w:webHidden/>
          </w:rPr>
          <w:tab/>
        </w:r>
        <w:r w:rsidR="00A91C73">
          <w:rPr>
            <w:noProof/>
            <w:webHidden/>
          </w:rPr>
          <w:fldChar w:fldCharType="begin"/>
        </w:r>
        <w:r w:rsidR="00A91C73">
          <w:rPr>
            <w:noProof/>
            <w:webHidden/>
          </w:rPr>
          <w:instrText xml:space="preserve"> PAGEREF _Toc149064157 \h </w:instrText>
        </w:r>
        <w:r w:rsidR="00A91C73">
          <w:rPr>
            <w:noProof/>
            <w:webHidden/>
          </w:rPr>
        </w:r>
        <w:r w:rsidR="00A91C73">
          <w:rPr>
            <w:noProof/>
            <w:webHidden/>
          </w:rPr>
          <w:fldChar w:fldCharType="separate"/>
        </w:r>
        <w:r w:rsidR="00ED2D38">
          <w:rPr>
            <w:noProof/>
            <w:webHidden/>
          </w:rPr>
          <w:t>271</w:t>
        </w:r>
        <w:r w:rsidR="00A91C73">
          <w:rPr>
            <w:noProof/>
            <w:webHidden/>
          </w:rPr>
          <w:fldChar w:fldCharType="end"/>
        </w:r>
      </w:hyperlink>
    </w:p>
    <w:p w14:paraId="19E0BE83" w14:textId="6B1EE6A2" w:rsidR="00A91C73" w:rsidRDefault="00A53403">
      <w:pPr>
        <w:pStyle w:val="TOC3"/>
        <w:tabs>
          <w:tab w:val="right" w:leader="dot" w:pos="9350"/>
        </w:tabs>
        <w:rPr>
          <w:rFonts w:asciiTheme="minorHAnsi" w:eastAsiaTheme="minorEastAsia" w:hAnsiTheme="minorHAnsi" w:cstheme="minorBidi"/>
          <w:noProof/>
        </w:rPr>
      </w:pPr>
      <w:hyperlink w:anchor="_Toc149064158" w:history="1">
        <w:r w:rsidR="00A91C73" w:rsidRPr="00B1389E">
          <w:rPr>
            <w:rStyle w:val="Hyperlink"/>
            <w:noProof/>
          </w:rPr>
          <w:t>Patient Testing: General Instructions</w:t>
        </w:r>
        <w:r w:rsidR="00A91C73">
          <w:rPr>
            <w:noProof/>
            <w:webHidden/>
          </w:rPr>
          <w:tab/>
        </w:r>
        <w:r w:rsidR="00A91C73">
          <w:rPr>
            <w:noProof/>
            <w:webHidden/>
          </w:rPr>
          <w:fldChar w:fldCharType="begin"/>
        </w:r>
        <w:r w:rsidR="00A91C73">
          <w:rPr>
            <w:noProof/>
            <w:webHidden/>
          </w:rPr>
          <w:instrText xml:space="preserve"> PAGEREF _Toc149064158 \h </w:instrText>
        </w:r>
        <w:r w:rsidR="00A91C73">
          <w:rPr>
            <w:noProof/>
            <w:webHidden/>
          </w:rPr>
        </w:r>
        <w:r w:rsidR="00A91C73">
          <w:rPr>
            <w:noProof/>
            <w:webHidden/>
          </w:rPr>
          <w:fldChar w:fldCharType="separate"/>
        </w:r>
        <w:r w:rsidR="00ED2D38">
          <w:rPr>
            <w:noProof/>
            <w:webHidden/>
          </w:rPr>
          <w:t>272</w:t>
        </w:r>
        <w:r w:rsidR="00A91C73">
          <w:rPr>
            <w:noProof/>
            <w:webHidden/>
          </w:rPr>
          <w:fldChar w:fldCharType="end"/>
        </w:r>
      </w:hyperlink>
    </w:p>
    <w:p w14:paraId="5DF9591E" w14:textId="03A79DAF" w:rsidR="00A91C73" w:rsidRDefault="00A53403">
      <w:pPr>
        <w:pStyle w:val="TOC3"/>
        <w:tabs>
          <w:tab w:val="right" w:leader="dot" w:pos="9350"/>
        </w:tabs>
        <w:rPr>
          <w:rFonts w:asciiTheme="minorHAnsi" w:eastAsiaTheme="minorEastAsia" w:hAnsiTheme="minorHAnsi" w:cstheme="minorBidi"/>
          <w:noProof/>
        </w:rPr>
      </w:pPr>
      <w:hyperlink w:anchor="_Toc149064159" w:history="1">
        <w:r w:rsidR="00A91C73" w:rsidRPr="00B1389E">
          <w:rPr>
            <w:rStyle w:val="Hyperlink"/>
            <w:noProof/>
          </w:rPr>
          <w:t>Patient Testing: Record a Patient ABO/Rh</w:t>
        </w:r>
        <w:r w:rsidR="00A91C73">
          <w:rPr>
            <w:noProof/>
            <w:webHidden/>
          </w:rPr>
          <w:tab/>
        </w:r>
        <w:r w:rsidR="00A91C73">
          <w:rPr>
            <w:noProof/>
            <w:webHidden/>
          </w:rPr>
          <w:fldChar w:fldCharType="begin"/>
        </w:r>
        <w:r w:rsidR="00A91C73">
          <w:rPr>
            <w:noProof/>
            <w:webHidden/>
          </w:rPr>
          <w:instrText xml:space="preserve"> PAGEREF _Toc149064159 \h </w:instrText>
        </w:r>
        <w:r w:rsidR="00A91C73">
          <w:rPr>
            <w:noProof/>
            <w:webHidden/>
          </w:rPr>
        </w:r>
        <w:r w:rsidR="00A91C73">
          <w:rPr>
            <w:noProof/>
            <w:webHidden/>
          </w:rPr>
          <w:fldChar w:fldCharType="separate"/>
        </w:r>
        <w:r w:rsidR="00ED2D38">
          <w:rPr>
            <w:noProof/>
            <w:webHidden/>
          </w:rPr>
          <w:t>278</w:t>
        </w:r>
        <w:r w:rsidR="00A91C73">
          <w:rPr>
            <w:noProof/>
            <w:webHidden/>
          </w:rPr>
          <w:fldChar w:fldCharType="end"/>
        </w:r>
      </w:hyperlink>
    </w:p>
    <w:p w14:paraId="41DCB036" w14:textId="7FDB82C7" w:rsidR="00A91C73" w:rsidRDefault="00A53403">
      <w:pPr>
        <w:pStyle w:val="TOC3"/>
        <w:tabs>
          <w:tab w:val="right" w:leader="dot" w:pos="9350"/>
        </w:tabs>
        <w:rPr>
          <w:rFonts w:asciiTheme="minorHAnsi" w:eastAsiaTheme="minorEastAsia" w:hAnsiTheme="minorHAnsi" w:cstheme="minorBidi"/>
          <w:noProof/>
        </w:rPr>
      </w:pPr>
      <w:hyperlink w:anchor="_Toc149064160" w:history="1">
        <w:r w:rsidR="00A91C73" w:rsidRPr="00B1389E">
          <w:rPr>
            <w:rStyle w:val="Hyperlink"/>
            <w:noProof/>
          </w:rPr>
          <w:t>Patient Testing: Record a Patient Antibody Screen</w:t>
        </w:r>
        <w:r w:rsidR="00A91C73">
          <w:rPr>
            <w:noProof/>
            <w:webHidden/>
          </w:rPr>
          <w:tab/>
        </w:r>
        <w:r w:rsidR="00A91C73">
          <w:rPr>
            <w:noProof/>
            <w:webHidden/>
          </w:rPr>
          <w:fldChar w:fldCharType="begin"/>
        </w:r>
        <w:r w:rsidR="00A91C73">
          <w:rPr>
            <w:noProof/>
            <w:webHidden/>
          </w:rPr>
          <w:instrText xml:space="preserve"> PAGEREF _Toc149064160 \h </w:instrText>
        </w:r>
        <w:r w:rsidR="00A91C73">
          <w:rPr>
            <w:noProof/>
            <w:webHidden/>
          </w:rPr>
        </w:r>
        <w:r w:rsidR="00A91C73">
          <w:rPr>
            <w:noProof/>
            <w:webHidden/>
          </w:rPr>
          <w:fldChar w:fldCharType="separate"/>
        </w:r>
        <w:r w:rsidR="00ED2D38">
          <w:rPr>
            <w:noProof/>
            <w:webHidden/>
          </w:rPr>
          <w:t>281</w:t>
        </w:r>
        <w:r w:rsidR="00A91C73">
          <w:rPr>
            <w:noProof/>
            <w:webHidden/>
          </w:rPr>
          <w:fldChar w:fldCharType="end"/>
        </w:r>
      </w:hyperlink>
    </w:p>
    <w:p w14:paraId="4A60D910" w14:textId="46F64165" w:rsidR="00A91C73" w:rsidRDefault="00A53403">
      <w:pPr>
        <w:pStyle w:val="TOC3"/>
        <w:tabs>
          <w:tab w:val="right" w:leader="dot" w:pos="9350"/>
        </w:tabs>
        <w:rPr>
          <w:rFonts w:asciiTheme="minorHAnsi" w:eastAsiaTheme="minorEastAsia" w:hAnsiTheme="minorHAnsi" w:cstheme="minorBidi"/>
          <w:noProof/>
        </w:rPr>
      </w:pPr>
      <w:hyperlink w:anchor="_Toc149064161" w:history="1">
        <w:r w:rsidR="00A91C73" w:rsidRPr="00B1389E">
          <w:rPr>
            <w:rStyle w:val="Hyperlink"/>
            <w:noProof/>
          </w:rPr>
          <w:t>Patient Testing: Record a Direct Antiglobulin Test</w:t>
        </w:r>
        <w:r w:rsidR="00A91C73">
          <w:rPr>
            <w:noProof/>
            <w:webHidden/>
          </w:rPr>
          <w:tab/>
        </w:r>
        <w:r w:rsidR="00A91C73">
          <w:rPr>
            <w:noProof/>
            <w:webHidden/>
          </w:rPr>
          <w:fldChar w:fldCharType="begin"/>
        </w:r>
        <w:r w:rsidR="00A91C73">
          <w:rPr>
            <w:noProof/>
            <w:webHidden/>
          </w:rPr>
          <w:instrText xml:space="preserve"> PAGEREF _Toc149064161 \h </w:instrText>
        </w:r>
        <w:r w:rsidR="00A91C73">
          <w:rPr>
            <w:noProof/>
            <w:webHidden/>
          </w:rPr>
        </w:r>
        <w:r w:rsidR="00A91C73">
          <w:rPr>
            <w:noProof/>
            <w:webHidden/>
          </w:rPr>
          <w:fldChar w:fldCharType="separate"/>
        </w:r>
        <w:r w:rsidR="00ED2D38">
          <w:rPr>
            <w:noProof/>
            <w:webHidden/>
          </w:rPr>
          <w:t>283</w:t>
        </w:r>
        <w:r w:rsidR="00A91C73">
          <w:rPr>
            <w:noProof/>
            <w:webHidden/>
          </w:rPr>
          <w:fldChar w:fldCharType="end"/>
        </w:r>
      </w:hyperlink>
    </w:p>
    <w:p w14:paraId="007425AA" w14:textId="2199561B" w:rsidR="00A91C73" w:rsidRDefault="00A53403">
      <w:pPr>
        <w:pStyle w:val="TOC3"/>
        <w:tabs>
          <w:tab w:val="right" w:leader="dot" w:pos="9350"/>
        </w:tabs>
        <w:rPr>
          <w:rFonts w:asciiTheme="minorHAnsi" w:eastAsiaTheme="minorEastAsia" w:hAnsiTheme="minorHAnsi" w:cstheme="minorBidi"/>
          <w:noProof/>
        </w:rPr>
      </w:pPr>
      <w:hyperlink w:anchor="_Toc149064162" w:history="1">
        <w:r w:rsidR="00A91C73" w:rsidRPr="00B1389E">
          <w:rPr>
            <w:rStyle w:val="Hyperlink"/>
            <w:noProof/>
          </w:rPr>
          <w:t>Patient Testing: Record a Crossmatch</w:t>
        </w:r>
        <w:r w:rsidR="00A91C73">
          <w:rPr>
            <w:noProof/>
            <w:webHidden/>
          </w:rPr>
          <w:tab/>
        </w:r>
        <w:r w:rsidR="00A91C73">
          <w:rPr>
            <w:noProof/>
            <w:webHidden/>
          </w:rPr>
          <w:fldChar w:fldCharType="begin"/>
        </w:r>
        <w:r w:rsidR="00A91C73">
          <w:rPr>
            <w:noProof/>
            <w:webHidden/>
          </w:rPr>
          <w:instrText xml:space="preserve"> PAGEREF _Toc149064162 \h </w:instrText>
        </w:r>
        <w:r w:rsidR="00A91C73">
          <w:rPr>
            <w:noProof/>
            <w:webHidden/>
          </w:rPr>
        </w:r>
        <w:r w:rsidR="00A91C73">
          <w:rPr>
            <w:noProof/>
            <w:webHidden/>
          </w:rPr>
          <w:fldChar w:fldCharType="separate"/>
        </w:r>
        <w:r w:rsidR="00ED2D38">
          <w:rPr>
            <w:noProof/>
            <w:webHidden/>
          </w:rPr>
          <w:t>286</w:t>
        </w:r>
        <w:r w:rsidR="00A91C73">
          <w:rPr>
            <w:noProof/>
            <w:webHidden/>
          </w:rPr>
          <w:fldChar w:fldCharType="end"/>
        </w:r>
      </w:hyperlink>
    </w:p>
    <w:p w14:paraId="02D59EFD" w14:textId="2CBFE750" w:rsidR="00A91C73" w:rsidRDefault="00A53403">
      <w:pPr>
        <w:pStyle w:val="TOC3"/>
        <w:tabs>
          <w:tab w:val="right" w:leader="dot" w:pos="9350"/>
        </w:tabs>
        <w:rPr>
          <w:rFonts w:asciiTheme="minorHAnsi" w:eastAsiaTheme="minorEastAsia" w:hAnsiTheme="minorHAnsi" w:cstheme="minorBidi"/>
          <w:noProof/>
        </w:rPr>
      </w:pPr>
      <w:hyperlink w:anchor="_Toc149064163" w:history="1">
        <w:r w:rsidR="00A91C73" w:rsidRPr="00B1389E">
          <w:rPr>
            <w:rStyle w:val="Hyperlink"/>
            <w:noProof/>
          </w:rPr>
          <w:t>Patient Testing: Record a Patient Antigen Typing</w:t>
        </w:r>
        <w:r w:rsidR="00A91C73">
          <w:rPr>
            <w:noProof/>
            <w:webHidden/>
          </w:rPr>
          <w:tab/>
        </w:r>
        <w:r w:rsidR="00A91C73">
          <w:rPr>
            <w:noProof/>
            <w:webHidden/>
          </w:rPr>
          <w:fldChar w:fldCharType="begin"/>
        </w:r>
        <w:r w:rsidR="00A91C73">
          <w:rPr>
            <w:noProof/>
            <w:webHidden/>
          </w:rPr>
          <w:instrText xml:space="preserve"> PAGEREF _Toc149064163 \h </w:instrText>
        </w:r>
        <w:r w:rsidR="00A91C73">
          <w:rPr>
            <w:noProof/>
            <w:webHidden/>
          </w:rPr>
        </w:r>
        <w:r w:rsidR="00A91C73">
          <w:rPr>
            <w:noProof/>
            <w:webHidden/>
          </w:rPr>
          <w:fldChar w:fldCharType="separate"/>
        </w:r>
        <w:r w:rsidR="00ED2D38">
          <w:rPr>
            <w:noProof/>
            <w:webHidden/>
          </w:rPr>
          <w:t>291</w:t>
        </w:r>
        <w:r w:rsidR="00A91C73">
          <w:rPr>
            <w:noProof/>
            <w:webHidden/>
          </w:rPr>
          <w:fldChar w:fldCharType="end"/>
        </w:r>
      </w:hyperlink>
    </w:p>
    <w:p w14:paraId="5840F42D" w14:textId="4AD79C1C" w:rsidR="00A91C73" w:rsidRDefault="00A53403">
      <w:pPr>
        <w:pStyle w:val="TOC3"/>
        <w:tabs>
          <w:tab w:val="right" w:leader="dot" w:pos="9350"/>
        </w:tabs>
        <w:rPr>
          <w:rFonts w:asciiTheme="minorHAnsi" w:eastAsiaTheme="minorEastAsia" w:hAnsiTheme="minorHAnsi" w:cstheme="minorBidi"/>
          <w:noProof/>
        </w:rPr>
      </w:pPr>
      <w:hyperlink w:anchor="_Toc149064164" w:history="1">
        <w:r w:rsidR="00A91C73" w:rsidRPr="00B1389E">
          <w:rPr>
            <w:rStyle w:val="Hyperlink"/>
            <w:noProof/>
          </w:rPr>
          <w:t>Patient Testing: Enter Antibody Identification Results</w:t>
        </w:r>
        <w:r w:rsidR="00A91C73">
          <w:rPr>
            <w:noProof/>
            <w:webHidden/>
          </w:rPr>
          <w:tab/>
        </w:r>
        <w:r w:rsidR="00A91C73">
          <w:rPr>
            <w:noProof/>
            <w:webHidden/>
          </w:rPr>
          <w:fldChar w:fldCharType="begin"/>
        </w:r>
        <w:r w:rsidR="00A91C73">
          <w:rPr>
            <w:noProof/>
            <w:webHidden/>
          </w:rPr>
          <w:instrText xml:space="preserve"> PAGEREF _Toc149064164 \h </w:instrText>
        </w:r>
        <w:r w:rsidR="00A91C73">
          <w:rPr>
            <w:noProof/>
            <w:webHidden/>
          </w:rPr>
        </w:r>
        <w:r w:rsidR="00A91C73">
          <w:rPr>
            <w:noProof/>
            <w:webHidden/>
          </w:rPr>
          <w:fldChar w:fldCharType="separate"/>
        </w:r>
        <w:r w:rsidR="00ED2D38">
          <w:rPr>
            <w:noProof/>
            <w:webHidden/>
          </w:rPr>
          <w:t>297</w:t>
        </w:r>
        <w:r w:rsidR="00A91C73">
          <w:rPr>
            <w:noProof/>
            <w:webHidden/>
          </w:rPr>
          <w:fldChar w:fldCharType="end"/>
        </w:r>
      </w:hyperlink>
    </w:p>
    <w:p w14:paraId="4EE44463" w14:textId="4CC9E4C8" w:rsidR="00A91C73" w:rsidRDefault="00A53403">
      <w:pPr>
        <w:pStyle w:val="TOC3"/>
        <w:tabs>
          <w:tab w:val="right" w:leader="dot" w:pos="9350"/>
        </w:tabs>
        <w:rPr>
          <w:rFonts w:asciiTheme="minorHAnsi" w:eastAsiaTheme="minorEastAsia" w:hAnsiTheme="minorHAnsi" w:cstheme="minorBidi"/>
          <w:noProof/>
        </w:rPr>
      </w:pPr>
      <w:hyperlink w:anchor="_Toc149064165" w:history="1">
        <w:r w:rsidR="00A91C73" w:rsidRPr="00B1389E">
          <w:rPr>
            <w:rStyle w:val="Hyperlink"/>
            <w:noProof/>
          </w:rPr>
          <w:t>Patient Testing: Record a Transfusion Reaction Workup</w:t>
        </w:r>
        <w:r w:rsidR="00A91C73">
          <w:rPr>
            <w:noProof/>
            <w:webHidden/>
          </w:rPr>
          <w:tab/>
        </w:r>
        <w:r w:rsidR="00A91C73">
          <w:rPr>
            <w:noProof/>
            <w:webHidden/>
          </w:rPr>
          <w:fldChar w:fldCharType="begin"/>
        </w:r>
        <w:r w:rsidR="00A91C73">
          <w:rPr>
            <w:noProof/>
            <w:webHidden/>
          </w:rPr>
          <w:instrText xml:space="preserve"> PAGEREF _Toc149064165 \h </w:instrText>
        </w:r>
        <w:r w:rsidR="00A91C73">
          <w:rPr>
            <w:noProof/>
            <w:webHidden/>
          </w:rPr>
        </w:r>
        <w:r w:rsidR="00A91C73">
          <w:rPr>
            <w:noProof/>
            <w:webHidden/>
          </w:rPr>
          <w:fldChar w:fldCharType="separate"/>
        </w:r>
        <w:r w:rsidR="00ED2D38">
          <w:rPr>
            <w:noProof/>
            <w:webHidden/>
          </w:rPr>
          <w:t>300</w:t>
        </w:r>
        <w:r w:rsidR="00A91C73">
          <w:rPr>
            <w:noProof/>
            <w:webHidden/>
          </w:rPr>
          <w:fldChar w:fldCharType="end"/>
        </w:r>
      </w:hyperlink>
    </w:p>
    <w:p w14:paraId="262079FC" w14:textId="46ACBF16" w:rsidR="00A91C73" w:rsidRDefault="00A53403">
      <w:pPr>
        <w:pStyle w:val="TOC3"/>
        <w:tabs>
          <w:tab w:val="right" w:leader="dot" w:pos="9350"/>
        </w:tabs>
        <w:rPr>
          <w:rFonts w:asciiTheme="minorHAnsi" w:eastAsiaTheme="minorEastAsia" w:hAnsiTheme="minorHAnsi" w:cstheme="minorBidi"/>
          <w:noProof/>
        </w:rPr>
      </w:pPr>
      <w:hyperlink w:anchor="_Toc149064166" w:history="1">
        <w:r w:rsidR="00A91C73" w:rsidRPr="00B1389E">
          <w:rPr>
            <w:rStyle w:val="Hyperlink"/>
            <w:noProof/>
          </w:rPr>
          <w:t>Finalize/Print TRW</w:t>
        </w:r>
        <w:r w:rsidR="00A91C73">
          <w:rPr>
            <w:noProof/>
            <w:webHidden/>
          </w:rPr>
          <w:tab/>
        </w:r>
        <w:r w:rsidR="00A91C73">
          <w:rPr>
            <w:noProof/>
            <w:webHidden/>
          </w:rPr>
          <w:fldChar w:fldCharType="begin"/>
        </w:r>
        <w:r w:rsidR="00A91C73">
          <w:rPr>
            <w:noProof/>
            <w:webHidden/>
          </w:rPr>
          <w:instrText xml:space="preserve"> PAGEREF _Toc149064166 \h </w:instrText>
        </w:r>
        <w:r w:rsidR="00A91C73">
          <w:rPr>
            <w:noProof/>
            <w:webHidden/>
          </w:rPr>
        </w:r>
        <w:r w:rsidR="00A91C73">
          <w:rPr>
            <w:noProof/>
            <w:webHidden/>
          </w:rPr>
          <w:fldChar w:fldCharType="separate"/>
        </w:r>
        <w:r w:rsidR="00ED2D38">
          <w:rPr>
            <w:noProof/>
            <w:webHidden/>
          </w:rPr>
          <w:t>311</w:t>
        </w:r>
        <w:r w:rsidR="00A91C73">
          <w:rPr>
            <w:noProof/>
            <w:webHidden/>
          </w:rPr>
          <w:fldChar w:fldCharType="end"/>
        </w:r>
      </w:hyperlink>
    </w:p>
    <w:p w14:paraId="46F4813A" w14:textId="5F100F53" w:rsidR="00A91C73" w:rsidRDefault="00A53403">
      <w:pPr>
        <w:pStyle w:val="TOC2"/>
        <w:tabs>
          <w:tab w:val="right" w:leader="dot" w:pos="9350"/>
        </w:tabs>
        <w:rPr>
          <w:rFonts w:asciiTheme="minorHAnsi" w:eastAsiaTheme="minorEastAsia" w:hAnsiTheme="minorHAnsi" w:cstheme="minorBidi"/>
          <w:smallCaps w:val="0"/>
          <w:noProof/>
        </w:rPr>
      </w:pPr>
      <w:hyperlink w:anchor="_Toc149064167" w:history="1">
        <w:r w:rsidR="00A91C73" w:rsidRPr="00B1389E">
          <w:rPr>
            <w:rStyle w:val="Hyperlink"/>
            <w:noProof/>
          </w:rPr>
          <w:t>Maintain Patient Records</w:t>
        </w:r>
        <w:r w:rsidR="00A91C73">
          <w:rPr>
            <w:noProof/>
            <w:webHidden/>
          </w:rPr>
          <w:tab/>
        </w:r>
        <w:r w:rsidR="00A91C73">
          <w:rPr>
            <w:noProof/>
            <w:webHidden/>
          </w:rPr>
          <w:fldChar w:fldCharType="begin"/>
        </w:r>
        <w:r w:rsidR="00A91C73">
          <w:rPr>
            <w:noProof/>
            <w:webHidden/>
          </w:rPr>
          <w:instrText xml:space="preserve"> PAGEREF _Toc149064167 \h </w:instrText>
        </w:r>
        <w:r w:rsidR="00A91C73">
          <w:rPr>
            <w:noProof/>
            <w:webHidden/>
          </w:rPr>
        </w:r>
        <w:r w:rsidR="00A91C73">
          <w:rPr>
            <w:noProof/>
            <w:webHidden/>
          </w:rPr>
          <w:fldChar w:fldCharType="separate"/>
        </w:r>
        <w:r w:rsidR="00ED2D38">
          <w:rPr>
            <w:noProof/>
            <w:webHidden/>
          </w:rPr>
          <w:t>316</w:t>
        </w:r>
        <w:r w:rsidR="00A91C73">
          <w:rPr>
            <w:noProof/>
            <w:webHidden/>
          </w:rPr>
          <w:fldChar w:fldCharType="end"/>
        </w:r>
      </w:hyperlink>
    </w:p>
    <w:p w14:paraId="2D0E6F41" w14:textId="6396B191" w:rsidR="00A91C73" w:rsidRDefault="00A53403">
      <w:pPr>
        <w:pStyle w:val="TOC3"/>
        <w:tabs>
          <w:tab w:val="right" w:leader="dot" w:pos="9350"/>
        </w:tabs>
        <w:rPr>
          <w:rFonts w:asciiTheme="minorHAnsi" w:eastAsiaTheme="minorEastAsia" w:hAnsiTheme="minorHAnsi" w:cstheme="minorBidi"/>
          <w:noProof/>
        </w:rPr>
      </w:pPr>
      <w:hyperlink w:anchor="_Toc149064168" w:history="1">
        <w:r w:rsidR="00A91C73" w:rsidRPr="00B1389E">
          <w:rPr>
            <w:rStyle w:val="Hyperlink"/>
            <w:noProof/>
          </w:rPr>
          <w:t>Special Instructions &amp; Transfusion Requirements: Enter a Transfusion Requirement</w:t>
        </w:r>
        <w:r w:rsidR="00A91C73">
          <w:rPr>
            <w:noProof/>
            <w:webHidden/>
          </w:rPr>
          <w:tab/>
        </w:r>
        <w:r w:rsidR="00A91C73">
          <w:rPr>
            <w:noProof/>
            <w:webHidden/>
          </w:rPr>
          <w:fldChar w:fldCharType="begin"/>
        </w:r>
        <w:r w:rsidR="00A91C73">
          <w:rPr>
            <w:noProof/>
            <w:webHidden/>
          </w:rPr>
          <w:instrText xml:space="preserve"> PAGEREF _Toc149064168 \h </w:instrText>
        </w:r>
        <w:r w:rsidR="00A91C73">
          <w:rPr>
            <w:noProof/>
            <w:webHidden/>
          </w:rPr>
        </w:r>
        <w:r w:rsidR="00A91C73">
          <w:rPr>
            <w:noProof/>
            <w:webHidden/>
          </w:rPr>
          <w:fldChar w:fldCharType="separate"/>
        </w:r>
        <w:r w:rsidR="00ED2D38">
          <w:rPr>
            <w:noProof/>
            <w:webHidden/>
          </w:rPr>
          <w:t>316</w:t>
        </w:r>
        <w:r w:rsidR="00A91C73">
          <w:rPr>
            <w:noProof/>
            <w:webHidden/>
          </w:rPr>
          <w:fldChar w:fldCharType="end"/>
        </w:r>
      </w:hyperlink>
    </w:p>
    <w:p w14:paraId="1DCEDAA5" w14:textId="19A096E3" w:rsidR="00A91C73" w:rsidRDefault="00A53403">
      <w:pPr>
        <w:pStyle w:val="TOC3"/>
        <w:tabs>
          <w:tab w:val="right" w:leader="dot" w:pos="9350"/>
        </w:tabs>
        <w:rPr>
          <w:rFonts w:asciiTheme="minorHAnsi" w:eastAsiaTheme="minorEastAsia" w:hAnsiTheme="minorHAnsi" w:cstheme="minorBidi"/>
          <w:noProof/>
        </w:rPr>
      </w:pPr>
      <w:hyperlink w:anchor="_Toc149064169" w:history="1">
        <w:r w:rsidR="00A91C73" w:rsidRPr="00B1389E">
          <w:rPr>
            <w:rStyle w:val="Hyperlink"/>
            <w:noProof/>
          </w:rPr>
          <w:t>Special Instructions &amp; Transfusion Requirements: Enter and Remove Special Instructions</w:t>
        </w:r>
        <w:r w:rsidR="00A91C73">
          <w:rPr>
            <w:noProof/>
            <w:webHidden/>
          </w:rPr>
          <w:tab/>
        </w:r>
        <w:r w:rsidR="00A91C73">
          <w:rPr>
            <w:noProof/>
            <w:webHidden/>
          </w:rPr>
          <w:fldChar w:fldCharType="begin"/>
        </w:r>
        <w:r w:rsidR="00A91C73">
          <w:rPr>
            <w:noProof/>
            <w:webHidden/>
          </w:rPr>
          <w:instrText xml:space="preserve"> PAGEREF _Toc149064169 \h </w:instrText>
        </w:r>
        <w:r w:rsidR="00A91C73">
          <w:rPr>
            <w:noProof/>
            <w:webHidden/>
          </w:rPr>
        </w:r>
        <w:r w:rsidR="00A91C73">
          <w:rPr>
            <w:noProof/>
            <w:webHidden/>
          </w:rPr>
          <w:fldChar w:fldCharType="separate"/>
        </w:r>
        <w:r w:rsidR="00ED2D38">
          <w:rPr>
            <w:noProof/>
            <w:webHidden/>
          </w:rPr>
          <w:t>321</w:t>
        </w:r>
        <w:r w:rsidR="00A91C73">
          <w:rPr>
            <w:noProof/>
            <w:webHidden/>
          </w:rPr>
          <w:fldChar w:fldCharType="end"/>
        </w:r>
      </w:hyperlink>
    </w:p>
    <w:p w14:paraId="23A6B11A" w14:textId="035222C7" w:rsidR="00A91C73" w:rsidRDefault="00A53403">
      <w:pPr>
        <w:pStyle w:val="TOC2"/>
        <w:tabs>
          <w:tab w:val="right" w:leader="dot" w:pos="9350"/>
        </w:tabs>
        <w:rPr>
          <w:rFonts w:asciiTheme="minorHAnsi" w:eastAsiaTheme="minorEastAsia" w:hAnsiTheme="minorHAnsi" w:cstheme="minorBidi"/>
          <w:smallCaps w:val="0"/>
          <w:noProof/>
        </w:rPr>
      </w:pPr>
      <w:hyperlink w:anchor="_Toc149064170" w:history="1">
        <w:r w:rsidR="00A91C73" w:rsidRPr="00B1389E">
          <w:rPr>
            <w:rStyle w:val="Hyperlink"/>
            <w:noProof/>
          </w:rPr>
          <w:t>Post-Transfusion Information</w:t>
        </w:r>
        <w:r w:rsidR="00A91C73">
          <w:rPr>
            <w:noProof/>
            <w:webHidden/>
          </w:rPr>
          <w:tab/>
        </w:r>
        <w:r w:rsidR="00A91C73">
          <w:rPr>
            <w:noProof/>
            <w:webHidden/>
          </w:rPr>
          <w:fldChar w:fldCharType="begin"/>
        </w:r>
        <w:r w:rsidR="00A91C73">
          <w:rPr>
            <w:noProof/>
            <w:webHidden/>
          </w:rPr>
          <w:instrText xml:space="preserve"> PAGEREF _Toc149064170 \h </w:instrText>
        </w:r>
        <w:r w:rsidR="00A91C73">
          <w:rPr>
            <w:noProof/>
            <w:webHidden/>
          </w:rPr>
        </w:r>
        <w:r w:rsidR="00A91C73">
          <w:rPr>
            <w:noProof/>
            <w:webHidden/>
          </w:rPr>
          <w:fldChar w:fldCharType="separate"/>
        </w:r>
        <w:r w:rsidR="00ED2D38">
          <w:rPr>
            <w:noProof/>
            <w:webHidden/>
          </w:rPr>
          <w:t>324</w:t>
        </w:r>
        <w:r w:rsidR="00A91C73">
          <w:rPr>
            <w:noProof/>
            <w:webHidden/>
          </w:rPr>
          <w:fldChar w:fldCharType="end"/>
        </w:r>
      </w:hyperlink>
    </w:p>
    <w:p w14:paraId="4CE4FF06" w14:textId="64E32665" w:rsidR="00A91C73" w:rsidRDefault="00A53403">
      <w:pPr>
        <w:pStyle w:val="TOC2"/>
        <w:tabs>
          <w:tab w:val="right" w:leader="dot" w:pos="9350"/>
        </w:tabs>
        <w:rPr>
          <w:rFonts w:asciiTheme="minorHAnsi" w:eastAsiaTheme="minorEastAsia" w:hAnsiTheme="minorHAnsi" w:cstheme="minorBidi"/>
          <w:smallCaps w:val="0"/>
          <w:noProof/>
        </w:rPr>
      </w:pPr>
      <w:hyperlink w:anchor="_Toc149064171" w:history="1">
        <w:r w:rsidR="00A91C73" w:rsidRPr="00B1389E">
          <w:rPr>
            <w:rStyle w:val="Hyperlink"/>
            <w:noProof/>
            <w:snapToGrid w:val="0"/>
          </w:rPr>
          <w:t>Document ABO Incompatible Transfusions</w:t>
        </w:r>
        <w:r w:rsidR="00A91C73">
          <w:rPr>
            <w:noProof/>
            <w:webHidden/>
          </w:rPr>
          <w:tab/>
        </w:r>
        <w:r w:rsidR="00A91C73">
          <w:rPr>
            <w:noProof/>
            <w:webHidden/>
          </w:rPr>
          <w:fldChar w:fldCharType="begin"/>
        </w:r>
        <w:r w:rsidR="00A91C73">
          <w:rPr>
            <w:noProof/>
            <w:webHidden/>
          </w:rPr>
          <w:instrText xml:space="preserve"> PAGEREF _Toc149064171 \h </w:instrText>
        </w:r>
        <w:r w:rsidR="00A91C73">
          <w:rPr>
            <w:noProof/>
            <w:webHidden/>
          </w:rPr>
        </w:r>
        <w:r w:rsidR="00A91C73">
          <w:rPr>
            <w:noProof/>
            <w:webHidden/>
          </w:rPr>
          <w:fldChar w:fldCharType="separate"/>
        </w:r>
        <w:r w:rsidR="00ED2D38">
          <w:rPr>
            <w:noProof/>
            <w:webHidden/>
          </w:rPr>
          <w:t>330</w:t>
        </w:r>
        <w:r w:rsidR="00A91C73">
          <w:rPr>
            <w:noProof/>
            <w:webHidden/>
          </w:rPr>
          <w:fldChar w:fldCharType="end"/>
        </w:r>
      </w:hyperlink>
    </w:p>
    <w:p w14:paraId="08185516" w14:textId="630B4E37" w:rsidR="00A91C73" w:rsidRDefault="00A53403">
      <w:pPr>
        <w:pStyle w:val="TOC3"/>
        <w:tabs>
          <w:tab w:val="right" w:leader="dot" w:pos="9350"/>
        </w:tabs>
        <w:rPr>
          <w:rFonts w:asciiTheme="minorHAnsi" w:eastAsiaTheme="minorEastAsia" w:hAnsiTheme="minorHAnsi" w:cstheme="minorBidi"/>
          <w:noProof/>
        </w:rPr>
      </w:pPr>
      <w:hyperlink w:anchor="_Toc149064172" w:history="1">
        <w:r w:rsidR="00A91C73" w:rsidRPr="00B1389E">
          <w:rPr>
            <w:rStyle w:val="Hyperlink"/>
            <w:noProof/>
          </w:rPr>
          <w:t>Justify ABO/Rh Change</w:t>
        </w:r>
        <w:r w:rsidR="00A91C73">
          <w:rPr>
            <w:noProof/>
            <w:webHidden/>
          </w:rPr>
          <w:tab/>
        </w:r>
        <w:r w:rsidR="00A91C73">
          <w:rPr>
            <w:noProof/>
            <w:webHidden/>
          </w:rPr>
          <w:fldChar w:fldCharType="begin"/>
        </w:r>
        <w:r w:rsidR="00A91C73">
          <w:rPr>
            <w:noProof/>
            <w:webHidden/>
          </w:rPr>
          <w:instrText xml:space="preserve"> PAGEREF _Toc149064172 \h </w:instrText>
        </w:r>
        <w:r w:rsidR="00A91C73">
          <w:rPr>
            <w:noProof/>
            <w:webHidden/>
          </w:rPr>
        </w:r>
        <w:r w:rsidR="00A91C73">
          <w:rPr>
            <w:noProof/>
            <w:webHidden/>
          </w:rPr>
          <w:fldChar w:fldCharType="separate"/>
        </w:r>
        <w:r w:rsidR="00ED2D38">
          <w:rPr>
            <w:noProof/>
            <w:webHidden/>
          </w:rPr>
          <w:t>332</w:t>
        </w:r>
        <w:r w:rsidR="00A91C73">
          <w:rPr>
            <w:noProof/>
            <w:webHidden/>
          </w:rPr>
          <w:fldChar w:fldCharType="end"/>
        </w:r>
      </w:hyperlink>
    </w:p>
    <w:p w14:paraId="2884E08B" w14:textId="6187E507" w:rsidR="00A91C73" w:rsidRDefault="00A53403">
      <w:pPr>
        <w:pStyle w:val="TOC1"/>
        <w:tabs>
          <w:tab w:val="right" w:leader="dot" w:pos="9350"/>
        </w:tabs>
        <w:rPr>
          <w:rFonts w:asciiTheme="minorHAnsi" w:eastAsiaTheme="minorEastAsia" w:hAnsiTheme="minorHAnsi" w:cstheme="minorBidi"/>
          <w:b w:val="0"/>
          <w:caps w:val="0"/>
          <w:noProof/>
        </w:rPr>
      </w:pPr>
      <w:hyperlink w:anchor="_Toc149064173" w:history="1">
        <w:r w:rsidR="00A91C73" w:rsidRPr="00B1389E">
          <w:rPr>
            <w:rStyle w:val="Hyperlink"/>
            <w:noProof/>
          </w:rPr>
          <w:t>Automated Testing</w:t>
        </w:r>
        <w:r w:rsidR="00A91C73">
          <w:rPr>
            <w:noProof/>
            <w:webHidden/>
          </w:rPr>
          <w:tab/>
        </w:r>
        <w:r w:rsidR="00A91C73">
          <w:rPr>
            <w:noProof/>
            <w:webHidden/>
          </w:rPr>
          <w:fldChar w:fldCharType="begin"/>
        </w:r>
        <w:r w:rsidR="00A91C73">
          <w:rPr>
            <w:noProof/>
            <w:webHidden/>
          </w:rPr>
          <w:instrText xml:space="preserve"> PAGEREF _Toc149064173 \h </w:instrText>
        </w:r>
        <w:r w:rsidR="00A91C73">
          <w:rPr>
            <w:noProof/>
            <w:webHidden/>
          </w:rPr>
        </w:r>
        <w:r w:rsidR="00A91C73">
          <w:rPr>
            <w:noProof/>
            <w:webHidden/>
          </w:rPr>
          <w:fldChar w:fldCharType="separate"/>
        </w:r>
        <w:r w:rsidR="00ED2D38">
          <w:rPr>
            <w:noProof/>
            <w:webHidden/>
          </w:rPr>
          <w:t>335</w:t>
        </w:r>
        <w:r w:rsidR="00A91C73">
          <w:rPr>
            <w:noProof/>
            <w:webHidden/>
          </w:rPr>
          <w:fldChar w:fldCharType="end"/>
        </w:r>
      </w:hyperlink>
    </w:p>
    <w:p w14:paraId="0CA70D24" w14:textId="46206D75" w:rsidR="00A91C73" w:rsidRDefault="00A53403">
      <w:pPr>
        <w:pStyle w:val="TOC2"/>
        <w:tabs>
          <w:tab w:val="right" w:leader="dot" w:pos="9350"/>
        </w:tabs>
        <w:rPr>
          <w:rFonts w:asciiTheme="minorHAnsi" w:eastAsiaTheme="minorEastAsia" w:hAnsiTheme="minorHAnsi" w:cstheme="minorBidi"/>
          <w:smallCaps w:val="0"/>
          <w:noProof/>
        </w:rPr>
      </w:pPr>
      <w:hyperlink w:anchor="_Toc149064174" w:history="1">
        <w:r w:rsidR="00A91C73" w:rsidRPr="00B1389E">
          <w:rPr>
            <w:rStyle w:val="Hyperlink"/>
            <w:noProof/>
          </w:rPr>
          <w:t>Automated Testing Interface</w:t>
        </w:r>
        <w:r w:rsidR="00A91C73">
          <w:rPr>
            <w:noProof/>
            <w:webHidden/>
          </w:rPr>
          <w:tab/>
        </w:r>
        <w:r w:rsidR="00A91C73">
          <w:rPr>
            <w:noProof/>
            <w:webHidden/>
          </w:rPr>
          <w:fldChar w:fldCharType="begin"/>
        </w:r>
        <w:r w:rsidR="00A91C73">
          <w:rPr>
            <w:noProof/>
            <w:webHidden/>
          </w:rPr>
          <w:instrText xml:space="preserve"> PAGEREF _Toc149064174 \h </w:instrText>
        </w:r>
        <w:r w:rsidR="00A91C73">
          <w:rPr>
            <w:noProof/>
            <w:webHidden/>
          </w:rPr>
        </w:r>
        <w:r w:rsidR="00A91C73">
          <w:rPr>
            <w:noProof/>
            <w:webHidden/>
          </w:rPr>
          <w:fldChar w:fldCharType="separate"/>
        </w:r>
        <w:r w:rsidR="00ED2D38">
          <w:rPr>
            <w:noProof/>
            <w:webHidden/>
          </w:rPr>
          <w:t>335</w:t>
        </w:r>
        <w:r w:rsidR="00A91C73">
          <w:rPr>
            <w:noProof/>
            <w:webHidden/>
          </w:rPr>
          <w:fldChar w:fldCharType="end"/>
        </w:r>
      </w:hyperlink>
    </w:p>
    <w:p w14:paraId="7FAFCCFB" w14:textId="4B33A9EA" w:rsidR="00A91C73" w:rsidRDefault="00A53403">
      <w:pPr>
        <w:pStyle w:val="TOC2"/>
        <w:tabs>
          <w:tab w:val="right" w:leader="dot" w:pos="9350"/>
        </w:tabs>
        <w:rPr>
          <w:rFonts w:asciiTheme="minorHAnsi" w:eastAsiaTheme="minorEastAsia" w:hAnsiTheme="minorHAnsi" w:cstheme="minorBidi"/>
          <w:smallCaps w:val="0"/>
          <w:noProof/>
        </w:rPr>
      </w:pPr>
      <w:hyperlink w:anchor="_Toc149064175" w:history="1">
        <w:r w:rsidR="00A91C73" w:rsidRPr="00B1389E">
          <w:rPr>
            <w:rStyle w:val="Hyperlink"/>
            <w:noProof/>
          </w:rPr>
          <w:t>Automated Testing Review for Blood Units</w:t>
        </w:r>
        <w:r w:rsidR="00A91C73">
          <w:rPr>
            <w:noProof/>
            <w:webHidden/>
          </w:rPr>
          <w:tab/>
        </w:r>
        <w:r w:rsidR="00A91C73">
          <w:rPr>
            <w:noProof/>
            <w:webHidden/>
          </w:rPr>
          <w:fldChar w:fldCharType="begin"/>
        </w:r>
        <w:r w:rsidR="00A91C73">
          <w:rPr>
            <w:noProof/>
            <w:webHidden/>
          </w:rPr>
          <w:instrText xml:space="preserve"> PAGEREF _Toc149064175 \h </w:instrText>
        </w:r>
        <w:r w:rsidR="00A91C73">
          <w:rPr>
            <w:noProof/>
            <w:webHidden/>
          </w:rPr>
        </w:r>
        <w:r w:rsidR="00A91C73">
          <w:rPr>
            <w:noProof/>
            <w:webHidden/>
          </w:rPr>
          <w:fldChar w:fldCharType="separate"/>
        </w:r>
        <w:r w:rsidR="00ED2D38">
          <w:rPr>
            <w:noProof/>
            <w:webHidden/>
          </w:rPr>
          <w:t>339</w:t>
        </w:r>
        <w:r w:rsidR="00A91C73">
          <w:rPr>
            <w:noProof/>
            <w:webHidden/>
          </w:rPr>
          <w:fldChar w:fldCharType="end"/>
        </w:r>
      </w:hyperlink>
    </w:p>
    <w:p w14:paraId="1657AE26" w14:textId="60F62EDC" w:rsidR="00A91C73" w:rsidRDefault="00A53403">
      <w:pPr>
        <w:pStyle w:val="TOC2"/>
        <w:tabs>
          <w:tab w:val="right" w:leader="dot" w:pos="9350"/>
        </w:tabs>
        <w:rPr>
          <w:rFonts w:asciiTheme="minorHAnsi" w:eastAsiaTheme="minorEastAsia" w:hAnsiTheme="minorHAnsi" w:cstheme="minorBidi"/>
          <w:smallCaps w:val="0"/>
          <w:noProof/>
        </w:rPr>
      </w:pPr>
      <w:hyperlink w:anchor="_Toc149064176" w:history="1">
        <w:r w:rsidR="00A91C73" w:rsidRPr="00B1389E">
          <w:rPr>
            <w:rStyle w:val="Hyperlink"/>
            <w:noProof/>
          </w:rPr>
          <w:t>Automated Testing Review for Patients</w:t>
        </w:r>
        <w:r w:rsidR="00A91C73">
          <w:rPr>
            <w:noProof/>
            <w:webHidden/>
          </w:rPr>
          <w:tab/>
        </w:r>
        <w:r w:rsidR="00A91C73">
          <w:rPr>
            <w:noProof/>
            <w:webHidden/>
          </w:rPr>
          <w:fldChar w:fldCharType="begin"/>
        </w:r>
        <w:r w:rsidR="00A91C73">
          <w:rPr>
            <w:noProof/>
            <w:webHidden/>
          </w:rPr>
          <w:instrText xml:space="preserve"> PAGEREF _Toc149064176 \h </w:instrText>
        </w:r>
        <w:r w:rsidR="00A91C73">
          <w:rPr>
            <w:noProof/>
            <w:webHidden/>
          </w:rPr>
        </w:r>
        <w:r w:rsidR="00A91C73">
          <w:rPr>
            <w:noProof/>
            <w:webHidden/>
          </w:rPr>
          <w:fldChar w:fldCharType="separate"/>
        </w:r>
        <w:r w:rsidR="00ED2D38">
          <w:rPr>
            <w:noProof/>
            <w:webHidden/>
          </w:rPr>
          <w:t>343</w:t>
        </w:r>
        <w:r w:rsidR="00A91C73">
          <w:rPr>
            <w:noProof/>
            <w:webHidden/>
          </w:rPr>
          <w:fldChar w:fldCharType="end"/>
        </w:r>
      </w:hyperlink>
    </w:p>
    <w:p w14:paraId="3CC0B01C" w14:textId="0005DC9D" w:rsidR="00A91C73" w:rsidRDefault="00A53403">
      <w:pPr>
        <w:pStyle w:val="TOC1"/>
        <w:tabs>
          <w:tab w:val="right" w:leader="dot" w:pos="9350"/>
        </w:tabs>
        <w:rPr>
          <w:rFonts w:asciiTheme="minorHAnsi" w:eastAsiaTheme="minorEastAsia" w:hAnsiTheme="minorHAnsi" w:cstheme="minorBidi"/>
          <w:b w:val="0"/>
          <w:caps w:val="0"/>
          <w:noProof/>
        </w:rPr>
      </w:pPr>
      <w:hyperlink w:anchor="_Toc149064177" w:history="1">
        <w:r w:rsidR="00A91C73" w:rsidRPr="00B1389E">
          <w:rPr>
            <w:rStyle w:val="Hyperlink"/>
            <w:noProof/>
          </w:rPr>
          <w:t>Reports</w:t>
        </w:r>
        <w:r w:rsidR="00A91C73">
          <w:rPr>
            <w:noProof/>
            <w:webHidden/>
          </w:rPr>
          <w:tab/>
        </w:r>
        <w:r w:rsidR="00A91C73">
          <w:rPr>
            <w:noProof/>
            <w:webHidden/>
          </w:rPr>
          <w:fldChar w:fldCharType="begin"/>
        </w:r>
        <w:r w:rsidR="00A91C73">
          <w:rPr>
            <w:noProof/>
            <w:webHidden/>
          </w:rPr>
          <w:instrText xml:space="preserve"> PAGEREF _Toc149064177 \h </w:instrText>
        </w:r>
        <w:r w:rsidR="00A91C73">
          <w:rPr>
            <w:noProof/>
            <w:webHidden/>
          </w:rPr>
        </w:r>
        <w:r w:rsidR="00A91C73">
          <w:rPr>
            <w:noProof/>
            <w:webHidden/>
          </w:rPr>
          <w:fldChar w:fldCharType="separate"/>
        </w:r>
        <w:r w:rsidR="00ED2D38">
          <w:rPr>
            <w:noProof/>
            <w:webHidden/>
          </w:rPr>
          <w:t>349</w:t>
        </w:r>
        <w:r w:rsidR="00A91C73">
          <w:rPr>
            <w:noProof/>
            <w:webHidden/>
          </w:rPr>
          <w:fldChar w:fldCharType="end"/>
        </w:r>
      </w:hyperlink>
    </w:p>
    <w:p w14:paraId="473106E0" w14:textId="525313A0" w:rsidR="00A91C73" w:rsidRDefault="00A53403">
      <w:pPr>
        <w:pStyle w:val="TOC2"/>
        <w:tabs>
          <w:tab w:val="right" w:leader="dot" w:pos="9350"/>
        </w:tabs>
        <w:rPr>
          <w:rFonts w:asciiTheme="minorHAnsi" w:eastAsiaTheme="minorEastAsia" w:hAnsiTheme="minorHAnsi" w:cstheme="minorBidi"/>
          <w:smallCaps w:val="0"/>
          <w:noProof/>
        </w:rPr>
      </w:pPr>
      <w:hyperlink w:anchor="_Toc149064178" w:history="1">
        <w:r w:rsidR="00A91C73" w:rsidRPr="00B1389E">
          <w:rPr>
            <w:rStyle w:val="Hyperlink"/>
            <w:noProof/>
          </w:rPr>
          <w:t>Administrative Data Report</w:t>
        </w:r>
        <w:r w:rsidR="00A91C73">
          <w:rPr>
            <w:noProof/>
            <w:webHidden/>
          </w:rPr>
          <w:tab/>
        </w:r>
        <w:r w:rsidR="00A91C73">
          <w:rPr>
            <w:noProof/>
            <w:webHidden/>
          </w:rPr>
          <w:fldChar w:fldCharType="begin"/>
        </w:r>
        <w:r w:rsidR="00A91C73">
          <w:rPr>
            <w:noProof/>
            <w:webHidden/>
          </w:rPr>
          <w:instrText xml:space="preserve"> PAGEREF _Toc149064178 \h </w:instrText>
        </w:r>
        <w:r w:rsidR="00A91C73">
          <w:rPr>
            <w:noProof/>
            <w:webHidden/>
          </w:rPr>
        </w:r>
        <w:r w:rsidR="00A91C73">
          <w:rPr>
            <w:noProof/>
            <w:webHidden/>
          </w:rPr>
          <w:fldChar w:fldCharType="separate"/>
        </w:r>
        <w:r w:rsidR="00ED2D38">
          <w:rPr>
            <w:noProof/>
            <w:webHidden/>
          </w:rPr>
          <w:t>349</w:t>
        </w:r>
        <w:r w:rsidR="00A91C73">
          <w:rPr>
            <w:noProof/>
            <w:webHidden/>
          </w:rPr>
          <w:fldChar w:fldCharType="end"/>
        </w:r>
      </w:hyperlink>
    </w:p>
    <w:p w14:paraId="3EE19E03" w14:textId="17A07F50" w:rsidR="00A91C73" w:rsidRDefault="00A53403">
      <w:pPr>
        <w:pStyle w:val="TOC2"/>
        <w:tabs>
          <w:tab w:val="right" w:leader="dot" w:pos="9350"/>
        </w:tabs>
        <w:rPr>
          <w:rFonts w:asciiTheme="minorHAnsi" w:eastAsiaTheme="minorEastAsia" w:hAnsiTheme="minorHAnsi" w:cstheme="minorBidi"/>
          <w:smallCaps w:val="0"/>
          <w:noProof/>
        </w:rPr>
      </w:pPr>
      <w:hyperlink w:anchor="_Toc149064179" w:history="1">
        <w:r w:rsidR="00A91C73" w:rsidRPr="00B1389E">
          <w:rPr>
            <w:rStyle w:val="Hyperlink"/>
            <w:noProof/>
          </w:rPr>
          <w:t>Audit Trail</w:t>
        </w:r>
        <w:r w:rsidR="00A91C73">
          <w:rPr>
            <w:noProof/>
            <w:webHidden/>
          </w:rPr>
          <w:tab/>
        </w:r>
        <w:r w:rsidR="00A91C73">
          <w:rPr>
            <w:noProof/>
            <w:webHidden/>
          </w:rPr>
          <w:fldChar w:fldCharType="begin"/>
        </w:r>
        <w:r w:rsidR="00A91C73">
          <w:rPr>
            <w:noProof/>
            <w:webHidden/>
          </w:rPr>
          <w:instrText xml:space="preserve"> PAGEREF _Toc149064179 \h </w:instrText>
        </w:r>
        <w:r w:rsidR="00A91C73">
          <w:rPr>
            <w:noProof/>
            <w:webHidden/>
          </w:rPr>
        </w:r>
        <w:r w:rsidR="00A91C73">
          <w:rPr>
            <w:noProof/>
            <w:webHidden/>
          </w:rPr>
          <w:fldChar w:fldCharType="separate"/>
        </w:r>
        <w:r w:rsidR="00ED2D38">
          <w:rPr>
            <w:noProof/>
            <w:webHidden/>
          </w:rPr>
          <w:t>351</w:t>
        </w:r>
        <w:r w:rsidR="00A91C73">
          <w:rPr>
            <w:noProof/>
            <w:webHidden/>
          </w:rPr>
          <w:fldChar w:fldCharType="end"/>
        </w:r>
      </w:hyperlink>
    </w:p>
    <w:p w14:paraId="70779C5F" w14:textId="6CF3F948" w:rsidR="00A91C73" w:rsidRDefault="00A53403">
      <w:pPr>
        <w:pStyle w:val="TOC2"/>
        <w:tabs>
          <w:tab w:val="right" w:leader="dot" w:pos="9350"/>
        </w:tabs>
        <w:rPr>
          <w:rFonts w:asciiTheme="minorHAnsi" w:eastAsiaTheme="minorEastAsia" w:hAnsiTheme="minorHAnsi" w:cstheme="minorBidi"/>
          <w:smallCaps w:val="0"/>
          <w:noProof/>
        </w:rPr>
      </w:pPr>
      <w:hyperlink w:anchor="_Toc149064180" w:history="1">
        <w:r w:rsidR="00A91C73" w:rsidRPr="00B1389E">
          <w:rPr>
            <w:rStyle w:val="Hyperlink"/>
            <w:noProof/>
          </w:rPr>
          <w:t>Blood Availability</w:t>
        </w:r>
        <w:r w:rsidR="00A91C73">
          <w:rPr>
            <w:noProof/>
            <w:webHidden/>
          </w:rPr>
          <w:tab/>
        </w:r>
        <w:r w:rsidR="00A91C73">
          <w:rPr>
            <w:noProof/>
            <w:webHidden/>
          </w:rPr>
          <w:fldChar w:fldCharType="begin"/>
        </w:r>
        <w:r w:rsidR="00A91C73">
          <w:rPr>
            <w:noProof/>
            <w:webHidden/>
          </w:rPr>
          <w:instrText xml:space="preserve"> PAGEREF _Toc149064180 \h </w:instrText>
        </w:r>
        <w:r w:rsidR="00A91C73">
          <w:rPr>
            <w:noProof/>
            <w:webHidden/>
          </w:rPr>
        </w:r>
        <w:r w:rsidR="00A91C73">
          <w:rPr>
            <w:noProof/>
            <w:webHidden/>
          </w:rPr>
          <w:fldChar w:fldCharType="separate"/>
        </w:r>
        <w:r w:rsidR="00ED2D38">
          <w:rPr>
            <w:noProof/>
            <w:webHidden/>
          </w:rPr>
          <w:t>353</w:t>
        </w:r>
        <w:r w:rsidR="00A91C73">
          <w:rPr>
            <w:noProof/>
            <w:webHidden/>
          </w:rPr>
          <w:fldChar w:fldCharType="end"/>
        </w:r>
      </w:hyperlink>
    </w:p>
    <w:p w14:paraId="37B6ED10" w14:textId="67618BAC" w:rsidR="00A91C73" w:rsidRDefault="00A53403">
      <w:pPr>
        <w:pStyle w:val="TOC2"/>
        <w:tabs>
          <w:tab w:val="right" w:leader="dot" w:pos="9350"/>
        </w:tabs>
        <w:rPr>
          <w:rFonts w:asciiTheme="minorHAnsi" w:eastAsiaTheme="minorEastAsia" w:hAnsiTheme="minorHAnsi" w:cstheme="minorBidi"/>
          <w:smallCaps w:val="0"/>
          <w:noProof/>
        </w:rPr>
      </w:pPr>
      <w:hyperlink w:anchor="_Toc149064181" w:history="1">
        <w:r w:rsidR="00A91C73" w:rsidRPr="00B1389E">
          <w:rPr>
            <w:rStyle w:val="Hyperlink"/>
            <w:noProof/>
          </w:rPr>
          <w:t>Cost Accounting Report</w:t>
        </w:r>
        <w:r w:rsidR="00A91C73">
          <w:rPr>
            <w:noProof/>
            <w:webHidden/>
          </w:rPr>
          <w:tab/>
        </w:r>
        <w:r w:rsidR="00A91C73">
          <w:rPr>
            <w:noProof/>
            <w:webHidden/>
          </w:rPr>
          <w:fldChar w:fldCharType="begin"/>
        </w:r>
        <w:r w:rsidR="00A91C73">
          <w:rPr>
            <w:noProof/>
            <w:webHidden/>
          </w:rPr>
          <w:instrText xml:space="preserve"> PAGEREF _Toc149064181 \h </w:instrText>
        </w:r>
        <w:r w:rsidR="00A91C73">
          <w:rPr>
            <w:noProof/>
            <w:webHidden/>
          </w:rPr>
        </w:r>
        <w:r w:rsidR="00A91C73">
          <w:rPr>
            <w:noProof/>
            <w:webHidden/>
          </w:rPr>
          <w:fldChar w:fldCharType="separate"/>
        </w:r>
        <w:r w:rsidR="00ED2D38">
          <w:rPr>
            <w:noProof/>
            <w:webHidden/>
          </w:rPr>
          <w:t>355</w:t>
        </w:r>
        <w:r w:rsidR="00A91C73">
          <w:rPr>
            <w:noProof/>
            <w:webHidden/>
          </w:rPr>
          <w:fldChar w:fldCharType="end"/>
        </w:r>
      </w:hyperlink>
    </w:p>
    <w:p w14:paraId="7FB13EB9" w14:textId="18921F44" w:rsidR="00A91C73" w:rsidRDefault="00A53403">
      <w:pPr>
        <w:pStyle w:val="TOC2"/>
        <w:tabs>
          <w:tab w:val="right" w:leader="dot" w:pos="9350"/>
        </w:tabs>
        <w:rPr>
          <w:rFonts w:asciiTheme="minorHAnsi" w:eastAsiaTheme="minorEastAsia" w:hAnsiTheme="minorHAnsi" w:cstheme="minorBidi"/>
          <w:smallCaps w:val="0"/>
          <w:noProof/>
        </w:rPr>
      </w:pPr>
      <w:hyperlink w:anchor="_Toc149064182" w:history="1">
        <w:r w:rsidR="00A91C73" w:rsidRPr="00B1389E">
          <w:rPr>
            <w:rStyle w:val="Hyperlink"/>
            <w:noProof/>
          </w:rPr>
          <w:t>C:T Ratio Report</w:t>
        </w:r>
        <w:r w:rsidR="00A91C73">
          <w:rPr>
            <w:noProof/>
            <w:webHidden/>
          </w:rPr>
          <w:tab/>
        </w:r>
        <w:r w:rsidR="00A91C73">
          <w:rPr>
            <w:noProof/>
            <w:webHidden/>
          </w:rPr>
          <w:fldChar w:fldCharType="begin"/>
        </w:r>
        <w:r w:rsidR="00A91C73">
          <w:rPr>
            <w:noProof/>
            <w:webHidden/>
          </w:rPr>
          <w:instrText xml:space="preserve"> PAGEREF _Toc149064182 \h </w:instrText>
        </w:r>
        <w:r w:rsidR="00A91C73">
          <w:rPr>
            <w:noProof/>
            <w:webHidden/>
          </w:rPr>
        </w:r>
        <w:r w:rsidR="00A91C73">
          <w:rPr>
            <w:noProof/>
            <w:webHidden/>
          </w:rPr>
          <w:fldChar w:fldCharType="separate"/>
        </w:r>
        <w:r w:rsidR="00ED2D38">
          <w:rPr>
            <w:noProof/>
            <w:webHidden/>
          </w:rPr>
          <w:t>357</w:t>
        </w:r>
        <w:r w:rsidR="00A91C73">
          <w:rPr>
            <w:noProof/>
            <w:webHidden/>
          </w:rPr>
          <w:fldChar w:fldCharType="end"/>
        </w:r>
      </w:hyperlink>
    </w:p>
    <w:p w14:paraId="4DC03D16" w14:textId="26F928F1" w:rsidR="00A91C73" w:rsidRDefault="00A53403">
      <w:pPr>
        <w:pStyle w:val="TOC2"/>
        <w:tabs>
          <w:tab w:val="right" w:leader="dot" w:pos="9350"/>
        </w:tabs>
        <w:rPr>
          <w:rFonts w:asciiTheme="minorHAnsi" w:eastAsiaTheme="minorEastAsia" w:hAnsiTheme="minorHAnsi" w:cstheme="minorBidi"/>
          <w:smallCaps w:val="0"/>
          <w:noProof/>
        </w:rPr>
      </w:pPr>
      <w:hyperlink w:anchor="_Toc149064183" w:history="1">
        <w:r w:rsidR="00A91C73" w:rsidRPr="00B1389E">
          <w:rPr>
            <w:rStyle w:val="Hyperlink"/>
            <w:noProof/>
          </w:rPr>
          <w:t>CPRS Blood Bank Report</w:t>
        </w:r>
        <w:r w:rsidR="00A91C73">
          <w:rPr>
            <w:noProof/>
            <w:webHidden/>
          </w:rPr>
          <w:tab/>
        </w:r>
        <w:r w:rsidR="00A91C73">
          <w:rPr>
            <w:noProof/>
            <w:webHidden/>
          </w:rPr>
          <w:fldChar w:fldCharType="begin"/>
        </w:r>
        <w:r w:rsidR="00A91C73">
          <w:rPr>
            <w:noProof/>
            <w:webHidden/>
          </w:rPr>
          <w:instrText xml:space="preserve"> PAGEREF _Toc149064183 \h </w:instrText>
        </w:r>
        <w:r w:rsidR="00A91C73">
          <w:rPr>
            <w:noProof/>
            <w:webHidden/>
          </w:rPr>
        </w:r>
        <w:r w:rsidR="00A91C73">
          <w:rPr>
            <w:noProof/>
            <w:webHidden/>
          </w:rPr>
          <w:fldChar w:fldCharType="separate"/>
        </w:r>
        <w:r w:rsidR="00ED2D38">
          <w:rPr>
            <w:noProof/>
            <w:webHidden/>
          </w:rPr>
          <w:t>359</w:t>
        </w:r>
        <w:r w:rsidR="00A91C73">
          <w:rPr>
            <w:noProof/>
            <w:webHidden/>
          </w:rPr>
          <w:fldChar w:fldCharType="end"/>
        </w:r>
      </w:hyperlink>
    </w:p>
    <w:p w14:paraId="62F454D3" w14:textId="22E925D3" w:rsidR="00A91C73" w:rsidRDefault="00A53403">
      <w:pPr>
        <w:pStyle w:val="TOC2"/>
        <w:tabs>
          <w:tab w:val="right" w:leader="dot" w:pos="9350"/>
        </w:tabs>
        <w:rPr>
          <w:rFonts w:asciiTheme="minorHAnsi" w:eastAsiaTheme="minorEastAsia" w:hAnsiTheme="minorHAnsi" w:cstheme="minorBidi"/>
          <w:smallCaps w:val="0"/>
          <w:noProof/>
        </w:rPr>
      </w:pPr>
      <w:hyperlink w:anchor="_Toc149064184" w:history="1">
        <w:r w:rsidR="00A91C73" w:rsidRPr="00B1389E">
          <w:rPr>
            <w:rStyle w:val="Hyperlink"/>
            <w:noProof/>
          </w:rPr>
          <w:t>Division Transfusion Report</w:t>
        </w:r>
        <w:r w:rsidR="00A91C73">
          <w:rPr>
            <w:noProof/>
            <w:webHidden/>
          </w:rPr>
          <w:tab/>
        </w:r>
        <w:r w:rsidR="00A91C73">
          <w:rPr>
            <w:noProof/>
            <w:webHidden/>
          </w:rPr>
          <w:fldChar w:fldCharType="begin"/>
        </w:r>
        <w:r w:rsidR="00A91C73">
          <w:rPr>
            <w:noProof/>
            <w:webHidden/>
          </w:rPr>
          <w:instrText xml:space="preserve"> PAGEREF _Toc149064184 \h </w:instrText>
        </w:r>
        <w:r w:rsidR="00A91C73">
          <w:rPr>
            <w:noProof/>
            <w:webHidden/>
          </w:rPr>
        </w:r>
        <w:r w:rsidR="00A91C73">
          <w:rPr>
            <w:noProof/>
            <w:webHidden/>
          </w:rPr>
          <w:fldChar w:fldCharType="separate"/>
        </w:r>
        <w:r w:rsidR="00ED2D38">
          <w:rPr>
            <w:noProof/>
            <w:webHidden/>
          </w:rPr>
          <w:t>361</w:t>
        </w:r>
        <w:r w:rsidR="00A91C73">
          <w:rPr>
            <w:noProof/>
            <w:webHidden/>
          </w:rPr>
          <w:fldChar w:fldCharType="end"/>
        </w:r>
      </w:hyperlink>
    </w:p>
    <w:p w14:paraId="526708B4" w14:textId="345767E9" w:rsidR="00A91C73" w:rsidRDefault="00A53403">
      <w:pPr>
        <w:pStyle w:val="TOC2"/>
        <w:tabs>
          <w:tab w:val="right" w:leader="dot" w:pos="9350"/>
        </w:tabs>
        <w:rPr>
          <w:rFonts w:asciiTheme="minorHAnsi" w:eastAsiaTheme="minorEastAsia" w:hAnsiTheme="minorHAnsi" w:cstheme="minorBidi"/>
          <w:smallCaps w:val="0"/>
          <w:noProof/>
        </w:rPr>
      </w:pPr>
      <w:hyperlink w:anchor="_Toc149064185" w:history="1">
        <w:r w:rsidR="00A91C73" w:rsidRPr="00B1389E">
          <w:rPr>
            <w:rStyle w:val="Hyperlink"/>
            <w:noProof/>
          </w:rPr>
          <w:t>Division Workload Report</w:t>
        </w:r>
        <w:r w:rsidR="00A91C73">
          <w:rPr>
            <w:noProof/>
            <w:webHidden/>
          </w:rPr>
          <w:tab/>
        </w:r>
        <w:r w:rsidR="00A91C73">
          <w:rPr>
            <w:noProof/>
            <w:webHidden/>
          </w:rPr>
          <w:fldChar w:fldCharType="begin"/>
        </w:r>
        <w:r w:rsidR="00A91C73">
          <w:rPr>
            <w:noProof/>
            <w:webHidden/>
          </w:rPr>
          <w:instrText xml:space="preserve"> PAGEREF _Toc149064185 \h </w:instrText>
        </w:r>
        <w:r w:rsidR="00A91C73">
          <w:rPr>
            <w:noProof/>
            <w:webHidden/>
          </w:rPr>
        </w:r>
        <w:r w:rsidR="00A91C73">
          <w:rPr>
            <w:noProof/>
            <w:webHidden/>
          </w:rPr>
          <w:fldChar w:fldCharType="separate"/>
        </w:r>
        <w:r w:rsidR="00ED2D38">
          <w:rPr>
            <w:noProof/>
            <w:webHidden/>
          </w:rPr>
          <w:t>363</w:t>
        </w:r>
        <w:r w:rsidR="00A91C73">
          <w:rPr>
            <w:noProof/>
            <w:webHidden/>
          </w:rPr>
          <w:fldChar w:fldCharType="end"/>
        </w:r>
      </w:hyperlink>
    </w:p>
    <w:p w14:paraId="55C5CA5D" w14:textId="07DB40A6" w:rsidR="00A91C73" w:rsidRDefault="00A53403">
      <w:pPr>
        <w:pStyle w:val="TOC2"/>
        <w:tabs>
          <w:tab w:val="right" w:leader="dot" w:pos="9350"/>
        </w:tabs>
        <w:rPr>
          <w:rFonts w:asciiTheme="minorHAnsi" w:eastAsiaTheme="minorEastAsia" w:hAnsiTheme="minorHAnsi" w:cstheme="minorBidi"/>
          <w:smallCaps w:val="0"/>
          <w:noProof/>
        </w:rPr>
      </w:pPr>
      <w:hyperlink w:anchor="_Toc149064186" w:history="1">
        <w:r w:rsidR="00A91C73" w:rsidRPr="00B1389E">
          <w:rPr>
            <w:rStyle w:val="Hyperlink"/>
            <w:noProof/>
          </w:rPr>
          <w:t>Exception Report</w:t>
        </w:r>
        <w:r w:rsidR="00A91C73">
          <w:rPr>
            <w:noProof/>
            <w:webHidden/>
          </w:rPr>
          <w:tab/>
        </w:r>
        <w:r w:rsidR="00A91C73">
          <w:rPr>
            <w:noProof/>
            <w:webHidden/>
          </w:rPr>
          <w:fldChar w:fldCharType="begin"/>
        </w:r>
        <w:r w:rsidR="00A91C73">
          <w:rPr>
            <w:noProof/>
            <w:webHidden/>
          </w:rPr>
          <w:instrText xml:space="preserve"> PAGEREF _Toc149064186 \h </w:instrText>
        </w:r>
        <w:r w:rsidR="00A91C73">
          <w:rPr>
            <w:noProof/>
            <w:webHidden/>
          </w:rPr>
        </w:r>
        <w:r w:rsidR="00A91C73">
          <w:rPr>
            <w:noProof/>
            <w:webHidden/>
          </w:rPr>
          <w:fldChar w:fldCharType="separate"/>
        </w:r>
        <w:r w:rsidR="00ED2D38">
          <w:rPr>
            <w:noProof/>
            <w:webHidden/>
          </w:rPr>
          <w:t>365</w:t>
        </w:r>
        <w:r w:rsidR="00A91C73">
          <w:rPr>
            <w:noProof/>
            <w:webHidden/>
          </w:rPr>
          <w:fldChar w:fldCharType="end"/>
        </w:r>
      </w:hyperlink>
    </w:p>
    <w:p w14:paraId="1FF13DFC" w14:textId="56E2BBFD" w:rsidR="00A91C73" w:rsidRDefault="00A53403">
      <w:pPr>
        <w:pStyle w:val="TOC2"/>
        <w:tabs>
          <w:tab w:val="right" w:leader="dot" w:pos="9350"/>
        </w:tabs>
        <w:rPr>
          <w:rFonts w:asciiTheme="minorHAnsi" w:eastAsiaTheme="minorEastAsia" w:hAnsiTheme="minorHAnsi" w:cstheme="minorBidi"/>
          <w:smallCaps w:val="0"/>
          <w:noProof/>
        </w:rPr>
      </w:pPr>
      <w:hyperlink w:anchor="_Toc149064187" w:history="1">
        <w:r w:rsidR="00A91C73" w:rsidRPr="00B1389E">
          <w:rPr>
            <w:rStyle w:val="Hyperlink"/>
            <w:noProof/>
          </w:rPr>
          <w:t>Finalize/Print TRW (See Patient Services, Finalize/Print TRW)</w:t>
        </w:r>
        <w:r w:rsidR="00A91C73">
          <w:rPr>
            <w:noProof/>
            <w:webHidden/>
          </w:rPr>
          <w:tab/>
        </w:r>
        <w:r w:rsidR="00A91C73">
          <w:rPr>
            <w:noProof/>
            <w:webHidden/>
          </w:rPr>
          <w:fldChar w:fldCharType="begin"/>
        </w:r>
        <w:r w:rsidR="00A91C73">
          <w:rPr>
            <w:noProof/>
            <w:webHidden/>
          </w:rPr>
          <w:instrText xml:space="preserve"> PAGEREF _Toc149064187 \h </w:instrText>
        </w:r>
        <w:r w:rsidR="00A91C73">
          <w:rPr>
            <w:noProof/>
            <w:webHidden/>
          </w:rPr>
        </w:r>
        <w:r w:rsidR="00A91C73">
          <w:rPr>
            <w:noProof/>
            <w:webHidden/>
          </w:rPr>
          <w:fldChar w:fldCharType="separate"/>
        </w:r>
        <w:r w:rsidR="00ED2D38">
          <w:rPr>
            <w:noProof/>
            <w:webHidden/>
          </w:rPr>
          <w:t>367</w:t>
        </w:r>
        <w:r w:rsidR="00A91C73">
          <w:rPr>
            <w:noProof/>
            <w:webHidden/>
          </w:rPr>
          <w:fldChar w:fldCharType="end"/>
        </w:r>
      </w:hyperlink>
    </w:p>
    <w:p w14:paraId="04E3AB1E" w14:textId="28245B6E" w:rsidR="00A91C73" w:rsidRDefault="00A53403">
      <w:pPr>
        <w:pStyle w:val="TOC2"/>
        <w:tabs>
          <w:tab w:val="right" w:leader="dot" w:pos="9350"/>
        </w:tabs>
        <w:rPr>
          <w:rFonts w:asciiTheme="minorHAnsi" w:eastAsiaTheme="minorEastAsia" w:hAnsiTheme="minorHAnsi" w:cstheme="minorBidi"/>
          <w:smallCaps w:val="0"/>
          <w:noProof/>
        </w:rPr>
      </w:pPr>
      <w:hyperlink w:anchor="_Toc149064188" w:history="1">
        <w:r w:rsidR="00A91C73" w:rsidRPr="00B1389E">
          <w:rPr>
            <w:rStyle w:val="Hyperlink"/>
            <w:noProof/>
          </w:rPr>
          <w:t>Inappropriate Transfusion Request Report</w:t>
        </w:r>
        <w:r w:rsidR="00A91C73">
          <w:rPr>
            <w:noProof/>
            <w:webHidden/>
          </w:rPr>
          <w:tab/>
        </w:r>
        <w:r w:rsidR="00A91C73">
          <w:rPr>
            <w:noProof/>
            <w:webHidden/>
          </w:rPr>
          <w:fldChar w:fldCharType="begin"/>
        </w:r>
        <w:r w:rsidR="00A91C73">
          <w:rPr>
            <w:noProof/>
            <w:webHidden/>
          </w:rPr>
          <w:instrText xml:space="preserve"> PAGEREF _Toc149064188 \h </w:instrText>
        </w:r>
        <w:r w:rsidR="00A91C73">
          <w:rPr>
            <w:noProof/>
            <w:webHidden/>
          </w:rPr>
        </w:r>
        <w:r w:rsidR="00A91C73">
          <w:rPr>
            <w:noProof/>
            <w:webHidden/>
          </w:rPr>
          <w:fldChar w:fldCharType="separate"/>
        </w:r>
        <w:r w:rsidR="00ED2D38">
          <w:rPr>
            <w:noProof/>
            <w:webHidden/>
          </w:rPr>
          <w:t>367</w:t>
        </w:r>
        <w:r w:rsidR="00A91C73">
          <w:rPr>
            <w:noProof/>
            <w:webHidden/>
          </w:rPr>
          <w:fldChar w:fldCharType="end"/>
        </w:r>
      </w:hyperlink>
    </w:p>
    <w:p w14:paraId="2D2844B6" w14:textId="0C044E00" w:rsidR="00A91C73" w:rsidRDefault="00A53403">
      <w:pPr>
        <w:pStyle w:val="TOC2"/>
        <w:tabs>
          <w:tab w:val="right" w:leader="dot" w:pos="9350"/>
        </w:tabs>
        <w:rPr>
          <w:rFonts w:asciiTheme="minorHAnsi" w:eastAsiaTheme="minorEastAsia" w:hAnsiTheme="minorHAnsi" w:cstheme="minorBidi"/>
          <w:smallCaps w:val="0"/>
          <w:noProof/>
        </w:rPr>
      </w:pPr>
      <w:hyperlink w:anchor="_Toc149064189" w:history="1">
        <w:r w:rsidR="00A91C73" w:rsidRPr="00B1389E">
          <w:rPr>
            <w:rStyle w:val="Hyperlink"/>
            <w:noProof/>
          </w:rPr>
          <w:t>Issued/Returned Unit Report</w:t>
        </w:r>
        <w:r w:rsidR="00A91C73">
          <w:rPr>
            <w:noProof/>
            <w:webHidden/>
          </w:rPr>
          <w:tab/>
        </w:r>
        <w:r w:rsidR="00A91C73">
          <w:rPr>
            <w:noProof/>
            <w:webHidden/>
          </w:rPr>
          <w:fldChar w:fldCharType="begin"/>
        </w:r>
        <w:r w:rsidR="00A91C73">
          <w:rPr>
            <w:noProof/>
            <w:webHidden/>
          </w:rPr>
          <w:instrText xml:space="preserve"> PAGEREF _Toc149064189 \h </w:instrText>
        </w:r>
        <w:r w:rsidR="00A91C73">
          <w:rPr>
            <w:noProof/>
            <w:webHidden/>
          </w:rPr>
        </w:r>
        <w:r w:rsidR="00A91C73">
          <w:rPr>
            <w:noProof/>
            <w:webHidden/>
          </w:rPr>
          <w:fldChar w:fldCharType="separate"/>
        </w:r>
        <w:r w:rsidR="00ED2D38">
          <w:rPr>
            <w:noProof/>
            <w:webHidden/>
          </w:rPr>
          <w:t>368</w:t>
        </w:r>
        <w:r w:rsidR="00A91C73">
          <w:rPr>
            <w:noProof/>
            <w:webHidden/>
          </w:rPr>
          <w:fldChar w:fldCharType="end"/>
        </w:r>
      </w:hyperlink>
    </w:p>
    <w:p w14:paraId="7CE0D766" w14:textId="1EBE7095" w:rsidR="00A91C73" w:rsidRDefault="00A53403">
      <w:pPr>
        <w:pStyle w:val="TOC2"/>
        <w:tabs>
          <w:tab w:val="right" w:leader="dot" w:pos="9350"/>
        </w:tabs>
        <w:rPr>
          <w:rFonts w:asciiTheme="minorHAnsi" w:eastAsiaTheme="minorEastAsia" w:hAnsiTheme="minorHAnsi" w:cstheme="minorBidi"/>
          <w:smallCaps w:val="0"/>
          <w:noProof/>
        </w:rPr>
      </w:pPr>
      <w:hyperlink w:anchor="_Toc149064190" w:history="1">
        <w:r w:rsidR="00A91C73" w:rsidRPr="00B1389E">
          <w:rPr>
            <w:rStyle w:val="Hyperlink"/>
            <w:noProof/>
          </w:rPr>
          <w:t>Medication Profile (See Patient Information Toolbar)</w:t>
        </w:r>
        <w:r w:rsidR="00A91C73">
          <w:rPr>
            <w:noProof/>
            <w:webHidden/>
          </w:rPr>
          <w:tab/>
        </w:r>
        <w:r w:rsidR="00A91C73">
          <w:rPr>
            <w:noProof/>
            <w:webHidden/>
          </w:rPr>
          <w:fldChar w:fldCharType="begin"/>
        </w:r>
        <w:r w:rsidR="00A91C73">
          <w:rPr>
            <w:noProof/>
            <w:webHidden/>
          </w:rPr>
          <w:instrText xml:space="preserve"> PAGEREF _Toc149064190 \h </w:instrText>
        </w:r>
        <w:r w:rsidR="00A91C73">
          <w:rPr>
            <w:noProof/>
            <w:webHidden/>
          </w:rPr>
        </w:r>
        <w:r w:rsidR="00A91C73">
          <w:rPr>
            <w:noProof/>
            <w:webHidden/>
          </w:rPr>
          <w:fldChar w:fldCharType="separate"/>
        </w:r>
        <w:r w:rsidR="00ED2D38">
          <w:rPr>
            <w:noProof/>
            <w:webHidden/>
          </w:rPr>
          <w:t>369</w:t>
        </w:r>
        <w:r w:rsidR="00A91C73">
          <w:rPr>
            <w:noProof/>
            <w:webHidden/>
          </w:rPr>
          <w:fldChar w:fldCharType="end"/>
        </w:r>
      </w:hyperlink>
    </w:p>
    <w:p w14:paraId="58B469BA" w14:textId="798D1F67" w:rsidR="00A91C73" w:rsidRDefault="00A53403">
      <w:pPr>
        <w:pStyle w:val="TOC2"/>
        <w:tabs>
          <w:tab w:val="right" w:leader="dot" w:pos="9350"/>
        </w:tabs>
        <w:rPr>
          <w:rFonts w:asciiTheme="minorHAnsi" w:eastAsiaTheme="minorEastAsia" w:hAnsiTheme="minorHAnsi" w:cstheme="minorBidi"/>
          <w:smallCaps w:val="0"/>
          <w:noProof/>
        </w:rPr>
      </w:pPr>
      <w:hyperlink w:anchor="_Toc149064191" w:history="1">
        <w:r w:rsidR="00A91C73" w:rsidRPr="00B1389E">
          <w:rPr>
            <w:rStyle w:val="Hyperlink"/>
            <w:noProof/>
          </w:rPr>
          <w:t>Order History Report</w:t>
        </w:r>
        <w:r w:rsidR="00A91C73">
          <w:rPr>
            <w:noProof/>
            <w:webHidden/>
          </w:rPr>
          <w:tab/>
        </w:r>
        <w:r w:rsidR="00A91C73">
          <w:rPr>
            <w:noProof/>
            <w:webHidden/>
          </w:rPr>
          <w:fldChar w:fldCharType="begin"/>
        </w:r>
        <w:r w:rsidR="00A91C73">
          <w:rPr>
            <w:noProof/>
            <w:webHidden/>
          </w:rPr>
          <w:instrText xml:space="preserve"> PAGEREF _Toc149064191 \h </w:instrText>
        </w:r>
        <w:r w:rsidR="00A91C73">
          <w:rPr>
            <w:noProof/>
            <w:webHidden/>
          </w:rPr>
        </w:r>
        <w:r w:rsidR="00A91C73">
          <w:rPr>
            <w:noProof/>
            <w:webHidden/>
          </w:rPr>
          <w:fldChar w:fldCharType="separate"/>
        </w:r>
        <w:r w:rsidR="00ED2D38">
          <w:rPr>
            <w:noProof/>
            <w:webHidden/>
          </w:rPr>
          <w:t>369</w:t>
        </w:r>
        <w:r w:rsidR="00A91C73">
          <w:rPr>
            <w:noProof/>
            <w:webHidden/>
          </w:rPr>
          <w:fldChar w:fldCharType="end"/>
        </w:r>
      </w:hyperlink>
    </w:p>
    <w:p w14:paraId="1C48E036" w14:textId="6E4FC7BF" w:rsidR="00A91C73" w:rsidRDefault="00A53403">
      <w:pPr>
        <w:pStyle w:val="TOC2"/>
        <w:tabs>
          <w:tab w:val="right" w:leader="dot" w:pos="9350"/>
        </w:tabs>
        <w:rPr>
          <w:rFonts w:asciiTheme="minorHAnsi" w:eastAsiaTheme="minorEastAsia" w:hAnsiTheme="minorHAnsi" w:cstheme="minorBidi"/>
          <w:smallCaps w:val="0"/>
          <w:noProof/>
        </w:rPr>
      </w:pPr>
      <w:hyperlink w:anchor="_Toc149064192" w:history="1">
        <w:r w:rsidR="00A91C73" w:rsidRPr="00B1389E">
          <w:rPr>
            <w:rStyle w:val="Hyperlink"/>
            <w:noProof/>
          </w:rPr>
          <w:t>Patient History Report</w:t>
        </w:r>
        <w:r w:rsidR="00A91C73">
          <w:rPr>
            <w:noProof/>
            <w:webHidden/>
          </w:rPr>
          <w:tab/>
        </w:r>
        <w:r w:rsidR="00A91C73">
          <w:rPr>
            <w:noProof/>
            <w:webHidden/>
          </w:rPr>
          <w:fldChar w:fldCharType="begin"/>
        </w:r>
        <w:r w:rsidR="00A91C73">
          <w:rPr>
            <w:noProof/>
            <w:webHidden/>
          </w:rPr>
          <w:instrText xml:space="preserve"> PAGEREF _Toc149064192 \h </w:instrText>
        </w:r>
        <w:r w:rsidR="00A91C73">
          <w:rPr>
            <w:noProof/>
            <w:webHidden/>
          </w:rPr>
        </w:r>
        <w:r w:rsidR="00A91C73">
          <w:rPr>
            <w:noProof/>
            <w:webHidden/>
          </w:rPr>
          <w:fldChar w:fldCharType="separate"/>
        </w:r>
        <w:r w:rsidR="00ED2D38">
          <w:rPr>
            <w:noProof/>
            <w:webHidden/>
          </w:rPr>
          <w:t>372</w:t>
        </w:r>
        <w:r w:rsidR="00A91C73">
          <w:rPr>
            <w:noProof/>
            <w:webHidden/>
          </w:rPr>
          <w:fldChar w:fldCharType="end"/>
        </w:r>
      </w:hyperlink>
    </w:p>
    <w:p w14:paraId="32CE30B7" w14:textId="20D526EA" w:rsidR="00A91C73" w:rsidRDefault="00A53403">
      <w:pPr>
        <w:pStyle w:val="TOC2"/>
        <w:tabs>
          <w:tab w:val="right" w:leader="dot" w:pos="9350"/>
        </w:tabs>
        <w:rPr>
          <w:rFonts w:asciiTheme="minorHAnsi" w:eastAsiaTheme="minorEastAsia" w:hAnsiTheme="minorHAnsi" w:cstheme="minorBidi"/>
          <w:smallCaps w:val="0"/>
          <w:noProof/>
        </w:rPr>
      </w:pPr>
      <w:hyperlink w:anchor="_Toc149064193" w:history="1">
        <w:r w:rsidR="00A91C73" w:rsidRPr="00B1389E">
          <w:rPr>
            <w:rStyle w:val="Hyperlink"/>
            <w:noProof/>
          </w:rPr>
          <w:t>Patient Testing Worklist and Testing Worklist Reports</w:t>
        </w:r>
        <w:r w:rsidR="00A91C73">
          <w:rPr>
            <w:noProof/>
            <w:webHidden/>
          </w:rPr>
          <w:tab/>
        </w:r>
        <w:r w:rsidR="00A91C73">
          <w:rPr>
            <w:noProof/>
            <w:webHidden/>
          </w:rPr>
          <w:fldChar w:fldCharType="begin"/>
        </w:r>
        <w:r w:rsidR="00A91C73">
          <w:rPr>
            <w:noProof/>
            <w:webHidden/>
          </w:rPr>
          <w:instrText xml:space="preserve"> PAGEREF _Toc149064193 \h </w:instrText>
        </w:r>
        <w:r w:rsidR="00A91C73">
          <w:rPr>
            <w:noProof/>
            <w:webHidden/>
          </w:rPr>
        </w:r>
        <w:r w:rsidR="00A91C73">
          <w:rPr>
            <w:noProof/>
            <w:webHidden/>
          </w:rPr>
          <w:fldChar w:fldCharType="separate"/>
        </w:r>
        <w:r w:rsidR="00ED2D38">
          <w:rPr>
            <w:noProof/>
            <w:webHidden/>
          </w:rPr>
          <w:t>374</w:t>
        </w:r>
        <w:r w:rsidR="00A91C73">
          <w:rPr>
            <w:noProof/>
            <w:webHidden/>
          </w:rPr>
          <w:fldChar w:fldCharType="end"/>
        </w:r>
      </w:hyperlink>
    </w:p>
    <w:p w14:paraId="2B2F9FB1" w14:textId="13D76FBE" w:rsidR="00A91C73" w:rsidRDefault="00A53403">
      <w:pPr>
        <w:pStyle w:val="TOC2"/>
        <w:tabs>
          <w:tab w:val="right" w:leader="dot" w:pos="9350"/>
        </w:tabs>
        <w:rPr>
          <w:rFonts w:asciiTheme="minorHAnsi" w:eastAsiaTheme="minorEastAsia" w:hAnsiTheme="minorHAnsi" w:cstheme="minorBidi"/>
          <w:smallCaps w:val="0"/>
          <w:noProof/>
        </w:rPr>
      </w:pPr>
      <w:hyperlink w:anchor="_Toc149064194" w:history="1">
        <w:r w:rsidR="00A91C73" w:rsidRPr="00B1389E">
          <w:rPr>
            <w:rStyle w:val="Hyperlink"/>
            <w:noProof/>
          </w:rPr>
          <w:t>Prolonged Transfusion Time Report</w:t>
        </w:r>
        <w:r w:rsidR="00A91C73">
          <w:rPr>
            <w:noProof/>
            <w:webHidden/>
          </w:rPr>
          <w:tab/>
        </w:r>
        <w:r w:rsidR="00A91C73">
          <w:rPr>
            <w:noProof/>
            <w:webHidden/>
          </w:rPr>
          <w:fldChar w:fldCharType="begin"/>
        </w:r>
        <w:r w:rsidR="00A91C73">
          <w:rPr>
            <w:noProof/>
            <w:webHidden/>
          </w:rPr>
          <w:instrText xml:space="preserve"> PAGEREF _Toc149064194 \h </w:instrText>
        </w:r>
        <w:r w:rsidR="00A91C73">
          <w:rPr>
            <w:noProof/>
            <w:webHidden/>
          </w:rPr>
        </w:r>
        <w:r w:rsidR="00A91C73">
          <w:rPr>
            <w:noProof/>
            <w:webHidden/>
          </w:rPr>
          <w:fldChar w:fldCharType="separate"/>
        </w:r>
        <w:r w:rsidR="00ED2D38">
          <w:rPr>
            <w:noProof/>
            <w:webHidden/>
          </w:rPr>
          <w:t>377</w:t>
        </w:r>
        <w:r w:rsidR="00A91C73">
          <w:rPr>
            <w:noProof/>
            <w:webHidden/>
          </w:rPr>
          <w:fldChar w:fldCharType="end"/>
        </w:r>
      </w:hyperlink>
    </w:p>
    <w:p w14:paraId="5D0E2084" w14:textId="0B22DBBB" w:rsidR="00A91C73" w:rsidRDefault="00A53403">
      <w:pPr>
        <w:pStyle w:val="TOC2"/>
        <w:tabs>
          <w:tab w:val="right" w:leader="dot" w:pos="9350"/>
        </w:tabs>
        <w:rPr>
          <w:rFonts w:asciiTheme="minorHAnsi" w:eastAsiaTheme="minorEastAsia" w:hAnsiTheme="minorHAnsi" w:cstheme="minorBidi"/>
          <w:smallCaps w:val="0"/>
          <w:noProof/>
        </w:rPr>
      </w:pPr>
      <w:hyperlink w:anchor="_Toc149064195" w:history="1">
        <w:r w:rsidR="00A91C73" w:rsidRPr="00B1389E">
          <w:rPr>
            <w:rStyle w:val="Hyperlink"/>
            <w:noProof/>
          </w:rPr>
          <w:t>Transfusion Complications Report</w:t>
        </w:r>
        <w:r w:rsidR="00A91C73">
          <w:rPr>
            <w:noProof/>
            <w:webHidden/>
          </w:rPr>
          <w:tab/>
        </w:r>
        <w:r w:rsidR="00A91C73">
          <w:rPr>
            <w:noProof/>
            <w:webHidden/>
          </w:rPr>
          <w:fldChar w:fldCharType="begin"/>
        </w:r>
        <w:r w:rsidR="00A91C73">
          <w:rPr>
            <w:noProof/>
            <w:webHidden/>
          </w:rPr>
          <w:instrText xml:space="preserve"> PAGEREF _Toc149064195 \h </w:instrText>
        </w:r>
        <w:r w:rsidR="00A91C73">
          <w:rPr>
            <w:noProof/>
            <w:webHidden/>
          </w:rPr>
        </w:r>
        <w:r w:rsidR="00A91C73">
          <w:rPr>
            <w:noProof/>
            <w:webHidden/>
          </w:rPr>
          <w:fldChar w:fldCharType="separate"/>
        </w:r>
        <w:r w:rsidR="00ED2D38">
          <w:rPr>
            <w:noProof/>
            <w:webHidden/>
          </w:rPr>
          <w:t>379</w:t>
        </w:r>
        <w:r w:rsidR="00A91C73">
          <w:rPr>
            <w:noProof/>
            <w:webHidden/>
          </w:rPr>
          <w:fldChar w:fldCharType="end"/>
        </w:r>
      </w:hyperlink>
    </w:p>
    <w:p w14:paraId="02025248" w14:textId="64B546F1" w:rsidR="00A91C73" w:rsidRDefault="00A53403">
      <w:pPr>
        <w:pStyle w:val="TOC2"/>
        <w:tabs>
          <w:tab w:val="right" w:leader="dot" w:pos="9350"/>
        </w:tabs>
        <w:rPr>
          <w:rFonts w:asciiTheme="minorHAnsi" w:eastAsiaTheme="minorEastAsia" w:hAnsiTheme="minorHAnsi" w:cstheme="minorBidi"/>
          <w:smallCaps w:val="0"/>
          <w:noProof/>
        </w:rPr>
      </w:pPr>
      <w:hyperlink w:anchor="_Toc149064196" w:history="1">
        <w:r w:rsidR="00A91C73" w:rsidRPr="00B1389E">
          <w:rPr>
            <w:rStyle w:val="Hyperlink"/>
            <w:noProof/>
          </w:rPr>
          <w:t>Transfusion Effectiveness Report</w:t>
        </w:r>
        <w:r w:rsidR="00A91C73">
          <w:rPr>
            <w:noProof/>
            <w:webHidden/>
          </w:rPr>
          <w:tab/>
        </w:r>
        <w:r w:rsidR="00A91C73">
          <w:rPr>
            <w:noProof/>
            <w:webHidden/>
          </w:rPr>
          <w:fldChar w:fldCharType="begin"/>
        </w:r>
        <w:r w:rsidR="00A91C73">
          <w:rPr>
            <w:noProof/>
            <w:webHidden/>
          </w:rPr>
          <w:instrText xml:space="preserve"> PAGEREF _Toc149064196 \h </w:instrText>
        </w:r>
        <w:r w:rsidR="00A91C73">
          <w:rPr>
            <w:noProof/>
            <w:webHidden/>
          </w:rPr>
        </w:r>
        <w:r w:rsidR="00A91C73">
          <w:rPr>
            <w:noProof/>
            <w:webHidden/>
          </w:rPr>
          <w:fldChar w:fldCharType="separate"/>
        </w:r>
        <w:r w:rsidR="00ED2D38">
          <w:rPr>
            <w:noProof/>
            <w:webHidden/>
          </w:rPr>
          <w:t>381</w:t>
        </w:r>
        <w:r w:rsidR="00A91C73">
          <w:rPr>
            <w:noProof/>
            <w:webHidden/>
          </w:rPr>
          <w:fldChar w:fldCharType="end"/>
        </w:r>
      </w:hyperlink>
    </w:p>
    <w:p w14:paraId="2E1B3DF8" w14:textId="6537B4F8" w:rsidR="00A91C73" w:rsidRDefault="00A53403">
      <w:pPr>
        <w:pStyle w:val="TOC2"/>
        <w:tabs>
          <w:tab w:val="right" w:leader="dot" w:pos="9350"/>
        </w:tabs>
        <w:rPr>
          <w:rFonts w:asciiTheme="minorHAnsi" w:eastAsiaTheme="minorEastAsia" w:hAnsiTheme="minorHAnsi" w:cstheme="minorBidi"/>
          <w:smallCaps w:val="0"/>
          <w:noProof/>
        </w:rPr>
      </w:pPr>
      <w:hyperlink w:anchor="_Toc149064197" w:history="1">
        <w:r w:rsidR="00A91C73" w:rsidRPr="00B1389E">
          <w:rPr>
            <w:rStyle w:val="Hyperlink"/>
            <w:noProof/>
          </w:rPr>
          <w:t>Transfusion Reaction Count Report</w:t>
        </w:r>
        <w:r w:rsidR="00A91C73">
          <w:rPr>
            <w:noProof/>
            <w:webHidden/>
          </w:rPr>
          <w:tab/>
        </w:r>
        <w:r w:rsidR="00A91C73">
          <w:rPr>
            <w:noProof/>
            <w:webHidden/>
          </w:rPr>
          <w:fldChar w:fldCharType="begin"/>
        </w:r>
        <w:r w:rsidR="00A91C73">
          <w:rPr>
            <w:noProof/>
            <w:webHidden/>
          </w:rPr>
          <w:instrText xml:space="preserve"> PAGEREF _Toc149064197 \h </w:instrText>
        </w:r>
        <w:r w:rsidR="00A91C73">
          <w:rPr>
            <w:noProof/>
            <w:webHidden/>
          </w:rPr>
        </w:r>
        <w:r w:rsidR="00A91C73">
          <w:rPr>
            <w:noProof/>
            <w:webHidden/>
          </w:rPr>
          <w:fldChar w:fldCharType="separate"/>
        </w:r>
        <w:r w:rsidR="00ED2D38">
          <w:rPr>
            <w:noProof/>
            <w:webHidden/>
          </w:rPr>
          <w:t>383</w:t>
        </w:r>
        <w:r w:rsidR="00A91C73">
          <w:rPr>
            <w:noProof/>
            <w:webHidden/>
          </w:rPr>
          <w:fldChar w:fldCharType="end"/>
        </w:r>
      </w:hyperlink>
    </w:p>
    <w:p w14:paraId="66251435" w14:textId="4DDE2874" w:rsidR="00A91C73" w:rsidRDefault="00A53403">
      <w:pPr>
        <w:pStyle w:val="TOC2"/>
        <w:tabs>
          <w:tab w:val="right" w:leader="dot" w:pos="9350"/>
        </w:tabs>
        <w:rPr>
          <w:rFonts w:asciiTheme="minorHAnsi" w:eastAsiaTheme="minorEastAsia" w:hAnsiTheme="minorHAnsi" w:cstheme="minorBidi"/>
          <w:smallCaps w:val="0"/>
          <w:noProof/>
        </w:rPr>
      </w:pPr>
      <w:hyperlink w:anchor="_Toc149064198" w:history="1">
        <w:r w:rsidR="00A91C73" w:rsidRPr="00B1389E">
          <w:rPr>
            <w:rStyle w:val="Hyperlink"/>
            <w:noProof/>
          </w:rPr>
          <w:t>Transfusion Requirements Report</w:t>
        </w:r>
        <w:r w:rsidR="00A91C73">
          <w:rPr>
            <w:noProof/>
            <w:webHidden/>
          </w:rPr>
          <w:tab/>
        </w:r>
        <w:r w:rsidR="00A91C73">
          <w:rPr>
            <w:noProof/>
            <w:webHidden/>
          </w:rPr>
          <w:fldChar w:fldCharType="begin"/>
        </w:r>
        <w:r w:rsidR="00A91C73">
          <w:rPr>
            <w:noProof/>
            <w:webHidden/>
          </w:rPr>
          <w:instrText xml:space="preserve"> PAGEREF _Toc149064198 \h </w:instrText>
        </w:r>
        <w:r w:rsidR="00A91C73">
          <w:rPr>
            <w:noProof/>
            <w:webHidden/>
          </w:rPr>
        </w:r>
        <w:r w:rsidR="00A91C73">
          <w:rPr>
            <w:noProof/>
            <w:webHidden/>
          </w:rPr>
          <w:fldChar w:fldCharType="separate"/>
        </w:r>
        <w:r w:rsidR="00ED2D38">
          <w:rPr>
            <w:noProof/>
            <w:webHidden/>
          </w:rPr>
          <w:t>385</w:t>
        </w:r>
        <w:r w:rsidR="00A91C73">
          <w:rPr>
            <w:noProof/>
            <w:webHidden/>
          </w:rPr>
          <w:fldChar w:fldCharType="end"/>
        </w:r>
      </w:hyperlink>
    </w:p>
    <w:p w14:paraId="3785202D" w14:textId="6FBD332C" w:rsidR="00A91C73" w:rsidRDefault="00A53403">
      <w:pPr>
        <w:pStyle w:val="TOC2"/>
        <w:tabs>
          <w:tab w:val="right" w:leader="dot" w:pos="9350"/>
        </w:tabs>
        <w:rPr>
          <w:rFonts w:asciiTheme="minorHAnsi" w:eastAsiaTheme="minorEastAsia" w:hAnsiTheme="minorHAnsi" w:cstheme="minorBidi"/>
          <w:smallCaps w:val="0"/>
          <w:noProof/>
        </w:rPr>
      </w:pPr>
      <w:hyperlink w:anchor="_Toc149064199" w:history="1">
        <w:r w:rsidR="00A91C73" w:rsidRPr="00B1389E">
          <w:rPr>
            <w:rStyle w:val="Hyperlink"/>
            <w:noProof/>
          </w:rPr>
          <w:t>Unit History Report</w:t>
        </w:r>
        <w:r w:rsidR="00A91C73">
          <w:rPr>
            <w:noProof/>
            <w:webHidden/>
          </w:rPr>
          <w:tab/>
        </w:r>
        <w:r w:rsidR="00A91C73">
          <w:rPr>
            <w:noProof/>
            <w:webHidden/>
          </w:rPr>
          <w:fldChar w:fldCharType="begin"/>
        </w:r>
        <w:r w:rsidR="00A91C73">
          <w:rPr>
            <w:noProof/>
            <w:webHidden/>
          </w:rPr>
          <w:instrText xml:space="preserve"> PAGEREF _Toc149064199 \h </w:instrText>
        </w:r>
        <w:r w:rsidR="00A91C73">
          <w:rPr>
            <w:noProof/>
            <w:webHidden/>
          </w:rPr>
        </w:r>
        <w:r w:rsidR="00A91C73">
          <w:rPr>
            <w:noProof/>
            <w:webHidden/>
          </w:rPr>
          <w:fldChar w:fldCharType="separate"/>
        </w:r>
        <w:r w:rsidR="00ED2D38">
          <w:rPr>
            <w:noProof/>
            <w:webHidden/>
          </w:rPr>
          <w:t>387</w:t>
        </w:r>
        <w:r w:rsidR="00A91C73">
          <w:rPr>
            <w:noProof/>
            <w:webHidden/>
          </w:rPr>
          <w:fldChar w:fldCharType="end"/>
        </w:r>
      </w:hyperlink>
    </w:p>
    <w:p w14:paraId="09303FE8" w14:textId="5143E2C4" w:rsidR="00A91C73" w:rsidRDefault="00A53403">
      <w:pPr>
        <w:pStyle w:val="TOC1"/>
        <w:tabs>
          <w:tab w:val="right" w:leader="dot" w:pos="9350"/>
        </w:tabs>
        <w:rPr>
          <w:rFonts w:asciiTheme="minorHAnsi" w:eastAsiaTheme="minorEastAsia" w:hAnsiTheme="minorHAnsi" w:cstheme="minorBidi"/>
          <w:b w:val="0"/>
          <w:caps w:val="0"/>
          <w:noProof/>
        </w:rPr>
      </w:pPr>
      <w:hyperlink w:anchor="_Toc149064200" w:history="1">
        <w:r w:rsidR="00A91C73" w:rsidRPr="00B1389E">
          <w:rPr>
            <w:rStyle w:val="Hyperlink"/>
            <w:noProof/>
          </w:rPr>
          <w:t>References</w:t>
        </w:r>
        <w:r w:rsidR="00A91C73">
          <w:rPr>
            <w:noProof/>
            <w:webHidden/>
          </w:rPr>
          <w:tab/>
        </w:r>
        <w:r w:rsidR="00A91C73">
          <w:rPr>
            <w:noProof/>
            <w:webHidden/>
          </w:rPr>
          <w:fldChar w:fldCharType="begin"/>
        </w:r>
        <w:r w:rsidR="00A91C73">
          <w:rPr>
            <w:noProof/>
            <w:webHidden/>
          </w:rPr>
          <w:instrText xml:space="preserve"> PAGEREF _Toc149064200 \h </w:instrText>
        </w:r>
        <w:r w:rsidR="00A91C73">
          <w:rPr>
            <w:noProof/>
            <w:webHidden/>
          </w:rPr>
        </w:r>
        <w:r w:rsidR="00A91C73">
          <w:rPr>
            <w:noProof/>
            <w:webHidden/>
          </w:rPr>
          <w:fldChar w:fldCharType="separate"/>
        </w:r>
        <w:r w:rsidR="00ED2D38">
          <w:rPr>
            <w:noProof/>
            <w:webHidden/>
          </w:rPr>
          <w:t>390</w:t>
        </w:r>
        <w:r w:rsidR="00A91C73">
          <w:rPr>
            <w:noProof/>
            <w:webHidden/>
          </w:rPr>
          <w:fldChar w:fldCharType="end"/>
        </w:r>
      </w:hyperlink>
    </w:p>
    <w:p w14:paraId="1B106DCB" w14:textId="4A99A0CB" w:rsidR="00A91C73" w:rsidRDefault="00A53403">
      <w:pPr>
        <w:pStyle w:val="TOC1"/>
        <w:tabs>
          <w:tab w:val="right" w:leader="dot" w:pos="9350"/>
        </w:tabs>
        <w:rPr>
          <w:rFonts w:asciiTheme="minorHAnsi" w:eastAsiaTheme="minorEastAsia" w:hAnsiTheme="minorHAnsi" w:cstheme="minorBidi"/>
          <w:b w:val="0"/>
          <w:caps w:val="0"/>
          <w:noProof/>
        </w:rPr>
      </w:pPr>
      <w:hyperlink w:anchor="_Toc149064201" w:history="1">
        <w:r w:rsidR="00A91C73" w:rsidRPr="00B1389E">
          <w:rPr>
            <w:rStyle w:val="Hyperlink"/>
            <w:noProof/>
          </w:rPr>
          <w:t>Glossary</w:t>
        </w:r>
        <w:r w:rsidR="00A91C73">
          <w:rPr>
            <w:noProof/>
            <w:webHidden/>
          </w:rPr>
          <w:tab/>
        </w:r>
        <w:r w:rsidR="00A91C73">
          <w:rPr>
            <w:noProof/>
            <w:webHidden/>
          </w:rPr>
          <w:fldChar w:fldCharType="begin"/>
        </w:r>
        <w:r w:rsidR="00A91C73">
          <w:rPr>
            <w:noProof/>
            <w:webHidden/>
          </w:rPr>
          <w:instrText xml:space="preserve"> PAGEREF _Toc149064201 \h </w:instrText>
        </w:r>
        <w:r w:rsidR="00A91C73">
          <w:rPr>
            <w:noProof/>
            <w:webHidden/>
          </w:rPr>
        </w:r>
        <w:r w:rsidR="00A91C73">
          <w:rPr>
            <w:noProof/>
            <w:webHidden/>
          </w:rPr>
          <w:fldChar w:fldCharType="separate"/>
        </w:r>
        <w:r w:rsidR="00ED2D38">
          <w:rPr>
            <w:noProof/>
            <w:webHidden/>
          </w:rPr>
          <w:t>393</w:t>
        </w:r>
        <w:r w:rsidR="00A91C73">
          <w:rPr>
            <w:noProof/>
            <w:webHidden/>
          </w:rPr>
          <w:fldChar w:fldCharType="end"/>
        </w:r>
      </w:hyperlink>
    </w:p>
    <w:p w14:paraId="6050B54C" w14:textId="44D7D1A7" w:rsidR="00A91C73" w:rsidRDefault="00A53403">
      <w:pPr>
        <w:pStyle w:val="TOC1"/>
        <w:tabs>
          <w:tab w:val="right" w:leader="dot" w:pos="9350"/>
        </w:tabs>
        <w:rPr>
          <w:rFonts w:asciiTheme="minorHAnsi" w:eastAsiaTheme="minorEastAsia" w:hAnsiTheme="minorHAnsi" w:cstheme="minorBidi"/>
          <w:b w:val="0"/>
          <w:caps w:val="0"/>
          <w:noProof/>
        </w:rPr>
      </w:pPr>
      <w:hyperlink w:anchor="_Toc149064202" w:history="1">
        <w:r w:rsidR="00A91C73" w:rsidRPr="00B1389E">
          <w:rPr>
            <w:rStyle w:val="Hyperlink"/>
            <w:noProof/>
          </w:rPr>
          <w:t>Appendices</w:t>
        </w:r>
        <w:r w:rsidR="00A91C73">
          <w:rPr>
            <w:noProof/>
            <w:webHidden/>
          </w:rPr>
          <w:tab/>
        </w:r>
        <w:r w:rsidR="00A91C73">
          <w:rPr>
            <w:noProof/>
            <w:webHidden/>
          </w:rPr>
          <w:fldChar w:fldCharType="begin"/>
        </w:r>
        <w:r w:rsidR="00A91C73">
          <w:rPr>
            <w:noProof/>
            <w:webHidden/>
          </w:rPr>
          <w:instrText xml:space="preserve"> PAGEREF _Toc149064202 \h </w:instrText>
        </w:r>
        <w:r w:rsidR="00A91C73">
          <w:rPr>
            <w:noProof/>
            <w:webHidden/>
          </w:rPr>
        </w:r>
        <w:r w:rsidR="00A91C73">
          <w:rPr>
            <w:noProof/>
            <w:webHidden/>
          </w:rPr>
          <w:fldChar w:fldCharType="separate"/>
        </w:r>
        <w:r w:rsidR="00ED2D38">
          <w:rPr>
            <w:noProof/>
            <w:webHidden/>
          </w:rPr>
          <w:t>403</w:t>
        </w:r>
        <w:r w:rsidR="00A91C73">
          <w:rPr>
            <w:noProof/>
            <w:webHidden/>
          </w:rPr>
          <w:fldChar w:fldCharType="end"/>
        </w:r>
      </w:hyperlink>
    </w:p>
    <w:p w14:paraId="1348196D" w14:textId="6B586094" w:rsidR="00A91C73" w:rsidRDefault="00A53403">
      <w:pPr>
        <w:pStyle w:val="TOC2"/>
        <w:tabs>
          <w:tab w:val="right" w:leader="dot" w:pos="9350"/>
        </w:tabs>
        <w:rPr>
          <w:rFonts w:asciiTheme="minorHAnsi" w:eastAsiaTheme="minorEastAsia" w:hAnsiTheme="minorHAnsi" w:cstheme="minorBidi"/>
          <w:smallCaps w:val="0"/>
          <w:noProof/>
        </w:rPr>
      </w:pPr>
      <w:hyperlink w:anchor="_Toc149064203" w:history="1">
        <w:r w:rsidR="00A91C73" w:rsidRPr="00B1389E">
          <w:rPr>
            <w:rStyle w:val="Hyperlink"/>
            <w:noProof/>
          </w:rPr>
          <w:t>Appendix A: Downtime Forms and Instructions</w:t>
        </w:r>
        <w:r w:rsidR="00A91C73">
          <w:rPr>
            <w:noProof/>
            <w:webHidden/>
          </w:rPr>
          <w:tab/>
        </w:r>
        <w:r w:rsidR="00A91C73">
          <w:rPr>
            <w:noProof/>
            <w:webHidden/>
          </w:rPr>
          <w:fldChar w:fldCharType="begin"/>
        </w:r>
        <w:r w:rsidR="00A91C73">
          <w:rPr>
            <w:noProof/>
            <w:webHidden/>
          </w:rPr>
          <w:instrText xml:space="preserve"> PAGEREF _Toc149064203 \h </w:instrText>
        </w:r>
        <w:r w:rsidR="00A91C73">
          <w:rPr>
            <w:noProof/>
            <w:webHidden/>
          </w:rPr>
        </w:r>
        <w:r w:rsidR="00A91C73">
          <w:rPr>
            <w:noProof/>
            <w:webHidden/>
          </w:rPr>
          <w:fldChar w:fldCharType="separate"/>
        </w:r>
        <w:r w:rsidR="00ED2D38">
          <w:rPr>
            <w:noProof/>
            <w:webHidden/>
          </w:rPr>
          <w:t>403</w:t>
        </w:r>
        <w:r w:rsidR="00A91C73">
          <w:rPr>
            <w:noProof/>
            <w:webHidden/>
          </w:rPr>
          <w:fldChar w:fldCharType="end"/>
        </w:r>
      </w:hyperlink>
    </w:p>
    <w:p w14:paraId="500424E4" w14:textId="5278680E" w:rsidR="00A91C73" w:rsidRDefault="00A53403">
      <w:pPr>
        <w:pStyle w:val="TOC3"/>
        <w:tabs>
          <w:tab w:val="right" w:leader="dot" w:pos="9350"/>
        </w:tabs>
        <w:rPr>
          <w:rFonts w:asciiTheme="minorHAnsi" w:eastAsiaTheme="minorEastAsia" w:hAnsiTheme="minorHAnsi" w:cstheme="minorBidi"/>
          <w:noProof/>
        </w:rPr>
      </w:pPr>
      <w:hyperlink w:anchor="_Toc149064204" w:history="1">
        <w:r w:rsidR="00A91C73" w:rsidRPr="00B1389E">
          <w:rPr>
            <w:rStyle w:val="Hyperlink"/>
            <w:noProof/>
          </w:rPr>
          <w:t>Patient Testing Form</w:t>
        </w:r>
        <w:r w:rsidR="00A91C73">
          <w:rPr>
            <w:noProof/>
            <w:webHidden/>
          </w:rPr>
          <w:tab/>
        </w:r>
        <w:r w:rsidR="00A91C73">
          <w:rPr>
            <w:noProof/>
            <w:webHidden/>
          </w:rPr>
          <w:fldChar w:fldCharType="begin"/>
        </w:r>
        <w:r w:rsidR="00A91C73">
          <w:rPr>
            <w:noProof/>
            <w:webHidden/>
          </w:rPr>
          <w:instrText xml:space="preserve"> PAGEREF _Toc149064204 \h </w:instrText>
        </w:r>
        <w:r w:rsidR="00A91C73">
          <w:rPr>
            <w:noProof/>
            <w:webHidden/>
          </w:rPr>
        </w:r>
        <w:r w:rsidR="00A91C73">
          <w:rPr>
            <w:noProof/>
            <w:webHidden/>
          </w:rPr>
          <w:fldChar w:fldCharType="separate"/>
        </w:r>
        <w:r w:rsidR="00ED2D38">
          <w:rPr>
            <w:noProof/>
            <w:webHidden/>
          </w:rPr>
          <w:t>404</w:t>
        </w:r>
        <w:r w:rsidR="00A91C73">
          <w:rPr>
            <w:noProof/>
            <w:webHidden/>
          </w:rPr>
          <w:fldChar w:fldCharType="end"/>
        </w:r>
      </w:hyperlink>
    </w:p>
    <w:p w14:paraId="4A0824CE" w14:textId="632F9B0A" w:rsidR="00A91C73" w:rsidRDefault="00A53403">
      <w:pPr>
        <w:pStyle w:val="TOC3"/>
        <w:tabs>
          <w:tab w:val="right" w:leader="dot" w:pos="9350"/>
        </w:tabs>
        <w:rPr>
          <w:rFonts w:asciiTheme="minorHAnsi" w:eastAsiaTheme="minorEastAsia" w:hAnsiTheme="minorHAnsi" w:cstheme="minorBidi"/>
          <w:noProof/>
        </w:rPr>
      </w:pPr>
      <w:hyperlink w:anchor="_Toc149064205" w:history="1">
        <w:r w:rsidR="00A91C73" w:rsidRPr="00B1389E">
          <w:rPr>
            <w:rStyle w:val="Hyperlink"/>
            <w:noProof/>
          </w:rPr>
          <w:t>Unit ABO/Rh Confirmation Form</w:t>
        </w:r>
        <w:r w:rsidR="00A91C73">
          <w:rPr>
            <w:noProof/>
            <w:webHidden/>
          </w:rPr>
          <w:tab/>
        </w:r>
        <w:r w:rsidR="00A91C73">
          <w:rPr>
            <w:noProof/>
            <w:webHidden/>
          </w:rPr>
          <w:fldChar w:fldCharType="begin"/>
        </w:r>
        <w:r w:rsidR="00A91C73">
          <w:rPr>
            <w:noProof/>
            <w:webHidden/>
          </w:rPr>
          <w:instrText xml:space="preserve"> PAGEREF _Toc149064205 \h </w:instrText>
        </w:r>
        <w:r w:rsidR="00A91C73">
          <w:rPr>
            <w:noProof/>
            <w:webHidden/>
          </w:rPr>
        </w:r>
        <w:r w:rsidR="00A91C73">
          <w:rPr>
            <w:noProof/>
            <w:webHidden/>
          </w:rPr>
          <w:fldChar w:fldCharType="separate"/>
        </w:r>
        <w:r w:rsidR="00ED2D38">
          <w:rPr>
            <w:noProof/>
            <w:webHidden/>
          </w:rPr>
          <w:t>407</w:t>
        </w:r>
        <w:r w:rsidR="00A91C73">
          <w:rPr>
            <w:noProof/>
            <w:webHidden/>
          </w:rPr>
          <w:fldChar w:fldCharType="end"/>
        </w:r>
      </w:hyperlink>
    </w:p>
    <w:p w14:paraId="3578D4D8" w14:textId="3B553BE3" w:rsidR="00A91C73" w:rsidRDefault="00A53403">
      <w:pPr>
        <w:pStyle w:val="TOC3"/>
        <w:tabs>
          <w:tab w:val="right" w:leader="dot" w:pos="9350"/>
        </w:tabs>
        <w:rPr>
          <w:rFonts w:asciiTheme="minorHAnsi" w:eastAsiaTheme="minorEastAsia" w:hAnsiTheme="minorHAnsi" w:cstheme="minorBidi"/>
          <w:noProof/>
        </w:rPr>
      </w:pPr>
      <w:hyperlink w:anchor="_Toc149064206" w:history="1">
        <w:r w:rsidR="00A91C73" w:rsidRPr="00B1389E">
          <w:rPr>
            <w:rStyle w:val="Hyperlink"/>
            <w:noProof/>
          </w:rPr>
          <w:t>Unit Issue and Inspection Log</w:t>
        </w:r>
        <w:r w:rsidR="00A91C73">
          <w:rPr>
            <w:noProof/>
            <w:webHidden/>
          </w:rPr>
          <w:tab/>
        </w:r>
        <w:r w:rsidR="00A91C73">
          <w:rPr>
            <w:noProof/>
            <w:webHidden/>
          </w:rPr>
          <w:fldChar w:fldCharType="begin"/>
        </w:r>
        <w:r w:rsidR="00A91C73">
          <w:rPr>
            <w:noProof/>
            <w:webHidden/>
          </w:rPr>
          <w:instrText xml:space="preserve"> PAGEREF _Toc149064206 \h </w:instrText>
        </w:r>
        <w:r w:rsidR="00A91C73">
          <w:rPr>
            <w:noProof/>
            <w:webHidden/>
          </w:rPr>
        </w:r>
        <w:r w:rsidR="00A91C73">
          <w:rPr>
            <w:noProof/>
            <w:webHidden/>
          </w:rPr>
          <w:fldChar w:fldCharType="separate"/>
        </w:r>
        <w:r w:rsidR="00ED2D38">
          <w:rPr>
            <w:noProof/>
            <w:webHidden/>
          </w:rPr>
          <w:t>408</w:t>
        </w:r>
        <w:r w:rsidR="00A91C73">
          <w:rPr>
            <w:noProof/>
            <w:webHidden/>
          </w:rPr>
          <w:fldChar w:fldCharType="end"/>
        </w:r>
      </w:hyperlink>
    </w:p>
    <w:p w14:paraId="778A2C6B" w14:textId="78B86D8E" w:rsidR="00A91C73" w:rsidRDefault="00A53403">
      <w:pPr>
        <w:pStyle w:val="TOC3"/>
        <w:tabs>
          <w:tab w:val="right" w:leader="dot" w:pos="9350"/>
        </w:tabs>
        <w:rPr>
          <w:rFonts w:asciiTheme="minorHAnsi" w:eastAsiaTheme="minorEastAsia" w:hAnsiTheme="minorHAnsi" w:cstheme="minorBidi"/>
          <w:noProof/>
        </w:rPr>
      </w:pPr>
      <w:hyperlink w:anchor="_Toc149064207" w:history="1">
        <w:r w:rsidR="00A91C73" w:rsidRPr="00B1389E">
          <w:rPr>
            <w:rStyle w:val="Hyperlink"/>
            <w:noProof/>
          </w:rPr>
          <w:t>Unit Modification Form</w:t>
        </w:r>
        <w:r w:rsidR="00A91C73">
          <w:rPr>
            <w:noProof/>
            <w:webHidden/>
          </w:rPr>
          <w:tab/>
        </w:r>
        <w:r w:rsidR="00A91C73">
          <w:rPr>
            <w:noProof/>
            <w:webHidden/>
          </w:rPr>
          <w:fldChar w:fldCharType="begin"/>
        </w:r>
        <w:r w:rsidR="00A91C73">
          <w:rPr>
            <w:noProof/>
            <w:webHidden/>
          </w:rPr>
          <w:instrText xml:space="preserve"> PAGEREF _Toc149064207 \h </w:instrText>
        </w:r>
        <w:r w:rsidR="00A91C73">
          <w:rPr>
            <w:noProof/>
            <w:webHidden/>
          </w:rPr>
        </w:r>
        <w:r w:rsidR="00A91C73">
          <w:rPr>
            <w:noProof/>
            <w:webHidden/>
          </w:rPr>
          <w:fldChar w:fldCharType="separate"/>
        </w:r>
        <w:r w:rsidR="00ED2D38">
          <w:rPr>
            <w:noProof/>
            <w:webHidden/>
          </w:rPr>
          <w:t>409</w:t>
        </w:r>
        <w:r w:rsidR="00A91C73">
          <w:rPr>
            <w:noProof/>
            <w:webHidden/>
          </w:rPr>
          <w:fldChar w:fldCharType="end"/>
        </w:r>
      </w:hyperlink>
    </w:p>
    <w:p w14:paraId="0AD70FCB" w14:textId="50614349" w:rsidR="00A91C73" w:rsidRDefault="00A53403">
      <w:pPr>
        <w:pStyle w:val="TOC2"/>
        <w:tabs>
          <w:tab w:val="right" w:leader="dot" w:pos="9350"/>
        </w:tabs>
        <w:rPr>
          <w:rFonts w:asciiTheme="minorHAnsi" w:eastAsiaTheme="minorEastAsia" w:hAnsiTheme="minorHAnsi" w:cstheme="minorBidi"/>
          <w:smallCaps w:val="0"/>
          <w:noProof/>
        </w:rPr>
      </w:pPr>
      <w:hyperlink w:anchor="_Toc149064208" w:history="1">
        <w:r w:rsidR="00A91C73" w:rsidRPr="00B1389E">
          <w:rPr>
            <w:rStyle w:val="Hyperlink"/>
            <w:noProof/>
          </w:rPr>
          <w:t>Appendix B: Database Table Information</w:t>
        </w:r>
        <w:r w:rsidR="00A91C73">
          <w:rPr>
            <w:noProof/>
            <w:webHidden/>
          </w:rPr>
          <w:tab/>
        </w:r>
        <w:r w:rsidR="00A91C73">
          <w:rPr>
            <w:noProof/>
            <w:webHidden/>
          </w:rPr>
          <w:fldChar w:fldCharType="begin"/>
        </w:r>
        <w:r w:rsidR="00A91C73">
          <w:rPr>
            <w:noProof/>
            <w:webHidden/>
          </w:rPr>
          <w:instrText xml:space="preserve"> PAGEREF _Toc149064208 \h </w:instrText>
        </w:r>
        <w:r w:rsidR="00A91C73">
          <w:rPr>
            <w:noProof/>
            <w:webHidden/>
          </w:rPr>
        </w:r>
        <w:r w:rsidR="00A91C73">
          <w:rPr>
            <w:noProof/>
            <w:webHidden/>
          </w:rPr>
          <w:fldChar w:fldCharType="separate"/>
        </w:r>
        <w:r w:rsidR="00ED2D38">
          <w:rPr>
            <w:noProof/>
            <w:webHidden/>
          </w:rPr>
          <w:t>411</w:t>
        </w:r>
        <w:r w:rsidR="00A91C73">
          <w:rPr>
            <w:noProof/>
            <w:webHidden/>
          </w:rPr>
          <w:fldChar w:fldCharType="end"/>
        </w:r>
      </w:hyperlink>
    </w:p>
    <w:p w14:paraId="7785893A" w14:textId="64196660" w:rsidR="00A91C73" w:rsidRDefault="00A53403">
      <w:pPr>
        <w:pStyle w:val="TOC3"/>
        <w:tabs>
          <w:tab w:val="right" w:leader="dot" w:pos="9350"/>
        </w:tabs>
        <w:rPr>
          <w:rFonts w:asciiTheme="minorHAnsi" w:eastAsiaTheme="minorEastAsia" w:hAnsiTheme="minorHAnsi" w:cstheme="minorBidi"/>
          <w:noProof/>
        </w:rPr>
      </w:pPr>
      <w:hyperlink w:anchor="_Toc149064209" w:history="1">
        <w:r w:rsidR="00A91C73" w:rsidRPr="00B1389E">
          <w:rPr>
            <w:rStyle w:val="Hyperlink"/>
            <w:noProof/>
          </w:rPr>
          <w:t>Antibody and Antigen Tables</w:t>
        </w:r>
        <w:r w:rsidR="00A91C73">
          <w:rPr>
            <w:noProof/>
            <w:webHidden/>
          </w:rPr>
          <w:tab/>
        </w:r>
        <w:r w:rsidR="00A91C73">
          <w:rPr>
            <w:noProof/>
            <w:webHidden/>
          </w:rPr>
          <w:fldChar w:fldCharType="begin"/>
        </w:r>
        <w:r w:rsidR="00A91C73">
          <w:rPr>
            <w:noProof/>
            <w:webHidden/>
          </w:rPr>
          <w:instrText xml:space="preserve"> PAGEREF _Toc149064209 \h </w:instrText>
        </w:r>
        <w:r w:rsidR="00A91C73">
          <w:rPr>
            <w:noProof/>
            <w:webHidden/>
          </w:rPr>
        </w:r>
        <w:r w:rsidR="00A91C73">
          <w:rPr>
            <w:noProof/>
            <w:webHidden/>
          </w:rPr>
          <w:fldChar w:fldCharType="separate"/>
        </w:r>
        <w:r w:rsidR="00ED2D38">
          <w:rPr>
            <w:noProof/>
            <w:webHidden/>
          </w:rPr>
          <w:t>411</w:t>
        </w:r>
        <w:r w:rsidR="00A91C73">
          <w:rPr>
            <w:noProof/>
            <w:webHidden/>
          </w:rPr>
          <w:fldChar w:fldCharType="end"/>
        </w:r>
      </w:hyperlink>
    </w:p>
    <w:p w14:paraId="58EE75E6" w14:textId="72C3AE2C" w:rsidR="00A91C73" w:rsidRDefault="00A53403">
      <w:pPr>
        <w:pStyle w:val="TOC3"/>
        <w:tabs>
          <w:tab w:val="right" w:leader="dot" w:pos="9350"/>
        </w:tabs>
        <w:rPr>
          <w:rFonts w:asciiTheme="minorHAnsi" w:eastAsiaTheme="minorEastAsia" w:hAnsiTheme="minorHAnsi" w:cstheme="minorBidi"/>
          <w:noProof/>
        </w:rPr>
      </w:pPr>
      <w:hyperlink w:anchor="_Toc149064210" w:history="1">
        <w:r w:rsidR="00A91C73" w:rsidRPr="00B1389E">
          <w:rPr>
            <w:rStyle w:val="Hyperlink"/>
            <w:noProof/>
          </w:rPr>
          <w:t>Antibody and Antigen Table: Irregular Antibodies</w:t>
        </w:r>
        <w:r w:rsidR="00A91C73">
          <w:rPr>
            <w:noProof/>
            <w:webHidden/>
          </w:rPr>
          <w:tab/>
        </w:r>
        <w:r w:rsidR="00A91C73">
          <w:rPr>
            <w:noProof/>
            <w:webHidden/>
          </w:rPr>
          <w:fldChar w:fldCharType="begin"/>
        </w:r>
        <w:r w:rsidR="00A91C73">
          <w:rPr>
            <w:noProof/>
            <w:webHidden/>
          </w:rPr>
          <w:instrText xml:space="preserve"> PAGEREF _Toc149064210 \h </w:instrText>
        </w:r>
        <w:r w:rsidR="00A91C73">
          <w:rPr>
            <w:noProof/>
            <w:webHidden/>
          </w:rPr>
        </w:r>
        <w:r w:rsidR="00A91C73">
          <w:rPr>
            <w:noProof/>
            <w:webHidden/>
          </w:rPr>
          <w:fldChar w:fldCharType="separate"/>
        </w:r>
        <w:r w:rsidR="00ED2D38">
          <w:rPr>
            <w:noProof/>
            <w:webHidden/>
          </w:rPr>
          <w:t>411</w:t>
        </w:r>
        <w:r w:rsidR="00A91C73">
          <w:rPr>
            <w:noProof/>
            <w:webHidden/>
          </w:rPr>
          <w:fldChar w:fldCharType="end"/>
        </w:r>
      </w:hyperlink>
    </w:p>
    <w:p w14:paraId="4F2DCDE6" w14:textId="3F2F355C" w:rsidR="00A91C73" w:rsidRDefault="00A53403">
      <w:pPr>
        <w:pStyle w:val="TOC3"/>
        <w:tabs>
          <w:tab w:val="right" w:leader="dot" w:pos="9350"/>
        </w:tabs>
        <w:rPr>
          <w:rFonts w:asciiTheme="minorHAnsi" w:eastAsiaTheme="minorEastAsia" w:hAnsiTheme="minorHAnsi" w:cstheme="minorBidi"/>
          <w:noProof/>
        </w:rPr>
      </w:pPr>
      <w:hyperlink w:anchor="_Toc149064211" w:history="1">
        <w:r w:rsidR="00A91C73" w:rsidRPr="00B1389E">
          <w:rPr>
            <w:rStyle w:val="Hyperlink"/>
            <w:noProof/>
          </w:rPr>
          <w:t>Antibody and Antigen Table: Database Conversion</w:t>
        </w:r>
        <w:r w:rsidR="00A91C73">
          <w:rPr>
            <w:noProof/>
            <w:webHidden/>
          </w:rPr>
          <w:tab/>
        </w:r>
        <w:r w:rsidR="00A91C73">
          <w:rPr>
            <w:noProof/>
            <w:webHidden/>
          </w:rPr>
          <w:fldChar w:fldCharType="begin"/>
        </w:r>
        <w:r w:rsidR="00A91C73">
          <w:rPr>
            <w:noProof/>
            <w:webHidden/>
          </w:rPr>
          <w:instrText xml:space="preserve"> PAGEREF _Toc149064211 \h </w:instrText>
        </w:r>
        <w:r w:rsidR="00A91C73">
          <w:rPr>
            <w:noProof/>
            <w:webHidden/>
          </w:rPr>
        </w:r>
        <w:r w:rsidR="00A91C73">
          <w:rPr>
            <w:noProof/>
            <w:webHidden/>
          </w:rPr>
          <w:fldChar w:fldCharType="separate"/>
        </w:r>
        <w:r w:rsidR="00ED2D38">
          <w:rPr>
            <w:noProof/>
            <w:webHidden/>
          </w:rPr>
          <w:t>414</w:t>
        </w:r>
        <w:r w:rsidR="00A91C73">
          <w:rPr>
            <w:noProof/>
            <w:webHidden/>
          </w:rPr>
          <w:fldChar w:fldCharType="end"/>
        </w:r>
      </w:hyperlink>
    </w:p>
    <w:p w14:paraId="2B40C620" w14:textId="686CD86A" w:rsidR="00A91C73" w:rsidRDefault="00A53403">
      <w:pPr>
        <w:pStyle w:val="TOC3"/>
        <w:tabs>
          <w:tab w:val="right" w:leader="dot" w:pos="9350"/>
        </w:tabs>
        <w:rPr>
          <w:rFonts w:asciiTheme="minorHAnsi" w:eastAsiaTheme="minorEastAsia" w:hAnsiTheme="minorHAnsi" w:cstheme="minorBidi"/>
          <w:noProof/>
        </w:rPr>
      </w:pPr>
      <w:hyperlink w:anchor="_Toc149064212" w:history="1">
        <w:r w:rsidR="00A91C73" w:rsidRPr="00B1389E">
          <w:rPr>
            <w:rStyle w:val="Hyperlink"/>
            <w:noProof/>
          </w:rPr>
          <w:t>Antibody Screen Test Interpretation</w:t>
        </w:r>
        <w:r w:rsidR="00A91C73">
          <w:rPr>
            <w:noProof/>
            <w:webHidden/>
          </w:rPr>
          <w:tab/>
        </w:r>
        <w:r w:rsidR="00A91C73">
          <w:rPr>
            <w:noProof/>
            <w:webHidden/>
          </w:rPr>
          <w:fldChar w:fldCharType="begin"/>
        </w:r>
        <w:r w:rsidR="00A91C73">
          <w:rPr>
            <w:noProof/>
            <w:webHidden/>
          </w:rPr>
          <w:instrText xml:space="preserve"> PAGEREF _Toc149064212 \h </w:instrText>
        </w:r>
        <w:r w:rsidR="00A91C73">
          <w:rPr>
            <w:noProof/>
            <w:webHidden/>
          </w:rPr>
        </w:r>
        <w:r w:rsidR="00A91C73">
          <w:rPr>
            <w:noProof/>
            <w:webHidden/>
          </w:rPr>
          <w:fldChar w:fldCharType="separate"/>
        </w:r>
        <w:r w:rsidR="00ED2D38">
          <w:rPr>
            <w:noProof/>
            <w:webHidden/>
          </w:rPr>
          <w:t>415</w:t>
        </w:r>
        <w:r w:rsidR="00A91C73">
          <w:rPr>
            <w:noProof/>
            <w:webHidden/>
          </w:rPr>
          <w:fldChar w:fldCharType="end"/>
        </w:r>
      </w:hyperlink>
    </w:p>
    <w:p w14:paraId="6EFD7DBB" w14:textId="3EF4ABBB" w:rsidR="00A91C73" w:rsidRDefault="00A53403">
      <w:pPr>
        <w:pStyle w:val="TOC3"/>
        <w:tabs>
          <w:tab w:val="right" w:leader="dot" w:pos="9350"/>
        </w:tabs>
        <w:rPr>
          <w:rFonts w:asciiTheme="minorHAnsi" w:eastAsiaTheme="minorEastAsia" w:hAnsiTheme="minorHAnsi" w:cstheme="minorBidi"/>
          <w:noProof/>
        </w:rPr>
      </w:pPr>
      <w:hyperlink w:anchor="_Toc149064213" w:history="1">
        <w:r w:rsidR="00A91C73" w:rsidRPr="00B1389E">
          <w:rPr>
            <w:rStyle w:val="Hyperlink"/>
            <w:noProof/>
          </w:rPr>
          <w:t>Canned Comment Category Types and Text</w:t>
        </w:r>
        <w:r w:rsidR="00A91C73">
          <w:rPr>
            <w:noProof/>
            <w:webHidden/>
          </w:rPr>
          <w:tab/>
        </w:r>
        <w:r w:rsidR="00A91C73">
          <w:rPr>
            <w:noProof/>
            <w:webHidden/>
          </w:rPr>
          <w:fldChar w:fldCharType="begin"/>
        </w:r>
        <w:r w:rsidR="00A91C73">
          <w:rPr>
            <w:noProof/>
            <w:webHidden/>
          </w:rPr>
          <w:instrText xml:space="preserve"> PAGEREF _Toc149064213 \h </w:instrText>
        </w:r>
        <w:r w:rsidR="00A91C73">
          <w:rPr>
            <w:noProof/>
            <w:webHidden/>
          </w:rPr>
        </w:r>
        <w:r w:rsidR="00A91C73">
          <w:rPr>
            <w:noProof/>
            <w:webHidden/>
          </w:rPr>
          <w:fldChar w:fldCharType="separate"/>
        </w:r>
        <w:r w:rsidR="00ED2D38">
          <w:rPr>
            <w:noProof/>
            <w:webHidden/>
          </w:rPr>
          <w:t>415</w:t>
        </w:r>
        <w:r w:rsidR="00A91C73">
          <w:rPr>
            <w:noProof/>
            <w:webHidden/>
          </w:rPr>
          <w:fldChar w:fldCharType="end"/>
        </w:r>
      </w:hyperlink>
    </w:p>
    <w:p w14:paraId="0DCD7369" w14:textId="2D297E1D" w:rsidR="00A91C73" w:rsidRDefault="00A53403">
      <w:pPr>
        <w:pStyle w:val="TOC3"/>
        <w:tabs>
          <w:tab w:val="right" w:leader="dot" w:pos="9350"/>
        </w:tabs>
        <w:rPr>
          <w:rFonts w:asciiTheme="minorHAnsi" w:eastAsiaTheme="minorEastAsia" w:hAnsiTheme="minorHAnsi" w:cstheme="minorBidi"/>
          <w:noProof/>
        </w:rPr>
      </w:pPr>
      <w:hyperlink w:anchor="_Toc149064214" w:history="1">
        <w:r w:rsidR="00A91C73" w:rsidRPr="00B1389E">
          <w:rPr>
            <w:rStyle w:val="Hyperlink"/>
            <w:noProof/>
          </w:rPr>
          <w:t>CPRS Orderable Blood Components (Component Classes) Mapped to ICCBBA Component Classes</w:t>
        </w:r>
        <w:r w:rsidR="00A91C73">
          <w:rPr>
            <w:noProof/>
            <w:webHidden/>
          </w:rPr>
          <w:tab/>
        </w:r>
        <w:r w:rsidR="00A91C73">
          <w:rPr>
            <w:noProof/>
            <w:webHidden/>
          </w:rPr>
          <w:fldChar w:fldCharType="begin"/>
        </w:r>
        <w:r w:rsidR="00A91C73">
          <w:rPr>
            <w:noProof/>
            <w:webHidden/>
          </w:rPr>
          <w:instrText xml:space="preserve"> PAGEREF _Toc149064214 \h </w:instrText>
        </w:r>
        <w:r w:rsidR="00A91C73">
          <w:rPr>
            <w:noProof/>
            <w:webHidden/>
          </w:rPr>
        </w:r>
        <w:r w:rsidR="00A91C73">
          <w:rPr>
            <w:noProof/>
            <w:webHidden/>
          </w:rPr>
          <w:fldChar w:fldCharType="separate"/>
        </w:r>
        <w:r w:rsidR="00ED2D38">
          <w:rPr>
            <w:noProof/>
            <w:webHidden/>
          </w:rPr>
          <w:t>421</w:t>
        </w:r>
        <w:r w:rsidR="00A91C73">
          <w:rPr>
            <w:noProof/>
            <w:webHidden/>
          </w:rPr>
          <w:fldChar w:fldCharType="end"/>
        </w:r>
      </w:hyperlink>
    </w:p>
    <w:p w14:paraId="1DD13C04" w14:textId="176EABE7" w:rsidR="00A91C73" w:rsidRDefault="00A53403">
      <w:pPr>
        <w:pStyle w:val="TOC3"/>
        <w:tabs>
          <w:tab w:val="right" w:leader="dot" w:pos="9350"/>
        </w:tabs>
        <w:rPr>
          <w:rFonts w:asciiTheme="minorHAnsi" w:eastAsiaTheme="minorEastAsia" w:hAnsiTheme="minorHAnsi" w:cstheme="minorBidi"/>
          <w:noProof/>
        </w:rPr>
      </w:pPr>
      <w:hyperlink w:anchor="_Toc149064215" w:history="1">
        <w:r w:rsidR="00A91C73" w:rsidRPr="00B1389E">
          <w:rPr>
            <w:rStyle w:val="Hyperlink"/>
            <w:noProof/>
          </w:rPr>
          <w:t>Details in Audit Trail Report</w:t>
        </w:r>
        <w:r w:rsidR="00A91C73">
          <w:rPr>
            <w:noProof/>
            <w:webHidden/>
          </w:rPr>
          <w:tab/>
        </w:r>
        <w:r w:rsidR="00A91C73">
          <w:rPr>
            <w:noProof/>
            <w:webHidden/>
          </w:rPr>
          <w:fldChar w:fldCharType="begin"/>
        </w:r>
        <w:r w:rsidR="00A91C73">
          <w:rPr>
            <w:noProof/>
            <w:webHidden/>
          </w:rPr>
          <w:instrText xml:space="preserve"> PAGEREF _Toc149064215 \h </w:instrText>
        </w:r>
        <w:r w:rsidR="00A91C73">
          <w:rPr>
            <w:noProof/>
            <w:webHidden/>
          </w:rPr>
        </w:r>
        <w:r w:rsidR="00A91C73">
          <w:rPr>
            <w:noProof/>
            <w:webHidden/>
          </w:rPr>
          <w:fldChar w:fldCharType="separate"/>
        </w:r>
        <w:r w:rsidR="00ED2D38">
          <w:rPr>
            <w:noProof/>
            <w:webHidden/>
          </w:rPr>
          <w:t>421</w:t>
        </w:r>
        <w:r w:rsidR="00A91C73">
          <w:rPr>
            <w:noProof/>
            <w:webHidden/>
          </w:rPr>
          <w:fldChar w:fldCharType="end"/>
        </w:r>
      </w:hyperlink>
    </w:p>
    <w:p w14:paraId="7EF83A1E" w14:textId="330DA67D" w:rsidR="00A91C73" w:rsidRDefault="00A53403">
      <w:pPr>
        <w:pStyle w:val="TOC3"/>
        <w:tabs>
          <w:tab w:val="right" w:leader="dot" w:pos="9350"/>
        </w:tabs>
        <w:rPr>
          <w:rFonts w:asciiTheme="minorHAnsi" w:eastAsiaTheme="minorEastAsia" w:hAnsiTheme="minorHAnsi" w:cstheme="minorBidi"/>
          <w:noProof/>
        </w:rPr>
      </w:pPr>
      <w:hyperlink w:anchor="_Toc149064216" w:history="1">
        <w:r w:rsidR="00A91C73" w:rsidRPr="00B1389E">
          <w:rPr>
            <w:rStyle w:val="Hyperlink"/>
            <w:noProof/>
          </w:rPr>
          <w:t>Details in Exception Report</w:t>
        </w:r>
        <w:r w:rsidR="00A91C73">
          <w:rPr>
            <w:noProof/>
            <w:webHidden/>
          </w:rPr>
          <w:tab/>
        </w:r>
        <w:r w:rsidR="00A91C73">
          <w:rPr>
            <w:noProof/>
            <w:webHidden/>
          </w:rPr>
          <w:fldChar w:fldCharType="begin"/>
        </w:r>
        <w:r w:rsidR="00A91C73">
          <w:rPr>
            <w:noProof/>
            <w:webHidden/>
          </w:rPr>
          <w:instrText xml:space="preserve"> PAGEREF _Toc149064216 \h </w:instrText>
        </w:r>
        <w:r w:rsidR="00A91C73">
          <w:rPr>
            <w:noProof/>
            <w:webHidden/>
          </w:rPr>
        </w:r>
        <w:r w:rsidR="00A91C73">
          <w:rPr>
            <w:noProof/>
            <w:webHidden/>
          </w:rPr>
          <w:fldChar w:fldCharType="separate"/>
        </w:r>
        <w:r w:rsidR="00ED2D38">
          <w:rPr>
            <w:noProof/>
            <w:webHidden/>
          </w:rPr>
          <w:t>426</w:t>
        </w:r>
        <w:r w:rsidR="00A91C73">
          <w:rPr>
            <w:noProof/>
            <w:webHidden/>
          </w:rPr>
          <w:fldChar w:fldCharType="end"/>
        </w:r>
      </w:hyperlink>
    </w:p>
    <w:p w14:paraId="13DA9AD8" w14:textId="29F2B46A" w:rsidR="00A91C73" w:rsidRDefault="00A53403">
      <w:pPr>
        <w:pStyle w:val="TOC3"/>
        <w:tabs>
          <w:tab w:val="right" w:leader="dot" w:pos="9350"/>
        </w:tabs>
        <w:rPr>
          <w:rFonts w:asciiTheme="minorHAnsi" w:eastAsiaTheme="minorEastAsia" w:hAnsiTheme="minorHAnsi" w:cstheme="minorBidi"/>
          <w:noProof/>
        </w:rPr>
      </w:pPr>
      <w:hyperlink w:anchor="_Toc149064217" w:history="1">
        <w:r w:rsidR="00A91C73" w:rsidRPr="00B1389E">
          <w:rPr>
            <w:rStyle w:val="Hyperlink"/>
            <w:noProof/>
          </w:rPr>
          <w:t>Allowable Product Modifications by Original Product Type</w:t>
        </w:r>
        <w:r w:rsidR="00A91C73">
          <w:rPr>
            <w:noProof/>
            <w:webHidden/>
          </w:rPr>
          <w:tab/>
        </w:r>
        <w:r w:rsidR="00A91C73">
          <w:rPr>
            <w:noProof/>
            <w:webHidden/>
          </w:rPr>
          <w:fldChar w:fldCharType="begin"/>
        </w:r>
        <w:r w:rsidR="00A91C73">
          <w:rPr>
            <w:noProof/>
            <w:webHidden/>
          </w:rPr>
          <w:instrText xml:space="preserve"> PAGEREF _Toc149064217 \h </w:instrText>
        </w:r>
        <w:r w:rsidR="00A91C73">
          <w:rPr>
            <w:noProof/>
            <w:webHidden/>
          </w:rPr>
        </w:r>
        <w:r w:rsidR="00A91C73">
          <w:rPr>
            <w:noProof/>
            <w:webHidden/>
          </w:rPr>
          <w:fldChar w:fldCharType="separate"/>
        </w:r>
        <w:r w:rsidR="00ED2D38">
          <w:rPr>
            <w:noProof/>
            <w:webHidden/>
          </w:rPr>
          <w:t>428</w:t>
        </w:r>
        <w:r w:rsidR="00A91C73">
          <w:rPr>
            <w:noProof/>
            <w:webHidden/>
          </w:rPr>
          <w:fldChar w:fldCharType="end"/>
        </w:r>
      </w:hyperlink>
    </w:p>
    <w:p w14:paraId="44731361" w14:textId="1F9B8DE6" w:rsidR="00A91C73" w:rsidRDefault="00A53403">
      <w:pPr>
        <w:pStyle w:val="TOC3"/>
        <w:tabs>
          <w:tab w:val="right" w:leader="dot" w:pos="9350"/>
        </w:tabs>
        <w:rPr>
          <w:rFonts w:asciiTheme="minorHAnsi" w:eastAsiaTheme="minorEastAsia" w:hAnsiTheme="minorHAnsi" w:cstheme="minorBidi"/>
          <w:noProof/>
        </w:rPr>
      </w:pPr>
      <w:hyperlink w:anchor="_Toc149064218" w:history="1">
        <w:r w:rsidR="00A91C73" w:rsidRPr="00B1389E">
          <w:rPr>
            <w:rStyle w:val="Hyperlink"/>
            <w:noProof/>
          </w:rPr>
          <w:t>Order Status Flowchart</w:t>
        </w:r>
        <w:r w:rsidR="00A91C73">
          <w:rPr>
            <w:noProof/>
            <w:webHidden/>
          </w:rPr>
          <w:tab/>
        </w:r>
        <w:r w:rsidR="00A91C73">
          <w:rPr>
            <w:noProof/>
            <w:webHidden/>
          </w:rPr>
          <w:fldChar w:fldCharType="begin"/>
        </w:r>
        <w:r w:rsidR="00A91C73">
          <w:rPr>
            <w:noProof/>
            <w:webHidden/>
          </w:rPr>
          <w:instrText xml:space="preserve"> PAGEREF _Toc149064218 \h </w:instrText>
        </w:r>
        <w:r w:rsidR="00A91C73">
          <w:rPr>
            <w:noProof/>
            <w:webHidden/>
          </w:rPr>
        </w:r>
        <w:r w:rsidR="00A91C73">
          <w:rPr>
            <w:noProof/>
            <w:webHidden/>
          </w:rPr>
          <w:fldChar w:fldCharType="separate"/>
        </w:r>
        <w:r w:rsidR="00ED2D38">
          <w:rPr>
            <w:noProof/>
            <w:webHidden/>
          </w:rPr>
          <w:t>429</w:t>
        </w:r>
        <w:r w:rsidR="00A91C73">
          <w:rPr>
            <w:noProof/>
            <w:webHidden/>
          </w:rPr>
          <w:fldChar w:fldCharType="end"/>
        </w:r>
      </w:hyperlink>
    </w:p>
    <w:p w14:paraId="0DBB51F3" w14:textId="597699ED" w:rsidR="00A91C73" w:rsidRDefault="00A53403">
      <w:pPr>
        <w:pStyle w:val="TOC3"/>
        <w:tabs>
          <w:tab w:val="right" w:leader="dot" w:pos="9350"/>
        </w:tabs>
        <w:rPr>
          <w:rFonts w:asciiTheme="minorHAnsi" w:eastAsiaTheme="minorEastAsia" w:hAnsiTheme="minorHAnsi" w:cstheme="minorBidi"/>
          <w:noProof/>
        </w:rPr>
      </w:pPr>
      <w:hyperlink w:anchor="_Toc149064219" w:history="1">
        <w:r w:rsidR="00A91C73" w:rsidRPr="00B1389E">
          <w:rPr>
            <w:rStyle w:val="Hyperlink"/>
            <w:noProof/>
          </w:rPr>
          <w:t>Rules for Electronic and Serologic Crossmatch</w:t>
        </w:r>
        <w:r w:rsidR="00A91C73">
          <w:rPr>
            <w:noProof/>
            <w:webHidden/>
          </w:rPr>
          <w:tab/>
        </w:r>
        <w:r w:rsidR="00A91C73">
          <w:rPr>
            <w:noProof/>
            <w:webHidden/>
          </w:rPr>
          <w:fldChar w:fldCharType="begin"/>
        </w:r>
        <w:r w:rsidR="00A91C73">
          <w:rPr>
            <w:noProof/>
            <w:webHidden/>
          </w:rPr>
          <w:instrText xml:space="preserve"> PAGEREF _Toc149064219 \h </w:instrText>
        </w:r>
        <w:r w:rsidR="00A91C73">
          <w:rPr>
            <w:noProof/>
            <w:webHidden/>
          </w:rPr>
        </w:r>
        <w:r w:rsidR="00A91C73">
          <w:rPr>
            <w:noProof/>
            <w:webHidden/>
          </w:rPr>
          <w:fldChar w:fldCharType="separate"/>
        </w:r>
        <w:r w:rsidR="00ED2D38">
          <w:rPr>
            <w:noProof/>
            <w:webHidden/>
          </w:rPr>
          <w:t>430</w:t>
        </w:r>
        <w:r w:rsidR="00A91C73">
          <w:rPr>
            <w:noProof/>
            <w:webHidden/>
          </w:rPr>
          <w:fldChar w:fldCharType="end"/>
        </w:r>
      </w:hyperlink>
    </w:p>
    <w:p w14:paraId="6643855B" w14:textId="20AEAFD0" w:rsidR="00A91C73" w:rsidRDefault="00A53403">
      <w:pPr>
        <w:pStyle w:val="TOC3"/>
        <w:tabs>
          <w:tab w:val="right" w:leader="dot" w:pos="9350"/>
        </w:tabs>
        <w:rPr>
          <w:rFonts w:asciiTheme="minorHAnsi" w:eastAsiaTheme="minorEastAsia" w:hAnsiTheme="minorHAnsi" w:cstheme="minorBidi"/>
          <w:noProof/>
        </w:rPr>
      </w:pPr>
      <w:hyperlink w:anchor="_Toc149064220" w:history="1">
        <w:r w:rsidR="00A91C73" w:rsidRPr="00B1389E">
          <w:rPr>
            <w:rStyle w:val="Hyperlink"/>
            <w:noProof/>
          </w:rPr>
          <w:t>Unit Status Flowchart</w:t>
        </w:r>
        <w:r w:rsidR="00A91C73">
          <w:rPr>
            <w:noProof/>
            <w:webHidden/>
          </w:rPr>
          <w:tab/>
        </w:r>
        <w:r w:rsidR="00A91C73">
          <w:rPr>
            <w:noProof/>
            <w:webHidden/>
          </w:rPr>
          <w:fldChar w:fldCharType="begin"/>
        </w:r>
        <w:r w:rsidR="00A91C73">
          <w:rPr>
            <w:noProof/>
            <w:webHidden/>
          </w:rPr>
          <w:instrText xml:space="preserve"> PAGEREF _Toc149064220 \h </w:instrText>
        </w:r>
        <w:r w:rsidR="00A91C73">
          <w:rPr>
            <w:noProof/>
            <w:webHidden/>
          </w:rPr>
        </w:r>
        <w:r w:rsidR="00A91C73">
          <w:rPr>
            <w:noProof/>
            <w:webHidden/>
          </w:rPr>
          <w:fldChar w:fldCharType="separate"/>
        </w:r>
        <w:r w:rsidR="00ED2D38">
          <w:rPr>
            <w:noProof/>
            <w:webHidden/>
          </w:rPr>
          <w:t>431</w:t>
        </w:r>
        <w:r w:rsidR="00A91C73">
          <w:rPr>
            <w:noProof/>
            <w:webHidden/>
          </w:rPr>
          <w:fldChar w:fldCharType="end"/>
        </w:r>
      </w:hyperlink>
    </w:p>
    <w:p w14:paraId="475FE919" w14:textId="337D613D" w:rsidR="00A91C73" w:rsidRDefault="00A53403">
      <w:pPr>
        <w:pStyle w:val="TOC3"/>
        <w:tabs>
          <w:tab w:val="right" w:leader="dot" w:pos="9350"/>
        </w:tabs>
        <w:rPr>
          <w:rFonts w:asciiTheme="minorHAnsi" w:eastAsiaTheme="minorEastAsia" w:hAnsiTheme="minorHAnsi" w:cstheme="minorBidi"/>
          <w:noProof/>
        </w:rPr>
      </w:pPr>
      <w:hyperlink w:anchor="_Toc149064221" w:history="1">
        <w:r w:rsidR="00A91C73" w:rsidRPr="00B1389E">
          <w:rPr>
            <w:rStyle w:val="Hyperlink"/>
            <w:noProof/>
          </w:rPr>
          <w:t>VBECS Maximum Surgical Blood Order Schedule</w:t>
        </w:r>
        <w:r w:rsidR="00A91C73">
          <w:rPr>
            <w:noProof/>
            <w:webHidden/>
          </w:rPr>
          <w:tab/>
        </w:r>
        <w:r w:rsidR="00A91C73">
          <w:rPr>
            <w:noProof/>
            <w:webHidden/>
          </w:rPr>
          <w:fldChar w:fldCharType="begin"/>
        </w:r>
        <w:r w:rsidR="00A91C73">
          <w:rPr>
            <w:noProof/>
            <w:webHidden/>
          </w:rPr>
          <w:instrText xml:space="preserve"> PAGEREF _Toc149064221 \h </w:instrText>
        </w:r>
        <w:r w:rsidR="00A91C73">
          <w:rPr>
            <w:noProof/>
            <w:webHidden/>
          </w:rPr>
        </w:r>
        <w:r w:rsidR="00A91C73">
          <w:rPr>
            <w:noProof/>
            <w:webHidden/>
          </w:rPr>
          <w:fldChar w:fldCharType="separate"/>
        </w:r>
        <w:r w:rsidR="00ED2D38">
          <w:rPr>
            <w:noProof/>
            <w:webHidden/>
          </w:rPr>
          <w:t>433</w:t>
        </w:r>
        <w:r w:rsidR="00A91C73">
          <w:rPr>
            <w:noProof/>
            <w:webHidden/>
          </w:rPr>
          <w:fldChar w:fldCharType="end"/>
        </w:r>
      </w:hyperlink>
    </w:p>
    <w:p w14:paraId="457E3348" w14:textId="1164F0D7" w:rsidR="00A91C73" w:rsidRDefault="00A53403">
      <w:pPr>
        <w:pStyle w:val="TOC3"/>
        <w:tabs>
          <w:tab w:val="right" w:leader="dot" w:pos="9350"/>
        </w:tabs>
        <w:rPr>
          <w:rFonts w:asciiTheme="minorHAnsi" w:eastAsiaTheme="minorEastAsia" w:hAnsiTheme="minorHAnsi" w:cstheme="minorBidi"/>
          <w:noProof/>
        </w:rPr>
      </w:pPr>
      <w:hyperlink w:anchor="_Toc149064222" w:history="1">
        <w:r w:rsidR="00A91C73" w:rsidRPr="00B1389E">
          <w:rPr>
            <w:rStyle w:val="Hyperlink"/>
            <w:noProof/>
          </w:rPr>
          <w:t>BCE COTS Message Updates</w:t>
        </w:r>
        <w:r w:rsidR="00A91C73">
          <w:rPr>
            <w:noProof/>
            <w:webHidden/>
          </w:rPr>
          <w:tab/>
        </w:r>
        <w:r w:rsidR="00A91C73">
          <w:rPr>
            <w:noProof/>
            <w:webHidden/>
          </w:rPr>
          <w:fldChar w:fldCharType="begin"/>
        </w:r>
        <w:r w:rsidR="00A91C73">
          <w:rPr>
            <w:noProof/>
            <w:webHidden/>
          </w:rPr>
          <w:instrText xml:space="preserve"> PAGEREF _Toc149064222 \h </w:instrText>
        </w:r>
        <w:r w:rsidR="00A91C73">
          <w:rPr>
            <w:noProof/>
            <w:webHidden/>
          </w:rPr>
        </w:r>
        <w:r w:rsidR="00A91C73">
          <w:rPr>
            <w:noProof/>
            <w:webHidden/>
          </w:rPr>
          <w:fldChar w:fldCharType="separate"/>
        </w:r>
        <w:r w:rsidR="00ED2D38">
          <w:rPr>
            <w:noProof/>
            <w:webHidden/>
          </w:rPr>
          <w:t>434</w:t>
        </w:r>
        <w:r w:rsidR="00A91C73">
          <w:rPr>
            <w:noProof/>
            <w:webHidden/>
          </w:rPr>
          <w:fldChar w:fldCharType="end"/>
        </w:r>
      </w:hyperlink>
    </w:p>
    <w:p w14:paraId="15822AC6" w14:textId="652E1920" w:rsidR="00A91C73" w:rsidRDefault="00A53403">
      <w:pPr>
        <w:pStyle w:val="TOC3"/>
        <w:tabs>
          <w:tab w:val="right" w:leader="dot" w:pos="9350"/>
        </w:tabs>
        <w:rPr>
          <w:rFonts w:asciiTheme="minorHAnsi" w:eastAsiaTheme="minorEastAsia" w:hAnsiTheme="minorHAnsi" w:cstheme="minorBidi"/>
          <w:noProof/>
        </w:rPr>
      </w:pPr>
      <w:hyperlink w:anchor="_Toc149064223" w:history="1">
        <w:r w:rsidR="00A91C73" w:rsidRPr="00B1389E">
          <w:rPr>
            <w:rStyle w:val="Hyperlink"/>
            <w:noProof/>
          </w:rPr>
          <w:t>Workload Process to Use Case Mapping Table</w:t>
        </w:r>
        <w:r w:rsidR="00A91C73">
          <w:rPr>
            <w:noProof/>
            <w:webHidden/>
          </w:rPr>
          <w:tab/>
        </w:r>
        <w:r w:rsidR="00A91C73">
          <w:rPr>
            <w:noProof/>
            <w:webHidden/>
          </w:rPr>
          <w:fldChar w:fldCharType="begin"/>
        </w:r>
        <w:r w:rsidR="00A91C73">
          <w:rPr>
            <w:noProof/>
            <w:webHidden/>
          </w:rPr>
          <w:instrText xml:space="preserve"> PAGEREF _Toc149064223 \h </w:instrText>
        </w:r>
        <w:r w:rsidR="00A91C73">
          <w:rPr>
            <w:noProof/>
            <w:webHidden/>
          </w:rPr>
        </w:r>
        <w:r w:rsidR="00A91C73">
          <w:rPr>
            <w:noProof/>
            <w:webHidden/>
          </w:rPr>
          <w:fldChar w:fldCharType="separate"/>
        </w:r>
        <w:r w:rsidR="00ED2D38">
          <w:rPr>
            <w:noProof/>
            <w:webHidden/>
          </w:rPr>
          <w:t>437</w:t>
        </w:r>
        <w:r w:rsidR="00A91C73">
          <w:rPr>
            <w:noProof/>
            <w:webHidden/>
          </w:rPr>
          <w:fldChar w:fldCharType="end"/>
        </w:r>
      </w:hyperlink>
    </w:p>
    <w:p w14:paraId="3DAFAAB2" w14:textId="2FAC38E7" w:rsidR="00A91C73" w:rsidRDefault="00A53403">
      <w:pPr>
        <w:pStyle w:val="TOC2"/>
        <w:tabs>
          <w:tab w:val="right" w:leader="dot" w:pos="9350"/>
        </w:tabs>
        <w:rPr>
          <w:rFonts w:asciiTheme="minorHAnsi" w:eastAsiaTheme="minorEastAsia" w:hAnsiTheme="minorHAnsi" w:cstheme="minorBidi"/>
          <w:smallCaps w:val="0"/>
          <w:noProof/>
        </w:rPr>
      </w:pPr>
      <w:hyperlink w:anchor="_Toc149064224" w:history="1">
        <w:r w:rsidR="00A91C73" w:rsidRPr="00B1389E">
          <w:rPr>
            <w:rStyle w:val="Hyperlink"/>
            <w:noProof/>
          </w:rPr>
          <w:t>Appendix C: VBECS Work Flow</w:t>
        </w:r>
        <w:r w:rsidR="00A91C73">
          <w:rPr>
            <w:noProof/>
            <w:webHidden/>
          </w:rPr>
          <w:tab/>
        </w:r>
        <w:r w:rsidR="00A91C73">
          <w:rPr>
            <w:noProof/>
            <w:webHidden/>
          </w:rPr>
          <w:fldChar w:fldCharType="begin"/>
        </w:r>
        <w:r w:rsidR="00A91C73">
          <w:rPr>
            <w:noProof/>
            <w:webHidden/>
          </w:rPr>
          <w:instrText xml:space="preserve"> PAGEREF _Toc149064224 \h </w:instrText>
        </w:r>
        <w:r w:rsidR="00A91C73">
          <w:rPr>
            <w:noProof/>
            <w:webHidden/>
          </w:rPr>
        </w:r>
        <w:r w:rsidR="00A91C73">
          <w:rPr>
            <w:noProof/>
            <w:webHidden/>
          </w:rPr>
          <w:fldChar w:fldCharType="separate"/>
        </w:r>
        <w:r w:rsidR="00ED2D38">
          <w:rPr>
            <w:noProof/>
            <w:webHidden/>
          </w:rPr>
          <w:t>447</w:t>
        </w:r>
        <w:r w:rsidR="00A91C73">
          <w:rPr>
            <w:noProof/>
            <w:webHidden/>
          </w:rPr>
          <w:fldChar w:fldCharType="end"/>
        </w:r>
      </w:hyperlink>
    </w:p>
    <w:p w14:paraId="1734546B" w14:textId="6290D7EC" w:rsidR="00A91C73" w:rsidRDefault="00A53403">
      <w:pPr>
        <w:pStyle w:val="TOC2"/>
        <w:tabs>
          <w:tab w:val="right" w:leader="dot" w:pos="9350"/>
        </w:tabs>
        <w:rPr>
          <w:rFonts w:asciiTheme="minorHAnsi" w:eastAsiaTheme="minorEastAsia" w:hAnsiTheme="minorHAnsi" w:cstheme="minorBidi"/>
          <w:smallCaps w:val="0"/>
          <w:noProof/>
        </w:rPr>
      </w:pPr>
      <w:hyperlink w:anchor="_Toc149064225" w:history="1">
        <w:r w:rsidR="00A91C73" w:rsidRPr="00B1389E">
          <w:rPr>
            <w:rStyle w:val="Hyperlink"/>
            <w:noProof/>
          </w:rPr>
          <w:t>Appendix D: Limitations and Restrictions</w:t>
        </w:r>
        <w:r w:rsidR="00A91C73">
          <w:rPr>
            <w:noProof/>
            <w:webHidden/>
          </w:rPr>
          <w:tab/>
        </w:r>
        <w:r w:rsidR="00A91C73">
          <w:rPr>
            <w:noProof/>
            <w:webHidden/>
          </w:rPr>
          <w:fldChar w:fldCharType="begin"/>
        </w:r>
        <w:r w:rsidR="00A91C73">
          <w:rPr>
            <w:noProof/>
            <w:webHidden/>
          </w:rPr>
          <w:instrText xml:space="preserve"> PAGEREF _Toc149064225 \h </w:instrText>
        </w:r>
        <w:r w:rsidR="00A91C73">
          <w:rPr>
            <w:noProof/>
            <w:webHidden/>
          </w:rPr>
        </w:r>
        <w:r w:rsidR="00A91C73">
          <w:rPr>
            <w:noProof/>
            <w:webHidden/>
          </w:rPr>
          <w:fldChar w:fldCharType="separate"/>
        </w:r>
        <w:r w:rsidR="00ED2D38">
          <w:rPr>
            <w:noProof/>
            <w:webHidden/>
          </w:rPr>
          <w:t>450</w:t>
        </w:r>
        <w:r w:rsidR="00A91C73">
          <w:rPr>
            <w:noProof/>
            <w:webHidden/>
          </w:rPr>
          <w:fldChar w:fldCharType="end"/>
        </w:r>
      </w:hyperlink>
    </w:p>
    <w:p w14:paraId="4D9759F9" w14:textId="62E7F92C" w:rsidR="00A91C73" w:rsidRDefault="00A53403">
      <w:pPr>
        <w:pStyle w:val="TOC2"/>
        <w:tabs>
          <w:tab w:val="right" w:leader="dot" w:pos="9350"/>
        </w:tabs>
        <w:rPr>
          <w:rFonts w:asciiTheme="minorHAnsi" w:eastAsiaTheme="minorEastAsia" w:hAnsiTheme="minorHAnsi" w:cstheme="minorBidi"/>
          <w:smallCaps w:val="0"/>
          <w:noProof/>
        </w:rPr>
      </w:pPr>
      <w:hyperlink w:anchor="_Toc149064226" w:history="1">
        <w:r w:rsidR="00A91C73" w:rsidRPr="00B1389E">
          <w:rPr>
            <w:rStyle w:val="Hyperlink"/>
            <w:noProof/>
          </w:rPr>
          <w:t>Appendix E: Known Defects and Anomalies</w:t>
        </w:r>
        <w:r w:rsidR="00A91C73">
          <w:rPr>
            <w:noProof/>
            <w:webHidden/>
          </w:rPr>
          <w:tab/>
        </w:r>
        <w:r w:rsidR="00A91C73">
          <w:rPr>
            <w:noProof/>
            <w:webHidden/>
          </w:rPr>
          <w:fldChar w:fldCharType="begin"/>
        </w:r>
        <w:r w:rsidR="00A91C73">
          <w:rPr>
            <w:noProof/>
            <w:webHidden/>
          </w:rPr>
          <w:instrText xml:space="preserve"> PAGEREF _Toc149064226 \h </w:instrText>
        </w:r>
        <w:r w:rsidR="00A91C73">
          <w:rPr>
            <w:noProof/>
            <w:webHidden/>
          </w:rPr>
        </w:r>
        <w:r w:rsidR="00A91C73">
          <w:rPr>
            <w:noProof/>
            <w:webHidden/>
          </w:rPr>
          <w:fldChar w:fldCharType="separate"/>
        </w:r>
        <w:r w:rsidR="00ED2D38">
          <w:rPr>
            <w:noProof/>
            <w:webHidden/>
          </w:rPr>
          <w:t>466</w:t>
        </w:r>
        <w:r w:rsidR="00A91C73">
          <w:rPr>
            <w:noProof/>
            <w:webHidden/>
          </w:rPr>
          <w:fldChar w:fldCharType="end"/>
        </w:r>
      </w:hyperlink>
    </w:p>
    <w:p w14:paraId="42637BC6" w14:textId="0708322C" w:rsidR="00A91C73" w:rsidRDefault="00A53403">
      <w:pPr>
        <w:pStyle w:val="TOC2"/>
        <w:tabs>
          <w:tab w:val="right" w:leader="dot" w:pos="9350"/>
        </w:tabs>
        <w:rPr>
          <w:rFonts w:asciiTheme="minorHAnsi" w:eastAsiaTheme="minorEastAsia" w:hAnsiTheme="minorHAnsi" w:cstheme="minorBidi"/>
          <w:smallCaps w:val="0"/>
          <w:noProof/>
        </w:rPr>
      </w:pPr>
      <w:hyperlink w:anchor="_Toc149064227" w:history="1">
        <w:r w:rsidR="00A91C73" w:rsidRPr="00B1389E">
          <w:rPr>
            <w:rStyle w:val="Hyperlink"/>
            <w:noProof/>
          </w:rPr>
          <w:t>Appendix F: System Validation</w:t>
        </w:r>
        <w:r w:rsidR="00A91C73">
          <w:rPr>
            <w:noProof/>
            <w:webHidden/>
          </w:rPr>
          <w:tab/>
        </w:r>
        <w:r w:rsidR="00A91C73">
          <w:rPr>
            <w:noProof/>
            <w:webHidden/>
          </w:rPr>
          <w:fldChar w:fldCharType="begin"/>
        </w:r>
        <w:r w:rsidR="00A91C73">
          <w:rPr>
            <w:noProof/>
            <w:webHidden/>
          </w:rPr>
          <w:instrText xml:space="preserve"> PAGEREF _Toc149064227 \h </w:instrText>
        </w:r>
        <w:r w:rsidR="00A91C73">
          <w:rPr>
            <w:noProof/>
            <w:webHidden/>
          </w:rPr>
        </w:r>
        <w:r w:rsidR="00A91C73">
          <w:rPr>
            <w:noProof/>
            <w:webHidden/>
          </w:rPr>
          <w:fldChar w:fldCharType="separate"/>
        </w:r>
        <w:r w:rsidR="00ED2D38">
          <w:rPr>
            <w:noProof/>
            <w:webHidden/>
          </w:rPr>
          <w:t>467</w:t>
        </w:r>
        <w:r w:rsidR="00A91C73">
          <w:rPr>
            <w:noProof/>
            <w:webHidden/>
          </w:rPr>
          <w:fldChar w:fldCharType="end"/>
        </w:r>
      </w:hyperlink>
    </w:p>
    <w:p w14:paraId="7D903E5B" w14:textId="2DFB08C8" w:rsidR="00A91C73" w:rsidRDefault="00A53403">
      <w:pPr>
        <w:pStyle w:val="TOC3"/>
        <w:tabs>
          <w:tab w:val="right" w:leader="dot" w:pos="9350"/>
        </w:tabs>
        <w:rPr>
          <w:rFonts w:asciiTheme="minorHAnsi" w:eastAsiaTheme="minorEastAsia" w:hAnsiTheme="minorHAnsi" w:cstheme="minorBidi"/>
          <w:noProof/>
        </w:rPr>
      </w:pPr>
      <w:hyperlink w:anchor="_Toc149064228" w:history="1">
        <w:r w:rsidR="00A91C73" w:rsidRPr="00B1389E">
          <w:rPr>
            <w:rStyle w:val="Hyperlink"/>
            <w:noProof/>
          </w:rPr>
          <w:t>Introduction</w:t>
        </w:r>
        <w:r w:rsidR="00A91C73">
          <w:rPr>
            <w:noProof/>
            <w:webHidden/>
          </w:rPr>
          <w:tab/>
        </w:r>
        <w:r w:rsidR="00A91C73">
          <w:rPr>
            <w:noProof/>
            <w:webHidden/>
          </w:rPr>
          <w:fldChar w:fldCharType="begin"/>
        </w:r>
        <w:r w:rsidR="00A91C73">
          <w:rPr>
            <w:noProof/>
            <w:webHidden/>
          </w:rPr>
          <w:instrText xml:space="preserve"> PAGEREF _Toc149064228 \h </w:instrText>
        </w:r>
        <w:r w:rsidR="00A91C73">
          <w:rPr>
            <w:noProof/>
            <w:webHidden/>
          </w:rPr>
        </w:r>
        <w:r w:rsidR="00A91C73">
          <w:rPr>
            <w:noProof/>
            <w:webHidden/>
          </w:rPr>
          <w:fldChar w:fldCharType="separate"/>
        </w:r>
        <w:r w:rsidR="00ED2D38">
          <w:rPr>
            <w:noProof/>
            <w:webHidden/>
          </w:rPr>
          <w:t>467</w:t>
        </w:r>
        <w:r w:rsidR="00A91C73">
          <w:rPr>
            <w:noProof/>
            <w:webHidden/>
          </w:rPr>
          <w:fldChar w:fldCharType="end"/>
        </w:r>
      </w:hyperlink>
    </w:p>
    <w:p w14:paraId="21B52AB0" w14:textId="3BE12B8D" w:rsidR="00A91C73" w:rsidRDefault="00A53403">
      <w:pPr>
        <w:pStyle w:val="TOC3"/>
        <w:tabs>
          <w:tab w:val="right" w:leader="dot" w:pos="9350"/>
        </w:tabs>
        <w:rPr>
          <w:rFonts w:asciiTheme="minorHAnsi" w:eastAsiaTheme="minorEastAsia" w:hAnsiTheme="minorHAnsi" w:cstheme="minorBidi"/>
          <w:noProof/>
        </w:rPr>
      </w:pPr>
      <w:hyperlink w:anchor="_Toc149064229" w:history="1">
        <w:r w:rsidR="00A91C73" w:rsidRPr="00B1389E">
          <w:rPr>
            <w:rStyle w:val="Hyperlink"/>
            <w:noProof/>
          </w:rPr>
          <w:t>Validation Plan</w:t>
        </w:r>
        <w:r w:rsidR="00A91C73">
          <w:rPr>
            <w:noProof/>
            <w:webHidden/>
          </w:rPr>
          <w:tab/>
        </w:r>
        <w:r w:rsidR="00A91C73">
          <w:rPr>
            <w:noProof/>
            <w:webHidden/>
          </w:rPr>
          <w:fldChar w:fldCharType="begin"/>
        </w:r>
        <w:r w:rsidR="00A91C73">
          <w:rPr>
            <w:noProof/>
            <w:webHidden/>
          </w:rPr>
          <w:instrText xml:space="preserve"> PAGEREF _Toc149064229 \h </w:instrText>
        </w:r>
        <w:r w:rsidR="00A91C73">
          <w:rPr>
            <w:noProof/>
            <w:webHidden/>
          </w:rPr>
        </w:r>
        <w:r w:rsidR="00A91C73">
          <w:rPr>
            <w:noProof/>
            <w:webHidden/>
          </w:rPr>
          <w:fldChar w:fldCharType="separate"/>
        </w:r>
        <w:r w:rsidR="00ED2D38">
          <w:rPr>
            <w:noProof/>
            <w:webHidden/>
          </w:rPr>
          <w:t>467</w:t>
        </w:r>
        <w:r w:rsidR="00A91C73">
          <w:rPr>
            <w:noProof/>
            <w:webHidden/>
          </w:rPr>
          <w:fldChar w:fldCharType="end"/>
        </w:r>
      </w:hyperlink>
    </w:p>
    <w:p w14:paraId="3E335EB4" w14:textId="55E5B87C" w:rsidR="00A91C73" w:rsidRDefault="00A53403">
      <w:pPr>
        <w:pStyle w:val="TOC3"/>
        <w:tabs>
          <w:tab w:val="right" w:leader="dot" w:pos="9350"/>
        </w:tabs>
        <w:rPr>
          <w:rFonts w:asciiTheme="minorHAnsi" w:eastAsiaTheme="minorEastAsia" w:hAnsiTheme="minorHAnsi" w:cstheme="minorBidi"/>
          <w:noProof/>
        </w:rPr>
      </w:pPr>
      <w:hyperlink w:anchor="_Toc149064230" w:history="1">
        <w:r w:rsidR="00A91C73" w:rsidRPr="00B1389E">
          <w:rPr>
            <w:rStyle w:val="Hyperlink"/>
            <w:noProof/>
          </w:rPr>
          <w:t>Record System Settings</w:t>
        </w:r>
        <w:r w:rsidR="00A91C73">
          <w:rPr>
            <w:noProof/>
            <w:webHidden/>
          </w:rPr>
          <w:tab/>
        </w:r>
        <w:r w:rsidR="00A91C73">
          <w:rPr>
            <w:noProof/>
            <w:webHidden/>
          </w:rPr>
          <w:fldChar w:fldCharType="begin"/>
        </w:r>
        <w:r w:rsidR="00A91C73">
          <w:rPr>
            <w:noProof/>
            <w:webHidden/>
          </w:rPr>
          <w:instrText xml:space="preserve"> PAGEREF _Toc149064230 \h </w:instrText>
        </w:r>
        <w:r w:rsidR="00A91C73">
          <w:rPr>
            <w:noProof/>
            <w:webHidden/>
          </w:rPr>
        </w:r>
        <w:r w:rsidR="00A91C73">
          <w:rPr>
            <w:noProof/>
            <w:webHidden/>
          </w:rPr>
          <w:fldChar w:fldCharType="separate"/>
        </w:r>
        <w:r w:rsidR="00ED2D38">
          <w:rPr>
            <w:noProof/>
            <w:webHidden/>
          </w:rPr>
          <w:t>469</w:t>
        </w:r>
        <w:r w:rsidR="00A91C73">
          <w:rPr>
            <w:noProof/>
            <w:webHidden/>
          </w:rPr>
          <w:fldChar w:fldCharType="end"/>
        </w:r>
      </w:hyperlink>
    </w:p>
    <w:p w14:paraId="53C50524" w14:textId="74B86664" w:rsidR="00A91C73" w:rsidRDefault="00A53403">
      <w:pPr>
        <w:pStyle w:val="TOC3"/>
        <w:tabs>
          <w:tab w:val="right" w:leader="dot" w:pos="9350"/>
        </w:tabs>
        <w:rPr>
          <w:rFonts w:asciiTheme="minorHAnsi" w:eastAsiaTheme="minorEastAsia" w:hAnsiTheme="minorHAnsi" w:cstheme="minorBidi"/>
          <w:noProof/>
        </w:rPr>
      </w:pPr>
      <w:hyperlink w:anchor="_Toc149064231" w:history="1">
        <w:r w:rsidR="00A91C73" w:rsidRPr="00B1389E">
          <w:rPr>
            <w:rStyle w:val="Hyperlink"/>
            <w:noProof/>
          </w:rPr>
          <w:t>Configure Division</w:t>
        </w:r>
        <w:r w:rsidR="00A91C73">
          <w:rPr>
            <w:noProof/>
            <w:webHidden/>
          </w:rPr>
          <w:tab/>
        </w:r>
        <w:r w:rsidR="00A91C73">
          <w:rPr>
            <w:noProof/>
            <w:webHidden/>
          </w:rPr>
          <w:fldChar w:fldCharType="begin"/>
        </w:r>
        <w:r w:rsidR="00A91C73">
          <w:rPr>
            <w:noProof/>
            <w:webHidden/>
          </w:rPr>
          <w:instrText xml:space="preserve"> PAGEREF _Toc149064231 \h </w:instrText>
        </w:r>
        <w:r w:rsidR="00A91C73">
          <w:rPr>
            <w:noProof/>
            <w:webHidden/>
          </w:rPr>
        </w:r>
        <w:r w:rsidR="00A91C73">
          <w:rPr>
            <w:noProof/>
            <w:webHidden/>
          </w:rPr>
          <w:fldChar w:fldCharType="separate"/>
        </w:r>
        <w:r w:rsidR="00ED2D38">
          <w:rPr>
            <w:noProof/>
            <w:webHidden/>
          </w:rPr>
          <w:t>469</w:t>
        </w:r>
        <w:r w:rsidR="00A91C73">
          <w:rPr>
            <w:noProof/>
            <w:webHidden/>
          </w:rPr>
          <w:fldChar w:fldCharType="end"/>
        </w:r>
      </w:hyperlink>
    </w:p>
    <w:p w14:paraId="4863298B" w14:textId="79A804BE" w:rsidR="00A91C73" w:rsidRDefault="00A53403">
      <w:pPr>
        <w:pStyle w:val="TOC3"/>
        <w:tabs>
          <w:tab w:val="right" w:leader="dot" w:pos="9350"/>
        </w:tabs>
        <w:rPr>
          <w:rFonts w:asciiTheme="minorHAnsi" w:eastAsiaTheme="minorEastAsia" w:hAnsiTheme="minorHAnsi" w:cstheme="minorBidi"/>
          <w:noProof/>
        </w:rPr>
      </w:pPr>
      <w:hyperlink w:anchor="_Toc149064232" w:history="1">
        <w:r w:rsidR="00A91C73" w:rsidRPr="00B1389E">
          <w:rPr>
            <w:rStyle w:val="Hyperlink"/>
            <w:noProof/>
          </w:rPr>
          <w:t>Configure Testing: Full Service</w:t>
        </w:r>
        <w:r w:rsidR="00A91C73">
          <w:rPr>
            <w:noProof/>
            <w:webHidden/>
          </w:rPr>
          <w:tab/>
        </w:r>
        <w:r w:rsidR="00A91C73">
          <w:rPr>
            <w:noProof/>
            <w:webHidden/>
          </w:rPr>
          <w:fldChar w:fldCharType="begin"/>
        </w:r>
        <w:r w:rsidR="00A91C73">
          <w:rPr>
            <w:noProof/>
            <w:webHidden/>
          </w:rPr>
          <w:instrText xml:space="preserve"> PAGEREF _Toc149064232 \h </w:instrText>
        </w:r>
        <w:r w:rsidR="00A91C73">
          <w:rPr>
            <w:noProof/>
            <w:webHidden/>
          </w:rPr>
        </w:r>
        <w:r w:rsidR="00A91C73">
          <w:rPr>
            <w:noProof/>
            <w:webHidden/>
          </w:rPr>
          <w:fldChar w:fldCharType="separate"/>
        </w:r>
        <w:r w:rsidR="00ED2D38">
          <w:rPr>
            <w:noProof/>
            <w:webHidden/>
          </w:rPr>
          <w:t>469</w:t>
        </w:r>
        <w:r w:rsidR="00A91C73">
          <w:rPr>
            <w:noProof/>
            <w:webHidden/>
          </w:rPr>
          <w:fldChar w:fldCharType="end"/>
        </w:r>
      </w:hyperlink>
    </w:p>
    <w:p w14:paraId="1F3D8FD1" w14:textId="2B43CFAE" w:rsidR="00A91C73" w:rsidRDefault="00A53403">
      <w:pPr>
        <w:pStyle w:val="TOC3"/>
        <w:tabs>
          <w:tab w:val="right" w:leader="dot" w:pos="9350"/>
        </w:tabs>
        <w:rPr>
          <w:rFonts w:asciiTheme="minorHAnsi" w:eastAsiaTheme="minorEastAsia" w:hAnsiTheme="minorHAnsi" w:cstheme="minorBidi"/>
          <w:noProof/>
        </w:rPr>
      </w:pPr>
      <w:hyperlink w:anchor="_Toc149064233" w:history="1">
        <w:r w:rsidR="00A91C73" w:rsidRPr="00B1389E">
          <w:rPr>
            <w:rStyle w:val="Hyperlink"/>
            <w:noProof/>
          </w:rPr>
          <w:t>Product Modifications: Full Service</w:t>
        </w:r>
        <w:r w:rsidR="00A91C73">
          <w:rPr>
            <w:noProof/>
            <w:webHidden/>
          </w:rPr>
          <w:tab/>
        </w:r>
        <w:r w:rsidR="00A91C73">
          <w:rPr>
            <w:noProof/>
            <w:webHidden/>
          </w:rPr>
          <w:fldChar w:fldCharType="begin"/>
        </w:r>
        <w:r w:rsidR="00A91C73">
          <w:rPr>
            <w:noProof/>
            <w:webHidden/>
          </w:rPr>
          <w:instrText xml:space="preserve"> PAGEREF _Toc149064233 \h </w:instrText>
        </w:r>
        <w:r w:rsidR="00A91C73">
          <w:rPr>
            <w:noProof/>
            <w:webHidden/>
          </w:rPr>
        </w:r>
        <w:r w:rsidR="00A91C73">
          <w:rPr>
            <w:noProof/>
            <w:webHidden/>
          </w:rPr>
          <w:fldChar w:fldCharType="separate"/>
        </w:r>
        <w:r w:rsidR="00ED2D38">
          <w:rPr>
            <w:noProof/>
            <w:webHidden/>
          </w:rPr>
          <w:t>470</w:t>
        </w:r>
        <w:r w:rsidR="00A91C73">
          <w:rPr>
            <w:noProof/>
            <w:webHidden/>
          </w:rPr>
          <w:fldChar w:fldCharType="end"/>
        </w:r>
      </w:hyperlink>
    </w:p>
    <w:p w14:paraId="17C301FF" w14:textId="3738127E" w:rsidR="00A91C73" w:rsidRDefault="00A53403">
      <w:pPr>
        <w:pStyle w:val="TOC3"/>
        <w:tabs>
          <w:tab w:val="right" w:leader="dot" w:pos="9350"/>
        </w:tabs>
        <w:rPr>
          <w:rFonts w:asciiTheme="minorHAnsi" w:eastAsiaTheme="minorEastAsia" w:hAnsiTheme="minorHAnsi" w:cstheme="minorBidi"/>
          <w:noProof/>
        </w:rPr>
      </w:pPr>
      <w:hyperlink w:anchor="_Toc149064234" w:history="1">
        <w:r w:rsidR="00A91C73" w:rsidRPr="00B1389E">
          <w:rPr>
            <w:rStyle w:val="Hyperlink"/>
            <w:noProof/>
          </w:rPr>
          <w:t>Order Alerts</w:t>
        </w:r>
        <w:r w:rsidR="00A91C73">
          <w:rPr>
            <w:noProof/>
            <w:webHidden/>
          </w:rPr>
          <w:tab/>
        </w:r>
        <w:r w:rsidR="00A91C73">
          <w:rPr>
            <w:noProof/>
            <w:webHidden/>
          </w:rPr>
          <w:fldChar w:fldCharType="begin"/>
        </w:r>
        <w:r w:rsidR="00A91C73">
          <w:rPr>
            <w:noProof/>
            <w:webHidden/>
          </w:rPr>
          <w:instrText xml:space="preserve"> PAGEREF _Toc149064234 \h </w:instrText>
        </w:r>
        <w:r w:rsidR="00A91C73">
          <w:rPr>
            <w:noProof/>
            <w:webHidden/>
          </w:rPr>
        </w:r>
        <w:r w:rsidR="00A91C73">
          <w:rPr>
            <w:noProof/>
            <w:webHidden/>
          </w:rPr>
          <w:fldChar w:fldCharType="separate"/>
        </w:r>
        <w:r w:rsidR="00ED2D38">
          <w:rPr>
            <w:noProof/>
            <w:webHidden/>
          </w:rPr>
          <w:t>471</w:t>
        </w:r>
        <w:r w:rsidR="00A91C73">
          <w:rPr>
            <w:noProof/>
            <w:webHidden/>
          </w:rPr>
          <w:fldChar w:fldCharType="end"/>
        </w:r>
      </w:hyperlink>
    </w:p>
    <w:p w14:paraId="2F30488A" w14:textId="57FFDDC0" w:rsidR="00A91C73" w:rsidRDefault="00A53403">
      <w:pPr>
        <w:pStyle w:val="TOC3"/>
        <w:tabs>
          <w:tab w:val="right" w:leader="dot" w:pos="9350"/>
        </w:tabs>
        <w:rPr>
          <w:rFonts w:asciiTheme="minorHAnsi" w:eastAsiaTheme="minorEastAsia" w:hAnsiTheme="minorHAnsi" w:cstheme="minorBidi"/>
          <w:noProof/>
        </w:rPr>
      </w:pPr>
      <w:hyperlink w:anchor="_Toc149064235" w:history="1">
        <w:r w:rsidR="00A91C73" w:rsidRPr="00B1389E">
          <w:rPr>
            <w:rStyle w:val="Hyperlink"/>
            <w:noProof/>
          </w:rPr>
          <w:t>Configure Daily QC: Full Service</w:t>
        </w:r>
        <w:r w:rsidR="00A91C73">
          <w:rPr>
            <w:noProof/>
            <w:webHidden/>
          </w:rPr>
          <w:tab/>
        </w:r>
        <w:r w:rsidR="00A91C73">
          <w:rPr>
            <w:noProof/>
            <w:webHidden/>
          </w:rPr>
          <w:fldChar w:fldCharType="begin"/>
        </w:r>
        <w:r w:rsidR="00A91C73">
          <w:rPr>
            <w:noProof/>
            <w:webHidden/>
          </w:rPr>
          <w:instrText xml:space="preserve"> PAGEREF _Toc149064235 \h </w:instrText>
        </w:r>
        <w:r w:rsidR="00A91C73">
          <w:rPr>
            <w:noProof/>
            <w:webHidden/>
          </w:rPr>
        </w:r>
        <w:r w:rsidR="00A91C73">
          <w:rPr>
            <w:noProof/>
            <w:webHidden/>
          </w:rPr>
          <w:fldChar w:fldCharType="separate"/>
        </w:r>
        <w:r w:rsidR="00ED2D38">
          <w:rPr>
            <w:noProof/>
            <w:webHidden/>
          </w:rPr>
          <w:t>472</w:t>
        </w:r>
        <w:r w:rsidR="00A91C73">
          <w:rPr>
            <w:noProof/>
            <w:webHidden/>
          </w:rPr>
          <w:fldChar w:fldCharType="end"/>
        </w:r>
      </w:hyperlink>
    </w:p>
    <w:p w14:paraId="6A5B92BF" w14:textId="0B98901D" w:rsidR="00A91C73" w:rsidRDefault="00A53403">
      <w:pPr>
        <w:pStyle w:val="TOC3"/>
        <w:tabs>
          <w:tab w:val="right" w:leader="dot" w:pos="9350"/>
        </w:tabs>
        <w:rPr>
          <w:rFonts w:asciiTheme="minorHAnsi" w:eastAsiaTheme="minorEastAsia" w:hAnsiTheme="minorHAnsi" w:cstheme="minorBidi"/>
          <w:noProof/>
        </w:rPr>
      </w:pPr>
      <w:hyperlink w:anchor="_Toc149064236" w:history="1">
        <w:r w:rsidR="00A91C73" w:rsidRPr="00B1389E">
          <w:rPr>
            <w:rStyle w:val="Hyperlink"/>
            <w:noProof/>
          </w:rPr>
          <w:t>Maintain Minimum Levels: Full Service</w:t>
        </w:r>
        <w:r w:rsidR="00A91C73">
          <w:rPr>
            <w:noProof/>
            <w:webHidden/>
          </w:rPr>
          <w:tab/>
        </w:r>
        <w:r w:rsidR="00A91C73">
          <w:rPr>
            <w:noProof/>
            <w:webHidden/>
          </w:rPr>
          <w:fldChar w:fldCharType="begin"/>
        </w:r>
        <w:r w:rsidR="00A91C73">
          <w:rPr>
            <w:noProof/>
            <w:webHidden/>
          </w:rPr>
          <w:instrText xml:space="preserve"> PAGEREF _Toc149064236 \h </w:instrText>
        </w:r>
        <w:r w:rsidR="00A91C73">
          <w:rPr>
            <w:noProof/>
            <w:webHidden/>
          </w:rPr>
        </w:r>
        <w:r w:rsidR="00A91C73">
          <w:rPr>
            <w:noProof/>
            <w:webHidden/>
          </w:rPr>
          <w:fldChar w:fldCharType="separate"/>
        </w:r>
        <w:r w:rsidR="00ED2D38">
          <w:rPr>
            <w:noProof/>
            <w:webHidden/>
          </w:rPr>
          <w:t>473</w:t>
        </w:r>
        <w:r w:rsidR="00A91C73">
          <w:rPr>
            <w:noProof/>
            <w:webHidden/>
          </w:rPr>
          <w:fldChar w:fldCharType="end"/>
        </w:r>
      </w:hyperlink>
    </w:p>
    <w:p w14:paraId="5619A791" w14:textId="23B5810F" w:rsidR="00A91C73" w:rsidRDefault="00A53403">
      <w:pPr>
        <w:pStyle w:val="TOC3"/>
        <w:tabs>
          <w:tab w:val="right" w:leader="dot" w:pos="9350"/>
        </w:tabs>
        <w:rPr>
          <w:rFonts w:asciiTheme="minorHAnsi" w:eastAsiaTheme="minorEastAsia" w:hAnsiTheme="minorHAnsi" w:cstheme="minorBidi"/>
          <w:noProof/>
        </w:rPr>
      </w:pPr>
      <w:hyperlink w:anchor="_Toc149064237" w:history="1">
        <w:r w:rsidR="00A91C73" w:rsidRPr="00B1389E">
          <w:rPr>
            <w:rStyle w:val="Hyperlink"/>
            <w:noProof/>
          </w:rPr>
          <w:t>Log In Reagents: Full Service</w:t>
        </w:r>
        <w:r w:rsidR="00A91C73">
          <w:rPr>
            <w:noProof/>
            <w:webHidden/>
          </w:rPr>
          <w:tab/>
        </w:r>
        <w:r w:rsidR="00A91C73">
          <w:rPr>
            <w:noProof/>
            <w:webHidden/>
          </w:rPr>
          <w:fldChar w:fldCharType="begin"/>
        </w:r>
        <w:r w:rsidR="00A91C73">
          <w:rPr>
            <w:noProof/>
            <w:webHidden/>
          </w:rPr>
          <w:instrText xml:space="preserve"> PAGEREF _Toc149064237 \h </w:instrText>
        </w:r>
        <w:r w:rsidR="00A91C73">
          <w:rPr>
            <w:noProof/>
            <w:webHidden/>
          </w:rPr>
        </w:r>
        <w:r w:rsidR="00A91C73">
          <w:rPr>
            <w:noProof/>
            <w:webHidden/>
          </w:rPr>
          <w:fldChar w:fldCharType="separate"/>
        </w:r>
        <w:r w:rsidR="00ED2D38">
          <w:rPr>
            <w:noProof/>
            <w:webHidden/>
          </w:rPr>
          <w:t>474</w:t>
        </w:r>
        <w:r w:rsidR="00A91C73">
          <w:rPr>
            <w:noProof/>
            <w:webHidden/>
          </w:rPr>
          <w:fldChar w:fldCharType="end"/>
        </w:r>
      </w:hyperlink>
    </w:p>
    <w:p w14:paraId="313E3B05" w14:textId="734BE61B" w:rsidR="00A91C73" w:rsidRDefault="00A53403">
      <w:pPr>
        <w:pStyle w:val="TOC3"/>
        <w:tabs>
          <w:tab w:val="right" w:leader="dot" w:pos="9350"/>
        </w:tabs>
        <w:rPr>
          <w:rFonts w:asciiTheme="minorHAnsi" w:eastAsiaTheme="minorEastAsia" w:hAnsiTheme="minorHAnsi" w:cstheme="minorBidi"/>
          <w:noProof/>
        </w:rPr>
      </w:pPr>
      <w:hyperlink w:anchor="_Toc149064238" w:history="1">
        <w:r w:rsidR="00A91C73" w:rsidRPr="00B1389E">
          <w:rPr>
            <w:rStyle w:val="Hyperlink"/>
            <w:noProof/>
          </w:rPr>
          <w:t>Blood Products</w:t>
        </w:r>
        <w:r w:rsidR="00A91C73">
          <w:rPr>
            <w:noProof/>
            <w:webHidden/>
          </w:rPr>
          <w:tab/>
        </w:r>
        <w:r w:rsidR="00A91C73">
          <w:rPr>
            <w:noProof/>
            <w:webHidden/>
          </w:rPr>
          <w:fldChar w:fldCharType="begin"/>
        </w:r>
        <w:r w:rsidR="00A91C73">
          <w:rPr>
            <w:noProof/>
            <w:webHidden/>
          </w:rPr>
          <w:instrText xml:space="preserve"> PAGEREF _Toc149064238 \h </w:instrText>
        </w:r>
        <w:r w:rsidR="00A91C73">
          <w:rPr>
            <w:noProof/>
            <w:webHidden/>
          </w:rPr>
        </w:r>
        <w:r w:rsidR="00A91C73">
          <w:rPr>
            <w:noProof/>
            <w:webHidden/>
          </w:rPr>
          <w:fldChar w:fldCharType="separate"/>
        </w:r>
        <w:r w:rsidR="00ED2D38">
          <w:rPr>
            <w:noProof/>
            <w:webHidden/>
          </w:rPr>
          <w:t>475</w:t>
        </w:r>
        <w:r w:rsidR="00A91C73">
          <w:rPr>
            <w:noProof/>
            <w:webHidden/>
          </w:rPr>
          <w:fldChar w:fldCharType="end"/>
        </w:r>
      </w:hyperlink>
    </w:p>
    <w:p w14:paraId="3B6B0463" w14:textId="229169A6" w:rsidR="00A91C73" w:rsidRDefault="00A53403">
      <w:pPr>
        <w:pStyle w:val="TOC3"/>
        <w:tabs>
          <w:tab w:val="right" w:leader="dot" w:pos="9350"/>
        </w:tabs>
        <w:rPr>
          <w:rFonts w:asciiTheme="minorHAnsi" w:eastAsiaTheme="minorEastAsia" w:hAnsiTheme="minorHAnsi" w:cstheme="minorBidi"/>
          <w:noProof/>
        </w:rPr>
      </w:pPr>
      <w:hyperlink w:anchor="_Toc149064239" w:history="1">
        <w:r w:rsidR="00A91C73" w:rsidRPr="00B1389E">
          <w:rPr>
            <w:rStyle w:val="Hyperlink"/>
            <w:noProof/>
          </w:rPr>
          <w:t>Local Facilities</w:t>
        </w:r>
        <w:r w:rsidR="00A91C73">
          <w:rPr>
            <w:noProof/>
            <w:webHidden/>
          </w:rPr>
          <w:tab/>
        </w:r>
        <w:r w:rsidR="00A91C73">
          <w:rPr>
            <w:noProof/>
            <w:webHidden/>
          </w:rPr>
          <w:fldChar w:fldCharType="begin"/>
        </w:r>
        <w:r w:rsidR="00A91C73">
          <w:rPr>
            <w:noProof/>
            <w:webHidden/>
          </w:rPr>
          <w:instrText xml:space="preserve"> PAGEREF _Toc149064239 \h </w:instrText>
        </w:r>
        <w:r w:rsidR="00A91C73">
          <w:rPr>
            <w:noProof/>
            <w:webHidden/>
          </w:rPr>
        </w:r>
        <w:r w:rsidR="00A91C73">
          <w:rPr>
            <w:noProof/>
            <w:webHidden/>
          </w:rPr>
          <w:fldChar w:fldCharType="separate"/>
        </w:r>
        <w:r w:rsidR="00ED2D38">
          <w:rPr>
            <w:noProof/>
            <w:webHidden/>
          </w:rPr>
          <w:t>476</w:t>
        </w:r>
        <w:r w:rsidR="00A91C73">
          <w:rPr>
            <w:noProof/>
            <w:webHidden/>
          </w:rPr>
          <w:fldChar w:fldCharType="end"/>
        </w:r>
      </w:hyperlink>
    </w:p>
    <w:p w14:paraId="13940E14" w14:textId="628CF43B" w:rsidR="00A91C73" w:rsidRDefault="00A53403">
      <w:pPr>
        <w:pStyle w:val="TOC3"/>
        <w:tabs>
          <w:tab w:val="right" w:leader="dot" w:pos="9350"/>
        </w:tabs>
        <w:rPr>
          <w:rFonts w:asciiTheme="minorHAnsi" w:eastAsiaTheme="minorEastAsia" w:hAnsiTheme="minorHAnsi" w:cstheme="minorBidi"/>
          <w:noProof/>
        </w:rPr>
      </w:pPr>
      <w:hyperlink w:anchor="_Toc149064240" w:history="1">
        <w:r w:rsidR="00A91C73" w:rsidRPr="00B1389E">
          <w:rPr>
            <w:rStyle w:val="Hyperlink"/>
            <w:noProof/>
          </w:rPr>
          <w:t>Component Classes</w:t>
        </w:r>
        <w:r w:rsidR="00A91C73">
          <w:rPr>
            <w:noProof/>
            <w:webHidden/>
          </w:rPr>
          <w:tab/>
        </w:r>
        <w:r w:rsidR="00A91C73">
          <w:rPr>
            <w:noProof/>
            <w:webHidden/>
          </w:rPr>
          <w:fldChar w:fldCharType="begin"/>
        </w:r>
        <w:r w:rsidR="00A91C73">
          <w:rPr>
            <w:noProof/>
            <w:webHidden/>
          </w:rPr>
          <w:instrText xml:space="preserve"> PAGEREF _Toc149064240 \h </w:instrText>
        </w:r>
        <w:r w:rsidR="00A91C73">
          <w:rPr>
            <w:noProof/>
            <w:webHidden/>
          </w:rPr>
        </w:r>
        <w:r w:rsidR="00A91C73">
          <w:rPr>
            <w:noProof/>
            <w:webHidden/>
          </w:rPr>
          <w:fldChar w:fldCharType="separate"/>
        </w:r>
        <w:r w:rsidR="00ED2D38">
          <w:rPr>
            <w:noProof/>
            <w:webHidden/>
          </w:rPr>
          <w:t>477</w:t>
        </w:r>
        <w:r w:rsidR="00A91C73">
          <w:rPr>
            <w:noProof/>
            <w:webHidden/>
          </w:rPr>
          <w:fldChar w:fldCharType="end"/>
        </w:r>
      </w:hyperlink>
    </w:p>
    <w:p w14:paraId="31ECCD03" w14:textId="28A93D9C" w:rsidR="00A91C73" w:rsidRDefault="00A53403">
      <w:pPr>
        <w:pStyle w:val="TOC3"/>
        <w:tabs>
          <w:tab w:val="right" w:leader="dot" w:pos="9350"/>
        </w:tabs>
        <w:rPr>
          <w:rFonts w:asciiTheme="minorHAnsi" w:eastAsiaTheme="minorEastAsia" w:hAnsiTheme="minorHAnsi" w:cstheme="minorBidi"/>
          <w:noProof/>
        </w:rPr>
      </w:pPr>
      <w:hyperlink w:anchor="_Toc149064241" w:history="1">
        <w:r w:rsidR="00A91C73" w:rsidRPr="00B1389E">
          <w:rPr>
            <w:rStyle w:val="Hyperlink"/>
            <w:noProof/>
          </w:rPr>
          <w:t>Transfusion Complications</w:t>
        </w:r>
        <w:r w:rsidR="00A91C73">
          <w:rPr>
            <w:noProof/>
            <w:webHidden/>
          </w:rPr>
          <w:tab/>
        </w:r>
        <w:r w:rsidR="00A91C73">
          <w:rPr>
            <w:noProof/>
            <w:webHidden/>
          </w:rPr>
          <w:fldChar w:fldCharType="begin"/>
        </w:r>
        <w:r w:rsidR="00A91C73">
          <w:rPr>
            <w:noProof/>
            <w:webHidden/>
          </w:rPr>
          <w:instrText xml:space="preserve"> PAGEREF _Toc149064241 \h </w:instrText>
        </w:r>
        <w:r w:rsidR="00A91C73">
          <w:rPr>
            <w:noProof/>
            <w:webHidden/>
          </w:rPr>
        </w:r>
        <w:r w:rsidR="00A91C73">
          <w:rPr>
            <w:noProof/>
            <w:webHidden/>
          </w:rPr>
          <w:fldChar w:fldCharType="separate"/>
        </w:r>
        <w:r w:rsidR="00ED2D38">
          <w:rPr>
            <w:noProof/>
            <w:webHidden/>
          </w:rPr>
          <w:t>478</w:t>
        </w:r>
        <w:r w:rsidR="00A91C73">
          <w:rPr>
            <w:noProof/>
            <w:webHidden/>
          </w:rPr>
          <w:fldChar w:fldCharType="end"/>
        </w:r>
      </w:hyperlink>
    </w:p>
    <w:p w14:paraId="6481CB52" w14:textId="37AA62F7" w:rsidR="00A91C73" w:rsidRDefault="00A53403">
      <w:pPr>
        <w:pStyle w:val="TOC3"/>
        <w:tabs>
          <w:tab w:val="right" w:leader="dot" w:pos="9350"/>
        </w:tabs>
        <w:rPr>
          <w:rFonts w:asciiTheme="minorHAnsi" w:eastAsiaTheme="minorEastAsia" w:hAnsiTheme="minorHAnsi" w:cstheme="minorBidi"/>
          <w:noProof/>
        </w:rPr>
      </w:pPr>
      <w:hyperlink w:anchor="_Toc149064242" w:history="1">
        <w:r w:rsidR="00A91C73" w:rsidRPr="00B1389E">
          <w:rPr>
            <w:rStyle w:val="Hyperlink"/>
            <w:noProof/>
          </w:rPr>
          <w:t>Transfusion Effectiveness</w:t>
        </w:r>
        <w:r w:rsidR="00A91C73">
          <w:rPr>
            <w:noProof/>
            <w:webHidden/>
          </w:rPr>
          <w:tab/>
        </w:r>
        <w:r w:rsidR="00A91C73">
          <w:rPr>
            <w:noProof/>
            <w:webHidden/>
          </w:rPr>
          <w:fldChar w:fldCharType="begin"/>
        </w:r>
        <w:r w:rsidR="00A91C73">
          <w:rPr>
            <w:noProof/>
            <w:webHidden/>
          </w:rPr>
          <w:instrText xml:space="preserve"> PAGEREF _Toc149064242 \h </w:instrText>
        </w:r>
        <w:r w:rsidR="00A91C73">
          <w:rPr>
            <w:noProof/>
            <w:webHidden/>
          </w:rPr>
        </w:r>
        <w:r w:rsidR="00A91C73">
          <w:rPr>
            <w:noProof/>
            <w:webHidden/>
          </w:rPr>
          <w:fldChar w:fldCharType="separate"/>
        </w:r>
        <w:r w:rsidR="00ED2D38">
          <w:rPr>
            <w:noProof/>
            <w:webHidden/>
          </w:rPr>
          <w:t>479</w:t>
        </w:r>
        <w:r w:rsidR="00A91C73">
          <w:rPr>
            <w:noProof/>
            <w:webHidden/>
          </w:rPr>
          <w:fldChar w:fldCharType="end"/>
        </w:r>
      </w:hyperlink>
    </w:p>
    <w:p w14:paraId="626203D2" w14:textId="7D5A8E4C" w:rsidR="00A91C73" w:rsidRDefault="00A53403">
      <w:pPr>
        <w:pStyle w:val="TOC3"/>
        <w:tabs>
          <w:tab w:val="right" w:leader="dot" w:pos="9350"/>
        </w:tabs>
        <w:rPr>
          <w:rFonts w:asciiTheme="minorHAnsi" w:eastAsiaTheme="minorEastAsia" w:hAnsiTheme="minorHAnsi" w:cstheme="minorBidi"/>
          <w:noProof/>
        </w:rPr>
      </w:pPr>
      <w:hyperlink w:anchor="_Toc149064243" w:history="1">
        <w:r w:rsidR="00A91C73" w:rsidRPr="00B1389E">
          <w:rPr>
            <w:rStyle w:val="Hyperlink"/>
            <w:noProof/>
            <w:snapToGrid w:val="0"/>
          </w:rPr>
          <w:t>Workload Codes</w:t>
        </w:r>
        <w:r w:rsidR="00A91C73">
          <w:rPr>
            <w:noProof/>
            <w:webHidden/>
          </w:rPr>
          <w:tab/>
        </w:r>
        <w:r w:rsidR="00A91C73">
          <w:rPr>
            <w:noProof/>
            <w:webHidden/>
          </w:rPr>
          <w:fldChar w:fldCharType="begin"/>
        </w:r>
        <w:r w:rsidR="00A91C73">
          <w:rPr>
            <w:noProof/>
            <w:webHidden/>
          </w:rPr>
          <w:instrText xml:space="preserve"> PAGEREF _Toc149064243 \h </w:instrText>
        </w:r>
        <w:r w:rsidR="00A91C73">
          <w:rPr>
            <w:noProof/>
            <w:webHidden/>
          </w:rPr>
        </w:r>
        <w:r w:rsidR="00A91C73">
          <w:rPr>
            <w:noProof/>
            <w:webHidden/>
          </w:rPr>
          <w:fldChar w:fldCharType="separate"/>
        </w:r>
        <w:r w:rsidR="00ED2D38">
          <w:rPr>
            <w:noProof/>
            <w:webHidden/>
          </w:rPr>
          <w:t>480</w:t>
        </w:r>
        <w:r w:rsidR="00A91C73">
          <w:rPr>
            <w:noProof/>
            <w:webHidden/>
          </w:rPr>
          <w:fldChar w:fldCharType="end"/>
        </w:r>
      </w:hyperlink>
    </w:p>
    <w:p w14:paraId="653972DE" w14:textId="4AFFAE6E" w:rsidR="00A91C73" w:rsidRDefault="00A53403">
      <w:pPr>
        <w:pStyle w:val="TOC3"/>
        <w:tabs>
          <w:tab w:val="right" w:leader="dot" w:pos="9350"/>
        </w:tabs>
        <w:rPr>
          <w:rFonts w:asciiTheme="minorHAnsi" w:eastAsiaTheme="minorEastAsia" w:hAnsiTheme="minorHAnsi" w:cstheme="minorBidi"/>
          <w:noProof/>
        </w:rPr>
      </w:pPr>
      <w:hyperlink w:anchor="_Toc149064244" w:history="1">
        <w:r w:rsidR="00A91C73" w:rsidRPr="00B1389E">
          <w:rPr>
            <w:rStyle w:val="Hyperlink"/>
            <w:noProof/>
            <w:snapToGrid w:val="0"/>
          </w:rPr>
          <w:t xml:space="preserve">Canned </w:t>
        </w:r>
        <w:r w:rsidR="00A91C73" w:rsidRPr="00B1389E">
          <w:rPr>
            <w:rStyle w:val="Hyperlink"/>
            <w:noProof/>
          </w:rPr>
          <w:t>Comments</w:t>
        </w:r>
        <w:r w:rsidR="00A91C73">
          <w:rPr>
            <w:noProof/>
            <w:webHidden/>
          </w:rPr>
          <w:tab/>
        </w:r>
        <w:r w:rsidR="00A91C73">
          <w:rPr>
            <w:noProof/>
            <w:webHidden/>
          </w:rPr>
          <w:fldChar w:fldCharType="begin"/>
        </w:r>
        <w:r w:rsidR="00A91C73">
          <w:rPr>
            <w:noProof/>
            <w:webHidden/>
          </w:rPr>
          <w:instrText xml:space="preserve"> PAGEREF _Toc149064244 \h </w:instrText>
        </w:r>
        <w:r w:rsidR="00A91C73">
          <w:rPr>
            <w:noProof/>
            <w:webHidden/>
          </w:rPr>
        </w:r>
        <w:r w:rsidR="00A91C73">
          <w:rPr>
            <w:noProof/>
            <w:webHidden/>
          </w:rPr>
          <w:fldChar w:fldCharType="separate"/>
        </w:r>
        <w:r w:rsidR="00ED2D38">
          <w:rPr>
            <w:noProof/>
            <w:webHidden/>
          </w:rPr>
          <w:t>480</w:t>
        </w:r>
        <w:r w:rsidR="00A91C73">
          <w:rPr>
            <w:noProof/>
            <w:webHidden/>
          </w:rPr>
          <w:fldChar w:fldCharType="end"/>
        </w:r>
      </w:hyperlink>
    </w:p>
    <w:p w14:paraId="67F897D8" w14:textId="47596CA3" w:rsidR="00A91C73" w:rsidRDefault="00A53403">
      <w:pPr>
        <w:pStyle w:val="TOC3"/>
        <w:tabs>
          <w:tab w:val="right" w:leader="dot" w:pos="9350"/>
        </w:tabs>
        <w:rPr>
          <w:rFonts w:asciiTheme="minorHAnsi" w:eastAsiaTheme="minorEastAsia" w:hAnsiTheme="minorHAnsi" w:cstheme="minorBidi"/>
          <w:noProof/>
        </w:rPr>
      </w:pPr>
      <w:hyperlink w:anchor="_Toc149064245" w:history="1">
        <w:r w:rsidR="00A91C73" w:rsidRPr="00B1389E">
          <w:rPr>
            <w:rStyle w:val="Hyperlink"/>
            <w:noProof/>
          </w:rPr>
          <w:t>MSBOS</w:t>
        </w:r>
        <w:r w:rsidR="00A91C73">
          <w:rPr>
            <w:noProof/>
            <w:webHidden/>
          </w:rPr>
          <w:tab/>
        </w:r>
        <w:r w:rsidR="00A91C73">
          <w:rPr>
            <w:noProof/>
            <w:webHidden/>
          </w:rPr>
          <w:fldChar w:fldCharType="begin"/>
        </w:r>
        <w:r w:rsidR="00A91C73">
          <w:rPr>
            <w:noProof/>
            <w:webHidden/>
          </w:rPr>
          <w:instrText xml:space="preserve"> PAGEREF _Toc149064245 \h </w:instrText>
        </w:r>
        <w:r w:rsidR="00A91C73">
          <w:rPr>
            <w:noProof/>
            <w:webHidden/>
          </w:rPr>
        </w:r>
        <w:r w:rsidR="00A91C73">
          <w:rPr>
            <w:noProof/>
            <w:webHidden/>
          </w:rPr>
          <w:fldChar w:fldCharType="separate"/>
        </w:r>
        <w:r w:rsidR="00ED2D38">
          <w:rPr>
            <w:noProof/>
            <w:webHidden/>
          </w:rPr>
          <w:t>480</w:t>
        </w:r>
        <w:r w:rsidR="00A91C73">
          <w:rPr>
            <w:noProof/>
            <w:webHidden/>
          </w:rPr>
          <w:fldChar w:fldCharType="end"/>
        </w:r>
      </w:hyperlink>
    </w:p>
    <w:p w14:paraId="46E63A92" w14:textId="1D71A922" w:rsidR="00A91C73" w:rsidRDefault="00A53403">
      <w:pPr>
        <w:pStyle w:val="TOC3"/>
        <w:tabs>
          <w:tab w:val="right" w:leader="dot" w:pos="9350"/>
        </w:tabs>
        <w:rPr>
          <w:rFonts w:asciiTheme="minorHAnsi" w:eastAsiaTheme="minorEastAsia" w:hAnsiTheme="minorHAnsi" w:cstheme="minorBidi"/>
          <w:noProof/>
        </w:rPr>
      </w:pPr>
      <w:hyperlink w:anchor="_Toc149064246" w:history="1">
        <w:r w:rsidR="00A91C73" w:rsidRPr="00B1389E">
          <w:rPr>
            <w:rStyle w:val="Hyperlink"/>
            <w:noProof/>
            <w:snapToGrid w:val="0"/>
          </w:rPr>
          <w:t>Edit Invoice Text</w:t>
        </w:r>
        <w:r w:rsidR="00A91C73">
          <w:rPr>
            <w:noProof/>
            <w:webHidden/>
          </w:rPr>
          <w:tab/>
        </w:r>
        <w:r w:rsidR="00A91C73">
          <w:rPr>
            <w:noProof/>
            <w:webHidden/>
          </w:rPr>
          <w:fldChar w:fldCharType="begin"/>
        </w:r>
        <w:r w:rsidR="00A91C73">
          <w:rPr>
            <w:noProof/>
            <w:webHidden/>
          </w:rPr>
          <w:instrText xml:space="preserve"> PAGEREF _Toc149064246 \h </w:instrText>
        </w:r>
        <w:r w:rsidR="00A91C73">
          <w:rPr>
            <w:noProof/>
            <w:webHidden/>
          </w:rPr>
        </w:r>
        <w:r w:rsidR="00A91C73">
          <w:rPr>
            <w:noProof/>
            <w:webHidden/>
          </w:rPr>
          <w:fldChar w:fldCharType="separate"/>
        </w:r>
        <w:r w:rsidR="00ED2D38">
          <w:rPr>
            <w:noProof/>
            <w:webHidden/>
          </w:rPr>
          <w:t>480</w:t>
        </w:r>
        <w:r w:rsidR="00A91C73">
          <w:rPr>
            <w:noProof/>
            <w:webHidden/>
          </w:rPr>
          <w:fldChar w:fldCharType="end"/>
        </w:r>
      </w:hyperlink>
    </w:p>
    <w:p w14:paraId="0961CB9C" w14:textId="346BDF51" w:rsidR="00A91C73" w:rsidRDefault="00A53403">
      <w:pPr>
        <w:pStyle w:val="TOC3"/>
        <w:tabs>
          <w:tab w:val="right" w:leader="dot" w:pos="9350"/>
        </w:tabs>
        <w:rPr>
          <w:rFonts w:asciiTheme="minorHAnsi" w:eastAsiaTheme="minorEastAsia" w:hAnsiTheme="minorHAnsi" w:cstheme="minorBidi"/>
          <w:noProof/>
        </w:rPr>
      </w:pPr>
      <w:hyperlink w:anchor="_Toc149064247" w:history="1">
        <w:r w:rsidR="00A91C73" w:rsidRPr="00B1389E">
          <w:rPr>
            <w:rStyle w:val="Hyperlink"/>
            <w:noProof/>
            <w:snapToGrid w:val="0"/>
          </w:rPr>
          <w:t>Antibodies</w:t>
        </w:r>
        <w:r w:rsidR="00A91C73">
          <w:rPr>
            <w:noProof/>
            <w:webHidden/>
          </w:rPr>
          <w:tab/>
        </w:r>
        <w:r w:rsidR="00A91C73">
          <w:rPr>
            <w:noProof/>
            <w:webHidden/>
          </w:rPr>
          <w:fldChar w:fldCharType="begin"/>
        </w:r>
        <w:r w:rsidR="00A91C73">
          <w:rPr>
            <w:noProof/>
            <w:webHidden/>
          </w:rPr>
          <w:instrText xml:space="preserve"> PAGEREF _Toc149064247 \h </w:instrText>
        </w:r>
        <w:r w:rsidR="00A91C73">
          <w:rPr>
            <w:noProof/>
            <w:webHidden/>
          </w:rPr>
        </w:r>
        <w:r w:rsidR="00A91C73">
          <w:rPr>
            <w:noProof/>
            <w:webHidden/>
          </w:rPr>
          <w:fldChar w:fldCharType="separate"/>
        </w:r>
        <w:r w:rsidR="00ED2D38">
          <w:rPr>
            <w:noProof/>
            <w:webHidden/>
          </w:rPr>
          <w:t>481</w:t>
        </w:r>
        <w:r w:rsidR="00A91C73">
          <w:rPr>
            <w:noProof/>
            <w:webHidden/>
          </w:rPr>
          <w:fldChar w:fldCharType="end"/>
        </w:r>
      </w:hyperlink>
    </w:p>
    <w:p w14:paraId="07CCC79D" w14:textId="5547AB4C" w:rsidR="00A91C73" w:rsidRDefault="00A53403">
      <w:pPr>
        <w:pStyle w:val="TOC3"/>
        <w:tabs>
          <w:tab w:val="right" w:leader="dot" w:pos="9350"/>
        </w:tabs>
        <w:rPr>
          <w:rFonts w:asciiTheme="minorHAnsi" w:eastAsiaTheme="minorEastAsia" w:hAnsiTheme="minorHAnsi" w:cstheme="minorBidi"/>
          <w:noProof/>
        </w:rPr>
      </w:pPr>
      <w:hyperlink w:anchor="_Toc149064248" w:history="1">
        <w:r w:rsidR="00A91C73" w:rsidRPr="00B1389E">
          <w:rPr>
            <w:rStyle w:val="Hyperlink"/>
            <w:noProof/>
          </w:rPr>
          <w:t>Update User Roles</w:t>
        </w:r>
        <w:r w:rsidR="00A91C73">
          <w:rPr>
            <w:noProof/>
            <w:webHidden/>
          </w:rPr>
          <w:tab/>
        </w:r>
        <w:r w:rsidR="00A91C73">
          <w:rPr>
            <w:noProof/>
            <w:webHidden/>
          </w:rPr>
          <w:fldChar w:fldCharType="begin"/>
        </w:r>
        <w:r w:rsidR="00A91C73">
          <w:rPr>
            <w:noProof/>
            <w:webHidden/>
          </w:rPr>
          <w:instrText xml:space="preserve"> PAGEREF _Toc149064248 \h </w:instrText>
        </w:r>
        <w:r w:rsidR="00A91C73">
          <w:rPr>
            <w:noProof/>
            <w:webHidden/>
          </w:rPr>
        </w:r>
        <w:r w:rsidR="00A91C73">
          <w:rPr>
            <w:noProof/>
            <w:webHidden/>
          </w:rPr>
          <w:fldChar w:fldCharType="separate"/>
        </w:r>
        <w:r w:rsidR="00ED2D38">
          <w:rPr>
            <w:noProof/>
            <w:webHidden/>
          </w:rPr>
          <w:t>482</w:t>
        </w:r>
        <w:r w:rsidR="00A91C73">
          <w:rPr>
            <w:noProof/>
            <w:webHidden/>
          </w:rPr>
          <w:fldChar w:fldCharType="end"/>
        </w:r>
      </w:hyperlink>
    </w:p>
    <w:p w14:paraId="56127E64" w14:textId="01CBBEF1" w:rsidR="00A91C73" w:rsidRDefault="00A53403">
      <w:pPr>
        <w:pStyle w:val="TOC3"/>
        <w:tabs>
          <w:tab w:val="right" w:leader="dot" w:pos="9350"/>
        </w:tabs>
        <w:rPr>
          <w:rFonts w:asciiTheme="minorHAnsi" w:eastAsiaTheme="minorEastAsia" w:hAnsiTheme="minorHAnsi" w:cstheme="minorBidi"/>
          <w:noProof/>
        </w:rPr>
      </w:pPr>
      <w:hyperlink w:anchor="_Toc149064249" w:history="1">
        <w:r w:rsidR="00A91C73" w:rsidRPr="00B1389E">
          <w:rPr>
            <w:rStyle w:val="Hyperlink"/>
            <w:noProof/>
            <w:snapToGrid w:val="0"/>
          </w:rPr>
          <w:t>Testing</w:t>
        </w:r>
        <w:r w:rsidR="00A91C73">
          <w:rPr>
            <w:noProof/>
            <w:webHidden/>
          </w:rPr>
          <w:tab/>
        </w:r>
        <w:r w:rsidR="00A91C73">
          <w:rPr>
            <w:noProof/>
            <w:webHidden/>
          </w:rPr>
          <w:fldChar w:fldCharType="begin"/>
        </w:r>
        <w:r w:rsidR="00A91C73">
          <w:rPr>
            <w:noProof/>
            <w:webHidden/>
          </w:rPr>
          <w:instrText xml:space="preserve"> PAGEREF _Toc149064249 \h </w:instrText>
        </w:r>
        <w:r w:rsidR="00A91C73">
          <w:rPr>
            <w:noProof/>
            <w:webHidden/>
          </w:rPr>
        </w:r>
        <w:r w:rsidR="00A91C73">
          <w:rPr>
            <w:noProof/>
            <w:webHidden/>
          </w:rPr>
          <w:fldChar w:fldCharType="separate"/>
        </w:r>
        <w:r w:rsidR="00ED2D38">
          <w:rPr>
            <w:noProof/>
            <w:webHidden/>
          </w:rPr>
          <w:t>482</w:t>
        </w:r>
        <w:r w:rsidR="00A91C73">
          <w:rPr>
            <w:noProof/>
            <w:webHidden/>
          </w:rPr>
          <w:fldChar w:fldCharType="end"/>
        </w:r>
      </w:hyperlink>
    </w:p>
    <w:p w14:paraId="1E87B08D" w14:textId="50DD1B6A" w:rsidR="00A91C73" w:rsidRDefault="00A53403">
      <w:pPr>
        <w:pStyle w:val="TOC3"/>
        <w:tabs>
          <w:tab w:val="right" w:leader="dot" w:pos="9350"/>
        </w:tabs>
        <w:rPr>
          <w:rFonts w:asciiTheme="minorHAnsi" w:eastAsiaTheme="minorEastAsia" w:hAnsiTheme="minorHAnsi" w:cstheme="minorBidi"/>
          <w:noProof/>
        </w:rPr>
      </w:pPr>
      <w:hyperlink w:anchor="_Toc149064250" w:history="1">
        <w:r w:rsidR="00A91C73" w:rsidRPr="00B1389E">
          <w:rPr>
            <w:rStyle w:val="Hyperlink"/>
            <w:noProof/>
          </w:rPr>
          <w:t>VBECS Forms and Reports</w:t>
        </w:r>
        <w:r w:rsidR="00A91C73">
          <w:rPr>
            <w:noProof/>
            <w:webHidden/>
          </w:rPr>
          <w:tab/>
        </w:r>
        <w:r w:rsidR="00A91C73">
          <w:rPr>
            <w:noProof/>
            <w:webHidden/>
          </w:rPr>
          <w:fldChar w:fldCharType="begin"/>
        </w:r>
        <w:r w:rsidR="00A91C73">
          <w:rPr>
            <w:noProof/>
            <w:webHidden/>
          </w:rPr>
          <w:instrText xml:space="preserve"> PAGEREF _Toc149064250 \h </w:instrText>
        </w:r>
        <w:r w:rsidR="00A91C73">
          <w:rPr>
            <w:noProof/>
            <w:webHidden/>
          </w:rPr>
        </w:r>
        <w:r w:rsidR="00A91C73">
          <w:rPr>
            <w:noProof/>
            <w:webHidden/>
          </w:rPr>
          <w:fldChar w:fldCharType="separate"/>
        </w:r>
        <w:r w:rsidR="00ED2D38">
          <w:rPr>
            <w:noProof/>
            <w:webHidden/>
          </w:rPr>
          <w:t>483</w:t>
        </w:r>
        <w:r w:rsidR="00A91C73">
          <w:rPr>
            <w:noProof/>
            <w:webHidden/>
          </w:rPr>
          <w:fldChar w:fldCharType="end"/>
        </w:r>
      </w:hyperlink>
    </w:p>
    <w:p w14:paraId="568CCC1E" w14:textId="1A5CD4F7" w:rsidR="00A91C73" w:rsidRDefault="00A53403">
      <w:pPr>
        <w:pStyle w:val="TOC2"/>
        <w:tabs>
          <w:tab w:val="right" w:leader="dot" w:pos="9350"/>
        </w:tabs>
        <w:rPr>
          <w:rFonts w:asciiTheme="minorHAnsi" w:eastAsiaTheme="minorEastAsia" w:hAnsiTheme="minorHAnsi" w:cstheme="minorBidi"/>
          <w:smallCaps w:val="0"/>
          <w:noProof/>
        </w:rPr>
      </w:pPr>
      <w:hyperlink w:anchor="_Toc149064251" w:history="1">
        <w:r w:rsidR="00A91C73" w:rsidRPr="00B1389E">
          <w:rPr>
            <w:rStyle w:val="Hyperlink"/>
            <w:noProof/>
          </w:rPr>
          <w:t>Appendix G: Work Process Flowcharts</w:t>
        </w:r>
        <w:r w:rsidR="00A91C73">
          <w:rPr>
            <w:noProof/>
            <w:webHidden/>
          </w:rPr>
          <w:tab/>
        </w:r>
        <w:r w:rsidR="00A91C73">
          <w:rPr>
            <w:noProof/>
            <w:webHidden/>
          </w:rPr>
          <w:fldChar w:fldCharType="begin"/>
        </w:r>
        <w:r w:rsidR="00A91C73">
          <w:rPr>
            <w:noProof/>
            <w:webHidden/>
          </w:rPr>
          <w:instrText xml:space="preserve"> PAGEREF _Toc149064251 \h </w:instrText>
        </w:r>
        <w:r w:rsidR="00A91C73">
          <w:rPr>
            <w:noProof/>
            <w:webHidden/>
          </w:rPr>
        </w:r>
        <w:r w:rsidR="00A91C73">
          <w:rPr>
            <w:noProof/>
            <w:webHidden/>
          </w:rPr>
          <w:fldChar w:fldCharType="separate"/>
        </w:r>
        <w:r w:rsidR="00ED2D38">
          <w:rPr>
            <w:noProof/>
            <w:webHidden/>
          </w:rPr>
          <w:t>484</w:t>
        </w:r>
        <w:r w:rsidR="00A91C73">
          <w:rPr>
            <w:noProof/>
            <w:webHidden/>
          </w:rPr>
          <w:fldChar w:fldCharType="end"/>
        </w:r>
      </w:hyperlink>
    </w:p>
    <w:p w14:paraId="727F6BE5" w14:textId="494C5D08" w:rsidR="00A91C73" w:rsidRDefault="00A53403">
      <w:pPr>
        <w:pStyle w:val="TOC2"/>
        <w:tabs>
          <w:tab w:val="right" w:leader="dot" w:pos="9350"/>
        </w:tabs>
        <w:rPr>
          <w:rFonts w:asciiTheme="minorHAnsi" w:eastAsiaTheme="minorEastAsia" w:hAnsiTheme="minorHAnsi" w:cstheme="minorBidi"/>
          <w:smallCaps w:val="0"/>
          <w:noProof/>
        </w:rPr>
      </w:pPr>
      <w:hyperlink w:anchor="_Toc149064252" w:history="1">
        <w:r w:rsidR="00A91C73" w:rsidRPr="00B1389E">
          <w:rPr>
            <w:rStyle w:val="Hyperlink"/>
            <w:noProof/>
          </w:rPr>
          <w:t>Appendix H: Frequently Asked Questions</w:t>
        </w:r>
        <w:r w:rsidR="00A91C73">
          <w:rPr>
            <w:noProof/>
            <w:webHidden/>
          </w:rPr>
          <w:tab/>
        </w:r>
        <w:r w:rsidR="00A91C73">
          <w:rPr>
            <w:noProof/>
            <w:webHidden/>
          </w:rPr>
          <w:fldChar w:fldCharType="begin"/>
        </w:r>
        <w:r w:rsidR="00A91C73">
          <w:rPr>
            <w:noProof/>
            <w:webHidden/>
          </w:rPr>
          <w:instrText xml:space="preserve"> PAGEREF _Toc149064252 \h </w:instrText>
        </w:r>
        <w:r w:rsidR="00A91C73">
          <w:rPr>
            <w:noProof/>
            <w:webHidden/>
          </w:rPr>
        </w:r>
        <w:r w:rsidR="00A91C73">
          <w:rPr>
            <w:noProof/>
            <w:webHidden/>
          </w:rPr>
          <w:fldChar w:fldCharType="separate"/>
        </w:r>
        <w:r w:rsidR="00ED2D38">
          <w:rPr>
            <w:noProof/>
            <w:webHidden/>
          </w:rPr>
          <w:t>494</w:t>
        </w:r>
        <w:r w:rsidR="00A91C73">
          <w:rPr>
            <w:noProof/>
            <w:webHidden/>
          </w:rPr>
          <w:fldChar w:fldCharType="end"/>
        </w:r>
      </w:hyperlink>
    </w:p>
    <w:p w14:paraId="1D5B1798" w14:textId="55FA4E70" w:rsidR="00A91C73" w:rsidRDefault="00A53403">
      <w:pPr>
        <w:pStyle w:val="TOC2"/>
        <w:tabs>
          <w:tab w:val="right" w:leader="dot" w:pos="9350"/>
        </w:tabs>
        <w:rPr>
          <w:rFonts w:asciiTheme="minorHAnsi" w:eastAsiaTheme="minorEastAsia" w:hAnsiTheme="minorHAnsi" w:cstheme="minorBidi"/>
          <w:smallCaps w:val="0"/>
          <w:noProof/>
        </w:rPr>
      </w:pPr>
      <w:hyperlink w:anchor="_Toc149064253" w:history="1">
        <w:r w:rsidR="00A91C73" w:rsidRPr="00B1389E">
          <w:rPr>
            <w:rStyle w:val="Hyperlink"/>
            <w:noProof/>
          </w:rPr>
          <w:t>Appendix I: Common Error Corrections</w:t>
        </w:r>
        <w:r w:rsidR="00A91C73">
          <w:rPr>
            <w:noProof/>
            <w:webHidden/>
          </w:rPr>
          <w:tab/>
        </w:r>
        <w:r w:rsidR="00A91C73">
          <w:rPr>
            <w:noProof/>
            <w:webHidden/>
          </w:rPr>
          <w:fldChar w:fldCharType="begin"/>
        </w:r>
        <w:r w:rsidR="00A91C73">
          <w:rPr>
            <w:noProof/>
            <w:webHidden/>
          </w:rPr>
          <w:instrText xml:space="preserve"> PAGEREF _Toc149064253 \h </w:instrText>
        </w:r>
        <w:r w:rsidR="00A91C73">
          <w:rPr>
            <w:noProof/>
            <w:webHidden/>
          </w:rPr>
        </w:r>
        <w:r w:rsidR="00A91C73">
          <w:rPr>
            <w:noProof/>
            <w:webHidden/>
          </w:rPr>
          <w:fldChar w:fldCharType="separate"/>
        </w:r>
        <w:r w:rsidR="00ED2D38">
          <w:rPr>
            <w:noProof/>
            <w:webHidden/>
          </w:rPr>
          <w:t>495</w:t>
        </w:r>
        <w:r w:rsidR="00A91C73">
          <w:rPr>
            <w:noProof/>
            <w:webHidden/>
          </w:rPr>
          <w:fldChar w:fldCharType="end"/>
        </w:r>
      </w:hyperlink>
    </w:p>
    <w:p w14:paraId="4AA4EF2B" w14:textId="59F16602" w:rsidR="00A91C73" w:rsidRDefault="00A53403">
      <w:pPr>
        <w:pStyle w:val="TOC3"/>
        <w:tabs>
          <w:tab w:val="right" w:leader="dot" w:pos="9350"/>
        </w:tabs>
        <w:rPr>
          <w:rFonts w:asciiTheme="minorHAnsi" w:eastAsiaTheme="minorEastAsia" w:hAnsiTheme="minorHAnsi" w:cstheme="minorBidi"/>
          <w:noProof/>
        </w:rPr>
      </w:pPr>
      <w:hyperlink w:anchor="_Toc149064254" w:history="1">
        <w:r w:rsidR="00A91C73" w:rsidRPr="00B1389E">
          <w:rPr>
            <w:rStyle w:val="Hyperlink"/>
            <w:noProof/>
          </w:rPr>
          <w:t>Correct Patient Test Results</w:t>
        </w:r>
        <w:r w:rsidR="00A91C73">
          <w:rPr>
            <w:noProof/>
            <w:webHidden/>
          </w:rPr>
          <w:tab/>
        </w:r>
        <w:r w:rsidR="00A91C73">
          <w:rPr>
            <w:noProof/>
            <w:webHidden/>
          </w:rPr>
          <w:fldChar w:fldCharType="begin"/>
        </w:r>
        <w:r w:rsidR="00A91C73">
          <w:rPr>
            <w:noProof/>
            <w:webHidden/>
          </w:rPr>
          <w:instrText xml:space="preserve"> PAGEREF _Toc149064254 \h </w:instrText>
        </w:r>
        <w:r w:rsidR="00A91C73">
          <w:rPr>
            <w:noProof/>
            <w:webHidden/>
          </w:rPr>
        </w:r>
        <w:r w:rsidR="00A91C73">
          <w:rPr>
            <w:noProof/>
            <w:webHidden/>
          </w:rPr>
          <w:fldChar w:fldCharType="separate"/>
        </w:r>
        <w:r w:rsidR="00ED2D38">
          <w:rPr>
            <w:noProof/>
            <w:webHidden/>
          </w:rPr>
          <w:t>495</w:t>
        </w:r>
        <w:r w:rsidR="00A91C73">
          <w:rPr>
            <w:noProof/>
            <w:webHidden/>
          </w:rPr>
          <w:fldChar w:fldCharType="end"/>
        </w:r>
      </w:hyperlink>
    </w:p>
    <w:p w14:paraId="3478335E" w14:textId="53C06C35" w:rsidR="00A91C73" w:rsidRDefault="00A53403">
      <w:pPr>
        <w:pStyle w:val="TOC3"/>
        <w:tabs>
          <w:tab w:val="right" w:leader="dot" w:pos="9350"/>
        </w:tabs>
        <w:rPr>
          <w:rFonts w:asciiTheme="minorHAnsi" w:eastAsiaTheme="minorEastAsia" w:hAnsiTheme="minorHAnsi" w:cstheme="minorBidi"/>
          <w:noProof/>
        </w:rPr>
      </w:pPr>
      <w:hyperlink w:anchor="_Toc149064255" w:history="1">
        <w:r w:rsidR="00A91C73" w:rsidRPr="00B1389E">
          <w:rPr>
            <w:rStyle w:val="Hyperlink"/>
            <w:noProof/>
          </w:rPr>
          <w:t>Invalidate Test Results</w:t>
        </w:r>
        <w:r w:rsidR="00A91C73">
          <w:rPr>
            <w:noProof/>
            <w:webHidden/>
          </w:rPr>
          <w:tab/>
        </w:r>
        <w:r w:rsidR="00A91C73">
          <w:rPr>
            <w:noProof/>
            <w:webHidden/>
          </w:rPr>
          <w:fldChar w:fldCharType="begin"/>
        </w:r>
        <w:r w:rsidR="00A91C73">
          <w:rPr>
            <w:noProof/>
            <w:webHidden/>
          </w:rPr>
          <w:instrText xml:space="preserve"> PAGEREF _Toc149064255 \h </w:instrText>
        </w:r>
        <w:r w:rsidR="00A91C73">
          <w:rPr>
            <w:noProof/>
            <w:webHidden/>
          </w:rPr>
        </w:r>
        <w:r w:rsidR="00A91C73">
          <w:rPr>
            <w:noProof/>
            <w:webHidden/>
          </w:rPr>
          <w:fldChar w:fldCharType="separate"/>
        </w:r>
        <w:r w:rsidR="00ED2D38">
          <w:rPr>
            <w:noProof/>
            <w:webHidden/>
          </w:rPr>
          <w:t>495</w:t>
        </w:r>
        <w:r w:rsidR="00A91C73">
          <w:rPr>
            <w:noProof/>
            <w:webHidden/>
          </w:rPr>
          <w:fldChar w:fldCharType="end"/>
        </w:r>
      </w:hyperlink>
    </w:p>
    <w:p w14:paraId="02576276" w14:textId="70BB90EB" w:rsidR="00A91C73" w:rsidRDefault="00A53403">
      <w:pPr>
        <w:pStyle w:val="TOC3"/>
        <w:tabs>
          <w:tab w:val="right" w:leader="dot" w:pos="9350"/>
        </w:tabs>
        <w:rPr>
          <w:rFonts w:asciiTheme="minorHAnsi" w:eastAsiaTheme="minorEastAsia" w:hAnsiTheme="minorHAnsi" w:cstheme="minorBidi"/>
          <w:noProof/>
        </w:rPr>
      </w:pPr>
      <w:hyperlink w:anchor="_Toc149064256" w:history="1">
        <w:r w:rsidR="00A91C73" w:rsidRPr="00B1389E">
          <w:rPr>
            <w:rStyle w:val="Hyperlink"/>
            <w:noProof/>
          </w:rPr>
          <w:t>UN-Pooling a Pooled Unit (in the computer only)</w:t>
        </w:r>
        <w:r w:rsidR="00A91C73">
          <w:rPr>
            <w:noProof/>
            <w:webHidden/>
          </w:rPr>
          <w:tab/>
        </w:r>
        <w:r w:rsidR="00A91C73">
          <w:rPr>
            <w:noProof/>
            <w:webHidden/>
          </w:rPr>
          <w:fldChar w:fldCharType="begin"/>
        </w:r>
        <w:r w:rsidR="00A91C73">
          <w:rPr>
            <w:noProof/>
            <w:webHidden/>
          </w:rPr>
          <w:instrText xml:space="preserve"> PAGEREF _Toc149064256 \h </w:instrText>
        </w:r>
        <w:r w:rsidR="00A91C73">
          <w:rPr>
            <w:noProof/>
            <w:webHidden/>
          </w:rPr>
        </w:r>
        <w:r w:rsidR="00A91C73">
          <w:rPr>
            <w:noProof/>
            <w:webHidden/>
          </w:rPr>
          <w:fldChar w:fldCharType="separate"/>
        </w:r>
        <w:r w:rsidR="00ED2D38">
          <w:rPr>
            <w:noProof/>
            <w:webHidden/>
          </w:rPr>
          <w:t>496</w:t>
        </w:r>
        <w:r w:rsidR="00A91C73">
          <w:rPr>
            <w:noProof/>
            <w:webHidden/>
          </w:rPr>
          <w:fldChar w:fldCharType="end"/>
        </w:r>
      </w:hyperlink>
    </w:p>
    <w:p w14:paraId="6D68FD04" w14:textId="0EA47854" w:rsidR="00A91C73" w:rsidRDefault="00A53403">
      <w:pPr>
        <w:pStyle w:val="TOC3"/>
        <w:tabs>
          <w:tab w:val="right" w:leader="dot" w:pos="9350"/>
        </w:tabs>
        <w:rPr>
          <w:rFonts w:asciiTheme="minorHAnsi" w:eastAsiaTheme="minorEastAsia" w:hAnsiTheme="minorHAnsi" w:cstheme="minorBidi"/>
          <w:noProof/>
        </w:rPr>
      </w:pPr>
      <w:hyperlink w:anchor="_Toc149064257" w:history="1">
        <w:r w:rsidR="00A91C73" w:rsidRPr="00B1389E">
          <w:rPr>
            <w:rStyle w:val="Hyperlink"/>
            <w:noProof/>
          </w:rPr>
          <w:t>UN-Modifying a Unit</w:t>
        </w:r>
        <w:r w:rsidR="00A91C73">
          <w:rPr>
            <w:noProof/>
            <w:webHidden/>
          </w:rPr>
          <w:tab/>
        </w:r>
        <w:r w:rsidR="00A91C73">
          <w:rPr>
            <w:noProof/>
            <w:webHidden/>
          </w:rPr>
          <w:fldChar w:fldCharType="begin"/>
        </w:r>
        <w:r w:rsidR="00A91C73">
          <w:rPr>
            <w:noProof/>
            <w:webHidden/>
          </w:rPr>
          <w:instrText xml:space="preserve"> PAGEREF _Toc149064257 \h </w:instrText>
        </w:r>
        <w:r w:rsidR="00A91C73">
          <w:rPr>
            <w:noProof/>
            <w:webHidden/>
          </w:rPr>
        </w:r>
        <w:r w:rsidR="00A91C73">
          <w:rPr>
            <w:noProof/>
            <w:webHidden/>
          </w:rPr>
          <w:fldChar w:fldCharType="separate"/>
        </w:r>
        <w:r w:rsidR="00ED2D38">
          <w:rPr>
            <w:noProof/>
            <w:webHidden/>
          </w:rPr>
          <w:t>496</w:t>
        </w:r>
        <w:r w:rsidR="00A91C73">
          <w:rPr>
            <w:noProof/>
            <w:webHidden/>
          </w:rPr>
          <w:fldChar w:fldCharType="end"/>
        </w:r>
      </w:hyperlink>
    </w:p>
    <w:p w14:paraId="6FBF6C7A" w14:textId="278843BB" w:rsidR="00A91C73" w:rsidRDefault="00A53403">
      <w:pPr>
        <w:pStyle w:val="TOC2"/>
        <w:tabs>
          <w:tab w:val="right" w:leader="dot" w:pos="9350"/>
        </w:tabs>
        <w:rPr>
          <w:rFonts w:asciiTheme="minorHAnsi" w:eastAsiaTheme="minorEastAsia" w:hAnsiTheme="minorHAnsi" w:cstheme="minorBidi"/>
          <w:smallCaps w:val="0"/>
          <w:noProof/>
        </w:rPr>
      </w:pPr>
      <w:hyperlink w:anchor="_Toc149064258" w:history="1">
        <w:r w:rsidR="00A91C73" w:rsidRPr="00B1389E">
          <w:rPr>
            <w:rStyle w:val="Hyperlink"/>
            <w:noProof/>
          </w:rPr>
          <w:t>Appendix J: Recommended Report Usage</w:t>
        </w:r>
        <w:r w:rsidR="00A91C73">
          <w:rPr>
            <w:noProof/>
            <w:webHidden/>
          </w:rPr>
          <w:tab/>
        </w:r>
        <w:r w:rsidR="00A91C73">
          <w:rPr>
            <w:noProof/>
            <w:webHidden/>
          </w:rPr>
          <w:fldChar w:fldCharType="begin"/>
        </w:r>
        <w:r w:rsidR="00A91C73">
          <w:rPr>
            <w:noProof/>
            <w:webHidden/>
          </w:rPr>
          <w:instrText xml:space="preserve"> PAGEREF _Toc149064258 \h </w:instrText>
        </w:r>
        <w:r w:rsidR="00A91C73">
          <w:rPr>
            <w:noProof/>
            <w:webHidden/>
          </w:rPr>
        </w:r>
        <w:r w:rsidR="00A91C73">
          <w:rPr>
            <w:noProof/>
            <w:webHidden/>
          </w:rPr>
          <w:fldChar w:fldCharType="separate"/>
        </w:r>
        <w:r w:rsidR="00ED2D38">
          <w:rPr>
            <w:noProof/>
            <w:webHidden/>
          </w:rPr>
          <w:t>497</w:t>
        </w:r>
        <w:r w:rsidR="00A91C73">
          <w:rPr>
            <w:noProof/>
            <w:webHidden/>
          </w:rPr>
          <w:fldChar w:fldCharType="end"/>
        </w:r>
      </w:hyperlink>
    </w:p>
    <w:p w14:paraId="1DB175FD" w14:textId="2A5A7E0F" w:rsidR="00A91C73" w:rsidRDefault="00A53403">
      <w:pPr>
        <w:pStyle w:val="TOC2"/>
        <w:tabs>
          <w:tab w:val="right" w:leader="dot" w:pos="9350"/>
        </w:tabs>
        <w:rPr>
          <w:rFonts w:asciiTheme="minorHAnsi" w:eastAsiaTheme="minorEastAsia" w:hAnsiTheme="minorHAnsi" w:cstheme="minorBidi"/>
          <w:smallCaps w:val="0"/>
          <w:noProof/>
        </w:rPr>
      </w:pPr>
      <w:hyperlink w:anchor="_Toc149064259" w:history="1">
        <w:r w:rsidR="00A91C73" w:rsidRPr="00B1389E">
          <w:rPr>
            <w:rStyle w:val="Hyperlink"/>
            <w:noProof/>
          </w:rPr>
          <w:t>Appendix K: Barcode Scanner Configuration and Troubleshooting</w:t>
        </w:r>
        <w:r w:rsidR="00A91C73">
          <w:rPr>
            <w:noProof/>
            <w:webHidden/>
          </w:rPr>
          <w:tab/>
        </w:r>
        <w:r w:rsidR="00A91C73">
          <w:rPr>
            <w:noProof/>
            <w:webHidden/>
          </w:rPr>
          <w:fldChar w:fldCharType="begin"/>
        </w:r>
        <w:r w:rsidR="00A91C73">
          <w:rPr>
            <w:noProof/>
            <w:webHidden/>
          </w:rPr>
          <w:instrText xml:space="preserve"> PAGEREF _Toc149064259 \h </w:instrText>
        </w:r>
        <w:r w:rsidR="00A91C73">
          <w:rPr>
            <w:noProof/>
            <w:webHidden/>
          </w:rPr>
        </w:r>
        <w:r w:rsidR="00A91C73">
          <w:rPr>
            <w:noProof/>
            <w:webHidden/>
          </w:rPr>
          <w:fldChar w:fldCharType="separate"/>
        </w:r>
        <w:r w:rsidR="00ED2D38">
          <w:rPr>
            <w:noProof/>
            <w:webHidden/>
          </w:rPr>
          <w:t>499</w:t>
        </w:r>
        <w:r w:rsidR="00A91C73">
          <w:rPr>
            <w:noProof/>
            <w:webHidden/>
          </w:rPr>
          <w:fldChar w:fldCharType="end"/>
        </w:r>
      </w:hyperlink>
    </w:p>
    <w:p w14:paraId="3C083384" w14:textId="3F88099D" w:rsidR="00A91C73" w:rsidRDefault="00A53403">
      <w:pPr>
        <w:pStyle w:val="TOC2"/>
        <w:tabs>
          <w:tab w:val="right" w:leader="dot" w:pos="9350"/>
        </w:tabs>
        <w:rPr>
          <w:rFonts w:asciiTheme="minorHAnsi" w:eastAsiaTheme="minorEastAsia" w:hAnsiTheme="minorHAnsi" w:cstheme="minorBidi"/>
          <w:smallCaps w:val="0"/>
          <w:noProof/>
        </w:rPr>
      </w:pPr>
      <w:hyperlink w:anchor="_Toc149064260" w:history="1">
        <w:r w:rsidR="00A91C73" w:rsidRPr="00B1389E">
          <w:rPr>
            <w:rStyle w:val="Hyperlink"/>
            <w:noProof/>
          </w:rPr>
          <w:t>Appendix L: System Responses to Active Transfusion Requirements in Select Unit and Issue Blood Component</w:t>
        </w:r>
        <w:r w:rsidR="00A91C73">
          <w:rPr>
            <w:noProof/>
            <w:webHidden/>
          </w:rPr>
          <w:tab/>
        </w:r>
        <w:r w:rsidR="00A91C73">
          <w:rPr>
            <w:noProof/>
            <w:webHidden/>
          </w:rPr>
          <w:fldChar w:fldCharType="begin"/>
        </w:r>
        <w:r w:rsidR="00A91C73">
          <w:rPr>
            <w:noProof/>
            <w:webHidden/>
          </w:rPr>
          <w:instrText xml:space="preserve"> PAGEREF _Toc149064260 \h </w:instrText>
        </w:r>
        <w:r w:rsidR="00A91C73">
          <w:rPr>
            <w:noProof/>
            <w:webHidden/>
          </w:rPr>
        </w:r>
        <w:r w:rsidR="00A91C73">
          <w:rPr>
            <w:noProof/>
            <w:webHidden/>
          </w:rPr>
          <w:fldChar w:fldCharType="separate"/>
        </w:r>
        <w:r w:rsidR="00ED2D38">
          <w:rPr>
            <w:noProof/>
            <w:webHidden/>
          </w:rPr>
          <w:t>500</w:t>
        </w:r>
        <w:r w:rsidR="00A91C73">
          <w:rPr>
            <w:noProof/>
            <w:webHidden/>
          </w:rPr>
          <w:fldChar w:fldCharType="end"/>
        </w:r>
      </w:hyperlink>
    </w:p>
    <w:p w14:paraId="21AD292B" w14:textId="6746FAF5" w:rsidR="00A91C73" w:rsidRDefault="00A53403">
      <w:pPr>
        <w:pStyle w:val="TOC2"/>
        <w:tabs>
          <w:tab w:val="right" w:leader="dot" w:pos="9350"/>
        </w:tabs>
        <w:rPr>
          <w:rFonts w:asciiTheme="minorHAnsi" w:eastAsiaTheme="minorEastAsia" w:hAnsiTheme="minorHAnsi" w:cstheme="minorBidi"/>
          <w:smallCaps w:val="0"/>
          <w:noProof/>
        </w:rPr>
      </w:pPr>
      <w:hyperlink w:anchor="_Toc149064261" w:history="1">
        <w:r w:rsidR="00A91C73" w:rsidRPr="00B1389E">
          <w:rPr>
            <w:rStyle w:val="Hyperlink"/>
            <w:noProof/>
          </w:rPr>
          <w:t>Appendix M: Workload Process Mapping to Application Option Table</w:t>
        </w:r>
        <w:r w:rsidR="00A91C73">
          <w:rPr>
            <w:noProof/>
            <w:webHidden/>
          </w:rPr>
          <w:tab/>
        </w:r>
        <w:r w:rsidR="00A91C73">
          <w:rPr>
            <w:noProof/>
            <w:webHidden/>
          </w:rPr>
          <w:fldChar w:fldCharType="begin"/>
        </w:r>
        <w:r w:rsidR="00A91C73">
          <w:rPr>
            <w:noProof/>
            <w:webHidden/>
          </w:rPr>
          <w:instrText xml:space="preserve"> PAGEREF _Toc149064261 \h </w:instrText>
        </w:r>
        <w:r w:rsidR="00A91C73">
          <w:rPr>
            <w:noProof/>
            <w:webHidden/>
          </w:rPr>
        </w:r>
        <w:r w:rsidR="00A91C73">
          <w:rPr>
            <w:noProof/>
            <w:webHidden/>
          </w:rPr>
          <w:fldChar w:fldCharType="separate"/>
        </w:r>
        <w:r w:rsidR="00ED2D38">
          <w:rPr>
            <w:noProof/>
            <w:webHidden/>
          </w:rPr>
          <w:t>509</w:t>
        </w:r>
        <w:r w:rsidR="00A91C73">
          <w:rPr>
            <w:noProof/>
            <w:webHidden/>
          </w:rPr>
          <w:fldChar w:fldCharType="end"/>
        </w:r>
      </w:hyperlink>
    </w:p>
    <w:p w14:paraId="0B1124C6" w14:textId="5BB5404F" w:rsidR="00A91C73" w:rsidRDefault="00A53403">
      <w:pPr>
        <w:pStyle w:val="TOC1"/>
        <w:tabs>
          <w:tab w:val="right" w:leader="dot" w:pos="9350"/>
        </w:tabs>
        <w:rPr>
          <w:rFonts w:asciiTheme="minorHAnsi" w:eastAsiaTheme="minorEastAsia" w:hAnsiTheme="minorHAnsi" w:cstheme="minorBidi"/>
          <w:b w:val="0"/>
          <w:caps w:val="0"/>
          <w:noProof/>
        </w:rPr>
      </w:pPr>
      <w:hyperlink w:anchor="_Toc149064262" w:history="1">
        <w:r w:rsidR="00A91C73" w:rsidRPr="00B1389E">
          <w:rPr>
            <w:rStyle w:val="Hyperlink"/>
            <w:noProof/>
          </w:rPr>
          <w:t>Index</w:t>
        </w:r>
        <w:r w:rsidR="00A91C73">
          <w:rPr>
            <w:noProof/>
            <w:webHidden/>
          </w:rPr>
          <w:tab/>
        </w:r>
        <w:r w:rsidR="00A91C73">
          <w:rPr>
            <w:noProof/>
            <w:webHidden/>
          </w:rPr>
          <w:fldChar w:fldCharType="begin"/>
        </w:r>
        <w:r w:rsidR="00A91C73">
          <w:rPr>
            <w:noProof/>
            <w:webHidden/>
          </w:rPr>
          <w:instrText xml:space="preserve"> PAGEREF _Toc149064262 \h </w:instrText>
        </w:r>
        <w:r w:rsidR="00A91C73">
          <w:rPr>
            <w:noProof/>
            <w:webHidden/>
          </w:rPr>
        </w:r>
        <w:r w:rsidR="00A91C73">
          <w:rPr>
            <w:noProof/>
            <w:webHidden/>
          </w:rPr>
          <w:fldChar w:fldCharType="separate"/>
        </w:r>
        <w:r w:rsidR="00ED2D38">
          <w:rPr>
            <w:noProof/>
            <w:webHidden/>
          </w:rPr>
          <w:t>517</w:t>
        </w:r>
        <w:r w:rsidR="00A91C73">
          <w:rPr>
            <w:noProof/>
            <w:webHidden/>
          </w:rPr>
          <w:fldChar w:fldCharType="end"/>
        </w:r>
      </w:hyperlink>
    </w:p>
    <w:p w14:paraId="2BBC84B7" w14:textId="3385B93B" w:rsidR="00A91C73" w:rsidRDefault="00A53403">
      <w:pPr>
        <w:pStyle w:val="TOC1"/>
        <w:tabs>
          <w:tab w:val="right" w:leader="dot" w:pos="9350"/>
        </w:tabs>
        <w:rPr>
          <w:rFonts w:asciiTheme="minorHAnsi" w:eastAsiaTheme="minorEastAsia" w:hAnsiTheme="minorHAnsi" w:cstheme="minorBidi"/>
          <w:b w:val="0"/>
          <w:caps w:val="0"/>
          <w:noProof/>
        </w:rPr>
      </w:pPr>
      <w:hyperlink w:anchor="_Toc149064263" w:history="1">
        <w:r w:rsidR="00A91C73" w:rsidRPr="00B1389E">
          <w:rPr>
            <w:rStyle w:val="Hyperlink"/>
            <w:noProof/>
          </w:rPr>
          <w:t>Revision History</w:t>
        </w:r>
        <w:r w:rsidR="00A91C73">
          <w:rPr>
            <w:noProof/>
            <w:webHidden/>
          </w:rPr>
          <w:tab/>
        </w:r>
        <w:r w:rsidR="00A91C73">
          <w:rPr>
            <w:noProof/>
            <w:webHidden/>
          </w:rPr>
          <w:fldChar w:fldCharType="begin"/>
        </w:r>
        <w:r w:rsidR="00A91C73">
          <w:rPr>
            <w:noProof/>
            <w:webHidden/>
          </w:rPr>
          <w:instrText xml:space="preserve"> PAGEREF _Toc149064263 \h </w:instrText>
        </w:r>
        <w:r w:rsidR="00A91C73">
          <w:rPr>
            <w:noProof/>
            <w:webHidden/>
          </w:rPr>
        </w:r>
        <w:r w:rsidR="00A91C73">
          <w:rPr>
            <w:noProof/>
            <w:webHidden/>
          </w:rPr>
          <w:fldChar w:fldCharType="separate"/>
        </w:r>
        <w:r w:rsidR="00ED2D38">
          <w:rPr>
            <w:noProof/>
            <w:webHidden/>
          </w:rPr>
          <w:t>523</w:t>
        </w:r>
        <w:r w:rsidR="00A91C73">
          <w:rPr>
            <w:noProof/>
            <w:webHidden/>
          </w:rPr>
          <w:fldChar w:fldCharType="end"/>
        </w:r>
      </w:hyperlink>
    </w:p>
    <w:p w14:paraId="3ADB784C" w14:textId="7A3C3093" w:rsidR="0036198D" w:rsidRDefault="002A21AE" w:rsidP="00061AEC">
      <w:pPr>
        <w:pStyle w:val="Heading1"/>
        <w:rPr>
          <w:rFonts w:ascii="Times New Roman" w:hAnsi="Times New Roman" w:cs="Times New Roman"/>
          <w:kern w:val="0"/>
          <w:sz w:val="22"/>
          <w:szCs w:val="22"/>
        </w:rPr>
      </w:pPr>
      <w:r>
        <w:rPr>
          <w:rFonts w:ascii="Times New Roman" w:hAnsi="Times New Roman" w:cs="Times New Roman"/>
          <w:kern w:val="0"/>
          <w:sz w:val="22"/>
          <w:szCs w:val="22"/>
        </w:rPr>
        <w:fldChar w:fldCharType="end"/>
      </w:r>
    </w:p>
    <w:p w14:paraId="0940373A" w14:textId="23E8F3BE" w:rsidR="002A21AE" w:rsidRPr="00BF677A" w:rsidRDefault="002A21AE" w:rsidP="00061AEC">
      <w:pPr>
        <w:pStyle w:val="Heading1"/>
        <w:rPr>
          <w:rFonts w:ascii="Arial Bold" w:hAnsi="Arial Bold"/>
        </w:rPr>
      </w:pPr>
      <w:bookmarkStart w:id="1" w:name="_Toc149064036"/>
      <w:r>
        <w:t>Introduction</w:t>
      </w:r>
      <w:bookmarkEnd w:id="1"/>
      <w:r>
        <w:fldChar w:fldCharType="begin"/>
      </w:r>
      <w:r>
        <w:instrText xml:space="preserve"> XE </w:instrText>
      </w:r>
      <w:r w:rsidR="00FA7E65">
        <w:instrText>“</w:instrText>
      </w:r>
      <w:r>
        <w:instrText>Introduction</w:instrText>
      </w:r>
      <w:r w:rsidR="00FA7E65">
        <w:instrText>”</w:instrText>
      </w:r>
      <w:r w:rsidR="00DE2677">
        <w:instrText xml:space="preserve"> </w:instrText>
      </w:r>
      <w:r>
        <w:fldChar w:fldCharType="end"/>
      </w:r>
    </w:p>
    <w:p w14:paraId="6F425561" w14:textId="74AEF313" w:rsidR="0036198D" w:rsidRPr="0036198D" w:rsidRDefault="0036198D" w:rsidP="0036198D">
      <w:pPr>
        <w:pStyle w:val="BodyText"/>
      </w:pPr>
      <w:bookmarkStart w:id="2" w:name="OLE_LINK41"/>
      <w:bookmarkStart w:id="3" w:name="OLE_LINK42"/>
      <w:bookmarkStart w:id="4" w:name="OLE_LINK7"/>
      <w:bookmarkStart w:id="5" w:name="OLE_LINK8"/>
      <w:r w:rsidRPr="0036198D">
        <w:t>VistA Blood Establishment Computer Software (VBECS) is an improved Blood Bank application that facilitates ongoing compliance with Food and Drug Administration (FDA) standards for medical devices and enhances the Department of Veterans Affairs (VAs) ability to produce high-quality blood products and services to veterans. The system follows blood bank standards, standards of national accrediting agencies, FDA regulations and VA policies.</w:t>
      </w:r>
    </w:p>
    <w:p w14:paraId="5ED26AF7" w14:textId="77777777" w:rsidR="0036198D" w:rsidRPr="00393691" w:rsidRDefault="0036198D" w:rsidP="0036198D">
      <w:pPr>
        <w:pStyle w:val="BodyText"/>
        <w:rPr>
          <w:rFonts w:ascii="Arial" w:hAnsi="Arial"/>
          <w:b/>
          <w:szCs w:val="24"/>
        </w:rPr>
      </w:pPr>
      <w:r w:rsidRPr="00393691">
        <w:rPr>
          <w:rFonts w:ascii="Arial" w:hAnsi="Arial"/>
          <w:b/>
          <w:szCs w:val="24"/>
        </w:rPr>
        <w:t>Intended Use</w:t>
      </w:r>
    </w:p>
    <w:p w14:paraId="44E13193" w14:textId="77777777" w:rsidR="0036198D" w:rsidRPr="0036198D" w:rsidRDefault="0036198D" w:rsidP="0036198D">
      <w:pPr>
        <w:pStyle w:val="BodyText"/>
      </w:pPr>
      <w:r w:rsidRPr="0036198D">
        <w:t>VBECS is a computer software application that manages transfusion service activities. The purpose of VBECS is to automate the documentation and record keeping of selected daily activities of the transfusion service.</w:t>
      </w:r>
    </w:p>
    <w:p w14:paraId="0E379D03" w14:textId="77777777" w:rsidR="0036198D" w:rsidRPr="00393691" w:rsidRDefault="0036198D" w:rsidP="0036198D">
      <w:pPr>
        <w:pStyle w:val="BodyText"/>
        <w:rPr>
          <w:rFonts w:ascii="Arial" w:hAnsi="Arial"/>
          <w:b/>
          <w:szCs w:val="24"/>
        </w:rPr>
      </w:pPr>
      <w:r w:rsidRPr="00393691">
        <w:rPr>
          <w:rFonts w:ascii="Arial" w:hAnsi="Arial"/>
          <w:b/>
          <w:szCs w:val="24"/>
        </w:rPr>
        <w:t>Indications for Use</w:t>
      </w:r>
    </w:p>
    <w:p w14:paraId="3E2EFEB4" w14:textId="77777777" w:rsidR="0036198D" w:rsidRPr="0036198D" w:rsidRDefault="0036198D" w:rsidP="0036198D">
      <w:pPr>
        <w:pStyle w:val="BodyText"/>
      </w:pPr>
      <w:r w:rsidRPr="0036198D">
        <w:t>The main purpose of VBECS is to automate the daily processing of blood inventory and patient transfusions in a hospital transfusion service. The purpose of VBECS is to automate the documentation and record keeping of selected activities of a hospital transfusion service.</w:t>
      </w:r>
    </w:p>
    <w:p w14:paraId="2BEE042D" w14:textId="404A1DED" w:rsidR="0036198D" w:rsidRPr="00393691" w:rsidRDefault="0036198D" w:rsidP="0036198D">
      <w:pPr>
        <w:pStyle w:val="BodyText"/>
        <w:rPr>
          <w:rFonts w:ascii="Arial" w:hAnsi="Arial"/>
          <w:b/>
          <w:szCs w:val="24"/>
        </w:rPr>
      </w:pPr>
      <w:r w:rsidRPr="00393691">
        <w:rPr>
          <w:rFonts w:ascii="Arial" w:hAnsi="Arial"/>
          <w:b/>
          <w:szCs w:val="24"/>
        </w:rPr>
        <w:t xml:space="preserve">VBECS </w:t>
      </w:r>
      <w:r w:rsidR="007510C0">
        <w:rPr>
          <w:rFonts w:ascii="Arial" w:hAnsi="Arial"/>
          <w:b/>
          <w:szCs w:val="24"/>
        </w:rPr>
        <w:t>A</w:t>
      </w:r>
      <w:r w:rsidRPr="00393691">
        <w:rPr>
          <w:rFonts w:ascii="Arial" w:hAnsi="Arial"/>
          <w:b/>
          <w:szCs w:val="24"/>
        </w:rPr>
        <w:t>ccommodates:</w:t>
      </w:r>
    </w:p>
    <w:p w14:paraId="65230272" w14:textId="77777777" w:rsidR="0036198D" w:rsidRPr="0036198D" w:rsidRDefault="0036198D" w:rsidP="00394BCB">
      <w:pPr>
        <w:pStyle w:val="BodyText"/>
        <w:numPr>
          <w:ilvl w:val="0"/>
          <w:numId w:val="83"/>
        </w:numPr>
        <w:spacing w:before="0" w:after="0"/>
      </w:pPr>
      <w:r w:rsidRPr="0036198D">
        <w:t>The processing of blood component shipments.</w:t>
      </w:r>
    </w:p>
    <w:p w14:paraId="0B21AFED" w14:textId="77777777" w:rsidR="0036198D" w:rsidRPr="0036198D" w:rsidRDefault="0036198D" w:rsidP="00394BCB">
      <w:pPr>
        <w:pStyle w:val="BodyText"/>
        <w:numPr>
          <w:ilvl w:val="0"/>
          <w:numId w:val="83"/>
        </w:numPr>
        <w:spacing w:before="0" w:after="0"/>
      </w:pPr>
      <w:r w:rsidRPr="0036198D">
        <w:t>The modification of blood units.</w:t>
      </w:r>
    </w:p>
    <w:p w14:paraId="2666C8C7" w14:textId="77777777" w:rsidR="0036198D" w:rsidRPr="0036198D" w:rsidRDefault="0036198D" w:rsidP="00394BCB">
      <w:pPr>
        <w:pStyle w:val="BodyText"/>
        <w:numPr>
          <w:ilvl w:val="0"/>
          <w:numId w:val="83"/>
        </w:numPr>
        <w:spacing w:before="0" w:after="0"/>
      </w:pPr>
      <w:r w:rsidRPr="0036198D">
        <w:t>Electronic receipt of orders from the Department of Veterans Affairs VistA computer system.</w:t>
      </w:r>
    </w:p>
    <w:p w14:paraId="50313E2D" w14:textId="76B00E7E" w:rsidR="0036198D" w:rsidRPr="0036198D" w:rsidRDefault="0036198D" w:rsidP="00394BCB">
      <w:pPr>
        <w:pStyle w:val="BodyText"/>
        <w:numPr>
          <w:ilvl w:val="0"/>
          <w:numId w:val="83"/>
        </w:numPr>
        <w:spacing w:before="0" w:after="0"/>
      </w:pPr>
      <w:r w:rsidRPr="0036198D">
        <w:t>The recording of patient compatibility testing, transfusions, transfusion processing requirements and special instructions.</w:t>
      </w:r>
    </w:p>
    <w:p w14:paraId="10C1048F" w14:textId="092628D2" w:rsidR="0045199A" w:rsidRDefault="0045199A" w:rsidP="0045199A">
      <w:pPr>
        <w:pStyle w:val="Heading4"/>
      </w:pPr>
      <w:r>
        <w:t xml:space="preserve">Limitations and Restrictions </w:t>
      </w:r>
    </w:p>
    <w:p w14:paraId="57D8A1DD" w14:textId="77777777" w:rsidR="0045199A" w:rsidRPr="0045199A" w:rsidRDefault="0045199A" w:rsidP="0045199A">
      <w:pPr>
        <w:pStyle w:val="Heading4"/>
        <w:rPr>
          <w:rFonts w:ascii="Times New Roman" w:hAnsi="Times New Roman"/>
          <w:b w:val="0"/>
          <w:spacing w:val="-5"/>
          <w:szCs w:val="22"/>
        </w:rPr>
      </w:pPr>
      <w:r w:rsidRPr="0045199A">
        <w:rPr>
          <w:rFonts w:ascii="Times New Roman" w:hAnsi="Times New Roman"/>
        </w:rPr>
        <w:t>VBECS does not support:</w:t>
      </w:r>
      <w:r w:rsidRPr="0045199A">
        <w:rPr>
          <w:rFonts w:ascii="Times New Roman" w:hAnsi="Times New Roman"/>
          <w:vanish/>
        </w:rPr>
        <w:t>DR 5105</w:t>
      </w:r>
    </w:p>
    <w:p w14:paraId="2CC672CE" w14:textId="77777777" w:rsidR="0045199A" w:rsidRPr="005E26A6" w:rsidRDefault="0045199A" w:rsidP="0045199A">
      <w:pPr>
        <w:pStyle w:val="ListBullet"/>
      </w:pPr>
      <w:r>
        <w:t>Blood dono</w:t>
      </w:r>
      <w:r w:rsidRPr="005E26A6">
        <w:t>r collection activities</w:t>
      </w:r>
      <w:r>
        <w:t xml:space="preserve"> (donor module)</w:t>
      </w:r>
    </w:p>
    <w:p w14:paraId="542F024E" w14:textId="77777777" w:rsidR="0045199A" w:rsidRPr="005E26A6" w:rsidRDefault="0045199A" w:rsidP="0045199A">
      <w:pPr>
        <w:pStyle w:val="ListBullet"/>
      </w:pPr>
      <w:r w:rsidRPr="005E26A6">
        <w:t>Direct data entry of antibody identification</w:t>
      </w:r>
    </w:p>
    <w:p w14:paraId="2A785064" w14:textId="77777777" w:rsidR="0045199A" w:rsidRPr="005E26A6" w:rsidRDefault="0045199A" w:rsidP="0045199A">
      <w:pPr>
        <w:pStyle w:val="ListBullet"/>
      </w:pPr>
      <w:r w:rsidRPr="005E26A6">
        <w:t xml:space="preserve">Direct data entry of transfusion reaction workups </w:t>
      </w:r>
    </w:p>
    <w:p w14:paraId="64B0CEF0" w14:textId="77777777" w:rsidR="0045199A" w:rsidRPr="005E26A6" w:rsidRDefault="0045199A" w:rsidP="0045199A">
      <w:pPr>
        <w:pStyle w:val="ListBullet"/>
      </w:pPr>
      <w:r w:rsidRPr="005E26A6">
        <w:t>Patient testing, transfusions, and blood components recorded in Legacy VistA are not available in VBECS</w:t>
      </w:r>
    </w:p>
    <w:p w14:paraId="6DFFB962" w14:textId="77777777" w:rsidR="0045199A" w:rsidRDefault="0045199A" w:rsidP="0045199A">
      <w:pPr>
        <w:pStyle w:val="ListBullet"/>
      </w:pPr>
      <w:r w:rsidRPr="005E26A6">
        <w:t>Pediatric blood product preparation</w:t>
      </w:r>
    </w:p>
    <w:p w14:paraId="0677C989" w14:textId="77777777" w:rsidR="0045199A" w:rsidRPr="005E26A6" w:rsidRDefault="0045199A" w:rsidP="0045199A">
      <w:pPr>
        <w:pStyle w:val="ListBullet"/>
      </w:pPr>
      <w:r>
        <w:t>Printing of blood product labels</w:t>
      </w:r>
    </w:p>
    <w:p w14:paraId="3C7B33A8" w14:textId="77777777" w:rsidR="0045199A" w:rsidRPr="005E26A6" w:rsidRDefault="0045199A" w:rsidP="0045199A">
      <w:pPr>
        <w:pStyle w:val="ListBullet"/>
      </w:pPr>
      <w:r w:rsidRPr="005E26A6">
        <w:t>User defined customized queries or reports</w:t>
      </w:r>
    </w:p>
    <w:p w14:paraId="5D799849" w14:textId="77777777" w:rsidR="0045199A" w:rsidRPr="005E26A6" w:rsidRDefault="0045199A" w:rsidP="0045199A">
      <w:pPr>
        <w:pStyle w:val="ListBullet"/>
      </w:pPr>
      <w:r w:rsidRPr="005E26A6">
        <w:t>User editing blood product, antigen, antibody, or transfusion reaction tables</w:t>
      </w:r>
    </w:p>
    <w:p w14:paraId="1CD403B6" w14:textId="77777777" w:rsidR="0045199A" w:rsidRDefault="0045199A" w:rsidP="0045199A">
      <w:pPr>
        <w:pStyle w:val="ListBullet"/>
      </w:pPr>
      <w:r w:rsidRPr="005E26A6">
        <w:t>Validation record storage</w:t>
      </w:r>
    </w:p>
    <w:p w14:paraId="0C9F12C5" w14:textId="77777777" w:rsidR="0045199A" w:rsidRDefault="0045199A" w:rsidP="0045199A">
      <w:pPr>
        <w:rPr>
          <w:sz w:val="22"/>
          <w:szCs w:val="22"/>
        </w:rPr>
      </w:pPr>
    </w:p>
    <w:p w14:paraId="39108FFE" w14:textId="6978C13E" w:rsidR="005039C8" w:rsidRPr="005563CA" w:rsidRDefault="005039C8" w:rsidP="005563CA">
      <w:pPr>
        <w:rPr>
          <w:sz w:val="22"/>
          <w:szCs w:val="22"/>
        </w:rPr>
      </w:pPr>
      <w:r w:rsidRPr="005563CA">
        <w:rPr>
          <w:sz w:val="22"/>
          <w:szCs w:val="22"/>
        </w:rPr>
        <w:t xml:space="preserve">BCE information </w:t>
      </w:r>
      <w:r w:rsidRPr="000B3D31">
        <w:rPr>
          <w:sz w:val="22"/>
          <w:szCs w:val="22"/>
        </w:rPr>
        <w:t>applies</w:t>
      </w:r>
      <w:r w:rsidRPr="005563CA">
        <w:rPr>
          <w:sz w:val="22"/>
          <w:szCs w:val="22"/>
        </w:rPr>
        <w:t xml:space="preserve"> ONLY when a BCE COTS product is available for communication and is configured.</w:t>
      </w:r>
    </w:p>
    <w:p w14:paraId="43A5F5CB" w14:textId="77777777" w:rsidR="005039C8" w:rsidRDefault="005039C8" w:rsidP="001B0B0C">
      <w:pPr>
        <w:rPr>
          <w:sz w:val="22"/>
          <w:szCs w:val="22"/>
        </w:rPr>
      </w:pPr>
    </w:p>
    <w:p w14:paraId="30C8F1B7" w14:textId="4AC3654F" w:rsidR="00B82DFE" w:rsidRPr="00911832" w:rsidRDefault="0045199A" w:rsidP="0045199A">
      <w:pPr>
        <w:rPr>
          <w:sz w:val="22"/>
          <w:szCs w:val="22"/>
        </w:rPr>
      </w:pPr>
      <w:r w:rsidRPr="00911832">
        <w:rPr>
          <w:sz w:val="22"/>
          <w:szCs w:val="22"/>
        </w:rPr>
        <w:t>Limitations and Restrictions are listed in</w:t>
      </w:r>
      <w:r w:rsidR="001B0B0C" w:rsidRPr="00911832">
        <w:rPr>
          <w:sz w:val="22"/>
          <w:szCs w:val="22"/>
        </w:rPr>
        <w:t xml:space="preserve"> </w:t>
      </w:r>
      <w:r w:rsidR="00EE455E" w:rsidRPr="00EE455E">
        <w:rPr>
          <w:sz w:val="22"/>
          <w:szCs w:val="22"/>
        </w:rPr>
        <w:t>Appendix D: Limitations and Restrictions</w:t>
      </w:r>
      <w:r w:rsidR="00394BCB">
        <w:rPr>
          <w:sz w:val="22"/>
          <w:szCs w:val="22"/>
        </w:rPr>
        <w:t xml:space="preserve"> </w:t>
      </w:r>
      <w:r w:rsidRPr="00911832">
        <w:rPr>
          <w:sz w:val="22"/>
          <w:szCs w:val="22"/>
        </w:rPr>
        <w:t xml:space="preserve">by option as well as throughout this document as part of the detailed information associated with the functionality. </w:t>
      </w:r>
    </w:p>
    <w:p w14:paraId="055ACB0D" w14:textId="27EDB68C" w:rsidR="0045199A" w:rsidRPr="00F77D81" w:rsidRDefault="0045199A" w:rsidP="0045199A">
      <w:pPr>
        <w:rPr>
          <w:sz w:val="22"/>
          <w:szCs w:val="22"/>
        </w:rPr>
      </w:pPr>
      <w:r w:rsidRPr="00F77D81">
        <w:rPr>
          <w:vanish/>
          <w:sz w:val="22"/>
          <w:szCs w:val="22"/>
        </w:rPr>
        <w:t>DR 5105</w:t>
      </w:r>
    </w:p>
    <w:bookmarkEnd w:id="2"/>
    <w:bookmarkEnd w:id="3"/>
    <w:bookmarkEnd w:id="4"/>
    <w:bookmarkEnd w:id="5"/>
    <w:p w14:paraId="072C6474" w14:textId="77777777" w:rsidR="002A21AE" w:rsidRPr="00AB3B2D" w:rsidRDefault="00057948">
      <w:pPr>
        <w:pStyle w:val="Caution"/>
        <w:rPr>
          <w:i w:val="0"/>
        </w:rPr>
      </w:pPr>
      <w:r>
        <w:rPr>
          <w:noProof/>
        </w:rPr>
        <w:drawing>
          <wp:inline distT="0" distB="0" distL="0" distR="0" wp14:anchorId="4105AF37" wp14:editId="3D45A94B">
            <wp:extent cx="267970" cy="221615"/>
            <wp:effectExtent l="0" t="0" r="0" b="6985"/>
            <wp:docPr id="10" name="Picture 10"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ution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2A21AE">
        <w:t xml:space="preserve">Unauthorized access or misuse of this system and/or its data is </w:t>
      </w:r>
      <w:r w:rsidR="000A6837">
        <w:t>a federal crime. Use of all data, printed or electronic, must</w:t>
      </w:r>
      <w:r w:rsidR="002A21AE">
        <w:t xml:space="preserve"> be in accordance with VA policy on security and privacy.</w:t>
      </w:r>
      <w:r w:rsidR="00AB3B2D">
        <w:rPr>
          <w:i w:val="0"/>
          <w:vanish/>
        </w:rPr>
        <w:t xml:space="preserve"> DR 3513</w:t>
      </w:r>
    </w:p>
    <w:p w14:paraId="4D16687E" w14:textId="33F22690" w:rsidR="002A21AE" w:rsidRDefault="00057948">
      <w:pPr>
        <w:pStyle w:val="Caution"/>
      </w:pPr>
      <w:r>
        <w:rPr>
          <w:noProof/>
        </w:rPr>
        <w:drawing>
          <wp:inline distT="0" distB="0" distL="0" distR="0" wp14:anchorId="6250DE53" wp14:editId="1D5281BF">
            <wp:extent cx="267970" cy="221615"/>
            <wp:effectExtent l="0" t="0" r="0" b="6985"/>
            <wp:docPr id="11" name="Picture 11"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ution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2A21AE">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w:t>
      </w:r>
      <w:r w:rsidR="00E0239F">
        <w:t>s</w:t>
      </w:r>
      <w:r w:rsidR="002A21AE">
        <w:t xml:space="preserve"> the implementer to assume total responsibility for the software and become a registered manufacturer of a medical device, subject to FDA regulations.</w:t>
      </w:r>
    </w:p>
    <w:p w14:paraId="6FB38602" w14:textId="77777777" w:rsidR="002A21AE" w:rsidRDefault="002A21AE">
      <w:pPr>
        <w:pStyle w:val="Heading2"/>
      </w:pPr>
      <w:bookmarkStart w:id="6" w:name="_Toc149064037"/>
      <w:r>
        <w:t>Freeware Disclaimer</w:t>
      </w:r>
      <w:bookmarkEnd w:id="6"/>
      <w:r>
        <w:fldChar w:fldCharType="begin"/>
      </w:r>
      <w:r>
        <w:instrText xml:space="preserve"> XE </w:instrText>
      </w:r>
      <w:r w:rsidR="00FA7E65">
        <w:instrText>“</w:instrText>
      </w:r>
      <w:r>
        <w:instrText>Freeware Disclaimer</w:instrText>
      </w:r>
      <w:r w:rsidR="00FA7E65">
        <w:instrText>”</w:instrText>
      </w:r>
      <w:r>
        <w:instrText xml:space="preserve"> </w:instrText>
      </w:r>
      <w:r>
        <w:fldChar w:fldCharType="end"/>
      </w:r>
    </w:p>
    <w:p w14:paraId="5528EB91" w14:textId="609D1BF3" w:rsidR="004C7D98" w:rsidRPr="004C7D98" w:rsidRDefault="00091DC8" w:rsidP="004C7D98">
      <w:pPr>
        <w:pStyle w:val="BodyText"/>
      </w:pPr>
      <w:r w:rsidRPr="004C7D98">
        <w:t>Requests for VBECS</w:t>
      </w:r>
      <w:r w:rsidR="004501DE">
        <w:t xml:space="preserve"> source code</w:t>
      </w:r>
      <w:r w:rsidRPr="004C7D98">
        <w:t xml:space="preserve"> may be submitted </w:t>
      </w:r>
      <w:r w:rsidR="003B64FF" w:rsidRPr="004C7D98">
        <w:t xml:space="preserve">through the Freedom of Information Act (FOIA). </w:t>
      </w:r>
      <w:r w:rsidR="004C7D98" w:rsidRPr="004C7D98">
        <w:t>Effective on September 19, 2011, the Department of Veterans Affairs will accept</w:t>
      </w:r>
      <w:r w:rsidR="00AF37FE">
        <w:t xml:space="preserve"> FOIA requests electronically. </w:t>
      </w:r>
      <w:r w:rsidR="004C7D98" w:rsidRPr="004C7D98">
        <w:t>Most VA Central Off</w:t>
      </w:r>
      <w:r w:rsidR="004C7D98">
        <w:t xml:space="preserve">ice (VACO) Offices </w:t>
      </w:r>
      <w:r w:rsidR="004C7D98" w:rsidRPr="004C7D98">
        <w:t>are in the process of establ</w:t>
      </w:r>
      <w:r w:rsidR="004C7D98">
        <w:t xml:space="preserve">ishing an electronic mailbox. </w:t>
      </w:r>
      <w:r w:rsidR="004C7D98" w:rsidRPr="004C7D98">
        <w:t xml:space="preserve">In the meantime, the FOIA Service will accept electronic FOIA requests for any VACO FOIA Office that does not yet have a mailbox in </w:t>
      </w:r>
      <w:r w:rsidR="00671459" w:rsidRPr="004C7D98">
        <w:t>place and</w:t>
      </w:r>
      <w:r w:rsidR="004C7D98" w:rsidRPr="004C7D98">
        <w:t xml:space="preserve"> will forward your request to the appropriate office for processing.  </w:t>
      </w:r>
    </w:p>
    <w:p w14:paraId="1DE208CC" w14:textId="3779B476" w:rsidR="003B64FF" w:rsidRPr="00234D60" w:rsidRDefault="00CD5D6A" w:rsidP="00234D60">
      <w:pPr>
        <w:pStyle w:val="BodyText"/>
      </w:pPr>
      <w:r>
        <w:t>Submit requests</w:t>
      </w:r>
      <w:r w:rsidR="003B64FF">
        <w:t xml:space="preserve"> to</w:t>
      </w:r>
      <w:r w:rsidR="007C6538">
        <w:t xml:space="preserve"> </w:t>
      </w:r>
      <w:r w:rsidR="00AB48D9" w:rsidRPr="00AB48D9">
        <w:rPr>
          <w:highlight w:val="yellow"/>
        </w:rPr>
        <w:t>REDACTED</w:t>
      </w:r>
      <w:r w:rsidR="00911832">
        <w:t xml:space="preserve"> </w:t>
      </w:r>
      <w:r w:rsidR="00234D60">
        <w:rPr>
          <w:vanish/>
        </w:rPr>
        <w:t>DR</w:t>
      </w:r>
    </w:p>
    <w:p w14:paraId="03783BE7" w14:textId="0DC08152" w:rsidR="002A21AE" w:rsidRDefault="002A21AE" w:rsidP="00634FC7">
      <w:pPr>
        <w:pStyle w:val="Heading2"/>
      </w:pPr>
      <w:bookmarkStart w:id="7" w:name="_Toc149064038"/>
      <w:r>
        <w:t>Related Manuals and Materials</w:t>
      </w:r>
      <w:bookmarkEnd w:id="7"/>
      <w:r>
        <w:fldChar w:fldCharType="begin"/>
      </w:r>
      <w:r>
        <w:instrText xml:space="preserve"> XE </w:instrText>
      </w:r>
      <w:r w:rsidR="00FA7E65">
        <w:instrText>“</w:instrText>
      </w:r>
      <w:r>
        <w:instrText>Related Manuals and Materials</w:instrText>
      </w:r>
      <w:r w:rsidR="00FA7E65">
        <w:instrText>”</w:instrText>
      </w:r>
      <w:r>
        <w:instrText xml:space="preserve"> </w:instrText>
      </w:r>
      <w:r>
        <w:fldChar w:fldCharType="end"/>
      </w:r>
    </w:p>
    <w:p w14:paraId="30253169" w14:textId="5372ACA7" w:rsidR="009153A8" w:rsidRPr="00151456" w:rsidRDefault="009153A8" w:rsidP="009153A8">
      <w:pPr>
        <w:pStyle w:val="ListBullet"/>
      </w:pPr>
      <w:r>
        <w:rPr>
          <w:i/>
        </w:rPr>
        <w:t>VBECS 2.3.</w:t>
      </w:r>
      <w:r w:rsidR="00D1435D">
        <w:rPr>
          <w:i/>
        </w:rPr>
        <w:t>4</w:t>
      </w:r>
      <w:r>
        <w:rPr>
          <w:i/>
        </w:rPr>
        <w:t xml:space="preserve"> Admin User Guide</w:t>
      </w:r>
    </w:p>
    <w:p w14:paraId="1DC47681" w14:textId="4C4B5479" w:rsidR="009153A8" w:rsidRPr="009153A8" w:rsidRDefault="009153A8" w:rsidP="00861486">
      <w:pPr>
        <w:pStyle w:val="ListBullet"/>
      </w:pPr>
      <w:r>
        <w:rPr>
          <w:i/>
        </w:rPr>
        <w:t>VBECS 2.3.</w:t>
      </w:r>
      <w:r w:rsidR="00D1435D">
        <w:rPr>
          <w:i/>
        </w:rPr>
        <w:t>4</w:t>
      </w:r>
      <w:r>
        <w:rPr>
          <w:i/>
        </w:rPr>
        <w:t xml:space="preserve"> Release Notes</w:t>
      </w:r>
    </w:p>
    <w:p w14:paraId="369EAC77" w14:textId="15884A4B" w:rsidR="002A21AE" w:rsidRPr="004501DE" w:rsidRDefault="002A21AE">
      <w:pPr>
        <w:pStyle w:val="ListBullet"/>
      </w:pPr>
      <w:r>
        <w:rPr>
          <w:i/>
        </w:rPr>
        <w:t>VBEC</w:t>
      </w:r>
      <w:r w:rsidR="00A628A7">
        <w:rPr>
          <w:i/>
        </w:rPr>
        <w:t>S</w:t>
      </w:r>
      <w:r>
        <w:rPr>
          <w:i/>
        </w:rPr>
        <w:t xml:space="preserve"> </w:t>
      </w:r>
      <w:r w:rsidR="00C94A42">
        <w:rPr>
          <w:i/>
        </w:rPr>
        <w:t>2.3.</w:t>
      </w:r>
      <w:r w:rsidR="00D1435D">
        <w:rPr>
          <w:i/>
        </w:rPr>
        <w:t>4</w:t>
      </w:r>
      <w:r w:rsidR="008C75A6">
        <w:rPr>
          <w:i/>
        </w:rPr>
        <w:t xml:space="preserve"> </w:t>
      </w:r>
      <w:r>
        <w:rPr>
          <w:i/>
        </w:rPr>
        <w:t>Technical Manual-Security Guide</w:t>
      </w:r>
    </w:p>
    <w:p w14:paraId="2896E41B" w14:textId="13A74070" w:rsidR="004501DE" w:rsidRPr="00394BCB" w:rsidRDefault="004501DE">
      <w:pPr>
        <w:pStyle w:val="ListBullet"/>
        <w:rPr>
          <w:iCs/>
        </w:rPr>
      </w:pPr>
      <w:r w:rsidRPr="00394BCB">
        <w:rPr>
          <w:iCs/>
        </w:rPr>
        <w:t xml:space="preserve">VBECS </w:t>
      </w:r>
      <w:r w:rsidR="00810E22" w:rsidRPr="00394BCB">
        <w:rPr>
          <w:iCs/>
        </w:rPr>
        <w:t>Frequently Asked Questions (</w:t>
      </w:r>
      <w:r w:rsidRPr="00394BCB">
        <w:rPr>
          <w:iCs/>
        </w:rPr>
        <w:t>FAQ</w:t>
      </w:r>
      <w:r w:rsidR="00810E22" w:rsidRPr="00394BCB">
        <w:rPr>
          <w:iCs/>
        </w:rPr>
        <w:t>s)</w:t>
      </w:r>
    </w:p>
    <w:p w14:paraId="5BB52642" w14:textId="4098BF85" w:rsidR="00151456" w:rsidRDefault="00151456" w:rsidP="009153A8">
      <w:pPr>
        <w:pStyle w:val="ListBullet"/>
        <w:numPr>
          <w:ilvl w:val="0"/>
          <w:numId w:val="0"/>
        </w:numPr>
      </w:pPr>
    </w:p>
    <w:p w14:paraId="56B8A2A4" w14:textId="41D44EC4" w:rsidR="00770D97" w:rsidRDefault="00770D97" w:rsidP="008A734B">
      <w:pPr>
        <w:pStyle w:val="BodyText"/>
      </w:pPr>
      <w:r>
        <w:t>T</w:t>
      </w:r>
      <w:r w:rsidR="00DA52CF" w:rsidRPr="00DA52CF">
        <w:rPr>
          <w:iCs/>
        </w:rPr>
        <w:t>h</w:t>
      </w:r>
      <w:r>
        <w:rPr>
          <w:iCs/>
        </w:rPr>
        <w:t>is</w:t>
      </w:r>
      <w:r w:rsidR="00DA52CF">
        <w:rPr>
          <w:i/>
        </w:rPr>
        <w:t xml:space="preserve"> </w:t>
      </w:r>
      <w:r w:rsidR="00FC6E3B" w:rsidRPr="00FC6E3B">
        <w:rPr>
          <w:i/>
        </w:rPr>
        <w:t xml:space="preserve">VBECS </w:t>
      </w:r>
      <w:r w:rsidR="004D0A70">
        <w:rPr>
          <w:i/>
        </w:rPr>
        <w:t>2.3.</w:t>
      </w:r>
      <w:r w:rsidR="00AD3AB9">
        <w:rPr>
          <w:i/>
        </w:rPr>
        <w:t>4</w:t>
      </w:r>
      <w:r w:rsidR="004D0A70">
        <w:rPr>
          <w:i/>
        </w:rPr>
        <w:t xml:space="preserve"> </w:t>
      </w:r>
      <w:r w:rsidR="00FC6E3B" w:rsidRPr="00FC6E3B">
        <w:rPr>
          <w:i/>
        </w:rPr>
        <w:t>User Guide</w:t>
      </w:r>
      <w:r w:rsidR="00FC6E3B">
        <w:t xml:space="preserve"> </w:t>
      </w:r>
      <w:r w:rsidR="00437114">
        <w:t>can</w:t>
      </w:r>
      <w:r w:rsidR="00091DC8">
        <w:t xml:space="preserve"> be obtained from</w:t>
      </w:r>
      <w:r>
        <w:t>:</w:t>
      </w:r>
    </w:p>
    <w:p w14:paraId="044453DC" w14:textId="48ABEBDA" w:rsidR="00770D97" w:rsidRPr="007F445A" w:rsidRDefault="00A53403" w:rsidP="00770D97">
      <w:pPr>
        <w:pStyle w:val="TableTextBullet"/>
        <w:rPr>
          <w:rFonts w:ascii="Times New Roman" w:hAnsi="Times New Roman"/>
          <w:sz w:val="22"/>
          <w:szCs w:val="22"/>
        </w:rPr>
      </w:pPr>
      <w:hyperlink r:id="rId23" w:history="1">
        <w:r w:rsidR="00770D97" w:rsidRPr="007F445A">
          <w:rPr>
            <w:rStyle w:val="Hyperlink"/>
            <w:rFonts w:ascii="Times New Roman" w:hAnsi="Times New Roman"/>
            <w:sz w:val="22"/>
            <w:szCs w:val="22"/>
          </w:rPr>
          <w:t>VistA Documentation Library (VDL) Web site</w:t>
        </w:r>
      </w:hyperlink>
      <w:r w:rsidR="00770D97" w:rsidRPr="007F445A">
        <w:rPr>
          <w:rFonts w:ascii="Times New Roman" w:hAnsi="Times New Roman"/>
          <w:sz w:val="22"/>
          <w:szCs w:val="22"/>
        </w:rPr>
        <w:t xml:space="preserve"> (content may have redactions)</w:t>
      </w:r>
    </w:p>
    <w:p w14:paraId="4C51D013" w14:textId="6F31130F" w:rsidR="00770D97" w:rsidRPr="00AB48D9" w:rsidRDefault="00AB48D9" w:rsidP="00770D97">
      <w:pPr>
        <w:pStyle w:val="TableTextBullet"/>
        <w:rPr>
          <w:rFonts w:ascii="Times New Roman" w:hAnsi="Times New Roman"/>
          <w:sz w:val="22"/>
          <w:szCs w:val="22"/>
          <w:highlight w:val="yellow"/>
        </w:rPr>
      </w:pPr>
      <w:r w:rsidRPr="00AB48D9">
        <w:rPr>
          <w:highlight w:val="yellow"/>
        </w:rPr>
        <w:t>REDACTED</w:t>
      </w:r>
    </w:p>
    <w:p w14:paraId="3F5EA408" w14:textId="77777777" w:rsidR="00B94CCD" w:rsidRDefault="00B94CCD">
      <w:pPr>
        <w:rPr>
          <w:rFonts w:ascii="Arial" w:hAnsi="Arial" w:cs="Arial"/>
          <w:b/>
          <w:bCs/>
          <w:kern w:val="32"/>
          <w:sz w:val="36"/>
          <w:szCs w:val="32"/>
        </w:rPr>
      </w:pPr>
      <w:r>
        <w:br w:type="page"/>
      </w:r>
    </w:p>
    <w:p w14:paraId="2CC79A14" w14:textId="77777777" w:rsidR="002A21AE" w:rsidRDefault="002A21AE" w:rsidP="000D4810">
      <w:pPr>
        <w:pStyle w:val="Heading1"/>
      </w:pPr>
      <w:bookmarkStart w:id="8" w:name="_Toc149064039"/>
      <w:r>
        <w:t>Orientation</w:t>
      </w:r>
      <w:bookmarkEnd w:id="8"/>
      <w:r>
        <w:fldChar w:fldCharType="begin"/>
      </w:r>
      <w:r>
        <w:instrText xml:space="preserve"> XE </w:instrText>
      </w:r>
      <w:r w:rsidR="00FA7E65">
        <w:instrText>“</w:instrText>
      </w:r>
      <w:r>
        <w:instrText>Orientation</w:instrText>
      </w:r>
      <w:r w:rsidR="00FA7E65">
        <w:instrText>”</w:instrText>
      </w:r>
      <w:r>
        <w:instrText xml:space="preserve"> </w:instrText>
      </w:r>
      <w:r>
        <w:fldChar w:fldCharType="end"/>
      </w:r>
    </w:p>
    <w:p w14:paraId="006EBC93" w14:textId="77777777" w:rsidR="002A21AE" w:rsidRDefault="002A21AE" w:rsidP="00FA7E65">
      <w:pPr>
        <w:pStyle w:val="BodyText"/>
      </w:pPr>
      <w:r>
        <w:t>This section covers:</w:t>
      </w:r>
    </w:p>
    <w:p w14:paraId="3344F592" w14:textId="77777777" w:rsidR="009F591F" w:rsidRDefault="009F591F" w:rsidP="009F591F">
      <w:pPr>
        <w:pStyle w:val="ListBullet"/>
      </w:pPr>
      <w:r>
        <w:t>How This User Guide Is Organized</w:t>
      </w:r>
    </w:p>
    <w:p w14:paraId="778DB548" w14:textId="77777777" w:rsidR="002A21AE" w:rsidRDefault="002A21AE">
      <w:pPr>
        <w:pStyle w:val="ListBullet"/>
      </w:pPr>
      <w:r>
        <w:t>Security: who can use VBECS</w:t>
      </w:r>
    </w:p>
    <w:p w14:paraId="12708F4C" w14:textId="77777777" w:rsidR="005E6F80" w:rsidRDefault="005E6F80" w:rsidP="005E6F80">
      <w:pPr>
        <w:pStyle w:val="ListBullet"/>
      </w:pPr>
      <w:r>
        <w:t>Application Architecture: the architectural requirements for VBECS</w:t>
      </w:r>
    </w:p>
    <w:p w14:paraId="4A2B0B4E" w14:textId="77777777" w:rsidR="002A21AE" w:rsidRDefault="000C7684">
      <w:pPr>
        <w:pStyle w:val="ListBullet"/>
      </w:pPr>
      <w:r w:rsidRPr="000C7684">
        <w:rPr>
          <w:bCs/>
        </w:rPr>
        <w:t>VistA</w:t>
      </w:r>
      <w:r w:rsidR="002A21AE">
        <w:t xml:space="preserve"> and VBECS: how VBECS compares to </w:t>
      </w:r>
      <w:r w:rsidRPr="000C7684">
        <w:rPr>
          <w:bCs/>
        </w:rPr>
        <w:t>VistA</w:t>
      </w:r>
      <w:r w:rsidR="002A21AE">
        <w:t xml:space="preserve"> </w:t>
      </w:r>
    </w:p>
    <w:p w14:paraId="4D6A82C9" w14:textId="647C782E" w:rsidR="00361EC2" w:rsidRDefault="002A21AE" w:rsidP="00A9231F">
      <w:pPr>
        <w:pStyle w:val="ListBullet"/>
      </w:pPr>
      <w:r>
        <w:t>Customer Support: how to get help</w:t>
      </w:r>
      <w:r w:rsidR="00BD12FB" w:rsidRPr="00A9231F">
        <w:rPr>
          <w:vanish/>
        </w:rPr>
        <w:t>UC_84</w:t>
      </w:r>
    </w:p>
    <w:p w14:paraId="0A2825D3" w14:textId="77777777" w:rsidR="009F591F" w:rsidRDefault="009F591F" w:rsidP="009F591F">
      <w:pPr>
        <w:pStyle w:val="Heading2"/>
      </w:pPr>
      <w:bookmarkStart w:id="9" w:name="_Toc149064040"/>
      <w:r>
        <w:t>How This User Guide Is Organized</w:t>
      </w:r>
      <w:bookmarkEnd w:id="9"/>
      <w:r>
        <w:fldChar w:fldCharType="begin"/>
      </w:r>
      <w:r>
        <w:instrText xml:space="preserve"> XE “How This User Guide Is Organized” </w:instrText>
      </w:r>
      <w:r>
        <w:fldChar w:fldCharType="end"/>
      </w:r>
    </w:p>
    <w:p w14:paraId="413FCA19" w14:textId="77777777" w:rsidR="009F591F" w:rsidRDefault="009F591F" w:rsidP="009F591F">
      <w:pPr>
        <w:pStyle w:val="Heading3"/>
        <w:ind w:left="720" w:hanging="720"/>
      </w:pPr>
      <w:bookmarkStart w:id="10" w:name="_Toc149064041"/>
      <w:r>
        <w:t>Terms</w:t>
      </w:r>
      <w:bookmarkEnd w:id="10"/>
      <w:r>
        <w:fldChar w:fldCharType="begin"/>
      </w:r>
      <w:r>
        <w:instrText xml:space="preserve"> XE “Terms” </w:instrText>
      </w:r>
      <w:r>
        <w:fldChar w:fldCharType="end"/>
      </w:r>
    </w:p>
    <w:p w14:paraId="4738EEA2" w14:textId="77777777" w:rsidR="009F591F" w:rsidRPr="001B3283" w:rsidRDefault="009F591F" w:rsidP="009F591F">
      <w:pPr>
        <w:pStyle w:val="BodyText"/>
      </w:pPr>
      <w:r w:rsidRPr="001B3283">
        <w:t>For consistency and space considerations, the pronouns “he,” “him,” and “his” are used as pronouns of indeterminate gender equally applicable to males and females.</w:t>
      </w:r>
    </w:p>
    <w:p w14:paraId="6E27969D" w14:textId="77777777" w:rsidR="009F591F" w:rsidRDefault="009F591F" w:rsidP="009F591F">
      <w:pPr>
        <w:pStyle w:val="BodyText"/>
      </w:pPr>
      <w:r>
        <w:t xml:space="preserve">In many instances, a user may scan a barcode or enter data manually (by typing). The term “enter” is used throughout this guide to mean “enter manually.” </w:t>
      </w:r>
    </w:p>
    <w:p w14:paraId="7FC9F619" w14:textId="77777777" w:rsidR="009F591F" w:rsidRDefault="009F591F" w:rsidP="009F591F">
      <w:pPr>
        <w:pStyle w:val="BodyText"/>
      </w:pPr>
      <w:r>
        <w:t>See the Glossary for definitions of other terms and acronyms used in this guide.</w:t>
      </w:r>
    </w:p>
    <w:p w14:paraId="01F32109" w14:textId="77777777" w:rsidR="009F591F" w:rsidRDefault="009F591F" w:rsidP="009F591F">
      <w:pPr>
        <w:pStyle w:val="Heading3"/>
      </w:pPr>
      <w:bookmarkStart w:id="11" w:name="_Toc149064042"/>
      <w:r>
        <w:t>Background and Basic Knowledge</w:t>
      </w:r>
      <w:bookmarkEnd w:id="11"/>
      <w:r>
        <w:fldChar w:fldCharType="begin"/>
      </w:r>
      <w:r>
        <w:instrText xml:space="preserve"> XE “Background and Basic Knowledge” </w:instrText>
      </w:r>
      <w:r>
        <w:fldChar w:fldCharType="end"/>
      </w:r>
    </w:p>
    <w:p w14:paraId="674704CC" w14:textId="77777777" w:rsidR="009F591F" w:rsidRDefault="009F591F" w:rsidP="009F591F">
      <w:pPr>
        <w:pStyle w:val="BodyText"/>
      </w:pPr>
      <w:r>
        <w:t>The Introduction, Orientation, and Using the Software sections provide the background and basic knowledge VBECS users need.</w:t>
      </w:r>
    </w:p>
    <w:p w14:paraId="2A8FFE99" w14:textId="77777777" w:rsidR="009F591F" w:rsidRDefault="009F591F" w:rsidP="009F591F">
      <w:pPr>
        <w:pStyle w:val="Heading3"/>
      </w:pPr>
      <w:bookmarkStart w:id="12" w:name="_Toc149064043"/>
      <w:r>
        <w:t>Figures and Tables</w:t>
      </w:r>
      <w:bookmarkEnd w:id="12"/>
      <w:r w:rsidR="00AB6531">
        <w:fldChar w:fldCharType="begin"/>
      </w:r>
      <w:r w:rsidR="00AB6531">
        <w:instrText xml:space="preserve"> XE "</w:instrText>
      </w:r>
      <w:r w:rsidR="00AB6531" w:rsidRPr="00686ED1">
        <w:instrText>Figures and Tables</w:instrText>
      </w:r>
      <w:r w:rsidR="00AB6531">
        <w:instrText xml:space="preserve">" </w:instrText>
      </w:r>
      <w:r w:rsidR="00AB6531">
        <w:fldChar w:fldCharType="end"/>
      </w:r>
    </w:p>
    <w:p w14:paraId="7127010E" w14:textId="77777777" w:rsidR="009F591F" w:rsidRDefault="009F591F" w:rsidP="009F591F">
      <w:pPr>
        <w:pStyle w:val="BodyText"/>
      </w:pPr>
      <w:r>
        <w:rPr>
          <w:rFonts w:eastAsia="Arial Unicode MS"/>
        </w:rPr>
        <w:t>If you refer to figures and tables from the user guide in your local policy and procedure documents, you may wish to use their titles only, without figure or table numbers: as the user guide is updated, those numbers may change.</w:t>
      </w:r>
    </w:p>
    <w:p w14:paraId="00606F40" w14:textId="77777777" w:rsidR="009F591F" w:rsidRDefault="009F591F" w:rsidP="009F591F">
      <w:pPr>
        <w:pStyle w:val="Heading3"/>
      </w:pPr>
      <w:bookmarkStart w:id="13" w:name="_Toc149064044"/>
      <w:r>
        <w:t>Options</w:t>
      </w:r>
      <w:bookmarkEnd w:id="13"/>
      <w:r>
        <w:fldChar w:fldCharType="begin"/>
      </w:r>
      <w:r>
        <w:instrText xml:space="preserve"> XE “Options” </w:instrText>
      </w:r>
      <w:r>
        <w:fldChar w:fldCharType="end"/>
      </w:r>
    </w:p>
    <w:p w14:paraId="0E9892CA" w14:textId="77777777" w:rsidR="009F591F" w:rsidRDefault="009F591F" w:rsidP="009F591F">
      <w:pPr>
        <w:pStyle w:val="BodyText"/>
      </w:pPr>
      <w:r>
        <w:t>The Configuring Site Parameters, Component Processing, Processing Orders, Patient Services, and Reports sections cover VBECS options.</w:t>
      </w:r>
    </w:p>
    <w:p w14:paraId="0E440D21" w14:textId="77777777" w:rsidR="009F591F" w:rsidRDefault="009F591F" w:rsidP="009F591F">
      <w:pPr>
        <w:pStyle w:val="BodyText"/>
      </w:pPr>
      <w:r>
        <w:t>Each option section starts with an introduction, a short paragraph that explains what a function allows a user to do, followed by:</w:t>
      </w:r>
    </w:p>
    <w:p w14:paraId="63B8603E" w14:textId="77777777" w:rsidR="009F591F" w:rsidRDefault="009F591F" w:rsidP="009F591F">
      <w:pPr>
        <w:pStyle w:val="ListBullet"/>
      </w:pPr>
      <w:r>
        <w:t>Assumptions: tasks that must be completed before performing a function.</w:t>
      </w:r>
    </w:p>
    <w:p w14:paraId="335111D5" w14:textId="77777777" w:rsidR="009F591F" w:rsidRDefault="009F591F" w:rsidP="009F591F">
      <w:pPr>
        <w:pStyle w:val="ListBullet"/>
      </w:pPr>
      <w:r>
        <w:t>Outcome: results of performing a function.</w:t>
      </w:r>
    </w:p>
    <w:p w14:paraId="4825E63B" w14:textId="77777777" w:rsidR="009F591F" w:rsidRDefault="009F591F" w:rsidP="009F591F">
      <w:pPr>
        <w:pStyle w:val="ListBullet"/>
      </w:pPr>
      <w:r>
        <w:t>Limitations and Restrictions: features of the system that are restricted by and exist within this function.</w:t>
      </w:r>
    </w:p>
    <w:p w14:paraId="70FE34B4" w14:textId="77777777" w:rsidR="009F591F" w:rsidRDefault="009F591F" w:rsidP="009F591F">
      <w:pPr>
        <w:pStyle w:val="ListBullet"/>
      </w:pPr>
      <w:r>
        <w:t>Additional Information: information that helps the user perform a function.</w:t>
      </w:r>
    </w:p>
    <w:p w14:paraId="6338E456" w14:textId="77777777" w:rsidR="009F591F" w:rsidRDefault="009F591F" w:rsidP="009F591F">
      <w:pPr>
        <w:pStyle w:val="ListBullet"/>
      </w:pPr>
      <w:bookmarkStart w:id="14" w:name="OLE_LINK21"/>
      <w:bookmarkStart w:id="15" w:name="OLE_LINK22"/>
      <w:r>
        <w:t>User Roles with Access to This Option: which users may perform this option in whole or in part.</w:t>
      </w:r>
    </w:p>
    <w:p w14:paraId="189C9654" w14:textId="77777777" w:rsidR="009F591F" w:rsidRDefault="009F591F" w:rsidP="009F591F">
      <w:pPr>
        <w:pStyle w:val="ListBullet"/>
      </w:pPr>
      <w:r>
        <w:t>A detailed description of what the function allows each user to do. Two or more arrows (</w:t>
      </w:r>
      <w:r w:rsidRPr="00EC7489">
        <w:rPr>
          <w:rFonts w:ascii="Wingdings 3" w:hAnsi="Wingdings 3" w:cs="Wingdings"/>
        </w:rPr>
        <w:t></w:t>
      </w:r>
      <w:r>
        <w:t>) indicate functions limited to a specific role.</w:t>
      </w:r>
    </w:p>
    <w:bookmarkEnd w:id="14"/>
    <w:bookmarkEnd w:id="15"/>
    <w:p w14:paraId="4A3FDB3F" w14:textId="77777777" w:rsidR="009F591F" w:rsidRDefault="009F591F" w:rsidP="009F591F">
      <w:pPr>
        <w:pStyle w:val="ListBullet"/>
      </w:pPr>
      <w:r>
        <w:t>Table of steps for the basic path (user and VBECS actions).</w:t>
      </w:r>
    </w:p>
    <w:p w14:paraId="0ECAEBB6" w14:textId="77777777" w:rsidR="009F591F" w:rsidRDefault="009F591F" w:rsidP="009F591F">
      <w:pPr>
        <w:pStyle w:val="ListBullet"/>
      </w:pPr>
      <w:r>
        <w:t>Tables of steps for alternate paths (user and VBECS actions).</w:t>
      </w:r>
    </w:p>
    <w:p w14:paraId="19C16735" w14:textId="77777777" w:rsidR="009F591F" w:rsidRDefault="009F591F" w:rsidP="009F591F">
      <w:pPr>
        <w:pStyle w:val="ListBullet"/>
      </w:pPr>
      <w:r>
        <w:t>Figures (examples of reports, screen shots, etc.).</w:t>
      </w:r>
    </w:p>
    <w:p w14:paraId="2BA117AC" w14:textId="77777777" w:rsidR="009F591F" w:rsidRDefault="009F591F" w:rsidP="009F591F">
      <w:pPr>
        <w:pStyle w:val="ListBullet"/>
      </w:pPr>
      <w:r>
        <w:t>Table of alerts that may occur during an option.</w:t>
      </w:r>
    </w:p>
    <w:p w14:paraId="5E15FCE5" w14:textId="77777777" w:rsidR="009F591F" w:rsidRDefault="009F591F" w:rsidP="009F591F">
      <w:pPr>
        <w:pStyle w:val="Caution"/>
      </w:pPr>
      <w:r>
        <w:t xml:space="preserve">A </w:t>
      </w:r>
      <w:r w:rsidRPr="008B6F70">
        <w:rPr>
          <w:rStyle w:val="BullhornChar"/>
          <w:i w:val="0"/>
        </w:rPr>
        <w:t></w:t>
      </w:r>
      <w:r w:rsidRPr="00D62E87">
        <w:rPr>
          <w:rFonts w:ascii="Webdings" w:hAnsi="Webdings"/>
        </w:rPr>
        <w:t></w:t>
      </w:r>
      <w:r>
        <w:t>(bullhorn) indicates that VBECS emits an audible alert. Keep the sound on to hear the alerts (see Volume for instructions on adjusting the volume).</w:t>
      </w:r>
    </w:p>
    <w:p w14:paraId="0C93CE1D" w14:textId="77777777" w:rsidR="009F591F" w:rsidRDefault="009F591F" w:rsidP="009F591F">
      <w:pPr>
        <w:pStyle w:val="ListBullet"/>
      </w:pPr>
      <w:r>
        <w:t>Outlined, italicized text highlights tips, warnings, and cautions, for example:</w:t>
      </w:r>
    </w:p>
    <w:p w14:paraId="1D56D7C0" w14:textId="77777777" w:rsidR="009F591F" w:rsidRDefault="009F591F" w:rsidP="009F591F">
      <w:pPr>
        <w:pStyle w:val="Caution"/>
      </w:pPr>
      <w:r>
        <w:t xml:space="preserve">A </w:t>
      </w:r>
      <w:r w:rsidR="00057948">
        <w:rPr>
          <w:noProof/>
        </w:rPr>
        <w:drawing>
          <wp:inline distT="0" distB="0" distL="0" distR="0" wp14:anchorId="3D0124E9" wp14:editId="5C0CD19F">
            <wp:extent cx="267970" cy="221615"/>
            <wp:effectExtent l="0" t="0" r="0" b="6985"/>
            <wp:docPr id="12" name="Picture 1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t xml:space="preserve"> signals potential hazards throughout this guide as they occur. </w:t>
      </w:r>
    </w:p>
    <w:p w14:paraId="279F907B" w14:textId="77777777" w:rsidR="009F591F" w:rsidRDefault="009F591F" w:rsidP="009F591F">
      <w:pPr>
        <w:pStyle w:val="Heading3"/>
      </w:pPr>
      <w:bookmarkStart w:id="16" w:name="_Toc149064045"/>
      <w:r>
        <w:t>Supplemental Information</w:t>
      </w:r>
      <w:bookmarkEnd w:id="16"/>
      <w:r>
        <w:fldChar w:fldCharType="begin"/>
      </w:r>
      <w:r>
        <w:instrText xml:space="preserve"> XE “Supplemental Information” </w:instrText>
      </w:r>
      <w:r>
        <w:fldChar w:fldCharType="end"/>
      </w:r>
    </w:p>
    <w:p w14:paraId="2F768D36" w14:textId="77777777" w:rsidR="009F591F" w:rsidRDefault="009F591F" w:rsidP="009F591F">
      <w:pPr>
        <w:pStyle w:val="BodyText"/>
      </w:pPr>
      <w:r>
        <w:t>The third group of sections (References, Glossary) provides knowledge that may be needed beyond the standard, daily use of VBECS.</w:t>
      </w:r>
    </w:p>
    <w:p w14:paraId="721411E1" w14:textId="77777777" w:rsidR="009F591F" w:rsidRDefault="009F591F" w:rsidP="009F591F">
      <w:pPr>
        <w:pStyle w:val="Heading3"/>
      </w:pPr>
      <w:bookmarkStart w:id="17" w:name="_Toc149064046"/>
      <w:r>
        <w:t>Appendices</w:t>
      </w:r>
      <w:bookmarkEnd w:id="17"/>
      <w:r>
        <w:fldChar w:fldCharType="begin"/>
      </w:r>
      <w:r>
        <w:instrText xml:space="preserve"> XE “Appendices” </w:instrText>
      </w:r>
      <w:r>
        <w:fldChar w:fldCharType="end"/>
      </w:r>
    </w:p>
    <w:p w14:paraId="06FEC699" w14:textId="77777777" w:rsidR="009F591F" w:rsidRDefault="009F591F" w:rsidP="009F591F">
      <w:pPr>
        <w:pStyle w:val="BodyText"/>
      </w:pPr>
      <w:r>
        <w:t>The appendices contain truth tables, diagrams, and other materials for reference.</w:t>
      </w:r>
    </w:p>
    <w:p w14:paraId="771597BF" w14:textId="77777777" w:rsidR="009F591F" w:rsidRDefault="009F591F" w:rsidP="009F591F">
      <w:pPr>
        <w:pStyle w:val="BodyText"/>
      </w:pPr>
      <w:r>
        <w:t>Click a section name or page number in the table of contents to move to a section. The index does not incorporate this feature.</w:t>
      </w:r>
    </w:p>
    <w:p w14:paraId="126B751F" w14:textId="77777777" w:rsidR="002A21AE" w:rsidRDefault="002A21AE" w:rsidP="009F591F">
      <w:pPr>
        <w:pStyle w:val="Heading2"/>
      </w:pPr>
      <w:bookmarkStart w:id="18" w:name="_Toc149064047"/>
      <w:r>
        <w:t>Security</w:t>
      </w:r>
      <w:bookmarkEnd w:id="18"/>
      <w:r>
        <w:fldChar w:fldCharType="begin"/>
      </w:r>
      <w:r>
        <w:instrText xml:space="preserve"> XE </w:instrText>
      </w:r>
      <w:r w:rsidR="00FA7E65">
        <w:instrText>“</w:instrText>
      </w:r>
      <w:r>
        <w:instrText>Security</w:instrText>
      </w:r>
      <w:r w:rsidR="00FA7E65">
        <w:instrText>”</w:instrText>
      </w:r>
      <w:r>
        <w:instrText xml:space="preserve"> </w:instrText>
      </w:r>
      <w:r>
        <w:fldChar w:fldCharType="end"/>
      </w:r>
    </w:p>
    <w:p w14:paraId="3F78EE1E" w14:textId="77777777" w:rsidR="002A21AE" w:rsidRDefault="002A21AE" w:rsidP="00FA7E65">
      <w:pPr>
        <w:pStyle w:val="BodyText"/>
      </w:pPr>
      <w:r>
        <w:rPr>
          <w:i/>
        </w:rPr>
        <w:t>User roles</w:t>
      </w:r>
      <w:r>
        <w:t xml:space="preserve"> identify who can access which functions. Not every VBECS user has access to all VBECS options or functions within options. Two or more arrows (</w:t>
      </w:r>
      <w:r w:rsidRPr="00EC7489">
        <w:rPr>
          <w:rFonts w:ascii="Wingdings 3" w:hAnsi="Wingdings 3" w:cs="Wingdings"/>
        </w:rPr>
        <w:t></w:t>
      </w:r>
      <w:r>
        <w:t>) indicate functions limited to a specific role.</w:t>
      </w:r>
    </w:p>
    <w:p w14:paraId="1D53D628" w14:textId="77777777" w:rsidR="00D93651" w:rsidRPr="00D93651" w:rsidRDefault="00057948" w:rsidP="00D93651">
      <w:pPr>
        <w:pStyle w:val="Caution"/>
      </w:pPr>
      <w:r>
        <w:rPr>
          <w:noProof/>
        </w:rPr>
        <w:drawing>
          <wp:inline distT="0" distB="0" distL="0" distR="0" wp14:anchorId="2A2234B5" wp14:editId="56144BC7">
            <wp:extent cx="267970" cy="221615"/>
            <wp:effectExtent l="0" t="0" r="0" b="6985"/>
            <wp:docPr id="13" name="Picture 1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03FB7">
        <w:t>It is critical that e</w:t>
      </w:r>
      <w:r w:rsidR="00D93651">
        <w:t xml:space="preserve">ach </w:t>
      </w:r>
      <w:r w:rsidR="003C244C">
        <w:t>site</w:t>
      </w:r>
      <w:r w:rsidR="00D93651" w:rsidRPr="00D93651">
        <w:t xml:space="preserve"> </w:t>
      </w:r>
      <w:r w:rsidR="00D93651">
        <w:t xml:space="preserve">evaluate its staff and </w:t>
      </w:r>
      <w:r w:rsidR="00D93651" w:rsidRPr="00D93651">
        <w:t xml:space="preserve">determine </w:t>
      </w:r>
      <w:r w:rsidR="00D93651">
        <w:t xml:space="preserve">appropriate </w:t>
      </w:r>
      <w:r w:rsidR="00D93651" w:rsidRPr="00D93651">
        <w:t>secu</w:t>
      </w:r>
      <w:r w:rsidR="00D93651">
        <w:t>r</w:t>
      </w:r>
      <w:r w:rsidR="00D93651" w:rsidRPr="00D93651">
        <w:t xml:space="preserve">ity </w:t>
      </w:r>
      <w:r w:rsidR="00D93651">
        <w:t>levels</w:t>
      </w:r>
      <w:r w:rsidR="00903FB7">
        <w:t xml:space="preserve"> based on training and qualifications</w:t>
      </w:r>
      <w:r w:rsidR="00D93651" w:rsidRPr="00D93651">
        <w:t>.</w:t>
      </w:r>
    </w:p>
    <w:p w14:paraId="344B8D88" w14:textId="77777777" w:rsidR="002A21AE" w:rsidRDefault="002A21AE" w:rsidP="00FA7E65">
      <w:pPr>
        <w:pStyle w:val="BodyText"/>
      </w:pPr>
      <w:r>
        <w:t xml:space="preserve">User roles also govern which options are available and which warnings can be overridden. </w:t>
      </w:r>
      <w:r>
        <w:rPr>
          <w:vanish/>
        </w:rPr>
        <w:t xml:space="preserve">BR_6.02 </w:t>
      </w:r>
      <w:r>
        <w:t>VBECS displays options that are not available to a user</w:t>
      </w:r>
      <w:r w:rsidR="00494EC6">
        <w:t xml:space="preserve"> in gray text</w:t>
      </w:r>
      <w:r>
        <w:t>.</w:t>
      </w:r>
    </w:p>
    <w:p w14:paraId="51815B71" w14:textId="602F87E4" w:rsidR="00827C1C" w:rsidRDefault="00827C1C" w:rsidP="00827C1C">
      <w:pPr>
        <w:pStyle w:val="BodyText"/>
        <w:rPr>
          <w:snapToGrid w:val="0"/>
        </w:rPr>
      </w:pPr>
      <w:r>
        <w:t>Each of the six user roles is associated with a</w:t>
      </w:r>
      <w:r>
        <w:rPr>
          <w:snapToGrid w:val="0"/>
        </w:rPr>
        <w:t xml:space="preserve"> security level (see </w:t>
      </w:r>
      <w:r w:rsidR="00EE455E">
        <w:t xml:space="preserve">Table </w:t>
      </w:r>
      <w:r w:rsidR="00EE455E">
        <w:rPr>
          <w:noProof/>
        </w:rPr>
        <w:t>1</w:t>
      </w:r>
      <w:r>
        <w:rPr>
          <w:snapToGrid w:val="0"/>
        </w:rPr>
        <w:t xml:space="preserve">). Privileges accumulate as the security level increases. For example, a Lead Technologist’s privileges include those of a Blood Bank Technologist and Enhanced Technologist. </w:t>
      </w:r>
    </w:p>
    <w:p w14:paraId="6A9DF15D" w14:textId="7D1D3292" w:rsidR="00D24746" w:rsidRDefault="00413ECA" w:rsidP="00D24746">
      <w:pPr>
        <w:pStyle w:val="Caption"/>
        <w:tabs>
          <w:tab w:val="left" w:pos="4740"/>
        </w:tabs>
      </w:pPr>
      <w:bookmarkStart w:id="19" w:name="_Ref126468477"/>
      <w:bookmarkStart w:id="20" w:name="_Ref126484343"/>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1</w:t>
      </w:r>
      <w:r w:rsidR="004E20BD">
        <w:rPr>
          <w:noProof/>
        </w:rPr>
        <w:fldChar w:fldCharType="end"/>
      </w:r>
      <w:bookmarkEnd w:id="19"/>
      <w:r>
        <w:t xml:space="preserve">: </w:t>
      </w:r>
      <w:r>
        <w:rPr>
          <w:vanish/>
        </w:rPr>
        <w:t xml:space="preserve">PT_19.01 </w:t>
      </w:r>
      <w:r>
        <w:t>User Roles and Functions</w:t>
      </w:r>
      <w:bookmarkEnd w:id="20"/>
      <w:r w:rsidR="00321988">
        <w:fldChar w:fldCharType="begin"/>
      </w:r>
      <w:r w:rsidR="00321988">
        <w:instrText xml:space="preserve"> XE "Tables:</w:instrText>
      </w:r>
      <w:r w:rsidR="00321988" w:rsidRPr="00B97AF3">
        <w:instrText>User Roles and Functions</w:instrText>
      </w:r>
      <w:r w:rsidR="00321988">
        <w:instrText xml:space="preserve">" </w:instrText>
      </w:r>
      <w:r w:rsidR="00321988">
        <w:fldChar w:fldCharType="end"/>
      </w:r>
    </w:p>
    <w:tbl>
      <w:tblPr>
        <w:tblW w:w="93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607"/>
        <w:gridCol w:w="4431"/>
        <w:gridCol w:w="2322"/>
      </w:tblGrid>
      <w:tr w:rsidR="0028759D" w:rsidRPr="00D25382" w14:paraId="0285F8D3" w14:textId="77777777" w:rsidTr="00D93AB0">
        <w:trPr>
          <w:cantSplit/>
          <w:tblHeader/>
        </w:trPr>
        <w:tc>
          <w:tcPr>
            <w:tcW w:w="2607" w:type="dxa"/>
            <w:shd w:val="clear" w:color="auto" w:fill="B3B3B3"/>
            <w:vAlign w:val="bottom"/>
          </w:tcPr>
          <w:p w14:paraId="350DBF5E" w14:textId="77777777" w:rsidR="0028759D" w:rsidRDefault="0028759D" w:rsidP="0005347A">
            <w:pPr>
              <w:pStyle w:val="TableText"/>
              <w:rPr>
                <w:b/>
              </w:rPr>
            </w:pPr>
            <w:r>
              <w:rPr>
                <w:b/>
              </w:rPr>
              <w:t>Security Levels and User Roles</w:t>
            </w:r>
          </w:p>
        </w:tc>
        <w:tc>
          <w:tcPr>
            <w:tcW w:w="4431" w:type="dxa"/>
            <w:shd w:val="clear" w:color="auto" w:fill="B3B3B3"/>
            <w:vAlign w:val="bottom"/>
          </w:tcPr>
          <w:p w14:paraId="6B734520" w14:textId="77777777" w:rsidR="0028759D" w:rsidRDefault="0028759D" w:rsidP="0005347A">
            <w:pPr>
              <w:pStyle w:val="TableText"/>
              <w:rPr>
                <w:b/>
              </w:rPr>
            </w:pPr>
            <w:r>
              <w:rPr>
                <w:b/>
              </w:rPr>
              <w:t>Accessible Functions</w:t>
            </w:r>
          </w:p>
        </w:tc>
        <w:tc>
          <w:tcPr>
            <w:tcW w:w="2322" w:type="dxa"/>
            <w:shd w:val="clear" w:color="auto" w:fill="B3B3B3"/>
            <w:vAlign w:val="bottom"/>
          </w:tcPr>
          <w:p w14:paraId="402FBD82" w14:textId="77777777" w:rsidR="0028759D" w:rsidRPr="00D25382" w:rsidRDefault="0028759D" w:rsidP="0005347A">
            <w:pPr>
              <w:pStyle w:val="TableText"/>
              <w:rPr>
                <w:b/>
              </w:rPr>
            </w:pPr>
            <w:r w:rsidRPr="00D25382">
              <w:rPr>
                <w:b/>
              </w:rPr>
              <w:t>Who Should Fill These Roles?</w:t>
            </w:r>
          </w:p>
        </w:tc>
      </w:tr>
      <w:tr w:rsidR="0028759D" w14:paraId="0681040E" w14:textId="77777777" w:rsidTr="00D93AB0">
        <w:trPr>
          <w:cantSplit/>
        </w:trPr>
        <w:tc>
          <w:tcPr>
            <w:tcW w:w="2607" w:type="dxa"/>
            <w:vAlign w:val="center"/>
          </w:tcPr>
          <w:p w14:paraId="68A76CE6" w14:textId="77777777" w:rsidR="0028759D" w:rsidRDefault="0028759D" w:rsidP="0005347A">
            <w:pPr>
              <w:pStyle w:val="TableText"/>
            </w:pPr>
            <w:r>
              <w:t>Level 1: Blood Bank Technologist (all users)</w:t>
            </w:r>
          </w:p>
        </w:tc>
        <w:tc>
          <w:tcPr>
            <w:tcW w:w="4431" w:type="dxa"/>
          </w:tcPr>
          <w:p w14:paraId="7A09A0E0" w14:textId="77777777" w:rsidR="0028759D" w:rsidRDefault="0028759D" w:rsidP="0005347A">
            <w:pPr>
              <w:pStyle w:val="TableTextBullet"/>
            </w:pPr>
            <w:r>
              <w:t>Standard access:</w:t>
            </w:r>
          </w:p>
          <w:p w14:paraId="5E6DA2BD" w14:textId="77777777" w:rsidR="0028759D" w:rsidRDefault="0028759D" w:rsidP="00C63FA9">
            <w:pPr>
              <w:pStyle w:val="TableTextBullet"/>
              <w:numPr>
                <w:ilvl w:val="1"/>
                <w:numId w:val="12"/>
              </w:numPr>
              <w:tabs>
                <w:tab w:val="clear" w:pos="1440"/>
              </w:tabs>
              <w:ind w:left="616"/>
            </w:pPr>
            <w:r>
              <w:t>patient and donor testing</w:t>
            </w:r>
          </w:p>
          <w:p w14:paraId="2F09261F" w14:textId="77777777" w:rsidR="0028759D" w:rsidRDefault="0028759D" w:rsidP="00C63FA9">
            <w:pPr>
              <w:pStyle w:val="TableTextBullet"/>
              <w:numPr>
                <w:ilvl w:val="1"/>
                <w:numId w:val="12"/>
              </w:numPr>
              <w:tabs>
                <w:tab w:val="clear" w:pos="1440"/>
              </w:tabs>
              <w:ind w:left="616"/>
            </w:pPr>
            <w:r>
              <w:t>accepting and canceling orders</w:t>
            </w:r>
          </w:p>
          <w:p w14:paraId="0D08379A" w14:textId="77777777" w:rsidR="0028759D" w:rsidRDefault="0028759D" w:rsidP="00C63FA9">
            <w:pPr>
              <w:pStyle w:val="TableTextBullet"/>
              <w:numPr>
                <w:ilvl w:val="1"/>
                <w:numId w:val="12"/>
              </w:numPr>
              <w:tabs>
                <w:tab w:val="clear" w:pos="1440"/>
              </w:tabs>
              <w:ind w:left="616"/>
            </w:pPr>
            <w:r>
              <w:t>modifying units</w:t>
            </w:r>
          </w:p>
          <w:p w14:paraId="0F49B53D" w14:textId="77777777" w:rsidR="0028759D" w:rsidRDefault="0028759D" w:rsidP="00C63FA9">
            <w:pPr>
              <w:pStyle w:val="TableTextBullet"/>
              <w:numPr>
                <w:ilvl w:val="1"/>
                <w:numId w:val="12"/>
              </w:numPr>
              <w:tabs>
                <w:tab w:val="clear" w:pos="1440"/>
              </w:tabs>
              <w:ind w:left="616"/>
            </w:pPr>
            <w:r>
              <w:t>processing shipments</w:t>
            </w:r>
          </w:p>
          <w:p w14:paraId="19BA91AC" w14:textId="77777777" w:rsidR="0028759D" w:rsidRDefault="0028759D" w:rsidP="00C63FA9">
            <w:pPr>
              <w:pStyle w:val="TableTextBullet"/>
              <w:numPr>
                <w:ilvl w:val="1"/>
                <w:numId w:val="12"/>
              </w:numPr>
              <w:tabs>
                <w:tab w:val="clear" w:pos="1440"/>
              </w:tabs>
              <w:ind w:left="616"/>
            </w:pPr>
            <w:r>
              <w:t>selecting and issuing blood that does not require higher level overrides</w:t>
            </w:r>
          </w:p>
          <w:p w14:paraId="257322EA" w14:textId="77777777" w:rsidR="0028759D" w:rsidRDefault="0028759D" w:rsidP="00C63FA9">
            <w:pPr>
              <w:pStyle w:val="TableTextBullet"/>
              <w:numPr>
                <w:ilvl w:val="1"/>
                <w:numId w:val="12"/>
              </w:numPr>
              <w:tabs>
                <w:tab w:val="clear" w:pos="1440"/>
              </w:tabs>
              <w:ind w:left="616"/>
            </w:pPr>
            <w:r>
              <w:t>processing transfusion reaction workups</w:t>
            </w:r>
          </w:p>
          <w:p w14:paraId="4D0F4406" w14:textId="77777777" w:rsidR="0028759D" w:rsidRDefault="0028759D" w:rsidP="00C63FA9">
            <w:pPr>
              <w:pStyle w:val="TableTextBullet"/>
              <w:numPr>
                <w:ilvl w:val="1"/>
                <w:numId w:val="12"/>
              </w:numPr>
              <w:tabs>
                <w:tab w:val="clear" w:pos="1440"/>
              </w:tabs>
              <w:ind w:left="616"/>
            </w:pPr>
            <w:r>
              <w:t>add patient’s transfusion requirements</w:t>
            </w:r>
          </w:p>
          <w:p w14:paraId="5DB16BED" w14:textId="77777777" w:rsidR="0028759D" w:rsidRDefault="0028759D" w:rsidP="00C63FA9">
            <w:pPr>
              <w:pStyle w:val="TableTextBullet"/>
              <w:numPr>
                <w:ilvl w:val="1"/>
                <w:numId w:val="12"/>
              </w:numPr>
              <w:tabs>
                <w:tab w:val="clear" w:pos="1440"/>
              </w:tabs>
              <w:ind w:left="616"/>
            </w:pPr>
            <w:r>
              <w:t>accessing report functions</w:t>
            </w:r>
          </w:p>
          <w:p w14:paraId="7A864374" w14:textId="77777777" w:rsidR="0028759D" w:rsidRDefault="0028759D" w:rsidP="00C63FA9">
            <w:pPr>
              <w:pStyle w:val="TableTextBullet"/>
              <w:numPr>
                <w:ilvl w:val="1"/>
                <w:numId w:val="12"/>
              </w:numPr>
              <w:tabs>
                <w:tab w:val="clear" w:pos="1440"/>
              </w:tabs>
              <w:ind w:left="616"/>
            </w:pPr>
            <w:r>
              <w:t>enter daily QC results</w:t>
            </w:r>
          </w:p>
          <w:p w14:paraId="0BD6A99D" w14:textId="77777777" w:rsidR="0028759D" w:rsidRDefault="0028759D" w:rsidP="00C63FA9">
            <w:pPr>
              <w:pStyle w:val="TableTextBullet"/>
              <w:numPr>
                <w:ilvl w:val="1"/>
                <w:numId w:val="12"/>
              </w:numPr>
              <w:tabs>
                <w:tab w:val="clear" w:pos="1440"/>
              </w:tabs>
              <w:ind w:left="616"/>
            </w:pPr>
            <w:r>
              <w:t>discard/quarantine blood units</w:t>
            </w:r>
          </w:p>
          <w:p w14:paraId="453591E0" w14:textId="77777777" w:rsidR="0028759D" w:rsidRDefault="0028759D" w:rsidP="00C63FA9">
            <w:pPr>
              <w:pStyle w:val="TableTextBullet"/>
              <w:numPr>
                <w:ilvl w:val="1"/>
                <w:numId w:val="12"/>
              </w:numPr>
              <w:tabs>
                <w:tab w:val="clear" w:pos="1440"/>
              </w:tabs>
              <w:ind w:left="616"/>
            </w:pPr>
            <w:r>
              <w:t>release units from patient assignment</w:t>
            </w:r>
          </w:p>
          <w:p w14:paraId="332A0DCD" w14:textId="77777777" w:rsidR="0028759D" w:rsidRDefault="0028759D" w:rsidP="00C63FA9">
            <w:pPr>
              <w:pStyle w:val="TableTextBullet"/>
              <w:numPr>
                <w:ilvl w:val="1"/>
                <w:numId w:val="12"/>
              </w:numPr>
              <w:tabs>
                <w:tab w:val="clear" w:pos="1440"/>
              </w:tabs>
              <w:ind w:left="616"/>
            </w:pPr>
            <w:r>
              <w:t>return issued units to blood bank</w:t>
            </w:r>
          </w:p>
          <w:p w14:paraId="6F6039A0" w14:textId="77777777" w:rsidR="0028759D" w:rsidRDefault="0028759D" w:rsidP="0005347A">
            <w:pPr>
              <w:pStyle w:val="TableTextBullet"/>
            </w:pPr>
            <w:r>
              <w:t>Activate/edit some shipper information.</w:t>
            </w:r>
          </w:p>
          <w:p w14:paraId="598FAC41" w14:textId="77777777" w:rsidR="0028759D" w:rsidRDefault="0028759D" w:rsidP="0005347A">
            <w:pPr>
              <w:pStyle w:val="TableTextBullet"/>
            </w:pPr>
            <w:r>
              <w:t>Activate/edit some blood product information.</w:t>
            </w:r>
          </w:p>
        </w:tc>
        <w:tc>
          <w:tcPr>
            <w:tcW w:w="2322" w:type="dxa"/>
            <w:vAlign w:val="center"/>
          </w:tcPr>
          <w:p w14:paraId="77D020A3" w14:textId="77777777" w:rsidR="0028759D" w:rsidRDefault="0028759D" w:rsidP="0005347A">
            <w:pPr>
              <w:pStyle w:val="TableText"/>
            </w:pPr>
            <w:r>
              <w:t>Rotating technologists, n</w:t>
            </w:r>
            <w:r w:rsidRPr="003738EE">
              <w:t>ew employees</w:t>
            </w:r>
            <w:r>
              <w:t>,</w:t>
            </w:r>
            <w:r w:rsidRPr="003738EE">
              <w:t xml:space="preserve"> and </w:t>
            </w:r>
            <w:r>
              <w:t>s</w:t>
            </w:r>
            <w:r w:rsidRPr="003738EE">
              <w:t xml:space="preserve">tudents </w:t>
            </w:r>
            <w:r>
              <w:t>trained</w:t>
            </w:r>
            <w:r w:rsidRPr="003738EE">
              <w:t xml:space="preserve"> to perform </w:t>
            </w:r>
            <w:r>
              <w:t xml:space="preserve">associated tasks and </w:t>
            </w:r>
            <w:r w:rsidRPr="003738EE">
              <w:t>overrides</w:t>
            </w:r>
            <w:r>
              <w:t>.</w:t>
            </w:r>
          </w:p>
        </w:tc>
      </w:tr>
      <w:tr w:rsidR="0028759D" w14:paraId="1A904010" w14:textId="77777777" w:rsidTr="00D93AB0">
        <w:trPr>
          <w:cantSplit/>
        </w:trPr>
        <w:tc>
          <w:tcPr>
            <w:tcW w:w="2607" w:type="dxa"/>
            <w:vAlign w:val="center"/>
          </w:tcPr>
          <w:p w14:paraId="1E8543DC" w14:textId="120035A6" w:rsidR="0028759D" w:rsidRDefault="0028759D" w:rsidP="0005347A">
            <w:pPr>
              <w:pStyle w:val="TableText"/>
            </w:pPr>
            <w:bookmarkStart w:id="21" w:name="OLE_LINK1"/>
            <w:bookmarkStart w:id="22" w:name="OLE_LINK2"/>
            <w:r w:rsidRPr="00EC7489">
              <w:rPr>
                <w:rFonts w:ascii="Wingdings 3" w:hAnsi="Wingdings 3" w:cs="Wingdings"/>
              </w:rPr>
              <w:t></w:t>
            </w:r>
            <w:r w:rsidRPr="00EC7489">
              <w:rPr>
                <w:rFonts w:ascii="Wingdings 3" w:hAnsi="Wingdings 3" w:cs="Wingdings"/>
              </w:rPr>
              <w:t></w:t>
            </w:r>
            <w:r>
              <w:t xml:space="preserve"> </w:t>
            </w:r>
            <w:bookmarkEnd w:id="21"/>
            <w:bookmarkEnd w:id="22"/>
            <w:r>
              <w:t>Level 2: Enhanced Technologist</w:t>
            </w:r>
          </w:p>
        </w:tc>
        <w:tc>
          <w:tcPr>
            <w:tcW w:w="4431" w:type="dxa"/>
          </w:tcPr>
          <w:p w14:paraId="7989204A" w14:textId="77777777" w:rsidR="0028759D" w:rsidRDefault="0028759D" w:rsidP="0005347A">
            <w:pPr>
              <w:pStyle w:val="TableTextBullet"/>
            </w:pPr>
            <w:r>
              <w:t>Edit unit cost.</w:t>
            </w:r>
          </w:p>
          <w:p w14:paraId="1CA8C121" w14:textId="77777777" w:rsidR="0028759D" w:rsidRDefault="0028759D" w:rsidP="0005347A">
            <w:pPr>
              <w:pStyle w:val="TableTextBullet"/>
            </w:pPr>
            <w:r>
              <w:t>Modify/issue expired blood products.</w:t>
            </w:r>
          </w:p>
          <w:p w14:paraId="1105C76A" w14:textId="77777777" w:rsidR="0028759D" w:rsidRDefault="0028759D" w:rsidP="0005347A">
            <w:pPr>
              <w:pStyle w:val="TableTextBullet"/>
            </w:pPr>
            <w:r>
              <w:t>Release blood products from quarantine.</w:t>
            </w:r>
          </w:p>
          <w:p w14:paraId="25BFD85E" w14:textId="77777777" w:rsidR="0028759D" w:rsidRDefault="0028759D" w:rsidP="0005347A">
            <w:pPr>
              <w:pStyle w:val="TableTextBullet"/>
            </w:pPr>
            <w:r>
              <w:t xml:space="preserve">Edit unit information prior to defining patient associations. </w:t>
            </w:r>
          </w:p>
          <w:p w14:paraId="4BDC6417" w14:textId="77777777" w:rsidR="0028759D" w:rsidRDefault="0028759D" w:rsidP="0005347A">
            <w:pPr>
              <w:pStyle w:val="TableTextBullet"/>
            </w:pPr>
            <w:r>
              <w:t>Edit verified unit confirmation testing.</w:t>
            </w:r>
          </w:p>
          <w:p w14:paraId="60F8AD4E" w14:textId="77777777" w:rsidR="0028759D" w:rsidRDefault="0028759D" w:rsidP="0005347A">
            <w:pPr>
              <w:pStyle w:val="TableTextBullet"/>
            </w:pPr>
            <w:r>
              <w:t xml:space="preserve">Edit patient record/verified data and test results (except the ABO/Rh for historic record and the antibody field, which results in an antigen negative requirement). </w:t>
            </w:r>
          </w:p>
          <w:p w14:paraId="3F1D7934" w14:textId="77777777" w:rsidR="0028759D" w:rsidRDefault="0028759D" w:rsidP="0005347A">
            <w:pPr>
              <w:pStyle w:val="TableTextBullet"/>
            </w:pPr>
            <w:r>
              <w:t>Release directed units to the main blood supply.</w:t>
            </w:r>
          </w:p>
        </w:tc>
        <w:tc>
          <w:tcPr>
            <w:tcW w:w="2322" w:type="dxa"/>
            <w:vAlign w:val="center"/>
          </w:tcPr>
          <w:p w14:paraId="68BFA0FF" w14:textId="77777777" w:rsidR="0028759D" w:rsidRDefault="0028759D" w:rsidP="0005347A">
            <w:pPr>
              <w:pStyle w:val="TableText"/>
            </w:pPr>
            <w:r>
              <w:rPr>
                <w:szCs w:val="20"/>
              </w:rPr>
              <w:t>Experienced t</w:t>
            </w:r>
            <w:r>
              <w:t>echnologists trained to process associated overrides and options.</w:t>
            </w:r>
          </w:p>
        </w:tc>
      </w:tr>
      <w:tr w:rsidR="0028759D" w:rsidRPr="005D0D6B" w14:paraId="53890470" w14:textId="77777777" w:rsidTr="00D93AB0">
        <w:trPr>
          <w:cantSplit/>
        </w:trPr>
        <w:tc>
          <w:tcPr>
            <w:tcW w:w="2607" w:type="dxa"/>
            <w:vAlign w:val="center"/>
          </w:tcPr>
          <w:p w14:paraId="2AF66F18"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3: Lead Technologist</w:t>
            </w:r>
          </w:p>
        </w:tc>
        <w:tc>
          <w:tcPr>
            <w:tcW w:w="4431" w:type="dxa"/>
          </w:tcPr>
          <w:p w14:paraId="4B10B7EC" w14:textId="77777777" w:rsidR="0028759D" w:rsidRDefault="0028759D" w:rsidP="0005347A">
            <w:pPr>
              <w:pStyle w:val="TableTextBullet"/>
              <w:rPr>
                <w:rFonts w:cs="Arial"/>
                <w:szCs w:val="16"/>
              </w:rPr>
            </w:pPr>
            <w:r>
              <w:rPr>
                <w:rFonts w:cs="Arial"/>
                <w:szCs w:val="16"/>
              </w:rPr>
              <w:t>Select/issue ABO incompatible blood.</w:t>
            </w:r>
          </w:p>
          <w:p w14:paraId="5B6CA828" w14:textId="77777777" w:rsidR="0028759D" w:rsidRDefault="0028759D" w:rsidP="0005347A">
            <w:pPr>
              <w:pStyle w:val="TableTextBullet"/>
              <w:rPr>
                <w:rFonts w:cs="Arial"/>
                <w:szCs w:val="16"/>
              </w:rPr>
            </w:pPr>
            <w:r>
              <w:t>Select/issue antigen positive or untyped red blood cells (for the clinically significant antibodies in the table).</w:t>
            </w:r>
          </w:p>
          <w:p w14:paraId="727BF50C" w14:textId="77777777" w:rsidR="0028759D" w:rsidRDefault="0028759D" w:rsidP="0005347A">
            <w:pPr>
              <w:pStyle w:val="TableTextBullet"/>
              <w:rPr>
                <w:rFonts w:cs="Arial"/>
                <w:szCs w:val="16"/>
              </w:rPr>
            </w:pPr>
            <w:r>
              <w:rPr>
                <w:rFonts w:cs="Arial"/>
                <w:szCs w:val="16"/>
              </w:rPr>
              <w:t>Maintain login message.</w:t>
            </w:r>
          </w:p>
        </w:tc>
        <w:tc>
          <w:tcPr>
            <w:tcW w:w="2322" w:type="dxa"/>
            <w:vAlign w:val="center"/>
          </w:tcPr>
          <w:p w14:paraId="1874CA7E" w14:textId="77777777" w:rsidR="0028759D" w:rsidRPr="005D0D6B" w:rsidRDefault="0028759D" w:rsidP="0005347A">
            <w:pPr>
              <w:pStyle w:val="TableText"/>
            </w:pPr>
            <w:r>
              <w:t>Experienced technologists trained to process associated overrides and options (e.g., evening- or night-shift supervisors).</w:t>
            </w:r>
          </w:p>
        </w:tc>
      </w:tr>
      <w:tr w:rsidR="0028759D" w:rsidRPr="005D0D6B" w14:paraId="23D2851D" w14:textId="77777777" w:rsidTr="00D93AB0">
        <w:trPr>
          <w:cantSplit/>
        </w:trPr>
        <w:tc>
          <w:tcPr>
            <w:tcW w:w="2607" w:type="dxa"/>
            <w:vAlign w:val="center"/>
          </w:tcPr>
          <w:p w14:paraId="4A7C0D29"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4: Traditional Supervisor</w:t>
            </w:r>
          </w:p>
        </w:tc>
        <w:tc>
          <w:tcPr>
            <w:tcW w:w="4431" w:type="dxa"/>
            <w:vAlign w:val="bottom"/>
          </w:tcPr>
          <w:p w14:paraId="1411BAE2" w14:textId="77777777" w:rsidR="0028759D" w:rsidRDefault="0028759D" w:rsidP="00421203">
            <w:pPr>
              <w:pStyle w:val="TableTextBullet"/>
            </w:pPr>
            <w:r>
              <w:t>Maintain reagent minimum levels.</w:t>
            </w:r>
          </w:p>
          <w:p w14:paraId="073B338A" w14:textId="77777777" w:rsidR="0028759D" w:rsidRDefault="0028759D" w:rsidP="00421203">
            <w:pPr>
              <w:pStyle w:val="TableTextBullet"/>
            </w:pPr>
            <w:r>
              <w:t>Edit permanent record of the patient’s historic ABO/Rh.</w:t>
            </w:r>
          </w:p>
          <w:p w14:paraId="0534FAE5" w14:textId="77777777" w:rsidR="0028759D" w:rsidRDefault="0028759D" w:rsidP="00421203">
            <w:pPr>
              <w:pStyle w:val="TableTextBullet"/>
            </w:pPr>
            <w:r>
              <w:t>Edit Transfusion Requirements (TRs) and Special Instructions (SIs).</w:t>
            </w:r>
          </w:p>
          <w:p w14:paraId="5C89DAC9" w14:textId="77777777" w:rsidR="0028759D" w:rsidRDefault="0028759D" w:rsidP="00421203">
            <w:pPr>
              <w:pStyle w:val="TableTextBullet"/>
            </w:pPr>
            <w:r>
              <w:t>Edit patient record red cell antibody permanent fields (match antigens in the antigen table).</w:t>
            </w:r>
          </w:p>
          <w:p w14:paraId="2F9B48AE" w14:textId="77777777" w:rsidR="0028759D" w:rsidRDefault="0028759D" w:rsidP="00421203">
            <w:pPr>
              <w:pStyle w:val="TableTextBullet"/>
              <w:rPr>
                <w:rFonts w:cs="Arial"/>
                <w:szCs w:val="16"/>
              </w:rPr>
            </w:pPr>
            <w:r>
              <w:rPr>
                <w:rFonts w:cs="Arial"/>
                <w:szCs w:val="16"/>
              </w:rPr>
              <w:t>Edit a blood unit’s record (</w:t>
            </w:r>
            <w:r>
              <w:t>verified unit data when unit has any previous patient associations</w:t>
            </w:r>
            <w:r>
              <w:rPr>
                <w:rFonts w:cs="Arial"/>
                <w:szCs w:val="16"/>
              </w:rPr>
              <w:t>).</w:t>
            </w:r>
          </w:p>
          <w:p w14:paraId="7340181F" w14:textId="77777777" w:rsidR="0028759D" w:rsidRDefault="0028759D" w:rsidP="00421203">
            <w:pPr>
              <w:pStyle w:val="TableTextBullet"/>
            </w:pPr>
            <w:r>
              <w:t>Edit a Patient’s Transfusion Record.</w:t>
            </w:r>
          </w:p>
          <w:p w14:paraId="2981AD4C" w14:textId="77777777" w:rsidR="0028759D" w:rsidRDefault="0028759D" w:rsidP="00421203">
            <w:pPr>
              <w:pStyle w:val="TableTextBullet"/>
            </w:pPr>
            <w:r>
              <w:t>Remove a Blood Unit’s Final Status.</w:t>
            </w:r>
          </w:p>
          <w:p w14:paraId="7CEA4017" w14:textId="060F97D1" w:rsidR="00421203" w:rsidRDefault="00421203" w:rsidP="00421203">
            <w:pPr>
              <w:pStyle w:val="TableTextBullet"/>
            </w:pPr>
            <w:r w:rsidRPr="00EC209A">
              <w:t>Edit a blood product’s maximum storage time.</w:t>
            </w:r>
          </w:p>
        </w:tc>
        <w:tc>
          <w:tcPr>
            <w:tcW w:w="2322" w:type="dxa"/>
            <w:vAlign w:val="center"/>
          </w:tcPr>
          <w:p w14:paraId="41A9A2AC" w14:textId="77777777" w:rsidR="0028759D" w:rsidRPr="005D0D6B" w:rsidRDefault="0028759D" w:rsidP="0005347A">
            <w:pPr>
              <w:pStyle w:val="TableText"/>
            </w:pPr>
            <w:r>
              <w:rPr>
                <w:szCs w:val="20"/>
              </w:rPr>
              <w:t>Experienced b</w:t>
            </w:r>
            <w:r>
              <w:t>lood bank supervisors trained to process associated overrides and options</w:t>
            </w:r>
          </w:p>
        </w:tc>
      </w:tr>
      <w:tr w:rsidR="0028759D" w14:paraId="6B451824" w14:textId="77777777" w:rsidTr="00D93AB0">
        <w:trPr>
          <w:cantSplit/>
        </w:trPr>
        <w:tc>
          <w:tcPr>
            <w:tcW w:w="2607" w:type="dxa"/>
            <w:vAlign w:val="center"/>
          </w:tcPr>
          <w:p w14:paraId="5E498133"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5: Enhanced Supervisor</w:t>
            </w:r>
          </w:p>
        </w:tc>
        <w:tc>
          <w:tcPr>
            <w:tcW w:w="4431" w:type="dxa"/>
            <w:vAlign w:val="bottom"/>
          </w:tcPr>
          <w:p w14:paraId="44EE6F4C" w14:textId="77777777" w:rsidR="0028759D" w:rsidRDefault="0028759D" w:rsidP="0005347A">
            <w:pPr>
              <w:pStyle w:val="TableTextBullet"/>
            </w:pPr>
            <w:r>
              <w:t>Edit antigen frequency table to reflect local population.</w:t>
            </w:r>
          </w:p>
          <w:p w14:paraId="0A30946C" w14:textId="4D190E3D" w:rsidR="0028759D" w:rsidRDefault="0028759D" w:rsidP="0005347A">
            <w:pPr>
              <w:pStyle w:val="TableTextBullet"/>
            </w:pPr>
            <w:r>
              <w:t xml:space="preserve">Add new local </w:t>
            </w:r>
            <w:r w:rsidR="0051536B">
              <w:t>facility</w:t>
            </w:r>
            <w:r>
              <w:t>, not already on the table issued with VBECS.</w:t>
            </w:r>
          </w:p>
          <w:p w14:paraId="04BAB699" w14:textId="77777777" w:rsidR="0028759D" w:rsidRDefault="0028759D" w:rsidP="0005347A">
            <w:pPr>
              <w:pStyle w:val="TableTextBullet"/>
              <w:rPr>
                <w:rFonts w:cs="Arial"/>
              </w:rPr>
            </w:pPr>
            <w:r>
              <w:t>Edit and create canned comments for the division.</w:t>
            </w:r>
          </w:p>
          <w:p w14:paraId="09FBCA60" w14:textId="77777777" w:rsidR="0028759D" w:rsidRDefault="0028759D" w:rsidP="0005347A">
            <w:pPr>
              <w:pStyle w:val="TableTextBullet"/>
              <w:rPr>
                <w:rFonts w:cs="Arial"/>
              </w:rPr>
            </w:pPr>
            <w:r>
              <w:t>Edit and create consultative reports, templates, MSBOS, reagents, and equipment maintenance logs for the division.</w:t>
            </w:r>
          </w:p>
        </w:tc>
        <w:tc>
          <w:tcPr>
            <w:tcW w:w="2322" w:type="dxa"/>
            <w:vAlign w:val="center"/>
          </w:tcPr>
          <w:p w14:paraId="1B8F8098" w14:textId="77777777" w:rsidR="0028759D" w:rsidRDefault="0028759D" w:rsidP="0005347A">
            <w:pPr>
              <w:pStyle w:val="TableText"/>
            </w:pPr>
            <w:r>
              <w:rPr>
                <w:szCs w:val="20"/>
              </w:rPr>
              <w:t>Experienced b</w:t>
            </w:r>
            <w:r>
              <w:t>lood bank supervisors or VBECS administrators trained to process associated overrides and options</w:t>
            </w:r>
          </w:p>
        </w:tc>
      </w:tr>
      <w:tr w:rsidR="0028759D" w14:paraId="55C9C872" w14:textId="77777777" w:rsidTr="00D93AB0">
        <w:trPr>
          <w:cantSplit/>
        </w:trPr>
        <w:tc>
          <w:tcPr>
            <w:tcW w:w="2607" w:type="dxa"/>
            <w:vAlign w:val="center"/>
          </w:tcPr>
          <w:p w14:paraId="54BBFD83" w14:textId="77777777" w:rsidR="0028759D" w:rsidRDefault="0028759D" w:rsidP="0005347A">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Level 6: Administrator/Supervisor </w:t>
            </w:r>
          </w:p>
        </w:tc>
        <w:tc>
          <w:tcPr>
            <w:tcW w:w="4431" w:type="dxa"/>
            <w:vAlign w:val="bottom"/>
          </w:tcPr>
          <w:p w14:paraId="4AF95BBD" w14:textId="77777777" w:rsidR="0028759D" w:rsidRDefault="0028759D" w:rsidP="0005347A">
            <w:pPr>
              <w:pStyle w:val="TableTextBullet"/>
            </w:pPr>
            <w:r>
              <w:t xml:space="preserve">Define VBECS users’ security settings. </w:t>
            </w:r>
          </w:p>
          <w:p w14:paraId="5B4130A2" w14:textId="77777777" w:rsidR="0028759D" w:rsidRDefault="0028759D" w:rsidP="0005347A">
            <w:pPr>
              <w:pStyle w:val="TableTextBullet"/>
            </w:pPr>
            <w:r>
              <w:t>Define the division as full service or transfusion only.</w:t>
            </w:r>
          </w:p>
          <w:p w14:paraId="6EF3A1EC" w14:textId="77777777" w:rsidR="0028759D" w:rsidRDefault="0028759D" w:rsidP="0005347A">
            <w:pPr>
              <w:pStyle w:val="TableTextBullet"/>
            </w:pPr>
            <w:r>
              <w:t xml:space="preserve">Enable electronic crossmatch at the division. </w:t>
            </w:r>
          </w:p>
          <w:p w14:paraId="1397CA3B" w14:textId="77777777" w:rsidR="0028759D" w:rsidRDefault="0028759D" w:rsidP="0005347A">
            <w:pPr>
              <w:pStyle w:val="TableTextBullet"/>
            </w:pPr>
            <w:r>
              <w:t>Populate International Council for Commonality in Blood Banking Automation, Inc. (ICCBBA) number for the division.</w:t>
            </w:r>
          </w:p>
          <w:p w14:paraId="4135F7B3" w14:textId="77777777" w:rsidR="0028759D" w:rsidRDefault="0028759D" w:rsidP="0005347A">
            <w:pPr>
              <w:pStyle w:val="TableTextBullet"/>
            </w:pPr>
            <w:r>
              <w:t>Define valid unit modifications for the division.</w:t>
            </w:r>
          </w:p>
          <w:p w14:paraId="4E6C65B1" w14:textId="77777777" w:rsidR="0028759D" w:rsidRDefault="0028759D" w:rsidP="0005347A">
            <w:pPr>
              <w:pStyle w:val="TableTextBullet"/>
            </w:pPr>
            <w:r>
              <w:t>Assign workload codes for the division.</w:t>
            </w:r>
          </w:p>
          <w:p w14:paraId="2F862512" w14:textId="77777777" w:rsidR="0028759D" w:rsidRDefault="0028759D" w:rsidP="0005347A">
            <w:pPr>
              <w:pStyle w:val="TableTextBullet"/>
            </w:pPr>
            <w:r>
              <w:t>Configure testing.</w:t>
            </w:r>
          </w:p>
          <w:p w14:paraId="48490159" w14:textId="77777777" w:rsidR="0028759D" w:rsidRDefault="0028759D" w:rsidP="0005347A">
            <w:pPr>
              <w:pStyle w:val="TableTextBullet"/>
              <w:rPr>
                <w:rFonts w:cs="Arial"/>
                <w:color w:val="000000"/>
              </w:rPr>
            </w:pPr>
            <w:r>
              <w:t>Configure division.</w:t>
            </w:r>
          </w:p>
        </w:tc>
        <w:tc>
          <w:tcPr>
            <w:tcW w:w="2322" w:type="dxa"/>
            <w:vAlign w:val="center"/>
          </w:tcPr>
          <w:p w14:paraId="33C59D0F" w14:textId="77777777" w:rsidR="0028759D" w:rsidRDefault="0028759D" w:rsidP="0005347A">
            <w:pPr>
              <w:pStyle w:val="TableText"/>
            </w:pPr>
            <w:r>
              <w:t>VBECS administrators trained to process all overrides and options</w:t>
            </w:r>
            <w:r>
              <w:rPr>
                <w:szCs w:val="20"/>
              </w:rPr>
              <w:t xml:space="preserve"> not designed to change frequently</w:t>
            </w:r>
            <w:r>
              <w:t xml:space="preserve">. This role may be assigned temporarily to a blood bank supervisor at setup to configure the division. </w:t>
            </w:r>
          </w:p>
          <w:p w14:paraId="3F27073D" w14:textId="77777777" w:rsidR="0028759D" w:rsidRDefault="0028759D" w:rsidP="0005347A">
            <w:pPr>
              <w:pStyle w:val="TableText"/>
            </w:pPr>
          </w:p>
          <w:p w14:paraId="574D913D" w14:textId="77777777" w:rsidR="0028759D" w:rsidRDefault="0028759D" w:rsidP="0005347A">
            <w:pPr>
              <w:pStyle w:val="TableText"/>
            </w:pPr>
          </w:p>
        </w:tc>
      </w:tr>
    </w:tbl>
    <w:p w14:paraId="27E667F9" w14:textId="7CBB7784" w:rsidR="00770D97" w:rsidRPr="00C63FA9" w:rsidRDefault="002A21AE" w:rsidP="00D93AB0">
      <w:pPr>
        <w:pStyle w:val="BodyText"/>
        <w:keepNext/>
      </w:pPr>
      <w:r>
        <w:t>The VA Wide Area Network (WAN) is protected from unauthorized access.</w:t>
      </w:r>
      <w:r w:rsidR="00467CDF">
        <w:t xml:space="preserve"> </w:t>
      </w:r>
      <w:r>
        <w:t xml:space="preserve"> The hardware running the VBECS application and its database </w:t>
      </w:r>
      <w:r w:rsidR="004D0A70">
        <w:t>are</w:t>
      </w:r>
      <w:r>
        <w:t xml:space="preserve"> </w:t>
      </w:r>
      <w:r w:rsidR="004C5C76">
        <w:t xml:space="preserve">located in </w:t>
      </w:r>
      <w:r w:rsidR="00770D97">
        <w:t xml:space="preserve">one of three </w:t>
      </w:r>
      <w:r w:rsidR="004C5C76">
        <w:t xml:space="preserve">Microsoft Azure for Government (MAG) </w:t>
      </w:r>
      <w:r w:rsidR="00770D97" w:rsidRPr="00C63FA9">
        <w:t>r</w:t>
      </w:r>
      <w:r w:rsidR="004C5C76" w:rsidRPr="00C63FA9">
        <w:t>egion</w:t>
      </w:r>
      <w:r w:rsidR="00770D97" w:rsidRPr="00C63FA9">
        <w:t>al data centers:</w:t>
      </w:r>
    </w:p>
    <w:p w14:paraId="6A603AF1" w14:textId="77777777" w:rsidR="00770D97" w:rsidRPr="00C63FA9" w:rsidRDefault="00770D97" w:rsidP="00D93AB0">
      <w:pPr>
        <w:pStyle w:val="TableTextBullet"/>
        <w:keepNext/>
        <w:rPr>
          <w:rFonts w:ascii="Times New Roman" w:hAnsi="Times New Roman"/>
          <w:sz w:val="22"/>
          <w:szCs w:val="22"/>
        </w:rPr>
      </w:pPr>
      <w:r w:rsidRPr="00C63FA9">
        <w:rPr>
          <w:rFonts w:ascii="Times New Roman" w:hAnsi="Times New Roman"/>
          <w:sz w:val="22"/>
          <w:szCs w:val="22"/>
        </w:rPr>
        <w:t>EAST (Virginia)</w:t>
      </w:r>
    </w:p>
    <w:p w14:paraId="39BC0FB0" w14:textId="77777777" w:rsidR="00770D97" w:rsidRPr="00C63FA9" w:rsidRDefault="00770D97" w:rsidP="00D93AB0">
      <w:pPr>
        <w:pStyle w:val="TableTextBullet"/>
        <w:keepNext/>
        <w:rPr>
          <w:rFonts w:ascii="Times New Roman" w:hAnsi="Times New Roman"/>
          <w:sz w:val="22"/>
          <w:szCs w:val="22"/>
        </w:rPr>
      </w:pPr>
      <w:r w:rsidRPr="00C63FA9">
        <w:rPr>
          <w:rFonts w:ascii="Times New Roman" w:hAnsi="Times New Roman"/>
          <w:sz w:val="22"/>
          <w:szCs w:val="22"/>
        </w:rPr>
        <w:t>SOUTH (Texas)</w:t>
      </w:r>
    </w:p>
    <w:p w14:paraId="29763304" w14:textId="77777777" w:rsidR="00770D97" w:rsidRPr="00C63FA9" w:rsidRDefault="00770D97" w:rsidP="003E663B">
      <w:pPr>
        <w:pStyle w:val="TableTextBullet"/>
        <w:rPr>
          <w:rFonts w:ascii="Times New Roman" w:hAnsi="Times New Roman"/>
          <w:sz w:val="22"/>
          <w:szCs w:val="22"/>
        </w:rPr>
      </w:pPr>
      <w:r w:rsidRPr="00C63FA9">
        <w:rPr>
          <w:rFonts w:ascii="Times New Roman" w:hAnsi="Times New Roman"/>
          <w:sz w:val="22"/>
          <w:szCs w:val="22"/>
        </w:rPr>
        <w:t>SOUTHWEST (Arizona)</w:t>
      </w:r>
    </w:p>
    <w:p w14:paraId="3CAE0026" w14:textId="41206394" w:rsidR="004A2D6F" w:rsidRPr="00C63FA9" w:rsidRDefault="004C5C76" w:rsidP="004A2D6F">
      <w:pPr>
        <w:pStyle w:val="BodyText"/>
      </w:pPr>
      <w:r w:rsidRPr="00C63FA9">
        <w:t xml:space="preserve">All </w:t>
      </w:r>
      <w:r w:rsidR="00D52853" w:rsidRPr="00C63FA9">
        <w:t xml:space="preserve">sites are </w:t>
      </w:r>
      <w:r w:rsidR="002A21AE" w:rsidRPr="00C63FA9">
        <w:t xml:space="preserve">secure </w:t>
      </w:r>
      <w:r w:rsidR="00D52853" w:rsidRPr="00C63FA9">
        <w:t>data centers where they are protected against</w:t>
      </w:r>
      <w:r w:rsidR="002A21AE" w:rsidRPr="00C63FA9">
        <w:t xml:space="preserve"> unauthorized modifications and accidental damage.</w:t>
      </w:r>
    </w:p>
    <w:p w14:paraId="7A4889D8" w14:textId="77777777" w:rsidR="002A21AE" w:rsidRDefault="002A21AE" w:rsidP="0031313E">
      <w:pPr>
        <w:pStyle w:val="Heading2"/>
      </w:pPr>
      <w:bookmarkStart w:id="23" w:name="_Toc149064048"/>
      <w:r>
        <w:t>Application Architecture</w:t>
      </w:r>
      <w:bookmarkEnd w:id="23"/>
      <w:r>
        <w:fldChar w:fldCharType="begin"/>
      </w:r>
      <w:r>
        <w:instrText xml:space="preserve"> XE </w:instrText>
      </w:r>
      <w:r w:rsidR="00FA7E65">
        <w:instrText>“</w:instrText>
      </w:r>
      <w:r>
        <w:instrText>Application Architecture</w:instrText>
      </w:r>
      <w:r w:rsidR="00FA7E65">
        <w:instrText>”</w:instrText>
      </w:r>
      <w:r>
        <w:instrText xml:space="preserve"> </w:instrText>
      </w:r>
      <w:r>
        <w:fldChar w:fldCharType="end"/>
      </w:r>
    </w:p>
    <w:p w14:paraId="4BDD0DB7" w14:textId="77777777" w:rsidR="004F6DF9" w:rsidRDefault="004F6DF9" w:rsidP="004F6DF9">
      <w:pPr>
        <w:pStyle w:val="BodyText"/>
      </w:pPr>
      <w:r>
        <w:t>VBECS operates as a discrete application and interfaces with other VA systems using Health Level 7 (HL7) and VistALink.</w:t>
      </w:r>
    </w:p>
    <w:p w14:paraId="7A641532" w14:textId="23125CCD" w:rsidR="004F6DF9" w:rsidRDefault="004F6DF9" w:rsidP="004F6DF9">
      <w:pPr>
        <w:pStyle w:val="BodyText"/>
      </w:pPr>
      <w:r>
        <w:t>VBECS is a Windows-based application hosted on a server. Users access VBECS through a graphical user interface and other VA systems interface with VBECS through Health Level 7 (HL7) and VistALink.</w:t>
      </w:r>
    </w:p>
    <w:p w14:paraId="6C8E18B2" w14:textId="77777777" w:rsidR="004F6DF9" w:rsidRDefault="004F6DF9" w:rsidP="004F6DF9">
      <w:pPr>
        <w:pStyle w:val="BodyText"/>
      </w:pPr>
      <w:r>
        <w:t>The major goals of the application are:</w:t>
      </w:r>
    </w:p>
    <w:p w14:paraId="2256567B" w14:textId="77777777" w:rsidR="004F6DF9" w:rsidRDefault="004F6DF9" w:rsidP="004F6DF9">
      <w:pPr>
        <w:pStyle w:val="ListBullet"/>
      </w:pPr>
      <w:r>
        <w:t xml:space="preserve">Improve the safety of blood/blood component transfusions by decreasing the risk of errors through effective use of current technology such as barcode scanning, retrieval of previous records to be used for comparison, and detection of inconsistencies in data input </w:t>
      </w:r>
    </w:p>
    <w:p w14:paraId="65408339" w14:textId="77777777" w:rsidR="004F6DF9" w:rsidRDefault="004F6DF9" w:rsidP="004F6DF9">
      <w:pPr>
        <w:pStyle w:val="ListBullet"/>
      </w:pPr>
      <w:r>
        <w:t>Improve the quality of patient care through evaluation of transfusion appropriateness and follow-up on the effectiveness of transfusions</w:t>
      </w:r>
    </w:p>
    <w:p w14:paraId="76F71A0A" w14:textId="77777777" w:rsidR="004F6DF9" w:rsidRDefault="004F6DF9" w:rsidP="004F6DF9">
      <w:pPr>
        <w:pStyle w:val="ListBullet"/>
      </w:pPr>
      <w:r>
        <w:t>Provide comprehensive reporting capabilities for quality monitoring within the transfusion service and for clinicians</w:t>
      </w:r>
    </w:p>
    <w:p w14:paraId="00AEE6E6" w14:textId="77777777" w:rsidR="004F6DF9" w:rsidRDefault="004F6DF9" w:rsidP="004F6DF9">
      <w:pPr>
        <w:pStyle w:val="BodyText"/>
      </w:pPr>
      <w:r>
        <w:t xml:space="preserve">VBECS operates in accordance with FDA regulations regarding change to a medical device. Areas of operation that are part of the VistA Blood Bank v5.2 software medical device (except for the donor module) are contained in this encapsulated VBECS package. Patient orders originate and are received from the Computerized Patient Record System (CPRS) and Laboratory applications. </w:t>
      </w:r>
    </w:p>
    <w:p w14:paraId="24025757" w14:textId="76DBA937" w:rsidR="00190420" w:rsidRDefault="00D3324B" w:rsidP="002A249F">
      <w:pPr>
        <w:pStyle w:val="Heading3"/>
      </w:pPr>
      <w:bookmarkStart w:id="24" w:name="_Toc149064049"/>
      <w:r>
        <w:t>O</w:t>
      </w:r>
      <w:r w:rsidR="00190420">
        <w:t>ptions That Require VistALink</w:t>
      </w:r>
      <w:bookmarkEnd w:id="24"/>
    </w:p>
    <w:p w14:paraId="08DD718F" w14:textId="77777777" w:rsidR="00D3324B" w:rsidRDefault="00D3324B" w:rsidP="00D3324B">
      <w:pPr>
        <w:pStyle w:val="BodyText"/>
      </w:pPr>
      <w:r>
        <w:t>These options require a connection through VistALink. When VistALink is not active and VBECS requires access to VistA</w:t>
      </w:r>
      <w:r w:rsidR="008452BB">
        <w:t xml:space="preserve"> data</w:t>
      </w:r>
      <w:r>
        <w:t xml:space="preserve">, VBECS </w:t>
      </w:r>
      <w:r w:rsidR="004E13DE">
        <w:t>prompts</w:t>
      </w:r>
      <w:r>
        <w:t xml:space="preserve"> the user to activate VistALink.</w:t>
      </w:r>
      <w:r w:rsidR="00423948">
        <w:t xml:space="preserve"> When VistALink is not available, VBECS </w:t>
      </w:r>
      <w:r w:rsidR="00714365">
        <w:t>warns the user and asks him to</w:t>
      </w:r>
      <w:r w:rsidR="00423948" w:rsidRPr="009F4E8F">
        <w:t xml:space="preserve"> try again later.</w:t>
      </w:r>
    </w:p>
    <w:p w14:paraId="325A4355" w14:textId="77777777" w:rsidR="00C46850" w:rsidRPr="00D93651" w:rsidRDefault="00057948" w:rsidP="00C46850">
      <w:pPr>
        <w:pStyle w:val="Caution"/>
      </w:pPr>
      <w:r>
        <w:rPr>
          <w:noProof/>
        </w:rPr>
        <w:drawing>
          <wp:inline distT="0" distB="0" distL="0" distR="0" wp14:anchorId="048E138E" wp14:editId="4A8CB463">
            <wp:extent cx="267970" cy="221615"/>
            <wp:effectExtent l="0" t="0" r="0" b="6985"/>
            <wp:docPr id="14" name="Picture 1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bookmarkStart w:id="25" w:name="OLE_LINK57"/>
      <w:bookmarkStart w:id="26" w:name="OLE_LINK58"/>
      <w:r w:rsidR="00C46850">
        <w:t xml:space="preserve">Contact your local support </w:t>
      </w:r>
      <w:r w:rsidR="00E055FF">
        <w:t>staff immediately when VistALink is not available. VBECS, VistA and CPRS all depend on VistALink to exchange information</w:t>
      </w:r>
      <w:r w:rsidR="00C46850" w:rsidRPr="00D93651">
        <w:t>.</w:t>
      </w:r>
      <w:bookmarkEnd w:id="25"/>
      <w:bookmarkEnd w:id="26"/>
    </w:p>
    <w:p w14:paraId="4BD5D930" w14:textId="77777777" w:rsidR="00956F9E" w:rsidRPr="00D612CA" w:rsidRDefault="00956F9E" w:rsidP="00956F9E">
      <w:pPr>
        <w:pStyle w:val="ListBullet"/>
        <w:numPr>
          <w:ilvl w:val="0"/>
          <w:numId w:val="0"/>
        </w:numPr>
        <w:ind w:left="288" w:hanging="288"/>
      </w:pPr>
      <w:r w:rsidRPr="00956F9E">
        <w:rPr>
          <w:vanish/>
        </w:rPr>
        <w:t>UC</w:t>
      </w:r>
      <w:bookmarkStart w:id="27" w:name="_Ref126467435"/>
      <w:bookmarkStart w:id="28" w:name="_Toc97523611"/>
      <w:bookmarkStart w:id="29" w:name="_Toc97527581"/>
      <w:bookmarkStart w:id="30" w:name="_Ref126467267"/>
      <w:bookmarkStart w:id="31" w:name="_Ref126722632"/>
      <w:r w:rsidRPr="00956F9E">
        <w:t xml:space="preserve"> </w:t>
      </w:r>
      <w:r>
        <w:t xml:space="preserve">Main </w:t>
      </w:r>
      <w:r w:rsidRPr="00D612CA">
        <w:t>Menu: Orders</w:t>
      </w:r>
    </w:p>
    <w:p w14:paraId="65F9E0F3" w14:textId="77777777" w:rsidR="00956F9E" w:rsidRDefault="00956F9E" w:rsidP="00956F9E">
      <w:pPr>
        <w:pStyle w:val="ListBullet"/>
        <w:tabs>
          <w:tab w:val="num" w:pos="720"/>
        </w:tabs>
        <w:spacing w:after="120"/>
        <w:ind w:left="720"/>
      </w:pPr>
      <w:r>
        <w:t>Accept Orders: Pending Order List</w:t>
      </w:r>
      <w:r w:rsidRPr="00953FEE">
        <w:t xml:space="preserve"> </w:t>
      </w:r>
      <w:r w:rsidRPr="00722837">
        <w:rPr>
          <w:vanish/>
        </w:rPr>
        <w:t>UC_88</w:t>
      </w:r>
    </w:p>
    <w:p w14:paraId="3E37B44D" w14:textId="77777777" w:rsidR="00956F9E" w:rsidRDefault="00956F9E" w:rsidP="00956F9E">
      <w:pPr>
        <w:pStyle w:val="ListBullet"/>
        <w:numPr>
          <w:ilvl w:val="0"/>
          <w:numId w:val="0"/>
        </w:numPr>
      </w:pPr>
      <w:r>
        <w:t xml:space="preserve">Main </w:t>
      </w:r>
      <w:r w:rsidRPr="00D612CA">
        <w:t xml:space="preserve">Menu: </w:t>
      </w:r>
      <w:r>
        <w:t>Blood Units</w:t>
      </w:r>
    </w:p>
    <w:p w14:paraId="7A0CC8A2" w14:textId="77777777" w:rsidR="00956F9E" w:rsidRDefault="00956F9E" w:rsidP="00956F9E">
      <w:pPr>
        <w:pStyle w:val="ListBullet"/>
        <w:tabs>
          <w:tab w:val="num" w:pos="720"/>
        </w:tabs>
        <w:ind w:left="720"/>
      </w:pPr>
      <w:r>
        <w:t>Edit Unit Information (used when editing patient restrictions)</w:t>
      </w:r>
    </w:p>
    <w:p w14:paraId="5779E6D0" w14:textId="77777777" w:rsidR="00956F9E" w:rsidRPr="00953FEE" w:rsidRDefault="00956F9E" w:rsidP="00956F9E">
      <w:pPr>
        <w:pStyle w:val="ListBullet"/>
        <w:tabs>
          <w:tab w:val="num" w:pos="720"/>
        </w:tabs>
        <w:spacing w:after="120"/>
        <w:ind w:left="720"/>
      </w:pPr>
      <w:r w:rsidRPr="00953FEE">
        <w:t xml:space="preserve">Return Issued Units To Blood Bank </w:t>
      </w:r>
      <w:r w:rsidRPr="00953FEE">
        <w:rPr>
          <w:vanish/>
        </w:rPr>
        <w:t>UC_59</w:t>
      </w:r>
    </w:p>
    <w:p w14:paraId="7A988C0E" w14:textId="77777777" w:rsidR="00956F9E" w:rsidRPr="00D612CA" w:rsidRDefault="00956F9E" w:rsidP="00956F9E">
      <w:pPr>
        <w:pStyle w:val="ListBullet"/>
        <w:numPr>
          <w:ilvl w:val="0"/>
          <w:numId w:val="0"/>
        </w:numPr>
      </w:pPr>
      <w:r>
        <w:t xml:space="preserve">Main </w:t>
      </w:r>
      <w:r w:rsidRPr="00D612CA">
        <w:t>Menu: Patients</w:t>
      </w:r>
    </w:p>
    <w:p w14:paraId="4941F4C3" w14:textId="77777777" w:rsidR="00956F9E" w:rsidRPr="00D612CA" w:rsidRDefault="00956F9E" w:rsidP="00956F9E">
      <w:pPr>
        <w:pStyle w:val="ListBullet"/>
        <w:tabs>
          <w:tab w:val="num" w:pos="720"/>
        </w:tabs>
        <w:ind w:left="720"/>
      </w:pPr>
      <w:r w:rsidRPr="00D612CA">
        <w:t xml:space="preserve">Post-Transfusion Information </w:t>
      </w:r>
      <w:r w:rsidRPr="00D612CA">
        <w:rPr>
          <w:vanish/>
        </w:rPr>
        <w:t>UC_70</w:t>
      </w:r>
      <w:r w:rsidRPr="00D612CA">
        <w:t xml:space="preserve"> </w:t>
      </w:r>
      <w:r w:rsidRPr="00D612CA">
        <w:rPr>
          <w:vanish/>
        </w:rPr>
        <w:t>DR 4354</w:t>
      </w:r>
    </w:p>
    <w:p w14:paraId="0257CA77" w14:textId="77777777" w:rsidR="00956F9E" w:rsidRPr="00953FEE" w:rsidRDefault="00956F9E" w:rsidP="00956F9E">
      <w:pPr>
        <w:pStyle w:val="ListBullet"/>
        <w:tabs>
          <w:tab w:val="num" w:pos="720"/>
        </w:tabs>
        <w:ind w:left="720"/>
      </w:pPr>
      <w:r w:rsidRPr="00D612CA">
        <w:t>Return</w:t>
      </w:r>
      <w:r w:rsidRPr="00953FEE">
        <w:t xml:space="preserve"> Issued Units To Blood Bank </w:t>
      </w:r>
      <w:r w:rsidRPr="00953FEE">
        <w:rPr>
          <w:vanish/>
        </w:rPr>
        <w:t>UC_59</w:t>
      </w:r>
    </w:p>
    <w:p w14:paraId="7CFEE0BD" w14:textId="77777777" w:rsidR="00956F9E" w:rsidRPr="00D612CA" w:rsidRDefault="00956F9E" w:rsidP="00956F9E">
      <w:pPr>
        <w:pStyle w:val="ListBullet"/>
        <w:tabs>
          <w:tab w:val="num" w:pos="720"/>
        </w:tabs>
        <w:spacing w:after="120"/>
        <w:ind w:left="720"/>
      </w:pPr>
      <w:r w:rsidRPr="00D612CA">
        <w:t>Issue Blood Components</w:t>
      </w:r>
      <w:r w:rsidR="009C7B46">
        <w:t xml:space="preserve"> (to include a hospital location)</w:t>
      </w:r>
      <w:r w:rsidRPr="00D612CA">
        <w:t xml:space="preserve"> </w:t>
      </w:r>
      <w:r w:rsidRPr="00D612CA">
        <w:rPr>
          <w:vanish/>
        </w:rPr>
        <w:t>UC_73</w:t>
      </w:r>
      <w:r w:rsidR="009C7B46">
        <w:rPr>
          <w:vanish/>
        </w:rPr>
        <w:t xml:space="preserve"> </w:t>
      </w:r>
      <w:r w:rsidR="009C7B46" w:rsidRPr="009C7B46">
        <w:rPr>
          <w:vanish/>
        </w:rPr>
        <w:t xml:space="preserve">DR 5073 </w:t>
      </w:r>
    </w:p>
    <w:p w14:paraId="5900A4A1" w14:textId="77777777" w:rsidR="00956F9E" w:rsidRPr="00D612CA" w:rsidRDefault="00956F9E" w:rsidP="00956F9E">
      <w:pPr>
        <w:pStyle w:val="ListBullet"/>
        <w:numPr>
          <w:ilvl w:val="0"/>
          <w:numId w:val="0"/>
        </w:numPr>
        <w:ind w:left="288" w:hanging="288"/>
      </w:pPr>
      <w:r>
        <w:t xml:space="preserve">Main </w:t>
      </w:r>
      <w:r w:rsidRPr="00D612CA">
        <w:t>Menu: Shipments</w:t>
      </w:r>
    </w:p>
    <w:p w14:paraId="08B88989" w14:textId="77777777" w:rsidR="00956F9E" w:rsidRPr="00D612CA" w:rsidRDefault="00956F9E" w:rsidP="00956F9E">
      <w:pPr>
        <w:pStyle w:val="ListBullet"/>
        <w:tabs>
          <w:tab w:val="num" w:pos="720"/>
        </w:tabs>
        <w:spacing w:after="120"/>
        <w:ind w:left="720"/>
      </w:pPr>
      <w:r w:rsidRPr="00D612CA">
        <w:t xml:space="preserve">Incoming Shipment (used when restricting units to patients) </w:t>
      </w:r>
      <w:r w:rsidRPr="00D612CA">
        <w:rPr>
          <w:vanish/>
        </w:rPr>
        <w:t>UC_01</w:t>
      </w:r>
    </w:p>
    <w:p w14:paraId="2A810677" w14:textId="77777777" w:rsidR="00956F9E" w:rsidRPr="00D612CA" w:rsidRDefault="00956F9E" w:rsidP="00956F9E">
      <w:pPr>
        <w:pStyle w:val="ListBullet"/>
        <w:numPr>
          <w:ilvl w:val="0"/>
          <w:numId w:val="0"/>
        </w:numPr>
        <w:ind w:left="288" w:hanging="288"/>
      </w:pPr>
      <w:r>
        <w:t xml:space="preserve">Main </w:t>
      </w:r>
      <w:r w:rsidRPr="00D612CA">
        <w:t>Menu: Tools</w:t>
      </w:r>
    </w:p>
    <w:p w14:paraId="32E1D7D3" w14:textId="05AD2988" w:rsidR="00956F9E" w:rsidRPr="00D612CA" w:rsidRDefault="00956F9E" w:rsidP="00956F9E">
      <w:pPr>
        <w:pStyle w:val="ListBullet"/>
        <w:tabs>
          <w:tab w:val="num" w:pos="720"/>
        </w:tabs>
        <w:ind w:left="720"/>
      </w:pPr>
      <w:r w:rsidRPr="00D612CA">
        <w:t xml:space="preserve">Blood Products </w:t>
      </w:r>
      <w:r w:rsidRPr="00D612CA">
        <w:rPr>
          <w:vanish/>
        </w:rPr>
        <w:t>UC_08</w:t>
      </w:r>
    </w:p>
    <w:p w14:paraId="1D219644" w14:textId="5F1EE799" w:rsidR="00956F9E" w:rsidRPr="00D612CA" w:rsidRDefault="00956F9E" w:rsidP="00956F9E">
      <w:pPr>
        <w:pStyle w:val="ListBullet"/>
        <w:tabs>
          <w:tab w:val="num" w:pos="720"/>
        </w:tabs>
        <w:ind w:left="720"/>
      </w:pPr>
      <w:r w:rsidRPr="00D612CA">
        <w:t xml:space="preserve">Component Classes </w:t>
      </w:r>
      <w:r w:rsidRPr="00D612CA">
        <w:rPr>
          <w:vanish/>
        </w:rPr>
        <w:t>UC_5</w:t>
      </w:r>
      <w:r w:rsidR="00C15955">
        <w:rPr>
          <w:vanish/>
        </w:rPr>
        <w:t>0</w:t>
      </w:r>
    </w:p>
    <w:p w14:paraId="2C8E75A9" w14:textId="3FA7C454" w:rsidR="00956F9E" w:rsidRPr="00D612CA" w:rsidRDefault="00956F9E" w:rsidP="00956F9E">
      <w:pPr>
        <w:pStyle w:val="ListBullet"/>
        <w:tabs>
          <w:tab w:val="num" w:pos="720"/>
        </w:tabs>
        <w:ind w:left="720"/>
      </w:pPr>
      <w:r w:rsidRPr="00D612CA">
        <w:t xml:space="preserve">Transfusion Complications </w:t>
      </w:r>
      <w:r w:rsidRPr="00D612CA">
        <w:rPr>
          <w:vanish/>
        </w:rPr>
        <w:t>UC_3</w:t>
      </w:r>
      <w:r w:rsidR="00C15955">
        <w:rPr>
          <w:vanish/>
        </w:rPr>
        <w:t>4</w:t>
      </w:r>
    </w:p>
    <w:p w14:paraId="7044AEC1" w14:textId="2223AC00" w:rsidR="00956F9E" w:rsidRPr="00D612CA" w:rsidRDefault="00956F9E" w:rsidP="00956F9E">
      <w:pPr>
        <w:pStyle w:val="ListBullet"/>
        <w:tabs>
          <w:tab w:val="num" w:pos="720"/>
        </w:tabs>
        <w:ind w:left="720"/>
      </w:pPr>
      <w:r w:rsidRPr="00D612CA">
        <w:t xml:space="preserve">Transfusion Effectiveness </w:t>
      </w:r>
      <w:r w:rsidRPr="00D612CA">
        <w:rPr>
          <w:vanish/>
        </w:rPr>
        <w:t>UC_3</w:t>
      </w:r>
      <w:r w:rsidR="00C15955">
        <w:rPr>
          <w:vanish/>
        </w:rPr>
        <w:t>3</w:t>
      </w:r>
    </w:p>
    <w:p w14:paraId="15F12491" w14:textId="4D8A3B8A" w:rsidR="00956F9E" w:rsidRPr="00D612CA" w:rsidRDefault="00956F9E" w:rsidP="00956F9E">
      <w:pPr>
        <w:pStyle w:val="ListBullet"/>
        <w:tabs>
          <w:tab w:val="num" w:pos="720"/>
        </w:tabs>
        <w:spacing w:after="120"/>
        <w:ind w:left="720"/>
      </w:pPr>
      <w:r w:rsidRPr="00D612CA">
        <w:t xml:space="preserve"> Workload Codes </w:t>
      </w:r>
      <w:r w:rsidRPr="00D612CA">
        <w:rPr>
          <w:vanish/>
        </w:rPr>
        <w:t>UC_2</w:t>
      </w:r>
      <w:r w:rsidR="00C15955">
        <w:rPr>
          <w:vanish/>
        </w:rPr>
        <w:t>9</w:t>
      </w:r>
    </w:p>
    <w:p w14:paraId="5F148B4B" w14:textId="77777777" w:rsidR="00956F9E" w:rsidRPr="00D612CA" w:rsidRDefault="00956F9E" w:rsidP="0077424C">
      <w:pPr>
        <w:pStyle w:val="ListBullet"/>
        <w:keepNext/>
        <w:numPr>
          <w:ilvl w:val="0"/>
          <w:numId w:val="0"/>
        </w:numPr>
        <w:ind w:left="288" w:hanging="288"/>
      </w:pPr>
      <w:r>
        <w:t xml:space="preserve">Main </w:t>
      </w:r>
      <w:r w:rsidRPr="00D612CA">
        <w:t>Menu: Supervisor</w:t>
      </w:r>
    </w:p>
    <w:p w14:paraId="32309410" w14:textId="77777777" w:rsidR="00956F9E" w:rsidRDefault="00956F9E" w:rsidP="00956F9E">
      <w:pPr>
        <w:pStyle w:val="ListBullet"/>
        <w:tabs>
          <w:tab w:val="num" w:pos="720"/>
        </w:tabs>
        <w:spacing w:after="120"/>
        <w:ind w:left="720"/>
        <w:rPr>
          <w:lang w:val="fr-FR"/>
        </w:rPr>
      </w:pPr>
      <w:r w:rsidRPr="00D612CA">
        <w:rPr>
          <w:snapToGrid w:val="0"/>
          <w:lang w:val="fr-FR"/>
        </w:rPr>
        <w:t>Document ABO</w:t>
      </w:r>
      <w:r w:rsidRPr="006E05B3">
        <w:rPr>
          <w:snapToGrid w:val="0"/>
          <w:lang w:val="fr-FR"/>
        </w:rPr>
        <w:t xml:space="preserve"> Incompatible </w:t>
      </w:r>
      <w:r w:rsidRPr="00F3392A">
        <w:rPr>
          <w:snapToGrid w:val="0"/>
          <w:lang w:val="fr-FR"/>
        </w:rPr>
        <w:t>Transfusion</w:t>
      </w:r>
      <w:r w:rsidRPr="00F3392A">
        <w:rPr>
          <w:lang w:val="fr-FR"/>
        </w:rPr>
        <w:t xml:space="preserve"> </w:t>
      </w:r>
      <w:r w:rsidRPr="00F3392A">
        <w:rPr>
          <w:vanish/>
          <w:lang w:val="fr-FR"/>
        </w:rPr>
        <w:t>U</w:t>
      </w:r>
      <w:r w:rsidR="00F3392A" w:rsidRPr="00F3392A">
        <w:rPr>
          <w:vanish/>
          <w:lang w:val="fr-FR"/>
        </w:rPr>
        <w:t>C</w:t>
      </w:r>
      <w:r w:rsidR="00F3392A">
        <w:rPr>
          <w:vanish/>
          <w:lang w:val="fr-FR"/>
        </w:rPr>
        <w:t>_69</w:t>
      </w:r>
    </w:p>
    <w:p w14:paraId="0CACFF29" w14:textId="77777777" w:rsidR="00956F9E" w:rsidRPr="00A8078B" w:rsidRDefault="00956F9E" w:rsidP="00956F9E">
      <w:pPr>
        <w:pStyle w:val="ListBullet"/>
        <w:numPr>
          <w:ilvl w:val="0"/>
          <w:numId w:val="0"/>
        </w:numPr>
      </w:pPr>
      <w:r w:rsidRPr="00A8078B">
        <w:t>Main Menu: Reports</w:t>
      </w:r>
    </w:p>
    <w:p w14:paraId="63C57719" w14:textId="77777777" w:rsidR="00956F9E" w:rsidRPr="00A8078B" w:rsidRDefault="00956F9E" w:rsidP="00956F9E">
      <w:pPr>
        <w:pStyle w:val="ListBullet"/>
        <w:tabs>
          <w:tab w:val="num" w:pos="720"/>
        </w:tabs>
        <w:ind w:left="720"/>
      </w:pPr>
      <w:r w:rsidRPr="00A8078B">
        <w:t xml:space="preserve">Transfusion Complications Report </w:t>
      </w:r>
      <w:r w:rsidRPr="00A8078B">
        <w:rPr>
          <w:vanish/>
        </w:rPr>
        <w:t>UC_90</w:t>
      </w:r>
    </w:p>
    <w:p w14:paraId="2976E48F" w14:textId="77777777" w:rsidR="00956F9E" w:rsidRPr="00A8078B" w:rsidRDefault="00956F9E" w:rsidP="00956F9E">
      <w:pPr>
        <w:pStyle w:val="ListBullet"/>
        <w:tabs>
          <w:tab w:val="num" w:pos="720"/>
        </w:tabs>
        <w:ind w:left="720"/>
      </w:pPr>
      <w:r w:rsidRPr="00A8078B">
        <w:t xml:space="preserve">Transfusion Effectiveness Report </w:t>
      </w:r>
      <w:r w:rsidRPr="00A8078B">
        <w:rPr>
          <w:vanish/>
        </w:rPr>
        <w:t>UC_91</w:t>
      </w:r>
    </w:p>
    <w:p w14:paraId="512AF9B2" w14:textId="77777777" w:rsidR="00956F9E" w:rsidRPr="00A8078B" w:rsidRDefault="00956F9E" w:rsidP="00956F9E">
      <w:pPr>
        <w:pStyle w:val="ListBullet"/>
        <w:tabs>
          <w:tab w:val="num" w:pos="720"/>
        </w:tabs>
        <w:ind w:left="720"/>
      </w:pPr>
      <w:r w:rsidRPr="00A8078B">
        <w:t xml:space="preserve">Transfusion Requirements Report </w:t>
      </w:r>
      <w:r w:rsidRPr="00A8078B">
        <w:rPr>
          <w:vanish/>
        </w:rPr>
        <w:t>UC_89</w:t>
      </w:r>
      <w:r w:rsidRPr="00A8078B">
        <w:t xml:space="preserve"> </w:t>
      </w:r>
    </w:p>
    <w:p w14:paraId="78BA00E5" w14:textId="77777777" w:rsidR="00956F9E" w:rsidRPr="00A8078B" w:rsidRDefault="00956F9E" w:rsidP="00956F9E">
      <w:pPr>
        <w:pStyle w:val="ListBullet"/>
        <w:tabs>
          <w:tab w:val="num" w:pos="720"/>
        </w:tabs>
        <w:spacing w:after="120"/>
        <w:ind w:left="720"/>
      </w:pPr>
      <w:r w:rsidRPr="00A8078B">
        <w:t xml:space="preserve">Medication Profile </w:t>
      </w:r>
      <w:r w:rsidRPr="00A8078B">
        <w:rPr>
          <w:vanish/>
        </w:rPr>
        <w:t>UC_46</w:t>
      </w:r>
      <w:r w:rsidRPr="00A8078B">
        <w:t>(Reports or from the Patient Tool Bar icon)</w:t>
      </w:r>
    </w:p>
    <w:p w14:paraId="12C14C3A" w14:textId="77777777" w:rsidR="00956F9E" w:rsidRPr="00A8078B" w:rsidRDefault="00956F9E" w:rsidP="00956F9E">
      <w:pPr>
        <w:pStyle w:val="ListBullet"/>
        <w:numPr>
          <w:ilvl w:val="0"/>
          <w:numId w:val="0"/>
        </w:numPr>
      </w:pPr>
      <w:r w:rsidRPr="00A8078B">
        <w:t>Main menu window, icon in the bottom of the window:</w:t>
      </w:r>
    </w:p>
    <w:p w14:paraId="1C960A70" w14:textId="68464528" w:rsidR="00956F9E" w:rsidRPr="00A8078B" w:rsidRDefault="00956F9E" w:rsidP="00956F9E">
      <w:pPr>
        <w:pStyle w:val="ListBullet"/>
        <w:tabs>
          <w:tab w:val="num" w:pos="720"/>
        </w:tabs>
        <w:ind w:left="720"/>
      </w:pPr>
      <w:r w:rsidRPr="00A8078B">
        <w:t>Display Order Alerts</w:t>
      </w:r>
      <w:r w:rsidR="00C15955" w:rsidRPr="00A8078B">
        <w:t xml:space="preserve"> </w:t>
      </w:r>
      <w:r w:rsidR="00C15955" w:rsidRPr="00A8078B">
        <w:rPr>
          <w:vanish/>
        </w:rPr>
        <w:t>UC_84</w:t>
      </w:r>
    </w:p>
    <w:p w14:paraId="130C8867" w14:textId="34F4F514" w:rsidR="00DD077F" w:rsidRPr="00AA44E5" w:rsidRDefault="00DD077F" w:rsidP="00384BF1">
      <w:pPr>
        <w:pStyle w:val="Heading2"/>
      </w:pPr>
      <w:bookmarkStart w:id="32" w:name="_Toc81909529"/>
      <w:bookmarkStart w:id="33" w:name="_Toc149064050"/>
      <w:bookmarkEnd w:id="27"/>
      <w:bookmarkEnd w:id="28"/>
      <w:bookmarkEnd w:id="29"/>
      <w:bookmarkEnd w:id="30"/>
      <w:bookmarkEnd w:id="31"/>
      <w:r w:rsidRPr="00384BF1">
        <w:t xml:space="preserve">Getting Help </w:t>
      </w:r>
      <w:r w:rsidR="006A1388" w:rsidRPr="00384BF1">
        <w:t>f</w:t>
      </w:r>
      <w:r w:rsidRPr="00384BF1">
        <w:t>rom Customer Support</w:t>
      </w:r>
      <w:bookmarkEnd w:id="32"/>
      <w:bookmarkEnd w:id="33"/>
    </w:p>
    <w:p w14:paraId="494C7B89" w14:textId="77777777" w:rsidR="00B5499A" w:rsidRPr="00BD5547" w:rsidRDefault="00B5499A" w:rsidP="00B5499A">
      <w:pPr>
        <w:keepNext/>
        <w:spacing w:before="240" w:after="60"/>
        <w:rPr>
          <w:sz w:val="22"/>
          <w:szCs w:val="22"/>
        </w:rPr>
      </w:pPr>
      <w:r w:rsidRPr="00BD5547">
        <w:rPr>
          <w:sz w:val="22"/>
          <w:szCs w:val="22"/>
        </w:rPr>
        <w:t xml:space="preserve">Contact your </w:t>
      </w:r>
      <w:r w:rsidRPr="00BD5547">
        <w:rPr>
          <w:b/>
          <w:sz w:val="22"/>
          <w:szCs w:val="22"/>
        </w:rPr>
        <w:t>Local/Regional</w:t>
      </w:r>
      <w:r w:rsidRPr="00BD5547">
        <w:rPr>
          <w:sz w:val="22"/>
          <w:szCs w:val="22"/>
        </w:rPr>
        <w:t xml:space="preserve"> Office of Information Technology (OIT) or Laboratory Information Manager (LIM) if you encounter VistA or CPRS connection problems and for training support </w:t>
      </w:r>
      <w:r w:rsidRPr="00BD5547">
        <w:rPr>
          <w:b/>
          <w:bCs/>
          <w:sz w:val="22"/>
          <w:szCs w:val="22"/>
          <w:u w:val="single"/>
        </w:rPr>
        <w:t xml:space="preserve">before </w:t>
      </w:r>
      <w:r w:rsidRPr="00BD5547">
        <w:rPr>
          <w:sz w:val="22"/>
          <w:szCs w:val="22"/>
        </w:rPr>
        <w:t>contacting the Service Desk (SD).</w:t>
      </w:r>
    </w:p>
    <w:p w14:paraId="162C158F" w14:textId="77777777" w:rsidR="00B5499A" w:rsidRPr="00BD5547" w:rsidRDefault="00B5499A" w:rsidP="00B5499A">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BD5547">
        <w:rPr>
          <w:b/>
          <w:noProof/>
          <w:sz w:val="22"/>
          <w:szCs w:val="22"/>
        </w:rPr>
        <w:drawing>
          <wp:inline distT="0" distB="0" distL="0" distR="0" wp14:anchorId="5004F1AC" wp14:editId="0FCEA5B9">
            <wp:extent cx="266700" cy="219075"/>
            <wp:effectExtent l="0" t="0" r="0" b="9525"/>
            <wp:docPr id="1152" name="Picture 115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152" descr="Caution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BD5547">
        <w:rPr>
          <w:b/>
          <w:bCs/>
          <w:sz w:val="22"/>
          <w:szCs w:val="22"/>
        </w:rPr>
        <w:t xml:space="preserve">Please ensure local/regional VistA Support contact information is available at all times. </w:t>
      </w:r>
    </w:p>
    <w:p w14:paraId="3443B9CF" w14:textId="77777777" w:rsidR="00B5499A" w:rsidRPr="00BD5547" w:rsidRDefault="00B5499A" w:rsidP="00B5499A">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BD5547">
        <w:rPr>
          <w:b/>
          <w:bCs/>
          <w:sz w:val="22"/>
          <w:szCs w:val="22"/>
        </w:rPr>
        <w:t>If you experience an FDA reportable adverse event (patient death or serious injury) that VBECS may have caused or contributed to, contact the Service Desk directly to enter a ticket for Blood Bank software support.</w:t>
      </w:r>
      <w:r w:rsidRPr="00BD5547">
        <w:rPr>
          <w:b/>
          <w:bCs/>
          <w:vanish/>
          <w:sz w:val="22"/>
          <w:szCs w:val="22"/>
        </w:rPr>
        <w:t xml:space="preserve"> </w:t>
      </w:r>
    </w:p>
    <w:p w14:paraId="253C1025" w14:textId="77777777" w:rsidR="00B5499A" w:rsidRPr="00F04B98" w:rsidRDefault="00B5499A" w:rsidP="00B5499A">
      <w:pPr>
        <w:pStyle w:val="BodyText"/>
      </w:pPr>
      <w:r w:rsidRPr="00D13252">
        <w:rPr>
          <w:u w:val="single"/>
        </w:rPr>
        <w:t>If the problem remains unresolved after local VistA triage</w:t>
      </w:r>
      <w:r w:rsidRPr="00D13252">
        <w:t xml:space="preserve">, call the Service Desk (below) and specify the </w:t>
      </w:r>
      <w:r w:rsidRPr="00C46DE2">
        <w:t>Affected Service</w:t>
      </w:r>
      <w:r w:rsidRPr="00F04B98">
        <w:t xml:space="preserve"> be set as VBECS (VistA - Blood Establishment Computer Software)</w:t>
      </w:r>
    </w:p>
    <w:p w14:paraId="527CFD5B" w14:textId="77777777" w:rsidR="006474A9" w:rsidRPr="00101850" w:rsidRDefault="006474A9" w:rsidP="006474A9">
      <w:pPr>
        <w:pStyle w:val="BodyText"/>
        <w:rPr>
          <w:b/>
          <w:noProof/>
        </w:rPr>
      </w:pPr>
      <w:r w:rsidRPr="00101850">
        <w:rPr>
          <w:b/>
          <w:noProof/>
        </w:rPr>
        <w:t>Service Desk</w:t>
      </w:r>
      <w:r w:rsidRPr="00101850">
        <w:rPr>
          <w:b/>
        </w:rPr>
        <w:fldChar w:fldCharType="begin"/>
      </w:r>
      <w:r w:rsidRPr="00101850">
        <w:rPr>
          <w:b/>
          <w:noProof/>
        </w:rPr>
        <w:instrText xml:space="preserve"> XE "Service Desk" </w:instrText>
      </w:r>
      <w:r w:rsidRPr="00101850">
        <w:rPr>
          <w:b/>
        </w:rPr>
        <w:fldChar w:fldCharType="end"/>
      </w:r>
      <w:r w:rsidRPr="00101850">
        <w:rPr>
          <w:b/>
          <w:noProof/>
        </w:rPr>
        <w:t xml:space="preserve"> Contact</w:t>
      </w:r>
    </w:p>
    <w:p w14:paraId="201063CE" w14:textId="5A54FE51" w:rsidR="006474A9" w:rsidRPr="00101850" w:rsidRDefault="006474A9" w:rsidP="006474A9">
      <w:r>
        <w:t>Call</w:t>
      </w:r>
      <w:r w:rsidRPr="00101850">
        <w:t xml:space="preserve"> the Service Desk </w:t>
      </w:r>
      <w:r w:rsidR="006C286F" w:rsidRPr="006C286F">
        <w:rPr>
          <w:highlight w:val="yellow"/>
        </w:rPr>
        <w:t>REDACTED</w:t>
      </w:r>
    </w:p>
    <w:p w14:paraId="2FD18C3C" w14:textId="26FA2725" w:rsidR="006474A9" w:rsidRPr="003603A3" w:rsidRDefault="006474A9" w:rsidP="006474A9">
      <w:pPr>
        <w:pStyle w:val="BodyText"/>
        <w:rPr>
          <w:lang w:eastAsia="x-none"/>
        </w:rPr>
      </w:pPr>
      <w:r>
        <w:t>Refer to the</w:t>
      </w:r>
      <w:r w:rsidRPr="003603A3">
        <w:t xml:space="preserve"> </w:t>
      </w:r>
      <w:r w:rsidR="006C286F" w:rsidRPr="00F64D50">
        <w:rPr>
          <w:highlight w:val="yellow"/>
        </w:rPr>
        <w:t>REDACTED</w:t>
      </w:r>
      <w:r w:rsidRPr="003603A3">
        <w:t xml:space="preserve"> on </w:t>
      </w:r>
      <w:r>
        <w:t>the VBECS</w:t>
      </w:r>
      <w:r w:rsidRPr="003603A3">
        <w:t xml:space="preserve"> SharePoint site </w:t>
      </w:r>
      <w:r>
        <w:t>for up-to-date information about contacting the Service Desk</w:t>
      </w:r>
      <w:r w:rsidRPr="003603A3">
        <w:t>.</w:t>
      </w:r>
    </w:p>
    <w:p w14:paraId="14FDAEB2" w14:textId="77777777" w:rsidR="006474A9" w:rsidRPr="004A41FD" w:rsidRDefault="006474A9" w:rsidP="006474A9">
      <w:pPr>
        <w:pStyle w:val="BodyText"/>
        <w:rPr>
          <w:noProof/>
        </w:rPr>
      </w:pPr>
      <w:r w:rsidRPr="00101850">
        <w:t xml:space="preserve">For troubleshooting error messages in VBECS </w:t>
      </w:r>
      <w:r>
        <w:t>similar to</w:t>
      </w:r>
      <w:r w:rsidRPr="00101850">
        <w:t xml:space="preserve"> Contact Your System Administrator, contact the Service Desk.</w:t>
      </w:r>
      <w:r w:rsidRPr="004A41FD">
        <w:fldChar w:fldCharType="begin"/>
      </w:r>
      <w:r w:rsidRPr="00170ABF">
        <w:instrText xml:space="preserve"> XE "Customer Support" </w:instrText>
      </w:r>
      <w:r w:rsidRPr="004A41FD">
        <w:fldChar w:fldCharType="end"/>
      </w:r>
    </w:p>
    <w:p w14:paraId="203C1789" w14:textId="77777777" w:rsidR="00217D9D" w:rsidRDefault="00217D9D" w:rsidP="00B5499A">
      <w:pPr>
        <w:pStyle w:val="BodyText"/>
      </w:pPr>
    </w:p>
    <w:p w14:paraId="726D085E" w14:textId="77777777" w:rsidR="00217D9D" w:rsidRPr="00E62957" w:rsidRDefault="00217D9D" w:rsidP="00B5499A">
      <w:pPr>
        <w:pStyle w:val="BodyText"/>
        <w:rPr>
          <w:noProof/>
        </w:rPr>
      </w:pPr>
    </w:p>
    <w:p w14:paraId="48AE7282" w14:textId="77777777" w:rsidR="00384BF1" w:rsidRDefault="00384BF1">
      <w:pPr>
        <w:rPr>
          <w:rFonts w:ascii="Arial" w:hAnsi="Arial" w:cs="Arial"/>
          <w:b/>
          <w:bCs/>
          <w:kern w:val="32"/>
          <w:sz w:val="36"/>
          <w:szCs w:val="32"/>
        </w:rPr>
      </w:pPr>
      <w:r>
        <w:br w:type="page"/>
      </w:r>
    </w:p>
    <w:p w14:paraId="43AEB071" w14:textId="61F9D6B3" w:rsidR="002A21AE" w:rsidRPr="00963680" w:rsidRDefault="002A21AE" w:rsidP="00826461">
      <w:pPr>
        <w:pStyle w:val="Heading1"/>
      </w:pPr>
      <w:bookmarkStart w:id="34" w:name="_Toc149064051"/>
      <w:r w:rsidRPr="00963680">
        <w:t>Using the Software</w:t>
      </w:r>
      <w:bookmarkEnd w:id="34"/>
      <w:r w:rsidRPr="00963680">
        <w:fldChar w:fldCharType="begin"/>
      </w:r>
      <w:r w:rsidRPr="00963680">
        <w:instrText xml:space="preserve"> XE </w:instrText>
      </w:r>
      <w:r w:rsidR="00FA7E65" w:rsidRPr="00963680">
        <w:instrText>“</w:instrText>
      </w:r>
      <w:r w:rsidRPr="00963680">
        <w:instrText>Using the Software</w:instrText>
      </w:r>
      <w:r w:rsidR="00FA7E65" w:rsidRPr="00963680">
        <w:instrText>”</w:instrText>
      </w:r>
      <w:r w:rsidRPr="00963680">
        <w:instrText xml:space="preserve"> </w:instrText>
      </w:r>
      <w:r w:rsidRPr="00963680">
        <w:fldChar w:fldCharType="end"/>
      </w:r>
    </w:p>
    <w:p w14:paraId="1FB3C867" w14:textId="77777777" w:rsidR="002A21AE" w:rsidRDefault="002A21AE" w:rsidP="00FA7E65">
      <w:pPr>
        <w:pStyle w:val="BodyText"/>
      </w:pPr>
      <w:r w:rsidRPr="00963680">
        <w:t>Using the Software explains:</w:t>
      </w:r>
    </w:p>
    <w:p w14:paraId="4F1BD9BB" w14:textId="77777777" w:rsidR="002A21AE" w:rsidRDefault="002A21AE">
      <w:pPr>
        <w:pStyle w:val="ListBullet"/>
      </w:pPr>
      <w:r>
        <w:t xml:space="preserve">How to access VBECS and </w:t>
      </w:r>
      <w:r w:rsidR="000C7684" w:rsidRPr="000C7684">
        <w:rPr>
          <w:bCs/>
        </w:rPr>
        <w:t>VistA</w:t>
      </w:r>
    </w:p>
    <w:p w14:paraId="7A7CAB41" w14:textId="77777777" w:rsidR="002A21AE" w:rsidRDefault="002A21AE">
      <w:pPr>
        <w:pStyle w:val="ListBullet"/>
      </w:pPr>
      <w:r>
        <w:t>What users will see on the screen</w:t>
      </w:r>
    </w:p>
    <w:p w14:paraId="1BC2D207" w14:textId="77777777" w:rsidR="002A21AE" w:rsidRDefault="002A21AE">
      <w:pPr>
        <w:pStyle w:val="ListBullet"/>
      </w:pPr>
      <w:r>
        <w:t>What the icons and other symbols mean</w:t>
      </w:r>
    </w:p>
    <w:p w14:paraId="1C00224C" w14:textId="77777777" w:rsidR="002A21AE" w:rsidRDefault="002A21AE">
      <w:pPr>
        <w:pStyle w:val="ListBullet"/>
      </w:pPr>
      <w:r>
        <w:t>Which conventions are used in this guide</w:t>
      </w:r>
    </w:p>
    <w:p w14:paraId="4C308996" w14:textId="206DD8F2" w:rsidR="002A21AE" w:rsidRDefault="002A21AE">
      <w:pPr>
        <w:pStyle w:val="ListBullet"/>
      </w:pPr>
      <w:r>
        <w:t xml:space="preserve">How to exit VBECS </w:t>
      </w:r>
    </w:p>
    <w:p w14:paraId="7D1B205F" w14:textId="77777777" w:rsidR="002A21AE" w:rsidRDefault="002A21AE">
      <w:pPr>
        <w:pStyle w:val="Heading2"/>
      </w:pPr>
      <w:bookmarkStart w:id="35" w:name="_Toc78678591"/>
      <w:bookmarkStart w:id="36" w:name="_Toc149064052"/>
      <w:r>
        <w:t>Software Basics</w:t>
      </w:r>
      <w:bookmarkEnd w:id="35"/>
      <w:bookmarkEnd w:id="36"/>
      <w:r>
        <w:fldChar w:fldCharType="begin"/>
      </w:r>
      <w:r>
        <w:instrText xml:space="preserve"> XE </w:instrText>
      </w:r>
      <w:r w:rsidR="00FA7E65">
        <w:instrText>“</w:instrText>
      </w:r>
      <w:r>
        <w:instrText>Software Basics</w:instrText>
      </w:r>
      <w:r w:rsidR="00FA7E65">
        <w:instrText>”</w:instrText>
      </w:r>
      <w:r>
        <w:instrText xml:space="preserve"> </w:instrText>
      </w:r>
      <w:r>
        <w:fldChar w:fldCharType="end"/>
      </w:r>
    </w:p>
    <w:p w14:paraId="14B5D766" w14:textId="2632D34D" w:rsidR="00045762" w:rsidRDefault="00045762" w:rsidP="00045762">
      <w:pPr>
        <w:pStyle w:val="ListBullet"/>
      </w:pPr>
      <w:r>
        <w:t xml:space="preserve">When a message window requires a user response and VBECS displays it </w:t>
      </w:r>
      <w:r w:rsidRPr="00BA627C">
        <w:t xml:space="preserve">behind the active window, the user must minimize the active window </w:t>
      </w:r>
      <w:r>
        <w:t xml:space="preserve">or </w:t>
      </w:r>
      <w:r w:rsidRPr="00BA627C">
        <w:t xml:space="preserve">click and drag dialog boxes to expose the </w:t>
      </w:r>
      <w:r>
        <w:t>message window</w:t>
      </w:r>
      <w:r w:rsidR="00A4315F">
        <w:t>.</w:t>
      </w:r>
    </w:p>
    <w:p w14:paraId="06939553" w14:textId="77777777" w:rsidR="002A21AE" w:rsidRDefault="002A21AE">
      <w:pPr>
        <w:pStyle w:val="ListBullet"/>
      </w:pPr>
      <w:r>
        <w:t xml:space="preserve">A user may click </w:t>
      </w:r>
      <w:r>
        <w:rPr>
          <w:b/>
        </w:rPr>
        <w:t>Cancel</w:t>
      </w:r>
      <w:r>
        <w:t xml:space="preserve">, </w:t>
      </w:r>
      <w:r>
        <w:rPr>
          <w:b/>
        </w:rPr>
        <w:t>Close</w:t>
      </w:r>
      <w:r>
        <w:t xml:space="preserve">, or </w:t>
      </w:r>
      <w:r w:rsidRPr="00D1343E">
        <w:rPr>
          <w:rStyle w:val="BodyTextChar"/>
          <w:rFonts w:ascii="Wingdings 2" w:hAnsi="Wingdings 2"/>
          <w:b/>
        </w:rPr>
        <w:t></w:t>
      </w:r>
      <w:r>
        <w:t xml:space="preserve"> in the upper right corner at any time to exit without saving.</w:t>
      </w:r>
    </w:p>
    <w:p w14:paraId="66D444C7" w14:textId="77777777" w:rsidR="002A21AE" w:rsidRDefault="002A21AE">
      <w:pPr>
        <w:pStyle w:val="ListBullet"/>
      </w:pPr>
      <w:r>
        <w:t>All operations depend on the user being logged into the appropriate division.</w:t>
      </w:r>
    </w:p>
    <w:p w14:paraId="785F65E6" w14:textId="4188C5A2" w:rsidR="002A21AE" w:rsidRDefault="002A21AE">
      <w:pPr>
        <w:pStyle w:val="ListBullet"/>
      </w:pPr>
      <w:r>
        <w:t>A user may click a column heading to resort the items in that column</w:t>
      </w:r>
      <w:r w:rsidR="00A76428">
        <w:t xml:space="preserve"> (</w:t>
      </w:r>
      <w:r w:rsidR="00EE455E">
        <w:t xml:space="preserve">Figure </w:t>
      </w:r>
      <w:r w:rsidR="00EE455E">
        <w:rPr>
          <w:noProof/>
        </w:rPr>
        <w:t>1</w:t>
      </w:r>
      <w:r w:rsidR="00A76428">
        <w:t xml:space="preserve"> and </w:t>
      </w:r>
      <w:r w:rsidR="00EE455E">
        <w:t xml:space="preserve">Figure </w:t>
      </w:r>
      <w:r w:rsidR="00EE455E">
        <w:rPr>
          <w:noProof/>
        </w:rPr>
        <w:t>2</w:t>
      </w:r>
      <w:r w:rsidR="00A76428">
        <w:t>)</w:t>
      </w:r>
      <w:r>
        <w:t>.</w:t>
      </w:r>
    </w:p>
    <w:p w14:paraId="7ED52010" w14:textId="77777777" w:rsidR="00163C35" w:rsidRDefault="002A21AE" w:rsidP="00163C35">
      <w:pPr>
        <w:pStyle w:val="ListBullet"/>
      </w:pPr>
      <w:r>
        <w:rPr>
          <w:vanish/>
          <w:spacing w:val="0"/>
        </w:rPr>
        <w:t xml:space="preserve">BR_2.48 </w:t>
      </w:r>
      <w:r>
        <w:t>Reaction results entries are allowed for only those reagents defined as part of the reagent rack</w:t>
      </w:r>
      <w:r w:rsidR="00F53A23">
        <w:t>.</w:t>
      </w:r>
    </w:p>
    <w:p w14:paraId="513BFB39" w14:textId="41CE55C4" w:rsidR="002A21AE" w:rsidRDefault="002A21AE">
      <w:pPr>
        <w:pStyle w:val="ListBullet"/>
      </w:pPr>
      <w:r>
        <w:t>Select a date from the calendar in the drop-down list to edit a date, or click each part of the date to edit the date and time</w:t>
      </w:r>
      <w:r w:rsidR="00F2615F">
        <w:t xml:space="preserve"> (</w:t>
      </w:r>
      <w:r w:rsidR="00EE455E">
        <w:t xml:space="preserve">Figure </w:t>
      </w:r>
      <w:r w:rsidR="00EE455E">
        <w:rPr>
          <w:noProof/>
        </w:rPr>
        <w:t>3</w:t>
      </w:r>
      <w:r w:rsidR="00622085">
        <w:t xml:space="preserve"> and</w:t>
      </w:r>
      <w:r w:rsidR="00DB4AE0">
        <w:rPr>
          <w:b/>
        </w:rPr>
        <w:t xml:space="preserve"> </w:t>
      </w:r>
      <w:r w:rsidR="00EE455E">
        <w:t xml:space="preserve">Figure </w:t>
      </w:r>
      <w:r w:rsidR="00EE455E">
        <w:rPr>
          <w:noProof/>
        </w:rPr>
        <w:t>4</w:t>
      </w:r>
      <w:r w:rsidR="00622085">
        <w:t>).</w:t>
      </w:r>
    </w:p>
    <w:p w14:paraId="0521ABD4" w14:textId="77777777" w:rsidR="000C156B" w:rsidRPr="00AA4AB6" w:rsidRDefault="007F6441" w:rsidP="000C156B">
      <w:pPr>
        <w:pStyle w:val="ListBullet"/>
      </w:pPr>
      <w:r>
        <w:rPr>
          <w:rFonts w:eastAsia="Arial Unicode MS"/>
        </w:rPr>
        <w:t>Labels shown in figures</w:t>
      </w:r>
      <w:r w:rsidR="000C156B">
        <w:rPr>
          <w:rFonts w:eastAsia="Arial Unicode MS"/>
        </w:rPr>
        <w:t xml:space="preserve"> are visual aids only and do not represent actual labels</w:t>
      </w:r>
      <w:r>
        <w:rPr>
          <w:rFonts w:eastAsia="Arial Unicode MS"/>
        </w:rPr>
        <w:t>.</w:t>
      </w:r>
    </w:p>
    <w:p w14:paraId="09B1C660" w14:textId="77777777" w:rsidR="00023520" w:rsidRPr="002B06B2" w:rsidRDefault="00057948" w:rsidP="002B06B2">
      <w:pPr>
        <w:pStyle w:val="Caution"/>
      </w:pPr>
      <w:r>
        <w:rPr>
          <w:noProof/>
        </w:rPr>
        <w:drawing>
          <wp:inline distT="0" distB="0" distL="0" distR="0" wp14:anchorId="58C7CF6F" wp14:editId="34446CC9">
            <wp:extent cx="267970" cy="221615"/>
            <wp:effectExtent l="0" t="0" r="0" b="6985"/>
            <wp:docPr id="18" name="Picture 18"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3640CD">
        <w:t xml:space="preserve"> </w:t>
      </w:r>
      <w:r w:rsidR="002B06B2">
        <w:t>Although t</w:t>
      </w:r>
      <w:r w:rsidR="00023520" w:rsidRPr="002B06B2">
        <w:t>he copy-and-paste function is enabled</w:t>
      </w:r>
      <w:r w:rsidR="002B06B2">
        <w:t>, do</w:t>
      </w:r>
      <w:r w:rsidR="00023520" w:rsidRPr="002B06B2">
        <w:t xml:space="preserve"> not use it to enter patient identification information. </w:t>
      </w:r>
      <w:r w:rsidR="005A68C1">
        <w:t>It is highly</w:t>
      </w:r>
      <w:r w:rsidR="00023520" w:rsidRPr="002B06B2">
        <w:t xml:space="preserve"> recommend</w:t>
      </w:r>
      <w:r w:rsidR="005A68C1">
        <w:t>ed</w:t>
      </w:r>
      <w:r w:rsidR="00023520" w:rsidRPr="002B06B2">
        <w:t xml:space="preserve"> that the user scan this information when possible</w:t>
      </w:r>
      <w:r w:rsidR="002B06B2">
        <w:t>;</w:t>
      </w:r>
      <w:r w:rsidR="00023520" w:rsidRPr="002B06B2">
        <w:t xml:space="preserve"> otherwise</w:t>
      </w:r>
      <w:r w:rsidR="002B06B2">
        <w:t>,</w:t>
      </w:r>
      <w:r w:rsidR="00A137C8">
        <w:t xml:space="preserve"> enter it</w:t>
      </w:r>
      <w:r w:rsidR="00A137C8" w:rsidRPr="00703B36">
        <w:rPr>
          <w:vanish/>
        </w:rPr>
        <w:t xml:space="preserve"> </w:t>
      </w:r>
      <w:r w:rsidR="00C83CF0" w:rsidRPr="002B06B2">
        <w:rPr>
          <w:vanish/>
        </w:rPr>
        <w:t>(DR 2,519)</w:t>
      </w:r>
      <w:r w:rsidR="00C83CF0" w:rsidRPr="002B06B2">
        <w:t>.</w:t>
      </w:r>
    </w:p>
    <w:p w14:paraId="0413FF1C" w14:textId="08F4E5F3" w:rsidR="001A234F" w:rsidRDefault="001A234F" w:rsidP="00A76428">
      <w:pPr>
        <w:pStyle w:val="Caption"/>
        <w:tabs>
          <w:tab w:val="left" w:pos="4860"/>
        </w:tabs>
      </w:pPr>
      <w:bookmarkStart w:id="37" w:name="_Ref12648236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w:t>
      </w:r>
      <w:r w:rsidR="004E20BD">
        <w:rPr>
          <w:noProof/>
        </w:rPr>
        <w:fldChar w:fldCharType="end"/>
      </w:r>
      <w:bookmarkEnd w:id="37"/>
      <w:r w:rsidR="002418C9">
        <w:t>: Click to Sort by Patient Name</w:t>
      </w:r>
    </w:p>
    <w:p w14:paraId="0E2E8B6C" w14:textId="77777777" w:rsidR="000A2260" w:rsidRDefault="00057948" w:rsidP="000A2260">
      <w:pPr>
        <w:pStyle w:val="BodyText"/>
      </w:pPr>
      <w:r>
        <w:rPr>
          <w:noProof/>
        </w:rPr>
        <w:drawing>
          <wp:inline distT="0" distB="0" distL="0" distR="0" wp14:anchorId="03499D5E" wp14:editId="6101AED4">
            <wp:extent cx="5486400" cy="1597660"/>
            <wp:effectExtent l="0" t="0" r="0" b="2540"/>
            <wp:docPr id="19" name="Picture 19" descr="Click to Sort by Patient Nam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lick to Sort by Patient Name screen cap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597660"/>
                    </a:xfrm>
                    <a:prstGeom prst="rect">
                      <a:avLst/>
                    </a:prstGeom>
                    <a:noFill/>
                    <a:ln>
                      <a:noFill/>
                    </a:ln>
                  </pic:spPr>
                </pic:pic>
              </a:graphicData>
            </a:graphic>
          </wp:inline>
        </w:drawing>
      </w:r>
    </w:p>
    <w:p w14:paraId="2AA77531" w14:textId="4EE15974" w:rsidR="00730FE6" w:rsidRDefault="0086195D" w:rsidP="00AA6FFB">
      <w:pPr>
        <w:pStyle w:val="Caption"/>
        <w:tabs>
          <w:tab w:val="left" w:pos="4860"/>
        </w:tabs>
      </w:pPr>
      <w:bookmarkStart w:id="38" w:name="_Ref126482369"/>
      <w:bookmarkStart w:id="39" w:name="_Ref126467446"/>
      <w:bookmarkStart w:id="40" w:name="_Ref12646750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2</w:t>
      </w:r>
      <w:r w:rsidR="004E20BD">
        <w:rPr>
          <w:noProof/>
        </w:rPr>
        <w:fldChar w:fldCharType="end"/>
      </w:r>
      <w:bookmarkEnd w:id="38"/>
      <w:r>
        <w:t>: Click to Sort by Request</w:t>
      </w:r>
    </w:p>
    <w:p w14:paraId="7547B329" w14:textId="77777777" w:rsidR="0086195D" w:rsidRDefault="00057948" w:rsidP="00A542EE">
      <w:pPr>
        <w:pStyle w:val="BodyText"/>
      </w:pPr>
      <w:r>
        <w:rPr>
          <w:b/>
          <w:noProof/>
        </w:rPr>
        <w:drawing>
          <wp:inline distT="0" distB="0" distL="0" distR="0" wp14:anchorId="7E56F6B3" wp14:editId="4108BB4D">
            <wp:extent cx="5486400" cy="1597660"/>
            <wp:effectExtent l="0" t="0" r="0" b="2540"/>
            <wp:docPr id="20" name="Picture 20" descr="Click to Sort by Reque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lick to Sort by Request screen cap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1597660"/>
                    </a:xfrm>
                    <a:prstGeom prst="rect">
                      <a:avLst/>
                    </a:prstGeom>
                    <a:noFill/>
                    <a:ln>
                      <a:noFill/>
                    </a:ln>
                  </pic:spPr>
                </pic:pic>
              </a:graphicData>
            </a:graphic>
          </wp:inline>
        </w:drawing>
      </w:r>
    </w:p>
    <w:p w14:paraId="5AB12E58" w14:textId="77777777" w:rsidR="00A542EE" w:rsidRDefault="00A542EE" w:rsidP="00AA6FFB">
      <w:pPr>
        <w:pStyle w:val="Caption"/>
        <w:tabs>
          <w:tab w:val="left" w:pos="4860"/>
        </w:tabs>
        <w:sectPr w:rsidR="00A542EE" w:rsidSect="00EE771C">
          <w:footerReference w:type="default" r:id="rId28"/>
          <w:pgSz w:w="12240" w:h="15840" w:code="1"/>
          <w:pgMar w:top="1440" w:right="1440" w:bottom="1440" w:left="1440" w:header="720" w:footer="720" w:gutter="0"/>
          <w:pgNumType w:start="1"/>
          <w:cols w:space="720"/>
          <w:docGrid w:linePitch="360"/>
        </w:sectPr>
      </w:pPr>
    </w:p>
    <w:p w14:paraId="5A4BC8F3" w14:textId="060699FB" w:rsidR="00A542EE" w:rsidRDefault="008F3522" w:rsidP="00EE11ED">
      <w:pPr>
        <w:pStyle w:val="Caption"/>
      </w:pPr>
      <w:bookmarkStart w:id="41" w:name="_Ref12648315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3</w:t>
      </w:r>
      <w:r w:rsidR="004E20BD">
        <w:rPr>
          <w:noProof/>
        </w:rPr>
        <w:fldChar w:fldCharType="end"/>
      </w:r>
      <w:bookmarkEnd w:id="39"/>
      <w:bookmarkEnd w:id="41"/>
      <w:r>
        <w:t>: Select a Date from the Calendar</w:t>
      </w:r>
    </w:p>
    <w:p w14:paraId="2868EA18" w14:textId="77777777" w:rsidR="004D098F" w:rsidRDefault="00057948" w:rsidP="007C191F">
      <w:pPr>
        <w:pStyle w:val="BodyText"/>
      </w:pPr>
      <w:bookmarkStart w:id="42" w:name="_Ref126483168"/>
      <w:r>
        <w:rPr>
          <w:noProof/>
        </w:rPr>
        <w:drawing>
          <wp:inline distT="0" distB="0" distL="0" distR="0" wp14:anchorId="53B89FAD" wp14:editId="2FA1C899">
            <wp:extent cx="1939925" cy="1958340"/>
            <wp:effectExtent l="0" t="0" r="3175" b="3810"/>
            <wp:docPr id="21" name="Picture 21" descr="Select a Date from the Calenda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elect a Date from the Calendar screen cap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9925" cy="1958340"/>
                    </a:xfrm>
                    <a:prstGeom prst="rect">
                      <a:avLst/>
                    </a:prstGeom>
                    <a:noFill/>
                    <a:ln>
                      <a:noFill/>
                    </a:ln>
                  </pic:spPr>
                </pic:pic>
              </a:graphicData>
            </a:graphic>
          </wp:inline>
        </w:drawing>
      </w:r>
    </w:p>
    <w:p w14:paraId="5BE97010" w14:textId="77777777" w:rsidR="00250F92" w:rsidRDefault="00250F92" w:rsidP="007C191F">
      <w:pPr>
        <w:pStyle w:val="BodyText"/>
      </w:pPr>
    </w:p>
    <w:p w14:paraId="5E6520E1" w14:textId="532F583B" w:rsidR="007952C0" w:rsidRDefault="007952C0" w:rsidP="007952C0">
      <w:pPr>
        <w:pStyle w:val="Caption"/>
      </w:pPr>
      <w:bookmarkStart w:id="43" w:name="_Ref524523891"/>
      <w:bookmarkEnd w:id="40"/>
      <w:bookmarkEnd w:id="42"/>
      <w:r>
        <w:t xml:space="preserve">Figure </w:t>
      </w:r>
      <w:r>
        <w:rPr>
          <w:noProof/>
        </w:rPr>
        <w:fldChar w:fldCharType="begin"/>
      </w:r>
      <w:r>
        <w:rPr>
          <w:noProof/>
        </w:rPr>
        <w:instrText xml:space="preserve"> SEQ Figure \* ARABIC </w:instrText>
      </w:r>
      <w:r>
        <w:rPr>
          <w:noProof/>
        </w:rPr>
        <w:fldChar w:fldCharType="separate"/>
      </w:r>
      <w:r w:rsidR="00ED2D38">
        <w:rPr>
          <w:noProof/>
        </w:rPr>
        <w:t>4</w:t>
      </w:r>
      <w:r>
        <w:rPr>
          <w:noProof/>
        </w:rPr>
        <w:fldChar w:fldCharType="end"/>
      </w:r>
      <w:bookmarkEnd w:id="43"/>
      <w:r>
        <w:t>: Edit the Date and Time</w:t>
      </w:r>
    </w:p>
    <w:p w14:paraId="68AB3E03" w14:textId="77777777" w:rsidR="007952C0" w:rsidRPr="00207521" w:rsidRDefault="007952C0" w:rsidP="007952C0">
      <w:pPr>
        <w:pStyle w:val="BodyText"/>
      </w:pPr>
      <w:r>
        <w:rPr>
          <w:noProof/>
        </w:rPr>
        <w:drawing>
          <wp:inline distT="0" distB="0" distL="0" distR="0" wp14:anchorId="0C76F6F9" wp14:editId="6ED165F0">
            <wp:extent cx="1450340" cy="563245"/>
            <wp:effectExtent l="0" t="0" r="0" b="8255"/>
            <wp:docPr id="6" name="Picture 6" descr="Edit the Date and Tim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dit the Date and Time screen cap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0340" cy="563245"/>
                    </a:xfrm>
                    <a:prstGeom prst="rect">
                      <a:avLst/>
                    </a:prstGeom>
                    <a:noFill/>
                    <a:ln>
                      <a:noFill/>
                    </a:ln>
                  </pic:spPr>
                </pic:pic>
              </a:graphicData>
            </a:graphic>
          </wp:inline>
        </w:drawing>
      </w:r>
    </w:p>
    <w:p w14:paraId="6B2AE653" w14:textId="77777777" w:rsidR="006C79C7" w:rsidRDefault="006C79C7">
      <w:pPr>
        <w:rPr>
          <w:rFonts w:ascii="Arial" w:hAnsi="Arial" w:cs="Arial"/>
          <w:b/>
          <w:bCs/>
          <w:i/>
          <w:iCs/>
          <w:sz w:val="28"/>
          <w:szCs w:val="28"/>
        </w:rPr>
      </w:pPr>
      <w:r>
        <w:br w:type="page"/>
      </w:r>
    </w:p>
    <w:p w14:paraId="4B7F864E" w14:textId="2573EBD4" w:rsidR="00C47F9D" w:rsidRDefault="00C47F9D" w:rsidP="00C47F9D">
      <w:pPr>
        <w:pStyle w:val="Heading2"/>
      </w:pPr>
      <w:bookmarkStart w:id="44" w:name="_Toc149064053"/>
      <w:r>
        <w:t>Commonly Used System Rules</w:t>
      </w:r>
      <w:bookmarkEnd w:id="44"/>
      <w:r>
        <w:fldChar w:fldCharType="begin"/>
      </w:r>
      <w:r>
        <w:instrText xml:space="preserve"> XE "</w:instrText>
      </w:r>
      <w:r w:rsidRPr="003536AD">
        <w:instrText>Commonly Used System Rules</w:instrText>
      </w:r>
      <w:r>
        <w:instrText xml:space="preserve">" </w:instrText>
      </w:r>
      <w:r>
        <w:fldChar w:fldCharType="end"/>
      </w:r>
    </w:p>
    <w:p w14:paraId="76503300" w14:textId="77777777" w:rsidR="00C47F9D" w:rsidRDefault="00C47F9D" w:rsidP="00C47F9D">
      <w:pPr>
        <w:pStyle w:val="BodyText"/>
      </w:pPr>
      <w:r>
        <w:t>This section includes system rules that apply to several or all options.</w:t>
      </w:r>
    </w:p>
    <w:p w14:paraId="7DC190F1" w14:textId="77777777" w:rsidR="00995145" w:rsidRDefault="00995145" w:rsidP="00C47F9D">
      <w:pPr>
        <w:pStyle w:val="Heading3"/>
      </w:pPr>
      <w:bookmarkStart w:id="45" w:name="_Toc149064054"/>
      <w:r>
        <w:t>Date and Time</w:t>
      </w:r>
      <w:bookmarkEnd w:id="45"/>
      <w:r w:rsidR="00A51F68">
        <w:fldChar w:fldCharType="begin"/>
      </w:r>
      <w:r w:rsidR="00A51F68">
        <w:instrText xml:space="preserve"> XE "</w:instrText>
      </w:r>
      <w:r w:rsidR="00A51F68" w:rsidRPr="00FA7A9D">
        <w:instrText>Date and Time</w:instrText>
      </w:r>
      <w:r w:rsidR="00A51F68">
        <w:instrText xml:space="preserve">" </w:instrText>
      </w:r>
      <w:r w:rsidR="00A51F68">
        <w:fldChar w:fldCharType="end"/>
      </w:r>
    </w:p>
    <w:p w14:paraId="05E256D4" w14:textId="24FCF763" w:rsidR="00995145" w:rsidRDefault="009204CC" w:rsidP="00995145">
      <w:pPr>
        <w:pStyle w:val="ListBullet"/>
      </w:pPr>
      <w:r>
        <w:t xml:space="preserve">Users must contact the </w:t>
      </w:r>
      <w:r w:rsidR="005364D9">
        <w:t>Service</w:t>
      </w:r>
      <w:r>
        <w:t xml:space="preserve"> Desk </w:t>
      </w:r>
      <w:r w:rsidR="00995145">
        <w:t>when the date or time is incorrect.</w:t>
      </w:r>
    </w:p>
    <w:p w14:paraId="5729BE6F" w14:textId="77777777" w:rsidR="0038414C" w:rsidRDefault="0038414C" w:rsidP="0038414C">
      <w:pPr>
        <w:pStyle w:val="ListBullet"/>
      </w:pPr>
      <w:r>
        <w:t xml:space="preserve">The date, time, and time zone </w:t>
      </w:r>
      <w:r w:rsidRPr="0038414C">
        <w:t xml:space="preserve">in VBECS is defined where the blood bank is located. </w:t>
      </w:r>
      <w:r>
        <w:t>Any requests for</w:t>
      </w:r>
      <w:r w:rsidRPr="0038414C">
        <w:t xml:space="preserve"> data from </w:t>
      </w:r>
      <w:r>
        <w:t>a particul</w:t>
      </w:r>
      <w:r w:rsidR="008B2A87">
        <w:t>ar blood b</w:t>
      </w:r>
      <w:r>
        <w:t xml:space="preserve">ank </w:t>
      </w:r>
      <w:r w:rsidRPr="0038414C">
        <w:t>database will reflect the time zone where the data was created and not the time zone where the report is generated.</w:t>
      </w:r>
      <w:r>
        <w:t xml:space="preserve"> </w:t>
      </w:r>
      <w:r>
        <w:rPr>
          <w:vanish/>
        </w:rPr>
        <w:t>DR 3838</w:t>
      </w:r>
    </w:p>
    <w:p w14:paraId="777B83BC" w14:textId="1BC54347" w:rsidR="00A51F68" w:rsidRPr="00995145" w:rsidRDefault="00063AED" w:rsidP="00995145">
      <w:pPr>
        <w:pStyle w:val="ListBullet"/>
      </w:pPr>
      <w:r>
        <w:t>Refer to</w:t>
      </w:r>
      <w:r w:rsidR="00A51F68">
        <w:t xml:space="preserve"> </w:t>
      </w:r>
      <w:r w:rsidRPr="00063AED">
        <w:rPr>
          <w:i/>
        </w:rPr>
        <w:t xml:space="preserve">VBECS </w:t>
      </w:r>
      <w:r w:rsidR="00B03BDD">
        <w:rPr>
          <w:i/>
        </w:rPr>
        <w:t>2.3.</w:t>
      </w:r>
      <w:r w:rsidR="00656AFE">
        <w:rPr>
          <w:i/>
        </w:rPr>
        <w:t>4</w:t>
      </w:r>
      <w:r w:rsidR="00531617">
        <w:rPr>
          <w:i/>
        </w:rPr>
        <w:t xml:space="preserve"> </w:t>
      </w:r>
      <w:r w:rsidR="00671B56">
        <w:rPr>
          <w:i/>
        </w:rPr>
        <w:t xml:space="preserve">Admin User </w:t>
      </w:r>
      <w:r w:rsidRPr="00063AED">
        <w:rPr>
          <w:i/>
        </w:rPr>
        <w:t>Guide</w:t>
      </w:r>
      <w:r w:rsidRPr="00063AED">
        <w:t xml:space="preserve"> </w:t>
      </w:r>
      <w:r w:rsidR="00A51F68">
        <w:t>to change the time zone.</w:t>
      </w:r>
    </w:p>
    <w:p w14:paraId="21408DA1" w14:textId="77777777" w:rsidR="00A62384" w:rsidRDefault="00A62384" w:rsidP="00A62384">
      <w:pPr>
        <w:pStyle w:val="Heading3"/>
      </w:pPr>
      <w:bookmarkStart w:id="46" w:name="_Toc149064055"/>
      <w:r>
        <w:t>Working with Data</w:t>
      </w:r>
      <w:bookmarkEnd w:id="46"/>
      <w:r>
        <w:fldChar w:fldCharType="begin"/>
      </w:r>
      <w:r>
        <w:instrText xml:space="preserve"> XE </w:instrText>
      </w:r>
      <w:r w:rsidR="00FA7E65">
        <w:instrText>“</w:instrText>
      </w:r>
      <w:r>
        <w:instrText>Working with Data</w:instrText>
      </w:r>
      <w:r w:rsidR="00FA7E65">
        <w:instrText>”</w:instrText>
      </w:r>
      <w:r>
        <w:instrText xml:space="preserve"> </w:instrText>
      </w:r>
      <w:r>
        <w:fldChar w:fldCharType="end"/>
      </w:r>
    </w:p>
    <w:p w14:paraId="44861B20" w14:textId="7687B012" w:rsidR="009C003E" w:rsidRDefault="009C003E" w:rsidP="00AD73C0">
      <w:pPr>
        <w:pStyle w:val="ListBullet"/>
      </w:pPr>
      <w:r>
        <w:t>VBECS will emit an audible alert when a user exceeds the maximum character limit for a field.</w:t>
      </w:r>
      <w:r>
        <w:rPr>
          <w:vanish/>
        </w:rPr>
        <w:t xml:space="preserve"> DR 3825</w:t>
      </w:r>
    </w:p>
    <w:p w14:paraId="67CB78F5" w14:textId="77777777" w:rsidR="002B6B38" w:rsidRDefault="002B6B38" w:rsidP="002B6B38">
      <w:pPr>
        <w:pStyle w:val="ListBullet"/>
      </w:pPr>
      <w:r>
        <w:t xml:space="preserve">The user may enter interpretations and reactions in full-service facilities. The user may enter only interpretations in transfusion-only facilities. </w:t>
      </w:r>
    </w:p>
    <w:p w14:paraId="03EC4326" w14:textId="77777777" w:rsidR="0067711F" w:rsidRDefault="0067711F" w:rsidP="003B2567">
      <w:pPr>
        <w:pStyle w:val="ListBullet"/>
      </w:pPr>
      <w:r>
        <w:t>Information displayed on a</w:t>
      </w:r>
      <w:r w:rsidR="00AC7D83">
        <w:t>n active</w:t>
      </w:r>
      <w:r>
        <w:t xml:space="preserve"> window is updated with information</w:t>
      </w:r>
      <w:r w:rsidR="00AC7D83">
        <w:t xml:space="preserve"> from other options only when</w:t>
      </w:r>
      <w:r w:rsidR="00C242AA">
        <w:t xml:space="preserve"> it is refreshed (i.e., closed and reopened</w:t>
      </w:r>
      <w:r w:rsidR="00AC7D83">
        <w:t>)</w:t>
      </w:r>
      <w:r w:rsidR="00F569CC">
        <w:t xml:space="preserve"> in </w:t>
      </w:r>
      <w:r>
        <w:t xml:space="preserve">the </w:t>
      </w:r>
      <w:r w:rsidR="00AC7D83">
        <w:t>active window</w:t>
      </w:r>
      <w:r>
        <w:t>.</w:t>
      </w:r>
    </w:p>
    <w:p w14:paraId="19D8AAC0" w14:textId="77777777" w:rsidR="00A62384" w:rsidRDefault="00A62384" w:rsidP="00A62384">
      <w:pPr>
        <w:pStyle w:val="ListBullet"/>
      </w:pPr>
      <w:r>
        <w:rPr>
          <w:vanish/>
          <w:spacing w:val="0"/>
        </w:rPr>
        <w:t xml:space="preserve">BR_1.03 </w:t>
      </w:r>
      <w:r>
        <w:t>When VBECS displays a scanner icon next to a data entry field, a user may enter or scan the data.</w:t>
      </w:r>
      <w:r w:rsidR="00340676">
        <w:t xml:space="preserve"> The Caps Lock key must not be engaged.</w:t>
      </w:r>
      <w:r w:rsidR="00340676" w:rsidRPr="00340676">
        <w:rPr>
          <w:vanish/>
        </w:rPr>
        <w:t xml:space="preserve"> (DR 2,733)</w:t>
      </w:r>
      <w:r w:rsidR="00340676">
        <w:t xml:space="preserve"> </w:t>
      </w:r>
    </w:p>
    <w:p w14:paraId="281B4618" w14:textId="77777777" w:rsidR="00E83D83" w:rsidRPr="00E83D83" w:rsidRDefault="00E83D83" w:rsidP="00E83D83">
      <w:pPr>
        <w:pStyle w:val="ListBullet"/>
        <w:rPr>
          <w:spacing w:val="0"/>
        </w:rPr>
      </w:pPr>
      <w:r w:rsidRPr="00E83D83">
        <w:rPr>
          <w:vanish/>
          <w:spacing w:val="0"/>
        </w:rPr>
        <w:t xml:space="preserve">BR_1.71 </w:t>
      </w:r>
      <w:r w:rsidRPr="00E83D83">
        <w:rPr>
          <w:spacing w:val="0"/>
        </w:rPr>
        <w:t>Entry of Codabar labeled blood units is disabled.</w:t>
      </w:r>
    </w:p>
    <w:p w14:paraId="395CBEFE" w14:textId="77777777" w:rsidR="00413ECA" w:rsidRDefault="00413ECA" w:rsidP="00413ECA">
      <w:pPr>
        <w:pStyle w:val="ListBullet"/>
      </w:pPr>
      <w:r>
        <w:rPr>
          <w:vanish/>
          <w:spacing w:val="0"/>
        </w:rPr>
        <w:t xml:space="preserve">BR_28.26 </w:t>
      </w:r>
      <w:r>
        <w:t>VBECS captures all technologist IDs and the name of the technologist who displays and/or prints testing information on reports associated with entering test results on a worksheet.</w:t>
      </w:r>
    </w:p>
    <w:p w14:paraId="3617D98F" w14:textId="7D68720E" w:rsidR="00413ECA" w:rsidRDefault="00413ECA" w:rsidP="0077424C">
      <w:pPr>
        <w:pStyle w:val="ListBullet"/>
        <w:keepLines/>
      </w:pPr>
      <w:r>
        <w:rPr>
          <w:vanish/>
          <w:spacing w:val="0"/>
        </w:rPr>
        <w:t>BR_40.06</w:t>
      </w:r>
      <w:r w:rsidR="00D415FB">
        <w:rPr>
          <w:vanish/>
          <w:spacing w:val="0"/>
        </w:rPr>
        <w:t xml:space="preserve"> </w:t>
      </w:r>
      <w:r w:rsidR="004E0817">
        <w:rPr>
          <w:spacing w:val="0"/>
        </w:rPr>
        <w:t>With each valid keystroke entry in</w:t>
      </w:r>
      <w:r w:rsidR="003937C6" w:rsidRPr="004E0817">
        <w:rPr>
          <w:spacing w:val="0"/>
        </w:rPr>
        <w:t xml:space="preserve"> the antibody screen </w:t>
      </w:r>
      <w:r w:rsidR="004E0817">
        <w:rPr>
          <w:spacing w:val="0"/>
        </w:rPr>
        <w:t>and</w:t>
      </w:r>
      <w:r w:rsidR="003937C6" w:rsidRPr="004E0817">
        <w:rPr>
          <w:spacing w:val="0"/>
        </w:rPr>
        <w:t xml:space="preserve"> crossmatch test grids, VBECS moves </w:t>
      </w:r>
      <w:r>
        <w:t xml:space="preserve">the cursor from top to bottom in the </w:t>
      </w:r>
      <w:r w:rsidR="00AB4BD9">
        <w:t>far-left</w:t>
      </w:r>
      <w:r>
        <w:t xml:space="preserve"> column within the cells in which results are being entered. The cursor returns to the top cell in the next column to the right and so on across the worksheet grid. The cursor stays in the reaction results cells by default (the technologist may navigate independently) until the last entry is made in the reaction result portion of the grid</w:t>
      </w:r>
      <w:r w:rsidR="00D415FB">
        <w:t>, t</w:t>
      </w:r>
      <w:r>
        <w:t>hen the cursor moves to the first (top) interpretation cell.</w:t>
      </w:r>
    </w:p>
    <w:p w14:paraId="4C022122" w14:textId="77777777" w:rsidR="00E73E6C" w:rsidRDefault="00A32CB7" w:rsidP="00A32CB7">
      <w:pPr>
        <w:pStyle w:val="ListBullet"/>
      </w:pPr>
      <w:bookmarkStart w:id="47" w:name="OLE_LINK35"/>
      <w:bookmarkStart w:id="48" w:name="OLE_LINK36"/>
      <w:r>
        <w:t>To clear an entry in a test grid cell, press</w:t>
      </w:r>
      <w:r w:rsidR="004F3C85">
        <w:t xml:space="preserve"> the</w:t>
      </w:r>
      <w:r>
        <w:t xml:space="preserve"> </w:t>
      </w:r>
      <w:r w:rsidRPr="00A32CB7">
        <w:rPr>
          <w:b/>
        </w:rPr>
        <w:t>Backspace</w:t>
      </w:r>
      <w:r w:rsidR="004F3C85">
        <w:t xml:space="preserve"> key.</w:t>
      </w:r>
    </w:p>
    <w:p w14:paraId="08BDFB8F" w14:textId="77777777" w:rsidR="00A32CB7" w:rsidRDefault="00E73E6C" w:rsidP="00E73E6C">
      <w:pPr>
        <w:pStyle w:val="ListBullet"/>
      </w:pPr>
      <w:r>
        <w:t xml:space="preserve">VBECS allows selection of deceased patients without a warning message presented when VBECS has not received a patient death update message from VistA. </w:t>
      </w:r>
      <w:r>
        <w:rPr>
          <w:vanish/>
        </w:rPr>
        <w:t>DR 3064</w:t>
      </w:r>
    </w:p>
    <w:bookmarkEnd w:id="47"/>
    <w:bookmarkEnd w:id="48"/>
    <w:p w14:paraId="7B684721" w14:textId="77777777" w:rsidR="00413ECA" w:rsidRDefault="00413ECA" w:rsidP="00413ECA">
      <w:pPr>
        <w:pStyle w:val="ListBullet"/>
      </w:pPr>
      <w:r w:rsidRPr="009174D5">
        <w:rPr>
          <w:vanish/>
          <w:spacing w:val="0"/>
        </w:rPr>
        <w:t>BR_2.18</w:t>
      </w:r>
      <w:r>
        <w:rPr>
          <w:vanish/>
          <w:spacing w:val="0"/>
        </w:rPr>
        <w:t xml:space="preserve"> </w:t>
      </w:r>
      <w:r>
        <w:t xml:space="preserve">VBECS displays the data that a user enters in a session. The user may edit the data and </w:t>
      </w:r>
      <w:r w:rsidR="008A7BDA">
        <w:t xml:space="preserve">save them. </w:t>
      </w:r>
      <w:r>
        <w:t xml:space="preserve">VBECS warns </w:t>
      </w:r>
      <w:r w:rsidR="008A7BDA">
        <w:t>the user that if he chooses to cancel using the cancel or “X” button or by leaving/refreshing the current page, VBECS will not save any data changes entered during the session</w:t>
      </w:r>
      <w:r>
        <w:t xml:space="preserve">. VBECS </w:t>
      </w:r>
      <w:r w:rsidR="00A62384" w:rsidRPr="00CF619F">
        <w:t>closes the form and</w:t>
      </w:r>
      <w:r w:rsidR="005A3214">
        <w:t xml:space="preserve"> </w:t>
      </w:r>
      <w:r w:rsidRPr="00CF619F">
        <w:t>returns the user to the main menu screen that may include unrelated open windows</w:t>
      </w:r>
      <w:r>
        <w:t>.</w:t>
      </w:r>
    </w:p>
    <w:p w14:paraId="6A7DC74E" w14:textId="77777777" w:rsidR="00413ECA" w:rsidRDefault="00413ECA" w:rsidP="00413ECA">
      <w:pPr>
        <w:pStyle w:val="ListBullet"/>
      </w:pPr>
      <w:r>
        <w:rPr>
          <w:vanish/>
          <w:spacing w:val="0"/>
        </w:rPr>
        <w:t xml:space="preserve">BR_38.08 </w:t>
      </w:r>
      <w:r>
        <w:t xml:space="preserve">VBECS displays </w:t>
      </w:r>
      <w:r w:rsidR="00941683">
        <w:t xml:space="preserve">and enforces active </w:t>
      </w:r>
      <w:r w:rsidR="003937C6">
        <w:t>Transfusion R</w:t>
      </w:r>
      <w:r>
        <w:t xml:space="preserve">equirements </w:t>
      </w:r>
      <w:r w:rsidR="003937C6">
        <w:t xml:space="preserve">(TRs) </w:t>
      </w:r>
      <w:r>
        <w:t>to all divisions in a multi</w:t>
      </w:r>
      <w:r w:rsidR="00941683">
        <w:t>divisional database.</w:t>
      </w:r>
    </w:p>
    <w:p w14:paraId="7653E129" w14:textId="77777777" w:rsidR="00413ECA" w:rsidRDefault="00413ECA" w:rsidP="00413ECA">
      <w:pPr>
        <w:pStyle w:val="ListBullet"/>
      </w:pPr>
      <w:r>
        <w:rPr>
          <w:vanish/>
          <w:spacing w:val="0"/>
        </w:rPr>
        <w:t xml:space="preserve">BR_52.04 </w:t>
      </w:r>
      <w:r>
        <w:t>The user may not edit the title column of the data grid that specifies the reagent used in the test with a patient specimen.</w:t>
      </w:r>
    </w:p>
    <w:p w14:paraId="0AF1DC55" w14:textId="77777777" w:rsidR="00413ECA" w:rsidRDefault="00413ECA" w:rsidP="00413ECA">
      <w:pPr>
        <w:pStyle w:val="ListBullet"/>
      </w:pPr>
      <w:r>
        <w:rPr>
          <w:vanish/>
          <w:spacing w:val="0"/>
        </w:rPr>
        <w:t xml:space="preserve">BR_2.01 </w:t>
      </w:r>
      <w:r>
        <w:t>Unless otherwise indicated, data entry and retrieval are restricted to the division logged into.</w:t>
      </w:r>
    </w:p>
    <w:p w14:paraId="7B9E54DC" w14:textId="77777777" w:rsidR="00413ECA" w:rsidRDefault="00413ECA" w:rsidP="00413ECA">
      <w:pPr>
        <w:pStyle w:val="ListBullet"/>
      </w:pPr>
      <w:r>
        <w:rPr>
          <w:vanish/>
          <w:spacing w:val="0"/>
        </w:rPr>
        <w:t xml:space="preserve">BR_56.08 </w:t>
      </w:r>
      <w:r w:rsidR="00AD6662" w:rsidRPr="00AD6662">
        <w:rPr>
          <w:spacing w:val="0"/>
        </w:rPr>
        <w:t>To enter data after VBECS has been unavailable, a</w:t>
      </w:r>
      <w:r w:rsidRPr="00AD6662">
        <w:t xml:space="preserve"> u</w:t>
      </w:r>
      <w:r>
        <w:t xml:space="preserve">ser may </w:t>
      </w:r>
      <w:r w:rsidR="00AD6662">
        <w:t>enter</w:t>
      </w:r>
      <w:r>
        <w:t xml:space="preserve"> a past date, time, and the technologist who performed the work.</w:t>
      </w:r>
    </w:p>
    <w:p w14:paraId="042A6DAB" w14:textId="77777777" w:rsidR="00413ECA" w:rsidRDefault="00413ECA" w:rsidP="00413ECA">
      <w:pPr>
        <w:pStyle w:val="ListBullet"/>
      </w:pPr>
      <w:r>
        <w:rPr>
          <w:vanish/>
          <w:spacing w:val="0"/>
        </w:rPr>
        <w:t xml:space="preserve">BR_77.10 </w:t>
      </w:r>
      <w:r>
        <w:t>VBECS displays changes in reverse chronological order.</w:t>
      </w:r>
    </w:p>
    <w:p w14:paraId="6ABDE268" w14:textId="77777777" w:rsidR="00A62384" w:rsidRDefault="00413ECA" w:rsidP="00413ECA">
      <w:pPr>
        <w:pStyle w:val="ListBullet"/>
      </w:pPr>
      <w:r>
        <w:rPr>
          <w:vanish/>
          <w:spacing w:val="0"/>
        </w:rPr>
        <w:t xml:space="preserve">BR_3.22 </w:t>
      </w:r>
      <w:r>
        <w:t>VBECS calculates and displays the days (hours, if less than one day) remaining until a unit’s expiration based on the date and time of unit selection entered during modification.</w:t>
      </w:r>
    </w:p>
    <w:p w14:paraId="11A38CD8" w14:textId="3675EFC3" w:rsidR="00E83D83" w:rsidRDefault="00A62384" w:rsidP="00E83D83">
      <w:pPr>
        <w:pStyle w:val="ListBullet"/>
      </w:pPr>
      <w:r w:rsidRPr="00E83D83">
        <w:rPr>
          <w:vanish/>
        </w:rPr>
        <w:t xml:space="preserve">BR_1.23 </w:t>
      </w:r>
      <w:bookmarkStart w:id="49" w:name="_Hlk100753392"/>
      <w:r w:rsidR="00E83D83" w:rsidRPr="00E83D83">
        <w:t>A scanned ISBT 128 expiration date barcode is identified by the presence of hidden identifier</w:t>
      </w:r>
      <w:r w:rsidR="00F70825">
        <w:t>s</w:t>
      </w:r>
      <w:r w:rsidR="00E83D83" w:rsidRPr="00E83D83">
        <w:t xml:space="preserve">. </w:t>
      </w:r>
      <w:bookmarkEnd w:id="49"/>
      <w:r w:rsidR="00E83D83" w:rsidRPr="00E83D83">
        <w:t xml:space="preserve">Once the hidden identifier is removed, there are two possible formats of the barcode, one involving the date only and another involving date and time. If no time in the barcode, then 23:59 is assumed. </w:t>
      </w:r>
    </w:p>
    <w:p w14:paraId="71F9119F" w14:textId="05E61BBD" w:rsidR="006B317D" w:rsidRPr="006B317D" w:rsidRDefault="00062337" w:rsidP="00447812">
      <w:pPr>
        <w:pStyle w:val="ListBullet"/>
      </w:pPr>
      <w:r w:rsidRPr="006B317D">
        <w:rPr>
          <w:vanish/>
        </w:rPr>
        <w:t xml:space="preserve">BR_1.79 </w:t>
      </w:r>
      <w:r w:rsidRPr="00AC04C2">
        <w:t>VBECS supports the scanning of ISBT 128 2-d barcodes by detecting the appropriate hidden identifier. Once the hidden identifier is removed, the 2-d barcode represents one or more scan codes, depending on the value scanned.</w:t>
      </w:r>
    </w:p>
    <w:p w14:paraId="13C48420" w14:textId="77BEE8E2" w:rsidR="004E2550" w:rsidRPr="004E2550" w:rsidRDefault="004E2550" w:rsidP="004E2550">
      <w:pPr>
        <w:pStyle w:val="ListBullet"/>
      </w:pPr>
      <w:r w:rsidRPr="004E2550">
        <w:rPr>
          <w:vanish/>
        </w:rPr>
        <w:t xml:space="preserve">BR_1.78 </w:t>
      </w:r>
      <w:r w:rsidRPr="004E2550">
        <w:t>VBECS supports the scanning of ISBT 128 special testing information barcodes by detecting the appropriate hidden identifiers.</w:t>
      </w:r>
      <w:r>
        <w:t xml:space="preserve"> </w:t>
      </w:r>
      <w:r w:rsidRPr="0030088C">
        <w:rPr>
          <w:rFonts w:cs="Arial"/>
        </w:rPr>
        <w:t xml:space="preserve">Once the hidden identifier is removed, the </w:t>
      </w:r>
      <w:r>
        <w:rPr>
          <w:rFonts w:cs="Arial"/>
        </w:rPr>
        <w:t>special testing code is a varying length of digits, depending on the type of special testing barcode scanned.</w:t>
      </w:r>
    </w:p>
    <w:p w14:paraId="4A5F04DF" w14:textId="3AB0F9A7" w:rsidR="00A62384" w:rsidRDefault="00A62384" w:rsidP="00A62384">
      <w:pPr>
        <w:pStyle w:val="ListBullet"/>
      </w:pPr>
      <w:r>
        <w:t>Data are never deleted: they are saved indefinitely.</w:t>
      </w:r>
    </w:p>
    <w:p w14:paraId="3A4AC703" w14:textId="77777777" w:rsidR="00EF6BBD" w:rsidRDefault="00EF6BBD" w:rsidP="00A62384">
      <w:pPr>
        <w:pStyle w:val="ListBullet"/>
      </w:pPr>
      <w:r>
        <w:t xml:space="preserve">Although a user may </w:t>
      </w:r>
      <w:r w:rsidR="00C71503">
        <w:t xml:space="preserve">appear to </w:t>
      </w:r>
      <w:r>
        <w:t>select and delete data in gray fields, VBECS does not save such edits.</w:t>
      </w:r>
    </w:p>
    <w:p w14:paraId="61C19C6C" w14:textId="77777777" w:rsidR="00993A74" w:rsidRDefault="00993A74" w:rsidP="00A62384">
      <w:pPr>
        <w:pStyle w:val="ListBullet"/>
      </w:pPr>
      <w:r>
        <w:t xml:space="preserve">A column’s width may be adjusted or hidden for a session. This view returns to the default presentation when the view is opened again. </w:t>
      </w:r>
      <w:r w:rsidRPr="00C242AA">
        <w:rPr>
          <w:vanish/>
        </w:rPr>
        <w:t>DR 2218</w:t>
      </w:r>
    </w:p>
    <w:p w14:paraId="5B9ACF5F" w14:textId="77777777" w:rsidR="003128E0" w:rsidRDefault="003128E0" w:rsidP="003128E0">
      <w:pPr>
        <w:pStyle w:val="ListBullet"/>
      </w:pPr>
      <w:r w:rsidRPr="003128E0">
        <w:rPr>
          <w:vanish/>
        </w:rPr>
        <w:t xml:space="preserve">BR_2.19 </w:t>
      </w:r>
      <w:r>
        <w:t>The ABO/Rh confirmation worklist may be sorted by Unit ID, ABO/Rh, Product Type, Component Type, or Date/Time Received. When displaying the Date/Time Received, seconds are not displayed, but are used to sort the worklist when selecting Date/Time Received for the worklist sort criteria.</w:t>
      </w:r>
    </w:p>
    <w:p w14:paraId="5D125E2E" w14:textId="77777777" w:rsidR="00A62384" w:rsidRDefault="00A62384" w:rsidP="00A62384">
      <w:pPr>
        <w:pStyle w:val="Heading3"/>
      </w:pPr>
      <w:bookmarkStart w:id="50" w:name="_Toc149064056"/>
      <w:r>
        <w:t>Searching the Database</w:t>
      </w:r>
      <w:bookmarkEnd w:id="50"/>
      <w:r>
        <w:fldChar w:fldCharType="begin"/>
      </w:r>
      <w:r>
        <w:instrText xml:space="preserve"> XE </w:instrText>
      </w:r>
      <w:r w:rsidR="00FA7E65">
        <w:instrText>“</w:instrText>
      </w:r>
      <w:r>
        <w:instrText>Searching the Database</w:instrText>
      </w:r>
      <w:r w:rsidR="00FA7E65">
        <w:instrText>”</w:instrText>
      </w:r>
      <w:r>
        <w:instrText xml:space="preserve"> </w:instrText>
      </w:r>
      <w:r>
        <w:fldChar w:fldCharType="end"/>
      </w:r>
    </w:p>
    <w:p w14:paraId="24B3EF6B" w14:textId="77777777" w:rsidR="00A62384" w:rsidRDefault="00A62384" w:rsidP="00A62384">
      <w:pPr>
        <w:pStyle w:val="ListBullet"/>
      </w:pPr>
      <w:r>
        <w:rPr>
          <w:vanish/>
          <w:spacing w:val="0"/>
        </w:rPr>
        <w:t xml:space="preserve">BR_3.20 </w:t>
      </w:r>
      <w:r>
        <w:rPr>
          <w:rFonts w:cs="Arial"/>
        </w:rPr>
        <w:t>A user may</w:t>
      </w:r>
      <w:r>
        <w:t xml:space="preserve"> search for a patient by:</w:t>
      </w:r>
    </w:p>
    <w:p w14:paraId="25F49425" w14:textId="278DB675" w:rsidR="00A62384" w:rsidRDefault="005D2D3B" w:rsidP="0077424C">
      <w:pPr>
        <w:pStyle w:val="ListBullet2"/>
        <w:ind w:left="990" w:hanging="342"/>
      </w:pPr>
      <w:r>
        <w:t>Patient’s l</w:t>
      </w:r>
      <w:r w:rsidR="00A62384">
        <w:t>ast name</w:t>
      </w:r>
      <w:r w:rsidR="00141237">
        <w:t xml:space="preserve"> (symbols such as</w:t>
      </w:r>
      <w:r>
        <w:t xml:space="preserve"> an apostrophe and/or dash are not allowed)</w:t>
      </w:r>
    </w:p>
    <w:p w14:paraId="32E412BA" w14:textId="1E2B9A51" w:rsidR="00A62384" w:rsidRDefault="005D2D3B" w:rsidP="0077424C">
      <w:pPr>
        <w:pStyle w:val="ListBullet2"/>
        <w:ind w:left="990" w:hanging="342"/>
      </w:pPr>
      <w:r>
        <w:t xml:space="preserve">Patient’s </w:t>
      </w:r>
      <w:r w:rsidR="00A62384">
        <w:t>ID</w:t>
      </w:r>
      <w:r w:rsidR="00882CF0">
        <w:t xml:space="preserve"> </w:t>
      </w:r>
      <w:r w:rsidR="00EB26C9">
        <w:t>(omit hyphens)</w:t>
      </w:r>
      <w:r w:rsidR="006F2228">
        <w:t xml:space="preserve"> (“Full”)</w:t>
      </w:r>
    </w:p>
    <w:p w14:paraId="72AF47C1" w14:textId="2E223C52" w:rsidR="00A62384" w:rsidRDefault="005D2D3B" w:rsidP="0077424C">
      <w:pPr>
        <w:pStyle w:val="ListBullet2"/>
        <w:ind w:left="990" w:hanging="342"/>
      </w:pPr>
      <w:r>
        <w:t>Patient’s last i</w:t>
      </w:r>
      <w:r w:rsidR="00A62384">
        <w:t xml:space="preserve">nitial and last four </w:t>
      </w:r>
      <w:r>
        <w:t>digits</w:t>
      </w:r>
      <w:r w:rsidR="00A62384">
        <w:t xml:space="preserve"> of the ID</w:t>
      </w:r>
      <w:r w:rsidR="006F2228">
        <w:t xml:space="preserve"> (“Last </w:t>
      </w:r>
      <w:r>
        <w:t>4</w:t>
      </w:r>
      <w:r w:rsidR="006F2228">
        <w:t>”)</w:t>
      </w:r>
    </w:p>
    <w:p w14:paraId="49609D51" w14:textId="32C0E268" w:rsidR="00A62384" w:rsidRDefault="005D2D3B" w:rsidP="0077424C">
      <w:pPr>
        <w:pStyle w:val="ListBullet2"/>
        <w:ind w:left="990" w:hanging="342"/>
      </w:pPr>
      <w:r>
        <w:t>Patient’s l</w:t>
      </w:r>
      <w:r w:rsidR="00A62384">
        <w:t xml:space="preserve">ast four </w:t>
      </w:r>
      <w:r>
        <w:t>digits</w:t>
      </w:r>
      <w:r w:rsidR="00A62384">
        <w:t xml:space="preserve"> of the ID</w:t>
      </w:r>
      <w:r w:rsidR="006F2228">
        <w:t xml:space="preserve"> (“Last 4”)</w:t>
      </w:r>
    </w:p>
    <w:p w14:paraId="3736A7AF" w14:textId="77777777" w:rsidR="005D2D3B" w:rsidRPr="005D2D3B" w:rsidRDefault="005D2D3B" w:rsidP="005D2D3B">
      <w:pPr>
        <w:pStyle w:val="ListBullet"/>
        <w:rPr>
          <w:rFonts w:cs="Arial"/>
        </w:rPr>
      </w:pPr>
      <w:r w:rsidRPr="005D2D3B">
        <w:rPr>
          <w:rFonts w:cs="Arial"/>
        </w:rPr>
        <w:t>For example, for a patient whose last name is TEST with an ID of 000-11-2222:</w:t>
      </w:r>
    </w:p>
    <w:p w14:paraId="46CBBCEA" w14:textId="7BF7FBAC" w:rsidR="005D2D3B" w:rsidRPr="00374A4B" w:rsidRDefault="005D2D3B" w:rsidP="0077424C">
      <w:pPr>
        <w:pStyle w:val="ListBullet2"/>
        <w:ind w:left="990" w:hanging="342"/>
      </w:pPr>
      <w:r w:rsidRPr="00374A4B">
        <w:t xml:space="preserve">Patient's last name: user enters "TEST" </w:t>
      </w:r>
    </w:p>
    <w:p w14:paraId="111B3CC5" w14:textId="0ED23BA3" w:rsidR="005D2D3B" w:rsidRPr="00374A4B" w:rsidRDefault="005D2D3B" w:rsidP="0077424C">
      <w:pPr>
        <w:pStyle w:val="ListBullet2"/>
        <w:ind w:left="990" w:hanging="342"/>
      </w:pPr>
      <w:r w:rsidRPr="00374A4B">
        <w:t>Patient's ID: user enters "000112</w:t>
      </w:r>
      <w:r w:rsidR="00326905">
        <w:t>2</w:t>
      </w:r>
      <w:r w:rsidRPr="00374A4B">
        <w:t>22" (no dashes or spaces)</w:t>
      </w:r>
    </w:p>
    <w:p w14:paraId="5CF70A49" w14:textId="74294097" w:rsidR="005D2D3B" w:rsidRPr="00374A4B" w:rsidRDefault="005D2D3B" w:rsidP="0077424C">
      <w:pPr>
        <w:pStyle w:val="ListBullet2"/>
        <w:ind w:left="990" w:hanging="342"/>
      </w:pPr>
      <w:r w:rsidRPr="00374A4B">
        <w:t>Patient's last initial and last four digits of the patient ID: user enters "T2222" (no dashes or spaces)</w:t>
      </w:r>
    </w:p>
    <w:p w14:paraId="0C527F9E" w14:textId="7E6E7210" w:rsidR="005D2D3B" w:rsidRPr="00374A4B" w:rsidRDefault="005D2D3B" w:rsidP="0077424C">
      <w:pPr>
        <w:pStyle w:val="ListBullet2"/>
        <w:ind w:left="990" w:hanging="342"/>
      </w:pPr>
      <w:r w:rsidRPr="00374A4B">
        <w:t xml:space="preserve">Patient's last four digits of the patient ID: user enters "2222" </w:t>
      </w:r>
    </w:p>
    <w:p w14:paraId="35DFDB02" w14:textId="576FEE0C" w:rsidR="005D2D3B" w:rsidRPr="000A23ED" w:rsidRDefault="005D2D3B" w:rsidP="00181A5E">
      <w:pPr>
        <w:pStyle w:val="ListBullet"/>
      </w:pPr>
      <w:r w:rsidRPr="000A23ED">
        <w:t xml:space="preserve">The </w:t>
      </w:r>
      <w:r w:rsidRPr="00181A5E">
        <w:rPr>
          <w:rFonts w:cs="Arial"/>
        </w:rPr>
        <w:t>system</w:t>
      </w:r>
      <w:r w:rsidRPr="000A23ED">
        <w:t xml:space="preserve"> displays all patients that fit the search criteria, allowing the user to select a patient from a pick list.</w:t>
      </w:r>
    </w:p>
    <w:p w14:paraId="5A2FFFA3" w14:textId="6555E42D" w:rsidR="005D2D3B" w:rsidRPr="000A23ED" w:rsidRDefault="005D2D3B" w:rsidP="000A23ED">
      <w:pPr>
        <w:pStyle w:val="TableText"/>
        <w:ind w:left="648"/>
        <w:rPr>
          <w:rFonts w:ascii="Times New Roman" w:hAnsi="Times New Roman"/>
          <w:sz w:val="22"/>
          <w:szCs w:val="22"/>
        </w:rPr>
      </w:pPr>
      <w:r w:rsidRPr="00BF4EC3">
        <w:rPr>
          <w:rFonts w:ascii="Times New Roman" w:hAnsi="Times New Roman"/>
          <w:b/>
          <w:sz w:val="22"/>
          <w:szCs w:val="22"/>
        </w:rPr>
        <w:t>Note:</w:t>
      </w:r>
      <w:r w:rsidRPr="000A23ED">
        <w:rPr>
          <w:rFonts w:ascii="Times New Roman" w:hAnsi="Times New Roman"/>
          <w:sz w:val="22"/>
          <w:szCs w:val="22"/>
        </w:rPr>
        <w:t xml:space="preserve"> Searching by last four digits on the patient ID in VBECS against the VistA database will return matches on the last four digits or the first four digits.</w:t>
      </w:r>
      <w:r w:rsidR="00A113B2">
        <w:rPr>
          <w:rFonts w:ascii="Times New Roman" w:hAnsi="Times New Roman"/>
          <w:sz w:val="22"/>
          <w:szCs w:val="22"/>
        </w:rPr>
        <w:t xml:space="preserve"> </w:t>
      </w:r>
      <w:r w:rsidRPr="000A23ED">
        <w:rPr>
          <w:rFonts w:ascii="Times New Roman" w:hAnsi="Times New Roman"/>
          <w:sz w:val="22"/>
          <w:szCs w:val="22"/>
        </w:rPr>
        <w:t>The following search formats in VistA are not allowed in VBECS:</w:t>
      </w:r>
    </w:p>
    <w:p w14:paraId="7E6F0121" w14:textId="77777777" w:rsidR="005D2D3B" w:rsidRPr="000A23ED" w:rsidRDefault="005D2D3B" w:rsidP="0077424C">
      <w:pPr>
        <w:pStyle w:val="ListBullet2"/>
        <w:ind w:left="990" w:hanging="342"/>
      </w:pPr>
      <w:r w:rsidRPr="000A23ED">
        <w:t>Last name, first name</w:t>
      </w:r>
    </w:p>
    <w:p w14:paraId="038B44EE" w14:textId="6E1ABF14" w:rsidR="005D2D3B" w:rsidRPr="000A23ED" w:rsidRDefault="005D2D3B" w:rsidP="0077424C">
      <w:pPr>
        <w:pStyle w:val="ListBullet2"/>
        <w:ind w:left="990" w:hanging="342"/>
      </w:pPr>
      <w:r w:rsidRPr="000A23ED">
        <w:t>Various patient ID lengths other than 4 or 9 digits</w:t>
      </w:r>
    </w:p>
    <w:p w14:paraId="01205455" w14:textId="57506883" w:rsidR="005D2D3B" w:rsidRPr="000A23ED" w:rsidRDefault="003E2E8A" w:rsidP="0077424C">
      <w:pPr>
        <w:pStyle w:val="ListBullet2"/>
        <w:ind w:left="990" w:hanging="342"/>
      </w:pPr>
      <w:r w:rsidRPr="000A23ED">
        <w:t>VistA Patient ID</w:t>
      </w:r>
    </w:p>
    <w:p w14:paraId="1A7FFCFA" w14:textId="77777777" w:rsidR="00A62384" w:rsidRDefault="00A62384" w:rsidP="00A62384">
      <w:pPr>
        <w:pStyle w:val="ListBullet"/>
      </w:pPr>
      <w:r>
        <w:rPr>
          <w:vanish/>
          <w:spacing w:val="0"/>
        </w:rPr>
        <w:t xml:space="preserve">BR_4.01 </w:t>
      </w:r>
      <w:r>
        <w:t xml:space="preserve">A user must scan or enter a unit ID and a product code to select a unit from inventory. </w:t>
      </w:r>
    </w:p>
    <w:p w14:paraId="3B18C069" w14:textId="77777777" w:rsidR="00A62384" w:rsidRDefault="00A62384" w:rsidP="00A62384">
      <w:pPr>
        <w:pStyle w:val="ListBullet"/>
        <w:rPr>
          <w:vanish/>
          <w:spacing w:val="0"/>
        </w:rPr>
      </w:pPr>
      <w:r>
        <w:rPr>
          <w:vanish/>
          <w:spacing w:val="0"/>
        </w:rPr>
        <w:t>BR_6.02 This rule is included in the Security section.)</w:t>
      </w:r>
    </w:p>
    <w:p w14:paraId="3F9A61D3" w14:textId="77777777" w:rsidR="00413ECA" w:rsidRDefault="00A62384" w:rsidP="00413ECA">
      <w:pPr>
        <w:pStyle w:val="ListBullet"/>
      </w:pPr>
      <w:r w:rsidRPr="00B36B12">
        <w:rPr>
          <w:vanish/>
          <w:spacing w:val="0"/>
        </w:rPr>
        <w:t>BR_27.13</w:t>
      </w:r>
      <w:r>
        <w:rPr>
          <w:vanish/>
          <w:spacing w:val="0"/>
        </w:rPr>
        <w:t xml:space="preserve"> </w:t>
      </w:r>
      <w:r>
        <w:t>When VBECS does not find a unit record, it displays an error message stating that the unit wa</w:t>
      </w:r>
      <w:r w:rsidR="00413ECA">
        <w:t>s not found and instructing the user to reenter unit information. A user may close this message</w:t>
      </w:r>
      <w:r w:rsidR="0049278C">
        <w:t xml:space="preserve">, click </w:t>
      </w:r>
      <w:r w:rsidR="0049278C" w:rsidRPr="0049278C">
        <w:rPr>
          <w:b/>
        </w:rPr>
        <w:t>Clear</w:t>
      </w:r>
      <w:r w:rsidR="0049278C">
        <w:t>,</w:t>
      </w:r>
      <w:r w:rsidR="00413ECA">
        <w:t xml:space="preserve"> and enter </w:t>
      </w:r>
      <w:r w:rsidR="0049278C">
        <w:t>another</w:t>
      </w:r>
      <w:r w:rsidR="00413ECA">
        <w:t xml:space="preserve"> unit ID and product code.</w:t>
      </w:r>
      <w:r w:rsidR="0049278C">
        <w:t xml:space="preserve"> </w:t>
      </w:r>
    </w:p>
    <w:p w14:paraId="20A7A1CA" w14:textId="77777777" w:rsidR="00D776D1" w:rsidRDefault="00413ECA" w:rsidP="00D776D1">
      <w:pPr>
        <w:pStyle w:val="ListBullet"/>
      </w:pPr>
      <w:r>
        <w:rPr>
          <w:vanish/>
          <w:spacing w:val="0"/>
        </w:rPr>
        <w:t xml:space="preserve">BR_5.02 </w:t>
      </w:r>
      <w:r>
        <w:t>VBECS lists all or part of a division</w:t>
      </w:r>
      <w:r w:rsidR="00FA7E65">
        <w:t>’</w:t>
      </w:r>
      <w:r w:rsidR="00A62384">
        <w:t>s blood component inventory, based on system rules. A user may enter a varied co</w:t>
      </w:r>
      <w:r w:rsidR="00D776D1">
        <w:t>mbination of unit information to create a customized list of selectable units, including:</w:t>
      </w:r>
    </w:p>
    <w:p w14:paraId="59F67675" w14:textId="77777777" w:rsidR="00D776D1" w:rsidRDefault="00D776D1" w:rsidP="0077424C">
      <w:pPr>
        <w:pStyle w:val="ListBullet2"/>
        <w:ind w:left="990" w:hanging="342"/>
      </w:pPr>
      <w:r>
        <w:t>Unit ID</w:t>
      </w:r>
    </w:p>
    <w:p w14:paraId="5F2B498F" w14:textId="77777777" w:rsidR="00D776D1" w:rsidRDefault="00D776D1" w:rsidP="0077424C">
      <w:pPr>
        <w:pStyle w:val="ListBullet2"/>
        <w:ind w:left="990" w:hanging="342"/>
      </w:pPr>
      <w:r>
        <w:t>Product type</w:t>
      </w:r>
    </w:p>
    <w:p w14:paraId="1AB1D1BC" w14:textId="77777777" w:rsidR="00D776D1" w:rsidRDefault="00D776D1" w:rsidP="0077424C">
      <w:pPr>
        <w:pStyle w:val="ListBullet2"/>
        <w:ind w:left="990" w:hanging="342"/>
      </w:pPr>
      <w:r>
        <w:t>ABO/Rh</w:t>
      </w:r>
    </w:p>
    <w:p w14:paraId="32C7EA85" w14:textId="417D26E3" w:rsidR="00D776D1" w:rsidRDefault="00D776D1" w:rsidP="0077424C">
      <w:pPr>
        <w:pStyle w:val="ListBullet2"/>
        <w:ind w:left="990" w:hanging="342"/>
      </w:pPr>
      <w:r>
        <w:t>Special testing</w:t>
      </w:r>
      <w:r w:rsidR="00C233B7">
        <w:t xml:space="preserve"> (CMV Neg, SC Neg, or equal to or greater than (= &gt;)</w:t>
      </w:r>
      <w:r w:rsidR="002D3BEC">
        <w:t xml:space="preserve"> 2 </w:t>
      </w:r>
      <w:r w:rsidR="00823261">
        <w:t>mL RBC</w:t>
      </w:r>
      <w:r w:rsidR="005E43F0">
        <w:t xml:space="preserve"> </w:t>
      </w:r>
      <w:r w:rsidR="00823261">
        <w:t>Contamination)</w:t>
      </w:r>
    </w:p>
    <w:p w14:paraId="3A7CC643" w14:textId="77777777" w:rsidR="00D776D1" w:rsidRDefault="00D776D1" w:rsidP="0077424C">
      <w:pPr>
        <w:pStyle w:val="ListBullet2"/>
        <w:ind w:left="990" w:hanging="342"/>
      </w:pPr>
      <w:r>
        <w:t>RBC antigens (available only for the RED BLOOD CELLS component class)</w:t>
      </w:r>
    </w:p>
    <w:p w14:paraId="5FCEB8ED" w14:textId="77777777" w:rsidR="00A62384" w:rsidRDefault="00D776D1" w:rsidP="0077424C">
      <w:pPr>
        <w:pStyle w:val="ListBullet2"/>
        <w:ind w:left="990" w:hanging="342"/>
      </w:pPr>
      <w:r>
        <w:t>Received date range</w:t>
      </w:r>
    </w:p>
    <w:p w14:paraId="18994BF8" w14:textId="77777777" w:rsidR="00A62384" w:rsidRDefault="00A62384" w:rsidP="0077424C">
      <w:pPr>
        <w:pStyle w:val="ListBullet2"/>
        <w:ind w:left="990" w:hanging="342"/>
      </w:pPr>
      <w:r>
        <w:t>Expiration date range</w:t>
      </w:r>
    </w:p>
    <w:p w14:paraId="55DFB22A" w14:textId="77777777" w:rsidR="00A62384" w:rsidRDefault="00A62384" w:rsidP="00181A5E">
      <w:pPr>
        <w:pStyle w:val="ListBullet"/>
      </w:pPr>
      <w:r>
        <w:t xml:space="preserve">VBECS displays this unit information in the selection list whether full inventory, subset, or filtered subset: </w:t>
      </w:r>
    </w:p>
    <w:p w14:paraId="01C2E4E8" w14:textId="77777777" w:rsidR="00A62384" w:rsidRDefault="00A62384" w:rsidP="0077424C">
      <w:pPr>
        <w:pStyle w:val="ListBullet2"/>
        <w:ind w:left="990" w:hanging="342"/>
      </w:pPr>
      <w:r>
        <w:t>Unit ID</w:t>
      </w:r>
    </w:p>
    <w:p w14:paraId="2CD43E1F" w14:textId="77777777" w:rsidR="00A62384" w:rsidRDefault="00A62384" w:rsidP="0077424C">
      <w:pPr>
        <w:pStyle w:val="ListBullet2"/>
        <w:ind w:left="990" w:hanging="342"/>
      </w:pPr>
      <w:r>
        <w:t>Unit ABO/Rh</w:t>
      </w:r>
    </w:p>
    <w:p w14:paraId="655FFAB0" w14:textId="77777777" w:rsidR="00A62384" w:rsidRDefault="00A62384" w:rsidP="0077424C">
      <w:pPr>
        <w:pStyle w:val="ListBullet2"/>
        <w:ind w:left="990" w:hanging="342"/>
      </w:pPr>
      <w:r>
        <w:t>Product short name</w:t>
      </w:r>
    </w:p>
    <w:p w14:paraId="2E211119" w14:textId="77777777" w:rsidR="00A62384" w:rsidRDefault="00A62384" w:rsidP="0077424C">
      <w:pPr>
        <w:pStyle w:val="ListBullet2"/>
        <w:ind w:left="990" w:hanging="342"/>
      </w:pPr>
      <w:r>
        <w:t>Product code</w:t>
      </w:r>
    </w:p>
    <w:p w14:paraId="4599B9C8" w14:textId="77777777" w:rsidR="00A62384" w:rsidRDefault="00A62384" w:rsidP="0077424C">
      <w:pPr>
        <w:pStyle w:val="ListBullet2"/>
        <w:ind w:left="990" w:hanging="342"/>
      </w:pPr>
      <w:r>
        <w:t>Unit status</w:t>
      </w:r>
    </w:p>
    <w:p w14:paraId="3579155C" w14:textId="77777777" w:rsidR="00A62384" w:rsidRDefault="00A62384" w:rsidP="0077424C">
      <w:pPr>
        <w:pStyle w:val="ListBullet2"/>
        <w:ind w:left="990" w:hanging="342"/>
      </w:pPr>
      <w:r>
        <w:t>Unit expiration date</w:t>
      </w:r>
    </w:p>
    <w:p w14:paraId="01352CE3" w14:textId="77777777" w:rsidR="00A62384" w:rsidRDefault="00A62384" w:rsidP="0077424C">
      <w:pPr>
        <w:pStyle w:val="ListBullet2"/>
        <w:ind w:left="990" w:hanging="342"/>
      </w:pPr>
      <w:r>
        <w:t>Donation type</w:t>
      </w:r>
    </w:p>
    <w:p w14:paraId="7007B85C" w14:textId="77777777" w:rsidR="00176C67" w:rsidRDefault="00176C67" w:rsidP="0077424C">
      <w:pPr>
        <w:pStyle w:val="ListBullet2"/>
        <w:ind w:left="990" w:hanging="342"/>
      </w:pPr>
      <w:r>
        <w:t>Restricted f</w:t>
      </w:r>
      <w:r w:rsidR="00823261">
        <w:t>or patient name, when available</w:t>
      </w:r>
    </w:p>
    <w:p w14:paraId="73388E97" w14:textId="77777777" w:rsidR="00A62384" w:rsidRDefault="00A62384" w:rsidP="0077424C">
      <w:pPr>
        <w:pStyle w:val="ListBullet2"/>
        <w:ind w:left="990" w:hanging="342"/>
      </w:pPr>
      <w:r>
        <w:t>Date and time received (standard format)</w:t>
      </w:r>
    </w:p>
    <w:p w14:paraId="5BC33542" w14:textId="77777777" w:rsidR="00A62384" w:rsidRDefault="00A62384" w:rsidP="00A62384">
      <w:pPr>
        <w:pStyle w:val="Heading3"/>
      </w:pPr>
      <w:bookmarkStart w:id="51" w:name="_Toc149064057"/>
      <w:r>
        <w:t>Testing</w:t>
      </w:r>
      <w:bookmarkEnd w:id="51"/>
      <w:r>
        <w:fldChar w:fldCharType="begin"/>
      </w:r>
      <w:r>
        <w:instrText xml:space="preserve"> XE </w:instrText>
      </w:r>
      <w:r w:rsidR="00FA7E65">
        <w:instrText>“</w:instrText>
      </w:r>
      <w:r>
        <w:instrText>Testing</w:instrText>
      </w:r>
      <w:r w:rsidR="00FA7E65">
        <w:instrText>”</w:instrText>
      </w:r>
      <w:r>
        <w:instrText xml:space="preserve"> </w:instrText>
      </w:r>
      <w:r>
        <w:fldChar w:fldCharType="end"/>
      </w:r>
    </w:p>
    <w:p w14:paraId="6ADF0F4C" w14:textId="77777777" w:rsidR="00FB5C42" w:rsidRDefault="00154095" w:rsidP="00A62384">
      <w:pPr>
        <w:pStyle w:val="Lis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377EE1">
        <w:t xml:space="preserve">Administrator/Supervisors may configure reagent racks to use </w:t>
      </w:r>
      <w:r w:rsidR="002C1235">
        <w:t xml:space="preserve">a </w:t>
      </w:r>
      <w:r w:rsidR="00377EE1">
        <w:t>tube</w:t>
      </w:r>
      <w:r w:rsidR="003937C6">
        <w:t xml:space="preserve">, solid phase, </w:t>
      </w:r>
      <w:r w:rsidR="00377EE1">
        <w:t xml:space="preserve">or gel </w:t>
      </w:r>
      <w:r w:rsidR="002C1235">
        <w:t>method</w:t>
      </w:r>
      <w:r w:rsidR="00377EE1">
        <w:t xml:space="preserve">. </w:t>
      </w:r>
    </w:p>
    <w:p w14:paraId="0A5ACD26" w14:textId="77777777" w:rsidR="004B7774" w:rsidRDefault="000873D0" w:rsidP="0077424C">
      <w:pPr>
        <w:pStyle w:val="ListBullet2"/>
        <w:ind w:left="990" w:hanging="342"/>
      </w:pPr>
      <w:r>
        <w:t xml:space="preserve">VBECS allows a user to </w:t>
      </w:r>
      <w:r w:rsidR="001F33D5">
        <w:t>perform QC testing at AHG and later perform patient testing at all phases using a rack configured for AHG only</w:t>
      </w:r>
      <w:r>
        <w:t xml:space="preserve">. </w:t>
      </w:r>
    </w:p>
    <w:p w14:paraId="587CEC11" w14:textId="77777777" w:rsidR="004B7774" w:rsidRDefault="00FF4225" w:rsidP="0077424C">
      <w:pPr>
        <w:pStyle w:val="ListBullet2"/>
        <w:ind w:left="990" w:hanging="342"/>
      </w:pPr>
      <w:r>
        <w:t xml:space="preserve">VBECS does not verify that the phase of testing matches the reagents used for testing. </w:t>
      </w:r>
    </w:p>
    <w:p w14:paraId="4B792A08" w14:textId="77777777" w:rsidR="00FB5C42" w:rsidRDefault="000F57D8" w:rsidP="0077424C">
      <w:pPr>
        <w:pStyle w:val="ListBullet2"/>
        <w:ind w:left="990" w:hanging="342"/>
      </w:pPr>
      <w:r>
        <w:t xml:space="preserve">Users </w:t>
      </w:r>
      <w:r w:rsidR="00B3507E">
        <w:t>working with</w:t>
      </w:r>
      <w:r w:rsidR="00D47277">
        <w:t xml:space="preserve"> reagent racks </w:t>
      </w:r>
      <w:r w:rsidR="00B3507E">
        <w:t>containing</w:t>
      </w:r>
      <w:r w:rsidR="00D47277">
        <w:t xml:space="preserve"> different reagents must </w:t>
      </w:r>
      <w:r w:rsidR="001911CF">
        <w:t>do so in accordance with</w:t>
      </w:r>
      <w:r w:rsidR="00D47277">
        <w:t xml:space="preserve"> local policy and procedure</w:t>
      </w:r>
      <w:r w:rsidR="00440BE1">
        <w:t>s</w:t>
      </w:r>
      <w:r w:rsidR="00D47277">
        <w:t xml:space="preserve">. </w:t>
      </w:r>
    </w:p>
    <w:p w14:paraId="024E574B" w14:textId="77777777" w:rsidR="0048460C" w:rsidRDefault="00A62384" w:rsidP="00A62384">
      <w:pPr>
        <w:pStyle w:val="ListBullet"/>
      </w:pPr>
      <w:r>
        <w:t>Reaction result cells in the data grid contain only symbols. A legend of the symbols and their meanings, specific to the data grid and its truth tables, is located in the bottom left corner of the form and is available to the user throughout data entry.</w:t>
      </w:r>
      <w:r w:rsidR="0048460C" w:rsidRPr="0048460C">
        <w:t xml:space="preserve"> </w:t>
      </w:r>
    </w:p>
    <w:p w14:paraId="51CE13A8" w14:textId="0A6C6200" w:rsidR="00D05436" w:rsidRDefault="0048460C" w:rsidP="00731D3A">
      <w:pPr>
        <w:pStyle w:val="ListBullet"/>
      </w:pPr>
      <w:r>
        <w:t xml:space="preserve">Entry of a symbol (not a number or letter) </w:t>
      </w:r>
      <w:r w:rsidRPr="0048460C">
        <w:t xml:space="preserve">into a test grid reaction result cell or interpretation </w:t>
      </w:r>
      <w:r>
        <w:t>field</w:t>
      </w:r>
      <w:r w:rsidRPr="0048460C">
        <w:t xml:space="preserve"> </w:t>
      </w:r>
      <w:r>
        <w:t>will not elicit a sy</w:t>
      </w:r>
      <w:r w:rsidRPr="0048460C">
        <w:t>stem response. The entry of the symbol is not allowed and does not overwrite the previous entry, if any</w:t>
      </w:r>
      <w:r w:rsidR="002106D5">
        <w:t xml:space="preserve">. </w:t>
      </w:r>
      <w:r w:rsidR="002106D5" w:rsidRPr="00331163">
        <w:t xml:space="preserve">See </w:t>
      </w:r>
      <w:r w:rsidR="00EE455E">
        <w:t xml:space="preserve">Table </w:t>
      </w:r>
      <w:r w:rsidR="00EE455E">
        <w:rPr>
          <w:noProof/>
        </w:rPr>
        <w:t>2</w:t>
      </w:r>
      <w:r w:rsidR="000405D5">
        <w:t xml:space="preserve"> </w:t>
      </w:r>
      <w:r w:rsidR="00D05436">
        <w:t>for valid observed test result entries.</w:t>
      </w:r>
    </w:p>
    <w:p w14:paraId="0C4F8B61" w14:textId="6DC5A168" w:rsidR="00E755C0" w:rsidRDefault="00E755C0" w:rsidP="00D05436">
      <w:pPr>
        <w:pStyle w:val="ListBullet"/>
      </w:pPr>
      <w:r>
        <w:t xml:space="preserve">After entering a canned or free-text comment in the testing comment field of the testing grid, the user must press </w:t>
      </w:r>
      <w:r w:rsidRPr="00E755C0">
        <w:rPr>
          <w:b/>
        </w:rPr>
        <w:t>Enter</w:t>
      </w:r>
      <w:r>
        <w:t xml:space="preserve"> to store the comment.</w:t>
      </w:r>
    </w:p>
    <w:p w14:paraId="62A2CB72" w14:textId="39B7DBA4" w:rsidR="00B071D4" w:rsidRDefault="00A62384" w:rsidP="00B071D4">
      <w:pPr>
        <w:pStyle w:val="ListBullet"/>
      </w:pPr>
      <w:r>
        <w:t xml:space="preserve">The user may enter canned comments in comment cells by selecting from a pick </w:t>
      </w:r>
      <w:r w:rsidR="00671459">
        <w:t>list or</w:t>
      </w:r>
      <w:r>
        <w:t xml:space="preserve"> enter free-text</w:t>
      </w:r>
      <w:r w:rsidR="005A3214">
        <w:t xml:space="preserve"> </w:t>
      </w:r>
      <w:r w:rsidR="00B071D4">
        <w:t>comments by selecting “Other.”</w:t>
      </w:r>
    </w:p>
    <w:p w14:paraId="3A93D913" w14:textId="77777777" w:rsidR="006B317D" w:rsidRDefault="006B317D">
      <w:pPr>
        <w:rPr>
          <w:b/>
          <w:sz w:val="22"/>
          <w:szCs w:val="22"/>
        </w:rPr>
      </w:pPr>
      <w:bookmarkStart w:id="52" w:name="_Ref256686283"/>
      <w:bookmarkStart w:id="53" w:name="_Ref524524574"/>
      <w:bookmarkStart w:id="54" w:name="_Ref524524567"/>
      <w:r>
        <w:br w:type="page"/>
      </w:r>
    </w:p>
    <w:p w14:paraId="1A63D1FF" w14:textId="69261FCF" w:rsidR="00A62384" w:rsidRDefault="00B071D4" w:rsidP="000405D5">
      <w:pPr>
        <w:pStyle w:val="Caption"/>
        <w:tabs>
          <w:tab w:val="left" w:pos="4740"/>
        </w:tabs>
      </w:pPr>
      <w:bookmarkStart w:id="55" w:name="_Ref14911726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2</w:t>
      </w:r>
      <w:r w:rsidR="004E20BD">
        <w:rPr>
          <w:noProof/>
        </w:rPr>
        <w:fldChar w:fldCharType="end"/>
      </w:r>
      <w:bookmarkEnd w:id="52"/>
      <w:bookmarkEnd w:id="53"/>
      <w:bookmarkEnd w:id="55"/>
      <w:r>
        <w:t>: Valid Observed Test Result Entries</w:t>
      </w:r>
      <w:bookmarkEnd w:id="54"/>
      <w:r>
        <w:fldChar w:fldCharType="begin"/>
      </w:r>
      <w:r>
        <w:instrText xml:space="preserve"> XE “Tables:Valid Observed Test Results Entries” </w:instrText>
      </w:r>
      <w:r>
        <w:fldChar w:fldCharType="end"/>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gridCol w:w="1260"/>
      </w:tblGrid>
      <w:tr w:rsidR="00F77F81" w14:paraId="0B06DB98" w14:textId="77777777">
        <w:trPr>
          <w:tblHeader/>
        </w:trPr>
        <w:tc>
          <w:tcPr>
            <w:tcW w:w="720" w:type="dxa"/>
            <w:shd w:val="clear" w:color="auto" w:fill="B3B3B3"/>
            <w:vAlign w:val="bottom"/>
          </w:tcPr>
          <w:p w14:paraId="027BE79A" w14:textId="77777777" w:rsidR="00F77F81" w:rsidRDefault="00F77F81" w:rsidP="008E68C8">
            <w:pPr>
              <w:pStyle w:val="TableText"/>
              <w:jc w:val="center"/>
              <w:rPr>
                <w:b/>
              </w:rPr>
            </w:pPr>
            <w:r>
              <w:rPr>
                <w:b/>
              </w:rPr>
              <w:t>Entry</w:t>
            </w:r>
          </w:p>
        </w:tc>
        <w:tc>
          <w:tcPr>
            <w:tcW w:w="3780" w:type="dxa"/>
            <w:gridSpan w:val="2"/>
            <w:shd w:val="clear" w:color="auto" w:fill="B3B3B3"/>
            <w:vAlign w:val="bottom"/>
          </w:tcPr>
          <w:p w14:paraId="6670A8C1" w14:textId="77777777" w:rsidR="00F77F81" w:rsidRDefault="00F77F81" w:rsidP="008E68C8">
            <w:pPr>
              <w:pStyle w:val="TableText"/>
              <w:jc w:val="center"/>
              <w:rPr>
                <w:b/>
              </w:rPr>
            </w:pPr>
            <w:r>
              <w:rPr>
                <w:b/>
              </w:rPr>
              <w:t>VBECS Translation</w:t>
            </w:r>
          </w:p>
        </w:tc>
      </w:tr>
      <w:tr w:rsidR="00F77F81" w14:paraId="211CEA4F" w14:textId="77777777">
        <w:tc>
          <w:tcPr>
            <w:tcW w:w="720" w:type="dxa"/>
            <w:vAlign w:val="bottom"/>
          </w:tcPr>
          <w:p w14:paraId="21231AC8" w14:textId="77777777" w:rsidR="00F77F81" w:rsidRDefault="00F77F81" w:rsidP="008E68C8">
            <w:pPr>
              <w:pStyle w:val="TableText"/>
              <w:jc w:val="center"/>
            </w:pPr>
            <w:r>
              <w:t>H</w:t>
            </w:r>
          </w:p>
        </w:tc>
        <w:tc>
          <w:tcPr>
            <w:tcW w:w="2520" w:type="dxa"/>
            <w:vAlign w:val="bottom"/>
          </w:tcPr>
          <w:p w14:paraId="5AC725D9" w14:textId="77777777" w:rsidR="00F77F81" w:rsidRDefault="00F77F81" w:rsidP="008E68C8">
            <w:pPr>
              <w:pStyle w:val="TableText"/>
            </w:pPr>
            <w:r>
              <w:t>Hemolysis</w:t>
            </w:r>
          </w:p>
        </w:tc>
        <w:tc>
          <w:tcPr>
            <w:tcW w:w="1260" w:type="dxa"/>
            <w:vAlign w:val="bottom"/>
          </w:tcPr>
          <w:p w14:paraId="2503E2B4" w14:textId="77777777" w:rsidR="00F77F81" w:rsidRDefault="00F77F81" w:rsidP="008E68C8">
            <w:pPr>
              <w:pStyle w:val="TableText"/>
            </w:pPr>
            <w:r>
              <w:t>Positive</w:t>
            </w:r>
          </w:p>
        </w:tc>
      </w:tr>
      <w:tr w:rsidR="00F77F81" w14:paraId="16C9A938" w14:textId="77777777">
        <w:tc>
          <w:tcPr>
            <w:tcW w:w="720" w:type="dxa"/>
            <w:vAlign w:val="bottom"/>
          </w:tcPr>
          <w:p w14:paraId="6D55A726" w14:textId="77777777" w:rsidR="00F77F81" w:rsidRDefault="00F77F81" w:rsidP="008E68C8">
            <w:pPr>
              <w:pStyle w:val="TableText"/>
              <w:jc w:val="center"/>
            </w:pPr>
            <w:r>
              <w:t>W</w:t>
            </w:r>
          </w:p>
        </w:tc>
        <w:tc>
          <w:tcPr>
            <w:tcW w:w="2520" w:type="dxa"/>
            <w:vAlign w:val="bottom"/>
          </w:tcPr>
          <w:p w14:paraId="09FA3D77" w14:textId="77777777" w:rsidR="00F77F81" w:rsidRDefault="00F77F81" w:rsidP="008E68C8">
            <w:pPr>
              <w:pStyle w:val="TableText"/>
            </w:pPr>
            <w:r>
              <w:t>Weak</w:t>
            </w:r>
          </w:p>
        </w:tc>
        <w:tc>
          <w:tcPr>
            <w:tcW w:w="1260" w:type="dxa"/>
            <w:vAlign w:val="bottom"/>
          </w:tcPr>
          <w:p w14:paraId="6014BDFE" w14:textId="77777777" w:rsidR="00F77F81" w:rsidRDefault="00F77F81" w:rsidP="008E68C8">
            <w:pPr>
              <w:pStyle w:val="TableText"/>
            </w:pPr>
            <w:r>
              <w:t>Positive</w:t>
            </w:r>
          </w:p>
        </w:tc>
      </w:tr>
      <w:tr w:rsidR="00F77F81" w14:paraId="228E424E" w14:textId="77777777">
        <w:tc>
          <w:tcPr>
            <w:tcW w:w="720" w:type="dxa"/>
            <w:vAlign w:val="bottom"/>
          </w:tcPr>
          <w:p w14:paraId="516D8B0E" w14:textId="77777777" w:rsidR="00F77F81" w:rsidRDefault="00F77F81" w:rsidP="008E68C8">
            <w:pPr>
              <w:pStyle w:val="TableText"/>
              <w:jc w:val="center"/>
            </w:pPr>
            <w:r>
              <w:t>F</w:t>
            </w:r>
          </w:p>
        </w:tc>
        <w:tc>
          <w:tcPr>
            <w:tcW w:w="2520" w:type="dxa"/>
            <w:vAlign w:val="bottom"/>
          </w:tcPr>
          <w:p w14:paraId="727C7D63" w14:textId="77777777" w:rsidR="00F77F81" w:rsidRDefault="00F77F81" w:rsidP="008E68C8">
            <w:pPr>
              <w:pStyle w:val="TableText"/>
            </w:pPr>
            <w:r>
              <w:t>Mixed Field</w:t>
            </w:r>
          </w:p>
        </w:tc>
        <w:tc>
          <w:tcPr>
            <w:tcW w:w="1260" w:type="dxa"/>
            <w:vAlign w:val="bottom"/>
          </w:tcPr>
          <w:p w14:paraId="2CE32EFC" w14:textId="77777777" w:rsidR="00F77F81" w:rsidRDefault="00F77F81" w:rsidP="008E68C8">
            <w:pPr>
              <w:pStyle w:val="TableText"/>
            </w:pPr>
            <w:r>
              <w:t>Positive</w:t>
            </w:r>
          </w:p>
        </w:tc>
      </w:tr>
      <w:tr w:rsidR="00F77F81" w14:paraId="18B36765" w14:textId="77777777">
        <w:tc>
          <w:tcPr>
            <w:tcW w:w="720" w:type="dxa"/>
            <w:vAlign w:val="bottom"/>
          </w:tcPr>
          <w:p w14:paraId="46926C1F" w14:textId="77777777" w:rsidR="00F77F81" w:rsidRDefault="00F77F81" w:rsidP="008E68C8">
            <w:pPr>
              <w:pStyle w:val="TableText"/>
              <w:jc w:val="center"/>
            </w:pPr>
            <w:r>
              <w:t>M</w:t>
            </w:r>
          </w:p>
        </w:tc>
        <w:tc>
          <w:tcPr>
            <w:tcW w:w="2520" w:type="dxa"/>
            <w:vAlign w:val="bottom"/>
          </w:tcPr>
          <w:p w14:paraId="7A4ACD88" w14:textId="77777777" w:rsidR="00F77F81" w:rsidRDefault="00F77F81" w:rsidP="008E68C8">
            <w:pPr>
              <w:pStyle w:val="TableText"/>
            </w:pPr>
            <w:r>
              <w:t>Microscopic</w:t>
            </w:r>
          </w:p>
        </w:tc>
        <w:tc>
          <w:tcPr>
            <w:tcW w:w="1260" w:type="dxa"/>
            <w:vAlign w:val="bottom"/>
          </w:tcPr>
          <w:p w14:paraId="22BBC64E" w14:textId="77777777" w:rsidR="00F77F81" w:rsidRDefault="00F77F81" w:rsidP="008E68C8">
            <w:pPr>
              <w:pStyle w:val="TableText"/>
            </w:pPr>
            <w:r>
              <w:t>Positive</w:t>
            </w:r>
          </w:p>
        </w:tc>
      </w:tr>
      <w:tr w:rsidR="00F77F81" w14:paraId="079713C9" w14:textId="77777777">
        <w:tc>
          <w:tcPr>
            <w:tcW w:w="720" w:type="dxa"/>
            <w:vAlign w:val="bottom"/>
          </w:tcPr>
          <w:p w14:paraId="359244FD" w14:textId="77777777" w:rsidR="00F77F81" w:rsidRDefault="00F77F81" w:rsidP="008E68C8">
            <w:pPr>
              <w:pStyle w:val="TableText"/>
              <w:jc w:val="center"/>
            </w:pPr>
            <w:r>
              <w:t>1</w:t>
            </w:r>
          </w:p>
        </w:tc>
        <w:tc>
          <w:tcPr>
            <w:tcW w:w="2520" w:type="dxa"/>
            <w:vAlign w:val="bottom"/>
          </w:tcPr>
          <w:p w14:paraId="476D79B2" w14:textId="77777777" w:rsidR="00F77F81" w:rsidRDefault="00F77F81" w:rsidP="008E68C8">
            <w:pPr>
              <w:pStyle w:val="TableText"/>
            </w:pPr>
            <w:r>
              <w:t>1+</w:t>
            </w:r>
          </w:p>
        </w:tc>
        <w:tc>
          <w:tcPr>
            <w:tcW w:w="1260" w:type="dxa"/>
            <w:vAlign w:val="bottom"/>
          </w:tcPr>
          <w:p w14:paraId="4DE28F0F" w14:textId="77777777" w:rsidR="00F77F81" w:rsidRDefault="00F77F81" w:rsidP="008E68C8">
            <w:pPr>
              <w:pStyle w:val="TableText"/>
            </w:pPr>
            <w:r>
              <w:t>Positive</w:t>
            </w:r>
          </w:p>
        </w:tc>
      </w:tr>
      <w:tr w:rsidR="00F77F81" w14:paraId="4DAB3E03" w14:textId="77777777">
        <w:tc>
          <w:tcPr>
            <w:tcW w:w="720" w:type="dxa"/>
            <w:vAlign w:val="bottom"/>
          </w:tcPr>
          <w:p w14:paraId="49DEB79F" w14:textId="77777777" w:rsidR="00F77F81" w:rsidRDefault="00F77F81" w:rsidP="008E68C8">
            <w:pPr>
              <w:pStyle w:val="TableText"/>
              <w:jc w:val="center"/>
            </w:pPr>
            <w:r>
              <w:t>2</w:t>
            </w:r>
          </w:p>
        </w:tc>
        <w:tc>
          <w:tcPr>
            <w:tcW w:w="2520" w:type="dxa"/>
            <w:vAlign w:val="bottom"/>
          </w:tcPr>
          <w:p w14:paraId="0037320C" w14:textId="77777777" w:rsidR="00F77F81" w:rsidRDefault="00F77F81" w:rsidP="008E68C8">
            <w:pPr>
              <w:pStyle w:val="TableText"/>
            </w:pPr>
            <w:r>
              <w:t>2+</w:t>
            </w:r>
          </w:p>
        </w:tc>
        <w:tc>
          <w:tcPr>
            <w:tcW w:w="1260" w:type="dxa"/>
            <w:vAlign w:val="bottom"/>
          </w:tcPr>
          <w:p w14:paraId="60879D52" w14:textId="77777777" w:rsidR="00F77F81" w:rsidRDefault="00F77F81" w:rsidP="008E68C8">
            <w:pPr>
              <w:pStyle w:val="TableText"/>
            </w:pPr>
            <w:r>
              <w:t>Positive</w:t>
            </w:r>
          </w:p>
        </w:tc>
      </w:tr>
      <w:tr w:rsidR="00F77F81" w14:paraId="5FA7D9AD" w14:textId="77777777">
        <w:tc>
          <w:tcPr>
            <w:tcW w:w="720" w:type="dxa"/>
            <w:vAlign w:val="bottom"/>
          </w:tcPr>
          <w:p w14:paraId="3D76DE8B" w14:textId="77777777" w:rsidR="00F77F81" w:rsidRDefault="00F77F81" w:rsidP="008E68C8">
            <w:pPr>
              <w:pStyle w:val="TableText"/>
              <w:jc w:val="center"/>
            </w:pPr>
            <w:r>
              <w:t>3</w:t>
            </w:r>
          </w:p>
        </w:tc>
        <w:tc>
          <w:tcPr>
            <w:tcW w:w="2520" w:type="dxa"/>
            <w:vAlign w:val="bottom"/>
          </w:tcPr>
          <w:p w14:paraId="14445217" w14:textId="77777777" w:rsidR="00F77F81" w:rsidRDefault="00F77F81" w:rsidP="008E68C8">
            <w:pPr>
              <w:pStyle w:val="TableText"/>
            </w:pPr>
            <w:r>
              <w:t>3+</w:t>
            </w:r>
          </w:p>
        </w:tc>
        <w:tc>
          <w:tcPr>
            <w:tcW w:w="1260" w:type="dxa"/>
            <w:vAlign w:val="bottom"/>
          </w:tcPr>
          <w:p w14:paraId="1C0DFCCC" w14:textId="77777777" w:rsidR="00F77F81" w:rsidRDefault="00F77F81" w:rsidP="008E68C8">
            <w:pPr>
              <w:pStyle w:val="TableText"/>
            </w:pPr>
            <w:r>
              <w:t>Positive</w:t>
            </w:r>
          </w:p>
        </w:tc>
      </w:tr>
      <w:tr w:rsidR="00F77F81" w14:paraId="1744A003" w14:textId="77777777">
        <w:tc>
          <w:tcPr>
            <w:tcW w:w="720" w:type="dxa"/>
            <w:vAlign w:val="bottom"/>
          </w:tcPr>
          <w:p w14:paraId="4556AB32" w14:textId="77777777" w:rsidR="00F77F81" w:rsidRDefault="00F77F81" w:rsidP="008E68C8">
            <w:pPr>
              <w:pStyle w:val="TableText"/>
              <w:jc w:val="center"/>
            </w:pPr>
            <w:r>
              <w:t>4</w:t>
            </w:r>
          </w:p>
        </w:tc>
        <w:tc>
          <w:tcPr>
            <w:tcW w:w="2520" w:type="dxa"/>
            <w:vAlign w:val="bottom"/>
          </w:tcPr>
          <w:p w14:paraId="28F285D7" w14:textId="77777777" w:rsidR="00F77F81" w:rsidRDefault="00F77F81" w:rsidP="008E68C8">
            <w:pPr>
              <w:pStyle w:val="TableText"/>
            </w:pPr>
            <w:r>
              <w:t>4+</w:t>
            </w:r>
          </w:p>
        </w:tc>
        <w:tc>
          <w:tcPr>
            <w:tcW w:w="1260" w:type="dxa"/>
            <w:vAlign w:val="bottom"/>
          </w:tcPr>
          <w:p w14:paraId="7B05596D" w14:textId="77777777" w:rsidR="00F77F81" w:rsidRDefault="00F77F81" w:rsidP="008E68C8">
            <w:pPr>
              <w:pStyle w:val="TableText"/>
            </w:pPr>
            <w:r>
              <w:t>Positive</w:t>
            </w:r>
          </w:p>
        </w:tc>
      </w:tr>
      <w:tr w:rsidR="00F77F81" w14:paraId="010F6622" w14:textId="77777777">
        <w:tc>
          <w:tcPr>
            <w:tcW w:w="720" w:type="dxa"/>
            <w:vAlign w:val="bottom"/>
          </w:tcPr>
          <w:p w14:paraId="3EBB5ED8" w14:textId="77777777" w:rsidR="00F77F81" w:rsidRDefault="00F77F81" w:rsidP="008E68C8">
            <w:pPr>
              <w:pStyle w:val="TableText"/>
              <w:jc w:val="center"/>
            </w:pPr>
            <w:r>
              <w:t>X</w:t>
            </w:r>
          </w:p>
        </w:tc>
        <w:tc>
          <w:tcPr>
            <w:tcW w:w="2520" w:type="dxa"/>
            <w:vAlign w:val="bottom"/>
          </w:tcPr>
          <w:p w14:paraId="35325072" w14:textId="77777777" w:rsidR="00F77F81" w:rsidRDefault="00F77F81" w:rsidP="008E68C8">
            <w:pPr>
              <w:pStyle w:val="TableText"/>
            </w:pPr>
            <w:r>
              <w:t>Not Tested</w:t>
            </w:r>
          </w:p>
        </w:tc>
        <w:tc>
          <w:tcPr>
            <w:tcW w:w="1260" w:type="dxa"/>
            <w:vAlign w:val="bottom"/>
          </w:tcPr>
          <w:p w14:paraId="6645064B" w14:textId="77777777" w:rsidR="00F77F81" w:rsidRDefault="00F77F81" w:rsidP="008E68C8">
            <w:pPr>
              <w:pStyle w:val="TableText"/>
            </w:pPr>
            <w:r>
              <w:t>Not Tested</w:t>
            </w:r>
          </w:p>
        </w:tc>
      </w:tr>
      <w:tr w:rsidR="00F77F81" w14:paraId="4D225D99" w14:textId="77777777">
        <w:tc>
          <w:tcPr>
            <w:tcW w:w="720" w:type="dxa"/>
            <w:vAlign w:val="bottom"/>
          </w:tcPr>
          <w:p w14:paraId="46CDD5A2" w14:textId="77777777" w:rsidR="00F77F81" w:rsidRDefault="00F77F81" w:rsidP="008E68C8">
            <w:pPr>
              <w:pStyle w:val="TableText"/>
              <w:jc w:val="center"/>
            </w:pPr>
            <w:r>
              <w:t>0</w:t>
            </w:r>
          </w:p>
        </w:tc>
        <w:tc>
          <w:tcPr>
            <w:tcW w:w="2520" w:type="dxa"/>
            <w:vAlign w:val="bottom"/>
          </w:tcPr>
          <w:p w14:paraId="618972EE" w14:textId="77777777" w:rsidR="00F77F81" w:rsidRDefault="00F77F81" w:rsidP="008E68C8">
            <w:pPr>
              <w:pStyle w:val="TableText"/>
            </w:pPr>
            <w:r>
              <w:t>No Agglutination</w:t>
            </w:r>
          </w:p>
        </w:tc>
        <w:tc>
          <w:tcPr>
            <w:tcW w:w="1260" w:type="dxa"/>
            <w:vAlign w:val="bottom"/>
          </w:tcPr>
          <w:p w14:paraId="710AF9E9" w14:textId="77777777" w:rsidR="00F77F81" w:rsidRDefault="00F77F81" w:rsidP="008E68C8">
            <w:pPr>
              <w:pStyle w:val="TableText"/>
            </w:pPr>
            <w:r>
              <w:t>Negative</w:t>
            </w:r>
          </w:p>
        </w:tc>
      </w:tr>
      <w:tr w:rsidR="00F77F81" w14:paraId="6A07F0FD" w14:textId="77777777">
        <w:tc>
          <w:tcPr>
            <w:tcW w:w="720" w:type="dxa"/>
            <w:vAlign w:val="bottom"/>
          </w:tcPr>
          <w:p w14:paraId="3A6D9D76" w14:textId="77777777" w:rsidR="00F77F81" w:rsidRDefault="00F77F81" w:rsidP="008E68C8">
            <w:pPr>
              <w:pStyle w:val="TableText"/>
              <w:jc w:val="center"/>
            </w:pPr>
            <w:r>
              <w:t>R</w:t>
            </w:r>
          </w:p>
        </w:tc>
        <w:tc>
          <w:tcPr>
            <w:tcW w:w="2520" w:type="dxa"/>
            <w:vAlign w:val="bottom"/>
          </w:tcPr>
          <w:p w14:paraId="1A3E7A68" w14:textId="77777777" w:rsidR="00F77F81" w:rsidRDefault="00F77F81" w:rsidP="008E68C8">
            <w:pPr>
              <w:pStyle w:val="TableText"/>
            </w:pPr>
            <w:r>
              <w:t>Rouleaux, No Agglutination</w:t>
            </w:r>
          </w:p>
        </w:tc>
        <w:tc>
          <w:tcPr>
            <w:tcW w:w="1260" w:type="dxa"/>
            <w:vAlign w:val="bottom"/>
          </w:tcPr>
          <w:p w14:paraId="69EAA6A5" w14:textId="77777777" w:rsidR="00F77F81" w:rsidRDefault="00F77F81" w:rsidP="008E68C8">
            <w:pPr>
              <w:pStyle w:val="TableText"/>
            </w:pPr>
            <w:r>
              <w:t>Negative</w:t>
            </w:r>
          </w:p>
        </w:tc>
      </w:tr>
    </w:tbl>
    <w:p w14:paraId="4DB50D13" w14:textId="77777777" w:rsidR="00F77F81" w:rsidRDefault="00F77F81" w:rsidP="00F77F81">
      <w:pPr>
        <w:pStyle w:val="ListBullet"/>
      </w:pPr>
      <w:r>
        <w:t>When recording test results:</w:t>
      </w:r>
    </w:p>
    <w:p w14:paraId="35C372B6" w14:textId="77777777" w:rsidR="00CF5E49" w:rsidRDefault="00F77F81" w:rsidP="0077424C">
      <w:pPr>
        <w:pStyle w:val="ListBullet2"/>
        <w:ind w:left="990" w:hanging="342"/>
      </w:pPr>
      <w:r>
        <w:t>In the Test Details window, click a check box to select a rack.</w:t>
      </w:r>
    </w:p>
    <w:p w14:paraId="26147DAB" w14:textId="77777777" w:rsidR="00CF5E49" w:rsidRDefault="00F77F81" w:rsidP="0077424C">
      <w:pPr>
        <w:pStyle w:val="ListBullet2"/>
        <w:ind w:left="990" w:hanging="342"/>
      </w:pPr>
      <w:r>
        <w:t>In the Date Tested field, select the default date and time (current date and time) for testing performed, which the user may edit to a past date and time.</w:t>
      </w:r>
    </w:p>
    <w:p w14:paraId="7B25E2E2" w14:textId="77777777" w:rsidR="00CF5E49" w:rsidRDefault="00F77F81" w:rsidP="0077424C">
      <w:pPr>
        <w:pStyle w:val="ListBullet2"/>
        <w:ind w:left="990" w:hanging="342"/>
      </w:pPr>
      <w:r>
        <w:t>In the Tested By field, select the default identification (current user) for the testing technologist or another user from the drop-down menu.</w:t>
      </w:r>
    </w:p>
    <w:p w14:paraId="777DE92A" w14:textId="77777777" w:rsidR="00CF5E49" w:rsidRPr="00D0406D" w:rsidRDefault="00F77F81" w:rsidP="0077424C">
      <w:pPr>
        <w:pStyle w:val="ListBullet2"/>
        <w:ind w:left="990" w:hanging="342"/>
      </w:pPr>
      <w:r w:rsidRPr="00D0406D">
        <w:t>Click the appropriate radio button to determine the grid configuration for antibody screen and crossma</w:t>
      </w:r>
      <w:r w:rsidR="006F2884" w:rsidRPr="00D0406D">
        <w:t xml:space="preserve">tch grids [All phases </w:t>
      </w:r>
      <w:r w:rsidRPr="00D0406D">
        <w:t xml:space="preserve">or </w:t>
      </w:r>
      <w:r w:rsidR="00594F8A" w:rsidRPr="00D0406D">
        <w:t>Anti-Human Globulin (</w:t>
      </w:r>
      <w:r w:rsidRPr="00D0406D">
        <w:t>AHG</w:t>
      </w:r>
      <w:r w:rsidR="00594F8A" w:rsidRPr="00D0406D">
        <w:t>)</w:t>
      </w:r>
      <w:r w:rsidRPr="00D0406D">
        <w:t xml:space="preserve"> only</w:t>
      </w:r>
      <w:r w:rsidR="006F2884" w:rsidRPr="00D0406D">
        <w:t xml:space="preserve"> (pre-checked default varies with local configuration)</w:t>
      </w:r>
      <w:r w:rsidRPr="00D0406D">
        <w:t>].</w:t>
      </w:r>
      <w:r w:rsidR="00F15743" w:rsidRPr="00D0406D">
        <w:t xml:space="preserve"> </w:t>
      </w:r>
      <w:r w:rsidR="00F15743" w:rsidRPr="00D0406D">
        <w:rPr>
          <w:vanish/>
        </w:rPr>
        <w:t>DR 4345</w:t>
      </w:r>
    </w:p>
    <w:p w14:paraId="3466F435" w14:textId="77777777" w:rsidR="00F77F81" w:rsidRDefault="00F77F81" w:rsidP="0077424C">
      <w:pPr>
        <w:pStyle w:val="ListBullet2"/>
        <w:ind w:left="990" w:hanging="342"/>
      </w:pPr>
      <w:r>
        <w:t xml:space="preserve">When an automated instrument is used, click the </w:t>
      </w:r>
      <w:r>
        <w:rPr>
          <w:b/>
          <w:bCs/>
        </w:rPr>
        <w:t>Using Automated Instrument</w:t>
      </w:r>
      <w:r>
        <w:t xml:space="preserve"> check box, enter the instrument name in the Instrument Name field, and click the</w:t>
      </w:r>
      <w:r w:rsidR="00F77C01">
        <w:rPr>
          <w:b/>
        </w:rPr>
        <w:t xml:space="preserve"> Instrument QC’d</w:t>
      </w:r>
      <w:r>
        <w:rPr>
          <w:b/>
        </w:rPr>
        <w:t>?</w:t>
      </w:r>
      <w:r>
        <w:t xml:space="preserve"> check box, as appropriate.</w:t>
      </w:r>
    </w:p>
    <w:p w14:paraId="35D8AC8B" w14:textId="77777777" w:rsidR="00023201" w:rsidRDefault="00F77F81" w:rsidP="00687072">
      <w:pPr>
        <w:pStyle w:val="ListBullet"/>
      </w:pPr>
      <w:r w:rsidRPr="00CB01DE">
        <w:rPr>
          <w:vanish/>
          <w:spacing w:val="0"/>
        </w:rPr>
        <w:t>BR_2.07</w:t>
      </w:r>
      <w:r w:rsidRPr="00CB01DE">
        <w:rPr>
          <w:vanish/>
          <w:color w:val="0000FF"/>
          <w:spacing w:val="0"/>
        </w:rPr>
        <w:t xml:space="preserve"> </w:t>
      </w:r>
      <w:r w:rsidR="00CB01DE">
        <w:t xml:space="preserve">VBECS requires Red Blood Cells, Whole Blood, Granulocytes and Leukocytes to have ABO confirmation testing (forward typing), and Rh confirmation testing for units labeled as Rh negative. Units </w:t>
      </w:r>
      <w:r w:rsidR="00CB01DE" w:rsidRPr="00E44A83">
        <w:t>labeled with an ABO group of “Pooled” cannot be confirmed</w:t>
      </w:r>
      <w:r w:rsidR="00CB01DE">
        <w:t>.</w:t>
      </w:r>
    </w:p>
    <w:p w14:paraId="39FC05ED" w14:textId="3E999EE9" w:rsidR="00F77F81" w:rsidRDefault="00F77F81" w:rsidP="00884C4F">
      <w:pPr>
        <w:pStyle w:val="ListBullet"/>
      </w:pPr>
      <w:r w:rsidRPr="00023201">
        <w:rPr>
          <w:vanish/>
          <w:spacing w:val="0"/>
        </w:rPr>
        <w:t xml:space="preserve">BR_2.22 </w:t>
      </w:r>
      <w:r>
        <w:t>The user may not edit VBECS-populated grid worksheet fields that contain unit or patient data.</w:t>
      </w:r>
    </w:p>
    <w:p w14:paraId="147C31F0" w14:textId="77777777" w:rsidR="00F77F81" w:rsidRDefault="00F77F81" w:rsidP="00F77F81">
      <w:pPr>
        <w:pStyle w:val="ListBullet"/>
      </w:pPr>
      <w:r>
        <w:rPr>
          <w:vanish/>
        </w:rPr>
        <w:t xml:space="preserve">BR_2.23 </w:t>
      </w:r>
      <w:r>
        <w:t>The user may sort worksheet entries only before beginning data entry, preferably during unit selection. When the user wishes to sort a worksheet after entering the first reaction result, he must exit without saving the work and begin again.</w:t>
      </w:r>
    </w:p>
    <w:p w14:paraId="7B9479AF" w14:textId="77777777" w:rsidR="00F77F81" w:rsidRDefault="00C549FA" w:rsidP="00F77F81">
      <w:pPr>
        <w:pStyle w:val="ListBullet"/>
      </w:pPr>
      <w:r w:rsidRPr="00896F17">
        <w:rPr>
          <w:rStyle w:val="BullhornChar"/>
        </w:rPr>
        <w:t></w:t>
      </w:r>
      <w:r>
        <w:rPr>
          <w:rFonts w:ascii="Webdings" w:hAnsi="Webdings"/>
        </w:rPr>
        <w:t></w:t>
      </w:r>
      <w:r w:rsidRPr="00263B24">
        <w:t>Wh</w:t>
      </w:r>
      <w:r>
        <w:t>en</w:t>
      </w:r>
      <w:r w:rsidR="00A62384">
        <w:t xml:space="preserve"> a user enters an invalid symbol in a cell, VBECS emits an audible alert and prevents the cursor from moving to th</w:t>
      </w:r>
      <w:r w:rsidR="00F77F81">
        <w:t>e next cell.</w:t>
      </w:r>
    </w:p>
    <w:p w14:paraId="0A0D22F1" w14:textId="77777777" w:rsidR="00F77F81" w:rsidRDefault="00F77F81" w:rsidP="00F77F81">
      <w:pPr>
        <w:pStyle w:val="ListBullet"/>
      </w:pPr>
      <w:r>
        <w:rPr>
          <w:vanish/>
          <w:spacing w:val="0"/>
        </w:rPr>
        <w:t xml:space="preserve">BR_2.29 </w:t>
      </w:r>
      <w:r>
        <w:t>VBECS moves the cursor to the comment cell automatically, when applicable; the user may also use the mouse to move to another cell.</w:t>
      </w:r>
    </w:p>
    <w:p w14:paraId="35022E79" w14:textId="3CEC874A" w:rsidR="00F77F81" w:rsidRDefault="00F77F81" w:rsidP="00F77F81">
      <w:pPr>
        <w:pStyle w:val="ListBullet"/>
      </w:pPr>
      <w:r>
        <w:rPr>
          <w:vanish/>
          <w:spacing w:val="0"/>
        </w:rPr>
        <w:t xml:space="preserve">BR_2.36, BR_2.37, BR_2.38 </w:t>
      </w:r>
      <w:r>
        <w:t>VBECS displays</w:t>
      </w:r>
      <w:r>
        <w:rPr>
          <w:highlight w:val="red"/>
        </w:rPr>
        <w:fldChar w:fldCharType="begin">
          <w:ffData>
            <w:name w:val="Text1"/>
            <w:enabled/>
            <w:calcOnExit w:val="0"/>
            <w:textInput>
              <w:default w:val=" E "/>
              <w:maxLength w:val="3"/>
            </w:textInput>
          </w:ffData>
        </w:fldChar>
      </w:r>
      <w:r>
        <w:rPr>
          <w:highlight w:val="red"/>
        </w:rPr>
        <w:instrText xml:space="preserve"> FORMTEXT </w:instrText>
      </w:r>
      <w:r>
        <w:rPr>
          <w:highlight w:val="red"/>
        </w:rPr>
      </w:r>
      <w:r>
        <w:rPr>
          <w:highlight w:val="red"/>
        </w:rPr>
        <w:fldChar w:fldCharType="separate"/>
      </w:r>
      <w:r w:rsidR="00A91C73">
        <w:rPr>
          <w:noProof/>
          <w:highlight w:val="red"/>
        </w:rPr>
        <w:t xml:space="preserve"> E </w:t>
      </w:r>
      <w:r>
        <w:rPr>
          <w:highlight w:val="red"/>
        </w:rPr>
        <w:fldChar w:fldCharType="end"/>
      </w:r>
      <w:r>
        <w:t>(error) at the beginning of invalid rows and</w:t>
      </w:r>
      <w:r>
        <w:rPr>
          <w:highlight w:val="green"/>
        </w:rPr>
        <w:fldChar w:fldCharType="begin">
          <w:ffData>
            <w:name w:val=""/>
            <w:enabled/>
            <w:calcOnExit w:val="0"/>
            <w:textInput>
              <w:default w:val=" V "/>
              <w:maxLength w:val="3"/>
            </w:textInput>
          </w:ffData>
        </w:fldChar>
      </w:r>
      <w:r>
        <w:rPr>
          <w:highlight w:val="green"/>
        </w:rPr>
        <w:instrText xml:space="preserve"> FORMTEXT </w:instrText>
      </w:r>
      <w:r>
        <w:rPr>
          <w:highlight w:val="green"/>
        </w:rPr>
      </w:r>
      <w:r>
        <w:rPr>
          <w:highlight w:val="green"/>
        </w:rPr>
        <w:fldChar w:fldCharType="separate"/>
      </w:r>
      <w:r w:rsidR="00A91C73">
        <w:rPr>
          <w:noProof/>
          <w:highlight w:val="green"/>
        </w:rPr>
        <w:t xml:space="preserve"> V </w:t>
      </w:r>
      <w:r>
        <w:rPr>
          <w:highlight w:val="green"/>
        </w:rPr>
        <w:fldChar w:fldCharType="end"/>
      </w:r>
      <w:r>
        <w:t>(valid reagent) or</w:t>
      </w:r>
      <w:r w:rsidRPr="00A6799C">
        <w:rPr>
          <w:highlight w:val="yellow"/>
        </w:rPr>
        <w:fldChar w:fldCharType="begin">
          <w:ffData>
            <w:name w:val=""/>
            <w:enabled/>
            <w:calcOnExit w:val="0"/>
            <w:textInput>
              <w:default w:val=" W  "/>
              <w:maxLength w:val="4"/>
            </w:textInput>
          </w:ffData>
        </w:fldChar>
      </w:r>
      <w:r w:rsidRPr="00A6799C">
        <w:rPr>
          <w:highlight w:val="yellow"/>
        </w:rPr>
        <w:instrText xml:space="preserve"> FORMTEXT </w:instrText>
      </w:r>
      <w:r w:rsidRPr="00A6799C">
        <w:rPr>
          <w:highlight w:val="yellow"/>
        </w:rPr>
      </w:r>
      <w:r w:rsidRPr="00A6799C">
        <w:rPr>
          <w:highlight w:val="yellow"/>
        </w:rPr>
        <w:fldChar w:fldCharType="separate"/>
      </w:r>
      <w:r w:rsidR="00A91C73">
        <w:rPr>
          <w:noProof/>
          <w:highlight w:val="yellow"/>
        </w:rPr>
        <w:t xml:space="preserve"> W  </w:t>
      </w:r>
      <w:r w:rsidRPr="00A6799C">
        <w:rPr>
          <w:highlight w:val="yellow"/>
        </w:rPr>
        <w:fldChar w:fldCharType="end"/>
      </w:r>
      <w:r>
        <w:t xml:space="preserve">(reagent will expire within 24 hours) at the beginning of valid rows. These warning icons change as the user updates information. When the user holds the mouse over an icon, VBECS displays the message associated with the truth table interpretation (as with a tool tip). </w:t>
      </w:r>
    </w:p>
    <w:p w14:paraId="2FBDB744" w14:textId="77777777" w:rsidR="00F77F81" w:rsidRDefault="00F77F81" w:rsidP="00F77F81">
      <w:pPr>
        <w:pStyle w:val="ListBullet"/>
      </w:pPr>
      <w:r>
        <w:rPr>
          <w:vanish/>
          <w:spacing w:val="0"/>
        </w:rPr>
        <w:t xml:space="preserve">BR_2.39 </w:t>
      </w:r>
      <w:r>
        <w:t>VBECS compares user-entered interpretations with truth table data.</w:t>
      </w:r>
    </w:p>
    <w:p w14:paraId="1C2C8758" w14:textId="77777777" w:rsidR="00F77F81" w:rsidRDefault="00F77F81" w:rsidP="00F77F81">
      <w:pPr>
        <w:pStyle w:val="ListBullet"/>
      </w:pPr>
      <w:r>
        <w:t xml:space="preserve">The user performs tests and enters data simultaneously. </w:t>
      </w:r>
    </w:p>
    <w:p w14:paraId="7350F410" w14:textId="77777777" w:rsidR="00F77F81" w:rsidRDefault="00F77F81" w:rsidP="00F77F81">
      <w:pPr>
        <w:pStyle w:val="ListBullet"/>
      </w:pPr>
      <w:r>
        <w:t>Throughout this option, the user may view the patient’s VBECS demographics, including the information entered in the patient Special Instructions (SIs), Transfusion Requirements (TRs), and other clinical lab results related to the transfusion through CPRS.</w:t>
      </w:r>
    </w:p>
    <w:p w14:paraId="03AFF364" w14:textId="77777777" w:rsidR="00A62384" w:rsidRDefault="00F77F81" w:rsidP="00F77F81">
      <w:pPr>
        <w:pStyle w:val="ListBullet"/>
      </w:pPr>
      <w:r>
        <w:t>The historical ABO/Rh display includes the date and division of creation or indicates that the record is from the</w:t>
      </w:r>
      <w:r w:rsidR="00A62384">
        <w:t xml:space="preserve"> </w:t>
      </w:r>
      <w:r w:rsidR="000C7684" w:rsidRPr="000C7684">
        <w:t>VistA</w:t>
      </w:r>
      <w:r w:rsidR="00A62384">
        <w:t xml:space="preserve"> database conversion.</w:t>
      </w:r>
    </w:p>
    <w:p w14:paraId="1018F442" w14:textId="77777777" w:rsidR="006C0002" w:rsidRDefault="00A62384" w:rsidP="006C0002">
      <w:pPr>
        <w:pStyle w:val="ListBullet"/>
      </w:pPr>
      <w:r>
        <w:rPr>
          <w:vanish/>
          <w:spacing w:val="0"/>
        </w:rPr>
        <w:t xml:space="preserve">BR_56.06 </w:t>
      </w:r>
      <w:r>
        <w:t>The test record captures the ente</w:t>
      </w:r>
      <w:r w:rsidR="006C0002">
        <w:t>ring and testing technologists’ ID and the display/print technologists’ name, the division, date, and time of the save, the content (details of the verified testing), QC rack ID (if not by automated instrument), test method, automated test instrument information, if indicated, data entries, interpretations, and comments. (When the configuration changes in Configure Testing after the test data are entered, the record is retrievable as originally configured.)</w:t>
      </w:r>
    </w:p>
    <w:p w14:paraId="285F52E8" w14:textId="570A816E" w:rsidR="002317C3" w:rsidRDefault="00C549FA" w:rsidP="002317C3">
      <w:pPr>
        <w:pStyle w:val="ListBullet"/>
      </w:pPr>
      <w:r w:rsidRPr="00896F17">
        <w:rPr>
          <w:rStyle w:val="BullhornChar"/>
        </w:rPr>
        <w:t></w:t>
      </w:r>
      <w:r>
        <w:rPr>
          <w:rFonts w:ascii="Webdings" w:hAnsi="Webdings"/>
        </w:rPr>
        <w:t></w:t>
      </w:r>
      <w:r w:rsidR="0073350C" w:rsidRPr="0073350C">
        <w:rPr>
          <w:rStyle w:val="BodyTextChar"/>
          <w:vanish/>
        </w:rPr>
        <w:t>BR_56.07</w:t>
      </w:r>
      <w:r w:rsidR="00BE616B">
        <w:rPr>
          <w:rStyle w:val="BodyTextChar"/>
          <w:vanish/>
        </w:rPr>
        <w:t xml:space="preserve"> </w:t>
      </w:r>
      <w:r w:rsidRPr="00263B24">
        <w:t>Wh</w:t>
      </w:r>
      <w:r>
        <w:t>en</w:t>
      </w:r>
      <w:r w:rsidR="00A62384">
        <w:t xml:space="preserve"> a </w:t>
      </w:r>
      <w:r w:rsidR="003C244C">
        <w:t>site</w:t>
      </w:r>
      <w:r w:rsidR="00A62384">
        <w:t xml:space="preserve"> is defin</w:t>
      </w:r>
      <w:r w:rsidR="002317C3">
        <w:t>ed as “full service” and daily QC was not performed on the selected rack or the Not in Use Today check box was checked for the 24-hour period (beginning with the time set for the alert defined in Configure Daily QC</w:t>
      </w:r>
      <w:r w:rsidR="006274F7">
        <w:t xml:space="preserve"> and including the date/time tested), </w:t>
      </w:r>
      <w:r w:rsidR="002317C3">
        <w:t xml:space="preserve">VBECS emits an audible alert, warns the user and asks whether he wishes to continue. </w:t>
      </w:r>
      <w:r w:rsidR="002317C3">
        <w:rPr>
          <w:b/>
        </w:rPr>
        <w:t>Yes</w:t>
      </w:r>
      <w:r w:rsidR="002317C3">
        <w:t xml:space="preserve"> requires a comment and captures details for inclusion in the Exception Report (exception type: QC not performed on rack used for testing). </w:t>
      </w:r>
      <w:r w:rsidR="002317C3">
        <w:rPr>
          <w:b/>
        </w:rPr>
        <w:t>No</w:t>
      </w:r>
      <w:r w:rsidR="002317C3">
        <w:t xml:space="preserve"> allows the user to select a different rack or cancel and return to the main menu.</w:t>
      </w:r>
    </w:p>
    <w:p w14:paraId="4B2256BB" w14:textId="77777777" w:rsidR="002317C3" w:rsidRPr="001F4C96" w:rsidRDefault="002317C3" w:rsidP="002317C3">
      <w:pPr>
        <w:pStyle w:val="ListBullet"/>
      </w:pPr>
      <w:r w:rsidRPr="001F4C96">
        <w:rPr>
          <w:vanish/>
          <w:spacing w:val="0"/>
        </w:rPr>
        <w:t xml:space="preserve">BR_28.09 </w:t>
      </w:r>
      <w:r w:rsidRPr="001F4C96">
        <w:t>When reagent</w:t>
      </w:r>
      <w:r w:rsidR="00F93F8F" w:rsidRPr="001F4C96">
        <w:t>s or antisera are</w:t>
      </w:r>
      <w:r w:rsidRPr="001F4C96">
        <w:t xml:space="preserve"> within 24 hours of expiration (23:59 on th</w:t>
      </w:r>
      <w:r w:rsidR="001F4C96" w:rsidRPr="001F4C96">
        <w:t xml:space="preserve">e expiration date), VBECS warns the user when the </w:t>
      </w:r>
      <w:r w:rsidRPr="001F4C96">
        <w:t xml:space="preserve">reagent will expire and asks whether the user wishes to continue. </w:t>
      </w:r>
      <w:r w:rsidRPr="001F4C96">
        <w:rPr>
          <w:b/>
        </w:rPr>
        <w:t>Yes</w:t>
      </w:r>
      <w:r w:rsidRPr="001F4C96">
        <w:t xml:space="preserve"> allows the user to continue testing. </w:t>
      </w:r>
      <w:r w:rsidRPr="001F4C96">
        <w:rPr>
          <w:b/>
        </w:rPr>
        <w:t xml:space="preserve">No </w:t>
      </w:r>
      <w:r w:rsidRPr="001F4C96">
        <w:t>moves the cursor to a cleared lot number cell, which is ready for the user to enter a new lot number.</w:t>
      </w:r>
    </w:p>
    <w:p w14:paraId="7F66147A" w14:textId="77777777" w:rsidR="002317C3" w:rsidRDefault="002317C3" w:rsidP="002317C3">
      <w:pPr>
        <w:pStyle w:val="ListBullet"/>
      </w:pPr>
      <w:r>
        <w:rPr>
          <w:vanish/>
          <w:spacing w:val="0"/>
        </w:rPr>
        <w:t xml:space="preserve">BR_3.56 </w:t>
      </w:r>
      <w:r>
        <w:t>The unit record will capture the entering tech ID, and display and/or print the entering tech name; the selecting tech ID, and display and/or print the selecting tech name; division, date, and time of the save; and the content (details of the unit selection), if indicated, data entries, interpretations, and comments.</w:t>
      </w:r>
    </w:p>
    <w:p w14:paraId="0A2C96A4" w14:textId="774119CF" w:rsidR="002317C3" w:rsidRDefault="002317C3" w:rsidP="002317C3">
      <w:pPr>
        <w:pStyle w:val="ListBullet"/>
      </w:pPr>
      <w:r>
        <w:rPr>
          <w:vanish/>
          <w:spacing w:val="0"/>
        </w:rPr>
        <w:t xml:space="preserve">BR_56.02 </w:t>
      </w:r>
      <w:r>
        <w:t xml:space="preserve">VBECS allows a user to save partially completed tests and allows the same or different user to complete the tests later. A first or second user may enter only new results and may not edit prior entries. VBECS allows the user to save partially completed testing. The user may return to complete the pending </w:t>
      </w:r>
      <w:r w:rsidR="00671459">
        <w:t>tasks but</w:t>
      </w:r>
      <w:r>
        <w:t xml:space="preserve"> may not edit saved interpretations.</w:t>
      </w:r>
    </w:p>
    <w:p w14:paraId="1D243931" w14:textId="77777777" w:rsidR="006B317D" w:rsidRDefault="006B317D">
      <w:pPr>
        <w:rPr>
          <w:rFonts w:ascii="Arial" w:hAnsi="Arial" w:cs="Arial"/>
          <w:b/>
          <w:bCs/>
          <w:sz w:val="26"/>
          <w:szCs w:val="26"/>
        </w:rPr>
      </w:pPr>
      <w:r>
        <w:br w:type="page"/>
      </w:r>
    </w:p>
    <w:p w14:paraId="33306362" w14:textId="0417B916" w:rsidR="00D05436" w:rsidRDefault="002317C3" w:rsidP="006B317D">
      <w:pPr>
        <w:pStyle w:val="Heading3"/>
      </w:pPr>
      <w:bookmarkStart w:id="56" w:name="_Toc149064058"/>
      <w:r>
        <w:t>Creating and Viewing Reports</w:t>
      </w:r>
      <w:bookmarkEnd w:id="56"/>
      <w:r w:rsidRPr="00D05436">
        <w:fldChar w:fldCharType="begin"/>
      </w:r>
      <w:r>
        <w:instrText xml:space="preserve"> XE “Creating and Viewing Reports” </w:instrText>
      </w:r>
      <w:r w:rsidRPr="00D05436">
        <w:fldChar w:fldCharType="end"/>
      </w:r>
    </w:p>
    <w:p w14:paraId="0B11C987" w14:textId="7770767E" w:rsidR="002317C3" w:rsidRDefault="002317C3" w:rsidP="006B317D">
      <w:pPr>
        <w:pStyle w:val="ListBullet"/>
        <w:keepNext/>
      </w:pPr>
      <w:r>
        <w:t xml:space="preserve">Click </w:t>
      </w:r>
      <w:r w:rsidRPr="002D4435">
        <w:rPr>
          <w:rFonts w:ascii="Wingdings" w:hAnsi="Wingdings"/>
        </w:rPr>
        <w:t></w:t>
      </w:r>
      <w:r>
        <w:t xml:space="preserve"> in the Include Report Sections area to select all report sections</w:t>
      </w:r>
      <w:r w:rsidR="00E365A8">
        <w:t xml:space="preserve"> (</w:t>
      </w:r>
      <w:r w:rsidR="00EE455E">
        <w:t xml:space="preserve">Figure </w:t>
      </w:r>
      <w:r w:rsidR="00EE455E">
        <w:rPr>
          <w:noProof/>
        </w:rPr>
        <w:t>5</w:t>
      </w:r>
      <w:r w:rsidR="00E365A8">
        <w:t>)</w:t>
      </w:r>
      <w:r>
        <w:t>.</w:t>
      </w:r>
    </w:p>
    <w:p w14:paraId="446CE50F" w14:textId="42438AEB" w:rsidR="005B6E37" w:rsidRDefault="002317C3" w:rsidP="006B317D">
      <w:pPr>
        <w:pStyle w:val="ListBullet"/>
        <w:keepNext/>
        <w:sectPr w:rsidR="005B6E37" w:rsidSect="0003045D">
          <w:headerReference w:type="default" r:id="rId31"/>
          <w:footerReference w:type="default" r:id="rId32"/>
          <w:type w:val="nextColumn"/>
          <w:pgSz w:w="12240" w:h="15840" w:code="1"/>
          <w:pgMar w:top="1440" w:right="1440" w:bottom="1440" w:left="1440" w:header="720" w:footer="720" w:gutter="0"/>
          <w:cols w:space="720"/>
          <w:docGrid w:linePitch="360"/>
        </w:sectPr>
      </w:pPr>
      <w:r>
        <w:t xml:space="preserve">Click </w:t>
      </w:r>
      <w:r w:rsidRPr="00D1343E">
        <w:rPr>
          <w:rFonts w:ascii="Wingdings 2" w:hAnsi="Wingdings 2" w:cs="Geneva"/>
          <w:b/>
        </w:rPr>
        <w:t></w:t>
      </w:r>
      <w:r>
        <w:t xml:space="preserve"> in the Include Report Sections area to clear all report sections</w:t>
      </w:r>
      <w:r w:rsidR="00931AD5">
        <w:t xml:space="preserve"> (</w:t>
      </w:r>
      <w:r w:rsidR="00EE455E">
        <w:t xml:space="preserve">Figure </w:t>
      </w:r>
      <w:r w:rsidR="00EE455E">
        <w:rPr>
          <w:noProof/>
        </w:rPr>
        <w:t>6</w:t>
      </w:r>
      <w:r w:rsidR="00931AD5">
        <w:t>)</w:t>
      </w:r>
      <w:r>
        <w:t>.</w:t>
      </w:r>
    </w:p>
    <w:p w14:paraId="209C3FF3" w14:textId="3477FC6A" w:rsidR="005B6E37" w:rsidRDefault="005B6E37" w:rsidP="005B6E37">
      <w:pPr>
        <w:pStyle w:val="Caption"/>
      </w:pPr>
      <w:bookmarkStart w:id="57" w:name="_Ref12715433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5</w:t>
      </w:r>
      <w:r w:rsidR="004E20BD">
        <w:rPr>
          <w:noProof/>
        </w:rPr>
        <w:fldChar w:fldCharType="end"/>
      </w:r>
      <w:bookmarkEnd w:id="57"/>
      <w:r>
        <w:t>: Click to Select All Report Sections</w:t>
      </w:r>
    </w:p>
    <w:p w14:paraId="254E1C67" w14:textId="36792A98" w:rsidR="00814342" w:rsidRPr="00814342" w:rsidRDefault="0003045D" w:rsidP="00814342">
      <w:r>
        <w:rPr>
          <w:noProof/>
        </w:rPr>
        <w:drawing>
          <wp:inline distT="0" distB="0" distL="0" distR="0" wp14:anchorId="6163CBC1" wp14:editId="791AB108">
            <wp:extent cx="2971800" cy="3381375"/>
            <wp:effectExtent l="0" t="0" r="0" b="9525"/>
            <wp:docPr id="9" name="Picture 9" descr="Click to Select All Report Section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lick to Select All Report Sections screen cap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381375"/>
                    </a:xfrm>
                    <a:prstGeom prst="rect">
                      <a:avLst/>
                    </a:prstGeom>
                    <a:noFill/>
                    <a:ln>
                      <a:noFill/>
                    </a:ln>
                  </pic:spPr>
                </pic:pic>
              </a:graphicData>
            </a:graphic>
          </wp:inline>
        </w:drawing>
      </w:r>
    </w:p>
    <w:p w14:paraId="40A46E10" w14:textId="7DF8FFA0" w:rsidR="005B6E37" w:rsidRDefault="005B6E37" w:rsidP="005B6E37">
      <w:pPr>
        <w:pStyle w:val="Caption"/>
      </w:pPr>
      <w:bookmarkStart w:id="58" w:name="_Ref12715436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6</w:t>
      </w:r>
      <w:r w:rsidR="004E20BD">
        <w:rPr>
          <w:noProof/>
        </w:rPr>
        <w:fldChar w:fldCharType="end"/>
      </w:r>
      <w:bookmarkEnd w:id="58"/>
      <w:r>
        <w:t xml:space="preserve">: Click to Clear All Report Sections </w:t>
      </w:r>
    </w:p>
    <w:p w14:paraId="7F1F430F" w14:textId="5C594E32" w:rsidR="005B6E37" w:rsidRDefault="00057948" w:rsidP="00814342">
      <w:pPr>
        <w:pStyle w:val="BodyText"/>
        <w:sectPr w:rsidR="005B6E37" w:rsidSect="00E57AC5">
          <w:type w:val="continuous"/>
          <w:pgSz w:w="12240" w:h="15840" w:code="1"/>
          <w:pgMar w:top="1440" w:right="1440" w:bottom="1440" w:left="1440" w:header="720" w:footer="720" w:gutter="0"/>
          <w:cols w:num="2" w:space="720"/>
          <w:docGrid w:linePitch="360"/>
        </w:sectPr>
      </w:pPr>
      <w:r>
        <w:rPr>
          <w:noProof/>
        </w:rPr>
        <w:drawing>
          <wp:inline distT="0" distB="0" distL="0" distR="0" wp14:anchorId="4C2D0539" wp14:editId="457A00B6">
            <wp:extent cx="2974340" cy="3399155"/>
            <wp:effectExtent l="0" t="0" r="0" b="0"/>
            <wp:docPr id="23" name="Picture 23" descr="Click to Clear All Report Section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lick to Clear All Report Sections screen cap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4340" cy="3399155"/>
                    </a:xfrm>
                    <a:prstGeom prst="rect">
                      <a:avLst/>
                    </a:prstGeom>
                    <a:noFill/>
                    <a:ln>
                      <a:noFill/>
                    </a:ln>
                  </pic:spPr>
                </pic:pic>
              </a:graphicData>
            </a:graphic>
          </wp:inline>
        </w:drawing>
      </w:r>
    </w:p>
    <w:p w14:paraId="15C70280" w14:textId="0BA04DD5" w:rsidR="002317C3" w:rsidRDefault="002317C3" w:rsidP="005B6E37">
      <w:pPr>
        <w:pStyle w:val="ListBullet"/>
      </w:pPr>
      <w:r>
        <w:rPr>
          <w:vanish/>
        </w:rPr>
        <w:t xml:space="preserve">BR_20.17 </w:t>
      </w:r>
      <w:r>
        <w:t xml:space="preserve">In the Report Compilation area, click the </w:t>
      </w:r>
      <w:r>
        <w:rPr>
          <w:b/>
        </w:rPr>
        <w:t>Create Report Now</w:t>
      </w:r>
      <w:r>
        <w:t xml:space="preserve"> </w:t>
      </w:r>
      <w:r w:rsidRPr="00BF2E41">
        <w:t>radio button</w:t>
      </w:r>
      <w:r>
        <w:t xml:space="preserve"> and </w:t>
      </w:r>
      <w:r>
        <w:rPr>
          <w:b/>
        </w:rPr>
        <w:t>OK</w:t>
      </w:r>
      <w:r>
        <w:t xml:space="preserve"> to view the report, or click the </w:t>
      </w:r>
      <w:r>
        <w:rPr>
          <w:b/>
        </w:rPr>
        <w:t>Schedule Print Job</w:t>
      </w:r>
      <w:r>
        <w:t xml:space="preserve"> </w:t>
      </w:r>
      <w:r w:rsidRPr="00BF2E41">
        <w:t>radio button</w:t>
      </w:r>
      <w:r>
        <w:rPr>
          <w:b/>
        </w:rPr>
        <w:t xml:space="preserve"> </w:t>
      </w:r>
      <w:r>
        <w:t xml:space="preserve">and </w:t>
      </w:r>
      <w:r>
        <w:rPr>
          <w:b/>
        </w:rPr>
        <w:t>OK</w:t>
      </w:r>
      <w:r>
        <w:t xml:space="preserve">, then enter or select a print date and printer name, then click </w:t>
      </w:r>
      <w:r>
        <w:rPr>
          <w:b/>
        </w:rPr>
        <w:t>OK</w:t>
      </w:r>
      <w:r>
        <w:t xml:space="preserve"> to view and print the report.</w:t>
      </w:r>
    </w:p>
    <w:p w14:paraId="0EB7B41B" w14:textId="77777777" w:rsidR="00855A2D" w:rsidRPr="00855A2D" w:rsidRDefault="00855A2D" w:rsidP="002317C3">
      <w:pPr>
        <w:pStyle w:val="ListBullet"/>
      </w:pPr>
      <w:r w:rsidRPr="00855A2D">
        <w:rPr>
          <w:spacing w:val="0"/>
        </w:rPr>
        <w:t>Reports are printed only in their entirety.</w:t>
      </w:r>
    </w:p>
    <w:p w14:paraId="38852DDA" w14:textId="77777777" w:rsidR="002317C3" w:rsidRDefault="002317C3" w:rsidP="002317C3">
      <w:pPr>
        <w:pStyle w:val="ListBullet"/>
      </w:pPr>
      <w:r>
        <w:rPr>
          <w:vanish/>
          <w:spacing w:val="0"/>
        </w:rPr>
        <w:t xml:space="preserve">BR_77.02 </w:t>
      </w:r>
      <w:r>
        <w:t xml:space="preserve">A single-division report includes information from one division. </w:t>
      </w:r>
    </w:p>
    <w:p w14:paraId="683CC6F4" w14:textId="77777777" w:rsidR="002317C3" w:rsidRDefault="002317C3" w:rsidP="002317C3">
      <w:pPr>
        <w:pStyle w:val="ListBullet"/>
      </w:pPr>
      <w:r>
        <w:rPr>
          <w:vanish/>
          <w:spacing w:val="0"/>
        </w:rPr>
        <w:t xml:space="preserve">BR_104.02 </w:t>
      </w:r>
      <w:r>
        <w:t>When a site is a single division or a user does not have multidivisional access and a report has a multiple-division option, the user may not select a multidivisional report.</w:t>
      </w:r>
    </w:p>
    <w:p w14:paraId="7EA978C5" w14:textId="77777777" w:rsidR="002317C3" w:rsidRDefault="002317C3" w:rsidP="002317C3">
      <w:pPr>
        <w:pStyle w:val="ListBullet"/>
      </w:pPr>
      <w:r>
        <w:rPr>
          <w:vanish/>
          <w:spacing w:val="0"/>
        </w:rPr>
        <w:t xml:space="preserve">BR_27.10 </w:t>
      </w:r>
      <w:r>
        <w:t>VBECS maintains a cumulative history of all transactions, including testing and status changes, for every blood unit entered in the database (Unit History Report).</w:t>
      </w:r>
    </w:p>
    <w:p w14:paraId="468B209E" w14:textId="3BB3A1CF" w:rsidR="002317C3" w:rsidRDefault="002317C3" w:rsidP="002317C3">
      <w:pPr>
        <w:pStyle w:val="ListBullet"/>
      </w:pPr>
      <w:r>
        <w:rPr>
          <w:vanish/>
          <w:spacing w:val="0"/>
        </w:rPr>
        <w:t xml:space="preserve">BR_12.02 </w:t>
      </w:r>
      <w:r>
        <w:t xml:space="preserve">VBECS captures changes to verified data for inclusion in an audit trail report (Audit Trail Report, Unit History Report, </w:t>
      </w:r>
      <w:r w:rsidR="001F530A">
        <w:t xml:space="preserve">and </w:t>
      </w:r>
      <w:r>
        <w:t>Patient History Report).</w:t>
      </w:r>
    </w:p>
    <w:p w14:paraId="626F1B66" w14:textId="77777777" w:rsidR="002317C3" w:rsidRDefault="002317C3" w:rsidP="002317C3">
      <w:pPr>
        <w:pStyle w:val="ListBullet"/>
      </w:pPr>
      <w:r>
        <w:rPr>
          <w:vanish/>
          <w:spacing w:val="0"/>
        </w:rPr>
        <w:t xml:space="preserve">BR_56.10 </w:t>
      </w:r>
      <w:r>
        <w:t>VBECS displays patient ABO/Rh results in reverse chronological order, regardless of division, then from the</w:t>
      </w:r>
      <w:r w:rsidR="00A62384">
        <w:t xml:space="preserve"> </w:t>
      </w:r>
      <w:r w:rsidR="000C7684" w:rsidRPr="000C7684">
        <w:rPr>
          <w:bCs/>
        </w:rPr>
        <w:t>VistA</w:t>
      </w:r>
      <w:r w:rsidR="00A62384">
        <w:t xml:space="preserve"> database conversion. When no ABO/Rh records exist, VBECS displays “NR” (no records). When there are discrep</w:t>
      </w:r>
      <w:r>
        <w:t xml:space="preserve">ant ABO/Rh results from the same </w:t>
      </w:r>
      <w:r w:rsidR="00AE2C2C">
        <w:t>universal ID (UID)</w:t>
      </w:r>
      <w:r>
        <w:t xml:space="preserve"> or from two specimen UIDs, VBECS displays the results recorded just prior to the latest result that created the discrepancy and warns the user.</w:t>
      </w:r>
    </w:p>
    <w:p w14:paraId="5B7AF544" w14:textId="0B274D4E" w:rsidR="002317C3" w:rsidRDefault="002317C3" w:rsidP="002317C3">
      <w:pPr>
        <w:pStyle w:val="ListBullet"/>
      </w:pPr>
      <w:r>
        <w:rPr>
          <w:vanish/>
          <w:spacing w:val="0"/>
        </w:rPr>
        <w:t xml:space="preserve">BR_49.05 </w:t>
      </w:r>
      <w:r>
        <w:t xml:space="preserve">When a search will return a large number of items on the report, VBECS notifies the user that the report will be longer than </w:t>
      </w:r>
      <w:r w:rsidR="003C52E6">
        <w:t xml:space="preserve">approximately </w:t>
      </w:r>
      <w:r>
        <w:t xml:space="preserve">50 pages and asks whether he wants to display and perhaps print the report. </w:t>
      </w:r>
      <w:r>
        <w:rPr>
          <w:b/>
        </w:rPr>
        <w:t>Y</w:t>
      </w:r>
      <w:r w:rsidRPr="002317C3">
        <w:rPr>
          <w:b/>
        </w:rPr>
        <w:t>es</w:t>
      </w:r>
      <w:r>
        <w:t xml:space="preserve"> notifies the user that the process will take a few minutes. </w:t>
      </w:r>
      <w:r>
        <w:rPr>
          <w:b/>
        </w:rPr>
        <w:t>No</w:t>
      </w:r>
      <w:r>
        <w:t xml:space="preserve"> clears the screen and returns to the option’s main menu.</w:t>
      </w:r>
    </w:p>
    <w:p w14:paraId="17200A0C" w14:textId="77777777" w:rsidR="002317C3" w:rsidRDefault="002317C3" w:rsidP="002317C3">
      <w:pPr>
        <w:pStyle w:val="ListBullet"/>
      </w:pPr>
      <w:r>
        <w:rPr>
          <w:vanish/>
          <w:spacing w:val="0"/>
        </w:rPr>
        <w:t xml:space="preserve">BR_49.07 </w:t>
      </w:r>
      <w:r>
        <w:rPr>
          <w:noProof/>
        </w:rPr>
        <w:t>When no information that fulfills search criteria is available, VBECS notifies the user that no information is available, per entered search criteria.</w:t>
      </w:r>
    </w:p>
    <w:p w14:paraId="432E27C1" w14:textId="50B9C61D" w:rsidR="002317C3" w:rsidRDefault="002317C3" w:rsidP="002317C3">
      <w:pPr>
        <w:pStyle w:val="ListBullet"/>
      </w:pPr>
      <w:r>
        <w:rPr>
          <w:noProof/>
          <w:vanish/>
          <w:spacing w:val="0"/>
        </w:rPr>
        <w:t>BR_77.01</w:t>
      </w:r>
      <w:r w:rsidR="00F33FC0">
        <w:rPr>
          <w:noProof/>
          <w:vanish/>
          <w:spacing w:val="0"/>
        </w:rPr>
        <w:t>,</w:t>
      </w:r>
      <w:r>
        <w:rPr>
          <w:noProof/>
          <w:vanish/>
          <w:spacing w:val="0"/>
        </w:rPr>
        <w:t xml:space="preserve"> </w:t>
      </w:r>
      <w:r w:rsidR="00F33FC0">
        <w:rPr>
          <w:vanish/>
          <w:spacing w:val="0"/>
        </w:rPr>
        <w:t xml:space="preserve">BR_77.03, </w:t>
      </w:r>
      <w:r w:rsidR="00F33FC0">
        <w:rPr>
          <w:noProof/>
          <w:vanish/>
          <w:spacing w:val="0"/>
        </w:rPr>
        <w:t>BR_77.05</w:t>
      </w:r>
      <w:r>
        <w:t>The user may change the default start and end dates</w:t>
      </w:r>
      <w:r w:rsidR="00E43586">
        <w:t xml:space="preserve"> (the previous day). The end date</w:t>
      </w:r>
      <w:r>
        <w:t xml:space="preserve"> must be later than</w:t>
      </w:r>
      <w:r w:rsidR="00F33FC0">
        <w:t xml:space="preserve"> or the same as</w:t>
      </w:r>
      <w:r>
        <w:t xml:space="preserve"> the start date</w:t>
      </w:r>
      <w:r w:rsidR="00F33FC0">
        <w:t xml:space="preserve">. Report activity begins at and includes midnight on the start </w:t>
      </w:r>
      <w:r w:rsidR="00671459">
        <w:t>date and</w:t>
      </w:r>
      <w:r w:rsidR="00F33FC0">
        <w:t xml:space="preserve"> ends </w:t>
      </w:r>
      <w:r w:rsidR="00354248">
        <w:t>23:59</w:t>
      </w:r>
      <w:r w:rsidR="00F33FC0">
        <w:t xml:space="preserve"> on the end date. When the date range includes the current date, VBECS displays “Preliminary” in the header on each page of the report.</w:t>
      </w:r>
    </w:p>
    <w:p w14:paraId="5CB7F632" w14:textId="77777777" w:rsidR="002317C3" w:rsidRDefault="002317C3" w:rsidP="002317C3">
      <w:pPr>
        <w:pStyle w:val="ListBullet"/>
      </w:pPr>
      <w:r>
        <w:rPr>
          <w:vanish/>
          <w:spacing w:val="0"/>
        </w:rPr>
        <w:t xml:space="preserve">BR_77.07 </w:t>
      </w:r>
      <w:r>
        <w:t>VBECS displays headers on every page of a report; it displays search and sort criteria and date ranges at the end of the report. VBECS identifies whether reports are generated from a test environment or from a production environment.</w:t>
      </w:r>
    </w:p>
    <w:p w14:paraId="04D617E6" w14:textId="5A61EC5F" w:rsidR="00D9320F" w:rsidRDefault="002317C3" w:rsidP="00D9320F">
      <w:pPr>
        <w:pStyle w:val="ListBullet"/>
      </w:pPr>
      <w:r w:rsidRPr="00FF2D14">
        <w:rPr>
          <w:vanish/>
        </w:rPr>
        <w:t xml:space="preserve">BR_77.11 </w:t>
      </w:r>
      <w:r w:rsidR="00767ECE">
        <w:t xml:space="preserve">The user may choose to schedule a report to run at a future date and time and print on a designated printer. When a date range is supplied for the report, the report's end date must occur before selected date of printing. The report scheduled to run at the future date/time will start processing the data at the time the report is scheduled to print (future date/time). If the date range spans more than 30 days, the system displays the warning message: "You are requesting more than 30 days of data to be printed. Continue?" </w:t>
      </w:r>
      <w:r w:rsidR="00AB4BD9" w:rsidRPr="00AB4BD9">
        <w:rPr>
          <w:vanish/>
        </w:rPr>
        <w:t>Defect 210516</w:t>
      </w:r>
    </w:p>
    <w:p w14:paraId="2071D4CD" w14:textId="77777777" w:rsidR="00A62384" w:rsidRDefault="002317C3" w:rsidP="002317C3">
      <w:pPr>
        <w:pStyle w:val="ListBullet"/>
      </w:pPr>
      <w:r>
        <w:t xml:space="preserve">Local record retention policy instructs users to print, review, document, and save the </w:t>
      </w:r>
      <w:r w:rsidR="002D2971">
        <w:rPr>
          <w:rFonts w:eastAsia="Arial Unicode MS"/>
        </w:rPr>
        <w:t>Audit Trail, Exception, and Testing Worklist Reports</w:t>
      </w:r>
      <w:r>
        <w:t xml:space="preserve">. The reports contain only data entries generated in the user’s login division. </w:t>
      </w:r>
      <w:r>
        <w:rPr>
          <w:vanish/>
          <w:spacing w:val="0"/>
        </w:rPr>
        <w:t xml:space="preserve">BR_77.08 </w:t>
      </w:r>
      <w:r>
        <w:t>Each entry includes an area for supervisor acknowledgement (signature or initials and date of</w:t>
      </w:r>
      <w:r w:rsidR="00A62384">
        <w:t xml:space="preserve"> review) and comment.</w:t>
      </w:r>
    </w:p>
    <w:p w14:paraId="49FD7E8F" w14:textId="77777777" w:rsidR="002C0B9B" w:rsidRPr="002C0B9B" w:rsidRDefault="002C0B9B" w:rsidP="002C0B9B">
      <w:pPr>
        <w:pStyle w:val="ListBullet"/>
      </w:pPr>
      <w:r>
        <w:t xml:space="preserve">The search functionality (binoculars icon) may not </w:t>
      </w:r>
      <w:r w:rsidR="0045199A">
        <w:t>work</w:t>
      </w:r>
      <w:r>
        <w:t xml:space="preserve"> in a displayed report. </w:t>
      </w:r>
      <w:r w:rsidRPr="002C0B9B">
        <w:rPr>
          <w:vanish/>
        </w:rPr>
        <w:t>DR 2538</w:t>
      </w:r>
    </w:p>
    <w:p w14:paraId="1CED15BC" w14:textId="77777777" w:rsidR="00413ECA" w:rsidRDefault="00A62384" w:rsidP="00413ECA">
      <w:pPr>
        <w:pStyle w:val="ListBullet"/>
      </w:pPr>
      <w:r w:rsidRPr="00BC74C6">
        <w:rPr>
          <w:vanish/>
          <w:spacing w:val="0"/>
        </w:rPr>
        <w:t xml:space="preserve">BR_65.01 </w:t>
      </w:r>
      <w:r>
        <w:t>VBECS displays the patient historical ABO/Rh</w:t>
      </w:r>
      <w:r w:rsidR="000A0BE8">
        <w:t>, antibodies identified, antigen negative requirements, and</w:t>
      </w:r>
      <w:r>
        <w:t xml:space="preserve"> </w:t>
      </w:r>
      <w:r w:rsidR="000A0BE8">
        <w:t xml:space="preserve">transfusion reaction history </w:t>
      </w:r>
      <w:r>
        <w:t xml:space="preserve">(date, division of testing, whether from the </w:t>
      </w:r>
      <w:r w:rsidR="000C7684" w:rsidRPr="00BC74C6">
        <w:rPr>
          <w:bCs/>
        </w:rPr>
        <w:t>VistA</w:t>
      </w:r>
      <w:r w:rsidR="00413ECA">
        <w:t xml:space="preserve"> database conversion)</w:t>
      </w:r>
      <w:r w:rsidR="00F53A23">
        <w:t>,</w:t>
      </w:r>
      <w:r w:rsidR="00413ECA">
        <w:t xml:space="preserve"> </w:t>
      </w:r>
      <w:r w:rsidR="000A0BE8">
        <w:t xml:space="preserve">and </w:t>
      </w:r>
      <w:r w:rsidR="00413ECA">
        <w:t>whether the historical ABO/Rh was changed.</w:t>
      </w:r>
    </w:p>
    <w:p w14:paraId="4E678258" w14:textId="0B1D7A30" w:rsidR="0092694F" w:rsidRPr="003E663B" w:rsidRDefault="00413ECA" w:rsidP="003D6B91">
      <w:pPr>
        <w:pStyle w:val="ListBullet"/>
        <w:rPr>
          <w:rStyle w:val="CommentReference"/>
          <w:sz w:val="22"/>
          <w:szCs w:val="22"/>
        </w:rPr>
      </w:pPr>
      <w:r>
        <w:rPr>
          <w:vanish/>
          <w:spacing w:val="0"/>
        </w:rPr>
        <w:t xml:space="preserve">BR_65.02 </w:t>
      </w:r>
      <w:r>
        <w:t>When a patient has a history of an ABO/Rh change justified through Justify ABO/Rh Change, VBECS displays “History of justified ABO/Rh change” next to the</w:t>
      </w:r>
      <w:r>
        <w:rPr>
          <w:rStyle w:val="CommentReference"/>
          <w:sz w:val="22"/>
        </w:rPr>
        <w:t xml:space="preserve"> historical ABO/Rh information</w:t>
      </w:r>
      <w:r w:rsidR="008925E8">
        <w:rPr>
          <w:rStyle w:val="CommentReference"/>
          <w:sz w:val="22"/>
        </w:rPr>
        <w:t>.</w:t>
      </w:r>
    </w:p>
    <w:p w14:paraId="04E5405C" w14:textId="2A20693D" w:rsidR="00EA07D7" w:rsidRPr="00D1350E" w:rsidRDefault="00EA07D7" w:rsidP="003D6B91">
      <w:pPr>
        <w:pStyle w:val="ListBullet"/>
        <w:rPr>
          <w:rStyle w:val="CommentReference"/>
          <w:sz w:val="22"/>
          <w:szCs w:val="22"/>
        </w:rPr>
      </w:pPr>
      <w:r>
        <w:t xml:space="preserve">Refer to the </w:t>
      </w:r>
      <w:r w:rsidRPr="003E663B">
        <w:rPr>
          <w:i/>
          <w:iCs/>
        </w:rPr>
        <w:t>VBECS Technical Manual-Security Guide</w:t>
      </w:r>
      <w:r>
        <w:t xml:space="preserve"> for details on which workstation settings may affect the appearance of a report preview.</w:t>
      </w:r>
    </w:p>
    <w:p w14:paraId="74005AE2" w14:textId="77777777" w:rsidR="002F1554" w:rsidRPr="002F1554" w:rsidRDefault="002F1554" w:rsidP="002F1554">
      <w:pPr>
        <w:pStyle w:val="ListBullet"/>
        <w:numPr>
          <w:ilvl w:val="0"/>
          <w:numId w:val="0"/>
        </w:numPr>
        <w:ind w:left="648" w:hanging="360"/>
      </w:pPr>
    </w:p>
    <w:p w14:paraId="4CAB860A" w14:textId="465747BB" w:rsidR="002F1554" w:rsidRPr="00037A18" w:rsidRDefault="002F1554" w:rsidP="002F1554">
      <w:pPr>
        <w:rPr>
          <w:sz w:val="22"/>
          <w:szCs w:val="22"/>
        </w:rPr>
      </w:pPr>
      <w:r w:rsidRPr="00037A18">
        <w:rPr>
          <w:sz w:val="22"/>
          <w:szCs w:val="22"/>
        </w:rPr>
        <w:t xml:space="preserve">Reports in VBECS are created using a Microsoft technology called SQL Server Reporting Services (SSRS). Reports are rendered on screen using </w:t>
      </w:r>
      <w:r w:rsidR="00A628A7">
        <w:rPr>
          <w:sz w:val="22"/>
          <w:szCs w:val="22"/>
        </w:rPr>
        <w:t xml:space="preserve">Microsoft </w:t>
      </w:r>
      <w:r w:rsidRPr="00037A18">
        <w:rPr>
          <w:sz w:val="22"/>
          <w:szCs w:val="22"/>
        </w:rPr>
        <w:t>Report</w:t>
      </w:r>
      <w:r w:rsidR="00A628A7">
        <w:rPr>
          <w:sz w:val="22"/>
          <w:szCs w:val="22"/>
        </w:rPr>
        <w:t xml:space="preserve"> </w:t>
      </w:r>
      <w:r w:rsidRPr="00037A18">
        <w:rPr>
          <w:sz w:val="22"/>
          <w:szCs w:val="22"/>
        </w:rPr>
        <w:t xml:space="preserve">Viewer control. Reports are not deployed on the reporting server but as a part of the main application. All reports </w:t>
      </w:r>
      <w:r w:rsidR="00FD4C4A">
        <w:rPr>
          <w:sz w:val="22"/>
          <w:szCs w:val="22"/>
        </w:rPr>
        <w:t xml:space="preserve">rendered on screen </w:t>
      </w:r>
      <w:r w:rsidRPr="00037A18">
        <w:rPr>
          <w:sz w:val="22"/>
          <w:szCs w:val="22"/>
        </w:rPr>
        <w:t>can be exported. The user has the option to export reports</w:t>
      </w:r>
      <w:r>
        <w:rPr>
          <w:sz w:val="22"/>
          <w:szCs w:val="22"/>
        </w:rPr>
        <w:t xml:space="preserve"> in three different formats (PDF</w:t>
      </w:r>
      <w:r w:rsidRPr="00037A18">
        <w:rPr>
          <w:sz w:val="22"/>
          <w:szCs w:val="22"/>
        </w:rPr>
        <w:t>, Excel and/or Word).</w:t>
      </w:r>
    </w:p>
    <w:p w14:paraId="12DA6635" w14:textId="77777777" w:rsidR="006B317D" w:rsidRDefault="006B317D">
      <w:pPr>
        <w:rPr>
          <w:rFonts w:ascii="Arial" w:hAnsi="Arial" w:cs="Arial"/>
          <w:b/>
          <w:bCs/>
          <w:sz w:val="26"/>
          <w:szCs w:val="26"/>
        </w:rPr>
      </w:pPr>
      <w:r>
        <w:br w:type="page"/>
      </w:r>
    </w:p>
    <w:p w14:paraId="383D3FCE" w14:textId="11B2C91F" w:rsidR="00770D97" w:rsidRDefault="00770D97" w:rsidP="00292063">
      <w:pPr>
        <w:pStyle w:val="Heading3"/>
      </w:pPr>
      <w:bookmarkStart w:id="59" w:name="_Toc149064059"/>
      <w:r>
        <w:t>Scheduling Report Print Jobs</w:t>
      </w:r>
      <w:bookmarkEnd w:id="59"/>
    </w:p>
    <w:p w14:paraId="38D98DC0" w14:textId="1E62579F" w:rsidR="00D2638D" w:rsidRDefault="00770D97" w:rsidP="00292063">
      <w:pPr>
        <w:keepNext/>
        <w:rPr>
          <w:sz w:val="22"/>
          <w:szCs w:val="22"/>
        </w:rPr>
      </w:pPr>
      <w:r>
        <w:rPr>
          <w:sz w:val="22"/>
          <w:szCs w:val="22"/>
        </w:rPr>
        <w:t xml:space="preserve">To have a report printed automatically at a later date, the user </w:t>
      </w:r>
      <w:r w:rsidR="00CE20B4">
        <w:rPr>
          <w:sz w:val="22"/>
          <w:szCs w:val="22"/>
        </w:rPr>
        <w:t>select</w:t>
      </w:r>
      <w:r w:rsidR="00FB40C0">
        <w:rPr>
          <w:sz w:val="22"/>
          <w:szCs w:val="22"/>
        </w:rPr>
        <w:t>s</w:t>
      </w:r>
      <w:r>
        <w:rPr>
          <w:sz w:val="22"/>
          <w:szCs w:val="22"/>
        </w:rPr>
        <w:t xml:space="preserve"> the </w:t>
      </w:r>
      <w:r w:rsidRPr="003E663B">
        <w:rPr>
          <w:b/>
          <w:bCs/>
          <w:sz w:val="22"/>
          <w:szCs w:val="22"/>
        </w:rPr>
        <w:t>Schedule Print Job</w:t>
      </w:r>
      <w:r>
        <w:rPr>
          <w:sz w:val="22"/>
          <w:szCs w:val="22"/>
        </w:rPr>
        <w:t xml:space="preserve"> option on any VBECS </w:t>
      </w:r>
      <w:r w:rsidRPr="00CE20B4">
        <w:rPr>
          <w:sz w:val="22"/>
          <w:szCs w:val="22"/>
        </w:rPr>
        <w:t>report (</w:t>
      </w:r>
      <w:r w:rsidR="00EE455E" w:rsidRPr="00EE455E">
        <w:rPr>
          <w:sz w:val="22"/>
          <w:szCs w:val="22"/>
        </w:rPr>
        <w:t xml:space="preserve">Figure </w:t>
      </w:r>
      <w:r w:rsidR="00EE455E" w:rsidRPr="00EE455E">
        <w:rPr>
          <w:noProof/>
          <w:sz w:val="22"/>
          <w:szCs w:val="22"/>
        </w:rPr>
        <w:t>5</w:t>
      </w:r>
      <w:r w:rsidRPr="00CE20B4">
        <w:rPr>
          <w:sz w:val="22"/>
          <w:szCs w:val="22"/>
        </w:rPr>
        <w:t>).</w:t>
      </w:r>
      <w:r w:rsidR="00D2638D" w:rsidRPr="00CE20B4">
        <w:rPr>
          <w:sz w:val="22"/>
          <w:szCs w:val="22"/>
        </w:rPr>
        <w:t xml:space="preserve"> Scheduled</w:t>
      </w:r>
      <w:r w:rsidR="00D2638D">
        <w:rPr>
          <w:sz w:val="22"/>
          <w:szCs w:val="22"/>
        </w:rPr>
        <w:t xml:space="preserve"> print jobs wait in a queue until the designated </w:t>
      </w:r>
      <w:r w:rsidR="00CE20B4">
        <w:rPr>
          <w:sz w:val="22"/>
          <w:szCs w:val="22"/>
        </w:rPr>
        <w:t xml:space="preserve">time (set </w:t>
      </w:r>
      <w:r w:rsidR="00D2638D">
        <w:rPr>
          <w:sz w:val="22"/>
          <w:szCs w:val="22"/>
        </w:rPr>
        <w:t xml:space="preserve">in the </w:t>
      </w:r>
      <w:r w:rsidR="00D2638D" w:rsidRPr="003E663B">
        <w:rPr>
          <w:b/>
          <w:bCs/>
          <w:sz w:val="22"/>
          <w:szCs w:val="22"/>
        </w:rPr>
        <w:t>Print Date</w:t>
      </w:r>
      <w:r w:rsidR="00D2638D">
        <w:rPr>
          <w:sz w:val="22"/>
          <w:szCs w:val="22"/>
        </w:rPr>
        <w:t xml:space="preserve"> field</w:t>
      </w:r>
      <w:r w:rsidR="00CE20B4">
        <w:rPr>
          <w:sz w:val="22"/>
          <w:szCs w:val="22"/>
        </w:rPr>
        <w:t xml:space="preserve">), </w:t>
      </w:r>
      <w:r w:rsidR="00D2638D">
        <w:rPr>
          <w:sz w:val="22"/>
          <w:szCs w:val="22"/>
        </w:rPr>
        <w:t xml:space="preserve">at which point they </w:t>
      </w:r>
      <w:r w:rsidR="00CE20B4">
        <w:rPr>
          <w:sz w:val="22"/>
          <w:szCs w:val="22"/>
        </w:rPr>
        <w:t>are</w:t>
      </w:r>
      <w:r w:rsidR="00D2638D">
        <w:rPr>
          <w:sz w:val="22"/>
          <w:szCs w:val="22"/>
        </w:rPr>
        <w:t xml:space="preserve"> sent to the printer selected in the </w:t>
      </w:r>
      <w:r w:rsidR="00D2638D" w:rsidRPr="003E663B">
        <w:rPr>
          <w:b/>
          <w:bCs/>
          <w:sz w:val="22"/>
          <w:szCs w:val="22"/>
        </w:rPr>
        <w:t>Printer Name</w:t>
      </w:r>
      <w:r w:rsidR="00D2638D">
        <w:rPr>
          <w:sz w:val="22"/>
          <w:szCs w:val="22"/>
        </w:rPr>
        <w:t xml:space="preserve"> field. </w:t>
      </w:r>
    </w:p>
    <w:p w14:paraId="6C8B48AD" w14:textId="77777777" w:rsidR="00FF2D14" w:rsidRDefault="00FF2D14" w:rsidP="00770D97">
      <w:pPr>
        <w:rPr>
          <w:b/>
          <w:bCs/>
          <w:sz w:val="22"/>
          <w:szCs w:val="22"/>
        </w:rPr>
      </w:pPr>
    </w:p>
    <w:p w14:paraId="0B54B7BD" w14:textId="78622904" w:rsidR="00FF2D14" w:rsidRDefault="00FF2D14" w:rsidP="00FF2D14">
      <w:pPr>
        <w:pStyle w:val="ListBullet"/>
      </w:pPr>
      <w:r>
        <w:t xml:space="preserve">The print job engine runs in UTC time. This means that if you set the </w:t>
      </w:r>
      <w:r w:rsidRPr="00603161">
        <w:rPr>
          <w:b/>
          <w:bCs/>
        </w:rPr>
        <w:t>Print Date</w:t>
      </w:r>
      <w:r>
        <w:t xml:space="preserve"> field to 9:00AM it will print at 9:00AM UTC, (which equates to 6:00AM EDT, 5:00AM CDT, 4:00AM MDT and 3:00AM PDT). The </w:t>
      </w:r>
      <w:r w:rsidRPr="00603161">
        <w:rPr>
          <w:b/>
          <w:bCs/>
        </w:rPr>
        <w:t>Start Date</w:t>
      </w:r>
      <w:r>
        <w:t xml:space="preserve"> and </w:t>
      </w:r>
      <w:r w:rsidRPr="00603161">
        <w:rPr>
          <w:b/>
          <w:bCs/>
        </w:rPr>
        <w:t>End Date</w:t>
      </w:r>
      <w:r>
        <w:t xml:space="preserve"> fields are converted into user division time, which can create a scenario where the job prints before the </w:t>
      </w:r>
      <w:r w:rsidRPr="00603161">
        <w:rPr>
          <w:b/>
          <w:bCs/>
        </w:rPr>
        <w:t>End Date</w:t>
      </w:r>
      <w:r>
        <w:rPr>
          <w:b/>
          <w:bCs/>
        </w:rPr>
        <w:t>.</w:t>
      </w:r>
    </w:p>
    <w:p w14:paraId="00E6048B" w14:textId="68CC7609" w:rsidR="00FF2D14" w:rsidRDefault="00FF2D14" w:rsidP="00FF2D14">
      <w:pPr>
        <w:pStyle w:val="ListBullet"/>
      </w:pPr>
      <w:r>
        <w:t>The user may choose to schedule a report to run at a future date and time and print on a designated printer. When a date range is supplied for the report, the report's end date must occur before the selected date of printing. The report scheduled to run at the future date/time will start processing the data at the time the report is scheduled to print (future date/time). If the date range spans more than 30 days, the system displays the warning message: "You are requesting more than 30 days of data to be printed. Continue?"</w:t>
      </w:r>
    </w:p>
    <w:p w14:paraId="26574061" w14:textId="749E31A0" w:rsidR="00FF2D14" w:rsidRDefault="00FF2D14" w:rsidP="00FF2D14">
      <w:pPr>
        <w:pStyle w:val="ListBullet"/>
      </w:pPr>
      <w:r>
        <w:t xml:space="preserve">If a print job is scheduled for </w:t>
      </w:r>
      <w:r w:rsidRPr="003E663B">
        <w:rPr>
          <w:b/>
          <w:bCs/>
        </w:rPr>
        <w:t>Printer Name</w:t>
      </w:r>
      <w:r>
        <w:t xml:space="preserve"> “VBECS Backup Printer”, and the “VBECS Backup Printer” is renamed or removed before the job’s </w:t>
      </w:r>
      <w:r w:rsidRPr="003E663B">
        <w:rPr>
          <w:b/>
          <w:bCs/>
        </w:rPr>
        <w:t>Print Date</w:t>
      </w:r>
      <w:r>
        <w:t>, that report will not print.</w:t>
      </w:r>
    </w:p>
    <w:p w14:paraId="6B4203DF" w14:textId="49FADEAC" w:rsidR="002F1554" w:rsidRPr="00037A18" w:rsidRDefault="002F1554" w:rsidP="002F1554">
      <w:pPr>
        <w:pStyle w:val="Heading2"/>
      </w:pPr>
      <w:bookmarkStart w:id="60" w:name="_Toc149064060"/>
      <w:r w:rsidRPr="00037A18">
        <w:t>Report Toolbar</w:t>
      </w:r>
      <w:bookmarkEnd w:id="60"/>
      <w:r w:rsidR="002B5CD5">
        <w:t xml:space="preserve"> </w:t>
      </w:r>
      <w:r w:rsidR="002B5CD5" w:rsidRPr="002B5CD5">
        <w:rPr>
          <w:rFonts w:ascii="Arial Bold" w:hAnsi="Arial Bold"/>
          <w:vanish/>
        </w:rPr>
        <w:t>DR 4581</w:t>
      </w:r>
    </w:p>
    <w:p w14:paraId="5E9B84D6" w14:textId="2E45A1F2" w:rsidR="002F1554" w:rsidRPr="00037A18" w:rsidRDefault="002F1554" w:rsidP="002F1554">
      <w:pPr>
        <w:rPr>
          <w:sz w:val="22"/>
          <w:szCs w:val="22"/>
        </w:rPr>
      </w:pPr>
      <w:r w:rsidRPr="00037A18">
        <w:rPr>
          <w:sz w:val="22"/>
          <w:szCs w:val="22"/>
        </w:rPr>
        <w:t xml:space="preserve">Each report in VBECS will have a toolbar on top that allows the user to interact with the </w:t>
      </w:r>
      <w:r w:rsidRPr="00D2638D">
        <w:rPr>
          <w:sz w:val="22"/>
          <w:szCs w:val="22"/>
        </w:rPr>
        <w:t>report (</w:t>
      </w:r>
      <w:r w:rsidR="00EE455E" w:rsidRPr="00EE455E">
        <w:rPr>
          <w:sz w:val="22"/>
          <w:szCs w:val="22"/>
        </w:rPr>
        <w:t xml:space="preserve">Figure </w:t>
      </w:r>
      <w:r w:rsidR="00EE455E" w:rsidRPr="00EE455E">
        <w:rPr>
          <w:noProof/>
          <w:sz w:val="22"/>
          <w:szCs w:val="22"/>
        </w:rPr>
        <w:t>7</w:t>
      </w:r>
      <w:r w:rsidRPr="00D2638D">
        <w:rPr>
          <w:sz w:val="22"/>
          <w:szCs w:val="22"/>
        </w:rPr>
        <w:t>).</w:t>
      </w:r>
      <w:r w:rsidR="009A5050" w:rsidRPr="00D2638D">
        <w:rPr>
          <w:sz w:val="22"/>
          <w:szCs w:val="22"/>
        </w:rPr>
        <w:t xml:space="preserve"> The following sub-sections elaborate on the controls found on the Report Toolbar. It is suggested</w:t>
      </w:r>
      <w:r w:rsidR="009A5050">
        <w:rPr>
          <w:sz w:val="22"/>
          <w:szCs w:val="22"/>
        </w:rPr>
        <w:t xml:space="preserve"> that users create a local directory for exporting their reports (see the</w:t>
      </w:r>
      <w:r w:rsidR="00A628A7">
        <w:rPr>
          <w:sz w:val="22"/>
          <w:szCs w:val="22"/>
        </w:rPr>
        <w:t xml:space="preserve"> </w:t>
      </w:r>
      <w:r w:rsidR="008343A9">
        <w:rPr>
          <w:i/>
          <w:sz w:val="22"/>
          <w:szCs w:val="22"/>
        </w:rPr>
        <w:t>VBECS</w:t>
      </w:r>
      <w:r w:rsidR="00963680">
        <w:rPr>
          <w:i/>
          <w:sz w:val="22"/>
          <w:szCs w:val="22"/>
        </w:rPr>
        <w:t xml:space="preserve"> </w:t>
      </w:r>
      <w:r w:rsidR="00B03BDD">
        <w:rPr>
          <w:i/>
          <w:sz w:val="22"/>
          <w:szCs w:val="22"/>
        </w:rPr>
        <w:t>2.3.</w:t>
      </w:r>
      <w:r w:rsidR="00656AFE">
        <w:rPr>
          <w:i/>
          <w:sz w:val="22"/>
          <w:szCs w:val="22"/>
        </w:rPr>
        <w:t>4</w:t>
      </w:r>
      <w:r w:rsidR="008343A9">
        <w:rPr>
          <w:i/>
          <w:sz w:val="22"/>
          <w:szCs w:val="22"/>
        </w:rPr>
        <w:t xml:space="preserve"> </w:t>
      </w:r>
      <w:r w:rsidR="009A5050" w:rsidRPr="009A5050">
        <w:rPr>
          <w:i/>
          <w:sz w:val="22"/>
          <w:szCs w:val="22"/>
        </w:rPr>
        <w:t>Technical Manual-Security Guide</w:t>
      </w:r>
      <w:r w:rsidR="009A5050">
        <w:rPr>
          <w:sz w:val="22"/>
          <w:szCs w:val="22"/>
        </w:rPr>
        <w:t xml:space="preserve"> for </w:t>
      </w:r>
      <w:r w:rsidR="00E90A01">
        <w:rPr>
          <w:sz w:val="22"/>
          <w:szCs w:val="22"/>
        </w:rPr>
        <w:t>additional</w:t>
      </w:r>
      <w:r w:rsidR="009A5050">
        <w:rPr>
          <w:sz w:val="22"/>
          <w:szCs w:val="22"/>
        </w:rPr>
        <w:t xml:space="preserve"> information).</w:t>
      </w:r>
    </w:p>
    <w:p w14:paraId="0F43E547" w14:textId="01CB4F43" w:rsidR="002F1554" w:rsidRPr="00037A18" w:rsidRDefault="002F1554" w:rsidP="002F1554">
      <w:pPr>
        <w:pStyle w:val="Caption"/>
      </w:pPr>
      <w:bookmarkStart w:id="61" w:name="_Ref353374018"/>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7</w:t>
      </w:r>
      <w:r w:rsidR="004E20BD">
        <w:rPr>
          <w:noProof/>
        </w:rPr>
        <w:fldChar w:fldCharType="end"/>
      </w:r>
      <w:bookmarkEnd w:id="61"/>
      <w:r w:rsidRPr="00037A18">
        <w:t>: Report Toolbar</w:t>
      </w:r>
      <w:r w:rsidR="00BC7F26">
        <w:t xml:space="preserve"> </w:t>
      </w:r>
      <w:r w:rsidR="00BC7F26" w:rsidRPr="00BC7F26">
        <w:rPr>
          <w:vanish/>
        </w:rPr>
        <w:t>DR 4835</w:t>
      </w:r>
    </w:p>
    <w:p w14:paraId="3ABF9EF9" w14:textId="77777777" w:rsidR="002F1554" w:rsidRPr="00A777D2" w:rsidRDefault="00057948" w:rsidP="002F1554">
      <w:pPr>
        <w:pStyle w:val="BodyText"/>
        <w:rPr>
          <w:highlight w:val="yellow"/>
        </w:rPr>
      </w:pPr>
      <w:r>
        <w:rPr>
          <w:noProof/>
        </w:rPr>
        <w:drawing>
          <wp:inline distT="0" distB="0" distL="0" distR="0" wp14:anchorId="6619A0E9" wp14:editId="65D3C147">
            <wp:extent cx="4996815" cy="267970"/>
            <wp:effectExtent l="0" t="0" r="0" b="0"/>
            <wp:docPr id="24" name="Picture 24" descr="Report Toolba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eport Toolbar screen cap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96815" cy="267970"/>
                    </a:xfrm>
                    <a:prstGeom prst="rect">
                      <a:avLst/>
                    </a:prstGeom>
                    <a:noFill/>
                    <a:ln>
                      <a:noFill/>
                    </a:ln>
                  </pic:spPr>
                </pic:pic>
              </a:graphicData>
            </a:graphic>
          </wp:inline>
        </w:drawing>
      </w:r>
    </w:p>
    <w:p w14:paraId="6442898D" w14:textId="77777777" w:rsidR="002F1554" w:rsidRPr="00037A18" w:rsidRDefault="002F1554" w:rsidP="002F1554">
      <w:pPr>
        <w:pStyle w:val="Heading3"/>
      </w:pPr>
      <w:bookmarkStart w:id="62" w:name="_Toc149064061"/>
      <w:r w:rsidRPr="00037A18">
        <w:t>Navigation Arrows and Report Pages</w:t>
      </w:r>
      <w:bookmarkEnd w:id="62"/>
      <w:r w:rsidR="00270083">
        <w:t xml:space="preserve"> </w:t>
      </w:r>
      <w:r w:rsidR="00270083" w:rsidRPr="00270083">
        <w:rPr>
          <w:rFonts w:ascii="Arial Bold" w:hAnsi="Arial Bold"/>
          <w:vanish/>
        </w:rPr>
        <w:t>DR 4761</w:t>
      </w:r>
      <w:r w:rsidRPr="00FC73FB">
        <w:rPr>
          <w:rFonts w:ascii="Arial Bold" w:hAnsi="Arial Bold"/>
          <w:vanish/>
        </w:rPr>
        <w:t xml:space="preserve"> DR 4589</w:t>
      </w:r>
    </w:p>
    <w:p w14:paraId="67A3D0EB" w14:textId="77777777" w:rsidR="002F1554" w:rsidRPr="00037A18" w:rsidRDefault="002F1554" w:rsidP="001055DF">
      <w:pPr>
        <w:spacing w:before="60" w:after="120"/>
        <w:rPr>
          <w:sz w:val="22"/>
          <w:szCs w:val="22"/>
        </w:rPr>
      </w:pPr>
      <w:r w:rsidRPr="00037A18">
        <w:rPr>
          <w:sz w:val="22"/>
          <w:szCs w:val="22"/>
        </w:rPr>
        <w:t xml:space="preserve">Navigation arrows allow the user to move to the next or previous page of the report. If the user is on the first page of the report, the arrows pointing to the left will be disabled. If the user is on the last page of the report, the arrows pointing to the right will be disabled. </w:t>
      </w:r>
    </w:p>
    <w:p w14:paraId="1292BA64" w14:textId="4DF59186" w:rsidR="00540EB1" w:rsidRDefault="002F1554" w:rsidP="001055DF">
      <w:pPr>
        <w:spacing w:before="60" w:after="120"/>
        <w:rPr>
          <w:sz w:val="22"/>
          <w:szCs w:val="22"/>
        </w:rPr>
      </w:pPr>
      <w:r w:rsidRPr="00037A18">
        <w:rPr>
          <w:sz w:val="22"/>
          <w:szCs w:val="22"/>
        </w:rPr>
        <w:t xml:space="preserve">The first arrow button </w:t>
      </w:r>
      <w:r w:rsidR="00057948">
        <w:rPr>
          <w:noProof/>
          <w:sz w:val="22"/>
          <w:szCs w:val="22"/>
        </w:rPr>
        <w:drawing>
          <wp:inline distT="0" distB="0" distL="0" distR="0" wp14:anchorId="0C1A4952" wp14:editId="35E1620D">
            <wp:extent cx="221615" cy="249555"/>
            <wp:effectExtent l="0" t="0" r="6985" b="0"/>
            <wp:docPr id="25" name="Picture 25" descr="Arrow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rrow button ic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1615" cy="249555"/>
                    </a:xfrm>
                    <a:prstGeom prst="rect">
                      <a:avLst/>
                    </a:prstGeom>
                    <a:noFill/>
                    <a:ln>
                      <a:noFill/>
                    </a:ln>
                  </pic:spPr>
                </pic:pic>
              </a:graphicData>
            </a:graphic>
          </wp:inline>
        </w:drawing>
      </w:r>
      <w:r w:rsidRPr="00037A18">
        <w:rPr>
          <w:sz w:val="22"/>
          <w:szCs w:val="22"/>
        </w:rPr>
        <w:t xml:space="preserve"> moves the report by one page forward (or backward for left facing arrow). The second </w:t>
      </w:r>
      <w:r w:rsidR="00057948">
        <w:rPr>
          <w:noProof/>
          <w:sz w:val="22"/>
          <w:szCs w:val="22"/>
        </w:rPr>
        <w:drawing>
          <wp:inline distT="0" distB="0" distL="0" distR="0" wp14:anchorId="07FC4DDC" wp14:editId="0C7DE4DF">
            <wp:extent cx="249555" cy="240030"/>
            <wp:effectExtent l="0" t="0" r="0" b="7620"/>
            <wp:docPr id="26" name="Picture 26" descr="Arrow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rrow button ic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555" cy="240030"/>
                    </a:xfrm>
                    <a:prstGeom prst="rect">
                      <a:avLst/>
                    </a:prstGeom>
                    <a:noFill/>
                    <a:ln>
                      <a:noFill/>
                    </a:ln>
                  </pic:spPr>
                </pic:pic>
              </a:graphicData>
            </a:graphic>
          </wp:inline>
        </w:drawing>
      </w:r>
      <w:r w:rsidRPr="00037A18">
        <w:rPr>
          <w:sz w:val="22"/>
          <w:szCs w:val="22"/>
        </w:rPr>
        <w:t xml:space="preserve"> moves the report to either the last or first page (in case of the left facing arrow). The number X of Y tells user which page is currently being viewed (X) and what is the total number of pages (Y).</w:t>
      </w:r>
    </w:p>
    <w:p w14:paraId="60DC91DA" w14:textId="4F2C1CFB" w:rsidR="00B413D4" w:rsidRDefault="00B413D4" w:rsidP="001055DF">
      <w:pPr>
        <w:spacing w:before="60" w:after="120"/>
        <w:rPr>
          <w:sz w:val="22"/>
          <w:szCs w:val="22"/>
        </w:rPr>
      </w:pPr>
      <w:r>
        <w:rPr>
          <w:sz w:val="22"/>
          <w:szCs w:val="22"/>
        </w:rPr>
        <w:t xml:space="preserve">Using arrow keys may cause erroneous “Invalid Key Pressed” messages or swap values while entering control results. Use the mouse to move between cells instead of using the arrow keys. Verify the control cell entries are correct before saving. </w:t>
      </w:r>
      <w:r w:rsidRPr="00B413D4">
        <w:rPr>
          <w:vanish/>
          <w:sz w:val="22"/>
          <w:szCs w:val="22"/>
        </w:rPr>
        <w:t>Defect 209946</w:t>
      </w:r>
    </w:p>
    <w:p w14:paraId="63CB0BE6" w14:textId="77777777" w:rsidR="006C79C7" w:rsidRDefault="006C79C7">
      <w:pPr>
        <w:rPr>
          <w:rFonts w:ascii="Arial" w:hAnsi="Arial" w:cs="Arial"/>
          <w:b/>
          <w:bCs/>
          <w:sz w:val="26"/>
          <w:szCs w:val="26"/>
        </w:rPr>
      </w:pPr>
      <w:bookmarkStart w:id="63" w:name="_Toc369769739"/>
      <w:bookmarkStart w:id="64" w:name="_Ref370117404"/>
      <w:bookmarkStart w:id="65" w:name="_Ref370803698"/>
      <w:bookmarkStart w:id="66" w:name="_Ref370807571"/>
      <w:r>
        <w:br w:type="page"/>
      </w:r>
    </w:p>
    <w:p w14:paraId="3DAEF989" w14:textId="4FF6753C" w:rsidR="00D611E5" w:rsidRPr="00292063" w:rsidRDefault="00D611E5" w:rsidP="00D611E5">
      <w:pPr>
        <w:pStyle w:val="Heading3"/>
        <w:rPr>
          <w:rFonts w:ascii="Arial Bold" w:hAnsi="Arial Bold"/>
        </w:rPr>
      </w:pPr>
      <w:bookmarkStart w:id="67" w:name="_Ref100818305"/>
      <w:bookmarkStart w:id="68" w:name="_Toc149064062"/>
      <w:r w:rsidRPr="00292063">
        <w:t>Report Layout</w:t>
      </w:r>
      <w:bookmarkEnd w:id="63"/>
      <w:bookmarkEnd w:id="64"/>
      <w:bookmarkEnd w:id="65"/>
      <w:bookmarkEnd w:id="66"/>
      <w:bookmarkEnd w:id="67"/>
      <w:bookmarkEnd w:id="68"/>
      <w:r w:rsidR="00292063" w:rsidRPr="00292063">
        <w:t xml:space="preserve"> </w:t>
      </w:r>
      <w:r w:rsidR="00BC7F26" w:rsidRPr="00292063">
        <w:rPr>
          <w:rFonts w:ascii="Arial Bold" w:hAnsi="Arial Bold"/>
          <w:vanish/>
        </w:rPr>
        <w:t>DR 4835</w:t>
      </w:r>
    </w:p>
    <w:p w14:paraId="7CA7D5C8" w14:textId="1B3401D8" w:rsidR="00D611E5" w:rsidRDefault="00D611E5" w:rsidP="006C79C7">
      <w:pPr>
        <w:rPr>
          <w:sz w:val="22"/>
          <w:szCs w:val="22"/>
        </w:rPr>
      </w:pPr>
      <w:r w:rsidRPr="00D611E5">
        <w:rPr>
          <w:sz w:val="22"/>
          <w:szCs w:val="22"/>
        </w:rPr>
        <w:t xml:space="preserve">There are two ways (layouts) in which reports can be displayed. By default, reports are displayed in Print Layout. It allows reports to appear on the screen exactly how they will look when printed. </w:t>
      </w:r>
      <w:r w:rsidR="00525D98" w:rsidRPr="00D611E5">
        <w:rPr>
          <w:sz w:val="22"/>
          <w:szCs w:val="22"/>
        </w:rPr>
        <w:t>However,</w:t>
      </w:r>
      <w:r w:rsidRPr="00D611E5">
        <w:rPr>
          <w:sz w:val="22"/>
          <w:szCs w:val="22"/>
        </w:rPr>
        <w:t xml:space="preserve"> when reports are displayed in Print Layout mode, the Report Search function (see </w:t>
      </w:r>
      <w:r w:rsidR="00EE455E" w:rsidRPr="00EE455E">
        <w:rPr>
          <w:sz w:val="22"/>
          <w:szCs w:val="22"/>
        </w:rPr>
        <w:t>Report Search</w:t>
      </w:r>
      <w:r w:rsidRPr="00D611E5">
        <w:rPr>
          <w:sz w:val="22"/>
          <w:szCs w:val="22"/>
        </w:rPr>
        <w:t xml:space="preserve">) is disabled. In order to be able to use Report Search, the user has to turn off Print Layout mode by pressing this icon: </w:t>
      </w:r>
      <w:r w:rsidR="00057948">
        <w:rPr>
          <w:noProof/>
          <w:sz w:val="22"/>
          <w:szCs w:val="22"/>
        </w:rPr>
        <w:drawing>
          <wp:inline distT="0" distB="0" distL="0" distR="0" wp14:anchorId="3F45EBE2" wp14:editId="267199A9">
            <wp:extent cx="276860" cy="276860"/>
            <wp:effectExtent l="0" t="0" r="8890" b="8890"/>
            <wp:docPr id="27" name="Picture 27" descr="Print Lay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rint Layout ic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860" cy="276860"/>
                    </a:xfrm>
                    <a:prstGeom prst="rect">
                      <a:avLst/>
                    </a:prstGeom>
                    <a:noFill/>
                    <a:ln>
                      <a:noFill/>
                    </a:ln>
                  </pic:spPr>
                </pic:pic>
              </a:graphicData>
            </a:graphic>
          </wp:inline>
        </w:drawing>
      </w:r>
      <w:r w:rsidRPr="00D611E5">
        <w:rPr>
          <w:sz w:val="22"/>
          <w:szCs w:val="22"/>
        </w:rPr>
        <w:t xml:space="preserve">. When Print Layout is disabled, the icon will look like this: </w:t>
      </w:r>
      <w:r w:rsidR="00057948">
        <w:rPr>
          <w:noProof/>
          <w:sz w:val="22"/>
          <w:szCs w:val="22"/>
        </w:rPr>
        <w:drawing>
          <wp:inline distT="0" distB="0" distL="0" distR="0" wp14:anchorId="0990060F" wp14:editId="1EC439CC">
            <wp:extent cx="221615" cy="249555"/>
            <wp:effectExtent l="0" t="0" r="6985" b="0"/>
            <wp:docPr id="28" name="Picture 28" descr="Print Lay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rint Layout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615" cy="249555"/>
                    </a:xfrm>
                    <a:prstGeom prst="rect">
                      <a:avLst/>
                    </a:prstGeom>
                    <a:noFill/>
                    <a:ln>
                      <a:noFill/>
                    </a:ln>
                  </pic:spPr>
                </pic:pic>
              </a:graphicData>
            </a:graphic>
          </wp:inline>
        </w:drawing>
      </w:r>
      <w:r w:rsidRPr="00D611E5">
        <w:rPr>
          <w:sz w:val="22"/>
          <w:szCs w:val="22"/>
        </w:rPr>
        <w:t>. It can be pressed again to return to Print Layout mode.</w:t>
      </w:r>
    </w:p>
    <w:p w14:paraId="4DC151C4" w14:textId="229AA2D2" w:rsidR="00D611E5" w:rsidRPr="00D611E5" w:rsidRDefault="00D611E5" w:rsidP="00D611E5">
      <w:pPr>
        <w:rPr>
          <w:sz w:val="22"/>
          <w:szCs w:val="22"/>
        </w:rPr>
      </w:pPr>
      <w:r w:rsidRPr="00D611E5">
        <w:rPr>
          <w:sz w:val="22"/>
          <w:szCs w:val="22"/>
        </w:rPr>
        <w:t>Page size of reports not displayed in Print Layout mode differs from the regular letter size (8.5in. x 11in.) and that is why the total number of pages for the same report displayed in different layouts may differ.</w:t>
      </w:r>
      <w:r w:rsidR="00B63E54">
        <w:rPr>
          <w:sz w:val="22"/>
          <w:szCs w:val="22"/>
        </w:rPr>
        <w:t xml:space="preserve"> </w:t>
      </w:r>
    </w:p>
    <w:p w14:paraId="0C6AACA4" w14:textId="65B9EEFF" w:rsidR="00BF56F1" w:rsidRPr="00037A18" w:rsidRDefault="00BF56F1" w:rsidP="00BF56F1">
      <w:pPr>
        <w:pStyle w:val="Heading3"/>
      </w:pPr>
      <w:bookmarkStart w:id="69" w:name="_Toc149064063"/>
      <w:r w:rsidRPr="00037A18">
        <w:t>Report Zoom-in/Zoom-out</w:t>
      </w:r>
      <w:bookmarkEnd w:id="69"/>
    </w:p>
    <w:p w14:paraId="736DBA49" w14:textId="1D86920E" w:rsidR="00BF56F1" w:rsidRPr="00671EA6" w:rsidRDefault="00BF56F1" w:rsidP="00BF56F1">
      <w:pPr>
        <w:rPr>
          <w:sz w:val="22"/>
          <w:szCs w:val="22"/>
        </w:rPr>
      </w:pPr>
      <w:r w:rsidRPr="00671EA6">
        <w:rPr>
          <w:sz w:val="22"/>
          <w:szCs w:val="22"/>
        </w:rPr>
        <w:t>Clicking the drop-down menu showing 100% will give the user a choice of the report display size (</w:t>
      </w:r>
      <w:r w:rsidR="00EE455E" w:rsidRPr="00EE455E">
        <w:rPr>
          <w:sz w:val="22"/>
          <w:szCs w:val="22"/>
        </w:rPr>
        <w:t xml:space="preserve">Figure </w:t>
      </w:r>
      <w:r w:rsidR="00EE455E" w:rsidRPr="00EE455E">
        <w:rPr>
          <w:noProof/>
          <w:sz w:val="22"/>
          <w:szCs w:val="22"/>
        </w:rPr>
        <w:t>8</w:t>
      </w:r>
      <w:r w:rsidRPr="00671EA6">
        <w:rPr>
          <w:sz w:val="22"/>
          <w:szCs w:val="22"/>
        </w:rPr>
        <w:t>).</w:t>
      </w:r>
    </w:p>
    <w:p w14:paraId="539070E3" w14:textId="19655D1B" w:rsidR="00BF56F1" w:rsidRPr="00037A18" w:rsidRDefault="00BF56F1" w:rsidP="00BF56F1">
      <w:pPr>
        <w:pStyle w:val="Caption"/>
      </w:pPr>
      <w:bookmarkStart w:id="70" w:name="_Ref353985437"/>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8</w:t>
      </w:r>
      <w:r w:rsidR="004E20BD">
        <w:rPr>
          <w:noProof/>
        </w:rPr>
        <w:fldChar w:fldCharType="end"/>
      </w:r>
      <w:bookmarkEnd w:id="70"/>
      <w:r w:rsidRPr="00037A18">
        <w:t>: Report Zoom-in/Zoom-out Control</w:t>
      </w:r>
    </w:p>
    <w:p w14:paraId="6747A3BB" w14:textId="77777777" w:rsidR="00BF56F1" w:rsidRPr="00A777D2" w:rsidRDefault="00057948" w:rsidP="00BF56F1">
      <w:pPr>
        <w:pStyle w:val="BodyText"/>
        <w:rPr>
          <w:highlight w:val="yellow"/>
        </w:rPr>
      </w:pPr>
      <w:r>
        <w:rPr>
          <w:noProof/>
        </w:rPr>
        <w:drawing>
          <wp:inline distT="0" distB="0" distL="0" distR="0" wp14:anchorId="75D98F1D" wp14:editId="7AFC56F0">
            <wp:extent cx="1089660" cy="1412875"/>
            <wp:effectExtent l="19050" t="19050" r="15240" b="15875"/>
            <wp:docPr id="29" name="Picture 29" descr="Report Zoom-in/Zoom Out Control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Report Zoom-in/Zoom Out Control screen cap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9660" cy="1412875"/>
                    </a:xfrm>
                    <a:prstGeom prst="rect">
                      <a:avLst/>
                    </a:prstGeom>
                    <a:noFill/>
                    <a:ln w="6350" cmpd="sng">
                      <a:solidFill>
                        <a:srgbClr val="000000"/>
                      </a:solidFill>
                      <a:miter lim="800000"/>
                      <a:headEnd/>
                      <a:tailEnd/>
                    </a:ln>
                    <a:effectLst/>
                  </pic:spPr>
                </pic:pic>
              </a:graphicData>
            </a:graphic>
          </wp:inline>
        </w:drawing>
      </w:r>
    </w:p>
    <w:p w14:paraId="42613305" w14:textId="77777777" w:rsidR="00BF56F1" w:rsidRDefault="00BF56F1" w:rsidP="002F1554">
      <w:pPr>
        <w:rPr>
          <w:sz w:val="22"/>
          <w:szCs w:val="22"/>
        </w:rPr>
      </w:pPr>
      <w:r w:rsidRPr="00037A18">
        <w:rPr>
          <w:sz w:val="22"/>
          <w:szCs w:val="22"/>
        </w:rPr>
        <w:t>The default value is 100%. The option Page Width will resize the report to fit the screen horizontal size. The option Whole Page will display the entire page on the screen. Selecting an option less than 100% will zoom out the report making the font smaller and allowing more data to fit on the screen. Selecting an option higher than 100% will zoom in the report making the font bigger. If the report does not fit on the screen, the user will be able to use scroll bars to scroll up or down and left or r</w:t>
      </w:r>
      <w:r>
        <w:rPr>
          <w:sz w:val="22"/>
          <w:szCs w:val="22"/>
        </w:rPr>
        <w:t>ight to view the entire report.</w:t>
      </w:r>
    </w:p>
    <w:p w14:paraId="25EF2AD9" w14:textId="77777777" w:rsidR="00540EB1" w:rsidRPr="00037A18" w:rsidRDefault="00540EB1" w:rsidP="00540EB1">
      <w:pPr>
        <w:pStyle w:val="Heading3"/>
      </w:pPr>
      <w:bookmarkStart w:id="71" w:name="_Ref370803220"/>
      <w:bookmarkStart w:id="72" w:name="_Toc149064064"/>
      <w:r w:rsidRPr="00037A18">
        <w:t>Report Search</w:t>
      </w:r>
      <w:bookmarkEnd w:id="71"/>
      <w:bookmarkEnd w:id="72"/>
      <w:r w:rsidR="00BC7F26">
        <w:t xml:space="preserve"> </w:t>
      </w:r>
      <w:r w:rsidR="00BC7F26" w:rsidRPr="00BC7F26">
        <w:rPr>
          <w:rFonts w:ascii="Arial Bold" w:hAnsi="Arial Bold"/>
          <w:vanish/>
        </w:rPr>
        <w:t>DR 4835</w:t>
      </w:r>
    </w:p>
    <w:p w14:paraId="634B8D1D" w14:textId="5408E953" w:rsidR="00540EB1" w:rsidRPr="00A510F2" w:rsidRDefault="00540EB1" w:rsidP="00FD4C4A">
      <w:pPr>
        <w:spacing w:before="240"/>
        <w:rPr>
          <w:sz w:val="22"/>
          <w:szCs w:val="22"/>
        </w:rPr>
      </w:pPr>
      <w:r w:rsidRPr="00A510F2">
        <w:rPr>
          <w:sz w:val="22"/>
          <w:szCs w:val="22"/>
        </w:rPr>
        <w:t>This option allows the user to searc</w:t>
      </w:r>
      <w:r w:rsidR="006B122E" w:rsidRPr="00A510F2">
        <w:rPr>
          <w:sz w:val="22"/>
          <w:szCs w:val="22"/>
        </w:rPr>
        <w:t xml:space="preserve">h for specific text in a report and is only enabled if Print Layout is </w:t>
      </w:r>
      <w:r w:rsidR="006B122E" w:rsidRPr="001055DF">
        <w:rPr>
          <w:sz w:val="22"/>
          <w:szCs w:val="22"/>
        </w:rPr>
        <w:t>disabled</w:t>
      </w:r>
      <w:r w:rsidR="00A510F2" w:rsidRPr="001055DF">
        <w:rPr>
          <w:sz w:val="22"/>
          <w:szCs w:val="22"/>
        </w:rPr>
        <w:t xml:space="preserve"> (se</w:t>
      </w:r>
      <w:r w:rsidR="00FD4C4A" w:rsidRPr="001055DF">
        <w:rPr>
          <w:sz w:val="22"/>
          <w:szCs w:val="22"/>
        </w:rPr>
        <w:t xml:space="preserve">e </w:t>
      </w:r>
      <w:r w:rsidR="00EE455E" w:rsidRPr="00EE455E">
        <w:rPr>
          <w:sz w:val="22"/>
          <w:szCs w:val="22"/>
        </w:rPr>
        <w:t>Report Layout</w:t>
      </w:r>
      <w:r w:rsidR="004F0A0D" w:rsidRPr="001055DF">
        <w:rPr>
          <w:sz w:val="22"/>
          <w:szCs w:val="22"/>
        </w:rPr>
        <w:t>)</w:t>
      </w:r>
      <w:r w:rsidR="006B122E" w:rsidRPr="001055DF">
        <w:rPr>
          <w:sz w:val="22"/>
          <w:szCs w:val="22"/>
        </w:rPr>
        <w:t>.</w:t>
      </w:r>
      <w:r w:rsidRPr="001055DF">
        <w:rPr>
          <w:sz w:val="22"/>
          <w:szCs w:val="22"/>
        </w:rPr>
        <w:t xml:space="preserve"> By default, the </w:t>
      </w:r>
      <w:r w:rsidRPr="001055DF">
        <w:rPr>
          <w:b/>
          <w:sz w:val="22"/>
          <w:szCs w:val="22"/>
        </w:rPr>
        <w:t>Find</w:t>
      </w:r>
      <w:r w:rsidRPr="001055DF">
        <w:rPr>
          <w:sz w:val="22"/>
          <w:szCs w:val="22"/>
        </w:rPr>
        <w:t xml:space="preserve"> and </w:t>
      </w:r>
      <w:r w:rsidRPr="001055DF">
        <w:rPr>
          <w:b/>
          <w:sz w:val="22"/>
          <w:szCs w:val="22"/>
        </w:rPr>
        <w:t>Next</w:t>
      </w:r>
      <w:r w:rsidRPr="001055DF">
        <w:rPr>
          <w:sz w:val="22"/>
          <w:szCs w:val="22"/>
        </w:rPr>
        <w:t xml:space="preserve"> buttons are disabled. Once the user enters</w:t>
      </w:r>
      <w:r w:rsidRPr="00A510F2">
        <w:rPr>
          <w:sz w:val="22"/>
          <w:szCs w:val="22"/>
        </w:rPr>
        <w:t xml:space="preserve"> text in the search box, the </w:t>
      </w:r>
      <w:r w:rsidRPr="00A510F2">
        <w:rPr>
          <w:b/>
          <w:sz w:val="22"/>
          <w:szCs w:val="22"/>
        </w:rPr>
        <w:t>Find</w:t>
      </w:r>
      <w:r w:rsidRPr="00A510F2">
        <w:rPr>
          <w:sz w:val="22"/>
          <w:szCs w:val="22"/>
        </w:rPr>
        <w:t xml:space="preserve"> button becomes enabled (</w:t>
      </w:r>
      <w:r w:rsidR="00EE455E" w:rsidRPr="00EE455E">
        <w:rPr>
          <w:sz w:val="22"/>
          <w:szCs w:val="22"/>
        </w:rPr>
        <w:t xml:space="preserve">Figure </w:t>
      </w:r>
      <w:r w:rsidR="00EE455E" w:rsidRPr="00EE455E">
        <w:rPr>
          <w:noProof/>
          <w:sz w:val="22"/>
          <w:szCs w:val="22"/>
        </w:rPr>
        <w:t>9</w:t>
      </w:r>
      <w:r w:rsidRPr="00A510F2">
        <w:rPr>
          <w:sz w:val="22"/>
          <w:szCs w:val="22"/>
        </w:rPr>
        <w:t>).</w:t>
      </w:r>
    </w:p>
    <w:p w14:paraId="647179E9" w14:textId="043A5F09" w:rsidR="00540EB1" w:rsidRPr="00037A18" w:rsidRDefault="00540EB1" w:rsidP="00540EB1">
      <w:pPr>
        <w:pStyle w:val="Caption"/>
      </w:pPr>
      <w:bookmarkStart w:id="73" w:name="_Ref353985455"/>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9</w:t>
      </w:r>
      <w:r w:rsidR="004E20BD">
        <w:rPr>
          <w:noProof/>
        </w:rPr>
        <w:fldChar w:fldCharType="end"/>
      </w:r>
      <w:bookmarkEnd w:id="73"/>
      <w:r w:rsidRPr="00037A18">
        <w:t>: Report Search Control</w:t>
      </w:r>
    </w:p>
    <w:p w14:paraId="705EBA74" w14:textId="77777777" w:rsidR="00540EB1" w:rsidRDefault="00057948" w:rsidP="00540EB1">
      <w:pPr>
        <w:pStyle w:val="BodyText"/>
        <w:rPr>
          <w:highlight w:val="yellow"/>
        </w:rPr>
      </w:pPr>
      <w:r>
        <w:rPr>
          <w:noProof/>
        </w:rPr>
        <w:drawing>
          <wp:inline distT="0" distB="0" distL="0" distR="0" wp14:anchorId="5B2F604D" wp14:editId="50BE8167">
            <wp:extent cx="1514475" cy="240030"/>
            <wp:effectExtent l="19050" t="19050" r="28575" b="26670"/>
            <wp:docPr id="30" name="Picture 30" descr="Report Search Control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Report Search Control screen cap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4475" cy="240030"/>
                    </a:xfrm>
                    <a:prstGeom prst="rect">
                      <a:avLst/>
                    </a:prstGeom>
                    <a:noFill/>
                    <a:ln w="6350" cmpd="sng">
                      <a:solidFill>
                        <a:srgbClr val="000000"/>
                      </a:solidFill>
                      <a:miter lim="800000"/>
                      <a:headEnd/>
                      <a:tailEnd/>
                    </a:ln>
                    <a:effectLst/>
                  </pic:spPr>
                </pic:pic>
              </a:graphicData>
            </a:graphic>
          </wp:inline>
        </w:drawing>
      </w:r>
    </w:p>
    <w:p w14:paraId="7D23FA09" w14:textId="1250516D" w:rsidR="00540EB1" w:rsidRPr="00037A18" w:rsidRDefault="00540EB1" w:rsidP="005E5B12">
      <w:pPr>
        <w:pStyle w:val="BodyText"/>
        <w:keepNext/>
        <w:keepLines/>
      </w:pPr>
      <w:r w:rsidRPr="00037A18">
        <w:t xml:space="preserve">Clicking the </w:t>
      </w:r>
      <w:r w:rsidRPr="00634DAB">
        <w:rPr>
          <w:b/>
        </w:rPr>
        <w:t>Find</w:t>
      </w:r>
      <w:r w:rsidRPr="00037A18">
        <w:t xml:space="preserve"> button will search the entire report. If the searched text is found, the report will display the page where it was found. The </w:t>
      </w:r>
      <w:r w:rsidRPr="00634DAB">
        <w:rPr>
          <w:b/>
        </w:rPr>
        <w:t>Next</w:t>
      </w:r>
      <w:r w:rsidRPr="00037A18">
        <w:t xml:space="preserve"> button will then become enabled allowing the user to search for subsequent instances of the search string. If the searched text cannot be found, the user will be presented with the message shown in</w:t>
      </w:r>
      <w:r w:rsidR="00430868">
        <w:t xml:space="preserve"> </w:t>
      </w:r>
      <w:r w:rsidR="00EE455E" w:rsidRPr="00037A18">
        <w:t xml:space="preserve">Figure </w:t>
      </w:r>
      <w:r w:rsidR="00EE455E">
        <w:rPr>
          <w:noProof/>
        </w:rPr>
        <w:t>10</w:t>
      </w:r>
      <w:r w:rsidRPr="00037A18">
        <w:t>.</w:t>
      </w:r>
    </w:p>
    <w:p w14:paraId="683C1BE2" w14:textId="2100A150" w:rsidR="00540EB1" w:rsidRPr="00037A18" w:rsidRDefault="00540EB1" w:rsidP="00540EB1">
      <w:pPr>
        <w:pStyle w:val="Caption"/>
      </w:pPr>
      <w:bookmarkStart w:id="74" w:name="_Ref353985470"/>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10</w:t>
      </w:r>
      <w:r w:rsidR="004E20BD">
        <w:rPr>
          <w:noProof/>
        </w:rPr>
        <w:fldChar w:fldCharType="end"/>
      </w:r>
      <w:bookmarkEnd w:id="74"/>
      <w:r w:rsidRPr="00037A18">
        <w:t>: Report Search Warning Message</w:t>
      </w:r>
    </w:p>
    <w:p w14:paraId="6506AD9A" w14:textId="77777777" w:rsidR="002F1554" w:rsidRPr="00D611E5" w:rsidRDefault="00057948" w:rsidP="00BF56F1">
      <w:pPr>
        <w:pStyle w:val="BodyText"/>
      </w:pPr>
      <w:r>
        <w:rPr>
          <w:noProof/>
        </w:rPr>
        <w:drawing>
          <wp:inline distT="0" distB="0" distL="0" distR="0" wp14:anchorId="47334D0C" wp14:editId="3F889F46">
            <wp:extent cx="3417570" cy="1385570"/>
            <wp:effectExtent l="19050" t="19050" r="11430" b="24130"/>
            <wp:docPr id="31" name="Picture 31" descr="Report Search Warning Messag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Report Search Warning Message screen cap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7570" cy="1385570"/>
                    </a:xfrm>
                    <a:prstGeom prst="rect">
                      <a:avLst/>
                    </a:prstGeom>
                    <a:noFill/>
                    <a:ln w="6350" cmpd="sng">
                      <a:solidFill>
                        <a:srgbClr val="000000"/>
                      </a:solidFill>
                      <a:miter lim="800000"/>
                      <a:headEnd/>
                      <a:tailEnd/>
                    </a:ln>
                    <a:effectLst/>
                  </pic:spPr>
                </pic:pic>
              </a:graphicData>
            </a:graphic>
          </wp:inline>
        </w:drawing>
      </w:r>
      <w:r w:rsidR="002F1554" w:rsidRPr="00E4667F">
        <w:rPr>
          <w:vanish/>
        </w:rPr>
        <w:t>DR 4589</w:t>
      </w:r>
    </w:p>
    <w:p w14:paraId="4C3EDA7D" w14:textId="77777777" w:rsidR="002F1554" w:rsidRPr="00037A18" w:rsidRDefault="002F1554" w:rsidP="00416BB3">
      <w:pPr>
        <w:pStyle w:val="Heading3"/>
      </w:pPr>
      <w:bookmarkStart w:id="75" w:name="_Ref2774509"/>
      <w:bookmarkStart w:id="76" w:name="_Toc149064065"/>
      <w:r w:rsidRPr="00037A18">
        <w:t>Report Export</w:t>
      </w:r>
      <w:bookmarkEnd w:id="75"/>
      <w:bookmarkEnd w:id="76"/>
    </w:p>
    <w:p w14:paraId="2250DCAE" w14:textId="2C735179" w:rsidR="0095742F" w:rsidRDefault="0095742F" w:rsidP="005E5B12">
      <w:pPr>
        <w:spacing w:before="120" w:after="60"/>
        <w:rPr>
          <w:sz w:val="22"/>
          <w:szCs w:val="22"/>
        </w:rPr>
      </w:pPr>
      <w:bookmarkStart w:id="77" w:name="_Ref353374027"/>
      <w:r>
        <w:rPr>
          <w:sz w:val="22"/>
          <w:szCs w:val="22"/>
        </w:rPr>
        <w:t>For all sites, rep</w:t>
      </w:r>
      <w:r w:rsidR="00FE6F61">
        <w:rPr>
          <w:sz w:val="22"/>
          <w:szCs w:val="22"/>
        </w:rPr>
        <w:t xml:space="preserve">orts </w:t>
      </w:r>
      <w:r w:rsidR="004D0A70">
        <w:rPr>
          <w:sz w:val="22"/>
          <w:szCs w:val="22"/>
        </w:rPr>
        <w:t>are</w:t>
      </w:r>
      <w:r w:rsidR="00FE6F61">
        <w:rPr>
          <w:sz w:val="22"/>
          <w:szCs w:val="22"/>
        </w:rPr>
        <w:t xml:space="preserve"> saved</w:t>
      </w:r>
      <w:r>
        <w:rPr>
          <w:sz w:val="22"/>
          <w:szCs w:val="22"/>
        </w:rPr>
        <w:t xml:space="preserve"> in subfolders nam</w:t>
      </w:r>
      <w:r w:rsidR="00150D5C">
        <w:rPr>
          <w:sz w:val="22"/>
          <w:szCs w:val="22"/>
        </w:rPr>
        <w:t>ed after Division Code. VBECS</w:t>
      </w:r>
      <w:r>
        <w:rPr>
          <w:sz w:val="22"/>
          <w:szCs w:val="22"/>
        </w:rPr>
        <w:t xml:space="preserve"> will check </w:t>
      </w:r>
      <w:r w:rsidR="00AD1DDD">
        <w:rPr>
          <w:sz w:val="22"/>
          <w:szCs w:val="22"/>
        </w:rPr>
        <w:t xml:space="preserve">to see </w:t>
      </w:r>
      <w:r>
        <w:rPr>
          <w:sz w:val="22"/>
          <w:szCs w:val="22"/>
        </w:rPr>
        <w:t>if the subfolder exists. If the subfolder does not exist, it will attempt to create it. If the creation fails, it will attempt to save the report to the default re</w:t>
      </w:r>
      <w:r w:rsidR="00150D5C">
        <w:rPr>
          <w:sz w:val="22"/>
          <w:szCs w:val="22"/>
        </w:rPr>
        <w:t>port director</w:t>
      </w:r>
      <w:r w:rsidR="00150D5C" w:rsidRPr="00671EA6">
        <w:rPr>
          <w:sz w:val="22"/>
          <w:szCs w:val="22"/>
        </w:rPr>
        <w:t>y</w:t>
      </w:r>
      <w:r w:rsidR="00671EA6" w:rsidRPr="00671EA6">
        <w:rPr>
          <w:sz w:val="22"/>
          <w:szCs w:val="22"/>
        </w:rPr>
        <w:t>.</w:t>
      </w:r>
      <w:r w:rsidRPr="00E63726">
        <w:rPr>
          <w:vanish/>
          <w:sz w:val="22"/>
          <w:szCs w:val="22"/>
        </w:rPr>
        <w:t xml:space="preserve"> Task 502479</w:t>
      </w:r>
    </w:p>
    <w:p w14:paraId="05C58ADB" w14:textId="77777777" w:rsidR="009D47C1" w:rsidRDefault="009D47C1" w:rsidP="005E5B12">
      <w:pPr>
        <w:spacing w:before="120" w:after="60"/>
        <w:rPr>
          <w:b/>
          <w:sz w:val="22"/>
          <w:szCs w:val="22"/>
        </w:rPr>
      </w:pPr>
      <w:r w:rsidRPr="00037A18">
        <w:rPr>
          <w:sz w:val="22"/>
          <w:szCs w:val="22"/>
        </w:rPr>
        <w:t>The user has an option to export the re</w:t>
      </w:r>
      <w:r>
        <w:rPr>
          <w:sz w:val="22"/>
          <w:szCs w:val="22"/>
        </w:rPr>
        <w:t xml:space="preserve">port in three different formats: PDF, Excel and Word. The export to PDF creates a report that is Read-Only (may not be modified) and will match the report that users can see directly in VBECS in terms of data and format. The export to Excel and Word creates a report that may be modified. </w:t>
      </w:r>
      <w:r>
        <w:rPr>
          <w:b/>
          <w:sz w:val="22"/>
          <w:szCs w:val="22"/>
        </w:rPr>
        <w:t xml:space="preserve">VBECS reports </w:t>
      </w:r>
      <w:r w:rsidRPr="007839DA">
        <w:rPr>
          <w:b/>
          <w:sz w:val="22"/>
          <w:szCs w:val="22"/>
        </w:rPr>
        <w:t xml:space="preserve">exported </w:t>
      </w:r>
      <w:r>
        <w:rPr>
          <w:b/>
          <w:sz w:val="22"/>
          <w:szCs w:val="22"/>
        </w:rPr>
        <w:t>to Excel or Word can be altered by a user. O</w:t>
      </w:r>
      <w:r w:rsidRPr="007839DA">
        <w:rPr>
          <w:b/>
          <w:sz w:val="22"/>
          <w:szCs w:val="22"/>
        </w:rPr>
        <w:t xml:space="preserve">nly copies printed directly from VBECS should be shared with clinicians to ensure data integrity. </w:t>
      </w:r>
    </w:p>
    <w:p w14:paraId="066CB9D8" w14:textId="77777777" w:rsidR="009D47C1" w:rsidRDefault="00057948" w:rsidP="005E5B12">
      <w:pPr>
        <w:spacing w:before="120" w:after="60"/>
        <w:rPr>
          <w:b/>
          <w:sz w:val="22"/>
          <w:szCs w:val="22"/>
        </w:rPr>
      </w:pPr>
      <w:r>
        <w:rPr>
          <w:noProof/>
        </w:rPr>
        <mc:AlternateContent>
          <mc:Choice Requires="wps">
            <w:drawing>
              <wp:anchor distT="0" distB="0" distL="114300" distR="114300" simplePos="0" relativeHeight="251672576" behindDoc="0" locked="0" layoutInCell="1" allowOverlap="1" wp14:anchorId="58B1FC1A" wp14:editId="5DA9C562">
                <wp:simplePos x="0" y="0"/>
                <wp:positionH relativeFrom="column">
                  <wp:posOffset>-24130</wp:posOffset>
                </wp:positionH>
                <wp:positionV relativeFrom="paragraph">
                  <wp:posOffset>111760</wp:posOffset>
                </wp:positionV>
                <wp:extent cx="5949950" cy="809625"/>
                <wp:effectExtent l="13970" t="16510" r="17780" b="21590"/>
                <wp:wrapNone/>
                <wp:docPr id="59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809625"/>
                        </a:xfrm>
                        <a:prstGeom prst="rect">
                          <a:avLst/>
                        </a:prstGeom>
                        <a:solidFill>
                          <a:srgbClr val="FFFFFF"/>
                        </a:solidFill>
                        <a:ln w="25400">
                          <a:solidFill>
                            <a:srgbClr val="FF0000"/>
                          </a:solidFill>
                          <a:miter lim="800000"/>
                          <a:headEnd/>
                          <a:tailEnd/>
                        </a:ln>
                      </wps:spPr>
                      <wps:txbx>
                        <w:txbxContent>
                          <w:p w14:paraId="1C56B0D4" w14:textId="77777777" w:rsidR="00EA60B6" w:rsidRDefault="00EA60B6" w:rsidP="009D47C1">
                            <w:pPr>
                              <w:rPr>
                                <w:sz w:val="22"/>
                                <w:szCs w:val="22"/>
                              </w:rPr>
                            </w:pPr>
                            <w:r w:rsidRPr="007839DA">
                              <w:rPr>
                                <w:b/>
                                <w:sz w:val="22"/>
                                <w:szCs w:val="22"/>
                              </w:rPr>
                              <w:t>The data output from VBECS is not controlled by the medical device and must be strictly regulated by local facility personnel. Many of the reports contain patient sensitive information and must be treated as such. Use of the exported reports, including alteration of data, is the responsibility of the user.</w:t>
                            </w:r>
                            <w:r w:rsidRPr="007839DA">
                              <w:rPr>
                                <w:sz w:val="22"/>
                                <w:szCs w:val="22"/>
                              </w:rPr>
                              <w:t xml:space="preserve"> </w:t>
                            </w:r>
                          </w:p>
                          <w:p w14:paraId="44CA6891" w14:textId="77777777" w:rsidR="00EA60B6" w:rsidRDefault="00EA60B6" w:rsidP="009D47C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B1FC1A" id="_x0000_t202" coordsize="21600,21600" o:spt="202" path="m,l,21600r21600,l21600,xe">
                <v:stroke joinstyle="miter"/>
                <v:path gradientshapeok="t" o:connecttype="rect"/>
              </v:shapetype>
              <v:shape id="Text Box 2" o:spid="_x0000_s1026" type="#_x0000_t202" alt="&quot;&quot;" style="position:absolute;margin-left:-1.9pt;margin-top:8.8pt;width:468.5pt;height:6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" strokecolor="red" strokeweight="2pt">
                <v:textbox>
                  <w:txbxContent>
                    <w:p w14:paraId="1C56B0D4" w14:textId="77777777" w:rsidR="00EA60B6" w:rsidRDefault="00EA60B6" w:rsidP="009D47C1">
                      <w:pPr>
                        <w:rPr>
                          <w:sz w:val="22"/>
                          <w:szCs w:val="22"/>
                        </w:rPr>
                      </w:pPr>
                      <w:r w:rsidRPr="007839DA">
                        <w:rPr>
                          <w:b/>
                          <w:sz w:val="22"/>
                          <w:szCs w:val="22"/>
                        </w:rPr>
                        <w:t>The data output from VBECS is not controlled by the medical device and must be strictly regulated by local facility personnel. Many of the reports contain patient sensitive information and must be treated as such. Use of the exported reports, including alteration of data, is the responsibility of the user.</w:t>
                      </w:r>
                      <w:r w:rsidRPr="007839DA">
                        <w:rPr>
                          <w:sz w:val="22"/>
                          <w:szCs w:val="22"/>
                        </w:rPr>
                        <w:t xml:space="preserve"> </w:t>
                      </w:r>
                    </w:p>
                    <w:p w14:paraId="44CA6891" w14:textId="77777777" w:rsidR="00EA60B6" w:rsidRDefault="00EA60B6" w:rsidP="009D47C1"/>
                  </w:txbxContent>
                </v:textbox>
              </v:shape>
            </w:pict>
          </mc:Fallback>
        </mc:AlternateContent>
      </w:r>
    </w:p>
    <w:p w14:paraId="1422557C" w14:textId="77777777" w:rsidR="009D47C1" w:rsidRDefault="009D47C1" w:rsidP="005E5B12">
      <w:pPr>
        <w:spacing w:before="120" w:after="60"/>
        <w:rPr>
          <w:b/>
          <w:sz w:val="22"/>
          <w:szCs w:val="22"/>
        </w:rPr>
      </w:pPr>
    </w:p>
    <w:p w14:paraId="04362A80" w14:textId="77777777" w:rsidR="009D47C1" w:rsidRDefault="009D47C1" w:rsidP="005E5B12">
      <w:pPr>
        <w:spacing w:before="120" w:after="60"/>
        <w:rPr>
          <w:b/>
          <w:sz w:val="22"/>
          <w:szCs w:val="22"/>
        </w:rPr>
      </w:pPr>
    </w:p>
    <w:p w14:paraId="2D0929AC" w14:textId="77777777" w:rsidR="009D47C1" w:rsidRDefault="009D47C1" w:rsidP="005E5B12">
      <w:pPr>
        <w:spacing w:before="120" w:after="60"/>
        <w:rPr>
          <w:b/>
          <w:sz w:val="22"/>
          <w:szCs w:val="22"/>
        </w:rPr>
      </w:pPr>
    </w:p>
    <w:p w14:paraId="764433D7" w14:textId="405977D9" w:rsidR="009D47C1" w:rsidRPr="009D47C1" w:rsidRDefault="009D47C1" w:rsidP="005E5B12">
      <w:pPr>
        <w:spacing w:before="120" w:after="60"/>
        <w:rPr>
          <w:sz w:val="22"/>
          <w:szCs w:val="22"/>
        </w:rPr>
      </w:pPr>
      <w:r w:rsidRPr="009D47C1">
        <w:rPr>
          <w:sz w:val="22"/>
          <w:szCs w:val="22"/>
        </w:rPr>
        <w:t xml:space="preserve">Export of the reports to Excel and Word comes with known problems. Reports exported to Excel or Word contain the same data as reports that can be seen directly in VBECS; however, their formatting may differ from the original report. Not all reports can be exported to all the identified formats. </w:t>
      </w:r>
      <w:r w:rsidR="00EE455E" w:rsidRPr="00EE455E">
        <w:rPr>
          <w:sz w:val="22"/>
          <w:szCs w:val="22"/>
        </w:rPr>
        <w:t xml:space="preserve">Table </w:t>
      </w:r>
      <w:r w:rsidR="00EE455E" w:rsidRPr="00EE455E">
        <w:rPr>
          <w:noProof/>
          <w:sz w:val="22"/>
          <w:szCs w:val="22"/>
        </w:rPr>
        <w:t>3</w:t>
      </w:r>
      <w:r w:rsidRPr="009D47C1">
        <w:rPr>
          <w:sz w:val="22"/>
          <w:szCs w:val="22"/>
        </w:rPr>
        <w:t xml:space="preserve"> lists the reports and their exportable formats.</w:t>
      </w:r>
    </w:p>
    <w:p w14:paraId="3185B857" w14:textId="15F9C385" w:rsidR="009D47C1" w:rsidRPr="009454C1" w:rsidRDefault="009D47C1" w:rsidP="009D47C1">
      <w:pPr>
        <w:pStyle w:val="Caption"/>
        <w:rPr>
          <w:b w:val="0"/>
        </w:rPr>
      </w:pPr>
      <w:bookmarkStart w:id="78" w:name="_Ref416093445"/>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3</w:t>
      </w:r>
      <w:r w:rsidR="004E20BD">
        <w:rPr>
          <w:noProof/>
        </w:rPr>
        <w:fldChar w:fldCharType="end"/>
      </w:r>
      <w:bookmarkEnd w:id="78"/>
      <w:r>
        <w:t xml:space="preserve">: </w:t>
      </w:r>
      <w:r w:rsidR="00671EA6">
        <w:t xml:space="preserve">Recommended </w:t>
      </w:r>
      <w:r>
        <w:t>Exportable Formats for Reports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6"/>
        <w:gridCol w:w="1064"/>
        <w:gridCol w:w="982"/>
        <w:gridCol w:w="998"/>
      </w:tblGrid>
      <w:tr w:rsidR="009D47C1" w:rsidRPr="00245D96" w14:paraId="2206495D" w14:textId="77777777" w:rsidTr="006462CD">
        <w:tc>
          <w:tcPr>
            <w:tcW w:w="6498" w:type="dxa"/>
            <w:shd w:val="clear" w:color="auto" w:fill="auto"/>
          </w:tcPr>
          <w:p w14:paraId="71FDB78C" w14:textId="77777777" w:rsidR="009D47C1" w:rsidRPr="00245D96" w:rsidRDefault="009D47C1" w:rsidP="006462CD">
            <w:pPr>
              <w:rPr>
                <w:b/>
                <w:sz w:val="22"/>
                <w:szCs w:val="22"/>
              </w:rPr>
            </w:pPr>
            <w:r w:rsidRPr="00245D96">
              <w:rPr>
                <w:b/>
                <w:sz w:val="22"/>
                <w:szCs w:val="22"/>
              </w:rPr>
              <w:t>Report Name</w:t>
            </w:r>
          </w:p>
        </w:tc>
        <w:tc>
          <w:tcPr>
            <w:tcW w:w="1080" w:type="dxa"/>
            <w:shd w:val="clear" w:color="auto" w:fill="auto"/>
          </w:tcPr>
          <w:p w14:paraId="2D775CD0" w14:textId="77777777" w:rsidR="009D47C1" w:rsidRPr="00245D96" w:rsidRDefault="009D47C1" w:rsidP="006462CD">
            <w:pPr>
              <w:rPr>
                <w:b/>
                <w:sz w:val="22"/>
                <w:szCs w:val="22"/>
              </w:rPr>
            </w:pPr>
            <w:r w:rsidRPr="00245D96">
              <w:rPr>
                <w:b/>
                <w:sz w:val="22"/>
                <w:szCs w:val="22"/>
              </w:rPr>
              <w:t>PDF</w:t>
            </w:r>
          </w:p>
        </w:tc>
        <w:tc>
          <w:tcPr>
            <w:tcW w:w="990" w:type="dxa"/>
            <w:shd w:val="clear" w:color="auto" w:fill="auto"/>
          </w:tcPr>
          <w:p w14:paraId="57306137" w14:textId="77777777" w:rsidR="009D47C1" w:rsidRPr="00245D96" w:rsidRDefault="009D47C1" w:rsidP="006462CD">
            <w:pPr>
              <w:rPr>
                <w:b/>
                <w:sz w:val="22"/>
                <w:szCs w:val="22"/>
              </w:rPr>
            </w:pPr>
            <w:r w:rsidRPr="00245D96">
              <w:rPr>
                <w:b/>
                <w:sz w:val="22"/>
                <w:szCs w:val="22"/>
              </w:rPr>
              <w:t>Word</w:t>
            </w:r>
          </w:p>
        </w:tc>
        <w:tc>
          <w:tcPr>
            <w:tcW w:w="1008" w:type="dxa"/>
            <w:shd w:val="clear" w:color="auto" w:fill="auto"/>
          </w:tcPr>
          <w:p w14:paraId="760E6A05" w14:textId="77777777" w:rsidR="009D47C1" w:rsidRPr="00245D96" w:rsidRDefault="009D47C1" w:rsidP="006462CD">
            <w:pPr>
              <w:rPr>
                <w:b/>
                <w:sz w:val="22"/>
                <w:szCs w:val="22"/>
              </w:rPr>
            </w:pPr>
            <w:r w:rsidRPr="00245D96">
              <w:rPr>
                <w:b/>
                <w:sz w:val="22"/>
                <w:szCs w:val="22"/>
              </w:rPr>
              <w:t>Excel</w:t>
            </w:r>
          </w:p>
        </w:tc>
      </w:tr>
      <w:tr w:rsidR="009D47C1" w:rsidRPr="00245D96" w14:paraId="57CF33D5" w14:textId="77777777" w:rsidTr="006462CD">
        <w:tc>
          <w:tcPr>
            <w:tcW w:w="6498" w:type="dxa"/>
            <w:shd w:val="clear" w:color="auto" w:fill="auto"/>
          </w:tcPr>
          <w:p w14:paraId="66393EE3" w14:textId="77777777" w:rsidR="009D47C1" w:rsidRPr="00245D96" w:rsidRDefault="009D47C1" w:rsidP="006462CD">
            <w:pPr>
              <w:rPr>
                <w:sz w:val="22"/>
                <w:szCs w:val="22"/>
              </w:rPr>
            </w:pPr>
            <w:r w:rsidRPr="00245D96">
              <w:rPr>
                <w:sz w:val="22"/>
                <w:szCs w:val="22"/>
              </w:rPr>
              <w:t>Maintain Reagent Inventory</w:t>
            </w:r>
          </w:p>
        </w:tc>
        <w:tc>
          <w:tcPr>
            <w:tcW w:w="1080" w:type="dxa"/>
            <w:shd w:val="clear" w:color="auto" w:fill="auto"/>
          </w:tcPr>
          <w:p w14:paraId="3D2E7CF5"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3B7C8B76"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3FEFA25" w14:textId="77777777" w:rsidR="009D47C1" w:rsidRPr="00245D96" w:rsidRDefault="009D47C1" w:rsidP="006462CD">
            <w:pPr>
              <w:rPr>
                <w:sz w:val="22"/>
                <w:szCs w:val="22"/>
              </w:rPr>
            </w:pPr>
            <w:r w:rsidRPr="00245D96">
              <w:rPr>
                <w:sz w:val="22"/>
                <w:szCs w:val="22"/>
              </w:rPr>
              <w:t>No</w:t>
            </w:r>
          </w:p>
        </w:tc>
      </w:tr>
      <w:tr w:rsidR="009D47C1" w:rsidRPr="00245D96" w14:paraId="2D5AFCF7" w14:textId="77777777" w:rsidTr="006462CD">
        <w:tc>
          <w:tcPr>
            <w:tcW w:w="6498" w:type="dxa"/>
            <w:shd w:val="clear" w:color="auto" w:fill="auto"/>
          </w:tcPr>
          <w:p w14:paraId="43045CC7" w14:textId="77777777" w:rsidR="009D47C1" w:rsidRPr="00245D96" w:rsidRDefault="009D47C1" w:rsidP="006462CD">
            <w:pPr>
              <w:rPr>
                <w:sz w:val="22"/>
                <w:szCs w:val="22"/>
              </w:rPr>
            </w:pPr>
            <w:r w:rsidRPr="00245D96">
              <w:rPr>
                <w:sz w:val="22"/>
                <w:szCs w:val="22"/>
              </w:rPr>
              <w:t>Testing Worklist Report</w:t>
            </w:r>
          </w:p>
        </w:tc>
        <w:tc>
          <w:tcPr>
            <w:tcW w:w="1080" w:type="dxa"/>
            <w:shd w:val="clear" w:color="auto" w:fill="auto"/>
          </w:tcPr>
          <w:p w14:paraId="19681570"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90B26AE"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4BD7B581" w14:textId="77777777" w:rsidR="009D47C1" w:rsidRPr="00245D96" w:rsidRDefault="009D47C1" w:rsidP="006462CD">
            <w:pPr>
              <w:rPr>
                <w:sz w:val="22"/>
                <w:szCs w:val="22"/>
              </w:rPr>
            </w:pPr>
            <w:r w:rsidRPr="00245D96">
              <w:rPr>
                <w:sz w:val="22"/>
                <w:szCs w:val="22"/>
              </w:rPr>
              <w:t>No</w:t>
            </w:r>
          </w:p>
        </w:tc>
      </w:tr>
      <w:tr w:rsidR="009D47C1" w:rsidRPr="00245D96" w14:paraId="51A05116" w14:textId="77777777" w:rsidTr="006462CD">
        <w:tc>
          <w:tcPr>
            <w:tcW w:w="6498" w:type="dxa"/>
            <w:shd w:val="clear" w:color="auto" w:fill="auto"/>
          </w:tcPr>
          <w:p w14:paraId="16A7672D" w14:textId="77777777" w:rsidR="009D47C1" w:rsidRPr="00245D96" w:rsidRDefault="009D47C1" w:rsidP="006462CD">
            <w:pPr>
              <w:rPr>
                <w:sz w:val="22"/>
                <w:szCs w:val="22"/>
              </w:rPr>
            </w:pPr>
            <w:r w:rsidRPr="00245D96">
              <w:rPr>
                <w:sz w:val="22"/>
                <w:szCs w:val="22"/>
              </w:rPr>
              <w:t>Blood Availability Report</w:t>
            </w:r>
          </w:p>
        </w:tc>
        <w:tc>
          <w:tcPr>
            <w:tcW w:w="1080" w:type="dxa"/>
            <w:shd w:val="clear" w:color="auto" w:fill="auto"/>
          </w:tcPr>
          <w:p w14:paraId="2F2DDBDA"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D57FE02"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03B854F8" w14:textId="77777777" w:rsidR="009D47C1" w:rsidRPr="00245D96" w:rsidRDefault="009D47C1" w:rsidP="006462CD">
            <w:pPr>
              <w:rPr>
                <w:sz w:val="22"/>
                <w:szCs w:val="22"/>
              </w:rPr>
            </w:pPr>
            <w:r w:rsidRPr="00245D96">
              <w:rPr>
                <w:sz w:val="22"/>
                <w:szCs w:val="22"/>
              </w:rPr>
              <w:t>No</w:t>
            </w:r>
          </w:p>
        </w:tc>
      </w:tr>
      <w:tr w:rsidR="009D47C1" w:rsidRPr="00245D96" w14:paraId="61D801C0" w14:textId="77777777" w:rsidTr="006462CD">
        <w:tc>
          <w:tcPr>
            <w:tcW w:w="6498" w:type="dxa"/>
            <w:shd w:val="clear" w:color="auto" w:fill="auto"/>
          </w:tcPr>
          <w:p w14:paraId="0E538C2A" w14:textId="77777777" w:rsidR="009D47C1" w:rsidRPr="00245D96" w:rsidRDefault="009D47C1" w:rsidP="006462CD">
            <w:pPr>
              <w:rPr>
                <w:sz w:val="22"/>
                <w:szCs w:val="22"/>
              </w:rPr>
            </w:pPr>
            <w:r w:rsidRPr="00245D96">
              <w:rPr>
                <w:sz w:val="22"/>
                <w:szCs w:val="22"/>
              </w:rPr>
              <w:t>Division Transfusion Report</w:t>
            </w:r>
          </w:p>
        </w:tc>
        <w:tc>
          <w:tcPr>
            <w:tcW w:w="1080" w:type="dxa"/>
            <w:shd w:val="clear" w:color="auto" w:fill="auto"/>
          </w:tcPr>
          <w:p w14:paraId="3634F290"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284A46D8"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448C9FB7" w14:textId="77777777" w:rsidR="009D47C1" w:rsidRPr="00245D96" w:rsidRDefault="009D47C1" w:rsidP="006462CD">
            <w:pPr>
              <w:rPr>
                <w:sz w:val="22"/>
                <w:szCs w:val="22"/>
              </w:rPr>
            </w:pPr>
            <w:r w:rsidRPr="00245D96">
              <w:rPr>
                <w:sz w:val="22"/>
                <w:szCs w:val="22"/>
              </w:rPr>
              <w:t>No</w:t>
            </w:r>
          </w:p>
        </w:tc>
      </w:tr>
      <w:tr w:rsidR="009D47C1" w:rsidRPr="00245D96" w14:paraId="3098685F" w14:textId="77777777" w:rsidTr="006462CD">
        <w:tc>
          <w:tcPr>
            <w:tcW w:w="6498" w:type="dxa"/>
            <w:shd w:val="clear" w:color="auto" w:fill="auto"/>
          </w:tcPr>
          <w:p w14:paraId="36C80D86" w14:textId="77777777" w:rsidR="009D47C1" w:rsidRPr="00245D96" w:rsidRDefault="009D47C1" w:rsidP="006462CD">
            <w:pPr>
              <w:rPr>
                <w:sz w:val="22"/>
                <w:szCs w:val="22"/>
              </w:rPr>
            </w:pPr>
            <w:r w:rsidRPr="00245D96">
              <w:rPr>
                <w:sz w:val="22"/>
                <w:szCs w:val="22"/>
              </w:rPr>
              <w:t>Blood Bank Supplies Report</w:t>
            </w:r>
          </w:p>
        </w:tc>
        <w:tc>
          <w:tcPr>
            <w:tcW w:w="1080" w:type="dxa"/>
            <w:shd w:val="clear" w:color="auto" w:fill="auto"/>
          </w:tcPr>
          <w:p w14:paraId="33BBA14D"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027D5B9"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533EF060" w14:textId="77777777" w:rsidR="009D47C1" w:rsidRPr="00245D96" w:rsidRDefault="009D47C1" w:rsidP="006462CD">
            <w:pPr>
              <w:rPr>
                <w:sz w:val="22"/>
                <w:szCs w:val="22"/>
              </w:rPr>
            </w:pPr>
            <w:r w:rsidRPr="00245D96">
              <w:rPr>
                <w:sz w:val="22"/>
                <w:szCs w:val="22"/>
              </w:rPr>
              <w:t>No</w:t>
            </w:r>
          </w:p>
        </w:tc>
      </w:tr>
      <w:tr w:rsidR="009D47C1" w:rsidRPr="00245D96" w14:paraId="3E85D5D9" w14:textId="77777777" w:rsidTr="006462CD">
        <w:tc>
          <w:tcPr>
            <w:tcW w:w="6498" w:type="dxa"/>
            <w:shd w:val="clear" w:color="auto" w:fill="auto"/>
          </w:tcPr>
          <w:p w14:paraId="61E8C1A7" w14:textId="77777777" w:rsidR="009D47C1" w:rsidRPr="00245D96" w:rsidRDefault="009D47C1" w:rsidP="006462CD">
            <w:pPr>
              <w:rPr>
                <w:sz w:val="22"/>
                <w:szCs w:val="22"/>
              </w:rPr>
            </w:pPr>
            <w:r w:rsidRPr="00245D96">
              <w:rPr>
                <w:sz w:val="22"/>
                <w:szCs w:val="22"/>
              </w:rPr>
              <w:t>Unit History Report</w:t>
            </w:r>
          </w:p>
        </w:tc>
        <w:tc>
          <w:tcPr>
            <w:tcW w:w="1080" w:type="dxa"/>
            <w:shd w:val="clear" w:color="auto" w:fill="auto"/>
          </w:tcPr>
          <w:p w14:paraId="395A05E6"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4DA1276A"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A71E5B3" w14:textId="77777777" w:rsidR="009D47C1" w:rsidRPr="00245D96" w:rsidRDefault="009D47C1" w:rsidP="006462CD">
            <w:pPr>
              <w:rPr>
                <w:sz w:val="22"/>
                <w:szCs w:val="22"/>
              </w:rPr>
            </w:pPr>
            <w:r w:rsidRPr="00245D96">
              <w:rPr>
                <w:sz w:val="22"/>
                <w:szCs w:val="22"/>
              </w:rPr>
              <w:t>No</w:t>
            </w:r>
          </w:p>
        </w:tc>
      </w:tr>
      <w:tr w:rsidR="009D47C1" w:rsidRPr="00245D96" w14:paraId="765F6C89" w14:textId="77777777" w:rsidTr="006462CD">
        <w:tc>
          <w:tcPr>
            <w:tcW w:w="6498" w:type="dxa"/>
            <w:shd w:val="clear" w:color="auto" w:fill="auto"/>
          </w:tcPr>
          <w:p w14:paraId="2F69CD29" w14:textId="77777777" w:rsidR="009D47C1" w:rsidRPr="00245D96" w:rsidRDefault="009D47C1" w:rsidP="006462CD">
            <w:pPr>
              <w:rPr>
                <w:sz w:val="22"/>
                <w:szCs w:val="22"/>
              </w:rPr>
            </w:pPr>
            <w:r w:rsidRPr="00245D96">
              <w:rPr>
                <w:sz w:val="22"/>
                <w:szCs w:val="22"/>
              </w:rPr>
              <w:t>Patient History Report</w:t>
            </w:r>
          </w:p>
        </w:tc>
        <w:tc>
          <w:tcPr>
            <w:tcW w:w="1080" w:type="dxa"/>
            <w:shd w:val="clear" w:color="auto" w:fill="auto"/>
          </w:tcPr>
          <w:p w14:paraId="08F063E2"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9347B3E"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3D68BE75" w14:textId="77777777" w:rsidR="009D47C1" w:rsidRPr="00245D96" w:rsidRDefault="009D47C1" w:rsidP="006462CD">
            <w:pPr>
              <w:rPr>
                <w:sz w:val="22"/>
                <w:szCs w:val="22"/>
              </w:rPr>
            </w:pPr>
            <w:r w:rsidRPr="00245D96">
              <w:rPr>
                <w:sz w:val="22"/>
                <w:szCs w:val="22"/>
              </w:rPr>
              <w:t>No</w:t>
            </w:r>
          </w:p>
        </w:tc>
      </w:tr>
      <w:tr w:rsidR="009D47C1" w:rsidRPr="00245D96" w14:paraId="251771A4" w14:textId="77777777" w:rsidTr="006462CD">
        <w:tc>
          <w:tcPr>
            <w:tcW w:w="6498" w:type="dxa"/>
            <w:shd w:val="clear" w:color="auto" w:fill="auto"/>
          </w:tcPr>
          <w:p w14:paraId="45D3C266" w14:textId="77777777" w:rsidR="009D47C1" w:rsidRPr="00245D96" w:rsidRDefault="009D47C1" w:rsidP="006462CD">
            <w:pPr>
              <w:rPr>
                <w:sz w:val="22"/>
                <w:szCs w:val="22"/>
              </w:rPr>
            </w:pPr>
            <w:r w:rsidRPr="00245D96">
              <w:rPr>
                <w:sz w:val="22"/>
                <w:szCs w:val="22"/>
              </w:rPr>
              <w:t>Other VBECS reports</w:t>
            </w:r>
          </w:p>
        </w:tc>
        <w:tc>
          <w:tcPr>
            <w:tcW w:w="1080" w:type="dxa"/>
            <w:shd w:val="clear" w:color="auto" w:fill="auto"/>
          </w:tcPr>
          <w:p w14:paraId="67D59BFE" w14:textId="77777777" w:rsidR="009D47C1" w:rsidRPr="00245D96" w:rsidRDefault="009D47C1" w:rsidP="006462CD">
            <w:pPr>
              <w:rPr>
                <w:sz w:val="22"/>
                <w:szCs w:val="22"/>
              </w:rPr>
            </w:pPr>
            <w:r w:rsidRPr="00245D96">
              <w:rPr>
                <w:sz w:val="22"/>
                <w:szCs w:val="22"/>
              </w:rPr>
              <w:t>Yes</w:t>
            </w:r>
          </w:p>
        </w:tc>
        <w:tc>
          <w:tcPr>
            <w:tcW w:w="990" w:type="dxa"/>
            <w:shd w:val="clear" w:color="auto" w:fill="auto"/>
          </w:tcPr>
          <w:p w14:paraId="08CE506B" w14:textId="77777777" w:rsidR="009D47C1" w:rsidRPr="00245D96" w:rsidRDefault="009D47C1" w:rsidP="006462CD">
            <w:pPr>
              <w:rPr>
                <w:sz w:val="22"/>
                <w:szCs w:val="22"/>
              </w:rPr>
            </w:pPr>
            <w:r w:rsidRPr="00245D96">
              <w:rPr>
                <w:sz w:val="22"/>
                <w:szCs w:val="22"/>
              </w:rPr>
              <w:t>Yes</w:t>
            </w:r>
          </w:p>
        </w:tc>
        <w:tc>
          <w:tcPr>
            <w:tcW w:w="1008" w:type="dxa"/>
            <w:shd w:val="clear" w:color="auto" w:fill="auto"/>
          </w:tcPr>
          <w:p w14:paraId="6DEFD6FC" w14:textId="77777777" w:rsidR="009D47C1" w:rsidRPr="00245D96" w:rsidRDefault="009D47C1" w:rsidP="006462CD">
            <w:pPr>
              <w:rPr>
                <w:sz w:val="22"/>
                <w:szCs w:val="22"/>
              </w:rPr>
            </w:pPr>
            <w:r w:rsidRPr="00245D96">
              <w:rPr>
                <w:sz w:val="22"/>
                <w:szCs w:val="22"/>
              </w:rPr>
              <w:t>Yes</w:t>
            </w:r>
          </w:p>
        </w:tc>
      </w:tr>
    </w:tbl>
    <w:p w14:paraId="41313E22" w14:textId="6D2C0609" w:rsidR="009D47C1" w:rsidRPr="009D47C1" w:rsidRDefault="009D47C1" w:rsidP="009D47C1">
      <w:pPr>
        <w:pStyle w:val="BodyText"/>
      </w:pPr>
      <w:r w:rsidRPr="009D47C1">
        <w:t xml:space="preserve">By clicking on </w:t>
      </w:r>
      <w:r w:rsidR="00057948">
        <w:rPr>
          <w:noProof/>
        </w:rPr>
        <w:drawing>
          <wp:inline distT="0" distB="0" distL="0" distR="0" wp14:anchorId="7A46AD37" wp14:editId="24AF50F7">
            <wp:extent cx="323215" cy="240030"/>
            <wp:effectExtent l="0" t="0" r="635" b="7620"/>
            <wp:docPr id="32" name="Picture 6" descr="Sa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Save ic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215" cy="240030"/>
                    </a:xfrm>
                    <a:prstGeom prst="rect">
                      <a:avLst/>
                    </a:prstGeom>
                    <a:noFill/>
                    <a:ln>
                      <a:noFill/>
                    </a:ln>
                  </pic:spPr>
                </pic:pic>
              </a:graphicData>
            </a:graphic>
          </wp:inline>
        </w:drawing>
      </w:r>
      <w:r w:rsidRPr="009D47C1">
        <w:t xml:space="preserve"> , the user has the option to select and export to an Excel, PDF or Word file (</w:t>
      </w:r>
      <w:r w:rsidR="00EE455E">
        <w:t xml:space="preserve">Figure </w:t>
      </w:r>
      <w:r w:rsidR="00EE455E">
        <w:rPr>
          <w:noProof/>
        </w:rPr>
        <w:t>11</w:t>
      </w:r>
      <w:r w:rsidRPr="009D47C1">
        <w:t>). Choosing any of these options will open the dialog shown in</w:t>
      </w:r>
      <w:r w:rsidR="0095211D">
        <w:t xml:space="preserve"> </w:t>
      </w:r>
      <w:r w:rsidR="00EE455E" w:rsidRPr="00037A18">
        <w:t xml:space="preserve">Figure </w:t>
      </w:r>
      <w:r w:rsidR="00EE455E">
        <w:rPr>
          <w:noProof/>
        </w:rPr>
        <w:t>12</w:t>
      </w:r>
      <w:r w:rsidRPr="009D47C1">
        <w:t xml:space="preserve">. </w:t>
      </w:r>
      <w:r w:rsidRPr="009D47C1">
        <w:rPr>
          <w:vanish/>
        </w:rPr>
        <w:t>DR 4607</w:t>
      </w:r>
    </w:p>
    <w:p w14:paraId="192968C2" w14:textId="5D0E73C5" w:rsidR="002F1554" w:rsidRDefault="002F1554" w:rsidP="002F1554">
      <w:pPr>
        <w:pStyle w:val="Caption"/>
      </w:pPr>
      <w:bookmarkStart w:id="79" w:name="_Ref41609377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11</w:t>
      </w:r>
      <w:r w:rsidR="004E20BD">
        <w:rPr>
          <w:noProof/>
        </w:rPr>
        <w:fldChar w:fldCharType="end"/>
      </w:r>
      <w:bookmarkEnd w:id="77"/>
      <w:bookmarkEnd w:id="79"/>
      <w:r>
        <w:t>: Report Export Toolbar</w:t>
      </w:r>
    </w:p>
    <w:p w14:paraId="64A49C1D" w14:textId="77777777" w:rsidR="002F1554" w:rsidRPr="00FC73FB" w:rsidRDefault="00057948" w:rsidP="002F1554">
      <w:pPr>
        <w:pStyle w:val="BodyText"/>
      </w:pPr>
      <w:r>
        <w:rPr>
          <w:noProof/>
        </w:rPr>
        <w:drawing>
          <wp:inline distT="0" distB="0" distL="0" distR="0" wp14:anchorId="5B16992B" wp14:editId="416D3AD9">
            <wp:extent cx="923925" cy="868045"/>
            <wp:effectExtent l="19050" t="19050" r="28575" b="27305"/>
            <wp:docPr id="33" name="Picture 33" descr="Report Export Toolba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Report Export Toolbar screen capt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3925" cy="868045"/>
                    </a:xfrm>
                    <a:prstGeom prst="rect">
                      <a:avLst/>
                    </a:prstGeom>
                    <a:noFill/>
                    <a:ln w="6350" cmpd="sng">
                      <a:solidFill>
                        <a:srgbClr val="000000"/>
                      </a:solidFill>
                      <a:miter lim="800000"/>
                      <a:headEnd/>
                      <a:tailEnd/>
                    </a:ln>
                    <a:effectLst/>
                  </pic:spPr>
                </pic:pic>
              </a:graphicData>
            </a:graphic>
          </wp:inline>
        </w:drawing>
      </w:r>
    </w:p>
    <w:p w14:paraId="1A05E2DF" w14:textId="249E7E2C" w:rsidR="002F1554" w:rsidRDefault="002F1554" w:rsidP="002F1554">
      <w:pPr>
        <w:pStyle w:val="Caption"/>
      </w:pPr>
      <w:bookmarkStart w:id="80" w:name="_Ref353374029"/>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12</w:t>
      </w:r>
      <w:r w:rsidR="004E20BD">
        <w:rPr>
          <w:noProof/>
        </w:rPr>
        <w:fldChar w:fldCharType="end"/>
      </w:r>
      <w:bookmarkEnd w:id="80"/>
      <w:r w:rsidRPr="00037A18">
        <w:t xml:space="preserve">: Example of Report Export Dialog </w:t>
      </w:r>
      <w:r w:rsidR="008E79E8">
        <w:t xml:space="preserve">for Blood Bank </w:t>
      </w:r>
      <w:r w:rsidRPr="00037A18">
        <w:t xml:space="preserve">with </w:t>
      </w:r>
      <w:r w:rsidR="008E79E8">
        <w:t>Division Code 589</w:t>
      </w:r>
    </w:p>
    <w:p w14:paraId="7E3100BD" w14:textId="274282BD" w:rsidR="00F827F6" w:rsidRPr="00F827F6" w:rsidRDefault="008D2E7C" w:rsidP="00F827F6">
      <w:pPr>
        <w:pStyle w:val="BodyText"/>
      </w:pPr>
      <w:r w:rsidRPr="008D2E7C">
        <w:rPr>
          <w:noProof/>
        </w:rPr>
        <w:drawing>
          <wp:inline distT="0" distB="0" distL="0" distR="0" wp14:anchorId="697849C2" wp14:editId="3EDE4519">
            <wp:extent cx="5943600" cy="1871345"/>
            <wp:effectExtent l="0" t="0" r="0" b="0"/>
            <wp:docPr id="1156" name="Picture 1156" descr="Example of Report Export Dialog for Blood Bank with Division Code 589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156" descr="Example of Report Export Dialog for Blood Bank with Division Code 589 screen capture"/>
                    <pic:cNvPicPr/>
                  </pic:nvPicPr>
                  <pic:blipFill>
                    <a:blip r:embed="rId45"/>
                    <a:stretch>
                      <a:fillRect/>
                    </a:stretch>
                  </pic:blipFill>
                  <pic:spPr>
                    <a:xfrm>
                      <a:off x="0" y="0"/>
                      <a:ext cx="5943600" cy="1871345"/>
                    </a:xfrm>
                    <a:prstGeom prst="rect">
                      <a:avLst/>
                    </a:prstGeom>
                  </pic:spPr>
                </pic:pic>
              </a:graphicData>
            </a:graphic>
          </wp:inline>
        </w:drawing>
      </w:r>
    </w:p>
    <w:p w14:paraId="3BBDD7B0" w14:textId="77777777" w:rsidR="002F1554" w:rsidRDefault="002F1554" w:rsidP="002F1554">
      <w:pPr>
        <w:rPr>
          <w:sz w:val="22"/>
          <w:szCs w:val="22"/>
        </w:rPr>
      </w:pPr>
      <w:r w:rsidRPr="00037A18">
        <w:rPr>
          <w:sz w:val="22"/>
          <w:szCs w:val="22"/>
        </w:rPr>
        <w:t>This dialog allows the user to specify the name of the file to which the report will be exported. The extension of the file is pre-filled for the user and depends on which export option was selected (.xls for Excel, .</w:t>
      </w:r>
      <w:r>
        <w:rPr>
          <w:sz w:val="22"/>
          <w:szCs w:val="22"/>
        </w:rPr>
        <w:t xml:space="preserve">pdf for PDF or .doc for Word). The </w:t>
      </w:r>
      <w:r w:rsidRPr="00037A18">
        <w:rPr>
          <w:sz w:val="22"/>
          <w:szCs w:val="22"/>
        </w:rPr>
        <w:t>file name</w:t>
      </w:r>
      <w:r>
        <w:rPr>
          <w:sz w:val="22"/>
          <w:szCs w:val="22"/>
        </w:rPr>
        <w:t xml:space="preserve"> length is limited to</w:t>
      </w:r>
      <w:r w:rsidRPr="00037A18">
        <w:rPr>
          <w:sz w:val="22"/>
          <w:szCs w:val="22"/>
        </w:rPr>
        <w:t xml:space="preserve"> </w:t>
      </w:r>
      <w:r>
        <w:rPr>
          <w:sz w:val="22"/>
          <w:szCs w:val="22"/>
        </w:rPr>
        <w:t>200</w:t>
      </w:r>
      <w:r w:rsidRPr="00037A18">
        <w:rPr>
          <w:sz w:val="22"/>
          <w:szCs w:val="22"/>
        </w:rPr>
        <w:t xml:space="preserve"> characters</w:t>
      </w:r>
      <w:r>
        <w:rPr>
          <w:sz w:val="22"/>
          <w:szCs w:val="22"/>
        </w:rPr>
        <w:t xml:space="preserve"> and will not accept special characters as part of the name (e.g., \ / ? % * | : ’ ” &lt; &gt;).</w:t>
      </w:r>
    </w:p>
    <w:p w14:paraId="7D085FB6" w14:textId="77777777" w:rsidR="002F1554" w:rsidRPr="00037A18" w:rsidRDefault="002F1554" w:rsidP="002F1554">
      <w:pPr>
        <w:spacing w:before="120"/>
        <w:rPr>
          <w:sz w:val="22"/>
          <w:szCs w:val="22"/>
        </w:rPr>
      </w:pPr>
      <w:r w:rsidRPr="00037A18">
        <w:rPr>
          <w:sz w:val="22"/>
          <w:szCs w:val="22"/>
        </w:rPr>
        <w:t xml:space="preserve">If the user attempts to </w:t>
      </w:r>
      <w:r>
        <w:rPr>
          <w:sz w:val="22"/>
          <w:szCs w:val="22"/>
        </w:rPr>
        <w:t>use a special character in the file name, it will be ignored and not appear on the screen.</w:t>
      </w:r>
    </w:p>
    <w:p w14:paraId="454CD515" w14:textId="364C8E11" w:rsidR="002F1554" w:rsidRPr="00037A18" w:rsidRDefault="002F1554" w:rsidP="002F1554">
      <w:pPr>
        <w:pStyle w:val="BodyText"/>
      </w:pPr>
      <w:r w:rsidRPr="00037A18">
        <w:t xml:space="preserve">Once the user enters a proper file name, the </w:t>
      </w:r>
      <w:r w:rsidRPr="00037A18">
        <w:rPr>
          <w:b/>
        </w:rPr>
        <w:t>OK</w:t>
      </w:r>
      <w:r w:rsidRPr="00037A18">
        <w:t xml:space="preserve"> button will become enabled. Clicking the </w:t>
      </w:r>
      <w:r w:rsidRPr="00037A18">
        <w:rPr>
          <w:b/>
        </w:rPr>
        <w:t>OK</w:t>
      </w:r>
      <w:r w:rsidRPr="00037A18">
        <w:t xml:space="preserve"> button will present the user with the message shown in</w:t>
      </w:r>
      <w:r w:rsidR="00430868">
        <w:t xml:space="preserve"> </w:t>
      </w:r>
      <w:r w:rsidR="00EE455E" w:rsidRPr="00037A18">
        <w:t xml:space="preserve">Figure </w:t>
      </w:r>
      <w:r w:rsidR="00EE455E">
        <w:rPr>
          <w:noProof/>
        </w:rPr>
        <w:t>13</w:t>
      </w:r>
      <w:r w:rsidRPr="00037A18">
        <w:t>.</w:t>
      </w:r>
    </w:p>
    <w:p w14:paraId="2F976C28" w14:textId="1B4054D9" w:rsidR="002F1554" w:rsidRPr="00037A18" w:rsidRDefault="002F1554" w:rsidP="002F1554">
      <w:pPr>
        <w:pStyle w:val="Caption"/>
      </w:pPr>
      <w:bookmarkStart w:id="81" w:name="_Ref353374032"/>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13</w:t>
      </w:r>
      <w:r w:rsidR="004E20BD">
        <w:rPr>
          <w:noProof/>
        </w:rPr>
        <w:fldChar w:fldCharType="end"/>
      </w:r>
      <w:bookmarkEnd w:id="81"/>
      <w:r w:rsidRPr="00037A18">
        <w:t>: Report Exporting in Progress</w:t>
      </w:r>
    </w:p>
    <w:p w14:paraId="5F1D1917" w14:textId="77777777" w:rsidR="002F1554" w:rsidRPr="00A777D2" w:rsidRDefault="00057948" w:rsidP="002F1554">
      <w:pPr>
        <w:pStyle w:val="BodyText"/>
        <w:rPr>
          <w:highlight w:val="yellow"/>
        </w:rPr>
      </w:pPr>
      <w:r>
        <w:rPr>
          <w:noProof/>
        </w:rPr>
        <w:drawing>
          <wp:inline distT="0" distB="0" distL="0" distR="0" wp14:anchorId="5EB50F8B" wp14:editId="263F567E">
            <wp:extent cx="2641600" cy="1200785"/>
            <wp:effectExtent l="19050" t="19050" r="25400" b="18415"/>
            <wp:docPr id="35" name="Picture 35" descr="Example of Report Exporting in Progres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ample of Report Exporting in Progress Screen cap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1600" cy="1200785"/>
                    </a:xfrm>
                    <a:prstGeom prst="rect">
                      <a:avLst/>
                    </a:prstGeom>
                    <a:noFill/>
                    <a:ln w="6350" cmpd="sng">
                      <a:solidFill>
                        <a:srgbClr val="000000"/>
                      </a:solidFill>
                      <a:miter lim="800000"/>
                      <a:headEnd/>
                      <a:tailEnd/>
                    </a:ln>
                    <a:effectLst/>
                  </pic:spPr>
                </pic:pic>
              </a:graphicData>
            </a:graphic>
          </wp:inline>
        </w:drawing>
      </w:r>
    </w:p>
    <w:p w14:paraId="7A586A08" w14:textId="6A3D4F90" w:rsidR="002F1554" w:rsidRPr="00037A18" w:rsidRDefault="00A66B66" w:rsidP="002F1554">
      <w:pPr>
        <w:pStyle w:val="BodyText"/>
      </w:pPr>
      <w:r>
        <w:br w:type="page"/>
      </w:r>
      <w:r w:rsidR="002F1554" w:rsidRPr="00037A18">
        <w:t xml:space="preserve">Clicking the </w:t>
      </w:r>
      <w:r w:rsidR="002F1554" w:rsidRPr="00037A18">
        <w:rPr>
          <w:b/>
        </w:rPr>
        <w:t>Cancel</w:t>
      </w:r>
      <w:r w:rsidR="002F1554" w:rsidRPr="00037A18">
        <w:t xml:space="preserve"> button will stop the e</w:t>
      </w:r>
      <w:r w:rsidR="009144AE">
        <w:t>xport and</w:t>
      </w:r>
      <w:r w:rsidR="005B08F5">
        <w:t xml:space="preserve"> the user will be reverted back to viewing the report</w:t>
      </w:r>
      <w:r w:rsidR="002F1554" w:rsidRPr="00037A18">
        <w:t xml:space="preserve">. If the export </w:t>
      </w:r>
      <w:r w:rsidR="005B08F5">
        <w:t>is</w:t>
      </w:r>
      <w:r w:rsidR="002F1554" w:rsidRPr="00037A18">
        <w:t xml:space="preserve"> successful, the user will be presented with the message shown in</w:t>
      </w:r>
      <w:r w:rsidR="00B2123B">
        <w:t xml:space="preserve"> </w:t>
      </w:r>
      <w:r w:rsidR="00EE455E" w:rsidRPr="00037A18">
        <w:t xml:space="preserve">Figure </w:t>
      </w:r>
      <w:r w:rsidR="00EE455E">
        <w:rPr>
          <w:noProof/>
        </w:rPr>
        <w:t>14</w:t>
      </w:r>
      <w:r w:rsidR="002F1554" w:rsidRPr="00037A18">
        <w:t>.</w:t>
      </w:r>
    </w:p>
    <w:p w14:paraId="2CE8BD94" w14:textId="4FCA4C62" w:rsidR="002F1554" w:rsidRPr="00037A18" w:rsidRDefault="002F1554" w:rsidP="002F1554">
      <w:pPr>
        <w:pStyle w:val="Caption"/>
      </w:pPr>
      <w:bookmarkStart w:id="82" w:name="_Ref353374155"/>
      <w:r w:rsidRPr="00037A18">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14</w:t>
      </w:r>
      <w:r w:rsidR="004E20BD">
        <w:rPr>
          <w:noProof/>
        </w:rPr>
        <w:fldChar w:fldCharType="end"/>
      </w:r>
      <w:bookmarkEnd w:id="82"/>
      <w:r w:rsidRPr="00037A18">
        <w:t>: Example of Report Exporting Success</w:t>
      </w:r>
    </w:p>
    <w:p w14:paraId="77BD963A" w14:textId="52179FAE" w:rsidR="002F1554" w:rsidRDefault="002758C1" w:rsidP="002F1554">
      <w:pPr>
        <w:pStyle w:val="BodyText"/>
        <w:rPr>
          <w:highlight w:val="yellow"/>
        </w:rPr>
      </w:pPr>
      <w:r>
        <w:rPr>
          <w:noProof/>
        </w:rPr>
        <w:drawing>
          <wp:inline distT="0" distB="0" distL="0" distR="0" wp14:anchorId="2EFC90C2" wp14:editId="1A468E99">
            <wp:extent cx="4619625" cy="1895475"/>
            <wp:effectExtent l="0" t="0" r="9525" b="9525"/>
            <wp:docPr id="7" name="Picture 7" descr="Example of Report Exporting Succes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ample of Report Exporting Success screen capture"/>
                    <pic:cNvPicPr/>
                  </pic:nvPicPr>
                  <pic:blipFill>
                    <a:blip r:embed="rId47"/>
                    <a:stretch>
                      <a:fillRect/>
                    </a:stretch>
                  </pic:blipFill>
                  <pic:spPr>
                    <a:xfrm>
                      <a:off x="0" y="0"/>
                      <a:ext cx="4619625" cy="1895475"/>
                    </a:xfrm>
                    <a:prstGeom prst="rect">
                      <a:avLst/>
                    </a:prstGeom>
                  </pic:spPr>
                </pic:pic>
              </a:graphicData>
            </a:graphic>
          </wp:inline>
        </w:drawing>
      </w:r>
    </w:p>
    <w:p w14:paraId="6F55BC30" w14:textId="4030824D" w:rsidR="00205F89" w:rsidRPr="00205F89" w:rsidRDefault="00205F89" w:rsidP="002F1554">
      <w:pPr>
        <w:pStyle w:val="BodyText"/>
      </w:pPr>
      <w:r w:rsidRPr="00205F89">
        <w:t xml:space="preserve">This dialog contains a </w:t>
      </w:r>
      <w:r w:rsidRPr="00205F89">
        <w:rPr>
          <w:b/>
          <w:bCs/>
        </w:rPr>
        <w:t>Copy Share Path to Clipboard</w:t>
      </w:r>
      <w:r w:rsidRPr="00205F89">
        <w:t xml:space="preserve"> button, which when clicked will put the full path to the report network share in the user's clipboard for easy use in Windows Explorer.</w:t>
      </w:r>
    </w:p>
    <w:p w14:paraId="28BCAA58" w14:textId="6AD8D381" w:rsidR="002A21AE" w:rsidRDefault="002A21AE">
      <w:pPr>
        <w:pStyle w:val="Heading2"/>
      </w:pPr>
      <w:bookmarkStart w:id="83" w:name="_Toc149064066"/>
      <w:bookmarkStart w:id="84" w:name="OLE_LINK45"/>
      <w:bookmarkStart w:id="85" w:name="OLE_LINK46"/>
      <w:bookmarkStart w:id="86" w:name="_Hlk4563316"/>
      <w:r>
        <w:t>Using VBECS</w:t>
      </w:r>
      <w:bookmarkEnd w:id="83"/>
      <w:r>
        <w:fldChar w:fldCharType="begin"/>
      </w:r>
      <w:r>
        <w:instrText xml:space="preserve"> XE </w:instrText>
      </w:r>
      <w:r w:rsidR="00FA7E65">
        <w:instrText>“</w:instrText>
      </w:r>
      <w:r>
        <w:instrText>Using VBECS</w:instrText>
      </w:r>
      <w:r w:rsidR="00FA7E65">
        <w:instrText>”</w:instrText>
      </w:r>
      <w:r>
        <w:instrText xml:space="preserve"> </w:instrText>
      </w:r>
      <w:r>
        <w:fldChar w:fldCharType="end"/>
      </w:r>
    </w:p>
    <w:p w14:paraId="68DFA8BD" w14:textId="77777777" w:rsidR="002A21AE" w:rsidRDefault="002A21AE" w:rsidP="00FA7E65">
      <w:pPr>
        <w:pStyle w:val="BodyText"/>
      </w:pPr>
      <w:bookmarkStart w:id="87" w:name="OLE_LINK37"/>
      <w:bookmarkStart w:id="88" w:name="OLE_LINK38"/>
      <w:r>
        <w:t xml:space="preserve">VBECS is a Windows-based application. </w:t>
      </w:r>
    </w:p>
    <w:p w14:paraId="67595265" w14:textId="77777777" w:rsidR="002A21AE" w:rsidRDefault="002A21AE" w:rsidP="00FA7E65">
      <w:pPr>
        <w:pStyle w:val="BodyText"/>
      </w:pPr>
      <w:r>
        <w:t>One VBEC</w:t>
      </w:r>
      <w:r w:rsidR="00434529">
        <w:t>S system</w:t>
      </w:r>
      <w:r>
        <w:t xml:space="preserve"> is implemented for each </w:t>
      </w:r>
      <w:r w:rsidR="000C7684" w:rsidRPr="000C7684">
        <w:rPr>
          <w:bCs/>
        </w:rPr>
        <w:t>VistA</w:t>
      </w:r>
      <w:r>
        <w:t xml:space="preserve"> database.</w:t>
      </w:r>
    </w:p>
    <w:p w14:paraId="68BAD092" w14:textId="77777777" w:rsidR="00F07C4D" w:rsidRDefault="00F07C4D" w:rsidP="00F05B26">
      <w:pPr>
        <w:pStyle w:val="BodyText"/>
      </w:pPr>
      <w:r>
        <w:t xml:space="preserve">Subject matter experts (SMEs) at user sites will help implement VBECS and train blood bank staff and </w:t>
      </w:r>
      <w:r w:rsidR="00443802" w:rsidRPr="00F05B26">
        <w:t xml:space="preserve">other </w:t>
      </w:r>
      <w:r w:rsidRPr="00F05B26">
        <w:t>authorized users.</w:t>
      </w:r>
    </w:p>
    <w:p w14:paraId="61E04FBF" w14:textId="794E0380" w:rsidR="002A21AE" w:rsidRDefault="00200CB8" w:rsidP="00F05B26">
      <w:pPr>
        <w:pStyle w:val="BodyText"/>
      </w:pPr>
      <w:r w:rsidRPr="00791497">
        <w:t xml:space="preserve">The </w:t>
      </w:r>
      <w:r w:rsidR="00F64D50" w:rsidRPr="00F64D50">
        <w:rPr>
          <w:highlight w:val="yellow"/>
        </w:rPr>
        <w:t>REDACTED</w:t>
      </w:r>
      <w:r w:rsidRPr="00791497">
        <w:t xml:space="preserve"> contains training, Frequently Asked Questions (FAQs)</w:t>
      </w:r>
      <w:r w:rsidR="00791497" w:rsidRPr="00791497">
        <w:t xml:space="preserve">, Technical Bulletins, </w:t>
      </w:r>
      <w:r w:rsidRPr="00791497">
        <w:t xml:space="preserve">ListServ </w:t>
      </w:r>
      <w:r w:rsidR="00F94855">
        <w:t>messages and sign up</w:t>
      </w:r>
      <w:r w:rsidR="00D00E0D">
        <w:t>, etc.</w:t>
      </w:r>
      <w:r w:rsidRPr="00791497">
        <w:t xml:space="preserve"> to support the implementation and use of VBECS.</w:t>
      </w:r>
      <w:r w:rsidR="00F94855">
        <w:t xml:space="preserve"> </w:t>
      </w:r>
      <w:r w:rsidR="00C84BC5" w:rsidRPr="00F05B26">
        <w:t xml:space="preserve">Users may access links to </w:t>
      </w:r>
      <w:r w:rsidR="00F05B26" w:rsidRPr="00F05B26">
        <w:t xml:space="preserve">VBECS </w:t>
      </w:r>
      <w:r w:rsidR="00C84BC5" w:rsidRPr="00F05B26">
        <w:t xml:space="preserve">training </w:t>
      </w:r>
      <w:r w:rsidR="00FF50AC" w:rsidRPr="00F05B26">
        <w:t>modules</w:t>
      </w:r>
      <w:r w:rsidR="00F05B26" w:rsidRPr="00F05B26">
        <w:t xml:space="preserve"> and frequently asked </w:t>
      </w:r>
      <w:r w:rsidR="00671459" w:rsidRPr="00F05B26">
        <w:t>questions and</w:t>
      </w:r>
      <w:r w:rsidR="00F05B26" w:rsidRPr="00F05B26">
        <w:t xml:space="preserve"> join a ListServ (an email distribution list to manage discussion groups) for </w:t>
      </w:r>
      <w:r w:rsidR="00770D97">
        <w:t xml:space="preserve">VBECS </w:t>
      </w:r>
      <w:r w:rsidR="00F05B26" w:rsidRPr="00F05B26">
        <w:t>announcements and updates.</w:t>
      </w:r>
      <w:r w:rsidR="00C84BC5" w:rsidRPr="00F05B26">
        <w:t> Contact information is provided for comments and questions</w:t>
      </w:r>
      <w:bookmarkEnd w:id="84"/>
      <w:bookmarkEnd w:id="85"/>
      <w:r w:rsidR="00F05B26" w:rsidRPr="00F05B26">
        <w:t>.</w:t>
      </w:r>
    </w:p>
    <w:p w14:paraId="5EDB80D4" w14:textId="26D03023" w:rsidR="006C5917" w:rsidRDefault="006C5917" w:rsidP="00BD5547">
      <w:pPr>
        <w:pStyle w:val="BodyText"/>
      </w:pPr>
      <w:r>
        <w:t>Pressing the “F1” key brings up the VBECS Information window to inform the user that if you need help with VBECS or VBECS Admin, to refer to the VBECS User Guide or VBECS Admin User Guide that are found on the VBECS SharePoint or file a Service Desk ticket.</w:t>
      </w:r>
    </w:p>
    <w:p w14:paraId="38CDB2BD" w14:textId="340AC825" w:rsidR="00AB0325" w:rsidRDefault="00AB0325" w:rsidP="00352790">
      <w:pPr>
        <w:pStyle w:val="Heading3"/>
      </w:pPr>
      <w:bookmarkStart w:id="89" w:name="_Options_at_a_Glance:_VBECS_and_Vist"/>
      <w:bookmarkStart w:id="90" w:name="_Toc149064067"/>
      <w:bookmarkEnd w:id="86"/>
      <w:bookmarkEnd w:id="87"/>
      <w:bookmarkEnd w:id="88"/>
      <w:bookmarkEnd w:id="89"/>
      <w:r>
        <w:t>Search</w:t>
      </w:r>
      <w:r w:rsidR="00615BD6">
        <w:t>ing Using the Table of Contents</w:t>
      </w:r>
      <w:bookmarkEnd w:id="90"/>
      <w:r w:rsidR="006C04E6">
        <w:fldChar w:fldCharType="begin"/>
      </w:r>
      <w:r w:rsidR="006C04E6">
        <w:instrText xml:space="preserve"> XE "</w:instrText>
      </w:r>
      <w:r w:rsidR="006C04E6" w:rsidRPr="001246FE">
        <w:instrText>Search Tab</w:instrText>
      </w:r>
      <w:r w:rsidR="006C04E6">
        <w:instrText xml:space="preserve">" </w:instrText>
      </w:r>
      <w:r w:rsidR="006C04E6">
        <w:fldChar w:fldCharType="end"/>
      </w:r>
    </w:p>
    <w:p w14:paraId="6F54E025" w14:textId="15BED63F" w:rsidR="002C3957" w:rsidRPr="009D0CAA" w:rsidRDefault="009870B1" w:rsidP="009D0CAA">
      <w:pPr>
        <w:rPr>
          <w:sz w:val="22"/>
          <w:szCs w:val="22"/>
        </w:rPr>
      </w:pPr>
      <w:r>
        <w:rPr>
          <w:sz w:val="22"/>
          <w:szCs w:val="22"/>
        </w:rPr>
        <w:t xml:space="preserve">Scroll through the Table of Contents and </w:t>
      </w:r>
      <w:r w:rsidR="00615BD6">
        <w:rPr>
          <w:sz w:val="22"/>
          <w:szCs w:val="22"/>
        </w:rPr>
        <w:t>click</w:t>
      </w:r>
      <w:r w:rsidR="00615BD6" w:rsidRPr="00615BD6">
        <w:rPr>
          <w:sz w:val="22"/>
          <w:szCs w:val="22"/>
        </w:rPr>
        <w:t xml:space="preserve"> any Table of Contents </w:t>
      </w:r>
      <w:r>
        <w:rPr>
          <w:sz w:val="22"/>
          <w:szCs w:val="22"/>
        </w:rPr>
        <w:t>topic</w:t>
      </w:r>
      <w:r w:rsidR="00D549A4">
        <w:rPr>
          <w:sz w:val="22"/>
          <w:szCs w:val="22"/>
        </w:rPr>
        <w:t>/link</w:t>
      </w:r>
      <w:r>
        <w:rPr>
          <w:sz w:val="22"/>
          <w:szCs w:val="22"/>
        </w:rPr>
        <w:t xml:space="preserve"> to go </w:t>
      </w:r>
      <w:r w:rsidR="00615BD6">
        <w:rPr>
          <w:sz w:val="22"/>
          <w:szCs w:val="22"/>
        </w:rPr>
        <w:t xml:space="preserve">to the </w:t>
      </w:r>
      <w:r w:rsidR="00DE5A90">
        <w:rPr>
          <w:sz w:val="22"/>
          <w:szCs w:val="22"/>
        </w:rPr>
        <w:t>desired</w:t>
      </w:r>
      <w:r w:rsidR="00615BD6">
        <w:rPr>
          <w:sz w:val="22"/>
          <w:szCs w:val="22"/>
        </w:rPr>
        <w:t xml:space="preserve"> page.</w:t>
      </w:r>
    </w:p>
    <w:p w14:paraId="78E7E307" w14:textId="77777777" w:rsidR="00BB6AB5" w:rsidRDefault="00F05A35" w:rsidP="007E27AF">
      <w:pPr>
        <w:pStyle w:val="Heading2"/>
      </w:pPr>
      <w:bookmarkStart w:id="91" w:name="OLE_LINK39"/>
      <w:bookmarkStart w:id="92" w:name="OLE_LINK40"/>
      <w:r>
        <w:br w:type="page"/>
      </w:r>
      <w:bookmarkStart w:id="93" w:name="_Toc149064068"/>
      <w:r w:rsidR="00BB6AB5">
        <w:t xml:space="preserve">VistA </w:t>
      </w:r>
      <w:r w:rsidR="001A5555">
        <w:t>Records</w:t>
      </w:r>
      <w:r w:rsidR="00BB6AB5">
        <w:t xml:space="preserve"> in VBECS</w:t>
      </w:r>
      <w:bookmarkEnd w:id="93"/>
      <w:r w:rsidR="007E27AF">
        <w:fldChar w:fldCharType="begin"/>
      </w:r>
      <w:r w:rsidR="007E27AF">
        <w:instrText xml:space="preserve"> XE "</w:instrText>
      </w:r>
      <w:r w:rsidR="007E27AF" w:rsidRPr="00C85A38">
        <w:instrText>VistA Records in VBECS</w:instrText>
      </w:r>
      <w:r w:rsidR="007E27AF">
        <w:instrText xml:space="preserve">" </w:instrText>
      </w:r>
      <w:r w:rsidR="007E27AF">
        <w:fldChar w:fldCharType="end"/>
      </w:r>
    </w:p>
    <w:p w14:paraId="72FD7222" w14:textId="77777777" w:rsidR="00C97C16" w:rsidRDefault="000F37DC" w:rsidP="00C97C16">
      <w:pPr>
        <w:pStyle w:val="BodyText"/>
      </w:pPr>
      <w:r>
        <w:t>Historic</w:t>
      </w:r>
      <w:r w:rsidR="00550B93">
        <w:t xml:space="preserve"> </w:t>
      </w:r>
      <w:r w:rsidR="00BB6AB5">
        <w:t xml:space="preserve">VistA blood bank </w:t>
      </w:r>
      <w:r w:rsidR="001A5555">
        <w:t>records were</w:t>
      </w:r>
      <w:r w:rsidR="00BB6AB5">
        <w:t xml:space="preserve"> transferred to VBECS</w:t>
      </w:r>
      <w:r w:rsidR="000C18F8">
        <w:t xml:space="preserve"> </w:t>
      </w:r>
      <w:r w:rsidR="004C470C">
        <w:t xml:space="preserve">and validated </w:t>
      </w:r>
      <w:r w:rsidR="000C18F8">
        <w:t>during the database conversion</w:t>
      </w:r>
      <w:r w:rsidR="00550B93">
        <w:t xml:space="preserve">. </w:t>
      </w:r>
      <w:r w:rsidR="007E27AF">
        <w:t>VBECS handles these records in accordance with system rules:</w:t>
      </w:r>
      <w:r w:rsidR="004C470C" w:rsidRPr="004C470C">
        <w:t xml:space="preserve"> </w:t>
      </w:r>
    </w:p>
    <w:p w14:paraId="00108674" w14:textId="77777777" w:rsidR="002A11A1" w:rsidRDefault="00057948" w:rsidP="004C470C">
      <w:pPr>
        <w:pStyle w:val="Caution"/>
      </w:pPr>
      <w:r>
        <w:rPr>
          <w:noProof/>
        </w:rPr>
        <w:drawing>
          <wp:inline distT="0" distB="0" distL="0" distR="0" wp14:anchorId="643FD3F0" wp14:editId="0B39E7E8">
            <wp:extent cx="267970" cy="221615"/>
            <wp:effectExtent l="0" t="0" r="0" b="6985"/>
            <wp:docPr id="48" name="Picture 48" descr="Construc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onstruc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C97C16">
        <w:t xml:space="preserve">Patient names in VistA that exceed the database standard for File </w:t>
      </w:r>
      <w:r w:rsidR="00531232">
        <w:t>#2 (</w:t>
      </w:r>
      <w:r w:rsidR="00C97C16">
        <w:t>30 characters</w:t>
      </w:r>
      <w:r w:rsidR="004E57F7">
        <w:t xml:space="preserve">) </w:t>
      </w:r>
      <w:r w:rsidR="004B00E6">
        <w:t>or do not have a last name</w:t>
      </w:r>
      <w:r w:rsidR="00531232">
        <w:t xml:space="preserve"> </w:t>
      </w:r>
      <w:r w:rsidR="005A7EE0">
        <w:t>do not convert to V</w:t>
      </w:r>
      <w:r w:rsidR="00551EF1">
        <w:t>BECS</w:t>
      </w:r>
      <w:r w:rsidR="002A11A1">
        <w:t>.</w:t>
      </w:r>
    </w:p>
    <w:p w14:paraId="1502CC9C" w14:textId="77777777" w:rsidR="00BB6AB5" w:rsidRDefault="001A5555" w:rsidP="004305BC">
      <w:pPr>
        <w:pStyle w:val="ListBullet"/>
      </w:pPr>
      <w:r>
        <w:t xml:space="preserve">VBECS may display patient information differently from VistA. For example, </w:t>
      </w:r>
      <w:r w:rsidR="00550B93">
        <w:t xml:space="preserve">VBECS displays patient </w:t>
      </w:r>
      <w:r w:rsidR="00810930">
        <w:t>name</w:t>
      </w:r>
      <w:r w:rsidR="0080180A">
        <w:t>s</w:t>
      </w:r>
      <w:r w:rsidR="00550B93">
        <w:t xml:space="preserve"> as “</w:t>
      </w:r>
      <w:r w:rsidR="00BE05CD">
        <w:t xml:space="preserve">LAST NAME, FIRST NAME, MIDDLE NAME </w:t>
      </w:r>
      <w:r w:rsidR="00E12A85">
        <w:t xml:space="preserve">or </w:t>
      </w:r>
      <w:r w:rsidR="00BE05CD">
        <w:t>INITIAL</w:t>
      </w:r>
      <w:r w:rsidR="00102E3E">
        <w:t>, SUFFIX</w:t>
      </w:r>
      <w:r w:rsidR="00550B93">
        <w:t>.”</w:t>
      </w:r>
    </w:p>
    <w:p w14:paraId="2770468E" w14:textId="3719B94A" w:rsidR="00506EE2" w:rsidRPr="00B26970" w:rsidRDefault="00506EE2" w:rsidP="00506EE2">
      <w:pPr>
        <w:pStyle w:val="ListBullet"/>
        <w:rPr>
          <w:rFonts w:cs="Arial"/>
          <w:szCs w:val="18"/>
        </w:rPr>
      </w:pPr>
      <w:r w:rsidRPr="00B26970">
        <w:rPr>
          <w:rFonts w:cs="Arial"/>
          <w:szCs w:val="18"/>
        </w:rPr>
        <w:t xml:space="preserve">A patient name </w:t>
      </w:r>
      <w:r w:rsidR="00932724">
        <w:rPr>
          <w:rFonts w:cs="Arial"/>
          <w:szCs w:val="18"/>
        </w:rPr>
        <w:t>may</w:t>
      </w:r>
      <w:r w:rsidRPr="00B26970">
        <w:rPr>
          <w:rFonts w:cs="Arial"/>
          <w:szCs w:val="18"/>
        </w:rPr>
        <w:t xml:space="preserve"> be truncated in </w:t>
      </w:r>
      <w:r>
        <w:rPr>
          <w:rFonts w:cs="Arial"/>
          <w:szCs w:val="18"/>
        </w:rPr>
        <w:t>the following</w:t>
      </w:r>
      <w:r w:rsidRPr="00B26970">
        <w:rPr>
          <w:rFonts w:cs="Arial"/>
          <w:szCs w:val="18"/>
        </w:rPr>
        <w:t xml:space="preserve"> screens when one of the name fields (Last, First, </w:t>
      </w:r>
      <w:r w:rsidR="00C02E65">
        <w:rPr>
          <w:rFonts w:cs="Arial"/>
          <w:szCs w:val="18"/>
        </w:rPr>
        <w:t>or Middle) exceed</w:t>
      </w:r>
      <w:r w:rsidR="00D05436">
        <w:rPr>
          <w:rFonts w:cs="Arial"/>
          <w:szCs w:val="18"/>
        </w:rPr>
        <w:t>s</w:t>
      </w:r>
      <w:r w:rsidR="00C02E65">
        <w:rPr>
          <w:rFonts w:cs="Arial"/>
          <w:szCs w:val="18"/>
        </w:rPr>
        <w:t xml:space="preserve"> 22 characters. </w:t>
      </w:r>
      <w:r w:rsidR="00C02E65" w:rsidRPr="00B26970">
        <w:rPr>
          <w:rFonts w:cs="Arial"/>
          <w:szCs w:val="18"/>
        </w:rPr>
        <w:t>The full name is displayed elsewhere on the screens ident</w:t>
      </w:r>
      <w:r w:rsidR="00C02E65">
        <w:rPr>
          <w:rFonts w:cs="Arial"/>
          <w:szCs w:val="18"/>
        </w:rPr>
        <w:t>ified or it is provided as read-</w:t>
      </w:r>
      <w:r w:rsidR="00C02E65" w:rsidRPr="00B26970">
        <w:rPr>
          <w:rFonts w:cs="Arial"/>
          <w:szCs w:val="18"/>
        </w:rPr>
        <w:t>only information and is not used to make decisions for the selected patient.</w:t>
      </w:r>
      <w:r w:rsidR="00C02E65">
        <w:rPr>
          <w:rFonts w:cs="Arial"/>
          <w:szCs w:val="18"/>
        </w:rPr>
        <w:t xml:space="preserve"> </w:t>
      </w:r>
      <w:r w:rsidR="00C02E65" w:rsidRPr="00C02E65">
        <w:rPr>
          <w:rFonts w:cs="Arial"/>
          <w:vanish/>
          <w:szCs w:val="18"/>
        </w:rPr>
        <w:t>Task 209590</w:t>
      </w:r>
    </w:p>
    <w:p w14:paraId="194F7A77" w14:textId="77777777" w:rsidR="00506EE2" w:rsidRPr="00B26970" w:rsidRDefault="00506EE2" w:rsidP="00506EE2">
      <w:pPr>
        <w:pStyle w:val="ListBullet"/>
        <w:numPr>
          <w:ilvl w:val="1"/>
          <w:numId w:val="15"/>
        </w:numPr>
        <w:rPr>
          <w:rFonts w:cs="Arial"/>
          <w:szCs w:val="18"/>
        </w:rPr>
      </w:pPr>
      <w:r w:rsidRPr="00B26970">
        <w:rPr>
          <w:rFonts w:cs="Arial"/>
          <w:szCs w:val="18"/>
        </w:rPr>
        <w:t>Blood Unit Details tab</w:t>
      </w:r>
    </w:p>
    <w:p w14:paraId="1919F66F" w14:textId="77777777" w:rsidR="00506EE2" w:rsidRPr="00B26970" w:rsidRDefault="00506EE2" w:rsidP="00506EE2">
      <w:pPr>
        <w:pStyle w:val="ListBullet"/>
        <w:numPr>
          <w:ilvl w:val="1"/>
          <w:numId w:val="15"/>
        </w:numPr>
        <w:rPr>
          <w:rFonts w:cs="Arial"/>
          <w:szCs w:val="18"/>
        </w:rPr>
      </w:pPr>
      <w:r w:rsidRPr="00B26970">
        <w:rPr>
          <w:rFonts w:cs="Arial"/>
          <w:szCs w:val="18"/>
        </w:rPr>
        <w:t>Patient Specimen Selector control</w:t>
      </w:r>
    </w:p>
    <w:p w14:paraId="140FB394" w14:textId="77777777" w:rsidR="00506EE2" w:rsidRPr="00B26970" w:rsidRDefault="00506EE2" w:rsidP="00506EE2">
      <w:pPr>
        <w:pStyle w:val="ListBullet"/>
        <w:numPr>
          <w:ilvl w:val="1"/>
          <w:numId w:val="15"/>
        </w:numPr>
        <w:rPr>
          <w:rFonts w:cs="Arial"/>
          <w:szCs w:val="18"/>
        </w:rPr>
      </w:pPr>
      <w:r w:rsidRPr="00B26970">
        <w:rPr>
          <w:rFonts w:cs="Arial"/>
          <w:szCs w:val="18"/>
        </w:rPr>
        <w:t>Patient Order Selector control</w:t>
      </w:r>
    </w:p>
    <w:p w14:paraId="3968F188" w14:textId="1DDC7240" w:rsidR="00506EE2" w:rsidRPr="00B26970" w:rsidRDefault="00506EE2" w:rsidP="00506EE2">
      <w:pPr>
        <w:pStyle w:val="ListBullet"/>
        <w:numPr>
          <w:ilvl w:val="1"/>
          <w:numId w:val="15"/>
        </w:numPr>
        <w:rPr>
          <w:rFonts w:cs="Arial"/>
          <w:szCs w:val="18"/>
        </w:rPr>
      </w:pPr>
      <w:r w:rsidRPr="00B26970">
        <w:rPr>
          <w:rFonts w:cs="Arial"/>
          <w:szCs w:val="18"/>
        </w:rPr>
        <w:t>Patient Order Selector for Report control</w:t>
      </w:r>
    </w:p>
    <w:p w14:paraId="4305F5FF" w14:textId="4959C3AE" w:rsidR="00506EE2" w:rsidRDefault="00506EE2" w:rsidP="00506EE2">
      <w:pPr>
        <w:pStyle w:val="ListBullet"/>
      </w:pPr>
      <w:r w:rsidRPr="00B26970">
        <w:rPr>
          <w:rFonts w:cs="Arial"/>
          <w:szCs w:val="18"/>
        </w:rPr>
        <w:t xml:space="preserve">VBECS </w:t>
      </w:r>
      <w:r w:rsidR="00932724">
        <w:rPr>
          <w:rFonts w:cs="Arial"/>
          <w:szCs w:val="18"/>
        </w:rPr>
        <w:t>may</w:t>
      </w:r>
      <w:r w:rsidRPr="00B26970">
        <w:rPr>
          <w:rFonts w:cs="Arial"/>
          <w:szCs w:val="18"/>
        </w:rPr>
        <w:t xml:space="preserve"> only display the first 25 characters of the name.</w:t>
      </w:r>
    </w:p>
    <w:p w14:paraId="56BB0DF4" w14:textId="6A890EF1" w:rsidR="00CF225C" w:rsidRDefault="00524EDF" w:rsidP="004305BC">
      <w:pPr>
        <w:pStyle w:val="ListBullet"/>
      </w:pPr>
      <w:r w:rsidRPr="00524EDF">
        <w:rPr>
          <w:vanish/>
        </w:rPr>
        <w:t xml:space="preserve">BR_3.05 </w:t>
      </w:r>
      <w:r w:rsidR="00CF225C">
        <w:t xml:space="preserve">VBECS displays historic ABO/Rh types from the database </w:t>
      </w:r>
      <w:r w:rsidR="00671459">
        <w:t>conversion but</w:t>
      </w:r>
      <w:r w:rsidR="00CF225C">
        <w:t xml:space="preserve"> doesn’t use </w:t>
      </w:r>
      <w:r w:rsidR="005F34AE">
        <w:t>them</w:t>
      </w:r>
      <w:r w:rsidR="00CF225C">
        <w:t xml:space="preserve"> for issuing blood or for comparing test results. </w:t>
      </w:r>
    </w:p>
    <w:p w14:paraId="61132D12" w14:textId="77777777" w:rsidR="00B814B4" w:rsidRDefault="00B814B4" w:rsidP="00B814B4">
      <w:pPr>
        <w:pStyle w:val="ListBullet"/>
      </w:pPr>
      <w:r>
        <w:t>VBECS truncates Special Instructions (SIs) text from the VistA database conversion.</w:t>
      </w:r>
    </w:p>
    <w:p w14:paraId="37B4E6CD" w14:textId="77777777" w:rsidR="00524EDF" w:rsidRDefault="00524EDF" w:rsidP="00524EDF">
      <w:pPr>
        <w:pStyle w:val="ListBullet"/>
      </w:pPr>
      <w:r>
        <w:rPr>
          <w:vanish/>
        </w:rPr>
        <w:t xml:space="preserve">BR_37.05 </w:t>
      </w:r>
      <w:r w:rsidR="00150930" w:rsidRPr="00150930">
        <w:t>SIs from d</w:t>
      </w:r>
      <w:r>
        <w:t>ata</w:t>
      </w:r>
      <w:r w:rsidR="00150930">
        <w:t>base</w:t>
      </w:r>
      <w:r>
        <w:t xml:space="preserve"> conversion entries are labeled as such.</w:t>
      </w:r>
    </w:p>
    <w:p w14:paraId="32072974" w14:textId="77777777" w:rsidR="00150930" w:rsidRDefault="00150930" w:rsidP="00150930">
      <w:pPr>
        <w:pStyle w:val="ListBullet"/>
      </w:pPr>
      <w:r w:rsidRPr="00CA6E27">
        <w:rPr>
          <w:bCs/>
        </w:rPr>
        <w:t>VistA</w:t>
      </w:r>
      <w:r>
        <w:t xml:space="preserve"> SIs from the database conversion </w:t>
      </w:r>
      <w:r w:rsidR="00216287">
        <w:t>may include component or antigen negative requirements. The</w:t>
      </w:r>
      <w:r w:rsidR="00D40EB2">
        <w:t xml:space="preserve"> VistA SIs</w:t>
      </w:r>
      <w:r>
        <w:t xml:space="preserve"> remain SIs and are not enforced unless </w:t>
      </w:r>
      <w:r w:rsidR="00646F65">
        <w:t xml:space="preserve">they are </w:t>
      </w:r>
      <w:r>
        <w:t xml:space="preserve">entered in </w:t>
      </w:r>
      <w:r w:rsidR="00646F65">
        <w:t xml:space="preserve">the </w:t>
      </w:r>
      <w:r>
        <w:t>T</w:t>
      </w:r>
      <w:r w:rsidR="00646F65">
        <w:t xml:space="preserve">ransfusion </w:t>
      </w:r>
      <w:r>
        <w:t>R</w:t>
      </w:r>
      <w:r w:rsidR="00646F65">
        <w:t>equirement</w:t>
      </w:r>
      <w:r>
        <w:t>s</w:t>
      </w:r>
      <w:r w:rsidR="00646F65">
        <w:t xml:space="preserve"> tab in Special Instructions &amp; Transfusion Requirements</w:t>
      </w:r>
      <w:r>
        <w:t>.</w:t>
      </w:r>
    </w:p>
    <w:p w14:paraId="57CE1EF5" w14:textId="7D331BD2" w:rsidR="001F561F" w:rsidRDefault="001F561F" w:rsidP="001F561F">
      <w:pPr>
        <w:pStyle w:val="ListBullet"/>
      </w:pPr>
      <w:r>
        <w:t xml:space="preserve">Patient antibody identifications from </w:t>
      </w:r>
      <w:r w:rsidRPr="00CA6E27">
        <w:rPr>
          <w:bCs/>
        </w:rPr>
        <w:t>VistA</w:t>
      </w:r>
      <w:r>
        <w:t xml:space="preserve"> </w:t>
      </w:r>
      <w:r w:rsidR="00B814B4">
        <w:t>were</w:t>
      </w:r>
      <w:r>
        <w:t xml:space="preserve"> included in the database conversion.</w:t>
      </w:r>
    </w:p>
    <w:p w14:paraId="1986725A" w14:textId="77777777" w:rsidR="005F34AE" w:rsidRDefault="005F34AE" w:rsidP="001F561F">
      <w:pPr>
        <w:pStyle w:val="ListBullet"/>
      </w:pPr>
      <w:r>
        <w:t>Antigen negative requirements properly set in VistA w</w:t>
      </w:r>
      <w:r w:rsidR="00B814B4">
        <w:t>ere</w:t>
      </w:r>
      <w:r>
        <w:t xml:space="preserve"> transferred to antigen negative requirements in VBECS.</w:t>
      </w:r>
    </w:p>
    <w:p w14:paraId="556A2291" w14:textId="061868A8" w:rsidR="00875F0A" w:rsidRDefault="00181ECD" w:rsidP="00941464">
      <w:pPr>
        <w:pStyle w:val="ListBullet"/>
        <w:rPr>
          <w:vanish/>
        </w:rPr>
      </w:pPr>
      <w:r w:rsidRPr="00181ECD">
        <w:rPr>
          <w:vanish/>
        </w:rPr>
        <w:t xml:space="preserve">BR_65.03 </w:t>
      </w:r>
      <w:r w:rsidRPr="00181ECD">
        <w:t>VBECS informs the user when the displayed historical ABO/Rh, transfusion reaction history, and/or antigen typing result from the database conversion</w:t>
      </w:r>
      <w:r>
        <w:t>.</w:t>
      </w:r>
      <w:bookmarkEnd w:id="91"/>
      <w:bookmarkEnd w:id="92"/>
    </w:p>
    <w:p w14:paraId="634F085F" w14:textId="096E95D4" w:rsidR="00875F0A" w:rsidRDefault="007306E4" w:rsidP="00D05436">
      <w:pPr>
        <w:pStyle w:val="ListBullet"/>
      </w:pPr>
      <w:r>
        <w:t xml:space="preserve"> </w:t>
      </w:r>
      <w:r w:rsidR="00875F0A">
        <w:t>Transfusion reaction types without their associated units were transferred to VBECS.</w:t>
      </w:r>
    </w:p>
    <w:p w14:paraId="30CB81A7" w14:textId="417E5B2E" w:rsidR="002A21AE" w:rsidRDefault="008F1BF3" w:rsidP="00D05436">
      <w:pPr>
        <w:pStyle w:val="Heading2"/>
      </w:pPr>
      <w:r>
        <w:br w:type="page"/>
      </w:r>
      <w:bookmarkStart w:id="94" w:name="_Toc149064069"/>
      <w:r w:rsidR="002A21AE">
        <w:t>Accessing the System</w:t>
      </w:r>
      <w:bookmarkEnd w:id="94"/>
      <w:r w:rsidR="002A21AE">
        <w:fldChar w:fldCharType="begin"/>
      </w:r>
      <w:r w:rsidR="002A21AE">
        <w:instrText xml:space="preserve"> XE </w:instrText>
      </w:r>
      <w:r w:rsidR="00FA7E65">
        <w:instrText>“</w:instrText>
      </w:r>
      <w:r w:rsidR="002A21AE">
        <w:instrText>Accessing the System</w:instrText>
      </w:r>
      <w:r w:rsidR="00FA7E65">
        <w:instrText>”</w:instrText>
      </w:r>
      <w:r w:rsidR="002A21AE">
        <w:instrText xml:space="preserve"> </w:instrText>
      </w:r>
      <w:r w:rsidR="002A21AE">
        <w:fldChar w:fldCharType="end"/>
      </w:r>
    </w:p>
    <w:p w14:paraId="0A39C2E8" w14:textId="77777777" w:rsidR="002A21AE" w:rsidRDefault="009B4BF9">
      <w:pPr>
        <w:pStyle w:val="Heading3"/>
      </w:pPr>
      <w:bookmarkStart w:id="95" w:name="_Toc86743614"/>
      <w:bookmarkStart w:id="96" w:name="OLE_LINK19"/>
      <w:bookmarkStart w:id="97" w:name="_Toc149064070"/>
      <w:r>
        <w:t>Log i</w:t>
      </w:r>
      <w:r w:rsidR="002A21AE">
        <w:t>nto VBECS</w:t>
      </w:r>
      <w:bookmarkEnd w:id="95"/>
      <w:r w:rsidR="002A21AE">
        <w:t xml:space="preserve"> and</w:t>
      </w:r>
      <w:r w:rsidR="00CA0045">
        <w:t xml:space="preserve"> VistA</w:t>
      </w:r>
      <w:bookmarkEnd w:id="96"/>
      <w:bookmarkEnd w:id="97"/>
      <w:r w:rsidR="002A21AE">
        <w:rPr>
          <w:b w:val="0"/>
          <w:vanish/>
        </w:rPr>
        <w:fldChar w:fldCharType="begin"/>
      </w:r>
      <w:r w:rsidR="002A21AE">
        <w:rPr>
          <w:vanish/>
        </w:rPr>
        <w:instrText xml:space="preserve"> XE </w:instrText>
      </w:r>
      <w:r w:rsidR="00FA7E65">
        <w:rPr>
          <w:vanish/>
        </w:rPr>
        <w:instrText>“</w:instrText>
      </w:r>
      <w:r w:rsidR="002A21AE">
        <w:rPr>
          <w:vanish/>
        </w:rPr>
        <w:instrText>Log Into VBECS and</w:instrText>
      </w:r>
      <w:r w:rsidR="00CA0045">
        <w:rPr>
          <w:vanish/>
        </w:rPr>
        <w:instrText xml:space="preserve"> VistA</w:instrText>
      </w:r>
      <w:r w:rsidR="00FA7E65">
        <w:rPr>
          <w:vanish/>
        </w:rPr>
        <w:instrText>”</w:instrText>
      </w:r>
      <w:r w:rsidR="002A21AE">
        <w:rPr>
          <w:vanish/>
        </w:rPr>
        <w:instrText xml:space="preserve"> </w:instrText>
      </w:r>
      <w:r w:rsidR="002A21AE">
        <w:rPr>
          <w:b w:val="0"/>
          <w:vanish/>
        </w:rPr>
        <w:fldChar w:fldCharType="end"/>
      </w:r>
      <w:r w:rsidR="002A21AE">
        <w:rPr>
          <w:b w:val="0"/>
          <w:vanish/>
        </w:rPr>
        <w:t xml:space="preserve"> </w:t>
      </w:r>
      <w:r w:rsidR="002A21AE">
        <w:rPr>
          <w:vanish/>
        </w:rPr>
        <w:t>UC_18, UC_102</w:t>
      </w:r>
    </w:p>
    <w:p w14:paraId="64F6EC96" w14:textId="7D1B6698" w:rsidR="002A21AE" w:rsidRDefault="002A21AE" w:rsidP="00FA7E65">
      <w:pPr>
        <w:pStyle w:val="BodyText"/>
      </w:pPr>
      <w:r>
        <w:t>A user may work in only one division at a time. After login</w:t>
      </w:r>
      <w:r w:rsidR="00670304">
        <w:rPr>
          <w:rStyle w:val="FootnoteReference"/>
        </w:rPr>
        <w:footnoteReference w:id="1"/>
      </w:r>
      <w:r>
        <w:t xml:space="preserve">, a user with access privileges in several divisions may change divisions. </w:t>
      </w:r>
      <w:r w:rsidR="00191AFE">
        <w:t xml:space="preserve">For users with access to a single division, an option to change divisions will not be available. </w:t>
      </w:r>
      <w:r w:rsidR="009E1728">
        <w:t>VBECS allows access only to valid divisions associated with the user.</w:t>
      </w:r>
      <w:r w:rsidR="00330B40">
        <w:t xml:space="preserve"> </w:t>
      </w:r>
    </w:p>
    <w:p w14:paraId="6FDF1A12" w14:textId="77777777" w:rsidR="002A21AE" w:rsidRDefault="002A21AE">
      <w:pPr>
        <w:pStyle w:val="Heading4"/>
      </w:pPr>
      <w:r>
        <w:t>Assumptions</w:t>
      </w:r>
    </w:p>
    <w:p w14:paraId="5CF80DBD" w14:textId="77777777" w:rsidR="009E1728" w:rsidRDefault="009E1728" w:rsidP="009E1728">
      <w:pPr>
        <w:pStyle w:val="ListBullet"/>
      </w:pPr>
      <w:r w:rsidRPr="009E1728">
        <w:t>There is not an active VistALink c</w:t>
      </w:r>
      <w:r>
        <w:t>onnection in VBECS/Administrator.</w:t>
      </w:r>
    </w:p>
    <w:p w14:paraId="3333E666" w14:textId="77777777" w:rsidR="009E1728" w:rsidRDefault="009E1728" w:rsidP="009E1728">
      <w:pPr>
        <w:pStyle w:val="ListBullet"/>
      </w:pPr>
      <w:r w:rsidRPr="009E1728">
        <w:t xml:space="preserve">VistA is set up, operating normally </w:t>
      </w:r>
      <w:r>
        <w:t>and accessible via the network.</w:t>
      </w:r>
    </w:p>
    <w:p w14:paraId="691AAF9E" w14:textId="77777777" w:rsidR="00A333E5" w:rsidRPr="009E1728" w:rsidRDefault="00A333E5">
      <w:pPr>
        <w:pStyle w:val="ListBullet"/>
      </w:pPr>
      <w:r w:rsidRPr="009E1728">
        <w:t>The user is defined in VistA, has a DUZ, and connectivity to VistA can be established.</w:t>
      </w:r>
    </w:p>
    <w:p w14:paraId="3FD03510" w14:textId="77777777" w:rsidR="0080715E" w:rsidRPr="009E1728" w:rsidRDefault="0080715E">
      <w:pPr>
        <w:pStyle w:val="ListBullet"/>
      </w:pPr>
      <w:r w:rsidRPr="009E1728">
        <w:t>The user must be defined in the VistA new person file and have valid Access and Verify Codes.</w:t>
      </w:r>
    </w:p>
    <w:p w14:paraId="31907989" w14:textId="77777777" w:rsidR="002A21AE" w:rsidRDefault="00272139" w:rsidP="00BF32E5">
      <w:pPr>
        <w:pStyle w:val="ListBullet"/>
      </w:pPr>
      <w:r>
        <w:t xml:space="preserve">The user’s </w:t>
      </w:r>
      <w:r w:rsidR="00BF32E5">
        <w:t>division</w:t>
      </w:r>
      <w:r>
        <w:t xml:space="preserve"> is configure</w:t>
      </w:r>
      <w:r w:rsidR="00373CB1">
        <w:t>d</w:t>
      </w:r>
      <w:r>
        <w:t xml:space="preserve"> in both</w:t>
      </w:r>
      <w:r w:rsidR="002A21AE">
        <w:t xml:space="preserve"> </w:t>
      </w:r>
      <w:r w:rsidR="00CA0045" w:rsidRPr="00CA0045">
        <w:t>VistA</w:t>
      </w:r>
      <w:r>
        <w:t xml:space="preserve"> and VBECS. </w:t>
      </w:r>
      <w:r w:rsidR="00C00476">
        <w:t>(</w:t>
      </w:r>
      <w:r w:rsidR="009E1728">
        <w:t>See Update User Roles</w:t>
      </w:r>
      <w:r w:rsidR="00C00476">
        <w:t>)</w:t>
      </w:r>
    </w:p>
    <w:p w14:paraId="0E9344A1" w14:textId="77777777" w:rsidR="002A21AE" w:rsidRDefault="002A21AE">
      <w:pPr>
        <w:pStyle w:val="Heading4"/>
        <w:rPr>
          <w:i/>
        </w:rPr>
      </w:pPr>
      <w:r>
        <w:t>Outcome</w:t>
      </w:r>
      <w:r>
        <w:rPr>
          <w:i/>
        </w:rPr>
        <w:t xml:space="preserve"> </w:t>
      </w:r>
    </w:p>
    <w:p w14:paraId="42BC8F62" w14:textId="77777777" w:rsidR="002A21AE" w:rsidRDefault="009E1728">
      <w:pPr>
        <w:pStyle w:val="ListBullet"/>
      </w:pPr>
      <w:r>
        <w:t>The</w:t>
      </w:r>
      <w:r w:rsidR="002A21AE">
        <w:t xml:space="preserve"> user is logged into the selected division.</w:t>
      </w:r>
    </w:p>
    <w:p w14:paraId="56D57399" w14:textId="77777777" w:rsidR="0080715E" w:rsidRPr="009E1728" w:rsidRDefault="0080715E">
      <w:pPr>
        <w:pStyle w:val="ListBullet"/>
      </w:pPr>
      <w:r w:rsidRPr="009E1728">
        <w:t>A VistALink connection is established or restored and the user is logged onto VistA.</w:t>
      </w:r>
    </w:p>
    <w:p w14:paraId="55C09BFB" w14:textId="77777777" w:rsidR="005A15F5" w:rsidRPr="009E1728" w:rsidRDefault="005A15F5">
      <w:pPr>
        <w:pStyle w:val="ListBullet"/>
      </w:pPr>
      <w:r w:rsidRPr="009E1728">
        <w:t>VBECS is available for use wheth</w:t>
      </w:r>
      <w:r w:rsidR="00121EB7" w:rsidRPr="009E1728">
        <w:t>er or not VistALink is connected</w:t>
      </w:r>
      <w:r w:rsidR="00F3226E" w:rsidRPr="009E1728">
        <w:t>, depending on the option</w:t>
      </w:r>
      <w:r w:rsidRPr="009E1728">
        <w:t>.</w:t>
      </w:r>
    </w:p>
    <w:p w14:paraId="592CDF7F" w14:textId="77777777" w:rsidR="002A21AE" w:rsidRDefault="002A21AE">
      <w:pPr>
        <w:pStyle w:val="Heading4"/>
      </w:pPr>
      <w:r>
        <w:t>Limitations and Restrictions</w:t>
      </w:r>
    </w:p>
    <w:p w14:paraId="2986F9E2" w14:textId="77777777" w:rsidR="002A21AE" w:rsidRDefault="00E27D9F">
      <w:pPr>
        <w:pStyle w:val="ListBullet"/>
      </w:pPr>
      <w:r>
        <w:rPr>
          <w:vanish/>
          <w:spacing w:val="0"/>
        </w:rPr>
        <w:t>BR_18.05</w:t>
      </w:r>
      <w:r w:rsidR="009B4BF9">
        <w:rPr>
          <w:vanish/>
          <w:spacing w:val="0"/>
        </w:rPr>
        <w:t xml:space="preserve"> </w:t>
      </w:r>
      <w:r w:rsidR="002A21AE">
        <w:t>VBECS automatically logs a</w:t>
      </w:r>
      <w:r w:rsidR="002A21AE" w:rsidRPr="00BF7321">
        <w:rPr>
          <w:spacing w:val="0"/>
        </w:rPr>
        <w:t xml:space="preserve"> </w:t>
      </w:r>
      <w:r w:rsidR="002A21AE">
        <w:t>user with access to only o</w:t>
      </w:r>
      <w:r w:rsidR="00D2565B">
        <w:t>ne division into that division.</w:t>
      </w:r>
    </w:p>
    <w:p w14:paraId="3A2D1869" w14:textId="77777777" w:rsidR="00FB121F" w:rsidRDefault="00FB121F" w:rsidP="00FB121F">
      <w:pPr>
        <w:pStyle w:val="ListBullet"/>
      </w:pPr>
      <w:r w:rsidRPr="009E1728">
        <w:t>Connectivity by IAM services access approval (PIV Card) is not possible when IAM services are not available.</w:t>
      </w:r>
    </w:p>
    <w:p w14:paraId="6F0E4EA8" w14:textId="241ACC80" w:rsidR="00101C69" w:rsidRPr="009E1728" w:rsidRDefault="00101C69" w:rsidP="00101C69">
      <w:pPr>
        <w:pStyle w:val="ListBullet"/>
      </w:pPr>
      <w:r w:rsidRPr="009E1728">
        <w:t xml:space="preserve">Connectivity by IAM services access approval (PIV Card) is not </w:t>
      </w:r>
      <w:r>
        <w:t>required</w:t>
      </w:r>
      <w:r w:rsidRPr="009E1728">
        <w:t xml:space="preserve"> when </w:t>
      </w:r>
      <w:r w:rsidR="00C85A03">
        <w:t xml:space="preserve">a </w:t>
      </w:r>
      <w:r w:rsidR="00D72D13">
        <w:t xml:space="preserve">user </w:t>
      </w:r>
      <w:r w:rsidR="00C85A03">
        <w:t>has a PIV ex</w:t>
      </w:r>
      <w:r>
        <w:t>emption or when IAM services are not available.</w:t>
      </w:r>
    </w:p>
    <w:p w14:paraId="12EC6D0F" w14:textId="77777777" w:rsidR="00FB121F" w:rsidRDefault="00FB121F" w:rsidP="00FB121F">
      <w:pPr>
        <w:pStyle w:val="ListBullet"/>
      </w:pPr>
      <w:r>
        <w:rPr>
          <w:spacing w:val="0"/>
        </w:rPr>
        <w:t>An Access and Verify code is required to connect to VistA when the IAM services are not available.</w:t>
      </w:r>
    </w:p>
    <w:p w14:paraId="13208CD4" w14:textId="75567A67" w:rsidR="007A2FC3" w:rsidRDefault="009E1728">
      <w:pPr>
        <w:pStyle w:val="ListBullet"/>
      </w:pPr>
      <w:r w:rsidRPr="009E1728">
        <w:rPr>
          <w:vanish/>
        </w:rPr>
        <w:t xml:space="preserve">BR_102.12 </w:t>
      </w:r>
      <w:r w:rsidR="007A2FC3" w:rsidRPr="009E1728">
        <w:t>Connectivity is not possible when VistA is not available.</w:t>
      </w:r>
    </w:p>
    <w:p w14:paraId="3E78A8AE" w14:textId="3ECB9FFA" w:rsidR="00B43925" w:rsidRDefault="006D7B40" w:rsidP="00B43925">
      <w:pPr>
        <w:pStyle w:val="ListBullet"/>
      </w:pPr>
      <w:r>
        <w:t xml:space="preserve">The user’s Active Directory account is a member of the proper VBECS security groups and configured with the AES256 bit encryption flag. Refer to the Active Directory section of the </w:t>
      </w:r>
      <w:r w:rsidRPr="003E663B">
        <w:rPr>
          <w:i/>
          <w:iCs/>
        </w:rPr>
        <w:t>VBECS Technical Manual Security Guide</w:t>
      </w:r>
      <w:r>
        <w:t>.</w:t>
      </w:r>
    </w:p>
    <w:p w14:paraId="62C75337" w14:textId="74A4B0D9" w:rsidR="006F1029" w:rsidRPr="006F1029" w:rsidRDefault="00D72D13" w:rsidP="006F1029">
      <w:pPr>
        <w:pStyle w:val="ListBullet"/>
      </w:pPr>
      <w:r>
        <w:t xml:space="preserve">For Remote Desktop constraints, consult </w:t>
      </w:r>
      <w:r w:rsidR="00E20E5D">
        <w:t xml:space="preserve">the </w:t>
      </w:r>
      <w:r w:rsidR="00E20E5D" w:rsidRPr="003E663B">
        <w:rPr>
          <w:i/>
          <w:iCs/>
        </w:rPr>
        <w:t>VBECS Technical Manual Security Guide</w:t>
      </w:r>
      <w:r w:rsidR="00E20E5D">
        <w:rPr>
          <w:i/>
          <w:iCs/>
        </w:rPr>
        <w:t>.</w:t>
      </w:r>
    </w:p>
    <w:p w14:paraId="3B0BE1AA" w14:textId="77777777" w:rsidR="002A21AE" w:rsidRDefault="002A21AE">
      <w:pPr>
        <w:pStyle w:val="Heading4"/>
      </w:pPr>
      <w:r>
        <w:t>Additional Information</w:t>
      </w:r>
    </w:p>
    <w:p w14:paraId="51DCFE9D" w14:textId="77777777" w:rsidR="00530298" w:rsidRDefault="00530298" w:rsidP="00530298">
      <w:pPr>
        <w:pStyle w:val="ListBullet"/>
        <w:rPr>
          <w:szCs w:val="20"/>
        </w:rPr>
      </w:pPr>
      <w:r>
        <w:rPr>
          <w:szCs w:val="20"/>
        </w:rPr>
        <w:t>The initial entry into VBECS will require a VistA Access and Verify Code in order to initiate the IAM PIV sign on process. This is only required for the first use of the system for each user.</w:t>
      </w:r>
    </w:p>
    <w:p w14:paraId="5C091025" w14:textId="6BE27395" w:rsidR="00EF0211" w:rsidRPr="00EF0211" w:rsidRDefault="00EF0211" w:rsidP="004B6116">
      <w:pPr>
        <w:pStyle w:val="ListBullet"/>
      </w:pPr>
      <w:r w:rsidRPr="00EF0211">
        <w:t>If VBECS does</w:t>
      </w:r>
      <w:r w:rsidR="00AC7CC7">
        <w:t xml:space="preserve"> no</w:t>
      </w:r>
      <w:r w:rsidR="00E3226E">
        <w:t>t</w:t>
      </w:r>
      <w:r w:rsidRPr="00EF0211">
        <w:t xml:space="preserve"> automatically select the correct authentication certificate, users may see several certificates listed during the sign on process. The user should select the current authentication certificate with their name from the list of certificates.</w:t>
      </w:r>
    </w:p>
    <w:p w14:paraId="4ECB443E" w14:textId="5D0D4C8D" w:rsidR="009B4BF9" w:rsidRPr="002115C7" w:rsidRDefault="00EF0211" w:rsidP="004B6116">
      <w:pPr>
        <w:pStyle w:val="ListBullet"/>
        <w:rPr>
          <w:szCs w:val="20"/>
        </w:rPr>
      </w:pPr>
      <w:r w:rsidRPr="00EF0211">
        <w:rPr>
          <w:vanish/>
          <w:szCs w:val="20"/>
        </w:rPr>
        <w:t>BR_102.03</w:t>
      </w:r>
      <w:r w:rsidR="009B4BF9" w:rsidRPr="002115C7">
        <w:rPr>
          <w:szCs w:val="20"/>
        </w:rPr>
        <w:t>VBECS provides an interface (VistALink) with VistA to allow the user to log onto VistA (not required for most options; see the list of options that use VistALink in Hardware and Infrastructure Architecture).</w:t>
      </w:r>
    </w:p>
    <w:p w14:paraId="6705E5EC" w14:textId="4FB3F729" w:rsidR="00530298" w:rsidRDefault="001F56CA" w:rsidP="004B6116">
      <w:pPr>
        <w:pStyle w:val="ListBullet"/>
        <w:rPr>
          <w:szCs w:val="20"/>
        </w:rPr>
      </w:pPr>
      <w:r w:rsidRPr="001F56CA">
        <w:rPr>
          <w:vanish/>
          <w:szCs w:val="20"/>
        </w:rPr>
        <w:t xml:space="preserve">BR_102.13 </w:t>
      </w:r>
      <w:r w:rsidR="00530298">
        <w:rPr>
          <w:szCs w:val="20"/>
        </w:rPr>
        <w:t xml:space="preserve">The system attempts to reuse the security credentials initially entered in the user’s session to perform VistA </w:t>
      </w:r>
      <w:r w:rsidR="006464E3">
        <w:rPr>
          <w:szCs w:val="20"/>
        </w:rPr>
        <w:t>logoff</w:t>
      </w:r>
      <w:r w:rsidR="00530298">
        <w:rPr>
          <w:szCs w:val="20"/>
        </w:rPr>
        <w:t xml:space="preserve"> and logon without user interaction.</w:t>
      </w:r>
    </w:p>
    <w:p w14:paraId="4053F51B" w14:textId="77777777" w:rsidR="002A21AE" w:rsidRPr="00F462A4" w:rsidRDefault="001F56CA" w:rsidP="00F462A4">
      <w:pPr>
        <w:pStyle w:val="ListBullet"/>
        <w:rPr>
          <w:szCs w:val="20"/>
        </w:rPr>
      </w:pPr>
      <w:r w:rsidRPr="001F56CA">
        <w:rPr>
          <w:vanish/>
        </w:rPr>
        <w:t xml:space="preserve">BR_102.03 </w:t>
      </w:r>
      <w:r w:rsidR="00F462A4">
        <w:t xml:space="preserve">If the user is required to enter a VistA Access and Verify Code, VBECS checks the characters in the Access and Verify Codes and warns when there are fewer than six characters or when a semicolon (;), colon (:), or caret (^) is entered. VBECS sends the entered Access and Verify Codes to </w:t>
      </w:r>
      <w:r w:rsidR="00F462A4" w:rsidRPr="00CA0045">
        <w:t>VistA</w:t>
      </w:r>
      <w:r w:rsidR="00F462A4">
        <w:t xml:space="preserve">. </w:t>
      </w:r>
      <w:r w:rsidR="00F462A4" w:rsidRPr="00CA0045">
        <w:t>VistA</w:t>
      </w:r>
      <w:r w:rsidR="00F462A4">
        <w:t xml:space="preserve"> checks the codes and responds to VBECS with a message stating whether the entered Access and Verify Codes are invalid or valid for the user attempting to log on. VBECS warns when </w:t>
      </w:r>
      <w:r w:rsidR="00F462A4" w:rsidRPr="00CA0045">
        <w:t>VistA</w:t>
      </w:r>
      <w:r w:rsidR="00F462A4">
        <w:t xml:space="preserve"> does not accept the Access and Verify Codes entered.</w:t>
      </w:r>
      <w:r w:rsidR="002A21AE" w:rsidRPr="00F462A4">
        <w:rPr>
          <w:szCs w:val="20"/>
        </w:rPr>
        <w:t> </w:t>
      </w:r>
    </w:p>
    <w:p w14:paraId="6FEED21D" w14:textId="1F800B21" w:rsidR="002A21AE" w:rsidRDefault="002A21AE">
      <w:pPr>
        <w:pStyle w:val="ListBullet"/>
      </w:pPr>
      <w:r>
        <w:rPr>
          <w:vanish/>
          <w:spacing w:val="0"/>
        </w:rPr>
        <w:t xml:space="preserve">BR_102.05 </w:t>
      </w:r>
      <w:r>
        <w:t xml:space="preserve">After </w:t>
      </w:r>
      <w:r w:rsidR="001A1C71">
        <w:t>a number of</w:t>
      </w:r>
      <w:r w:rsidR="00EB6924">
        <w:t xml:space="preserve"> </w:t>
      </w:r>
      <w:r w:rsidR="001A1C71">
        <w:t xml:space="preserve">unsuccessful attempts </w:t>
      </w:r>
      <w:r>
        <w:t xml:space="preserve">to log onto </w:t>
      </w:r>
      <w:r w:rsidR="00CA0045" w:rsidRPr="00CA0045">
        <w:t>VistA</w:t>
      </w:r>
      <w:r w:rsidR="001A1C71" w:rsidRPr="001A1C71">
        <w:t xml:space="preserve"> </w:t>
      </w:r>
      <w:r w:rsidR="001A1C71">
        <w:t>(defined in VistA server settings)</w:t>
      </w:r>
      <w:r>
        <w:t xml:space="preserve">, the </w:t>
      </w:r>
      <w:r w:rsidR="00CA0045" w:rsidRPr="00CA0045">
        <w:t>VistA</w:t>
      </w:r>
      <w:r>
        <w:t xml:space="preserve"> server terminates the logon session and displays a message prompting the user to log onto </w:t>
      </w:r>
      <w:r w:rsidR="00CA0045" w:rsidRPr="00CA0045">
        <w:t>VistA</w:t>
      </w:r>
      <w:r>
        <w:t xml:space="preserve"> again. </w:t>
      </w:r>
      <w:r w:rsidR="006464E3">
        <w:t xml:space="preserve">(Refer to </w:t>
      </w:r>
      <w:r w:rsidR="006464E3" w:rsidRPr="006464E3">
        <w:rPr>
          <w:i/>
          <w:iCs/>
        </w:rPr>
        <w:t>FAQ Proper Use of PIV Card with VBECS</w:t>
      </w:r>
      <w:r w:rsidR="006464E3">
        <w:t>.)</w:t>
      </w:r>
    </w:p>
    <w:p w14:paraId="40C4E31E" w14:textId="437C0589" w:rsidR="00F462A4" w:rsidRDefault="00F462A4" w:rsidP="00F462A4">
      <w:pPr>
        <w:pStyle w:val="ListBullet"/>
      </w:pPr>
      <w:r>
        <w:t>A user with multidivisional access privileges may change divisions during a VBECS session.</w:t>
      </w:r>
    </w:p>
    <w:p w14:paraId="5C49C851" w14:textId="77777777" w:rsidR="002C7ECA" w:rsidRDefault="001F56CA" w:rsidP="00F462A4">
      <w:pPr>
        <w:pStyle w:val="ListBullet"/>
      </w:pPr>
      <w:r w:rsidRPr="001F56CA">
        <w:rPr>
          <w:vanish/>
        </w:rPr>
        <w:t xml:space="preserve">BR_102.09 </w:t>
      </w:r>
      <w:r>
        <w:t>VBECS will attempt to resend queued DSS information when VistALink is available after any user logs in.</w:t>
      </w:r>
    </w:p>
    <w:p w14:paraId="1596C423" w14:textId="77777777" w:rsidR="002A21AE" w:rsidRDefault="002A21AE">
      <w:pPr>
        <w:pStyle w:val="Heading4"/>
        <w:rPr>
          <w:b w:val="0"/>
        </w:rPr>
      </w:pPr>
      <w:r>
        <w:t>User Roles with Access to This Option</w:t>
      </w:r>
      <w:r>
        <w:rPr>
          <w:b w:val="0"/>
        </w:rPr>
        <w:t xml:space="preserve"> </w:t>
      </w:r>
    </w:p>
    <w:p w14:paraId="53EF3E18" w14:textId="77777777" w:rsidR="002A21AE" w:rsidRDefault="00237C52">
      <w:pPr>
        <w:pStyle w:val="Roles"/>
      </w:pPr>
      <w:r>
        <w:t>All users</w:t>
      </w:r>
    </w:p>
    <w:p w14:paraId="1C2DEE38" w14:textId="31101690" w:rsidR="002A21AE" w:rsidRDefault="00A45793">
      <w:pPr>
        <w:pStyle w:val="Heading4"/>
      </w:pPr>
      <w:r>
        <w:t xml:space="preserve">Starting </w:t>
      </w:r>
      <w:r w:rsidR="002A21AE">
        <w:t>VBECS</w:t>
      </w:r>
    </w:p>
    <w:p w14:paraId="2E2027B5" w14:textId="26BA7A91" w:rsidR="00A45793" w:rsidRPr="00AC7CC7" w:rsidRDefault="00A45793" w:rsidP="005E6101">
      <w:pPr>
        <w:spacing w:before="60" w:after="120"/>
        <w:rPr>
          <w:spacing w:val="-5"/>
          <w:sz w:val="22"/>
          <w:szCs w:val="22"/>
        </w:rPr>
      </w:pPr>
      <w:r w:rsidRPr="00AC7CC7">
        <w:rPr>
          <w:spacing w:val="-5"/>
          <w:sz w:val="22"/>
          <w:szCs w:val="22"/>
        </w:rPr>
        <w:t xml:space="preserve">Before a user can start the VBECS software, they first need to connect to a VBECS server. Each blood bank will have two Remote Desktop shortcuts: one for accessing VBECS Test and one for accessing VBECS Production. Refer to the Remote Desktop section of the </w:t>
      </w:r>
      <w:r w:rsidRPr="00AC7CC7">
        <w:rPr>
          <w:i/>
          <w:iCs/>
          <w:spacing w:val="-5"/>
          <w:sz w:val="22"/>
          <w:szCs w:val="22"/>
        </w:rPr>
        <w:t>VBECS Technical Manual Security Guide</w:t>
      </w:r>
      <w:r w:rsidRPr="00AC7CC7">
        <w:rPr>
          <w:spacing w:val="-5"/>
          <w:sz w:val="22"/>
          <w:szCs w:val="22"/>
        </w:rPr>
        <w:t xml:space="preserve"> to learn more about what Remote Desktop is and how it works.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2A21AE" w14:paraId="17FC926A" w14:textId="77777777">
        <w:trPr>
          <w:tblHeader/>
        </w:trPr>
        <w:tc>
          <w:tcPr>
            <w:tcW w:w="3330" w:type="dxa"/>
            <w:shd w:val="pct30" w:color="auto" w:fill="FFFFFF"/>
            <w:vAlign w:val="bottom"/>
          </w:tcPr>
          <w:p w14:paraId="2918A978" w14:textId="77777777" w:rsidR="002A21AE" w:rsidRDefault="002A21AE">
            <w:pPr>
              <w:pStyle w:val="TableText"/>
              <w:rPr>
                <w:b/>
              </w:rPr>
            </w:pPr>
            <w:r>
              <w:rPr>
                <w:b/>
              </w:rPr>
              <w:t>User Action</w:t>
            </w:r>
          </w:p>
        </w:tc>
        <w:tc>
          <w:tcPr>
            <w:tcW w:w="6138" w:type="dxa"/>
            <w:shd w:val="pct30" w:color="auto" w:fill="FFFFFF"/>
            <w:vAlign w:val="bottom"/>
          </w:tcPr>
          <w:p w14:paraId="322A333E" w14:textId="77777777" w:rsidR="002A21AE" w:rsidRDefault="002A21AE">
            <w:pPr>
              <w:pStyle w:val="TableText"/>
              <w:rPr>
                <w:b/>
              </w:rPr>
            </w:pPr>
            <w:r>
              <w:rPr>
                <w:b/>
              </w:rPr>
              <w:t>VBECS</w:t>
            </w:r>
          </w:p>
        </w:tc>
      </w:tr>
      <w:tr w:rsidR="002A21AE" w14:paraId="11767AD3" w14:textId="77777777">
        <w:trPr>
          <w:trHeight w:val="782"/>
        </w:trPr>
        <w:tc>
          <w:tcPr>
            <w:tcW w:w="3330" w:type="dxa"/>
          </w:tcPr>
          <w:p w14:paraId="6F86044D" w14:textId="7FF26511" w:rsidR="00775C2B" w:rsidRDefault="00A45793" w:rsidP="003E663B">
            <w:pPr>
              <w:pStyle w:val="TableTextNumbers"/>
            </w:pPr>
            <w:r>
              <w:t xml:space="preserve">Once connected to a VBECS server </w:t>
            </w:r>
            <w:r w:rsidR="00751EFD">
              <w:t>via</w:t>
            </w:r>
            <w:r>
              <w:t xml:space="preserve"> Remote Desktop, click on the </w:t>
            </w:r>
            <w:r w:rsidRPr="003E663B">
              <w:rPr>
                <w:b/>
                <w:bCs/>
              </w:rPr>
              <w:t>VBECS</w:t>
            </w:r>
            <w:r>
              <w:t xml:space="preserve"> icon to start the VBECS software.</w:t>
            </w:r>
          </w:p>
        </w:tc>
        <w:tc>
          <w:tcPr>
            <w:tcW w:w="6138" w:type="dxa"/>
          </w:tcPr>
          <w:p w14:paraId="05A5A133" w14:textId="77777777" w:rsidR="00A45793" w:rsidRDefault="00A45793" w:rsidP="00A45793">
            <w:pPr>
              <w:pStyle w:val="TableTextBullet"/>
            </w:pPr>
            <w:r>
              <w:t>Displays the Select Division screen when the user has access privileges to multiple divisions in a single VBECS installation.</w:t>
            </w:r>
          </w:p>
          <w:p w14:paraId="3E25E39D" w14:textId="77777777" w:rsidR="00A45793" w:rsidRDefault="00A45793" w:rsidP="00A45793">
            <w:pPr>
              <w:pStyle w:val="TableText"/>
            </w:pPr>
          </w:p>
          <w:p w14:paraId="4E99DFD1" w14:textId="77777777" w:rsidR="00A45793" w:rsidRDefault="00A45793" w:rsidP="00A45793">
            <w:pPr>
              <w:pStyle w:val="TableText"/>
              <w:rPr>
                <w:b/>
                <w:bCs/>
                <w:szCs w:val="18"/>
              </w:rPr>
            </w:pPr>
            <w:r>
              <w:rPr>
                <w:b/>
                <w:bCs/>
                <w:szCs w:val="18"/>
              </w:rPr>
              <w:t>NOTES</w:t>
            </w:r>
          </w:p>
          <w:p w14:paraId="002C3058" w14:textId="77777777" w:rsidR="00A45793" w:rsidRDefault="00A45793" w:rsidP="00A45793">
            <w:pPr>
              <w:pStyle w:val="NotesText"/>
            </w:pPr>
          </w:p>
          <w:p w14:paraId="035FE8E6" w14:textId="67E54099" w:rsidR="00ED7401" w:rsidRDefault="00A45793" w:rsidP="008C2617">
            <w:pPr>
              <w:pStyle w:val="NotesText"/>
            </w:pPr>
            <w:r w:rsidRPr="00E274BF">
              <w:rPr>
                <w:rFonts w:cs="Arial"/>
                <w:vanish/>
                <w:szCs w:val="18"/>
              </w:rPr>
              <w:t>BR_18.08</w:t>
            </w:r>
            <w:r>
              <w:rPr>
                <w:rFonts w:ascii="Times New Roman" w:hAnsi="Times New Roman"/>
                <w:vanish/>
                <w:sz w:val="22"/>
              </w:rPr>
              <w:t xml:space="preserve"> </w:t>
            </w:r>
            <w:r>
              <w:t>A user may exit without logging into a division.</w:t>
            </w:r>
          </w:p>
        </w:tc>
      </w:tr>
      <w:tr w:rsidR="002A21AE" w14:paraId="03DB2C6E" w14:textId="77777777">
        <w:tc>
          <w:tcPr>
            <w:tcW w:w="3330" w:type="dxa"/>
          </w:tcPr>
          <w:p w14:paraId="0B46250C" w14:textId="65DC8188" w:rsidR="002A5604" w:rsidRDefault="002A5604" w:rsidP="002F5BFE">
            <w:pPr>
              <w:pStyle w:val="TableTextNumbers"/>
            </w:pPr>
            <w:r>
              <w:t>Mult</w:t>
            </w:r>
            <w:r w:rsidR="00BD31FB">
              <w:t>i</w:t>
            </w:r>
            <w:r>
              <w:t>division</w:t>
            </w:r>
            <w:r w:rsidR="00BD31FB">
              <w:t>al</w:t>
            </w:r>
            <w:r>
              <w:t xml:space="preserve"> users will be prompted to s</w:t>
            </w:r>
            <w:r w:rsidR="002A21AE">
              <w:t xml:space="preserve">elect a division from the </w:t>
            </w:r>
            <w:r w:rsidR="002A21AE">
              <w:rPr>
                <w:b/>
              </w:rPr>
              <w:t>Select Division</w:t>
            </w:r>
            <w:r w:rsidR="002A21AE">
              <w:t xml:space="preserve"> list and click </w:t>
            </w:r>
            <w:r w:rsidR="002A21AE">
              <w:rPr>
                <w:b/>
              </w:rPr>
              <w:t>OK</w:t>
            </w:r>
            <w:r w:rsidR="003814BF">
              <w:rPr>
                <w:bCs/>
              </w:rPr>
              <w:t>, or double-</w:t>
            </w:r>
            <w:r w:rsidR="002A21AE">
              <w:rPr>
                <w:bCs/>
              </w:rPr>
              <w:t>click the division</w:t>
            </w:r>
            <w:r w:rsidR="002F5BFE">
              <w:rPr>
                <w:bCs/>
              </w:rPr>
              <w:t xml:space="preserve"> (</w:t>
            </w:r>
            <w:r w:rsidR="00EE455E">
              <w:t xml:space="preserve">Figure </w:t>
            </w:r>
            <w:r w:rsidR="00EE455E">
              <w:rPr>
                <w:noProof/>
              </w:rPr>
              <w:t>15</w:t>
            </w:r>
            <w:r w:rsidR="002F5BFE">
              <w:rPr>
                <w:bCs/>
              </w:rPr>
              <w:t>)</w:t>
            </w:r>
            <w:r w:rsidR="007710C5">
              <w:rPr>
                <w:bCs/>
              </w:rPr>
              <w:t>.</w:t>
            </w:r>
          </w:p>
        </w:tc>
        <w:tc>
          <w:tcPr>
            <w:tcW w:w="6138" w:type="dxa"/>
          </w:tcPr>
          <w:p w14:paraId="1D080093" w14:textId="77777777" w:rsidR="007710C5" w:rsidRDefault="000925E5" w:rsidP="007710C5">
            <w:pPr>
              <w:pStyle w:val="TableTextBullet"/>
            </w:pPr>
            <w:r w:rsidRPr="000925E5">
              <w:rPr>
                <w:vanish/>
              </w:rPr>
              <w:t xml:space="preserve">BR_18.10 </w:t>
            </w:r>
            <w:r w:rsidRPr="006B6C5C">
              <w:t xml:space="preserve">Displays an </w:t>
            </w:r>
            <w:r w:rsidRPr="00A942EB">
              <w:t xml:space="preserve">error message to the user when </w:t>
            </w:r>
            <w:r>
              <w:t>logging</w:t>
            </w:r>
            <w:r w:rsidRPr="00A942EB">
              <w:t xml:space="preserve"> into </w:t>
            </w:r>
            <w:r w:rsidR="006B6C5C">
              <w:t>VBECS</w:t>
            </w:r>
            <w:r w:rsidRPr="00A942EB">
              <w:t>, or switch</w:t>
            </w:r>
            <w:r>
              <w:t>ing</w:t>
            </w:r>
            <w:r w:rsidRPr="00A942EB">
              <w:t xml:space="preserve"> divisions, </w:t>
            </w:r>
            <w:r>
              <w:t xml:space="preserve">if the default printer </w:t>
            </w:r>
            <w:r w:rsidR="00842346">
              <w:t xml:space="preserve">for the division </w:t>
            </w:r>
            <w:r>
              <w:t>was removed.</w:t>
            </w:r>
            <w:r w:rsidR="009D459D" w:rsidRPr="009D459D">
              <w:rPr>
                <w:vanish/>
              </w:rPr>
              <w:t>DR 2,884</w:t>
            </w:r>
          </w:p>
          <w:p w14:paraId="570AB841" w14:textId="77777777" w:rsidR="007710C5" w:rsidRDefault="007710C5" w:rsidP="007710C5">
            <w:pPr>
              <w:pStyle w:val="TableTextBullet"/>
            </w:pPr>
            <w:r>
              <w:t>Displays a division login message.</w:t>
            </w:r>
          </w:p>
          <w:p w14:paraId="514B7FF0" w14:textId="77777777" w:rsidR="000925E5" w:rsidRDefault="000925E5" w:rsidP="000925E5">
            <w:pPr>
              <w:pStyle w:val="TableTextBullet"/>
              <w:numPr>
                <w:ilvl w:val="0"/>
                <w:numId w:val="0"/>
              </w:numPr>
            </w:pPr>
          </w:p>
          <w:p w14:paraId="5877EA5C" w14:textId="563C49FA" w:rsidR="002A21AE" w:rsidRDefault="002A21AE">
            <w:pPr>
              <w:pStyle w:val="TableText"/>
              <w:rPr>
                <w:b/>
                <w:bCs/>
                <w:szCs w:val="18"/>
              </w:rPr>
            </w:pPr>
            <w:r>
              <w:rPr>
                <w:b/>
                <w:bCs/>
                <w:szCs w:val="18"/>
              </w:rPr>
              <w:t>NOTES</w:t>
            </w:r>
          </w:p>
          <w:p w14:paraId="0B66B2E7" w14:textId="77777777" w:rsidR="002A21AE" w:rsidRDefault="002A21AE">
            <w:pPr>
              <w:pStyle w:val="NotesText"/>
            </w:pPr>
          </w:p>
          <w:p w14:paraId="7DE9F579" w14:textId="77777777" w:rsidR="002A21AE" w:rsidRDefault="002A21AE">
            <w:pPr>
              <w:pStyle w:val="NotesText"/>
            </w:pPr>
            <w:r>
              <w:t>When VBECS is started, the user may have access to more than one division.</w:t>
            </w:r>
          </w:p>
          <w:p w14:paraId="137B0D95" w14:textId="77777777" w:rsidR="007710C5" w:rsidRDefault="007710C5">
            <w:pPr>
              <w:pStyle w:val="NotesText"/>
            </w:pPr>
          </w:p>
          <w:p w14:paraId="72C4D2E2" w14:textId="77777777" w:rsidR="007710C5" w:rsidRDefault="007710C5">
            <w:pPr>
              <w:pStyle w:val="NotesText"/>
            </w:pPr>
            <w:r>
              <w:t>The division login message allows the display of data as each user logs into his division. When no login message text is entered, VBECS does not display a login message.</w:t>
            </w:r>
          </w:p>
        </w:tc>
      </w:tr>
      <w:tr w:rsidR="002A21AE" w14:paraId="036BE9C8" w14:textId="77777777">
        <w:tc>
          <w:tcPr>
            <w:tcW w:w="3330" w:type="dxa"/>
          </w:tcPr>
          <w:p w14:paraId="72F8F498" w14:textId="2F211678" w:rsidR="00133C6C" w:rsidRDefault="00133C6C" w:rsidP="003E663B">
            <w:pPr>
              <w:pStyle w:val="TableTextNumbers"/>
              <w:numPr>
                <w:ilvl w:val="0"/>
                <w:numId w:val="0"/>
              </w:numPr>
              <w:ind w:left="288" w:hanging="288"/>
            </w:pPr>
            <w:r>
              <w:t>*If the user is using PIV</w:t>
            </w:r>
            <w:r w:rsidRPr="00812458">
              <w:rPr>
                <w:vanish/>
              </w:rPr>
              <w:t xml:space="preserve"> Task 561381</w:t>
            </w:r>
            <w:r>
              <w:t xml:space="preserve"> credentials</w:t>
            </w:r>
          </w:p>
          <w:p w14:paraId="3D44E334" w14:textId="53CC6101" w:rsidR="00133C6C" w:rsidRDefault="00133C6C">
            <w:pPr>
              <w:pStyle w:val="TableTextNumbers"/>
              <w:numPr>
                <w:ilvl w:val="0"/>
                <w:numId w:val="0"/>
              </w:numPr>
            </w:pPr>
            <w:r>
              <w:t>and the IAM authentication broker service is running.</w:t>
            </w:r>
          </w:p>
          <w:p w14:paraId="0ED8E19D" w14:textId="77777777" w:rsidR="00133C6C" w:rsidRDefault="00133C6C" w:rsidP="00133C6C">
            <w:pPr>
              <w:pStyle w:val="TableTextNumbers"/>
              <w:numPr>
                <w:ilvl w:val="0"/>
                <w:numId w:val="0"/>
              </w:numPr>
              <w:ind w:left="288"/>
            </w:pPr>
          </w:p>
          <w:p w14:paraId="52D94732" w14:textId="4BCE659A" w:rsidR="00133C6C" w:rsidRDefault="00133C6C">
            <w:pPr>
              <w:pStyle w:val="TableTextNumbers"/>
            </w:pPr>
            <w:r>
              <w:t>The user enters their PIV PIN when prompted.</w:t>
            </w:r>
          </w:p>
          <w:p w14:paraId="2F1A7BAE" w14:textId="54C4C8EE" w:rsidR="002A21AE" w:rsidRDefault="002A21AE" w:rsidP="003E663B">
            <w:pPr>
              <w:pStyle w:val="TableTextNumbers"/>
              <w:numPr>
                <w:ilvl w:val="0"/>
                <w:numId w:val="0"/>
              </w:numPr>
              <w:ind w:left="288"/>
            </w:pPr>
          </w:p>
        </w:tc>
        <w:tc>
          <w:tcPr>
            <w:tcW w:w="6138" w:type="dxa"/>
          </w:tcPr>
          <w:p w14:paraId="4120BAB8" w14:textId="1C5D31C6" w:rsidR="00751EFD" w:rsidRDefault="00751EFD">
            <w:pPr>
              <w:pStyle w:val="TableTextBullet"/>
            </w:pPr>
            <w:r>
              <w:t xml:space="preserve">VBECS will attempt to automatically select the user’s PIV certificate. </w:t>
            </w:r>
          </w:p>
          <w:p w14:paraId="44D106E3" w14:textId="0BD7817B" w:rsidR="00751EFD" w:rsidRDefault="00751EFD" w:rsidP="00751EFD">
            <w:pPr>
              <w:pStyle w:val="TableTextBullet"/>
              <w:numPr>
                <w:ilvl w:val="0"/>
                <w:numId w:val="0"/>
              </w:numPr>
              <w:ind w:left="288"/>
            </w:pPr>
            <w:r>
              <w:t xml:space="preserve">If successful, the user will be prompted </w:t>
            </w:r>
            <w:r w:rsidR="00133C6C">
              <w:t>with a PIN-entry window</w:t>
            </w:r>
            <w:r>
              <w:t>.</w:t>
            </w:r>
          </w:p>
          <w:p w14:paraId="7947B40E" w14:textId="1135DE80" w:rsidR="00751EFD" w:rsidRDefault="00751EFD" w:rsidP="008C2617">
            <w:pPr>
              <w:pStyle w:val="TableTextBullet"/>
            </w:pPr>
            <w:r>
              <w:t xml:space="preserve">If </w:t>
            </w:r>
            <w:r w:rsidR="00133C6C">
              <w:t>VBECS fails to automatically select the user’s PIV certificate, the user will be presented with a certificate list, where they should select their most current “Authentication” certificate to proceed.</w:t>
            </w:r>
          </w:p>
          <w:p w14:paraId="7CA4F1C4" w14:textId="77777777" w:rsidR="00751EFD" w:rsidRDefault="00751EFD" w:rsidP="003E663B">
            <w:pPr>
              <w:pStyle w:val="TableTextBullet"/>
              <w:numPr>
                <w:ilvl w:val="0"/>
                <w:numId w:val="0"/>
              </w:numPr>
              <w:ind w:left="1008"/>
            </w:pPr>
          </w:p>
          <w:p w14:paraId="31424F6A" w14:textId="61EEED09" w:rsidR="002A21AE" w:rsidRDefault="002A21AE">
            <w:pPr>
              <w:pStyle w:val="TableText"/>
              <w:rPr>
                <w:b/>
                <w:bCs/>
                <w:szCs w:val="18"/>
              </w:rPr>
            </w:pPr>
            <w:r>
              <w:rPr>
                <w:b/>
                <w:bCs/>
                <w:szCs w:val="18"/>
              </w:rPr>
              <w:t>NOTES</w:t>
            </w:r>
          </w:p>
          <w:p w14:paraId="38CC5E42" w14:textId="60C40B38" w:rsidR="00133C6C" w:rsidRDefault="00133C6C" w:rsidP="0078056E">
            <w:pPr>
              <w:pStyle w:val="NotesText"/>
              <w:rPr>
                <w:rFonts w:cs="Arial"/>
                <w:szCs w:val="18"/>
              </w:rPr>
            </w:pPr>
            <w:r>
              <w:rPr>
                <w:rFonts w:cs="Arial"/>
                <w:szCs w:val="18"/>
              </w:rPr>
              <w:t xml:space="preserve">If the user cancels out of the PIN-entry window or the certificate selection window, VBECS continues with </w:t>
            </w:r>
            <w:r w:rsidR="00BD31FB">
              <w:rPr>
                <w:rFonts w:cs="Arial"/>
                <w:szCs w:val="18"/>
              </w:rPr>
              <w:t>S</w:t>
            </w:r>
            <w:r>
              <w:rPr>
                <w:rFonts w:cs="Arial"/>
                <w:szCs w:val="18"/>
              </w:rPr>
              <w:t>tep 4.</w:t>
            </w:r>
          </w:p>
          <w:p w14:paraId="73639661" w14:textId="77777777" w:rsidR="00133C6C" w:rsidRDefault="00133C6C" w:rsidP="0078056E">
            <w:pPr>
              <w:pStyle w:val="NotesText"/>
              <w:rPr>
                <w:rFonts w:cs="Arial"/>
                <w:szCs w:val="18"/>
              </w:rPr>
            </w:pPr>
          </w:p>
          <w:p w14:paraId="2AB92121" w14:textId="094C493A" w:rsidR="00133C6C" w:rsidRDefault="00133C6C" w:rsidP="0078056E">
            <w:pPr>
              <w:pStyle w:val="NotesText"/>
              <w:rPr>
                <w:rFonts w:cs="Arial"/>
                <w:szCs w:val="18"/>
              </w:rPr>
            </w:pPr>
            <w:r>
              <w:rPr>
                <w:rFonts w:cs="Arial"/>
                <w:szCs w:val="18"/>
              </w:rPr>
              <w:t xml:space="preserve">If the IAM authentication broker service is down, or the user’s PIV card is not inserted in the workstation, VBECS continues with </w:t>
            </w:r>
            <w:r w:rsidR="00BD31FB">
              <w:rPr>
                <w:rFonts w:cs="Arial"/>
                <w:szCs w:val="18"/>
              </w:rPr>
              <w:t>S</w:t>
            </w:r>
            <w:r>
              <w:rPr>
                <w:rFonts w:cs="Arial"/>
                <w:szCs w:val="18"/>
              </w:rPr>
              <w:t>tep 4.</w:t>
            </w:r>
          </w:p>
          <w:p w14:paraId="46ED2802" w14:textId="77777777" w:rsidR="0078056E" w:rsidRDefault="0078056E" w:rsidP="0078056E">
            <w:pPr>
              <w:pStyle w:val="NotesText"/>
            </w:pPr>
          </w:p>
          <w:p w14:paraId="1DBD9DC1" w14:textId="4EA1DE9B" w:rsidR="00EA658D" w:rsidRDefault="00DE61D9" w:rsidP="00DE61D9">
            <w:pPr>
              <w:pStyle w:val="NotesText"/>
            </w:pPr>
            <w:r w:rsidRPr="00DE61D9">
              <w:rPr>
                <w:vanish/>
              </w:rPr>
              <w:t xml:space="preserve">DR 1,116 </w:t>
            </w:r>
            <w:r w:rsidR="00080078">
              <w:t xml:space="preserve">When a user logs into VBECS, </w:t>
            </w:r>
            <w:r w:rsidR="00EA658D">
              <w:t xml:space="preserve">a </w:t>
            </w:r>
            <w:r w:rsidR="00080078">
              <w:t>connection to VistA is established</w:t>
            </w:r>
            <w:r w:rsidR="00EA658D">
              <w:t>.</w:t>
            </w:r>
          </w:p>
          <w:p w14:paraId="32E5C46A" w14:textId="77777777" w:rsidR="00BD31FB" w:rsidRDefault="00BD31FB" w:rsidP="00DE61D9">
            <w:pPr>
              <w:pStyle w:val="NotesText"/>
            </w:pPr>
          </w:p>
          <w:p w14:paraId="1324BCCE" w14:textId="0F99D347" w:rsidR="00080078" w:rsidRPr="00DE61D9" w:rsidRDefault="00EA658D" w:rsidP="00DE61D9">
            <w:pPr>
              <w:pStyle w:val="NotesText"/>
            </w:pPr>
            <w:r>
              <w:rPr>
                <w:vanish/>
              </w:rPr>
              <w:t>Bhein dbe</w:t>
            </w:r>
            <w:r>
              <w:t xml:space="preserve">Behind the scenes, VBECS refreshes its VistA </w:t>
            </w:r>
            <w:r w:rsidR="00770D97">
              <w:t xml:space="preserve">data </w:t>
            </w:r>
            <w:r>
              <w:t>cache data if 24 h</w:t>
            </w:r>
            <w:r w:rsidR="00BD31FB">
              <w:t>our</w:t>
            </w:r>
            <w:r>
              <w:t>s have passed since they were last refreshed.</w:t>
            </w:r>
            <w:r w:rsidR="00DE61D9">
              <w:t xml:space="preserve"> </w:t>
            </w:r>
          </w:p>
        </w:tc>
      </w:tr>
      <w:tr w:rsidR="002A21AE" w14:paraId="2796BCA8" w14:textId="77777777" w:rsidTr="007E500E">
        <w:trPr>
          <w:cantSplit/>
        </w:trPr>
        <w:tc>
          <w:tcPr>
            <w:tcW w:w="3330" w:type="dxa"/>
          </w:tcPr>
          <w:p w14:paraId="5DF440F2" w14:textId="37B22241" w:rsidR="002A21AE" w:rsidRDefault="007B7F36" w:rsidP="00D00478">
            <w:pPr>
              <w:pStyle w:val="TableTextNumbers"/>
            </w:pPr>
            <w:r>
              <w:t>Enter the VistA Ac</w:t>
            </w:r>
            <w:r w:rsidR="002F5BFE">
              <w:t>cess and Verify Codes (</w:t>
            </w:r>
            <w:r w:rsidR="00EE455E">
              <w:t xml:space="preserve">Figure </w:t>
            </w:r>
            <w:r w:rsidR="00EE455E">
              <w:rPr>
                <w:noProof/>
              </w:rPr>
              <w:t>16</w:t>
            </w:r>
            <w:r>
              <w:t>)</w:t>
            </w:r>
            <w:r w:rsidR="002A21AE">
              <w:t>.</w:t>
            </w:r>
          </w:p>
        </w:tc>
        <w:tc>
          <w:tcPr>
            <w:tcW w:w="6138" w:type="dxa"/>
          </w:tcPr>
          <w:p w14:paraId="7E6C72F4" w14:textId="7E2867AA" w:rsidR="007B7F36" w:rsidRDefault="002A21AE" w:rsidP="007B7F36">
            <w:pPr>
              <w:pStyle w:val="TableTextBullet"/>
            </w:pPr>
            <w:r w:rsidRPr="00E274BF">
              <w:rPr>
                <w:rFonts w:cs="Arial"/>
                <w:vanish/>
                <w:szCs w:val="18"/>
              </w:rPr>
              <w:t>BR_102.06</w:t>
            </w:r>
            <w:r>
              <w:rPr>
                <w:rFonts w:ascii="Times New Roman" w:hAnsi="Times New Roman"/>
                <w:vanish/>
                <w:sz w:val="22"/>
              </w:rPr>
              <w:t xml:space="preserve"> </w:t>
            </w:r>
            <w:r w:rsidR="007B7F36">
              <w:t xml:space="preserve">Allows a user to log on by entering </w:t>
            </w:r>
            <w:r w:rsidR="007B7F36" w:rsidRPr="00CA0045">
              <w:rPr>
                <w:bCs/>
              </w:rPr>
              <w:t>VistA</w:t>
            </w:r>
            <w:r w:rsidR="007B7F36">
              <w:t xml:space="preserve"> Access and Verify Codes, </w:t>
            </w:r>
            <w:r w:rsidR="00770D97">
              <w:t xml:space="preserve">OR both </w:t>
            </w:r>
            <w:r w:rsidR="007B7F36">
              <w:t>separated by a semicolon (;), in the Access Code data entry field.</w:t>
            </w:r>
          </w:p>
          <w:p w14:paraId="21830230" w14:textId="2081E0A1" w:rsidR="007B7F36" w:rsidRPr="001F5982" w:rsidRDefault="007B7F36" w:rsidP="007B7F36">
            <w:pPr>
              <w:pStyle w:val="TableTextBullet"/>
              <w:rPr>
                <w:szCs w:val="20"/>
              </w:rPr>
            </w:pPr>
            <w:r w:rsidRPr="00E274BF">
              <w:rPr>
                <w:rFonts w:cs="Arial"/>
                <w:vanish/>
                <w:szCs w:val="18"/>
              </w:rPr>
              <w:t>BR_102.02</w:t>
            </w:r>
            <w:r>
              <w:rPr>
                <w:rFonts w:ascii="Times New Roman" w:hAnsi="Times New Roman"/>
                <w:vanish/>
                <w:sz w:val="22"/>
              </w:rPr>
              <w:t xml:space="preserve"> </w:t>
            </w:r>
            <w:r>
              <w:t>Verifies that the user</w:t>
            </w:r>
            <w:r w:rsidR="00BD31FB">
              <w:t>’s</w:t>
            </w:r>
            <w:r>
              <w:t xml:space="preserve"> credentials for the VBECS and </w:t>
            </w:r>
            <w:r w:rsidRPr="00CA0045">
              <w:rPr>
                <w:bCs/>
              </w:rPr>
              <w:t>VistA</w:t>
            </w:r>
            <w:r>
              <w:t xml:space="preserve"> Access and Verify Codes belong to the same user.</w:t>
            </w:r>
          </w:p>
          <w:p w14:paraId="39F7B58B" w14:textId="77777777" w:rsidR="002A21AE" w:rsidRDefault="007B7F36" w:rsidP="00FB7B1E">
            <w:pPr>
              <w:pStyle w:val="TableTextBullet"/>
            </w:pPr>
            <w:r w:rsidRPr="007B7F36">
              <w:t>Emits a tone to verify that the workstation’s sound works.</w:t>
            </w:r>
          </w:p>
          <w:p w14:paraId="6EFC619F" w14:textId="77777777" w:rsidR="002E5493" w:rsidRDefault="002E5493" w:rsidP="002E5493">
            <w:pPr>
              <w:pStyle w:val="TableTextBullet"/>
              <w:numPr>
                <w:ilvl w:val="0"/>
                <w:numId w:val="0"/>
              </w:numPr>
              <w:ind w:left="288" w:hanging="288"/>
            </w:pPr>
          </w:p>
          <w:p w14:paraId="6339FF94" w14:textId="26085DB8" w:rsidR="002E5493" w:rsidRDefault="002E5493" w:rsidP="002E5493">
            <w:pPr>
              <w:pStyle w:val="TableText"/>
              <w:rPr>
                <w:b/>
                <w:bCs/>
                <w:szCs w:val="18"/>
              </w:rPr>
            </w:pPr>
            <w:r>
              <w:rPr>
                <w:b/>
                <w:bCs/>
                <w:szCs w:val="18"/>
              </w:rPr>
              <w:t>NOTES</w:t>
            </w:r>
          </w:p>
          <w:p w14:paraId="430EC37B" w14:textId="77777777" w:rsidR="002E5493" w:rsidRDefault="002E5493" w:rsidP="002E5493">
            <w:pPr>
              <w:pStyle w:val="TableTextBullet"/>
              <w:numPr>
                <w:ilvl w:val="0"/>
                <w:numId w:val="0"/>
              </w:numPr>
              <w:ind w:left="288" w:hanging="288"/>
            </w:pPr>
          </w:p>
          <w:p w14:paraId="286E230C" w14:textId="77777777" w:rsidR="002E5493" w:rsidRDefault="004A7A55" w:rsidP="002E5493">
            <w:pPr>
              <w:pStyle w:val="NotesText"/>
            </w:pPr>
            <w:r w:rsidRPr="004A7A55">
              <w:rPr>
                <w:vanish/>
              </w:rPr>
              <w:t xml:space="preserve">BR_102.02 </w:t>
            </w:r>
            <w:r w:rsidR="002E5493">
              <w:t>The VBECS user must have his own VistA Access and Verify Codes when accessing VistA. The system will not allow the user to log onto VistA if his DUZ in the VBECS database does not match the user’s DUZ in VistA.</w:t>
            </w:r>
          </w:p>
          <w:p w14:paraId="24434346" w14:textId="77777777" w:rsidR="002E5493" w:rsidRDefault="002E5493" w:rsidP="002E5493">
            <w:pPr>
              <w:pStyle w:val="NotesText"/>
            </w:pPr>
          </w:p>
          <w:p w14:paraId="4378ABF2" w14:textId="67A21B2A" w:rsidR="002E5493" w:rsidRDefault="004A7A55" w:rsidP="004A7A55">
            <w:pPr>
              <w:pStyle w:val="NotesText"/>
            </w:pPr>
            <w:r w:rsidRPr="004A7A55">
              <w:rPr>
                <w:vanish/>
              </w:rPr>
              <w:t xml:space="preserve">BR_102.01 </w:t>
            </w:r>
            <w:r w:rsidR="002E5493">
              <w:t>The user will log onto VistA by entering VistA Access and Verify Codes if the system is reconfigured during this session (</w:t>
            </w:r>
            <w:r w:rsidR="00BD31FB">
              <w:t>e.g.,</w:t>
            </w:r>
            <w:r w:rsidR="002E5493">
              <w:t xml:space="preserve"> VistALink dropout and recovery, division change) and subsequently requires a </w:t>
            </w:r>
            <w:r w:rsidR="006464E3">
              <w:t xml:space="preserve">logoff </w:t>
            </w:r>
            <w:r w:rsidR="002E5493">
              <w:t>or logon to VistA</w:t>
            </w:r>
            <w:r>
              <w:t>.</w:t>
            </w:r>
          </w:p>
          <w:p w14:paraId="076942C0" w14:textId="77777777" w:rsidR="00606853" w:rsidRDefault="00606853" w:rsidP="004A7A55">
            <w:pPr>
              <w:pStyle w:val="NotesText"/>
            </w:pPr>
          </w:p>
          <w:p w14:paraId="6C327F70" w14:textId="00B48130" w:rsidR="00606853" w:rsidRDefault="00606853" w:rsidP="004A7A55">
            <w:pPr>
              <w:pStyle w:val="NotesText"/>
            </w:pPr>
            <w:r w:rsidRPr="00606853">
              <w:rPr>
                <w:vanish/>
              </w:rPr>
              <w:t xml:space="preserve">BR_102.14 </w:t>
            </w:r>
            <w:r>
              <w:t>The system will</w:t>
            </w:r>
            <w:r w:rsidRPr="00EC1CAE">
              <w:t xml:space="preserve"> </w:t>
            </w:r>
            <w:r>
              <w:t xml:space="preserve">prompt </w:t>
            </w:r>
            <w:r w:rsidR="00BD31FB">
              <w:t xml:space="preserve">the </w:t>
            </w:r>
            <w:r>
              <w:t xml:space="preserve">user to enter </w:t>
            </w:r>
            <w:r w:rsidR="00BD31FB">
              <w:t xml:space="preserve">a </w:t>
            </w:r>
            <w:r>
              <w:t>current Verify Code, the new Verify Code and a confirmation for a new Verify Code.</w:t>
            </w:r>
          </w:p>
          <w:p w14:paraId="684FD4A9" w14:textId="77777777" w:rsidR="001B2CBA" w:rsidRDefault="001B2CBA" w:rsidP="004A7A55">
            <w:pPr>
              <w:pStyle w:val="NotesText"/>
            </w:pPr>
          </w:p>
          <w:p w14:paraId="599E43AA" w14:textId="77777777" w:rsidR="001B2CBA" w:rsidRDefault="001B2CBA" w:rsidP="004A7A55">
            <w:pPr>
              <w:pStyle w:val="NotesText"/>
            </w:pPr>
            <w:r w:rsidRPr="001B2CBA">
              <w:rPr>
                <w:vanish/>
              </w:rPr>
              <w:t xml:space="preserve">BR_102.07 </w:t>
            </w:r>
            <w:r>
              <w:t>When a Verify Code is changed, the system must check that the new code is different from the currently used Verify Code.</w:t>
            </w:r>
          </w:p>
        </w:tc>
      </w:tr>
      <w:tr w:rsidR="002A21AE" w14:paraId="34589975" w14:textId="77777777">
        <w:tc>
          <w:tcPr>
            <w:tcW w:w="3330" w:type="dxa"/>
          </w:tcPr>
          <w:p w14:paraId="5CD04216" w14:textId="77777777" w:rsidR="002A21AE" w:rsidRDefault="002A21AE">
            <w:pPr>
              <w:pStyle w:val="TableTextNumbers"/>
            </w:pPr>
            <w:r>
              <w:t>Continue working in VBECS in the selected division.</w:t>
            </w:r>
          </w:p>
        </w:tc>
        <w:tc>
          <w:tcPr>
            <w:tcW w:w="6138" w:type="dxa"/>
          </w:tcPr>
          <w:p w14:paraId="3C8423A7" w14:textId="77777777" w:rsidR="002A21AE" w:rsidRDefault="002A21AE">
            <w:pPr>
              <w:pStyle w:val="TableTextBullet"/>
            </w:pPr>
            <w:r>
              <w:t>Displays the main menu.</w:t>
            </w:r>
          </w:p>
        </w:tc>
      </w:tr>
      <w:tr w:rsidR="002A21AE" w14:paraId="596F5105" w14:textId="77777777">
        <w:tc>
          <w:tcPr>
            <w:tcW w:w="3330" w:type="dxa"/>
          </w:tcPr>
          <w:p w14:paraId="4603E489" w14:textId="318D5E6A" w:rsidR="002A21AE" w:rsidRDefault="00CA4C8E">
            <w:pPr>
              <w:pStyle w:val="TableTextNumbers"/>
            </w:pPr>
            <w:r>
              <w:t>Users with multidivisional access: t</w:t>
            </w:r>
            <w:r w:rsidR="002A21AE">
              <w:t xml:space="preserve">o change division, select </w:t>
            </w:r>
            <w:r w:rsidR="002A21AE">
              <w:rPr>
                <w:b/>
              </w:rPr>
              <w:t>File</w:t>
            </w:r>
            <w:r w:rsidR="002A21AE">
              <w:t xml:space="preserve">. </w:t>
            </w:r>
          </w:p>
          <w:p w14:paraId="1E633D1B" w14:textId="77777777" w:rsidR="002A21AE" w:rsidRDefault="002A21AE">
            <w:pPr>
              <w:pStyle w:val="TableTextNumbersContinued"/>
            </w:pPr>
          </w:p>
          <w:p w14:paraId="602BE669" w14:textId="77777777" w:rsidR="002A21AE" w:rsidRDefault="002A21AE">
            <w:pPr>
              <w:pStyle w:val="TableTextNumbersContinued"/>
            </w:pPr>
            <w:r>
              <w:t xml:space="preserve">Select </w:t>
            </w:r>
            <w:r>
              <w:rPr>
                <w:b/>
              </w:rPr>
              <w:t>Change Division</w:t>
            </w:r>
            <w:r>
              <w:t>.</w:t>
            </w:r>
          </w:p>
          <w:p w14:paraId="0F332D6E" w14:textId="77777777" w:rsidR="002A21AE" w:rsidRDefault="002A21AE">
            <w:pPr>
              <w:pStyle w:val="TableTextNumbersContinued"/>
            </w:pPr>
          </w:p>
          <w:p w14:paraId="39627BED" w14:textId="77777777" w:rsidR="002A21AE" w:rsidRDefault="00F876CD">
            <w:pPr>
              <w:pStyle w:val="TableTextNumbersContinued"/>
            </w:pPr>
            <w:r>
              <w:t>Continue at Step 6</w:t>
            </w:r>
            <w:r w:rsidR="002A21AE">
              <w:t>.</w:t>
            </w:r>
            <w:r w:rsidR="00282A20">
              <w:rPr>
                <w:vanish/>
                <w:color w:val="FFFFFF"/>
                <w:szCs w:val="18"/>
              </w:rPr>
              <w:fldChar w:fldCharType="begin"/>
            </w:r>
            <w:r w:rsidR="00282A20">
              <w:rPr>
                <w:vanish/>
                <w:color w:val="FFFFFF"/>
                <w:szCs w:val="18"/>
              </w:rPr>
              <w:instrText xml:space="preserve"> LISTNUM \l 1 \s 0 </w:instrText>
            </w:r>
            <w:r w:rsidR="00282A20">
              <w:rPr>
                <w:vanish/>
                <w:color w:val="FFFFFF"/>
                <w:szCs w:val="18"/>
              </w:rPr>
              <w:fldChar w:fldCharType="end"/>
            </w:r>
          </w:p>
        </w:tc>
        <w:tc>
          <w:tcPr>
            <w:tcW w:w="6138" w:type="dxa"/>
          </w:tcPr>
          <w:p w14:paraId="1238F7F6" w14:textId="77777777" w:rsidR="002A21AE" w:rsidRDefault="002A21AE">
            <w:pPr>
              <w:pStyle w:val="TableTextBullet"/>
              <w:ind w:left="0" w:firstLine="0"/>
            </w:pPr>
            <w:r>
              <w:t>Ensures that there are no incomplete activities for the user’s session.</w:t>
            </w:r>
          </w:p>
          <w:p w14:paraId="2E8D4912" w14:textId="77777777" w:rsidR="002A21AE" w:rsidRDefault="002A21AE">
            <w:pPr>
              <w:pStyle w:val="TableTextBullet"/>
              <w:ind w:left="0" w:firstLine="0"/>
            </w:pPr>
            <w:r>
              <w:t>Displays a division login message.</w:t>
            </w:r>
          </w:p>
          <w:p w14:paraId="7D3913EC" w14:textId="77777777" w:rsidR="002A21AE" w:rsidRDefault="002A21AE">
            <w:pPr>
              <w:pStyle w:val="TableTextBullet"/>
              <w:ind w:left="0" w:firstLine="0"/>
            </w:pPr>
            <w:r>
              <w:t>Opens the selected division.</w:t>
            </w:r>
          </w:p>
          <w:p w14:paraId="11BE4384" w14:textId="77777777" w:rsidR="002A21AE" w:rsidRDefault="002A21AE">
            <w:pPr>
              <w:pStyle w:val="TableText"/>
            </w:pPr>
          </w:p>
          <w:p w14:paraId="4B30DF51" w14:textId="2A002174" w:rsidR="002A21AE" w:rsidRDefault="002A21AE">
            <w:pPr>
              <w:pStyle w:val="TableText"/>
              <w:rPr>
                <w:b/>
                <w:bCs/>
                <w:szCs w:val="18"/>
              </w:rPr>
            </w:pPr>
            <w:r>
              <w:rPr>
                <w:b/>
                <w:bCs/>
                <w:szCs w:val="18"/>
              </w:rPr>
              <w:t>NOTES</w:t>
            </w:r>
          </w:p>
          <w:p w14:paraId="2CF40164" w14:textId="77777777" w:rsidR="002A21AE" w:rsidRDefault="002A21AE">
            <w:pPr>
              <w:pStyle w:val="NotesText"/>
            </w:pPr>
          </w:p>
          <w:p w14:paraId="27E62070" w14:textId="77777777" w:rsidR="002A21AE" w:rsidRDefault="002A21AE">
            <w:pPr>
              <w:pStyle w:val="NotesText"/>
            </w:pPr>
            <w:r w:rsidRPr="00E274BF">
              <w:rPr>
                <w:rFonts w:cs="Arial"/>
                <w:vanish/>
                <w:szCs w:val="18"/>
              </w:rPr>
              <w:t>BR_18.06</w:t>
            </w:r>
            <w:r w:rsidRPr="009660C3">
              <w:rPr>
                <w:vanish/>
                <w:szCs w:val="18"/>
              </w:rPr>
              <w:t xml:space="preserve"> </w:t>
            </w:r>
            <w:r>
              <w:t xml:space="preserve">A user may log into or change divisions without being logged onto </w:t>
            </w:r>
            <w:r w:rsidR="00CA0045" w:rsidRPr="00CA0045">
              <w:rPr>
                <w:bCs/>
              </w:rPr>
              <w:t>VistA</w:t>
            </w:r>
            <w:r>
              <w:t>.</w:t>
            </w:r>
          </w:p>
          <w:p w14:paraId="42772AA0" w14:textId="77777777" w:rsidR="002A21AE" w:rsidRDefault="002A21AE">
            <w:pPr>
              <w:pStyle w:val="TableText"/>
            </w:pPr>
          </w:p>
          <w:p w14:paraId="70AB0FF8" w14:textId="0BE529CA" w:rsidR="002A21AE" w:rsidRDefault="002A21AE">
            <w:pPr>
              <w:pStyle w:val="NotesText"/>
            </w:pPr>
            <w:r w:rsidRPr="00E274BF">
              <w:rPr>
                <w:rFonts w:cs="Arial"/>
                <w:vanish/>
                <w:szCs w:val="18"/>
              </w:rPr>
              <w:t>BR_18.02</w:t>
            </w:r>
            <w:r w:rsidRPr="009660C3">
              <w:rPr>
                <w:vanish/>
                <w:szCs w:val="18"/>
              </w:rPr>
              <w:t xml:space="preserve"> </w:t>
            </w:r>
            <w:r>
              <w:t xml:space="preserve">VBECS displays a message advising the user to close dialogs and transactions with pending data </w:t>
            </w:r>
            <w:r w:rsidR="00671459">
              <w:t>changes and</w:t>
            </w:r>
            <w:r>
              <w:t xml:space="preserve"> closes open dialogs with no pending data changes before the user changes division.</w:t>
            </w:r>
          </w:p>
          <w:p w14:paraId="6D9080BF" w14:textId="77777777" w:rsidR="002A21AE" w:rsidRDefault="002A21AE">
            <w:pPr>
              <w:pStyle w:val="NotesText"/>
              <w:ind w:left="0"/>
            </w:pPr>
          </w:p>
          <w:p w14:paraId="5BA80FB4" w14:textId="77777777" w:rsidR="002A21AE" w:rsidRDefault="002A21AE">
            <w:pPr>
              <w:pStyle w:val="NotesText"/>
            </w:pPr>
            <w:r w:rsidRPr="00E274BF">
              <w:rPr>
                <w:rFonts w:cs="Arial"/>
                <w:vanish/>
                <w:szCs w:val="18"/>
              </w:rPr>
              <w:t>BR_102.04</w:t>
            </w:r>
            <w:r w:rsidRPr="009660C3">
              <w:rPr>
                <w:vanish/>
                <w:szCs w:val="18"/>
              </w:rPr>
              <w:t xml:space="preserve"> </w:t>
            </w:r>
            <w:r>
              <w:t xml:space="preserve">VBECS automatically logs onto </w:t>
            </w:r>
            <w:r w:rsidR="00CA0045" w:rsidRPr="00CA0045">
              <w:rPr>
                <w:bCs/>
              </w:rPr>
              <w:t>VistA</w:t>
            </w:r>
            <w:r>
              <w:t xml:space="preserve"> for the selected division.</w:t>
            </w:r>
          </w:p>
        </w:tc>
      </w:tr>
    </w:tbl>
    <w:p w14:paraId="7BBF02C6" w14:textId="79E82B90" w:rsidR="00532542" w:rsidRPr="00532542" w:rsidRDefault="00532542" w:rsidP="00532542">
      <w:pPr>
        <w:pStyle w:val="BodyText"/>
      </w:pPr>
    </w:p>
    <w:p w14:paraId="500E6A2C" w14:textId="433E4AED" w:rsidR="00632002" w:rsidRDefault="00632002" w:rsidP="00632002">
      <w:pPr>
        <w:pStyle w:val="Caption"/>
      </w:pPr>
      <w:bookmarkStart w:id="98" w:name="_Ref47009463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15</w:t>
      </w:r>
      <w:r w:rsidR="004E20BD">
        <w:rPr>
          <w:noProof/>
        </w:rPr>
        <w:fldChar w:fldCharType="end"/>
      </w:r>
      <w:bookmarkEnd w:id="98"/>
      <w:r>
        <w:t xml:space="preserve">: </w:t>
      </w:r>
      <w:r w:rsidR="00DE2276">
        <w:t xml:space="preserve">Example of </w:t>
      </w:r>
      <w:r>
        <w:t>Division Logon</w:t>
      </w:r>
    </w:p>
    <w:p w14:paraId="540BFA6B" w14:textId="77777777" w:rsidR="00632002" w:rsidRDefault="00057948" w:rsidP="00632002">
      <w:pPr>
        <w:pStyle w:val="BodyText"/>
        <w:rPr>
          <w:noProof/>
        </w:rPr>
      </w:pPr>
      <w:r>
        <w:rPr>
          <w:noProof/>
        </w:rPr>
        <w:drawing>
          <wp:inline distT="0" distB="0" distL="0" distR="0" wp14:anchorId="559B2A53" wp14:editId="18A6B8C9">
            <wp:extent cx="2900045" cy="1893570"/>
            <wp:effectExtent l="0" t="0" r="0" b="0"/>
            <wp:docPr id="52" name="Picture 15" descr="Example of Division Log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5" descr="Example of Division Logon screen capt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0045" cy="1893570"/>
                    </a:xfrm>
                    <a:prstGeom prst="rect">
                      <a:avLst/>
                    </a:prstGeom>
                    <a:noFill/>
                    <a:ln>
                      <a:noFill/>
                    </a:ln>
                  </pic:spPr>
                </pic:pic>
              </a:graphicData>
            </a:graphic>
          </wp:inline>
        </w:drawing>
      </w:r>
    </w:p>
    <w:p w14:paraId="6A92ABF1" w14:textId="38FB6203" w:rsidR="00632002" w:rsidRDefault="00632002" w:rsidP="00632002">
      <w:pPr>
        <w:pStyle w:val="Caption"/>
      </w:pPr>
      <w:bookmarkStart w:id="99" w:name="_Ref47009488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16</w:t>
      </w:r>
      <w:r w:rsidR="004E20BD">
        <w:rPr>
          <w:noProof/>
        </w:rPr>
        <w:fldChar w:fldCharType="end"/>
      </w:r>
      <w:bookmarkEnd w:id="99"/>
      <w:r>
        <w:t xml:space="preserve">: </w:t>
      </w:r>
      <w:r w:rsidR="00DE2276">
        <w:t xml:space="preserve">Example of </w:t>
      </w:r>
      <w:r>
        <w:t>VistA Access and Verify Code Logon</w:t>
      </w:r>
    </w:p>
    <w:p w14:paraId="4E0A6890" w14:textId="455F393E" w:rsidR="002A21AE" w:rsidRDefault="00057948" w:rsidP="006464E3">
      <w:pPr>
        <w:pStyle w:val="BodyText"/>
      </w:pPr>
      <w:r>
        <w:rPr>
          <w:noProof/>
        </w:rPr>
        <w:drawing>
          <wp:inline distT="0" distB="0" distL="0" distR="0" wp14:anchorId="4FFFD615" wp14:editId="5842CB40">
            <wp:extent cx="3195955" cy="2383155"/>
            <wp:effectExtent l="0" t="0" r="4445" b="0"/>
            <wp:docPr id="53" name="Picture 1" descr="Example of VistA Access and Verify Code Log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Example of VistA Access and Verify Code Logon screen capt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5955" cy="2383155"/>
                    </a:xfrm>
                    <a:prstGeom prst="rect">
                      <a:avLst/>
                    </a:prstGeom>
                    <a:noFill/>
                    <a:ln>
                      <a:noFill/>
                    </a:ln>
                  </pic:spPr>
                </pic:pic>
              </a:graphicData>
            </a:graphic>
          </wp:inline>
        </w:drawing>
      </w:r>
    </w:p>
    <w:p w14:paraId="4FF311DB" w14:textId="22398367" w:rsidR="008C2617" w:rsidRDefault="008C2617" w:rsidP="006B317D">
      <w:pPr>
        <w:pStyle w:val="Heading4"/>
      </w:pPr>
      <w:r>
        <w:t>Restore VistALink Connection</w:t>
      </w:r>
    </w:p>
    <w:p w14:paraId="005A4B6F" w14:textId="77777777" w:rsidR="00FB7B1E" w:rsidRPr="00BD31FB" w:rsidRDefault="00FB7B1E" w:rsidP="006B317D">
      <w:pPr>
        <w:pStyle w:val="BodyText"/>
        <w:keepNext/>
        <w:rPr>
          <w:spacing w:val="-5"/>
        </w:rPr>
      </w:pPr>
      <w:r w:rsidRPr="00BD31FB">
        <w:rPr>
          <w:spacing w:val="-5"/>
        </w:rPr>
        <w:t>Before any option requiring VistALink is started, the system validates VistALink availability. When the server does not respond or there is no active connection, the system br</w:t>
      </w:r>
      <w:r w:rsidR="00D86E6D" w:rsidRPr="00BD31FB">
        <w:rPr>
          <w:spacing w:val="-5"/>
        </w:rPr>
        <w:t xml:space="preserve">ings up the dialog informing </w:t>
      </w:r>
      <w:r w:rsidRPr="00BD31FB">
        <w:rPr>
          <w:spacing w:val="-5"/>
        </w:rPr>
        <w:t xml:space="preserve">the user </w:t>
      </w:r>
      <w:r w:rsidR="00D86E6D" w:rsidRPr="00BD31FB">
        <w:rPr>
          <w:spacing w:val="-5"/>
        </w:rPr>
        <w:t>of</w:t>
      </w:r>
      <w:r w:rsidRPr="00BD31FB">
        <w:rPr>
          <w:spacing w:val="-5"/>
        </w:rPr>
        <w:t xml:space="preserve"> the VistALink connection’s unavailability and offering the option to restore the connection.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6138"/>
      </w:tblGrid>
      <w:tr w:rsidR="002A21AE" w14:paraId="12BB0981" w14:textId="77777777">
        <w:trPr>
          <w:tblHeader/>
        </w:trPr>
        <w:tc>
          <w:tcPr>
            <w:tcW w:w="3330" w:type="dxa"/>
            <w:shd w:val="pct30" w:color="auto" w:fill="FFFFFF"/>
            <w:vAlign w:val="bottom"/>
          </w:tcPr>
          <w:p w14:paraId="36DA5572" w14:textId="77777777" w:rsidR="002A21AE" w:rsidRDefault="002A21AE" w:rsidP="006B317D">
            <w:pPr>
              <w:pStyle w:val="TableText"/>
              <w:keepNext/>
              <w:rPr>
                <w:b/>
              </w:rPr>
            </w:pPr>
            <w:r>
              <w:rPr>
                <w:b/>
              </w:rPr>
              <w:t>User Action</w:t>
            </w:r>
          </w:p>
        </w:tc>
        <w:tc>
          <w:tcPr>
            <w:tcW w:w="6138" w:type="dxa"/>
            <w:shd w:val="pct30" w:color="auto" w:fill="FFFFFF"/>
            <w:vAlign w:val="bottom"/>
          </w:tcPr>
          <w:p w14:paraId="710CCA55" w14:textId="77777777" w:rsidR="002A21AE" w:rsidRDefault="002A21AE" w:rsidP="006B317D">
            <w:pPr>
              <w:pStyle w:val="TableText"/>
              <w:keepNext/>
              <w:rPr>
                <w:b/>
              </w:rPr>
            </w:pPr>
            <w:r>
              <w:rPr>
                <w:b/>
              </w:rPr>
              <w:t>VBECS</w:t>
            </w:r>
          </w:p>
        </w:tc>
      </w:tr>
      <w:tr w:rsidR="002A21AE" w14:paraId="2846B9C3" w14:textId="77777777">
        <w:tc>
          <w:tcPr>
            <w:tcW w:w="3330" w:type="dxa"/>
          </w:tcPr>
          <w:p w14:paraId="2C685F9F" w14:textId="7DDAFDB7" w:rsidR="002A21AE" w:rsidRDefault="00D86E6D" w:rsidP="006B317D">
            <w:pPr>
              <w:pStyle w:val="TableTextNumbers"/>
              <w:keepNext/>
            </w:pPr>
            <w:r>
              <w:t>The</w:t>
            </w:r>
            <w:r w:rsidR="008A2E47">
              <w:t xml:space="preserve"> </w:t>
            </w:r>
            <w:r w:rsidR="008A2E47" w:rsidRPr="008A2E47">
              <w:rPr>
                <w:b/>
              </w:rPr>
              <w:t>Restore</w:t>
            </w:r>
            <w:r w:rsidR="008A2E47">
              <w:t xml:space="preserve"> </w:t>
            </w:r>
            <w:r>
              <w:t>option is presented. C</w:t>
            </w:r>
            <w:r w:rsidR="008A2E47">
              <w:t xml:space="preserve">hoose to </w:t>
            </w:r>
            <w:r>
              <w:t xml:space="preserve">restore or </w:t>
            </w:r>
            <w:r w:rsidR="008A2E47">
              <w:t>cancel</w:t>
            </w:r>
            <w:r w:rsidR="00D00478">
              <w:t xml:space="preserve"> (</w:t>
            </w:r>
            <w:r w:rsidR="00EE455E">
              <w:t xml:space="preserve">Figure </w:t>
            </w:r>
            <w:r w:rsidR="00EE455E">
              <w:rPr>
                <w:noProof/>
              </w:rPr>
              <w:t>17</w:t>
            </w:r>
            <w:r w:rsidR="008A2E47">
              <w:t>)</w:t>
            </w:r>
            <w:r w:rsidR="002A21AE">
              <w:t>.</w:t>
            </w:r>
          </w:p>
        </w:tc>
        <w:tc>
          <w:tcPr>
            <w:tcW w:w="6138" w:type="dxa"/>
          </w:tcPr>
          <w:p w14:paraId="3B2934B9" w14:textId="77777777" w:rsidR="002A21AE" w:rsidRDefault="002A21AE" w:rsidP="006B317D">
            <w:pPr>
              <w:pStyle w:val="TableTextBullet"/>
              <w:keepNext/>
            </w:pPr>
            <w:r>
              <w:t>Attempts to connect using the user’s</w:t>
            </w:r>
            <w:r w:rsidR="00D86E6D">
              <w:t xml:space="preserve"> previously entered PIV/PIN</w:t>
            </w:r>
            <w:r>
              <w:t xml:space="preserve"> information when logon information is entered. </w:t>
            </w:r>
          </w:p>
          <w:p w14:paraId="36D86E81" w14:textId="0AF5A915" w:rsidR="002A21AE" w:rsidRDefault="00D86E6D" w:rsidP="006B317D">
            <w:pPr>
              <w:pStyle w:val="TableTextBullet"/>
              <w:keepNext/>
            </w:pPr>
            <w:r w:rsidRPr="00D86E6D">
              <w:rPr>
                <w:vanish/>
              </w:rPr>
              <w:t xml:space="preserve">BR_102.11 </w:t>
            </w:r>
            <w:r w:rsidR="002A21AE">
              <w:t xml:space="preserve">When </w:t>
            </w:r>
            <w:r>
              <w:t xml:space="preserve">VBECS/Administrator is up and running and </w:t>
            </w:r>
            <w:r w:rsidR="00BD31FB">
              <w:t xml:space="preserve">the </w:t>
            </w:r>
            <w:r>
              <w:t xml:space="preserve">user attempts to access a VistALink dependent option when VistALink is not connected, the system will prompt a reconnection dialog where </w:t>
            </w:r>
            <w:r w:rsidR="00BD31FB">
              <w:t xml:space="preserve">the </w:t>
            </w:r>
            <w:r>
              <w:t>user will have two options: to reconnect or to cancel. When the reconnect process fails or when the user cancels, the system shows an error dialog</w:t>
            </w:r>
            <w:r w:rsidR="008A2E47">
              <w:t>.</w:t>
            </w:r>
          </w:p>
          <w:p w14:paraId="281427C7" w14:textId="77777777" w:rsidR="002A21AE" w:rsidRDefault="00DE61D9" w:rsidP="006B317D">
            <w:pPr>
              <w:pStyle w:val="TableTextBullet"/>
              <w:keepNext/>
            </w:pPr>
            <w:r w:rsidRPr="00DE61D9">
              <w:rPr>
                <w:vanish/>
              </w:rPr>
              <w:t xml:space="preserve">BR_103.03 </w:t>
            </w:r>
            <w:r w:rsidR="002A21AE">
              <w:t xml:space="preserve">Closes the pop-up when the user clicks </w:t>
            </w:r>
            <w:r w:rsidR="002A21AE">
              <w:rPr>
                <w:b/>
              </w:rPr>
              <w:t>Cancel</w:t>
            </w:r>
            <w:r w:rsidR="002A21AE">
              <w:t>.</w:t>
            </w:r>
          </w:p>
        </w:tc>
      </w:tr>
      <w:tr w:rsidR="00D86E6D" w14:paraId="1484CD75" w14:textId="77777777">
        <w:tc>
          <w:tcPr>
            <w:tcW w:w="3330" w:type="dxa"/>
          </w:tcPr>
          <w:p w14:paraId="12D36B6F" w14:textId="7D4AA19F" w:rsidR="00D86E6D" w:rsidRDefault="00F40ED2" w:rsidP="007E3EE1">
            <w:pPr>
              <w:pStyle w:val="TableTextNumbers"/>
            </w:pPr>
            <w:r>
              <w:t xml:space="preserve">If </w:t>
            </w:r>
            <w:r w:rsidR="00BD31FB">
              <w:t xml:space="preserve">the </w:t>
            </w:r>
            <w:r>
              <w:t>site is not PIV exempt, u</w:t>
            </w:r>
            <w:r w:rsidR="00D86E6D">
              <w:t>se PIV and PIN to connect to VistALink.</w:t>
            </w:r>
            <w:r w:rsidRPr="00812458">
              <w:rPr>
                <w:vanish/>
              </w:rPr>
              <w:t xml:space="preserve"> Task 561381</w:t>
            </w:r>
          </w:p>
          <w:p w14:paraId="53CD2FC7" w14:textId="77777777" w:rsidR="00F876CD" w:rsidRDefault="00F876CD" w:rsidP="00F876CD">
            <w:pPr>
              <w:pStyle w:val="TableTextNumbers"/>
              <w:numPr>
                <w:ilvl w:val="0"/>
                <w:numId w:val="0"/>
              </w:numPr>
              <w:ind w:left="288"/>
            </w:pPr>
            <w:r>
              <w:t>If the IAM PIV sign on process succeeds, continue at Step 4.</w:t>
            </w:r>
          </w:p>
          <w:p w14:paraId="01AED6D0" w14:textId="77777777" w:rsidR="00F876CD" w:rsidRDefault="00F876CD" w:rsidP="00F876CD">
            <w:pPr>
              <w:pStyle w:val="TableTextNumbers"/>
              <w:numPr>
                <w:ilvl w:val="0"/>
                <w:numId w:val="0"/>
              </w:numPr>
              <w:ind w:left="288" w:hanging="288"/>
            </w:pPr>
          </w:p>
          <w:p w14:paraId="2B73A428" w14:textId="77777777" w:rsidR="00F876CD" w:rsidRDefault="00F876CD" w:rsidP="00D86E6D">
            <w:pPr>
              <w:pStyle w:val="TableTextNumbers"/>
              <w:numPr>
                <w:ilvl w:val="0"/>
                <w:numId w:val="0"/>
              </w:numPr>
              <w:ind w:left="288" w:hanging="288"/>
            </w:pPr>
          </w:p>
          <w:p w14:paraId="0E6D6E06" w14:textId="72CC3C79" w:rsidR="00D86E6D" w:rsidRDefault="00D86E6D" w:rsidP="00F876CD">
            <w:pPr>
              <w:pStyle w:val="TableTextNumbers"/>
              <w:numPr>
                <w:ilvl w:val="0"/>
                <w:numId w:val="0"/>
              </w:numPr>
              <w:ind w:left="288"/>
            </w:pPr>
            <w:r>
              <w:t>If the IAM PIV sign on process fails</w:t>
            </w:r>
            <w:r w:rsidR="00650B86">
              <w:t>, continue to next step.</w:t>
            </w:r>
          </w:p>
        </w:tc>
        <w:tc>
          <w:tcPr>
            <w:tcW w:w="6138" w:type="dxa"/>
          </w:tcPr>
          <w:p w14:paraId="17229E58" w14:textId="77777777" w:rsidR="00650B86" w:rsidRPr="00650B86" w:rsidRDefault="00650B86" w:rsidP="00CC1BC3">
            <w:pPr>
              <w:pStyle w:val="TableTextBullet"/>
            </w:pPr>
            <w:r w:rsidRPr="00650B86">
              <w:t>Directs user to the IAM service interface to select PIV certificate and possibly to re-enter PIN</w:t>
            </w:r>
          </w:p>
          <w:p w14:paraId="2621585B" w14:textId="311F086F" w:rsidR="00D86E6D" w:rsidRPr="00650B86" w:rsidRDefault="00650B86" w:rsidP="00CC1BC3">
            <w:pPr>
              <w:pStyle w:val="TableTextBullet"/>
            </w:pPr>
            <w:r w:rsidRPr="00650B86">
              <w:t xml:space="preserve">If the IAM PIV sign on process fails, VBECS continues to the next step and prompts </w:t>
            </w:r>
            <w:r w:rsidR="00DD077F">
              <w:t xml:space="preserve">the </w:t>
            </w:r>
            <w:r w:rsidRPr="00650B86">
              <w:t>user for VistA Access and Verify Code. The user may log onto VistA or continue and log on as needed</w:t>
            </w:r>
            <w:r w:rsidR="00D86E6D" w:rsidRPr="00650B86">
              <w:t>.</w:t>
            </w:r>
          </w:p>
          <w:p w14:paraId="68477259" w14:textId="77777777" w:rsidR="00D86E6D" w:rsidRDefault="00D86E6D" w:rsidP="00CC1BC3">
            <w:pPr>
              <w:pStyle w:val="TableTextBullet"/>
              <w:numPr>
                <w:ilvl w:val="0"/>
                <w:numId w:val="0"/>
              </w:numPr>
              <w:ind w:left="288"/>
            </w:pPr>
          </w:p>
          <w:p w14:paraId="17FAB1A0" w14:textId="62102F2A" w:rsidR="00D86E6D" w:rsidRDefault="00D86E6D" w:rsidP="00CC1BC3">
            <w:pPr>
              <w:pStyle w:val="TableText"/>
              <w:rPr>
                <w:b/>
                <w:bCs/>
                <w:szCs w:val="18"/>
              </w:rPr>
            </w:pPr>
            <w:r>
              <w:rPr>
                <w:b/>
                <w:bCs/>
                <w:szCs w:val="18"/>
              </w:rPr>
              <w:t>NOTES</w:t>
            </w:r>
          </w:p>
          <w:p w14:paraId="077D132E" w14:textId="77777777" w:rsidR="00D86E6D" w:rsidRDefault="00D86E6D" w:rsidP="00CC1BC3">
            <w:pPr>
              <w:pStyle w:val="NotesText"/>
            </w:pPr>
          </w:p>
          <w:p w14:paraId="64558D32" w14:textId="77777777" w:rsidR="00D86E6D" w:rsidRDefault="00650B86" w:rsidP="00CC1BC3">
            <w:pPr>
              <w:pStyle w:val="NotesText"/>
            </w:pPr>
            <w:r w:rsidRPr="00650B86">
              <w:rPr>
                <w:vanish/>
              </w:rPr>
              <w:t xml:space="preserve">BR_102.10 </w:t>
            </w:r>
            <w:r>
              <w:t>The system prompts the user for their access and verify code when there is no active IAM service certification</w:t>
            </w:r>
            <w:r w:rsidR="00D86E6D">
              <w:t>.</w:t>
            </w:r>
          </w:p>
          <w:p w14:paraId="4116ADED" w14:textId="77777777" w:rsidR="00650B86" w:rsidRDefault="00650B86" w:rsidP="00CC1BC3">
            <w:pPr>
              <w:pStyle w:val="NotesText"/>
            </w:pPr>
          </w:p>
          <w:p w14:paraId="1E1B331E" w14:textId="77777777" w:rsidR="00650B86" w:rsidRDefault="00650B86" w:rsidP="00CC1BC3">
            <w:pPr>
              <w:pStyle w:val="NotesText"/>
            </w:pPr>
            <w:r w:rsidRPr="00650B86">
              <w:rPr>
                <w:vanish/>
              </w:rPr>
              <w:t xml:space="preserve">DR 1,116 </w:t>
            </w:r>
            <w:r>
              <w:t>When a user logs into VBECS, the connection to VistA is established and the data in the cache tables are out-of-date. VBECS retrieves the current data from VistA and saves them. This update process may delay user login.</w:t>
            </w:r>
          </w:p>
        </w:tc>
      </w:tr>
      <w:tr w:rsidR="00650B86" w14:paraId="2C004C04" w14:textId="77777777">
        <w:tc>
          <w:tcPr>
            <w:tcW w:w="3330" w:type="dxa"/>
          </w:tcPr>
          <w:p w14:paraId="45CAC6E3" w14:textId="6390B9A0" w:rsidR="00650B86" w:rsidRDefault="00650B86" w:rsidP="00CC1BC3">
            <w:pPr>
              <w:pStyle w:val="TableTextNumbers"/>
            </w:pPr>
            <w:r>
              <w:t>Enter the VistA Access and Verify Code</w:t>
            </w:r>
            <w:r w:rsidR="00B437AD">
              <w:t>s (</w:t>
            </w:r>
            <w:r w:rsidR="00EE455E">
              <w:t xml:space="preserve">Figure </w:t>
            </w:r>
            <w:r w:rsidR="00EE455E">
              <w:rPr>
                <w:noProof/>
              </w:rPr>
              <w:t>16</w:t>
            </w:r>
            <w:r>
              <w:t>).</w:t>
            </w:r>
          </w:p>
        </w:tc>
        <w:tc>
          <w:tcPr>
            <w:tcW w:w="6138" w:type="dxa"/>
          </w:tcPr>
          <w:p w14:paraId="0F3CD3F3" w14:textId="43633643" w:rsidR="00650B86" w:rsidRPr="00EB7907" w:rsidRDefault="00E8576E" w:rsidP="00650B86">
            <w:pPr>
              <w:pStyle w:val="TableTextBullet"/>
              <w:rPr>
                <w:rFonts w:cs="Arial"/>
                <w:szCs w:val="18"/>
              </w:rPr>
            </w:pPr>
            <w:r w:rsidRPr="00E8576E">
              <w:rPr>
                <w:rFonts w:cs="Arial"/>
                <w:vanish/>
                <w:szCs w:val="18"/>
              </w:rPr>
              <w:t xml:space="preserve">BR_102.13 </w:t>
            </w:r>
            <w:r w:rsidR="00650B86" w:rsidRPr="00EB7907">
              <w:rPr>
                <w:rFonts w:cs="Arial"/>
                <w:szCs w:val="18"/>
              </w:rPr>
              <w:t xml:space="preserve">The system will reuse the security credentials initially entered in this user’s session (VistA Access and Verify Codes) to perform VistA </w:t>
            </w:r>
            <w:r w:rsidR="006464E3">
              <w:rPr>
                <w:rFonts w:cs="Arial"/>
                <w:szCs w:val="18"/>
              </w:rPr>
              <w:t>logoff</w:t>
            </w:r>
            <w:r w:rsidR="00650B86" w:rsidRPr="00EB7907">
              <w:rPr>
                <w:rFonts w:cs="Arial"/>
                <w:szCs w:val="18"/>
              </w:rPr>
              <w:t xml:space="preserve"> and logon without user interaction.</w:t>
            </w:r>
          </w:p>
          <w:p w14:paraId="2B9BD0D1" w14:textId="77777777" w:rsidR="00650B86" w:rsidRDefault="00650B86" w:rsidP="00650B86">
            <w:pPr>
              <w:pStyle w:val="TableTextBullet"/>
            </w:pPr>
            <w:r w:rsidRPr="00EB7907">
              <w:rPr>
                <w:vanish/>
              </w:rPr>
              <w:t xml:space="preserve">BR_102.06 </w:t>
            </w:r>
            <w:r>
              <w:t xml:space="preserve">Allows a user to log on by entering </w:t>
            </w:r>
            <w:r w:rsidRPr="00CA0045">
              <w:rPr>
                <w:bCs/>
              </w:rPr>
              <w:t>VistA</w:t>
            </w:r>
            <w:r>
              <w:t xml:space="preserve"> Access and Verify Codes, separated by a semicolon (;), in the Access Code data entry field.</w:t>
            </w:r>
          </w:p>
          <w:p w14:paraId="13A6BCF7" w14:textId="77777777" w:rsidR="00650B86" w:rsidRPr="001F5982" w:rsidRDefault="00650B86" w:rsidP="00650B86">
            <w:pPr>
              <w:pStyle w:val="TableTextBullet"/>
              <w:rPr>
                <w:szCs w:val="20"/>
              </w:rPr>
            </w:pPr>
            <w:r w:rsidRPr="00E274BF">
              <w:rPr>
                <w:rFonts w:cs="Arial"/>
                <w:vanish/>
                <w:szCs w:val="18"/>
              </w:rPr>
              <w:t>BR_102.02</w:t>
            </w:r>
            <w:r>
              <w:rPr>
                <w:rFonts w:ascii="Times New Roman" w:hAnsi="Times New Roman"/>
                <w:vanish/>
                <w:sz w:val="22"/>
              </w:rPr>
              <w:t xml:space="preserve"> </w:t>
            </w:r>
            <w:r>
              <w:t xml:space="preserve">Verifies that the user credentials for the VBECS and </w:t>
            </w:r>
            <w:r w:rsidRPr="00CA0045">
              <w:rPr>
                <w:bCs/>
              </w:rPr>
              <w:t>VistA</w:t>
            </w:r>
            <w:r>
              <w:t xml:space="preserve"> Access and Verify Codes belong to the same user.</w:t>
            </w:r>
          </w:p>
          <w:p w14:paraId="7EAC1DCD" w14:textId="77777777" w:rsidR="00650B86" w:rsidRPr="00650B86" w:rsidRDefault="00650B86" w:rsidP="00650B86">
            <w:pPr>
              <w:pStyle w:val="TableTextBullet"/>
            </w:pPr>
            <w:r w:rsidRPr="007B7F36">
              <w:t>Emits a tone to verify that the workstation’s sound works.</w:t>
            </w:r>
          </w:p>
        </w:tc>
      </w:tr>
      <w:tr w:rsidR="00650B86" w14:paraId="587E51DA" w14:textId="77777777">
        <w:tc>
          <w:tcPr>
            <w:tcW w:w="3330" w:type="dxa"/>
          </w:tcPr>
          <w:p w14:paraId="227109C0" w14:textId="77777777" w:rsidR="00650B86" w:rsidRDefault="00650B86">
            <w:pPr>
              <w:pStyle w:val="TableTextNumbers"/>
            </w:pPr>
            <w:r>
              <w:t xml:space="preserve">Continue working in the VistALink dependent option. </w:t>
            </w:r>
            <w:r w:rsidRPr="00912F51">
              <w:rPr>
                <w:color w:val="FFFFFF"/>
              </w:rPr>
              <w:fldChar w:fldCharType="begin"/>
            </w:r>
            <w:r w:rsidRPr="00912F51">
              <w:rPr>
                <w:color w:val="FFFFFF"/>
              </w:rPr>
              <w:instrText xml:space="preserve"> LISTNUM \l 1 \s 0 </w:instrText>
            </w:r>
            <w:r w:rsidRPr="00912F51">
              <w:rPr>
                <w:color w:val="FFFFFF"/>
              </w:rPr>
              <w:fldChar w:fldCharType="end"/>
            </w:r>
            <w:r>
              <w:rPr>
                <w:vanish/>
                <w:szCs w:val="18"/>
              </w:rPr>
              <w:t xml:space="preserve"> </w:t>
            </w:r>
          </w:p>
        </w:tc>
        <w:tc>
          <w:tcPr>
            <w:tcW w:w="6138" w:type="dxa"/>
          </w:tcPr>
          <w:p w14:paraId="658FCB7C" w14:textId="77777777" w:rsidR="00650B86" w:rsidRDefault="00650B86" w:rsidP="00CC1BC3">
            <w:pPr>
              <w:pStyle w:val="TableTextBullet"/>
            </w:pPr>
            <w:r>
              <w:t>Displays the VistALink dependent option.</w:t>
            </w:r>
          </w:p>
        </w:tc>
      </w:tr>
    </w:tbl>
    <w:p w14:paraId="0116F110" w14:textId="6D8BC79B" w:rsidR="008C616F" w:rsidRDefault="008C616F" w:rsidP="008C616F">
      <w:pPr>
        <w:pStyle w:val="Caption"/>
      </w:pPr>
      <w:bookmarkStart w:id="100" w:name="_Ref47009491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17</w:t>
      </w:r>
      <w:r w:rsidR="004E20BD">
        <w:rPr>
          <w:noProof/>
        </w:rPr>
        <w:fldChar w:fldCharType="end"/>
      </w:r>
      <w:bookmarkEnd w:id="100"/>
      <w:r>
        <w:t>: Restore VistA Connection</w:t>
      </w:r>
    </w:p>
    <w:p w14:paraId="682AB69F" w14:textId="77777777" w:rsidR="008C616F" w:rsidRPr="008C616F" w:rsidRDefault="00057948" w:rsidP="008C616F">
      <w:pPr>
        <w:pStyle w:val="BodyText"/>
      </w:pPr>
      <w:r>
        <w:rPr>
          <w:noProof/>
        </w:rPr>
        <w:drawing>
          <wp:inline distT="0" distB="0" distL="0" distR="0" wp14:anchorId="50950B4B" wp14:editId="22DD09DF">
            <wp:extent cx="4137660" cy="1995170"/>
            <wp:effectExtent l="0" t="0" r="0" b="5080"/>
            <wp:docPr id="54" name="Picture 16" descr="Example of VistALink Connec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6" descr="Example of VistALink Connection screen capt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37660" cy="1995170"/>
                    </a:xfrm>
                    <a:prstGeom prst="rect">
                      <a:avLst/>
                    </a:prstGeom>
                    <a:noFill/>
                    <a:ln>
                      <a:noFill/>
                    </a:ln>
                  </pic:spPr>
                </pic:pic>
              </a:graphicData>
            </a:graphic>
          </wp:inline>
        </w:drawing>
      </w:r>
    </w:p>
    <w:p w14:paraId="49ACDA5D" w14:textId="54CAA2FC" w:rsidR="00A63649" w:rsidRDefault="004A48EB" w:rsidP="006B317D">
      <w:pPr>
        <w:pStyle w:val="Heading3"/>
      </w:pPr>
      <w:bookmarkStart w:id="101" w:name="_Toc149064071"/>
      <w:r>
        <w:t xml:space="preserve">Closing </w:t>
      </w:r>
      <w:r w:rsidR="00A63649">
        <w:t>VBECS</w:t>
      </w:r>
      <w:bookmarkEnd w:id="101"/>
    </w:p>
    <w:p w14:paraId="3D4FFB00" w14:textId="2F430489" w:rsidR="00236053" w:rsidRDefault="00236053" w:rsidP="006B317D">
      <w:pPr>
        <w:pStyle w:val="BodyText"/>
        <w:keepNext/>
        <w:spacing w:before="0" w:after="0"/>
      </w:pPr>
      <w:r>
        <w:t xml:space="preserve">There are three terms used to describe </w:t>
      </w:r>
      <w:r w:rsidR="00D27B33">
        <w:t>leaving the application and/or the application server:</w:t>
      </w:r>
    </w:p>
    <w:p w14:paraId="53F8275F" w14:textId="1D189C6B" w:rsidR="00D27B33" w:rsidRDefault="00D27B33" w:rsidP="00463A66">
      <w:pPr>
        <w:pStyle w:val="BodyText"/>
        <w:numPr>
          <w:ilvl w:val="0"/>
          <w:numId w:val="85"/>
        </w:numPr>
        <w:spacing w:before="0" w:after="0"/>
      </w:pPr>
      <w:r w:rsidRPr="00B54D54">
        <w:rPr>
          <w:b/>
          <w:bCs/>
        </w:rPr>
        <w:t>Exit VBECS</w:t>
      </w:r>
      <w:r>
        <w:t xml:space="preserve">: This action is to </w:t>
      </w:r>
      <w:r w:rsidR="00D63C08">
        <w:t xml:space="preserve">close </w:t>
      </w:r>
      <w:r>
        <w:t>the VBECS application</w:t>
      </w:r>
      <w:r w:rsidR="00B96599">
        <w:t xml:space="preserve">. </w:t>
      </w:r>
      <w:r w:rsidR="00057549">
        <w:t>The server connection is unaffected, and the server session continues.</w:t>
      </w:r>
    </w:p>
    <w:p w14:paraId="6A85C615" w14:textId="5E71FBCD" w:rsidR="00D27B33" w:rsidRDefault="000E7BC3" w:rsidP="00463A66">
      <w:pPr>
        <w:pStyle w:val="BodyText"/>
        <w:numPr>
          <w:ilvl w:val="0"/>
          <w:numId w:val="85"/>
        </w:numPr>
        <w:spacing w:before="0" w:after="0"/>
      </w:pPr>
      <w:r w:rsidRPr="00B54D54">
        <w:rPr>
          <w:b/>
          <w:bCs/>
        </w:rPr>
        <w:t>Sign Out</w:t>
      </w:r>
      <w:r>
        <w:t>: This action is to close the connection to the application server</w:t>
      </w:r>
      <w:r w:rsidR="0012595E">
        <w:t xml:space="preserve"> and </w:t>
      </w:r>
      <w:r w:rsidR="0063237F">
        <w:t>end the server session. Any applications that were running in the server session are closed.</w:t>
      </w:r>
    </w:p>
    <w:p w14:paraId="6DD1ECFD" w14:textId="44F9DB5A" w:rsidR="000E7BC3" w:rsidRDefault="000E7BC3" w:rsidP="00463A66">
      <w:pPr>
        <w:pStyle w:val="BodyText"/>
        <w:numPr>
          <w:ilvl w:val="0"/>
          <w:numId w:val="85"/>
        </w:numPr>
        <w:spacing w:before="0" w:after="0"/>
      </w:pPr>
      <w:r w:rsidRPr="00B54D54">
        <w:rPr>
          <w:b/>
          <w:bCs/>
        </w:rPr>
        <w:t>Disconnect</w:t>
      </w:r>
      <w:r>
        <w:t xml:space="preserve">: This action is to </w:t>
      </w:r>
      <w:r w:rsidR="00734377">
        <w:t>close the connection to the application server but le</w:t>
      </w:r>
      <w:r w:rsidR="00294238">
        <w:t>ave the server session (and any applications in the session) running.</w:t>
      </w:r>
    </w:p>
    <w:p w14:paraId="089E6377" w14:textId="614062BE" w:rsidR="001615A5" w:rsidRDefault="00374EA9" w:rsidP="001615A5">
      <w:pPr>
        <w:pStyle w:val="Heading4"/>
      </w:pPr>
      <w:r>
        <w:t>Exit</w:t>
      </w:r>
      <w:r w:rsidR="001615A5">
        <w:t xml:space="preserve"> </w:t>
      </w:r>
      <w:r w:rsidR="00A55BC7">
        <w:t xml:space="preserve">VBECS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5963"/>
      </w:tblGrid>
      <w:tr w:rsidR="001615A5" w14:paraId="2157BE9A" w14:textId="77777777" w:rsidTr="007E3EE1">
        <w:trPr>
          <w:tblHeader/>
        </w:trPr>
        <w:tc>
          <w:tcPr>
            <w:tcW w:w="3505" w:type="dxa"/>
            <w:shd w:val="pct30" w:color="auto" w:fill="FFFFFF"/>
            <w:vAlign w:val="bottom"/>
          </w:tcPr>
          <w:p w14:paraId="3F5A86D3" w14:textId="77777777" w:rsidR="001615A5" w:rsidRDefault="001615A5" w:rsidP="0065349F">
            <w:pPr>
              <w:pStyle w:val="TableText"/>
              <w:rPr>
                <w:b/>
              </w:rPr>
            </w:pPr>
            <w:r>
              <w:rPr>
                <w:b/>
              </w:rPr>
              <w:t>User Action</w:t>
            </w:r>
          </w:p>
        </w:tc>
        <w:tc>
          <w:tcPr>
            <w:tcW w:w="5963" w:type="dxa"/>
            <w:shd w:val="pct30" w:color="auto" w:fill="FFFFFF"/>
            <w:vAlign w:val="bottom"/>
          </w:tcPr>
          <w:p w14:paraId="0EF32825" w14:textId="77777777" w:rsidR="001615A5" w:rsidRDefault="001615A5" w:rsidP="0065349F">
            <w:pPr>
              <w:pStyle w:val="TableText"/>
              <w:rPr>
                <w:b/>
              </w:rPr>
            </w:pPr>
            <w:r>
              <w:rPr>
                <w:b/>
              </w:rPr>
              <w:t>VBECS</w:t>
            </w:r>
          </w:p>
        </w:tc>
      </w:tr>
      <w:tr w:rsidR="001615A5" w14:paraId="7ED55032" w14:textId="77777777" w:rsidTr="007E3EE1">
        <w:tc>
          <w:tcPr>
            <w:tcW w:w="3505" w:type="dxa"/>
          </w:tcPr>
          <w:p w14:paraId="3E37E566" w14:textId="4DE9034E" w:rsidR="001615A5" w:rsidRDefault="0015006E" w:rsidP="0065349F">
            <w:pPr>
              <w:pStyle w:val="TableTextNumbers"/>
            </w:pPr>
            <w:r>
              <w:t>To close the VBECS application, either:</w:t>
            </w:r>
          </w:p>
          <w:p w14:paraId="7F30A55E" w14:textId="77777777" w:rsidR="00EF4212" w:rsidRDefault="00EF4212" w:rsidP="00EF4212">
            <w:pPr>
              <w:pStyle w:val="TableTextNumbers"/>
              <w:numPr>
                <w:ilvl w:val="0"/>
                <w:numId w:val="0"/>
              </w:numPr>
              <w:ind w:left="288"/>
            </w:pPr>
          </w:p>
          <w:p w14:paraId="4F3775CB" w14:textId="168267B4" w:rsidR="0015006E" w:rsidRDefault="009848A6" w:rsidP="00EF4212">
            <w:pPr>
              <w:pStyle w:val="TableTextNumbers"/>
              <w:numPr>
                <w:ilvl w:val="0"/>
                <w:numId w:val="0"/>
              </w:numPr>
              <w:ind w:left="288"/>
            </w:pPr>
            <w:r>
              <w:t xml:space="preserve">Select </w:t>
            </w:r>
            <w:r w:rsidR="0015006E" w:rsidRPr="00823973">
              <w:rPr>
                <w:b/>
                <w:bCs/>
              </w:rPr>
              <w:t>File</w:t>
            </w:r>
            <w:r w:rsidR="00823973">
              <w:t>.</w:t>
            </w:r>
          </w:p>
          <w:p w14:paraId="49C0EEF3" w14:textId="485C9D2D" w:rsidR="009848A6" w:rsidRDefault="009848A6" w:rsidP="00EF4212">
            <w:pPr>
              <w:pStyle w:val="TableTextNumbers"/>
              <w:numPr>
                <w:ilvl w:val="0"/>
                <w:numId w:val="0"/>
              </w:numPr>
              <w:ind w:left="288"/>
            </w:pPr>
            <w:r>
              <w:t xml:space="preserve">Select </w:t>
            </w:r>
            <w:r w:rsidRPr="00823973">
              <w:rPr>
                <w:b/>
                <w:bCs/>
              </w:rPr>
              <w:t>Exit VBECS</w:t>
            </w:r>
            <w:r>
              <w:t>.</w:t>
            </w:r>
          </w:p>
          <w:p w14:paraId="5AFB7C3B" w14:textId="77777777" w:rsidR="00EF4212" w:rsidRDefault="00EF4212" w:rsidP="009848A6">
            <w:pPr>
              <w:pStyle w:val="TableTextNumbers"/>
              <w:numPr>
                <w:ilvl w:val="0"/>
                <w:numId w:val="0"/>
              </w:numPr>
              <w:ind w:left="288" w:hanging="288"/>
            </w:pPr>
          </w:p>
          <w:p w14:paraId="2406AA41" w14:textId="084505C8" w:rsidR="009848A6" w:rsidRDefault="009848A6" w:rsidP="009848A6">
            <w:pPr>
              <w:pStyle w:val="TableTextNumbers"/>
              <w:numPr>
                <w:ilvl w:val="0"/>
                <w:numId w:val="0"/>
              </w:numPr>
              <w:ind w:left="288" w:hanging="288"/>
            </w:pPr>
            <w:r>
              <w:t>OR</w:t>
            </w:r>
          </w:p>
          <w:p w14:paraId="149E0289" w14:textId="0CD40E20" w:rsidR="009848A6" w:rsidRDefault="009848A6" w:rsidP="009848A6">
            <w:pPr>
              <w:pStyle w:val="TableTextNumbers"/>
              <w:numPr>
                <w:ilvl w:val="0"/>
                <w:numId w:val="0"/>
              </w:numPr>
              <w:ind w:left="288" w:hanging="288"/>
            </w:pPr>
          </w:p>
          <w:p w14:paraId="1F1903FB" w14:textId="77233ED5" w:rsidR="00D91621" w:rsidRDefault="009848A6" w:rsidP="00823973">
            <w:pPr>
              <w:pStyle w:val="TableTextNumbers"/>
              <w:numPr>
                <w:ilvl w:val="0"/>
                <w:numId w:val="0"/>
              </w:numPr>
              <w:ind w:left="288"/>
            </w:pPr>
            <w:r>
              <w:t xml:space="preserve">In the top right corner of the VBECS application, click the </w:t>
            </w:r>
            <w:r w:rsidRPr="00823973">
              <w:rPr>
                <w:b/>
                <w:bCs/>
              </w:rPr>
              <w:t>X</w:t>
            </w:r>
            <w:r w:rsidR="00A718C8">
              <w:t xml:space="preserve"> to close the application window</w:t>
            </w:r>
            <w:r w:rsidR="00D91621">
              <w:t>.</w:t>
            </w:r>
            <w:r w:rsidR="00D91621">
              <w:rPr>
                <w:noProof/>
              </w:rPr>
              <w:drawing>
                <wp:inline distT="0" distB="0" distL="0" distR="0" wp14:anchorId="13EB0746" wp14:editId="7973A548">
                  <wp:extent cx="1162861" cy="457200"/>
                  <wp:effectExtent l="0" t="0" r="0" b="0"/>
                  <wp:docPr id="192" name="Picture 192" descr="Example of VBECS close op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Example of VBECS close option screen cap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62861" cy="457200"/>
                          </a:xfrm>
                          <a:prstGeom prst="rect">
                            <a:avLst/>
                          </a:prstGeom>
                          <a:noFill/>
                          <a:ln>
                            <a:noFill/>
                          </a:ln>
                        </pic:spPr>
                      </pic:pic>
                    </a:graphicData>
                  </a:graphic>
                </wp:inline>
              </w:drawing>
            </w:r>
          </w:p>
          <w:p w14:paraId="44C22A1D" w14:textId="67D676EB" w:rsidR="00A15FF4" w:rsidRDefault="00A15FF4" w:rsidP="009848A6">
            <w:pPr>
              <w:pStyle w:val="TableTextNumbers"/>
              <w:numPr>
                <w:ilvl w:val="0"/>
                <w:numId w:val="0"/>
              </w:numPr>
              <w:ind w:left="288" w:hanging="288"/>
            </w:pPr>
          </w:p>
          <w:p w14:paraId="299D1427" w14:textId="4C988B9E" w:rsidR="00A15FF4" w:rsidRDefault="00A15FF4" w:rsidP="009848A6">
            <w:pPr>
              <w:pStyle w:val="TableTextNumbers"/>
              <w:numPr>
                <w:ilvl w:val="0"/>
                <w:numId w:val="0"/>
              </w:numPr>
              <w:ind w:left="288" w:hanging="288"/>
            </w:pPr>
            <w:r>
              <w:t>OR</w:t>
            </w:r>
          </w:p>
          <w:p w14:paraId="133114B4" w14:textId="5CF3EADF" w:rsidR="00A15FF4" w:rsidRDefault="00A15FF4" w:rsidP="009848A6">
            <w:pPr>
              <w:pStyle w:val="TableTextNumbers"/>
              <w:numPr>
                <w:ilvl w:val="0"/>
                <w:numId w:val="0"/>
              </w:numPr>
              <w:ind w:left="288" w:hanging="288"/>
            </w:pPr>
          </w:p>
          <w:p w14:paraId="148650AB" w14:textId="66B3B8C0" w:rsidR="00A15FF4" w:rsidRDefault="00A15FF4" w:rsidP="00823973">
            <w:pPr>
              <w:pStyle w:val="TableTextNumbers"/>
              <w:numPr>
                <w:ilvl w:val="0"/>
                <w:numId w:val="0"/>
              </w:numPr>
              <w:ind w:left="288"/>
            </w:pPr>
            <w:r>
              <w:t xml:space="preserve">Press </w:t>
            </w:r>
            <w:r w:rsidRPr="00823973">
              <w:rPr>
                <w:b/>
                <w:bCs/>
              </w:rPr>
              <w:t>Alt</w:t>
            </w:r>
            <w:r w:rsidR="00DE03AF" w:rsidRPr="00823973">
              <w:rPr>
                <w:b/>
                <w:bCs/>
              </w:rPr>
              <w:t>+</w:t>
            </w:r>
            <w:r w:rsidRPr="00823973">
              <w:rPr>
                <w:b/>
                <w:bCs/>
              </w:rPr>
              <w:t>F4</w:t>
            </w:r>
            <w:r w:rsidR="00823973" w:rsidRPr="00823973">
              <w:t>.</w:t>
            </w:r>
          </w:p>
          <w:p w14:paraId="207986E7" w14:textId="77777777" w:rsidR="00B32BF6" w:rsidRDefault="00B32BF6" w:rsidP="00EF4212">
            <w:pPr>
              <w:pStyle w:val="TableTextNumbers"/>
              <w:numPr>
                <w:ilvl w:val="0"/>
                <w:numId w:val="0"/>
              </w:numPr>
              <w:ind w:left="288"/>
            </w:pPr>
          </w:p>
          <w:p w14:paraId="1156EB9E" w14:textId="77777777" w:rsidR="007E3EE1" w:rsidRDefault="007E3EE1" w:rsidP="00823973">
            <w:pPr>
              <w:pStyle w:val="TableTextNumbers"/>
              <w:numPr>
                <w:ilvl w:val="0"/>
                <w:numId w:val="0"/>
              </w:numPr>
              <w:ind w:left="288"/>
            </w:pPr>
          </w:p>
          <w:p w14:paraId="19E5EFB0" w14:textId="41C59349" w:rsidR="001615A5" w:rsidRDefault="000607CC" w:rsidP="00823973">
            <w:pPr>
              <w:pStyle w:val="TableTextNumbers"/>
              <w:numPr>
                <w:ilvl w:val="0"/>
                <w:numId w:val="0"/>
              </w:numPr>
              <w:ind w:left="288"/>
            </w:pPr>
            <w:r>
              <w:t>VBECS will prompt you to confirm you would like to close the application.</w:t>
            </w:r>
          </w:p>
        </w:tc>
        <w:tc>
          <w:tcPr>
            <w:tcW w:w="5963" w:type="dxa"/>
          </w:tcPr>
          <w:p w14:paraId="2528DF99" w14:textId="5517BEE9" w:rsidR="001615A5" w:rsidRPr="00374EA9" w:rsidRDefault="009625A8" w:rsidP="0065349F">
            <w:pPr>
              <w:pStyle w:val="TableTextBullet"/>
              <w:rPr>
                <w:b/>
                <w:bCs/>
                <w:szCs w:val="18"/>
              </w:rPr>
            </w:pPr>
            <w:r>
              <w:t xml:space="preserve">The user </w:t>
            </w:r>
            <w:r w:rsidR="004D0A70">
              <w:t>is</w:t>
            </w:r>
            <w:r>
              <w:t xml:space="preserve"> </w:t>
            </w:r>
            <w:r w:rsidR="00AC123F">
              <w:t xml:space="preserve">closed </w:t>
            </w:r>
            <w:r w:rsidR="00DD077F">
              <w:t>out of VBECS</w:t>
            </w:r>
            <w:r w:rsidR="001615A5">
              <w:t>.</w:t>
            </w:r>
          </w:p>
          <w:p w14:paraId="0999F1F6" w14:textId="7B14733E" w:rsidR="00374EA9" w:rsidRPr="00EF4212" w:rsidRDefault="00374EA9" w:rsidP="0065349F">
            <w:pPr>
              <w:pStyle w:val="TableTextBullet"/>
              <w:rPr>
                <w:b/>
                <w:bCs/>
                <w:szCs w:val="18"/>
              </w:rPr>
            </w:pPr>
            <w:r>
              <w:t>The user remains connected to the application server.</w:t>
            </w:r>
          </w:p>
          <w:p w14:paraId="4BBCEFE1" w14:textId="7FD92F59" w:rsidR="00EF4212" w:rsidRPr="002E1917" w:rsidRDefault="00374EA9" w:rsidP="0065349F">
            <w:pPr>
              <w:pStyle w:val="TableTextBullet"/>
              <w:rPr>
                <w:b/>
                <w:bCs/>
                <w:szCs w:val="18"/>
              </w:rPr>
            </w:pPr>
            <w:r>
              <w:t>The</w:t>
            </w:r>
            <w:r w:rsidR="00DE03AF">
              <w:t xml:space="preserve"> user’s</w:t>
            </w:r>
            <w:r>
              <w:t xml:space="preserve"> application server session remains open</w:t>
            </w:r>
            <w:r w:rsidR="00DE03AF">
              <w:t>/active</w:t>
            </w:r>
            <w:r>
              <w:t>.</w:t>
            </w:r>
          </w:p>
          <w:p w14:paraId="2C16B974" w14:textId="77777777" w:rsidR="002E1917" w:rsidRPr="00440657" w:rsidRDefault="002E1917" w:rsidP="002E1917">
            <w:pPr>
              <w:pStyle w:val="NotesText"/>
              <w:rPr>
                <w:b/>
                <w:bCs/>
                <w:szCs w:val="18"/>
              </w:rPr>
            </w:pPr>
          </w:p>
        </w:tc>
      </w:tr>
    </w:tbl>
    <w:p w14:paraId="3DE4F0D9" w14:textId="13674D8D" w:rsidR="00A63864" w:rsidRDefault="00A63864" w:rsidP="00922A50">
      <w:pPr>
        <w:pStyle w:val="Heading4"/>
      </w:pPr>
      <w:r>
        <w:t>Sign Out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5963"/>
      </w:tblGrid>
      <w:tr w:rsidR="00922A50" w14:paraId="53925B33" w14:textId="77777777" w:rsidTr="004F5DD2">
        <w:trPr>
          <w:tblHeader/>
        </w:trPr>
        <w:tc>
          <w:tcPr>
            <w:tcW w:w="3505" w:type="dxa"/>
            <w:shd w:val="pct30" w:color="auto" w:fill="FFFFFF"/>
            <w:vAlign w:val="bottom"/>
          </w:tcPr>
          <w:p w14:paraId="2BD8E704" w14:textId="77777777" w:rsidR="00922A50" w:rsidRDefault="00922A50" w:rsidP="004F5DD2">
            <w:pPr>
              <w:pStyle w:val="TableText"/>
              <w:rPr>
                <w:b/>
              </w:rPr>
            </w:pPr>
            <w:r>
              <w:rPr>
                <w:b/>
              </w:rPr>
              <w:t>User Action</w:t>
            </w:r>
          </w:p>
        </w:tc>
        <w:tc>
          <w:tcPr>
            <w:tcW w:w="5963" w:type="dxa"/>
            <w:shd w:val="pct30" w:color="auto" w:fill="FFFFFF"/>
            <w:vAlign w:val="bottom"/>
          </w:tcPr>
          <w:p w14:paraId="3B23481D" w14:textId="77777777" w:rsidR="00922A50" w:rsidRDefault="00922A50" w:rsidP="004F5DD2">
            <w:pPr>
              <w:pStyle w:val="TableText"/>
              <w:rPr>
                <w:b/>
              </w:rPr>
            </w:pPr>
            <w:r>
              <w:rPr>
                <w:b/>
              </w:rPr>
              <w:t>VBECS</w:t>
            </w:r>
          </w:p>
        </w:tc>
      </w:tr>
      <w:tr w:rsidR="001615A5" w14:paraId="62D8E03C" w14:textId="77777777" w:rsidTr="007E3EE1">
        <w:tc>
          <w:tcPr>
            <w:tcW w:w="3505" w:type="dxa"/>
          </w:tcPr>
          <w:p w14:paraId="22F59118" w14:textId="4BC74672" w:rsidR="00D91621" w:rsidRDefault="001964E3" w:rsidP="00463A66">
            <w:pPr>
              <w:pStyle w:val="TableTextNumbers"/>
              <w:numPr>
                <w:ilvl w:val="0"/>
                <w:numId w:val="86"/>
              </w:numPr>
            </w:pPr>
            <w:r>
              <w:t xml:space="preserve">On the application server’s desktop, in the top left corner, </w:t>
            </w:r>
            <w:r w:rsidR="00DA0FEB">
              <w:t>double-</w:t>
            </w:r>
            <w:r>
              <w:t xml:space="preserve">click </w:t>
            </w:r>
            <w:r w:rsidRPr="00823973">
              <w:rPr>
                <w:b/>
                <w:bCs/>
              </w:rPr>
              <w:t>Sign Out</w:t>
            </w:r>
            <w:r w:rsidR="00D91621">
              <w:t>.</w:t>
            </w:r>
          </w:p>
          <w:p w14:paraId="5872876F" w14:textId="07856162" w:rsidR="001615A5" w:rsidRDefault="00D3749E" w:rsidP="00D91621">
            <w:pPr>
              <w:pStyle w:val="TableTextNumbers"/>
              <w:numPr>
                <w:ilvl w:val="0"/>
                <w:numId w:val="0"/>
              </w:numPr>
              <w:ind w:left="288"/>
            </w:pPr>
            <w:r>
              <w:rPr>
                <w:noProof/>
              </w:rPr>
              <w:drawing>
                <wp:inline distT="0" distB="0" distL="0" distR="0" wp14:anchorId="708C16B8" wp14:editId="63950C14">
                  <wp:extent cx="432212" cy="457200"/>
                  <wp:effectExtent l="0" t="0" r="6350" b="0"/>
                  <wp:docPr id="191" name="Picture 191" descr="Example of Sign Out ic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Example of Sign Out icon screen cap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212" cy="457200"/>
                          </a:xfrm>
                          <a:prstGeom prst="rect">
                            <a:avLst/>
                          </a:prstGeom>
                          <a:noFill/>
                          <a:ln>
                            <a:noFill/>
                          </a:ln>
                        </pic:spPr>
                      </pic:pic>
                    </a:graphicData>
                  </a:graphic>
                </wp:inline>
              </w:drawing>
            </w:r>
          </w:p>
          <w:p w14:paraId="3CC299E5" w14:textId="77777777" w:rsidR="001615A5" w:rsidRDefault="001615A5" w:rsidP="001964E3">
            <w:pPr>
              <w:pStyle w:val="TableTextNumbers"/>
              <w:numPr>
                <w:ilvl w:val="0"/>
                <w:numId w:val="0"/>
              </w:numPr>
              <w:ind w:left="288" w:hanging="288"/>
            </w:pPr>
          </w:p>
          <w:p w14:paraId="65E92F15" w14:textId="5E3F2F7E" w:rsidR="00AC123F" w:rsidRPr="00AC123F" w:rsidRDefault="00AC123F" w:rsidP="00AC123F">
            <w:pPr>
              <w:pStyle w:val="TableTextNumbersContinued"/>
            </w:pPr>
            <w:r>
              <w:t xml:space="preserve">If VBECS was running with unsaved changes, the server will protect you against data loss by presenting </w:t>
            </w:r>
            <w:r w:rsidR="00EE455E">
              <w:t xml:space="preserve">Figure </w:t>
            </w:r>
            <w:r w:rsidR="00EE455E">
              <w:rPr>
                <w:noProof/>
              </w:rPr>
              <w:t>18</w:t>
            </w:r>
            <w:r>
              <w:t xml:space="preserve">. Click </w:t>
            </w:r>
            <w:r>
              <w:rPr>
                <w:b/>
                <w:bCs/>
              </w:rPr>
              <w:t>Sign out anyway</w:t>
            </w:r>
            <w:r>
              <w:t xml:space="preserve"> to proceed with signing out.</w:t>
            </w:r>
          </w:p>
          <w:p w14:paraId="3DC028F2" w14:textId="77777777" w:rsidR="00AC123F" w:rsidRDefault="00AC123F" w:rsidP="00AC123F">
            <w:pPr>
              <w:pStyle w:val="TableTextNumbersContinued"/>
            </w:pPr>
          </w:p>
          <w:p w14:paraId="1096C79A" w14:textId="0FEFB079" w:rsidR="001615A5" w:rsidRDefault="00AC123F" w:rsidP="00AC123F">
            <w:pPr>
              <w:pStyle w:val="TableTextNumbersContinued"/>
            </w:pPr>
            <w:r>
              <w:t>If you have not responded within 30 seconds, the message will disappear and the sign out process is automatically canceled.</w:t>
            </w:r>
          </w:p>
        </w:tc>
        <w:tc>
          <w:tcPr>
            <w:tcW w:w="5963" w:type="dxa"/>
          </w:tcPr>
          <w:p w14:paraId="6634C1E4" w14:textId="77777777" w:rsidR="00AC123F" w:rsidRPr="00374EA9" w:rsidRDefault="00AC123F" w:rsidP="00AC123F">
            <w:pPr>
              <w:pStyle w:val="TableTextBullet"/>
              <w:rPr>
                <w:b/>
                <w:bCs/>
                <w:szCs w:val="18"/>
              </w:rPr>
            </w:pPr>
            <w:r>
              <w:t>The user is closed out of VBECS.</w:t>
            </w:r>
          </w:p>
          <w:p w14:paraId="10FF3407" w14:textId="36EFB76D" w:rsidR="00AC123F" w:rsidRPr="00EF4212" w:rsidRDefault="00AC123F" w:rsidP="00AC123F">
            <w:pPr>
              <w:pStyle w:val="TableTextBullet"/>
              <w:rPr>
                <w:b/>
                <w:bCs/>
                <w:szCs w:val="18"/>
              </w:rPr>
            </w:pPr>
            <w:r>
              <w:t>The user is disconnected from the application server.</w:t>
            </w:r>
          </w:p>
          <w:p w14:paraId="17B7021D" w14:textId="4A077576" w:rsidR="001615A5" w:rsidRPr="00AC123F" w:rsidRDefault="00AC123F" w:rsidP="00AC123F">
            <w:pPr>
              <w:pStyle w:val="TableTextBullet"/>
              <w:rPr>
                <w:b/>
                <w:bCs/>
                <w:szCs w:val="18"/>
              </w:rPr>
            </w:pPr>
            <w:r>
              <w:t xml:space="preserve">The </w:t>
            </w:r>
            <w:r w:rsidR="00B168CE">
              <w:t xml:space="preserve">user’s </w:t>
            </w:r>
            <w:r>
              <w:t>application server session is closed</w:t>
            </w:r>
            <w:r w:rsidR="00B168CE">
              <w:t>/ends</w:t>
            </w:r>
            <w:r>
              <w:t>.</w:t>
            </w:r>
          </w:p>
        </w:tc>
      </w:tr>
    </w:tbl>
    <w:p w14:paraId="7A8598E5" w14:textId="062AFC81" w:rsidR="00792CD6" w:rsidRDefault="00E504C7" w:rsidP="00E504C7">
      <w:pPr>
        <w:pStyle w:val="Caption"/>
      </w:pPr>
      <w:bookmarkStart w:id="102" w:name="_Ref125620874"/>
      <w:bookmarkStart w:id="103" w:name="_Ref82413624"/>
      <w:r>
        <w:t xml:space="preserve">Figure </w:t>
      </w:r>
      <w:fldSimple w:instr=" SEQ Figure \* ARABIC ">
        <w:r w:rsidR="00ED2D38">
          <w:rPr>
            <w:noProof/>
          </w:rPr>
          <w:t>18</w:t>
        </w:r>
      </w:fldSimple>
      <w:bookmarkEnd w:id="102"/>
      <w:r>
        <w:t>: Example of Sign Out Preventing VBECS Data Loss</w:t>
      </w:r>
      <w:bookmarkEnd w:id="103"/>
    </w:p>
    <w:p w14:paraId="70DF6645" w14:textId="4361F027" w:rsidR="00792CD6" w:rsidRDefault="00792CD6" w:rsidP="00792CD6">
      <w:r>
        <w:rPr>
          <w:noProof/>
        </w:rPr>
        <w:drawing>
          <wp:inline distT="0" distB="0" distL="0" distR="0" wp14:anchorId="2B306453" wp14:editId="66075C04">
            <wp:extent cx="4831080" cy="2579370"/>
            <wp:effectExtent l="0" t="0" r="7620" b="0"/>
            <wp:docPr id="181" name="Picture 181" descr="Example of Sign Out Preventing VBECS Data Los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ample of Sign Out Preventing VBECS Data Loss screen capt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1080" cy="2579370"/>
                    </a:xfrm>
                    <a:prstGeom prst="rect">
                      <a:avLst/>
                    </a:prstGeom>
                    <a:noFill/>
                    <a:ln>
                      <a:noFill/>
                    </a:ln>
                  </pic:spPr>
                </pic:pic>
              </a:graphicData>
            </a:graphic>
          </wp:inline>
        </w:drawing>
      </w:r>
    </w:p>
    <w:p w14:paraId="3552C639" w14:textId="2E488C7F" w:rsidR="004A48EB" w:rsidRDefault="004A48EB" w:rsidP="006B317D">
      <w:pPr>
        <w:pStyle w:val="Heading4"/>
      </w:pPr>
      <w:r>
        <w:t>Disconnect</w:t>
      </w:r>
    </w:p>
    <w:p w14:paraId="3042A626" w14:textId="7246D7D8" w:rsidR="00DF0A1D" w:rsidRDefault="00DF0A1D" w:rsidP="006B317D">
      <w:pPr>
        <w:keepNext/>
        <w:rPr>
          <w:spacing w:val="-5"/>
          <w:sz w:val="22"/>
          <w:szCs w:val="22"/>
        </w:rPr>
      </w:pPr>
      <w:r w:rsidRPr="00AC7CC7">
        <w:rPr>
          <w:spacing w:val="-5"/>
          <w:sz w:val="22"/>
          <w:szCs w:val="22"/>
        </w:rPr>
        <w:t xml:space="preserve">Refer to the Remote Desktop section of the </w:t>
      </w:r>
      <w:r w:rsidRPr="00AC7CC7">
        <w:rPr>
          <w:i/>
          <w:iCs/>
          <w:spacing w:val="-5"/>
          <w:sz w:val="22"/>
          <w:szCs w:val="22"/>
        </w:rPr>
        <w:t>VBECS Technical Manual Security Guide</w:t>
      </w:r>
      <w:r w:rsidRPr="00AC7CC7">
        <w:rPr>
          <w:spacing w:val="-5"/>
          <w:sz w:val="22"/>
          <w:szCs w:val="22"/>
        </w:rPr>
        <w:t xml:space="preserve"> to learn more</w:t>
      </w:r>
      <w:r w:rsidR="00A07998">
        <w:rPr>
          <w:spacing w:val="-5"/>
          <w:sz w:val="22"/>
          <w:szCs w:val="22"/>
        </w:rPr>
        <w:t xml:space="preserve"> a</w:t>
      </w:r>
      <w:r w:rsidR="00F17E22">
        <w:rPr>
          <w:spacing w:val="-5"/>
          <w:sz w:val="22"/>
          <w:szCs w:val="22"/>
        </w:rPr>
        <w:t>bout remote desktop behavior.</w:t>
      </w:r>
    </w:p>
    <w:p w14:paraId="21B68631" w14:textId="77777777" w:rsidR="00E504C7" w:rsidRPr="00DF0A1D" w:rsidRDefault="00E504C7" w:rsidP="006B317D">
      <w:pPr>
        <w:keepNext/>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5963"/>
      </w:tblGrid>
      <w:tr w:rsidR="004A48EB" w14:paraId="2C23FFC8" w14:textId="77777777" w:rsidTr="006B317D">
        <w:trPr>
          <w:cantSplit/>
          <w:tblHeader/>
        </w:trPr>
        <w:tc>
          <w:tcPr>
            <w:tcW w:w="3505" w:type="dxa"/>
            <w:shd w:val="pct30" w:color="auto" w:fill="FFFFFF"/>
            <w:vAlign w:val="bottom"/>
          </w:tcPr>
          <w:p w14:paraId="438B51DF" w14:textId="77777777" w:rsidR="004A48EB" w:rsidRDefault="004A48EB" w:rsidP="006B317D">
            <w:pPr>
              <w:pStyle w:val="TableText"/>
              <w:keepNext/>
              <w:rPr>
                <w:b/>
              </w:rPr>
            </w:pPr>
            <w:r>
              <w:rPr>
                <w:b/>
              </w:rPr>
              <w:t>User Action</w:t>
            </w:r>
          </w:p>
        </w:tc>
        <w:tc>
          <w:tcPr>
            <w:tcW w:w="5963" w:type="dxa"/>
            <w:shd w:val="pct30" w:color="auto" w:fill="FFFFFF"/>
            <w:vAlign w:val="bottom"/>
          </w:tcPr>
          <w:p w14:paraId="52D0B7B2" w14:textId="77777777" w:rsidR="004A48EB" w:rsidRDefault="004A48EB" w:rsidP="006B317D">
            <w:pPr>
              <w:pStyle w:val="TableText"/>
              <w:keepNext/>
              <w:rPr>
                <w:b/>
              </w:rPr>
            </w:pPr>
            <w:r>
              <w:rPr>
                <w:b/>
              </w:rPr>
              <w:t>VBECS</w:t>
            </w:r>
          </w:p>
        </w:tc>
      </w:tr>
      <w:tr w:rsidR="004A48EB" w14:paraId="444CCA0A" w14:textId="77777777" w:rsidTr="006B317D">
        <w:trPr>
          <w:cantSplit/>
        </w:trPr>
        <w:tc>
          <w:tcPr>
            <w:tcW w:w="3505" w:type="dxa"/>
          </w:tcPr>
          <w:p w14:paraId="7BEC612C" w14:textId="77777777" w:rsidR="00EE2073" w:rsidRDefault="004A48EB" w:rsidP="00463A66">
            <w:pPr>
              <w:pStyle w:val="TableTextNumbers"/>
              <w:numPr>
                <w:ilvl w:val="0"/>
                <w:numId w:val="87"/>
              </w:numPr>
            </w:pPr>
            <w:r>
              <w:t xml:space="preserve">On the application server’s desktop, in the </w:t>
            </w:r>
            <w:r w:rsidR="007D6B48">
              <w:t>bottom l</w:t>
            </w:r>
            <w:r>
              <w:t xml:space="preserve">eft corner, </w:t>
            </w:r>
          </w:p>
          <w:p w14:paraId="13F1EC93" w14:textId="4D1FE440" w:rsidR="00EE2073" w:rsidRDefault="007D6B48" w:rsidP="00EE2073">
            <w:pPr>
              <w:pStyle w:val="TableTextNumbers"/>
              <w:numPr>
                <w:ilvl w:val="0"/>
                <w:numId w:val="0"/>
              </w:numPr>
              <w:ind w:left="288"/>
            </w:pPr>
            <w:r>
              <w:t xml:space="preserve">click </w:t>
            </w:r>
            <w:r w:rsidRPr="00E504C7">
              <w:rPr>
                <w:b/>
                <w:bCs/>
              </w:rPr>
              <w:t>Start</w:t>
            </w:r>
            <w:r>
              <w:t xml:space="preserve"> </w:t>
            </w:r>
            <w:r w:rsidR="00EE2073">
              <w:t xml:space="preserve"> </w:t>
            </w:r>
            <w:r w:rsidR="002576B2" w:rsidRPr="002576B2">
              <w:rPr>
                <w:noProof/>
              </w:rPr>
              <w:drawing>
                <wp:inline distT="0" distB="0" distL="0" distR="0" wp14:anchorId="547A3690" wp14:editId="1E7221EF">
                  <wp:extent cx="323895" cy="304843"/>
                  <wp:effectExtent l="0" t="0" r="0" b="0"/>
                  <wp:docPr id="175" name="Picture 175" descr="Example of Windows ic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Example of Windows icon screen capture"/>
                          <pic:cNvPicPr/>
                        </pic:nvPicPr>
                        <pic:blipFill>
                          <a:blip r:embed="rId54"/>
                          <a:stretch>
                            <a:fillRect/>
                          </a:stretch>
                        </pic:blipFill>
                        <pic:spPr>
                          <a:xfrm>
                            <a:off x="0" y="0"/>
                            <a:ext cx="323895" cy="304843"/>
                          </a:xfrm>
                          <a:prstGeom prst="rect">
                            <a:avLst/>
                          </a:prstGeom>
                        </pic:spPr>
                      </pic:pic>
                    </a:graphicData>
                  </a:graphic>
                </wp:inline>
              </w:drawing>
            </w:r>
            <w:r w:rsidR="00EE2073">
              <w:t xml:space="preserve"> </w:t>
            </w:r>
            <w:r>
              <w:t xml:space="preserve">(the Windows icon), </w:t>
            </w:r>
          </w:p>
          <w:p w14:paraId="27B32CBA" w14:textId="77777777" w:rsidR="00EE2073" w:rsidRDefault="00EE2073" w:rsidP="00EE2073">
            <w:pPr>
              <w:pStyle w:val="TableTextNumbers"/>
              <w:numPr>
                <w:ilvl w:val="0"/>
                <w:numId w:val="0"/>
              </w:numPr>
            </w:pPr>
          </w:p>
          <w:p w14:paraId="7C186682" w14:textId="50EDC809" w:rsidR="004A48EB" w:rsidRDefault="007D6B48" w:rsidP="00EE2073">
            <w:pPr>
              <w:pStyle w:val="TableTextNumbers"/>
              <w:numPr>
                <w:ilvl w:val="0"/>
                <w:numId w:val="0"/>
              </w:numPr>
              <w:ind w:left="288"/>
            </w:pPr>
            <w:r w:rsidRPr="00EE2073">
              <w:rPr>
                <w:b/>
                <w:bCs/>
              </w:rPr>
              <w:t>Power</w:t>
            </w:r>
            <w:r w:rsidR="00EE2073">
              <w:rPr>
                <w:b/>
                <w:bCs/>
              </w:rPr>
              <w:t xml:space="preserve">  </w:t>
            </w:r>
            <w:r w:rsidR="002576B2" w:rsidRPr="002576B2">
              <w:rPr>
                <w:noProof/>
              </w:rPr>
              <w:drawing>
                <wp:inline distT="0" distB="0" distL="0" distR="0" wp14:anchorId="15DD964E" wp14:editId="57D499E7">
                  <wp:extent cx="257211" cy="238158"/>
                  <wp:effectExtent l="0" t="0" r="9525" b="9525"/>
                  <wp:docPr id="187" name="Picture 187" descr="Example of Power ic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Example of Power icon screen capture"/>
                          <pic:cNvPicPr/>
                        </pic:nvPicPr>
                        <pic:blipFill>
                          <a:blip r:embed="rId55"/>
                          <a:stretch>
                            <a:fillRect/>
                          </a:stretch>
                        </pic:blipFill>
                        <pic:spPr>
                          <a:xfrm>
                            <a:off x="0" y="0"/>
                            <a:ext cx="257211" cy="238158"/>
                          </a:xfrm>
                          <a:prstGeom prst="rect">
                            <a:avLst/>
                          </a:prstGeom>
                        </pic:spPr>
                      </pic:pic>
                    </a:graphicData>
                  </a:graphic>
                </wp:inline>
              </w:drawing>
            </w:r>
            <w:r w:rsidR="00EE2073">
              <w:rPr>
                <w:b/>
                <w:bCs/>
              </w:rPr>
              <w:t xml:space="preserve"> </w:t>
            </w:r>
            <w:r w:rsidR="00EE2073">
              <w:t>(</w:t>
            </w:r>
            <w:r>
              <w:t xml:space="preserve">the circle with a line icon), </w:t>
            </w:r>
            <w:r w:rsidRPr="00E504C7">
              <w:rPr>
                <w:b/>
                <w:bCs/>
              </w:rPr>
              <w:t>Disconnect</w:t>
            </w:r>
            <w:r>
              <w:t>.</w:t>
            </w:r>
          </w:p>
          <w:p w14:paraId="05C33E52" w14:textId="2E3A89C9" w:rsidR="009701C6" w:rsidRDefault="009701C6" w:rsidP="009701C6">
            <w:pPr>
              <w:pStyle w:val="TableTextNumbers"/>
              <w:numPr>
                <w:ilvl w:val="0"/>
                <w:numId w:val="0"/>
              </w:numPr>
              <w:ind w:left="288"/>
            </w:pPr>
            <w:r>
              <w:rPr>
                <w:noProof/>
              </w:rPr>
              <w:drawing>
                <wp:inline distT="0" distB="0" distL="0" distR="0" wp14:anchorId="16C4AE20" wp14:editId="6FF04DE5">
                  <wp:extent cx="1031680" cy="1143000"/>
                  <wp:effectExtent l="0" t="0" r="0" b="0"/>
                  <wp:docPr id="183" name="Picture 183" descr="Example of Disconnect menu op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Example of Disconnect menu option screen capt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1680" cy="1143000"/>
                          </a:xfrm>
                          <a:prstGeom prst="rect">
                            <a:avLst/>
                          </a:prstGeom>
                          <a:noFill/>
                          <a:ln>
                            <a:noFill/>
                          </a:ln>
                        </pic:spPr>
                      </pic:pic>
                    </a:graphicData>
                  </a:graphic>
                </wp:inline>
              </w:drawing>
            </w:r>
          </w:p>
          <w:p w14:paraId="4F2174AC" w14:textId="59F258E9" w:rsidR="004A48EB" w:rsidRDefault="004A48EB" w:rsidP="004F5DD2">
            <w:pPr>
              <w:pStyle w:val="TableTextNumbers"/>
              <w:numPr>
                <w:ilvl w:val="0"/>
                <w:numId w:val="0"/>
              </w:numPr>
              <w:ind w:left="288" w:hanging="288"/>
            </w:pPr>
          </w:p>
          <w:p w14:paraId="4149B750" w14:textId="09C27B69" w:rsidR="00085388" w:rsidRDefault="00085388" w:rsidP="004F5DD2">
            <w:pPr>
              <w:pStyle w:val="TableTextNumbers"/>
              <w:numPr>
                <w:ilvl w:val="0"/>
                <w:numId w:val="0"/>
              </w:numPr>
              <w:ind w:left="288" w:hanging="288"/>
            </w:pPr>
            <w:r>
              <w:t>OR</w:t>
            </w:r>
          </w:p>
          <w:p w14:paraId="05052571" w14:textId="317A1FAB" w:rsidR="00085388" w:rsidRDefault="00085388" w:rsidP="004F5DD2">
            <w:pPr>
              <w:pStyle w:val="TableTextNumbers"/>
              <w:numPr>
                <w:ilvl w:val="0"/>
                <w:numId w:val="0"/>
              </w:numPr>
              <w:ind w:left="288" w:hanging="288"/>
            </w:pPr>
          </w:p>
          <w:p w14:paraId="4DD6E65D" w14:textId="197E8950" w:rsidR="004A48EB" w:rsidRDefault="00085388" w:rsidP="00E504C7">
            <w:pPr>
              <w:pStyle w:val="TableTextNumbersContinued"/>
            </w:pPr>
            <w:r>
              <w:t>In the remote desktop window</w:t>
            </w:r>
            <w:r w:rsidR="00662B75">
              <w:t xml:space="preserve"> title bar or connection bar</w:t>
            </w:r>
            <w:r>
              <w:t xml:space="preserve">, click the </w:t>
            </w:r>
            <w:r w:rsidR="00D553A3" w:rsidRPr="00E504C7">
              <w:rPr>
                <w:b/>
                <w:bCs/>
              </w:rPr>
              <w:t>X</w:t>
            </w:r>
            <w:r w:rsidR="00A23FF9">
              <w:t>.</w:t>
            </w:r>
            <w:r w:rsidR="006621FD">
              <w:t xml:space="preserve"> If prompted about closing the remote desktop session, click </w:t>
            </w:r>
            <w:r w:rsidR="002A7CAB" w:rsidRPr="00E504C7">
              <w:rPr>
                <w:b/>
                <w:bCs/>
              </w:rPr>
              <w:t>OK</w:t>
            </w:r>
            <w:r w:rsidR="006621FD">
              <w:t>.</w:t>
            </w:r>
          </w:p>
        </w:tc>
        <w:tc>
          <w:tcPr>
            <w:tcW w:w="5963" w:type="dxa"/>
          </w:tcPr>
          <w:p w14:paraId="48505AB2" w14:textId="56946FD0" w:rsidR="004A48EB" w:rsidRPr="00374EA9" w:rsidRDefault="00B145BB" w:rsidP="004F5DD2">
            <w:pPr>
              <w:pStyle w:val="TableTextBullet"/>
              <w:rPr>
                <w:b/>
                <w:bCs/>
                <w:szCs w:val="18"/>
              </w:rPr>
            </w:pPr>
            <w:r>
              <w:t>The</w:t>
            </w:r>
            <w:r w:rsidR="00235A1D">
              <w:t xml:space="preserve"> VBECS </w:t>
            </w:r>
            <w:r>
              <w:t xml:space="preserve">application </w:t>
            </w:r>
            <w:r w:rsidR="00277C3A">
              <w:t>is unaffected</w:t>
            </w:r>
            <w:r w:rsidR="00A33FCC">
              <w:t>.</w:t>
            </w:r>
          </w:p>
          <w:p w14:paraId="4DB4417E" w14:textId="77777777" w:rsidR="004A48EB" w:rsidRPr="00EF4212" w:rsidRDefault="004A48EB" w:rsidP="004F5DD2">
            <w:pPr>
              <w:pStyle w:val="TableTextBullet"/>
              <w:rPr>
                <w:b/>
                <w:bCs/>
                <w:szCs w:val="18"/>
              </w:rPr>
            </w:pPr>
            <w:r>
              <w:t>The user is disconnected from the application server.</w:t>
            </w:r>
          </w:p>
          <w:p w14:paraId="17416F05" w14:textId="1F735860" w:rsidR="004A48EB" w:rsidRPr="00AC123F" w:rsidRDefault="004A48EB" w:rsidP="004F5DD2">
            <w:pPr>
              <w:pStyle w:val="TableTextBullet"/>
              <w:rPr>
                <w:b/>
                <w:bCs/>
                <w:szCs w:val="18"/>
              </w:rPr>
            </w:pPr>
            <w:r>
              <w:t xml:space="preserve">The application server session </w:t>
            </w:r>
            <w:r w:rsidR="00277C3A">
              <w:t xml:space="preserve">remains </w:t>
            </w:r>
            <w:r w:rsidR="00E33E4F">
              <w:t>active.</w:t>
            </w:r>
            <w:r w:rsidR="00A40500">
              <w:t xml:space="preserve"> The user may reconnect to this session</w:t>
            </w:r>
            <w:r w:rsidR="00E75743">
              <w:t xml:space="preserve"> from any workstation before it automatically ends after 60 minutes.</w:t>
            </w:r>
          </w:p>
        </w:tc>
      </w:tr>
    </w:tbl>
    <w:p w14:paraId="79EA18A0" w14:textId="7A7D126C" w:rsidR="009B4546" w:rsidRDefault="009B4546" w:rsidP="006B317D">
      <w:pPr>
        <w:pStyle w:val="Heading4"/>
      </w:pPr>
      <w:r>
        <w:t xml:space="preserve">Local Machine Screen </w:t>
      </w:r>
      <w:r w:rsidR="00BF4B65">
        <w:t>Resolution</w:t>
      </w:r>
      <w:r>
        <w:fldChar w:fldCharType="begin"/>
      </w:r>
      <w:r>
        <w:instrText xml:space="preserve"> XE "Local Machine </w:instrText>
      </w:r>
      <w:r w:rsidRPr="00775368">
        <w:instrText xml:space="preserve">Screen </w:instrText>
      </w:r>
      <w:r w:rsidR="00BF4B65">
        <w:instrText>Resolution</w:instrText>
      </w:r>
      <w:r>
        <w:instrText xml:space="preserve">" </w:instrText>
      </w:r>
      <w:r>
        <w:fldChar w:fldCharType="end"/>
      </w:r>
    </w:p>
    <w:p w14:paraId="24BF9F4C" w14:textId="202BA43C" w:rsidR="009B4546" w:rsidRPr="00AB3B2D" w:rsidRDefault="00057948" w:rsidP="001964E3">
      <w:pPr>
        <w:pStyle w:val="Caution"/>
        <w:rPr>
          <w:i w:val="0"/>
        </w:rPr>
      </w:pPr>
      <w:bookmarkStart w:id="104" w:name="OLE_LINK47"/>
      <w:bookmarkStart w:id="105" w:name="OLE_LINK48"/>
      <w:r>
        <w:rPr>
          <w:noProof/>
        </w:rPr>
        <w:drawing>
          <wp:inline distT="0" distB="0" distL="0" distR="0" wp14:anchorId="4171A323" wp14:editId="05AD8616">
            <wp:extent cx="267970" cy="221615"/>
            <wp:effectExtent l="0" t="0" r="0" b="6985"/>
            <wp:docPr id="56" name="Picture 56"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B4546">
        <w:t xml:space="preserve"> </w:t>
      </w:r>
      <w:bookmarkEnd w:id="104"/>
      <w:bookmarkEnd w:id="105"/>
      <w:r w:rsidR="0078056E">
        <w:t>Set t</w:t>
      </w:r>
      <w:r w:rsidR="009B4546">
        <w:t xml:space="preserve">he local machine’s desktop </w:t>
      </w:r>
      <w:r w:rsidR="00BF4B65">
        <w:t>resolution</w:t>
      </w:r>
      <w:r w:rsidR="009B4546">
        <w:t xml:space="preserve"> to 1</w:t>
      </w:r>
      <w:r w:rsidR="00BF4B65">
        <w:t>02</w:t>
      </w:r>
      <w:r w:rsidR="009B4546">
        <w:t xml:space="preserve">4 </w:t>
      </w:r>
      <w:r w:rsidR="00176587">
        <w:t>by</w:t>
      </w:r>
      <w:r w:rsidR="009B4546">
        <w:t xml:space="preserve"> 768 pixels</w:t>
      </w:r>
      <w:r w:rsidR="006E036F">
        <w:t xml:space="preserve"> </w:t>
      </w:r>
      <w:r w:rsidR="006E036F" w:rsidRPr="00624D16">
        <w:t>or higher</w:t>
      </w:r>
      <w:r w:rsidR="0078056E" w:rsidRPr="00624D16">
        <w:t xml:space="preserve"> for</w:t>
      </w:r>
      <w:r w:rsidR="0078056E">
        <w:t xml:space="preserve"> optimal display</w:t>
      </w:r>
      <w:r w:rsidR="009B4546">
        <w:t>.</w:t>
      </w:r>
      <w:r w:rsidR="00740FD0">
        <w:t xml:space="preserve"> Failure to maintain these settings may result in partial display of safety-critical information.</w:t>
      </w:r>
      <w:r w:rsidR="00AB3B2D">
        <w:rPr>
          <w:i w:val="0"/>
          <w:vanish/>
        </w:rPr>
        <w:t xml:space="preserve"> DR 3738</w:t>
      </w:r>
    </w:p>
    <w:p w14:paraId="397608D9" w14:textId="32DF29AB" w:rsidR="00727879" w:rsidRDefault="00EA07D7" w:rsidP="001964E3">
      <w:pPr>
        <w:pStyle w:val="Heading3"/>
        <w:keepNext w:val="0"/>
      </w:pPr>
      <w:bookmarkStart w:id="106" w:name="_Toc149064072"/>
      <w:r>
        <w:t>Application Windows</w:t>
      </w:r>
      <w:bookmarkEnd w:id="106"/>
      <w:r>
        <w:t xml:space="preserve"> </w:t>
      </w:r>
      <w:r w:rsidR="00D07403">
        <w:fldChar w:fldCharType="begin"/>
      </w:r>
      <w:r w:rsidR="00D07403">
        <w:instrText xml:space="preserve"> XE "</w:instrText>
      </w:r>
      <w:r w:rsidR="00D07403" w:rsidRPr="00775368">
        <w:instrText>Screen Display</w:instrText>
      </w:r>
      <w:r w:rsidR="00D07403">
        <w:instrText xml:space="preserve">" </w:instrText>
      </w:r>
      <w:r w:rsidR="00D07403">
        <w:fldChar w:fldCharType="end"/>
      </w:r>
    </w:p>
    <w:p w14:paraId="003E3DE9" w14:textId="77777777" w:rsidR="002A21AE" w:rsidRDefault="002A21AE" w:rsidP="001964E3">
      <w:pPr>
        <w:pStyle w:val="BodyText"/>
      </w:pPr>
      <w:r>
        <w:t xml:space="preserve">A </w:t>
      </w:r>
      <w:r>
        <w:rPr>
          <w:i/>
        </w:rPr>
        <w:t>window</w:t>
      </w:r>
      <w:r>
        <w:t xml:space="preserve"> is the section of the screen that displays the active application or file. </w:t>
      </w:r>
    </w:p>
    <w:p w14:paraId="6ED9B549" w14:textId="6A063D8C" w:rsidR="002A21AE" w:rsidRDefault="002A21AE" w:rsidP="00FA7E65">
      <w:pPr>
        <w:pStyle w:val="BodyText"/>
      </w:pPr>
      <w:r>
        <w:t>Click t</w:t>
      </w:r>
      <w:r w:rsidR="00634DAB">
        <w:t>he control buttons in the upper-</w:t>
      </w:r>
      <w:r>
        <w:t xml:space="preserve">right corner </w:t>
      </w:r>
      <w:r w:rsidR="00E627F1">
        <w:t>(</w:t>
      </w:r>
      <w:r w:rsidR="00EE455E">
        <w:t xml:space="preserve">Figure </w:t>
      </w:r>
      <w:r w:rsidR="00EE455E">
        <w:rPr>
          <w:noProof/>
        </w:rPr>
        <w:t>19</w:t>
      </w:r>
      <w:r w:rsidR="00E627F1">
        <w:t xml:space="preserve">) </w:t>
      </w:r>
      <w:r>
        <w:t xml:space="preserve">of an open file or application window to: </w:t>
      </w:r>
    </w:p>
    <w:p w14:paraId="310CA0B7" w14:textId="25F6B754" w:rsidR="002A21AE" w:rsidRDefault="002A21AE">
      <w:pPr>
        <w:pStyle w:val="ListBullet"/>
      </w:pPr>
      <w:r>
        <w:t xml:space="preserve">Minimize: reduce the window </w:t>
      </w:r>
      <w:r>
        <w:rPr>
          <w:szCs w:val="24"/>
        </w:rPr>
        <w:t xml:space="preserve">to appear as a button (rectangle) at the bottom of the screen. Click the button to enlarge the window to its </w:t>
      </w:r>
      <w:r w:rsidR="00262E92">
        <w:rPr>
          <w:szCs w:val="24"/>
        </w:rPr>
        <w:t>previous</w:t>
      </w:r>
      <w:r>
        <w:rPr>
          <w:szCs w:val="24"/>
        </w:rPr>
        <w:t xml:space="preserve"> size.</w:t>
      </w:r>
    </w:p>
    <w:p w14:paraId="4C7E639F" w14:textId="2D921430" w:rsidR="002A21AE" w:rsidRDefault="002A21AE">
      <w:pPr>
        <w:pStyle w:val="ListBullet"/>
      </w:pPr>
      <w:r>
        <w:t>Maximize: enlarge a window to fill the entire screen</w:t>
      </w:r>
      <w:r w:rsidR="00262E92">
        <w:t xml:space="preserve"> or parent window</w:t>
      </w:r>
    </w:p>
    <w:p w14:paraId="27C0AE1E" w14:textId="73FC921A" w:rsidR="002A21AE" w:rsidRDefault="002A21AE">
      <w:pPr>
        <w:pStyle w:val="ListBullet"/>
      </w:pPr>
      <w:r>
        <w:t>Restore: return a window to a smaller size that can be adjusted</w:t>
      </w:r>
      <w:r w:rsidR="00486D34">
        <w:t xml:space="preserve"> </w:t>
      </w:r>
      <w:r w:rsidR="007A3208">
        <w:t>(</w:t>
      </w:r>
      <w:r w:rsidR="00EE455E">
        <w:t xml:space="preserve">Figure </w:t>
      </w:r>
      <w:r w:rsidR="00EE455E">
        <w:rPr>
          <w:noProof/>
        </w:rPr>
        <w:t>20</w:t>
      </w:r>
      <w:r w:rsidR="00E627F1">
        <w:t>)</w:t>
      </w:r>
    </w:p>
    <w:p w14:paraId="25E48932" w14:textId="347BDD6D" w:rsidR="002A21AE" w:rsidRDefault="002A21AE">
      <w:pPr>
        <w:pStyle w:val="ListBullet"/>
      </w:pPr>
      <w:r>
        <w:t xml:space="preserve">Close: shut down a </w:t>
      </w:r>
      <w:r w:rsidR="00262E92">
        <w:t>window</w:t>
      </w:r>
      <w:r>
        <w:t xml:space="preserve"> or application </w:t>
      </w:r>
    </w:p>
    <w:p w14:paraId="4B7003E7" w14:textId="77777777" w:rsidR="00DF4846" w:rsidRPr="00DF4846" w:rsidRDefault="00057948" w:rsidP="00DF4846">
      <w:pPr>
        <w:pStyle w:val="Caution"/>
      </w:pPr>
      <w:r>
        <w:rPr>
          <w:noProof/>
        </w:rPr>
        <w:drawing>
          <wp:inline distT="0" distB="0" distL="0" distR="0" wp14:anchorId="5C98482B" wp14:editId="73E50C44">
            <wp:extent cx="267970" cy="221615"/>
            <wp:effectExtent l="0" t="0" r="0" b="6985"/>
            <wp:docPr id="62" name="Picture 6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DF4846">
        <w:t xml:space="preserve"> Maximize option windows</w:t>
      </w:r>
      <w:r w:rsidR="00DF4846" w:rsidRPr="00DF4846">
        <w:t xml:space="preserve"> to display safety-critical information</w:t>
      </w:r>
      <w:r w:rsidR="00DF4846">
        <w:t xml:space="preserve"> in full.</w:t>
      </w:r>
      <w:r w:rsidR="00DF4846" w:rsidRPr="00DF4846">
        <w:rPr>
          <w:vanish/>
        </w:rPr>
        <w:t xml:space="preserve"> UserDoc Task 1124.</w:t>
      </w:r>
    </w:p>
    <w:p w14:paraId="532558AC" w14:textId="683088B1" w:rsidR="007A3208" w:rsidRDefault="007E150C" w:rsidP="007A3208">
      <w:pPr>
        <w:pStyle w:val="Caption"/>
      </w:pPr>
      <w:bookmarkStart w:id="107" w:name="_Ref39344403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19</w:t>
      </w:r>
      <w:r w:rsidR="004E20BD">
        <w:rPr>
          <w:noProof/>
        </w:rPr>
        <w:fldChar w:fldCharType="end"/>
      </w:r>
      <w:bookmarkEnd w:id="107"/>
      <w:r>
        <w:t xml:space="preserve">: </w:t>
      </w:r>
      <w:r w:rsidR="00DE2276">
        <w:t xml:space="preserve">Example of </w:t>
      </w:r>
      <w:r>
        <w:t>Resize or Close a Window</w:t>
      </w:r>
    </w:p>
    <w:p w14:paraId="11DF0C4B" w14:textId="307A4168" w:rsidR="00CB5D3F" w:rsidRPr="00CB5D3F" w:rsidRDefault="00CB5D3F" w:rsidP="00CB5D3F">
      <w:pPr>
        <w:pStyle w:val="BodyText"/>
      </w:pPr>
      <w:r>
        <w:rPr>
          <w:noProof/>
        </w:rPr>
        <mc:AlternateContent>
          <mc:Choice Requires="wpc">
            <w:drawing>
              <wp:inline distT="0" distB="0" distL="0" distR="0" wp14:anchorId="5D2C0520" wp14:editId="6801D754">
                <wp:extent cx="3848100" cy="1009650"/>
                <wp:effectExtent l="0" t="0" r="0" b="0"/>
                <wp:docPr id="68" name="Canvas 2" descr="Example of Resize or Close a Window screen captur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8"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0160" y="494665"/>
                            <a:ext cx="344360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Line 5"/>
                        <wps:cNvCnPr/>
                        <wps:spPr bwMode="auto">
                          <a:xfrm flipH="1">
                            <a:off x="3299460" y="349250"/>
                            <a:ext cx="208280" cy="22923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6"/>
                        <wps:cNvSpPr>
                          <a:spLocks noChangeArrowheads="1"/>
                        </wps:cNvSpPr>
                        <wps:spPr bwMode="auto">
                          <a:xfrm>
                            <a:off x="3597910" y="298450"/>
                            <a:ext cx="2273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761A1" w14:textId="77777777" w:rsidR="00EA60B6" w:rsidRDefault="00EA60B6" w:rsidP="00CB5D3F">
                              <w:r>
                                <w:rPr>
                                  <w:rFonts w:ascii="Arial" w:hAnsi="Arial" w:cs="Arial"/>
                                  <w:color w:val="000000"/>
                                  <w:sz w:val="14"/>
                                  <w:szCs w:val="14"/>
                                </w:rPr>
                                <w:t>Close</w:t>
                              </w:r>
                            </w:p>
                          </w:txbxContent>
                        </wps:txbx>
                        <wps:bodyPr rot="0" vert="horz" wrap="square" lIns="0" tIns="0" rIns="0" bIns="0" anchor="t" anchorCtr="0" upright="1">
                          <a:noAutofit/>
                        </wps:bodyPr>
                      </wps:wsp>
                      <wps:wsp>
                        <wps:cNvPr id="61" name="Line 7"/>
                        <wps:cNvCnPr/>
                        <wps:spPr bwMode="auto">
                          <a:xfrm>
                            <a:off x="2880995" y="421005"/>
                            <a:ext cx="104775" cy="157480"/>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8"/>
                        <wps:cNvSpPr>
                          <a:spLocks noChangeArrowheads="1"/>
                        </wps:cNvSpPr>
                        <wps:spPr bwMode="auto">
                          <a:xfrm>
                            <a:off x="2693035" y="267970"/>
                            <a:ext cx="3511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8C6A0" w14:textId="77777777" w:rsidR="00EA60B6" w:rsidRDefault="00EA60B6" w:rsidP="00CB5D3F">
                              <w:r>
                                <w:rPr>
                                  <w:rFonts w:ascii="Arial" w:hAnsi="Arial" w:cs="Arial"/>
                                  <w:color w:val="000000"/>
                                  <w:sz w:val="14"/>
                                  <w:szCs w:val="14"/>
                                </w:rPr>
                                <w:t>Minimize</w:t>
                              </w:r>
                            </w:p>
                          </w:txbxContent>
                        </wps:txbx>
                        <wps:bodyPr rot="0" vert="horz" wrap="square" lIns="0" tIns="0" rIns="0" bIns="0" anchor="t" anchorCtr="0" upright="1">
                          <a:noAutofit/>
                        </wps:bodyPr>
                      </wps:wsp>
                      <wps:wsp>
                        <wps:cNvPr id="66" name="Line 9"/>
                        <wps:cNvCnPr/>
                        <wps:spPr bwMode="auto">
                          <a:xfrm flipH="1">
                            <a:off x="3142615" y="185420"/>
                            <a:ext cx="52070" cy="366395"/>
                          </a:xfrm>
                          <a:prstGeom prst="line">
                            <a:avLst/>
                          </a:prstGeom>
                          <a:noFill/>
                          <a:ln w="2540" cap="rnd">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10"/>
                        <wps:cNvSpPr>
                          <a:spLocks noChangeArrowheads="1"/>
                        </wps:cNvSpPr>
                        <wps:spPr bwMode="auto">
                          <a:xfrm>
                            <a:off x="3011805" y="30480"/>
                            <a:ext cx="3759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318AE" w14:textId="77777777" w:rsidR="00EA60B6" w:rsidRDefault="00EA60B6" w:rsidP="00CB5D3F">
                              <w:r>
                                <w:rPr>
                                  <w:rFonts w:ascii="Arial" w:hAnsi="Arial" w:cs="Arial"/>
                                  <w:color w:val="000000"/>
                                  <w:sz w:val="14"/>
                                  <w:szCs w:val="14"/>
                                </w:rPr>
                                <w:t xml:space="preserve">Maximize </w:t>
                              </w:r>
                            </w:p>
                          </w:txbxContent>
                        </wps:txbx>
                        <wps:bodyPr rot="0" vert="horz" wrap="square" lIns="0" tIns="0" rIns="0" bIns="0" anchor="t" anchorCtr="0" upright="1">
                          <a:noAutofit/>
                        </wps:bodyPr>
                      </wps:wsp>
                    </wpc:wpc>
                  </a:graphicData>
                </a:graphic>
              </wp:inline>
            </w:drawing>
          </mc:Choice>
          <mc:Fallback>
            <w:pict>
              <v:group w14:anchorId="5D2C0520" id="Canvas 2" o:spid="_x0000_s1027" editas="canvas" alt="Example of Resize or Close a Window screen capture" style="width:303pt;height:79.5pt;mso-position-horizontal-relative:char;mso-position-vertical-relative:line" coordsize="38481,100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">
                <v:shape id="_x0000_s1028" type="#_x0000_t75" alt="Example of Resize or Close a Window screen capture" style="position:absolute;width:38481;height:10096;visibility:visible;mso-wrap-style:square">
                  <v:fill o:detectmouseclick="t"/>
                  <v:path o:connecttype="none"/>
                </v:shape>
                <v:shape id="Picture 4" o:spid="_x0000_s1029" type="#_x0000_t75" style="position:absolute;left:101;top:4946;width:34436;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">
                  <v:imagedata r:id="rId62" o:title=""/>
                </v:shape>
                <v:line id="Line 5" o:spid="_x0000_s1030" style="position:absolute;flip:x;visibility:visible;mso-wrap-style:square" from="32994,3492" to="35077,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" strokeweight=".2pt">
                  <v:stroke endcap="round"/>
                </v:line>
                <v:rect id="Rectangle 6" o:spid="_x0000_s1031" style="position:absolute;left:35979;top:2984;width:227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34E761A1" w14:textId="77777777" w:rsidR="00EA60B6" w:rsidRDefault="00EA60B6" w:rsidP="00CB5D3F">
                        <w:r>
                          <w:rPr>
                            <w:rFonts w:ascii="Arial" w:hAnsi="Arial" w:cs="Arial"/>
                            <w:color w:val="000000"/>
                            <w:sz w:val="14"/>
                            <w:szCs w:val="14"/>
                          </w:rPr>
                          <w:t>Close</w:t>
                        </w:r>
                      </w:p>
                    </w:txbxContent>
                  </v:textbox>
                </v:rect>
                <v:line id="Line 7" o:spid="_x0000_s1032" style="position:absolute;visibility:visible;mso-wrap-style:square" from="28809,4210" to="29857,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" strokeweight=".2pt">
                  <v:stroke endcap="round"/>
                </v:line>
                <v:rect id="Rectangle 8" o:spid="_x0000_s1033" style="position:absolute;left:26930;top:2679;width:351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CD8C6A0" w14:textId="77777777" w:rsidR="00EA60B6" w:rsidRDefault="00EA60B6" w:rsidP="00CB5D3F">
                        <w:r>
                          <w:rPr>
                            <w:rFonts w:ascii="Arial" w:hAnsi="Arial" w:cs="Arial"/>
                            <w:color w:val="000000"/>
                            <w:sz w:val="14"/>
                            <w:szCs w:val="14"/>
                          </w:rPr>
                          <w:t>Minimize</w:t>
                        </w:r>
                      </w:p>
                    </w:txbxContent>
                  </v:textbox>
                </v:rect>
                <v:line id="Line 9" o:spid="_x0000_s1034" style="position:absolute;flip:x;visibility:visible;mso-wrap-style:square" from="31426,1854" to="31946,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" strokeweight=".2pt">
                  <v:stroke endcap="round"/>
                </v:line>
                <v:rect id="Rectangle 10" o:spid="_x0000_s1035" style="position:absolute;left:30118;top:304;width:375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65F318AE" w14:textId="77777777" w:rsidR="00EA60B6" w:rsidRDefault="00EA60B6" w:rsidP="00CB5D3F">
                        <w:r>
                          <w:rPr>
                            <w:rFonts w:ascii="Arial" w:hAnsi="Arial" w:cs="Arial"/>
                            <w:color w:val="000000"/>
                            <w:sz w:val="14"/>
                            <w:szCs w:val="14"/>
                          </w:rPr>
                          <w:t xml:space="preserve">Maximize </w:t>
                        </w:r>
                      </w:p>
                    </w:txbxContent>
                  </v:textbox>
                </v:rect>
                <w10:anchorlock/>
              </v:group>
            </w:pict>
          </mc:Fallback>
        </mc:AlternateContent>
      </w:r>
    </w:p>
    <w:p w14:paraId="2BC7D727" w14:textId="4C352D92" w:rsidR="007A3208" w:rsidRDefault="007E150C" w:rsidP="007A3208">
      <w:pPr>
        <w:pStyle w:val="Caption"/>
      </w:pPr>
      <w:r>
        <w:tab/>
      </w:r>
      <w:r w:rsidR="007A3208">
        <w:tab/>
      </w:r>
      <w:r w:rsidR="007A3208">
        <w:tab/>
      </w:r>
      <w:r w:rsidR="007A3208">
        <w:tab/>
      </w:r>
    </w:p>
    <w:p w14:paraId="23528C5D" w14:textId="4D94F7C4" w:rsidR="007E150C" w:rsidRDefault="007A3208" w:rsidP="007A3208">
      <w:pPr>
        <w:pStyle w:val="Caption"/>
      </w:pPr>
      <w:bookmarkStart w:id="108" w:name="_Ref82537199"/>
      <w:r>
        <w:t xml:space="preserve">Figure </w:t>
      </w:r>
      <w:fldSimple w:instr=" SEQ Figure \* ARABIC ">
        <w:r w:rsidR="00ED2D38">
          <w:rPr>
            <w:noProof/>
          </w:rPr>
          <w:t>20</w:t>
        </w:r>
      </w:fldSimple>
      <w:bookmarkEnd w:id="108"/>
      <w:r>
        <w:t xml:space="preserve">: </w:t>
      </w:r>
      <w:r w:rsidR="00DE2276">
        <w:t xml:space="preserve">Example of </w:t>
      </w:r>
      <w:r>
        <w:t>Restore a Window</w:t>
      </w:r>
    </w:p>
    <w:p w14:paraId="7E383778" w14:textId="5FA2F877" w:rsidR="007A3208" w:rsidRDefault="007A3208">
      <w:pPr>
        <w:pStyle w:val="BodyText"/>
      </w:pPr>
      <w:r>
        <w:rPr>
          <w:noProof/>
        </w:rPr>
        <w:drawing>
          <wp:inline distT="0" distB="0" distL="0" distR="0" wp14:anchorId="0A22D708" wp14:editId="33B3C096">
            <wp:extent cx="1597660" cy="591185"/>
            <wp:effectExtent l="0" t="0" r="2540" b="0"/>
            <wp:docPr id="50" name="Picture 50" descr="Example of Restore a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Example of Restore a Window screen captur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7660" cy="591185"/>
                    </a:xfrm>
                    <a:prstGeom prst="rect">
                      <a:avLst/>
                    </a:prstGeom>
                    <a:noFill/>
                    <a:ln>
                      <a:noFill/>
                    </a:ln>
                  </pic:spPr>
                </pic:pic>
              </a:graphicData>
            </a:graphic>
          </wp:inline>
        </w:drawing>
      </w:r>
    </w:p>
    <w:p w14:paraId="364E1037" w14:textId="77777777" w:rsidR="007A3208" w:rsidRDefault="007A3208">
      <w:pPr>
        <w:pStyle w:val="BodyText"/>
      </w:pPr>
    </w:p>
    <w:p w14:paraId="08FCA0B2" w14:textId="77777777" w:rsidR="002A21AE" w:rsidRPr="00762A84" w:rsidRDefault="00EF41C4" w:rsidP="00EF41C4">
      <w:pPr>
        <w:pStyle w:val="Caution"/>
      </w:pPr>
      <w:bookmarkStart w:id="109" w:name="OLE_LINK43"/>
      <w:bookmarkStart w:id="110" w:name="OLE_LINK44"/>
      <w:r>
        <w:t>When</w:t>
      </w:r>
      <w:r w:rsidR="00762A84">
        <w:t xml:space="preserve"> a</w:t>
      </w:r>
      <w:r>
        <w:t xml:space="preserve"> </w:t>
      </w:r>
      <w:r w:rsidR="00947497">
        <w:t xml:space="preserve">window is partially displayed or </w:t>
      </w:r>
      <w:r>
        <w:t>freezes</w:t>
      </w:r>
      <w:r w:rsidR="00762A84">
        <w:t>;</w:t>
      </w:r>
      <w:r>
        <w:t xml:space="preserve"> </w:t>
      </w:r>
      <w:r w:rsidR="00762A84">
        <w:t xml:space="preserve">or when you move from one window to another, enter information, return to the original window, and the entered information is not available, minimize then maximize the window to refresh it. </w:t>
      </w:r>
      <w:bookmarkEnd w:id="109"/>
      <w:bookmarkEnd w:id="110"/>
    </w:p>
    <w:p w14:paraId="5EAD8EE6" w14:textId="77777777" w:rsidR="002A21AE" w:rsidRDefault="002A21AE" w:rsidP="00FA7E65">
      <w:pPr>
        <w:pStyle w:val="BodyText"/>
      </w:pPr>
      <w:r>
        <w:t xml:space="preserve">To resize an open window: </w:t>
      </w:r>
    </w:p>
    <w:p w14:paraId="434FFD46" w14:textId="77777777" w:rsidR="002A21AE" w:rsidRDefault="002A21AE">
      <w:pPr>
        <w:pStyle w:val="ListBullet"/>
      </w:pPr>
      <w:r>
        <w:t>Make sure the Maximize symbol is visible.</w:t>
      </w:r>
    </w:p>
    <w:p w14:paraId="6EB43999" w14:textId="77777777" w:rsidR="002A21AE" w:rsidRDefault="002A21AE">
      <w:pPr>
        <w:pStyle w:val="ListBullet"/>
      </w:pPr>
      <w:r>
        <w:t xml:space="preserve">Change the width: move the mouse cursor to the left or right window border until the pointer changes into a horizontal double-headed arrow, then drag the border to the right or left. </w:t>
      </w:r>
    </w:p>
    <w:p w14:paraId="13129440" w14:textId="77777777" w:rsidR="002A21AE" w:rsidRDefault="002A21AE">
      <w:pPr>
        <w:pStyle w:val="ListBullet"/>
      </w:pPr>
      <w:r>
        <w:t xml:space="preserve">Change the height: move the mouse cursor to the top or bottom window border until the pointer changes into a vertical double-headed arrow, then drag the border up or down. </w:t>
      </w:r>
    </w:p>
    <w:p w14:paraId="4ACE23DB" w14:textId="77777777" w:rsidR="002A21AE" w:rsidRDefault="002A21AE">
      <w:pPr>
        <w:pStyle w:val="ListBullet"/>
      </w:pPr>
      <w:r>
        <w:t xml:space="preserve">Change the height and width together: move the mouse cursor to any window corner until the pointer changes into a diagonal double-headed arrow, and then drag the border in any direction. </w:t>
      </w:r>
    </w:p>
    <w:p w14:paraId="614262C5" w14:textId="77777777" w:rsidR="002A21AE" w:rsidRDefault="002A21AE">
      <w:pPr>
        <w:pStyle w:val="Caution"/>
      </w:pPr>
      <w:r>
        <w:t>A maximized window cannot be resized or moved.</w:t>
      </w:r>
    </w:p>
    <w:p w14:paraId="4AD41414" w14:textId="77777777" w:rsidR="003802FB" w:rsidRDefault="002A21AE" w:rsidP="003802FB">
      <w:pPr>
        <w:pStyle w:val="BodyText"/>
      </w:pPr>
      <w:r>
        <w:t xml:space="preserve">To move a window, click the dark blue bar at the top of the window. While </w:t>
      </w:r>
      <w:r w:rsidR="00DA43CD">
        <w:t>depressing</w:t>
      </w:r>
      <w:r>
        <w:t xml:space="preserve"> the mouse button, drag the </w:t>
      </w:r>
      <w:r w:rsidR="00B917A8">
        <w:t>window to the desired position.</w:t>
      </w:r>
    </w:p>
    <w:p w14:paraId="0BE8689C" w14:textId="77777777" w:rsidR="002A21AE" w:rsidRDefault="002A21AE" w:rsidP="00FA7E65">
      <w:pPr>
        <w:pStyle w:val="BodyText"/>
      </w:pPr>
      <w:r>
        <w:t xml:space="preserve">The </w:t>
      </w:r>
      <w:r w:rsidR="00794B04">
        <w:t>first time a user opens a form [</w:t>
      </w:r>
      <w:r>
        <w:t>such as the Blood Transfusion Record Form</w:t>
      </w:r>
      <w:r w:rsidR="00794B04">
        <w:t xml:space="preserve"> (BTRF</w:t>
      </w:r>
      <w:r>
        <w:t>)</w:t>
      </w:r>
      <w:r w:rsidR="00794B04">
        <w:t>]</w:t>
      </w:r>
      <w:r>
        <w:t>, VBECS displays it in cascade style. When a user opens the form again, VBECS displays it in the size and position last selected.</w:t>
      </w:r>
    </w:p>
    <w:p w14:paraId="6E01E2D0" w14:textId="77777777" w:rsidR="002A21AE" w:rsidRDefault="002A21AE">
      <w:pPr>
        <w:pStyle w:val="Caution"/>
      </w:pPr>
      <w:r>
        <w:t>Forms can be resized and moved in the same way that windows are resized and moved.</w:t>
      </w:r>
    </w:p>
    <w:p w14:paraId="6A47DD1E" w14:textId="364E4F4D" w:rsidR="00963F12" w:rsidRDefault="00963F12" w:rsidP="00963F12">
      <w:pPr>
        <w:pStyle w:val="Heading3"/>
      </w:pPr>
      <w:bookmarkStart w:id="111" w:name="_Toc149064073"/>
      <w:r>
        <w:t>Keyboard Shortcuts for Windows</w:t>
      </w:r>
      <w:bookmarkEnd w:id="111"/>
      <w:r>
        <w:fldChar w:fldCharType="begin"/>
      </w:r>
      <w:r>
        <w:instrText xml:space="preserve"> XE </w:instrText>
      </w:r>
      <w:r w:rsidR="00FA7E65">
        <w:instrText>“</w:instrText>
      </w:r>
      <w:r w:rsidRPr="00DB2C0F">
        <w:instrText>Keyboard Shortcuts for Windows</w:instrText>
      </w:r>
      <w:r w:rsidR="00FA7E65">
        <w:instrText>”</w:instrText>
      </w:r>
      <w:r>
        <w:instrText xml:space="preserve"> </w:instrText>
      </w:r>
      <w:r>
        <w:fldChar w:fldCharType="end"/>
      </w:r>
    </w:p>
    <w:p w14:paraId="61FAB31F" w14:textId="77777777" w:rsidR="00963F12" w:rsidRDefault="00963F12" w:rsidP="00FA7E65">
      <w:pPr>
        <w:pStyle w:val="BodyText"/>
      </w:pPr>
      <w:r w:rsidRPr="00FA7E65">
        <w:t>Using a mouse to navigate VBECS requires fewer steps than using the keyboard. A user who prefers using the keyboard may refer to these keyboard shortcuts</w:t>
      </w:r>
      <w:r w:rsidR="00327BDD" w:rsidRPr="00FA7E65">
        <w:t>. Keys precede</w:t>
      </w:r>
      <w:r w:rsidR="00031138" w:rsidRPr="00FA7E65">
        <w:t>d</w:t>
      </w:r>
      <w:r w:rsidR="00327BDD" w:rsidRPr="00FA7E65">
        <w:t xml:space="preserve"> </w:t>
      </w:r>
      <w:r w:rsidR="009A316C" w:rsidRPr="00FA7E65">
        <w:t>and/</w:t>
      </w:r>
      <w:r w:rsidR="00686D70">
        <w:t>or followed by “+” indicate</w:t>
      </w:r>
      <w:r w:rsidR="00327BDD" w:rsidRPr="00FA7E65">
        <w:t xml:space="preserve"> that they must be pressed simultaneously</w:t>
      </w:r>
      <w:r w:rsidRPr="00FA7E65">
        <w:t>:</w:t>
      </w:r>
    </w:p>
    <w:p w14:paraId="69B69A54" w14:textId="77777777" w:rsidR="00BC58B1" w:rsidRPr="008D0D9B" w:rsidRDefault="00BC58B1" w:rsidP="00BC58B1">
      <w:pPr>
        <w:pStyle w:val="Caution"/>
        <w:rPr>
          <w:i w:val="0"/>
        </w:rPr>
      </w:pPr>
      <w:r>
        <w:t>Keyboard navigation of VBECS does not accommodate the presentation of error providers or tool tips. A mouse is required to reveal this information as needed.</w:t>
      </w:r>
      <w:r>
        <w:rPr>
          <w:vanish/>
        </w:rPr>
        <w:t xml:space="preserve"> DR 3590</w:t>
      </w:r>
    </w:p>
    <w:p w14:paraId="1D4B8234" w14:textId="77777777" w:rsidR="00CD612D" w:rsidRDefault="00CD612D" w:rsidP="00CD612D">
      <w:pPr>
        <w:pStyle w:val="Heading4"/>
      </w:pPr>
      <w:r>
        <w:t>CPRS and VBECS</w:t>
      </w:r>
    </w:p>
    <w:p w14:paraId="74CEB7C4" w14:textId="77777777" w:rsidR="00CD612D" w:rsidRDefault="00CD612D" w:rsidP="00CD612D">
      <w:pPr>
        <w:pStyle w:val="ListBullet"/>
      </w:pPr>
      <w:r>
        <w:t xml:space="preserve">Toggle between </w:t>
      </w:r>
      <w:r w:rsidRPr="00634DAB">
        <w:rPr>
          <w:b/>
        </w:rPr>
        <w:t>VBECS</w:t>
      </w:r>
      <w:r>
        <w:t xml:space="preserve"> and </w:t>
      </w:r>
      <w:r w:rsidRPr="00634DAB">
        <w:rPr>
          <w:b/>
        </w:rPr>
        <w:t>CPRS</w:t>
      </w:r>
      <w:r>
        <w:t xml:space="preserve"> or another application: </w:t>
      </w:r>
      <w:r w:rsidRPr="00634DAB">
        <w:rPr>
          <w:b/>
        </w:rPr>
        <w:t>Alt</w:t>
      </w:r>
      <w:r w:rsidRPr="00823F58">
        <w:t xml:space="preserve"> + </w:t>
      </w:r>
      <w:r w:rsidRPr="00634DAB">
        <w:rPr>
          <w:b/>
        </w:rPr>
        <w:t>Tab</w:t>
      </w:r>
    </w:p>
    <w:p w14:paraId="396CC0DB" w14:textId="77777777" w:rsidR="00031138" w:rsidRDefault="00031138" w:rsidP="00031138">
      <w:pPr>
        <w:pStyle w:val="Heading4"/>
      </w:pPr>
      <w:r>
        <w:t>Menus</w:t>
      </w:r>
    </w:p>
    <w:p w14:paraId="1C2F65B5" w14:textId="77777777" w:rsidR="00CA479B" w:rsidRPr="007E7887" w:rsidRDefault="00CA479B" w:rsidP="00CA479B">
      <w:pPr>
        <w:pStyle w:val="ListBullet"/>
      </w:pPr>
      <w:r>
        <w:t>Display</w:t>
      </w:r>
      <w:r w:rsidRPr="007E7887">
        <w:t xml:space="preserve"> the </w:t>
      </w:r>
      <w:r w:rsidRPr="00634DAB">
        <w:rPr>
          <w:b/>
        </w:rPr>
        <w:t>Start</w:t>
      </w:r>
      <w:r w:rsidRPr="007E7887">
        <w:t xml:space="preserve"> menu (use the </w:t>
      </w:r>
      <w:r>
        <w:t>arrow</w:t>
      </w:r>
      <w:r w:rsidRPr="007E7887">
        <w:t xml:space="preserve"> keys to select an item)</w:t>
      </w:r>
      <w:r>
        <w:t xml:space="preserve">: </w:t>
      </w:r>
      <w:r w:rsidRPr="00634DAB">
        <w:rPr>
          <w:b/>
        </w:rPr>
        <w:t>Alt</w:t>
      </w:r>
      <w:r>
        <w:t xml:space="preserve"> + </w:t>
      </w:r>
      <w:r w:rsidRPr="00634DAB">
        <w:rPr>
          <w:b/>
        </w:rPr>
        <w:t>Home</w:t>
      </w:r>
    </w:p>
    <w:p w14:paraId="5B8CBE45" w14:textId="64C35DF5" w:rsidR="00CA479B" w:rsidRPr="007E7887" w:rsidRDefault="00CA479B" w:rsidP="00CA479B">
      <w:pPr>
        <w:pStyle w:val="ListBullet"/>
      </w:pPr>
      <w:r w:rsidRPr="007E7887">
        <w:t xml:space="preserve">Activate </w:t>
      </w:r>
      <w:r>
        <w:t xml:space="preserve">a </w:t>
      </w:r>
      <w:r w:rsidRPr="007E7887">
        <w:t>menu bar option</w:t>
      </w:r>
      <w:r>
        <w:t xml:space="preserve">: </w:t>
      </w:r>
      <w:r w:rsidRPr="00634DAB">
        <w:rPr>
          <w:b/>
        </w:rPr>
        <w:t>F10</w:t>
      </w:r>
      <w:r w:rsidR="00173A54">
        <w:rPr>
          <w:b/>
        </w:rPr>
        <w:t xml:space="preserve"> </w:t>
      </w:r>
      <w:r w:rsidR="00173A54" w:rsidRPr="00173A54">
        <w:rPr>
          <w:bCs/>
        </w:rPr>
        <w:t>or</w:t>
      </w:r>
      <w:r w:rsidR="00173A54">
        <w:rPr>
          <w:b/>
        </w:rPr>
        <w:t xml:space="preserve"> Alt</w:t>
      </w:r>
    </w:p>
    <w:p w14:paraId="416C352F" w14:textId="77777777" w:rsidR="00CA479B" w:rsidRPr="007E7887" w:rsidRDefault="00CA479B" w:rsidP="00CA479B">
      <w:pPr>
        <w:pStyle w:val="ListBullet"/>
      </w:pPr>
      <w:r w:rsidRPr="007E7887">
        <w:t>Open a menu</w:t>
      </w:r>
      <w:r>
        <w:t xml:space="preserve">: </w:t>
      </w:r>
      <w:r w:rsidRPr="00634DAB">
        <w:rPr>
          <w:b/>
        </w:rPr>
        <w:t>Alt</w:t>
      </w:r>
      <w:r w:rsidRPr="007E7887">
        <w:t xml:space="preserve"> + underscored letter</w:t>
      </w:r>
    </w:p>
    <w:p w14:paraId="6F4116ED" w14:textId="77777777" w:rsidR="00CA479B" w:rsidRPr="007E7887" w:rsidRDefault="00CA479B" w:rsidP="00CA479B">
      <w:pPr>
        <w:pStyle w:val="ListBullet"/>
      </w:pPr>
      <w:r>
        <w:t xml:space="preserve">Move to and select a menu item: Arrow key + </w:t>
      </w:r>
      <w:r w:rsidRPr="00634DAB">
        <w:rPr>
          <w:b/>
        </w:rPr>
        <w:t>Enter</w:t>
      </w:r>
    </w:p>
    <w:p w14:paraId="2F196D8C" w14:textId="77777777" w:rsidR="00CA479B" w:rsidRPr="007E7887" w:rsidRDefault="00CA479B" w:rsidP="00CA479B">
      <w:pPr>
        <w:pStyle w:val="ListBullet"/>
      </w:pPr>
      <w:r>
        <w:t xml:space="preserve">Open a submenu item: </w:t>
      </w:r>
      <w:r w:rsidRPr="00634DAB">
        <w:rPr>
          <w:b/>
        </w:rPr>
        <w:t>Shift</w:t>
      </w:r>
      <w:r>
        <w:t xml:space="preserve"> + letter (case insensitive)</w:t>
      </w:r>
    </w:p>
    <w:p w14:paraId="7D8C599D" w14:textId="77777777" w:rsidR="00CA479B" w:rsidRPr="007E7887" w:rsidRDefault="00CA479B" w:rsidP="00CA479B">
      <w:pPr>
        <w:pStyle w:val="ListBullet"/>
      </w:pPr>
      <w:r w:rsidRPr="007E7887">
        <w:t>Open a drop-down menu</w:t>
      </w:r>
      <w:r>
        <w:t xml:space="preserve">: </w:t>
      </w:r>
      <w:r w:rsidRPr="00634DAB">
        <w:rPr>
          <w:b/>
        </w:rPr>
        <w:t>Alt</w:t>
      </w:r>
      <w:r w:rsidRPr="007E7887">
        <w:t xml:space="preserve"> + </w:t>
      </w:r>
      <w:r>
        <w:t>down arrow key</w:t>
      </w:r>
    </w:p>
    <w:p w14:paraId="0C56E05D" w14:textId="4C875891" w:rsidR="00CA479B" w:rsidRPr="007E7887" w:rsidRDefault="00CA479B" w:rsidP="00CA479B">
      <w:pPr>
        <w:pStyle w:val="ListBullet"/>
      </w:pPr>
      <w:r w:rsidRPr="007E7887">
        <w:t>Close a drop-down menu</w:t>
      </w:r>
      <w:r>
        <w:t xml:space="preserve">: </w:t>
      </w:r>
      <w:r w:rsidRPr="00634DAB">
        <w:rPr>
          <w:b/>
        </w:rPr>
        <w:t>Alt</w:t>
      </w:r>
      <w:r w:rsidRPr="007E7887">
        <w:t xml:space="preserve"> + </w:t>
      </w:r>
      <w:r>
        <w:t>up arrow key</w:t>
      </w:r>
      <w:r w:rsidR="00140843">
        <w:t xml:space="preserve"> or </w:t>
      </w:r>
      <w:r w:rsidR="00140843" w:rsidRPr="00140843">
        <w:rPr>
          <w:b/>
          <w:bCs/>
        </w:rPr>
        <w:t>Escape</w:t>
      </w:r>
    </w:p>
    <w:p w14:paraId="7BE9FADE" w14:textId="154B0304" w:rsidR="00CA479B" w:rsidRPr="00031138" w:rsidRDefault="00CA479B" w:rsidP="00CA479B">
      <w:pPr>
        <w:pStyle w:val="ListBullet"/>
      </w:pPr>
      <w:r>
        <w:t>Display</w:t>
      </w:r>
      <w:r w:rsidRPr="007E7887">
        <w:t xml:space="preserve"> a shortcut menu for the selected item</w:t>
      </w:r>
      <w:r>
        <w:t xml:space="preserve">: </w:t>
      </w:r>
      <w:r w:rsidRPr="007E7887">
        <w:t>Application key</w:t>
      </w:r>
      <w:r>
        <w:t xml:space="preserve"> </w:t>
      </w:r>
      <w:r>
        <w:rPr>
          <w:rFonts w:ascii="Arial" w:hAnsi="Arial"/>
          <w:sz w:val="16"/>
          <w:szCs w:val="16"/>
        </w:rPr>
        <w:t>(</w:t>
      </w:r>
      <w:r w:rsidR="00D87841">
        <w:rPr>
          <w:noProof/>
        </w:rPr>
        <w:drawing>
          <wp:inline distT="0" distB="0" distL="0" distR="0" wp14:anchorId="0B204CBC" wp14:editId="4CDB1FB0">
            <wp:extent cx="333375" cy="276225"/>
            <wp:effectExtent l="0" t="0" r="9525" b="9525"/>
            <wp:docPr id="5" name="Picture 5" descr="Application k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lication key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Pr>
          <w:rFonts w:ascii="Arial" w:hAnsi="Arial"/>
          <w:sz w:val="16"/>
          <w:szCs w:val="16"/>
        </w:rPr>
        <w:t>)</w:t>
      </w:r>
    </w:p>
    <w:p w14:paraId="5A4A017F" w14:textId="77777777" w:rsidR="00957EE4" w:rsidRDefault="00C52F72" w:rsidP="00957EE4">
      <w:pPr>
        <w:pStyle w:val="Heading4"/>
      </w:pPr>
      <w:r>
        <w:t>Buttons, Check Boxes, and Fields</w:t>
      </w:r>
    </w:p>
    <w:p w14:paraId="64283FDF" w14:textId="545780C8" w:rsidR="00CA479B" w:rsidRPr="007E7887" w:rsidRDefault="00CA479B" w:rsidP="00CA479B">
      <w:pPr>
        <w:pStyle w:val="ListBullet"/>
      </w:pPr>
      <w:r>
        <w:t xml:space="preserve">Move to and select fields and buttons: </w:t>
      </w:r>
      <w:r w:rsidRPr="00634DAB">
        <w:rPr>
          <w:b/>
        </w:rPr>
        <w:t>Tab</w:t>
      </w:r>
      <w:r>
        <w:t xml:space="preserve"> </w:t>
      </w:r>
      <w:r w:rsidR="00D87841">
        <w:t xml:space="preserve">or </w:t>
      </w:r>
      <w:r w:rsidR="00D87841" w:rsidRPr="00D87841">
        <w:rPr>
          <w:b/>
          <w:bCs/>
        </w:rPr>
        <w:t>Alt</w:t>
      </w:r>
      <w:r w:rsidR="00D87841">
        <w:t xml:space="preserve"> </w:t>
      </w:r>
      <w:r>
        <w:t xml:space="preserve">+ </w:t>
      </w:r>
      <w:r w:rsidR="00140843" w:rsidRPr="00140843">
        <w:rPr>
          <w:bCs/>
        </w:rPr>
        <w:t>underscored letter</w:t>
      </w:r>
    </w:p>
    <w:p w14:paraId="77274CF0" w14:textId="77777777" w:rsidR="00CA479B" w:rsidRDefault="00CA479B" w:rsidP="00CA479B">
      <w:pPr>
        <w:pStyle w:val="ListBullet"/>
      </w:pPr>
      <w:r>
        <w:t xml:space="preserve">Select or clear a check box: </w:t>
      </w:r>
      <w:r w:rsidRPr="00634DAB">
        <w:rPr>
          <w:b/>
        </w:rPr>
        <w:t>Tab</w:t>
      </w:r>
      <w:r>
        <w:t xml:space="preserve">, arrow key (or </w:t>
      </w:r>
      <w:r w:rsidRPr="00634DAB">
        <w:rPr>
          <w:b/>
        </w:rPr>
        <w:t>Alt</w:t>
      </w:r>
      <w:r>
        <w:t xml:space="preserve"> + underscored letter), spacebar</w:t>
      </w:r>
    </w:p>
    <w:p w14:paraId="39BF87DA" w14:textId="291A73FA" w:rsidR="00CA479B" w:rsidRDefault="00CA479B" w:rsidP="00CA479B">
      <w:pPr>
        <w:pStyle w:val="ListBullet"/>
      </w:pPr>
      <w:r>
        <w:t xml:space="preserve">Select a </w:t>
      </w:r>
      <w:r w:rsidR="00140843">
        <w:t xml:space="preserve">different </w:t>
      </w:r>
      <w:r>
        <w:t xml:space="preserve">radio button: </w:t>
      </w:r>
      <w:r w:rsidRPr="00634DAB">
        <w:rPr>
          <w:b/>
        </w:rPr>
        <w:t>Tab</w:t>
      </w:r>
      <w:r>
        <w:t xml:space="preserve">, arrow key (or </w:t>
      </w:r>
      <w:r w:rsidRPr="00634DAB">
        <w:rPr>
          <w:b/>
        </w:rPr>
        <w:t>Alt</w:t>
      </w:r>
      <w:r>
        <w:t xml:space="preserve"> + underscored letter)</w:t>
      </w:r>
    </w:p>
    <w:p w14:paraId="76E00EAB" w14:textId="06725755" w:rsidR="0055000A" w:rsidRDefault="0055000A" w:rsidP="00CA479B">
      <w:pPr>
        <w:pStyle w:val="ListBullet"/>
      </w:pPr>
      <w:r>
        <w:t xml:space="preserve">Many windows contain a default </w:t>
      </w:r>
      <w:r w:rsidR="00D87841">
        <w:t>button</w:t>
      </w:r>
      <w:r>
        <w:t xml:space="preserve"> which is activated by pressing </w:t>
      </w:r>
      <w:r w:rsidRPr="0055000A">
        <w:rPr>
          <w:b/>
          <w:bCs/>
        </w:rPr>
        <w:t>Enter</w:t>
      </w:r>
    </w:p>
    <w:p w14:paraId="7F4126E9" w14:textId="4AE22FA5" w:rsidR="0055000A" w:rsidRDefault="0055000A" w:rsidP="0055000A">
      <w:pPr>
        <w:pStyle w:val="ListBullet"/>
      </w:pPr>
      <w:r>
        <w:t xml:space="preserve">Many windows contain a </w:t>
      </w:r>
      <w:r w:rsidRPr="0055000A">
        <w:rPr>
          <w:b/>
          <w:bCs/>
        </w:rPr>
        <w:t>Cancel/Close</w:t>
      </w:r>
      <w:r>
        <w:t xml:space="preserve"> button which is activated by pressing </w:t>
      </w:r>
      <w:r w:rsidRPr="0055000A">
        <w:rPr>
          <w:b/>
          <w:bCs/>
        </w:rPr>
        <w:t>Escape</w:t>
      </w:r>
    </w:p>
    <w:p w14:paraId="78285821" w14:textId="264DFFB8" w:rsidR="00CD612D" w:rsidRDefault="00CD612D" w:rsidP="00CD612D">
      <w:pPr>
        <w:pStyle w:val="Heading4"/>
      </w:pPr>
      <w:r>
        <w:t>Screen Prints</w:t>
      </w:r>
    </w:p>
    <w:p w14:paraId="3EC9DA9B" w14:textId="77777777" w:rsidR="00CD612D" w:rsidRDefault="00CD612D" w:rsidP="00CD612D">
      <w:pPr>
        <w:pStyle w:val="ListBullet"/>
      </w:pPr>
      <w:r>
        <w:t xml:space="preserve">Place a snapshot of the desktop on the local clipboard and paste it in another application: </w:t>
      </w:r>
      <w:r w:rsidRPr="00634DAB">
        <w:rPr>
          <w:b/>
        </w:rPr>
        <w:t>Ctrl</w:t>
      </w:r>
      <w:r>
        <w:t xml:space="preserve"> + </w:t>
      </w:r>
      <w:r w:rsidRPr="00634DAB">
        <w:rPr>
          <w:b/>
        </w:rPr>
        <w:t>Alt</w:t>
      </w:r>
      <w:r>
        <w:t xml:space="preserve"> + Plus (+ on the numeric keypad; </w:t>
      </w:r>
      <w:r w:rsidRPr="00634DAB">
        <w:rPr>
          <w:b/>
        </w:rPr>
        <w:t>Ctrl</w:t>
      </w:r>
      <w:r>
        <w:t xml:space="preserve"> + </w:t>
      </w:r>
      <w:r w:rsidRPr="00634DAB">
        <w:rPr>
          <w:b/>
        </w:rPr>
        <w:t>V</w:t>
      </w:r>
      <w:r>
        <w:t xml:space="preserve"> to paste)</w:t>
      </w:r>
    </w:p>
    <w:p w14:paraId="60D44672" w14:textId="1C7068A3" w:rsidR="00CD612D" w:rsidRDefault="00CD612D" w:rsidP="00CD612D">
      <w:pPr>
        <w:pStyle w:val="ListBullet"/>
      </w:pPr>
      <w:r>
        <w:t xml:space="preserve">Place a snapshot of the active window on the local clipboard and paste it in another application: </w:t>
      </w:r>
      <w:r w:rsidRPr="00634DAB">
        <w:rPr>
          <w:b/>
        </w:rPr>
        <w:t>Ctrl</w:t>
      </w:r>
      <w:r>
        <w:t xml:space="preserve"> + </w:t>
      </w:r>
      <w:r w:rsidRPr="00634DAB">
        <w:rPr>
          <w:b/>
        </w:rPr>
        <w:t>Alt</w:t>
      </w:r>
      <w:r>
        <w:t xml:space="preserve"> + Minus (</w:t>
      </w:r>
      <w:r w:rsidRPr="00634DAB">
        <w:rPr>
          <w:b/>
        </w:rPr>
        <w:t>–</w:t>
      </w:r>
      <w:r>
        <w:t xml:space="preserve"> on the numeric keypad; </w:t>
      </w:r>
      <w:r w:rsidRPr="00634DAB">
        <w:rPr>
          <w:b/>
        </w:rPr>
        <w:t>Ctrl</w:t>
      </w:r>
      <w:r>
        <w:t xml:space="preserve"> + </w:t>
      </w:r>
      <w:r w:rsidRPr="00634DAB">
        <w:rPr>
          <w:b/>
        </w:rPr>
        <w:t>V</w:t>
      </w:r>
      <w:r>
        <w:t xml:space="preserve"> to paste)</w:t>
      </w:r>
    </w:p>
    <w:p w14:paraId="1F6AF189" w14:textId="4EC17AE8" w:rsidR="007B32B4" w:rsidRDefault="007B32B4" w:rsidP="00CD612D">
      <w:pPr>
        <w:pStyle w:val="ListBullet"/>
      </w:pPr>
      <w:r>
        <w:t>See FAQ How to take faster screen shots from Remote Desktop Session</w:t>
      </w:r>
      <w:r w:rsidR="00911CAF">
        <w:t xml:space="preserve"> for additional information.</w:t>
      </w:r>
    </w:p>
    <w:p w14:paraId="4A9F70F5" w14:textId="00DF4F13" w:rsidR="002A21AE" w:rsidRDefault="002A21AE" w:rsidP="00963F12">
      <w:pPr>
        <w:pStyle w:val="Heading3"/>
      </w:pPr>
      <w:bookmarkStart w:id="112" w:name="_Toc149064074"/>
      <w:r>
        <w:t>Drop-Down Menus</w:t>
      </w:r>
      <w:bookmarkEnd w:id="112"/>
      <w:r>
        <w:fldChar w:fldCharType="begin"/>
      </w:r>
      <w:r>
        <w:instrText xml:space="preserve"> XE </w:instrText>
      </w:r>
      <w:r w:rsidR="00FA7E65">
        <w:instrText>“</w:instrText>
      </w:r>
      <w:r>
        <w:instrText>Drop-Down Menus</w:instrText>
      </w:r>
      <w:r w:rsidR="00FA7E65">
        <w:instrText>”</w:instrText>
      </w:r>
      <w:r>
        <w:instrText xml:space="preserve"> </w:instrText>
      </w:r>
      <w:r>
        <w:fldChar w:fldCharType="end"/>
      </w:r>
      <w:r>
        <w:t xml:space="preserve"> </w:t>
      </w:r>
    </w:p>
    <w:p w14:paraId="61BD5645" w14:textId="77777777" w:rsidR="002A21AE" w:rsidRDefault="002A21AE" w:rsidP="00FA7E65">
      <w:pPr>
        <w:pStyle w:val="BodyText"/>
      </w:pPr>
      <w:r>
        <w:t xml:space="preserve">A </w:t>
      </w:r>
      <w:r>
        <w:rPr>
          <w:i/>
        </w:rPr>
        <w:t>drop-down menu</w:t>
      </w:r>
      <w:r>
        <w:t xml:space="preserve"> may appear when a button is clicked or text is selected. Click or hold the mouse pointer over an item in a drop-down menu to reveal other items and submenus. Press an underscored letter (mnemonic) to select a menu it</w:t>
      </w:r>
      <w:r w:rsidR="000F5C7E">
        <w:t xml:space="preserve">em. To view underscored letters, press the </w:t>
      </w:r>
      <w:r w:rsidR="000F5C7E" w:rsidRPr="000F5C7E">
        <w:rPr>
          <w:b/>
        </w:rPr>
        <w:t>Alt</w:t>
      </w:r>
      <w:r w:rsidR="000F5C7E">
        <w:t xml:space="preserve"> key once.</w:t>
      </w:r>
    </w:p>
    <w:p w14:paraId="37A38B27" w14:textId="77777777" w:rsidR="002A21AE" w:rsidRDefault="002A21AE">
      <w:pPr>
        <w:pStyle w:val="Caution"/>
      </w:pPr>
      <w:r>
        <w:t xml:space="preserve">A </w:t>
      </w:r>
      <w:r w:rsidRPr="00092254">
        <w:rPr>
          <w:rFonts w:ascii="Webdings" w:hAnsi="Webdings"/>
          <w:i w:val="0"/>
        </w:rPr>
        <w:t></w:t>
      </w:r>
      <w:r w:rsidRPr="00092254">
        <w:rPr>
          <w:rFonts w:ascii="Webdings" w:hAnsi="Webdings"/>
        </w:rPr>
        <w:t></w:t>
      </w:r>
      <w:r>
        <w:t xml:space="preserve">(submenu arrow) next to a menu item indicates that a submenu is </w:t>
      </w:r>
      <w:r w:rsidR="00541DC0">
        <w:t>available. An</w:t>
      </w:r>
      <w:r>
        <w:t xml:space="preserve"> option that is not available to a user is visible but grayed out.</w:t>
      </w:r>
    </w:p>
    <w:p w14:paraId="181E3B33" w14:textId="77777777" w:rsidR="002A21AE" w:rsidRDefault="002A21AE">
      <w:pPr>
        <w:pStyle w:val="Heading3"/>
      </w:pPr>
      <w:bookmarkStart w:id="113" w:name="_Toc149064075"/>
      <w:r>
        <w:t>Tool Tips</w:t>
      </w:r>
      <w:bookmarkEnd w:id="113"/>
      <w:r>
        <w:fldChar w:fldCharType="begin"/>
      </w:r>
      <w:r>
        <w:instrText xml:space="preserve"> XE </w:instrText>
      </w:r>
      <w:r w:rsidR="00FA7E65">
        <w:instrText>“</w:instrText>
      </w:r>
      <w:r>
        <w:instrText>Tool Tips</w:instrText>
      </w:r>
      <w:r w:rsidR="00FA7E65">
        <w:instrText>”</w:instrText>
      </w:r>
      <w:r>
        <w:instrText xml:space="preserve"> </w:instrText>
      </w:r>
      <w:r>
        <w:fldChar w:fldCharType="end"/>
      </w:r>
    </w:p>
    <w:p w14:paraId="5AD1D9CF" w14:textId="77777777" w:rsidR="002A21AE" w:rsidRDefault="002A21AE" w:rsidP="00FA7E65">
      <w:pPr>
        <w:pStyle w:val="BodyText"/>
      </w:pPr>
      <w:bookmarkStart w:id="114" w:name="OLE_LINK49"/>
      <w:bookmarkStart w:id="115" w:name="OLE_LINK50"/>
      <w:r>
        <w:t xml:space="preserve">A </w:t>
      </w:r>
      <w:r>
        <w:rPr>
          <w:i/>
          <w:iCs/>
        </w:rPr>
        <w:t>tool tip</w:t>
      </w:r>
      <w:r>
        <w:t xml:space="preserve"> is a description or explanation that appears when the mouse pointer is held over </w:t>
      </w:r>
      <w:r w:rsidR="00DB268C">
        <w:t xml:space="preserve">(not selected or highlighted) </w:t>
      </w:r>
      <w:r>
        <w:t>a tool, button, or other object (without clicking a mouse button).</w:t>
      </w:r>
      <w:bookmarkEnd w:id="114"/>
      <w:bookmarkEnd w:id="115"/>
      <w:r>
        <w:t xml:space="preserve"> </w:t>
      </w:r>
    </w:p>
    <w:p w14:paraId="3F9DC293" w14:textId="77777777" w:rsidR="002A21AE" w:rsidRDefault="002A21AE">
      <w:pPr>
        <w:pStyle w:val="Caution"/>
      </w:pPr>
      <w:r>
        <w:t xml:space="preserve">When a tool tip does not </w:t>
      </w:r>
      <w:r w:rsidR="00643C9A">
        <w:t>appear</w:t>
      </w:r>
      <w:r>
        <w:t>, wait a few moments, then reposition the mouse pointer over the tool, button, or other object. If necessary, exit and reenter the window.</w:t>
      </w:r>
    </w:p>
    <w:p w14:paraId="223E5C38" w14:textId="77777777" w:rsidR="002A21AE" w:rsidRDefault="002A21AE" w:rsidP="00FA7E65">
      <w:pPr>
        <w:pStyle w:val="BodyText"/>
      </w:pPr>
      <w:r>
        <w:t>Tool tips appear with:</w:t>
      </w:r>
    </w:p>
    <w:p w14:paraId="4D648983" w14:textId="77777777" w:rsidR="002A21AE" w:rsidRDefault="002A21AE">
      <w:pPr>
        <w:pStyle w:val="ListBullet"/>
      </w:pPr>
      <w:r>
        <w:t>Some control buttons</w:t>
      </w:r>
    </w:p>
    <w:p w14:paraId="24FC5722" w14:textId="77777777" w:rsidR="002A21AE" w:rsidRDefault="002A21AE">
      <w:pPr>
        <w:pStyle w:val="ListBullet"/>
      </w:pPr>
      <w:r>
        <w:t>Icons in the Patient Information Toolbar</w:t>
      </w:r>
    </w:p>
    <w:p w14:paraId="7FA78672" w14:textId="77777777" w:rsidR="002A21AE" w:rsidRDefault="002A21AE">
      <w:pPr>
        <w:pStyle w:val="Caution"/>
      </w:pPr>
      <w:r>
        <w:t xml:space="preserve">Text enclosed in angle brackets (&lt; &gt;) in tool tips and messages </w:t>
      </w:r>
      <w:r w:rsidR="00443024">
        <w:t>will change</w:t>
      </w:r>
      <w:r>
        <w:t xml:space="preserve"> to reflect the current activity. </w:t>
      </w:r>
    </w:p>
    <w:p w14:paraId="58DDAE1C" w14:textId="77777777" w:rsidR="002A21AE" w:rsidRDefault="00040E3B" w:rsidP="00832E21">
      <w:pPr>
        <w:pStyle w:val="Caution"/>
        <w:pBdr>
          <w:top w:val="single" w:sz="4" w:space="3" w:color="auto"/>
        </w:pBdr>
      </w:pPr>
      <w:r>
        <w:t xml:space="preserve">The user may click column headings in some data displays, such as the Pending Task List, Pending Order List, and Select Units, to sort the information in those columns. </w:t>
      </w:r>
    </w:p>
    <w:p w14:paraId="4B6D5B30" w14:textId="613B55EE" w:rsidR="002A21AE" w:rsidRDefault="002A21AE">
      <w:pPr>
        <w:pStyle w:val="Heading3"/>
      </w:pPr>
      <w:bookmarkStart w:id="116" w:name="_Toc149064076"/>
      <w:r>
        <w:t>Icons and Buttons</w:t>
      </w:r>
      <w:bookmarkEnd w:id="116"/>
      <w:r>
        <w:fldChar w:fldCharType="begin"/>
      </w:r>
      <w:r>
        <w:instrText xml:space="preserve"> XE </w:instrText>
      </w:r>
      <w:r w:rsidR="00FA7E65">
        <w:instrText>“</w:instrText>
      </w:r>
      <w:r>
        <w:instrText>Icons and Buttons</w:instrText>
      </w:r>
      <w:r w:rsidR="00FA7E65">
        <w:instrText>”</w:instrText>
      </w:r>
      <w:r>
        <w:instrText xml:space="preserve"> </w:instrText>
      </w:r>
      <w:r>
        <w:fldChar w:fldCharType="end"/>
      </w:r>
    </w:p>
    <w:p w14:paraId="3D50134F" w14:textId="77777777" w:rsidR="002A21AE" w:rsidRDefault="002A21AE" w:rsidP="00FA7E65">
      <w:pPr>
        <w:pStyle w:val="BodyText"/>
      </w:pPr>
      <w:r>
        <w:t xml:space="preserve">VBECS uses several types of images to help you move through the system: </w:t>
      </w:r>
    </w:p>
    <w:p w14:paraId="4401937E" w14:textId="12EA0523" w:rsidR="002A21AE" w:rsidRDefault="002A21AE">
      <w:pPr>
        <w:pStyle w:val="ListBullet"/>
      </w:pPr>
      <w:r>
        <w:rPr>
          <w:i/>
          <w:iCs/>
        </w:rPr>
        <w:t>Icons</w:t>
      </w:r>
      <w:r>
        <w:t xml:space="preserve"> represent objects (information used in an application). The rectangular area in the lower</w:t>
      </w:r>
      <w:r w:rsidR="000E78EE">
        <w:t>-</w:t>
      </w:r>
      <w:r>
        <w:t>right corner of the screen (system tray) contains icons of programs that always run in the background</w:t>
      </w:r>
      <w:r w:rsidR="000E78EE">
        <w:t xml:space="preserve"> (see </w:t>
      </w:r>
      <w:r w:rsidR="00EE455E">
        <w:t>Main Status Bar</w:t>
      </w:r>
      <w:r w:rsidR="000E78EE">
        <w:t xml:space="preserve"> section).</w:t>
      </w:r>
    </w:p>
    <w:p w14:paraId="0B8421CB" w14:textId="77777777" w:rsidR="002A21AE" w:rsidRDefault="002A21AE">
      <w:pPr>
        <w:pStyle w:val="ListBullet"/>
      </w:pPr>
      <w:r>
        <w:rPr>
          <w:i/>
          <w:iCs/>
        </w:rPr>
        <w:t>Buttons</w:t>
      </w:r>
      <w:r>
        <w:t xml:space="preserve"> are icons that represent tools or commands. </w:t>
      </w:r>
    </w:p>
    <w:p w14:paraId="67111421" w14:textId="1BBA23DE" w:rsidR="002A21AE" w:rsidRDefault="002A21AE">
      <w:pPr>
        <w:pStyle w:val="ListBullet"/>
      </w:pPr>
      <w:r>
        <w:rPr>
          <w:i/>
          <w:iCs/>
        </w:rPr>
        <w:t xml:space="preserve">Radio buttons </w:t>
      </w:r>
      <w:r>
        <w:t xml:space="preserve">are small circles preceding text. Related radio buttons are grouped together. Only one </w:t>
      </w:r>
      <w:r w:rsidR="0055000A">
        <w:t xml:space="preserve">radio </w:t>
      </w:r>
      <w:r>
        <w:t>button in a group may be selected: clicking a</w:t>
      </w:r>
      <w:r w:rsidR="0055000A">
        <w:t xml:space="preserve"> radio</w:t>
      </w:r>
      <w:r>
        <w:t xml:space="preserve"> button turns the other radio buttons off.</w:t>
      </w:r>
    </w:p>
    <w:p w14:paraId="153E1659" w14:textId="77777777" w:rsidR="002A21AE" w:rsidRDefault="002A21AE">
      <w:pPr>
        <w:pStyle w:val="Heading3"/>
      </w:pPr>
      <w:bookmarkStart w:id="117" w:name="_Toc149064077"/>
      <w:r>
        <w:t>Toolbars</w:t>
      </w:r>
      <w:bookmarkEnd w:id="117"/>
      <w:r>
        <w:fldChar w:fldCharType="begin"/>
      </w:r>
      <w:r>
        <w:instrText xml:space="preserve"> XE </w:instrText>
      </w:r>
      <w:r w:rsidR="00FA7E65">
        <w:instrText>“</w:instrText>
      </w:r>
      <w:r>
        <w:instrText>Toolbars</w:instrText>
      </w:r>
      <w:r w:rsidR="00FA7E65">
        <w:instrText>”</w:instrText>
      </w:r>
      <w:r>
        <w:instrText xml:space="preserve"> </w:instrText>
      </w:r>
      <w:r>
        <w:fldChar w:fldCharType="end"/>
      </w:r>
      <w:r>
        <w:t xml:space="preserve"> </w:t>
      </w:r>
    </w:p>
    <w:p w14:paraId="09EC1E71" w14:textId="77777777" w:rsidR="002A21AE" w:rsidRDefault="002A21AE" w:rsidP="00FA7E65">
      <w:pPr>
        <w:pStyle w:val="BodyText"/>
      </w:pPr>
      <w:r>
        <w:t xml:space="preserve">A </w:t>
      </w:r>
      <w:r>
        <w:rPr>
          <w:i/>
        </w:rPr>
        <w:t>tool</w:t>
      </w:r>
      <w:r>
        <w:t xml:space="preserve"> is a shortcut button, usually shown on a bar near the top of a window. Tools provide quick access to commonly used functions. A </w:t>
      </w:r>
      <w:r>
        <w:rPr>
          <w:i/>
        </w:rPr>
        <w:t>toolbar</w:t>
      </w:r>
      <w:r>
        <w:t xml:space="preserve"> displays groups of tools. Toolbars may contain buttons, menus, or combinations of both. (See also Patient Information Toolbar.)</w:t>
      </w:r>
    </w:p>
    <w:p w14:paraId="42587AD1" w14:textId="77777777" w:rsidR="002A21AE" w:rsidRDefault="002A21AE">
      <w:pPr>
        <w:pStyle w:val="Caution"/>
      </w:pPr>
      <w:r>
        <w:t>A toolbar with tools for several options (Main Toolbar) appears near the top of the screen.</w:t>
      </w:r>
    </w:p>
    <w:p w14:paraId="576C6C61" w14:textId="77777777" w:rsidR="002A21AE" w:rsidRDefault="002A21AE" w:rsidP="00FA7E65">
      <w:pPr>
        <w:pStyle w:val="BodyText"/>
      </w:pPr>
      <w:r>
        <w:t>Click a tool to open a function</w:t>
      </w:r>
      <w:r w:rsidR="00541DC0">
        <w:t xml:space="preserve"> quickly</w:t>
      </w:r>
      <w:r>
        <w:t>.</w:t>
      </w:r>
    </w:p>
    <w:p w14:paraId="7586B7E0" w14:textId="77777777" w:rsidR="002A21AE" w:rsidRDefault="002A21AE">
      <w:pPr>
        <w:pStyle w:val="Caution"/>
      </w:pPr>
      <w:r>
        <w:t xml:space="preserve">A function may also be opened by pressing </w:t>
      </w:r>
      <w:r>
        <w:rPr>
          <w:b/>
        </w:rPr>
        <w:t>Alt</w:t>
      </w:r>
      <w:r>
        <w:t xml:space="preserve"> and the </w:t>
      </w:r>
      <w:r w:rsidRPr="00443024">
        <w:rPr>
          <w:b/>
        </w:rPr>
        <w:t xml:space="preserve">key for the </w:t>
      </w:r>
      <w:r>
        <w:rPr>
          <w:b/>
        </w:rPr>
        <w:t xml:space="preserve">underscored letter </w:t>
      </w:r>
      <w:r>
        <w:t>in the tool name.</w:t>
      </w:r>
    </w:p>
    <w:p w14:paraId="4C490921" w14:textId="77777777" w:rsidR="002A21AE" w:rsidRDefault="002A21AE">
      <w:pPr>
        <w:pStyle w:val="Heading4"/>
      </w:pPr>
      <w:r>
        <w:t>Main Toolbar</w:t>
      </w:r>
      <w:r>
        <w:fldChar w:fldCharType="begin"/>
      </w:r>
      <w:r>
        <w:instrText xml:space="preserve"> XE </w:instrText>
      </w:r>
      <w:r w:rsidR="00FA7E65">
        <w:instrText>“</w:instrText>
      </w:r>
      <w:r>
        <w:instrText>Main Toolbar</w:instrText>
      </w:r>
      <w:r w:rsidR="00FA7E65">
        <w:instrText>”</w:instrText>
      </w:r>
      <w:r>
        <w:instrText xml:space="preserve"> </w:instrText>
      </w:r>
      <w:r>
        <w:fldChar w:fldCharType="end"/>
      </w:r>
    </w:p>
    <w:p w14:paraId="28F02177" w14:textId="77777777" w:rsidR="002A21AE" w:rsidRDefault="002A21AE" w:rsidP="00FA7E65">
      <w:pPr>
        <w:pStyle w:val="BodyText"/>
      </w:pPr>
      <w:r>
        <w:t xml:space="preserve">The </w:t>
      </w:r>
      <w:r>
        <w:rPr>
          <w:i/>
          <w:iCs/>
        </w:rPr>
        <w:t>Main Toolbar</w:t>
      </w:r>
      <w:r>
        <w:t xml:space="preserve"> appears at the top of the screen. Click the icons in the Main Toolbar to access</w:t>
      </w:r>
      <w:r>
        <w:rPr>
          <w:rStyle w:val="FootnoteReference"/>
        </w:rPr>
        <w:footnoteReference w:id="2"/>
      </w:r>
      <w:r>
        <w:t>:</w:t>
      </w:r>
    </w:p>
    <w:p w14:paraId="1F4089FB" w14:textId="77777777" w:rsidR="002A21AE" w:rsidRDefault="00057948" w:rsidP="00246EC0">
      <w:pPr>
        <w:pStyle w:val="BodyText"/>
        <w:spacing w:after="60"/>
        <w:ind w:left="360" w:hanging="360"/>
      </w:pPr>
      <w:r>
        <w:rPr>
          <w:noProof/>
        </w:rPr>
        <w:drawing>
          <wp:inline distT="0" distB="0" distL="0" distR="0" wp14:anchorId="12CE4A4F" wp14:editId="3833E47D">
            <wp:extent cx="156845" cy="156845"/>
            <wp:effectExtent l="0" t="0" r="0" b="0"/>
            <wp:docPr id="74" name="Picture 74" descr="Logon Reagents ico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Logon Reagents icon">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Log In Reagents</w:t>
      </w:r>
    </w:p>
    <w:p w14:paraId="09FA1B0F" w14:textId="77777777" w:rsidR="002A21AE" w:rsidRDefault="00057948" w:rsidP="00246EC0">
      <w:pPr>
        <w:pStyle w:val="BodyText"/>
        <w:spacing w:after="60"/>
        <w:ind w:left="360" w:hanging="360"/>
      </w:pPr>
      <w:r>
        <w:rPr>
          <w:noProof/>
        </w:rPr>
        <w:drawing>
          <wp:inline distT="0" distB="0" distL="0" distR="0" wp14:anchorId="5D5EB42A" wp14:editId="491287D4">
            <wp:extent cx="156845" cy="156845"/>
            <wp:effectExtent l="0" t="0" r="0" b="0"/>
            <wp:docPr id="75" name="Picture 75" descr="Enter Daily QC Results ico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Enter Daily QC Results icon">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Enter Daily QC Results</w:t>
      </w:r>
    </w:p>
    <w:p w14:paraId="5AECBCC1" w14:textId="77777777" w:rsidR="002A21AE" w:rsidRDefault="00057948" w:rsidP="00246EC0">
      <w:pPr>
        <w:pStyle w:val="BodyText"/>
        <w:spacing w:after="60"/>
        <w:ind w:left="360" w:hanging="360"/>
      </w:pPr>
      <w:r>
        <w:rPr>
          <w:noProof/>
        </w:rPr>
        <w:drawing>
          <wp:inline distT="0" distB="0" distL="0" distR="0" wp14:anchorId="531AC3B4" wp14:editId="51EC7A1B">
            <wp:extent cx="156845" cy="156845"/>
            <wp:effectExtent l="0" t="0" r="0" b="0"/>
            <wp:docPr id="76" name="Picture 76" descr="Incoming Shipment icon">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ncoming Shipment icon">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Incoming Shipment</w:t>
      </w:r>
    </w:p>
    <w:p w14:paraId="47121BB1" w14:textId="77777777" w:rsidR="002A21AE" w:rsidRDefault="00057948" w:rsidP="00246EC0">
      <w:pPr>
        <w:pStyle w:val="BodyText"/>
        <w:spacing w:after="60"/>
        <w:ind w:left="360" w:hanging="360"/>
      </w:pPr>
      <w:r>
        <w:rPr>
          <w:noProof/>
        </w:rPr>
        <w:drawing>
          <wp:inline distT="0" distB="0" distL="0" distR="0" wp14:anchorId="633DAF8F" wp14:editId="50C66AE8">
            <wp:extent cx="156845" cy="156845"/>
            <wp:effectExtent l="0" t="0" r="0" b="0"/>
            <wp:docPr id="77" name="Picture 77" descr="ABO/Rh Confirmation ico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BO/Rh Confirmation icon">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ABO/Rh Confirmation</w:t>
      </w:r>
    </w:p>
    <w:p w14:paraId="1CBD3E81" w14:textId="77777777" w:rsidR="002A21AE" w:rsidRDefault="00057948" w:rsidP="00246EC0">
      <w:pPr>
        <w:pStyle w:val="BodyText"/>
        <w:spacing w:after="60"/>
        <w:ind w:left="360" w:hanging="360"/>
      </w:pPr>
      <w:r>
        <w:rPr>
          <w:noProof/>
        </w:rPr>
        <w:drawing>
          <wp:inline distT="0" distB="0" distL="0" distR="0" wp14:anchorId="146861F2" wp14:editId="41C559CF">
            <wp:extent cx="156845" cy="156845"/>
            <wp:effectExtent l="0" t="0" r="0" b="0"/>
            <wp:docPr id="78" name="Picture 78" descr="Modify Units icon">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Modify Units icon">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Modify Units</w:t>
      </w:r>
    </w:p>
    <w:p w14:paraId="23138F3E" w14:textId="77777777" w:rsidR="002A21AE" w:rsidRDefault="00057948" w:rsidP="00246EC0">
      <w:pPr>
        <w:pStyle w:val="BodyText"/>
        <w:spacing w:after="60"/>
        <w:ind w:left="360" w:hanging="360"/>
      </w:pPr>
      <w:r>
        <w:rPr>
          <w:noProof/>
        </w:rPr>
        <w:drawing>
          <wp:inline distT="0" distB="0" distL="0" distR="0" wp14:anchorId="35968CB3" wp14:editId="32701072">
            <wp:extent cx="156845" cy="156845"/>
            <wp:effectExtent l="0" t="0" r="0" b="0"/>
            <wp:docPr id="79" name="Picture 79" descr="Unit Antigen Typing icon">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Unit Antigen Typing icon">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Unit Antigen Typing</w:t>
      </w:r>
    </w:p>
    <w:p w14:paraId="406AEFBA" w14:textId="77777777" w:rsidR="002A21AE" w:rsidRDefault="00057948" w:rsidP="00246EC0">
      <w:pPr>
        <w:pStyle w:val="BodyText"/>
        <w:spacing w:after="60"/>
        <w:ind w:left="360" w:hanging="360"/>
      </w:pPr>
      <w:r>
        <w:rPr>
          <w:noProof/>
        </w:rPr>
        <w:drawing>
          <wp:inline distT="0" distB="0" distL="0" distR="0" wp14:anchorId="064B39DF" wp14:editId="39B05898">
            <wp:extent cx="156845" cy="156845"/>
            <wp:effectExtent l="0" t="0" r="0" b="0"/>
            <wp:docPr id="80" name="Picture 80" descr="Outgoing Shipment icon">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Outgoing Shipment icon">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Outgoing Shipment</w:t>
      </w:r>
    </w:p>
    <w:p w14:paraId="617B80DE" w14:textId="77777777" w:rsidR="002A21AE" w:rsidRDefault="00057948" w:rsidP="00246EC0">
      <w:pPr>
        <w:pStyle w:val="BodyText"/>
        <w:spacing w:after="60"/>
        <w:ind w:left="360" w:hanging="360"/>
      </w:pPr>
      <w:r>
        <w:rPr>
          <w:noProof/>
        </w:rPr>
        <w:drawing>
          <wp:inline distT="0" distB="0" distL="0" distR="0" wp14:anchorId="53BB7C9E" wp14:editId="20D42203">
            <wp:extent cx="156845" cy="156845"/>
            <wp:effectExtent l="0" t="0" r="0" b="0"/>
            <wp:docPr id="81" name="Picture 81" descr="Accept Orders: Accept an Order icon">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ccept Orders: Accept an Order icon">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Accept Orders: Accept an Order</w:t>
      </w:r>
    </w:p>
    <w:p w14:paraId="5A0BBDBB" w14:textId="77777777" w:rsidR="002A21AE" w:rsidRDefault="00057948" w:rsidP="00246EC0">
      <w:pPr>
        <w:pStyle w:val="BodyText"/>
        <w:spacing w:after="60"/>
        <w:ind w:left="360" w:hanging="360"/>
      </w:pPr>
      <w:r>
        <w:rPr>
          <w:noProof/>
        </w:rPr>
        <w:drawing>
          <wp:inline distT="0" distB="0" distL="0" distR="0" wp14:anchorId="109857AA" wp14:editId="6ED56EB7">
            <wp:extent cx="156845" cy="156845"/>
            <wp:effectExtent l="0" t="0" r="0" b="0"/>
            <wp:docPr id="82" name="Picture 82" descr="Maintain Specimen icon">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Maintain Specimen icon">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Maintain Specimen</w:t>
      </w:r>
    </w:p>
    <w:p w14:paraId="0F7A9D28" w14:textId="77777777" w:rsidR="002A21AE" w:rsidRDefault="00057948" w:rsidP="00246EC0">
      <w:pPr>
        <w:pStyle w:val="BodyText"/>
        <w:spacing w:after="60"/>
        <w:ind w:left="360" w:hanging="360"/>
      </w:pPr>
      <w:r>
        <w:rPr>
          <w:noProof/>
        </w:rPr>
        <w:drawing>
          <wp:inline distT="0" distB="0" distL="0" distR="0" wp14:anchorId="09B34BE8" wp14:editId="2A18FAD3">
            <wp:extent cx="156845" cy="156845"/>
            <wp:effectExtent l="0" t="0" r="0" b="0"/>
            <wp:docPr id="83" name="Picture 83" descr="Patient Testing icon">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Patient Testing icon">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Patient Testing</w:t>
      </w:r>
    </w:p>
    <w:p w14:paraId="6DEBC26C" w14:textId="77777777" w:rsidR="00246EC0" w:rsidRDefault="00057948" w:rsidP="00246EC0">
      <w:pPr>
        <w:pStyle w:val="BodyText"/>
        <w:spacing w:after="60"/>
        <w:ind w:left="360" w:hanging="360"/>
      </w:pPr>
      <w:r>
        <w:rPr>
          <w:noProof/>
        </w:rPr>
        <w:drawing>
          <wp:inline distT="0" distB="0" distL="0" distR="0" wp14:anchorId="77FD84BB" wp14:editId="4D47418E">
            <wp:extent cx="156845" cy="156845"/>
            <wp:effectExtent l="0" t="0" r="0" b="0"/>
            <wp:docPr id="84" name="Picture 84" descr="Automated Instrument Pending Blood Unit T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utomated Instrument Pending Blood Unit Tests ico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46EC0">
        <w:t xml:space="preserve">  Automated Instrument Pending </w:t>
      </w:r>
      <w:r w:rsidR="00E57FEA">
        <w:t>Blood Unit</w:t>
      </w:r>
      <w:r w:rsidR="00246EC0">
        <w:t xml:space="preserve"> Tests</w:t>
      </w:r>
    </w:p>
    <w:p w14:paraId="088EA099" w14:textId="77777777" w:rsidR="00246EC0" w:rsidRDefault="00057948" w:rsidP="00246EC0">
      <w:pPr>
        <w:pStyle w:val="BodyText"/>
        <w:spacing w:after="60"/>
        <w:ind w:left="360" w:hanging="360"/>
      </w:pPr>
      <w:r>
        <w:rPr>
          <w:noProof/>
        </w:rPr>
        <w:drawing>
          <wp:inline distT="0" distB="0" distL="0" distR="0" wp14:anchorId="6D271968" wp14:editId="7A98D8CA">
            <wp:extent cx="156845" cy="156845"/>
            <wp:effectExtent l="0" t="0" r="0" b="0"/>
            <wp:docPr id="85" name="Picture 85" descr="Automated Instrument Pending Patient T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utomated Instrument Pending Patient Tests ic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46EC0">
        <w:t xml:space="preserve">  Automated Inst</w:t>
      </w:r>
      <w:r w:rsidR="00E57FEA">
        <w:t>rument Pending Patient</w:t>
      </w:r>
      <w:r w:rsidR="00246EC0">
        <w:t xml:space="preserve"> Tests</w:t>
      </w:r>
    </w:p>
    <w:p w14:paraId="62B3CEB1" w14:textId="77777777" w:rsidR="002A21AE" w:rsidRDefault="00057948" w:rsidP="00246EC0">
      <w:pPr>
        <w:pStyle w:val="BodyText"/>
        <w:spacing w:after="60"/>
        <w:ind w:left="360" w:hanging="360"/>
      </w:pPr>
      <w:r>
        <w:rPr>
          <w:noProof/>
        </w:rPr>
        <w:drawing>
          <wp:inline distT="0" distB="0" distL="0" distR="0" wp14:anchorId="68D7CE5E" wp14:editId="560B7FF9">
            <wp:extent cx="156845" cy="156845"/>
            <wp:effectExtent l="0" t="0" r="0" b="0"/>
            <wp:docPr id="86" name="Picture 86" descr="Select Units icon">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elect Units icon">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Select Units</w:t>
      </w:r>
    </w:p>
    <w:p w14:paraId="270D5696" w14:textId="77777777" w:rsidR="002A21AE" w:rsidRDefault="00057948" w:rsidP="00246EC0">
      <w:pPr>
        <w:pStyle w:val="BodyText"/>
        <w:spacing w:after="60"/>
        <w:ind w:left="360" w:hanging="360"/>
      </w:pPr>
      <w:r>
        <w:rPr>
          <w:noProof/>
        </w:rPr>
        <w:drawing>
          <wp:inline distT="0" distB="0" distL="0" distR="0" wp14:anchorId="4B3B5E3A" wp14:editId="772EF511">
            <wp:extent cx="156845" cy="156845"/>
            <wp:effectExtent l="0" t="0" r="0" b="0"/>
            <wp:docPr id="87" name="Picture 87" descr="Issue Blood Components icon">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Issue Blood Components icon">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Issue Blood Components</w:t>
      </w:r>
    </w:p>
    <w:p w14:paraId="45BF7CC0" w14:textId="77777777" w:rsidR="002A21AE" w:rsidRDefault="00057948" w:rsidP="00246EC0">
      <w:pPr>
        <w:pStyle w:val="BodyText"/>
        <w:spacing w:after="60"/>
        <w:ind w:left="360" w:hanging="360"/>
      </w:pPr>
      <w:r>
        <w:rPr>
          <w:noProof/>
        </w:rPr>
        <w:drawing>
          <wp:inline distT="0" distB="0" distL="0" distR="0" wp14:anchorId="2CE0880D" wp14:editId="2BBCEE0A">
            <wp:extent cx="156845" cy="156845"/>
            <wp:effectExtent l="0" t="0" r="0" b="0"/>
            <wp:docPr id="88" name="Picture 88" descr="Post-Transfusion Information icon">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Post-Transfusion Information icon">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Post-Transfusion Information</w:t>
      </w:r>
    </w:p>
    <w:p w14:paraId="5E21BDCC" w14:textId="77777777" w:rsidR="00E15889" w:rsidRDefault="00E15889" w:rsidP="00E15889">
      <w:pPr>
        <w:pStyle w:val="BodyText"/>
        <w:ind w:left="360"/>
      </w:pPr>
    </w:p>
    <w:p w14:paraId="4F7B121A" w14:textId="77777777" w:rsidR="002A21AE" w:rsidRDefault="002A21AE">
      <w:pPr>
        <w:pStyle w:val="Caution"/>
      </w:pPr>
      <w:r>
        <w:t>Clicking an icon in the Main Toolbar saves a step: it’s the same as clicking the main menu item, and then on the option.</w:t>
      </w:r>
    </w:p>
    <w:p w14:paraId="3F7244DD" w14:textId="0B13AFC5" w:rsidR="002A21AE" w:rsidRDefault="002A21AE">
      <w:pPr>
        <w:pStyle w:val="BodyText"/>
      </w:pPr>
      <w:r>
        <w:t>VBECS uses tree views to display list items. Click a plus sign (+) to expand a list. Click a minus sign (–) to condense a list.</w:t>
      </w:r>
    </w:p>
    <w:p w14:paraId="1DC8AED3" w14:textId="4E99C904" w:rsidR="002A21AE" w:rsidRDefault="002A21AE">
      <w:pPr>
        <w:pStyle w:val="Heading2"/>
      </w:pPr>
      <w:bookmarkStart w:id="118" w:name="_Toc149064078"/>
      <w:r>
        <w:t>Patient Information Toolbar</w:t>
      </w:r>
      <w:bookmarkEnd w:id="118"/>
      <w:r>
        <w:fldChar w:fldCharType="begin"/>
      </w:r>
      <w:r>
        <w:instrText xml:space="preserve"> XE </w:instrText>
      </w:r>
      <w:r w:rsidR="00FA7E65">
        <w:instrText>“</w:instrText>
      </w:r>
      <w:r>
        <w:instrText>Patient Information Toolbar</w:instrText>
      </w:r>
      <w:r w:rsidR="00FA7E65">
        <w:instrText>”</w:instrText>
      </w:r>
      <w:r>
        <w:instrText xml:space="preserve"> </w:instrText>
      </w:r>
      <w:r>
        <w:fldChar w:fldCharType="end"/>
      </w:r>
    </w:p>
    <w:p w14:paraId="36E794A4" w14:textId="77777777" w:rsidR="002A21AE" w:rsidRDefault="002A21AE" w:rsidP="00FA7E65">
      <w:pPr>
        <w:pStyle w:val="BodyText"/>
      </w:pPr>
      <w:r>
        <w:t xml:space="preserve">The </w:t>
      </w:r>
      <w:r>
        <w:rPr>
          <w:i/>
          <w:iCs/>
        </w:rPr>
        <w:t>Patient Information Toolbar</w:t>
      </w:r>
      <w:r>
        <w:t xml:space="preserve"> appears in the active window when a patient record is displayed.</w:t>
      </w:r>
      <w:r w:rsidR="00AD1B87">
        <w:t xml:space="preserve"> VBECS displays only the icons appropriate to the option. </w:t>
      </w:r>
      <w:r>
        <w:t>Click the icons in the Patient Information Toolbar to display:</w:t>
      </w:r>
    </w:p>
    <w:p w14:paraId="6D3E360F" w14:textId="77777777" w:rsidR="002A21AE" w:rsidRDefault="00057948">
      <w:pPr>
        <w:pStyle w:val="BodyText"/>
        <w:ind w:left="360" w:hanging="360"/>
      </w:pPr>
      <w:r>
        <w:rPr>
          <w:noProof/>
        </w:rPr>
        <w:drawing>
          <wp:inline distT="0" distB="0" distL="0" distR="0" wp14:anchorId="174A0ED8" wp14:editId="6E7E8CCF">
            <wp:extent cx="156845" cy="156845"/>
            <wp:effectExtent l="0" t="0" r="0" b="0"/>
            <wp:docPr id="89" name="Picture 89" descr="Blood Availability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Blood Availability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a Blood Availability Report (Blood Availability) </w:t>
      </w:r>
      <w:r w:rsidR="002A21AE">
        <w:rPr>
          <w:vanish/>
        </w:rPr>
        <w:t>UC_49</w:t>
      </w:r>
    </w:p>
    <w:p w14:paraId="06ACDF87" w14:textId="77777777" w:rsidR="002A21AE" w:rsidRDefault="00057948">
      <w:pPr>
        <w:pStyle w:val="BodyText"/>
        <w:ind w:left="360" w:hanging="360"/>
      </w:pPr>
      <w:r>
        <w:rPr>
          <w:noProof/>
        </w:rPr>
        <w:drawing>
          <wp:inline distT="0" distB="0" distL="0" distR="0" wp14:anchorId="160978A1" wp14:editId="00D5EE83">
            <wp:extent cx="156845" cy="156845"/>
            <wp:effectExtent l="0" t="0" r="0" b="0"/>
            <wp:docPr id="90" name="Picture 90" descr="Medication Profile icon">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Medication Profile icon">
                      <a:hlinkClick r:id="rId93"/>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current medication profile (Medication Profile)</w:t>
      </w:r>
      <w:r w:rsidR="002A21AE">
        <w:rPr>
          <w:vanish/>
        </w:rPr>
        <w:t xml:space="preserve"> UC_46</w:t>
      </w:r>
    </w:p>
    <w:p w14:paraId="3107FE1C" w14:textId="77777777" w:rsidR="002A21AE" w:rsidRDefault="00057948">
      <w:pPr>
        <w:pStyle w:val="BodyText"/>
        <w:ind w:left="360" w:hanging="360"/>
      </w:pPr>
      <w:r>
        <w:rPr>
          <w:noProof/>
        </w:rPr>
        <w:drawing>
          <wp:inline distT="0" distB="0" distL="0" distR="0" wp14:anchorId="40BDE1FB" wp14:editId="3F462321">
            <wp:extent cx="156845" cy="156845"/>
            <wp:effectExtent l="0" t="0" r="0" b="0"/>
            <wp:docPr id="91" name="Picture 91" descr="Recent Orders icon">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Recent Orders icon">
                      <a:hlinkClick r:id="rId94"/>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recent orders (Recent Orders)</w:t>
      </w:r>
      <w:r w:rsidR="002A21AE">
        <w:rPr>
          <w:vanish/>
        </w:rPr>
        <w:t xml:space="preserve"> UC_65</w:t>
      </w:r>
    </w:p>
    <w:p w14:paraId="1AAC3744" w14:textId="77777777" w:rsidR="002A21AE" w:rsidRDefault="00057948">
      <w:pPr>
        <w:pStyle w:val="BodyText"/>
        <w:ind w:left="360" w:hanging="360"/>
      </w:pPr>
      <w:r>
        <w:rPr>
          <w:noProof/>
        </w:rPr>
        <w:drawing>
          <wp:inline distT="0" distB="0" distL="0" distR="0" wp14:anchorId="5EC96A22" wp14:editId="029DB91B">
            <wp:extent cx="156845" cy="156845"/>
            <wp:effectExtent l="0" t="0" r="0" b="0"/>
            <wp:docPr id="92" name="Picture 92" descr="View Special Instructions and Transfusion Requirements ico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View Special Instructions and Transfusion Requirements icon">
                      <a:hlinkClick r:id="rId9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a patient’s Special Instructions and/or Transfusion Requirements (View Special Instructions and Transfusion Requirements) </w:t>
      </w:r>
      <w:r w:rsidR="002A21AE">
        <w:rPr>
          <w:vanish/>
        </w:rPr>
        <w:t>UC_36</w:t>
      </w:r>
    </w:p>
    <w:p w14:paraId="5BD0DCEE" w14:textId="77777777" w:rsidR="002A21AE" w:rsidRDefault="00057948">
      <w:pPr>
        <w:pStyle w:val="BodyText"/>
        <w:ind w:left="360" w:hanging="360"/>
      </w:pPr>
      <w:r>
        <w:rPr>
          <w:noProof/>
        </w:rPr>
        <w:drawing>
          <wp:inline distT="0" distB="0" distL="0" distR="0" wp14:anchorId="517ADB7F" wp14:editId="591D3BD0">
            <wp:extent cx="156845" cy="156845"/>
            <wp:effectExtent l="0" t="0" r="0" b="0"/>
            <wp:docPr id="93" name="Picture 93" descr="Recent Transfusions/Issued Units icon">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Recent Transfusions/Issued Units icon">
                      <a:hlinkClick r:id="rId9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recent transfusion history (Recent Transfusions/Issued Units)</w:t>
      </w:r>
      <w:r w:rsidR="002A21AE">
        <w:rPr>
          <w:vanish/>
        </w:rPr>
        <w:t xml:space="preserve"> UC_65</w:t>
      </w:r>
    </w:p>
    <w:p w14:paraId="1EAA5546" w14:textId="086DE2FA" w:rsidR="00C12CF8" w:rsidRDefault="00057948" w:rsidP="00591A3B">
      <w:pPr>
        <w:pStyle w:val="BodyText"/>
        <w:ind w:left="360" w:hanging="360"/>
      </w:pPr>
      <w:r>
        <w:rPr>
          <w:noProof/>
        </w:rPr>
        <w:drawing>
          <wp:inline distT="0" distB="0" distL="0" distR="0" wp14:anchorId="43A8349D" wp14:editId="55CFF468">
            <wp:extent cx="156845" cy="156845"/>
            <wp:effectExtent l="0" t="0" r="0" b="0"/>
            <wp:docPr id="94" name="Picture 94" descr="Transfusion Reaction History ico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Transfusion Reaction History icon">
                      <a:hlinkClick r:id="rId97"/>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a patient’s transfusion reaction history (Transfusion Reaction History)</w:t>
      </w:r>
      <w:r w:rsidR="00547F23" w:rsidRPr="00547F23">
        <w:rPr>
          <w:vanish/>
        </w:rPr>
        <w:t xml:space="preserve"> </w:t>
      </w:r>
      <w:r w:rsidR="00547F23">
        <w:rPr>
          <w:vanish/>
        </w:rPr>
        <w:t>UC_65</w:t>
      </w:r>
      <w:r w:rsidR="002A21AE">
        <w:rPr>
          <w:vanish/>
        </w:rPr>
        <w:t xml:space="preserve"> </w:t>
      </w:r>
    </w:p>
    <w:p w14:paraId="0796217F" w14:textId="57A3D504" w:rsidR="00577C1F" w:rsidRDefault="006F799E" w:rsidP="00577C1F">
      <w:pPr>
        <w:pStyle w:val="Heading3"/>
      </w:pPr>
      <w:bookmarkStart w:id="119" w:name="_Medication_Profile_UC_46"/>
      <w:bookmarkStart w:id="120" w:name="_Toc149064079"/>
      <w:bookmarkEnd w:id="119"/>
      <w:r>
        <w:rPr>
          <w:noProof/>
        </w:rPr>
        <w:drawing>
          <wp:inline distT="0" distB="0" distL="0" distR="0" wp14:anchorId="681F04FD" wp14:editId="787985F4">
            <wp:extent cx="156845" cy="156845"/>
            <wp:effectExtent l="0" t="0" r="0" b="0"/>
            <wp:docPr id="70" name="Picture 70" descr="Blood Availability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Blood Availability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P</w:t>
      </w:r>
      <w:r w:rsidR="00577C1F">
        <w:t>atient Blood Availability</w:t>
      </w:r>
      <w:bookmarkEnd w:id="120"/>
      <w:r w:rsidR="00B973E2">
        <w:fldChar w:fldCharType="begin"/>
      </w:r>
      <w:r w:rsidR="00B973E2">
        <w:instrText xml:space="preserve"> XE "</w:instrText>
      </w:r>
      <w:r w:rsidR="00B973E2" w:rsidRPr="00DC29FC">
        <w:instrText>Patient Blood Availability</w:instrText>
      </w:r>
      <w:r w:rsidR="00B973E2">
        <w:instrText xml:space="preserve">" </w:instrText>
      </w:r>
      <w:r w:rsidR="00B973E2">
        <w:fldChar w:fldCharType="end"/>
      </w:r>
    </w:p>
    <w:p w14:paraId="258FA80E" w14:textId="77777777" w:rsidR="00971D59" w:rsidRPr="00971D59" w:rsidRDefault="00971D59" w:rsidP="00971D59">
      <w:pPr>
        <w:pStyle w:val="BodyText"/>
      </w:pPr>
      <w:r w:rsidRPr="00971D59">
        <w:t>The user views blood products available to a patient. The Blood Availability Report does not include unassigned, restricted blood products. To view unassigned, restricted blood products and other custom reports, see Blood Availability.</w:t>
      </w:r>
      <w:r w:rsidR="00D407D0" w:rsidRPr="00D407D0">
        <w:rPr>
          <w:vanish/>
        </w:rPr>
        <w:t>DR 1,041</w:t>
      </w:r>
    </w:p>
    <w:p w14:paraId="132EED4B" w14:textId="77777777" w:rsidR="002A21AE" w:rsidRPr="001F24A4" w:rsidRDefault="00E75E0A" w:rsidP="001F24A4">
      <w:pPr>
        <w:pStyle w:val="Heading3"/>
      </w:pPr>
      <w:r>
        <w:br w:type="page"/>
      </w:r>
      <w:bookmarkStart w:id="121" w:name="_Toc149064080"/>
      <w:r w:rsidR="00057948">
        <w:rPr>
          <w:noProof/>
        </w:rPr>
        <w:drawing>
          <wp:inline distT="0" distB="0" distL="0" distR="0" wp14:anchorId="7FAAFBB7" wp14:editId="501F1FD2">
            <wp:extent cx="156845" cy="193675"/>
            <wp:effectExtent l="0" t="0" r="0" b="0"/>
            <wp:docPr id="96" name="Picture 96" descr="Medication Profi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Medication Profile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sidR="002A21AE" w:rsidRPr="004C2A71">
        <w:t xml:space="preserve"> Medication Profile</w:t>
      </w:r>
      <w:bookmarkEnd w:id="121"/>
      <w:r w:rsidR="002A21AE" w:rsidRPr="004C2A71">
        <w:fldChar w:fldCharType="begin"/>
      </w:r>
      <w:r w:rsidR="002A21AE" w:rsidRPr="004C2A71">
        <w:instrText xml:space="preserve"> XE </w:instrText>
      </w:r>
      <w:r w:rsidR="00FA7E65" w:rsidRPr="004C2A71">
        <w:instrText>“</w:instrText>
      </w:r>
      <w:r w:rsidR="002A21AE" w:rsidRPr="004C2A71">
        <w:instrText>Medication Profile</w:instrText>
      </w:r>
      <w:r w:rsidR="00FA7E65" w:rsidRPr="004C2A71">
        <w:instrText>”</w:instrText>
      </w:r>
      <w:r w:rsidR="002A21AE" w:rsidRPr="004C2A71">
        <w:instrText xml:space="preserve"> </w:instrText>
      </w:r>
      <w:r w:rsidR="002A21AE" w:rsidRPr="004C2A71">
        <w:fldChar w:fldCharType="end"/>
      </w:r>
      <w:r w:rsidR="002A21AE">
        <w:t xml:space="preserve"> </w:t>
      </w:r>
      <w:r w:rsidR="002A21AE" w:rsidRPr="00C12CF8">
        <w:rPr>
          <w:vanish/>
        </w:rPr>
        <w:t>UC_46</w:t>
      </w:r>
      <w:r w:rsidR="002A21AE">
        <w:t xml:space="preserve"> </w:t>
      </w:r>
    </w:p>
    <w:p w14:paraId="0A51FF4F" w14:textId="77777777" w:rsidR="002A21AE" w:rsidRDefault="002A21AE" w:rsidP="004C2A71">
      <w:pPr>
        <w:pStyle w:val="BodyText"/>
      </w:pPr>
      <w:r>
        <w:t>The user views a patient’s current medication profile.</w:t>
      </w:r>
    </w:p>
    <w:p w14:paraId="06BC41DC" w14:textId="77777777" w:rsidR="002A21AE" w:rsidRDefault="002A21AE">
      <w:pPr>
        <w:pStyle w:val="Heading4"/>
      </w:pPr>
      <w:r>
        <w:t xml:space="preserve">Assumptions </w:t>
      </w:r>
    </w:p>
    <w:p w14:paraId="7F374552" w14:textId="77777777" w:rsidR="002A21AE" w:rsidRDefault="002A21AE">
      <w:pPr>
        <w:pStyle w:val="ListBullet"/>
      </w:pPr>
      <w:r>
        <w:t xml:space="preserve">The connection to </w:t>
      </w:r>
      <w:r w:rsidR="00CA0045" w:rsidRPr="00CA0045">
        <w:rPr>
          <w:bCs/>
        </w:rPr>
        <w:t>VistA</w:t>
      </w:r>
      <w:r>
        <w:t xml:space="preserve"> is active. </w:t>
      </w:r>
    </w:p>
    <w:p w14:paraId="066B6808" w14:textId="77777777" w:rsidR="00DD75E5" w:rsidRDefault="002A21AE" w:rsidP="00DD75E5">
      <w:pPr>
        <w:pStyle w:val="Heading4"/>
      </w:pPr>
      <w:r>
        <w:t>Outcome</w:t>
      </w:r>
    </w:p>
    <w:p w14:paraId="6182BD84" w14:textId="77777777" w:rsidR="002A21AE" w:rsidRDefault="002A21AE" w:rsidP="00DD75E5">
      <w:pPr>
        <w:pStyle w:val="ListBullet"/>
      </w:pPr>
      <w:r>
        <w:t>VBECS displays a patient’s current medications.</w:t>
      </w:r>
    </w:p>
    <w:p w14:paraId="6FAD5D26" w14:textId="77777777" w:rsidR="002A21AE" w:rsidRDefault="002A21AE">
      <w:pPr>
        <w:pStyle w:val="Heading4"/>
      </w:pPr>
      <w:r>
        <w:t>Limitations and Restrictions</w:t>
      </w:r>
    </w:p>
    <w:p w14:paraId="68DB5FBB" w14:textId="77777777" w:rsidR="002A21AE" w:rsidRDefault="002A21AE">
      <w:pPr>
        <w:pStyle w:val="ListBullet"/>
      </w:pPr>
      <w:r>
        <w:t>None</w:t>
      </w:r>
    </w:p>
    <w:p w14:paraId="42F47C8C" w14:textId="77777777" w:rsidR="002A21AE" w:rsidRDefault="00DD75E5">
      <w:pPr>
        <w:pStyle w:val="Heading4"/>
      </w:pPr>
      <w:r>
        <w:t>Additional Information</w:t>
      </w:r>
    </w:p>
    <w:p w14:paraId="385AEB1D" w14:textId="77777777" w:rsidR="002A21AE" w:rsidRDefault="002A21AE">
      <w:pPr>
        <w:pStyle w:val="ListBullet"/>
      </w:pPr>
      <w:r>
        <w:t xml:space="preserve">The user may access CPRS for </w:t>
      </w:r>
      <w:r w:rsidR="00E90A01">
        <w:t>additional</w:t>
      </w:r>
      <w:r>
        <w:t xml:space="preserve"> information on a patient medication order.</w:t>
      </w:r>
    </w:p>
    <w:p w14:paraId="12FA92BA" w14:textId="77777777" w:rsidR="002A21AE" w:rsidRDefault="002A21AE">
      <w:pPr>
        <w:pStyle w:val="ListBullet"/>
      </w:pPr>
      <w:r>
        <w:t>These data are accessible to the user through the Patient Information Toolbar on all patient-specific screens.</w:t>
      </w:r>
    </w:p>
    <w:p w14:paraId="31DB9F38" w14:textId="77777777" w:rsidR="002A21AE" w:rsidRDefault="002A21AE">
      <w:pPr>
        <w:pStyle w:val="Heading4"/>
        <w:rPr>
          <w:b w:val="0"/>
        </w:rPr>
      </w:pPr>
      <w:r>
        <w:t>User Roles with Access to This Option</w:t>
      </w:r>
      <w:r>
        <w:rPr>
          <w:b w:val="0"/>
        </w:rPr>
        <w:t xml:space="preserve"> </w:t>
      </w:r>
    </w:p>
    <w:p w14:paraId="51780348" w14:textId="77777777" w:rsidR="002A21AE" w:rsidRDefault="00237C52" w:rsidP="00237C52">
      <w:pPr>
        <w:pStyle w:val="Roles"/>
      </w:pPr>
      <w:r>
        <w:t>All users</w:t>
      </w:r>
    </w:p>
    <w:p w14:paraId="0422B621" w14:textId="77777777" w:rsidR="002A21AE" w:rsidRDefault="002A21AE">
      <w:pPr>
        <w:pStyle w:val="Heading4"/>
      </w:pPr>
      <w:r>
        <w:t xml:space="preserve">Medication Profile </w:t>
      </w:r>
    </w:p>
    <w:p w14:paraId="42B1C2B7" w14:textId="77777777" w:rsidR="002A21AE" w:rsidRDefault="002A21AE" w:rsidP="00FA7E65">
      <w:pPr>
        <w:pStyle w:val="BodyText"/>
      </w:pPr>
      <w:r>
        <w:rPr>
          <w:bCs/>
        </w:rPr>
        <w:t>At the user’s request, VBECS queries</w:t>
      </w:r>
      <w:r>
        <w:rPr>
          <w:b/>
          <w:bCs/>
        </w:rPr>
        <w:t xml:space="preserve"> </w:t>
      </w:r>
      <w:r w:rsidR="00CA0045" w:rsidRPr="00CA0045">
        <w:rPr>
          <w:bCs/>
        </w:rPr>
        <w:t>VistA</w:t>
      </w:r>
      <w:r>
        <w:t xml:space="preserve"> to search for active prescriptions within a user-specified time frame or a default time frame of six months, regardless of division, in a multidivisional database.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74E2E6" w14:textId="77777777">
        <w:trPr>
          <w:tblHeader/>
        </w:trPr>
        <w:tc>
          <w:tcPr>
            <w:tcW w:w="3240" w:type="dxa"/>
            <w:shd w:val="pct30" w:color="auto" w:fill="FFFFFF"/>
            <w:vAlign w:val="bottom"/>
          </w:tcPr>
          <w:p w14:paraId="3887BF32" w14:textId="77777777" w:rsidR="002A21AE" w:rsidRDefault="002A21AE">
            <w:pPr>
              <w:pStyle w:val="TableText"/>
              <w:rPr>
                <w:b/>
              </w:rPr>
            </w:pPr>
            <w:r>
              <w:rPr>
                <w:b/>
              </w:rPr>
              <w:t>User Action</w:t>
            </w:r>
          </w:p>
        </w:tc>
        <w:tc>
          <w:tcPr>
            <w:tcW w:w="6120" w:type="dxa"/>
            <w:shd w:val="pct30" w:color="auto" w:fill="FFFFFF"/>
            <w:vAlign w:val="bottom"/>
          </w:tcPr>
          <w:p w14:paraId="4ABEBD67" w14:textId="77777777" w:rsidR="002A21AE" w:rsidRDefault="002A21AE">
            <w:pPr>
              <w:pStyle w:val="TableText"/>
              <w:rPr>
                <w:b/>
              </w:rPr>
            </w:pPr>
            <w:r>
              <w:rPr>
                <w:b/>
              </w:rPr>
              <w:t>VBECS</w:t>
            </w:r>
          </w:p>
        </w:tc>
      </w:tr>
      <w:tr w:rsidR="002A21AE" w14:paraId="4B1668CD" w14:textId="77777777">
        <w:tc>
          <w:tcPr>
            <w:tcW w:w="3240" w:type="dxa"/>
          </w:tcPr>
          <w:p w14:paraId="29315A29" w14:textId="77777777" w:rsidR="002A21AE" w:rsidRDefault="002A21AE" w:rsidP="009D60F4">
            <w:pPr>
              <w:pStyle w:val="TableTextNumbers"/>
            </w:pPr>
            <w:r>
              <w:t xml:space="preserve">Select </w:t>
            </w:r>
            <w:r>
              <w:rPr>
                <w:b/>
              </w:rPr>
              <w:t>Reports</w:t>
            </w:r>
            <w:r>
              <w:t xml:space="preserve"> from the main menu.</w:t>
            </w:r>
          </w:p>
          <w:p w14:paraId="655CB11B" w14:textId="77777777" w:rsidR="002A21AE" w:rsidRDefault="002A21AE">
            <w:pPr>
              <w:pStyle w:val="TableTextNumbersContinued"/>
              <w:rPr>
                <w:b/>
                <w:bCs/>
              </w:rPr>
            </w:pPr>
          </w:p>
          <w:p w14:paraId="30034D53" w14:textId="77777777" w:rsidR="002A21AE" w:rsidRDefault="002A21AE">
            <w:pPr>
              <w:pStyle w:val="TableTextNumbersContinued"/>
              <w:rPr>
                <w:b/>
                <w:bCs/>
              </w:rPr>
            </w:pPr>
            <w:r>
              <w:rPr>
                <w:bCs/>
              </w:rPr>
              <w:t>Select</w:t>
            </w:r>
            <w:r>
              <w:rPr>
                <w:b/>
                <w:bCs/>
              </w:rPr>
              <w:t xml:space="preserve"> Medication Profile.</w:t>
            </w:r>
          </w:p>
          <w:p w14:paraId="09BA2DF1" w14:textId="77777777" w:rsidR="002A21AE" w:rsidRDefault="002A21AE">
            <w:pPr>
              <w:pStyle w:val="TableTextNumbersContinued"/>
              <w:rPr>
                <w:b/>
                <w:bCs/>
              </w:rPr>
            </w:pPr>
          </w:p>
          <w:p w14:paraId="46812049" w14:textId="77777777" w:rsidR="002A21AE" w:rsidRDefault="002A21AE">
            <w:pPr>
              <w:pStyle w:val="TableTextNumbersContinued"/>
              <w:rPr>
                <w:bCs/>
              </w:rPr>
            </w:pPr>
            <w:r>
              <w:rPr>
                <w:bCs/>
              </w:rPr>
              <w:t>Select a patient, or</w:t>
            </w:r>
          </w:p>
          <w:p w14:paraId="62C07106" w14:textId="77777777" w:rsidR="002A21AE" w:rsidRDefault="002A21AE">
            <w:pPr>
              <w:pStyle w:val="TableTextNumbersContinued"/>
              <w:rPr>
                <w:bCs/>
              </w:rPr>
            </w:pPr>
          </w:p>
          <w:p w14:paraId="0BBCF196" w14:textId="77777777" w:rsidR="002A21AE" w:rsidRDefault="002A21AE">
            <w:pPr>
              <w:pStyle w:val="TableTextNumbersContinued"/>
              <w:rPr>
                <w:bCs/>
              </w:rPr>
            </w:pPr>
            <w:r>
              <w:rPr>
                <w:bCs/>
              </w:rPr>
              <w:t>Select an option that displays the Patient Information Toolbar.</w:t>
            </w:r>
          </w:p>
          <w:p w14:paraId="6A8CCB60" w14:textId="77777777" w:rsidR="002A21AE" w:rsidRDefault="002A21AE">
            <w:pPr>
              <w:pStyle w:val="TableTextNumbersContinued"/>
              <w:rPr>
                <w:bCs/>
              </w:rPr>
            </w:pPr>
          </w:p>
          <w:p w14:paraId="36631172" w14:textId="77777777" w:rsidR="002A21AE" w:rsidRDefault="002A21AE">
            <w:pPr>
              <w:pStyle w:val="TableTextNumbersContinued"/>
              <w:rPr>
                <w:b/>
                <w:bCs/>
              </w:rPr>
            </w:pPr>
            <w:r>
              <w:rPr>
                <w:bCs/>
              </w:rPr>
              <w:t xml:space="preserve">Click </w:t>
            </w:r>
            <w:r w:rsidR="00057948">
              <w:rPr>
                <w:bCs/>
                <w:noProof/>
              </w:rPr>
              <w:drawing>
                <wp:inline distT="0" distB="0" distL="0" distR="0" wp14:anchorId="35724580" wp14:editId="4F6FA4E2">
                  <wp:extent cx="156845" cy="193675"/>
                  <wp:effectExtent l="0" t="0" r="0" b="0"/>
                  <wp:docPr id="97" name="Picture 97" descr="Medication Profi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Medication Profile ic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845" cy="193675"/>
                          </a:xfrm>
                          <a:prstGeom prst="rect">
                            <a:avLst/>
                          </a:prstGeom>
                          <a:noFill/>
                          <a:ln>
                            <a:noFill/>
                          </a:ln>
                        </pic:spPr>
                      </pic:pic>
                    </a:graphicData>
                  </a:graphic>
                </wp:inline>
              </w:drawing>
            </w:r>
            <w:r>
              <w:rPr>
                <w:bCs/>
              </w:rPr>
              <w:t xml:space="preserve"> to view a patient’s current medication list.</w:t>
            </w:r>
          </w:p>
        </w:tc>
        <w:tc>
          <w:tcPr>
            <w:tcW w:w="6120" w:type="dxa"/>
          </w:tcPr>
          <w:p w14:paraId="11A107A7" w14:textId="77777777" w:rsidR="002A21AE" w:rsidRDefault="002A21AE">
            <w:pPr>
              <w:pStyle w:val="TableTextBullet"/>
            </w:pPr>
            <w:r>
              <w:t>Lists report names.</w:t>
            </w:r>
          </w:p>
          <w:p w14:paraId="69AF3ED9" w14:textId="77777777" w:rsidR="002A21AE" w:rsidRDefault="002A21AE">
            <w:pPr>
              <w:pStyle w:val="TableTextBullet"/>
            </w:pPr>
            <w:r>
              <w:t>Displays the report date range, sections, and compilation criteria.</w:t>
            </w:r>
          </w:p>
          <w:p w14:paraId="030AF8FB" w14:textId="77777777" w:rsidR="002A21AE" w:rsidRDefault="002A21AE">
            <w:pPr>
              <w:pStyle w:val="TableTextBullet"/>
            </w:pPr>
            <w:r>
              <w:t>Displays options for processing patient-related functions.</w:t>
            </w:r>
          </w:p>
          <w:p w14:paraId="56FE691C" w14:textId="77777777" w:rsidR="002A21AE" w:rsidRDefault="002A21AE">
            <w:pPr>
              <w:pStyle w:val="TableTextBullet"/>
            </w:pPr>
            <w:r>
              <w:t>Compiles the active patient identification data.</w:t>
            </w:r>
          </w:p>
          <w:p w14:paraId="79132C4A" w14:textId="77777777" w:rsidR="002A21AE" w:rsidRDefault="002A21AE">
            <w:pPr>
              <w:pStyle w:val="TableText"/>
            </w:pPr>
          </w:p>
          <w:p w14:paraId="6F9710E9" w14:textId="21EE37CD" w:rsidR="002A21AE" w:rsidRDefault="002A21AE">
            <w:pPr>
              <w:pStyle w:val="TableText"/>
              <w:rPr>
                <w:b/>
                <w:bCs/>
                <w:szCs w:val="18"/>
              </w:rPr>
            </w:pPr>
            <w:r>
              <w:rPr>
                <w:b/>
                <w:bCs/>
                <w:szCs w:val="18"/>
              </w:rPr>
              <w:t>NOTES</w:t>
            </w:r>
          </w:p>
          <w:p w14:paraId="1170A891" w14:textId="77777777" w:rsidR="002A21AE" w:rsidRDefault="002A21AE">
            <w:pPr>
              <w:pStyle w:val="NotesText"/>
            </w:pPr>
          </w:p>
          <w:p w14:paraId="29FF8823" w14:textId="77777777" w:rsidR="002A21AE" w:rsidRDefault="002A21AE">
            <w:pPr>
              <w:pStyle w:val="NotesText"/>
            </w:pPr>
            <w:r w:rsidRPr="00E274BF">
              <w:rPr>
                <w:rFonts w:cs="Arial"/>
                <w:vanish/>
                <w:szCs w:val="18"/>
              </w:rPr>
              <w:t xml:space="preserve">BR_46.02 </w:t>
            </w:r>
            <w:r>
              <w:t>The user may edit the default start date (six months before the current date) for the patient medication search.</w:t>
            </w:r>
          </w:p>
        </w:tc>
      </w:tr>
      <w:tr w:rsidR="002A21AE" w14:paraId="6F01B4A7" w14:textId="77777777">
        <w:tc>
          <w:tcPr>
            <w:tcW w:w="3240" w:type="dxa"/>
          </w:tcPr>
          <w:p w14:paraId="35BF6241" w14:textId="77777777" w:rsidR="002A21AE" w:rsidRDefault="002A21AE">
            <w:pPr>
              <w:pStyle w:val="TableTextNumbers"/>
            </w:pPr>
            <w:r>
              <w:t>Accept or edit the default start and end dates.</w:t>
            </w:r>
          </w:p>
        </w:tc>
        <w:tc>
          <w:tcPr>
            <w:tcW w:w="6120" w:type="dxa"/>
          </w:tcPr>
          <w:p w14:paraId="0A293308" w14:textId="77777777" w:rsidR="002A21AE" w:rsidRDefault="002A21AE">
            <w:pPr>
              <w:pStyle w:val="TableTextBullet"/>
            </w:pPr>
            <w:r>
              <w:t xml:space="preserve">Displays each medication name status, order number, and issue/start date returned from the </w:t>
            </w:r>
            <w:r w:rsidR="00CA0045" w:rsidRPr="00CA0045">
              <w:rPr>
                <w:bCs/>
              </w:rPr>
              <w:t>VistA</w:t>
            </w:r>
            <w:r>
              <w:t xml:space="preserve"> query. </w:t>
            </w:r>
          </w:p>
          <w:p w14:paraId="69975E18" w14:textId="77777777" w:rsidR="002A21AE" w:rsidRDefault="002A21AE">
            <w:pPr>
              <w:pStyle w:val="TableTextBullet"/>
            </w:pPr>
            <w:r w:rsidRPr="00E274BF">
              <w:rPr>
                <w:rFonts w:cs="Arial"/>
                <w:vanish/>
                <w:szCs w:val="18"/>
              </w:rPr>
              <w:t>BR_46.04</w:t>
            </w:r>
            <w:r w:rsidRPr="009660C3">
              <w:rPr>
                <w:vanish/>
                <w:szCs w:val="18"/>
              </w:rPr>
              <w:t xml:space="preserve"> </w:t>
            </w:r>
            <w:r>
              <w:t>When a query does not return any medications, notifies the user that he may repeat the query with a different date range.</w:t>
            </w:r>
          </w:p>
        </w:tc>
      </w:tr>
      <w:tr w:rsidR="002A21AE" w14:paraId="070E4A4E" w14:textId="77777777">
        <w:tc>
          <w:tcPr>
            <w:tcW w:w="3240" w:type="dxa"/>
          </w:tcPr>
          <w:p w14:paraId="2F7C6720" w14:textId="77777777" w:rsidR="002A21AE" w:rsidRDefault="002A21AE">
            <w:pPr>
              <w:pStyle w:val="TableTextNumbers"/>
            </w:pPr>
            <w:r>
              <w:t xml:space="preserve">View the display. When desired, go to Step 1 to repeat the query, </w:t>
            </w:r>
          </w:p>
        </w:tc>
        <w:tc>
          <w:tcPr>
            <w:tcW w:w="6120" w:type="dxa"/>
          </w:tcPr>
          <w:p w14:paraId="528D0539" w14:textId="77777777" w:rsidR="002A21AE" w:rsidRDefault="002A21AE">
            <w:pPr>
              <w:pStyle w:val="TableTextBullet"/>
            </w:pPr>
            <w:r>
              <w:t>Allows the user to print the displayed patient medication profile.</w:t>
            </w:r>
          </w:p>
        </w:tc>
      </w:tr>
      <w:tr w:rsidR="002A21AE" w14:paraId="57406F80" w14:textId="77777777">
        <w:tc>
          <w:tcPr>
            <w:tcW w:w="3240" w:type="dxa"/>
          </w:tcPr>
          <w:p w14:paraId="4A4549B5" w14:textId="77777777" w:rsidR="002A21AE" w:rsidRDefault="002A21AE">
            <w:pPr>
              <w:pStyle w:val="TableTextNumbers"/>
            </w:pPr>
            <w:r>
              <w:t xml:space="preserve">Print the profile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F298782" w14:textId="77777777" w:rsidR="002A21AE" w:rsidRDefault="002A21AE">
            <w:pPr>
              <w:pStyle w:val="TableTextBullet"/>
            </w:pPr>
            <w:r>
              <w:t xml:space="preserve">Displays and prints the medication information profile. </w:t>
            </w:r>
          </w:p>
        </w:tc>
      </w:tr>
    </w:tbl>
    <w:p w14:paraId="5E026334" w14:textId="77777777" w:rsidR="002A21AE" w:rsidRDefault="002A21AE">
      <w:pPr>
        <w:pStyle w:val="Heading3"/>
        <w:sectPr w:rsidR="002A21AE" w:rsidSect="009516A4">
          <w:type w:val="continuous"/>
          <w:pgSz w:w="12240" w:h="15840" w:code="1"/>
          <w:pgMar w:top="1440" w:right="1440" w:bottom="1440" w:left="1440" w:header="720" w:footer="720" w:gutter="0"/>
          <w:pgNumType w:start="16"/>
          <w:cols w:space="720"/>
          <w:docGrid w:linePitch="360"/>
        </w:sectPr>
      </w:pPr>
    </w:p>
    <w:p w14:paraId="1CA4BCB3" w14:textId="77777777" w:rsidR="002A21AE" w:rsidRDefault="00057948">
      <w:pPr>
        <w:pStyle w:val="Heading3"/>
      </w:pPr>
      <w:bookmarkStart w:id="122" w:name="_View_Special_Instructions_and_Trans"/>
      <w:bookmarkStart w:id="123" w:name="_Toc92426411"/>
      <w:bookmarkStart w:id="124" w:name="_Toc149064081"/>
      <w:bookmarkEnd w:id="122"/>
      <w:r>
        <w:rPr>
          <w:noProof/>
        </w:rPr>
        <w:drawing>
          <wp:inline distT="0" distB="0" distL="0" distR="0" wp14:anchorId="2F6FBD08" wp14:editId="0886C13C">
            <wp:extent cx="156845" cy="156845"/>
            <wp:effectExtent l="0" t="0" r="0" b="0"/>
            <wp:docPr id="98" name="Picture 98"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View Special Instructions and Transfusion Requirements</w:t>
      </w:r>
      <w:bookmarkEnd w:id="123"/>
      <w:bookmarkEnd w:id="124"/>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View Special Instructions and Transfusion Requirements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UC_36</w:t>
      </w:r>
    </w:p>
    <w:p w14:paraId="76E7EDB3" w14:textId="77777777" w:rsidR="002A21AE" w:rsidRDefault="002A21AE" w:rsidP="00FA7E65">
      <w:pPr>
        <w:pStyle w:val="BodyText"/>
      </w:pPr>
      <w:r>
        <w:t xml:space="preserve">The user views patient-specific Special Instructions (SIs) and Transfusion Requirements (TRs). </w:t>
      </w:r>
    </w:p>
    <w:p w14:paraId="3A96E197" w14:textId="77777777" w:rsidR="002A21AE" w:rsidRDefault="002A21AE">
      <w:pPr>
        <w:pStyle w:val="Heading4"/>
      </w:pPr>
      <w:r>
        <w:t>Assumptions</w:t>
      </w:r>
    </w:p>
    <w:p w14:paraId="4959378B" w14:textId="77777777" w:rsidR="002A21AE" w:rsidRDefault="002A21AE">
      <w:pPr>
        <w:pStyle w:val="ListBullet"/>
      </w:pPr>
      <w:r>
        <w:t xml:space="preserve">SI entries were created through Special Instructions &amp; Transfusion Requirements: Enter a Special Instruction or from </w:t>
      </w:r>
      <w:r w:rsidR="00150930">
        <w:t>database conversion</w:t>
      </w:r>
      <w:r>
        <w:t>.</w:t>
      </w:r>
    </w:p>
    <w:p w14:paraId="7EB4B997" w14:textId="77777777" w:rsidR="002A21AE" w:rsidRDefault="002A21AE">
      <w:pPr>
        <w:pStyle w:val="ListBullet"/>
      </w:pPr>
      <w:r>
        <w:t xml:space="preserve">TR entries were entered through Special Instructions &amp; Transfusion Requirements: Enter a Transfusion Requirement or Patient Testing: </w:t>
      </w:r>
      <w:r w:rsidR="00244FCD">
        <w:t>Enter Antibody Identification Results</w:t>
      </w:r>
      <w:r>
        <w:t>.</w:t>
      </w:r>
    </w:p>
    <w:p w14:paraId="7640DDD9" w14:textId="77777777" w:rsidR="002A21AE" w:rsidRDefault="002A21AE">
      <w:pPr>
        <w:pStyle w:val="Heading4"/>
        <w:rPr>
          <w:i/>
        </w:rPr>
      </w:pPr>
      <w:r>
        <w:t>Outcome</w:t>
      </w:r>
      <w:r>
        <w:rPr>
          <w:i/>
        </w:rPr>
        <w:t xml:space="preserve"> </w:t>
      </w:r>
    </w:p>
    <w:p w14:paraId="318BC1BF" w14:textId="77777777" w:rsidR="002A21AE" w:rsidRDefault="002A21AE">
      <w:pPr>
        <w:pStyle w:val="ListBullet"/>
      </w:pPr>
      <w:r>
        <w:t>VBECS displays a patient’s SIs and TRs.</w:t>
      </w:r>
    </w:p>
    <w:p w14:paraId="345400BE" w14:textId="77777777" w:rsidR="002A21AE" w:rsidRDefault="002A21AE" w:rsidP="00C602D5">
      <w:pPr>
        <w:pStyle w:val="Heading4"/>
      </w:pPr>
      <w:r>
        <w:t>Limitations and Restrictions</w:t>
      </w:r>
      <w:r>
        <w:rPr>
          <w:b w:val="0"/>
        </w:rPr>
        <w:t xml:space="preserve"> </w:t>
      </w:r>
    </w:p>
    <w:p w14:paraId="15AD526A" w14:textId="77777777" w:rsidR="00C602D5" w:rsidRDefault="00C602D5" w:rsidP="00C602D5">
      <w:pPr>
        <w:pStyle w:val="ListBullet"/>
      </w:pPr>
      <w:r w:rsidRPr="00633316">
        <w:t xml:space="preserve">Changing a patient's antigen negative requirement or antibody identified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p w14:paraId="353F7ABC" w14:textId="77777777" w:rsidR="0014357E" w:rsidRDefault="0083732D" w:rsidP="0083732D">
      <w:pPr>
        <w:pStyle w:val="ListBullet"/>
      </w:pPr>
      <w:r w:rsidRPr="00A2186F">
        <w:t xml:space="preserve">This icon </w:t>
      </w:r>
      <w:r w:rsidR="00057948">
        <w:rPr>
          <w:noProof/>
        </w:rPr>
        <w:drawing>
          <wp:inline distT="0" distB="0" distL="0" distR="0" wp14:anchorId="4F3EAAA0" wp14:editId="599FCD0C">
            <wp:extent cx="156845" cy="156845"/>
            <wp:effectExtent l="0" t="0" r="0" b="0"/>
            <wp:docPr id="100" name="Picture 100"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View Special Instructions and Transfusion Requirements ic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A2186F">
        <w:t xml:space="preserve"> will be disabled </w:t>
      </w:r>
      <w:r w:rsidR="00B814B4">
        <w:t>when</w:t>
      </w:r>
      <w:r w:rsidRPr="00A2186F">
        <w:t xml:space="preserve"> the icon is displayed</w:t>
      </w:r>
      <w:r w:rsidR="0014357E">
        <w:t>:</w:t>
      </w:r>
    </w:p>
    <w:p w14:paraId="5F544A0C" w14:textId="77777777" w:rsidR="0014357E" w:rsidRDefault="0014357E" w:rsidP="00925CAD">
      <w:pPr>
        <w:pStyle w:val="ListBullet"/>
        <w:numPr>
          <w:ilvl w:val="0"/>
          <w:numId w:val="69"/>
        </w:numPr>
      </w:pPr>
      <w:r w:rsidRPr="00A2186F">
        <w:t xml:space="preserve">within the </w:t>
      </w:r>
      <w:r w:rsidR="00102E3E" w:rsidRPr="004F7630">
        <w:t xml:space="preserve">patient </w:t>
      </w:r>
      <w:r w:rsidR="00102E3E">
        <w:t>search window</w:t>
      </w:r>
      <w:r w:rsidRPr="00A2186F">
        <w:t xml:space="preserve"> because special instructions and transfusion requirements are </w:t>
      </w:r>
      <w:r>
        <w:t>already displayed automatically within this option.</w:t>
      </w:r>
    </w:p>
    <w:p w14:paraId="48A62B18" w14:textId="77777777" w:rsidR="00D167B0" w:rsidRDefault="00D852DB" w:rsidP="00925CAD">
      <w:pPr>
        <w:pStyle w:val="ListBullet"/>
        <w:numPr>
          <w:ilvl w:val="0"/>
          <w:numId w:val="69"/>
        </w:numPr>
      </w:pPr>
      <w:r>
        <w:t>within this option</w:t>
      </w:r>
    </w:p>
    <w:p w14:paraId="3FA9A0B3" w14:textId="309FD135" w:rsidR="0083732D" w:rsidRDefault="0083732D" w:rsidP="00925CAD">
      <w:pPr>
        <w:pStyle w:val="ListBullet"/>
        <w:numPr>
          <w:ilvl w:val="0"/>
          <w:numId w:val="69"/>
        </w:numPr>
      </w:pPr>
      <w:r w:rsidRPr="00A2186F">
        <w:t>the selected patient does no</w:t>
      </w:r>
      <w:r>
        <w:t>t have SIs or TR</w:t>
      </w:r>
      <w:r w:rsidRPr="00A2186F">
        <w:t>s to display.</w:t>
      </w:r>
      <w:r w:rsidRPr="00812458">
        <w:rPr>
          <w:vanish/>
        </w:rPr>
        <w:t xml:space="preserve"> Task 606914</w:t>
      </w:r>
    </w:p>
    <w:p w14:paraId="6986D3E8" w14:textId="77777777" w:rsidR="002A21AE" w:rsidRDefault="002A21AE">
      <w:pPr>
        <w:pStyle w:val="Heading4"/>
      </w:pPr>
      <w:r>
        <w:t>Additional Information</w:t>
      </w:r>
      <w:r>
        <w:rPr>
          <w:i/>
        </w:rPr>
        <w:t xml:space="preserve"> </w:t>
      </w:r>
    </w:p>
    <w:p w14:paraId="747C6629" w14:textId="77777777" w:rsidR="002A21AE" w:rsidRDefault="002A21AE">
      <w:pPr>
        <w:pStyle w:val="ListBullet"/>
      </w:pPr>
      <w:r>
        <w:t>VBECS displays a patient’s known antibodies in all divisions in a multidivisional database. VBECS does not restrict viewing SI and TR entries by division; they are linked to the patient’s record and not to an order, a specimen, or a unit.</w:t>
      </w:r>
    </w:p>
    <w:p w14:paraId="63682EE6" w14:textId="77777777" w:rsidR="002A21AE" w:rsidRDefault="002A21AE" w:rsidP="00C602D5">
      <w:pPr>
        <w:pStyle w:val="ListBullet"/>
      </w:pPr>
      <w:r>
        <w:t>VBECS does not enforce SIs; VBECS enforces TRs and persistent antigen negative requirements throughout the database.</w:t>
      </w:r>
    </w:p>
    <w:p w14:paraId="2EDC1F13" w14:textId="77777777" w:rsidR="002A21AE" w:rsidRDefault="002A21AE">
      <w:pPr>
        <w:pStyle w:val="Heading4"/>
      </w:pPr>
      <w:r>
        <w:t>User Roles with Access to This Option</w:t>
      </w:r>
    </w:p>
    <w:p w14:paraId="4DA0D67F" w14:textId="77777777" w:rsidR="002A21AE" w:rsidRPr="00237C52" w:rsidRDefault="00237C52" w:rsidP="00237C52">
      <w:pPr>
        <w:pStyle w:val="Roles"/>
      </w:pPr>
      <w:r>
        <w:t xml:space="preserve">All users </w:t>
      </w:r>
    </w:p>
    <w:p w14:paraId="2E51A1A0" w14:textId="77777777" w:rsidR="002A21AE" w:rsidRDefault="002A21AE">
      <w:pPr>
        <w:pStyle w:val="Heading4"/>
      </w:pPr>
      <w:bookmarkStart w:id="125" w:name="_Toc90551769"/>
      <w:r>
        <w:t>View Special Instructions and Transfusion Requirements</w:t>
      </w:r>
      <w:bookmarkEnd w:id="125"/>
    </w:p>
    <w:p w14:paraId="0CB248A7" w14:textId="77777777" w:rsidR="002A21AE" w:rsidRDefault="002A21AE" w:rsidP="00FA7E65">
      <w:pPr>
        <w:pStyle w:val="BodyText"/>
      </w:pPr>
      <w:r>
        <w:t xml:space="preserve">The user views a patient record. When SIs and TRs are available for the patient, VBECS activates the Patient Information Toolbar icons. VBECS alerts the user when a patient’s record includes SIs and TRs. </w:t>
      </w:r>
    </w:p>
    <w:p w14:paraId="2E99D3C2" w14:textId="4D43082A" w:rsidR="002A21AE" w:rsidRDefault="00057948">
      <w:pPr>
        <w:pStyle w:val="Caution"/>
      </w:pPr>
      <w:r>
        <w:rPr>
          <w:noProof/>
        </w:rPr>
        <w:drawing>
          <wp:inline distT="0" distB="0" distL="0" distR="0" wp14:anchorId="42FB5AFC" wp14:editId="2DF233FB">
            <wp:extent cx="267970" cy="221615"/>
            <wp:effectExtent l="0" t="0" r="0" b="6985"/>
            <wp:docPr id="101" name="Picture 101"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43024">
        <w:t xml:space="preserve"> </w:t>
      </w:r>
      <w:r w:rsidR="002A21AE">
        <w:t xml:space="preserve">It is highly recommended that the user </w:t>
      </w:r>
      <w:r w:rsidR="00671459">
        <w:t>clicks</w:t>
      </w:r>
      <w:r w:rsidR="002A21AE">
        <w:t xml:space="preserve"> every active icon when reviewing patient data.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F1E6765" w14:textId="77777777">
        <w:trPr>
          <w:tblHeader/>
        </w:trPr>
        <w:tc>
          <w:tcPr>
            <w:tcW w:w="3240" w:type="dxa"/>
            <w:shd w:val="pct30" w:color="auto" w:fill="FFFFFF"/>
            <w:vAlign w:val="bottom"/>
          </w:tcPr>
          <w:p w14:paraId="5E5D8FF1" w14:textId="77777777" w:rsidR="002A21AE" w:rsidRDefault="002A21AE">
            <w:pPr>
              <w:pStyle w:val="TableText"/>
              <w:rPr>
                <w:b/>
              </w:rPr>
            </w:pPr>
            <w:bookmarkStart w:id="126" w:name="_Toc90551770"/>
            <w:r>
              <w:rPr>
                <w:b/>
              </w:rPr>
              <w:t>User Action</w:t>
            </w:r>
          </w:p>
        </w:tc>
        <w:tc>
          <w:tcPr>
            <w:tcW w:w="6120" w:type="dxa"/>
            <w:shd w:val="pct30" w:color="auto" w:fill="FFFFFF"/>
            <w:vAlign w:val="bottom"/>
          </w:tcPr>
          <w:p w14:paraId="466801EB" w14:textId="77777777" w:rsidR="002A21AE" w:rsidRDefault="002A21AE">
            <w:pPr>
              <w:pStyle w:val="TableText"/>
              <w:rPr>
                <w:b/>
              </w:rPr>
            </w:pPr>
            <w:r>
              <w:rPr>
                <w:b/>
              </w:rPr>
              <w:t>VBECS</w:t>
            </w:r>
          </w:p>
        </w:tc>
      </w:tr>
      <w:tr w:rsidR="002A21AE" w14:paraId="13ACD7DC" w14:textId="77777777">
        <w:tc>
          <w:tcPr>
            <w:tcW w:w="3240" w:type="dxa"/>
          </w:tcPr>
          <w:p w14:paraId="6C714B0E" w14:textId="77777777" w:rsidR="002A21AE" w:rsidRDefault="002A21AE">
            <w:pPr>
              <w:pStyle w:val="TableTextNumbers"/>
            </w:pPr>
            <w:r>
              <w:t xml:space="preserve">Select </w:t>
            </w:r>
            <w:r>
              <w:rPr>
                <w:b/>
              </w:rPr>
              <w:t>Patients</w:t>
            </w:r>
            <w:r>
              <w:t xml:space="preserve"> from the main menu.</w:t>
            </w:r>
          </w:p>
          <w:p w14:paraId="51594F39" w14:textId="77777777" w:rsidR="002A21AE" w:rsidRDefault="002A21AE">
            <w:pPr>
              <w:pStyle w:val="TableTextNumbersContinued"/>
              <w:rPr>
                <w:b/>
                <w:bCs/>
              </w:rPr>
            </w:pPr>
          </w:p>
          <w:p w14:paraId="6A41105A" w14:textId="77777777" w:rsidR="002A21AE" w:rsidRDefault="002A21AE">
            <w:pPr>
              <w:pStyle w:val="TableTextNumbersContinued"/>
            </w:pPr>
            <w:r>
              <w:t xml:space="preserve">Select </w:t>
            </w:r>
            <w:r>
              <w:rPr>
                <w:b/>
              </w:rPr>
              <w:t>Special Instructions &amp; Transfusion Requirements</w:t>
            </w:r>
            <w:r>
              <w:t>, or</w:t>
            </w:r>
          </w:p>
          <w:p w14:paraId="5D1D33F2" w14:textId="77777777" w:rsidR="002A21AE" w:rsidRDefault="002A21AE">
            <w:pPr>
              <w:pStyle w:val="TableTextNumbersContinued"/>
            </w:pPr>
          </w:p>
          <w:p w14:paraId="445EB04B" w14:textId="77777777" w:rsidR="002A21AE" w:rsidRDefault="002A21AE">
            <w:pPr>
              <w:pStyle w:val="TableTextNumbersContinued"/>
            </w:pPr>
            <w:r>
              <w:t xml:space="preserve">Click </w:t>
            </w:r>
            <w:r w:rsidR="00057948">
              <w:rPr>
                <w:noProof/>
              </w:rPr>
              <w:drawing>
                <wp:inline distT="0" distB="0" distL="0" distR="0" wp14:anchorId="4FD48C69" wp14:editId="3B21BCC3">
                  <wp:extent cx="156845" cy="156845"/>
                  <wp:effectExtent l="0" t="0" r="0" b="0"/>
                  <wp:docPr id="102" name="Picture 102"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it is active.</w:t>
            </w:r>
          </w:p>
        </w:tc>
        <w:tc>
          <w:tcPr>
            <w:tcW w:w="6120" w:type="dxa"/>
          </w:tcPr>
          <w:p w14:paraId="7F9DFDDE" w14:textId="77777777" w:rsidR="002A21AE" w:rsidRDefault="002A21AE">
            <w:pPr>
              <w:pStyle w:val="TableTextBullet"/>
            </w:pPr>
            <w:r>
              <w:t>Displays options for processing patient-related functions.</w:t>
            </w:r>
          </w:p>
          <w:p w14:paraId="6B211892" w14:textId="77777777" w:rsidR="002A21AE" w:rsidRDefault="002A21AE">
            <w:pPr>
              <w:pStyle w:val="TableTextBullet"/>
            </w:pPr>
            <w:r>
              <w:t xml:space="preserve">Displays the option to select a patient, when one is not already selected. </w:t>
            </w:r>
          </w:p>
          <w:p w14:paraId="6FB87AAB" w14:textId="77777777" w:rsidR="002A21AE" w:rsidRDefault="002A21AE">
            <w:pPr>
              <w:pStyle w:val="TableText"/>
              <w:rPr>
                <w:b/>
                <w:bCs/>
                <w:szCs w:val="18"/>
              </w:rPr>
            </w:pPr>
          </w:p>
          <w:p w14:paraId="1346E60A" w14:textId="4ADF6945" w:rsidR="002A21AE" w:rsidRDefault="002A21AE">
            <w:pPr>
              <w:pStyle w:val="TableText"/>
              <w:rPr>
                <w:b/>
                <w:bCs/>
                <w:szCs w:val="18"/>
              </w:rPr>
            </w:pPr>
            <w:r>
              <w:rPr>
                <w:b/>
                <w:bCs/>
                <w:szCs w:val="18"/>
              </w:rPr>
              <w:t>NOTES</w:t>
            </w:r>
          </w:p>
          <w:p w14:paraId="21F3C11C" w14:textId="77777777" w:rsidR="002A21AE" w:rsidRDefault="002A21AE">
            <w:pPr>
              <w:pStyle w:val="NotesText"/>
            </w:pPr>
          </w:p>
          <w:p w14:paraId="1F4420D9" w14:textId="77777777" w:rsidR="002A21AE" w:rsidRDefault="00D62E87">
            <w:pPr>
              <w:pStyle w:val="NotesText"/>
            </w:pPr>
            <w:r w:rsidRPr="00896F17">
              <w:rPr>
                <w:rStyle w:val="BullhornChar"/>
              </w:rPr>
              <w:t></w:t>
            </w:r>
            <w:r w:rsidRPr="00D62E87">
              <w:rPr>
                <w:rFonts w:ascii="Webdings" w:hAnsi="Webdings"/>
                <w:szCs w:val="22"/>
              </w:rPr>
              <w:t></w:t>
            </w:r>
            <w:r w:rsidR="002A21AE">
              <w:t>When a patient’s VBECS record includes an active TR, SI, or antigen negative requirement, VBECS emits an audible alert and notifies the user by enabling the icon.</w:t>
            </w:r>
          </w:p>
        </w:tc>
      </w:tr>
      <w:tr w:rsidR="002A21AE" w14:paraId="314BFCC5" w14:textId="77777777">
        <w:tc>
          <w:tcPr>
            <w:tcW w:w="3240" w:type="dxa"/>
          </w:tcPr>
          <w:p w14:paraId="68E1E125" w14:textId="77777777" w:rsidR="002A21AE" w:rsidRDefault="002A21AE">
            <w:pPr>
              <w:pStyle w:val="TableTextNumbers"/>
            </w:pPr>
            <w:r>
              <w:t xml:space="preserve">Select a patient and click </w:t>
            </w:r>
            <w:r>
              <w:rPr>
                <w:b/>
              </w:rPr>
              <w:t>OK</w:t>
            </w:r>
            <w:r>
              <w:t>.</w:t>
            </w:r>
          </w:p>
          <w:p w14:paraId="3C873A8F" w14:textId="77777777" w:rsidR="002A21AE" w:rsidRDefault="002A21AE">
            <w:pPr>
              <w:pStyle w:val="TableTextNumbersContinued"/>
              <w:rPr>
                <w:b/>
                <w:bCs/>
              </w:rPr>
            </w:pPr>
          </w:p>
          <w:p w14:paraId="2ADE4BEE" w14:textId="77777777" w:rsidR="002A21AE" w:rsidRDefault="002A21AE">
            <w:pPr>
              <w:pStyle w:val="TableTextNumbersContinued"/>
            </w:pPr>
            <w:r>
              <w:t xml:space="preserve">View the data. </w:t>
            </w:r>
          </w:p>
          <w:p w14:paraId="2D13A3FB" w14:textId="77777777" w:rsidR="002A21AE" w:rsidRDefault="002A21AE">
            <w:pPr>
              <w:pStyle w:val="TableTextNumbersContinued"/>
            </w:pPr>
          </w:p>
          <w:p w14:paraId="6586A8B3" w14:textId="77777777" w:rsidR="002A21AE" w:rsidRDefault="002A21AE">
            <w:pPr>
              <w:pStyle w:val="TableTextNumbersContinued"/>
            </w:pPr>
            <w:r>
              <w:t xml:space="preserve">Click </w:t>
            </w:r>
            <w:r>
              <w:rPr>
                <w:b/>
              </w:rPr>
              <w:t>OK</w:t>
            </w:r>
            <w:r>
              <w:t xml:space="preserve"> to continue.</w:t>
            </w:r>
          </w:p>
        </w:tc>
        <w:tc>
          <w:tcPr>
            <w:tcW w:w="6120" w:type="dxa"/>
          </w:tcPr>
          <w:p w14:paraId="7A02D708" w14:textId="77777777" w:rsidR="002A21AE" w:rsidRDefault="002A21AE">
            <w:pPr>
              <w:pStyle w:val="TableTextBullet"/>
            </w:pPr>
            <w:r>
              <w:t xml:space="preserve">Displays the data. </w:t>
            </w:r>
          </w:p>
          <w:p w14:paraId="5A003F59" w14:textId="77777777" w:rsidR="002A21AE" w:rsidRDefault="002A21AE">
            <w:pPr>
              <w:pStyle w:val="TableText"/>
            </w:pPr>
          </w:p>
          <w:p w14:paraId="568B1378" w14:textId="77D665F0" w:rsidR="002A21AE" w:rsidRDefault="002A21AE">
            <w:pPr>
              <w:pStyle w:val="TableText"/>
              <w:rPr>
                <w:b/>
                <w:bCs/>
                <w:szCs w:val="18"/>
              </w:rPr>
            </w:pPr>
            <w:r>
              <w:rPr>
                <w:b/>
                <w:bCs/>
                <w:szCs w:val="18"/>
              </w:rPr>
              <w:t>NOTES</w:t>
            </w:r>
          </w:p>
          <w:p w14:paraId="3076D024" w14:textId="77777777" w:rsidR="002A21AE" w:rsidRDefault="002A21AE">
            <w:pPr>
              <w:pStyle w:val="NotesText"/>
            </w:pPr>
          </w:p>
          <w:p w14:paraId="591BBDFB" w14:textId="77777777" w:rsidR="002A21AE" w:rsidRPr="008D574C" w:rsidRDefault="002A21AE">
            <w:pPr>
              <w:pStyle w:val="NotesText"/>
              <w:rPr>
                <w:rFonts w:cs="Arial"/>
                <w:szCs w:val="18"/>
              </w:rPr>
            </w:pPr>
            <w:r w:rsidRPr="008D574C">
              <w:rPr>
                <w:rFonts w:cs="Arial"/>
                <w:vanish/>
                <w:szCs w:val="18"/>
              </w:rPr>
              <w:t xml:space="preserve">BR_36.02 </w:t>
            </w:r>
            <w:r w:rsidR="0058054E">
              <w:rPr>
                <w:rFonts w:cs="Arial"/>
                <w:szCs w:val="18"/>
              </w:rPr>
              <w:t xml:space="preserve">VBECS displays active TRs to all divisions within a multidivisional database. </w:t>
            </w:r>
          </w:p>
          <w:p w14:paraId="18543C46" w14:textId="77777777" w:rsidR="002A21AE" w:rsidRPr="008D574C" w:rsidRDefault="002A21AE">
            <w:pPr>
              <w:pStyle w:val="NotesText"/>
              <w:rPr>
                <w:rFonts w:cs="Arial"/>
                <w:szCs w:val="18"/>
              </w:rPr>
            </w:pPr>
          </w:p>
          <w:p w14:paraId="72990718" w14:textId="77777777" w:rsidR="00201E35" w:rsidRPr="008D574C" w:rsidRDefault="00201E35">
            <w:pPr>
              <w:pStyle w:val="NotesText"/>
              <w:rPr>
                <w:rFonts w:cs="Arial"/>
                <w:szCs w:val="18"/>
              </w:rPr>
            </w:pPr>
            <w:r w:rsidRPr="008D574C">
              <w:rPr>
                <w:rFonts w:cs="Arial"/>
                <w:vanish/>
                <w:szCs w:val="18"/>
              </w:rPr>
              <w:t>BR_36.07</w:t>
            </w:r>
            <w:r w:rsidRPr="008D574C">
              <w:rPr>
                <w:rFonts w:cs="Arial"/>
                <w:szCs w:val="18"/>
              </w:rPr>
              <w:t xml:space="preserve"> VBECS alerts the user when an active TR, SI, or antigen negative requirement is in a patient’s record.</w:t>
            </w:r>
          </w:p>
          <w:p w14:paraId="73B2105D" w14:textId="77777777" w:rsidR="00201E35" w:rsidRPr="008D574C" w:rsidRDefault="00201E35">
            <w:pPr>
              <w:pStyle w:val="NotesText"/>
              <w:rPr>
                <w:rFonts w:cs="Arial"/>
                <w:szCs w:val="18"/>
              </w:rPr>
            </w:pPr>
          </w:p>
          <w:p w14:paraId="112AA850" w14:textId="77777777" w:rsidR="002A21AE" w:rsidRPr="008D574C" w:rsidRDefault="002A21AE">
            <w:pPr>
              <w:pStyle w:val="NotesText"/>
              <w:rPr>
                <w:rFonts w:cs="Arial"/>
                <w:szCs w:val="18"/>
              </w:rPr>
            </w:pPr>
            <w:r w:rsidRPr="008D574C">
              <w:rPr>
                <w:rFonts w:cs="Arial"/>
                <w:vanish/>
                <w:szCs w:val="18"/>
              </w:rPr>
              <w:t xml:space="preserve">BR_38.08 </w:t>
            </w:r>
            <w:r w:rsidRPr="008D574C">
              <w:rPr>
                <w:rFonts w:cs="Arial"/>
                <w:szCs w:val="18"/>
              </w:rPr>
              <w:t>VBECS displays component requirements to all divisions in a multidivisional database. No division allows issue until requirements are met.</w:t>
            </w:r>
          </w:p>
          <w:p w14:paraId="2C87C787" w14:textId="77777777" w:rsidR="002A21AE" w:rsidRPr="008D574C" w:rsidRDefault="002A21AE">
            <w:pPr>
              <w:pStyle w:val="NotesText"/>
              <w:rPr>
                <w:rFonts w:cs="Arial"/>
                <w:szCs w:val="18"/>
              </w:rPr>
            </w:pPr>
          </w:p>
          <w:p w14:paraId="6FFE3DF0" w14:textId="77777777" w:rsidR="002A21AE" w:rsidRDefault="002A21AE">
            <w:pPr>
              <w:pStyle w:val="NotesText"/>
            </w:pPr>
            <w:r w:rsidRPr="008D574C">
              <w:rPr>
                <w:rFonts w:cs="Arial"/>
                <w:vanish/>
                <w:szCs w:val="18"/>
              </w:rPr>
              <w:t>BR_36.05</w:t>
            </w:r>
            <w:r w:rsidR="00E274BF">
              <w:rPr>
                <w:rFonts w:cs="Arial"/>
                <w:vanish/>
                <w:szCs w:val="18"/>
              </w:rPr>
              <w:t>,</w:t>
            </w:r>
            <w:r w:rsidRPr="008D574C">
              <w:rPr>
                <w:rFonts w:cs="Arial"/>
                <w:vanish/>
                <w:szCs w:val="18"/>
              </w:rPr>
              <w:t xml:space="preserve"> BR_36.06</w:t>
            </w:r>
            <w:r w:rsidRPr="00E274BF">
              <w:rPr>
                <w:rFonts w:cs="Arial"/>
                <w:vanish/>
                <w:szCs w:val="18"/>
              </w:rPr>
              <w:t xml:space="preserve"> </w:t>
            </w:r>
            <w:r w:rsidRPr="008D574C">
              <w:rPr>
                <w:szCs w:val="18"/>
              </w:rPr>
              <w:t>When</w:t>
            </w:r>
            <w:r>
              <w:t xml:space="preserve"> VBECS displays the </w:t>
            </w:r>
            <w:r>
              <w:rPr>
                <w:rFonts w:cs="Arial"/>
                <w:snapToGrid w:val="0"/>
                <w:color w:val="000000"/>
              </w:rPr>
              <w:t>Patient Information Toolbar, it</w:t>
            </w:r>
            <w:r>
              <w:t xml:space="preserve"> calculates the overall compatibility percentage of units to be screened to find compatible units.</w:t>
            </w:r>
          </w:p>
          <w:p w14:paraId="079B0D5D" w14:textId="77777777" w:rsidR="007109BA" w:rsidRDefault="007109BA">
            <w:pPr>
              <w:pStyle w:val="NotesText"/>
            </w:pPr>
          </w:p>
          <w:p w14:paraId="625C4EEC" w14:textId="77777777" w:rsidR="007109BA" w:rsidRDefault="00115A2A">
            <w:pPr>
              <w:pStyle w:val="NotesText"/>
            </w:pPr>
            <w:r w:rsidRPr="00115A2A">
              <w:rPr>
                <w:vanish/>
              </w:rPr>
              <w:t>DR 4503</w:t>
            </w:r>
            <w:r>
              <w:rPr>
                <w:vanish/>
              </w:rPr>
              <w:t xml:space="preserve"> </w:t>
            </w:r>
            <w:r w:rsidR="007109BA">
              <w:t>The compatibility percentage displayed is based on the following calculation:</w:t>
            </w:r>
          </w:p>
          <w:p w14:paraId="0A4C9F09" w14:textId="77777777" w:rsidR="007109BA" w:rsidRDefault="007109BA">
            <w:pPr>
              <w:pStyle w:val="NotesText"/>
            </w:pPr>
          </w:p>
          <w:p w14:paraId="387DD3F1" w14:textId="77777777" w:rsidR="007109BA" w:rsidRDefault="007109BA">
            <w:pPr>
              <w:pStyle w:val="NotesText"/>
            </w:pPr>
            <w:r>
              <w:t>Type Specific ABO % x Antigen compatibility % as defined in Antibodies equals % compatible.</w:t>
            </w:r>
          </w:p>
          <w:p w14:paraId="4E389CD1" w14:textId="77777777" w:rsidR="007109BA" w:rsidRDefault="007109BA">
            <w:pPr>
              <w:pStyle w:val="NotesText"/>
            </w:pPr>
          </w:p>
          <w:p w14:paraId="6CE4D6B7" w14:textId="77777777" w:rsidR="007109BA" w:rsidRDefault="007109BA">
            <w:pPr>
              <w:pStyle w:val="NotesText"/>
            </w:pPr>
            <w:r>
              <w:t>For example, if a patient is A Positive and has both Anti-E (</w:t>
            </w:r>
            <w:r w:rsidR="00C242AA">
              <w:t>compatibility</w:t>
            </w:r>
            <w:r>
              <w:t xml:space="preserve"> percentage = 75%) and Anti-K (compatibility percentage = 91%) antigen negative requirements, the percentage of the population considered compatible for this patient would be .45 x .75 x .91 = .30 (rounded).</w:t>
            </w:r>
          </w:p>
          <w:p w14:paraId="220E0DB0" w14:textId="77777777" w:rsidR="007109BA" w:rsidRDefault="007109BA" w:rsidP="007109BA">
            <w:pPr>
              <w:pStyle w:val="NotesText"/>
            </w:pPr>
            <w:r>
              <w:t>Rh type of the patient is not used in the calculation when the patient does not have an Anti-D as Rh Pos or Rh Neg units may be screened.</w:t>
            </w:r>
          </w:p>
          <w:p w14:paraId="102FDF4C" w14:textId="77777777" w:rsidR="007109BA" w:rsidRDefault="007109BA" w:rsidP="007109BA">
            <w:pPr>
              <w:pStyle w:val="NotesText"/>
            </w:pPr>
          </w:p>
          <w:p w14:paraId="17962F98" w14:textId="1BF7D19A" w:rsidR="007109BA" w:rsidRDefault="007109BA" w:rsidP="007556BD">
            <w:pPr>
              <w:pStyle w:val="NotesText"/>
            </w:pPr>
            <w:r>
              <w:t>The blood type percentages in VBECS are as follows and are general percentages for the American population: A is 4</w:t>
            </w:r>
            <w:r w:rsidR="00D11F30">
              <w:t>5</w:t>
            </w:r>
            <w:r>
              <w:t>%, B</w:t>
            </w:r>
            <w:r w:rsidR="007556BD">
              <w:t xml:space="preserve"> is 1</w:t>
            </w:r>
            <w:r w:rsidR="00D11F30">
              <w:t>5</w:t>
            </w:r>
            <w:r w:rsidR="007556BD">
              <w:t xml:space="preserve">%, AB is </w:t>
            </w:r>
            <w:r w:rsidR="00D11F30">
              <w:t>6</w:t>
            </w:r>
            <w:r w:rsidR="007556BD">
              <w:t>% and O is 45%.</w:t>
            </w:r>
          </w:p>
          <w:p w14:paraId="77AC8A8B" w14:textId="77777777" w:rsidR="007109BA" w:rsidRDefault="007109BA">
            <w:pPr>
              <w:pStyle w:val="NotesText"/>
            </w:pPr>
          </w:p>
        </w:tc>
      </w:tr>
      <w:tr w:rsidR="002A21AE" w14:paraId="6A134585" w14:textId="77777777">
        <w:tc>
          <w:tcPr>
            <w:tcW w:w="3240" w:type="dxa"/>
          </w:tcPr>
          <w:p w14:paraId="4B2CD839" w14:textId="77777777" w:rsidR="002A21AE" w:rsidRDefault="002A21AE">
            <w:pPr>
              <w:pStyle w:val="TableTextNumbers"/>
            </w:pPr>
            <w:r>
              <w:t>Select another patient and return to Step 2, if desired.</w:t>
            </w:r>
          </w:p>
        </w:tc>
        <w:tc>
          <w:tcPr>
            <w:tcW w:w="6120" w:type="dxa"/>
          </w:tcPr>
          <w:p w14:paraId="126FE790" w14:textId="77777777" w:rsidR="002A21AE" w:rsidRDefault="002A21AE">
            <w:pPr>
              <w:pStyle w:val="TableText"/>
            </w:pPr>
          </w:p>
        </w:tc>
      </w:tr>
      <w:tr w:rsidR="002A21AE" w14:paraId="753F5C3C" w14:textId="77777777">
        <w:tc>
          <w:tcPr>
            <w:tcW w:w="3240" w:type="dxa"/>
          </w:tcPr>
          <w:p w14:paraId="005EE0BA" w14:textId="77777777" w:rsidR="002A21AE" w:rsidRDefault="002A21AE">
            <w:pPr>
              <w:pStyle w:val="TableTextNumbers"/>
            </w:pPr>
            <w:r>
              <w:t xml:space="preserve">Click </w:t>
            </w:r>
            <w:r>
              <w:rPr>
                <w:b/>
              </w:rPr>
              <w:t>OK</w:t>
            </w:r>
            <w:r>
              <w:t xml:space="preserve"> to exit.</w:t>
            </w:r>
            <w:r w:rsidRPr="00B93B42">
              <w:rPr>
                <w:rStyle w:val="StyleTableTextNumbersWhite1Char"/>
              </w:rPr>
              <w:t xml:space="preserve"> </w:t>
            </w:r>
            <w:r w:rsidR="00816D1E" w:rsidRPr="00200B6D">
              <w:rPr>
                <w:rFonts w:cs="Arial"/>
                <w:vanish/>
                <w:szCs w:val="18"/>
              </w:rPr>
              <w:fldChar w:fldCharType="begin"/>
            </w:r>
            <w:r w:rsidR="00816D1E" w:rsidRPr="00200B6D">
              <w:rPr>
                <w:rFonts w:cs="Arial"/>
                <w:vanish/>
                <w:szCs w:val="18"/>
              </w:rPr>
              <w:instrText xml:space="preserve"> LISTNUM \l 1 \s 0 </w:instrText>
            </w:r>
            <w:r w:rsidR="00816D1E" w:rsidRPr="00200B6D">
              <w:rPr>
                <w:rFonts w:cs="Arial"/>
                <w:vanish/>
                <w:szCs w:val="18"/>
              </w:rPr>
              <w:fldChar w:fldCharType="end"/>
            </w:r>
          </w:p>
        </w:tc>
        <w:tc>
          <w:tcPr>
            <w:tcW w:w="6120" w:type="dxa"/>
          </w:tcPr>
          <w:p w14:paraId="52DFF824" w14:textId="77777777" w:rsidR="002A21AE" w:rsidRDefault="002A21AE">
            <w:pPr>
              <w:pStyle w:val="TableText"/>
            </w:pPr>
          </w:p>
        </w:tc>
      </w:tr>
      <w:bookmarkEnd w:id="126"/>
    </w:tbl>
    <w:p w14:paraId="1AC26C40" w14:textId="77777777" w:rsidR="003E1A45" w:rsidRDefault="003E1A45">
      <w:pPr>
        <w:pStyle w:val="Heading3"/>
      </w:pPr>
    </w:p>
    <w:p w14:paraId="2FBF8FDE" w14:textId="77777777" w:rsidR="002A21AE" w:rsidRDefault="003E1A45">
      <w:pPr>
        <w:pStyle w:val="Heading3"/>
      </w:pPr>
      <w:r>
        <w:br w:type="page"/>
      </w:r>
      <w:bookmarkStart w:id="127" w:name="_Toc149064082"/>
      <w:r w:rsidR="002A21AE">
        <w:t>View Recent Orders, Recent Transfusions/Issued Units, and Transfusion Reaction History</w:t>
      </w:r>
      <w:bookmarkEnd w:id="127"/>
    </w:p>
    <w:p w14:paraId="62FF0F76" w14:textId="77777777" w:rsidR="002A21AE" w:rsidRDefault="002A21AE" w:rsidP="00FA7E65">
      <w:pPr>
        <w:pStyle w:val="BodyText"/>
      </w:pPr>
      <w:r>
        <w:t>The user views portions of a patient’s data previously recorded in VBECS in three formats:</w:t>
      </w:r>
      <w:r w:rsidR="00573228">
        <w:t xml:space="preserve"> recent orders, recent transfusions/issued units, and transfusion reaction history.</w:t>
      </w:r>
    </w:p>
    <w:p w14:paraId="6E011D92" w14:textId="77777777" w:rsidR="002A21AE" w:rsidRDefault="002A21AE">
      <w:pPr>
        <w:pStyle w:val="Heading4"/>
      </w:pPr>
      <w:r>
        <w:t>Assumptions</w:t>
      </w:r>
    </w:p>
    <w:p w14:paraId="3BD865F9" w14:textId="77777777" w:rsidR="002A21AE" w:rsidRDefault="002A21AE" w:rsidP="00C00476">
      <w:pPr>
        <w:pStyle w:val="ListBullet"/>
        <w:rPr>
          <w:b/>
        </w:rPr>
      </w:pPr>
      <w:r>
        <w:t>A VBECS record must be established for a patient in this database in at least one division, if multidivisional.</w:t>
      </w:r>
    </w:p>
    <w:p w14:paraId="77CCC5B7" w14:textId="77777777" w:rsidR="002A21AE" w:rsidRDefault="002A21AE">
      <w:pPr>
        <w:pStyle w:val="Heading4"/>
      </w:pPr>
      <w:r>
        <w:t xml:space="preserve">Outcome </w:t>
      </w:r>
    </w:p>
    <w:p w14:paraId="05C9E988" w14:textId="77777777" w:rsidR="002A21AE" w:rsidRDefault="002A21AE" w:rsidP="00C00476">
      <w:pPr>
        <w:pStyle w:val="ListBullet"/>
      </w:pPr>
      <w:r>
        <w:t xml:space="preserve">The user </w:t>
      </w:r>
      <w:r w:rsidRPr="00C00476">
        <w:t>views</w:t>
      </w:r>
      <w:r>
        <w:t>:</w:t>
      </w:r>
    </w:p>
    <w:p w14:paraId="2E10B730" w14:textId="77777777" w:rsidR="002A21AE" w:rsidRDefault="002A21AE" w:rsidP="00716ED8">
      <w:pPr>
        <w:pStyle w:val="ListBullet2"/>
      </w:pPr>
      <w:r>
        <w:t>A patient’s active order data (recent orders).</w:t>
      </w:r>
    </w:p>
    <w:p w14:paraId="5250696E" w14:textId="77777777" w:rsidR="002A21AE" w:rsidRDefault="002A21AE" w:rsidP="00716ED8">
      <w:pPr>
        <w:pStyle w:val="ListBullet2"/>
      </w:pPr>
      <w:r>
        <w:t>A patient’s transfusions and currently issued units (recent transfusion history).</w:t>
      </w:r>
    </w:p>
    <w:p w14:paraId="71E97541" w14:textId="77777777" w:rsidR="002A21AE" w:rsidRDefault="002A21AE" w:rsidP="00716ED8">
      <w:pPr>
        <w:pStyle w:val="ListBullet2"/>
      </w:pPr>
      <w:r>
        <w:t>A snapshot of the patient’s VBECS clinical record (transfusion reaction history).</w:t>
      </w:r>
    </w:p>
    <w:p w14:paraId="244425B7" w14:textId="77777777" w:rsidR="002A21AE" w:rsidRDefault="002A21AE">
      <w:pPr>
        <w:pStyle w:val="Heading4"/>
      </w:pPr>
      <w:r>
        <w:t>Limitations and Restrictions</w:t>
      </w:r>
    </w:p>
    <w:p w14:paraId="6567B4EB" w14:textId="1EE73624" w:rsidR="002A21AE" w:rsidRDefault="006A4AFF" w:rsidP="00C00476">
      <w:pPr>
        <w:pStyle w:val="ListBullet"/>
      </w:pPr>
      <w:r>
        <w:t>Recent Orders is showing Order Status values like “Not Started” and “Filled”, which are actually Task Statuses.</w:t>
      </w:r>
      <w:r w:rsidR="00B7221D">
        <w:t xml:space="preserve"> </w:t>
      </w:r>
      <w:r w:rsidR="00B7221D" w:rsidRPr="00B7221D">
        <w:rPr>
          <w:vanish/>
        </w:rPr>
        <w:t>Defect 214974</w:t>
      </w:r>
    </w:p>
    <w:p w14:paraId="2714D461" w14:textId="1448AC26" w:rsidR="003209A5" w:rsidRDefault="003209A5" w:rsidP="00C00476">
      <w:pPr>
        <w:pStyle w:val="ListBullet"/>
      </w:pPr>
      <w:r>
        <w:t xml:space="preserve">Completed TRWs do not display on the Recent Orders screen. Completed TRWs can be found by searching in the Reports, Finalize/Print TRW option. </w:t>
      </w:r>
      <w:r w:rsidRPr="003209A5">
        <w:rPr>
          <w:vanish/>
        </w:rPr>
        <w:t>Defect 2</w:t>
      </w:r>
      <w:r w:rsidR="008C5F1E">
        <w:rPr>
          <w:vanish/>
        </w:rPr>
        <w:t>10171</w:t>
      </w:r>
    </w:p>
    <w:p w14:paraId="56949A99" w14:textId="77777777" w:rsidR="002A21AE" w:rsidRDefault="002A21AE">
      <w:pPr>
        <w:pStyle w:val="Heading4"/>
      </w:pPr>
      <w:r>
        <w:t>Additional Information</w:t>
      </w:r>
    </w:p>
    <w:p w14:paraId="1DFBC9C2" w14:textId="77777777" w:rsidR="002A21AE" w:rsidRDefault="002A21AE" w:rsidP="00C00476">
      <w:pPr>
        <w:pStyle w:val="ListBullet"/>
        <w:rPr>
          <w:b/>
        </w:rPr>
      </w:pPr>
      <w:r w:rsidRPr="00C00476">
        <w:t>None</w:t>
      </w:r>
    </w:p>
    <w:p w14:paraId="5F77D9B6" w14:textId="77777777" w:rsidR="002A21AE" w:rsidRDefault="002A21AE">
      <w:pPr>
        <w:pStyle w:val="Heading4"/>
        <w:rPr>
          <w:b w:val="0"/>
        </w:rPr>
      </w:pPr>
      <w:r>
        <w:t>User Roles with Access to This Option</w:t>
      </w:r>
      <w:r>
        <w:rPr>
          <w:b w:val="0"/>
        </w:rPr>
        <w:t xml:space="preserve"> </w:t>
      </w:r>
    </w:p>
    <w:p w14:paraId="13E80AD7" w14:textId="77777777" w:rsidR="002A21AE" w:rsidRDefault="00237C52">
      <w:pPr>
        <w:pStyle w:val="Roles"/>
      </w:pPr>
      <w:r>
        <w:t>All users</w:t>
      </w:r>
    </w:p>
    <w:p w14:paraId="47F486EA" w14:textId="77777777" w:rsidR="002A21AE" w:rsidRDefault="00057948">
      <w:pPr>
        <w:pStyle w:val="Heading3"/>
      </w:pPr>
      <w:bookmarkStart w:id="128" w:name="_Patient_Information_Toolbar:_Recent"/>
      <w:bookmarkStart w:id="129" w:name="_Toc149064083"/>
      <w:bookmarkEnd w:id="128"/>
      <w:r>
        <w:rPr>
          <w:noProof/>
        </w:rPr>
        <w:drawing>
          <wp:inline distT="0" distB="0" distL="0" distR="0" wp14:anchorId="7EE88B24" wp14:editId="3875D715">
            <wp:extent cx="156845" cy="156845"/>
            <wp:effectExtent l="0" t="0" r="0" b="0"/>
            <wp:docPr id="103" name="Picture 103" descr="Recent Ord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Recent Orders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Patient Information Toolbar: Recent Orders</w:t>
      </w:r>
      <w:bookmarkEnd w:id="129"/>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Recent Orders</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14:paraId="0AE88A50" w14:textId="77777777" w:rsidR="002A21AE" w:rsidRDefault="002A21AE" w:rsidP="00FA7E65">
      <w:pPr>
        <w:pStyle w:val="BodyText"/>
      </w:pPr>
      <w:r>
        <w:t xml:space="preserve">The user views current (pending and active) order data (including reflex tests), which include clinical data from all divisions within a multidivisional database.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B27F880" w14:textId="77777777">
        <w:trPr>
          <w:tblHeader/>
        </w:trPr>
        <w:tc>
          <w:tcPr>
            <w:tcW w:w="3240" w:type="dxa"/>
            <w:shd w:val="clear" w:color="auto" w:fill="B3B3B3"/>
          </w:tcPr>
          <w:p w14:paraId="160EE799" w14:textId="77777777" w:rsidR="002A21AE" w:rsidRDefault="002A21AE">
            <w:pPr>
              <w:pStyle w:val="TableText"/>
              <w:rPr>
                <w:b/>
              </w:rPr>
            </w:pPr>
            <w:r>
              <w:rPr>
                <w:b/>
              </w:rPr>
              <w:t>User Action</w:t>
            </w:r>
          </w:p>
        </w:tc>
        <w:tc>
          <w:tcPr>
            <w:tcW w:w="6120" w:type="dxa"/>
            <w:shd w:val="clear" w:color="auto" w:fill="B3B3B3"/>
          </w:tcPr>
          <w:p w14:paraId="54D78577" w14:textId="77777777" w:rsidR="002A21AE" w:rsidRDefault="002A21AE">
            <w:pPr>
              <w:pStyle w:val="TableText"/>
              <w:rPr>
                <w:b/>
              </w:rPr>
            </w:pPr>
            <w:r>
              <w:rPr>
                <w:b/>
              </w:rPr>
              <w:t>VBECS</w:t>
            </w:r>
          </w:p>
        </w:tc>
      </w:tr>
      <w:tr w:rsidR="002A21AE" w14:paraId="562927DD" w14:textId="77777777">
        <w:tc>
          <w:tcPr>
            <w:tcW w:w="3240" w:type="dxa"/>
          </w:tcPr>
          <w:p w14:paraId="77753145" w14:textId="77777777" w:rsidR="002A21AE" w:rsidRDefault="002A21AE">
            <w:pPr>
              <w:pStyle w:val="TableTextNumbers"/>
            </w:pPr>
            <w:r>
              <w:t xml:space="preserve">In the Patient Information Toolbar, click </w:t>
            </w:r>
            <w:r w:rsidR="00057948">
              <w:rPr>
                <w:noProof/>
              </w:rPr>
              <w:drawing>
                <wp:inline distT="0" distB="0" distL="0" distR="0" wp14:anchorId="3207265A" wp14:editId="0BC74DC1">
                  <wp:extent cx="156845" cy="156845"/>
                  <wp:effectExtent l="0" t="0" r="0" b="0"/>
                  <wp:docPr id="104" name="Picture 104" descr="Recent Ord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Recent Orders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patient’s recent orders. </w:t>
            </w:r>
          </w:p>
        </w:tc>
        <w:tc>
          <w:tcPr>
            <w:tcW w:w="6120" w:type="dxa"/>
          </w:tcPr>
          <w:p w14:paraId="65F01E1F" w14:textId="77777777" w:rsidR="002A21AE" w:rsidRDefault="002A21AE">
            <w:pPr>
              <w:pStyle w:val="TableTextBullet"/>
            </w:pPr>
            <w:r>
              <w:t>Allows the user to click an icon to view a patient’s recent orders.</w:t>
            </w:r>
          </w:p>
          <w:p w14:paraId="47C0876B" w14:textId="77777777" w:rsidR="002A21AE" w:rsidRDefault="002A21AE">
            <w:pPr>
              <w:pStyle w:val="TableText"/>
            </w:pPr>
          </w:p>
          <w:p w14:paraId="4017ECE3" w14:textId="77119B46" w:rsidR="002A21AE" w:rsidRDefault="002A21AE">
            <w:pPr>
              <w:pStyle w:val="TableText"/>
              <w:rPr>
                <w:b/>
                <w:bCs/>
                <w:szCs w:val="18"/>
              </w:rPr>
            </w:pPr>
            <w:r>
              <w:rPr>
                <w:b/>
                <w:bCs/>
                <w:szCs w:val="18"/>
              </w:rPr>
              <w:t>NOTES</w:t>
            </w:r>
          </w:p>
          <w:p w14:paraId="70E79235" w14:textId="77777777" w:rsidR="002A21AE" w:rsidRDefault="002A21AE">
            <w:pPr>
              <w:pStyle w:val="NotesText"/>
            </w:pPr>
          </w:p>
          <w:p w14:paraId="7EE101F9" w14:textId="77777777" w:rsidR="002A21AE" w:rsidRDefault="002A21AE">
            <w:pPr>
              <w:pStyle w:val="NotesText"/>
              <w:rPr>
                <w:snapToGrid w:val="0"/>
              </w:rPr>
            </w:pPr>
            <w:r w:rsidRPr="00E274BF">
              <w:rPr>
                <w:rFonts w:cs="Arial"/>
                <w:vanish/>
                <w:szCs w:val="18"/>
              </w:rPr>
              <w:t>BR_65.08</w:t>
            </w:r>
            <w:r w:rsidRPr="009660C3">
              <w:rPr>
                <w:vanish/>
                <w:szCs w:val="18"/>
              </w:rPr>
              <w:t xml:space="preserve"> </w:t>
            </w:r>
            <w:r>
              <w:t xml:space="preserve">When the user selects </w:t>
            </w:r>
            <w:r w:rsidR="00057948">
              <w:rPr>
                <w:noProof/>
              </w:rPr>
              <w:drawing>
                <wp:inline distT="0" distB="0" distL="0" distR="0" wp14:anchorId="3B80A396" wp14:editId="51107E71">
                  <wp:extent cx="156845" cy="156845"/>
                  <wp:effectExtent l="0" t="0" r="0" b="0"/>
                  <wp:docPr id="105" name="Picture 105" descr="small_recent_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mall_recent_ord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Pr>
                <w:snapToGrid w:val="0"/>
              </w:rPr>
              <w:t>, VBECS displays all orders associated with the selected patient, including open orders and orders placed and processed within the last 14 days.</w:t>
            </w:r>
          </w:p>
          <w:p w14:paraId="19159E14" w14:textId="77777777" w:rsidR="00173A2B" w:rsidRDefault="00173A2B">
            <w:pPr>
              <w:pStyle w:val="NotesText"/>
              <w:rPr>
                <w:snapToGrid w:val="0"/>
              </w:rPr>
            </w:pPr>
          </w:p>
          <w:p w14:paraId="6D5E190A" w14:textId="77777777" w:rsidR="001970AB" w:rsidRDefault="00D806A1" w:rsidP="00173A2B">
            <w:pPr>
              <w:pStyle w:val="NotesText"/>
            </w:pPr>
            <w:r>
              <w:t>Diagnostic Test</w:t>
            </w:r>
            <w:r w:rsidR="00173A2B">
              <w:t xml:space="preserve"> orders sort and display by the date the order was placed in CPRS. Component orders sort and display by the date the order was accepted in VBECS.</w:t>
            </w:r>
          </w:p>
          <w:p w14:paraId="4DF3822D" w14:textId="77777777" w:rsidR="001970AB" w:rsidRDefault="001970AB" w:rsidP="00173A2B">
            <w:pPr>
              <w:pStyle w:val="NotesText"/>
            </w:pPr>
          </w:p>
          <w:p w14:paraId="11D5E7C5" w14:textId="0B42570F" w:rsidR="00173A2B" w:rsidRPr="00522BC8" w:rsidRDefault="001970AB" w:rsidP="001970AB">
            <w:pPr>
              <w:pStyle w:val="NotesText"/>
              <w:rPr>
                <w:vanish/>
              </w:rPr>
            </w:pPr>
            <w:r>
              <w:t>Orders with a status of Cance</w:t>
            </w:r>
            <w:r w:rsidR="002F7E19">
              <w:t>l</w:t>
            </w:r>
            <w:r>
              <w:t xml:space="preserve">led, Completed, Expired or Filled are not displayed in this view. See Order History Report. </w:t>
            </w:r>
            <w:r w:rsidRPr="004F0095">
              <w:rPr>
                <w:vanish/>
              </w:rPr>
              <w:t>DR 2218</w:t>
            </w:r>
            <w:r w:rsidR="00522BC8">
              <w:rPr>
                <w:vanish/>
              </w:rPr>
              <w:t xml:space="preserve"> DR 3727</w:t>
            </w:r>
          </w:p>
        </w:tc>
      </w:tr>
      <w:tr w:rsidR="002A21AE" w14:paraId="0A688229" w14:textId="77777777">
        <w:tc>
          <w:tcPr>
            <w:tcW w:w="3240" w:type="dxa"/>
          </w:tcPr>
          <w:p w14:paraId="03EB2514" w14:textId="77777777" w:rsidR="002A21AE" w:rsidRDefault="002A21AE">
            <w:pPr>
              <w:pStyle w:val="TableTextNumbers"/>
            </w:pPr>
            <w:r>
              <w:t xml:space="preserve">View the data and click </w:t>
            </w:r>
            <w:r>
              <w:rPr>
                <w:b/>
              </w:rPr>
              <w:t>Close</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EFA10EF" w14:textId="77777777" w:rsidR="002A21AE" w:rsidRDefault="002A21AE">
            <w:pPr>
              <w:pStyle w:val="TableText"/>
            </w:pPr>
          </w:p>
        </w:tc>
      </w:tr>
    </w:tbl>
    <w:p w14:paraId="32C6E23A" w14:textId="18516FF3" w:rsidR="00060C94" w:rsidRDefault="00060C94" w:rsidP="00060C94">
      <w:pPr>
        <w:pStyle w:val="Heading3"/>
      </w:pPr>
      <w:bookmarkStart w:id="130" w:name="_Patient_Information_Toolbar:_Recent_1"/>
      <w:bookmarkStart w:id="131" w:name="_Toc149064084"/>
      <w:bookmarkEnd w:id="130"/>
      <w:r>
        <w:rPr>
          <w:noProof/>
        </w:rPr>
        <w:drawing>
          <wp:inline distT="0" distB="0" distL="0" distR="0" wp14:anchorId="6723740B" wp14:editId="265D15D6">
            <wp:extent cx="156845" cy="156845"/>
            <wp:effectExtent l="0" t="0" r="0" b="0"/>
            <wp:docPr id="37" name="Picture 37" descr="Recent Transfusions/Issued Uni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Recent Transfusions/Issued Units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Patient Information Toolbar: Recent Transfusions/Issued Units</w:t>
      </w:r>
      <w:bookmarkEnd w:id="131"/>
      <w:r>
        <w:rPr>
          <w:rFonts w:ascii="Times New Roman" w:hAnsi="Times New Roman" w:cs="Times New Roman"/>
          <w:b w:val="0"/>
          <w:vanish/>
          <w:sz w:val="22"/>
        </w:rPr>
        <w:fldChar w:fldCharType="begin"/>
      </w:r>
      <w:r>
        <w:rPr>
          <w:rFonts w:ascii="Times New Roman" w:hAnsi="Times New Roman" w:cs="Times New Roman"/>
          <w:b w:val="0"/>
          <w:vanish/>
          <w:sz w:val="22"/>
        </w:rPr>
        <w:instrText xml:space="preserve"> XE “Patient Information Toolbar\: Recent Orders” </w:instrText>
      </w:r>
      <w:r>
        <w:rPr>
          <w:rFonts w:ascii="Times New Roman" w:hAnsi="Times New Roman" w:cs="Times New Roman"/>
          <w:b w:val="0"/>
          <w:vanish/>
          <w:sz w:val="22"/>
        </w:rPr>
        <w:fldChar w:fldCharType="end"/>
      </w:r>
      <w:r>
        <w:rPr>
          <w:rFonts w:ascii="Times New Roman" w:hAnsi="Times New Roman" w:cs="Times New Roman"/>
          <w:b w:val="0"/>
          <w:vanish/>
          <w:sz w:val="22"/>
        </w:rPr>
        <w:t xml:space="preserve"> UC_65</w:t>
      </w:r>
    </w:p>
    <w:p w14:paraId="74402F16" w14:textId="284EA55B" w:rsidR="002A21AE" w:rsidRDefault="002A21AE" w:rsidP="00FA7E65">
      <w:pPr>
        <w:pStyle w:val="BodyText"/>
      </w:pPr>
      <w:r>
        <w:t xml:space="preserve">The user views transfused and currently issued units for a patient.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2847534" w14:textId="77777777">
        <w:trPr>
          <w:tblHeader/>
        </w:trPr>
        <w:tc>
          <w:tcPr>
            <w:tcW w:w="3240" w:type="dxa"/>
            <w:shd w:val="clear" w:color="auto" w:fill="B3B3B3"/>
          </w:tcPr>
          <w:p w14:paraId="5D5B4A96" w14:textId="77777777" w:rsidR="002A21AE" w:rsidRDefault="002A21AE">
            <w:pPr>
              <w:pStyle w:val="TableText"/>
              <w:rPr>
                <w:b/>
              </w:rPr>
            </w:pPr>
            <w:r>
              <w:rPr>
                <w:b/>
              </w:rPr>
              <w:t>User Action</w:t>
            </w:r>
          </w:p>
        </w:tc>
        <w:tc>
          <w:tcPr>
            <w:tcW w:w="6120" w:type="dxa"/>
            <w:shd w:val="clear" w:color="auto" w:fill="B3B3B3"/>
          </w:tcPr>
          <w:p w14:paraId="12495667" w14:textId="77777777" w:rsidR="002A21AE" w:rsidRDefault="002A21AE">
            <w:pPr>
              <w:pStyle w:val="TableText"/>
              <w:rPr>
                <w:b/>
              </w:rPr>
            </w:pPr>
            <w:r>
              <w:rPr>
                <w:b/>
              </w:rPr>
              <w:t>VBECS</w:t>
            </w:r>
          </w:p>
        </w:tc>
      </w:tr>
      <w:tr w:rsidR="002A21AE" w14:paraId="1DCAD95B" w14:textId="77777777">
        <w:tc>
          <w:tcPr>
            <w:tcW w:w="3240" w:type="dxa"/>
          </w:tcPr>
          <w:p w14:paraId="4E90FFD1" w14:textId="77777777" w:rsidR="002A21AE" w:rsidRDefault="002A21AE">
            <w:pPr>
              <w:pStyle w:val="TableTextNumbers"/>
            </w:pPr>
            <w:r>
              <w:t>In the Patient Information Toolbar,</w:t>
            </w:r>
            <w:r w:rsidR="00716ED8">
              <w:t xml:space="preserve"> click</w:t>
            </w:r>
            <w:r>
              <w:t xml:space="preserve"> </w:t>
            </w:r>
            <w:r w:rsidR="00057948">
              <w:rPr>
                <w:noProof/>
              </w:rPr>
              <w:drawing>
                <wp:inline distT="0" distB="0" distL="0" distR="0" wp14:anchorId="74237962" wp14:editId="23BFB1E9">
                  <wp:extent cx="156845" cy="156845"/>
                  <wp:effectExtent l="0" t="0" r="0" b="0"/>
                  <wp:docPr id="107" name="Picture 107" descr="Recent Transfusions/Issued Uni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Recent Transfusions/Issued Units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recent transfusion history. </w:t>
            </w:r>
          </w:p>
        </w:tc>
        <w:tc>
          <w:tcPr>
            <w:tcW w:w="6120" w:type="dxa"/>
          </w:tcPr>
          <w:p w14:paraId="2BB2CA0C" w14:textId="77777777" w:rsidR="002A21AE" w:rsidRDefault="002A21AE">
            <w:pPr>
              <w:pStyle w:val="TableTextBullet"/>
            </w:pPr>
            <w:r>
              <w:t>Allows the user to click an icon to view a patient’s</w:t>
            </w:r>
            <w:r>
              <w:rPr>
                <w:snapToGrid w:val="0"/>
              </w:rPr>
              <w:t xml:space="preserve"> recent transfusion history.</w:t>
            </w:r>
          </w:p>
          <w:p w14:paraId="04FDEF07" w14:textId="77777777" w:rsidR="002A21AE" w:rsidRDefault="002A21AE">
            <w:pPr>
              <w:pStyle w:val="TableText"/>
            </w:pPr>
          </w:p>
          <w:p w14:paraId="1CC789A8" w14:textId="797ECCA1" w:rsidR="002A21AE" w:rsidRDefault="002A21AE">
            <w:pPr>
              <w:pStyle w:val="TableText"/>
              <w:rPr>
                <w:b/>
                <w:bCs/>
                <w:szCs w:val="18"/>
              </w:rPr>
            </w:pPr>
            <w:r>
              <w:rPr>
                <w:b/>
                <w:bCs/>
                <w:szCs w:val="18"/>
              </w:rPr>
              <w:t>NOTES</w:t>
            </w:r>
          </w:p>
          <w:p w14:paraId="2DF8A8A8" w14:textId="77777777" w:rsidR="002A21AE" w:rsidRDefault="002A21AE">
            <w:pPr>
              <w:pStyle w:val="NotesText"/>
            </w:pPr>
          </w:p>
          <w:p w14:paraId="376AF878" w14:textId="77777777" w:rsidR="00A8302F" w:rsidRPr="00522BC8" w:rsidRDefault="002A21AE" w:rsidP="000A3D20">
            <w:pPr>
              <w:pStyle w:val="NotesText"/>
              <w:rPr>
                <w:szCs w:val="18"/>
              </w:rPr>
            </w:pPr>
            <w:r w:rsidRPr="00E274BF">
              <w:rPr>
                <w:rFonts w:cs="Arial"/>
                <w:vanish/>
                <w:szCs w:val="18"/>
              </w:rPr>
              <w:t>BR_65.07</w:t>
            </w:r>
            <w:r w:rsidR="00E274BF" w:rsidRPr="00E274BF">
              <w:rPr>
                <w:rFonts w:cs="Arial"/>
                <w:vanish/>
                <w:szCs w:val="18"/>
              </w:rPr>
              <w:t>,</w:t>
            </w:r>
            <w:r w:rsidRPr="00E274BF">
              <w:rPr>
                <w:rFonts w:cs="Arial"/>
                <w:vanish/>
                <w:szCs w:val="18"/>
              </w:rPr>
              <w:t xml:space="preserve"> BR_65.09</w:t>
            </w:r>
            <w:r w:rsidRPr="009660C3">
              <w:rPr>
                <w:vanish/>
                <w:szCs w:val="18"/>
              </w:rPr>
              <w:t xml:space="preserve"> </w:t>
            </w:r>
            <w:r>
              <w:t xml:space="preserve">When the user selects </w:t>
            </w:r>
            <w:r w:rsidR="00057948">
              <w:rPr>
                <w:noProof/>
              </w:rPr>
              <w:drawing>
                <wp:inline distT="0" distB="0" distL="0" distR="0" wp14:anchorId="6CDE96A0" wp14:editId="32456F1D">
                  <wp:extent cx="156845" cy="156845"/>
                  <wp:effectExtent l="0" t="0" r="0" b="0"/>
                  <wp:docPr id="108" name="Picture 108" descr="small_transfusion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mall_transfusion_histo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w:t>
            </w:r>
            <w:r w:rsidRPr="00A8302F">
              <w:rPr>
                <w:rStyle w:val="CommentReference"/>
                <w:sz w:val="18"/>
                <w:szCs w:val="18"/>
              </w:rPr>
              <w:t>VBECS displays blood units issued and transfused within the last seven days in reverse chronological order</w:t>
            </w:r>
            <w:r w:rsidR="000A3D20">
              <w:rPr>
                <w:rStyle w:val="CommentReference"/>
                <w:sz w:val="18"/>
                <w:szCs w:val="18"/>
              </w:rPr>
              <w:t>. The date and time issued or the location issued to does not display.</w:t>
            </w:r>
            <w:r w:rsidR="00522BC8">
              <w:rPr>
                <w:rStyle w:val="CommentReference"/>
                <w:vanish/>
                <w:sz w:val="18"/>
                <w:szCs w:val="18"/>
              </w:rPr>
              <w:t>DR 3666</w:t>
            </w:r>
          </w:p>
        </w:tc>
      </w:tr>
      <w:tr w:rsidR="002A21AE" w14:paraId="673BA06D" w14:textId="77777777">
        <w:tc>
          <w:tcPr>
            <w:tcW w:w="3240" w:type="dxa"/>
          </w:tcPr>
          <w:p w14:paraId="0A012FA9" w14:textId="77777777" w:rsidR="002A21AE" w:rsidRDefault="002A21AE">
            <w:pPr>
              <w:pStyle w:val="TableTextNumbers"/>
            </w:pPr>
            <w:r>
              <w:t xml:space="preserve">View the data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A8E1154" w14:textId="77777777" w:rsidR="002A21AE" w:rsidRDefault="002A21AE">
            <w:pPr>
              <w:pStyle w:val="TableText"/>
            </w:pPr>
          </w:p>
        </w:tc>
      </w:tr>
    </w:tbl>
    <w:p w14:paraId="7586586D" w14:textId="77777777" w:rsidR="002A21AE" w:rsidRDefault="00057948">
      <w:pPr>
        <w:pStyle w:val="Heading3"/>
      </w:pPr>
      <w:bookmarkStart w:id="132" w:name="_Patient_Information_Toolbar:_Transf"/>
      <w:bookmarkStart w:id="133" w:name="_Toc149064085"/>
      <w:bookmarkEnd w:id="132"/>
      <w:r>
        <w:rPr>
          <w:noProof/>
        </w:rPr>
        <w:drawing>
          <wp:inline distT="0" distB="0" distL="0" distR="0" wp14:anchorId="2CC47019" wp14:editId="7D4D693B">
            <wp:extent cx="156845" cy="156845"/>
            <wp:effectExtent l="0" t="0" r="0" b="0"/>
            <wp:docPr id="109" name="Picture 109" descr="Transfusion Reaction Histo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ransfusion Reaction History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Patient Information Toolbar: Transfusion Reaction History</w:t>
      </w:r>
      <w:bookmarkEnd w:id="133"/>
      <w:r w:rsidR="002A21AE">
        <w:rPr>
          <w:rFonts w:ascii="Times New Roman" w:hAnsi="Times New Roman" w:cs="Times New Roman"/>
          <w:b w:val="0"/>
          <w:vanish/>
          <w:sz w:val="22"/>
        </w:rPr>
        <w:fldChar w:fldCharType="begin"/>
      </w:r>
      <w:r w:rsidR="002A21AE">
        <w:rPr>
          <w:rFonts w:ascii="Times New Roman" w:hAnsi="Times New Roman" w:cs="Times New Roman"/>
          <w:b w:val="0"/>
          <w:vanish/>
          <w:sz w:val="22"/>
        </w:rPr>
        <w:instrText xml:space="preserve"> XE </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Patient Information Toolbar\: Transfusion Reaction History</w:instrText>
      </w:r>
      <w:r w:rsidR="00FA7E65">
        <w:rPr>
          <w:rFonts w:ascii="Times New Roman" w:hAnsi="Times New Roman" w:cs="Times New Roman"/>
          <w:b w:val="0"/>
          <w:vanish/>
          <w:sz w:val="22"/>
        </w:rPr>
        <w:instrText>”</w:instrText>
      </w:r>
      <w:r w:rsidR="002A21AE">
        <w:rPr>
          <w:rFonts w:ascii="Times New Roman" w:hAnsi="Times New Roman" w:cs="Times New Roman"/>
          <w:b w:val="0"/>
          <w:vanish/>
          <w:sz w:val="22"/>
        </w:rPr>
        <w:instrText xml:space="preserve"> </w:instrText>
      </w:r>
      <w:r w:rsidR="002A21AE">
        <w:rPr>
          <w:rFonts w:ascii="Times New Roman" w:hAnsi="Times New Roman" w:cs="Times New Roman"/>
          <w:b w:val="0"/>
          <w:vanish/>
          <w:sz w:val="22"/>
        </w:rPr>
        <w:fldChar w:fldCharType="end"/>
      </w:r>
      <w:r w:rsidR="002A21AE">
        <w:rPr>
          <w:rFonts w:ascii="Times New Roman" w:hAnsi="Times New Roman" w:cs="Times New Roman"/>
          <w:b w:val="0"/>
          <w:vanish/>
          <w:sz w:val="22"/>
        </w:rPr>
        <w:t xml:space="preserve"> UC_65</w:t>
      </w:r>
    </w:p>
    <w:p w14:paraId="3DFB3DD7" w14:textId="77777777" w:rsidR="002A21AE" w:rsidRDefault="002A21AE" w:rsidP="00FA7E65">
      <w:pPr>
        <w:pStyle w:val="BodyText"/>
      </w:pPr>
      <w:r>
        <w:t>The user views a snapshot of the patient’s transfusion reaction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AE30132" w14:textId="77777777">
        <w:trPr>
          <w:tblHeader/>
        </w:trPr>
        <w:tc>
          <w:tcPr>
            <w:tcW w:w="3240" w:type="dxa"/>
            <w:shd w:val="clear" w:color="auto" w:fill="B3B3B3"/>
          </w:tcPr>
          <w:p w14:paraId="6A803ED7" w14:textId="77777777" w:rsidR="002A21AE" w:rsidRDefault="002A21AE">
            <w:pPr>
              <w:pStyle w:val="TableText"/>
              <w:rPr>
                <w:b/>
              </w:rPr>
            </w:pPr>
            <w:r>
              <w:rPr>
                <w:b/>
              </w:rPr>
              <w:t>User Action</w:t>
            </w:r>
          </w:p>
        </w:tc>
        <w:tc>
          <w:tcPr>
            <w:tcW w:w="6120" w:type="dxa"/>
            <w:shd w:val="clear" w:color="auto" w:fill="B3B3B3"/>
          </w:tcPr>
          <w:p w14:paraId="54F7A0DC" w14:textId="77777777" w:rsidR="002A21AE" w:rsidRDefault="002A21AE">
            <w:pPr>
              <w:pStyle w:val="TableText"/>
              <w:rPr>
                <w:b/>
              </w:rPr>
            </w:pPr>
            <w:r>
              <w:rPr>
                <w:b/>
              </w:rPr>
              <w:t>VBECS</w:t>
            </w:r>
          </w:p>
        </w:tc>
      </w:tr>
      <w:tr w:rsidR="002A21AE" w14:paraId="3A465590" w14:textId="77777777">
        <w:tc>
          <w:tcPr>
            <w:tcW w:w="3240" w:type="dxa"/>
          </w:tcPr>
          <w:p w14:paraId="31B1BCDF" w14:textId="77777777" w:rsidR="002A21AE" w:rsidRDefault="002A21AE">
            <w:pPr>
              <w:pStyle w:val="TableTextNumbers"/>
            </w:pPr>
            <w:r>
              <w:t xml:space="preserve">In the Patient Information Toolbar, click </w:t>
            </w:r>
            <w:r w:rsidR="00057948">
              <w:rPr>
                <w:noProof/>
              </w:rPr>
              <w:drawing>
                <wp:inline distT="0" distB="0" distL="0" distR="0" wp14:anchorId="1F1BAC4E" wp14:editId="3C0523C1">
                  <wp:extent cx="156845" cy="156845"/>
                  <wp:effectExtent l="0" t="0" r="0" b="0"/>
                  <wp:docPr id="110" name="Picture 110" descr="Transfusion Reaction Histo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Transfusion Reaction History ic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the transfusion reaction history. </w:t>
            </w:r>
          </w:p>
        </w:tc>
        <w:tc>
          <w:tcPr>
            <w:tcW w:w="6120" w:type="dxa"/>
          </w:tcPr>
          <w:p w14:paraId="0AA78B76" w14:textId="77777777" w:rsidR="002A21AE" w:rsidRDefault="002A21AE">
            <w:pPr>
              <w:pStyle w:val="TableTextBullet"/>
            </w:pPr>
            <w:r>
              <w:t>Allows the user to click an icon to view a patient’s t</w:t>
            </w:r>
            <w:r>
              <w:rPr>
                <w:snapToGrid w:val="0"/>
              </w:rPr>
              <w:t>ransfusion reaction history.</w:t>
            </w:r>
          </w:p>
          <w:p w14:paraId="589DD62D" w14:textId="77777777" w:rsidR="002A21AE" w:rsidRDefault="002A21AE">
            <w:pPr>
              <w:pStyle w:val="TableText"/>
            </w:pPr>
          </w:p>
          <w:p w14:paraId="3A2E71E9" w14:textId="107D349A" w:rsidR="002A21AE" w:rsidRDefault="002A21AE">
            <w:pPr>
              <w:pStyle w:val="TableText"/>
              <w:rPr>
                <w:b/>
                <w:bCs/>
                <w:szCs w:val="18"/>
              </w:rPr>
            </w:pPr>
            <w:r>
              <w:rPr>
                <w:b/>
                <w:bCs/>
                <w:szCs w:val="18"/>
              </w:rPr>
              <w:t>NOTES</w:t>
            </w:r>
          </w:p>
          <w:p w14:paraId="22D4D143" w14:textId="77777777" w:rsidR="002A21AE" w:rsidRDefault="002A21AE">
            <w:pPr>
              <w:pStyle w:val="NotesText"/>
            </w:pPr>
          </w:p>
          <w:p w14:paraId="596CB41B" w14:textId="43F8DDA1" w:rsidR="002A21AE" w:rsidRDefault="002A21AE">
            <w:pPr>
              <w:pStyle w:val="NotesText"/>
            </w:pPr>
            <w:r w:rsidRPr="00E274BF">
              <w:rPr>
                <w:rFonts w:cs="Arial"/>
                <w:vanish/>
                <w:szCs w:val="18"/>
              </w:rPr>
              <w:t>BR_65.03</w:t>
            </w:r>
            <w:r w:rsidR="00E274BF" w:rsidRPr="00E274BF">
              <w:rPr>
                <w:rFonts w:cs="Arial"/>
                <w:vanish/>
                <w:szCs w:val="18"/>
              </w:rPr>
              <w:t>,</w:t>
            </w:r>
            <w:r w:rsidRPr="00E274BF">
              <w:rPr>
                <w:rFonts w:cs="Arial"/>
                <w:vanish/>
                <w:szCs w:val="18"/>
              </w:rPr>
              <w:t xml:space="preserve"> BR_65.05</w:t>
            </w:r>
            <w:r w:rsidRPr="009660C3">
              <w:rPr>
                <w:vanish/>
                <w:szCs w:val="18"/>
              </w:rPr>
              <w:t xml:space="preserve"> </w:t>
            </w:r>
            <w:r>
              <w:t xml:space="preserve">When the user selects </w:t>
            </w:r>
            <w:r w:rsidR="00057948">
              <w:rPr>
                <w:noProof/>
              </w:rPr>
              <w:drawing>
                <wp:inline distT="0" distB="0" distL="0" distR="0" wp14:anchorId="773CE2C0" wp14:editId="75D3E81E">
                  <wp:extent cx="156845" cy="156845"/>
                  <wp:effectExtent l="0" t="0" r="0" b="0"/>
                  <wp:docPr id="111" name="Picture 111" descr="small_transfusion_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mall_transfusion_reactio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VBECS displays all</w:t>
            </w:r>
            <w:r w:rsidR="00DE6AA7">
              <w:t xml:space="preserve"> finalized</w:t>
            </w:r>
            <w:r>
              <w:t xml:space="preserve"> transfusion reaction entries in the database.</w:t>
            </w:r>
            <w:r w:rsidR="00AB4BD9">
              <w:t xml:space="preserve"> </w:t>
            </w:r>
            <w:r w:rsidR="00AB4BD9" w:rsidRPr="00AB4BD9">
              <w:rPr>
                <w:vanish/>
              </w:rPr>
              <w:t>Defect 208590</w:t>
            </w:r>
          </w:p>
        </w:tc>
      </w:tr>
      <w:tr w:rsidR="002A21AE" w14:paraId="6B4E2C14" w14:textId="77777777">
        <w:tc>
          <w:tcPr>
            <w:tcW w:w="3240" w:type="dxa"/>
          </w:tcPr>
          <w:p w14:paraId="374D426A" w14:textId="77777777" w:rsidR="002A21AE" w:rsidRDefault="002A21AE">
            <w:pPr>
              <w:pStyle w:val="TableTextNumbers"/>
            </w:pPr>
            <w:r>
              <w:t xml:space="preserve">View the data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9F9B2D4" w14:textId="77777777" w:rsidR="002A21AE" w:rsidRDefault="002A21AE">
            <w:pPr>
              <w:pStyle w:val="TableText"/>
            </w:pPr>
          </w:p>
        </w:tc>
      </w:tr>
    </w:tbl>
    <w:p w14:paraId="30FDFCE5" w14:textId="77777777" w:rsidR="00AF089A" w:rsidRDefault="00AF089A">
      <w:pPr>
        <w:pStyle w:val="Heading4"/>
      </w:pPr>
    </w:p>
    <w:p w14:paraId="1ADB99F6" w14:textId="77777777" w:rsidR="002A21AE" w:rsidRDefault="00AF089A" w:rsidP="00D823F2">
      <w:pPr>
        <w:pStyle w:val="Heading3"/>
      </w:pPr>
      <w:r>
        <w:br w:type="page"/>
      </w:r>
      <w:bookmarkStart w:id="134" w:name="_Ref100905838"/>
      <w:bookmarkStart w:id="135" w:name="_Toc149064086"/>
      <w:r w:rsidR="002A21AE">
        <w:t>Main Status Bar</w:t>
      </w:r>
      <w:bookmarkEnd w:id="134"/>
      <w:bookmarkEnd w:id="135"/>
      <w:r w:rsidR="002A21AE">
        <w:fldChar w:fldCharType="begin"/>
      </w:r>
      <w:r w:rsidR="002A21AE">
        <w:instrText xml:space="preserve"> XE </w:instrText>
      </w:r>
      <w:r w:rsidR="00FA7E65">
        <w:instrText>“</w:instrText>
      </w:r>
      <w:r w:rsidR="002A21AE">
        <w:instrText>Main Status Bar</w:instrText>
      </w:r>
      <w:r w:rsidR="00FA7E65">
        <w:instrText>”</w:instrText>
      </w:r>
      <w:r w:rsidR="002A21AE">
        <w:instrText xml:space="preserve"> </w:instrText>
      </w:r>
      <w:r w:rsidR="002A21AE">
        <w:fldChar w:fldCharType="end"/>
      </w:r>
    </w:p>
    <w:p w14:paraId="75AE31C1" w14:textId="77777777" w:rsidR="002A21AE" w:rsidRDefault="002A21AE" w:rsidP="00FA7E65">
      <w:pPr>
        <w:pStyle w:val="BodyText"/>
      </w:pPr>
      <w:r>
        <w:t>The following icons are displayed in the main status bar:</w:t>
      </w:r>
    </w:p>
    <w:p w14:paraId="36B7AC94" w14:textId="77777777" w:rsidR="002A21AE" w:rsidRDefault="00057948">
      <w:pPr>
        <w:pStyle w:val="BodyText"/>
        <w:ind w:left="360" w:hanging="360"/>
      </w:pPr>
      <w:r>
        <w:rPr>
          <w:noProof/>
        </w:rPr>
        <w:drawing>
          <wp:inline distT="0" distB="0" distL="0" distR="0" wp14:anchorId="5D7CB737" wp14:editId="6879C049">
            <wp:extent cx="156845" cy="156845"/>
            <wp:effectExtent l="0" t="0" r="0" b="0"/>
            <wp:docPr id="112" name="Picture 112" descr="Order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Order Alert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The Order Alert icon </w:t>
      </w:r>
      <w:r w:rsidR="00267432">
        <w:t>blinks</w:t>
      </w:r>
      <w:r w:rsidR="002A21AE">
        <w:t xml:space="preserve"> </w:t>
      </w:r>
      <w:r w:rsidR="00716FBE">
        <w:t xml:space="preserve">three times and remains </w:t>
      </w:r>
      <w:r w:rsidR="00267432">
        <w:t>visible</w:t>
      </w:r>
      <w:r w:rsidR="00716FBE">
        <w:t xml:space="preserve"> </w:t>
      </w:r>
      <w:r w:rsidR="002A21AE">
        <w:t xml:space="preserve">when orders are added to the system. Hold the mouse pointer over the icon to see order information. Click the associated button to open the Pending Order List. </w:t>
      </w:r>
      <w:r w:rsidR="00267432" w:rsidRPr="00267432">
        <w:rPr>
          <w:vanish/>
        </w:rPr>
        <w:t>DR 4963</w:t>
      </w:r>
    </w:p>
    <w:p w14:paraId="3F648029" w14:textId="77777777" w:rsidR="002A21AE" w:rsidRDefault="00057948">
      <w:pPr>
        <w:pStyle w:val="BodyText"/>
        <w:ind w:left="360" w:hanging="360"/>
      </w:pPr>
      <w:r>
        <w:rPr>
          <w:noProof/>
        </w:rPr>
        <w:drawing>
          <wp:inline distT="0" distB="0" distL="0" distR="0" wp14:anchorId="17E44157" wp14:editId="61080D05">
            <wp:extent cx="156845" cy="138430"/>
            <wp:effectExtent l="0" t="0" r="0" b="0"/>
            <wp:docPr id="113" name="Picture 113"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Patient Alert ico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6845" cy="138430"/>
                    </a:xfrm>
                    <a:prstGeom prst="rect">
                      <a:avLst/>
                    </a:prstGeom>
                    <a:noFill/>
                    <a:ln>
                      <a:noFill/>
                    </a:ln>
                  </pic:spPr>
                </pic:pic>
              </a:graphicData>
            </a:graphic>
          </wp:inline>
        </w:drawing>
      </w:r>
      <w:r w:rsidR="002A21AE">
        <w:tab/>
        <w:t xml:space="preserve">The Patient Alert icon flashes </w:t>
      </w:r>
      <w:r w:rsidR="00716FBE">
        <w:t xml:space="preserve">three times and remains displayed </w:t>
      </w:r>
      <w:r w:rsidR="002A21AE">
        <w:t>when patient information is updated. Hold the mouse pointer over the icon to see what type of patient change occu</w:t>
      </w:r>
      <w:r w:rsidR="005C271B">
        <w:t>rred. Click the Patient Alert Icon</w:t>
      </w:r>
      <w:r w:rsidR="002A21AE">
        <w:t xml:space="preserve"> to view</w:t>
      </w:r>
      <w:r w:rsidR="005C271B">
        <w:t xml:space="preserve"> the menu which allows navigation to Updated Patients, Deceased Patients, Patient Merge</w:t>
      </w:r>
      <w:r w:rsidR="002A21AE">
        <w:t>.</w:t>
      </w:r>
      <w:r w:rsidR="005C271B">
        <w:t xml:space="preserve"> These menu options enable when alerts exist in each category.</w:t>
      </w:r>
      <w:r w:rsidR="002A21AE">
        <w:t xml:space="preserve"> </w:t>
      </w:r>
    </w:p>
    <w:p w14:paraId="0D9568EF" w14:textId="77777777" w:rsidR="002A21AE" w:rsidRDefault="00057948">
      <w:pPr>
        <w:pStyle w:val="BodyText"/>
        <w:ind w:left="360" w:hanging="360"/>
      </w:pPr>
      <w:r>
        <w:rPr>
          <w:noProof/>
        </w:rPr>
        <w:drawing>
          <wp:inline distT="0" distB="0" distL="0" distR="0" wp14:anchorId="0DA846E7" wp14:editId="6A5F98CE">
            <wp:extent cx="156845" cy="156845"/>
            <wp:effectExtent l="0" t="0" r="0" b="0"/>
            <wp:docPr id="114" name="Picture 114" descr="VistALin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VistALink ico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The VistALink icon indicates that the connection to </w:t>
      </w:r>
      <w:r w:rsidR="00CA0045" w:rsidRPr="00CA0045">
        <w:rPr>
          <w:bCs/>
        </w:rPr>
        <w:t>VistA</w:t>
      </w:r>
      <w:r w:rsidR="002A21AE">
        <w:t xml:space="preserve"> is active.</w:t>
      </w:r>
    </w:p>
    <w:p w14:paraId="5B053655" w14:textId="5D631C67" w:rsidR="00E95BB0" w:rsidRDefault="002A21AE" w:rsidP="00925CAD">
      <w:pPr>
        <w:pStyle w:val="BodyText"/>
        <w:numPr>
          <w:ilvl w:val="0"/>
          <w:numId w:val="75"/>
        </w:numPr>
      </w:pPr>
      <w:r>
        <w:t xml:space="preserve">The VistALink Failure icon indicates that the connection to </w:t>
      </w:r>
      <w:r w:rsidR="00CA0045" w:rsidRPr="00CA0045">
        <w:rPr>
          <w:bCs/>
        </w:rPr>
        <w:t>VistA</w:t>
      </w:r>
      <w:r>
        <w:t xml:space="preserve"> is severed.</w:t>
      </w:r>
    </w:p>
    <w:p w14:paraId="3E458DAF" w14:textId="77777777" w:rsidR="00C96CC3" w:rsidRDefault="00C96CC3" w:rsidP="00C96CC3">
      <w:pPr>
        <w:pStyle w:val="BodyText"/>
        <w:ind w:left="360" w:hanging="360"/>
        <w:rPr>
          <w:noProof/>
        </w:rPr>
      </w:pPr>
      <w:r w:rsidRPr="00C96CC3">
        <w:rPr>
          <w:noProof/>
        </w:rPr>
        <w:drawing>
          <wp:inline distT="0" distB="0" distL="0" distR="0" wp14:anchorId="35D8300D" wp14:editId="25372186">
            <wp:extent cx="161925" cy="161925"/>
            <wp:effectExtent l="0" t="0" r="9525" b="9525"/>
            <wp:docPr id="4" name="Picture 3" descr="CPRS Communications Err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PRS Communications Error ic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96CC3">
        <w:rPr>
          <w:noProof/>
        </w:rPr>
        <w:t xml:space="preserve"> CPRS Communications Error</w:t>
      </w:r>
      <w:r w:rsidRPr="00C81B15">
        <w:rPr>
          <w:noProof/>
        </w:rPr>
        <w:t>.</w:t>
      </w:r>
      <w:r>
        <w:rPr>
          <w:noProof/>
        </w:rPr>
        <w:t xml:space="preserve"> Some orders in CPRS will not reflect the same status as VBECS. Contact Customer Support to have the issue investigated and resolved. Most problems can typically be resolved by restarting the VBECS-OERR HL7 link in VistA.</w:t>
      </w:r>
    </w:p>
    <w:p w14:paraId="087DCA36" w14:textId="0DE90D61" w:rsidR="00C96CC3" w:rsidRDefault="00C96CC3" w:rsidP="00C96CC3">
      <w:pPr>
        <w:pStyle w:val="BodyText"/>
        <w:ind w:left="360" w:hanging="360"/>
        <w:rPr>
          <w:noProof/>
        </w:rPr>
      </w:pPr>
      <w:r w:rsidRPr="00C96CC3">
        <w:rPr>
          <w:noProof/>
        </w:rPr>
        <w:drawing>
          <wp:inline distT="0" distB="0" distL="0" distR="0" wp14:anchorId="5348D9DF" wp14:editId="534095A9">
            <wp:extent cx="152400" cy="152400"/>
            <wp:effectExtent l="0" t="0" r="0" b="0"/>
            <wp:docPr id="49" name="Picture 49" descr="CPRS Communications Go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PRS Communications Good ic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96CC3">
        <w:rPr>
          <w:noProof/>
        </w:rPr>
        <w:t xml:space="preserve"> CPRS Communications Good</w:t>
      </w:r>
      <w:r w:rsidRPr="00CE404D">
        <w:rPr>
          <w:noProof/>
        </w:rPr>
        <w:t>.</w:t>
      </w:r>
      <w:r w:rsidRPr="00C96CC3">
        <w:rPr>
          <w:noProof/>
        </w:rPr>
        <w:t xml:space="preserve"> </w:t>
      </w:r>
      <w:r w:rsidRPr="00CE404D">
        <w:rPr>
          <w:noProof/>
        </w:rPr>
        <w:t>All VBECS order</w:t>
      </w:r>
      <w:r>
        <w:rPr>
          <w:noProof/>
        </w:rPr>
        <w:t xml:space="preserve"> status messages have been sent to CPRS.</w:t>
      </w:r>
    </w:p>
    <w:p w14:paraId="3EFF7C4D" w14:textId="77777777" w:rsidR="002A21AE" w:rsidRDefault="002A21AE" w:rsidP="00D823F2">
      <w:pPr>
        <w:pStyle w:val="Heading3"/>
      </w:pPr>
      <w:bookmarkStart w:id="136" w:name="_Toc149064087"/>
      <w:r>
        <w:t>Throughout VBECS</w:t>
      </w:r>
      <w:bookmarkEnd w:id="136"/>
      <w:r>
        <w:fldChar w:fldCharType="begin"/>
      </w:r>
      <w:r>
        <w:instrText xml:space="preserve"> XE </w:instrText>
      </w:r>
      <w:r w:rsidR="00FA7E65">
        <w:instrText>“</w:instrText>
      </w:r>
      <w:r>
        <w:instrText>Throughout VBECS</w:instrText>
      </w:r>
      <w:r w:rsidR="00FA7E65">
        <w:instrText>”</w:instrText>
      </w:r>
      <w:r>
        <w:instrText xml:space="preserve"> </w:instrText>
      </w:r>
      <w:r>
        <w:fldChar w:fldCharType="end"/>
      </w:r>
    </w:p>
    <w:p w14:paraId="6A506A44" w14:textId="77777777" w:rsidR="002A21AE" w:rsidRDefault="00057948">
      <w:pPr>
        <w:pStyle w:val="BodyText"/>
        <w:ind w:left="360" w:hanging="360"/>
      </w:pPr>
      <w:r>
        <w:rPr>
          <w:noProof/>
        </w:rPr>
        <w:drawing>
          <wp:inline distT="0" distB="0" distL="0" distR="0" wp14:anchorId="7DAD4B8E" wp14:editId="60C60F98">
            <wp:extent cx="156845" cy="156845"/>
            <wp:effectExtent l="0" t="0" r="0" b="0"/>
            <wp:docPr id="116" name="Picture 116" descr="Delete/Invalida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Delete/Invalidate ic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Delete/Invalidate icon appears on buttons that cause entries to be deleted or invalidated in the database.</w:t>
      </w:r>
    </w:p>
    <w:p w14:paraId="2A0999CE" w14:textId="77777777" w:rsidR="005A3214" w:rsidRDefault="005A3214" w:rsidP="000E3E6B">
      <w:pPr>
        <w:pStyle w:val="BodyText"/>
        <w:ind w:left="360" w:hangingChars="153" w:hanging="360"/>
      </w:pPr>
      <w:r w:rsidRPr="005742CF">
        <w:rPr>
          <w:rFonts w:ascii="Wingdings" w:hAnsi="Wingdings"/>
          <w:spacing w:val="-5"/>
          <w:sz w:val="24"/>
          <w:szCs w:val="24"/>
        </w:rPr>
        <w:t></w:t>
      </w:r>
      <w:r>
        <w:rPr>
          <w:rFonts w:ascii="Wingdings" w:hAnsi="Wingdings"/>
        </w:rPr>
        <w:tab/>
      </w:r>
      <w:r>
        <w:t>Click to select all items in a list.</w:t>
      </w:r>
    </w:p>
    <w:p w14:paraId="4D5E4B47" w14:textId="77777777" w:rsidR="005A3214" w:rsidRDefault="005A3214" w:rsidP="000E3E6B">
      <w:pPr>
        <w:pStyle w:val="BodyText"/>
        <w:ind w:left="359" w:hangingChars="149" w:hanging="359"/>
      </w:pPr>
      <w:r w:rsidRPr="005742CF">
        <w:rPr>
          <w:rFonts w:ascii="Wingdings 2" w:hAnsi="Wingdings 2" w:cs="Geneva"/>
          <w:b/>
          <w:sz w:val="24"/>
          <w:szCs w:val="24"/>
        </w:rPr>
        <w:t></w:t>
      </w:r>
      <w:r>
        <w:rPr>
          <w:rFonts w:ascii="Wingdings 2" w:hAnsi="Wingdings 2" w:cs="Geneva"/>
          <w:b/>
        </w:rPr>
        <w:tab/>
      </w:r>
      <w:r>
        <w:t>Click to clear all items in list.</w:t>
      </w:r>
    </w:p>
    <w:p w14:paraId="357ABBA9" w14:textId="77777777" w:rsidR="002A21AE" w:rsidRDefault="00057948" w:rsidP="00FC6604">
      <w:pPr>
        <w:pStyle w:val="BodyText"/>
      </w:pPr>
      <w:r>
        <w:rPr>
          <w:noProof/>
        </w:rPr>
        <w:drawing>
          <wp:inline distT="0" distB="0" distL="0" distR="0" wp14:anchorId="2094B9C0" wp14:editId="5FF0D268">
            <wp:extent cx="258445" cy="203200"/>
            <wp:effectExtent l="0" t="0" r="8255" b="6350"/>
            <wp:docPr id="117" name="Picture 117" descr="Find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Find button ic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8445" cy="203200"/>
                    </a:xfrm>
                    <a:prstGeom prst="rect">
                      <a:avLst/>
                    </a:prstGeom>
                    <a:noFill/>
                    <a:ln>
                      <a:noFill/>
                    </a:ln>
                  </pic:spPr>
                </pic:pic>
              </a:graphicData>
            </a:graphic>
          </wp:inline>
        </w:drawing>
      </w:r>
      <w:r w:rsidR="002A21AE" w:rsidRPr="00FC6604">
        <w:t xml:space="preserve">Click the </w:t>
      </w:r>
      <w:r w:rsidR="00FC6604" w:rsidRPr="00FC6604">
        <w:rPr>
          <w:b/>
        </w:rPr>
        <w:t>find</w:t>
      </w:r>
      <w:r w:rsidR="002A21AE" w:rsidRPr="00FC6604">
        <w:rPr>
          <w:b/>
        </w:rPr>
        <w:t xml:space="preserve"> </w:t>
      </w:r>
      <w:r w:rsidR="002A21AE" w:rsidRPr="00FC6604">
        <w:t>button to display a list of items for selection.</w:t>
      </w:r>
    </w:p>
    <w:p w14:paraId="407E0634" w14:textId="77777777" w:rsidR="002A21AE" w:rsidRDefault="00057948">
      <w:pPr>
        <w:pStyle w:val="BodyText"/>
        <w:ind w:left="360" w:hanging="360"/>
      </w:pPr>
      <w:r>
        <w:rPr>
          <w:noProof/>
        </w:rPr>
        <w:drawing>
          <wp:inline distT="0" distB="0" distL="0" distR="0" wp14:anchorId="0D988927" wp14:editId="5E3CD9D7">
            <wp:extent cx="156845" cy="156845"/>
            <wp:effectExtent l="0" t="0" r="0" b="0"/>
            <wp:docPr id="118" name="Picture 118" descr="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rint ico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Print</w:t>
      </w:r>
      <w:r w:rsidR="002A21AE">
        <w:t xml:space="preserve"> icon’s associated button to print a document.</w:t>
      </w:r>
    </w:p>
    <w:p w14:paraId="3DC0E17E" w14:textId="77777777" w:rsidR="002A21AE" w:rsidRDefault="00057948">
      <w:pPr>
        <w:pStyle w:val="BodyText"/>
        <w:ind w:left="360" w:hanging="360"/>
      </w:pPr>
      <w:r>
        <w:rPr>
          <w:noProof/>
        </w:rPr>
        <w:drawing>
          <wp:inline distT="0" distB="0" distL="0" distR="0" wp14:anchorId="350D3D5A" wp14:editId="053BE36D">
            <wp:extent cx="156845" cy="156845"/>
            <wp:effectExtent l="0" t="0" r="0" b="0"/>
            <wp:docPr id="119" name="Picture 119" descr="Sa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Save ic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Save</w:t>
      </w:r>
      <w:r w:rsidR="002A21AE">
        <w:t xml:space="preserve"> icon’s associated button to update the database.</w:t>
      </w:r>
    </w:p>
    <w:p w14:paraId="2B976821" w14:textId="77777777" w:rsidR="002A21AE" w:rsidRDefault="00057948">
      <w:pPr>
        <w:pStyle w:val="BodyText"/>
        <w:ind w:left="360" w:hanging="360"/>
      </w:pPr>
      <w:r>
        <w:rPr>
          <w:noProof/>
        </w:rPr>
        <w:drawing>
          <wp:inline distT="0" distB="0" distL="0" distR="0" wp14:anchorId="4C0A0645" wp14:editId="5AE6AE74">
            <wp:extent cx="156845" cy="156845"/>
            <wp:effectExtent l="0" t="0" r="0" b="0"/>
            <wp:docPr id="120" name="Picture 120" descr="Scann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canner ic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Scanner icon indicates which screen prompts permit scanned entries.</w:t>
      </w:r>
    </w:p>
    <w:p w14:paraId="6A828D28" w14:textId="77777777" w:rsidR="002A21AE" w:rsidRDefault="00057948">
      <w:pPr>
        <w:pStyle w:val="BodyText"/>
        <w:ind w:left="360" w:hanging="360"/>
      </w:pPr>
      <w:r>
        <w:rPr>
          <w:noProof/>
        </w:rPr>
        <w:drawing>
          <wp:inline distT="0" distB="0" distL="0" distR="0" wp14:anchorId="78E8F1DD" wp14:editId="66629716">
            <wp:extent cx="156845" cy="156845"/>
            <wp:effectExtent l="0" t="0" r="0" b="0"/>
            <wp:docPr id="121" name="Picture 121" descr="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Search ic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Search</w:t>
      </w:r>
      <w:r w:rsidR="002A21AE">
        <w:t xml:space="preserve"> icon’s associated button to search for entries meeting search criteria entered.</w:t>
      </w:r>
    </w:p>
    <w:p w14:paraId="2D6E2933" w14:textId="77777777" w:rsidR="002A21AE" w:rsidRDefault="00057948">
      <w:pPr>
        <w:pStyle w:val="BodyText"/>
        <w:ind w:left="360" w:hanging="360"/>
      </w:pPr>
      <w:r>
        <w:rPr>
          <w:noProof/>
        </w:rPr>
        <w:drawing>
          <wp:inline distT="0" distB="0" distL="0" distR="0" wp14:anchorId="08E7C607" wp14:editId="5E18DBC5">
            <wp:extent cx="156845" cy="156845"/>
            <wp:effectExtent l="0" t="0" r="0" b="0"/>
            <wp:docPr id="122" name="Picture 122" descr="Order Detai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Order Details ico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 xml:space="preserve">Click the </w:t>
      </w:r>
      <w:r w:rsidR="002A21AE">
        <w:rPr>
          <w:b/>
        </w:rPr>
        <w:t>Order Details</w:t>
      </w:r>
      <w:r w:rsidR="002A21AE">
        <w:t xml:space="preserve"> icon’s associated button to display the full details of a selected order.</w:t>
      </w:r>
    </w:p>
    <w:p w14:paraId="762F520E" w14:textId="77777777" w:rsidR="002A21AE" w:rsidRDefault="00057948">
      <w:pPr>
        <w:pStyle w:val="BodyText"/>
        <w:ind w:left="360" w:hanging="360"/>
      </w:pPr>
      <w:r>
        <w:rPr>
          <w:noProof/>
        </w:rPr>
        <w:drawing>
          <wp:inline distT="0" distB="0" distL="0" distR="0" wp14:anchorId="4CB7FE61" wp14:editId="3391BDB6">
            <wp:extent cx="156845" cy="156845"/>
            <wp:effectExtent l="0" t="0" r="0" b="0"/>
            <wp:docPr id="123" name="Picture 123" descr="Input Err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Input Error ic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ab/>
        <w:t>The Input Error icon indicates that a user made an invalid entry at a screen prompt. The icon appears and flashes next to the invalid entry. Hold the mouse pointer over the icon to see a message explaining the problem. Enter valid information to make the icon disappear.</w:t>
      </w:r>
    </w:p>
    <w:p w14:paraId="3DAAF228" w14:textId="77777777" w:rsidR="00486D34" w:rsidRDefault="00486D34">
      <w:pPr>
        <w:rPr>
          <w:rFonts w:ascii="Arial" w:hAnsi="Arial" w:cs="Arial"/>
          <w:b/>
          <w:bCs/>
          <w:i/>
          <w:iCs/>
          <w:sz w:val="28"/>
          <w:szCs w:val="28"/>
        </w:rPr>
      </w:pPr>
      <w:r>
        <w:br w:type="page"/>
      </w:r>
    </w:p>
    <w:p w14:paraId="106BDCB3" w14:textId="76E4AC17" w:rsidR="002A21AE" w:rsidRDefault="002A21AE">
      <w:pPr>
        <w:pStyle w:val="Heading2"/>
      </w:pPr>
      <w:bookmarkStart w:id="137" w:name="_Toc149064088"/>
      <w:r>
        <w:t>Other VBECS Functions</w:t>
      </w:r>
      <w:bookmarkEnd w:id="137"/>
      <w:r>
        <w:fldChar w:fldCharType="begin"/>
      </w:r>
      <w:r>
        <w:instrText xml:space="preserve"> XE </w:instrText>
      </w:r>
      <w:r w:rsidR="00FA7E65">
        <w:instrText>“</w:instrText>
      </w:r>
      <w:r>
        <w:instrText>Other VBECS Functions</w:instrText>
      </w:r>
      <w:r w:rsidR="00FA7E65">
        <w:instrText>”</w:instrText>
      </w:r>
      <w:r>
        <w:instrText xml:space="preserve"> </w:instrText>
      </w:r>
      <w:r>
        <w:fldChar w:fldCharType="end"/>
      </w:r>
    </w:p>
    <w:p w14:paraId="14FE6B03" w14:textId="306693EC" w:rsidR="002A21AE" w:rsidRDefault="002A21AE">
      <w:pPr>
        <w:pStyle w:val="Heading3"/>
      </w:pPr>
      <w:bookmarkStart w:id="138" w:name="_Toc149064089"/>
      <w:r>
        <w:t>Collecting Workload</w:t>
      </w:r>
      <w:bookmarkEnd w:id="138"/>
      <w:r>
        <w:fldChar w:fldCharType="begin"/>
      </w:r>
      <w:r>
        <w:instrText xml:space="preserve"> XE </w:instrText>
      </w:r>
      <w:r w:rsidR="00FA7E65">
        <w:instrText>“</w:instrText>
      </w:r>
      <w:r>
        <w:instrText>Collecting Workload</w:instrText>
      </w:r>
      <w:r w:rsidR="00FA7E65">
        <w:instrText>”</w:instrText>
      </w:r>
      <w:r>
        <w:instrText xml:space="preserve"> </w:instrText>
      </w:r>
      <w:r>
        <w:fldChar w:fldCharType="end"/>
      </w:r>
      <w:r w:rsidR="006C187F">
        <w:t xml:space="preserve"> </w:t>
      </w:r>
      <w:r w:rsidR="006C187F">
        <w:rPr>
          <w:rFonts w:ascii="Arial Bold" w:hAnsi="Arial Bold"/>
          <w:vanish/>
        </w:rPr>
        <w:t>UC_15</w:t>
      </w:r>
    </w:p>
    <w:p w14:paraId="7F5C1D77" w14:textId="77777777" w:rsidR="002A21AE" w:rsidRDefault="002A21AE" w:rsidP="00FA7E65">
      <w:pPr>
        <w:pStyle w:val="BodyText"/>
      </w:pPr>
      <w:r>
        <w:t xml:space="preserve">In some options, VBECS collects workload (statistical data used to calculate productivity) when the user saves data: </w:t>
      </w:r>
    </w:p>
    <w:p w14:paraId="0BE35419" w14:textId="77777777" w:rsidR="002A21AE" w:rsidRDefault="002A21AE" w:rsidP="007716F7">
      <w:pPr>
        <w:pStyle w:val="ListBullet"/>
      </w:pPr>
      <w:r>
        <w:t>ABO/</w:t>
      </w:r>
      <w:r w:rsidRPr="007716F7">
        <w:t>Rh Confirmation</w:t>
      </w:r>
    </w:p>
    <w:p w14:paraId="2B1DEBEB" w14:textId="77777777" w:rsidR="00645BE3" w:rsidRPr="007716F7" w:rsidRDefault="00645BE3" w:rsidP="007716F7">
      <w:pPr>
        <w:pStyle w:val="ListBullet"/>
      </w:pPr>
      <w:r>
        <w:t>Automated Testing</w:t>
      </w:r>
    </w:p>
    <w:p w14:paraId="35F06FFC" w14:textId="77777777" w:rsidR="002A21AE" w:rsidRDefault="002A21AE" w:rsidP="007716F7">
      <w:pPr>
        <w:pStyle w:val="ListBullet"/>
      </w:pPr>
      <w:r w:rsidRPr="007716F7">
        <w:t xml:space="preserve">Discard </w:t>
      </w:r>
      <w:r>
        <w:t>or Quarantine</w:t>
      </w:r>
    </w:p>
    <w:p w14:paraId="6404F9AD" w14:textId="77777777" w:rsidR="002A21AE" w:rsidRDefault="002A21AE">
      <w:pPr>
        <w:pStyle w:val="ListBullet"/>
      </w:pPr>
      <w:r>
        <w:t>Document ABO Incompatible Transfusion</w:t>
      </w:r>
    </w:p>
    <w:p w14:paraId="2DEB479A" w14:textId="77777777" w:rsidR="002A21AE" w:rsidRDefault="002A21AE">
      <w:pPr>
        <w:pStyle w:val="ListBullet"/>
      </w:pPr>
      <w:r>
        <w:t>Edit Unit Information</w:t>
      </w:r>
    </w:p>
    <w:p w14:paraId="3626AC0C" w14:textId="77777777" w:rsidR="002A21AE" w:rsidRDefault="002A21AE">
      <w:pPr>
        <w:pStyle w:val="ListBullet"/>
      </w:pPr>
      <w:r>
        <w:t>Enter Daily QC Results</w:t>
      </w:r>
    </w:p>
    <w:p w14:paraId="04A31EAE" w14:textId="77777777" w:rsidR="002A21AE" w:rsidRDefault="002A21AE">
      <w:pPr>
        <w:pStyle w:val="ListBullet"/>
      </w:pPr>
      <w:r>
        <w:t>Finalize/Print TRW</w:t>
      </w:r>
    </w:p>
    <w:p w14:paraId="00DCB648" w14:textId="77777777" w:rsidR="002A21AE" w:rsidRDefault="002A21AE">
      <w:pPr>
        <w:pStyle w:val="ListBullet"/>
      </w:pPr>
      <w:r>
        <w:rPr>
          <w:snapToGrid w:val="0"/>
        </w:rPr>
        <w:t>Free Directed Unit For Crossover</w:t>
      </w:r>
    </w:p>
    <w:p w14:paraId="2E499D0F" w14:textId="77777777" w:rsidR="002A21AE" w:rsidRDefault="002A21AE">
      <w:pPr>
        <w:pStyle w:val="ListBullet"/>
        <w:rPr>
          <w:bCs/>
        </w:rPr>
      </w:pPr>
      <w:r>
        <w:t>Invalidate Test Results</w:t>
      </w:r>
    </w:p>
    <w:p w14:paraId="591B0511" w14:textId="77777777" w:rsidR="002A21AE" w:rsidRDefault="002A21AE">
      <w:pPr>
        <w:pStyle w:val="ListBullet"/>
      </w:pPr>
      <w:r>
        <w:rPr>
          <w:snapToGrid w:val="0"/>
        </w:rPr>
        <w:t>Issue Blood Components</w:t>
      </w:r>
    </w:p>
    <w:p w14:paraId="7C9E407D" w14:textId="77777777" w:rsidR="002A21AE" w:rsidRDefault="002A21AE">
      <w:pPr>
        <w:pStyle w:val="ListBullet"/>
      </w:pPr>
      <w:r>
        <w:t>Modify Units</w:t>
      </w:r>
    </w:p>
    <w:p w14:paraId="5E1D05BA" w14:textId="77777777" w:rsidR="002A21AE" w:rsidRDefault="002A21AE">
      <w:pPr>
        <w:pStyle w:val="ListBullet"/>
      </w:pPr>
      <w:r>
        <w:t>Modify Units: Pool Units</w:t>
      </w:r>
    </w:p>
    <w:p w14:paraId="1A719667" w14:textId="77777777" w:rsidR="002A21AE" w:rsidRDefault="002A21AE">
      <w:pPr>
        <w:pStyle w:val="ListBullet"/>
      </w:pPr>
      <w:r>
        <w:t>Modify Units: Split a Unit</w:t>
      </w:r>
    </w:p>
    <w:p w14:paraId="12A39B21" w14:textId="77777777" w:rsidR="002A21AE" w:rsidRDefault="002A21AE">
      <w:pPr>
        <w:pStyle w:val="ListBullet"/>
      </w:pPr>
      <w:r>
        <w:t>Outgoing Shipment</w:t>
      </w:r>
    </w:p>
    <w:p w14:paraId="2982ECD3" w14:textId="77777777" w:rsidR="002A21AE" w:rsidRDefault="002A21AE">
      <w:pPr>
        <w:pStyle w:val="ListBullet"/>
      </w:pPr>
      <w:r>
        <w:t xml:space="preserve">Patient Testing: </w:t>
      </w:r>
      <w:r w:rsidR="00244FCD">
        <w:t>Enter Antibody Identification Results</w:t>
      </w:r>
    </w:p>
    <w:p w14:paraId="1EC41819" w14:textId="77777777" w:rsidR="002A21AE" w:rsidRDefault="002A21AE">
      <w:pPr>
        <w:pStyle w:val="ListBullet"/>
      </w:pPr>
      <w:r>
        <w:rPr>
          <w:snapToGrid w:val="0"/>
        </w:rPr>
        <w:t>Patient Testing: Record a Patient Antigen Typing</w:t>
      </w:r>
    </w:p>
    <w:p w14:paraId="63DD2875" w14:textId="77777777" w:rsidR="002A21AE" w:rsidRDefault="002A21AE">
      <w:pPr>
        <w:pStyle w:val="ListBullet"/>
      </w:pPr>
      <w:r>
        <w:t xml:space="preserve">Patient Testing: Record a Transfusion Reaction Workup </w:t>
      </w:r>
    </w:p>
    <w:p w14:paraId="3666053E" w14:textId="77777777" w:rsidR="002A21AE" w:rsidRDefault="002A21AE">
      <w:pPr>
        <w:pStyle w:val="ListBullet"/>
      </w:pPr>
      <w:r>
        <w:t>Patient Testing: Record Patient Test Results</w:t>
      </w:r>
    </w:p>
    <w:p w14:paraId="02E3F537" w14:textId="77777777" w:rsidR="002A21AE" w:rsidRDefault="002A21AE">
      <w:pPr>
        <w:pStyle w:val="ListBullet"/>
      </w:pPr>
      <w:r>
        <w:t xml:space="preserve">Post-Transfusion Information </w:t>
      </w:r>
    </w:p>
    <w:p w14:paraId="7E4302B6" w14:textId="77777777" w:rsidR="002A21AE" w:rsidRDefault="002A21AE">
      <w:pPr>
        <w:pStyle w:val="ListBullet"/>
      </w:pPr>
      <w:r>
        <w:t>Processing Incoming Shipment</w:t>
      </w:r>
    </w:p>
    <w:p w14:paraId="6BCC081D" w14:textId="77777777" w:rsidR="002A21AE" w:rsidRDefault="002A21AE">
      <w:pPr>
        <w:pStyle w:val="ListBullet"/>
      </w:pPr>
      <w:r>
        <w:t>Release Units From Patient Assignment</w:t>
      </w:r>
    </w:p>
    <w:p w14:paraId="0D602504" w14:textId="77777777" w:rsidR="002A21AE" w:rsidRDefault="002A21AE">
      <w:pPr>
        <w:pStyle w:val="ListBullet"/>
      </w:pPr>
      <w:r>
        <w:rPr>
          <w:snapToGrid w:val="0"/>
        </w:rPr>
        <w:t>Remove Final Status</w:t>
      </w:r>
    </w:p>
    <w:p w14:paraId="3C78D442" w14:textId="77777777" w:rsidR="002A21AE" w:rsidRDefault="002A21AE">
      <w:pPr>
        <w:pStyle w:val="ListBullet"/>
      </w:pPr>
      <w:r>
        <w:t>Return Issued Units To Blood Bank</w:t>
      </w:r>
    </w:p>
    <w:p w14:paraId="0273BE99" w14:textId="77777777" w:rsidR="002A21AE" w:rsidRDefault="002A21AE">
      <w:pPr>
        <w:pStyle w:val="ListBullet"/>
      </w:pPr>
      <w:r>
        <w:t>Select Units</w:t>
      </w:r>
    </w:p>
    <w:p w14:paraId="2D63A629" w14:textId="77777777" w:rsidR="002A21AE" w:rsidRDefault="002A21AE" w:rsidP="0065457E">
      <w:pPr>
        <w:pStyle w:val="ListBullet"/>
      </w:pPr>
      <w:r>
        <w:t>Unit Antigen Typing</w:t>
      </w:r>
    </w:p>
    <w:p w14:paraId="4EAF48A9" w14:textId="77777777" w:rsidR="00F4409D" w:rsidRDefault="00F4409D">
      <w:pPr>
        <w:rPr>
          <w:rStyle w:val="BodyTextChar"/>
        </w:rPr>
      </w:pPr>
    </w:p>
    <w:p w14:paraId="6B6A875B" w14:textId="77777777" w:rsidR="0064481B" w:rsidRDefault="0064481B">
      <w:pPr>
        <w:rPr>
          <w:rStyle w:val="Heading1Char"/>
        </w:rPr>
      </w:pPr>
      <w:r>
        <w:rPr>
          <w:rStyle w:val="Heading1Char"/>
        </w:rPr>
        <w:br w:type="page"/>
      </w:r>
    </w:p>
    <w:p w14:paraId="4F4CEAF7" w14:textId="5870689F" w:rsidR="002A21AE" w:rsidRDefault="002A21AE" w:rsidP="001E5CC3">
      <w:pPr>
        <w:pStyle w:val="BodyText"/>
      </w:pPr>
      <w:bookmarkStart w:id="139" w:name="_Toc149064090"/>
      <w:r w:rsidRPr="005944FC">
        <w:rPr>
          <w:rStyle w:val="Heading1Char"/>
        </w:rPr>
        <w:t>Configuring Site Parameters</w:t>
      </w:r>
      <w:bookmarkEnd w:id="139"/>
      <w:r>
        <w:fldChar w:fldCharType="begin"/>
      </w:r>
      <w:r>
        <w:instrText xml:space="preserve"> XE </w:instrText>
      </w:r>
      <w:r w:rsidR="00FA7E65">
        <w:instrText>“</w:instrText>
      </w:r>
      <w:r>
        <w:instrText>Configuring Site Parameters</w:instrText>
      </w:r>
      <w:r w:rsidR="00FA7E65">
        <w:instrText>”</w:instrText>
      </w:r>
      <w:r>
        <w:instrText xml:space="preserve"> </w:instrText>
      </w:r>
      <w:r>
        <w:fldChar w:fldCharType="end"/>
      </w:r>
    </w:p>
    <w:p w14:paraId="54DEECC2" w14:textId="77777777" w:rsidR="002A21AE" w:rsidRPr="002A6D29" w:rsidRDefault="002A21AE" w:rsidP="002A6D29">
      <w:pPr>
        <w:rPr>
          <w:sz w:val="22"/>
          <w:szCs w:val="22"/>
        </w:rPr>
      </w:pPr>
      <w:r w:rsidRPr="002A6D29">
        <w:rPr>
          <w:sz w:val="22"/>
          <w:szCs w:val="22"/>
        </w:rPr>
        <w:t>Configuration must be done as part of the VBECS installation.</w:t>
      </w:r>
    </w:p>
    <w:p w14:paraId="072D9EF4" w14:textId="77777777" w:rsidR="00B51CFF" w:rsidRDefault="00B51CFF" w:rsidP="00B51CFF">
      <w:pPr>
        <w:pStyle w:val="Heading2"/>
      </w:pPr>
      <w:bookmarkStart w:id="140" w:name="_Toc149064091"/>
      <w:r>
        <w:t>Update User Roles</w:t>
      </w:r>
      <w:bookmarkEnd w:id="140"/>
      <w:r w:rsidRPr="00AB67A6">
        <w:rPr>
          <w:rFonts w:ascii="Arial Bold" w:hAnsi="Arial Bold"/>
          <w:vanish/>
        </w:rPr>
        <w:fldChar w:fldCharType="begin"/>
      </w:r>
      <w:r w:rsidRPr="00AB67A6">
        <w:rPr>
          <w:rFonts w:ascii="Arial Bold" w:hAnsi="Arial Bold"/>
          <w:vanish/>
        </w:rPr>
        <w:instrText xml:space="preserve"> XE “Update User Roles” </w:instrText>
      </w:r>
      <w:r w:rsidRPr="00AB67A6">
        <w:rPr>
          <w:rFonts w:ascii="Arial Bold" w:hAnsi="Arial Bold"/>
          <w:vanish/>
        </w:rPr>
        <w:fldChar w:fldCharType="end"/>
      </w:r>
      <w:r w:rsidRPr="00AB67A6">
        <w:rPr>
          <w:rFonts w:ascii="Arial Bold" w:hAnsi="Arial Bold"/>
          <w:vanish/>
        </w:rPr>
        <w:t xml:space="preserve"> UC_19</w:t>
      </w:r>
    </w:p>
    <w:p w14:paraId="7C37AD43" w14:textId="77777777" w:rsidR="00B51CFF" w:rsidRDefault="00B51CFF" w:rsidP="00B51CFF">
      <w:pPr>
        <w:pStyle w:val="BodyText"/>
      </w:pPr>
      <w:r>
        <w:t>The user reviews and changes the user roles and associated security levels that determine which options and functions are available to a user in the division.</w:t>
      </w:r>
    </w:p>
    <w:p w14:paraId="7EFECD23" w14:textId="77777777" w:rsidR="00B51CFF" w:rsidRDefault="00B51CFF" w:rsidP="00B51CFF">
      <w:pPr>
        <w:pStyle w:val="Heading4"/>
      </w:pPr>
      <w:r>
        <w:t>Assumptions</w:t>
      </w:r>
    </w:p>
    <w:p w14:paraId="1010A3D7" w14:textId="77777777" w:rsidR="00B51CFF" w:rsidRDefault="00B51CFF" w:rsidP="00B51CFF">
      <w:pPr>
        <w:pStyle w:val="ListBullet"/>
      </w:pPr>
      <w:r>
        <w:t>The user is logged into VBECS in the division of the users to be edited.</w:t>
      </w:r>
    </w:p>
    <w:p w14:paraId="696A26C6" w14:textId="77777777" w:rsidR="00B51CFF" w:rsidRDefault="00B51CFF" w:rsidP="00B51CFF">
      <w:pPr>
        <w:pStyle w:val="ListBullet"/>
      </w:pPr>
      <w:r>
        <w:t xml:space="preserve">A </w:t>
      </w:r>
      <w:r w:rsidR="0093195D">
        <w:t>VBECS Application</w:t>
      </w:r>
      <w:r>
        <w:t xml:space="preserve"> Administrator </w:t>
      </w:r>
      <w:r w:rsidR="006E4408">
        <w:t>defined</w:t>
      </w:r>
      <w:r>
        <w:t xml:space="preserve"> the users to the VBECS database and assigned </w:t>
      </w:r>
      <w:r w:rsidR="00E95395">
        <w:t>a</w:t>
      </w:r>
      <w:r>
        <w:t xml:space="preserve"> division-specific role to each user. </w:t>
      </w:r>
    </w:p>
    <w:p w14:paraId="285E788F" w14:textId="77777777" w:rsidR="00B51CFF" w:rsidRDefault="00B51CFF" w:rsidP="00B51CFF">
      <w:pPr>
        <w:pStyle w:val="Heading4"/>
      </w:pPr>
      <w:r>
        <w:t>Outcome</w:t>
      </w:r>
    </w:p>
    <w:p w14:paraId="4B43DEBD" w14:textId="77777777" w:rsidR="00B51CFF" w:rsidRDefault="00B51CFF" w:rsidP="00B51CFF">
      <w:pPr>
        <w:pStyle w:val="ListBullet"/>
      </w:pPr>
      <w:r>
        <w:t xml:space="preserve">A user’s role code changed. </w:t>
      </w:r>
    </w:p>
    <w:p w14:paraId="05C4DBDE" w14:textId="77777777" w:rsidR="00B51CFF" w:rsidRDefault="00B51CFF" w:rsidP="00B51CFF">
      <w:pPr>
        <w:pStyle w:val="Heading4"/>
      </w:pPr>
      <w:r>
        <w:t>Limitations and Restrictions</w:t>
      </w:r>
    </w:p>
    <w:p w14:paraId="6C339A01" w14:textId="77777777" w:rsidR="00B51CFF" w:rsidRDefault="00B51CFF" w:rsidP="00B51CFF">
      <w:pPr>
        <w:pStyle w:val="ListBullet"/>
      </w:pPr>
      <w:r>
        <w:rPr>
          <w:vanish/>
          <w:spacing w:val="0"/>
        </w:rPr>
        <w:t>BR_19.01</w:t>
      </w:r>
      <w:r w:rsidR="009660C3">
        <w:rPr>
          <w:vanish/>
          <w:spacing w:val="0"/>
        </w:rPr>
        <w:t>,</w:t>
      </w:r>
      <w:r>
        <w:rPr>
          <w:vanish/>
          <w:spacing w:val="0"/>
        </w:rPr>
        <w:t xml:space="preserve"> BR_19.03 </w:t>
      </w:r>
      <w:r>
        <w:t>One role at a time may be assigned to a user at a division. The role may be reset.</w:t>
      </w:r>
    </w:p>
    <w:p w14:paraId="12A807B6" w14:textId="77777777" w:rsidR="00B51CFF" w:rsidRDefault="002A7EE9" w:rsidP="00B51CFF">
      <w:pPr>
        <w:pStyle w:val="ListBullet"/>
      </w:pPr>
      <w:r>
        <w:rPr>
          <w:spacing w:val="0"/>
        </w:rPr>
        <w:t xml:space="preserve">VBECS does not allow users </w:t>
      </w:r>
      <w:r w:rsidR="00B51CFF">
        <w:rPr>
          <w:vanish/>
          <w:spacing w:val="0"/>
        </w:rPr>
        <w:t xml:space="preserve">BR_19.06 </w:t>
      </w:r>
      <w:r w:rsidR="004D224B">
        <w:t>t</w:t>
      </w:r>
      <w:r>
        <w:t>o</w:t>
      </w:r>
      <w:r w:rsidR="00B51CFF">
        <w:t xml:space="preserve"> </w:t>
      </w:r>
      <w:r w:rsidR="004D224B">
        <w:t>edit or delete</w:t>
      </w:r>
      <w:r w:rsidR="00B51CFF">
        <w:t xml:space="preserve"> the </w:t>
      </w:r>
      <w:r w:rsidR="004D5297">
        <w:t>sole</w:t>
      </w:r>
      <w:r w:rsidR="00B51CFF">
        <w:t xml:space="preserve"> Administrator/Supervisor.</w:t>
      </w:r>
    </w:p>
    <w:p w14:paraId="533C8198" w14:textId="77777777" w:rsidR="00B51CFF" w:rsidRDefault="00B51CFF" w:rsidP="00B51CFF">
      <w:pPr>
        <w:pStyle w:val="Heading4"/>
      </w:pPr>
      <w:r>
        <w:t>Additional Information</w:t>
      </w:r>
    </w:p>
    <w:p w14:paraId="53449210" w14:textId="77777777" w:rsidR="003234B3" w:rsidRDefault="003234B3" w:rsidP="003234B3">
      <w:pPr>
        <w:pStyle w:val="ListBullet"/>
      </w:pPr>
      <w:r>
        <w:t xml:space="preserve">An </w:t>
      </w:r>
      <w:r w:rsidR="006E4408">
        <w:t>undefined</w:t>
      </w:r>
      <w:r>
        <w:t xml:space="preserve"> user remains in the VBECS database.</w:t>
      </w:r>
    </w:p>
    <w:p w14:paraId="08A45498" w14:textId="77777777" w:rsidR="003234B3" w:rsidRDefault="003234B3" w:rsidP="003234B3">
      <w:pPr>
        <w:pStyle w:val="ListBullet"/>
      </w:pPr>
      <w:r>
        <w:rPr>
          <w:vanish/>
          <w:spacing w:val="0"/>
        </w:rPr>
        <w:t xml:space="preserve">BR_19.16, BR_19.11 </w:t>
      </w:r>
      <w:r w:rsidR="006F3D70">
        <w:t>There must be at least one Administrator/Supervisor in the division to maintain users.</w:t>
      </w:r>
    </w:p>
    <w:p w14:paraId="234E0A76" w14:textId="77777777" w:rsidR="00B51CFF" w:rsidRDefault="00B51CFF" w:rsidP="00B51CFF">
      <w:pPr>
        <w:pStyle w:val="ListBullet"/>
      </w:pPr>
      <w:r>
        <w:t xml:space="preserve">A VBECS user ID is the user’s </w:t>
      </w:r>
      <w:r w:rsidR="006E4408">
        <w:t>Windows</w:t>
      </w:r>
      <w:r>
        <w:t xml:space="preserve"> Logon ID. </w:t>
      </w:r>
    </w:p>
    <w:p w14:paraId="03F41009" w14:textId="77777777" w:rsidR="00B51CFF" w:rsidRDefault="00B51CFF" w:rsidP="00B51CFF">
      <w:pPr>
        <w:pStyle w:val="ListBullet"/>
      </w:pPr>
      <w:r>
        <w:t>One or more users may be selected for batch update.</w:t>
      </w:r>
    </w:p>
    <w:p w14:paraId="4517E177" w14:textId="590C301D" w:rsidR="00B51CFF" w:rsidRDefault="00B51CFF" w:rsidP="00B51CFF">
      <w:pPr>
        <w:pStyle w:val="ListBullet"/>
      </w:pPr>
      <w:r>
        <w:t xml:space="preserve">A </w:t>
      </w:r>
      <w:r w:rsidR="0093195D">
        <w:t>VBECS Application</w:t>
      </w:r>
      <w:r>
        <w:t xml:space="preserve"> Administrator </w:t>
      </w:r>
      <w:r w:rsidR="006E4408">
        <w:t>defines</w:t>
      </w:r>
      <w:r>
        <w:t xml:space="preserve"> and </w:t>
      </w:r>
      <w:r w:rsidR="006E4408">
        <w:t>undefines</w:t>
      </w:r>
      <w:r>
        <w:t xml:space="preserve"> VBECS users.</w:t>
      </w:r>
      <w:r w:rsidR="00BA2EAA">
        <w:t xml:space="preserve"> See </w:t>
      </w:r>
      <w:r w:rsidR="00BA2EAA">
        <w:rPr>
          <w:i/>
          <w:iCs/>
        </w:rPr>
        <w:t>VBECS 2.3.</w:t>
      </w:r>
      <w:r w:rsidR="00656AFE">
        <w:rPr>
          <w:i/>
          <w:iCs/>
        </w:rPr>
        <w:t>4</w:t>
      </w:r>
      <w:r w:rsidR="00BA2EAA">
        <w:rPr>
          <w:i/>
          <w:iCs/>
        </w:rPr>
        <w:t xml:space="preserve"> Admin User Guide</w:t>
      </w:r>
      <w:r w:rsidR="00BA2EAA">
        <w:t>.</w:t>
      </w:r>
    </w:p>
    <w:p w14:paraId="403174E9" w14:textId="5DEAF080" w:rsidR="00B51CFF" w:rsidRDefault="00B51CFF" w:rsidP="00B51CFF">
      <w:pPr>
        <w:pStyle w:val="ListBullet"/>
      </w:pPr>
      <w:r>
        <w:t>A user may be defined at multiple divisions within a multidivisional database. The settings for a user may differ from division to division and are</w:t>
      </w:r>
      <w:r w:rsidR="00FB7B47">
        <w:t xml:space="preserve"> independent</w:t>
      </w:r>
      <w:r>
        <w:t xml:space="preserve">. </w:t>
      </w:r>
    </w:p>
    <w:p w14:paraId="348C0CF0" w14:textId="77777777" w:rsidR="00B51CFF" w:rsidRDefault="00B51CFF" w:rsidP="00B51CFF">
      <w:pPr>
        <w:pStyle w:val="Heading4"/>
      </w:pPr>
      <w:r>
        <w:t>User Roles with Access to This Option</w:t>
      </w:r>
    </w:p>
    <w:p w14:paraId="7BD910A0"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515FC83B"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Lead Technologist</w:t>
      </w:r>
    </w:p>
    <w:p w14:paraId="62914DE2" w14:textId="77777777" w:rsidR="00B51CFF" w:rsidRDefault="00B51CFF" w:rsidP="00B51CFF">
      <w:pPr>
        <w:pStyle w:val="Heading4"/>
      </w:pPr>
      <w:r>
        <w:t>Update User Roles</w:t>
      </w:r>
    </w:p>
    <w:p w14:paraId="7B65B7C1" w14:textId="77777777" w:rsidR="00B51CFF" w:rsidRDefault="00154095" w:rsidP="00B51CFF">
      <w:pPr>
        <w:pStyle w:val="Body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B51CFF">
        <w:t xml:space="preserve">An Administrator/Supervisor maintains assigned user roles, including associated levels of system access and the ability to process system overrides. These roles determine the available </w:t>
      </w:r>
      <w:r w:rsidR="00932460">
        <w:t xml:space="preserve">options </w:t>
      </w:r>
      <w:r w:rsidR="00B51CFF">
        <w:t xml:space="preserve">and the ability to override certain warnings. </w:t>
      </w:r>
    </w:p>
    <w:p w14:paraId="08477375" w14:textId="77777777" w:rsidR="00F317E7" w:rsidRDefault="003B4BF0" w:rsidP="00E87A80">
      <w:pPr>
        <w:pStyle w:val="Caution"/>
      </w:pPr>
      <w:bookmarkStart w:id="141" w:name="OLE_LINK13"/>
      <w:bookmarkStart w:id="142" w:name="OLE_LINK14"/>
      <w:r>
        <w:t xml:space="preserve">It is recommended that </w:t>
      </w:r>
      <w:r w:rsidR="00A868BE">
        <w:t>more than</w:t>
      </w:r>
      <w:r>
        <w:t xml:space="preserve"> one staff member be assigned the role of Administrator/Supervisor: when more than one Administrator/Supervisor updates roles simultaneously, changes made by one user are not visible to the other.</w:t>
      </w:r>
    </w:p>
    <w:bookmarkEnd w:id="141"/>
    <w:bookmarkEnd w:id="142"/>
    <w:p w14:paraId="38250B39" w14:textId="77777777" w:rsidR="00B51CFF" w:rsidRDefault="00B51CFF" w:rsidP="007E3EE1">
      <w:pPr>
        <w:pStyle w:val="BodyText"/>
        <w:keepNext/>
      </w:pPr>
      <w:r>
        <w:t xml:space="preserve">One of six user roles may be assigned to users, by division: </w:t>
      </w:r>
    </w:p>
    <w:p w14:paraId="002C5AA2" w14:textId="77777777" w:rsidR="00B51CFF" w:rsidRDefault="00B51CFF" w:rsidP="007E3EE1">
      <w:pPr>
        <w:pStyle w:val="ListBullet"/>
        <w:keepNext/>
      </w:pPr>
      <w:r>
        <w:t>Level 1: Technologist</w:t>
      </w:r>
      <w:r w:rsidR="00491BEC">
        <w:t xml:space="preserve"> </w:t>
      </w:r>
      <w:r w:rsidR="00491BEC" w:rsidRPr="00EC7489">
        <w:rPr>
          <w:rFonts w:ascii="Wingdings 3" w:hAnsi="Wingdings 3" w:cs="Wingdings"/>
        </w:rPr>
        <w:t></w:t>
      </w:r>
    </w:p>
    <w:p w14:paraId="409DB2EC" w14:textId="77777777" w:rsidR="00B51CFF" w:rsidRDefault="00B51CFF" w:rsidP="00B51CFF">
      <w:pPr>
        <w:pStyle w:val="ListBullet"/>
      </w:pPr>
      <w:r>
        <w:t>Level 2: Enhanced Technologist</w:t>
      </w:r>
      <w:r w:rsidR="00491BEC">
        <w:t xml:space="preserve"> </w:t>
      </w:r>
      <w:r w:rsidR="00491BEC" w:rsidRPr="00EC7489">
        <w:rPr>
          <w:rFonts w:ascii="Wingdings 3" w:hAnsi="Wingdings 3" w:cs="Wingdings"/>
        </w:rPr>
        <w:t></w:t>
      </w:r>
      <w:r w:rsidR="00491BEC" w:rsidRPr="00EC7489">
        <w:rPr>
          <w:rFonts w:ascii="Wingdings 3" w:hAnsi="Wingdings 3" w:cs="Wingdings"/>
        </w:rPr>
        <w:t></w:t>
      </w:r>
    </w:p>
    <w:p w14:paraId="7CE5D8CE" w14:textId="77777777" w:rsidR="00B51CFF" w:rsidRDefault="00B51CFF" w:rsidP="00B51CFF">
      <w:pPr>
        <w:pStyle w:val="ListBullet"/>
      </w:pPr>
      <w:r>
        <w:t>Level 3: Lead Technologist</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18BB5398" w14:textId="77777777" w:rsidR="00B51CFF" w:rsidRDefault="00B51CFF" w:rsidP="00B51CFF">
      <w:pPr>
        <w:pStyle w:val="ListBullet"/>
      </w:pPr>
      <w:r>
        <w:t>Level 4: Traditional Supervisor</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6582B254" w14:textId="77777777" w:rsidR="00B51CFF" w:rsidRDefault="00B51CFF" w:rsidP="00B51CFF">
      <w:pPr>
        <w:pStyle w:val="ListBullet"/>
      </w:pPr>
      <w:r>
        <w:t>Level 5: Enhanced Supervisor</w:t>
      </w:r>
      <w:r w:rsidR="00491BEC">
        <w:t xml:space="preserve">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62001EA0" w14:textId="472C8522" w:rsidR="00B51CFF" w:rsidRDefault="00B51CFF" w:rsidP="00B51CFF">
      <w:pPr>
        <w:pStyle w:val="ListBullet"/>
      </w:pPr>
      <w:r>
        <w:t xml:space="preserve">Level 6: Administrator/Supervisor </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r w:rsidR="00491BEC" w:rsidRPr="00EC7489">
        <w:rPr>
          <w:rFonts w:ascii="Wingdings 3" w:hAnsi="Wingdings 3" w:cs="Wingdings"/>
        </w:rPr>
        <w:t></w:t>
      </w:r>
    </w:p>
    <w:p w14:paraId="39A3BF5C" w14:textId="02292B47" w:rsidR="00B51CFF" w:rsidRDefault="00B51CFF" w:rsidP="00B51CFF">
      <w:pPr>
        <w:pStyle w:val="BodyText"/>
      </w:pPr>
      <w:r>
        <w:t>The functions associated with each user role are described in</w:t>
      </w:r>
      <w:r w:rsidR="00DA05C9">
        <w:t xml:space="preserve"> </w:t>
      </w:r>
      <w:r w:rsidR="00EE455E">
        <w:t xml:space="preserve">Table </w:t>
      </w:r>
      <w:r w:rsidR="00EE455E">
        <w:rPr>
          <w:noProof/>
        </w:rPr>
        <w:t>1</w:t>
      </w:r>
      <w:r w:rsidR="00EE455E">
        <w:t xml:space="preserve">: </w:t>
      </w:r>
      <w:r w:rsidR="00EE455E">
        <w:rPr>
          <w:vanish/>
        </w:rPr>
        <w:t xml:space="preserve">PT_19.01 </w:t>
      </w:r>
      <w:r w:rsidR="00EE455E">
        <w:t>User Roles and Functions</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27B46406" w14:textId="77777777">
        <w:trPr>
          <w:cantSplit/>
          <w:tblHeader/>
        </w:trPr>
        <w:tc>
          <w:tcPr>
            <w:tcW w:w="3240" w:type="dxa"/>
            <w:shd w:val="pct30" w:color="auto" w:fill="FFFFFF"/>
            <w:vAlign w:val="bottom"/>
          </w:tcPr>
          <w:p w14:paraId="59F10117" w14:textId="77777777" w:rsidR="00B51CFF" w:rsidRDefault="00B51CFF" w:rsidP="00DB1D38">
            <w:pPr>
              <w:pStyle w:val="TableText"/>
              <w:rPr>
                <w:b/>
              </w:rPr>
            </w:pPr>
            <w:r>
              <w:rPr>
                <w:b/>
              </w:rPr>
              <w:t>User Action</w:t>
            </w:r>
          </w:p>
        </w:tc>
        <w:tc>
          <w:tcPr>
            <w:tcW w:w="6120" w:type="dxa"/>
            <w:shd w:val="pct30" w:color="auto" w:fill="FFFFFF"/>
            <w:vAlign w:val="bottom"/>
          </w:tcPr>
          <w:p w14:paraId="0DC3B2F0" w14:textId="77777777" w:rsidR="00B51CFF" w:rsidRDefault="00B51CFF" w:rsidP="00DB1D38">
            <w:pPr>
              <w:pStyle w:val="TableText"/>
              <w:rPr>
                <w:b/>
              </w:rPr>
            </w:pPr>
            <w:r>
              <w:rPr>
                <w:b/>
              </w:rPr>
              <w:t>VBECS</w:t>
            </w:r>
          </w:p>
        </w:tc>
      </w:tr>
      <w:tr w:rsidR="00B51CFF" w14:paraId="0A8082C7" w14:textId="77777777">
        <w:trPr>
          <w:cantSplit/>
        </w:trPr>
        <w:tc>
          <w:tcPr>
            <w:tcW w:w="3240" w:type="dxa"/>
            <w:tcBorders>
              <w:top w:val="single" w:sz="4" w:space="0" w:color="auto"/>
              <w:left w:val="single" w:sz="4" w:space="0" w:color="auto"/>
              <w:bottom w:val="single" w:sz="4" w:space="0" w:color="auto"/>
              <w:right w:val="single" w:sz="4" w:space="0" w:color="auto"/>
            </w:tcBorders>
          </w:tcPr>
          <w:p w14:paraId="4E6E14EB" w14:textId="77777777" w:rsidR="00B51CFF" w:rsidRDefault="00B51CFF" w:rsidP="00DB1D38">
            <w:pPr>
              <w:pStyle w:val="TableTextNumbers"/>
            </w:pPr>
            <w:r>
              <w:t xml:space="preserve">Select </w:t>
            </w:r>
            <w:r>
              <w:rPr>
                <w:b/>
              </w:rPr>
              <w:t>Tools</w:t>
            </w:r>
            <w:r>
              <w:t xml:space="preserve"> from the main menu.</w:t>
            </w:r>
          </w:p>
          <w:p w14:paraId="702553EF" w14:textId="77777777" w:rsidR="00B51CFF" w:rsidRDefault="00B51CFF" w:rsidP="00DB1D38">
            <w:pPr>
              <w:pStyle w:val="TableTextNumbersContinued"/>
            </w:pPr>
          </w:p>
          <w:p w14:paraId="6311EC7C" w14:textId="3744B143" w:rsidR="00B51CFF" w:rsidRDefault="00B51CFF" w:rsidP="008D26FD">
            <w:pPr>
              <w:pStyle w:val="TableTextNumbersContinued"/>
            </w:pPr>
            <w:r>
              <w:t xml:space="preserve">Select </w:t>
            </w:r>
            <w:r>
              <w:rPr>
                <w:b/>
              </w:rPr>
              <w:t>Update User Roles</w:t>
            </w:r>
            <w:r w:rsidR="007A18CD" w:rsidRPr="007A18CD">
              <w:t xml:space="preserve"> (</w:t>
            </w:r>
            <w:r w:rsidR="00EE455E">
              <w:t xml:space="preserve">Figure </w:t>
            </w:r>
            <w:r w:rsidR="00EE455E">
              <w:rPr>
                <w:noProof/>
              </w:rPr>
              <w:t>21</w:t>
            </w:r>
            <w:r w:rsidR="007A18CD" w:rsidRPr="007A18CD">
              <w:t>).</w:t>
            </w:r>
          </w:p>
        </w:tc>
        <w:tc>
          <w:tcPr>
            <w:tcW w:w="6120" w:type="dxa"/>
            <w:tcBorders>
              <w:top w:val="single" w:sz="4" w:space="0" w:color="auto"/>
              <w:left w:val="single" w:sz="4" w:space="0" w:color="auto"/>
              <w:bottom w:val="single" w:sz="4" w:space="0" w:color="auto"/>
              <w:right w:val="single" w:sz="4" w:space="0" w:color="auto"/>
            </w:tcBorders>
          </w:tcPr>
          <w:p w14:paraId="41AA4A35" w14:textId="77777777" w:rsidR="00B51CFF" w:rsidRDefault="00B51CFF" w:rsidP="00DB1D38">
            <w:pPr>
              <w:pStyle w:val="TableTextBullet"/>
            </w:pPr>
            <w:r>
              <w:t>Displays options for processing administrative functions.</w:t>
            </w:r>
          </w:p>
          <w:p w14:paraId="3CEDA214" w14:textId="77777777" w:rsidR="00B51CFF" w:rsidRDefault="00B51CFF" w:rsidP="00DB1D38">
            <w:pPr>
              <w:pStyle w:val="TableTextBullet"/>
            </w:pPr>
            <w:r>
              <w:t>Lists active users and associated information, including user name, ID, role, initials and email address.</w:t>
            </w:r>
          </w:p>
          <w:p w14:paraId="036FB668" w14:textId="77777777" w:rsidR="00B51CFF" w:rsidRDefault="00B51CFF" w:rsidP="00DB1D38">
            <w:pPr>
              <w:pStyle w:val="TableTextBullet"/>
            </w:pPr>
            <w:r>
              <w:t>Displays an option to print a VBECS User Report.</w:t>
            </w:r>
          </w:p>
          <w:p w14:paraId="6FB55ECA" w14:textId="77777777" w:rsidR="00B51CFF" w:rsidRDefault="00B51CFF" w:rsidP="00DB1D38">
            <w:pPr>
              <w:pStyle w:val="TableText"/>
            </w:pPr>
          </w:p>
          <w:p w14:paraId="1C024F44" w14:textId="2E57B204" w:rsidR="00B51CFF" w:rsidRDefault="00B51CFF" w:rsidP="00DB1D38">
            <w:pPr>
              <w:pStyle w:val="TableText"/>
              <w:rPr>
                <w:b/>
                <w:bCs/>
                <w:szCs w:val="18"/>
              </w:rPr>
            </w:pPr>
            <w:r>
              <w:rPr>
                <w:b/>
                <w:bCs/>
                <w:szCs w:val="18"/>
              </w:rPr>
              <w:t>NOTES</w:t>
            </w:r>
          </w:p>
          <w:p w14:paraId="1FA79C20" w14:textId="77777777" w:rsidR="00B51CFF" w:rsidRDefault="00B51CFF" w:rsidP="00DB1D38">
            <w:pPr>
              <w:pStyle w:val="NotesText"/>
            </w:pPr>
          </w:p>
          <w:p w14:paraId="7C1D48D8" w14:textId="77777777" w:rsidR="00B51CFF" w:rsidRDefault="00B51CFF" w:rsidP="00DB1D38">
            <w:pPr>
              <w:pStyle w:val="NotesText"/>
            </w:pPr>
            <w:r w:rsidRPr="00E274BF">
              <w:rPr>
                <w:rFonts w:cs="Arial"/>
                <w:vanish/>
                <w:szCs w:val="18"/>
              </w:rPr>
              <w:t>BR_19.17</w:t>
            </w:r>
            <w:r w:rsidRPr="009660C3">
              <w:rPr>
                <w:vanish/>
                <w:szCs w:val="18"/>
              </w:rPr>
              <w:t xml:space="preserve"> </w:t>
            </w:r>
            <w:r>
              <w:t xml:space="preserve">Click </w:t>
            </w:r>
            <w:r>
              <w:rPr>
                <w:b/>
              </w:rPr>
              <w:t>Print</w:t>
            </w:r>
            <w:r>
              <w:t xml:space="preserve"> at any time in this process to print a VBECS User Report.</w:t>
            </w:r>
          </w:p>
        </w:tc>
      </w:tr>
      <w:tr w:rsidR="00B51CFF" w14:paraId="7B1DF3EA" w14:textId="77777777">
        <w:trPr>
          <w:cantSplit/>
        </w:trPr>
        <w:tc>
          <w:tcPr>
            <w:tcW w:w="3240" w:type="dxa"/>
            <w:tcBorders>
              <w:bottom w:val="single" w:sz="4" w:space="0" w:color="auto"/>
            </w:tcBorders>
          </w:tcPr>
          <w:p w14:paraId="7F25CCF4" w14:textId="77777777" w:rsidR="00B51CFF" w:rsidRDefault="00B51CFF" w:rsidP="00DB1D38">
            <w:pPr>
              <w:pStyle w:val="TableTextNumbers"/>
            </w:pPr>
            <w:r>
              <w:t>Click one or more check boxes to select users.</w:t>
            </w:r>
          </w:p>
          <w:p w14:paraId="6834A37A" w14:textId="77777777" w:rsidR="00B51CFF" w:rsidRDefault="00B51CFF" w:rsidP="00DB1D38">
            <w:pPr>
              <w:pStyle w:val="TableTextNumbersContinued"/>
            </w:pPr>
          </w:p>
          <w:p w14:paraId="46705C75" w14:textId="77777777" w:rsidR="00B51CFF" w:rsidRDefault="00B51CFF" w:rsidP="00DB1D38">
            <w:pPr>
              <w:pStyle w:val="TableTextNumbersContinued"/>
            </w:pPr>
          </w:p>
        </w:tc>
        <w:tc>
          <w:tcPr>
            <w:tcW w:w="6120" w:type="dxa"/>
            <w:tcBorders>
              <w:bottom w:val="single" w:sz="4" w:space="0" w:color="auto"/>
            </w:tcBorders>
          </w:tcPr>
          <w:p w14:paraId="5F97C5E0" w14:textId="77777777" w:rsidR="00B51CFF" w:rsidRDefault="00B51CFF" w:rsidP="00DB1D38">
            <w:pPr>
              <w:pStyle w:val="TableTextBullet"/>
            </w:pPr>
            <w:r w:rsidRPr="00E274BF">
              <w:rPr>
                <w:rFonts w:cs="Arial"/>
                <w:vanish/>
                <w:szCs w:val="18"/>
              </w:rPr>
              <w:t>BR_19.05</w:t>
            </w:r>
            <w:r w:rsidRPr="009660C3">
              <w:rPr>
                <w:vanish/>
                <w:szCs w:val="18"/>
              </w:rPr>
              <w:t xml:space="preserve"> </w:t>
            </w:r>
            <w:r>
              <w:t>Allows the assignment of a security level to one or more users at a time.</w:t>
            </w:r>
          </w:p>
          <w:p w14:paraId="5C8F0641" w14:textId="77777777" w:rsidR="00B51CFF" w:rsidRDefault="00B51CFF" w:rsidP="00DB1D38">
            <w:pPr>
              <w:pStyle w:val="TableText"/>
            </w:pPr>
          </w:p>
          <w:p w14:paraId="75EFCA52" w14:textId="75551486" w:rsidR="00B51CFF" w:rsidRDefault="00B51CFF" w:rsidP="00DB1D38">
            <w:pPr>
              <w:pStyle w:val="TableText"/>
              <w:rPr>
                <w:b/>
                <w:bCs/>
                <w:szCs w:val="18"/>
              </w:rPr>
            </w:pPr>
            <w:r>
              <w:rPr>
                <w:b/>
                <w:bCs/>
                <w:szCs w:val="18"/>
              </w:rPr>
              <w:t>NOTES</w:t>
            </w:r>
          </w:p>
          <w:p w14:paraId="0B319C69" w14:textId="77777777" w:rsidR="00B51CFF" w:rsidRDefault="00B51CFF" w:rsidP="00DB1D38">
            <w:pPr>
              <w:pStyle w:val="NotesText"/>
            </w:pPr>
          </w:p>
          <w:p w14:paraId="094A1BEC" w14:textId="77777777" w:rsidR="00B51CFF" w:rsidRDefault="00B51CFF" w:rsidP="00DB1D38">
            <w:pPr>
              <w:pStyle w:val="NotesText"/>
            </w:pPr>
            <w:r>
              <w:t>The role that a user selects is assigned to all selected users.</w:t>
            </w:r>
          </w:p>
        </w:tc>
      </w:tr>
      <w:tr w:rsidR="00B51CFF" w14:paraId="47BB3B98" w14:textId="77777777">
        <w:trPr>
          <w:cantSplit/>
        </w:trPr>
        <w:tc>
          <w:tcPr>
            <w:tcW w:w="3240" w:type="dxa"/>
            <w:tcBorders>
              <w:bottom w:val="single" w:sz="4" w:space="0" w:color="auto"/>
            </w:tcBorders>
          </w:tcPr>
          <w:p w14:paraId="47234747" w14:textId="327EA562" w:rsidR="00B51CFF" w:rsidRDefault="00B51CFF" w:rsidP="00DB1D38">
            <w:pPr>
              <w:pStyle w:val="TableTextNumbersContinued"/>
            </w:pPr>
            <w:r>
              <w:t>Select a user role from the drop-down list in the Use</w:t>
            </w:r>
            <w:r w:rsidR="0039783A">
              <w:t>r</w:t>
            </w:r>
            <w:r>
              <w:t xml:space="preserve"> Role field.</w:t>
            </w:r>
          </w:p>
          <w:p w14:paraId="2F723E98" w14:textId="77777777" w:rsidR="00B51CFF" w:rsidRDefault="00B51CFF" w:rsidP="00DB1D38">
            <w:pPr>
              <w:pStyle w:val="TableTextNumbersContinued"/>
            </w:pPr>
          </w:p>
          <w:p w14:paraId="4CD811DA" w14:textId="77777777" w:rsidR="00B51CFF" w:rsidRDefault="00B51CFF" w:rsidP="00DB1D38">
            <w:pPr>
              <w:pStyle w:val="TableTextNumbers"/>
            </w:pPr>
            <w:r>
              <w:t xml:space="preserve">Click </w:t>
            </w:r>
            <w:r>
              <w:rPr>
                <w:b/>
              </w:rPr>
              <w:t>OK</w:t>
            </w:r>
            <w:r>
              <w:t>.</w:t>
            </w:r>
          </w:p>
        </w:tc>
        <w:tc>
          <w:tcPr>
            <w:tcW w:w="6120" w:type="dxa"/>
            <w:tcBorders>
              <w:bottom w:val="single" w:sz="4" w:space="0" w:color="auto"/>
            </w:tcBorders>
          </w:tcPr>
          <w:p w14:paraId="1831C0B9" w14:textId="77777777" w:rsidR="00B51CFF" w:rsidRDefault="00B51CFF" w:rsidP="00DB1D38">
            <w:pPr>
              <w:pStyle w:val="TableTextBullet"/>
            </w:pPr>
            <w:r>
              <w:t>Requests confirmation of the names of users to be changed and the role to be assigned.</w:t>
            </w:r>
          </w:p>
        </w:tc>
      </w:tr>
      <w:tr w:rsidR="00B51CFF" w14:paraId="36C72455" w14:textId="77777777">
        <w:trPr>
          <w:cantSplit/>
        </w:trPr>
        <w:tc>
          <w:tcPr>
            <w:tcW w:w="3240" w:type="dxa"/>
          </w:tcPr>
          <w:p w14:paraId="74EA0D82" w14:textId="77777777" w:rsidR="00B51CFF" w:rsidRDefault="00B51CFF" w:rsidP="00DB1D38">
            <w:pPr>
              <w:pStyle w:val="TableTextNumbers"/>
            </w:pPr>
            <w:r>
              <w:t xml:space="preserve">Click </w:t>
            </w:r>
            <w:r>
              <w:rPr>
                <w:b/>
              </w:rPr>
              <w:t>Yes</w:t>
            </w:r>
            <w:r>
              <w:t xml:space="preserve"> to confirm the save or </w:t>
            </w:r>
            <w:r>
              <w:rPr>
                <w:b/>
              </w:rPr>
              <w:t>No</w:t>
            </w:r>
            <w:r>
              <w:t xml:space="preserve"> to change the users selected.</w:t>
            </w:r>
          </w:p>
        </w:tc>
        <w:tc>
          <w:tcPr>
            <w:tcW w:w="6120" w:type="dxa"/>
          </w:tcPr>
          <w:p w14:paraId="52152584" w14:textId="77777777" w:rsidR="00B51CFF" w:rsidRDefault="00B51CFF" w:rsidP="00DB1D38">
            <w:pPr>
              <w:pStyle w:val="TableTextBullet"/>
            </w:pPr>
            <w:r>
              <w:t>Creates an Audit Trail Report entry.</w:t>
            </w:r>
          </w:p>
          <w:p w14:paraId="1974F426" w14:textId="2E883D10" w:rsidR="00B51CFF" w:rsidRDefault="00B51CFF" w:rsidP="00001639">
            <w:pPr>
              <w:pStyle w:val="NotesText"/>
              <w:ind w:left="0"/>
            </w:pPr>
          </w:p>
        </w:tc>
      </w:tr>
      <w:tr w:rsidR="00B51CFF" w14:paraId="1445C335" w14:textId="77777777">
        <w:trPr>
          <w:cantSplit/>
        </w:trPr>
        <w:tc>
          <w:tcPr>
            <w:tcW w:w="3240" w:type="dxa"/>
          </w:tcPr>
          <w:p w14:paraId="10C99225" w14:textId="2023D1BF" w:rsidR="00B51CFF" w:rsidRDefault="00B51CFF" w:rsidP="00DB1D38">
            <w:pPr>
              <w:pStyle w:val="TableTextNumbers"/>
            </w:pPr>
            <w:r>
              <w:t>Repeat Steps 2</w:t>
            </w:r>
            <w:r w:rsidR="004F5589">
              <w:t xml:space="preserve"> through </w:t>
            </w:r>
            <w:r>
              <w:t>4 to change the roles of additional users.</w:t>
            </w:r>
          </w:p>
        </w:tc>
        <w:tc>
          <w:tcPr>
            <w:tcW w:w="6120" w:type="dxa"/>
          </w:tcPr>
          <w:p w14:paraId="1FF850F0" w14:textId="77777777" w:rsidR="00B51CFF" w:rsidRDefault="00B51CFF" w:rsidP="00DB1D38">
            <w:pPr>
              <w:pStyle w:val="TableText"/>
            </w:pPr>
          </w:p>
        </w:tc>
      </w:tr>
      <w:tr w:rsidR="00B51CFF" w14:paraId="7F786808" w14:textId="77777777">
        <w:trPr>
          <w:cantSplit/>
        </w:trPr>
        <w:tc>
          <w:tcPr>
            <w:tcW w:w="3240" w:type="dxa"/>
          </w:tcPr>
          <w:p w14:paraId="535E8EB0" w14:textId="77777777" w:rsidR="00B51CFF" w:rsidRDefault="00B51CFF" w:rsidP="00DB1D38">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D94C5E2" w14:textId="77777777" w:rsidR="00B51CFF" w:rsidRDefault="00B51CFF" w:rsidP="00DB1D38">
            <w:pPr>
              <w:pStyle w:val="TableText"/>
            </w:pPr>
          </w:p>
        </w:tc>
      </w:tr>
    </w:tbl>
    <w:p w14:paraId="493C01B4" w14:textId="13C36C52" w:rsidR="007A18CD" w:rsidRDefault="007A18CD" w:rsidP="007A18CD">
      <w:pPr>
        <w:pStyle w:val="Caption"/>
      </w:pPr>
      <w:bookmarkStart w:id="143" w:name="_Ref50877954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21</w:t>
      </w:r>
      <w:r w:rsidR="004E20BD">
        <w:rPr>
          <w:noProof/>
        </w:rPr>
        <w:fldChar w:fldCharType="end"/>
      </w:r>
      <w:bookmarkEnd w:id="143"/>
      <w:r>
        <w:t>: Update User Roles</w:t>
      </w:r>
    </w:p>
    <w:p w14:paraId="1E1A278A" w14:textId="77777777" w:rsidR="007A18CD" w:rsidRPr="007A18CD" w:rsidRDefault="00057948" w:rsidP="007A18CD">
      <w:pPr>
        <w:pStyle w:val="BodyText"/>
      </w:pPr>
      <w:r>
        <w:rPr>
          <w:noProof/>
        </w:rPr>
        <w:drawing>
          <wp:inline distT="0" distB="0" distL="0" distR="0" wp14:anchorId="5BD8E4F8" wp14:editId="3B569379">
            <wp:extent cx="5939155" cy="3269615"/>
            <wp:effectExtent l="0" t="0" r="4445" b="6985"/>
            <wp:docPr id="124" name="Picture 124" descr="Example of Update User Rol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Example of Update User Roles screen capt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9155" cy="3269615"/>
                    </a:xfrm>
                    <a:prstGeom prst="rect">
                      <a:avLst/>
                    </a:prstGeom>
                    <a:noFill/>
                    <a:ln>
                      <a:noFill/>
                    </a:ln>
                  </pic:spPr>
                </pic:pic>
              </a:graphicData>
            </a:graphic>
          </wp:inline>
        </w:drawing>
      </w:r>
    </w:p>
    <w:p w14:paraId="6C6BA81B" w14:textId="77777777" w:rsidR="00B51CFF" w:rsidRDefault="00B51CFF" w:rsidP="00B51CFF">
      <w:pPr>
        <w:pStyle w:val="Heading4"/>
      </w:pPr>
      <w:r>
        <w:t>VBECS User Report</w:t>
      </w:r>
      <w:r>
        <w:fldChar w:fldCharType="begin"/>
      </w:r>
      <w:r>
        <w:instrText xml:space="preserve"> XE “VBECS User Report” </w:instrText>
      </w:r>
      <w:r>
        <w:fldChar w:fldCharType="end"/>
      </w:r>
    </w:p>
    <w:p w14:paraId="791CFEE1" w14:textId="77777777" w:rsidR="00B51CFF" w:rsidRDefault="00B51CFF" w:rsidP="00B51CFF">
      <w:pPr>
        <w:pStyle w:val="BodyText"/>
      </w:pPr>
      <w:r>
        <w:t xml:space="preserve">The user may generate a </w:t>
      </w:r>
      <w:r w:rsidR="00F55505">
        <w:t xml:space="preserve">division </w:t>
      </w:r>
      <w:r>
        <w:t xml:space="preserve">report that includes the names, VBECS user IDs, and roles of active users. </w:t>
      </w:r>
      <w:r w:rsidR="005C768D" w:rsidRPr="00EC7489">
        <w:rPr>
          <w:rFonts w:ascii="Wingdings 3" w:hAnsi="Wingdings 3" w:cs="Wingdings"/>
        </w:rPr>
        <w:t></w:t>
      </w:r>
      <w:r w:rsidR="005C768D" w:rsidRPr="00EC7489">
        <w:rPr>
          <w:rFonts w:ascii="Wingdings 3" w:hAnsi="Wingdings 3" w:cs="Wingdings"/>
        </w:rPr>
        <w:t></w:t>
      </w:r>
      <w:r w:rsidR="005C768D" w:rsidRPr="00EC7489">
        <w:rPr>
          <w:rFonts w:ascii="Wingdings 3" w:hAnsi="Wingdings 3" w:cs="Wingdings"/>
        </w:rPr>
        <w:t></w:t>
      </w:r>
      <w:r w:rsidR="005C768D">
        <w:t xml:space="preserve"> </w:t>
      </w:r>
      <w:r w:rsidR="002E7EBF">
        <w:t xml:space="preserve">A </w:t>
      </w:r>
      <w:r w:rsidR="002E7EBF">
        <w:rPr>
          <w:snapToGrid w:val="0"/>
        </w:rPr>
        <w:t>Lead Technologist</w:t>
      </w:r>
      <w:r w:rsidR="002E7EBF">
        <w:t xml:space="preserve"> may generate a report of current VBECS users, by division, that includes the users’ name, user ID, division, and role. </w:t>
      </w:r>
    </w:p>
    <w:p w14:paraId="686AED4E" w14:textId="77777777" w:rsidR="00B51CFF" w:rsidRDefault="00B51CFF" w:rsidP="00B51CFF">
      <w:pPr>
        <w:pStyle w:val="Heading2"/>
      </w:pPr>
      <w:bookmarkStart w:id="144" w:name="_Toc49233584"/>
      <w:bookmarkStart w:id="145" w:name="_Toc61845162"/>
      <w:r>
        <w:br w:type="page"/>
      </w:r>
      <w:bookmarkStart w:id="146" w:name="_Toc149064092"/>
      <w:bookmarkEnd w:id="144"/>
      <w:bookmarkEnd w:id="145"/>
      <w:r>
        <w:t>Component Classes</w:t>
      </w:r>
      <w:bookmarkEnd w:id="146"/>
      <w:r w:rsidRPr="00AB67A6">
        <w:rPr>
          <w:rFonts w:ascii="Arial Bold" w:hAnsi="Arial Bold"/>
          <w:vanish/>
        </w:rPr>
        <w:fldChar w:fldCharType="begin"/>
      </w:r>
      <w:r w:rsidRPr="00AB67A6">
        <w:rPr>
          <w:rFonts w:ascii="Arial Bold" w:hAnsi="Arial Bold"/>
          <w:vanish/>
        </w:rPr>
        <w:instrText xml:space="preserve"> XE “Component Classes” </w:instrText>
      </w:r>
      <w:r w:rsidRPr="00AB67A6">
        <w:rPr>
          <w:rFonts w:ascii="Arial Bold" w:hAnsi="Arial Bold"/>
          <w:vanish/>
        </w:rPr>
        <w:fldChar w:fldCharType="end"/>
      </w:r>
      <w:r w:rsidRPr="00AB67A6">
        <w:rPr>
          <w:rFonts w:ascii="Arial Bold" w:hAnsi="Arial Bold"/>
          <w:vanish/>
        </w:rPr>
        <w:t xml:space="preserve"> UC_50</w:t>
      </w:r>
    </w:p>
    <w:p w14:paraId="691EB501" w14:textId="2BB3B4FA" w:rsidR="00B51CFF" w:rsidRDefault="00B51CFF" w:rsidP="00B51CFF">
      <w:pPr>
        <w:pStyle w:val="BodyText"/>
      </w:pPr>
      <w:r>
        <w:t>The user configures the component class parameters for the selected division.</w:t>
      </w:r>
      <w:r w:rsidR="008D2779">
        <w:t xml:space="preserve"> For more information, see </w:t>
      </w:r>
      <w:r w:rsidR="00EE455E">
        <w:t xml:space="preserve">Appendix </w:t>
      </w:r>
      <w:r w:rsidR="00EE455E">
        <w:rPr>
          <w:noProof/>
        </w:rPr>
        <w:t>G</w:t>
      </w:r>
      <w:r w:rsidR="00EE455E">
        <w:t>: Work Process Flowcharts</w:t>
      </w:r>
      <w:r w:rsidR="008D2779">
        <w:t>.</w:t>
      </w:r>
    </w:p>
    <w:p w14:paraId="5A12E83D" w14:textId="77777777" w:rsidR="00B51CFF" w:rsidRDefault="00B51CFF" w:rsidP="00B51CFF">
      <w:pPr>
        <w:pStyle w:val="Heading4"/>
      </w:pPr>
      <w:r>
        <w:t>Assumptions</w:t>
      </w:r>
    </w:p>
    <w:p w14:paraId="22645630" w14:textId="77777777" w:rsidR="00B51CFF" w:rsidRDefault="00B51CFF" w:rsidP="00B51CFF">
      <w:pPr>
        <w:pStyle w:val="ListBullet"/>
      </w:pPr>
      <w:r>
        <w:t xml:space="preserve">The connection to </w:t>
      </w:r>
      <w:r w:rsidRPr="00CA0045">
        <w:rPr>
          <w:bCs/>
        </w:rPr>
        <w:t>VistA</w:t>
      </w:r>
      <w:r>
        <w:t xml:space="preserve"> is active.</w:t>
      </w:r>
    </w:p>
    <w:p w14:paraId="7E4B23BC" w14:textId="77777777" w:rsidR="00B51CFF" w:rsidRDefault="00B51CFF" w:rsidP="00B51CFF">
      <w:pPr>
        <w:pStyle w:val="ListBullet"/>
      </w:pPr>
      <w:r>
        <w:rPr>
          <w:vanish/>
          <w:spacing w:val="0"/>
        </w:rPr>
        <w:t xml:space="preserve">BR_50.03 </w:t>
      </w:r>
      <w:r>
        <w:t>The WHOLE BLOOD and RED BLOOD CELLS component classes are deployed as requiring current specimen ABO/Rh results before issue and may not be edited.</w:t>
      </w:r>
    </w:p>
    <w:p w14:paraId="23A6DB42" w14:textId="77777777" w:rsidR="00B51CFF" w:rsidRDefault="00B51CFF" w:rsidP="00B51CFF">
      <w:pPr>
        <w:pStyle w:val="ListBullet"/>
      </w:pPr>
      <w:r>
        <w:t xml:space="preserve">The FFP, PLT, CRYO and OTHER component classes do not have a specimen requirement defined at deployment. </w:t>
      </w:r>
    </w:p>
    <w:p w14:paraId="53364579" w14:textId="77777777" w:rsidR="00B51CFF" w:rsidRDefault="00B51CFF" w:rsidP="00B51CFF">
      <w:pPr>
        <w:pStyle w:val="Heading4"/>
      </w:pPr>
      <w:r>
        <w:t>Outcome</w:t>
      </w:r>
    </w:p>
    <w:p w14:paraId="64140C45" w14:textId="77777777" w:rsidR="00B51CFF" w:rsidRDefault="00B51CFF" w:rsidP="00B51CFF">
      <w:pPr>
        <w:pStyle w:val="ListBullet"/>
      </w:pPr>
      <w:r>
        <w:t>Divisions have local settings for all component classes.</w:t>
      </w:r>
    </w:p>
    <w:p w14:paraId="7027A0AF" w14:textId="77777777" w:rsidR="00B51CFF" w:rsidRDefault="00B51CFF" w:rsidP="00B51CFF">
      <w:pPr>
        <w:pStyle w:val="Heading4"/>
      </w:pPr>
      <w:r>
        <w:t>Limitations and Restrictions</w:t>
      </w:r>
    </w:p>
    <w:p w14:paraId="3B4C4FD0" w14:textId="77777777" w:rsidR="00B51CFF" w:rsidRDefault="00B51CFF" w:rsidP="00B51CFF">
      <w:pPr>
        <w:pStyle w:val="ListBullet"/>
      </w:pPr>
      <w:r>
        <w:t xml:space="preserve">The user may not change the specimen requirement for a component class when there are incomplete orders for that component class. </w:t>
      </w:r>
    </w:p>
    <w:p w14:paraId="799EAA50" w14:textId="77777777" w:rsidR="00B51CFF" w:rsidRDefault="00B51CFF" w:rsidP="00B51CFF">
      <w:pPr>
        <w:pStyle w:val="ListBullet"/>
      </w:pPr>
      <w:r>
        <w:t xml:space="preserve">There is no retrospective data entry or user selection </w:t>
      </w:r>
      <w:r w:rsidR="00F468B5">
        <w:t>for this</w:t>
      </w:r>
      <w:r>
        <w:t xml:space="preserve"> </w:t>
      </w:r>
      <w:r w:rsidR="00932460">
        <w:t>option</w:t>
      </w:r>
      <w:r>
        <w:t xml:space="preserve">. </w:t>
      </w:r>
    </w:p>
    <w:p w14:paraId="56F8B167" w14:textId="77777777" w:rsidR="00B51CFF" w:rsidRDefault="00B51CFF" w:rsidP="00B51CFF">
      <w:pPr>
        <w:pStyle w:val="Heading4"/>
      </w:pPr>
      <w:r>
        <w:t>Additional Information</w:t>
      </w:r>
    </w:p>
    <w:p w14:paraId="1DBA9D74" w14:textId="77777777" w:rsidR="00B51CFF" w:rsidRDefault="00B51CFF" w:rsidP="00B51CFF">
      <w:pPr>
        <w:pStyle w:val="ListBullet"/>
      </w:pPr>
      <w:r>
        <w:t xml:space="preserve">None </w:t>
      </w:r>
    </w:p>
    <w:p w14:paraId="1B37273C" w14:textId="77777777" w:rsidR="00B51CFF" w:rsidRDefault="00B51CFF" w:rsidP="00B51CFF">
      <w:pPr>
        <w:pStyle w:val="Heading4"/>
      </w:pPr>
      <w:r>
        <w:t>User Roles with Access to This Option</w:t>
      </w:r>
    </w:p>
    <w:p w14:paraId="2DE8F633" w14:textId="77777777" w:rsidR="00B51CFF" w:rsidRDefault="00B51CFF" w:rsidP="00B51CFF">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5D39CE5A" w14:textId="77777777" w:rsidR="00B51CFF" w:rsidRDefault="00B51CFF" w:rsidP="00B51CFF">
      <w:pPr>
        <w:pStyle w:val="Heading4"/>
      </w:pPr>
      <w:r>
        <w:t>Component Classes</w:t>
      </w:r>
    </w:p>
    <w:p w14:paraId="0DAE4C02" w14:textId="77777777" w:rsidR="00B51CFF" w:rsidRDefault="00B51CFF" w:rsidP="00B51CFF">
      <w:pPr>
        <w:pStyle w:val="BodyText"/>
      </w:pPr>
      <w:r>
        <w:t>The user configures the parameters for the division’s component classes. These parameters are applied to all blood units that descend from this class. Component classes may be reset when business practices affecting the use of component classes change at a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377DB783" w14:textId="77777777">
        <w:trPr>
          <w:tblHeader/>
        </w:trPr>
        <w:tc>
          <w:tcPr>
            <w:tcW w:w="3240" w:type="dxa"/>
            <w:shd w:val="pct30" w:color="auto" w:fill="FFFFFF"/>
            <w:vAlign w:val="bottom"/>
          </w:tcPr>
          <w:p w14:paraId="72A69F1F" w14:textId="77777777" w:rsidR="00B51CFF" w:rsidRDefault="00B51CFF" w:rsidP="00DB1D38">
            <w:pPr>
              <w:pStyle w:val="TableText"/>
              <w:rPr>
                <w:b/>
              </w:rPr>
            </w:pPr>
            <w:r>
              <w:rPr>
                <w:b/>
              </w:rPr>
              <w:t>User Action</w:t>
            </w:r>
          </w:p>
        </w:tc>
        <w:tc>
          <w:tcPr>
            <w:tcW w:w="6120" w:type="dxa"/>
            <w:shd w:val="pct30" w:color="auto" w:fill="FFFFFF"/>
            <w:vAlign w:val="bottom"/>
          </w:tcPr>
          <w:p w14:paraId="7D336384" w14:textId="77777777" w:rsidR="00B51CFF" w:rsidRDefault="00B51CFF" w:rsidP="00DB1D38">
            <w:pPr>
              <w:pStyle w:val="TableText"/>
              <w:rPr>
                <w:b/>
              </w:rPr>
            </w:pPr>
            <w:r>
              <w:rPr>
                <w:b/>
              </w:rPr>
              <w:t>VBECS</w:t>
            </w:r>
          </w:p>
        </w:tc>
      </w:tr>
      <w:tr w:rsidR="00B51CFF" w14:paraId="61FF3A9A" w14:textId="77777777">
        <w:tc>
          <w:tcPr>
            <w:tcW w:w="3240" w:type="dxa"/>
          </w:tcPr>
          <w:p w14:paraId="6CF60078" w14:textId="77777777" w:rsidR="00B51CFF" w:rsidRDefault="00B51CFF" w:rsidP="00DB1D38">
            <w:pPr>
              <w:pStyle w:val="TableTextNumbers"/>
            </w:pPr>
            <w:r>
              <w:t xml:space="preserve">Select </w:t>
            </w:r>
            <w:r>
              <w:rPr>
                <w:b/>
                <w:bCs/>
              </w:rPr>
              <w:t>Tools</w:t>
            </w:r>
            <w:r>
              <w:t xml:space="preserve"> from the main menu.</w:t>
            </w:r>
          </w:p>
          <w:p w14:paraId="347CDA4E" w14:textId="77777777" w:rsidR="00B51CFF" w:rsidRDefault="00B51CFF" w:rsidP="00DB1D38">
            <w:pPr>
              <w:pStyle w:val="TableTextNumbersContinued"/>
            </w:pPr>
          </w:p>
          <w:p w14:paraId="34CFAC97" w14:textId="4688916D" w:rsidR="00B51CFF" w:rsidRDefault="00B51CFF" w:rsidP="00DB1D38">
            <w:pPr>
              <w:pStyle w:val="TableTextNumbersContinued"/>
            </w:pPr>
            <w:r>
              <w:t xml:space="preserve">Select </w:t>
            </w:r>
            <w:r>
              <w:rPr>
                <w:b/>
              </w:rPr>
              <w:t>Component Classes</w:t>
            </w:r>
            <w:r w:rsidR="00255293" w:rsidRPr="00255293">
              <w:t xml:space="preserve"> (</w:t>
            </w:r>
            <w:r w:rsidR="00EE455E">
              <w:t xml:space="preserve">Figure </w:t>
            </w:r>
            <w:r w:rsidR="00EE455E">
              <w:rPr>
                <w:noProof/>
              </w:rPr>
              <w:t>22</w:t>
            </w:r>
            <w:r w:rsidR="00255293">
              <w:t>)</w:t>
            </w:r>
            <w:r>
              <w:t>.</w:t>
            </w:r>
          </w:p>
        </w:tc>
        <w:tc>
          <w:tcPr>
            <w:tcW w:w="6120" w:type="dxa"/>
          </w:tcPr>
          <w:p w14:paraId="1E1CF6EC" w14:textId="77777777" w:rsidR="00B51CFF" w:rsidRDefault="00B51CFF" w:rsidP="00DB1D38">
            <w:pPr>
              <w:pStyle w:val="TableTextBullet"/>
            </w:pPr>
            <w:r>
              <w:t>Displays options for processing administrative functions.</w:t>
            </w:r>
          </w:p>
          <w:p w14:paraId="58397BF2" w14:textId="77777777" w:rsidR="00B51CFF" w:rsidRDefault="00B51CFF" w:rsidP="00DB1D38">
            <w:pPr>
              <w:pStyle w:val="TableTextBullet"/>
            </w:pPr>
            <w:r>
              <w:t>Lists component classes.</w:t>
            </w:r>
          </w:p>
          <w:p w14:paraId="3054E64E" w14:textId="77777777" w:rsidR="00B51CFF" w:rsidRDefault="00B51CFF" w:rsidP="00DB1D38">
            <w:pPr>
              <w:pStyle w:val="TableTextBullet"/>
            </w:pPr>
            <w:r>
              <w:t>Displays options for configuring division component classes:</w:t>
            </w:r>
          </w:p>
          <w:p w14:paraId="44140DAF" w14:textId="77777777" w:rsidR="00B51CFF" w:rsidRDefault="00B51CFF" w:rsidP="00DB1D38">
            <w:pPr>
              <w:pStyle w:val="TableTextBullet1"/>
            </w:pPr>
            <w:r>
              <w:t>Require Current Specimen ABO/Rh Results?</w:t>
            </w:r>
          </w:p>
          <w:p w14:paraId="505DDA20" w14:textId="77777777" w:rsidR="00B51CFF" w:rsidRDefault="0052794C" w:rsidP="00DB1D38">
            <w:pPr>
              <w:pStyle w:val="TableTextBullet1"/>
            </w:pPr>
            <w:r>
              <w:t>Maximum Transfusion Time.</w:t>
            </w:r>
          </w:p>
          <w:p w14:paraId="3B85D883" w14:textId="77777777" w:rsidR="00B51CFF" w:rsidRDefault="00B51CFF" w:rsidP="00DB1D38">
            <w:pPr>
              <w:pStyle w:val="TableTextBullet"/>
            </w:pPr>
            <w:r>
              <w:t>Displays options for defining inappropriate request indicators.</w:t>
            </w:r>
          </w:p>
          <w:p w14:paraId="18D00018" w14:textId="77777777" w:rsidR="00B51CFF" w:rsidRDefault="00B51CFF" w:rsidP="00DB1D38">
            <w:pPr>
              <w:pStyle w:val="TableText"/>
              <w:rPr>
                <w:b/>
                <w:bCs/>
                <w:szCs w:val="18"/>
              </w:rPr>
            </w:pPr>
          </w:p>
          <w:p w14:paraId="7EA05EC6" w14:textId="5C01470C" w:rsidR="00B51CFF" w:rsidRDefault="00B51CFF" w:rsidP="00DB1D38">
            <w:pPr>
              <w:pStyle w:val="TableText"/>
              <w:rPr>
                <w:b/>
                <w:bCs/>
                <w:szCs w:val="18"/>
              </w:rPr>
            </w:pPr>
            <w:r>
              <w:rPr>
                <w:b/>
                <w:bCs/>
                <w:szCs w:val="18"/>
              </w:rPr>
              <w:t>NOTES</w:t>
            </w:r>
          </w:p>
          <w:p w14:paraId="6960CBC3" w14:textId="77777777" w:rsidR="00B51CFF" w:rsidRDefault="00B51CFF" w:rsidP="00DB1D38">
            <w:pPr>
              <w:pStyle w:val="NotesText"/>
            </w:pPr>
          </w:p>
          <w:p w14:paraId="4175DF2B" w14:textId="4AEF580B" w:rsidR="00B51CFF" w:rsidRDefault="00B51CFF" w:rsidP="006A576D">
            <w:pPr>
              <w:pStyle w:val="NotesText"/>
            </w:pPr>
            <w:r>
              <w:t xml:space="preserve">See </w:t>
            </w:r>
            <w:r w:rsidR="00EE455E">
              <w:t xml:space="preserve">Appendix </w:t>
            </w:r>
            <w:r w:rsidR="00EE455E">
              <w:rPr>
                <w:noProof/>
              </w:rPr>
              <w:t>B</w:t>
            </w:r>
            <w:r>
              <w:t>:</w:t>
            </w:r>
            <w:r w:rsidR="006A576D">
              <w:t xml:space="preserve"> </w:t>
            </w:r>
            <w:r w:rsidR="00EE455E" w:rsidRPr="00575E6D">
              <w:t xml:space="preserve">Table </w:t>
            </w:r>
            <w:r w:rsidR="00EE455E">
              <w:rPr>
                <w:noProof/>
              </w:rPr>
              <w:t>19</w:t>
            </w:r>
            <w:r w:rsidR="00EE455E" w:rsidRPr="00575E6D">
              <w:t xml:space="preserve">: </w:t>
            </w:r>
            <w:r w:rsidR="00EE455E" w:rsidRPr="00575E6D">
              <w:rPr>
                <w:vanish/>
              </w:rPr>
              <w:t xml:space="preserve">PT_1.06 </w:t>
            </w:r>
            <w:r w:rsidR="00EE455E" w:rsidRPr="00575E6D">
              <w:t>CPRS Orderable Blood Components (Component Classes) Mapped to ICCBBA Component Classes</w:t>
            </w:r>
            <w:r w:rsidR="006A576D">
              <w:t>.</w:t>
            </w:r>
          </w:p>
        </w:tc>
      </w:tr>
      <w:tr w:rsidR="00B51CFF" w14:paraId="0D077E49" w14:textId="77777777" w:rsidTr="007E500E">
        <w:trPr>
          <w:cantSplit/>
        </w:trPr>
        <w:tc>
          <w:tcPr>
            <w:tcW w:w="3240" w:type="dxa"/>
          </w:tcPr>
          <w:p w14:paraId="177818D0" w14:textId="77777777" w:rsidR="00B51CFF" w:rsidRDefault="00B51CFF" w:rsidP="00DB1D38">
            <w:pPr>
              <w:pStyle w:val="TableTextNumbers"/>
            </w:pPr>
            <w:r>
              <w:t>Select a class from the Select Component Class list.</w:t>
            </w:r>
          </w:p>
          <w:p w14:paraId="755CA87E" w14:textId="77777777" w:rsidR="00B51CFF" w:rsidRDefault="00B51CFF" w:rsidP="00DB1D38">
            <w:pPr>
              <w:pStyle w:val="TableTextNumbersContinued"/>
              <w:rPr>
                <w:b/>
                <w:bCs/>
              </w:rPr>
            </w:pPr>
          </w:p>
          <w:p w14:paraId="7EB8EE2B" w14:textId="77777777" w:rsidR="00B51CFF" w:rsidRDefault="00B51CFF" w:rsidP="00DB1D38">
            <w:pPr>
              <w:pStyle w:val="TableTextNumbersContinued"/>
            </w:pPr>
            <w:r>
              <w:t xml:space="preserve">Click </w:t>
            </w:r>
            <w:r>
              <w:rPr>
                <w:b/>
              </w:rPr>
              <w:t>OK</w:t>
            </w:r>
            <w:r>
              <w:t xml:space="preserve"> to accept the list, or click the </w:t>
            </w:r>
            <w:r>
              <w:rPr>
                <w:b/>
              </w:rPr>
              <w:t xml:space="preserve">Require Current Specimen ABO/Rh Results? </w:t>
            </w:r>
            <w:r w:rsidRPr="00D1100E">
              <w:t>check box</w:t>
            </w:r>
            <w:r>
              <w:t>, when appropriate.</w:t>
            </w:r>
          </w:p>
        </w:tc>
        <w:tc>
          <w:tcPr>
            <w:tcW w:w="6120" w:type="dxa"/>
          </w:tcPr>
          <w:p w14:paraId="1795E654" w14:textId="77777777" w:rsidR="00B51CFF" w:rsidRDefault="00B51CFF" w:rsidP="00DB1D38">
            <w:pPr>
              <w:pStyle w:val="TableTextBullet"/>
            </w:pPr>
            <w:r>
              <w:t xml:space="preserve">Requires current specimen ABO/Rh results for issue. </w:t>
            </w:r>
          </w:p>
          <w:p w14:paraId="6CB1DDFC" w14:textId="77777777" w:rsidR="00B51CFF" w:rsidRDefault="00B51CFF" w:rsidP="00DB1D38">
            <w:pPr>
              <w:pStyle w:val="TableTextBullet"/>
            </w:pPr>
            <w:r>
              <w:t xml:space="preserve">Defines the maximum transfusion times. </w:t>
            </w:r>
          </w:p>
          <w:p w14:paraId="7E9DF299" w14:textId="77777777" w:rsidR="00B51CFF" w:rsidRDefault="00B51CFF" w:rsidP="00DB1D38">
            <w:pPr>
              <w:pStyle w:val="TableTextBullet"/>
            </w:pPr>
            <w:r>
              <w:t>Defines inappropriate request indicators.</w:t>
            </w:r>
          </w:p>
          <w:p w14:paraId="0C70C0B6" w14:textId="77777777" w:rsidR="00B51CFF" w:rsidRDefault="00B51CFF" w:rsidP="00DB1D38">
            <w:pPr>
              <w:pStyle w:val="TableTextBullet"/>
            </w:pPr>
            <w:r>
              <w:t>Allows the user to edit this parameter for component classes that do not contain only red blood cells.</w:t>
            </w:r>
          </w:p>
          <w:p w14:paraId="5C9DB399" w14:textId="77777777" w:rsidR="00B51CFF" w:rsidRDefault="00B51CFF" w:rsidP="00DB1D38">
            <w:pPr>
              <w:pStyle w:val="TableTextBullet"/>
            </w:pPr>
            <w:r>
              <w:t>Saves the component to the division list.</w:t>
            </w:r>
          </w:p>
          <w:p w14:paraId="28FFD83D" w14:textId="77777777" w:rsidR="00B51CFF" w:rsidRDefault="00B51CFF" w:rsidP="00DB1D38">
            <w:pPr>
              <w:pStyle w:val="TableText"/>
            </w:pPr>
          </w:p>
          <w:p w14:paraId="7A1765F6" w14:textId="380F86A1" w:rsidR="00B51CFF" w:rsidRDefault="00B51CFF" w:rsidP="00DB1D38">
            <w:pPr>
              <w:pStyle w:val="TableText"/>
              <w:rPr>
                <w:b/>
                <w:bCs/>
                <w:szCs w:val="18"/>
              </w:rPr>
            </w:pPr>
            <w:r>
              <w:rPr>
                <w:b/>
                <w:bCs/>
                <w:szCs w:val="18"/>
              </w:rPr>
              <w:t>NOTES</w:t>
            </w:r>
          </w:p>
          <w:p w14:paraId="6EAF8B58" w14:textId="77777777" w:rsidR="00B51CFF" w:rsidRDefault="00B51CFF" w:rsidP="00DB1D38">
            <w:pPr>
              <w:pStyle w:val="NotesText"/>
            </w:pPr>
          </w:p>
          <w:p w14:paraId="5F81AE45" w14:textId="77777777" w:rsidR="00B51CFF" w:rsidRDefault="00B51CFF" w:rsidP="00DB1D38">
            <w:pPr>
              <w:pStyle w:val="NotesText"/>
            </w:pPr>
            <w:r>
              <w:t>Component class configuration is required. Component classes: RED BLOOD CELLS, FFP, CRYO, PLT, WHOLE BLOOD, and OTHER.</w:t>
            </w:r>
          </w:p>
        </w:tc>
      </w:tr>
      <w:tr w:rsidR="00B51CFF" w14:paraId="36CC9029" w14:textId="77777777">
        <w:tc>
          <w:tcPr>
            <w:tcW w:w="3240" w:type="dxa"/>
          </w:tcPr>
          <w:p w14:paraId="73847B9A" w14:textId="77777777" w:rsidR="00B51CFF" w:rsidRDefault="00B51CFF" w:rsidP="00DB1D38">
            <w:pPr>
              <w:pStyle w:val="TableTextNumbers"/>
            </w:pPr>
            <w:r>
              <w:t>Edit the maximum transfusion time.</w:t>
            </w:r>
          </w:p>
        </w:tc>
        <w:tc>
          <w:tcPr>
            <w:tcW w:w="6120" w:type="dxa"/>
          </w:tcPr>
          <w:p w14:paraId="3C86AEEB" w14:textId="77777777" w:rsidR="00B51CFF" w:rsidRDefault="00B51CFF" w:rsidP="00DB1D38">
            <w:pPr>
              <w:pStyle w:val="TableText"/>
            </w:pPr>
          </w:p>
          <w:p w14:paraId="15F13D79" w14:textId="46AC9E36" w:rsidR="00B51CFF" w:rsidRDefault="00B51CFF" w:rsidP="00DB1D38">
            <w:pPr>
              <w:pStyle w:val="TableText"/>
              <w:rPr>
                <w:b/>
                <w:bCs/>
                <w:szCs w:val="18"/>
              </w:rPr>
            </w:pPr>
            <w:r>
              <w:rPr>
                <w:b/>
                <w:bCs/>
                <w:szCs w:val="18"/>
              </w:rPr>
              <w:t>NOTES</w:t>
            </w:r>
          </w:p>
          <w:p w14:paraId="62D00519" w14:textId="77777777" w:rsidR="00B51CFF" w:rsidRDefault="00B51CFF" w:rsidP="00DB1D38">
            <w:pPr>
              <w:pStyle w:val="NotesText"/>
            </w:pPr>
          </w:p>
          <w:p w14:paraId="61608E7C" w14:textId="77777777" w:rsidR="00B51CFF" w:rsidRDefault="00B51CFF" w:rsidP="00DB1D38">
            <w:pPr>
              <w:pStyle w:val="NotesText"/>
            </w:pPr>
            <w:r w:rsidRPr="00C21893">
              <w:rPr>
                <w:rFonts w:cs="Arial"/>
                <w:vanish/>
                <w:szCs w:val="18"/>
              </w:rPr>
              <w:t xml:space="preserve">BR_50.04 </w:t>
            </w:r>
            <w:r w:rsidRPr="00C21893">
              <w:rPr>
                <w:rFonts w:cs="Arial"/>
                <w:szCs w:val="18"/>
              </w:rPr>
              <w:t>V</w:t>
            </w:r>
            <w:r>
              <w:t>BECS records the maximum transfusion time from the transfusion start to the transfusion end time in minutes with a default of 270 minutes. The user may edit the maximum transfusion time to a minimum time of 5 minutes and a maximum time of 999 minutes.</w:t>
            </w:r>
          </w:p>
          <w:p w14:paraId="5047154B" w14:textId="77777777" w:rsidR="00B51CFF" w:rsidRDefault="00B51CFF" w:rsidP="00DB1D38">
            <w:pPr>
              <w:pStyle w:val="NotesText"/>
            </w:pPr>
          </w:p>
          <w:p w14:paraId="5208CDD0" w14:textId="77777777" w:rsidR="00B51CFF" w:rsidRDefault="00B51CFF" w:rsidP="00DB1D38">
            <w:pPr>
              <w:pStyle w:val="NotesText"/>
            </w:pPr>
            <w:r>
              <w:t xml:space="preserve">VBECS uses the maximum transfusion times in minutes to determine whether the time used to transfuse a unit of blood is inappropriate for a class. </w:t>
            </w:r>
          </w:p>
        </w:tc>
      </w:tr>
      <w:tr w:rsidR="00B51CFF" w14:paraId="0BA631FE" w14:textId="77777777">
        <w:tc>
          <w:tcPr>
            <w:tcW w:w="3240" w:type="dxa"/>
          </w:tcPr>
          <w:p w14:paraId="60C34870" w14:textId="77777777" w:rsidR="00B51CFF" w:rsidRDefault="00B51CFF" w:rsidP="00DB1D38">
            <w:pPr>
              <w:pStyle w:val="TableTextNumbers"/>
            </w:pPr>
            <w:r>
              <w:t>Define the inappropriate request indicators.</w:t>
            </w:r>
          </w:p>
          <w:p w14:paraId="3EBEDED5" w14:textId="77777777" w:rsidR="00B51CFF" w:rsidRDefault="00B51CFF" w:rsidP="00DB1D38">
            <w:pPr>
              <w:pStyle w:val="TableTextNumbersContinued"/>
              <w:rPr>
                <w:b/>
                <w:bCs/>
              </w:rPr>
            </w:pPr>
          </w:p>
          <w:p w14:paraId="3B776BAB" w14:textId="77777777" w:rsidR="00B51CFF" w:rsidRDefault="00B51CFF" w:rsidP="00DB1D38">
            <w:pPr>
              <w:pStyle w:val="TableTextNumbersContinued"/>
            </w:pPr>
            <w:r>
              <w:t xml:space="preserve">Click the </w:t>
            </w:r>
            <w:r w:rsidR="00A6373D">
              <w:rPr>
                <w:b/>
              </w:rPr>
              <w:t>find</w:t>
            </w:r>
            <w:r w:rsidRPr="00BF2E41">
              <w:t xml:space="preserve"> button</w:t>
            </w:r>
            <w:r>
              <w:t xml:space="preserve"> to search for a new laboratory test name.</w:t>
            </w:r>
          </w:p>
          <w:p w14:paraId="6F6A543D" w14:textId="77777777" w:rsidR="00B51CFF" w:rsidRDefault="00B51CFF" w:rsidP="00DB1D38">
            <w:pPr>
              <w:pStyle w:val="TableTextNumbersContinued"/>
            </w:pPr>
          </w:p>
          <w:p w14:paraId="5D2E8F2F" w14:textId="77777777" w:rsidR="00B51CFF" w:rsidRDefault="00B51CFF" w:rsidP="00DB1D38">
            <w:pPr>
              <w:pStyle w:val="TableTextNumbersContinued"/>
            </w:pPr>
            <w:r>
              <w:t>Enter a partial lab</w:t>
            </w:r>
            <w:r w:rsidR="008632FE">
              <w:t>oratory</w:t>
            </w:r>
            <w:r>
              <w:t xml:space="preserve"> test name and click </w:t>
            </w:r>
            <w:r w:rsidR="00173187" w:rsidRPr="00173187">
              <w:rPr>
                <w:b/>
              </w:rPr>
              <w:t>Search</w:t>
            </w:r>
            <w:r>
              <w:t>.</w:t>
            </w:r>
          </w:p>
          <w:p w14:paraId="5E37F4FC" w14:textId="77777777" w:rsidR="00B51CFF" w:rsidRDefault="00B51CFF" w:rsidP="00DB1D38">
            <w:pPr>
              <w:pStyle w:val="TableTextNumbersContinued"/>
            </w:pPr>
          </w:p>
          <w:p w14:paraId="23BE4B81" w14:textId="77777777" w:rsidR="00B51CFF" w:rsidRDefault="00B51CFF" w:rsidP="00DB1D38">
            <w:pPr>
              <w:pStyle w:val="TableTextNumbersContinued"/>
            </w:pPr>
            <w:r>
              <w:t>Select a lab</w:t>
            </w:r>
            <w:r w:rsidR="008632FE">
              <w:t>oratory</w:t>
            </w:r>
            <w:r>
              <w:t xml:space="preserve"> test name and click </w:t>
            </w:r>
            <w:r>
              <w:rPr>
                <w:b/>
              </w:rPr>
              <w:t>OK</w:t>
            </w:r>
            <w:r>
              <w:t xml:space="preserve"> to add it.</w:t>
            </w:r>
          </w:p>
          <w:p w14:paraId="5663532D" w14:textId="77777777" w:rsidR="00B51CFF" w:rsidRDefault="00B51CFF" w:rsidP="00DB1D38">
            <w:pPr>
              <w:pStyle w:val="TableTextNumbersContinued"/>
            </w:pPr>
          </w:p>
          <w:p w14:paraId="3B7AD1D8" w14:textId="77777777" w:rsidR="00B51CFF" w:rsidRDefault="00B51CFF" w:rsidP="00DB1D38">
            <w:pPr>
              <w:pStyle w:val="TableTextNumbersContinued"/>
            </w:pPr>
            <w:r>
              <w:t xml:space="preserve">Click the </w:t>
            </w:r>
            <w:r>
              <w:rPr>
                <w:b/>
              </w:rPr>
              <w:t xml:space="preserve">Show Inactive Inappropriate Request Indicators </w:t>
            </w:r>
            <w:r w:rsidRPr="00D1100E">
              <w:t>check box</w:t>
            </w:r>
            <w:r>
              <w:t>, if desired.</w:t>
            </w:r>
          </w:p>
        </w:tc>
        <w:tc>
          <w:tcPr>
            <w:tcW w:w="6120" w:type="dxa"/>
          </w:tcPr>
          <w:p w14:paraId="71D125E8" w14:textId="77777777" w:rsidR="00B51CFF" w:rsidRDefault="00B51CFF" w:rsidP="00DB1D38">
            <w:pPr>
              <w:pStyle w:val="TableTextBullet"/>
            </w:pPr>
            <w:r>
              <w:t>Facilitates data entry of one or more inappropriate request indicators:</w:t>
            </w:r>
          </w:p>
          <w:p w14:paraId="7FA81855" w14:textId="77777777" w:rsidR="00B51CFF" w:rsidRDefault="00B51CFF" w:rsidP="00DB1D38">
            <w:pPr>
              <w:pStyle w:val="TableTextBullet1"/>
            </w:pPr>
            <w:r>
              <w:t>Laboratory Test Name</w:t>
            </w:r>
          </w:p>
          <w:p w14:paraId="6EBA7A2C" w14:textId="77777777" w:rsidR="00B51CFF" w:rsidRDefault="00B51CFF" w:rsidP="00DB1D38">
            <w:pPr>
              <w:pStyle w:val="TableTextBullet1"/>
            </w:pPr>
            <w:r>
              <w:t>Specimen Type</w:t>
            </w:r>
          </w:p>
          <w:p w14:paraId="02EDEF96" w14:textId="77777777" w:rsidR="00B51CFF" w:rsidRDefault="00B51CFF" w:rsidP="00DB1D38">
            <w:pPr>
              <w:pStyle w:val="TableTextBullet1"/>
            </w:pPr>
            <w:r>
              <w:t>Threshold Result</w:t>
            </w:r>
          </w:p>
          <w:p w14:paraId="7D0CFBDF" w14:textId="77777777" w:rsidR="00B51CFF" w:rsidRDefault="00B51CFF" w:rsidP="00DB1D38">
            <w:pPr>
              <w:pStyle w:val="TableTextBullet"/>
            </w:pPr>
            <w:r>
              <w:t>Uses VistALink to retrieve the laboratory test name and specimen type indicators. The user enters the threshold result indicator.</w:t>
            </w:r>
          </w:p>
          <w:p w14:paraId="7627848F" w14:textId="77777777" w:rsidR="00B51CFF" w:rsidRDefault="00B51CFF" w:rsidP="00DB1D38">
            <w:pPr>
              <w:pStyle w:val="TableTextBullet"/>
            </w:pPr>
            <w:r>
              <w:t>Displays the entry and allows the user to edit it.</w:t>
            </w:r>
          </w:p>
          <w:p w14:paraId="65155E1A" w14:textId="77777777" w:rsidR="008632FE" w:rsidRDefault="00595334" w:rsidP="00DB1D38">
            <w:pPr>
              <w:pStyle w:val="TableTextBullet"/>
            </w:pPr>
            <w:r>
              <w:t>Displays inactive tests and allows the user to reactivate them.</w:t>
            </w:r>
          </w:p>
          <w:p w14:paraId="7FC80AE5" w14:textId="77777777" w:rsidR="00B51CFF" w:rsidRDefault="00B51CFF" w:rsidP="00DB1D38">
            <w:pPr>
              <w:pStyle w:val="TableText"/>
            </w:pPr>
          </w:p>
          <w:p w14:paraId="3856F245" w14:textId="673E61A5" w:rsidR="00B51CFF" w:rsidRDefault="00B51CFF" w:rsidP="00DB1D38">
            <w:pPr>
              <w:pStyle w:val="TableText"/>
              <w:rPr>
                <w:b/>
                <w:bCs/>
                <w:szCs w:val="18"/>
              </w:rPr>
            </w:pPr>
            <w:r>
              <w:rPr>
                <w:b/>
                <w:bCs/>
                <w:szCs w:val="18"/>
              </w:rPr>
              <w:t>NOTES</w:t>
            </w:r>
          </w:p>
          <w:p w14:paraId="7A991D4D" w14:textId="77777777" w:rsidR="00B51CFF" w:rsidRDefault="00B51CFF" w:rsidP="00DB1D38">
            <w:pPr>
              <w:pStyle w:val="NotesText"/>
            </w:pPr>
          </w:p>
          <w:p w14:paraId="5F0603D0" w14:textId="77777777" w:rsidR="00B51CFF" w:rsidRDefault="00B51CFF" w:rsidP="00DB1D38">
            <w:pPr>
              <w:pStyle w:val="NotesText"/>
            </w:pPr>
            <w:r w:rsidRPr="00E274BF">
              <w:rPr>
                <w:rFonts w:cs="Arial"/>
                <w:vanish/>
                <w:szCs w:val="18"/>
              </w:rPr>
              <w:t>BR_33.01</w:t>
            </w:r>
            <w:r w:rsidRPr="009660C3">
              <w:rPr>
                <w:vanish/>
                <w:szCs w:val="18"/>
              </w:rPr>
              <w:t xml:space="preserve"> </w:t>
            </w:r>
            <w:r>
              <w:t xml:space="preserve">VBECS uses the laboratory test name as the only input parameter to search for all possible matches and return the Laboratory Test Name, Specimen Type(s), and </w:t>
            </w:r>
            <w:r w:rsidRPr="00CA0045">
              <w:t>VistA</w:t>
            </w:r>
            <w:r>
              <w:t xml:space="preserve"> Lab Test </w:t>
            </w:r>
            <w:r w:rsidR="001A1559">
              <w:t>Internal Entry Number (</w:t>
            </w:r>
            <w:r>
              <w:t>IEN</w:t>
            </w:r>
            <w:r w:rsidR="001A1559">
              <w:t>)</w:t>
            </w:r>
            <w:r>
              <w:t>.</w:t>
            </w:r>
          </w:p>
          <w:p w14:paraId="04CD31AF" w14:textId="77777777" w:rsidR="00B51CFF" w:rsidRDefault="00B51CFF" w:rsidP="00DB1D38">
            <w:pPr>
              <w:pStyle w:val="NotesText"/>
            </w:pPr>
          </w:p>
          <w:p w14:paraId="4EF7C85C" w14:textId="77777777" w:rsidR="00B51CFF" w:rsidRDefault="00B51CFF" w:rsidP="00DB1D38">
            <w:pPr>
              <w:pStyle w:val="NotesText"/>
            </w:pPr>
            <w:r w:rsidRPr="00E274BF">
              <w:rPr>
                <w:rFonts w:cs="Arial"/>
                <w:vanish/>
                <w:szCs w:val="18"/>
              </w:rPr>
              <w:t>BR_50.05</w:t>
            </w:r>
            <w:r w:rsidRPr="009660C3">
              <w:rPr>
                <w:vanish/>
                <w:szCs w:val="18"/>
              </w:rPr>
              <w:t xml:space="preserve"> </w:t>
            </w:r>
            <w:r>
              <w:t>A numeric threshold result must include “&lt;” or “&gt;”and a numerical result, e.g., “&gt;8.0.”</w:t>
            </w:r>
          </w:p>
          <w:p w14:paraId="12CE5DB2" w14:textId="77777777" w:rsidR="00B51CFF" w:rsidRDefault="00B51CFF" w:rsidP="00DB1D38">
            <w:pPr>
              <w:pStyle w:val="NotesText"/>
            </w:pPr>
          </w:p>
          <w:p w14:paraId="11ED3B33" w14:textId="77777777" w:rsidR="00B51CFF" w:rsidRDefault="00B51CFF" w:rsidP="00DB1D38">
            <w:pPr>
              <w:pStyle w:val="NotesText"/>
            </w:pPr>
            <w:r>
              <w:t xml:space="preserve">The settings here indicate predetermined levels used to determine the appropriateness of a component order. Settings are different for each component class. The example of a “&gt;8.0” hemoglobin level is set according to local policy. </w:t>
            </w:r>
          </w:p>
          <w:p w14:paraId="5504DC95" w14:textId="77777777" w:rsidR="00B51CFF" w:rsidRDefault="00B51CFF" w:rsidP="00DB1D38">
            <w:pPr>
              <w:pStyle w:val="NotesText"/>
            </w:pPr>
          </w:p>
          <w:p w14:paraId="368F1DCA" w14:textId="77777777" w:rsidR="00B51CFF" w:rsidRDefault="00B51CFF" w:rsidP="00DB1D38">
            <w:pPr>
              <w:pStyle w:val="NotesText"/>
            </w:pPr>
            <w:r>
              <w:t>An example of an inappropriate request indicator:</w:t>
            </w:r>
          </w:p>
          <w:p w14:paraId="2B76AA2C" w14:textId="77777777" w:rsidR="00B51CFF" w:rsidRDefault="00B51CFF" w:rsidP="00DB1D38">
            <w:pPr>
              <w:pStyle w:val="NotesTextBullet"/>
              <w:rPr>
                <w:b/>
              </w:rPr>
            </w:pPr>
            <w:r>
              <w:t>The test name is “HGB.”</w:t>
            </w:r>
          </w:p>
          <w:p w14:paraId="026B2105" w14:textId="77777777" w:rsidR="00B51CFF" w:rsidRDefault="00B51CFF" w:rsidP="00DB1D38">
            <w:pPr>
              <w:pStyle w:val="NotesTextBullet"/>
            </w:pPr>
            <w:r>
              <w:t>The specimen is entered as “Blood.”</w:t>
            </w:r>
          </w:p>
          <w:p w14:paraId="62DE77C8" w14:textId="77777777" w:rsidR="00B51CFF" w:rsidRDefault="00B51CFF" w:rsidP="00DB1D38">
            <w:pPr>
              <w:pStyle w:val="NotesTextBullet"/>
              <w:rPr>
                <w:b/>
              </w:rPr>
            </w:pPr>
            <w:r>
              <w:t>The threshold result is set to “&gt;8.0.”</w:t>
            </w:r>
          </w:p>
        </w:tc>
      </w:tr>
      <w:tr w:rsidR="00B51CFF" w14:paraId="5A316669" w14:textId="77777777">
        <w:tc>
          <w:tcPr>
            <w:tcW w:w="3240" w:type="dxa"/>
          </w:tcPr>
          <w:p w14:paraId="01D88AD5" w14:textId="77777777" w:rsidR="00B51CFF" w:rsidRDefault="00B51CFF" w:rsidP="00DB1D38">
            <w:pPr>
              <w:pStyle w:val="TableTextNumbers"/>
            </w:pPr>
            <w:r>
              <w:t xml:space="preserve">Click </w:t>
            </w:r>
            <w:r>
              <w:rPr>
                <w:b/>
              </w:rPr>
              <w:t>Add</w:t>
            </w:r>
            <w:r>
              <w:t xml:space="preserve"> to add the VBECS component class site parameters to the database.</w:t>
            </w:r>
          </w:p>
        </w:tc>
        <w:tc>
          <w:tcPr>
            <w:tcW w:w="6120" w:type="dxa"/>
          </w:tcPr>
          <w:p w14:paraId="6B52D1A3" w14:textId="77777777" w:rsidR="00B51CFF" w:rsidRDefault="00B51CFF" w:rsidP="00DB1D38">
            <w:pPr>
              <w:pStyle w:val="TableTextBullet"/>
            </w:pPr>
            <w:r>
              <w:t>Displays the component class parameters and allows the user to edit them before saving.</w:t>
            </w:r>
          </w:p>
          <w:p w14:paraId="63414643" w14:textId="77777777" w:rsidR="00B51CFF" w:rsidRDefault="00B51CFF" w:rsidP="00DB1D38">
            <w:pPr>
              <w:pStyle w:val="TableText"/>
            </w:pPr>
          </w:p>
        </w:tc>
      </w:tr>
      <w:tr w:rsidR="00B51CFF" w14:paraId="7FBE5D3E" w14:textId="77777777">
        <w:tc>
          <w:tcPr>
            <w:tcW w:w="3240" w:type="dxa"/>
          </w:tcPr>
          <w:p w14:paraId="34329D77" w14:textId="769ED8B9" w:rsidR="00B51CFF" w:rsidRDefault="00047C63" w:rsidP="00DB1D38">
            <w:pPr>
              <w:pStyle w:val="TableTextNumbers"/>
            </w:pPr>
            <w:r>
              <w:t>Repeat Steps 2</w:t>
            </w:r>
            <w:r w:rsidR="004F5589">
              <w:t xml:space="preserve"> through </w:t>
            </w:r>
            <w:r>
              <w:t>5</w:t>
            </w:r>
            <w:r w:rsidR="00B51CFF">
              <w:t xml:space="preserve"> for each component class to be edited.</w:t>
            </w:r>
          </w:p>
        </w:tc>
        <w:tc>
          <w:tcPr>
            <w:tcW w:w="6120" w:type="dxa"/>
          </w:tcPr>
          <w:p w14:paraId="14CFB779" w14:textId="77777777" w:rsidR="00B51CFF" w:rsidRDefault="00B51CFF" w:rsidP="00DB1D38">
            <w:pPr>
              <w:pStyle w:val="TableText"/>
            </w:pPr>
          </w:p>
        </w:tc>
      </w:tr>
      <w:tr w:rsidR="00B51CFF" w14:paraId="1DAAF0F9" w14:textId="77777777">
        <w:tc>
          <w:tcPr>
            <w:tcW w:w="3240" w:type="dxa"/>
          </w:tcPr>
          <w:p w14:paraId="450C0DE2" w14:textId="77777777" w:rsidR="00B51CFF" w:rsidRDefault="00B51CFF" w:rsidP="00DB1D38">
            <w:pPr>
              <w:pStyle w:val="TableTextNumbers"/>
            </w:pPr>
            <w:r>
              <w:t xml:space="preserve">Click </w:t>
            </w:r>
            <w:r>
              <w:rPr>
                <w:b/>
              </w:rPr>
              <w:t>OK</w:t>
            </w:r>
            <w:r>
              <w:t xml:space="preserve"> to save.</w:t>
            </w:r>
          </w:p>
          <w:p w14:paraId="7A7D6267" w14:textId="77777777" w:rsidR="00B51CFF" w:rsidRDefault="00B51CFF" w:rsidP="00DB1D38">
            <w:pPr>
              <w:pStyle w:val="TableTextNumbersContinued"/>
              <w:rPr>
                <w:b/>
                <w:bCs/>
              </w:rPr>
            </w:pPr>
          </w:p>
          <w:p w14:paraId="3734F850" w14:textId="77777777" w:rsidR="00B51CFF" w:rsidRDefault="00B51CFF" w:rsidP="00DB1D38">
            <w:pPr>
              <w:pStyle w:val="TableTextNumbersContinued"/>
              <w:rPr>
                <w:b/>
                <w:bCs/>
              </w:rPr>
            </w:pPr>
            <w:r>
              <w:rPr>
                <w:rStyle w:val="TableTextNumbersChar"/>
              </w:rPr>
              <w:t xml:space="preserve">Click </w:t>
            </w:r>
            <w:r>
              <w:rPr>
                <w:rStyle w:val="TableTextNumbersChar"/>
                <w:b/>
              </w:rPr>
              <w:t>Yes</w:t>
            </w:r>
            <w:r>
              <w:rPr>
                <w:rStyle w:val="TableTextNumbersChar"/>
              </w:rPr>
              <w:t xml:space="preserve"> to confirm changes and exit.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0626E850" w14:textId="77777777" w:rsidR="00B51CFF" w:rsidRDefault="00B51CFF" w:rsidP="00DB1D38">
            <w:pPr>
              <w:pStyle w:val="TableTextBullet"/>
            </w:pPr>
            <w:r>
              <w:t>Updates the database and captures changes to previously defined parameters for inclusion in an Audit Trail Report.</w:t>
            </w:r>
          </w:p>
        </w:tc>
      </w:tr>
    </w:tbl>
    <w:p w14:paraId="79BDCC44" w14:textId="0CB88052" w:rsidR="002118B0" w:rsidRDefault="002118B0" w:rsidP="002118B0">
      <w:pPr>
        <w:pStyle w:val="Caption"/>
      </w:pPr>
      <w:bookmarkStart w:id="147" w:name="_Ref12647021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22</w:t>
      </w:r>
      <w:r w:rsidR="004E20BD">
        <w:rPr>
          <w:noProof/>
        </w:rPr>
        <w:fldChar w:fldCharType="end"/>
      </w:r>
      <w:bookmarkEnd w:id="147"/>
      <w:r>
        <w:t xml:space="preserve">: </w:t>
      </w:r>
      <w:r w:rsidR="00E76E36">
        <w:t xml:space="preserve">Example of </w:t>
      </w:r>
      <w:r>
        <w:t>Component Classes</w:t>
      </w:r>
    </w:p>
    <w:p w14:paraId="015241D2" w14:textId="77777777" w:rsidR="002118B0" w:rsidRPr="002118B0" w:rsidRDefault="00057948" w:rsidP="0066425F">
      <w:pPr>
        <w:pStyle w:val="BodyText"/>
      </w:pPr>
      <w:r>
        <w:rPr>
          <w:noProof/>
        </w:rPr>
        <w:drawing>
          <wp:inline distT="0" distB="0" distL="0" distR="0" wp14:anchorId="7B7A5E12" wp14:editId="4CAE2C8A">
            <wp:extent cx="5356860" cy="3971925"/>
            <wp:effectExtent l="0" t="0" r="0" b="9525"/>
            <wp:docPr id="125" name="Picture 125" descr="Example of Component Clas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Example of Component Class screen captur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56860" cy="3971925"/>
                    </a:xfrm>
                    <a:prstGeom prst="rect">
                      <a:avLst/>
                    </a:prstGeom>
                    <a:noFill/>
                    <a:ln>
                      <a:noFill/>
                    </a:ln>
                  </pic:spPr>
                </pic:pic>
              </a:graphicData>
            </a:graphic>
          </wp:inline>
        </w:drawing>
      </w:r>
    </w:p>
    <w:p w14:paraId="4BB3C52B" w14:textId="77777777" w:rsidR="00B51CFF" w:rsidRDefault="00AE1227" w:rsidP="00B51CFF">
      <w:pPr>
        <w:pStyle w:val="Heading2"/>
      </w:pPr>
      <w:r>
        <w:br w:type="page"/>
      </w:r>
      <w:bookmarkStart w:id="148" w:name="_Toc149064093"/>
      <w:r w:rsidR="00B51CFF">
        <w:t>Configure Daily QC</w:t>
      </w:r>
      <w:bookmarkEnd w:id="148"/>
      <w:r w:rsidR="00B51CFF" w:rsidRPr="00AB67A6">
        <w:rPr>
          <w:rFonts w:ascii="Arial Bold" w:hAnsi="Arial Bold"/>
          <w:vanish/>
        </w:rPr>
        <w:fldChar w:fldCharType="begin"/>
      </w:r>
      <w:r w:rsidR="00B51CFF" w:rsidRPr="00AB67A6">
        <w:rPr>
          <w:rFonts w:ascii="Arial Bold" w:hAnsi="Arial Bold"/>
          <w:vanish/>
        </w:rPr>
        <w:instrText xml:space="preserve"> XE “Configure Daily QC” </w:instrText>
      </w:r>
      <w:r w:rsidR="00B51CFF" w:rsidRPr="00AB67A6">
        <w:rPr>
          <w:rFonts w:ascii="Arial Bold" w:hAnsi="Arial Bold"/>
          <w:vanish/>
        </w:rPr>
        <w:fldChar w:fldCharType="end"/>
      </w:r>
      <w:r w:rsidR="00B51CFF" w:rsidRPr="00AB67A6">
        <w:rPr>
          <w:rFonts w:ascii="Arial Bold" w:hAnsi="Arial Bold"/>
          <w:vanish/>
        </w:rPr>
        <w:t xml:space="preserve"> UC_51</w:t>
      </w:r>
    </w:p>
    <w:p w14:paraId="4A9FDF15" w14:textId="77777777" w:rsidR="00B51CFF" w:rsidRDefault="00B51CFF" w:rsidP="00B51CFF">
      <w:pPr>
        <w:pStyle w:val="BodyText"/>
      </w:pPr>
      <w:bookmarkStart w:id="149" w:name="_Toc63680373"/>
      <w:r>
        <w:t>The user sets up the routine reagent racks and QC template for the division before performing daily reagent QC.</w:t>
      </w:r>
    </w:p>
    <w:p w14:paraId="723E1379" w14:textId="77777777" w:rsidR="00B51CFF" w:rsidRDefault="00B51CFF" w:rsidP="00B51CFF">
      <w:pPr>
        <w:pStyle w:val="Heading4"/>
      </w:pPr>
      <w:r>
        <w:t>Assumptions</w:t>
      </w:r>
      <w:r>
        <w:rPr>
          <w:b w:val="0"/>
        </w:rPr>
        <w:t xml:space="preserve"> </w:t>
      </w:r>
    </w:p>
    <w:p w14:paraId="527E09E8" w14:textId="77777777" w:rsidR="00B51CFF" w:rsidRDefault="00B51CFF" w:rsidP="00B51CFF">
      <w:pPr>
        <w:pStyle w:val="ListBullet"/>
      </w:pPr>
      <w:r>
        <w:t xml:space="preserve">The division is “full service.” </w:t>
      </w:r>
    </w:p>
    <w:p w14:paraId="484EFA59" w14:textId="77777777" w:rsidR="00B51CFF" w:rsidRDefault="00B51CFF" w:rsidP="00B51CFF">
      <w:pPr>
        <w:pStyle w:val="ListBullet"/>
      </w:pPr>
      <w:r>
        <w:t>In the first use of this option, there are no defaults or data in place until the user selects the type of QC template (commercial or non-commercial).</w:t>
      </w:r>
    </w:p>
    <w:p w14:paraId="18E705D8" w14:textId="77777777" w:rsidR="00B51CFF" w:rsidRDefault="00DD75E5" w:rsidP="00B51CFF">
      <w:pPr>
        <w:pStyle w:val="Heading4"/>
      </w:pPr>
      <w:r>
        <w:t>Outcome</w:t>
      </w:r>
    </w:p>
    <w:p w14:paraId="71D7FD51" w14:textId="77777777" w:rsidR="00B51CFF" w:rsidRDefault="00B51CFF" w:rsidP="00B51CFF">
      <w:pPr>
        <w:pStyle w:val="ListBullet"/>
      </w:pPr>
      <w:r>
        <w:t>A testing template is available for Enter Daily QC Results; reagent racks and identifiers were created.</w:t>
      </w:r>
    </w:p>
    <w:p w14:paraId="061E0211" w14:textId="77777777" w:rsidR="00B51CFF" w:rsidRDefault="00B51CFF" w:rsidP="00B51CFF">
      <w:pPr>
        <w:pStyle w:val="ListBullet"/>
      </w:pPr>
      <w:r>
        <w:t>Minimum reaction strengths for each reagent type are defined and used by Enter Daily QC Results.</w:t>
      </w:r>
    </w:p>
    <w:p w14:paraId="4842008B" w14:textId="77777777" w:rsidR="00B51CFF" w:rsidRDefault="00B51CFF" w:rsidP="00B51CFF">
      <w:pPr>
        <w:pStyle w:val="ListBullet"/>
      </w:pPr>
      <w:r>
        <w:rPr>
          <w:rFonts w:ascii="Arial" w:hAnsi="Arial" w:cs="Arial"/>
          <w:vanish/>
          <w:spacing w:val="0"/>
          <w:sz w:val="18"/>
        </w:rPr>
        <w:t xml:space="preserve">BR_51.16 </w:t>
      </w:r>
      <w:r>
        <w:t>A historical record for each rack will be maintained.</w:t>
      </w:r>
    </w:p>
    <w:p w14:paraId="271BC172" w14:textId="77777777" w:rsidR="00B51CFF" w:rsidRDefault="00B51CFF" w:rsidP="00B51CFF">
      <w:pPr>
        <w:pStyle w:val="ListBullet"/>
      </w:pPr>
      <w:r>
        <w:rPr>
          <w:rFonts w:ascii="Arial" w:hAnsi="Arial" w:cs="Arial"/>
          <w:vanish/>
          <w:spacing w:val="0"/>
          <w:sz w:val="18"/>
        </w:rPr>
        <w:t xml:space="preserve">BR_51.11 </w:t>
      </w:r>
      <w:r>
        <w:t>Rack names created are available for use by other options.</w:t>
      </w:r>
    </w:p>
    <w:p w14:paraId="6ED8E9EF" w14:textId="77777777" w:rsidR="00B51CFF" w:rsidRDefault="00B51CFF" w:rsidP="00B51CFF">
      <w:pPr>
        <w:pStyle w:val="Heading4"/>
      </w:pPr>
      <w:r>
        <w:t>Limitations and Restrictions</w:t>
      </w:r>
      <w:r>
        <w:rPr>
          <w:b w:val="0"/>
        </w:rPr>
        <w:t xml:space="preserve"> </w:t>
      </w:r>
    </w:p>
    <w:p w14:paraId="12936685" w14:textId="77777777" w:rsidR="00B51CFF" w:rsidRDefault="00B51CFF" w:rsidP="00B51CFF">
      <w:pPr>
        <w:pStyle w:val="ListBullet"/>
      </w:pPr>
      <w:r>
        <w:t xml:space="preserve">This option pertains only to routine reagents. </w:t>
      </w:r>
    </w:p>
    <w:p w14:paraId="3BD0B6FC" w14:textId="77777777" w:rsidR="00FC35D4" w:rsidRDefault="00FC35D4" w:rsidP="00B51CFF">
      <w:pPr>
        <w:pStyle w:val="ListBullet"/>
      </w:pPr>
      <w:r>
        <w:rPr>
          <w:rFonts w:cs="Arial"/>
        </w:rPr>
        <w:t xml:space="preserve">When there are partially or currently QC’d racks in the system, the user may not change the QC template. </w:t>
      </w:r>
    </w:p>
    <w:p w14:paraId="5108C400" w14:textId="77777777" w:rsidR="00B51CFF" w:rsidRDefault="00B51CFF" w:rsidP="00B51CFF">
      <w:pPr>
        <w:pStyle w:val="Heading4"/>
      </w:pPr>
      <w:r>
        <w:t>Additional Information</w:t>
      </w:r>
    </w:p>
    <w:p w14:paraId="585427C3" w14:textId="77777777" w:rsidR="00852AC1" w:rsidRPr="00852AC1" w:rsidRDefault="00852AC1" w:rsidP="00852AC1">
      <w:pPr>
        <w:pStyle w:val="ListBullet"/>
      </w:pPr>
      <w:r w:rsidRPr="00852AC1">
        <w:rPr>
          <w:snapToGrid w:val="0"/>
          <w:vanish/>
        </w:rPr>
        <w:t>BR_41.32</w:t>
      </w:r>
      <w:r>
        <w:rPr>
          <w:snapToGrid w:val="0"/>
        </w:rPr>
        <w:t>This option is disabled for transfusion-only facilities.</w:t>
      </w:r>
      <w:r w:rsidR="003D71A3">
        <w:rPr>
          <w:snapToGrid w:val="0"/>
        </w:rPr>
        <w:t xml:space="preserve"> </w:t>
      </w:r>
    </w:p>
    <w:p w14:paraId="2F865608" w14:textId="1F55374C" w:rsidR="00B51CFF" w:rsidRPr="00AB4BD9" w:rsidRDefault="00B51CFF" w:rsidP="00384190">
      <w:pPr>
        <w:pStyle w:val="ListBullet"/>
        <w:rPr>
          <w:vanish/>
        </w:rPr>
      </w:pPr>
      <w:r>
        <w:rPr>
          <w:snapToGrid w:val="0"/>
        </w:rPr>
        <w:t>The naming convention for the active template is not editable.</w:t>
      </w:r>
      <w:r>
        <w:t xml:space="preserve"> When fewer racks are indicated, the system will inactivate existing rack names to keep the list in order without skipping a number or letter. Rack names are reusable.</w:t>
      </w:r>
      <w:r w:rsidR="00FC4E14">
        <w:t xml:space="preserve"> </w:t>
      </w:r>
      <w:r w:rsidR="00A922BB">
        <w:t>It is recommended for</w:t>
      </w:r>
      <w:r w:rsidR="00FC4E14">
        <w:t xml:space="preserve"> s</w:t>
      </w:r>
      <w:r w:rsidR="00FC4E14" w:rsidRPr="00FC4E14">
        <w:t>ites comprisi</w:t>
      </w:r>
      <w:r w:rsidR="00A922BB">
        <w:t xml:space="preserve">ng a multidivision to </w:t>
      </w:r>
      <w:r w:rsidR="00FC4E14" w:rsidRPr="00FC4E14">
        <w:t>assign different reagent rack names to prevent overlap</w:t>
      </w:r>
      <w:r w:rsidR="002B64D8">
        <w:t xml:space="preserve"> (See FAQ </w:t>
      </w:r>
      <w:r w:rsidR="00384190" w:rsidRPr="00384190">
        <w:t>Multidivisional QC Rack Workaroun</w:t>
      </w:r>
      <w:r w:rsidR="00384190">
        <w:t>d).</w:t>
      </w:r>
      <w:r w:rsidR="00AB4BD9">
        <w:t xml:space="preserve"> </w:t>
      </w:r>
      <w:r w:rsidR="00AB4BD9" w:rsidRPr="00AB4BD9">
        <w:rPr>
          <w:vanish/>
        </w:rPr>
        <w:t>Defect 209622</w:t>
      </w:r>
    </w:p>
    <w:p w14:paraId="4F9F43DA" w14:textId="77777777" w:rsidR="00B51CFF" w:rsidRDefault="00B51CFF" w:rsidP="00B51CFF">
      <w:pPr>
        <w:pStyle w:val="ListBullet"/>
      </w:pPr>
      <w:r>
        <w:rPr>
          <w:rFonts w:ascii="Arial" w:hAnsi="Arial" w:cs="Arial"/>
          <w:vanish/>
          <w:spacing w:val="0"/>
          <w:sz w:val="18"/>
        </w:rPr>
        <w:t xml:space="preserve">BR_51.09 </w:t>
      </w:r>
      <w:r>
        <w:t>The daily use field for QC Rack template entries exported as REQUIRED for Daily Use are not editable by the user. The daily use field for entries exported with the daily use as OPTIONAL may be changed to be REQUIRED and remain editable by the user at any time.</w:t>
      </w:r>
    </w:p>
    <w:p w14:paraId="2BFADEF5" w14:textId="3B01F2DC" w:rsidR="00B51CFF" w:rsidRDefault="00B51CFF" w:rsidP="00B51CFF">
      <w:pPr>
        <w:pStyle w:val="ListBullet"/>
      </w:pPr>
      <w:r>
        <w:rPr>
          <w:rFonts w:ascii="Arial" w:hAnsi="Arial" w:cs="Arial"/>
          <w:vanish/>
          <w:spacing w:val="0"/>
          <w:sz w:val="18"/>
        </w:rPr>
        <w:t xml:space="preserve">BR_51.08 </w:t>
      </w:r>
      <w:r>
        <w:t xml:space="preserve">If Screening Cell 3 (SC3) and/or (SC4) are set to “required” as part of the configuration of the antibody screening cell </w:t>
      </w:r>
      <w:r w:rsidR="008848DB">
        <w:t>set,</w:t>
      </w:r>
      <w:r>
        <w:t xml:space="preserve"> they are enabled on the antibody screen data grid.</w:t>
      </w:r>
    </w:p>
    <w:p w14:paraId="524831E6" w14:textId="77777777" w:rsidR="00B51CFF" w:rsidRDefault="00B51CFF" w:rsidP="00B51CFF">
      <w:pPr>
        <w:pStyle w:val="ListBullet"/>
      </w:pPr>
      <w:r>
        <w:rPr>
          <w:rFonts w:ascii="Arial" w:hAnsi="Arial" w:cs="Arial"/>
          <w:vanish/>
          <w:spacing w:val="0"/>
          <w:sz w:val="18"/>
        </w:rPr>
        <w:t xml:space="preserve">BR_51.07 </w:t>
      </w:r>
      <w:r w:rsidR="009D7320">
        <w:t xml:space="preserve">The user must identify an enhancement media reagent type as the primary. </w:t>
      </w:r>
      <w:r w:rsidR="00256CC3">
        <w:t>I</w:t>
      </w:r>
      <w:r>
        <w:t>n addition</w:t>
      </w:r>
      <w:r w:rsidR="00256CC3">
        <w:t xml:space="preserve">, the user </w:t>
      </w:r>
      <w:r>
        <w:t xml:space="preserve">must identify </w:t>
      </w:r>
      <w:r w:rsidR="004A1342">
        <w:t>the Anti-</w:t>
      </w:r>
      <w:r>
        <w:t>Human Globulin serum used during daily quality control testing of the screening cells and primary enhancement media.</w:t>
      </w:r>
    </w:p>
    <w:p w14:paraId="36AF16AD" w14:textId="77777777" w:rsidR="00B51CFF" w:rsidRDefault="00B51CFF" w:rsidP="00B51CFF">
      <w:pPr>
        <w:pStyle w:val="ListBullet"/>
      </w:pPr>
      <w:r>
        <w:t>VBECS does not evaluate maximum strength of reaction for daily QC, as required by CAP. Local policy must define maximum strength of reaction.</w:t>
      </w:r>
    </w:p>
    <w:p w14:paraId="7605C7AE" w14:textId="77777777" w:rsidR="00B51CFF" w:rsidRDefault="00B51CFF" w:rsidP="00B51CFF">
      <w:pPr>
        <w:pStyle w:val="Heading4"/>
        <w:rPr>
          <w:b w:val="0"/>
        </w:rPr>
      </w:pPr>
      <w:r>
        <w:t>User Roles with Access to This Option</w:t>
      </w:r>
      <w:r>
        <w:rPr>
          <w:b w:val="0"/>
        </w:rPr>
        <w:t xml:space="preserve"> </w:t>
      </w:r>
    </w:p>
    <w:p w14:paraId="56CA606F" w14:textId="77777777" w:rsidR="00B51CFF" w:rsidRDefault="00B51CFF" w:rsidP="00B51CFF">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CE276D7" w14:textId="77777777" w:rsidR="00B51CFF" w:rsidRDefault="00B51CFF" w:rsidP="007E3EE1">
      <w:pPr>
        <w:pStyle w:val="Heading4"/>
        <w:keepLines/>
      </w:pPr>
      <w:r>
        <w:t xml:space="preserve">Configure Daily QC </w:t>
      </w:r>
    </w:p>
    <w:p w14:paraId="06F5DAE5" w14:textId="5968A6D9" w:rsidR="00B51CFF" w:rsidRDefault="00B51CFF" w:rsidP="007E3EE1">
      <w:pPr>
        <w:pStyle w:val="BodyText"/>
        <w:keepNext/>
        <w:keepLines/>
      </w:pPr>
      <w:r>
        <w:t xml:space="preserve">The user sets up the daily reagent QC template for reagent rack testing for the division. In the first use of this option, all fields default to blank with no template preferred. </w:t>
      </w:r>
      <w:r>
        <w:rPr>
          <w:rFonts w:ascii="Arial" w:hAnsi="Arial" w:cs="Arial"/>
          <w:vanish/>
          <w:sz w:val="18"/>
        </w:rPr>
        <w:t xml:space="preserve">BR_51.19 </w:t>
      </w:r>
      <w:r w:rsidR="00F92E73">
        <w:t xml:space="preserve">Additional tests are available and may be included in the daily QC testing template in accordance with local </w:t>
      </w:r>
      <w:r w:rsidR="00541DC0">
        <w:t>practice. When</w:t>
      </w:r>
      <w:r>
        <w:t xml:space="preserve"> a user changes the active template, there is no carryover of field settings to the new template. All are set to the default and configuration must be completed.</w:t>
      </w:r>
      <w:r w:rsidR="00F92E73" w:rsidRPr="00F92E73">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51CFF" w14:paraId="1A21F25A" w14:textId="77777777">
        <w:trPr>
          <w:cantSplit/>
          <w:tblHeader/>
        </w:trPr>
        <w:tc>
          <w:tcPr>
            <w:tcW w:w="3240" w:type="dxa"/>
            <w:shd w:val="pct30" w:color="auto" w:fill="FFFFFF"/>
            <w:vAlign w:val="bottom"/>
          </w:tcPr>
          <w:p w14:paraId="20DB2CEE" w14:textId="77777777" w:rsidR="00B51CFF" w:rsidRDefault="00B51CFF" w:rsidP="00DB1D38">
            <w:pPr>
              <w:pStyle w:val="TableText"/>
              <w:rPr>
                <w:b/>
              </w:rPr>
            </w:pPr>
            <w:r>
              <w:rPr>
                <w:b/>
              </w:rPr>
              <w:t>User Action</w:t>
            </w:r>
          </w:p>
        </w:tc>
        <w:tc>
          <w:tcPr>
            <w:tcW w:w="6120" w:type="dxa"/>
            <w:shd w:val="pct30" w:color="auto" w:fill="FFFFFF"/>
            <w:vAlign w:val="bottom"/>
          </w:tcPr>
          <w:p w14:paraId="1357609C" w14:textId="77777777" w:rsidR="00B51CFF" w:rsidRDefault="00B51CFF" w:rsidP="00DB1D38">
            <w:pPr>
              <w:pStyle w:val="TableText"/>
              <w:rPr>
                <w:b/>
              </w:rPr>
            </w:pPr>
            <w:r>
              <w:rPr>
                <w:b/>
              </w:rPr>
              <w:t>VBECS</w:t>
            </w:r>
          </w:p>
        </w:tc>
      </w:tr>
      <w:tr w:rsidR="00B51CFF" w14:paraId="654EBC3F" w14:textId="77777777">
        <w:trPr>
          <w:cantSplit/>
        </w:trPr>
        <w:tc>
          <w:tcPr>
            <w:tcW w:w="3240" w:type="dxa"/>
          </w:tcPr>
          <w:p w14:paraId="235B2A95" w14:textId="77777777" w:rsidR="00B51CFF" w:rsidRDefault="00B51CFF" w:rsidP="00DB1D38">
            <w:pPr>
              <w:pStyle w:val="TableTextNumbers"/>
            </w:pPr>
            <w:r>
              <w:t xml:space="preserve">Select </w:t>
            </w:r>
            <w:r>
              <w:rPr>
                <w:b/>
              </w:rPr>
              <w:t>Reagents</w:t>
            </w:r>
            <w:r>
              <w:t xml:space="preserve"> from the main menu. </w:t>
            </w:r>
          </w:p>
          <w:p w14:paraId="7B7D5F55" w14:textId="77777777" w:rsidR="00B51CFF" w:rsidRDefault="00B51CFF" w:rsidP="00DB1D38">
            <w:pPr>
              <w:pStyle w:val="TableTextNumbersContinued"/>
            </w:pPr>
          </w:p>
          <w:p w14:paraId="13BF2B7B" w14:textId="77777777" w:rsidR="00B51CFF" w:rsidRDefault="00B51CFF" w:rsidP="00DB1D38">
            <w:pPr>
              <w:pStyle w:val="TableTextNumbersContinued"/>
            </w:pPr>
            <w:r>
              <w:t xml:space="preserve">Select </w:t>
            </w:r>
            <w:r>
              <w:rPr>
                <w:b/>
              </w:rPr>
              <w:t>Configure Daily QC</w:t>
            </w:r>
            <w:r>
              <w:t>.</w:t>
            </w:r>
          </w:p>
        </w:tc>
        <w:tc>
          <w:tcPr>
            <w:tcW w:w="6120" w:type="dxa"/>
          </w:tcPr>
          <w:p w14:paraId="27F3BADE" w14:textId="77777777" w:rsidR="00B51CFF" w:rsidRDefault="00B51CFF" w:rsidP="00DB1D38">
            <w:pPr>
              <w:pStyle w:val="TableTextBullet"/>
            </w:pPr>
            <w:r>
              <w:t>Displays options for processing reagents.</w:t>
            </w:r>
          </w:p>
          <w:p w14:paraId="4C549E6E" w14:textId="77777777" w:rsidR="00B51CFF" w:rsidRDefault="00B51CFF" w:rsidP="00DB1D38">
            <w:pPr>
              <w:pStyle w:val="TableTextBullet"/>
            </w:pPr>
            <w:r>
              <w:t>Displays an option to configure online Daily Reagent Rack Quality Control.</w:t>
            </w:r>
          </w:p>
        </w:tc>
      </w:tr>
      <w:tr w:rsidR="00B51CFF" w14:paraId="7337E5C2" w14:textId="77777777">
        <w:trPr>
          <w:cantSplit/>
        </w:trPr>
        <w:tc>
          <w:tcPr>
            <w:tcW w:w="3240" w:type="dxa"/>
          </w:tcPr>
          <w:p w14:paraId="1898B85F" w14:textId="7E68FF00" w:rsidR="00B51CFF" w:rsidRDefault="00B51CFF" w:rsidP="00DB1D38">
            <w:pPr>
              <w:pStyle w:val="TableTextNumbers"/>
            </w:pPr>
            <w:r>
              <w:t xml:space="preserve">Click the </w:t>
            </w:r>
            <w:r>
              <w:rPr>
                <w:b/>
              </w:rPr>
              <w:t>Commercial</w:t>
            </w:r>
            <w:r>
              <w:t xml:space="preserve"> or </w:t>
            </w:r>
            <w:r>
              <w:rPr>
                <w:b/>
              </w:rPr>
              <w:t>Non-Commercial</w:t>
            </w:r>
            <w:r>
              <w:t xml:space="preserve"> </w:t>
            </w:r>
            <w:r w:rsidRPr="00BF2E41">
              <w:t>radio button</w:t>
            </w:r>
            <w:r w:rsidR="00EC1B75">
              <w:t xml:space="preserve"> (</w:t>
            </w:r>
            <w:r w:rsidR="00EE455E" w:rsidRPr="00584AF9">
              <w:t xml:space="preserve">Figure </w:t>
            </w:r>
            <w:r w:rsidR="00EE455E">
              <w:rPr>
                <w:noProof/>
                <w:lang w:val="fr-CA"/>
              </w:rPr>
              <w:t>23</w:t>
            </w:r>
            <w:r w:rsidR="00910AA5" w:rsidRPr="00910AA5">
              <w:t>)</w:t>
            </w:r>
            <w:r>
              <w:t>.</w:t>
            </w:r>
          </w:p>
          <w:p w14:paraId="35E5D52D" w14:textId="77777777" w:rsidR="00B51CFF" w:rsidRDefault="00B51CFF" w:rsidP="00DB1D38">
            <w:pPr>
              <w:pStyle w:val="TableText"/>
            </w:pPr>
          </w:p>
        </w:tc>
        <w:tc>
          <w:tcPr>
            <w:tcW w:w="6120" w:type="dxa"/>
          </w:tcPr>
          <w:p w14:paraId="4D2FEFD2" w14:textId="77777777" w:rsidR="00B51CFF" w:rsidRDefault="00B51CFF" w:rsidP="00DB1D38">
            <w:pPr>
              <w:pStyle w:val="TableTextBullet"/>
            </w:pPr>
            <w:r>
              <w:t>Lists the two system-supplied Daily QC templates.</w:t>
            </w:r>
          </w:p>
          <w:p w14:paraId="43102846" w14:textId="77777777" w:rsidR="00B51CFF" w:rsidRDefault="00B51CFF" w:rsidP="00DB1D38">
            <w:pPr>
              <w:pStyle w:val="TableTextBullet1"/>
            </w:pPr>
            <w:r>
              <w:t>Commercial Daily QC</w:t>
            </w:r>
          </w:p>
          <w:p w14:paraId="5DE5EF3A" w14:textId="77777777" w:rsidR="00B51CFF" w:rsidRDefault="00B51CFF" w:rsidP="00DB1D38">
            <w:pPr>
              <w:pStyle w:val="TableTextBullet1"/>
            </w:pPr>
            <w:r>
              <w:t>Non-commercial Daily QC</w:t>
            </w:r>
          </w:p>
          <w:p w14:paraId="59177031" w14:textId="77777777" w:rsidR="00545664" w:rsidRDefault="00545664" w:rsidP="00545664">
            <w:pPr>
              <w:pStyle w:val="TableTextBullet"/>
            </w:pPr>
            <w:r>
              <w:t>When there are partially or currently QC’d racks in the system, warns the user to wait until QC expires (passes the daily alert time) and then make the changes.</w:t>
            </w:r>
          </w:p>
        </w:tc>
      </w:tr>
      <w:tr w:rsidR="00B51CFF" w14:paraId="154E1D3C" w14:textId="77777777">
        <w:trPr>
          <w:cantSplit/>
        </w:trPr>
        <w:tc>
          <w:tcPr>
            <w:tcW w:w="3240" w:type="dxa"/>
          </w:tcPr>
          <w:p w14:paraId="42763B23" w14:textId="77777777" w:rsidR="00B51CFF" w:rsidRDefault="00B51CFF" w:rsidP="00DB1D38">
            <w:pPr>
              <w:pStyle w:val="TableTextNumbers"/>
            </w:pPr>
            <w:r>
              <w:t>Set the daily alert time.</w:t>
            </w:r>
          </w:p>
        </w:tc>
        <w:tc>
          <w:tcPr>
            <w:tcW w:w="6120" w:type="dxa"/>
          </w:tcPr>
          <w:p w14:paraId="4CC78AB3" w14:textId="77777777" w:rsidR="00B51CFF" w:rsidRDefault="00B51CFF" w:rsidP="00DB1D38">
            <w:pPr>
              <w:pStyle w:val="TableTextBullet"/>
            </w:pPr>
            <w:r>
              <w:t>Asks the user to set the time the daily alert to all users at the site will begin.</w:t>
            </w:r>
          </w:p>
          <w:p w14:paraId="1E20DED4" w14:textId="77777777" w:rsidR="00B51CFF" w:rsidRDefault="00B51CFF" w:rsidP="00DB1D38">
            <w:pPr>
              <w:pStyle w:val="TableText"/>
            </w:pPr>
          </w:p>
          <w:p w14:paraId="6E1130C5" w14:textId="5F34E396" w:rsidR="00B51CFF" w:rsidRDefault="00B51CFF" w:rsidP="00DB1D38">
            <w:pPr>
              <w:pStyle w:val="TableText"/>
              <w:rPr>
                <w:b/>
                <w:bCs/>
                <w:szCs w:val="18"/>
              </w:rPr>
            </w:pPr>
            <w:r>
              <w:rPr>
                <w:b/>
                <w:bCs/>
                <w:szCs w:val="18"/>
              </w:rPr>
              <w:t>NOTES</w:t>
            </w:r>
          </w:p>
          <w:p w14:paraId="2488F9E4" w14:textId="77777777" w:rsidR="00B51CFF" w:rsidRDefault="00B51CFF" w:rsidP="00DB1D38">
            <w:pPr>
              <w:pStyle w:val="NotesText"/>
            </w:pPr>
          </w:p>
          <w:p w14:paraId="35E77147" w14:textId="77777777" w:rsidR="00B51CFF" w:rsidRDefault="00B51CFF" w:rsidP="00DB1D38">
            <w:pPr>
              <w:pStyle w:val="NotesText"/>
            </w:pPr>
            <w:r>
              <w:rPr>
                <w:rFonts w:cs="Arial"/>
                <w:vanish/>
              </w:rPr>
              <w:t xml:space="preserve">BR_51.02 </w:t>
            </w:r>
            <w:r>
              <w:t>The user indicates the local time that defines the start of the 24-hour period (the QC day) during which a rack is considered QC’d. VBECS alerts users when a rack was not performed after this local time passed.</w:t>
            </w:r>
          </w:p>
          <w:p w14:paraId="0AF17548" w14:textId="77777777" w:rsidR="00122EF8" w:rsidRDefault="00122EF8" w:rsidP="00122EF8">
            <w:pPr>
              <w:pStyle w:val="NotesText"/>
              <w:rPr>
                <w:rFonts w:cs="Arial"/>
                <w:szCs w:val="18"/>
              </w:rPr>
            </w:pPr>
          </w:p>
          <w:p w14:paraId="6C2CFF61" w14:textId="77777777" w:rsidR="000D0722" w:rsidRPr="00122EF8" w:rsidRDefault="000D0722" w:rsidP="00122EF8">
            <w:pPr>
              <w:pStyle w:val="NotesText"/>
              <w:rPr>
                <w:rFonts w:cs="Arial"/>
                <w:szCs w:val="18"/>
              </w:rPr>
            </w:pPr>
            <w:r>
              <w:t>The user may test a rack no earlier than the alert time</w:t>
            </w:r>
            <w:r w:rsidR="00543DAF">
              <w:t xml:space="preserve"> for the next 24 hours</w:t>
            </w:r>
            <w:r>
              <w:t xml:space="preserve">. </w:t>
            </w:r>
            <w:r w:rsidR="00D94DA3" w:rsidRPr="00D94DA3">
              <w:rPr>
                <w:vanish/>
              </w:rPr>
              <w:t xml:space="preserve"> (DR 2,716)</w:t>
            </w:r>
          </w:p>
        </w:tc>
      </w:tr>
      <w:tr w:rsidR="00B51CFF" w14:paraId="78628DC8" w14:textId="77777777">
        <w:trPr>
          <w:cantSplit/>
        </w:trPr>
        <w:tc>
          <w:tcPr>
            <w:tcW w:w="3240" w:type="dxa"/>
          </w:tcPr>
          <w:p w14:paraId="70C436F9" w14:textId="77777777" w:rsidR="00B51CFF" w:rsidRDefault="00B51CFF" w:rsidP="00DB1D38">
            <w:pPr>
              <w:pStyle w:val="TableTextNumbers"/>
            </w:pPr>
            <w:r>
              <w:t>Enter the number of racks at the site.</w:t>
            </w:r>
          </w:p>
          <w:p w14:paraId="327DE6CB" w14:textId="77777777" w:rsidR="00B51CFF" w:rsidRDefault="00B51CFF" w:rsidP="00DB1D38">
            <w:pPr>
              <w:pStyle w:val="TableTextNumbersContinued"/>
            </w:pPr>
          </w:p>
          <w:p w14:paraId="230BC8CC" w14:textId="77777777" w:rsidR="00B51CFF" w:rsidRDefault="00B51CFF" w:rsidP="00DB1D38">
            <w:pPr>
              <w:pStyle w:val="TableTextNumbersContinued"/>
            </w:pPr>
            <w:r>
              <w:t>Select a naming convention.</w:t>
            </w:r>
          </w:p>
        </w:tc>
        <w:tc>
          <w:tcPr>
            <w:tcW w:w="6120" w:type="dxa"/>
          </w:tcPr>
          <w:p w14:paraId="162305CA" w14:textId="77777777" w:rsidR="00B51CFF" w:rsidRDefault="00B51CFF" w:rsidP="00DB1D38">
            <w:pPr>
              <w:pStyle w:val="TableTextBullet"/>
            </w:pPr>
            <w:r>
              <w:t>Asks the user to set the number of racks to be QC’d daily at the division.</w:t>
            </w:r>
          </w:p>
          <w:p w14:paraId="58A1DB64" w14:textId="77777777" w:rsidR="00B51CFF" w:rsidRDefault="00B51CFF" w:rsidP="00DB1D38">
            <w:pPr>
              <w:pStyle w:val="TableTextBullet"/>
            </w:pPr>
            <w:r>
              <w:t>Asks the user to set the naming convention for racks.</w:t>
            </w:r>
          </w:p>
          <w:p w14:paraId="546A7055" w14:textId="77777777" w:rsidR="00B51CFF" w:rsidRDefault="00B51CFF" w:rsidP="00DB1D38">
            <w:pPr>
              <w:pStyle w:val="TableText"/>
              <w:rPr>
                <w:b/>
                <w:bCs/>
                <w:szCs w:val="18"/>
              </w:rPr>
            </w:pPr>
          </w:p>
          <w:p w14:paraId="12644107" w14:textId="0B0BD9DF" w:rsidR="00B51CFF" w:rsidRDefault="00B51CFF" w:rsidP="00DB1D38">
            <w:pPr>
              <w:pStyle w:val="TableText"/>
              <w:rPr>
                <w:b/>
                <w:bCs/>
                <w:szCs w:val="18"/>
              </w:rPr>
            </w:pPr>
            <w:r>
              <w:rPr>
                <w:b/>
                <w:bCs/>
                <w:szCs w:val="18"/>
              </w:rPr>
              <w:t>NOTES</w:t>
            </w:r>
          </w:p>
          <w:p w14:paraId="2B1F5C59" w14:textId="77777777" w:rsidR="00B51CFF" w:rsidRDefault="00B51CFF" w:rsidP="00DB1D38">
            <w:pPr>
              <w:pStyle w:val="NotesText"/>
              <w:ind w:left="0"/>
            </w:pPr>
          </w:p>
          <w:p w14:paraId="6D267BA6" w14:textId="77777777" w:rsidR="00B51CFF" w:rsidRDefault="00B51CFF" w:rsidP="00DB1D38">
            <w:pPr>
              <w:pStyle w:val="NotesText"/>
            </w:pPr>
            <w:r>
              <w:rPr>
                <w:rFonts w:cs="Arial"/>
                <w:vanish/>
                <w:szCs w:val="18"/>
              </w:rPr>
              <w:t>BR_51.01</w:t>
            </w:r>
            <w:r w:rsidR="00CE3961">
              <w:rPr>
                <w:rFonts w:cs="Arial"/>
                <w:vanish/>
                <w:szCs w:val="18"/>
              </w:rPr>
              <w:t>,</w:t>
            </w:r>
            <w:r>
              <w:rPr>
                <w:rFonts w:cs="Arial"/>
                <w:vanish/>
                <w:szCs w:val="18"/>
              </w:rPr>
              <w:t xml:space="preserve"> </w:t>
            </w:r>
            <w:r>
              <w:rPr>
                <w:vanish/>
                <w:szCs w:val="18"/>
              </w:rPr>
              <w:t>BR_51.13</w:t>
            </w:r>
            <w:r w:rsidR="00CE3961">
              <w:rPr>
                <w:vanish/>
                <w:szCs w:val="18"/>
              </w:rPr>
              <w:t>,</w:t>
            </w:r>
            <w:r>
              <w:rPr>
                <w:vanish/>
                <w:szCs w:val="18"/>
              </w:rPr>
              <w:t xml:space="preserve"> BR_51.14 </w:t>
            </w:r>
            <w:r>
              <w:t>A user may indicate 1–26 racks per site and names them according to the convention selected (A–Z or 1–26).</w:t>
            </w:r>
          </w:p>
        </w:tc>
      </w:tr>
      <w:tr w:rsidR="00B51CFF" w14:paraId="795CB94E" w14:textId="77777777">
        <w:trPr>
          <w:cantSplit/>
        </w:trPr>
        <w:tc>
          <w:tcPr>
            <w:tcW w:w="3240" w:type="dxa"/>
          </w:tcPr>
          <w:p w14:paraId="77E622DF" w14:textId="77777777" w:rsidR="00B51CFF" w:rsidRDefault="00B51CFF" w:rsidP="00DB1D38">
            <w:pPr>
              <w:pStyle w:val="TableTextNumbers"/>
            </w:pPr>
            <w:r>
              <w:t>Accept or edit the default settings of the template.</w:t>
            </w:r>
          </w:p>
          <w:p w14:paraId="52D4B088" w14:textId="77777777" w:rsidR="00B51CFF" w:rsidRDefault="00B51CFF" w:rsidP="00DB1D38">
            <w:pPr>
              <w:pStyle w:val="TableTextNumbersContinued"/>
            </w:pPr>
          </w:p>
          <w:p w14:paraId="4485446C" w14:textId="77777777" w:rsidR="00B51CFF" w:rsidRDefault="00B51CFF" w:rsidP="00DB1D38">
            <w:pPr>
              <w:pStyle w:val="TableTextNumbersContinued"/>
            </w:pPr>
            <w:r>
              <w:t>Select primary and secondary enhancement medium options from the drop-down menus.</w:t>
            </w:r>
          </w:p>
        </w:tc>
        <w:tc>
          <w:tcPr>
            <w:tcW w:w="6120" w:type="dxa"/>
          </w:tcPr>
          <w:p w14:paraId="479EB61B" w14:textId="77777777" w:rsidR="00B51CFF" w:rsidRDefault="00B51CFF" w:rsidP="00DB1D38">
            <w:pPr>
              <w:pStyle w:val="TableTextBullet"/>
            </w:pPr>
            <w:r>
              <w:t xml:space="preserve">Lists the default reagent types for inclusion in the daily reagent rack quality control and expected minimum reactions for each test type. </w:t>
            </w:r>
          </w:p>
          <w:p w14:paraId="2EBCFF9A" w14:textId="77777777" w:rsidR="00B51CFF" w:rsidRDefault="00B51CFF" w:rsidP="00DB1D38">
            <w:pPr>
              <w:pStyle w:val="TableTextBullet"/>
            </w:pPr>
            <w:r>
              <w:t>Displays changes and edits for review before saving.</w:t>
            </w:r>
          </w:p>
          <w:p w14:paraId="23A68FF6" w14:textId="77777777" w:rsidR="00B51CFF" w:rsidRDefault="00B51CFF" w:rsidP="00DB1D38">
            <w:pPr>
              <w:pStyle w:val="TableText"/>
            </w:pPr>
          </w:p>
          <w:p w14:paraId="47EDA21D" w14:textId="60B1F476" w:rsidR="00B51CFF" w:rsidRDefault="00B51CFF" w:rsidP="00DB1D38">
            <w:pPr>
              <w:pStyle w:val="TableText"/>
              <w:rPr>
                <w:b/>
                <w:bCs/>
                <w:szCs w:val="18"/>
              </w:rPr>
            </w:pPr>
            <w:r>
              <w:rPr>
                <w:b/>
                <w:bCs/>
                <w:szCs w:val="18"/>
              </w:rPr>
              <w:t>NOTES</w:t>
            </w:r>
          </w:p>
          <w:p w14:paraId="027112E6" w14:textId="77777777" w:rsidR="00B51CFF" w:rsidRDefault="00B51CFF" w:rsidP="00DB1D38">
            <w:pPr>
              <w:pStyle w:val="NotesText"/>
            </w:pPr>
          </w:p>
          <w:p w14:paraId="46EEA54C" w14:textId="77777777" w:rsidR="00B51CFF" w:rsidRDefault="00B51CFF" w:rsidP="00DB1D38">
            <w:pPr>
              <w:pStyle w:val="NotesText"/>
            </w:pPr>
            <w:r>
              <w:t xml:space="preserve">One setting covers all racks at the site. </w:t>
            </w:r>
          </w:p>
          <w:p w14:paraId="4C4820BD" w14:textId="77777777" w:rsidR="00B51CFF" w:rsidRDefault="00B51CFF" w:rsidP="00DB1D38">
            <w:pPr>
              <w:pStyle w:val="NotesText"/>
            </w:pPr>
          </w:p>
          <w:p w14:paraId="061CD21F" w14:textId="7A078D70" w:rsidR="00B51CFF" w:rsidRDefault="00B51CFF" w:rsidP="00DB1D38">
            <w:pPr>
              <w:pStyle w:val="NotesText"/>
            </w:pPr>
            <w:r>
              <w:rPr>
                <w:rFonts w:cs="Arial"/>
                <w:vanish/>
              </w:rPr>
              <w:t xml:space="preserve">BR_51.10 </w:t>
            </w:r>
            <w:r>
              <w:t>Reagent types selected display on the rack lot number template and the reaction result entry worksheet for each rack in Enter Daily QC Results with some exceptions: gel kit, selected AHG, and automated testing lot numbers.</w:t>
            </w:r>
          </w:p>
          <w:p w14:paraId="1AB5B27A" w14:textId="77777777" w:rsidR="00B51CFF" w:rsidRDefault="00B51CFF" w:rsidP="00DB1D38">
            <w:pPr>
              <w:pStyle w:val="NotesText"/>
            </w:pPr>
          </w:p>
          <w:p w14:paraId="478CA32C" w14:textId="77777777" w:rsidR="00B51CFF" w:rsidRDefault="00B51CFF" w:rsidP="00DB1D38">
            <w:pPr>
              <w:pStyle w:val="NotesText"/>
            </w:pPr>
            <w:r>
              <w:rPr>
                <w:rFonts w:cs="Arial"/>
                <w:vanish/>
              </w:rPr>
              <w:t xml:space="preserve">BR_51.15 </w:t>
            </w:r>
            <w:r>
              <w:t>When previously entered parameters for daily QC rack definitions are changed, VBECS requires a comment before the user saves the update.</w:t>
            </w:r>
          </w:p>
        </w:tc>
      </w:tr>
      <w:tr w:rsidR="00B51CFF" w14:paraId="78650C25" w14:textId="77777777">
        <w:trPr>
          <w:cantSplit/>
        </w:trPr>
        <w:tc>
          <w:tcPr>
            <w:tcW w:w="3240" w:type="dxa"/>
          </w:tcPr>
          <w:p w14:paraId="753DDBDF" w14:textId="77777777" w:rsidR="00B51CFF" w:rsidRDefault="00B51CFF" w:rsidP="00DB1D38">
            <w:pPr>
              <w:pStyle w:val="TableTextNumbers"/>
            </w:pPr>
            <w:r>
              <w:t xml:space="preserve">Click </w:t>
            </w:r>
            <w:r>
              <w:rPr>
                <w:b/>
              </w:rPr>
              <w:t>OK</w:t>
            </w:r>
            <w:r>
              <w:t xml:space="preserve"> to save.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128E1A3" w14:textId="77777777" w:rsidR="00B51CFF" w:rsidRDefault="00B51CFF" w:rsidP="00DB1D38">
            <w:pPr>
              <w:pStyle w:val="TableText"/>
            </w:pPr>
          </w:p>
        </w:tc>
      </w:tr>
    </w:tbl>
    <w:p w14:paraId="578FD0CA" w14:textId="56CA370A" w:rsidR="008F0A39" w:rsidRDefault="008F0A39" w:rsidP="008F0A39">
      <w:pPr>
        <w:pStyle w:val="Caption"/>
      </w:pPr>
      <w:bookmarkStart w:id="150" w:name="_Ref126467867"/>
      <w:bookmarkEnd w:id="149"/>
      <w:r w:rsidRPr="00584AF9">
        <w:t xml:space="preserve">Figure </w:t>
      </w:r>
      <w:r w:rsidR="00C17F7C">
        <w:fldChar w:fldCharType="begin"/>
      </w:r>
      <w:r w:rsidR="00C17F7C" w:rsidRPr="001E3F01">
        <w:rPr>
          <w:lang w:val="fr-CA"/>
        </w:rPr>
        <w:instrText xml:space="preserve"> SEQ Figure \* ARABIC </w:instrText>
      </w:r>
      <w:r w:rsidR="00C17F7C">
        <w:fldChar w:fldCharType="separate"/>
      </w:r>
      <w:r w:rsidR="00ED2D38">
        <w:rPr>
          <w:noProof/>
          <w:lang w:val="fr-CA"/>
        </w:rPr>
        <w:t>23</w:t>
      </w:r>
      <w:r w:rsidR="00C17F7C">
        <w:fldChar w:fldCharType="end"/>
      </w:r>
      <w:bookmarkEnd w:id="150"/>
      <w:r w:rsidRPr="00584AF9">
        <w:t>: Commercial and Non-Commercial Radio Buttons</w:t>
      </w:r>
    </w:p>
    <w:p w14:paraId="67597968" w14:textId="6E938463" w:rsidR="009A11E3" w:rsidRPr="009A11E3" w:rsidRDefault="009A11E3" w:rsidP="009A11E3">
      <w:pPr>
        <w:pStyle w:val="BodyText"/>
      </w:pPr>
      <w:r>
        <w:rPr>
          <w:noProof/>
        </w:rPr>
        <w:drawing>
          <wp:inline distT="0" distB="0" distL="0" distR="0" wp14:anchorId="2C4AC29A" wp14:editId="43B4FC9A">
            <wp:extent cx="5943600" cy="4345167"/>
            <wp:effectExtent l="0" t="0" r="0" b="0"/>
            <wp:docPr id="1" name="Picture 1" descr="Example of Commercial and Non-Commercial Radio Button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of Commercial and Non-Commercial Radio Buttons screen capt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4345167"/>
                    </a:xfrm>
                    <a:prstGeom prst="rect">
                      <a:avLst/>
                    </a:prstGeom>
                    <a:noFill/>
                    <a:ln>
                      <a:noFill/>
                    </a:ln>
                  </pic:spPr>
                </pic:pic>
              </a:graphicData>
            </a:graphic>
          </wp:inline>
        </w:drawing>
      </w:r>
    </w:p>
    <w:p w14:paraId="4349BE35" w14:textId="2D9F4FD8" w:rsidR="0053799A" w:rsidRDefault="0053799A" w:rsidP="00424F28">
      <w:pPr>
        <w:pStyle w:val="BodyText"/>
      </w:pPr>
    </w:p>
    <w:p w14:paraId="7F12D583" w14:textId="77777777" w:rsidR="00733B28" w:rsidRPr="008000E5" w:rsidRDefault="00B51CFF" w:rsidP="0053799A">
      <w:pPr>
        <w:pStyle w:val="Heading2"/>
      </w:pPr>
      <w:r w:rsidRPr="008000E5">
        <w:br w:type="page"/>
      </w:r>
      <w:bookmarkStart w:id="151" w:name="_Ref100826654"/>
      <w:bookmarkStart w:id="152" w:name="_Toc149064094"/>
      <w:r w:rsidR="00733B28" w:rsidRPr="008000E5">
        <w:t>Configure Division</w:t>
      </w:r>
      <w:bookmarkEnd w:id="151"/>
      <w:bookmarkEnd w:id="152"/>
      <w:r w:rsidR="00733B28">
        <w:fldChar w:fldCharType="begin"/>
      </w:r>
      <w:r w:rsidR="00733B28" w:rsidRPr="008000E5">
        <w:instrText xml:space="preserve"> XE "Configure Division" </w:instrText>
      </w:r>
      <w:r w:rsidR="00733B28">
        <w:fldChar w:fldCharType="end"/>
      </w:r>
    </w:p>
    <w:p w14:paraId="1095EFC3" w14:textId="77777777" w:rsidR="002A21AE" w:rsidRPr="008000E5" w:rsidRDefault="00D567C9" w:rsidP="007716F7">
      <w:pPr>
        <w:pStyle w:val="Heading3"/>
      </w:pPr>
      <w:bookmarkStart w:id="153" w:name="_Toc63680384"/>
      <w:bookmarkStart w:id="154" w:name="_Toc87166918"/>
      <w:bookmarkStart w:id="155" w:name="_Toc149064095"/>
      <w:r w:rsidRPr="008000E5">
        <w:t>Configure Division</w:t>
      </w:r>
      <w:bookmarkEnd w:id="153"/>
      <w:bookmarkEnd w:id="154"/>
      <w:bookmarkEnd w:id="155"/>
      <w:r w:rsidR="00733B28">
        <w:fldChar w:fldCharType="begin"/>
      </w:r>
      <w:r w:rsidR="00733B28" w:rsidRPr="008000E5">
        <w:instrText xml:space="preserve"> XE "Configure Division" </w:instrText>
      </w:r>
      <w:r w:rsidR="00733B28">
        <w:fldChar w:fldCharType="end"/>
      </w:r>
      <w:r w:rsidR="002A21AE" w:rsidRPr="008000E5">
        <w:rPr>
          <w:rFonts w:ascii="Arial Bold" w:hAnsi="Arial Bold"/>
          <w:vanish/>
        </w:rPr>
        <w:t xml:space="preserve"> UC_09</w:t>
      </w:r>
    </w:p>
    <w:p w14:paraId="631BD857" w14:textId="07D7291A" w:rsidR="002A21AE" w:rsidRDefault="002A21AE" w:rsidP="00FA7E65">
      <w:pPr>
        <w:pStyle w:val="BodyText"/>
      </w:pPr>
      <w:r>
        <w:t xml:space="preserve">A user defines site parameters that affect how VBECS behaves at a specific division. VBECS may be configured to function differently at each division within a </w:t>
      </w:r>
      <w:r w:rsidR="002F48C2">
        <w:t xml:space="preserve">multidivisional </w:t>
      </w:r>
      <w:r>
        <w:t>database. Site parameters may be redefined.</w:t>
      </w:r>
      <w:r w:rsidR="00E90A01">
        <w:t xml:space="preserve"> For additional information, see </w:t>
      </w:r>
      <w:r w:rsidR="00EE455E">
        <w:t xml:space="preserve">Appendix </w:t>
      </w:r>
      <w:r w:rsidR="00EE455E">
        <w:rPr>
          <w:noProof/>
        </w:rPr>
        <w:t>G</w:t>
      </w:r>
      <w:r w:rsidR="00EE455E">
        <w:t>: Work Process Flowcharts</w:t>
      </w:r>
      <w:r w:rsidR="00E90A01">
        <w:t>.</w:t>
      </w:r>
    </w:p>
    <w:p w14:paraId="3E476CE7" w14:textId="77777777" w:rsidR="002A21AE" w:rsidRDefault="002A21AE">
      <w:pPr>
        <w:pStyle w:val="Heading4"/>
      </w:pPr>
      <w:r>
        <w:t>Assumptions</w:t>
      </w:r>
    </w:p>
    <w:p w14:paraId="5529B7F4" w14:textId="77777777" w:rsidR="002A21AE" w:rsidRDefault="002A21AE">
      <w:pPr>
        <w:pStyle w:val="ListBullet"/>
      </w:pPr>
      <w:r>
        <w:t xml:space="preserve">The site administrator defines the VBECS configuration, adds users, and assigns privileges for each division so that they mirror the associated </w:t>
      </w:r>
      <w:r w:rsidR="00CA0045" w:rsidRPr="00CA0045">
        <w:rPr>
          <w:bCs/>
        </w:rPr>
        <w:t>VistA</w:t>
      </w:r>
      <w:r>
        <w:t xml:space="preserve"> database.</w:t>
      </w:r>
    </w:p>
    <w:p w14:paraId="3C82E3E8" w14:textId="77777777" w:rsidR="002A21AE" w:rsidRDefault="002A21AE">
      <w:pPr>
        <w:pStyle w:val="Heading4"/>
      </w:pPr>
      <w:r>
        <w:t>Outcome</w:t>
      </w:r>
    </w:p>
    <w:p w14:paraId="046E1413" w14:textId="77777777" w:rsidR="002A21AE" w:rsidRDefault="002A21AE">
      <w:pPr>
        <w:pStyle w:val="ListBullet"/>
      </w:pPr>
      <w:r>
        <w:t xml:space="preserve">Functional parameters are set for divisions that use the </w:t>
      </w:r>
      <w:r w:rsidR="00CA0045" w:rsidRPr="00CA0045">
        <w:rPr>
          <w:bCs/>
        </w:rPr>
        <w:t>VistA</w:t>
      </w:r>
      <w:r>
        <w:t xml:space="preserve"> database.</w:t>
      </w:r>
    </w:p>
    <w:p w14:paraId="0E04D9BF" w14:textId="77777777" w:rsidR="002A21AE" w:rsidRDefault="002A21AE">
      <w:pPr>
        <w:pStyle w:val="Heading4"/>
      </w:pPr>
      <w:r>
        <w:t>Limitations and Restrictions</w:t>
      </w:r>
    </w:p>
    <w:p w14:paraId="6B223ABE" w14:textId="0346E109" w:rsidR="002A21AE" w:rsidRDefault="0041670F">
      <w:pPr>
        <w:pStyle w:val="ListBullet"/>
      </w:pPr>
      <w:r>
        <w:t xml:space="preserve">Changes made to the division setting are not applied to a user until they re-connect to VBECS after the change is made. It is highly recommended that all users </w:t>
      </w:r>
      <w:r w:rsidR="00262E92">
        <w:t>sign out</w:t>
      </w:r>
      <w:r>
        <w:t xml:space="preserve"> of VBECS prior to any configuration setting change.</w:t>
      </w:r>
      <w:r>
        <w:rPr>
          <w:vanish/>
        </w:rPr>
        <w:t xml:space="preserve"> DR 4136</w:t>
      </w:r>
    </w:p>
    <w:p w14:paraId="1B347A5F" w14:textId="77777777" w:rsidR="002E7EBF" w:rsidRDefault="002E7EBF" w:rsidP="002E7EBF">
      <w:pPr>
        <w:pStyle w:val="Caution"/>
      </w:pPr>
      <w:r>
        <w:t xml:space="preserve">It is recommended that users configure a division before configuring testing (click the </w:t>
      </w:r>
      <w:r>
        <w:rPr>
          <w:b/>
        </w:rPr>
        <w:t xml:space="preserve">Configure Testing </w:t>
      </w:r>
      <w:r w:rsidRPr="007004B1">
        <w:t>tab</w:t>
      </w:r>
      <w:r>
        <w:t>).</w:t>
      </w:r>
    </w:p>
    <w:p w14:paraId="47473EFD" w14:textId="77777777" w:rsidR="002A21AE" w:rsidRDefault="002A21AE">
      <w:pPr>
        <w:pStyle w:val="Heading4"/>
      </w:pPr>
      <w:r>
        <w:t>Additional Information</w:t>
      </w:r>
    </w:p>
    <w:p w14:paraId="13485DC2" w14:textId="78CCC92D" w:rsidR="002A21AE" w:rsidRPr="000C7C69" w:rsidRDefault="00C428B3" w:rsidP="004D7ECB">
      <w:pPr>
        <w:pStyle w:val="ListBullet"/>
      </w:pPr>
      <w:r>
        <w:t>To incorporate changes in division codes and names from</w:t>
      </w:r>
      <w:r w:rsidR="004D7ECB">
        <w:t xml:space="preserve"> V</w:t>
      </w:r>
      <w:r>
        <w:t>istA to VBECS,</w:t>
      </w:r>
      <w:r w:rsidR="00844E41">
        <w:t xml:space="preserve"> and to change time zones, </w:t>
      </w:r>
      <w:r w:rsidR="004D7ECB">
        <w:t>see</w:t>
      </w:r>
      <w:r w:rsidR="00BA2EAA">
        <w:t xml:space="preserve"> the</w:t>
      </w:r>
      <w:r w:rsidR="004D7ECB">
        <w:t xml:space="preserve"> </w:t>
      </w:r>
      <w:r w:rsidR="004D7ECB" w:rsidRPr="004D7ECB">
        <w:rPr>
          <w:i/>
        </w:rPr>
        <w:t>V</w:t>
      </w:r>
      <w:r w:rsidR="00BA2EAA">
        <w:rPr>
          <w:i/>
        </w:rPr>
        <w:t>BECS 2.3.</w:t>
      </w:r>
      <w:r w:rsidR="00656AFE">
        <w:rPr>
          <w:i/>
        </w:rPr>
        <w:t>4</w:t>
      </w:r>
      <w:r w:rsidR="00BA2EAA">
        <w:rPr>
          <w:i/>
        </w:rPr>
        <w:t xml:space="preserve"> Admin User</w:t>
      </w:r>
      <w:r w:rsidR="004D7ECB" w:rsidRPr="004D7ECB">
        <w:rPr>
          <w:i/>
        </w:rPr>
        <w:t xml:space="preserve"> Guid</w:t>
      </w:r>
      <w:r w:rsidR="004D7ECB" w:rsidRPr="00461A0A">
        <w:rPr>
          <w:i/>
        </w:rPr>
        <w:t>e</w:t>
      </w:r>
      <w:r w:rsidR="004D7ECB" w:rsidRPr="00461A0A">
        <w:rPr>
          <w:rFonts w:ascii="Arial" w:hAnsi="Arial"/>
          <w:snapToGrid w:val="0"/>
          <w:sz w:val="18"/>
        </w:rPr>
        <w:t>.</w:t>
      </w:r>
    </w:p>
    <w:p w14:paraId="5A4199E4" w14:textId="77777777" w:rsidR="000C7C69" w:rsidRPr="00844E41" w:rsidRDefault="000C7C69" w:rsidP="004D7ECB">
      <w:pPr>
        <w:pStyle w:val="ListBullet"/>
      </w:pPr>
      <w:r>
        <w:t xml:space="preserve">VBECS records configuration changes </w:t>
      </w:r>
      <w:r w:rsidR="00D84237">
        <w:t xml:space="preserve">(such as time zone) </w:t>
      </w:r>
      <w:r>
        <w:t>on the Audit Trail Report.</w:t>
      </w:r>
    </w:p>
    <w:p w14:paraId="21B9A56F" w14:textId="77777777" w:rsidR="002A21AE" w:rsidRDefault="002A21AE" w:rsidP="00461A0A">
      <w:pPr>
        <w:pStyle w:val="Heading4"/>
        <w:tabs>
          <w:tab w:val="center" w:pos="4680"/>
        </w:tabs>
      </w:pPr>
      <w:r>
        <w:t xml:space="preserve">User Roles with Access to This Option </w:t>
      </w:r>
      <w:r w:rsidR="00461A0A">
        <w:tab/>
      </w:r>
    </w:p>
    <w:p w14:paraId="6A0C527D" w14:textId="77777777" w:rsidR="00237C52" w:rsidRDefault="00237C52" w:rsidP="00237C52">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5C563F7" w14:textId="77777777" w:rsidR="002A21AE" w:rsidRDefault="00D567C9">
      <w:pPr>
        <w:pStyle w:val="Heading4"/>
      </w:pPr>
      <w:r>
        <w:t>Configure Division</w:t>
      </w:r>
    </w:p>
    <w:p w14:paraId="309903C7" w14:textId="77777777" w:rsidR="002A21AE" w:rsidRDefault="002A21AE" w:rsidP="00FA7E65">
      <w:pPr>
        <w:pStyle w:val="BodyText"/>
      </w:pPr>
      <w:r>
        <w:t>Once VBECS is configured to identify all of the divisions, the user sets up critical fields required for routine use of VBECS.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7A53C16" w14:textId="77777777">
        <w:trPr>
          <w:cantSplit/>
          <w:tblHeader/>
        </w:trPr>
        <w:tc>
          <w:tcPr>
            <w:tcW w:w="3240" w:type="dxa"/>
            <w:shd w:val="pct30" w:color="auto" w:fill="FFFFFF"/>
            <w:vAlign w:val="bottom"/>
          </w:tcPr>
          <w:p w14:paraId="7932A54F" w14:textId="77777777" w:rsidR="002A21AE" w:rsidRDefault="002A21AE">
            <w:pPr>
              <w:pStyle w:val="TableText"/>
              <w:rPr>
                <w:b/>
              </w:rPr>
            </w:pPr>
            <w:r>
              <w:rPr>
                <w:b/>
              </w:rPr>
              <w:t>User Action</w:t>
            </w:r>
          </w:p>
        </w:tc>
        <w:tc>
          <w:tcPr>
            <w:tcW w:w="6120" w:type="dxa"/>
            <w:shd w:val="pct30" w:color="auto" w:fill="FFFFFF"/>
            <w:vAlign w:val="bottom"/>
          </w:tcPr>
          <w:p w14:paraId="26FCB47F" w14:textId="77777777" w:rsidR="002A21AE" w:rsidRDefault="002A21AE">
            <w:pPr>
              <w:pStyle w:val="TableText"/>
              <w:rPr>
                <w:b/>
              </w:rPr>
            </w:pPr>
            <w:r>
              <w:rPr>
                <w:b/>
              </w:rPr>
              <w:t>VBECS</w:t>
            </w:r>
          </w:p>
        </w:tc>
      </w:tr>
      <w:tr w:rsidR="002A21AE" w14:paraId="1000E946" w14:textId="77777777">
        <w:tc>
          <w:tcPr>
            <w:tcW w:w="3240" w:type="dxa"/>
          </w:tcPr>
          <w:p w14:paraId="28FEEA91" w14:textId="77777777" w:rsidR="002A21AE" w:rsidRDefault="002A21AE">
            <w:pPr>
              <w:pStyle w:val="TableTextNumbers"/>
            </w:pPr>
            <w:r>
              <w:t xml:space="preserve">Select </w:t>
            </w:r>
            <w:r>
              <w:rPr>
                <w:b/>
                <w:bCs/>
              </w:rPr>
              <w:t>Tools</w:t>
            </w:r>
            <w:r>
              <w:t xml:space="preserve"> from the main menu.</w:t>
            </w:r>
          </w:p>
          <w:p w14:paraId="56797698" w14:textId="77777777" w:rsidR="002A21AE" w:rsidRDefault="002A21AE">
            <w:pPr>
              <w:pStyle w:val="TableTextNumbersContinued"/>
              <w:rPr>
                <w:b/>
                <w:bCs/>
              </w:rPr>
            </w:pPr>
          </w:p>
          <w:p w14:paraId="0CC78EB9" w14:textId="207BDAFA" w:rsidR="002A21AE" w:rsidRDefault="002A21AE">
            <w:pPr>
              <w:pStyle w:val="TableTextNumbersContinued"/>
              <w:rPr>
                <w:b/>
                <w:bCs/>
              </w:rPr>
            </w:pPr>
            <w:r w:rsidRPr="00090795">
              <w:rPr>
                <w:bCs/>
              </w:rPr>
              <w:t>Select</w:t>
            </w:r>
            <w:r>
              <w:rPr>
                <w:b/>
                <w:bCs/>
              </w:rPr>
              <w:t xml:space="preserve"> Configure Division</w:t>
            </w:r>
            <w:r w:rsidR="004E4889">
              <w:rPr>
                <w:b/>
                <w:bCs/>
              </w:rPr>
              <w:t xml:space="preserve"> </w:t>
            </w:r>
            <w:r w:rsidR="004E4889" w:rsidRPr="004E4889">
              <w:rPr>
                <w:bCs/>
              </w:rPr>
              <w:t>(</w:t>
            </w:r>
            <w:r w:rsidR="00EE455E">
              <w:t xml:space="preserve">Figure </w:t>
            </w:r>
            <w:r w:rsidR="00EE455E">
              <w:rPr>
                <w:noProof/>
              </w:rPr>
              <w:t>24</w:t>
            </w:r>
            <w:r w:rsidR="004E4889" w:rsidRPr="004E4889">
              <w:rPr>
                <w:bCs/>
              </w:rPr>
              <w:t>)</w:t>
            </w:r>
            <w:r w:rsidRPr="00090795">
              <w:rPr>
                <w:bCs/>
              </w:rPr>
              <w:t>.</w:t>
            </w:r>
          </w:p>
        </w:tc>
        <w:tc>
          <w:tcPr>
            <w:tcW w:w="6120" w:type="dxa"/>
          </w:tcPr>
          <w:p w14:paraId="5EBAF917" w14:textId="77777777" w:rsidR="002A21AE" w:rsidRDefault="002A21AE">
            <w:pPr>
              <w:pStyle w:val="TableTextBullet"/>
            </w:pPr>
            <w:r>
              <w:t>Displays options for processing administrative functions.</w:t>
            </w:r>
          </w:p>
          <w:p w14:paraId="45F2D5CD" w14:textId="77777777" w:rsidR="002A21AE" w:rsidRDefault="002A21AE">
            <w:pPr>
              <w:pStyle w:val="TableTextBullet"/>
            </w:pPr>
            <w:r>
              <w:t>Displays the Configure Division tab with fields for entering division-specific blood product information.</w:t>
            </w:r>
          </w:p>
        </w:tc>
      </w:tr>
      <w:tr w:rsidR="002A21AE" w14:paraId="5551F766" w14:textId="77777777" w:rsidTr="007E500E">
        <w:trPr>
          <w:cantSplit/>
        </w:trPr>
        <w:tc>
          <w:tcPr>
            <w:tcW w:w="3240" w:type="dxa"/>
          </w:tcPr>
          <w:p w14:paraId="0E01E711" w14:textId="77777777" w:rsidR="002A21AE" w:rsidRDefault="002A21AE">
            <w:pPr>
              <w:pStyle w:val="TableTextNumbers"/>
            </w:pPr>
            <w:r>
              <w:t xml:space="preserve">Enter the ICCBBA </w:t>
            </w:r>
            <w:r w:rsidR="00B85812">
              <w:t>Registration Number</w:t>
            </w:r>
            <w:r>
              <w:t>, the medical director’s name (or select it from the drop-down list), and the maximum number of days until the specimen expires in their respective fields.</w:t>
            </w:r>
          </w:p>
        </w:tc>
        <w:tc>
          <w:tcPr>
            <w:tcW w:w="6120" w:type="dxa"/>
          </w:tcPr>
          <w:p w14:paraId="7A0A3956" w14:textId="77777777" w:rsidR="002A21AE" w:rsidRDefault="002A21AE">
            <w:pPr>
              <w:pStyle w:val="TableText"/>
            </w:pPr>
          </w:p>
          <w:p w14:paraId="754680FD" w14:textId="25FC3267" w:rsidR="002A21AE" w:rsidRDefault="002A21AE">
            <w:pPr>
              <w:pStyle w:val="TableText"/>
              <w:rPr>
                <w:b/>
                <w:bCs/>
                <w:szCs w:val="18"/>
              </w:rPr>
            </w:pPr>
            <w:r>
              <w:rPr>
                <w:b/>
                <w:bCs/>
                <w:szCs w:val="18"/>
              </w:rPr>
              <w:t>NOTES</w:t>
            </w:r>
          </w:p>
          <w:p w14:paraId="2CCF67B7" w14:textId="77777777" w:rsidR="002A21AE" w:rsidRDefault="002A21AE">
            <w:pPr>
              <w:pStyle w:val="NotesText"/>
            </w:pPr>
          </w:p>
          <w:p w14:paraId="2BCAB06C" w14:textId="77777777" w:rsidR="002A21AE" w:rsidRDefault="002A21AE">
            <w:pPr>
              <w:pStyle w:val="NotesText"/>
            </w:pPr>
            <w:r w:rsidRPr="00E274BF">
              <w:rPr>
                <w:rFonts w:cs="Arial"/>
                <w:vanish/>
                <w:szCs w:val="18"/>
              </w:rPr>
              <w:t>BR_9.04</w:t>
            </w:r>
            <w:r w:rsidRPr="009660C3">
              <w:rPr>
                <w:vanish/>
                <w:szCs w:val="18"/>
              </w:rPr>
              <w:t xml:space="preserve"> </w:t>
            </w:r>
            <w:r>
              <w:t xml:space="preserve">An ICCBBA </w:t>
            </w:r>
            <w:r w:rsidR="00B85812">
              <w:t>Registration Number</w:t>
            </w:r>
            <w:r>
              <w:t xml:space="preserve"> contains an alphabetical character followed by four numeric characters.</w:t>
            </w:r>
          </w:p>
          <w:p w14:paraId="19DEEA04" w14:textId="77777777" w:rsidR="002A21AE" w:rsidRDefault="002A21AE">
            <w:pPr>
              <w:pStyle w:val="NotesText"/>
            </w:pPr>
          </w:p>
          <w:p w14:paraId="17C45992" w14:textId="77777777" w:rsidR="002A21AE" w:rsidRDefault="002A21AE">
            <w:pPr>
              <w:pStyle w:val="NotesText"/>
            </w:pPr>
            <w:r w:rsidRPr="00E274BF">
              <w:rPr>
                <w:rFonts w:cs="Arial"/>
                <w:vanish/>
                <w:szCs w:val="18"/>
              </w:rPr>
              <w:t>BR_9.07</w:t>
            </w:r>
            <w:r w:rsidRPr="009660C3">
              <w:rPr>
                <w:vanish/>
                <w:szCs w:val="18"/>
              </w:rPr>
              <w:t xml:space="preserve"> </w:t>
            </w:r>
            <w:r>
              <w:t>A user may enter the name of the blood bank medical director or acting medical director to appear on reports. The user may edit the name and title but may select only one name at a time for use. VBECS saves these edits for retrieval.</w:t>
            </w:r>
          </w:p>
          <w:p w14:paraId="62ACFFC4" w14:textId="77777777" w:rsidR="002A21AE" w:rsidRDefault="002A21AE">
            <w:pPr>
              <w:pStyle w:val="NotesText"/>
            </w:pPr>
          </w:p>
          <w:p w14:paraId="21DCF838" w14:textId="77777777" w:rsidR="002A21AE" w:rsidRDefault="002A21AE">
            <w:pPr>
              <w:pStyle w:val="NotesText"/>
            </w:pPr>
            <w:r w:rsidRPr="00E274BF">
              <w:rPr>
                <w:rFonts w:cs="Arial"/>
                <w:vanish/>
                <w:szCs w:val="18"/>
              </w:rPr>
              <w:t>BR_9.05</w:t>
            </w:r>
            <w:r w:rsidRPr="009660C3">
              <w:rPr>
                <w:vanish/>
                <w:szCs w:val="18"/>
              </w:rPr>
              <w:t xml:space="preserve"> </w:t>
            </w:r>
            <w:r>
              <w:t>The user may edit the default setting for the maximum number of specimen expiration days from “3” to any value from “3” to “93.”</w:t>
            </w:r>
          </w:p>
          <w:p w14:paraId="352B330B" w14:textId="77777777" w:rsidR="00B24419" w:rsidRPr="0015382B" w:rsidRDefault="00B24419">
            <w:pPr>
              <w:pStyle w:val="NotesText"/>
            </w:pPr>
            <w:r w:rsidRPr="00B24419">
              <w:t>This setting allows the user to extend the expiration date of any one specimen to the maximum date indicated.  This does not change the normal specimen expiration date of all specimens received</w:t>
            </w:r>
            <w:r>
              <w:t>.</w:t>
            </w:r>
            <w:r w:rsidR="0015382B">
              <w:rPr>
                <w:vanish/>
              </w:rPr>
              <w:t xml:space="preserve"> DR 3592</w:t>
            </w:r>
          </w:p>
        </w:tc>
      </w:tr>
      <w:tr w:rsidR="002A21AE" w14:paraId="50815A23" w14:textId="77777777">
        <w:tc>
          <w:tcPr>
            <w:tcW w:w="3240" w:type="dxa"/>
          </w:tcPr>
          <w:p w14:paraId="448CEC0E" w14:textId="77777777"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D48B36B" w14:textId="77777777" w:rsidR="002A21AE" w:rsidRDefault="002A21AE">
            <w:pPr>
              <w:pStyle w:val="TableTextBullet"/>
            </w:pPr>
            <w:r>
              <w:t>Displays the information entered.</w:t>
            </w:r>
          </w:p>
          <w:p w14:paraId="19180403" w14:textId="77777777" w:rsidR="002A21AE" w:rsidRDefault="002A21AE">
            <w:pPr>
              <w:pStyle w:val="TableTextBullet"/>
            </w:pPr>
            <w:r>
              <w:t>Requests confirmation to update the database.</w:t>
            </w:r>
          </w:p>
          <w:p w14:paraId="495EAF8C" w14:textId="77777777" w:rsidR="002A21AE" w:rsidRDefault="002A21AE" w:rsidP="002E7EBF">
            <w:pPr>
              <w:pStyle w:val="TableTextBullet"/>
            </w:pPr>
            <w:r>
              <w:t>Updates the database.</w:t>
            </w:r>
          </w:p>
        </w:tc>
      </w:tr>
    </w:tbl>
    <w:p w14:paraId="0D6BC71C" w14:textId="267BCEC7" w:rsidR="00D43EF7" w:rsidRDefault="00D43EF7" w:rsidP="00D43EF7">
      <w:pPr>
        <w:pStyle w:val="Caption"/>
      </w:pPr>
      <w:bookmarkStart w:id="156" w:name="_Ref12646788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24</w:t>
      </w:r>
      <w:r w:rsidR="004E20BD">
        <w:rPr>
          <w:noProof/>
        </w:rPr>
        <w:fldChar w:fldCharType="end"/>
      </w:r>
      <w:bookmarkEnd w:id="156"/>
      <w:r>
        <w:t xml:space="preserve">: </w:t>
      </w:r>
      <w:r w:rsidR="00954B38">
        <w:t xml:space="preserve">Example of </w:t>
      </w:r>
      <w:r>
        <w:t>Configure Division Tabs</w:t>
      </w:r>
    </w:p>
    <w:p w14:paraId="7AC24134" w14:textId="77777777" w:rsidR="008D2925" w:rsidRDefault="00057948" w:rsidP="008D2925">
      <w:pPr>
        <w:pStyle w:val="BodyText"/>
      </w:pPr>
      <w:r>
        <w:rPr>
          <w:noProof/>
        </w:rPr>
        <mc:AlternateContent>
          <mc:Choice Requires="wps">
            <w:drawing>
              <wp:anchor distT="0" distB="0" distL="114300" distR="114300" simplePos="0" relativeHeight="251724800" behindDoc="0" locked="0" layoutInCell="1" allowOverlap="1" wp14:anchorId="325F0D8A" wp14:editId="55061BF0">
                <wp:simplePos x="0" y="0"/>
                <wp:positionH relativeFrom="column">
                  <wp:posOffset>0</wp:posOffset>
                </wp:positionH>
                <wp:positionV relativeFrom="paragraph">
                  <wp:posOffset>478790</wp:posOffset>
                </wp:positionV>
                <wp:extent cx="3086100" cy="457200"/>
                <wp:effectExtent l="9525" t="12065" r="9525" b="6985"/>
                <wp:wrapNone/>
                <wp:docPr id="566" name="Oval 1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457200"/>
                        </a:xfrm>
                        <a:prstGeom prst="ellipse">
                          <a:avLst/>
                        </a:prstGeom>
                        <a:solidFill>
                          <a:srgbClr val="FFFFFF">
                            <a:alpha val="0"/>
                          </a:srgbClr>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334EA8" id="Oval 1144" o:spid="_x0000_s1026" alt="&quot;&quot;" style="position:absolute;margin-left:0;margin-top:37.7pt;width:243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" strokecolor="red">
                <v:fill opacity="0"/>
              </v:oval>
            </w:pict>
          </mc:Fallback>
        </mc:AlternateContent>
      </w:r>
      <w:r>
        <w:rPr>
          <w:noProof/>
        </w:rPr>
        <w:drawing>
          <wp:inline distT="0" distB="0" distL="0" distR="0" wp14:anchorId="5BDB2B2E" wp14:editId="6778162A">
            <wp:extent cx="3195955" cy="3204845"/>
            <wp:effectExtent l="0" t="0" r="4445" b="0"/>
            <wp:docPr id="127" name="Picture 127" descr="Example of Configure Division Tab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Example of Configure Division Tabs screen capt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95955" cy="3204845"/>
                    </a:xfrm>
                    <a:prstGeom prst="rect">
                      <a:avLst/>
                    </a:prstGeom>
                    <a:noFill/>
                    <a:ln>
                      <a:noFill/>
                    </a:ln>
                  </pic:spPr>
                </pic:pic>
              </a:graphicData>
            </a:graphic>
          </wp:inline>
        </w:drawing>
      </w:r>
    </w:p>
    <w:p w14:paraId="094C6566" w14:textId="77777777" w:rsidR="002A21AE" w:rsidRDefault="00AF089A" w:rsidP="007716F7">
      <w:pPr>
        <w:pStyle w:val="Heading3"/>
      </w:pPr>
      <w:r>
        <w:br w:type="page"/>
      </w:r>
      <w:bookmarkStart w:id="157" w:name="_Toc149064096"/>
      <w:r w:rsidR="002A21AE" w:rsidRPr="007716F7">
        <w:t>Configure Testing</w:t>
      </w:r>
      <w:bookmarkEnd w:id="157"/>
      <w:r w:rsidR="002A21AE" w:rsidRPr="00796039">
        <w:rPr>
          <w:rFonts w:ascii="Arial Bold" w:hAnsi="Arial Bold"/>
          <w:vanish/>
        </w:rPr>
        <w:fldChar w:fldCharType="begin"/>
      </w:r>
      <w:r w:rsidR="002A21AE" w:rsidRPr="00796039">
        <w:rPr>
          <w:rFonts w:ascii="Arial Bold" w:hAnsi="Arial Bold"/>
          <w:vanish/>
        </w:rPr>
        <w:instrText xml:space="preserve"> XE </w:instrText>
      </w:r>
      <w:r w:rsidR="00FA7E65" w:rsidRPr="00796039">
        <w:rPr>
          <w:rFonts w:ascii="Arial Bold" w:hAnsi="Arial Bold"/>
          <w:vanish/>
        </w:rPr>
        <w:instrText>“</w:instrText>
      </w:r>
      <w:r w:rsidR="007716F7" w:rsidRPr="00796039">
        <w:rPr>
          <w:rFonts w:ascii="Arial Bold" w:hAnsi="Arial Bold"/>
          <w:vanish/>
        </w:rPr>
        <w:instrText xml:space="preserve">Configure </w:instrText>
      </w:r>
      <w:r w:rsidR="002A21AE" w:rsidRPr="00796039">
        <w:rPr>
          <w:rFonts w:ascii="Arial Bold" w:hAnsi="Arial Bold"/>
          <w:vanish/>
        </w:rPr>
        <w:instrText>Testing</w:instrText>
      </w:r>
      <w:r w:rsidR="00FA7E65" w:rsidRPr="00796039">
        <w:rPr>
          <w:rFonts w:ascii="Arial Bold" w:hAnsi="Arial Bold"/>
          <w:vanish/>
        </w:rPr>
        <w:instrText>”</w:instrText>
      </w:r>
      <w:r w:rsidR="002A21AE" w:rsidRPr="00796039">
        <w:rPr>
          <w:rFonts w:ascii="Arial Bold" w:hAnsi="Arial Bold"/>
          <w:vanish/>
        </w:rPr>
        <w:instrText xml:space="preserve"> </w:instrText>
      </w:r>
      <w:r w:rsidR="002A21AE" w:rsidRPr="00796039">
        <w:rPr>
          <w:rFonts w:ascii="Arial Bold" w:hAnsi="Arial Bold"/>
          <w:vanish/>
        </w:rPr>
        <w:fldChar w:fldCharType="end"/>
      </w:r>
      <w:r w:rsidR="002A21AE" w:rsidRPr="00796039">
        <w:rPr>
          <w:rFonts w:ascii="Arial Bold" w:hAnsi="Arial Bold"/>
          <w:vanish/>
        </w:rPr>
        <w:t xml:space="preserve"> UC_55</w:t>
      </w:r>
    </w:p>
    <w:p w14:paraId="52DAB71F" w14:textId="77777777" w:rsidR="002A21AE" w:rsidRDefault="002A21AE" w:rsidP="00FA7E65">
      <w:pPr>
        <w:pStyle w:val="BodyText"/>
      </w:pPr>
      <w:r>
        <w:t xml:space="preserve">The user sets testing preferences according to a division’s medical policies. </w:t>
      </w:r>
    </w:p>
    <w:p w14:paraId="2BAFFB87" w14:textId="77777777" w:rsidR="002A21AE" w:rsidRDefault="002A21AE">
      <w:pPr>
        <w:pStyle w:val="Heading4"/>
      </w:pPr>
      <w:r>
        <w:t>Assumptions</w:t>
      </w:r>
    </w:p>
    <w:p w14:paraId="195126AA" w14:textId="77777777" w:rsidR="002A21AE" w:rsidRDefault="002A21AE">
      <w:pPr>
        <w:pStyle w:val="ListBullet"/>
      </w:pPr>
      <w:r>
        <w:t>A division’s worksheets affected by the option are not open or incomplete at the time of configuration.</w:t>
      </w:r>
    </w:p>
    <w:p w14:paraId="5944F936" w14:textId="77777777" w:rsidR="002A21AE" w:rsidRDefault="002A21AE">
      <w:pPr>
        <w:pStyle w:val="Heading4"/>
      </w:pPr>
      <w:r>
        <w:t>Outcome</w:t>
      </w:r>
    </w:p>
    <w:p w14:paraId="461961F6" w14:textId="77777777" w:rsidR="002A21AE" w:rsidRDefault="002A21AE">
      <w:pPr>
        <w:pStyle w:val="ListBullet"/>
      </w:pPr>
      <w:r>
        <w:t>Division testing preferences are configured.</w:t>
      </w:r>
    </w:p>
    <w:p w14:paraId="56CFEFEF" w14:textId="77777777" w:rsidR="002A21AE" w:rsidRDefault="002A21AE">
      <w:pPr>
        <w:pStyle w:val="Heading4"/>
        <w:rPr>
          <w:b w:val="0"/>
        </w:rPr>
      </w:pPr>
      <w:r>
        <w:t>Limitations and Restrictions</w:t>
      </w:r>
      <w:r>
        <w:rPr>
          <w:b w:val="0"/>
        </w:rPr>
        <w:t xml:space="preserve"> </w:t>
      </w:r>
    </w:p>
    <w:p w14:paraId="02348E4D" w14:textId="77777777" w:rsidR="002A21AE" w:rsidRDefault="002A21AE">
      <w:pPr>
        <w:pStyle w:val="ListBullet"/>
      </w:pPr>
      <w:r>
        <w:t>None</w:t>
      </w:r>
    </w:p>
    <w:p w14:paraId="3543D7B8" w14:textId="77777777" w:rsidR="002E7EBF" w:rsidRDefault="002E7EBF" w:rsidP="002E7EBF">
      <w:pPr>
        <w:pStyle w:val="Caution"/>
      </w:pPr>
      <w:r>
        <w:t xml:space="preserve">It is recommended that users configure testing before modifying products (click the </w:t>
      </w:r>
      <w:r>
        <w:rPr>
          <w:b/>
        </w:rPr>
        <w:t xml:space="preserve">Product Modifications </w:t>
      </w:r>
      <w:r w:rsidRPr="003814BF">
        <w:t>tab</w:t>
      </w:r>
      <w:r>
        <w:t>).</w:t>
      </w:r>
    </w:p>
    <w:p w14:paraId="06B78D15" w14:textId="77777777" w:rsidR="002A21AE" w:rsidRDefault="002A21AE">
      <w:pPr>
        <w:pStyle w:val="Heading4"/>
      </w:pPr>
      <w:r>
        <w:t xml:space="preserve">Additional Information </w:t>
      </w:r>
    </w:p>
    <w:p w14:paraId="4AAC23F0" w14:textId="77777777" w:rsidR="002A21AE" w:rsidRDefault="002A21AE">
      <w:pPr>
        <w:pStyle w:val="ListBullet"/>
      </w:pPr>
      <w:r>
        <w:t>None</w:t>
      </w:r>
    </w:p>
    <w:p w14:paraId="48EB88B3" w14:textId="77777777" w:rsidR="002A21AE" w:rsidRDefault="002A21AE">
      <w:pPr>
        <w:pStyle w:val="Heading4"/>
        <w:rPr>
          <w:b w:val="0"/>
        </w:rPr>
      </w:pPr>
      <w:r>
        <w:t>User Roles with Access to This Option</w:t>
      </w:r>
      <w:r>
        <w:rPr>
          <w:b w:val="0"/>
        </w:rPr>
        <w:t xml:space="preserve"> </w:t>
      </w:r>
    </w:p>
    <w:p w14:paraId="0EE8250E" w14:textId="77777777" w:rsidR="002A21AE" w:rsidRDefault="00237C52">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AE23E62" w14:textId="77777777" w:rsidR="002A21AE" w:rsidRDefault="002A21AE">
      <w:pPr>
        <w:pStyle w:val="Heading4"/>
      </w:pPr>
      <w:r>
        <w:t>Configure Testing</w:t>
      </w:r>
    </w:p>
    <w:p w14:paraId="54802D90" w14:textId="77777777" w:rsidR="002A21AE" w:rsidRDefault="002A21AE" w:rsidP="00FA7E65">
      <w:pPr>
        <w:pStyle w:val="BodyText"/>
      </w:pPr>
      <w:r>
        <w:t xml:space="preserve">The user sets the system to display testing grids to the users in their division. The user determines whether an autocontrol is used and whether a Direct Antiglobulin Test (DAT) is added as part of the routine </w:t>
      </w:r>
      <w:r w:rsidR="008E2E30">
        <w:t>A</w:t>
      </w:r>
      <w:r>
        <w:t xml:space="preserve">ntibody </w:t>
      </w:r>
      <w:r w:rsidR="008E2E30">
        <w:t>Screen T</w:t>
      </w:r>
      <w:r>
        <w:t>est (ABS) described in Patient Testing: Record a Patient Antibody Screen.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AFD2C36" w14:textId="77777777">
        <w:trPr>
          <w:tblHeader/>
        </w:trPr>
        <w:tc>
          <w:tcPr>
            <w:tcW w:w="3240" w:type="dxa"/>
            <w:shd w:val="pct30" w:color="auto" w:fill="FFFFFF"/>
            <w:vAlign w:val="bottom"/>
          </w:tcPr>
          <w:p w14:paraId="5460BFCF" w14:textId="77777777" w:rsidR="002A21AE" w:rsidRDefault="002A21AE">
            <w:pPr>
              <w:pStyle w:val="TableText"/>
              <w:rPr>
                <w:b/>
              </w:rPr>
            </w:pPr>
            <w:r>
              <w:rPr>
                <w:b/>
              </w:rPr>
              <w:t>User Action</w:t>
            </w:r>
          </w:p>
        </w:tc>
        <w:tc>
          <w:tcPr>
            <w:tcW w:w="6120" w:type="dxa"/>
            <w:shd w:val="pct30" w:color="auto" w:fill="FFFFFF"/>
            <w:vAlign w:val="bottom"/>
          </w:tcPr>
          <w:p w14:paraId="1EAB4184" w14:textId="77777777" w:rsidR="002A21AE" w:rsidRDefault="002A21AE">
            <w:pPr>
              <w:pStyle w:val="TableText"/>
              <w:rPr>
                <w:b/>
              </w:rPr>
            </w:pPr>
            <w:r>
              <w:rPr>
                <w:b/>
              </w:rPr>
              <w:t>VBECS</w:t>
            </w:r>
          </w:p>
        </w:tc>
      </w:tr>
      <w:tr w:rsidR="002A21AE" w14:paraId="48EFF3EA" w14:textId="77777777">
        <w:tc>
          <w:tcPr>
            <w:tcW w:w="3240" w:type="dxa"/>
          </w:tcPr>
          <w:p w14:paraId="4D95E37E" w14:textId="77777777" w:rsidR="002A21AE" w:rsidRDefault="002A21AE">
            <w:pPr>
              <w:pStyle w:val="TableTextNumbers"/>
            </w:pPr>
            <w:r>
              <w:t xml:space="preserve">Select </w:t>
            </w:r>
            <w:r>
              <w:rPr>
                <w:b/>
                <w:bCs/>
              </w:rPr>
              <w:t>Tools</w:t>
            </w:r>
            <w:r>
              <w:t xml:space="preserve"> from the main menu.</w:t>
            </w:r>
          </w:p>
          <w:p w14:paraId="0A452461" w14:textId="77777777" w:rsidR="002A21AE" w:rsidRDefault="002A21AE">
            <w:pPr>
              <w:pStyle w:val="TableTextNumbersContinued"/>
              <w:rPr>
                <w:b/>
                <w:bCs/>
              </w:rPr>
            </w:pPr>
          </w:p>
          <w:p w14:paraId="19915B48" w14:textId="77777777" w:rsidR="002A21AE" w:rsidRDefault="002A21AE">
            <w:pPr>
              <w:pStyle w:val="TableTextNumbersContinued"/>
            </w:pPr>
            <w:r>
              <w:t xml:space="preserve">Select </w:t>
            </w:r>
            <w:r>
              <w:rPr>
                <w:b/>
              </w:rPr>
              <w:t>Configure Division</w:t>
            </w:r>
            <w:r>
              <w:t>.</w:t>
            </w:r>
          </w:p>
        </w:tc>
        <w:tc>
          <w:tcPr>
            <w:tcW w:w="6120" w:type="dxa"/>
          </w:tcPr>
          <w:p w14:paraId="78679BEA" w14:textId="77777777" w:rsidR="002A21AE" w:rsidRDefault="002A21AE">
            <w:pPr>
              <w:pStyle w:val="TableTextBullet"/>
            </w:pPr>
            <w:r>
              <w:t>Displays options for processing administrative functions.</w:t>
            </w:r>
          </w:p>
          <w:p w14:paraId="39D55A24" w14:textId="77777777" w:rsidR="002A21AE" w:rsidRDefault="002A21AE">
            <w:pPr>
              <w:pStyle w:val="TableTextBullet"/>
            </w:pPr>
            <w:r>
              <w:t>Displays the Configure Division tab with fields for entering division-specific testing information.</w:t>
            </w:r>
          </w:p>
        </w:tc>
      </w:tr>
      <w:tr w:rsidR="002A21AE" w14:paraId="531F06D2" w14:textId="77777777">
        <w:tc>
          <w:tcPr>
            <w:tcW w:w="3240" w:type="dxa"/>
          </w:tcPr>
          <w:p w14:paraId="386D33DF" w14:textId="779BF1C5" w:rsidR="002A21AE" w:rsidRDefault="002A21AE">
            <w:pPr>
              <w:pStyle w:val="TableTextNumbers"/>
            </w:pPr>
            <w:r>
              <w:t xml:space="preserve">Click the </w:t>
            </w:r>
            <w:r>
              <w:rPr>
                <w:b/>
                <w:bCs/>
              </w:rPr>
              <w:t xml:space="preserve">Configure Testing </w:t>
            </w:r>
            <w:r w:rsidRPr="00773FF6">
              <w:rPr>
                <w:bCs/>
              </w:rPr>
              <w:t>tab</w:t>
            </w:r>
            <w:r w:rsidR="00B22EAF">
              <w:t xml:space="preserve"> </w:t>
            </w:r>
            <w:r w:rsidR="000A273B">
              <w:t>(</w:t>
            </w:r>
            <w:r w:rsidR="00EE455E">
              <w:t xml:space="preserve">Figure </w:t>
            </w:r>
            <w:r w:rsidR="00EE455E">
              <w:rPr>
                <w:noProof/>
              </w:rPr>
              <w:t>25</w:t>
            </w:r>
            <w:r w:rsidR="000A273B">
              <w:t>)</w:t>
            </w:r>
            <w:r w:rsidR="00B22EAF" w:rsidRPr="00090795">
              <w:rPr>
                <w:bCs/>
              </w:rPr>
              <w:t>.</w:t>
            </w:r>
          </w:p>
          <w:p w14:paraId="506BC003" w14:textId="77777777" w:rsidR="002A21AE" w:rsidRPr="00EF0F79" w:rsidRDefault="002A21AE" w:rsidP="007270C3">
            <w:pPr>
              <w:pStyle w:val="TableTextNumbersContinued"/>
              <w:ind w:left="0"/>
              <w:rPr>
                <w:strike/>
              </w:rPr>
            </w:pPr>
          </w:p>
        </w:tc>
        <w:tc>
          <w:tcPr>
            <w:tcW w:w="6120" w:type="dxa"/>
          </w:tcPr>
          <w:p w14:paraId="50B2104D" w14:textId="77777777" w:rsidR="002A21AE" w:rsidRDefault="002A21AE">
            <w:pPr>
              <w:pStyle w:val="TableTextBullet"/>
            </w:pPr>
            <w:r>
              <w:t>Displays the Configure Testing tab with fields for entering division-specific blood product information.</w:t>
            </w:r>
          </w:p>
          <w:p w14:paraId="5A283250" w14:textId="77777777" w:rsidR="004E0061" w:rsidRPr="007270C3" w:rsidRDefault="002A21AE" w:rsidP="007270C3">
            <w:pPr>
              <w:pStyle w:val="TableTextBullet"/>
            </w:pPr>
            <w:r>
              <w:t>Displays options to set standard operating procedures for a division’s laboratory testing.</w:t>
            </w:r>
          </w:p>
        </w:tc>
      </w:tr>
      <w:tr w:rsidR="00EF0F79" w14:paraId="2576FA41" w14:textId="77777777">
        <w:tc>
          <w:tcPr>
            <w:tcW w:w="3240" w:type="dxa"/>
          </w:tcPr>
          <w:p w14:paraId="6855855F" w14:textId="77777777" w:rsidR="00C7159B" w:rsidRDefault="00EF0F79" w:rsidP="00EF0F79">
            <w:pPr>
              <w:pStyle w:val="TableTextNumbers"/>
            </w:pPr>
            <w:r>
              <w:t>Click the appropriate radio buttons to</w:t>
            </w:r>
            <w:r w:rsidR="00C7159B">
              <w:t>:</w:t>
            </w:r>
          </w:p>
          <w:p w14:paraId="33EA7A9C" w14:textId="77777777" w:rsidR="00C7159B" w:rsidRDefault="00C7159B" w:rsidP="00C7159B">
            <w:pPr>
              <w:pStyle w:val="TableTextNumbers"/>
              <w:numPr>
                <w:ilvl w:val="0"/>
                <w:numId w:val="0"/>
              </w:numPr>
              <w:ind w:left="288"/>
            </w:pPr>
          </w:p>
          <w:p w14:paraId="456E7821" w14:textId="77777777" w:rsidR="00C7159B" w:rsidRDefault="00C7159B" w:rsidP="00C7159B">
            <w:pPr>
              <w:pStyle w:val="TableTextNumbers"/>
              <w:numPr>
                <w:ilvl w:val="0"/>
                <w:numId w:val="0"/>
              </w:numPr>
              <w:ind w:left="288"/>
            </w:pPr>
            <w:r w:rsidRPr="00C7159B">
              <w:rPr>
                <w:b/>
              </w:rPr>
              <w:t>E</w:t>
            </w:r>
            <w:r w:rsidR="00EF0F79" w:rsidRPr="00C7159B">
              <w:rPr>
                <w:b/>
              </w:rPr>
              <w:t>nable</w:t>
            </w:r>
            <w:r w:rsidR="00EF0F79">
              <w:t xml:space="preserve"> Electronic Crossmatch</w:t>
            </w:r>
          </w:p>
          <w:p w14:paraId="3A037270" w14:textId="77777777" w:rsidR="00C7159B" w:rsidRDefault="00C7159B" w:rsidP="00C7159B">
            <w:pPr>
              <w:pStyle w:val="TableTextNumbers"/>
              <w:numPr>
                <w:ilvl w:val="0"/>
                <w:numId w:val="0"/>
              </w:numPr>
              <w:ind w:left="288"/>
            </w:pPr>
          </w:p>
          <w:p w14:paraId="314A1478" w14:textId="77777777" w:rsidR="00C7159B" w:rsidRDefault="00C7159B" w:rsidP="00C7159B">
            <w:pPr>
              <w:pStyle w:val="TableTextNumbers"/>
              <w:numPr>
                <w:ilvl w:val="0"/>
                <w:numId w:val="0"/>
              </w:numPr>
              <w:ind w:left="288"/>
            </w:pPr>
            <w:r>
              <w:t>D</w:t>
            </w:r>
            <w:r w:rsidR="00EF0F79">
              <w:t>etermine antibody screen (display antibody screen only, or with a DAT or Autocontrol)</w:t>
            </w:r>
          </w:p>
          <w:p w14:paraId="02001B03" w14:textId="77777777" w:rsidR="00C7159B" w:rsidRDefault="00C7159B" w:rsidP="00C7159B">
            <w:pPr>
              <w:pStyle w:val="TableTextNumbers"/>
              <w:numPr>
                <w:ilvl w:val="0"/>
                <w:numId w:val="0"/>
              </w:numPr>
              <w:ind w:left="288"/>
            </w:pPr>
          </w:p>
          <w:p w14:paraId="5918E647" w14:textId="77777777" w:rsidR="00EF0F79" w:rsidRDefault="00C7159B" w:rsidP="00C7159B">
            <w:pPr>
              <w:pStyle w:val="TableTextNumbers"/>
              <w:numPr>
                <w:ilvl w:val="0"/>
                <w:numId w:val="0"/>
              </w:numPr>
              <w:ind w:left="288"/>
            </w:pPr>
            <w:r>
              <w:t xml:space="preserve">Determine the default test grid displayed </w:t>
            </w:r>
            <w:r w:rsidR="00EF0F79">
              <w:t>for ABS and XM Testing Phases</w:t>
            </w:r>
          </w:p>
        </w:tc>
        <w:tc>
          <w:tcPr>
            <w:tcW w:w="6120" w:type="dxa"/>
          </w:tcPr>
          <w:p w14:paraId="2B4727BC" w14:textId="77777777" w:rsidR="00E77D78" w:rsidRDefault="00A4668B" w:rsidP="002E7EBF">
            <w:pPr>
              <w:pStyle w:val="TableTextBullet"/>
            </w:pPr>
            <w:r>
              <w:t>Displays default configuration settings of</w:t>
            </w:r>
            <w:r w:rsidR="00E77D78">
              <w:t>:</w:t>
            </w:r>
          </w:p>
          <w:p w14:paraId="63CC1E07" w14:textId="77777777" w:rsidR="00E77D78" w:rsidRDefault="00A4668B" w:rsidP="00E77D78">
            <w:pPr>
              <w:pStyle w:val="TableTextBullet1"/>
            </w:pPr>
            <w:r>
              <w:t>Electronic Crossmatch</w:t>
            </w:r>
            <w:r w:rsidR="00E77D78">
              <w:t>:</w:t>
            </w:r>
            <w:r>
              <w:t xml:space="preserve"> Disabled</w:t>
            </w:r>
          </w:p>
          <w:p w14:paraId="28A8DE5E" w14:textId="77777777" w:rsidR="00EF0F79" w:rsidRDefault="00E77D78" w:rsidP="00E77D78">
            <w:pPr>
              <w:pStyle w:val="TableTextBullet1"/>
            </w:pPr>
            <w:r>
              <w:t>Antibody Screen: Antibody Screen Only</w:t>
            </w:r>
          </w:p>
          <w:p w14:paraId="71677E3C" w14:textId="77777777" w:rsidR="00E77D78" w:rsidRDefault="00E77D78" w:rsidP="00E77D78">
            <w:pPr>
              <w:pStyle w:val="TableTextBullet1"/>
            </w:pPr>
            <w:r>
              <w:t>ABS and XM Testing Phases: All Phases</w:t>
            </w:r>
          </w:p>
          <w:p w14:paraId="2A62A594" w14:textId="77777777" w:rsidR="00E77D78" w:rsidRDefault="00E77D78" w:rsidP="00E77D78">
            <w:pPr>
              <w:pStyle w:val="TableTextBullet"/>
            </w:pPr>
            <w:r>
              <w:rPr>
                <w:vanish/>
              </w:rPr>
              <w:t xml:space="preserve">BR_55.04 </w:t>
            </w:r>
            <w:r>
              <w:t>Changes to the configuration settings are captured for the Audit Trail Report.</w:t>
            </w:r>
          </w:p>
        </w:tc>
      </w:tr>
      <w:tr w:rsidR="002A21AE" w14:paraId="78091316" w14:textId="77777777">
        <w:tc>
          <w:tcPr>
            <w:tcW w:w="3240" w:type="dxa"/>
          </w:tcPr>
          <w:p w14:paraId="606B6122" w14:textId="77777777"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27A472C" w14:textId="77777777" w:rsidR="002A21AE" w:rsidRPr="002E7EBF" w:rsidRDefault="002A21AE" w:rsidP="002E7EBF">
            <w:pPr>
              <w:pStyle w:val="TableTextBullet"/>
            </w:pPr>
            <w:r>
              <w:t>Displays the appropriate testing grids for subsequent patient orders.</w:t>
            </w:r>
          </w:p>
        </w:tc>
      </w:tr>
    </w:tbl>
    <w:p w14:paraId="0F2E245D" w14:textId="511DF752" w:rsidR="000A273B" w:rsidRDefault="000A273B" w:rsidP="000A273B">
      <w:pPr>
        <w:pStyle w:val="Caption"/>
      </w:pPr>
      <w:bookmarkStart w:id="158" w:name="_Ref300722854"/>
      <w:bookmarkStart w:id="159" w:name="_Ref30072283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25</w:t>
      </w:r>
      <w:r w:rsidR="004E20BD">
        <w:rPr>
          <w:noProof/>
        </w:rPr>
        <w:fldChar w:fldCharType="end"/>
      </w:r>
      <w:bookmarkEnd w:id="158"/>
      <w:r>
        <w:t xml:space="preserve">: </w:t>
      </w:r>
      <w:r w:rsidR="00954B38">
        <w:t xml:space="preserve">Example of </w:t>
      </w:r>
      <w:r>
        <w:t>Configure Testing Tab</w:t>
      </w:r>
      <w:bookmarkEnd w:id="159"/>
    </w:p>
    <w:p w14:paraId="7835B084" w14:textId="77777777" w:rsidR="000A273B" w:rsidRPr="000A273B" w:rsidRDefault="00057948" w:rsidP="000A273B">
      <w:pPr>
        <w:pStyle w:val="BodyText"/>
      </w:pPr>
      <w:r>
        <w:rPr>
          <w:noProof/>
        </w:rPr>
        <w:drawing>
          <wp:inline distT="0" distB="0" distL="0" distR="0" wp14:anchorId="65411A45" wp14:editId="6569B61E">
            <wp:extent cx="3657600" cy="3657600"/>
            <wp:effectExtent l="0" t="0" r="0" b="0"/>
            <wp:docPr id="128" name="Picture 128" descr="Example of Configure Testing Tab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Example of Configure Testing Tab screen captur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14:paraId="3EC1A2A7" w14:textId="77777777" w:rsidR="00AF089A" w:rsidRDefault="00AF089A" w:rsidP="007716F7">
      <w:pPr>
        <w:pStyle w:val="Heading3"/>
      </w:pPr>
    </w:p>
    <w:p w14:paraId="2589AD52" w14:textId="77777777" w:rsidR="002A21AE" w:rsidRDefault="00AF089A" w:rsidP="007716F7">
      <w:pPr>
        <w:pStyle w:val="Heading3"/>
      </w:pPr>
      <w:r>
        <w:br w:type="page"/>
      </w:r>
      <w:bookmarkStart w:id="160" w:name="_Toc149064097"/>
      <w:r w:rsidR="00046402">
        <w:t>Product Modifications</w:t>
      </w:r>
      <w:bookmarkEnd w:id="160"/>
      <w:r w:rsidR="002A21AE">
        <w:fldChar w:fldCharType="begin"/>
      </w:r>
      <w:r w:rsidR="002A21AE">
        <w:instrText xml:space="preserve"> XE </w:instrText>
      </w:r>
      <w:r w:rsidR="00FA7E65">
        <w:instrText>“</w:instrText>
      </w:r>
      <w:r w:rsidR="00046402">
        <w:instrText>Product Modifications</w:instrText>
      </w:r>
      <w:r w:rsidR="00FA7E65">
        <w:instrText>”</w:instrText>
      </w:r>
      <w:r w:rsidR="002A21AE">
        <w:instrText xml:space="preserve"> </w:instrText>
      </w:r>
      <w:r w:rsidR="002A21AE">
        <w:fldChar w:fldCharType="end"/>
      </w:r>
      <w:r w:rsidR="002A21AE">
        <w:t xml:space="preserve"> </w:t>
      </w:r>
      <w:r w:rsidR="002A21AE" w:rsidRPr="00796039">
        <w:rPr>
          <w:rFonts w:ascii="Arial Bold" w:hAnsi="Arial Bold"/>
          <w:vanish/>
        </w:rPr>
        <w:t>UC_10</w:t>
      </w:r>
    </w:p>
    <w:p w14:paraId="2DCAF5A9" w14:textId="7D587774" w:rsidR="002A21AE" w:rsidRDefault="002A21AE" w:rsidP="00FA7E65">
      <w:pPr>
        <w:pStyle w:val="BodyText"/>
      </w:pPr>
      <w:r>
        <w:t xml:space="preserve">The user enables the types of modifications made at a division. </w:t>
      </w:r>
      <w:r w:rsidR="0056674A">
        <w:t xml:space="preserve">For additional information, see </w:t>
      </w:r>
      <w:r w:rsidR="00EE455E">
        <w:t xml:space="preserve">Appendix </w:t>
      </w:r>
      <w:r w:rsidR="00EE455E">
        <w:rPr>
          <w:noProof/>
        </w:rPr>
        <w:t>G</w:t>
      </w:r>
      <w:r w:rsidR="00EE455E">
        <w:t>: Work Process Flowcharts</w:t>
      </w:r>
      <w:r w:rsidR="0056674A">
        <w:t>.</w:t>
      </w:r>
    </w:p>
    <w:p w14:paraId="5E3F2A30" w14:textId="77777777" w:rsidR="002A21AE" w:rsidRDefault="002A21AE">
      <w:pPr>
        <w:pStyle w:val="Heading4"/>
      </w:pPr>
      <w:r>
        <w:t>Assumptions</w:t>
      </w:r>
      <w:r>
        <w:rPr>
          <w:b w:val="0"/>
        </w:rPr>
        <w:t xml:space="preserve"> </w:t>
      </w:r>
    </w:p>
    <w:p w14:paraId="38424C74" w14:textId="77777777" w:rsidR="002A21AE" w:rsidRDefault="002A21AE">
      <w:pPr>
        <w:pStyle w:val="ListBullet"/>
      </w:pPr>
      <w:r>
        <w:t>An ICCBBA number was entered for the division.</w:t>
      </w:r>
    </w:p>
    <w:p w14:paraId="627BCFE3" w14:textId="77777777" w:rsidR="002A21AE" w:rsidRDefault="002A21AE">
      <w:pPr>
        <w:pStyle w:val="ListBullet"/>
      </w:pPr>
      <w:r>
        <w:rPr>
          <w:vanish/>
          <w:spacing w:val="0"/>
        </w:rPr>
        <w:t xml:space="preserve">BR_55.02 </w:t>
      </w:r>
      <w:r>
        <w:t>VBECS locks a user out when the user attempts to change the configuration and there are open or partially completed worksheets or processes in the division.</w:t>
      </w:r>
    </w:p>
    <w:p w14:paraId="42E317D3" w14:textId="77777777" w:rsidR="002A21AE" w:rsidRDefault="002A21AE">
      <w:pPr>
        <w:pStyle w:val="Heading4"/>
      </w:pPr>
      <w:r>
        <w:t xml:space="preserve">Outcome </w:t>
      </w:r>
    </w:p>
    <w:p w14:paraId="1D15C3C2" w14:textId="77777777" w:rsidR="002A21AE" w:rsidRDefault="002A21AE">
      <w:pPr>
        <w:pStyle w:val="ListBullet"/>
      </w:pPr>
      <w:r>
        <w:t>This option dictates the available modification types displayed in Modify Units: Pool Units, Modify Units: Split a Unit, and Modify Units.</w:t>
      </w:r>
    </w:p>
    <w:p w14:paraId="6703B59A" w14:textId="77777777" w:rsidR="002A21AE" w:rsidRDefault="002A21AE">
      <w:pPr>
        <w:pStyle w:val="Heading4"/>
        <w:rPr>
          <w:b w:val="0"/>
        </w:rPr>
      </w:pPr>
      <w:r>
        <w:t>Limitations and Restrictions</w:t>
      </w:r>
      <w:r>
        <w:rPr>
          <w:b w:val="0"/>
        </w:rPr>
        <w:t xml:space="preserve"> </w:t>
      </w:r>
    </w:p>
    <w:p w14:paraId="145AC3C4" w14:textId="77777777" w:rsidR="002A21AE" w:rsidRDefault="002A21AE">
      <w:pPr>
        <w:pStyle w:val="ListBullet"/>
      </w:pPr>
      <w:r>
        <w:rPr>
          <w:snapToGrid w:val="0"/>
        </w:rPr>
        <w:t>None</w:t>
      </w:r>
    </w:p>
    <w:p w14:paraId="7915027A" w14:textId="77777777" w:rsidR="002A21AE" w:rsidRDefault="002A21AE">
      <w:pPr>
        <w:pStyle w:val="Heading4"/>
      </w:pPr>
      <w:r>
        <w:t xml:space="preserve">Additional Information </w:t>
      </w:r>
    </w:p>
    <w:p w14:paraId="360CFF14" w14:textId="77777777" w:rsidR="002A21AE" w:rsidRDefault="002A21AE">
      <w:pPr>
        <w:pStyle w:val="ListBullet"/>
      </w:pPr>
      <w:r>
        <w:rPr>
          <w:snapToGrid w:val="0"/>
        </w:rPr>
        <w:t>None</w:t>
      </w:r>
    </w:p>
    <w:p w14:paraId="2BA26661" w14:textId="77777777" w:rsidR="002A21AE" w:rsidRDefault="002A21AE">
      <w:pPr>
        <w:pStyle w:val="Heading4"/>
      </w:pPr>
      <w:r>
        <w:t xml:space="preserve">User Roles with Access to This Option </w:t>
      </w:r>
    </w:p>
    <w:p w14:paraId="103E4EFD" w14:textId="77777777" w:rsidR="002A21AE" w:rsidRDefault="00237C52">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4168F8C8" w14:textId="77777777" w:rsidR="002A21AE" w:rsidRDefault="00046402">
      <w:pPr>
        <w:pStyle w:val="Heading4"/>
        <w:rPr>
          <w:u w:val="single"/>
        </w:rPr>
      </w:pPr>
      <w:r>
        <w:t>Product Modifications</w:t>
      </w:r>
    </w:p>
    <w:p w14:paraId="731CE553" w14:textId="77777777" w:rsidR="002A21AE" w:rsidRDefault="002A21AE" w:rsidP="00FA7E65">
      <w:pPr>
        <w:pStyle w:val="BodyText"/>
      </w:pPr>
      <w:r>
        <w:t>The user enables specific modification type procedures performed in the blood bank in the hospital division. The user may enable one, all, or some of the modification processes. Once the types of modifications are enabled, individual blood unit modification is controlled by the rules of modification truth tables. VBECS is exported with all modification types disabled. VBECS allows for full customization upon deployment as well as changes to the enabled modifications when a division’s capabilities and procedures change.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40F49F7" w14:textId="77777777">
        <w:trPr>
          <w:tblHeader/>
        </w:trPr>
        <w:tc>
          <w:tcPr>
            <w:tcW w:w="3240" w:type="dxa"/>
            <w:shd w:val="pct30" w:color="auto" w:fill="FFFFFF"/>
            <w:vAlign w:val="bottom"/>
          </w:tcPr>
          <w:p w14:paraId="369684BC" w14:textId="77777777" w:rsidR="002A21AE" w:rsidRDefault="002A21AE">
            <w:pPr>
              <w:pStyle w:val="TableText"/>
              <w:rPr>
                <w:b/>
              </w:rPr>
            </w:pPr>
            <w:r>
              <w:rPr>
                <w:b/>
              </w:rPr>
              <w:t>User Action</w:t>
            </w:r>
          </w:p>
        </w:tc>
        <w:tc>
          <w:tcPr>
            <w:tcW w:w="6120" w:type="dxa"/>
            <w:shd w:val="pct30" w:color="auto" w:fill="FFFFFF"/>
            <w:vAlign w:val="bottom"/>
          </w:tcPr>
          <w:p w14:paraId="476EE335" w14:textId="77777777" w:rsidR="002A21AE" w:rsidRDefault="002A21AE">
            <w:pPr>
              <w:pStyle w:val="TableText"/>
              <w:rPr>
                <w:b/>
              </w:rPr>
            </w:pPr>
            <w:r>
              <w:rPr>
                <w:b/>
              </w:rPr>
              <w:t>VBECS</w:t>
            </w:r>
          </w:p>
        </w:tc>
      </w:tr>
      <w:tr w:rsidR="002A21AE" w14:paraId="68FECCCE" w14:textId="77777777">
        <w:tc>
          <w:tcPr>
            <w:tcW w:w="3240" w:type="dxa"/>
          </w:tcPr>
          <w:p w14:paraId="599536CF" w14:textId="77777777" w:rsidR="002A21AE" w:rsidRDefault="002A21AE">
            <w:pPr>
              <w:pStyle w:val="TableTextNumbers"/>
            </w:pPr>
            <w:r>
              <w:t xml:space="preserve">Select </w:t>
            </w:r>
            <w:r>
              <w:rPr>
                <w:b/>
                <w:bCs/>
              </w:rPr>
              <w:t>Tools</w:t>
            </w:r>
            <w:r>
              <w:t xml:space="preserve"> from the main menu.</w:t>
            </w:r>
          </w:p>
          <w:p w14:paraId="4C64983D" w14:textId="77777777" w:rsidR="002A21AE" w:rsidRDefault="002A21AE">
            <w:pPr>
              <w:pStyle w:val="TableTextNumbersContinued"/>
              <w:rPr>
                <w:b/>
                <w:bCs/>
              </w:rPr>
            </w:pPr>
          </w:p>
          <w:p w14:paraId="4A312B5C" w14:textId="77777777" w:rsidR="002A21AE" w:rsidRDefault="002A21AE">
            <w:pPr>
              <w:pStyle w:val="TableTextNumbersContinued"/>
            </w:pPr>
            <w:r>
              <w:t xml:space="preserve">Select </w:t>
            </w:r>
            <w:r>
              <w:rPr>
                <w:b/>
              </w:rPr>
              <w:t>Configure Division</w:t>
            </w:r>
            <w:r>
              <w:t>.</w:t>
            </w:r>
          </w:p>
        </w:tc>
        <w:tc>
          <w:tcPr>
            <w:tcW w:w="6120" w:type="dxa"/>
          </w:tcPr>
          <w:p w14:paraId="5B594209" w14:textId="77777777" w:rsidR="002A21AE" w:rsidRDefault="002A21AE">
            <w:pPr>
              <w:pStyle w:val="TableTextBullet"/>
            </w:pPr>
            <w:r>
              <w:t>Displays options for processing administrative functions.</w:t>
            </w:r>
          </w:p>
          <w:p w14:paraId="0A473667" w14:textId="77777777" w:rsidR="002A21AE" w:rsidRDefault="002A21AE">
            <w:pPr>
              <w:pStyle w:val="TableTextBullet"/>
            </w:pPr>
            <w:r>
              <w:t>Displays the Configure Division tab with fields for entering division-specific testing information.</w:t>
            </w:r>
          </w:p>
        </w:tc>
      </w:tr>
      <w:tr w:rsidR="002A21AE" w14:paraId="529BF1D6" w14:textId="77777777">
        <w:tc>
          <w:tcPr>
            <w:tcW w:w="3240" w:type="dxa"/>
          </w:tcPr>
          <w:p w14:paraId="1203EE4E" w14:textId="562F7412" w:rsidR="002A21AE" w:rsidRDefault="002A21AE">
            <w:pPr>
              <w:pStyle w:val="TableTextNumbers"/>
            </w:pPr>
            <w:r>
              <w:t xml:space="preserve">Click the </w:t>
            </w:r>
            <w:r>
              <w:rPr>
                <w:b/>
              </w:rPr>
              <w:t xml:space="preserve">Product Modifications </w:t>
            </w:r>
            <w:r w:rsidRPr="00CC3C89">
              <w:t>tab</w:t>
            </w:r>
            <w:r w:rsidR="001266F5" w:rsidRPr="00CC3C89">
              <w:t xml:space="preserve"> </w:t>
            </w:r>
            <w:r w:rsidR="001266F5">
              <w:t>(</w:t>
            </w:r>
            <w:r w:rsidR="00EE455E">
              <w:t xml:space="preserve">Figure </w:t>
            </w:r>
            <w:r w:rsidR="00EE455E">
              <w:rPr>
                <w:noProof/>
              </w:rPr>
              <w:t>26</w:t>
            </w:r>
            <w:r w:rsidR="001266F5">
              <w:t>)</w:t>
            </w:r>
            <w:r>
              <w:t>.</w:t>
            </w:r>
          </w:p>
        </w:tc>
        <w:tc>
          <w:tcPr>
            <w:tcW w:w="6120" w:type="dxa"/>
          </w:tcPr>
          <w:p w14:paraId="3BD9D64A" w14:textId="77777777" w:rsidR="002A21AE" w:rsidRDefault="002A21AE">
            <w:pPr>
              <w:pStyle w:val="TableTextBullet"/>
            </w:pPr>
            <w:r>
              <w:t xml:space="preserve">Lists valid modification procedures. </w:t>
            </w:r>
          </w:p>
          <w:p w14:paraId="2EFEB850" w14:textId="77777777" w:rsidR="002A21AE" w:rsidRDefault="002A21AE">
            <w:pPr>
              <w:pStyle w:val="TableText"/>
            </w:pPr>
          </w:p>
          <w:p w14:paraId="7CF1B052" w14:textId="57266399" w:rsidR="002A21AE" w:rsidRDefault="002A21AE">
            <w:pPr>
              <w:pStyle w:val="TableText"/>
              <w:rPr>
                <w:b/>
                <w:bCs/>
                <w:szCs w:val="18"/>
              </w:rPr>
            </w:pPr>
            <w:r>
              <w:rPr>
                <w:b/>
                <w:bCs/>
                <w:szCs w:val="18"/>
              </w:rPr>
              <w:t>NOTES</w:t>
            </w:r>
          </w:p>
          <w:p w14:paraId="5F064322" w14:textId="77777777" w:rsidR="002A21AE" w:rsidRDefault="002A21AE">
            <w:pPr>
              <w:pStyle w:val="NotesText"/>
            </w:pPr>
          </w:p>
          <w:p w14:paraId="0E4A473F" w14:textId="77777777" w:rsidR="002A21AE" w:rsidRDefault="002A21AE">
            <w:pPr>
              <w:pStyle w:val="NotesText"/>
              <w:rPr>
                <w:strike/>
              </w:rPr>
            </w:pPr>
            <w:r>
              <w:t xml:space="preserve">A user may enable one, more, or all modification types. </w:t>
            </w:r>
          </w:p>
        </w:tc>
      </w:tr>
      <w:tr w:rsidR="002A21AE" w14:paraId="4A96F405" w14:textId="77777777" w:rsidTr="007E500E">
        <w:trPr>
          <w:cantSplit/>
        </w:trPr>
        <w:tc>
          <w:tcPr>
            <w:tcW w:w="3240" w:type="dxa"/>
          </w:tcPr>
          <w:p w14:paraId="43997030" w14:textId="77777777" w:rsidR="002A21AE" w:rsidRDefault="002A21AE">
            <w:pPr>
              <w:pStyle w:val="TableTextNumbers"/>
            </w:pPr>
            <w:r>
              <w:t>Click one or more check boxes to enable modification types.</w:t>
            </w:r>
          </w:p>
          <w:p w14:paraId="7071CC48" w14:textId="77777777" w:rsidR="002A21AE" w:rsidRDefault="002A21AE">
            <w:pPr>
              <w:pStyle w:val="TableTextNumbersContinued"/>
              <w:rPr>
                <w:b/>
                <w:bCs/>
              </w:rPr>
            </w:pPr>
          </w:p>
          <w:p w14:paraId="58B6E71B" w14:textId="77777777" w:rsidR="002A21AE" w:rsidRDefault="002A21AE">
            <w:pPr>
              <w:pStyle w:val="TableTextNumbersContinued"/>
            </w:pPr>
            <w:r>
              <w:t>Enter the</w:t>
            </w:r>
            <w:r w:rsidR="00B917A8">
              <w:t xml:space="preserve"> processing cost </w:t>
            </w:r>
            <w:r>
              <w:t xml:space="preserve">associated with each modification procedure. </w:t>
            </w:r>
          </w:p>
        </w:tc>
        <w:tc>
          <w:tcPr>
            <w:tcW w:w="6120" w:type="dxa"/>
          </w:tcPr>
          <w:p w14:paraId="7BCCE7DF" w14:textId="77777777" w:rsidR="002A21AE" w:rsidRDefault="002A21AE">
            <w:pPr>
              <w:pStyle w:val="TableTextBullet"/>
            </w:pPr>
            <w:r>
              <w:t>Lists modification procedures.</w:t>
            </w:r>
          </w:p>
          <w:p w14:paraId="7EE859E2" w14:textId="77777777" w:rsidR="002A21AE" w:rsidRDefault="002A21AE">
            <w:pPr>
              <w:pStyle w:val="TableText"/>
              <w:rPr>
                <w:b/>
                <w:bCs/>
                <w:szCs w:val="18"/>
              </w:rPr>
            </w:pPr>
          </w:p>
          <w:p w14:paraId="32CD2751" w14:textId="76C7B7AD" w:rsidR="002A21AE" w:rsidRDefault="002A21AE">
            <w:pPr>
              <w:pStyle w:val="TableText"/>
              <w:rPr>
                <w:b/>
                <w:bCs/>
                <w:szCs w:val="18"/>
              </w:rPr>
            </w:pPr>
            <w:r>
              <w:rPr>
                <w:b/>
                <w:bCs/>
                <w:szCs w:val="18"/>
              </w:rPr>
              <w:t>NOTES</w:t>
            </w:r>
          </w:p>
          <w:p w14:paraId="036A1DC7" w14:textId="77777777" w:rsidR="002A21AE" w:rsidRDefault="002A21AE">
            <w:pPr>
              <w:pStyle w:val="NotesText"/>
            </w:pPr>
          </w:p>
          <w:p w14:paraId="19051C7C" w14:textId="77777777" w:rsidR="002A21AE" w:rsidRDefault="002A21AE">
            <w:pPr>
              <w:pStyle w:val="NotesText"/>
            </w:pPr>
            <w:r>
              <w:t>Modification procedures:</w:t>
            </w:r>
          </w:p>
          <w:p w14:paraId="74227592" w14:textId="77777777" w:rsidR="002A21AE" w:rsidRDefault="002A21AE">
            <w:pPr>
              <w:pStyle w:val="NotesTextBullet"/>
            </w:pPr>
            <w:r>
              <w:t xml:space="preserve">Thaw </w:t>
            </w:r>
          </w:p>
          <w:p w14:paraId="6905488A" w14:textId="77777777" w:rsidR="002A21AE" w:rsidRDefault="002A21AE">
            <w:pPr>
              <w:pStyle w:val="NotesTextBullet"/>
            </w:pPr>
            <w:r>
              <w:t>Pool</w:t>
            </w:r>
          </w:p>
          <w:p w14:paraId="0ABCC28F" w14:textId="77777777" w:rsidR="002A21AE" w:rsidRDefault="002A21AE">
            <w:pPr>
              <w:pStyle w:val="NotesTextBullet"/>
            </w:pPr>
            <w:r>
              <w:t>Thaw/Pool Cryo</w:t>
            </w:r>
          </w:p>
          <w:p w14:paraId="0680950F" w14:textId="77777777" w:rsidR="002A21AE" w:rsidRDefault="002A21AE">
            <w:pPr>
              <w:pStyle w:val="NotesTextBullet"/>
            </w:pPr>
            <w:r>
              <w:t>Split/Divide</w:t>
            </w:r>
          </w:p>
          <w:p w14:paraId="0DE32144" w14:textId="77777777" w:rsidR="002A21AE" w:rsidRDefault="002A21AE">
            <w:pPr>
              <w:pStyle w:val="NotesTextBullet"/>
            </w:pPr>
            <w:r>
              <w:t>Irradiate</w:t>
            </w:r>
          </w:p>
          <w:p w14:paraId="5D7FE5BF" w14:textId="77777777" w:rsidR="002A21AE" w:rsidRDefault="002A21AE">
            <w:pPr>
              <w:pStyle w:val="NotesTextBullet"/>
            </w:pPr>
            <w:r>
              <w:t>Leukoreduce</w:t>
            </w:r>
          </w:p>
          <w:p w14:paraId="0E9DCB7F" w14:textId="77777777" w:rsidR="002A21AE" w:rsidRDefault="002A21AE">
            <w:pPr>
              <w:pStyle w:val="NotesTextBullet"/>
            </w:pPr>
            <w:r>
              <w:t>Volume reduce</w:t>
            </w:r>
          </w:p>
          <w:p w14:paraId="56948B52" w14:textId="77777777" w:rsidR="002A21AE" w:rsidRDefault="002A21AE">
            <w:pPr>
              <w:pStyle w:val="NotesTextBullet"/>
            </w:pPr>
            <w:r>
              <w:t>Wash</w:t>
            </w:r>
          </w:p>
          <w:p w14:paraId="1BB1ADDF" w14:textId="77777777" w:rsidR="002A21AE" w:rsidRDefault="002A21AE">
            <w:pPr>
              <w:pStyle w:val="NotesTextBullet"/>
            </w:pPr>
            <w:r>
              <w:t xml:space="preserve">Rejuvenate </w:t>
            </w:r>
          </w:p>
          <w:p w14:paraId="0A67F8C4" w14:textId="77777777" w:rsidR="002A21AE" w:rsidRDefault="002A21AE">
            <w:pPr>
              <w:pStyle w:val="NotesTextBullet"/>
            </w:pPr>
            <w:r>
              <w:t>Freeze</w:t>
            </w:r>
          </w:p>
          <w:p w14:paraId="51BF25E2" w14:textId="77777777" w:rsidR="002A21AE" w:rsidRDefault="002A21AE">
            <w:pPr>
              <w:pStyle w:val="NotesTextBullet"/>
            </w:pPr>
            <w:r>
              <w:t>Deglycerolize</w:t>
            </w:r>
          </w:p>
          <w:p w14:paraId="2D1D2F29" w14:textId="77777777" w:rsidR="002A21AE" w:rsidRPr="009D316D" w:rsidRDefault="002A21AE" w:rsidP="009D316D">
            <w:pPr>
              <w:pStyle w:val="NotesText"/>
            </w:pPr>
          </w:p>
          <w:p w14:paraId="53A70C7D" w14:textId="77777777" w:rsidR="000E19EE" w:rsidRDefault="002A21AE" w:rsidP="009D316D">
            <w:pPr>
              <w:pStyle w:val="NotesText"/>
            </w:pPr>
            <w:r w:rsidRPr="009D316D">
              <w:rPr>
                <w:vanish/>
                <w:szCs w:val="18"/>
              </w:rPr>
              <w:t xml:space="preserve">BR_10.03 </w:t>
            </w:r>
            <w:r w:rsidRPr="009D316D">
              <w:t xml:space="preserve">The modification process fee is added to the base unit cost </w:t>
            </w:r>
            <w:r w:rsidR="00D2265D" w:rsidRPr="009D316D">
              <w:t xml:space="preserve">of the first target unit </w:t>
            </w:r>
            <w:r w:rsidRPr="009D316D">
              <w:t>and special testing costs, creating a patient bill for a transfused blood product, not including on-site antigen typing performed. The modification process fee may be U.S. $0.00 to $9,999.99.</w:t>
            </w:r>
            <w:r w:rsidR="00A76634">
              <w:t xml:space="preserve"> VBECS will generate an audit trail report entry when this field is filled or changed.</w:t>
            </w:r>
          </w:p>
        </w:tc>
      </w:tr>
      <w:tr w:rsidR="002A21AE" w14:paraId="0961895B" w14:textId="77777777">
        <w:tc>
          <w:tcPr>
            <w:tcW w:w="3240" w:type="dxa"/>
          </w:tcPr>
          <w:p w14:paraId="1C1C5124" w14:textId="77777777" w:rsidR="002A21AE" w:rsidRDefault="002A21AE">
            <w:pPr>
              <w:pStyle w:val="TableTextNumbers"/>
            </w:pPr>
            <w:r>
              <w:t xml:space="preserve">Click </w:t>
            </w:r>
            <w:r>
              <w:rPr>
                <w:b/>
              </w:rPr>
              <w:t xml:space="preserve">OK </w:t>
            </w:r>
            <w:r>
              <w:t xml:space="preserve">to save and click </w:t>
            </w:r>
            <w:r>
              <w:rPr>
                <w:b/>
              </w:rPr>
              <w:t>OK</w:t>
            </w:r>
            <w:r>
              <w:t xml:space="preserve"> again to confirm the save and exit, or click another tab.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5618615" w14:textId="77777777" w:rsidR="002A21AE" w:rsidRDefault="002A21AE">
            <w:pPr>
              <w:pStyle w:val="TableTextBullet"/>
            </w:pPr>
            <w:r>
              <w:t>Updates the database and captures changes to any previously defined parameters for inclusion in the Audit Trail Report.</w:t>
            </w:r>
          </w:p>
        </w:tc>
      </w:tr>
    </w:tbl>
    <w:p w14:paraId="7DDF2499" w14:textId="0F32F62E" w:rsidR="001266F5" w:rsidRDefault="001266F5" w:rsidP="001266F5">
      <w:pPr>
        <w:pStyle w:val="Caption"/>
      </w:pPr>
      <w:bookmarkStart w:id="161" w:name="_Ref126470383"/>
      <w:bookmarkStart w:id="162" w:name="_Toc6368038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26</w:t>
      </w:r>
      <w:r w:rsidR="004E20BD">
        <w:rPr>
          <w:noProof/>
        </w:rPr>
        <w:fldChar w:fldCharType="end"/>
      </w:r>
      <w:bookmarkEnd w:id="161"/>
      <w:r>
        <w:t xml:space="preserve">: </w:t>
      </w:r>
      <w:r w:rsidR="00954B38">
        <w:t xml:space="preserve">Example of </w:t>
      </w:r>
      <w:r>
        <w:t>Product Modifications Tab</w:t>
      </w:r>
    </w:p>
    <w:p w14:paraId="748BF8CA" w14:textId="77777777" w:rsidR="0066425F" w:rsidRDefault="00057948" w:rsidP="0066425F">
      <w:pPr>
        <w:pStyle w:val="BodyText"/>
      </w:pPr>
      <w:r>
        <w:rPr>
          <w:noProof/>
        </w:rPr>
        <w:drawing>
          <wp:inline distT="0" distB="0" distL="0" distR="0" wp14:anchorId="58CB2321" wp14:editId="36255AC8">
            <wp:extent cx="3195955" cy="3214370"/>
            <wp:effectExtent l="0" t="0" r="4445" b="5080"/>
            <wp:docPr id="129" name="Picture 129" descr="Example of Product Modifications Tab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Example of Product Modifications Tab screen captu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95955" cy="3214370"/>
                    </a:xfrm>
                    <a:prstGeom prst="rect">
                      <a:avLst/>
                    </a:prstGeom>
                    <a:noFill/>
                    <a:ln>
                      <a:noFill/>
                    </a:ln>
                  </pic:spPr>
                </pic:pic>
              </a:graphicData>
            </a:graphic>
          </wp:inline>
        </w:drawing>
      </w:r>
      <w:r w:rsidR="001266F5">
        <w:t xml:space="preserve"> </w:t>
      </w:r>
    </w:p>
    <w:p w14:paraId="38D45D49" w14:textId="77777777" w:rsidR="00796039" w:rsidRDefault="00AF089A" w:rsidP="0066425F">
      <w:pPr>
        <w:pStyle w:val="Heading3"/>
      </w:pPr>
      <w:r>
        <w:br w:type="page"/>
      </w:r>
      <w:bookmarkStart w:id="163" w:name="_Toc149064098"/>
      <w:r w:rsidR="006068DE">
        <w:t>Order Alerts</w:t>
      </w:r>
      <w:bookmarkEnd w:id="163"/>
      <w:r w:rsidR="00796039">
        <w:fldChar w:fldCharType="begin"/>
      </w:r>
      <w:r w:rsidR="00796039">
        <w:instrText xml:space="preserve"> XE “</w:instrText>
      </w:r>
      <w:r w:rsidR="006068DE">
        <w:instrText>Order Alerts</w:instrText>
      </w:r>
      <w:r w:rsidR="00796039">
        <w:instrText xml:space="preserve">” </w:instrText>
      </w:r>
      <w:r w:rsidR="00796039">
        <w:fldChar w:fldCharType="end"/>
      </w:r>
      <w:r w:rsidR="00796039">
        <w:t xml:space="preserve"> </w:t>
      </w:r>
      <w:r w:rsidR="00796039">
        <w:rPr>
          <w:vanish/>
        </w:rPr>
        <w:t>UC_95</w:t>
      </w:r>
    </w:p>
    <w:p w14:paraId="460B95C2" w14:textId="57BB6B6B" w:rsidR="00796039" w:rsidRDefault="00796039" w:rsidP="00796039">
      <w:pPr>
        <w:pStyle w:val="BodyText"/>
      </w:pPr>
      <w:r>
        <w:t xml:space="preserve">The user configures </w:t>
      </w:r>
      <w:r w:rsidRPr="00CA0045">
        <w:rPr>
          <w:bCs/>
        </w:rPr>
        <w:t>VistA</w:t>
      </w:r>
      <w:r>
        <w:t xml:space="preserve"> alerts that appear at login. </w:t>
      </w:r>
      <w:r w:rsidR="00E90A01">
        <w:t xml:space="preserve">For additional information, see </w:t>
      </w:r>
      <w:r w:rsidR="00EE455E">
        <w:t xml:space="preserve">Appendix </w:t>
      </w:r>
      <w:r w:rsidR="00EE455E">
        <w:rPr>
          <w:noProof/>
        </w:rPr>
        <w:t>G</w:t>
      </w:r>
      <w:r w:rsidR="00EE455E">
        <w:t>: Work Process Flowcharts</w:t>
      </w:r>
      <w:r w:rsidR="00E90A01">
        <w:t>.</w:t>
      </w:r>
    </w:p>
    <w:p w14:paraId="457CFDF5" w14:textId="77777777" w:rsidR="00796039" w:rsidRDefault="00796039" w:rsidP="00796039">
      <w:pPr>
        <w:pStyle w:val="Heading4"/>
      </w:pPr>
      <w:r>
        <w:t>Assumptions</w:t>
      </w:r>
      <w:r>
        <w:rPr>
          <w:b w:val="0"/>
        </w:rPr>
        <w:t xml:space="preserve"> </w:t>
      </w:r>
    </w:p>
    <w:p w14:paraId="6727689B" w14:textId="77777777" w:rsidR="00796039" w:rsidRDefault="00796039" w:rsidP="00796039">
      <w:pPr>
        <w:pStyle w:val="ListBullet"/>
      </w:pPr>
      <w:r>
        <w:t>None</w:t>
      </w:r>
    </w:p>
    <w:p w14:paraId="6DE502E2" w14:textId="77777777" w:rsidR="00796039" w:rsidRDefault="00796039" w:rsidP="00796039">
      <w:pPr>
        <w:pStyle w:val="Heading4"/>
      </w:pPr>
      <w:r>
        <w:t xml:space="preserve">Outcome </w:t>
      </w:r>
    </w:p>
    <w:p w14:paraId="05AC8C9E" w14:textId="77777777" w:rsidR="00796039" w:rsidRDefault="00796039" w:rsidP="00796039">
      <w:pPr>
        <w:pStyle w:val="ListBullet"/>
      </w:pPr>
      <w:r>
        <w:t>User alerts of physician orders for blood bank diagnostic tests and blood components are configured.</w:t>
      </w:r>
    </w:p>
    <w:p w14:paraId="479B4E42" w14:textId="77777777" w:rsidR="00796039" w:rsidRDefault="00796039" w:rsidP="00796039">
      <w:pPr>
        <w:pStyle w:val="Heading4"/>
      </w:pPr>
      <w:r>
        <w:t>Limitations and Restrictions</w:t>
      </w:r>
      <w:r>
        <w:rPr>
          <w:b w:val="0"/>
        </w:rPr>
        <w:t xml:space="preserve"> </w:t>
      </w:r>
    </w:p>
    <w:p w14:paraId="2C16110B" w14:textId="77777777" w:rsidR="000D7828" w:rsidRDefault="000D7828" w:rsidP="00796039">
      <w:pPr>
        <w:pStyle w:val="ListBullet"/>
      </w:pPr>
      <w:r>
        <w:t xml:space="preserve">This is an alert only and contains limited information from the CPRS order. </w:t>
      </w:r>
      <w:r w:rsidRPr="000D7828">
        <w:rPr>
          <w:vanish/>
        </w:rPr>
        <w:t>Defect 368207</w:t>
      </w:r>
    </w:p>
    <w:p w14:paraId="6598AF61" w14:textId="77777777" w:rsidR="00796039" w:rsidRDefault="00796039" w:rsidP="00796039">
      <w:pPr>
        <w:pStyle w:val="ListBullet"/>
      </w:pPr>
      <w:r>
        <w:t>This option does not create a mechanism to accept or reject orders or specimens or define reports for viewing orders.</w:t>
      </w:r>
    </w:p>
    <w:p w14:paraId="2D8D1B05" w14:textId="77777777" w:rsidR="00796039" w:rsidRDefault="00796039" w:rsidP="00796039">
      <w:pPr>
        <w:pStyle w:val="ListBullet"/>
      </w:pPr>
      <w:r>
        <w:t>The user may select the option to display printer alerts only when the designated printer is configured and available.</w:t>
      </w:r>
    </w:p>
    <w:p w14:paraId="19524F2F" w14:textId="77777777" w:rsidR="00796039" w:rsidRDefault="00796039" w:rsidP="00796039">
      <w:pPr>
        <w:pStyle w:val="ListBullet"/>
      </w:pPr>
      <w:r>
        <w:t>The printer</w:t>
      </w:r>
      <w:r w:rsidR="006C2ED3" w:rsidRPr="006C2ED3">
        <w:t xml:space="preserve"> </w:t>
      </w:r>
      <w:r w:rsidR="006C2ED3">
        <w:t>must be configured by the System Administrator</w:t>
      </w:r>
      <w:r>
        <w:t>.</w:t>
      </w:r>
    </w:p>
    <w:p w14:paraId="05B472AE" w14:textId="77777777" w:rsidR="00796039" w:rsidRDefault="00796039" w:rsidP="00796039">
      <w:pPr>
        <w:pStyle w:val="Heading4"/>
      </w:pPr>
      <w:r>
        <w:t xml:space="preserve">Additional Information </w:t>
      </w:r>
    </w:p>
    <w:p w14:paraId="76A01DF4" w14:textId="77777777" w:rsidR="00796039" w:rsidRDefault="00796039" w:rsidP="00796039">
      <w:pPr>
        <w:pStyle w:val="ListBullet"/>
      </w:pPr>
      <w:r>
        <w:t>A user may review current user alert configurations.</w:t>
      </w:r>
    </w:p>
    <w:p w14:paraId="77AA01F0" w14:textId="77777777" w:rsidR="00796039" w:rsidRDefault="00796039" w:rsidP="00796039">
      <w:pPr>
        <w:pStyle w:val="ListBullet"/>
      </w:pPr>
      <w:r>
        <w:t>VBECS uses other alerts (patient update alerts, VistALink status alerts) that do not require configuration.</w:t>
      </w:r>
    </w:p>
    <w:p w14:paraId="50194E65" w14:textId="77777777" w:rsidR="007004B1" w:rsidRDefault="007004B1" w:rsidP="00796039">
      <w:pPr>
        <w:pStyle w:val="ListBullet"/>
      </w:pPr>
      <w:r>
        <w:t xml:space="preserve">The user may set </w:t>
      </w:r>
      <w:r w:rsidR="00922AD8">
        <w:t>VBECS to</w:t>
      </w:r>
      <w:r>
        <w:t xml:space="preserve"> automatically print an order alert on the designated printer when VBECS ackn</w:t>
      </w:r>
      <w:r w:rsidR="000D7828">
        <w:t xml:space="preserve">owledges the order. </w:t>
      </w:r>
      <w:r>
        <w:t>The CPRS can be configured to print a copy of the order on a printer in the blood bank.</w:t>
      </w:r>
    </w:p>
    <w:p w14:paraId="75E15C6B" w14:textId="77777777" w:rsidR="00491BEC" w:rsidRDefault="00491BEC" w:rsidP="00796039">
      <w:pPr>
        <w:pStyle w:val="ListBullet"/>
      </w:pPr>
      <w:r>
        <w:t>Printed order alerts are not queued.</w:t>
      </w:r>
    </w:p>
    <w:p w14:paraId="61A36C01" w14:textId="77777777" w:rsidR="00796039" w:rsidRDefault="00796039" w:rsidP="00796039">
      <w:pPr>
        <w:pStyle w:val="Heading4"/>
        <w:rPr>
          <w:b w:val="0"/>
        </w:rPr>
      </w:pPr>
      <w:r>
        <w:t>User Roles with Access to This Option</w:t>
      </w:r>
      <w:r>
        <w:rPr>
          <w:b w:val="0"/>
        </w:rPr>
        <w:t xml:space="preserve"> </w:t>
      </w:r>
    </w:p>
    <w:p w14:paraId="55735B5F" w14:textId="77777777" w:rsidR="00237C52" w:rsidRDefault="00237C52" w:rsidP="00796039">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458532C3" w14:textId="77777777" w:rsidR="00796039" w:rsidRDefault="006068DE" w:rsidP="00796039">
      <w:pPr>
        <w:pStyle w:val="Heading4"/>
      </w:pPr>
      <w:r>
        <w:t>Order Alerts</w:t>
      </w:r>
    </w:p>
    <w:p w14:paraId="21F94838" w14:textId="1EA151BE" w:rsidR="00796039" w:rsidRDefault="00796039" w:rsidP="00796039">
      <w:pPr>
        <w:pStyle w:val="BodyText"/>
      </w:pPr>
      <w:r>
        <w:t xml:space="preserve">The user configures diagnostic test or component order </w:t>
      </w:r>
      <w:r w:rsidR="00702CFB">
        <w:t>alerts and</w:t>
      </w:r>
      <w:r>
        <w:t xml:space="preserve"> turns them on or off. The alerts notify users when new orders are entered, updated, or cancel</w:t>
      </w:r>
      <w:r w:rsidR="002F7E19">
        <w:t>l</w:t>
      </w:r>
      <w:r>
        <w:t xml:space="preserve">ed in </w:t>
      </w:r>
      <w:r w:rsidRPr="00CA0045">
        <w:rPr>
          <w:bCs/>
        </w:rPr>
        <w:t>VistA</w:t>
      </w:r>
      <w:r>
        <w:rPr>
          <w:bCs/>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96039" w14:paraId="5EC59A4C" w14:textId="77777777">
        <w:trPr>
          <w:cantSplit/>
          <w:tblHeader/>
        </w:trPr>
        <w:tc>
          <w:tcPr>
            <w:tcW w:w="3240" w:type="dxa"/>
            <w:shd w:val="pct30" w:color="auto" w:fill="FFFFFF"/>
            <w:vAlign w:val="bottom"/>
          </w:tcPr>
          <w:p w14:paraId="73545CF7" w14:textId="77777777" w:rsidR="00796039" w:rsidRDefault="00796039" w:rsidP="00796039">
            <w:pPr>
              <w:pStyle w:val="TableText"/>
              <w:rPr>
                <w:b/>
              </w:rPr>
            </w:pPr>
            <w:r>
              <w:rPr>
                <w:b/>
              </w:rPr>
              <w:t>User Action</w:t>
            </w:r>
          </w:p>
        </w:tc>
        <w:tc>
          <w:tcPr>
            <w:tcW w:w="6120" w:type="dxa"/>
            <w:shd w:val="pct30" w:color="auto" w:fill="FFFFFF"/>
            <w:vAlign w:val="bottom"/>
          </w:tcPr>
          <w:p w14:paraId="067F5AA8" w14:textId="77777777" w:rsidR="00796039" w:rsidRDefault="00796039" w:rsidP="00796039">
            <w:pPr>
              <w:pStyle w:val="TableText"/>
              <w:rPr>
                <w:b/>
              </w:rPr>
            </w:pPr>
            <w:r>
              <w:rPr>
                <w:b/>
              </w:rPr>
              <w:t>VBECS</w:t>
            </w:r>
          </w:p>
        </w:tc>
      </w:tr>
      <w:tr w:rsidR="00796039" w14:paraId="2A200728" w14:textId="77777777">
        <w:tc>
          <w:tcPr>
            <w:tcW w:w="3240" w:type="dxa"/>
          </w:tcPr>
          <w:p w14:paraId="5DBD4972" w14:textId="77777777" w:rsidR="00796039" w:rsidRDefault="00796039" w:rsidP="00796039">
            <w:pPr>
              <w:pStyle w:val="TableTextNumbers"/>
            </w:pPr>
            <w:r>
              <w:t xml:space="preserve">Select </w:t>
            </w:r>
            <w:r>
              <w:rPr>
                <w:b/>
                <w:bCs/>
              </w:rPr>
              <w:t>Tools</w:t>
            </w:r>
            <w:r>
              <w:t xml:space="preserve"> from the main menu.</w:t>
            </w:r>
          </w:p>
          <w:p w14:paraId="41B79393" w14:textId="77777777" w:rsidR="00796039" w:rsidRDefault="00796039" w:rsidP="00796039">
            <w:pPr>
              <w:pStyle w:val="TableTextNumbersContinued"/>
              <w:rPr>
                <w:b/>
                <w:bCs/>
              </w:rPr>
            </w:pPr>
          </w:p>
          <w:p w14:paraId="3AA53D3A" w14:textId="77777777" w:rsidR="00796039" w:rsidRDefault="00796039" w:rsidP="00796039">
            <w:pPr>
              <w:pStyle w:val="TableTextNumbersContinued"/>
              <w:rPr>
                <w:b/>
                <w:bCs/>
              </w:rPr>
            </w:pPr>
            <w:r>
              <w:rPr>
                <w:b/>
                <w:bCs/>
              </w:rPr>
              <w:t>Select Configure Division.</w:t>
            </w:r>
          </w:p>
        </w:tc>
        <w:tc>
          <w:tcPr>
            <w:tcW w:w="6120" w:type="dxa"/>
          </w:tcPr>
          <w:p w14:paraId="702AB734" w14:textId="77777777" w:rsidR="00796039" w:rsidRDefault="00796039" w:rsidP="00796039">
            <w:pPr>
              <w:pStyle w:val="TableTextBullet"/>
            </w:pPr>
            <w:r>
              <w:t>Displays options for processing administrative functions.</w:t>
            </w:r>
          </w:p>
          <w:p w14:paraId="31C33DA1" w14:textId="77777777" w:rsidR="00796039" w:rsidRDefault="00796039" w:rsidP="00796039">
            <w:pPr>
              <w:pStyle w:val="TableTextBullet"/>
            </w:pPr>
            <w:r>
              <w:t>Displays configuration tabs.</w:t>
            </w:r>
          </w:p>
        </w:tc>
      </w:tr>
      <w:tr w:rsidR="00796039" w14:paraId="3B5D0941" w14:textId="77777777" w:rsidTr="007E500E">
        <w:trPr>
          <w:cantSplit/>
        </w:trPr>
        <w:tc>
          <w:tcPr>
            <w:tcW w:w="3240" w:type="dxa"/>
          </w:tcPr>
          <w:p w14:paraId="29BF4FD1" w14:textId="01AC235A" w:rsidR="00796039" w:rsidRDefault="00796039" w:rsidP="00796039">
            <w:pPr>
              <w:pStyle w:val="TableTextNumbers"/>
            </w:pPr>
            <w:r>
              <w:t xml:space="preserve">Click the </w:t>
            </w:r>
            <w:r>
              <w:rPr>
                <w:b/>
                <w:bCs/>
              </w:rPr>
              <w:t xml:space="preserve">Order Alerts </w:t>
            </w:r>
            <w:r w:rsidRPr="00CC3C89">
              <w:rPr>
                <w:bCs/>
              </w:rPr>
              <w:t>tab</w:t>
            </w:r>
            <w:r w:rsidR="008A6E48" w:rsidRPr="00CC3C89">
              <w:rPr>
                <w:bCs/>
              </w:rPr>
              <w:t xml:space="preserve"> </w:t>
            </w:r>
            <w:r w:rsidR="008A6E48">
              <w:rPr>
                <w:bCs/>
              </w:rPr>
              <w:t>(</w:t>
            </w:r>
            <w:r w:rsidR="00EE455E">
              <w:t xml:space="preserve">Figure </w:t>
            </w:r>
            <w:r w:rsidR="00EE455E">
              <w:rPr>
                <w:noProof/>
              </w:rPr>
              <w:t>27</w:t>
            </w:r>
            <w:r w:rsidR="008A6E48">
              <w:rPr>
                <w:bCs/>
              </w:rPr>
              <w:t>)</w:t>
            </w:r>
            <w:r>
              <w:t xml:space="preserve">. </w:t>
            </w:r>
          </w:p>
          <w:p w14:paraId="2B65C6F0" w14:textId="77777777" w:rsidR="00796039" w:rsidRDefault="00796039" w:rsidP="00796039">
            <w:pPr>
              <w:pStyle w:val="TableTextNumbersContinued"/>
            </w:pPr>
          </w:p>
          <w:p w14:paraId="7A8DBFFF" w14:textId="77777777" w:rsidR="00796039" w:rsidRDefault="00796039" w:rsidP="00796039">
            <w:pPr>
              <w:pStyle w:val="TableTextNumbersContinued"/>
            </w:pPr>
            <w:r>
              <w:t xml:space="preserve">Click the </w:t>
            </w:r>
            <w:r>
              <w:rPr>
                <w:b/>
              </w:rPr>
              <w:t>Printer Alerts On</w:t>
            </w:r>
            <w:r>
              <w:t xml:space="preserve"> and/or the</w:t>
            </w:r>
            <w:r>
              <w:rPr>
                <w:b/>
              </w:rPr>
              <w:t xml:space="preserve"> Icon Alerts On </w:t>
            </w:r>
            <w:r w:rsidRPr="00D1100E">
              <w:t>check box</w:t>
            </w:r>
            <w:r>
              <w:t>.</w:t>
            </w:r>
          </w:p>
          <w:p w14:paraId="2B0B9F89" w14:textId="77777777" w:rsidR="00796039" w:rsidRDefault="00796039" w:rsidP="00796039">
            <w:pPr>
              <w:pStyle w:val="TableTextNumbersContinued"/>
            </w:pPr>
          </w:p>
          <w:p w14:paraId="77F41505" w14:textId="77777777" w:rsidR="00796039" w:rsidRDefault="00796039" w:rsidP="00796039">
            <w:pPr>
              <w:pStyle w:val="TableTextNumbersContinued"/>
              <w:rPr>
                <w:b/>
                <w:bCs/>
              </w:rPr>
            </w:pPr>
            <w:r>
              <w:t>Select the order alert type from the drop-down menus in the Order Alert Type fields.</w:t>
            </w:r>
          </w:p>
        </w:tc>
        <w:tc>
          <w:tcPr>
            <w:tcW w:w="6120" w:type="dxa"/>
          </w:tcPr>
          <w:p w14:paraId="69D7613E" w14:textId="77777777" w:rsidR="00796039" w:rsidRDefault="00796039" w:rsidP="00796039">
            <w:pPr>
              <w:pStyle w:val="TableTextBullet"/>
            </w:pPr>
            <w:r>
              <w:t xml:space="preserve">Displays the existing order alert configuration and allows the user to edit it. </w:t>
            </w:r>
          </w:p>
          <w:p w14:paraId="06BA6E41" w14:textId="77777777" w:rsidR="00796039" w:rsidRDefault="00796039" w:rsidP="00796039">
            <w:pPr>
              <w:pStyle w:val="TableTextBullet"/>
            </w:pPr>
            <w:r>
              <w:rPr>
                <w:rFonts w:cs="Arial"/>
                <w:vanish/>
              </w:rPr>
              <w:t xml:space="preserve">BR_95.08 </w:t>
            </w:r>
            <w:r>
              <w:t>Requires the user to select a printer name and to define which orders to print.</w:t>
            </w:r>
          </w:p>
          <w:p w14:paraId="39246837" w14:textId="77777777" w:rsidR="00796039" w:rsidRDefault="00796039" w:rsidP="00796039">
            <w:pPr>
              <w:pStyle w:val="TableTextBullet"/>
            </w:pPr>
            <w:r>
              <w:rPr>
                <w:rFonts w:cs="Arial"/>
                <w:vanish/>
              </w:rPr>
              <w:t xml:space="preserve">BR_95.05 </w:t>
            </w:r>
            <w:r>
              <w:t>Displays the selected printer, the selected order alert type, and the number of hours (default: 48 hours) entered for review.</w:t>
            </w:r>
          </w:p>
          <w:p w14:paraId="44BECD16" w14:textId="77777777" w:rsidR="00796039" w:rsidRDefault="00796039" w:rsidP="00796039">
            <w:pPr>
              <w:pStyle w:val="TableText"/>
            </w:pPr>
          </w:p>
          <w:p w14:paraId="66CEAD4A" w14:textId="66DE528B" w:rsidR="00796039" w:rsidRDefault="00796039" w:rsidP="00796039">
            <w:pPr>
              <w:pStyle w:val="TableText"/>
              <w:rPr>
                <w:b/>
                <w:bCs/>
                <w:szCs w:val="18"/>
              </w:rPr>
            </w:pPr>
            <w:r>
              <w:rPr>
                <w:b/>
                <w:bCs/>
                <w:szCs w:val="18"/>
              </w:rPr>
              <w:t>NOTES</w:t>
            </w:r>
          </w:p>
          <w:p w14:paraId="21DAEA18" w14:textId="77777777" w:rsidR="00796039" w:rsidRDefault="00796039" w:rsidP="00796039">
            <w:pPr>
              <w:pStyle w:val="NotesText"/>
            </w:pPr>
          </w:p>
          <w:p w14:paraId="66535802" w14:textId="77777777" w:rsidR="00796039" w:rsidRDefault="002E301F" w:rsidP="00796039">
            <w:pPr>
              <w:pStyle w:val="NotesText"/>
            </w:pPr>
            <w:r w:rsidRPr="002E301F">
              <w:t>VBECS lists app</w:t>
            </w:r>
            <w:r>
              <w:t>lication</w:t>
            </w:r>
            <w:r w:rsidRPr="002E301F">
              <w:t xml:space="preserve"> server printers</w:t>
            </w:r>
            <w:r w:rsidR="00796039">
              <w:t>.</w:t>
            </w:r>
          </w:p>
          <w:p w14:paraId="266434E5" w14:textId="77777777" w:rsidR="00796039" w:rsidRDefault="00796039" w:rsidP="00796039">
            <w:pPr>
              <w:pStyle w:val="NotesText"/>
            </w:pPr>
          </w:p>
          <w:p w14:paraId="6D4E0BCE" w14:textId="77777777" w:rsidR="00796039" w:rsidRDefault="00796039" w:rsidP="00796039">
            <w:pPr>
              <w:pStyle w:val="NotesText"/>
            </w:pPr>
            <w:r>
              <w:rPr>
                <w:rFonts w:cs="Arial"/>
                <w:vanish/>
              </w:rPr>
              <w:t xml:space="preserve">BR_95.04 </w:t>
            </w:r>
            <w:r>
              <w:t>The user must select an order alert type:</w:t>
            </w:r>
          </w:p>
          <w:p w14:paraId="6627DD23" w14:textId="77777777" w:rsidR="00796039" w:rsidRDefault="00796039" w:rsidP="00796039">
            <w:pPr>
              <w:pStyle w:val="NotesTextBullet"/>
            </w:pPr>
            <w:r>
              <w:t>All orders (orders received by VBECS)</w:t>
            </w:r>
          </w:p>
          <w:p w14:paraId="225B78EF" w14:textId="77777777" w:rsidR="00796039" w:rsidRDefault="00796039" w:rsidP="00796039">
            <w:pPr>
              <w:pStyle w:val="NotesTextBullet"/>
            </w:pPr>
            <w:r>
              <w:t xml:space="preserve">Hours limit to fill </w:t>
            </w:r>
            <w:r w:rsidR="008426BA">
              <w:t>o</w:t>
            </w:r>
            <w:r>
              <w:t xml:space="preserve">rder (orders received by VBECS needed in the next </w:t>
            </w:r>
            <w:r w:rsidRPr="00A65947">
              <w:rPr>
                <w:i/>
              </w:rPr>
              <w:t>n</w:t>
            </w:r>
            <w:r>
              <w:t xml:space="preserve"> hours) </w:t>
            </w:r>
          </w:p>
          <w:p w14:paraId="2A3B2DE9" w14:textId="77777777" w:rsidR="00796039" w:rsidRDefault="00796039" w:rsidP="00796039">
            <w:pPr>
              <w:pStyle w:val="NotesTextBullet"/>
            </w:pPr>
            <w:r>
              <w:t>Spec</w:t>
            </w:r>
            <w:r w:rsidR="00802EE9">
              <w:t>imen OK or N/A (orders where</w:t>
            </w:r>
            <w:r>
              <w:t xml:space="preserve"> no specimen is require</w:t>
            </w:r>
            <w:r w:rsidR="00802EE9">
              <w:t>d</w:t>
            </w:r>
            <w:r>
              <w:t>)</w:t>
            </w:r>
          </w:p>
        </w:tc>
      </w:tr>
      <w:tr w:rsidR="00796039" w14:paraId="4CEB29F4" w14:textId="77777777">
        <w:tc>
          <w:tcPr>
            <w:tcW w:w="3240" w:type="dxa"/>
          </w:tcPr>
          <w:p w14:paraId="7B38D2A2" w14:textId="77777777" w:rsidR="00796039" w:rsidRDefault="00796039" w:rsidP="00796039">
            <w:pPr>
              <w:pStyle w:val="TableTextNumbers"/>
            </w:pPr>
            <w:r>
              <w:t>Enter or select a refresh rate</w:t>
            </w:r>
            <w:r w:rsidR="00B917A8">
              <w:t xml:space="preserve"> (the interval between searches for new orders)</w:t>
            </w:r>
            <w:r>
              <w:t xml:space="preserve"> for the order alert in the Refresh Rate field. </w:t>
            </w:r>
          </w:p>
        </w:tc>
        <w:tc>
          <w:tcPr>
            <w:tcW w:w="6120" w:type="dxa"/>
          </w:tcPr>
          <w:p w14:paraId="4DF590C1" w14:textId="77777777" w:rsidR="00796039" w:rsidRDefault="00796039" w:rsidP="00796039">
            <w:pPr>
              <w:pStyle w:val="TableTextBullet"/>
            </w:pPr>
            <w:r>
              <w:rPr>
                <w:rFonts w:cs="Arial"/>
                <w:vanish/>
              </w:rPr>
              <w:t xml:space="preserve">BR_95.07 </w:t>
            </w:r>
            <w:r>
              <w:t>Requires the user to enter a refresh rate (default: 60 seconds) (Icon Alerts On).</w:t>
            </w:r>
          </w:p>
          <w:p w14:paraId="60BF1859" w14:textId="77777777" w:rsidR="00796039" w:rsidRDefault="00796039" w:rsidP="00796039">
            <w:pPr>
              <w:pStyle w:val="TableTextBullet"/>
            </w:pPr>
            <w:r>
              <w:t>Displays the updated refresh rate.</w:t>
            </w:r>
          </w:p>
          <w:p w14:paraId="1E15FF2D" w14:textId="77777777" w:rsidR="00796039" w:rsidRDefault="00796039" w:rsidP="00796039">
            <w:pPr>
              <w:pStyle w:val="TableTextBullet"/>
            </w:pPr>
            <w:r>
              <w:t xml:space="preserve">Displays the selected order alert type. </w:t>
            </w:r>
          </w:p>
        </w:tc>
      </w:tr>
      <w:tr w:rsidR="00796039" w14:paraId="2F02D4FA" w14:textId="77777777">
        <w:tc>
          <w:tcPr>
            <w:tcW w:w="3240" w:type="dxa"/>
          </w:tcPr>
          <w:p w14:paraId="74B54FDA" w14:textId="77777777" w:rsidR="00796039" w:rsidRDefault="00796039" w:rsidP="00796039">
            <w:pPr>
              <w:pStyle w:val="TableTextNumbers"/>
            </w:pPr>
            <w:r>
              <w:t xml:space="preserve">Click </w:t>
            </w:r>
            <w:r>
              <w:rPr>
                <w:b/>
              </w:rPr>
              <w:t>OK</w:t>
            </w:r>
            <w:r>
              <w:t xml:space="preserve"> to save</w:t>
            </w:r>
          </w:p>
        </w:tc>
        <w:tc>
          <w:tcPr>
            <w:tcW w:w="6120" w:type="dxa"/>
          </w:tcPr>
          <w:p w14:paraId="6AC552B5" w14:textId="77777777" w:rsidR="00796039" w:rsidRDefault="00796039" w:rsidP="00796039">
            <w:pPr>
              <w:pStyle w:val="TableTextBullet"/>
            </w:pPr>
            <w:r>
              <w:t>Saves the user alert configuration settings.</w:t>
            </w:r>
          </w:p>
        </w:tc>
      </w:tr>
      <w:tr w:rsidR="00796039" w14:paraId="2BC0E681" w14:textId="77777777">
        <w:tc>
          <w:tcPr>
            <w:tcW w:w="3240" w:type="dxa"/>
          </w:tcPr>
          <w:p w14:paraId="1AB151F7" w14:textId="77777777" w:rsidR="00796039" w:rsidRDefault="00796039" w:rsidP="00796039">
            <w:pPr>
              <w:pStyle w:val="TableTextNumbers"/>
            </w:pPr>
            <w:r>
              <w:t xml:space="preserve">Click </w:t>
            </w:r>
            <w:r>
              <w:rPr>
                <w:b/>
              </w:rPr>
              <w:t>Yes</w:t>
            </w:r>
            <w:r>
              <w:t xml:space="preserve"> to confirm the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FA22DB9" w14:textId="77777777" w:rsidR="00796039" w:rsidRDefault="00796039" w:rsidP="00796039">
            <w:pPr>
              <w:pStyle w:val="NotesText"/>
            </w:pPr>
          </w:p>
        </w:tc>
      </w:tr>
    </w:tbl>
    <w:p w14:paraId="2257A39A" w14:textId="24B404FE" w:rsidR="008A6E48" w:rsidRDefault="008A6E48" w:rsidP="008A6E48">
      <w:pPr>
        <w:pStyle w:val="Caption"/>
      </w:pPr>
      <w:bookmarkStart w:id="164" w:name="_Ref12647057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27</w:t>
      </w:r>
      <w:r w:rsidR="004E20BD">
        <w:rPr>
          <w:noProof/>
        </w:rPr>
        <w:fldChar w:fldCharType="end"/>
      </w:r>
      <w:bookmarkEnd w:id="164"/>
      <w:r>
        <w:t xml:space="preserve">: </w:t>
      </w:r>
      <w:r w:rsidR="00954B38">
        <w:t xml:space="preserve">Example of </w:t>
      </w:r>
      <w:r>
        <w:t>Order Alerts Tab</w:t>
      </w:r>
    </w:p>
    <w:p w14:paraId="172C2264" w14:textId="77777777" w:rsidR="00796039" w:rsidRDefault="00057948" w:rsidP="0066425F">
      <w:pPr>
        <w:pStyle w:val="BodyText"/>
      </w:pPr>
      <w:r>
        <w:rPr>
          <w:noProof/>
        </w:rPr>
        <w:drawing>
          <wp:inline distT="0" distB="0" distL="0" distR="0" wp14:anchorId="14646D10" wp14:editId="132E3002">
            <wp:extent cx="3195955" cy="3186430"/>
            <wp:effectExtent l="0" t="0" r="4445" b="0"/>
            <wp:docPr id="130" name="Picture 130" descr="Example of Order Alerts Tab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Example of Order Alerts Tab screen captur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95955" cy="3186430"/>
                    </a:xfrm>
                    <a:prstGeom prst="rect">
                      <a:avLst/>
                    </a:prstGeom>
                    <a:noFill/>
                    <a:ln>
                      <a:noFill/>
                    </a:ln>
                  </pic:spPr>
                </pic:pic>
              </a:graphicData>
            </a:graphic>
          </wp:inline>
        </w:drawing>
      </w:r>
    </w:p>
    <w:p w14:paraId="133008D5" w14:textId="77777777" w:rsidR="00796039" w:rsidRDefault="00AF089A" w:rsidP="00796039">
      <w:pPr>
        <w:pStyle w:val="Heading3"/>
      </w:pPr>
      <w:r>
        <w:br w:type="page"/>
      </w:r>
      <w:bookmarkStart w:id="165" w:name="_Toc149064099"/>
      <w:r w:rsidR="006068DE">
        <w:t>Login Message</w:t>
      </w:r>
      <w:bookmarkEnd w:id="165"/>
      <w:r w:rsidR="00796039">
        <w:fldChar w:fldCharType="begin"/>
      </w:r>
      <w:r w:rsidR="00796039">
        <w:instrText xml:space="preserve"> XE “</w:instrText>
      </w:r>
      <w:r w:rsidR="006068DE">
        <w:instrText>Login Message</w:instrText>
      </w:r>
      <w:r w:rsidR="00796039">
        <w:instrText xml:space="preserve">” </w:instrText>
      </w:r>
      <w:r w:rsidR="00796039">
        <w:fldChar w:fldCharType="end"/>
      </w:r>
    </w:p>
    <w:p w14:paraId="34CF9731" w14:textId="77777777" w:rsidR="00796039" w:rsidRDefault="00796039" w:rsidP="00796039">
      <w:pPr>
        <w:pStyle w:val="BodyText"/>
      </w:pPr>
      <w:r>
        <w:t xml:space="preserve">The user creates a </w:t>
      </w:r>
      <w:proofErr w:type="gramStart"/>
      <w:r>
        <w:t>division-wide</w:t>
      </w:r>
      <w:proofErr w:type="gramEnd"/>
      <w:r>
        <w:t xml:space="preserve"> VBECS message that appears at login.</w:t>
      </w:r>
    </w:p>
    <w:p w14:paraId="1AE7F50A" w14:textId="77777777" w:rsidR="00796039" w:rsidRDefault="00796039" w:rsidP="00796039">
      <w:pPr>
        <w:pStyle w:val="Heading4"/>
      </w:pPr>
      <w:r>
        <w:t>Assumptions</w:t>
      </w:r>
      <w:r>
        <w:rPr>
          <w:b w:val="0"/>
        </w:rPr>
        <w:t xml:space="preserve"> </w:t>
      </w:r>
    </w:p>
    <w:p w14:paraId="4FB049FD" w14:textId="77777777" w:rsidR="00796039" w:rsidRDefault="00796039" w:rsidP="00796039">
      <w:pPr>
        <w:pStyle w:val="ListBullet"/>
      </w:pPr>
      <w:r>
        <w:t xml:space="preserve">None </w:t>
      </w:r>
    </w:p>
    <w:p w14:paraId="39134215" w14:textId="77777777" w:rsidR="00796039" w:rsidRDefault="00796039" w:rsidP="00796039">
      <w:pPr>
        <w:pStyle w:val="Heading4"/>
      </w:pPr>
      <w:r>
        <w:t>Outcome</w:t>
      </w:r>
      <w:r>
        <w:rPr>
          <w:i/>
          <w:color w:val="0000FF"/>
          <w:sz w:val="24"/>
        </w:rPr>
        <w:t xml:space="preserve"> </w:t>
      </w:r>
    </w:p>
    <w:p w14:paraId="32DAEAEF" w14:textId="77777777" w:rsidR="00796039" w:rsidRDefault="00796039" w:rsidP="00796039">
      <w:pPr>
        <w:pStyle w:val="ListBullet"/>
      </w:pPr>
      <w:r>
        <w:t>A message was created for display when users log into a VBECS division.</w:t>
      </w:r>
    </w:p>
    <w:p w14:paraId="13739B5C" w14:textId="77777777" w:rsidR="00796039" w:rsidRDefault="00796039" w:rsidP="00796039">
      <w:pPr>
        <w:pStyle w:val="Heading4"/>
      </w:pPr>
      <w:r>
        <w:t>Limitations and Restrictions</w:t>
      </w:r>
      <w:r>
        <w:rPr>
          <w:b w:val="0"/>
        </w:rPr>
        <w:t xml:space="preserve"> </w:t>
      </w:r>
    </w:p>
    <w:p w14:paraId="551BC54E" w14:textId="77777777" w:rsidR="00796039" w:rsidRDefault="00796039" w:rsidP="00796039">
      <w:pPr>
        <w:pStyle w:val="ListBullet"/>
      </w:pPr>
      <w:r>
        <w:t>None</w:t>
      </w:r>
    </w:p>
    <w:p w14:paraId="256D139C" w14:textId="77777777" w:rsidR="00796039" w:rsidRDefault="00796039" w:rsidP="00796039">
      <w:pPr>
        <w:pStyle w:val="Heading4"/>
      </w:pPr>
      <w:r>
        <w:t>Additional Information</w:t>
      </w:r>
    </w:p>
    <w:p w14:paraId="64960C14" w14:textId="77777777" w:rsidR="00796039" w:rsidRDefault="00796039" w:rsidP="00796039">
      <w:pPr>
        <w:pStyle w:val="ListBullet"/>
      </w:pPr>
      <w:r>
        <w:t>None</w:t>
      </w:r>
    </w:p>
    <w:p w14:paraId="6B5A553F" w14:textId="77777777" w:rsidR="00796039" w:rsidRDefault="00796039" w:rsidP="00796039">
      <w:pPr>
        <w:pStyle w:val="Heading4"/>
        <w:rPr>
          <w:b w:val="0"/>
        </w:rPr>
      </w:pPr>
      <w:r>
        <w:t>User Roles with Access to This Option</w:t>
      </w:r>
      <w:r>
        <w:rPr>
          <w:b w:val="0"/>
        </w:rPr>
        <w:t xml:space="preserve"> </w:t>
      </w:r>
    </w:p>
    <w:p w14:paraId="03854701" w14:textId="77777777" w:rsidR="00796039" w:rsidRDefault="00237C52" w:rsidP="00796039">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Lead Technologist</w:t>
      </w:r>
    </w:p>
    <w:p w14:paraId="2B01A13E" w14:textId="77777777" w:rsidR="00796039" w:rsidRDefault="006068DE" w:rsidP="00796039">
      <w:pPr>
        <w:pStyle w:val="Heading4"/>
      </w:pPr>
      <w:r>
        <w:t>Login Message</w:t>
      </w:r>
    </w:p>
    <w:p w14:paraId="7893A3FB" w14:textId="77777777" w:rsidR="00796039" w:rsidRDefault="00796039" w:rsidP="00796039">
      <w:pPr>
        <w:pStyle w:val="BodyText"/>
      </w:pPr>
      <w:r>
        <w:t>The user may add, update, or delete a message that VBECS displays to users logging into the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96039" w14:paraId="5638E162" w14:textId="77777777">
        <w:trPr>
          <w:cantSplit/>
          <w:tblHeader/>
        </w:trPr>
        <w:tc>
          <w:tcPr>
            <w:tcW w:w="3240" w:type="dxa"/>
            <w:shd w:val="pct30" w:color="auto" w:fill="FFFFFF"/>
            <w:vAlign w:val="bottom"/>
          </w:tcPr>
          <w:p w14:paraId="5306D9EE" w14:textId="77777777" w:rsidR="00796039" w:rsidRDefault="00796039" w:rsidP="00796039">
            <w:pPr>
              <w:pStyle w:val="TableText"/>
              <w:rPr>
                <w:b/>
              </w:rPr>
            </w:pPr>
            <w:r>
              <w:rPr>
                <w:b/>
              </w:rPr>
              <w:t>User Action</w:t>
            </w:r>
          </w:p>
        </w:tc>
        <w:tc>
          <w:tcPr>
            <w:tcW w:w="6120" w:type="dxa"/>
            <w:shd w:val="pct30" w:color="auto" w:fill="FFFFFF"/>
            <w:vAlign w:val="bottom"/>
          </w:tcPr>
          <w:p w14:paraId="48E36224" w14:textId="77777777" w:rsidR="00796039" w:rsidRDefault="00796039" w:rsidP="00796039">
            <w:pPr>
              <w:pStyle w:val="TableText"/>
              <w:rPr>
                <w:b/>
              </w:rPr>
            </w:pPr>
            <w:r>
              <w:rPr>
                <w:b/>
              </w:rPr>
              <w:t>VBECS</w:t>
            </w:r>
          </w:p>
        </w:tc>
      </w:tr>
      <w:tr w:rsidR="00796039" w14:paraId="11DEF8BA" w14:textId="77777777">
        <w:tc>
          <w:tcPr>
            <w:tcW w:w="3240" w:type="dxa"/>
          </w:tcPr>
          <w:p w14:paraId="5F2B526D" w14:textId="77777777" w:rsidR="00796039" w:rsidRDefault="00796039" w:rsidP="00796039">
            <w:pPr>
              <w:pStyle w:val="TableTextNumbers"/>
            </w:pPr>
            <w:r>
              <w:t xml:space="preserve">Select </w:t>
            </w:r>
            <w:r>
              <w:rPr>
                <w:b/>
                <w:bCs/>
              </w:rPr>
              <w:t>Tools</w:t>
            </w:r>
            <w:r>
              <w:t xml:space="preserve"> from the main menu.</w:t>
            </w:r>
          </w:p>
          <w:p w14:paraId="1C061A08" w14:textId="77777777" w:rsidR="00796039" w:rsidRDefault="00796039" w:rsidP="00796039">
            <w:pPr>
              <w:pStyle w:val="TableTextNumbersContinued"/>
            </w:pPr>
          </w:p>
          <w:p w14:paraId="3121771B" w14:textId="77777777" w:rsidR="00796039" w:rsidRDefault="00796039" w:rsidP="00796039">
            <w:pPr>
              <w:pStyle w:val="TableTextNumbersContinued"/>
            </w:pPr>
            <w:r>
              <w:t xml:space="preserve">Select </w:t>
            </w:r>
            <w:r>
              <w:rPr>
                <w:b/>
              </w:rPr>
              <w:t>Configure Division</w:t>
            </w:r>
            <w:r>
              <w:t>.</w:t>
            </w:r>
          </w:p>
        </w:tc>
        <w:tc>
          <w:tcPr>
            <w:tcW w:w="6120" w:type="dxa"/>
          </w:tcPr>
          <w:p w14:paraId="6BE3043F" w14:textId="77777777" w:rsidR="00796039" w:rsidRDefault="00796039" w:rsidP="00796039">
            <w:pPr>
              <w:pStyle w:val="TableTextBullet"/>
            </w:pPr>
            <w:r>
              <w:t>Displays options for processing administrative functions.</w:t>
            </w:r>
          </w:p>
          <w:p w14:paraId="7F26E2FD" w14:textId="77777777" w:rsidR="00796039" w:rsidRDefault="00796039" w:rsidP="00796039">
            <w:pPr>
              <w:pStyle w:val="TableTextBullet"/>
            </w:pPr>
            <w:r>
              <w:t>Displays configuration tabs.</w:t>
            </w:r>
          </w:p>
        </w:tc>
      </w:tr>
      <w:tr w:rsidR="00796039" w14:paraId="3864E959" w14:textId="77777777">
        <w:tc>
          <w:tcPr>
            <w:tcW w:w="3240" w:type="dxa"/>
            <w:tcBorders>
              <w:top w:val="single" w:sz="4" w:space="0" w:color="auto"/>
              <w:left w:val="single" w:sz="4" w:space="0" w:color="auto"/>
              <w:bottom w:val="single" w:sz="4" w:space="0" w:color="auto"/>
              <w:right w:val="single" w:sz="4" w:space="0" w:color="auto"/>
            </w:tcBorders>
          </w:tcPr>
          <w:p w14:paraId="31F8B1F1" w14:textId="1DF5F592" w:rsidR="00796039" w:rsidRDefault="00796039" w:rsidP="00796039">
            <w:pPr>
              <w:pStyle w:val="TableTextNumbers"/>
            </w:pPr>
            <w:r>
              <w:t xml:space="preserve">Click the </w:t>
            </w:r>
            <w:r>
              <w:rPr>
                <w:b/>
              </w:rPr>
              <w:t xml:space="preserve">Login Message </w:t>
            </w:r>
            <w:r w:rsidRPr="00CC3C89">
              <w:t>tab</w:t>
            </w:r>
            <w:r w:rsidR="008A6E48" w:rsidRPr="00CC3C89">
              <w:t xml:space="preserve"> </w:t>
            </w:r>
            <w:r w:rsidR="008A6E48">
              <w:t>(</w:t>
            </w:r>
            <w:r w:rsidR="00EE455E">
              <w:t xml:space="preserve">Figure </w:t>
            </w:r>
            <w:r w:rsidR="00EE455E">
              <w:rPr>
                <w:noProof/>
              </w:rPr>
              <w:t>28</w:t>
            </w:r>
            <w:r w:rsidR="008A6E48">
              <w:t>)</w:t>
            </w:r>
            <w:r>
              <w:t>.</w:t>
            </w:r>
          </w:p>
          <w:p w14:paraId="2CCF3122" w14:textId="77777777" w:rsidR="00796039" w:rsidRDefault="00796039" w:rsidP="00796039">
            <w:pPr>
              <w:pStyle w:val="TableTextNumbersContinued"/>
            </w:pPr>
          </w:p>
          <w:p w14:paraId="239CC33D" w14:textId="77777777" w:rsidR="00796039" w:rsidRDefault="00796039" w:rsidP="00796039">
            <w:pPr>
              <w:pStyle w:val="TableTextNumbersContinued"/>
            </w:pPr>
            <w:r>
              <w:t>Enter a message in the message field to display at login.</w:t>
            </w:r>
          </w:p>
        </w:tc>
        <w:tc>
          <w:tcPr>
            <w:tcW w:w="6120" w:type="dxa"/>
            <w:tcBorders>
              <w:top w:val="single" w:sz="4" w:space="0" w:color="auto"/>
              <w:left w:val="single" w:sz="4" w:space="0" w:color="auto"/>
              <w:bottom w:val="single" w:sz="4" w:space="0" w:color="auto"/>
              <w:right w:val="single" w:sz="4" w:space="0" w:color="auto"/>
            </w:tcBorders>
          </w:tcPr>
          <w:p w14:paraId="4FFAC57D" w14:textId="77777777" w:rsidR="00796039" w:rsidRDefault="00796039" w:rsidP="00796039">
            <w:pPr>
              <w:pStyle w:val="TableTextBullet"/>
            </w:pPr>
            <w:r>
              <w:t>Displays the existing login message and allows the user to edit or delete it.</w:t>
            </w:r>
          </w:p>
          <w:p w14:paraId="62772D71" w14:textId="77777777" w:rsidR="00796039" w:rsidRDefault="00796039" w:rsidP="00796039">
            <w:pPr>
              <w:pStyle w:val="TableTextBullet"/>
            </w:pPr>
            <w:r>
              <w:t>Displays the updated login message.</w:t>
            </w:r>
          </w:p>
          <w:p w14:paraId="11172A82" w14:textId="77777777" w:rsidR="00796039" w:rsidRDefault="00796039" w:rsidP="00796039">
            <w:pPr>
              <w:pStyle w:val="TableText"/>
            </w:pPr>
          </w:p>
          <w:p w14:paraId="40C68AA1" w14:textId="7A119182" w:rsidR="00796039" w:rsidRDefault="00796039" w:rsidP="00796039">
            <w:pPr>
              <w:pStyle w:val="TableText"/>
              <w:rPr>
                <w:b/>
              </w:rPr>
            </w:pPr>
            <w:r>
              <w:rPr>
                <w:b/>
              </w:rPr>
              <w:t>NOTES</w:t>
            </w:r>
          </w:p>
          <w:p w14:paraId="1BC10E51" w14:textId="77777777" w:rsidR="00796039" w:rsidRDefault="00796039" w:rsidP="00796039">
            <w:pPr>
              <w:pStyle w:val="NotesText"/>
            </w:pPr>
          </w:p>
          <w:p w14:paraId="584F0C5F" w14:textId="77777777" w:rsidR="00796039" w:rsidRDefault="00796039" w:rsidP="00796039">
            <w:pPr>
              <w:pStyle w:val="NotesText"/>
            </w:pPr>
            <w:r>
              <w:t>VBECS does not display a blank login message.</w:t>
            </w:r>
          </w:p>
          <w:p w14:paraId="6B9A7545" w14:textId="77777777" w:rsidR="00796039" w:rsidRDefault="00796039" w:rsidP="00796039">
            <w:pPr>
              <w:pStyle w:val="NotesText"/>
            </w:pPr>
          </w:p>
          <w:p w14:paraId="1F91D353" w14:textId="77777777" w:rsidR="00796039" w:rsidRDefault="00796039" w:rsidP="00796039">
            <w:pPr>
              <w:pStyle w:val="NotesText"/>
            </w:pPr>
            <w:r>
              <w:t xml:space="preserve">The user may click </w:t>
            </w:r>
            <w:r>
              <w:rPr>
                <w:b/>
              </w:rPr>
              <w:t>Clear</w:t>
            </w:r>
            <w:r>
              <w:t xml:space="preserve"> to clear the message field and enter a new login message.</w:t>
            </w:r>
          </w:p>
        </w:tc>
      </w:tr>
      <w:tr w:rsidR="00796039" w14:paraId="055E6BE2" w14:textId="77777777">
        <w:tc>
          <w:tcPr>
            <w:tcW w:w="3240" w:type="dxa"/>
          </w:tcPr>
          <w:p w14:paraId="1258DF24" w14:textId="77777777" w:rsidR="00796039" w:rsidRDefault="00796039" w:rsidP="00796039">
            <w:pPr>
              <w:pStyle w:val="TableTextNumbers"/>
            </w:pPr>
            <w:r>
              <w:t xml:space="preserve">Click </w:t>
            </w:r>
            <w:r>
              <w:rPr>
                <w:b/>
              </w:rPr>
              <w:t>OK</w:t>
            </w:r>
            <w:r>
              <w:t xml:space="preserve"> to save.</w:t>
            </w:r>
          </w:p>
        </w:tc>
        <w:tc>
          <w:tcPr>
            <w:tcW w:w="6120" w:type="dxa"/>
          </w:tcPr>
          <w:p w14:paraId="76751974" w14:textId="77777777" w:rsidR="00796039" w:rsidRDefault="00796039" w:rsidP="00796039">
            <w:pPr>
              <w:pStyle w:val="TableTextBullet"/>
            </w:pPr>
            <w:r>
              <w:t>Saves the login message changes.</w:t>
            </w:r>
          </w:p>
        </w:tc>
      </w:tr>
      <w:tr w:rsidR="00796039" w14:paraId="1FBB3514" w14:textId="77777777">
        <w:tc>
          <w:tcPr>
            <w:tcW w:w="3240" w:type="dxa"/>
          </w:tcPr>
          <w:p w14:paraId="125D7095" w14:textId="77777777" w:rsidR="00796039" w:rsidRDefault="00796039" w:rsidP="00796039">
            <w:pPr>
              <w:pStyle w:val="TableTextNumbers"/>
            </w:pPr>
            <w:r>
              <w:t xml:space="preserve">Click </w:t>
            </w:r>
            <w:r>
              <w:rPr>
                <w:b/>
              </w:rPr>
              <w:t>Yes</w:t>
            </w:r>
            <w:r>
              <w:t xml:space="preserve"> to confirm the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5B4AF70" w14:textId="77777777" w:rsidR="00796039" w:rsidRDefault="00796039" w:rsidP="00796039">
            <w:pPr>
              <w:pStyle w:val="NotesText"/>
            </w:pPr>
          </w:p>
        </w:tc>
      </w:tr>
    </w:tbl>
    <w:p w14:paraId="6BF00E7D" w14:textId="28D39750" w:rsidR="008A6E48" w:rsidRDefault="008A6E48" w:rsidP="008A6E48">
      <w:pPr>
        <w:pStyle w:val="Caption"/>
      </w:pPr>
      <w:bookmarkStart w:id="166" w:name="_Ref12647075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28</w:t>
      </w:r>
      <w:r w:rsidR="004E20BD">
        <w:rPr>
          <w:noProof/>
        </w:rPr>
        <w:fldChar w:fldCharType="end"/>
      </w:r>
      <w:bookmarkEnd w:id="166"/>
      <w:r>
        <w:t xml:space="preserve">: </w:t>
      </w:r>
      <w:r w:rsidR="00954B38">
        <w:t xml:space="preserve">Example of </w:t>
      </w:r>
      <w:r>
        <w:t>Login Message Tab</w:t>
      </w:r>
    </w:p>
    <w:p w14:paraId="7368C386" w14:textId="77777777" w:rsidR="0066425F" w:rsidRDefault="00057948" w:rsidP="0066425F">
      <w:pPr>
        <w:pStyle w:val="BodyText"/>
      </w:pPr>
      <w:r>
        <w:rPr>
          <w:noProof/>
        </w:rPr>
        <w:drawing>
          <wp:inline distT="0" distB="0" distL="0" distR="0" wp14:anchorId="2EEF5702" wp14:editId="65C2E99A">
            <wp:extent cx="3204845" cy="3159125"/>
            <wp:effectExtent l="0" t="0" r="0" b="3175"/>
            <wp:docPr id="131" name="Picture 131" descr="Example of Login Message Tab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Example of Login Message Tab screen capt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204845" cy="3159125"/>
                    </a:xfrm>
                    <a:prstGeom prst="rect">
                      <a:avLst/>
                    </a:prstGeom>
                    <a:noFill/>
                    <a:ln>
                      <a:noFill/>
                    </a:ln>
                  </pic:spPr>
                </pic:pic>
              </a:graphicData>
            </a:graphic>
          </wp:inline>
        </w:drawing>
      </w:r>
      <w:r w:rsidR="008A6E48">
        <w:t xml:space="preserve"> </w:t>
      </w:r>
    </w:p>
    <w:p w14:paraId="1521DE19" w14:textId="77777777" w:rsidR="002A21AE" w:rsidRDefault="00AE1227" w:rsidP="00B937AA">
      <w:pPr>
        <w:pStyle w:val="Heading2"/>
      </w:pPr>
      <w:bookmarkStart w:id="167" w:name="_Toc63680387"/>
      <w:bookmarkEnd w:id="162"/>
      <w:r>
        <w:br w:type="page"/>
      </w:r>
      <w:bookmarkStart w:id="168" w:name="_Toc149064100"/>
      <w:r w:rsidR="002A21AE">
        <w:t>Local Facilities</w:t>
      </w:r>
      <w:bookmarkEnd w:id="167"/>
      <w:bookmarkEnd w:id="168"/>
      <w:r w:rsidR="002A21AE">
        <w:fldChar w:fldCharType="begin"/>
      </w:r>
      <w:r w:rsidR="002A21AE">
        <w:instrText xml:space="preserve"> XE </w:instrText>
      </w:r>
      <w:r w:rsidR="00FA7E65">
        <w:instrText>“</w:instrText>
      </w:r>
      <w:r w:rsidR="002A21AE">
        <w:instrText>Local Facilities</w:instrText>
      </w:r>
      <w:r w:rsidR="00FA7E65">
        <w:instrText>”</w:instrText>
      </w:r>
      <w:r w:rsidR="002A21AE">
        <w:instrText xml:space="preserve"> </w:instrText>
      </w:r>
      <w:r w:rsidR="002A21AE">
        <w:fldChar w:fldCharType="end"/>
      </w:r>
      <w:r w:rsidR="002A21AE">
        <w:t xml:space="preserve"> </w:t>
      </w:r>
      <w:r w:rsidR="002A21AE">
        <w:rPr>
          <w:vanish/>
        </w:rPr>
        <w:t>UC_06</w:t>
      </w:r>
    </w:p>
    <w:p w14:paraId="66D47110" w14:textId="7CA401BB" w:rsidR="0049125E" w:rsidRPr="008000E5" w:rsidRDefault="0049125E" w:rsidP="0049125E">
      <w:pPr>
        <w:pStyle w:val="Heading3"/>
      </w:pPr>
      <w:bookmarkStart w:id="169" w:name="_Toc149064101"/>
      <w:bookmarkStart w:id="170" w:name="_Toc63680388"/>
      <w:r>
        <w:t>Local Facilities</w:t>
      </w:r>
      <w:bookmarkEnd w:id="169"/>
      <w:r>
        <w:fldChar w:fldCharType="begin"/>
      </w:r>
      <w:r w:rsidRPr="008000E5">
        <w:instrText xml:space="preserve"> XE "Configure Division" </w:instrText>
      </w:r>
      <w:r>
        <w:fldChar w:fldCharType="end"/>
      </w:r>
      <w:r w:rsidRPr="008000E5">
        <w:rPr>
          <w:rFonts w:ascii="Arial Bold" w:hAnsi="Arial Bold"/>
          <w:vanish/>
        </w:rPr>
        <w:t xml:space="preserve"> UC_09</w:t>
      </w:r>
    </w:p>
    <w:p w14:paraId="4F5226A5" w14:textId="6377FC5D" w:rsidR="002A21AE" w:rsidRDefault="002A21AE" w:rsidP="00FA7E65">
      <w:pPr>
        <w:pStyle w:val="BodyText"/>
      </w:pPr>
      <w:r>
        <w:t>The user customizes collection facility information.</w:t>
      </w:r>
      <w:r w:rsidR="00DD635C">
        <w:t xml:space="preserve"> (A </w:t>
      </w:r>
      <w:r w:rsidR="00F06ADF">
        <w:t>“</w:t>
      </w:r>
      <w:r w:rsidR="00DD635C">
        <w:t>collection facility</w:t>
      </w:r>
      <w:r w:rsidR="00F06ADF">
        <w:t>”</w:t>
      </w:r>
      <w:r w:rsidR="00DD635C">
        <w:t xml:space="preserve"> </w:t>
      </w:r>
      <w:r w:rsidR="00F06ADF">
        <w:t>is not</w:t>
      </w:r>
      <w:r w:rsidR="00DD635C">
        <w:t xml:space="preserve"> a facility for blood collection</w:t>
      </w:r>
      <w:r w:rsidR="00F06ADF">
        <w:t>:</w:t>
      </w:r>
      <w:r w:rsidR="00DD635C">
        <w:t xml:space="preserve"> it is </w:t>
      </w:r>
      <w:r w:rsidR="00F06ADF">
        <w:t>for</w:t>
      </w:r>
      <w:r w:rsidR="00DD635C">
        <w:t xml:space="preserve"> blood distribution </w:t>
      </w:r>
      <w:r w:rsidR="00F06ADF">
        <w:t>only</w:t>
      </w:r>
      <w:r w:rsidR="00DD635C">
        <w:t>.</w:t>
      </w:r>
      <w:r w:rsidR="00E3508E">
        <w:t xml:space="preserve"> See FAQ Local Facilities</w:t>
      </w:r>
      <w:r w:rsidR="00DD635C">
        <w:t>)</w:t>
      </w:r>
    </w:p>
    <w:p w14:paraId="1DA15F4F" w14:textId="77777777" w:rsidR="002A21AE" w:rsidRDefault="002A21AE">
      <w:pPr>
        <w:pStyle w:val="Heading4"/>
      </w:pPr>
      <w:r>
        <w:t>Assumptions</w:t>
      </w:r>
    </w:p>
    <w:p w14:paraId="52D22B98" w14:textId="77777777" w:rsidR="002A21AE" w:rsidRDefault="002A21AE">
      <w:pPr>
        <w:pStyle w:val="ListBullet"/>
      </w:pPr>
      <w:r>
        <w:t>A table of known FDA-registered facilities accompanies VBECS.</w:t>
      </w:r>
    </w:p>
    <w:p w14:paraId="63DF5483" w14:textId="77777777" w:rsidR="002A21AE" w:rsidRDefault="002A21AE">
      <w:pPr>
        <w:pStyle w:val="Heading4"/>
      </w:pPr>
      <w:r>
        <w:t>Outcome</w:t>
      </w:r>
    </w:p>
    <w:p w14:paraId="09BA0DD2" w14:textId="77777777" w:rsidR="002A21AE" w:rsidRDefault="002A21AE">
      <w:pPr>
        <w:pStyle w:val="ListBullet"/>
      </w:pPr>
      <w:r>
        <w:t>The supplier is configured for a division.</w:t>
      </w:r>
    </w:p>
    <w:p w14:paraId="41B0D7CD" w14:textId="77777777" w:rsidR="002A21AE" w:rsidRDefault="002A21AE">
      <w:pPr>
        <w:pStyle w:val="Heading4"/>
      </w:pPr>
      <w:r>
        <w:t>Limitations and Restrictions</w:t>
      </w:r>
    </w:p>
    <w:p w14:paraId="3853BB40" w14:textId="77777777" w:rsidR="002A21AE" w:rsidRDefault="002A21AE">
      <w:pPr>
        <w:pStyle w:val="ListBullet"/>
      </w:pPr>
      <w:bookmarkStart w:id="171" w:name="OLE_LINK55"/>
      <w:bookmarkStart w:id="172" w:name="OLE_LINK56"/>
      <w:r>
        <w:t>A user may:</w:t>
      </w:r>
    </w:p>
    <w:p w14:paraId="7F434FAD" w14:textId="77777777" w:rsidR="002A21AE" w:rsidRDefault="002A21AE" w:rsidP="001414E9">
      <w:pPr>
        <w:pStyle w:val="ListBullet2"/>
        <w:tabs>
          <w:tab w:val="clear" w:pos="648"/>
        </w:tabs>
        <w:ind w:left="1080" w:hanging="432"/>
      </w:pPr>
      <w:r>
        <w:t>Activate and edit collection facility records distributed with VBECS.</w:t>
      </w:r>
    </w:p>
    <w:p w14:paraId="5454A059" w14:textId="77777777" w:rsidR="002A21AE" w:rsidRDefault="002A21AE" w:rsidP="001414E9">
      <w:pPr>
        <w:pStyle w:val="ListBullet2"/>
        <w:tabs>
          <w:tab w:val="clear" w:pos="648"/>
        </w:tabs>
        <w:ind w:left="1080" w:hanging="432"/>
      </w:pPr>
      <w:r>
        <w:t>Add and locally edit active collection facilities.</w:t>
      </w:r>
    </w:p>
    <w:p w14:paraId="4D9863F4" w14:textId="77777777" w:rsidR="002A21AE" w:rsidRDefault="002A21AE" w:rsidP="001414E9">
      <w:pPr>
        <w:pStyle w:val="ListBullet2"/>
        <w:tabs>
          <w:tab w:val="clear" w:pos="648"/>
        </w:tabs>
        <w:ind w:left="1080" w:hanging="432"/>
      </w:pPr>
      <w:r>
        <w:t xml:space="preserve">Activate and/or deactivate local collection facilities. </w:t>
      </w:r>
    </w:p>
    <w:p w14:paraId="6A3F5783" w14:textId="77777777" w:rsidR="004B1F58" w:rsidRPr="00742F59" w:rsidRDefault="004B1F58" w:rsidP="001414E9">
      <w:pPr>
        <w:pStyle w:val="ListBullet2"/>
        <w:tabs>
          <w:tab w:val="clear" w:pos="648"/>
        </w:tabs>
        <w:ind w:left="1080" w:hanging="432"/>
      </w:pPr>
      <w:r>
        <w:t>Edit a division name, which may result in a mismatch between VistA and VBECS division names.</w:t>
      </w:r>
      <w:r w:rsidR="00072131" w:rsidRPr="00524280">
        <w:rPr>
          <w:vanish/>
        </w:rPr>
        <w:t xml:space="preserve"> (DR 2,113)</w:t>
      </w:r>
    </w:p>
    <w:p w14:paraId="1B0D2E8F" w14:textId="77777777" w:rsidR="00742F59" w:rsidRPr="005705B4" w:rsidRDefault="00742F59" w:rsidP="001414E9">
      <w:pPr>
        <w:pStyle w:val="ListBullet2"/>
        <w:tabs>
          <w:tab w:val="clear" w:pos="648"/>
        </w:tabs>
        <w:ind w:left="1080" w:hanging="432"/>
      </w:pPr>
      <w:r w:rsidRPr="005705B4">
        <w:t xml:space="preserve">The </w:t>
      </w:r>
      <w:r w:rsidR="004853C7" w:rsidRPr="005705B4">
        <w:t xml:space="preserve">Local Facility Address </w:t>
      </w:r>
      <w:r w:rsidRPr="005705B4">
        <w:t xml:space="preserve">maximum length </w:t>
      </w:r>
      <w:r w:rsidR="00467976" w:rsidRPr="005705B4">
        <w:t>is 45 characters</w:t>
      </w:r>
      <w:r w:rsidR="00AE19A0">
        <w:t xml:space="preserve"> including spaces </w:t>
      </w:r>
      <w:r w:rsidR="005705B4" w:rsidRPr="005705B4">
        <w:t xml:space="preserve">to allow the address to display </w:t>
      </w:r>
      <w:r w:rsidRPr="005705B4">
        <w:t>on VBECS repo</w:t>
      </w:r>
      <w:r w:rsidR="005705B4">
        <w:t>rts. The third line of the facility address is not displayed on VBECS reports</w:t>
      </w:r>
      <w:r w:rsidRPr="005705B4">
        <w:t xml:space="preserve">. </w:t>
      </w:r>
      <w:r w:rsidRPr="005705B4">
        <w:rPr>
          <w:vanish/>
        </w:rPr>
        <w:t>DR 4980</w:t>
      </w:r>
    </w:p>
    <w:bookmarkEnd w:id="171"/>
    <w:bookmarkEnd w:id="172"/>
    <w:p w14:paraId="63BFE1FD" w14:textId="77777777" w:rsidR="002A21AE" w:rsidRDefault="002A21AE">
      <w:pPr>
        <w:pStyle w:val="Heading4"/>
      </w:pPr>
      <w:r>
        <w:t>Additional Information</w:t>
      </w:r>
    </w:p>
    <w:p w14:paraId="534D9009" w14:textId="77777777" w:rsidR="00B62541" w:rsidRDefault="00B62541">
      <w:pPr>
        <w:pStyle w:val="ListBullet"/>
      </w:pPr>
      <w:r>
        <w:t xml:space="preserve">A facility must be </w:t>
      </w:r>
      <w:r w:rsidR="009D390D">
        <w:t>activated and have</w:t>
      </w:r>
      <w:r>
        <w:t xml:space="preserve"> at least one blood product defined to be a shipper.</w:t>
      </w:r>
    </w:p>
    <w:p w14:paraId="619B7D0A" w14:textId="77777777" w:rsidR="00F17965" w:rsidRPr="00F17965" w:rsidRDefault="00F17965">
      <w:pPr>
        <w:pStyle w:val="ListBullet"/>
      </w:pPr>
      <w:r>
        <w:t xml:space="preserve">A user may </w:t>
      </w:r>
      <w:r w:rsidR="00DD635C">
        <w:t xml:space="preserve">identify </w:t>
      </w:r>
      <w:r>
        <w:t>his</w:t>
      </w:r>
      <w:r w:rsidR="00706360">
        <w:t xml:space="preserve"> site as</w:t>
      </w:r>
      <w:r>
        <w:t xml:space="preserve"> a collection facility through this option.</w:t>
      </w:r>
    </w:p>
    <w:p w14:paraId="2518C552" w14:textId="77777777" w:rsidR="002A21AE" w:rsidRDefault="002A21AE">
      <w:pPr>
        <w:pStyle w:val="ListBullet"/>
      </w:pPr>
      <w:r>
        <w:rPr>
          <w:vanish/>
          <w:spacing w:val="0"/>
        </w:rPr>
        <w:t xml:space="preserve">BR_6.11 </w:t>
      </w:r>
      <w:r>
        <w:t xml:space="preserve">An ICCBBA </w:t>
      </w:r>
      <w:r w:rsidR="00B85812">
        <w:t>Registration Number</w:t>
      </w:r>
      <w:r>
        <w:t xml:space="preserve"> has one letter, indicating the country of origin (“W” for the U.S.) and four numbers. The field is five characters long.</w:t>
      </w:r>
    </w:p>
    <w:p w14:paraId="4256A8B7" w14:textId="77777777" w:rsidR="00E507A1" w:rsidRPr="00E507A1" w:rsidRDefault="00E507A1">
      <w:pPr>
        <w:pStyle w:val="ListBullet"/>
      </w:pPr>
      <w:bookmarkStart w:id="173" w:name="OLE_LINK3"/>
      <w:bookmarkStart w:id="174" w:name="OLE_LINK4"/>
      <w:r>
        <w:rPr>
          <w:spacing w:val="0"/>
        </w:rPr>
        <w:t>The user may change facility addresses that appear on reports.</w:t>
      </w:r>
    </w:p>
    <w:bookmarkEnd w:id="173"/>
    <w:bookmarkEnd w:id="174"/>
    <w:p w14:paraId="11934ABA" w14:textId="77777777" w:rsidR="002A21AE" w:rsidRDefault="002A21AE">
      <w:pPr>
        <w:pStyle w:val="Heading4"/>
      </w:pPr>
      <w:r>
        <w:t xml:space="preserve">User Roles with Access to This Option </w:t>
      </w:r>
    </w:p>
    <w:p w14:paraId="5AA677AB" w14:textId="77777777" w:rsidR="00215931" w:rsidRDefault="00215931" w:rsidP="00215931">
      <w:pPr>
        <w:pStyle w:val="Roles"/>
      </w:pPr>
      <w:r>
        <w:rPr>
          <w:snapToGrid w:val="0"/>
        </w:rPr>
        <w:t xml:space="preserve">All users </w:t>
      </w:r>
    </w:p>
    <w:p w14:paraId="3F49BA81" w14:textId="77777777" w:rsidR="002A21AE" w:rsidRDefault="002A21AE">
      <w:pPr>
        <w:pStyle w:val="Heading4"/>
      </w:pPr>
      <w:r>
        <w:t>Local Facilities</w:t>
      </w:r>
    </w:p>
    <w:p w14:paraId="0A84C979" w14:textId="77777777" w:rsidR="002A21AE" w:rsidRDefault="002A21AE" w:rsidP="00FA7E65">
      <w:pPr>
        <w:pStyle w:val="BodyText"/>
      </w:pPr>
      <w:r>
        <w:t xml:space="preserve">This option allows a user to activate an entry from the national collection facility table, thereby adding it to a division’s local collection facility table, and add or update the facility’s information (except for the FDA </w:t>
      </w:r>
      <w:r w:rsidR="00B85812">
        <w:t>Registration Number</w:t>
      </w:r>
      <w:r>
        <w:t xml:space="preserve">). A user may select an active collection facility to associate blood products (which makes the facility a shipper). </w:t>
      </w:r>
    </w:p>
    <w:p w14:paraId="2331DBEF" w14:textId="77777777" w:rsidR="002A21AE" w:rsidRDefault="002A21AE" w:rsidP="00FA7E65">
      <w:pPr>
        <w:pStyle w:val="BodyText"/>
      </w:pPr>
      <w:r>
        <w:t>This option also allows a user to create a collection facility.</w:t>
      </w:r>
    </w:p>
    <w:p w14:paraId="4ACF2369" w14:textId="77777777" w:rsidR="00D210F0" w:rsidRDefault="00D210F0" w:rsidP="00D210F0">
      <w:pPr>
        <w:pStyle w:val="Caution"/>
      </w:pPr>
      <w:r>
        <w:t>Verify that site information entered during installation is correct prior to adding local facilities.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CDB1FB3" w14:textId="77777777" w:rsidTr="007E3EE1">
        <w:trPr>
          <w:cantSplit/>
          <w:tblHeader/>
        </w:trPr>
        <w:tc>
          <w:tcPr>
            <w:tcW w:w="3240" w:type="dxa"/>
            <w:shd w:val="pct30" w:color="auto" w:fill="FFFFFF"/>
            <w:vAlign w:val="bottom"/>
          </w:tcPr>
          <w:p w14:paraId="078E46D8" w14:textId="77777777" w:rsidR="002A21AE" w:rsidRDefault="002A21AE">
            <w:pPr>
              <w:pStyle w:val="TableText"/>
              <w:rPr>
                <w:b/>
              </w:rPr>
            </w:pPr>
            <w:r>
              <w:rPr>
                <w:b/>
              </w:rPr>
              <w:t>User Action</w:t>
            </w:r>
          </w:p>
        </w:tc>
        <w:tc>
          <w:tcPr>
            <w:tcW w:w="6120" w:type="dxa"/>
            <w:shd w:val="pct30" w:color="auto" w:fill="FFFFFF"/>
            <w:vAlign w:val="bottom"/>
          </w:tcPr>
          <w:p w14:paraId="78407BD2" w14:textId="77777777" w:rsidR="002A21AE" w:rsidRDefault="002A21AE">
            <w:pPr>
              <w:pStyle w:val="TableText"/>
              <w:rPr>
                <w:b/>
              </w:rPr>
            </w:pPr>
            <w:r>
              <w:rPr>
                <w:b/>
              </w:rPr>
              <w:t>VBECS</w:t>
            </w:r>
          </w:p>
        </w:tc>
      </w:tr>
      <w:tr w:rsidR="002A21AE" w14:paraId="02D3ACC5" w14:textId="77777777" w:rsidTr="007E3EE1">
        <w:trPr>
          <w:cantSplit/>
        </w:trPr>
        <w:tc>
          <w:tcPr>
            <w:tcW w:w="3240" w:type="dxa"/>
            <w:tcBorders>
              <w:top w:val="single" w:sz="4" w:space="0" w:color="auto"/>
              <w:left w:val="single" w:sz="4" w:space="0" w:color="auto"/>
              <w:bottom w:val="single" w:sz="4" w:space="0" w:color="auto"/>
              <w:right w:val="single" w:sz="4" w:space="0" w:color="auto"/>
            </w:tcBorders>
          </w:tcPr>
          <w:p w14:paraId="5D5BEBF8" w14:textId="77777777" w:rsidR="002A21AE" w:rsidRDefault="002A21AE">
            <w:pPr>
              <w:pStyle w:val="TableTextNumbers"/>
            </w:pPr>
            <w:r>
              <w:t xml:space="preserve">Select </w:t>
            </w:r>
            <w:r>
              <w:rPr>
                <w:b/>
              </w:rPr>
              <w:t>Tools</w:t>
            </w:r>
            <w:r>
              <w:t xml:space="preserve"> from the main menu.</w:t>
            </w:r>
          </w:p>
          <w:p w14:paraId="2A78700C" w14:textId="77777777" w:rsidR="002A21AE" w:rsidRDefault="002A21AE">
            <w:pPr>
              <w:pStyle w:val="TableTextNumbersContinued"/>
              <w:rPr>
                <w:b/>
                <w:bCs/>
              </w:rPr>
            </w:pPr>
          </w:p>
          <w:p w14:paraId="696F45DD" w14:textId="77777777" w:rsidR="002A21AE" w:rsidRDefault="002A21AE">
            <w:pPr>
              <w:pStyle w:val="TableTextNumbersContinued"/>
            </w:pPr>
            <w:r>
              <w:t xml:space="preserve">Select </w:t>
            </w:r>
            <w:r>
              <w:rPr>
                <w:b/>
              </w:rPr>
              <w:t>Local Facilities</w:t>
            </w:r>
            <w:r>
              <w:t>.</w:t>
            </w:r>
          </w:p>
        </w:tc>
        <w:tc>
          <w:tcPr>
            <w:tcW w:w="6120" w:type="dxa"/>
            <w:tcBorders>
              <w:top w:val="single" w:sz="4" w:space="0" w:color="auto"/>
              <w:left w:val="single" w:sz="4" w:space="0" w:color="auto"/>
              <w:bottom w:val="single" w:sz="4" w:space="0" w:color="auto"/>
              <w:right w:val="single" w:sz="4" w:space="0" w:color="auto"/>
            </w:tcBorders>
          </w:tcPr>
          <w:p w14:paraId="6CD81064" w14:textId="77777777" w:rsidR="002A21AE" w:rsidRDefault="002A21AE">
            <w:pPr>
              <w:pStyle w:val="TableTextBullet"/>
            </w:pPr>
            <w:r>
              <w:t>Displays options for processing administrative functions.</w:t>
            </w:r>
          </w:p>
          <w:p w14:paraId="37F9B5C1" w14:textId="77777777" w:rsidR="002A21AE" w:rsidRDefault="002A21AE">
            <w:pPr>
              <w:pStyle w:val="TableTextBullet"/>
            </w:pPr>
            <w:r>
              <w:t>Displays fields for entering facility information.</w:t>
            </w:r>
          </w:p>
          <w:p w14:paraId="01BE7679" w14:textId="77777777" w:rsidR="002A21AE" w:rsidRDefault="002A21AE">
            <w:pPr>
              <w:pStyle w:val="TableTextBullet"/>
            </w:pPr>
            <w:r>
              <w:t>Allows a user to access an existing facility record.</w:t>
            </w:r>
          </w:p>
        </w:tc>
      </w:tr>
      <w:tr w:rsidR="002A21AE" w14:paraId="3EE5DD08" w14:textId="77777777" w:rsidTr="007E3EE1">
        <w:trPr>
          <w:cantSplit/>
        </w:trPr>
        <w:tc>
          <w:tcPr>
            <w:tcW w:w="3240" w:type="dxa"/>
          </w:tcPr>
          <w:p w14:paraId="0D97A683" w14:textId="251007C7" w:rsidR="002A21AE" w:rsidRDefault="002A21AE">
            <w:pPr>
              <w:pStyle w:val="TableTextNumbers"/>
            </w:pPr>
            <w:r>
              <w:t xml:space="preserve">To find a collection facility, scan or enter an FDA </w:t>
            </w:r>
            <w:r w:rsidR="00B85812">
              <w:t>Registration Number</w:t>
            </w:r>
            <w:r>
              <w:t xml:space="preserve"> in the FDA Reg. No. field and go to Step 4 (or click the </w:t>
            </w:r>
            <w:r w:rsidR="00A6373D">
              <w:rPr>
                <w:b/>
              </w:rPr>
              <w:t>find</w:t>
            </w:r>
            <w:r w:rsidRPr="00BF2E41">
              <w:t xml:space="preserve"> button</w:t>
            </w:r>
            <w:r>
              <w:t xml:space="preserve"> to open the Facility Search window).</w:t>
            </w:r>
            <w:r w:rsidR="004277F6">
              <w:t xml:space="preserve"> FDA Reg. No. must be 7 or 10 characters long. </w:t>
            </w:r>
          </w:p>
        </w:tc>
        <w:tc>
          <w:tcPr>
            <w:tcW w:w="6120" w:type="dxa"/>
          </w:tcPr>
          <w:p w14:paraId="0DDBA8C2" w14:textId="77777777" w:rsidR="002A21AE" w:rsidRDefault="002A21AE">
            <w:pPr>
              <w:pStyle w:val="TableTextBullet"/>
            </w:pPr>
            <w:r>
              <w:t>Displays the collection facilities that match the search criteria.</w:t>
            </w:r>
          </w:p>
        </w:tc>
      </w:tr>
      <w:tr w:rsidR="002A21AE" w14:paraId="1F7E922B" w14:textId="77777777" w:rsidTr="007E3EE1">
        <w:trPr>
          <w:cantSplit/>
        </w:trPr>
        <w:tc>
          <w:tcPr>
            <w:tcW w:w="3240" w:type="dxa"/>
          </w:tcPr>
          <w:p w14:paraId="135D594A" w14:textId="77777777" w:rsidR="002A21AE" w:rsidRDefault="002A21AE">
            <w:pPr>
              <w:pStyle w:val="TableTextNumbers"/>
            </w:pPr>
            <w:r>
              <w:t xml:space="preserve">In the Facility Search window, enter a full or partial facility name in the Partial Facility Name field (or enter a full or partial FDA </w:t>
            </w:r>
            <w:r w:rsidR="00B85812">
              <w:t>Registration Number</w:t>
            </w:r>
            <w:r>
              <w:t xml:space="preserve"> in the FDA Reg. No. field), and click </w:t>
            </w:r>
            <w:r w:rsidR="00173187" w:rsidRPr="00173187">
              <w:rPr>
                <w:b/>
              </w:rPr>
              <w:t>Search</w:t>
            </w:r>
            <w:r>
              <w:t xml:space="preserve"> to view a list of active facilities.</w:t>
            </w:r>
          </w:p>
          <w:p w14:paraId="7F3723ED" w14:textId="77777777" w:rsidR="002A21AE" w:rsidRDefault="002A21AE">
            <w:pPr>
              <w:pStyle w:val="TableTextNumbersContinued"/>
              <w:rPr>
                <w:b/>
                <w:bCs/>
              </w:rPr>
            </w:pPr>
          </w:p>
          <w:p w14:paraId="016A3636" w14:textId="77777777" w:rsidR="002A21AE" w:rsidRDefault="002A21AE">
            <w:pPr>
              <w:pStyle w:val="TableTextNumbersContinued"/>
            </w:pPr>
            <w:r>
              <w:t xml:space="preserve">Select a facility name from the list and click </w:t>
            </w:r>
            <w:r>
              <w:rPr>
                <w:b/>
              </w:rPr>
              <w:t>OK</w:t>
            </w:r>
            <w:r>
              <w:t>.</w:t>
            </w:r>
          </w:p>
        </w:tc>
        <w:tc>
          <w:tcPr>
            <w:tcW w:w="6120" w:type="dxa"/>
          </w:tcPr>
          <w:p w14:paraId="62AE5383" w14:textId="77777777" w:rsidR="002A21AE" w:rsidRDefault="002A21AE">
            <w:pPr>
              <w:pStyle w:val="TableTextBullet"/>
            </w:pPr>
            <w:r>
              <w:t xml:space="preserve">Displays properties of the selected collection facility. </w:t>
            </w:r>
          </w:p>
          <w:p w14:paraId="54C6B4A3" w14:textId="77777777" w:rsidR="002A21AE" w:rsidRDefault="002A21AE">
            <w:pPr>
              <w:pStyle w:val="TableText"/>
            </w:pPr>
          </w:p>
          <w:p w14:paraId="660CB3AB" w14:textId="0F082177" w:rsidR="002A21AE" w:rsidRDefault="002A21AE">
            <w:pPr>
              <w:pStyle w:val="TableText"/>
              <w:rPr>
                <w:b/>
                <w:bCs/>
                <w:szCs w:val="18"/>
              </w:rPr>
            </w:pPr>
            <w:r>
              <w:rPr>
                <w:b/>
                <w:bCs/>
                <w:szCs w:val="18"/>
              </w:rPr>
              <w:t>NOTES</w:t>
            </w:r>
          </w:p>
          <w:p w14:paraId="10559AE3" w14:textId="77777777" w:rsidR="002A21AE" w:rsidRDefault="002A21AE">
            <w:pPr>
              <w:pStyle w:val="NotesText"/>
            </w:pPr>
          </w:p>
          <w:p w14:paraId="3F23C24B" w14:textId="77777777" w:rsidR="002A21AE" w:rsidRDefault="002A21AE">
            <w:pPr>
              <w:pStyle w:val="NotesText"/>
            </w:pPr>
            <w:r>
              <w:t>The collection facility is tied to the user’s current login division.</w:t>
            </w:r>
          </w:p>
          <w:p w14:paraId="59E18A31" w14:textId="77777777" w:rsidR="002A21AE" w:rsidRDefault="002A21AE">
            <w:pPr>
              <w:pStyle w:val="NotesText"/>
            </w:pPr>
          </w:p>
          <w:p w14:paraId="3C7F5690" w14:textId="77777777" w:rsidR="002A21AE" w:rsidRDefault="002A21AE">
            <w:pPr>
              <w:pStyle w:val="NotesText"/>
            </w:pPr>
            <w:r w:rsidRPr="009660C3">
              <w:rPr>
                <w:vanish/>
                <w:szCs w:val="18"/>
              </w:rPr>
              <w:t xml:space="preserve">BR_6.05 </w:t>
            </w:r>
            <w:r>
              <w:t>A user may activate a facility. By default, VBECS marks active facilities as collection facilities.</w:t>
            </w:r>
          </w:p>
          <w:p w14:paraId="7C28A734" w14:textId="77777777" w:rsidR="002A21AE" w:rsidRDefault="002A21AE">
            <w:pPr>
              <w:pStyle w:val="NotesText"/>
            </w:pPr>
          </w:p>
          <w:p w14:paraId="3EA36E60" w14:textId="77777777" w:rsidR="002A21AE" w:rsidRDefault="00700CE1">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The Enhanced Supervisor may</w:t>
            </w:r>
            <w:r w:rsidR="002A21AE">
              <w:t xml:space="preserve"> enter search criteria that do not exist in the national or the local collection facility tables to add a collection facility to the division’s local list. By default, VBECS marks such entries as a collection facility.</w:t>
            </w:r>
          </w:p>
          <w:p w14:paraId="1ECE35B7" w14:textId="77777777" w:rsidR="002A21AE" w:rsidRDefault="002A21AE">
            <w:pPr>
              <w:pStyle w:val="NotesText"/>
            </w:pPr>
          </w:p>
          <w:p w14:paraId="67EF62FA" w14:textId="77777777" w:rsidR="002A21AE" w:rsidRDefault="002A21AE">
            <w:pPr>
              <w:pStyle w:val="NotesText"/>
            </w:pPr>
            <w:r w:rsidRPr="009660C3">
              <w:rPr>
                <w:vanish/>
                <w:szCs w:val="18"/>
              </w:rPr>
              <w:t xml:space="preserve">BR_6.06 </w:t>
            </w:r>
            <w:r>
              <w:t>When a user clears the Active Facility check box for a collection facility in a division, warns the user, and asks whether he wishes to inactivate this facility and continue.</w:t>
            </w:r>
          </w:p>
          <w:p w14:paraId="65B5052F" w14:textId="77777777" w:rsidR="002A21AE" w:rsidRDefault="002A21AE">
            <w:pPr>
              <w:pStyle w:val="NotesText"/>
            </w:pPr>
          </w:p>
          <w:p w14:paraId="6C94B948" w14:textId="77777777" w:rsidR="002A21AE" w:rsidRDefault="002A21AE">
            <w:pPr>
              <w:pStyle w:val="NotesText"/>
            </w:pPr>
            <w:r>
              <w:rPr>
                <w:b/>
              </w:rPr>
              <w:t>Yes</w:t>
            </w:r>
            <w:r>
              <w:t xml:space="preserve"> allows the action to continue. </w:t>
            </w:r>
            <w:r>
              <w:rPr>
                <w:b/>
              </w:rPr>
              <w:t>No</w:t>
            </w:r>
            <w:r>
              <w:t xml:space="preserve"> leaves the collection facility marked as active for the division.</w:t>
            </w:r>
          </w:p>
          <w:p w14:paraId="2094FDDD" w14:textId="77777777" w:rsidR="002A21AE" w:rsidRDefault="002A21AE">
            <w:pPr>
              <w:pStyle w:val="NotesText"/>
            </w:pPr>
          </w:p>
          <w:p w14:paraId="0EDBC0C2" w14:textId="00001868" w:rsidR="00143160" w:rsidRDefault="00143160">
            <w:pPr>
              <w:pStyle w:val="NotesText"/>
            </w:pPr>
            <w:r w:rsidRPr="00143160">
              <w:rPr>
                <w:vanish/>
              </w:rPr>
              <w:t xml:space="preserve">BR_8.11 </w:t>
            </w:r>
            <w:r>
              <w:t>In order to inactivate a facility that has been previously configured as a product shipper, you must first inactivate all product shipper entries for that facility. To deactivate prod</w:t>
            </w:r>
            <w:r w:rsidR="005375AC">
              <w:t xml:space="preserve">uct shippers, refer to the </w:t>
            </w:r>
            <w:r w:rsidR="00EE455E">
              <w:t>Blood Products</w:t>
            </w:r>
            <w:r w:rsidR="005375AC">
              <w:t xml:space="preserve"> section</w:t>
            </w:r>
            <w:r>
              <w:t>. Contact the Service Desk if you would like a list of products linked to the facility you want to inactivate.</w:t>
            </w:r>
          </w:p>
        </w:tc>
      </w:tr>
      <w:tr w:rsidR="002A21AE" w14:paraId="3986EDCF" w14:textId="77777777" w:rsidTr="007E3EE1">
        <w:trPr>
          <w:cantSplit/>
        </w:trPr>
        <w:tc>
          <w:tcPr>
            <w:tcW w:w="3240" w:type="dxa"/>
          </w:tcPr>
          <w:p w14:paraId="55BA3E3B" w14:textId="3B32DAB2" w:rsidR="002A21AE" w:rsidRDefault="002A21AE">
            <w:pPr>
              <w:pStyle w:val="TableTextNumbers"/>
            </w:pPr>
            <w:r>
              <w:t xml:space="preserve">Edit or enter information in the collection facility information fields (for example, address, telephone number, whether the facility is a testing and/or collection facility) </w:t>
            </w:r>
            <w:r w:rsidR="00363757">
              <w:t>(</w:t>
            </w:r>
            <w:r w:rsidR="00EE455E">
              <w:t xml:space="preserve">Figure </w:t>
            </w:r>
            <w:r w:rsidR="00EE455E">
              <w:rPr>
                <w:noProof/>
              </w:rPr>
              <w:t>29</w:t>
            </w:r>
            <w:r w:rsidR="00363757">
              <w:t xml:space="preserve">) </w:t>
            </w:r>
            <w:r>
              <w:t xml:space="preserve">and click </w:t>
            </w:r>
            <w:r>
              <w:rPr>
                <w:b/>
              </w:rPr>
              <w:t>OK</w:t>
            </w:r>
            <w:r>
              <w:t xml:space="preserve"> to save the updated information.</w:t>
            </w:r>
          </w:p>
        </w:tc>
        <w:tc>
          <w:tcPr>
            <w:tcW w:w="6120" w:type="dxa"/>
          </w:tcPr>
          <w:p w14:paraId="64F249A1" w14:textId="77777777" w:rsidR="002A21AE" w:rsidRDefault="002A21AE">
            <w:pPr>
              <w:pStyle w:val="TableTextBullet"/>
            </w:pPr>
            <w:r>
              <w:t xml:space="preserve">Displays entries for review and acceptance. </w:t>
            </w:r>
          </w:p>
          <w:p w14:paraId="3DFF8A6B" w14:textId="77777777" w:rsidR="002A21AE" w:rsidRDefault="002A21AE">
            <w:pPr>
              <w:pStyle w:val="TableTextBullet"/>
            </w:pPr>
            <w:r>
              <w:t>Prompts to save.</w:t>
            </w:r>
          </w:p>
          <w:p w14:paraId="0F6DF80D" w14:textId="77777777" w:rsidR="002A21AE" w:rsidRDefault="002A21AE">
            <w:pPr>
              <w:pStyle w:val="TableText"/>
            </w:pPr>
          </w:p>
          <w:p w14:paraId="08D1C1A6" w14:textId="45F881CF" w:rsidR="002A21AE" w:rsidRDefault="002A21AE">
            <w:pPr>
              <w:pStyle w:val="TableText"/>
              <w:rPr>
                <w:b/>
                <w:bCs/>
                <w:szCs w:val="18"/>
              </w:rPr>
            </w:pPr>
            <w:r>
              <w:rPr>
                <w:b/>
                <w:bCs/>
                <w:szCs w:val="18"/>
              </w:rPr>
              <w:t>NOTES</w:t>
            </w:r>
          </w:p>
          <w:p w14:paraId="71FEB63F" w14:textId="77777777" w:rsidR="002A21AE" w:rsidRDefault="002A21AE">
            <w:pPr>
              <w:pStyle w:val="NotesText"/>
            </w:pPr>
          </w:p>
          <w:p w14:paraId="714D8BAF" w14:textId="77777777" w:rsidR="002A21AE" w:rsidRDefault="002A21AE" w:rsidP="004E5EEE">
            <w:pPr>
              <w:pStyle w:val="NotesText"/>
            </w:pPr>
            <w:r>
              <w:rPr>
                <w:b/>
              </w:rPr>
              <w:t>OK</w:t>
            </w:r>
            <w:r>
              <w:t xml:space="preserve"> remains disabled until the user edits or enters information or simply clicks in a field or check box.</w:t>
            </w:r>
          </w:p>
          <w:p w14:paraId="33F18C98" w14:textId="77777777" w:rsidR="00962AB7" w:rsidRDefault="00962AB7" w:rsidP="004E5EEE">
            <w:pPr>
              <w:pStyle w:val="NotesText"/>
            </w:pPr>
          </w:p>
          <w:p w14:paraId="0FE0AE2F" w14:textId="0A8E3DF9" w:rsidR="00962AB7" w:rsidRDefault="005E0BEC" w:rsidP="004E5EEE">
            <w:pPr>
              <w:pStyle w:val="NotesText"/>
            </w:pPr>
            <w:r w:rsidRPr="005E0BEC">
              <w:rPr>
                <w:vanish/>
              </w:rPr>
              <w:t xml:space="preserve">BR_6.07 </w:t>
            </w:r>
            <w:r w:rsidR="00962AB7">
              <w:t>The eye-readable prefix (when used) is always a 2-character numeric field.</w:t>
            </w:r>
          </w:p>
        </w:tc>
      </w:tr>
      <w:tr w:rsidR="002A21AE" w14:paraId="1BC092BD" w14:textId="77777777" w:rsidTr="007E3EE1">
        <w:trPr>
          <w:cantSplit/>
        </w:trPr>
        <w:tc>
          <w:tcPr>
            <w:tcW w:w="3240" w:type="dxa"/>
          </w:tcPr>
          <w:p w14:paraId="085DE28A" w14:textId="77777777" w:rsidR="002A21AE" w:rsidRDefault="002A21AE">
            <w:pPr>
              <w:pStyle w:val="TableTextNumbers"/>
            </w:pPr>
            <w:r>
              <w:t xml:space="preserve">Click </w:t>
            </w:r>
            <w:r>
              <w:rPr>
                <w:b/>
              </w:rPr>
              <w:t>Yes</w:t>
            </w:r>
            <w:r>
              <w:t xml:space="preserve"> to confirm the save.</w:t>
            </w:r>
          </w:p>
        </w:tc>
        <w:tc>
          <w:tcPr>
            <w:tcW w:w="6120" w:type="dxa"/>
          </w:tcPr>
          <w:p w14:paraId="14C86E6D" w14:textId="77777777" w:rsidR="002A21AE" w:rsidRDefault="002A21AE">
            <w:pPr>
              <w:pStyle w:val="TableTextBullet"/>
            </w:pPr>
            <w:r>
              <w:t>Saves the active collection facility record and prompts to add or edit another facility.</w:t>
            </w:r>
          </w:p>
          <w:p w14:paraId="6840F81A" w14:textId="77777777" w:rsidR="002A21AE" w:rsidRDefault="002A21AE">
            <w:pPr>
              <w:pStyle w:val="TableText"/>
            </w:pPr>
          </w:p>
          <w:p w14:paraId="1F7AF99B" w14:textId="6998C926" w:rsidR="002A21AE" w:rsidRDefault="002A21AE">
            <w:pPr>
              <w:pStyle w:val="TableText"/>
              <w:rPr>
                <w:b/>
                <w:bCs/>
                <w:szCs w:val="18"/>
              </w:rPr>
            </w:pPr>
            <w:r>
              <w:rPr>
                <w:b/>
                <w:bCs/>
                <w:szCs w:val="18"/>
              </w:rPr>
              <w:t>NOTES</w:t>
            </w:r>
          </w:p>
          <w:p w14:paraId="4BC661F6" w14:textId="77777777" w:rsidR="002A21AE" w:rsidRDefault="002A21AE">
            <w:pPr>
              <w:pStyle w:val="NotesText"/>
            </w:pPr>
          </w:p>
          <w:p w14:paraId="14A8EC1E" w14:textId="77777777" w:rsidR="00B62541" w:rsidRDefault="002A21AE">
            <w:pPr>
              <w:pStyle w:val="NotesText"/>
            </w:pPr>
            <w:r w:rsidRPr="009660C3">
              <w:rPr>
                <w:vanish/>
                <w:szCs w:val="18"/>
              </w:rPr>
              <w:t xml:space="preserve">BR_6.09 </w:t>
            </w:r>
            <w:r>
              <w:t>VBECS saves an active collection facility only when it is iden</w:t>
            </w:r>
            <w:r w:rsidR="00836F52">
              <w:t>tified as a collection facility</w:t>
            </w:r>
            <w:r>
              <w:t>.</w:t>
            </w:r>
          </w:p>
          <w:p w14:paraId="2F76F4E5" w14:textId="77777777" w:rsidR="00B62541" w:rsidRDefault="00B62541">
            <w:pPr>
              <w:pStyle w:val="NotesText"/>
            </w:pPr>
          </w:p>
          <w:p w14:paraId="019DBF4D" w14:textId="77777777" w:rsidR="002A21AE" w:rsidRDefault="00B62541" w:rsidP="00E90A01">
            <w:pPr>
              <w:pStyle w:val="NotesText"/>
            </w:pPr>
            <w:r>
              <w:t xml:space="preserve">A facility must be activated and </w:t>
            </w:r>
            <w:r w:rsidR="009D390D">
              <w:t xml:space="preserve">have </w:t>
            </w:r>
            <w:r>
              <w:t xml:space="preserve">at least one blood product defined to be a shipper. Refer to Blood Products section for </w:t>
            </w:r>
            <w:r w:rsidR="00E90A01">
              <w:t>additional</w:t>
            </w:r>
            <w:r>
              <w:t xml:space="preserve"> information.</w:t>
            </w:r>
          </w:p>
        </w:tc>
      </w:tr>
      <w:tr w:rsidR="002A21AE" w14:paraId="273F1CDA" w14:textId="77777777" w:rsidTr="007E3EE1">
        <w:trPr>
          <w:cantSplit/>
        </w:trPr>
        <w:tc>
          <w:tcPr>
            <w:tcW w:w="3240" w:type="dxa"/>
          </w:tcPr>
          <w:p w14:paraId="45CA251E" w14:textId="77777777" w:rsidR="002A21AE" w:rsidRDefault="002A21AE">
            <w:pPr>
              <w:pStyle w:val="TableTextNumbers"/>
            </w:pPr>
            <w:r>
              <w:t>Repeat these steps to process another facility.</w:t>
            </w:r>
          </w:p>
        </w:tc>
        <w:tc>
          <w:tcPr>
            <w:tcW w:w="6120" w:type="dxa"/>
          </w:tcPr>
          <w:p w14:paraId="76FEC7AD" w14:textId="77777777" w:rsidR="002A21AE" w:rsidRDefault="002A21AE">
            <w:pPr>
              <w:pStyle w:val="TableText"/>
            </w:pPr>
          </w:p>
        </w:tc>
      </w:tr>
      <w:tr w:rsidR="002A21AE" w14:paraId="748CE95D" w14:textId="77777777" w:rsidTr="007E3EE1">
        <w:trPr>
          <w:cantSplit/>
        </w:trPr>
        <w:tc>
          <w:tcPr>
            <w:tcW w:w="3240" w:type="dxa"/>
          </w:tcPr>
          <w:p w14:paraId="3B42AB57" w14:textId="77777777" w:rsidR="002A21AE" w:rsidRDefault="002A21AE">
            <w:pPr>
              <w:pStyle w:val="TableTextNumbers"/>
            </w:pPr>
            <w:r>
              <w:t xml:space="preserve">Click </w:t>
            </w:r>
            <w:r>
              <w:rPr>
                <w:b/>
              </w:rPr>
              <w:t>Cancel</w:t>
            </w:r>
            <w:r>
              <w:t xml:space="preserve"> in the Maintain Facility screen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7B401C6" w14:textId="77777777" w:rsidR="002A21AE" w:rsidRDefault="002A21AE">
            <w:pPr>
              <w:pStyle w:val="TableText"/>
            </w:pPr>
          </w:p>
          <w:p w14:paraId="1FB4C241" w14:textId="77777777" w:rsidR="002A21AE" w:rsidRDefault="002A21AE">
            <w:pPr>
              <w:pStyle w:val="TableText"/>
            </w:pPr>
          </w:p>
        </w:tc>
      </w:tr>
    </w:tbl>
    <w:p w14:paraId="5CE18600" w14:textId="77777777" w:rsidR="002A21AE" w:rsidRDefault="002A21AE" w:rsidP="00FA7E65">
      <w:pPr>
        <w:pStyle w:val="BodyText"/>
      </w:pPr>
    </w:p>
    <w:p w14:paraId="52DE9985" w14:textId="25EB6BA3" w:rsidR="00363757" w:rsidRDefault="00363757" w:rsidP="00363757">
      <w:pPr>
        <w:pStyle w:val="Caption"/>
      </w:pPr>
      <w:bookmarkStart w:id="175" w:name="_Ref12647102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29</w:t>
      </w:r>
      <w:r w:rsidR="004E20BD">
        <w:rPr>
          <w:noProof/>
        </w:rPr>
        <w:fldChar w:fldCharType="end"/>
      </w:r>
      <w:bookmarkEnd w:id="175"/>
      <w:r>
        <w:t xml:space="preserve">: </w:t>
      </w:r>
      <w:r w:rsidR="00954B38">
        <w:t xml:space="preserve">Example of </w:t>
      </w:r>
      <w:r>
        <w:t>Maintain Facility</w:t>
      </w:r>
    </w:p>
    <w:p w14:paraId="40B47642" w14:textId="77777777" w:rsidR="0066425F" w:rsidRDefault="00057948" w:rsidP="0066425F">
      <w:pPr>
        <w:pStyle w:val="BodyText"/>
      </w:pPr>
      <w:r>
        <w:rPr>
          <w:noProof/>
        </w:rPr>
        <w:drawing>
          <wp:inline distT="0" distB="0" distL="0" distR="0" wp14:anchorId="7BAC7860" wp14:editId="679F75F7">
            <wp:extent cx="4304030" cy="5135245"/>
            <wp:effectExtent l="0" t="0" r="1270" b="8255"/>
            <wp:docPr id="132" name="Picture 132" descr="Example of Maintain Facility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Example of Maintain Facility screen captur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04030" cy="5135245"/>
                    </a:xfrm>
                    <a:prstGeom prst="rect">
                      <a:avLst/>
                    </a:prstGeom>
                    <a:noFill/>
                    <a:ln>
                      <a:noFill/>
                    </a:ln>
                  </pic:spPr>
                </pic:pic>
              </a:graphicData>
            </a:graphic>
          </wp:inline>
        </w:drawing>
      </w:r>
      <w:r w:rsidR="00363757">
        <w:t xml:space="preserve"> </w:t>
      </w:r>
    </w:p>
    <w:p w14:paraId="66298DE0" w14:textId="77777777" w:rsidR="002A21AE" w:rsidRDefault="00AF089A">
      <w:pPr>
        <w:pStyle w:val="Heading3"/>
      </w:pPr>
      <w:r>
        <w:br w:type="page"/>
      </w:r>
      <w:bookmarkStart w:id="176" w:name="_Ref1732323"/>
      <w:bookmarkStart w:id="177" w:name="_Toc149064102"/>
      <w:r w:rsidR="002A21AE">
        <w:t>Blood Products</w:t>
      </w:r>
      <w:bookmarkEnd w:id="170"/>
      <w:bookmarkEnd w:id="176"/>
      <w:bookmarkEnd w:id="177"/>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Blood Products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UC_08</w:t>
      </w:r>
    </w:p>
    <w:p w14:paraId="6334CAA7" w14:textId="7C4D783B" w:rsidR="002A21AE" w:rsidRDefault="002A21AE" w:rsidP="00FA7E65">
      <w:pPr>
        <w:pStyle w:val="BodyText"/>
      </w:pPr>
      <w:r>
        <w:t xml:space="preserve">The user activates, deactivates, and edits a limited number of variables for an existing blood product site parameter. VBECS </w:t>
      </w:r>
      <w:r w:rsidR="003D3067">
        <w:t>provides.</w:t>
      </w:r>
      <w:r>
        <w:t xml:space="preserve"> an ISBT 128 Blood Product reference table to facilitate these and other actions.</w:t>
      </w:r>
      <w:r w:rsidR="002F5EE5">
        <w:t xml:space="preserve"> (See FAQ Blood Product Table Processes</w:t>
      </w:r>
      <w:r w:rsidR="0054074A">
        <w:t xml:space="preserve"> and FAQ Identifying a Comparable Blood Product Code</w:t>
      </w:r>
      <w:r w:rsidR="002F5EE5">
        <w:t>)</w:t>
      </w:r>
    </w:p>
    <w:p w14:paraId="7B4F414E" w14:textId="77777777" w:rsidR="002A21AE" w:rsidRDefault="002A21AE">
      <w:pPr>
        <w:pStyle w:val="Heading4"/>
      </w:pPr>
      <w:r>
        <w:t>Assumptions</w:t>
      </w:r>
    </w:p>
    <w:p w14:paraId="2A8948F8" w14:textId="77777777" w:rsidR="002A21AE" w:rsidRDefault="002A21AE">
      <w:pPr>
        <w:pStyle w:val="ListBullet"/>
      </w:pPr>
      <w:r>
        <w:t xml:space="preserve">The connection to </w:t>
      </w:r>
      <w:r w:rsidR="00CA0045" w:rsidRPr="00CA0045">
        <w:t>VistA</w:t>
      </w:r>
      <w:r>
        <w:t xml:space="preserve"> is active.</w:t>
      </w:r>
    </w:p>
    <w:p w14:paraId="6FC120D7" w14:textId="77777777" w:rsidR="002A21AE" w:rsidRDefault="002A21AE">
      <w:pPr>
        <w:pStyle w:val="ListBullet"/>
      </w:pPr>
      <w:r>
        <w:t xml:space="preserve">The user understands </w:t>
      </w:r>
      <w:r w:rsidR="00735532">
        <w:t>Healthcare Common Procedure Coding System (</w:t>
      </w:r>
      <w:r>
        <w:t>HCPCS</w:t>
      </w:r>
      <w:r w:rsidR="00735532">
        <w:t>)</w:t>
      </w:r>
      <w:r>
        <w:t xml:space="preserve"> codes. (See Additional Information.)</w:t>
      </w:r>
    </w:p>
    <w:p w14:paraId="5F15D4A2" w14:textId="77777777" w:rsidR="002A21AE" w:rsidRDefault="002A21AE">
      <w:pPr>
        <w:pStyle w:val="ListBullet"/>
      </w:pPr>
      <w:r>
        <w:rPr>
          <w:vanish/>
          <w:spacing w:val="0"/>
        </w:rPr>
        <w:t xml:space="preserve">BR_8.03 </w:t>
      </w:r>
      <w:r>
        <w:t>A shipper must be marked as an active collection facility for a division before a user may select it as a valid shipper for a blood product for that division. This includes marking the division facility itself as an active collection facility to accommodate the creation of new blood products through modification.</w:t>
      </w:r>
    </w:p>
    <w:p w14:paraId="638B46DB" w14:textId="77777777" w:rsidR="002A21AE" w:rsidRDefault="002A21AE">
      <w:pPr>
        <w:pStyle w:val="Heading4"/>
      </w:pPr>
      <w:r>
        <w:t>Outcome</w:t>
      </w:r>
    </w:p>
    <w:p w14:paraId="712A30FF" w14:textId="77777777" w:rsidR="002A21AE" w:rsidRDefault="002A21AE">
      <w:pPr>
        <w:pStyle w:val="ListBullet"/>
      </w:pPr>
      <w:r>
        <w:t xml:space="preserve">Blood product codes are activated in the user’s division. </w:t>
      </w:r>
    </w:p>
    <w:p w14:paraId="7AA6A6FC" w14:textId="77777777" w:rsidR="002A21AE" w:rsidRDefault="002A21AE">
      <w:pPr>
        <w:pStyle w:val="ListBullet"/>
      </w:pPr>
      <w:r>
        <w:rPr>
          <w:vanish/>
          <w:spacing w:val="0"/>
        </w:rPr>
        <w:t xml:space="preserve">BR_8.07 </w:t>
      </w:r>
      <w:r>
        <w:t xml:space="preserve">Each product’s HCPCS code and its activation and deactivation dates are maintained in a permanent historical record. </w:t>
      </w:r>
    </w:p>
    <w:p w14:paraId="66611797" w14:textId="77777777" w:rsidR="002A21AE" w:rsidRDefault="002A21AE">
      <w:pPr>
        <w:pStyle w:val="Heading4"/>
      </w:pPr>
      <w:r>
        <w:t>Limitations and Restrictions</w:t>
      </w:r>
    </w:p>
    <w:p w14:paraId="35D2FA69" w14:textId="77777777" w:rsidR="002A21AE" w:rsidRDefault="002A21AE">
      <w:pPr>
        <w:pStyle w:val="ListBullet"/>
      </w:pPr>
      <w:r>
        <w:t xml:space="preserve">Blood product records distributed through VBECS are national standards. </w:t>
      </w:r>
    </w:p>
    <w:p w14:paraId="79DD5FF7" w14:textId="77777777" w:rsidR="002A21AE" w:rsidRDefault="002A21AE">
      <w:pPr>
        <w:pStyle w:val="ListBullet"/>
      </w:pPr>
      <w:r>
        <w:t>The division must have activated the valid target blood products for modification.</w:t>
      </w:r>
    </w:p>
    <w:p w14:paraId="3CB76E0F" w14:textId="77777777" w:rsidR="002A21AE" w:rsidRDefault="002A21AE" w:rsidP="00755193">
      <w:pPr>
        <w:pStyle w:val="Heading4"/>
        <w:tabs>
          <w:tab w:val="left" w:pos="3060"/>
        </w:tabs>
      </w:pPr>
      <w:r>
        <w:t>Additional Information</w:t>
      </w:r>
      <w:r w:rsidR="00755193">
        <w:tab/>
      </w:r>
    </w:p>
    <w:p w14:paraId="6405FB81" w14:textId="77777777" w:rsidR="002A21AE" w:rsidRDefault="00735532">
      <w:pPr>
        <w:pStyle w:val="ListBullet"/>
      </w:pPr>
      <w:r>
        <w:t>HCPCS</w:t>
      </w:r>
      <w:r w:rsidR="002A21AE">
        <w:t xml:space="preserve"> codes are required for medical and surgical services and supplies for the outpatient setting under the final code set standards for the Health Insurance Portability and Accountability Act of 1996 (HIPAA). See your local </w:t>
      </w:r>
      <w:r w:rsidR="002A21AE">
        <w:rPr>
          <w:szCs w:val="24"/>
        </w:rPr>
        <w:t>Current Procedural Terminology</w:t>
      </w:r>
      <w:r w:rsidR="002A21AE">
        <w:t xml:space="preserve"> (CPT) coordinator for </w:t>
      </w:r>
      <w:r w:rsidR="00E90A01">
        <w:t>additional</w:t>
      </w:r>
      <w:r w:rsidR="002A21AE">
        <w:t xml:space="preserve"> information.</w:t>
      </w:r>
    </w:p>
    <w:p w14:paraId="548E7DB2" w14:textId="77777777" w:rsidR="002A21AE" w:rsidRDefault="002A21AE">
      <w:pPr>
        <w:pStyle w:val="ListBullet"/>
      </w:pPr>
      <w:r>
        <w:rPr>
          <w:vanish/>
          <w:spacing w:val="0"/>
        </w:rPr>
        <w:t xml:space="preserve">BR_8.04 </w:t>
      </w:r>
      <w:r>
        <w:t>At least one valid shipper and product cost must be defined for each active product code in use in the division; multiple shippers may be associated with a blood product code.</w:t>
      </w:r>
    </w:p>
    <w:p w14:paraId="7978FCD6" w14:textId="77777777" w:rsidR="002A21AE" w:rsidRDefault="002A21AE">
      <w:pPr>
        <w:pStyle w:val="Heading4"/>
      </w:pPr>
      <w:r>
        <w:t>User Roles with Access to This Option</w:t>
      </w:r>
    </w:p>
    <w:p w14:paraId="3188A284" w14:textId="77777777" w:rsidR="002A21AE" w:rsidRDefault="0007426E">
      <w:pPr>
        <w:pStyle w:val="Roles"/>
      </w:pPr>
      <w:r>
        <w:t>All users</w:t>
      </w:r>
    </w:p>
    <w:p w14:paraId="61CF76B2" w14:textId="77777777" w:rsidR="002A21AE" w:rsidRDefault="002A21AE">
      <w:pPr>
        <w:pStyle w:val="Heading4"/>
      </w:pPr>
      <w:r>
        <w:t>Blood Products</w:t>
      </w:r>
    </w:p>
    <w:p w14:paraId="6F097536" w14:textId="77777777" w:rsidR="002A21AE" w:rsidRDefault="002A21AE" w:rsidP="00FA7E65">
      <w:pPr>
        <w:pStyle w:val="BodyText"/>
      </w:pPr>
      <w:r>
        <w:t>Before processing a blood unit in an incoming shipment, or activating or creating a blood unit in-house, the user identifies the shipper(s), cost, and return credit percentage for each shipper. The user also tags each product as active for use within the division and assigns a</w:t>
      </w:r>
      <w:r w:rsidR="00C43566">
        <w:t>n</w:t>
      </w:r>
      <w:r>
        <w:t xml:space="preserve"> HCPCS code to each. These are the only fields the user may edit when maintaining an existing blood product</w:t>
      </w:r>
      <w:r w:rsidR="00C816A6">
        <w:t xml:space="preserve"> code</w:t>
      </w:r>
      <w:r>
        <w:t xml:space="preserve">. </w:t>
      </w:r>
    </w:p>
    <w:p w14:paraId="58E27DB2" w14:textId="33A6C237" w:rsidR="00776377" w:rsidRDefault="002A21AE" w:rsidP="00FA7E65">
      <w:pPr>
        <w:pStyle w:val="BodyText"/>
      </w:pPr>
      <w:r>
        <w:t>A “shipper” is the facility that delivers and bills for the blood product, regardless of the facility named on the unit’s label. The facility that delivers the product to the shipper is not considered a shipper nor does it have a product cost associated with it, but it needs to be activated in the division for VBECS to interpret the unit ID. When components are modified within the division, the shipper is defined as the division. The cost may be $0.00 or other U.S. dollar value assigned by the shipper.</w:t>
      </w:r>
    </w:p>
    <w:p w14:paraId="03FCF0DB" w14:textId="77777777" w:rsidR="002A21AE" w:rsidRDefault="00776377" w:rsidP="00FA7E65">
      <w:pPr>
        <w:pStyle w:val="BodyText"/>
      </w:pPr>
      <w:r>
        <w:br w:type="page"/>
      </w: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2"/>
        <w:gridCol w:w="6120"/>
      </w:tblGrid>
      <w:tr w:rsidR="002A21AE" w14:paraId="33EB54C5" w14:textId="77777777">
        <w:trPr>
          <w:tblHeader/>
        </w:trPr>
        <w:tc>
          <w:tcPr>
            <w:tcW w:w="3132" w:type="dxa"/>
            <w:shd w:val="pct30" w:color="auto" w:fill="FFFFFF"/>
            <w:vAlign w:val="bottom"/>
          </w:tcPr>
          <w:p w14:paraId="19B0B736" w14:textId="77777777" w:rsidR="002A21AE" w:rsidRDefault="002A21AE">
            <w:pPr>
              <w:pStyle w:val="TableText"/>
              <w:rPr>
                <w:b/>
              </w:rPr>
            </w:pPr>
            <w:r>
              <w:rPr>
                <w:b/>
              </w:rPr>
              <w:t>User Action</w:t>
            </w:r>
          </w:p>
        </w:tc>
        <w:tc>
          <w:tcPr>
            <w:tcW w:w="6120" w:type="dxa"/>
            <w:shd w:val="pct30" w:color="auto" w:fill="FFFFFF"/>
            <w:vAlign w:val="bottom"/>
          </w:tcPr>
          <w:p w14:paraId="2B714831" w14:textId="77777777" w:rsidR="002A21AE" w:rsidRDefault="002A21AE">
            <w:pPr>
              <w:pStyle w:val="TableText"/>
              <w:rPr>
                <w:b/>
              </w:rPr>
            </w:pPr>
            <w:r>
              <w:rPr>
                <w:b/>
              </w:rPr>
              <w:t>VBECS</w:t>
            </w:r>
          </w:p>
        </w:tc>
      </w:tr>
      <w:tr w:rsidR="002A21AE" w14:paraId="66DC890E" w14:textId="77777777">
        <w:tc>
          <w:tcPr>
            <w:tcW w:w="3132" w:type="dxa"/>
          </w:tcPr>
          <w:p w14:paraId="661FE2A7" w14:textId="77777777" w:rsidR="002A21AE" w:rsidRDefault="002A21AE">
            <w:pPr>
              <w:pStyle w:val="TableTextNumbers"/>
            </w:pPr>
            <w:r>
              <w:t xml:space="preserve">Select </w:t>
            </w:r>
            <w:r>
              <w:rPr>
                <w:b/>
              </w:rPr>
              <w:t xml:space="preserve">Tools </w:t>
            </w:r>
            <w:r>
              <w:t>from the main menu.</w:t>
            </w:r>
          </w:p>
          <w:p w14:paraId="70471FBE" w14:textId="77777777" w:rsidR="002A21AE" w:rsidRDefault="002A21AE">
            <w:pPr>
              <w:pStyle w:val="TableTextNumbersContinued"/>
              <w:rPr>
                <w:b/>
                <w:bCs/>
              </w:rPr>
            </w:pPr>
          </w:p>
          <w:p w14:paraId="7399BE9F" w14:textId="77777777" w:rsidR="002A21AE" w:rsidRDefault="002A21AE">
            <w:pPr>
              <w:pStyle w:val="TableTextNumbersContinued"/>
              <w:rPr>
                <w:b/>
                <w:bCs/>
              </w:rPr>
            </w:pPr>
            <w:r w:rsidRPr="00FA0EEB">
              <w:rPr>
                <w:bCs/>
              </w:rPr>
              <w:t>Select</w:t>
            </w:r>
            <w:r>
              <w:rPr>
                <w:b/>
                <w:bCs/>
              </w:rPr>
              <w:t xml:space="preserve"> Blood Products</w:t>
            </w:r>
            <w:r w:rsidRPr="00FA0EEB">
              <w:rPr>
                <w:bCs/>
              </w:rPr>
              <w:t>.</w:t>
            </w:r>
          </w:p>
        </w:tc>
        <w:tc>
          <w:tcPr>
            <w:tcW w:w="6120" w:type="dxa"/>
          </w:tcPr>
          <w:p w14:paraId="6C32CAAD" w14:textId="77777777" w:rsidR="002A21AE" w:rsidRDefault="002A21AE">
            <w:pPr>
              <w:pStyle w:val="TableTextBullet"/>
            </w:pPr>
            <w:r>
              <w:t>Displays options for processing administrative functions.</w:t>
            </w:r>
          </w:p>
          <w:p w14:paraId="739644DB" w14:textId="77777777" w:rsidR="002A21AE" w:rsidRDefault="002A21AE">
            <w:pPr>
              <w:pStyle w:val="TableTextBullet"/>
            </w:pPr>
            <w:r>
              <w:t>Displays fields for entering blood product information.</w:t>
            </w:r>
          </w:p>
        </w:tc>
      </w:tr>
      <w:tr w:rsidR="002A21AE" w14:paraId="327AEE4C" w14:textId="77777777">
        <w:tc>
          <w:tcPr>
            <w:tcW w:w="3132" w:type="dxa"/>
          </w:tcPr>
          <w:p w14:paraId="3582D5E6" w14:textId="6339CABE" w:rsidR="002A21AE" w:rsidRDefault="002A21AE">
            <w:pPr>
              <w:pStyle w:val="TableTextNumbers"/>
            </w:pPr>
            <w:r>
              <w:t xml:space="preserve">To identify the product, scan or enter </w:t>
            </w:r>
            <w:r w:rsidR="00430715">
              <w:t>an</w:t>
            </w:r>
            <w:r>
              <w:t xml:space="preserve"> ISBT product code.</w:t>
            </w:r>
          </w:p>
          <w:p w14:paraId="77549D09" w14:textId="77777777" w:rsidR="002A21AE" w:rsidRDefault="002A21AE">
            <w:pPr>
              <w:pStyle w:val="TableTextNumbersContinued"/>
            </w:pPr>
          </w:p>
          <w:p w14:paraId="0419633A" w14:textId="77777777" w:rsidR="002A21AE" w:rsidRDefault="002A21AE">
            <w:pPr>
              <w:pStyle w:val="TableTextNumbersContinued"/>
            </w:pPr>
            <w:r>
              <w:t xml:space="preserve">Click the </w:t>
            </w:r>
            <w:r w:rsidR="00A6373D">
              <w:rPr>
                <w:b/>
              </w:rPr>
              <w:t>find</w:t>
            </w:r>
            <w:r w:rsidRPr="00BF2E41">
              <w:t xml:space="preserve"> button</w:t>
            </w:r>
            <w:r>
              <w:t xml:space="preserve"> to search for a product.</w:t>
            </w:r>
          </w:p>
          <w:p w14:paraId="5D004C69" w14:textId="77777777" w:rsidR="002A21AE" w:rsidRDefault="002A21AE">
            <w:pPr>
              <w:pStyle w:val="TableTextNumbersContinued"/>
            </w:pPr>
          </w:p>
          <w:p w14:paraId="6F8035A7" w14:textId="77777777" w:rsidR="002A21AE" w:rsidRDefault="002A21AE">
            <w:pPr>
              <w:pStyle w:val="TableTextNumbersContinued"/>
            </w:pPr>
            <w:r>
              <w:t>Select a product type from the drop-down Product Type list or enter a partial product name in the Partial Product Name field.</w:t>
            </w:r>
          </w:p>
          <w:p w14:paraId="24973BE2" w14:textId="77777777" w:rsidR="002A21AE" w:rsidRDefault="002A21AE">
            <w:pPr>
              <w:pStyle w:val="TableTextNumbersContinued"/>
            </w:pPr>
          </w:p>
          <w:p w14:paraId="58E11C73" w14:textId="77777777" w:rsidR="002A21AE" w:rsidRDefault="002A21AE">
            <w:pPr>
              <w:pStyle w:val="TableTextNumbersContinued"/>
            </w:pPr>
            <w:r>
              <w:t xml:space="preserve">Click </w:t>
            </w:r>
            <w:r>
              <w:rPr>
                <w:b/>
              </w:rPr>
              <w:t>Search</w:t>
            </w:r>
            <w:r>
              <w:t>.</w:t>
            </w:r>
          </w:p>
        </w:tc>
        <w:tc>
          <w:tcPr>
            <w:tcW w:w="6120" w:type="dxa"/>
          </w:tcPr>
          <w:p w14:paraId="4F0D4F54" w14:textId="77777777" w:rsidR="002A21AE" w:rsidRDefault="002A21AE">
            <w:pPr>
              <w:pStyle w:val="TableTextBullet"/>
            </w:pPr>
            <w:r>
              <w:t>Displays current blood product information.</w:t>
            </w:r>
          </w:p>
          <w:p w14:paraId="4CA92467" w14:textId="77777777" w:rsidR="002A21AE" w:rsidRDefault="002A21AE">
            <w:pPr>
              <w:pStyle w:val="TableText"/>
            </w:pPr>
          </w:p>
          <w:p w14:paraId="0FE669EC" w14:textId="2569A6AD" w:rsidR="002A21AE" w:rsidRDefault="002A21AE">
            <w:pPr>
              <w:pStyle w:val="TableText"/>
              <w:rPr>
                <w:b/>
                <w:bCs/>
                <w:szCs w:val="18"/>
              </w:rPr>
            </w:pPr>
            <w:r>
              <w:rPr>
                <w:b/>
                <w:bCs/>
                <w:szCs w:val="18"/>
              </w:rPr>
              <w:t>NOTES</w:t>
            </w:r>
          </w:p>
          <w:p w14:paraId="157A48CC" w14:textId="77777777" w:rsidR="002A21AE" w:rsidRDefault="002A21AE">
            <w:pPr>
              <w:pStyle w:val="NotesText"/>
            </w:pPr>
          </w:p>
          <w:p w14:paraId="0F476738" w14:textId="77777777" w:rsidR="002A21AE" w:rsidRDefault="002A21AE">
            <w:pPr>
              <w:pStyle w:val="NotesText"/>
            </w:pPr>
            <w:r w:rsidRPr="009660C3">
              <w:rPr>
                <w:vanish/>
                <w:szCs w:val="18"/>
              </w:rPr>
              <w:t xml:space="preserve">BR_8.12 </w:t>
            </w:r>
            <w:r>
              <w:t>When a user enters a product code</w:t>
            </w:r>
            <w:r w:rsidR="00DA09BD">
              <w:t xml:space="preserve"> that VBECS does not recognize</w:t>
            </w:r>
            <w:r>
              <w:t>, VBECS warns that the blood product was not found and that it does not support entry of new blood products.</w:t>
            </w:r>
          </w:p>
          <w:p w14:paraId="414F9028" w14:textId="77777777" w:rsidR="002A21AE" w:rsidRDefault="002A21AE">
            <w:pPr>
              <w:pStyle w:val="NotesText"/>
            </w:pPr>
          </w:p>
          <w:p w14:paraId="245A2CF1" w14:textId="77777777" w:rsidR="002A21AE" w:rsidRDefault="002A21AE">
            <w:pPr>
              <w:pStyle w:val="NotesText"/>
            </w:pPr>
            <w:r>
              <w:rPr>
                <w:b/>
                <w:bCs/>
              </w:rPr>
              <w:t>OK</w:t>
            </w:r>
            <w:r>
              <w:t xml:space="preserve"> returns the user to a blank screen to enter a different product. VBECS clears the screen. The user may enter a different product code.</w:t>
            </w:r>
            <w:r>
              <w:rPr>
                <w:rStyle w:val="CommentReference"/>
                <w:rFonts w:ascii="Times New Roman" w:hAnsi="Times New Roman"/>
                <w:vanish/>
              </w:rPr>
              <w:t xml:space="preserve"> </w:t>
            </w:r>
          </w:p>
        </w:tc>
      </w:tr>
      <w:tr w:rsidR="002A21AE" w14:paraId="00DD85F1" w14:textId="77777777">
        <w:tc>
          <w:tcPr>
            <w:tcW w:w="3132" w:type="dxa"/>
            <w:tcBorders>
              <w:bottom w:val="single" w:sz="4" w:space="0" w:color="auto"/>
            </w:tcBorders>
          </w:tcPr>
          <w:p w14:paraId="31149DCC" w14:textId="35248279" w:rsidR="002A21AE" w:rsidRDefault="002A21AE">
            <w:pPr>
              <w:pStyle w:val="TableTextNumbers"/>
            </w:pPr>
            <w:r>
              <w:t xml:space="preserve">Select a product from the Search Results list and click </w:t>
            </w:r>
            <w:r>
              <w:rPr>
                <w:b/>
                <w:bCs/>
              </w:rPr>
              <w:t>OK</w:t>
            </w:r>
            <w:r w:rsidR="00FF1B65">
              <w:rPr>
                <w:bCs/>
              </w:rPr>
              <w:t xml:space="preserve"> (</w:t>
            </w:r>
            <w:r w:rsidR="00EE455E">
              <w:t xml:space="preserve">Figure </w:t>
            </w:r>
            <w:r w:rsidR="00EE455E">
              <w:rPr>
                <w:noProof/>
              </w:rPr>
              <w:t>30</w:t>
            </w:r>
            <w:r w:rsidR="00FF1B65">
              <w:rPr>
                <w:bCs/>
              </w:rPr>
              <w:t>)</w:t>
            </w:r>
            <w:r>
              <w:t>.</w:t>
            </w:r>
          </w:p>
          <w:p w14:paraId="7EF659D2" w14:textId="77777777" w:rsidR="002A21AE" w:rsidRDefault="002A21AE">
            <w:pPr>
              <w:pStyle w:val="TableTextNumbersContinued"/>
            </w:pPr>
          </w:p>
          <w:p w14:paraId="4BE0CEC4" w14:textId="77777777" w:rsidR="002A21AE" w:rsidRDefault="002A21AE">
            <w:pPr>
              <w:pStyle w:val="TableTextNumbersContinued"/>
            </w:pPr>
            <w:r>
              <w:t>Select an HCPCS code from the drop-down HCPCS Code list or enter an HCPCS code.</w:t>
            </w:r>
          </w:p>
        </w:tc>
        <w:tc>
          <w:tcPr>
            <w:tcW w:w="6120" w:type="dxa"/>
            <w:tcBorders>
              <w:bottom w:val="single" w:sz="4" w:space="0" w:color="auto"/>
            </w:tcBorders>
          </w:tcPr>
          <w:p w14:paraId="0A690A40" w14:textId="77777777" w:rsidR="002A21AE" w:rsidRDefault="002A21AE">
            <w:pPr>
              <w:pStyle w:val="TableTextBullet"/>
            </w:pPr>
            <w:r>
              <w:t xml:space="preserve">Allows a user to enter the HCPCS code. </w:t>
            </w:r>
          </w:p>
          <w:p w14:paraId="7ABAF2F1" w14:textId="77777777" w:rsidR="002A21AE" w:rsidRDefault="002A21AE">
            <w:pPr>
              <w:pStyle w:val="TableText"/>
            </w:pPr>
          </w:p>
          <w:p w14:paraId="71070281" w14:textId="4660CEDA" w:rsidR="002A21AE" w:rsidRDefault="002A21AE">
            <w:pPr>
              <w:pStyle w:val="TableText"/>
              <w:rPr>
                <w:b/>
                <w:bCs/>
                <w:szCs w:val="18"/>
              </w:rPr>
            </w:pPr>
            <w:r>
              <w:rPr>
                <w:b/>
                <w:bCs/>
                <w:szCs w:val="18"/>
              </w:rPr>
              <w:t>NOTES</w:t>
            </w:r>
          </w:p>
          <w:p w14:paraId="34F811EA" w14:textId="77777777" w:rsidR="002A21AE" w:rsidRDefault="002A21AE">
            <w:pPr>
              <w:pStyle w:val="NotesText"/>
            </w:pPr>
          </w:p>
          <w:p w14:paraId="66A22EA8" w14:textId="77777777" w:rsidR="002A21AE" w:rsidRDefault="002A21AE">
            <w:pPr>
              <w:pStyle w:val="NotesText"/>
            </w:pPr>
            <w:r w:rsidRPr="009660C3">
              <w:rPr>
                <w:vanish/>
                <w:szCs w:val="18"/>
              </w:rPr>
              <w:t xml:space="preserve">BR_8.06 </w:t>
            </w:r>
            <w:r>
              <w:t>A blood product may have only one HCPCS code at a time.</w:t>
            </w:r>
          </w:p>
          <w:p w14:paraId="1C1201B1" w14:textId="77777777" w:rsidR="007C5D69" w:rsidRDefault="007C5D69">
            <w:pPr>
              <w:pStyle w:val="NotesText"/>
            </w:pPr>
          </w:p>
          <w:p w14:paraId="2BD40C02" w14:textId="3B23C3C6" w:rsidR="007C5D69" w:rsidRDefault="007C5D69">
            <w:pPr>
              <w:pStyle w:val="NotesText"/>
            </w:pPr>
            <w:r>
              <w:t>A user may also add a</w:t>
            </w:r>
            <w:r w:rsidR="00430715">
              <w:t>n</w:t>
            </w:r>
            <w:r>
              <w:t xml:space="preserve"> </w:t>
            </w:r>
            <w:r w:rsidRPr="007C5D69">
              <w:t>HCPCS code after the blood product code is activated.</w:t>
            </w:r>
            <w:r w:rsidR="00AB4BD9">
              <w:t xml:space="preserve"> </w:t>
            </w:r>
            <w:r w:rsidR="00AB4BD9" w:rsidRPr="00AB4BD9">
              <w:rPr>
                <w:vanish/>
              </w:rPr>
              <w:t>Defect 208150</w:t>
            </w:r>
          </w:p>
        </w:tc>
      </w:tr>
      <w:tr w:rsidR="002A21AE" w14:paraId="0B25FDF6" w14:textId="77777777">
        <w:tc>
          <w:tcPr>
            <w:tcW w:w="3132" w:type="dxa"/>
            <w:tcBorders>
              <w:bottom w:val="single" w:sz="4" w:space="0" w:color="auto"/>
            </w:tcBorders>
          </w:tcPr>
          <w:p w14:paraId="4D682087" w14:textId="77777777" w:rsidR="002A21AE" w:rsidRPr="007144AE" w:rsidRDefault="002A21AE" w:rsidP="007144AE">
            <w:pPr>
              <w:pStyle w:val="TableTextNumbers"/>
              <w:rPr>
                <w:bCs/>
              </w:rPr>
            </w:pPr>
            <w:r>
              <w:t xml:space="preserve">Select or enter product shipper information: shipper name, FDA </w:t>
            </w:r>
            <w:r w:rsidR="00B85812">
              <w:t>Registration Number</w:t>
            </w:r>
            <w:r>
              <w:t>, c</w:t>
            </w:r>
            <w:r>
              <w:rPr>
                <w:bCs/>
              </w:rPr>
              <w:t>ost, and return credit percentage.</w:t>
            </w:r>
          </w:p>
        </w:tc>
        <w:tc>
          <w:tcPr>
            <w:tcW w:w="6120" w:type="dxa"/>
            <w:tcBorders>
              <w:bottom w:val="single" w:sz="4" w:space="0" w:color="auto"/>
            </w:tcBorders>
          </w:tcPr>
          <w:p w14:paraId="2EB4BACE" w14:textId="77777777" w:rsidR="002A21AE" w:rsidRDefault="002A21AE">
            <w:pPr>
              <w:pStyle w:val="TableText"/>
            </w:pPr>
          </w:p>
          <w:p w14:paraId="666F3505" w14:textId="612BF597" w:rsidR="002A21AE" w:rsidRDefault="002A21AE">
            <w:pPr>
              <w:pStyle w:val="TableText"/>
              <w:rPr>
                <w:b/>
                <w:bCs/>
                <w:szCs w:val="18"/>
              </w:rPr>
            </w:pPr>
            <w:r>
              <w:rPr>
                <w:b/>
                <w:bCs/>
                <w:szCs w:val="18"/>
              </w:rPr>
              <w:t>NOTES</w:t>
            </w:r>
          </w:p>
          <w:p w14:paraId="5351E5E5" w14:textId="77777777" w:rsidR="002A21AE" w:rsidRDefault="002A21AE">
            <w:pPr>
              <w:pStyle w:val="NotesText"/>
            </w:pPr>
          </w:p>
          <w:p w14:paraId="07ED5D4F" w14:textId="77777777" w:rsidR="002A21AE" w:rsidRDefault="002A21AE">
            <w:pPr>
              <w:pStyle w:val="NotesText"/>
              <w:rPr>
                <w:color w:val="000000"/>
                <w:szCs w:val="18"/>
              </w:rPr>
            </w:pPr>
            <w:r w:rsidRPr="009660C3">
              <w:rPr>
                <w:vanish/>
                <w:szCs w:val="18"/>
              </w:rPr>
              <w:t xml:space="preserve">BR_8.01 </w:t>
            </w:r>
            <w:r>
              <w:t xml:space="preserve">Site parameters determine which products are active for a division. Products marked as active can be received in an incoming shipment or created in-house through modification. </w:t>
            </w:r>
          </w:p>
          <w:p w14:paraId="38214E61" w14:textId="77777777" w:rsidR="002A21AE" w:rsidRDefault="002A21AE">
            <w:pPr>
              <w:pStyle w:val="NotesText"/>
            </w:pPr>
          </w:p>
          <w:p w14:paraId="70C8BF4B" w14:textId="77777777" w:rsidR="002A21AE" w:rsidRDefault="002A21AE">
            <w:pPr>
              <w:pStyle w:val="NotesText"/>
              <w:tabs>
                <w:tab w:val="center" w:pos="3312"/>
              </w:tabs>
            </w:pPr>
            <w:r w:rsidRPr="009660C3">
              <w:rPr>
                <w:vanish/>
                <w:szCs w:val="18"/>
              </w:rPr>
              <w:t xml:space="preserve">BR_8.02 </w:t>
            </w:r>
            <w:r>
              <w:t>A user with no increased security can maintain an existing blood product for use only within the user’s current division.</w:t>
            </w:r>
            <w:r>
              <w:tab/>
            </w:r>
          </w:p>
          <w:p w14:paraId="605F9B34" w14:textId="77777777" w:rsidR="002A21AE" w:rsidRDefault="002A21AE">
            <w:pPr>
              <w:pStyle w:val="NotesText"/>
            </w:pPr>
          </w:p>
          <w:p w14:paraId="4ED1F694" w14:textId="77777777" w:rsidR="002A21AE" w:rsidRDefault="002A21AE">
            <w:pPr>
              <w:pStyle w:val="NotesText"/>
            </w:pPr>
            <w:r>
              <w:t>The return credit default is “100%.”</w:t>
            </w:r>
          </w:p>
          <w:p w14:paraId="67ED59B0" w14:textId="77777777" w:rsidR="002A21AE" w:rsidRDefault="002A21AE">
            <w:pPr>
              <w:pStyle w:val="NotesText"/>
            </w:pPr>
          </w:p>
          <w:p w14:paraId="13DCC20D" w14:textId="56FA062A" w:rsidR="002A21AE" w:rsidRDefault="002A21AE">
            <w:pPr>
              <w:pStyle w:val="NotesText"/>
            </w:pPr>
            <w:r w:rsidRPr="009660C3">
              <w:rPr>
                <w:rFonts w:cs="Arial"/>
                <w:vanish/>
                <w:color w:val="0000FF"/>
                <w:szCs w:val="18"/>
              </w:rPr>
              <w:t>BR_8.11</w:t>
            </w:r>
            <w:r w:rsidRPr="009660C3">
              <w:rPr>
                <w:vanish/>
                <w:szCs w:val="18"/>
              </w:rPr>
              <w:t xml:space="preserve"> </w:t>
            </w:r>
            <w:r w:rsidR="00CC5FE9">
              <w:t xml:space="preserve">In order to inactivate a product shipper, all units via that shipper must be in a final status (or inactivated). </w:t>
            </w:r>
            <w:r w:rsidR="00276D7F">
              <w:t>Contact the Service Desk if you would like a list of units linked to the product shipper you want to inactivate.</w:t>
            </w:r>
          </w:p>
          <w:p w14:paraId="50CB63A8" w14:textId="25BAFB2D" w:rsidR="00EA7FA8" w:rsidRDefault="00EA7FA8">
            <w:pPr>
              <w:pStyle w:val="NotesText"/>
            </w:pPr>
          </w:p>
          <w:p w14:paraId="1796B18C" w14:textId="07407507" w:rsidR="00EA7FA8" w:rsidRDefault="00EA7FA8" w:rsidP="00EA7FA8">
            <w:pPr>
              <w:pStyle w:val="NotesText"/>
            </w:pPr>
            <w:r w:rsidRPr="00EA7FA8">
              <w:rPr>
                <w:vanish/>
              </w:rPr>
              <w:t>BR_8.13</w:t>
            </w:r>
            <w:r>
              <w:t>User role Traditional Supervisor or higher</w:t>
            </w:r>
            <w:r>
              <w:rPr>
                <w:rFonts w:cs="Arial"/>
              </w:rPr>
              <w:t xml:space="preserve"> can override the default Maximum Storage Time of ISBT-128 blood products. This change is shown in the Audit Trail Report.</w:t>
            </w:r>
          </w:p>
        </w:tc>
      </w:tr>
      <w:tr w:rsidR="002A21AE" w14:paraId="2487F159" w14:textId="77777777">
        <w:tc>
          <w:tcPr>
            <w:tcW w:w="3132" w:type="dxa"/>
            <w:tcBorders>
              <w:bottom w:val="single" w:sz="4" w:space="0" w:color="auto"/>
            </w:tcBorders>
          </w:tcPr>
          <w:p w14:paraId="4B8C7F63" w14:textId="77777777" w:rsidR="002A21AE" w:rsidRDefault="002A21AE">
            <w:pPr>
              <w:pStyle w:val="TableTextNumbers"/>
            </w:pPr>
            <w:r>
              <w:t xml:space="preserve">Repeat Steps 3 and 4 for each selected product’s shipper and for other products. </w:t>
            </w:r>
          </w:p>
        </w:tc>
        <w:tc>
          <w:tcPr>
            <w:tcW w:w="6120" w:type="dxa"/>
            <w:tcBorders>
              <w:bottom w:val="single" w:sz="4" w:space="0" w:color="auto"/>
            </w:tcBorders>
          </w:tcPr>
          <w:p w14:paraId="67FFDB92" w14:textId="77777777" w:rsidR="002A21AE" w:rsidRDefault="002A21AE">
            <w:pPr>
              <w:pStyle w:val="TableTextBullet"/>
            </w:pPr>
            <w:r>
              <w:t>Displays the information entered.</w:t>
            </w:r>
          </w:p>
          <w:p w14:paraId="5D974B60" w14:textId="77777777" w:rsidR="002A21AE" w:rsidRDefault="002A21AE">
            <w:pPr>
              <w:pStyle w:val="TableTextBullet"/>
            </w:pPr>
            <w:r>
              <w:t>Requests confirmation to update the database.</w:t>
            </w:r>
          </w:p>
          <w:p w14:paraId="10338BD4" w14:textId="77777777" w:rsidR="002A21AE" w:rsidRDefault="002A21AE">
            <w:pPr>
              <w:pStyle w:val="TableTextBullet"/>
            </w:pPr>
            <w:r>
              <w:t>Updates the database or warns the user with no override for discrepancies.</w:t>
            </w:r>
          </w:p>
        </w:tc>
      </w:tr>
      <w:tr w:rsidR="002A21AE" w14:paraId="1C97D070" w14:textId="77777777">
        <w:tc>
          <w:tcPr>
            <w:tcW w:w="3132" w:type="dxa"/>
            <w:tcBorders>
              <w:bottom w:val="single" w:sz="4" w:space="0" w:color="auto"/>
            </w:tcBorders>
          </w:tcPr>
          <w:p w14:paraId="0E42B90E"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bottom w:val="single" w:sz="4" w:space="0" w:color="auto"/>
            </w:tcBorders>
          </w:tcPr>
          <w:p w14:paraId="30C1F9C5" w14:textId="77777777" w:rsidR="002A21AE" w:rsidRDefault="002A21AE">
            <w:pPr>
              <w:pStyle w:val="NotesText"/>
            </w:pPr>
          </w:p>
        </w:tc>
      </w:tr>
    </w:tbl>
    <w:p w14:paraId="07241250" w14:textId="77777777" w:rsidR="002A21AE" w:rsidRDefault="002A21AE">
      <w:pPr>
        <w:pStyle w:val="BodyText"/>
      </w:pPr>
    </w:p>
    <w:p w14:paraId="0DDF2E54" w14:textId="18ED2057" w:rsidR="00FF1B65" w:rsidRDefault="00FF1B65" w:rsidP="00FF1B65">
      <w:pPr>
        <w:pStyle w:val="Caption"/>
      </w:pPr>
      <w:bookmarkStart w:id="178" w:name="_Ref126471445"/>
      <w:bookmarkStart w:id="179" w:name="_Toc6368038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30</w:t>
      </w:r>
      <w:r w:rsidR="004E20BD">
        <w:rPr>
          <w:noProof/>
        </w:rPr>
        <w:fldChar w:fldCharType="end"/>
      </w:r>
      <w:bookmarkEnd w:id="178"/>
      <w:r>
        <w:t xml:space="preserve">: </w:t>
      </w:r>
      <w:r w:rsidR="00954B38">
        <w:t xml:space="preserve">Example of </w:t>
      </w:r>
      <w:r>
        <w:t>Maintain Blood Products</w:t>
      </w:r>
    </w:p>
    <w:p w14:paraId="460106E2" w14:textId="2A202998" w:rsidR="0066425F" w:rsidRDefault="005C6D50" w:rsidP="0066425F">
      <w:pPr>
        <w:pStyle w:val="BodyText"/>
      </w:pPr>
      <w:r>
        <w:rPr>
          <w:noProof/>
        </w:rPr>
        <w:drawing>
          <wp:inline distT="0" distB="0" distL="0" distR="0" wp14:anchorId="52460EC3" wp14:editId="123D6119">
            <wp:extent cx="5941060" cy="3218815"/>
            <wp:effectExtent l="0" t="0" r="2540" b="635"/>
            <wp:docPr id="40" name="Picture 40" descr="Example of Maintain Blood Produc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Example of Maintain Blood Products screen captur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1060" cy="3218815"/>
                    </a:xfrm>
                    <a:prstGeom prst="rect">
                      <a:avLst/>
                    </a:prstGeom>
                    <a:noFill/>
                    <a:ln>
                      <a:noFill/>
                    </a:ln>
                  </pic:spPr>
                </pic:pic>
              </a:graphicData>
            </a:graphic>
          </wp:inline>
        </w:drawing>
      </w:r>
      <w:r w:rsidR="00FF1B65">
        <w:t xml:space="preserve"> </w:t>
      </w:r>
    </w:p>
    <w:p w14:paraId="3071F90C" w14:textId="77777777" w:rsidR="002A21AE" w:rsidRDefault="003A2D61">
      <w:pPr>
        <w:pStyle w:val="Heading3"/>
      </w:pPr>
      <w:r>
        <w:br w:type="page"/>
      </w:r>
      <w:bookmarkStart w:id="180" w:name="_Toc149064103"/>
      <w:r w:rsidR="002A21AE">
        <w:t>Antibodies</w:t>
      </w:r>
      <w:bookmarkEnd w:id="179"/>
      <w:bookmarkEnd w:id="180"/>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Antibodies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UC_23</w:t>
      </w:r>
    </w:p>
    <w:p w14:paraId="1F6C1F3F" w14:textId="77777777" w:rsidR="002A21AE" w:rsidRDefault="002A21AE" w:rsidP="00FA7E65">
      <w:pPr>
        <w:pStyle w:val="BodyText"/>
      </w:pPr>
      <w:r>
        <w:t>The user edit</w:t>
      </w:r>
      <w:r w:rsidR="00657A5C">
        <w:t xml:space="preserve">s </w:t>
      </w:r>
      <w:r>
        <w:t>certain fields in the supplied antibody table.</w:t>
      </w:r>
    </w:p>
    <w:p w14:paraId="11F77E38" w14:textId="77777777" w:rsidR="002A21AE" w:rsidRDefault="002A21AE">
      <w:pPr>
        <w:pStyle w:val="Heading4"/>
      </w:pPr>
      <w:r>
        <w:t xml:space="preserve">Assumptions </w:t>
      </w:r>
    </w:p>
    <w:p w14:paraId="5EB1E503" w14:textId="77777777" w:rsidR="002A21AE" w:rsidRDefault="002A21AE">
      <w:pPr>
        <w:pStyle w:val="ListBullet"/>
      </w:pPr>
      <w:r>
        <w:t>VBECS is configured to reflect antibody reference parameters. Only some of these parameters may be changed locally.</w:t>
      </w:r>
    </w:p>
    <w:p w14:paraId="69AB868B" w14:textId="77777777" w:rsidR="002A21AE" w:rsidRDefault="002A21AE">
      <w:pPr>
        <w:pStyle w:val="ListBullet"/>
      </w:pPr>
      <w:r>
        <w:t>The default settings are enforced without user interaction.</w:t>
      </w:r>
    </w:p>
    <w:p w14:paraId="74557642" w14:textId="77777777" w:rsidR="002A21AE" w:rsidRDefault="002A21AE">
      <w:pPr>
        <w:pStyle w:val="Heading4"/>
      </w:pPr>
      <w:r>
        <w:t>Outcome</w:t>
      </w:r>
    </w:p>
    <w:p w14:paraId="0DA6B42C" w14:textId="77777777" w:rsidR="002A21AE" w:rsidRDefault="002A21AE">
      <w:pPr>
        <w:pStyle w:val="ListBullet"/>
      </w:pPr>
      <w:r>
        <w:t xml:space="preserve">Each division has a populated antibody table whether or not the user makes any edits. </w:t>
      </w:r>
    </w:p>
    <w:p w14:paraId="4F5AA891" w14:textId="77777777" w:rsidR="002A21AE" w:rsidRDefault="002A21AE">
      <w:pPr>
        <w:pStyle w:val="Heading4"/>
      </w:pPr>
      <w:r>
        <w:t>Limitations and Restrictions</w:t>
      </w:r>
    </w:p>
    <w:p w14:paraId="64019F6F" w14:textId="77777777" w:rsidR="002A21AE" w:rsidRDefault="002A21AE">
      <w:pPr>
        <w:pStyle w:val="ListBullet"/>
      </w:pPr>
      <w:r>
        <w:t>None</w:t>
      </w:r>
    </w:p>
    <w:p w14:paraId="2D4E6095" w14:textId="77777777" w:rsidR="002A21AE" w:rsidRDefault="002A21AE">
      <w:pPr>
        <w:pStyle w:val="Heading4"/>
      </w:pPr>
      <w:r>
        <w:t>Additional Information</w:t>
      </w:r>
    </w:p>
    <w:p w14:paraId="32DC0640" w14:textId="0CAC4ADF" w:rsidR="002A21AE" w:rsidRDefault="002A21AE">
      <w:pPr>
        <w:pStyle w:val="ListBullet"/>
      </w:pPr>
      <w:r>
        <w:t xml:space="preserve">The </w:t>
      </w:r>
      <w:r w:rsidR="007F7AC7">
        <w:t>antibody table</w:t>
      </w:r>
      <w:r>
        <w:t xml:space="preserve"> define</w:t>
      </w:r>
      <w:r w:rsidR="005321B0">
        <w:t>s</w:t>
      </w:r>
      <w:r>
        <w:t xml:space="preserve"> an antigen negative requirement for all instances of the antibody for all patients in the division. When an antibody specificity does not generally require antigen negative blood but a patient has a unique appearance of that antibody </w:t>
      </w:r>
      <w:r w:rsidR="005321B0">
        <w:t xml:space="preserve">that </w:t>
      </w:r>
      <w:r>
        <w:t>require</w:t>
      </w:r>
      <w:r w:rsidR="004547A0">
        <w:t>s</w:t>
      </w:r>
      <w:r>
        <w:t xml:space="preserve"> antigen negative blood, the user may enter the antigen negative requirement for that patient in Special Instructions &amp; Transfusion Requirements: Enter a Transfusion Requirement.</w:t>
      </w:r>
    </w:p>
    <w:p w14:paraId="3DE8A216" w14:textId="77777777" w:rsidR="002A21AE" w:rsidRDefault="002A21AE">
      <w:pPr>
        <w:pStyle w:val="Heading4"/>
      </w:pPr>
      <w:r>
        <w:t>User Roles with Access to This Option</w:t>
      </w:r>
    </w:p>
    <w:p w14:paraId="209F01DB" w14:textId="77777777" w:rsidR="002A21AE" w:rsidRDefault="00A91BAF">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0F16FC90" w14:textId="77777777" w:rsidR="002A21AE" w:rsidRDefault="002A21AE">
      <w:pPr>
        <w:pStyle w:val="Heading4"/>
      </w:pPr>
      <w:r>
        <w:t>Antibodies</w:t>
      </w:r>
    </w:p>
    <w:p w14:paraId="7FE3D728" w14:textId="77777777" w:rsidR="002A21AE" w:rsidRDefault="002A21AE" w:rsidP="00FA7E65">
      <w:pPr>
        <w:pStyle w:val="BodyText"/>
      </w:pPr>
      <w:r>
        <w:t xml:space="preserve">The user chooses to edit the system-supplied blood antibody table. The Compatibility Percentage field is fully editable </w:t>
      </w:r>
      <w:r w:rsidR="00F276FF">
        <w:t xml:space="preserve">(except for ABO antibodies and anti-D) </w:t>
      </w:r>
      <w:r>
        <w:t>to allow facilities to reflect local populations. The user may edit only the Clinically Significant entries initially exported as “No.”</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F01278A" w14:textId="77777777">
        <w:trPr>
          <w:tblHeader/>
        </w:trPr>
        <w:tc>
          <w:tcPr>
            <w:tcW w:w="3240" w:type="dxa"/>
            <w:shd w:val="pct30" w:color="auto" w:fill="FFFFFF"/>
            <w:vAlign w:val="bottom"/>
          </w:tcPr>
          <w:p w14:paraId="62C2183C" w14:textId="77777777" w:rsidR="002A21AE" w:rsidRDefault="002A21AE">
            <w:pPr>
              <w:pStyle w:val="TableText"/>
              <w:rPr>
                <w:b/>
              </w:rPr>
            </w:pPr>
            <w:r>
              <w:rPr>
                <w:b/>
              </w:rPr>
              <w:t>User Action</w:t>
            </w:r>
          </w:p>
        </w:tc>
        <w:tc>
          <w:tcPr>
            <w:tcW w:w="6120" w:type="dxa"/>
            <w:shd w:val="pct30" w:color="auto" w:fill="FFFFFF"/>
            <w:vAlign w:val="bottom"/>
          </w:tcPr>
          <w:p w14:paraId="4B2895A1" w14:textId="77777777" w:rsidR="002A21AE" w:rsidRDefault="002A21AE">
            <w:pPr>
              <w:pStyle w:val="TableText"/>
              <w:rPr>
                <w:b/>
              </w:rPr>
            </w:pPr>
            <w:r>
              <w:rPr>
                <w:b/>
              </w:rPr>
              <w:t>VBECS</w:t>
            </w:r>
          </w:p>
        </w:tc>
      </w:tr>
      <w:tr w:rsidR="002A21AE" w14:paraId="4D14B97C" w14:textId="77777777">
        <w:tc>
          <w:tcPr>
            <w:tcW w:w="3240" w:type="dxa"/>
          </w:tcPr>
          <w:p w14:paraId="1A56C21C" w14:textId="77777777" w:rsidR="002A21AE" w:rsidRDefault="002A21AE">
            <w:pPr>
              <w:pStyle w:val="TableTextNumbers"/>
            </w:pPr>
            <w:r>
              <w:t xml:space="preserve">Select </w:t>
            </w:r>
            <w:r>
              <w:rPr>
                <w:b/>
              </w:rPr>
              <w:t>Tools</w:t>
            </w:r>
            <w:r>
              <w:t xml:space="preserve"> from the main menu. </w:t>
            </w:r>
          </w:p>
          <w:p w14:paraId="0D617215" w14:textId="77777777" w:rsidR="002A21AE" w:rsidRDefault="002A21AE">
            <w:pPr>
              <w:pStyle w:val="TableTextNumbersContinued"/>
            </w:pPr>
          </w:p>
          <w:p w14:paraId="6E625529" w14:textId="77777777" w:rsidR="002A21AE" w:rsidRDefault="002A21AE">
            <w:pPr>
              <w:pStyle w:val="TableTextNumbersContinued"/>
            </w:pPr>
            <w:r>
              <w:t xml:space="preserve">Select </w:t>
            </w:r>
            <w:r>
              <w:rPr>
                <w:b/>
              </w:rPr>
              <w:t>Antibodies</w:t>
            </w:r>
            <w:r>
              <w:t>.</w:t>
            </w:r>
          </w:p>
        </w:tc>
        <w:tc>
          <w:tcPr>
            <w:tcW w:w="6120" w:type="dxa"/>
          </w:tcPr>
          <w:p w14:paraId="4D69F550" w14:textId="77777777" w:rsidR="002A21AE" w:rsidRDefault="002A21AE">
            <w:pPr>
              <w:pStyle w:val="TableTextBullet"/>
            </w:pPr>
            <w:r>
              <w:t>Displays options for processing administrative functions.</w:t>
            </w:r>
          </w:p>
          <w:p w14:paraId="74F4DBCB" w14:textId="77777777" w:rsidR="002A21AE" w:rsidRDefault="002A21AE">
            <w:pPr>
              <w:pStyle w:val="TableTextBullet"/>
            </w:pPr>
            <w:r>
              <w:t>Lists available antibodies based on the system-supplied table.</w:t>
            </w:r>
          </w:p>
          <w:p w14:paraId="70A103DD" w14:textId="77777777" w:rsidR="002A21AE" w:rsidRDefault="002A21AE">
            <w:pPr>
              <w:pStyle w:val="TableText"/>
            </w:pPr>
          </w:p>
          <w:p w14:paraId="6C1E1EB5" w14:textId="6E798B47" w:rsidR="002A21AE" w:rsidRDefault="002A21AE">
            <w:pPr>
              <w:pStyle w:val="TableText"/>
              <w:rPr>
                <w:b/>
                <w:bCs/>
                <w:szCs w:val="18"/>
              </w:rPr>
            </w:pPr>
            <w:r>
              <w:rPr>
                <w:b/>
                <w:bCs/>
                <w:szCs w:val="18"/>
              </w:rPr>
              <w:t>NOTES</w:t>
            </w:r>
          </w:p>
          <w:p w14:paraId="5A8CF578" w14:textId="77777777" w:rsidR="002A21AE" w:rsidRDefault="002A21AE">
            <w:pPr>
              <w:pStyle w:val="NotesText"/>
            </w:pPr>
          </w:p>
          <w:p w14:paraId="6CB1F633" w14:textId="5659E1EE" w:rsidR="002A21AE" w:rsidRDefault="002A21AE">
            <w:pPr>
              <w:pStyle w:val="NotesText"/>
            </w:pPr>
            <w:r>
              <w:t xml:space="preserve">See </w:t>
            </w:r>
            <w:r w:rsidR="00EE455E">
              <w:t xml:space="preserve">Appendix </w:t>
            </w:r>
            <w:r w:rsidR="00EE455E">
              <w:rPr>
                <w:noProof/>
              </w:rPr>
              <w:t>B</w:t>
            </w:r>
            <w:r>
              <w:t xml:space="preserve">: </w:t>
            </w:r>
            <w:r w:rsidR="00EE455E">
              <w:t xml:space="preserve">Table </w:t>
            </w:r>
            <w:r w:rsidR="00EE455E">
              <w:rPr>
                <w:noProof/>
              </w:rPr>
              <w:t>14</w:t>
            </w:r>
            <w:r w:rsidR="00EE455E">
              <w:t xml:space="preserve">: </w:t>
            </w:r>
            <w:r w:rsidR="00EE455E">
              <w:rPr>
                <w:vanish/>
              </w:rPr>
              <w:t xml:space="preserve">TT_23.01A </w:t>
            </w:r>
            <w:r w:rsidR="00EE455E">
              <w:t>Antibody and Antigen Table: Irregular Antibodies</w:t>
            </w:r>
            <w:r>
              <w:t>.</w:t>
            </w:r>
          </w:p>
          <w:p w14:paraId="023EFB2A" w14:textId="77777777" w:rsidR="002A21AE" w:rsidRDefault="002A21AE">
            <w:pPr>
              <w:pStyle w:val="NotesText"/>
            </w:pPr>
          </w:p>
          <w:p w14:paraId="45363ED1" w14:textId="77777777" w:rsidR="002A21AE" w:rsidRDefault="002A21AE">
            <w:pPr>
              <w:pStyle w:val="NotesText"/>
            </w:pPr>
            <w:r w:rsidRPr="009660C3">
              <w:rPr>
                <w:vanish/>
                <w:szCs w:val="18"/>
              </w:rPr>
              <w:t xml:space="preserve">BR_31.07 </w:t>
            </w:r>
            <w:r>
              <w:t>The table’s presentation order is predefined at implementation and may not be sorted.</w:t>
            </w:r>
          </w:p>
        </w:tc>
      </w:tr>
      <w:tr w:rsidR="002A21AE" w14:paraId="222B47C8" w14:textId="77777777" w:rsidTr="007E500E">
        <w:trPr>
          <w:cantSplit/>
        </w:trPr>
        <w:tc>
          <w:tcPr>
            <w:tcW w:w="3240" w:type="dxa"/>
          </w:tcPr>
          <w:p w14:paraId="2F1CA78F" w14:textId="420F0E14" w:rsidR="002A21AE" w:rsidRDefault="002A21AE">
            <w:pPr>
              <w:pStyle w:val="TableTextNumbers"/>
            </w:pPr>
            <w:r>
              <w:t xml:space="preserve">Select the antibody, edit each field, and click </w:t>
            </w:r>
            <w:r>
              <w:rPr>
                <w:b/>
              </w:rPr>
              <w:t>Update</w:t>
            </w:r>
            <w:r w:rsidR="006E74F2" w:rsidRPr="006E74F2">
              <w:t xml:space="preserve"> </w:t>
            </w:r>
            <w:r w:rsidR="006E74F2">
              <w:t>(</w:t>
            </w:r>
            <w:r w:rsidR="00EE455E">
              <w:t xml:space="preserve">Figure </w:t>
            </w:r>
            <w:r w:rsidR="00EE455E">
              <w:rPr>
                <w:noProof/>
              </w:rPr>
              <w:t>31</w:t>
            </w:r>
            <w:r w:rsidR="006E74F2">
              <w:t>)</w:t>
            </w:r>
            <w:r w:rsidRPr="00B65BA7">
              <w:t xml:space="preserve">. </w:t>
            </w:r>
          </w:p>
        </w:tc>
        <w:tc>
          <w:tcPr>
            <w:tcW w:w="6120" w:type="dxa"/>
          </w:tcPr>
          <w:p w14:paraId="7954E6CC" w14:textId="77777777" w:rsidR="002A21AE" w:rsidRDefault="002A21AE">
            <w:pPr>
              <w:pStyle w:val="TableTextBullet"/>
            </w:pPr>
            <w:r>
              <w:t>Displays data and allows the user to edit them.</w:t>
            </w:r>
          </w:p>
          <w:p w14:paraId="492715BF" w14:textId="79A7201B" w:rsidR="002A21AE" w:rsidRDefault="002A21AE" w:rsidP="005321B0">
            <w:pPr>
              <w:pStyle w:val="TableTextBullet"/>
            </w:pPr>
            <w:r>
              <w:t>Accommodates data entry</w:t>
            </w:r>
            <w:r w:rsidR="00D037D5">
              <w:t xml:space="preserve"> of whole numbers</w:t>
            </w:r>
            <w:r w:rsidR="005321B0">
              <w:t xml:space="preserve"> </w:t>
            </w:r>
            <w:r w:rsidR="000F2235">
              <w:t xml:space="preserve">(0–100) </w:t>
            </w:r>
            <w:r w:rsidR="005321B0">
              <w:t xml:space="preserve">and </w:t>
            </w:r>
            <w:r>
              <w:t>edit of the</w:t>
            </w:r>
            <w:r w:rsidR="005321B0">
              <w:t xml:space="preserve"> </w:t>
            </w:r>
            <w:r w:rsidR="000F2235">
              <w:t xml:space="preserve">Antigen Negative </w:t>
            </w:r>
            <w:r w:rsidR="005321B0">
              <w:t>C</w:t>
            </w:r>
            <w:r>
              <w:t xml:space="preserve">ompatibility </w:t>
            </w:r>
            <w:r w:rsidR="005321B0">
              <w:t>P</w:t>
            </w:r>
            <w:r>
              <w:t xml:space="preserve">ercentage </w:t>
            </w:r>
            <w:r w:rsidR="005321B0">
              <w:t xml:space="preserve">and </w:t>
            </w:r>
            <w:r w:rsidR="00435F15">
              <w:t>Higher-Level O</w:t>
            </w:r>
            <w:r>
              <w:t xml:space="preserve">verride </w:t>
            </w:r>
            <w:r w:rsidR="005321B0">
              <w:t>fields.</w:t>
            </w:r>
            <w:r w:rsidR="00EE3F5F">
              <w:t xml:space="preserve"> The user may not edit field</w:t>
            </w:r>
            <w:r w:rsidR="009363FF">
              <w:t>s</w:t>
            </w:r>
            <w:r w:rsidR="00EE3F5F">
              <w:t xml:space="preserve"> </w:t>
            </w:r>
            <w:r w:rsidR="007A3914">
              <w:t xml:space="preserve">displayed </w:t>
            </w:r>
            <w:r w:rsidR="00EE3F5F">
              <w:t>on a gray background.</w:t>
            </w:r>
            <w:r w:rsidR="00B72A6B">
              <w:t xml:space="preserve"> </w:t>
            </w:r>
            <w:r w:rsidR="00B72A6B" w:rsidRPr="00B72A6B">
              <w:rPr>
                <w:vanish/>
              </w:rPr>
              <w:t>Defect 208774</w:t>
            </w:r>
          </w:p>
          <w:p w14:paraId="7B7A211E" w14:textId="77777777" w:rsidR="002A21AE" w:rsidRDefault="002A21AE">
            <w:pPr>
              <w:pStyle w:val="TableText"/>
            </w:pPr>
          </w:p>
          <w:p w14:paraId="175568D9" w14:textId="47E11270" w:rsidR="002A21AE" w:rsidRDefault="002A21AE">
            <w:pPr>
              <w:pStyle w:val="TableText"/>
              <w:rPr>
                <w:b/>
                <w:bCs/>
                <w:szCs w:val="18"/>
              </w:rPr>
            </w:pPr>
            <w:r>
              <w:rPr>
                <w:b/>
                <w:bCs/>
                <w:szCs w:val="18"/>
              </w:rPr>
              <w:t>NOTES</w:t>
            </w:r>
          </w:p>
          <w:p w14:paraId="42A40481" w14:textId="77777777" w:rsidR="002A21AE" w:rsidRDefault="002A21AE">
            <w:pPr>
              <w:pStyle w:val="NotesText"/>
            </w:pPr>
          </w:p>
          <w:p w14:paraId="294DA121" w14:textId="15EE8833" w:rsidR="002A21AE" w:rsidRDefault="002A21AE">
            <w:pPr>
              <w:pStyle w:val="NotesText"/>
            </w:pPr>
            <w:r>
              <w:rPr>
                <w:rFonts w:cs="Arial"/>
                <w:vanish/>
              </w:rPr>
              <w:t xml:space="preserve">BR_23.01 </w:t>
            </w:r>
            <w:r>
              <w:t xml:space="preserve">When </w:t>
            </w:r>
            <w:r w:rsidR="00EE455E">
              <w:t xml:space="preserve">Table </w:t>
            </w:r>
            <w:r w:rsidR="00EE455E">
              <w:rPr>
                <w:noProof/>
              </w:rPr>
              <w:t>14</w:t>
            </w:r>
            <w:r w:rsidR="00EE455E">
              <w:t xml:space="preserve">: </w:t>
            </w:r>
            <w:r w:rsidR="00EE455E">
              <w:rPr>
                <w:vanish/>
              </w:rPr>
              <w:t xml:space="preserve">TT_23.01A </w:t>
            </w:r>
            <w:r w:rsidR="00EE455E">
              <w:t>Antibody and Antigen Table: Irregular Antibodies</w:t>
            </w:r>
            <w:r>
              <w:t xml:space="preserve"> “antibody sets an antigen negative requirement” field is defined as REQ (required) at installation, it is not editable. When the default settings </w:t>
            </w:r>
            <w:r w:rsidR="00702CFB">
              <w:t>are</w:t>
            </w:r>
            <w:r>
              <w:t xml:space="preserve"> OPT (optional), the user may change the name to REQ at any time and it will remain editable. </w:t>
            </w:r>
          </w:p>
        </w:tc>
      </w:tr>
      <w:tr w:rsidR="002A21AE" w14:paraId="1A7AE4FB" w14:textId="77777777">
        <w:tc>
          <w:tcPr>
            <w:tcW w:w="3240" w:type="dxa"/>
          </w:tcPr>
          <w:p w14:paraId="716D807F" w14:textId="77777777" w:rsidR="002A21AE" w:rsidRDefault="002A21AE">
            <w:pPr>
              <w:pStyle w:val="TableTextNumbers"/>
            </w:pPr>
            <w:r>
              <w:t xml:space="preserve">Repeat for each antibody to be edited. </w:t>
            </w:r>
          </w:p>
        </w:tc>
        <w:tc>
          <w:tcPr>
            <w:tcW w:w="6120" w:type="dxa"/>
          </w:tcPr>
          <w:p w14:paraId="10E774DC" w14:textId="77777777" w:rsidR="002A21AE" w:rsidRDefault="002A21AE">
            <w:pPr>
              <w:pStyle w:val="TableText"/>
            </w:pPr>
          </w:p>
        </w:tc>
      </w:tr>
      <w:tr w:rsidR="002A21AE" w14:paraId="3B873311" w14:textId="77777777">
        <w:tc>
          <w:tcPr>
            <w:tcW w:w="3240" w:type="dxa"/>
          </w:tcPr>
          <w:p w14:paraId="77AF287A" w14:textId="77777777" w:rsidR="002A21AE" w:rsidRDefault="002A21AE">
            <w:pPr>
              <w:pStyle w:val="TableTextNumbers"/>
            </w:pPr>
            <w:r>
              <w:t xml:space="preserve">Click </w:t>
            </w:r>
            <w:r>
              <w:rPr>
                <w:b/>
              </w:rPr>
              <w:t>OK</w:t>
            </w:r>
            <w:r>
              <w:t xml:space="preserve"> and </w:t>
            </w:r>
            <w:r>
              <w:rPr>
                <w:b/>
              </w:rPr>
              <w:t>Yes</w:t>
            </w:r>
            <w:r>
              <w:t xml:space="preserve"> to confirm changes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5B0D279" w14:textId="77777777" w:rsidR="002A21AE" w:rsidRDefault="002A21AE">
            <w:pPr>
              <w:pStyle w:val="TableText"/>
            </w:pPr>
          </w:p>
        </w:tc>
      </w:tr>
    </w:tbl>
    <w:p w14:paraId="4CBED51D" w14:textId="1C5BA0ED" w:rsidR="006E74F2" w:rsidRDefault="006E74F2" w:rsidP="006E74F2">
      <w:pPr>
        <w:pStyle w:val="Caption"/>
      </w:pPr>
      <w:bookmarkStart w:id="181" w:name="_Ref1264716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31</w:t>
      </w:r>
      <w:r w:rsidR="004E20BD">
        <w:rPr>
          <w:noProof/>
        </w:rPr>
        <w:fldChar w:fldCharType="end"/>
      </w:r>
      <w:bookmarkEnd w:id="181"/>
      <w:r>
        <w:t>: Maintain Antibodies</w:t>
      </w:r>
    </w:p>
    <w:p w14:paraId="50028D61" w14:textId="77777777" w:rsidR="002A21AE" w:rsidRDefault="00057948">
      <w:pPr>
        <w:pStyle w:val="BodyText"/>
      </w:pPr>
      <w:r>
        <w:rPr>
          <w:noProof/>
        </w:rPr>
        <w:drawing>
          <wp:inline distT="0" distB="0" distL="0" distR="0" wp14:anchorId="5ECC81AD" wp14:editId="07ADCAD2">
            <wp:extent cx="3546475" cy="2835275"/>
            <wp:effectExtent l="0" t="0" r="0" b="3175"/>
            <wp:docPr id="134" name="Picture 134" descr="Example of Maintain Antibodi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Example of Maintain Antibodies screen captur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46475" cy="2835275"/>
                    </a:xfrm>
                    <a:prstGeom prst="rect">
                      <a:avLst/>
                    </a:prstGeom>
                    <a:noFill/>
                    <a:ln>
                      <a:noFill/>
                    </a:ln>
                  </pic:spPr>
                </pic:pic>
              </a:graphicData>
            </a:graphic>
          </wp:inline>
        </w:drawing>
      </w:r>
    </w:p>
    <w:p w14:paraId="0CF6A5E5" w14:textId="77777777" w:rsidR="002A21AE" w:rsidRDefault="00AF089A">
      <w:pPr>
        <w:pStyle w:val="Heading3"/>
      </w:pPr>
      <w:bookmarkStart w:id="182" w:name="_Toc63680390"/>
      <w:r>
        <w:br w:type="page"/>
      </w:r>
      <w:bookmarkStart w:id="183" w:name="_Toc149064104"/>
      <w:r w:rsidR="002A21AE">
        <w:t>Canned Comments</w:t>
      </w:r>
      <w:bookmarkEnd w:id="182"/>
      <w:bookmarkEnd w:id="183"/>
      <w:r w:rsidR="002A21AE" w:rsidRPr="00AB67A6">
        <w:rPr>
          <w:rFonts w:ascii="Arial Bold" w:hAnsi="Arial Bold"/>
          <w:vanish/>
        </w:rPr>
        <w:fldChar w:fldCharType="begin"/>
      </w:r>
      <w:r w:rsidR="002A21AE" w:rsidRPr="00AB67A6">
        <w:rPr>
          <w:rFonts w:ascii="Arial Bold" w:hAnsi="Arial Bold"/>
          <w:vanish/>
        </w:rPr>
        <w:instrText xml:space="preserve"> XE </w:instrText>
      </w:r>
      <w:r w:rsidR="00FA7E65" w:rsidRPr="00AB67A6">
        <w:rPr>
          <w:rFonts w:ascii="Arial Bold" w:hAnsi="Arial Bold"/>
          <w:vanish/>
        </w:rPr>
        <w:instrText>“</w:instrText>
      </w:r>
      <w:r w:rsidR="002A21AE" w:rsidRPr="00AB67A6">
        <w:rPr>
          <w:rFonts w:ascii="Arial Bold" w:hAnsi="Arial Bold"/>
          <w:vanish/>
        </w:rPr>
        <w:instrText>Canned Comments</w:instrText>
      </w:r>
      <w:r w:rsidR="00FA7E65" w:rsidRPr="00AB67A6">
        <w:rPr>
          <w:rFonts w:ascii="Arial Bold" w:hAnsi="Arial Bold"/>
          <w:vanish/>
        </w:rPr>
        <w:instrText>”</w:instrText>
      </w:r>
      <w:r w:rsidR="002A21AE" w:rsidRPr="00AB67A6">
        <w:rPr>
          <w:rFonts w:ascii="Arial Bold" w:hAnsi="Arial Bold"/>
          <w:vanish/>
        </w:rPr>
        <w:instrText xml:space="preserve"> </w:instrText>
      </w:r>
      <w:r w:rsidR="002A21AE" w:rsidRPr="00AB67A6">
        <w:rPr>
          <w:rFonts w:ascii="Arial Bold" w:hAnsi="Arial Bold"/>
          <w:vanish/>
        </w:rPr>
        <w:fldChar w:fldCharType="end"/>
      </w:r>
      <w:r w:rsidR="002A21AE" w:rsidRPr="00AB67A6">
        <w:rPr>
          <w:rFonts w:ascii="Arial Bold" w:hAnsi="Arial Bold"/>
          <w:vanish/>
        </w:rPr>
        <w:t xml:space="preserve"> UC_31</w:t>
      </w:r>
    </w:p>
    <w:p w14:paraId="6D470BFE" w14:textId="77777777" w:rsidR="002A21AE" w:rsidRDefault="002A21AE" w:rsidP="00FA7E65">
      <w:pPr>
        <w:pStyle w:val="BodyText"/>
      </w:pPr>
      <w:r>
        <w:t>The user defines canned comments for a division.</w:t>
      </w:r>
    </w:p>
    <w:p w14:paraId="59A40C41" w14:textId="77777777" w:rsidR="002A21AE" w:rsidRDefault="002A21AE">
      <w:pPr>
        <w:pStyle w:val="Heading4"/>
      </w:pPr>
      <w:r>
        <w:t>Assumptions</w:t>
      </w:r>
    </w:p>
    <w:p w14:paraId="0576F28F" w14:textId="77777777" w:rsidR="002A21AE" w:rsidRDefault="002A21AE">
      <w:pPr>
        <w:pStyle w:val="ListBullet"/>
      </w:pPr>
      <w:r>
        <w:t>None</w:t>
      </w:r>
    </w:p>
    <w:p w14:paraId="3F43FC5D" w14:textId="77777777" w:rsidR="002A21AE" w:rsidRDefault="002A21AE">
      <w:pPr>
        <w:pStyle w:val="Heading4"/>
      </w:pPr>
      <w:r>
        <w:t>Outcome</w:t>
      </w:r>
    </w:p>
    <w:p w14:paraId="2E356044" w14:textId="77777777" w:rsidR="002A21AE" w:rsidRDefault="002A21AE">
      <w:pPr>
        <w:pStyle w:val="ListBullet"/>
      </w:pPr>
      <w:r>
        <w:t>Canned comments for a division are available for selection.</w:t>
      </w:r>
    </w:p>
    <w:p w14:paraId="50BADA6F" w14:textId="77777777" w:rsidR="002A21AE" w:rsidRDefault="002A21AE">
      <w:pPr>
        <w:pStyle w:val="Heading4"/>
      </w:pPr>
      <w:r>
        <w:t>Limitations and Restrictions</w:t>
      </w:r>
    </w:p>
    <w:p w14:paraId="2B5AA3F9" w14:textId="28441C6C" w:rsidR="002F3BCC" w:rsidRDefault="002A21AE" w:rsidP="00C973F9">
      <w:pPr>
        <w:pStyle w:val="ListBullet"/>
      </w:pPr>
      <w:r>
        <w:t>The user may not edit comments</w:t>
      </w:r>
      <w:r w:rsidR="00E47F66">
        <w:t xml:space="preserve"> provided with VBECS </w:t>
      </w:r>
      <w:r>
        <w:t xml:space="preserve">but may create </w:t>
      </w:r>
      <w:r w:rsidR="00B97198">
        <w:t>additional comments</w:t>
      </w:r>
      <w:r>
        <w:t>.</w:t>
      </w:r>
      <w:r w:rsidR="0002020B">
        <w:t xml:space="preserve"> </w:t>
      </w:r>
      <w:r w:rsidR="00C973F9">
        <w:t xml:space="preserve">Although comments can </w:t>
      </w:r>
      <w:r w:rsidR="002211C7">
        <w:t xml:space="preserve">also </w:t>
      </w:r>
      <w:r w:rsidR="00C973F9">
        <w:t xml:space="preserve">be removed, there should remain at least one comment </w:t>
      </w:r>
      <w:r w:rsidR="00B72A6B">
        <w:t xml:space="preserve">per category </w:t>
      </w:r>
      <w:r w:rsidR="00C973F9">
        <w:t>available for selection, (e.g., “Other”).</w:t>
      </w:r>
      <w:r w:rsidR="0002020B">
        <w:t xml:space="preserve"> </w:t>
      </w:r>
      <w:r w:rsidR="0002020B" w:rsidRPr="0002020B">
        <w:rPr>
          <w:vanish/>
        </w:rPr>
        <w:t>Defect 209175</w:t>
      </w:r>
    </w:p>
    <w:p w14:paraId="4F516484" w14:textId="0B5237BE" w:rsidR="002C6BD1" w:rsidRDefault="002C6BD1" w:rsidP="002C6BD1">
      <w:pPr>
        <w:pStyle w:val="ListBullet"/>
      </w:pPr>
      <w:r>
        <w:t>Site personnel must enter comments in accordance with local policy and procedures.</w:t>
      </w:r>
    </w:p>
    <w:p w14:paraId="008A0CB9" w14:textId="77777777" w:rsidR="002A21AE" w:rsidRDefault="002A21AE">
      <w:pPr>
        <w:pStyle w:val="Heading4"/>
      </w:pPr>
      <w:r>
        <w:t>Additional Information</w:t>
      </w:r>
    </w:p>
    <w:p w14:paraId="4B16D6D8" w14:textId="7B59A3F9" w:rsidR="002A21AE" w:rsidRDefault="002A21AE">
      <w:pPr>
        <w:pStyle w:val="ListBullet"/>
      </w:pPr>
      <w:r>
        <w:rPr>
          <w:rFonts w:ascii="Arial" w:hAnsi="Arial" w:cs="Arial"/>
          <w:vanish/>
          <w:spacing w:val="0"/>
          <w:sz w:val="18"/>
        </w:rPr>
        <w:t xml:space="preserve">BR_31.01 </w:t>
      </w:r>
      <w:r>
        <w:t xml:space="preserve">Canned comments are specific to each division. See </w:t>
      </w:r>
      <w:r w:rsidR="00EE455E">
        <w:t xml:space="preserve">Appendix </w:t>
      </w:r>
      <w:r w:rsidR="00EE455E">
        <w:rPr>
          <w:noProof/>
        </w:rPr>
        <w:t>B</w:t>
      </w:r>
      <w:r>
        <w:t xml:space="preserve">: </w:t>
      </w:r>
      <w:r w:rsidR="00EE455E">
        <w:t xml:space="preserve">Table </w:t>
      </w:r>
      <w:r w:rsidR="00EE455E">
        <w:rPr>
          <w:noProof/>
        </w:rPr>
        <w:t>17</w:t>
      </w:r>
      <w:r w:rsidR="00EE455E">
        <w:t xml:space="preserve">: </w:t>
      </w:r>
      <w:r w:rsidR="00EE455E">
        <w:rPr>
          <w:vanish/>
        </w:rPr>
        <w:t xml:space="preserve">PT_31.01 </w:t>
      </w:r>
      <w:r w:rsidR="00EE455E">
        <w:t>Canned Comment Category Types and Message Text</w:t>
      </w:r>
      <w:r w:rsidR="00DA05C9">
        <w:t xml:space="preserve"> </w:t>
      </w:r>
      <w:r>
        <w:t>defines the category types and comments.</w:t>
      </w:r>
    </w:p>
    <w:p w14:paraId="4AB251BA" w14:textId="025160A9" w:rsidR="00EF0B68" w:rsidRDefault="00EF0B68" w:rsidP="00867DFC">
      <w:pPr>
        <w:pStyle w:val="ListBullet"/>
      </w:pPr>
      <w:r w:rsidRPr="00AE3748">
        <w:t xml:space="preserve">Currently, VBECS does not </w:t>
      </w:r>
      <w:r w:rsidR="00867DFC" w:rsidRPr="00AE3748">
        <w:t xml:space="preserve">identify the testing laboratory and include its address on results reports in CPRS. </w:t>
      </w:r>
      <w:r w:rsidR="00D44689">
        <w:t>A</w:t>
      </w:r>
      <w:r w:rsidR="00867DFC" w:rsidRPr="00AE3748">
        <w:t xml:space="preserve"> workaround for the issue is to create Canned Comments for the missing information and apply them to blood bank results.</w:t>
      </w:r>
    </w:p>
    <w:p w14:paraId="463CFACE" w14:textId="77777777" w:rsidR="002A21AE" w:rsidRPr="00AE3748" w:rsidRDefault="002A21AE">
      <w:pPr>
        <w:pStyle w:val="Heading4"/>
        <w:rPr>
          <w:rFonts w:ascii="Times New Roman" w:hAnsi="Times New Roman"/>
          <w:b w:val="0"/>
          <w:spacing w:val="-5"/>
          <w:szCs w:val="22"/>
        </w:rPr>
      </w:pPr>
      <w:r w:rsidRPr="00AE3748">
        <w:rPr>
          <w:rFonts w:ascii="Times New Roman" w:hAnsi="Times New Roman"/>
          <w:b w:val="0"/>
          <w:spacing w:val="-5"/>
          <w:szCs w:val="22"/>
        </w:rPr>
        <w:t>User Roles with Access to This Option</w:t>
      </w:r>
    </w:p>
    <w:p w14:paraId="2C6E8A14" w14:textId="77777777" w:rsidR="002A21AE" w:rsidRDefault="00785DA1">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7B3E18E" w14:textId="77777777" w:rsidR="002A21AE" w:rsidRDefault="002A21AE">
      <w:pPr>
        <w:pStyle w:val="Heading4"/>
      </w:pPr>
      <w:r>
        <w:t>Canned Comments</w:t>
      </w:r>
    </w:p>
    <w:p w14:paraId="3AE0D895" w14:textId="77777777" w:rsidR="00434F15" w:rsidRPr="00A0090C" w:rsidRDefault="00434F15" w:rsidP="00434F15">
      <w:pPr>
        <w:pStyle w:val="BodyText"/>
      </w:pPr>
      <w:r>
        <w:t xml:space="preserve">It is recommended that the user </w:t>
      </w:r>
      <w:r w:rsidRPr="00A0090C">
        <w:t xml:space="preserve">review the canned comments </w:t>
      </w:r>
      <w:r w:rsidR="0011459B">
        <w:t xml:space="preserve">provided with VBECS </w:t>
      </w:r>
      <w:r w:rsidRPr="00A0090C">
        <w:t xml:space="preserve">for each </w:t>
      </w:r>
      <w:r>
        <w:t>category type</w:t>
      </w:r>
      <w:r w:rsidRPr="00A0090C">
        <w:t xml:space="preserve"> and inactivate those that </w:t>
      </w:r>
      <w:r>
        <w:t>will not be used</w:t>
      </w:r>
      <w:r w:rsidRPr="00A0090C">
        <w:t>.</w:t>
      </w:r>
      <w:r w:rsidR="0011459B">
        <w:t xml:space="preserve"> </w:t>
      </w:r>
    </w:p>
    <w:p w14:paraId="5EE1975B" w14:textId="77777777" w:rsidR="002A21AE" w:rsidRDefault="002A21AE" w:rsidP="00FA7E65">
      <w:pPr>
        <w:pStyle w:val="BodyText"/>
      </w:pPr>
      <w:r>
        <w:t xml:space="preserve">The user creates canned comments to use in lieu of entering text. Canned comments are restricted for selection based on the </w:t>
      </w:r>
      <w:r w:rsidR="0036471F">
        <w:t>category type</w:t>
      </w:r>
      <w:r>
        <w:t xml:space="preserve"> of the comment field. </w:t>
      </w:r>
    </w:p>
    <w:p w14:paraId="0F7865FD" w14:textId="77777777" w:rsidR="002A21AE" w:rsidRDefault="002A21AE" w:rsidP="00FA7E65">
      <w:pPr>
        <w:pStyle w:val="BodyText"/>
      </w:pPr>
      <w:r>
        <w:t>The user may select a comment and has the option to enter explanatory text in the details field.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ECF8936" w14:textId="77777777">
        <w:trPr>
          <w:tblHeader/>
        </w:trPr>
        <w:tc>
          <w:tcPr>
            <w:tcW w:w="3240" w:type="dxa"/>
            <w:shd w:val="pct30" w:color="auto" w:fill="FFFFFF"/>
            <w:vAlign w:val="bottom"/>
          </w:tcPr>
          <w:p w14:paraId="18ED4BEA" w14:textId="77777777" w:rsidR="002A21AE" w:rsidRDefault="002A21AE">
            <w:pPr>
              <w:pStyle w:val="TableText"/>
              <w:rPr>
                <w:b/>
              </w:rPr>
            </w:pPr>
            <w:bookmarkStart w:id="184" w:name="_Toc63680392"/>
            <w:r>
              <w:rPr>
                <w:b/>
              </w:rPr>
              <w:t>User Action</w:t>
            </w:r>
          </w:p>
        </w:tc>
        <w:tc>
          <w:tcPr>
            <w:tcW w:w="6120" w:type="dxa"/>
            <w:shd w:val="pct30" w:color="auto" w:fill="FFFFFF"/>
            <w:vAlign w:val="bottom"/>
          </w:tcPr>
          <w:p w14:paraId="628621E7" w14:textId="77777777" w:rsidR="002A21AE" w:rsidRDefault="002A21AE">
            <w:pPr>
              <w:pStyle w:val="TableText"/>
              <w:rPr>
                <w:b/>
              </w:rPr>
            </w:pPr>
            <w:r>
              <w:rPr>
                <w:b/>
              </w:rPr>
              <w:t>VBECS</w:t>
            </w:r>
          </w:p>
        </w:tc>
      </w:tr>
      <w:tr w:rsidR="002A21AE" w14:paraId="0012DE12" w14:textId="77777777">
        <w:tc>
          <w:tcPr>
            <w:tcW w:w="3240" w:type="dxa"/>
          </w:tcPr>
          <w:p w14:paraId="0ACFC4D9" w14:textId="77777777" w:rsidR="002A21AE" w:rsidRDefault="002A21AE">
            <w:pPr>
              <w:pStyle w:val="TableTextNumbers"/>
            </w:pPr>
            <w:r>
              <w:t xml:space="preserve">Select </w:t>
            </w:r>
            <w:r>
              <w:rPr>
                <w:b/>
              </w:rPr>
              <w:t>Tools</w:t>
            </w:r>
            <w:r>
              <w:t xml:space="preserve"> from the main menu.</w:t>
            </w:r>
          </w:p>
          <w:p w14:paraId="5FBF5F58" w14:textId="77777777" w:rsidR="002A21AE" w:rsidRDefault="002A21AE">
            <w:pPr>
              <w:pStyle w:val="TableTextNumbersContinued"/>
            </w:pPr>
          </w:p>
          <w:p w14:paraId="4BB99ABE" w14:textId="77777777" w:rsidR="002A21AE" w:rsidRDefault="002A21AE">
            <w:pPr>
              <w:pStyle w:val="TableTextNumbersContinued"/>
            </w:pPr>
            <w:r>
              <w:t xml:space="preserve">Select </w:t>
            </w:r>
            <w:r>
              <w:rPr>
                <w:b/>
              </w:rPr>
              <w:t>Canned Comments</w:t>
            </w:r>
            <w:r>
              <w:t>.</w:t>
            </w:r>
          </w:p>
        </w:tc>
        <w:tc>
          <w:tcPr>
            <w:tcW w:w="6120" w:type="dxa"/>
          </w:tcPr>
          <w:p w14:paraId="2A725AD1" w14:textId="77777777" w:rsidR="002A21AE" w:rsidRDefault="002A21AE">
            <w:pPr>
              <w:pStyle w:val="TableTextBullet"/>
            </w:pPr>
            <w:r>
              <w:t>Displays options for processing administrative functions.</w:t>
            </w:r>
          </w:p>
        </w:tc>
      </w:tr>
      <w:tr w:rsidR="002A21AE" w14:paraId="5E069D85" w14:textId="77777777">
        <w:tc>
          <w:tcPr>
            <w:tcW w:w="3240" w:type="dxa"/>
          </w:tcPr>
          <w:p w14:paraId="6EDDF95B" w14:textId="458E2D02" w:rsidR="002A21AE" w:rsidRDefault="002A21AE">
            <w:pPr>
              <w:pStyle w:val="TableTextNumbers"/>
            </w:pPr>
            <w:r>
              <w:t>Select a comment category type from the drop-down list</w:t>
            </w:r>
            <w:r w:rsidR="00A9458F">
              <w:t xml:space="preserve"> (</w:t>
            </w:r>
            <w:r w:rsidR="00EE455E">
              <w:t xml:space="preserve">Figure </w:t>
            </w:r>
            <w:r w:rsidR="00EE455E">
              <w:rPr>
                <w:noProof/>
              </w:rPr>
              <w:t>32</w:t>
            </w:r>
            <w:r w:rsidR="00A9458F">
              <w:t>)</w:t>
            </w:r>
            <w:r>
              <w:t>.</w:t>
            </w:r>
          </w:p>
        </w:tc>
        <w:tc>
          <w:tcPr>
            <w:tcW w:w="6120" w:type="dxa"/>
          </w:tcPr>
          <w:p w14:paraId="54B40754" w14:textId="77777777" w:rsidR="002A21AE" w:rsidRDefault="002A21AE">
            <w:pPr>
              <w:pStyle w:val="TableTextBullet"/>
            </w:pPr>
            <w:r>
              <w:t>Lists the category types for canned comments.</w:t>
            </w:r>
          </w:p>
          <w:p w14:paraId="1989FEF4" w14:textId="77777777" w:rsidR="002A21AE" w:rsidRDefault="002A21AE">
            <w:pPr>
              <w:pStyle w:val="TableTextBullet"/>
            </w:pPr>
            <w:r>
              <w:t>Allows the user to create a comment or inactivate an existing one.</w:t>
            </w:r>
          </w:p>
        </w:tc>
      </w:tr>
      <w:tr w:rsidR="002A21AE" w14:paraId="7FAA57A9" w14:textId="77777777" w:rsidTr="007E500E">
        <w:trPr>
          <w:cantSplit/>
        </w:trPr>
        <w:tc>
          <w:tcPr>
            <w:tcW w:w="3240" w:type="dxa"/>
          </w:tcPr>
          <w:p w14:paraId="3ED5F113" w14:textId="77777777" w:rsidR="002A21AE" w:rsidRDefault="002A21AE">
            <w:pPr>
              <w:pStyle w:val="TableTextNumbers"/>
            </w:pPr>
            <w:r>
              <w:t xml:space="preserve">Enter text in the Comment field and click </w:t>
            </w:r>
            <w:r>
              <w:rPr>
                <w:b/>
              </w:rPr>
              <w:t>Add</w:t>
            </w:r>
            <w:r>
              <w:t xml:space="preserve"> to add a comment.</w:t>
            </w:r>
          </w:p>
          <w:p w14:paraId="308E461D" w14:textId="77777777" w:rsidR="002A21AE" w:rsidRDefault="002A21AE">
            <w:pPr>
              <w:pStyle w:val="TableTextNumbersContinued"/>
            </w:pPr>
          </w:p>
          <w:p w14:paraId="5D2482B3" w14:textId="77777777" w:rsidR="002A21AE" w:rsidRDefault="002A21AE">
            <w:pPr>
              <w:pStyle w:val="TableTextNumbersContinued"/>
            </w:pPr>
            <w:r>
              <w:t>Click one or more check boxes to inactivate existing comments.</w:t>
            </w:r>
          </w:p>
        </w:tc>
        <w:tc>
          <w:tcPr>
            <w:tcW w:w="6120" w:type="dxa"/>
          </w:tcPr>
          <w:p w14:paraId="5CB707C2" w14:textId="77777777" w:rsidR="002A21AE" w:rsidRDefault="002A21AE">
            <w:pPr>
              <w:pStyle w:val="TableTextBullet"/>
            </w:pPr>
            <w:r>
              <w:t>Displays entered data and allows the user to edit them before saving.</w:t>
            </w:r>
          </w:p>
          <w:p w14:paraId="74B18B8B" w14:textId="77777777" w:rsidR="000144A0" w:rsidRDefault="000144A0" w:rsidP="000144A0">
            <w:pPr>
              <w:pStyle w:val="TableText"/>
            </w:pPr>
          </w:p>
          <w:p w14:paraId="5A434D2E" w14:textId="208D1F0B" w:rsidR="000144A0" w:rsidRDefault="000144A0" w:rsidP="000144A0">
            <w:pPr>
              <w:pStyle w:val="TableText"/>
              <w:rPr>
                <w:b/>
                <w:bCs/>
                <w:szCs w:val="18"/>
              </w:rPr>
            </w:pPr>
            <w:r>
              <w:rPr>
                <w:b/>
                <w:bCs/>
                <w:szCs w:val="18"/>
              </w:rPr>
              <w:t>NOTES</w:t>
            </w:r>
          </w:p>
          <w:p w14:paraId="62F4B6F3" w14:textId="77777777" w:rsidR="000144A0" w:rsidRDefault="000144A0" w:rsidP="000144A0">
            <w:pPr>
              <w:pStyle w:val="NotesText"/>
            </w:pPr>
          </w:p>
          <w:p w14:paraId="611B6EED" w14:textId="77777777" w:rsidR="002A21AE" w:rsidRDefault="002A21AE">
            <w:pPr>
              <w:pStyle w:val="NotesText"/>
            </w:pPr>
            <w:r>
              <w:rPr>
                <w:vanish/>
                <w:szCs w:val="18"/>
              </w:rPr>
              <w:t xml:space="preserve">BR_31.03, BR_31.04, BR_31.06, BR_31.05, BR_31.02 </w:t>
            </w:r>
            <w:r>
              <w:t>A user may:</w:t>
            </w:r>
          </w:p>
          <w:p w14:paraId="747B7474" w14:textId="77777777" w:rsidR="002A21AE" w:rsidRDefault="002A21AE">
            <w:pPr>
              <w:pStyle w:val="NotesTextBullet"/>
            </w:pPr>
            <w:r>
              <w:t>Add canned comments.</w:t>
            </w:r>
          </w:p>
          <w:p w14:paraId="3F2F77BB" w14:textId="77777777" w:rsidR="002A21AE" w:rsidRDefault="002A21AE">
            <w:pPr>
              <w:pStyle w:val="NotesTextBullet"/>
            </w:pPr>
            <w:r>
              <w:t>Inactivate canned comments.</w:t>
            </w:r>
          </w:p>
          <w:p w14:paraId="1B1128DD" w14:textId="77777777" w:rsidR="002A21AE" w:rsidRDefault="002A21AE">
            <w:pPr>
              <w:pStyle w:val="NotesTextBullet"/>
            </w:pPr>
            <w:r>
              <w:t>Reactivate inactive comments.</w:t>
            </w:r>
          </w:p>
          <w:p w14:paraId="7C595749" w14:textId="77777777" w:rsidR="002A21AE" w:rsidRDefault="002A21AE">
            <w:pPr>
              <w:pStyle w:val="NotesTextBullet"/>
            </w:pPr>
            <w:r>
              <w:t>View inactive comments and dates of inactivation.</w:t>
            </w:r>
          </w:p>
          <w:p w14:paraId="0A7683C8" w14:textId="77777777" w:rsidR="002A21AE" w:rsidRDefault="002A21AE" w:rsidP="000144A0">
            <w:pPr>
              <w:pStyle w:val="NotesTextBullet"/>
            </w:pPr>
            <w:r>
              <w:t>Control the order in which VBECS displays comments in a context.</w:t>
            </w:r>
          </w:p>
        </w:tc>
      </w:tr>
      <w:tr w:rsidR="002A21AE" w14:paraId="57D8AFD8" w14:textId="77777777">
        <w:tc>
          <w:tcPr>
            <w:tcW w:w="3240" w:type="dxa"/>
          </w:tcPr>
          <w:p w14:paraId="44F1DD97" w14:textId="1C0407A3" w:rsidR="002A21AE" w:rsidRDefault="002A21AE">
            <w:pPr>
              <w:pStyle w:val="TableTextNumbers"/>
            </w:pPr>
            <w:r>
              <w:t xml:space="preserve">Click the </w:t>
            </w:r>
            <w:r>
              <w:rPr>
                <w:b/>
              </w:rPr>
              <w:t xml:space="preserve">Show </w:t>
            </w:r>
            <w:r w:rsidR="00430715">
              <w:rPr>
                <w:b/>
              </w:rPr>
              <w:t>I</w:t>
            </w:r>
            <w:r>
              <w:rPr>
                <w:b/>
              </w:rPr>
              <w:t xml:space="preserve">nactive Comments </w:t>
            </w:r>
            <w:r w:rsidRPr="00D1100E">
              <w:t>check box</w:t>
            </w:r>
            <w:r>
              <w:t xml:space="preserve"> to view inactive comments.</w:t>
            </w:r>
          </w:p>
          <w:p w14:paraId="0DCEB29D" w14:textId="77777777" w:rsidR="002A21AE" w:rsidRDefault="002A21AE">
            <w:pPr>
              <w:pStyle w:val="TableTextNumbersContinued"/>
            </w:pPr>
          </w:p>
          <w:p w14:paraId="4DA6F2D2" w14:textId="77777777" w:rsidR="002A21AE" w:rsidRDefault="002A21AE">
            <w:pPr>
              <w:pStyle w:val="TableTextNumbersContinued"/>
            </w:pPr>
            <w:r>
              <w:t>Click one or more check boxes to reactivate inactive comments.</w:t>
            </w:r>
          </w:p>
        </w:tc>
        <w:tc>
          <w:tcPr>
            <w:tcW w:w="6120" w:type="dxa"/>
          </w:tcPr>
          <w:p w14:paraId="18BE4E90" w14:textId="77777777" w:rsidR="002A21AE" w:rsidRDefault="002A21AE">
            <w:pPr>
              <w:pStyle w:val="TableTextBullet"/>
            </w:pPr>
            <w:r>
              <w:t>Displays inactive comments and allows the user to reactivate them.</w:t>
            </w:r>
          </w:p>
        </w:tc>
      </w:tr>
      <w:tr w:rsidR="002A21AE" w14:paraId="76575D76" w14:textId="77777777">
        <w:tc>
          <w:tcPr>
            <w:tcW w:w="3240" w:type="dxa"/>
          </w:tcPr>
          <w:p w14:paraId="2EDEE0E3" w14:textId="113D56D3" w:rsidR="002A21AE" w:rsidRDefault="002A21AE">
            <w:pPr>
              <w:pStyle w:val="TableTextNumbers"/>
            </w:pPr>
            <w:r>
              <w:t>Repeat Steps 2</w:t>
            </w:r>
            <w:r w:rsidR="004F5589">
              <w:t xml:space="preserve"> through </w:t>
            </w:r>
            <w:r>
              <w:t xml:space="preserve">4, as needed. </w:t>
            </w:r>
          </w:p>
          <w:p w14:paraId="37664220" w14:textId="77777777" w:rsidR="002A21AE" w:rsidRDefault="002A21AE">
            <w:pPr>
              <w:pStyle w:val="TableTextNumbersContinued"/>
            </w:pPr>
          </w:p>
          <w:p w14:paraId="6903A169" w14:textId="77777777" w:rsidR="002A21AE" w:rsidRDefault="002A21AE">
            <w:pPr>
              <w:pStyle w:val="TableTextNumbersContinued"/>
            </w:pPr>
            <w:r>
              <w:t xml:space="preserve">Click </w:t>
            </w:r>
            <w:r>
              <w:rPr>
                <w:b/>
              </w:rPr>
              <w:t>OK</w:t>
            </w:r>
            <w:r>
              <w:t xml:space="preserve"> and </w:t>
            </w:r>
            <w:r>
              <w:rPr>
                <w:b/>
              </w:rPr>
              <w:t>Yes</w:t>
            </w:r>
            <w:r>
              <w:t xml:space="preserve"> to save and exit, or </w:t>
            </w:r>
            <w:r>
              <w:rPr>
                <w:b/>
              </w:rPr>
              <w:t>Cancel</w:t>
            </w:r>
            <w:r>
              <w:t xml:space="preserve"> to exit without saving.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4B54268A" w14:textId="77777777" w:rsidR="002A21AE" w:rsidRDefault="002A21AE">
            <w:pPr>
              <w:pStyle w:val="TableTextBullet"/>
            </w:pPr>
            <w:r>
              <w:t>Updates the database.</w:t>
            </w:r>
          </w:p>
        </w:tc>
      </w:tr>
    </w:tbl>
    <w:p w14:paraId="10A97633" w14:textId="79543CF1" w:rsidR="00A9458F" w:rsidRDefault="00A9458F" w:rsidP="00A9458F">
      <w:pPr>
        <w:pStyle w:val="Caption"/>
      </w:pPr>
      <w:bookmarkStart w:id="185" w:name="_Ref12647198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32</w:t>
      </w:r>
      <w:r w:rsidR="004E20BD">
        <w:rPr>
          <w:noProof/>
        </w:rPr>
        <w:fldChar w:fldCharType="end"/>
      </w:r>
      <w:bookmarkEnd w:id="185"/>
      <w:r>
        <w:t>: Maintain Comments</w:t>
      </w:r>
    </w:p>
    <w:p w14:paraId="50283F98" w14:textId="77777777" w:rsidR="002A21AE" w:rsidRDefault="00057948" w:rsidP="0066425F">
      <w:pPr>
        <w:pStyle w:val="BodyText"/>
      </w:pPr>
      <w:r>
        <w:rPr>
          <w:noProof/>
        </w:rPr>
        <w:drawing>
          <wp:inline distT="0" distB="0" distL="0" distR="0" wp14:anchorId="4424B221" wp14:editId="03F03E64">
            <wp:extent cx="3657600" cy="3315970"/>
            <wp:effectExtent l="0" t="0" r="0" b="0"/>
            <wp:docPr id="135" name="Picture 135" descr="Example of Maintain Commen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Example of Maintain Comments screen captur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57600" cy="3315970"/>
                    </a:xfrm>
                    <a:prstGeom prst="rect">
                      <a:avLst/>
                    </a:prstGeom>
                    <a:noFill/>
                    <a:ln>
                      <a:noFill/>
                    </a:ln>
                  </pic:spPr>
                </pic:pic>
              </a:graphicData>
            </a:graphic>
          </wp:inline>
        </w:drawing>
      </w:r>
    </w:p>
    <w:p w14:paraId="331C857C" w14:textId="77777777" w:rsidR="002A21AE" w:rsidRDefault="00AF089A">
      <w:pPr>
        <w:pStyle w:val="Heading2"/>
      </w:pPr>
      <w:r>
        <w:br w:type="page"/>
      </w:r>
      <w:bookmarkStart w:id="186" w:name="_Toc149064105"/>
      <w:r w:rsidR="002A21AE">
        <w:t>Setting Transfusion Parameters</w:t>
      </w:r>
      <w:bookmarkEnd w:id="184"/>
      <w:bookmarkEnd w:id="186"/>
      <w:r w:rsidR="002A21AE">
        <w:fldChar w:fldCharType="begin"/>
      </w:r>
      <w:r w:rsidR="002A21AE">
        <w:instrText xml:space="preserve"> XE </w:instrText>
      </w:r>
      <w:r w:rsidR="00FA7E65">
        <w:instrText>“</w:instrText>
      </w:r>
      <w:r w:rsidR="002A21AE">
        <w:instrText>Setting Transfusion Parameters</w:instrText>
      </w:r>
      <w:r w:rsidR="00FA7E65">
        <w:instrText>”</w:instrText>
      </w:r>
      <w:r w:rsidR="002A21AE">
        <w:instrText xml:space="preserve"> </w:instrText>
      </w:r>
      <w:r w:rsidR="002A21AE">
        <w:fldChar w:fldCharType="end"/>
      </w:r>
    </w:p>
    <w:p w14:paraId="6839A2A9" w14:textId="77777777" w:rsidR="002A21AE" w:rsidRDefault="002A21AE">
      <w:pPr>
        <w:pStyle w:val="Heading3"/>
      </w:pPr>
      <w:bookmarkStart w:id="187" w:name="_Toc149064106"/>
      <w:r>
        <w:t>Transfusion Complications</w:t>
      </w:r>
      <w:bookmarkEnd w:id="187"/>
      <w:r w:rsidRPr="0050203A">
        <w:rPr>
          <w:rFonts w:ascii="Arial Bold" w:hAnsi="Arial Bold"/>
          <w:vanish/>
        </w:rPr>
        <w:fldChar w:fldCharType="begin"/>
      </w:r>
      <w:r w:rsidRPr="0050203A">
        <w:rPr>
          <w:rFonts w:ascii="Arial Bold" w:hAnsi="Arial Bold"/>
          <w:vanish/>
        </w:rPr>
        <w:instrText xml:space="preserve"> XE </w:instrText>
      </w:r>
      <w:r w:rsidR="00FA7E65" w:rsidRPr="0050203A">
        <w:rPr>
          <w:rFonts w:ascii="Arial Bold" w:hAnsi="Arial Bold"/>
          <w:vanish/>
        </w:rPr>
        <w:instrText>“</w:instrText>
      </w:r>
      <w:r w:rsidRPr="0050203A">
        <w:rPr>
          <w:rFonts w:ascii="Arial Bold" w:hAnsi="Arial Bold"/>
          <w:vanish/>
        </w:rPr>
        <w:instrText>Transfusion Complications</w:instrText>
      </w:r>
      <w:r w:rsidR="00FA7E65" w:rsidRPr="0050203A">
        <w:rPr>
          <w:rFonts w:ascii="Arial Bold" w:hAnsi="Arial Bold"/>
          <w:vanish/>
        </w:rPr>
        <w:instrText>”</w:instrText>
      </w:r>
      <w:r w:rsidRPr="0050203A">
        <w:rPr>
          <w:rFonts w:ascii="Arial Bold" w:hAnsi="Arial Bold"/>
          <w:vanish/>
        </w:rPr>
        <w:instrText xml:space="preserve"> </w:instrText>
      </w:r>
      <w:r w:rsidRPr="0050203A">
        <w:rPr>
          <w:rFonts w:ascii="Arial Bold" w:hAnsi="Arial Bold"/>
          <w:vanish/>
        </w:rPr>
        <w:fldChar w:fldCharType="end"/>
      </w:r>
      <w:r w:rsidRPr="0050203A">
        <w:rPr>
          <w:rFonts w:ascii="Arial Bold" w:hAnsi="Arial Bold"/>
          <w:vanish/>
        </w:rPr>
        <w:t xml:space="preserve"> UC_34</w:t>
      </w:r>
    </w:p>
    <w:p w14:paraId="06222B94" w14:textId="2C171C27" w:rsidR="002A21AE" w:rsidRDefault="002A21AE" w:rsidP="00FA7E65">
      <w:pPr>
        <w:pStyle w:val="BodyText"/>
      </w:pPr>
      <w:r>
        <w:t xml:space="preserve">The user defines Laboratory tests and threshold values used to generate a report listing patients who were transfused within a specified period and who may have developed a transfusion-associated disease. </w:t>
      </w:r>
      <w:r w:rsidR="00E90A01">
        <w:t xml:space="preserve">For additional information, see </w:t>
      </w:r>
      <w:r w:rsidR="00EE455E">
        <w:t xml:space="preserve">Appendix </w:t>
      </w:r>
      <w:r w:rsidR="00EE455E">
        <w:rPr>
          <w:noProof/>
        </w:rPr>
        <w:t>G</w:t>
      </w:r>
      <w:r w:rsidR="00EE455E">
        <w:t>: Work Process Flowcharts</w:t>
      </w:r>
      <w:r w:rsidR="00E90A01">
        <w:t>.</w:t>
      </w:r>
    </w:p>
    <w:p w14:paraId="67EE7BBE" w14:textId="77777777" w:rsidR="002A21AE" w:rsidRDefault="002A21AE">
      <w:pPr>
        <w:pStyle w:val="Heading4"/>
      </w:pPr>
      <w:r>
        <w:t>Assumptions</w:t>
      </w:r>
    </w:p>
    <w:p w14:paraId="430E23F4" w14:textId="77777777" w:rsidR="002A21AE" w:rsidRDefault="00CA0045">
      <w:pPr>
        <w:pStyle w:val="ListBullet"/>
      </w:pPr>
      <w:r w:rsidRPr="00CA0045">
        <w:rPr>
          <w:bCs/>
        </w:rPr>
        <w:t>VistA</w:t>
      </w:r>
      <w:r w:rsidR="002A21AE">
        <w:t xml:space="preserve"> tests are defined.</w:t>
      </w:r>
    </w:p>
    <w:p w14:paraId="1086321E" w14:textId="77777777" w:rsidR="002A21AE" w:rsidRDefault="002A21AE">
      <w:pPr>
        <w:pStyle w:val="ListBullet"/>
      </w:pPr>
      <w:r>
        <w:t xml:space="preserve">The connection to </w:t>
      </w:r>
      <w:r w:rsidR="00CA0045" w:rsidRPr="00CA0045">
        <w:rPr>
          <w:bCs/>
        </w:rPr>
        <w:t>VistA</w:t>
      </w:r>
      <w:r>
        <w:t xml:space="preserve"> is active.</w:t>
      </w:r>
    </w:p>
    <w:p w14:paraId="073D60A6" w14:textId="77777777" w:rsidR="002A21AE" w:rsidRDefault="002A21AE">
      <w:pPr>
        <w:pStyle w:val="Heading4"/>
      </w:pPr>
      <w:r>
        <w:t>Outcome</w:t>
      </w:r>
    </w:p>
    <w:p w14:paraId="58B1792D" w14:textId="77777777" w:rsidR="002A21AE" w:rsidRDefault="002A21AE">
      <w:pPr>
        <w:pStyle w:val="ListBullet"/>
      </w:pPr>
      <w:r>
        <w:t>Parameters are defined for future Transfusion Complication Reports.</w:t>
      </w:r>
    </w:p>
    <w:p w14:paraId="2B828805" w14:textId="77777777" w:rsidR="002A21AE" w:rsidRDefault="002A21AE">
      <w:pPr>
        <w:pStyle w:val="Heading4"/>
      </w:pPr>
      <w:r>
        <w:t>Limitations and Restrictions</w:t>
      </w:r>
    </w:p>
    <w:p w14:paraId="49A8E508" w14:textId="77777777" w:rsidR="002A21AE" w:rsidRDefault="002A21AE">
      <w:pPr>
        <w:pStyle w:val="ListBullet"/>
      </w:pPr>
      <w:r>
        <w:t>None</w:t>
      </w:r>
    </w:p>
    <w:p w14:paraId="6F674D1A" w14:textId="77777777" w:rsidR="002A21AE" w:rsidRDefault="002A21AE">
      <w:pPr>
        <w:pStyle w:val="Heading4"/>
      </w:pPr>
      <w:r>
        <w:t>Additional Information</w:t>
      </w:r>
    </w:p>
    <w:p w14:paraId="6905DF8B" w14:textId="06ECFF11" w:rsidR="002A21AE" w:rsidRDefault="00E35EAC" w:rsidP="00E35EAC">
      <w:pPr>
        <w:pStyle w:val="ListBullet"/>
      </w:pPr>
      <w:r>
        <w:t>None</w:t>
      </w:r>
    </w:p>
    <w:p w14:paraId="215DD680" w14:textId="77777777" w:rsidR="002A21AE" w:rsidRDefault="002A21AE">
      <w:pPr>
        <w:pStyle w:val="Heading4"/>
      </w:pPr>
      <w:r>
        <w:t>User Roles with Access to This Option</w:t>
      </w:r>
    </w:p>
    <w:p w14:paraId="27FAC1C5" w14:textId="77777777" w:rsidR="002A21AE" w:rsidRDefault="00804DED">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59E8712A" w14:textId="77777777" w:rsidR="002A21AE" w:rsidRDefault="002A21AE">
      <w:pPr>
        <w:pStyle w:val="Heading4"/>
      </w:pPr>
      <w:r>
        <w:t>Transfusion Complications</w:t>
      </w:r>
    </w:p>
    <w:p w14:paraId="454A46DA" w14:textId="77777777" w:rsidR="002A21AE" w:rsidRDefault="002A21AE" w:rsidP="00FA7E65">
      <w:pPr>
        <w:pStyle w:val="BodyText"/>
      </w:pPr>
      <w:r>
        <w:t>The user defines Laboratory tests for use in the transfusion complication table.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FF18642" w14:textId="77777777">
        <w:trPr>
          <w:tblHeader/>
        </w:trPr>
        <w:tc>
          <w:tcPr>
            <w:tcW w:w="3240" w:type="dxa"/>
            <w:shd w:val="pct30" w:color="auto" w:fill="FFFFFF"/>
            <w:vAlign w:val="bottom"/>
          </w:tcPr>
          <w:p w14:paraId="4D8CF6EE" w14:textId="77777777" w:rsidR="002A21AE" w:rsidRDefault="002A21AE">
            <w:pPr>
              <w:pStyle w:val="TableText"/>
              <w:rPr>
                <w:b/>
              </w:rPr>
            </w:pPr>
            <w:r>
              <w:rPr>
                <w:b/>
              </w:rPr>
              <w:t>User Action</w:t>
            </w:r>
          </w:p>
        </w:tc>
        <w:tc>
          <w:tcPr>
            <w:tcW w:w="6120" w:type="dxa"/>
            <w:shd w:val="pct30" w:color="auto" w:fill="FFFFFF"/>
            <w:vAlign w:val="bottom"/>
          </w:tcPr>
          <w:p w14:paraId="33E9EB38" w14:textId="77777777" w:rsidR="002A21AE" w:rsidRDefault="002A21AE">
            <w:pPr>
              <w:pStyle w:val="TableText"/>
              <w:rPr>
                <w:b/>
              </w:rPr>
            </w:pPr>
            <w:r>
              <w:rPr>
                <w:b/>
              </w:rPr>
              <w:t>VBECS</w:t>
            </w:r>
          </w:p>
        </w:tc>
      </w:tr>
      <w:tr w:rsidR="002A21AE" w14:paraId="28BEE293" w14:textId="77777777">
        <w:tc>
          <w:tcPr>
            <w:tcW w:w="3240" w:type="dxa"/>
          </w:tcPr>
          <w:p w14:paraId="5FB84D51" w14:textId="77777777" w:rsidR="002A21AE" w:rsidRDefault="002A21AE">
            <w:pPr>
              <w:pStyle w:val="TableTextNumbers"/>
            </w:pPr>
            <w:r>
              <w:t xml:space="preserve">Select </w:t>
            </w:r>
            <w:r>
              <w:rPr>
                <w:b/>
                <w:bCs/>
              </w:rPr>
              <w:t>Tools</w:t>
            </w:r>
            <w:r>
              <w:t xml:space="preserve"> from the main menu.</w:t>
            </w:r>
          </w:p>
          <w:p w14:paraId="3C7B173C" w14:textId="77777777" w:rsidR="002A21AE" w:rsidRDefault="002A21AE">
            <w:pPr>
              <w:pStyle w:val="TableTextNumbersContinued"/>
              <w:rPr>
                <w:b/>
                <w:bCs/>
              </w:rPr>
            </w:pPr>
          </w:p>
          <w:p w14:paraId="59372778" w14:textId="77777777" w:rsidR="002A21AE" w:rsidRDefault="002A21AE">
            <w:pPr>
              <w:pStyle w:val="TableTextNumbersContinued"/>
            </w:pPr>
            <w:r>
              <w:t xml:space="preserve">Select </w:t>
            </w:r>
            <w:r>
              <w:rPr>
                <w:b/>
              </w:rPr>
              <w:t>Transfusion Complications</w:t>
            </w:r>
            <w:r>
              <w:t>.</w:t>
            </w:r>
          </w:p>
        </w:tc>
        <w:tc>
          <w:tcPr>
            <w:tcW w:w="6120" w:type="dxa"/>
          </w:tcPr>
          <w:p w14:paraId="33F21C28" w14:textId="77777777" w:rsidR="002A21AE" w:rsidRDefault="002A21AE">
            <w:pPr>
              <w:pStyle w:val="TableTextBullet"/>
            </w:pPr>
            <w:r>
              <w:t>Displays options for processing administrative functions.</w:t>
            </w:r>
          </w:p>
          <w:p w14:paraId="6A2F0425" w14:textId="77777777" w:rsidR="002A21AE" w:rsidRDefault="002A21AE">
            <w:pPr>
              <w:pStyle w:val="TableTextBullet"/>
            </w:pPr>
            <w:r>
              <w:t>Displays fields for entering transfusion complication threshold data.</w:t>
            </w:r>
          </w:p>
        </w:tc>
      </w:tr>
      <w:tr w:rsidR="002A21AE" w14:paraId="5AE838BC" w14:textId="77777777">
        <w:tc>
          <w:tcPr>
            <w:tcW w:w="3240" w:type="dxa"/>
          </w:tcPr>
          <w:p w14:paraId="3E06E0CB" w14:textId="77777777" w:rsidR="002A21AE" w:rsidRDefault="002A21AE">
            <w:pPr>
              <w:pStyle w:val="TableTextNumbers"/>
            </w:pPr>
            <w:r>
              <w:t xml:space="preserve">Click the </w:t>
            </w:r>
            <w:r w:rsidR="00A6373D">
              <w:rPr>
                <w:b/>
              </w:rPr>
              <w:t>find</w:t>
            </w:r>
            <w:r w:rsidRPr="00BF2E41">
              <w:t xml:space="preserve"> button</w:t>
            </w:r>
            <w:r>
              <w:t xml:space="preserve"> to search for a Laboratory test.</w:t>
            </w:r>
          </w:p>
          <w:p w14:paraId="28EA98D9" w14:textId="77777777" w:rsidR="002A21AE" w:rsidRDefault="002A21AE">
            <w:pPr>
              <w:pStyle w:val="TableTextNumbersContinued"/>
            </w:pPr>
          </w:p>
          <w:p w14:paraId="4AF69326" w14:textId="77777777" w:rsidR="002A21AE" w:rsidRDefault="002A21AE">
            <w:pPr>
              <w:pStyle w:val="TableTextNumbersContinued"/>
            </w:pPr>
            <w:r>
              <w:t>Select a test.</w:t>
            </w:r>
          </w:p>
          <w:p w14:paraId="7077FC3B" w14:textId="77777777" w:rsidR="002A21AE" w:rsidRDefault="002A21AE">
            <w:pPr>
              <w:pStyle w:val="TableTextNumbersContinued"/>
            </w:pPr>
          </w:p>
          <w:p w14:paraId="4614650F" w14:textId="77777777" w:rsidR="002A21AE" w:rsidRDefault="002A21AE">
            <w:pPr>
              <w:pStyle w:val="TableTextNumbersContinued"/>
            </w:pPr>
            <w:r>
              <w:t xml:space="preserve">Click </w:t>
            </w:r>
            <w:r>
              <w:rPr>
                <w:b/>
              </w:rPr>
              <w:t>OK</w:t>
            </w:r>
            <w:r>
              <w:t>.</w:t>
            </w:r>
          </w:p>
        </w:tc>
        <w:tc>
          <w:tcPr>
            <w:tcW w:w="6120" w:type="dxa"/>
          </w:tcPr>
          <w:p w14:paraId="1775D395" w14:textId="77777777" w:rsidR="0048718E" w:rsidRDefault="002A21AE">
            <w:pPr>
              <w:pStyle w:val="TableTextBullet"/>
            </w:pPr>
            <w:r>
              <w:t xml:space="preserve">Allows the user to edit or add previously defined tests for use in a Transfusion Complication Report. </w:t>
            </w:r>
          </w:p>
          <w:p w14:paraId="1E42BA85" w14:textId="77777777" w:rsidR="00CB6A89" w:rsidRDefault="00CB6A89" w:rsidP="00CB6A89">
            <w:pPr>
              <w:pStyle w:val="TableText"/>
              <w:rPr>
                <w:b/>
                <w:bCs/>
                <w:szCs w:val="18"/>
              </w:rPr>
            </w:pPr>
          </w:p>
          <w:p w14:paraId="00FA4D6C" w14:textId="60EC9FFE" w:rsidR="00CB6A89" w:rsidRDefault="00CB6A89" w:rsidP="00CB6A89">
            <w:pPr>
              <w:pStyle w:val="TableText"/>
              <w:rPr>
                <w:b/>
                <w:bCs/>
                <w:szCs w:val="18"/>
              </w:rPr>
            </w:pPr>
            <w:r>
              <w:rPr>
                <w:b/>
                <w:bCs/>
                <w:szCs w:val="18"/>
              </w:rPr>
              <w:t>NOTES</w:t>
            </w:r>
          </w:p>
          <w:p w14:paraId="1D78D831" w14:textId="77777777" w:rsidR="00CB6A89" w:rsidRDefault="00CB6A89" w:rsidP="00CB6A89">
            <w:pPr>
              <w:pStyle w:val="NotesText"/>
            </w:pPr>
          </w:p>
          <w:p w14:paraId="400A8CDE" w14:textId="77777777" w:rsidR="002A21AE" w:rsidRDefault="00CB6A89" w:rsidP="00CB6A89">
            <w:pPr>
              <w:pStyle w:val="TableTextBullet"/>
              <w:numPr>
                <w:ilvl w:val="0"/>
                <w:numId w:val="0"/>
              </w:numPr>
              <w:ind w:left="720" w:hanging="720"/>
              <w:rPr>
                <w:rFonts w:ascii="MS Shell Dlg 2" w:hAnsi="MS Shell Dlg 2"/>
                <w:color w:val="000000"/>
                <w:szCs w:val="18"/>
              </w:rPr>
            </w:pPr>
            <w:r w:rsidRPr="00D0406D">
              <w:rPr>
                <w:rFonts w:cs="Arial"/>
                <w:vanish/>
              </w:rPr>
              <w:t>BR_34</w:t>
            </w:r>
            <w:r w:rsidR="00E170B3" w:rsidRPr="00D0406D">
              <w:rPr>
                <w:rFonts w:cs="Arial"/>
                <w:vanish/>
              </w:rPr>
              <w:t>.03, DR 4364</w:t>
            </w:r>
            <w:r w:rsidR="0048718E" w:rsidRPr="00D0406D">
              <w:tab/>
              <w:t xml:space="preserve">VBECS displays the </w:t>
            </w:r>
            <w:r w:rsidR="0043684E">
              <w:t xml:space="preserve">entered </w:t>
            </w:r>
            <w:r w:rsidR="0048718E" w:rsidRPr="00D0406D">
              <w:t>l</w:t>
            </w:r>
            <w:r w:rsidR="009C4F04">
              <w:t xml:space="preserve">aboratory test names in all uppercase </w:t>
            </w:r>
            <w:r w:rsidR="00A403FD">
              <w:t>letters</w:t>
            </w:r>
            <w:r w:rsidR="0048718E" w:rsidRPr="00D0406D">
              <w:t xml:space="preserve">. The retrieval of lab tests </w:t>
            </w:r>
            <w:r w:rsidR="00A1211F">
              <w:t>occurs</w:t>
            </w:r>
            <w:r w:rsidR="009C4F04">
              <w:t xml:space="preserve"> in VistA </w:t>
            </w:r>
            <w:r w:rsidR="0048718E" w:rsidRPr="00D0406D">
              <w:t>and results for the Transfusion Complications Report are not case sensitive. There is a limit of 25 active entries. (If the user enters all of the available results for the test, he can get results that are not filtered by VBECS.)</w:t>
            </w:r>
          </w:p>
          <w:p w14:paraId="6FCB0769" w14:textId="77777777" w:rsidR="00CB6A89" w:rsidRPr="00CB6A89" w:rsidRDefault="00CB6A89" w:rsidP="00CB6A89">
            <w:pPr>
              <w:pStyle w:val="TableTextBullet"/>
              <w:numPr>
                <w:ilvl w:val="0"/>
                <w:numId w:val="0"/>
              </w:numPr>
              <w:ind w:left="720" w:hanging="720"/>
              <w:rPr>
                <w:rFonts w:ascii="MS Shell Dlg 2" w:hAnsi="MS Shell Dlg 2"/>
                <w:color w:val="000000"/>
                <w:szCs w:val="18"/>
              </w:rPr>
            </w:pPr>
          </w:p>
        </w:tc>
      </w:tr>
      <w:tr w:rsidR="002A21AE" w14:paraId="00F19155" w14:textId="77777777" w:rsidTr="006C058D">
        <w:trPr>
          <w:cantSplit/>
        </w:trPr>
        <w:tc>
          <w:tcPr>
            <w:tcW w:w="3240" w:type="dxa"/>
          </w:tcPr>
          <w:p w14:paraId="19D56C3A" w14:textId="39EC501F" w:rsidR="002A21AE" w:rsidRDefault="002A21AE">
            <w:pPr>
              <w:pStyle w:val="TableTextNumbers"/>
            </w:pPr>
            <w:r>
              <w:t xml:space="preserve">Click the </w:t>
            </w:r>
            <w:r>
              <w:rPr>
                <w:b/>
              </w:rPr>
              <w:t xml:space="preserve">Numeric Threshold </w:t>
            </w:r>
            <w:r w:rsidRPr="00BF2E41">
              <w:t>radio button</w:t>
            </w:r>
            <w:r>
              <w:t xml:space="preserve"> and enter or edit test threshold information</w:t>
            </w:r>
            <w:r w:rsidR="00E1279C">
              <w:t xml:space="preserve"> (</w:t>
            </w:r>
            <w:r w:rsidR="00EE455E">
              <w:t xml:space="preserve">Figure </w:t>
            </w:r>
            <w:r w:rsidR="00EE455E">
              <w:rPr>
                <w:noProof/>
              </w:rPr>
              <w:t>33</w:t>
            </w:r>
            <w:r w:rsidR="00E1279C">
              <w:t>)</w:t>
            </w:r>
            <w:r>
              <w:t>.</w:t>
            </w:r>
          </w:p>
          <w:p w14:paraId="2BA59E13" w14:textId="77777777" w:rsidR="002A21AE" w:rsidRDefault="002A21AE">
            <w:pPr>
              <w:pStyle w:val="TableTextNumbersContinued"/>
            </w:pPr>
          </w:p>
          <w:p w14:paraId="0BAE10CD" w14:textId="77777777" w:rsidR="002A21AE" w:rsidRDefault="002A21AE">
            <w:pPr>
              <w:pStyle w:val="TableTextNumbersContinued"/>
            </w:pPr>
            <w:r>
              <w:t xml:space="preserve">Click </w:t>
            </w:r>
            <w:r>
              <w:rPr>
                <w:b/>
              </w:rPr>
              <w:t>Add</w:t>
            </w:r>
            <w:r>
              <w:t xml:space="preserve"> to add the test to the list, or</w:t>
            </w:r>
          </w:p>
          <w:p w14:paraId="2FC75068" w14:textId="77777777" w:rsidR="002A21AE" w:rsidRDefault="002A21AE">
            <w:pPr>
              <w:pStyle w:val="TableTextNumbersContinued"/>
            </w:pPr>
          </w:p>
          <w:p w14:paraId="0C6467A6" w14:textId="77777777" w:rsidR="002A21AE" w:rsidRDefault="002A21AE">
            <w:pPr>
              <w:pStyle w:val="TableTextNumbersContinued"/>
            </w:pPr>
            <w:r>
              <w:t xml:space="preserve">Click </w:t>
            </w:r>
            <w:r>
              <w:rPr>
                <w:b/>
              </w:rPr>
              <w:t>Update</w:t>
            </w:r>
            <w:r>
              <w:t xml:space="preserve"> to save changes to a previously saved test.</w:t>
            </w:r>
          </w:p>
          <w:p w14:paraId="02E8F1D2" w14:textId="77777777" w:rsidR="002A21AE" w:rsidRDefault="002A21AE">
            <w:pPr>
              <w:pStyle w:val="TableTextNumbersContinued"/>
            </w:pPr>
          </w:p>
          <w:p w14:paraId="3D91C6B4" w14:textId="77777777" w:rsidR="002A21AE" w:rsidRDefault="002A21AE">
            <w:pPr>
              <w:pStyle w:val="TableTextNumbersContinued"/>
            </w:pPr>
            <w:r>
              <w:t xml:space="preserve">Click </w:t>
            </w:r>
            <w:r>
              <w:rPr>
                <w:b/>
              </w:rPr>
              <w:t>OK</w:t>
            </w:r>
            <w:r>
              <w:t xml:space="preserve"> to save and </w:t>
            </w:r>
            <w:r>
              <w:rPr>
                <w:b/>
              </w:rPr>
              <w:t>Yes</w:t>
            </w:r>
            <w:r>
              <w:t xml:space="preserve"> to confirm the save.</w:t>
            </w:r>
          </w:p>
        </w:tc>
        <w:tc>
          <w:tcPr>
            <w:tcW w:w="6120" w:type="dxa"/>
          </w:tcPr>
          <w:p w14:paraId="1C80B0D3" w14:textId="77777777" w:rsidR="002A21AE" w:rsidRDefault="002A21AE">
            <w:pPr>
              <w:pStyle w:val="TableTextBullet"/>
            </w:pPr>
            <w:r>
              <w:t>Allows the user to enter one or more tests.</w:t>
            </w:r>
          </w:p>
          <w:p w14:paraId="100C596F" w14:textId="77777777" w:rsidR="002A21AE" w:rsidRDefault="002A21AE">
            <w:pPr>
              <w:pStyle w:val="TableTextBullet"/>
            </w:pPr>
            <w:r>
              <w:t>Uses VistALink to retrieve test data.</w:t>
            </w:r>
          </w:p>
          <w:p w14:paraId="44CFB571" w14:textId="77777777" w:rsidR="002A21AE" w:rsidRDefault="002A21AE">
            <w:pPr>
              <w:pStyle w:val="TableText"/>
            </w:pPr>
          </w:p>
          <w:p w14:paraId="6F7079C7" w14:textId="70C2B98C" w:rsidR="002A21AE" w:rsidRDefault="002A21AE">
            <w:pPr>
              <w:pStyle w:val="TableText"/>
              <w:rPr>
                <w:b/>
                <w:bCs/>
                <w:szCs w:val="18"/>
              </w:rPr>
            </w:pPr>
            <w:r>
              <w:rPr>
                <w:b/>
                <w:bCs/>
                <w:szCs w:val="18"/>
              </w:rPr>
              <w:t>NOTES</w:t>
            </w:r>
          </w:p>
          <w:p w14:paraId="48FCBD4E" w14:textId="77777777" w:rsidR="002A21AE" w:rsidRDefault="002A21AE">
            <w:pPr>
              <w:pStyle w:val="NotesText"/>
            </w:pPr>
          </w:p>
          <w:p w14:paraId="22F73679" w14:textId="411E7E44" w:rsidR="002A21AE" w:rsidRDefault="002A21AE">
            <w:pPr>
              <w:pStyle w:val="NotesText"/>
            </w:pPr>
            <w:r w:rsidRPr="008879B5">
              <w:rPr>
                <w:rFonts w:cs="Arial"/>
                <w:vanish/>
              </w:rPr>
              <w:t xml:space="preserve">BR_34.02 </w:t>
            </w:r>
            <w:r w:rsidRPr="008879B5">
              <w:t>When defining a test reported as a text value, VBECS accommodates the input of specific text (1</w:t>
            </w:r>
            <w:r w:rsidR="004D0A70">
              <w:t xml:space="preserve"> through </w:t>
            </w:r>
            <w:r w:rsidRPr="008879B5">
              <w:t xml:space="preserve">255 characters) that </w:t>
            </w:r>
            <w:r w:rsidR="004D0A70">
              <w:t>are</w:t>
            </w:r>
            <w:r w:rsidRPr="008879B5">
              <w:t xml:space="preserve"> used to search for matching values.</w:t>
            </w:r>
          </w:p>
        </w:tc>
      </w:tr>
      <w:tr w:rsidR="002A21AE" w14:paraId="79814122" w14:textId="77777777">
        <w:tc>
          <w:tcPr>
            <w:tcW w:w="3240" w:type="dxa"/>
          </w:tcPr>
          <w:p w14:paraId="4E612765" w14:textId="77777777" w:rsidR="002A21AE" w:rsidRDefault="002A21AE">
            <w:pPr>
              <w:pStyle w:val="TableTextNumbers"/>
            </w:pPr>
            <w:r>
              <w:t xml:space="preserve">Click </w:t>
            </w:r>
            <w:r>
              <w:rPr>
                <w:b/>
              </w:rPr>
              <w:t>OK</w:t>
            </w:r>
            <w:r>
              <w:t xml:space="preserve"> to save and </w:t>
            </w:r>
            <w:r>
              <w:rPr>
                <w:b/>
              </w:rPr>
              <w:t>Yes</w:t>
            </w:r>
            <w:r>
              <w:t xml:space="preserve"> to confirm the save and exit.</w:t>
            </w:r>
          </w:p>
        </w:tc>
        <w:tc>
          <w:tcPr>
            <w:tcW w:w="6120" w:type="dxa"/>
          </w:tcPr>
          <w:p w14:paraId="00312C68" w14:textId="77777777" w:rsidR="002A21AE" w:rsidRDefault="002A21AE">
            <w:pPr>
              <w:pStyle w:val="TableTextBullet"/>
            </w:pPr>
            <w:r>
              <w:t>Updates the database.</w:t>
            </w:r>
          </w:p>
        </w:tc>
      </w:tr>
      <w:tr w:rsidR="002A21AE" w14:paraId="2DFAB1DB" w14:textId="77777777">
        <w:tc>
          <w:tcPr>
            <w:tcW w:w="3240" w:type="dxa"/>
          </w:tcPr>
          <w:p w14:paraId="6EACADC3" w14:textId="5BB1B17F" w:rsidR="002A21AE" w:rsidRDefault="002A21AE">
            <w:pPr>
              <w:pStyle w:val="TableTextNumbers"/>
            </w:pPr>
            <w:r>
              <w:t>Repeat Steps 2</w:t>
            </w:r>
            <w:r w:rsidR="004F5589">
              <w:t xml:space="preserve"> through </w:t>
            </w:r>
            <w:r>
              <w:t xml:space="preserve">4 for each transfusion complication test to be defined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192F62B" w14:textId="77777777" w:rsidR="002A21AE" w:rsidRDefault="002A21AE">
            <w:pPr>
              <w:pStyle w:val="TableText"/>
            </w:pPr>
          </w:p>
        </w:tc>
      </w:tr>
    </w:tbl>
    <w:p w14:paraId="0585D722" w14:textId="46DB776C" w:rsidR="00E1279C" w:rsidRDefault="00E1279C" w:rsidP="00E1279C">
      <w:pPr>
        <w:pStyle w:val="Caption"/>
      </w:pPr>
      <w:bookmarkStart w:id="188" w:name="_Ref12647216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33</w:t>
      </w:r>
      <w:r w:rsidR="004E20BD">
        <w:rPr>
          <w:noProof/>
        </w:rPr>
        <w:fldChar w:fldCharType="end"/>
      </w:r>
      <w:bookmarkEnd w:id="188"/>
      <w:r>
        <w:t>: Transfusion Complication Thresholds</w:t>
      </w:r>
    </w:p>
    <w:p w14:paraId="7A9AEC25" w14:textId="77777777" w:rsidR="00E1279C" w:rsidRDefault="00057948" w:rsidP="00E1279C">
      <w:pPr>
        <w:pStyle w:val="BodyText"/>
      </w:pPr>
      <w:r>
        <w:rPr>
          <w:noProof/>
        </w:rPr>
        <w:drawing>
          <wp:inline distT="0" distB="0" distL="0" distR="0" wp14:anchorId="29045821" wp14:editId="26284DCA">
            <wp:extent cx="3888740" cy="2909570"/>
            <wp:effectExtent l="0" t="0" r="0" b="5080"/>
            <wp:docPr id="136" name="Picture 136" descr="Example of Transfusion Complication Threshold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Example of Transfusion Complication Thresholds screen capt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88740" cy="2909570"/>
                    </a:xfrm>
                    <a:prstGeom prst="rect">
                      <a:avLst/>
                    </a:prstGeom>
                    <a:noFill/>
                    <a:ln>
                      <a:noFill/>
                    </a:ln>
                  </pic:spPr>
                </pic:pic>
              </a:graphicData>
            </a:graphic>
          </wp:inline>
        </w:drawing>
      </w:r>
    </w:p>
    <w:p w14:paraId="24623B82" w14:textId="77777777" w:rsidR="002A21AE" w:rsidRDefault="00466CF2">
      <w:pPr>
        <w:pStyle w:val="Heading3"/>
      </w:pPr>
      <w:r>
        <w:br w:type="page"/>
      </w:r>
      <w:bookmarkStart w:id="189" w:name="_Toc149064107"/>
      <w:r w:rsidR="002A21AE">
        <w:t>Transfusion Effectiveness</w:t>
      </w:r>
      <w:bookmarkEnd w:id="189"/>
      <w:r w:rsidR="002A21AE">
        <w:fldChar w:fldCharType="begin"/>
      </w:r>
      <w:r w:rsidR="002A21AE">
        <w:instrText xml:space="preserve"> XE </w:instrText>
      </w:r>
      <w:r w:rsidR="00FA7E65">
        <w:instrText>“</w:instrText>
      </w:r>
      <w:r w:rsidR="002A21AE">
        <w:instrText>Transfusion Effectiveness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UC_33</w:t>
      </w:r>
    </w:p>
    <w:p w14:paraId="6791ABA3" w14:textId="77777777" w:rsidR="002A21AE" w:rsidRDefault="00095BAC" w:rsidP="00FA7E65">
      <w:pPr>
        <w:pStyle w:val="BodyText"/>
      </w:pPr>
      <w:bookmarkStart w:id="190" w:name="_Toc63680393"/>
      <w:r>
        <w:t>The user defines L</w:t>
      </w:r>
      <w:r w:rsidR="002A21AE">
        <w:t xml:space="preserve">aboratory tests to monitor the effectiveness of transfusions. </w:t>
      </w:r>
    </w:p>
    <w:p w14:paraId="5A727C02" w14:textId="77777777" w:rsidR="002A21AE" w:rsidRDefault="002A21AE">
      <w:pPr>
        <w:pStyle w:val="Heading4"/>
      </w:pPr>
      <w:r>
        <w:t>Assumptions</w:t>
      </w:r>
    </w:p>
    <w:p w14:paraId="750C32DD" w14:textId="77777777" w:rsidR="00CA0045" w:rsidRDefault="00CA0045">
      <w:pPr>
        <w:pStyle w:val="ListBullet"/>
      </w:pPr>
      <w:r w:rsidRPr="00CA0045">
        <w:rPr>
          <w:bCs/>
        </w:rPr>
        <w:t>VistA</w:t>
      </w:r>
      <w:r w:rsidR="002A21AE">
        <w:t xml:space="preserve"> lab tests are defined</w:t>
      </w:r>
      <w:r>
        <w:t>.</w:t>
      </w:r>
    </w:p>
    <w:p w14:paraId="700835D4" w14:textId="77777777" w:rsidR="002A21AE" w:rsidRDefault="00CA0045">
      <w:pPr>
        <w:pStyle w:val="ListBullet"/>
      </w:pPr>
      <w:r>
        <w:t>T</w:t>
      </w:r>
      <w:r w:rsidR="002A21AE">
        <w:t xml:space="preserve">he connection to </w:t>
      </w:r>
      <w:r w:rsidRPr="00CA0045">
        <w:rPr>
          <w:bCs/>
        </w:rPr>
        <w:t>VistA</w:t>
      </w:r>
      <w:r w:rsidR="002A21AE">
        <w:t xml:space="preserve"> is active.</w:t>
      </w:r>
    </w:p>
    <w:p w14:paraId="0605F570" w14:textId="77777777" w:rsidR="002A21AE" w:rsidRDefault="002A21AE">
      <w:pPr>
        <w:pStyle w:val="Heading4"/>
      </w:pPr>
      <w:r>
        <w:t>Outcome</w:t>
      </w:r>
    </w:p>
    <w:p w14:paraId="2DA58110" w14:textId="77777777" w:rsidR="002A21AE" w:rsidRDefault="002A21AE">
      <w:pPr>
        <w:pStyle w:val="ListBullet"/>
      </w:pPr>
      <w:r>
        <w:t>Parameters are defined for future reports.</w:t>
      </w:r>
    </w:p>
    <w:p w14:paraId="4154FF34" w14:textId="77777777" w:rsidR="002A21AE" w:rsidRDefault="002A21AE">
      <w:pPr>
        <w:pStyle w:val="Heading4"/>
      </w:pPr>
      <w:r>
        <w:t>Limitations and Restrictions</w:t>
      </w:r>
    </w:p>
    <w:p w14:paraId="74CF5729" w14:textId="77777777" w:rsidR="002A21AE" w:rsidRDefault="002A21AE">
      <w:pPr>
        <w:pStyle w:val="ListBullet"/>
      </w:pPr>
      <w:r>
        <w:t xml:space="preserve">None </w:t>
      </w:r>
    </w:p>
    <w:p w14:paraId="514FC7F7" w14:textId="77777777" w:rsidR="002A21AE" w:rsidRDefault="002A21AE">
      <w:pPr>
        <w:pStyle w:val="Heading4"/>
      </w:pPr>
      <w:r>
        <w:t>Additional Information</w:t>
      </w:r>
    </w:p>
    <w:p w14:paraId="7CB7232C" w14:textId="77777777" w:rsidR="002A21AE" w:rsidRDefault="002A21AE">
      <w:pPr>
        <w:pStyle w:val="ListBullet"/>
      </w:pPr>
      <w:r>
        <w:t xml:space="preserve">None </w:t>
      </w:r>
    </w:p>
    <w:p w14:paraId="18CD4406" w14:textId="77777777" w:rsidR="002A21AE" w:rsidRDefault="002A21AE">
      <w:pPr>
        <w:pStyle w:val="Heading4"/>
      </w:pPr>
      <w:r>
        <w:t xml:space="preserve">User Roles with Access to This Option </w:t>
      </w:r>
    </w:p>
    <w:p w14:paraId="15B76988" w14:textId="77777777" w:rsidR="002A21AE" w:rsidRDefault="002A09A9">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38584798" w14:textId="77777777" w:rsidR="002A21AE" w:rsidRDefault="002A21AE">
      <w:pPr>
        <w:pStyle w:val="Heading4"/>
      </w:pPr>
      <w:r>
        <w:t>Transfusion Effectiveness</w:t>
      </w:r>
    </w:p>
    <w:p w14:paraId="2DBF6D1C" w14:textId="77777777" w:rsidR="002A21AE" w:rsidRDefault="002A21AE" w:rsidP="00FA7E65">
      <w:pPr>
        <w:pStyle w:val="BodyText"/>
      </w:pPr>
      <w:r>
        <w:t>The user enters the tests to be included in the Transfusion Effectiveness Report.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9DF72BC" w14:textId="77777777">
        <w:trPr>
          <w:tblHeader/>
        </w:trPr>
        <w:tc>
          <w:tcPr>
            <w:tcW w:w="3240" w:type="dxa"/>
            <w:shd w:val="pct30" w:color="auto" w:fill="FFFFFF"/>
            <w:vAlign w:val="bottom"/>
          </w:tcPr>
          <w:p w14:paraId="23C98B50" w14:textId="77777777" w:rsidR="002A21AE" w:rsidRDefault="002A21AE">
            <w:pPr>
              <w:pStyle w:val="TableText"/>
              <w:rPr>
                <w:b/>
              </w:rPr>
            </w:pPr>
            <w:r>
              <w:rPr>
                <w:b/>
              </w:rPr>
              <w:t>User Action</w:t>
            </w:r>
          </w:p>
        </w:tc>
        <w:tc>
          <w:tcPr>
            <w:tcW w:w="6120" w:type="dxa"/>
            <w:shd w:val="pct30" w:color="auto" w:fill="FFFFFF"/>
            <w:vAlign w:val="bottom"/>
          </w:tcPr>
          <w:p w14:paraId="05F24220" w14:textId="77777777" w:rsidR="002A21AE" w:rsidRDefault="002A21AE">
            <w:pPr>
              <w:pStyle w:val="TableText"/>
              <w:rPr>
                <w:b/>
              </w:rPr>
            </w:pPr>
            <w:r>
              <w:rPr>
                <w:b/>
              </w:rPr>
              <w:t>VBECS</w:t>
            </w:r>
          </w:p>
        </w:tc>
      </w:tr>
      <w:tr w:rsidR="002A21AE" w14:paraId="2D1E86D3" w14:textId="77777777">
        <w:tc>
          <w:tcPr>
            <w:tcW w:w="3240" w:type="dxa"/>
          </w:tcPr>
          <w:p w14:paraId="4C41571C" w14:textId="77777777" w:rsidR="002A21AE" w:rsidRDefault="002A21AE">
            <w:pPr>
              <w:pStyle w:val="TableTextNumbers"/>
            </w:pPr>
            <w:r>
              <w:t xml:space="preserve">Select </w:t>
            </w:r>
            <w:r>
              <w:rPr>
                <w:b/>
                <w:bCs/>
              </w:rPr>
              <w:t>Tools</w:t>
            </w:r>
            <w:r>
              <w:t xml:space="preserve"> from the main menu.</w:t>
            </w:r>
          </w:p>
          <w:p w14:paraId="01B7AB96" w14:textId="77777777" w:rsidR="002A21AE" w:rsidRDefault="002A21AE">
            <w:pPr>
              <w:pStyle w:val="TableTextNumbersContinued"/>
              <w:rPr>
                <w:bCs/>
              </w:rPr>
            </w:pPr>
          </w:p>
          <w:p w14:paraId="7E3E47DF" w14:textId="77777777" w:rsidR="002A21AE" w:rsidRDefault="002A21AE">
            <w:pPr>
              <w:pStyle w:val="TableTextNumbersContinued"/>
              <w:rPr>
                <w:b/>
                <w:bCs/>
              </w:rPr>
            </w:pPr>
            <w:r>
              <w:rPr>
                <w:bCs/>
              </w:rPr>
              <w:t>Select</w:t>
            </w:r>
            <w:r>
              <w:rPr>
                <w:b/>
                <w:bCs/>
              </w:rPr>
              <w:t xml:space="preserve"> Transfusion Effectiveness</w:t>
            </w:r>
            <w:r>
              <w:rPr>
                <w:bCs/>
              </w:rPr>
              <w:t>.</w:t>
            </w:r>
          </w:p>
        </w:tc>
        <w:tc>
          <w:tcPr>
            <w:tcW w:w="6120" w:type="dxa"/>
          </w:tcPr>
          <w:p w14:paraId="36582090" w14:textId="77777777" w:rsidR="002A21AE" w:rsidRDefault="002A21AE">
            <w:pPr>
              <w:pStyle w:val="TableTextBullet"/>
            </w:pPr>
            <w:r>
              <w:t xml:space="preserve">Displays options for processing administrative functions. </w:t>
            </w:r>
          </w:p>
          <w:p w14:paraId="6DE60A1A" w14:textId="77777777" w:rsidR="002A21AE" w:rsidRDefault="002A21AE">
            <w:pPr>
              <w:pStyle w:val="TableTextBullet"/>
            </w:pPr>
            <w:r>
              <w:t>Allows the user to edit a previously defined Transfusion Effectiveness Tests or add a test.</w:t>
            </w:r>
          </w:p>
        </w:tc>
      </w:tr>
      <w:tr w:rsidR="002A21AE" w14:paraId="009083DB" w14:textId="77777777">
        <w:tc>
          <w:tcPr>
            <w:tcW w:w="3240" w:type="dxa"/>
          </w:tcPr>
          <w:p w14:paraId="07271E67" w14:textId="77777777" w:rsidR="002A21AE" w:rsidRDefault="002A21AE">
            <w:pPr>
              <w:pStyle w:val="TableTextNumbers"/>
            </w:pPr>
            <w:r>
              <w:t xml:space="preserve">Click the </w:t>
            </w:r>
            <w:r w:rsidR="00A6373D">
              <w:rPr>
                <w:b/>
              </w:rPr>
              <w:t>find</w:t>
            </w:r>
            <w:r w:rsidRPr="00BF2E41">
              <w:t xml:space="preserve"> button</w:t>
            </w:r>
            <w:r>
              <w:t xml:space="preserve"> to search for a Transfusion Effectiveness Test. </w:t>
            </w:r>
          </w:p>
          <w:p w14:paraId="02C60F6B" w14:textId="77777777" w:rsidR="002A21AE" w:rsidRDefault="002A21AE">
            <w:pPr>
              <w:pStyle w:val="TableTextNumbersContinued"/>
            </w:pPr>
          </w:p>
          <w:p w14:paraId="034A1F9E" w14:textId="77777777" w:rsidR="005E16D4" w:rsidRDefault="005E16D4">
            <w:pPr>
              <w:pStyle w:val="TableTextNumbersContinued"/>
            </w:pPr>
            <w:r>
              <w:t>Enter part or all of a laboratory test name.</w:t>
            </w:r>
          </w:p>
          <w:p w14:paraId="4DAB962A" w14:textId="77777777" w:rsidR="005E16D4" w:rsidRDefault="005E16D4">
            <w:pPr>
              <w:pStyle w:val="TableTextNumbersContinued"/>
            </w:pPr>
          </w:p>
          <w:p w14:paraId="4AACA8B6" w14:textId="77777777" w:rsidR="005E16D4" w:rsidRDefault="005E16D4">
            <w:pPr>
              <w:pStyle w:val="TableTextNumbersContinued"/>
            </w:pPr>
            <w:r>
              <w:t xml:space="preserve">Click </w:t>
            </w:r>
            <w:r w:rsidRPr="005E16D4">
              <w:rPr>
                <w:b/>
              </w:rPr>
              <w:t>Search</w:t>
            </w:r>
            <w:r>
              <w:t>.</w:t>
            </w:r>
          </w:p>
          <w:p w14:paraId="5CD1300C" w14:textId="77777777" w:rsidR="005E16D4" w:rsidRDefault="005E16D4">
            <w:pPr>
              <w:pStyle w:val="TableTextNumbersContinued"/>
            </w:pPr>
          </w:p>
          <w:p w14:paraId="602D25B5" w14:textId="77777777" w:rsidR="002A21AE" w:rsidRDefault="002A21AE">
            <w:pPr>
              <w:pStyle w:val="TableTextNumbersContinued"/>
            </w:pPr>
            <w:r>
              <w:t xml:space="preserve">Click one </w:t>
            </w:r>
            <w:r w:rsidR="005E16D4">
              <w:t>to four</w:t>
            </w:r>
            <w:r>
              <w:t xml:space="preserve"> check boxes to select tests.</w:t>
            </w:r>
          </w:p>
          <w:p w14:paraId="3F0C796E" w14:textId="77777777" w:rsidR="002A21AE" w:rsidRDefault="002A21AE">
            <w:pPr>
              <w:pStyle w:val="TableTextNumbersContinued"/>
            </w:pPr>
          </w:p>
          <w:p w14:paraId="5C9B4148" w14:textId="77777777" w:rsidR="00E959B5" w:rsidRDefault="00E959B5">
            <w:pPr>
              <w:pStyle w:val="TableTextNumbersContinued"/>
            </w:pPr>
            <w:r>
              <w:t xml:space="preserve">Click </w:t>
            </w:r>
            <w:r w:rsidRPr="00E959B5">
              <w:rPr>
                <w:b/>
              </w:rPr>
              <w:t>OK</w:t>
            </w:r>
            <w:r>
              <w:t>.</w:t>
            </w:r>
          </w:p>
          <w:p w14:paraId="4B245C92" w14:textId="77777777" w:rsidR="00E959B5" w:rsidRDefault="00E959B5">
            <w:pPr>
              <w:pStyle w:val="TableTextNumbersContinued"/>
            </w:pPr>
          </w:p>
          <w:p w14:paraId="4D0018B7" w14:textId="1B0D708D" w:rsidR="002A21AE" w:rsidRDefault="002A21AE">
            <w:pPr>
              <w:pStyle w:val="TableTextNumbersContinued"/>
            </w:pPr>
            <w:r>
              <w:t xml:space="preserve">Click </w:t>
            </w:r>
            <w:r>
              <w:rPr>
                <w:b/>
              </w:rPr>
              <w:t>Add</w:t>
            </w:r>
            <w:r>
              <w:t xml:space="preserve"> to add the tests</w:t>
            </w:r>
            <w:r w:rsidR="005E5594">
              <w:t xml:space="preserve"> (</w:t>
            </w:r>
            <w:r w:rsidR="00EE455E">
              <w:t xml:space="preserve">Figure </w:t>
            </w:r>
            <w:r w:rsidR="00EE455E">
              <w:rPr>
                <w:noProof/>
              </w:rPr>
              <w:t>34</w:t>
            </w:r>
            <w:r w:rsidR="005E5594">
              <w:t>)</w:t>
            </w:r>
            <w:r>
              <w:t>, or</w:t>
            </w:r>
          </w:p>
          <w:p w14:paraId="17C10FDB" w14:textId="77777777" w:rsidR="002A21AE" w:rsidRDefault="002A21AE">
            <w:pPr>
              <w:pStyle w:val="TableTextNumbersContinued"/>
            </w:pPr>
          </w:p>
          <w:p w14:paraId="648A0332" w14:textId="77777777" w:rsidR="002A21AE" w:rsidRDefault="00C15633">
            <w:pPr>
              <w:pStyle w:val="TableTextNumbersContinued"/>
            </w:pPr>
            <w:r>
              <w:t xml:space="preserve">Click the </w:t>
            </w:r>
            <w:r>
              <w:rPr>
                <w:b/>
              </w:rPr>
              <w:t>Show Inactive Transfusion Effectiveness Report</w:t>
            </w:r>
            <w:r w:rsidR="008632FE">
              <w:rPr>
                <w:b/>
              </w:rPr>
              <w:t xml:space="preserve"> </w:t>
            </w:r>
            <w:r>
              <w:rPr>
                <w:b/>
              </w:rPr>
              <w:t xml:space="preserve">Tests </w:t>
            </w:r>
            <w:r w:rsidRPr="00D1100E">
              <w:t>check box</w:t>
            </w:r>
            <w:r>
              <w:t>, if desired.</w:t>
            </w:r>
            <w:r w:rsidR="002A21AE">
              <w:t xml:space="preserve"> </w:t>
            </w:r>
          </w:p>
          <w:p w14:paraId="1DA98FAD" w14:textId="77777777" w:rsidR="002A21AE" w:rsidRDefault="002A21AE">
            <w:pPr>
              <w:pStyle w:val="TableTextNumbersContinued"/>
            </w:pPr>
          </w:p>
          <w:p w14:paraId="0CF992A7" w14:textId="77777777" w:rsidR="002A21AE" w:rsidRDefault="002A21AE">
            <w:pPr>
              <w:pStyle w:val="TableTextNumbersContinued"/>
            </w:pPr>
            <w:r>
              <w:t xml:space="preserve">Click </w:t>
            </w:r>
            <w:r>
              <w:rPr>
                <w:b/>
              </w:rPr>
              <w:t>Update</w:t>
            </w:r>
            <w:r>
              <w:t xml:space="preserve"> to edit the tests.</w:t>
            </w:r>
          </w:p>
        </w:tc>
        <w:tc>
          <w:tcPr>
            <w:tcW w:w="6120" w:type="dxa"/>
          </w:tcPr>
          <w:p w14:paraId="5D7BC9FD" w14:textId="77777777" w:rsidR="002A21AE" w:rsidRDefault="002A21AE">
            <w:pPr>
              <w:pStyle w:val="TableTextBullet"/>
            </w:pPr>
            <w:r>
              <w:t xml:space="preserve">Allows the user to enter one or more Transfusion Effectiveness Tests. </w:t>
            </w:r>
          </w:p>
          <w:p w14:paraId="7100C706" w14:textId="77777777" w:rsidR="002A21AE" w:rsidRDefault="002A21AE">
            <w:pPr>
              <w:pStyle w:val="TableTextBullet"/>
            </w:pPr>
            <w:r>
              <w:t>Uses VistALink to retrieve Laboratory test data for each of these indicators:</w:t>
            </w:r>
          </w:p>
          <w:p w14:paraId="45E02265" w14:textId="77777777" w:rsidR="002A21AE" w:rsidRDefault="002A21AE">
            <w:pPr>
              <w:pStyle w:val="TableTextBullet1"/>
            </w:pPr>
            <w:r>
              <w:t>Laboratory test name</w:t>
            </w:r>
          </w:p>
          <w:p w14:paraId="42946837" w14:textId="77777777" w:rsidR="002A21AE" w:rsidRDefault="00CA0045">
            <w:pPr>
              <w:pStyle w:val="TableTextBullet1"/>
            </w:pPr>
            <w:r w:rsidRPr="00CA0045">
              <w:rPr>
                <w:bCs/>
              </w:rPr>
              <w:t>VistA</w:t>
            </w:r>
            <w:r w:rsidR="002A21AE">
              <w:t xml:space="preserve"> Laboratory test Internal Entry Number (IEN)</w:t>
            </w:r>
          </w:p>
          <w:p w14:paraId="526ED28E" w14:textId="77777777" w:rsidR="002A21AE" w:rsidRDefault="002A21AE">
            <w:pPr>
              <w:pStyle w:val="TableTextBullet1"/>
            </w:pPr>
            <w:r>
              <w:t>Specimen type</w:t>
            </w:r>
          </w:p>
        </w:tc>
      </w:tr>
      <w:tr w:rsidR="002A21AE" w14:paraId="06F1AA4C" w14:textId="77777777">
        <w:tc>
          <w:tcPr>
            <w:tcW w:w="3240" w:type="dxa"/>
          </w:tcPr>
          <w:p w14:paraId="431F1C1C" w14:textId="77777777" w:rsidR="002A21AE" w:rsidRDefault="002A21AE">
            <w:pPr>
              <w:pStyle w:val="TableTextNumbers"/>
            </w:pPr>
            <w:r>
              <w:t xml:space="preserve">Repeat Step 2 for each Transfusion Effectiveness Test to be defined, or click </w:t>
            </w:r>
            <w:r>
              <w:rPr>
                <w:b/>
              </w:rPr>
              <w:t>Cancel</w:t>
            </w:r>
            <w:r>
              <w:t xml:space="preserve"> to exit. </w:t>
            </w:r>
          </w:p>
        </w:tc>
        <w:tc>
          <w:tcPr>
            <w:tcW w:w="6120" w:type="dxa"/>
          </w:tcPr>
          <w:p w14:paraId="1B8636D1" w14:textId="77777777" w:rsidR="002A21AE" w:rsidRDefault="002A21AE">
            <w:pPr>
              <w:pStyle w:val="TableText"/>
            </w:pPr>
          </w:p>
        </w:tc>
      </w:tr>
      <w:tr w:rsidR="00E51B8B" w14:paraId="71DFB744" w14:textId="77777777">
        <w:tc>
          <w:tcPr>
            <w:tcW w:w="3240" w:type="dxa"/>
            <w:tcBorders>
              <w:top w:val="single" w:sz="4" w:space="0" w:color="auto"/>
              <w:left w:val="single" w:sz="4" w:space="0" w:color="auto"/>
              <w:bottom w:val="single" w:sz="4" w:space="0" w:color="auto"/>
              <w:right w:val="single" w:sz="4" w:space="0" w:color="auto"/>
            </w:tcBorders>
          </w:tcPr>
          <w:p w14:paraId="001EEC32" w14:textId="77777777" w:rsidR="00E51B8B" w:rsidRDefault="00E51B8B" w:rsidP="00E51B8B">
            <w:pPr>
              <w:pStyle w:val="TableTextNumbers"/>
            </w:pPr>
            <w:r>
              <w:t xml:space="preserve">Click </w:t>
            </w:r>
            <w:r w:rsidRPr="00E51B8B">
              <w:rPr>
                <w:b/>
              </w:rPr>
              <w:t>OK</w:t>
            </w:r>
            <w:r>
              <w:t xml:space="preserve"> to save</w:t>
            </w:r>
            <w:r w:rsidR="00F8353F">
              <w:t xml:space="preserve"> and </w:t>
            </w:r>
            <w:r w:rsidR="00F8353F" w:rsidRPr="00F8353F">
              <w:rPr>
                <w:b/>
              </w:rPr>
              <w:t>Yes</w:t>
            </w:r>
            <w:r w:rsidR="00F8353F">
              <w:t xml:space="preserve"> to confirm the save</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3D57F1B0" w14:textId="77777777" w:rsidR="00E51B8B" w:rsidRDefault="00E51B8B" w:rsidP="00EF41C4">
            <w:pPr>
              <w:pStyle w:val="TableTextBullet"/>
            </w:pPr>
            <w:r>
              <w:t>Updates the database, including the date and time and the technologist ID. Saves changes to previously defined tests for inclusion in an Audit Trail Report.</w:t>
            </w:r>
          </w:p>
        </w:tc>
      </w:tr>
    </w:tbl>
    <w:p w14:paraId="2E869B1F" w14:textId="035904D1" w:rsidR="005E5594" w:rsidRDefault="005E5594" w:rsidP="005E5594">
      <w:pPr>
        <w:pStyle w:val="Caption"/>
      </w:pPr>
      <w:bookmarkStart w:id="191" w:name="_Ref12647257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34</w:t>
      </w:r>
      <w:r w:rsidR="004E20BD">
        <w:rPr>
          <w:noProof/>
        </w:rPr>
        <w:fldChar w:fldCharType="end"/>
      </w:r>
      <w:bookmarkEnd w:id="191"/>
      <w:r>
        <w:t>: Transfusion Effectiveness Report Tests</w:t>
      </w:r>
    </w:p>
    <w:p w14:paraId="7CF9D1FE" w14:textId="77777777" w:rsidR="005E5594" w:rsidRDefault="00057948" w:rsidP="005E5594">
      <w:pPr>
        <w:pStyle w:val="BodyText"/>
      </w:pPr>
      <w:r>
        <w:rPr>
          <w:noProof/>
        </w:rPr>
        <w:drawing>
          <wp:inline distT="0" distB="0" distL="0" distR="0" wp14:anchorId="23606DA2" wp14:editId="4C07C908">
            <wp:extent cx="3454400" cy="2891155"/>
            <wp:effectExtent l="0" t="0" r="0" b="4445"/>
            <wp:docPr id="137" name="Picture 137" descr="Example of Transfusion Effectiveness Report Tes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Example of Transfusion Effectiveness Report Tests screen captu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54400" cy="2891155"/>
                    </a:xfrm>
                    <a:prstGeom prst="rect">
                      <a:avLst/>
                    </a:prstGeom>
                    <a:noFill/>
                    <a:ln>
                      <a:noFill/>
                    </a:ln>
                  </pic:spPr>
                </pic:pic>
              </a:graphicData>
            </a:graphic>
          </wp:inline>
        </w:drawing>
      </w:r>
    </w:p>
    <w:bookmarkEnd w:id="190"/>
    <w:p w14:paraId="16FA0665" w14:textId="77777777" w:rsidR="00D75EF6" w:rsidRDefault="00466CF2" w:rsidP="005E5594">
      <w:pPr>
        <w:pStyle w:val="Heading3"/>
      </w:pPr>
      <w:r>
        <w:br w:type="page"/>
      </w:r>
      <w:bookmarkStart w:id="192" w:name="_Toc149064108"/>
      <w:r w:rsidR="00D75EF6">
        <w:t>MSBOS</w:t>
      </w:r>
      <w:bookmarkEnd w:id="192"/>
      <w:r w:rsidR="00D75EF6">
        <w:fldChar w:fldCharType="begin"/>
      </w:r>
      <w:r w:rsidR="00D75EF6">
        <w:instrText xml:space="preserve"> XE “MSBOS” </w:instrText>
      </w:r>
      <w:r w:rsidR="00D75EF6">
        <w:fldChar w:fldCharType="end"/>
      </w:r>
      <w:r w:rsidR="00D75EF6">
        <w:t xml:space="preserve"> </w:t>
      </w:r>
      <w:r w:rsidR="00D75EF6">
        <w:rPr>
          <w:rFonts w:ascii="Times New Roman" w:hAnsi="Times New Roman" w:cs="Times New Roman"/>
          <w:vanish/>
          <w:sz w:val="22"/>
        </w:rPr>
        <w:t>UC_32</w:t>
      </w:r>
    </w:p>
    <w:p w14:paraId="10D413C1" w14:textId="77777777" w:rsidR="00D75EF6" w:rsidRDefault="00D75EF6" w:rsidP="00D75EF6">
      <w:pPr>
        <w:pStyle w:val="BodyText"/>
      </w:pPr>
      <w:r>
        <w:t xml:space="preserve">The user defines parameters for comparing blood component orders placed by a clinician with the Maximum Surgical Blood Ordering Schedule (MSBOS). </w:t>
      </w:r>
    </w:p>
    <w:p w14:paraId="33069C65" w14:textId="77777777" w:rsidR="00D75EF6" w:rsidRDefault="00D75EF6" w:rsidP="00D75EF6">
      <w:pPr>
        <w:pStyle w:val="Heading4"/>
      </w:pPr>
      <w:r>
        <w:t>Assumptions</w:t>
      </w:r>
    </w:p>
    <w:p w14:paraId="1FAA9AE5" w14:textId="77777777" w:rsidR="00D75EF6" w:rsidRDefault="00D75EF6" w:rsidP="00D75EF6">
      <w:pPr>
        <w:pStyle w:val="ListBullet"/>
      </w:pPr>
      <w:r>
        <w:t>A table of generic surgery names is available for MSBOS activation.</w:t>
      </w:r>
      <w:r>
        <w:rPr>
          <w:noProof/>
        </w:rPr>
        <w:t xml:space="preserve"> </w:t>
      </w:r>
    </w:p>
    <w:p w14:paraId="6F05129D" w14:textId="77777777" w:rsidR="00D75EF6" w:rsidRDefault="00D75EF6" w:rsidP="00D75EF6">
      <w:pPr>
        <w:pStyle w:val="Heading4"/>
      </w:pPr>
      <w:r>
        <w:t>Outcome</w:t>
      </w:r>
    </w:p>
    <w:p w14:paraId="30A7FF8E" w14:textId="77777777" w:rsidR="00D75EF6" w:rsidRDefault="00D75EF6" w:rsidP="00D75EF6">
      <w:pPr>
        <w:pStyle w:val="ListBullet"/>
      </w:pPr>
      <w:r>
        <w:t xml:space="preserve">CPRS users will see only active surgery names when placing a blood bank order. </w:t>
      </w:r>
    </w:p>
    <w:p w14:paraId="3803C16E" w14:textId="77777777" w:rsidR="00D75EF6" w:rsidRDefault="00D75EF6" w:rsidP="00D75EF6">
      <w:pPr>
        <w:pStyle w:val="ListBullet"/>
      </w:pPr>
      <w:r>
        <w:t xml:space="preserve">MSBOS will be available to VBECS users to evaluate the appropriateness of </w:t>
      </w:r>
      <w:r w:rsidR="00200425">
        <w:t xml:space="preserve">pre-op </w:t>
      </w:r>
      <w:r>
        <w:t>orders.</w:t>
      </w:r>
    </w:p>
    <w:p w14:paraId="03206072" w14:textId="77777777" w:rsidR="00D75EF6" w:rsidRDefault="00D75EF6" w:rsidP="00D75EF6">
      <w:pPr>
        <w:pStyle w:val="Heading4"/>
      </w:pPr>
      <w:r>
        <w:t>Limitations and Restrictions</w:t>
      </w:r>
    </w:p>
    <w:p w14:paraId="0C20B3D5" w14:textId="77777777" w:rsidR="00D75EF6" w:rsidRDefault="00D75EF6" w:rsidP="00D75EF6">
      <w:pPr>
        <w:pStyle w:val="ListBullet"/>
      </w:pPr>
      <w:r>
        <w:t>None</w:t>
      </w:r>
    </w:p>
    <w:p w14:paraId="5D9FB19F" w14:textId="77777777" w:rsidR="00D75EF6" w:rsidRDefault="00D75EF6" w:rsidP="00D75EF6">
      <w:pPr>
        <w:pStyle w:val="Heading4"/>
      </w:pPr>
      <w:r>
        <w:t>Additional Information</w:t>
      </w:r>
    </w:p>
    <w:p w14:paraId="526DF6EB" w14:textId="77777777" w:rsidR="00D75EF6" w:rsidRDefault="00D75EF6" w:rsidP="00D75EF6">
      <w:pPr>
        <w:pStyle w:val="ListBullet"/>
      </w:pPr>
      <w:r>
        <w:t>The maximum number of blood products serves as a guideline. Orders in excess of the MSBOS are not prohibited.</w:t>
      </w:r>
    </w:p>
    <w:p w14:paraId="5FA681F1" w14:textId="77777777" w:rsidR="00D75EF6" w:rsidRDefault="00D75EF6" w:rsidP="00D75EF6">
      <w:pPr>
        <w:pStyle w:val="ListBullet"/>
      </w:pPr>
      <w:r>
        <w:t>The VBECS user may view active and inactive surgery names.</w:t>
      </w:r>
    </w:p>
    <w:p w14:paraId="11D3DBF6" w14:textId="77777777" w:rsidR="00D75EF6" w:rsidRDefault="00D75EF6" w:rsidP="00D75EF6">
      <w:pPr>
        <w:pStyle w:val="Heading4"/>
      </w:pPr>
      <w:r>
        <w:t>User Roles with Access to This Option</w:t>
      </w:r>
    </w:p>
    <w:p w14:paraId="07AA24F1" w14:textId="77777777" w:rsidR="00D75EF6" w:rsidRDefault="00D75EF6" w:rsidP="00D75EF6">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2557EA59" w14:textId="77777777" w:rsidR="00D75EF6" w:rsidRDefault="00D75EF6" w:rsidP="00D75EF6">
      <w:pPr>
        <w:pStyle w:val="Heading4"/>
      </w:pPr>
      <w:r>
        <w:t>MSBOS</w:t>
      </w:r>
    </w:p>
    <w:p w14:paraId="38C62609" w14:textId="77777777" w:rsidR="00D75EF6" w:rsidRDefault="00D75EF6" w:rsidP="00D75EF6">
      <w:pPr>
        <w:pStyle w:val="BodyText"/>
      </w:pPr>
      <w:r>
        <w:t xml:space="preserve">The user selects a surgery name from the generic surgery list or creates a new surgery name, then defines the associated MSBOS recommendation. MSBOS is used when VBECS acknowledges orders from </w:t>
      </w:r>
      <w:r w:rsidRPr="00CA0045">
        <w:rPr>
          <w:bCs/>
        </w:rPr>
        <w:t>VistA</w:t>
      </w:r>
      <w:r>
        <w:t xml:space="preserve"> that are written for preoperative patients.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D75EF6" w14:paraId="1D37D59D" w14:textId="77777777">
        <w:trPr>
          <w:tblHeader/>
        </w:trPr>
        <w:tc>
          <w:tcPr>
            <w:tcW w:w="3240" w:type="dxa"/>
            <w:shd w:val="pct30" w:color="auto" w:fill="FFFFFF"/>
            <w:vAlign w:val="bottom"/>
          </w:tcPr>
          <w:p w14:paraId="24ADE89C" w14:textId="77777777" w:rsidR="00D75EF6" w:rsidRDefault="00D75EF6" w:rsidP="00DB1D38">
            <w:pPr>
              <w:pStyle w:val="TableText"/>
              <w:rPr>
                <w:b/>
              </w:rPr>
            </w:pPr>
            <w:r>
              <w:rPr>
                <w:b/>
              </w:rPr>
              <w:t>User Action</w:t>
            </w:r>
          </w:p>
        </w:tc>
        <w:tc>
          <w:tcPr>
            <w:tcW w:w="6120" w:type="dxa"/>
            <w:shd w:val="pct30" w:color="auto" w:fill="FFFFFF"/>
            <w:vAlign w:val="bottom"/>
          </w:tcPr>
          <w:p w14:paraId="3EC16B22" w14:textId="77777777" w:rsidR="00D75EF6" w:rsidRDefault="00D75EF6" w:rsidP="00DB1D38">
            <w:pPr>
              <w:pStyle w:val="TableText"/>
              <w:rPr>
                <w:b/>
              </w:rPr>
            </w:pPr>
            <w:r>
              <w:rPr>
                <w:b/>
              </w:rPr>
              <w:t>VBECS</w:t>
            </w:r>
          </w:p>
        </w:tc>
      </w:tr>
      <w:tr w:rsidR="00D75EF6" w14:paraId="36EF6B73" w14:textId="77777777">
        <w:tc>
          <w:tcPr>
            <w:tcW w:w="3240" w:type="dxa"/>
          </w:tcPr>
          <w:p w14:paraId="020AAED9" w14:textId="77777777" w:rsidR="00D75EF6" w:rsidRDefault="00D75EF6" w:rsidP="00DB1D38">
            <w:pPr>
              <w:pStyle w:val="TableTextNumbers"/>
            </w:pPr>
            <w:r>
              <w:t xml:space="preserve">Select </w:t>
            </w:r>
            <w:r>
              <w:rPr>
                <w:b/>
                <w:bCs/>
              </w:rPr>
              <w:t>Tools</w:t>
            </w:r>
            <w:r>
              <w:t xml:space="preserve"> from the main menu.</w:t>
            </w:r>
          </w:p>
          <w:p w14:paraId="6EE260E5" w14:textId="77777777" w:rsidR="00D75EF6" w:rsidRDefault="00D75EF6" w:rsidP="00DB1D38">
            <w:pPr>
              <w:pStyle w:val="TableTextNumbersContinued"/>
            </w:pPr>
          </w:p>
          <w:p w14:paraId="7DAC1585" w14:textId="77777777" w:rsidR="00D75EF6" w:rsidRDefault="00D75EF6" w:rsidP="00DB1D38">
            <w:pPr>
              <w:pStyle w:val="TableTextNumbersContinued"/>
            </w:pPr>
            <w:r>
              <w:t xml:space="preserve">Select </w:t>
            </w:r>
            <w:r>
              <w:rPr>
                <w:b/>
              </w:rPr>
              <w:t>MSBOS</w:t>
            </w:r>
            <w:r>
              <w:t>.</w:t>
            </w:r>
          </w:p>
        </w:tc>
        <w:tc>
          <w:tcPr>
            <w:tcW w:w="6120" w:type="dxa"/>
          </w:tcPr>
          <w:p w14:paraId="4DC2887A" w14:textId="77777777" w:rsidR="00D75EF6" w:rsidRDefault="00D75EF6" w:rsidP="00DB1D38">
            <w:pPr>
              <w:pStyle w:val="TableTextBullet"/>
            </w:pPr>
            <w:r>
              <w:t>Displays options for processing administrative functions.</w:t>
            </w:r>
          </w:p>
          <w:p w14:paraId="3AFA7F38" w14:textId="77777777" w:rsidR="00D75EF6" w:rsidRDefault="00D75EF6" w:rsidP="00DB1D38">
            <w:pPr>
              <w:pStyle w:val="TableTextBullet"/>
            </w:pPr>
            <w:r>
              <w:t xml:space="preserve">Displays the schedule and component recommendation options. </w:t>
            </w:r>
          </w:p>
        </w:tc>
      </w:tr>
      <w:tr w:rsidR="00D75EF6" w14:paraId="3A051B4E" w14:textId="77777777" w:rsidTr="007E500E">
        <w:trPr>
          <w:cantSplit/>
        </w:trPr>
        <w:tc>
          <w:tcPr>
            <w:tcW w:w="3240" w:type="dxa"/>
          </w:tcPr>
          <w:p w14:paraId="19F9E808" w14:textId="3ECAAC2D" w:rsidR="00D75EF6" w:rsidRDefault="00D75EF6" w:rsidP="00DB1D38">
            <w:pPr>
              <w:pStyle w:val="TableTextNumbers"/>
            </w:pPr>
            <w:r>
              <w:t xml:space="preserve">To activate an existing surgery name, click the </w:t>
            </w:r>
            <w:r>
              <w:rPr>
                <w:b/>
                <w:bCs/>
              </w:rPr>
              <w:t xml:space="preserve">Show Inactive MSBOS entries </w:t>
            </w:r>
            <w:r w:rsidRPr="00D1100E">
              <w:rPr>
                <w:bCs/>
              </w:rPr>
              <w:t>check box</w:t>
            </w:r>
            <w:r w:rsidR="00070D1C">
              <w:rPr>
                <w:bCs/>
              </w:rPr>
              <w:t xml:space="preserve"> (</w:t>
            </w:r>
            <w:r w:rsidR="00EE455E">
              <w:t xml:space="preserve">Figure </w:t>
            </w:r>
            <w:r w:rsidR="00EE455E">
              <w:rPr>
                <w:noProof/>
              </w:rPr>
              <w:t>35</w:t>
            </w:r>
            <w:r w:rsidR="00070D1C">
              <w:rPr>
                <w:bCs/>
              </w:rPr>
              <w:t>)</w:t>
            </w:r>
            <w:r>
              <w:t>.</w:t>
            </w:r>
          </w:p>
          <w:p w14:paraId="234738CD" w14:textId="77777777" w:rsidR="00D75EF6" w:rsidRDefault="00D75EF6" w:rsidP="00DB1D38">
            <w:pPr>
              <w:pStyle w:val="TableTextNumbersContinued"/>
            </w:pPr>
          </w:p>
          <w:p w14:paraId="7E5AC54B" w14:textId="77777777" w:rsidR="00D75EF6" w:rsidRDefault="00D75EF6" w:rsidP="00DB1D38">
            <w:pPr>
              <w:pStyle w:val="TableTextNumbersContinued"/>
            </w:pPr>
            <w:r>
              <w:t>Select a surgery name.</w:t>
            </w:r>
          </w:p>
          <w:p w14:paraId="7B4FD09E" w14:textId="77777777" w:rsidR="00D75EF6" w:rsidRDefault="00D75EF6" w:rsidP="00DB1D38">
            <w:pPr>
              <w:pStyle w:val="TableTextNumbersContinued"/>
            </w:pPr>
          </w:p>
          <w:p w14:paraId="40033FB3" w14:textId="77777777" w:rsidR="00D75EF6" w:rsidRDefault="00D75EF6" w:rsidP="00DB1D38">
            <w:pPr>
              <w:pStyle w:val="TableTextNumbersContinued"/>
            </w:pPr>
            <w:r>
              <w:t xml:space="preserve">Click the </w:t>
            </w:r>
            <w:r>
              <w:rPr>
                <w:b/>
                <w:bCs/>
              </w:rPr>
              <w:t xml:space="preserve">Active MSBOS Entry? </w:t>
            </w:r>
            <w:r w:rsidRPr="00D1100E">
              <w:rPr>
                <w:bCs/>
              </w:rPr>
              <w:t>check box</w:t>
            </w:r>
            <w:r>
              <w:t>, or</w:t>
            </w:r>
          </w:p>
          <w:p w14:paraId="57AF8B12" w14:textId="77777777" w:rsidR="00D75EF6" w:rsidRDefault="00D75EF6" w:rsidP="00DB1D38">
            <w:pPr>
              <w:pStyle w:val="TableTextNumbersContinued"/>
            </w:pPr>
          </w:p>
          <w:p w14:paraId="0477119A" w14:textId="77777777" w:rsidR="00D75EF6" w:rsidRDefault="00D75EF6" w:rsidP="00DB1D38">
            <w:pPr>
              <w:pStyle w:val="TableTextNumbersContinued"/>
            </w:pPr>
            <w:r>
              <w:t xml:space="preserve">To add and activate a surgery name, click </w:t>
            </w:r>
            <w:r>
              <w:rPr>
                <w:b/>
                <w:bCs/>
              </w:rPr>
              <w:t xml:space="preserve">New Surgery </w:t>
            </w:r>
            <w:r>
              <w:t xml:space="preserve">and enter a surgery name in the Surgery Name field. Click </w:t>
            </w:r>
            <w:r>
              <w:rPr>
                <w:b/>
                <w:bCs/>
              </w:rPr>
              <w:t>Add</w:t>
            </w:r>
            <w:r>
              <w:t xml:space="preserve">, or </w:t>
            </w:r>
          </w:p>
          <w:p w14:paraId="66EAEF2D" w14:textId="77777777" w:rsidR="00D75EF6" w:rsidRDefault="00D75EF6" w:rsidP="00DB1D38">
            <w:pPr>
              <w:pStyle w:val="TableTextNumbersContinued"/>
            </w:pPr>
          </w:p>
          <w:p w14:paraId="5DE66DF5" w14:textId="77777777" w:rsidR="00D75EF6" w:rsidRDefault="00D75EF6" w:rsidP="00DB1D38">
            <w:pPr>
              <w:pStyle w:val="TableTextNumbersContinued"/>
            </w:pPr>
            <w:r>
              <w:t xml:space="preserve">To edit and/or inactivate an existing surgery name, click the appropriate options in the MSBOS Component Recommendation area of the screen edit. Click </w:t>
            </w:r>
            <w:r>
              <w:rPr>
                <w:b/>
                <w:bCs/>
              </w:rPr>
              <w:t>Update</w:t>
            </w:r>
            <w:r>
              <w:t>.</w:t>
            </w:r>
          </w:p>
        </w:tc>
        <w:tc>
          <w:tcPr>
            <w:tcW w:w="6120" w:type="dxa"/>
          </w:tcPr>
          <w:p w14:paraId="6C153D52" w14:textId="77777777" w:rsidR="00D75EF6" w:rsidRDefault="00D75EF6" w:rsidP="00DB1D38">
            <w:pPr>
              <w:pStyle w:val="TableTextBullet"/>
            </w:pPr>
            <w:r>
              <w:t>Lists active surgery names or allows the user to create an entry.</w:t>
            </w:r>
          </w:p>
          <w:p w14:paraId="05DE7385" w14:textId="77777777" w:rsidR="00D75EF6" w:rsidRDefault="00D75EF6" w:rsidP="00DB1D38">
            <w:pPr>
              <w:pStyle w:val="TableTextBullet"/>
            </w:pPr>
            <w:r>
              <w:t>Activate, add, or edit a MSBOS entry and its associated data.</w:t>
            </w:r>
          </w:p>
          <w:p w14:paraId="42026B31" w14:textId="77777777" w:rsidR="00D75EF6" w:rsidRDefault="00D75EF6" w:rsidP="00DB1D38">
            <w:pPr>
              <w:pStyle w:val="TableTextBullet"/>
            </w:pPr>
            <w:r>
              <w:t>Displays surgery names available for activation.</w:t>
            </w:r>
          </w:p>
          <w:p w14:paraId="71D70147" w14:textId="77777777" w:rsidR="00D75EF6" w:rsidRDefault="00D75EF6" w:rsidP="00DB1D38">
            <w:pPr>
              <w:pStyle w:val="TableTextBullet"/>
            </w:pPr>
            <w:r>
              <w:t>Displays entries for review and acceptance.</w:t>
            </w:r>
          </w:p>
          <w:p w14:paraId="6058EFC3" w14:textId="77777777" w:rsidR="00D75EF6" w:rsidRDefault="00D75EF6" w:rsidP="00DB1D38">
            <w:pPr>
              <w:pStyle w:val="TableText"/>
            </w:pPr>
          </w:p>
          <w:p w14:paraId="4EF2E621" w14:textId="79552DBC" w:rsidR="00D75EF6" w:rsidRDefault="00D75EF6" w:rsidP="00DB1D38">
            <w:pPr>
              <w:pStyle w:val="TableText"/>
              <w:rPr>
                <w:b/>
                <w:bCs/>
                <w:szCs w:val="18"/>
              </w:rPr>
            </w:pPr>
            <w:r>
              <w:rPr>
                <w:b/>
                <w:bCs/>
                <w:szCs w:val="18"/>
              </w:rPr>
              <w:t>NOTES</w:t>
            </w:r>
          </w:p>
          <w:p w14:paraId="5773551B" w14:textId="77777777" w:rsidR="00D75EF6" w:rsidRDefault="00D75EF6" w:rsidP="00DB1D38">
            <w:pPr>
              <w:pStyle w:val="NotesText"/>
            </w:pPr>
          </w:p>
          <w:p w14:paraId="7E94D3D5" w14:textId="77777777" w:rsidR="00D75EF6" w:rsidRDefault="00D75EF6" w:rsidP="00DB1D38">
            <w:pPr>
              <w:pStyle w:val="NotesText"/>
            </w:pPr>
            <w:r w:rsidRPr="009660C3">
              <w:rPr>
                <w:vanish/>
                <w:szCs w:val="18"/>
              </w:rPr>
              <w:t xml:space="preserve">BR_32.01 </w:t>
            </w:r>
            <w:r>
              <w:t>MSBOS is specific to the division.</w:t>
            </w:r>
          </w:p>
          <w:p w14:paraId="2E8F8937" w14:textId="77777777" w:rsidR="00D75EF6" w:rsidRDefault="00D75EF6" w:rsidP="00DB1D38">
            <w:pPr>
              <w:pStyle w:val="NotesText"/>
            </w:pPr>
          </w:p>
          <w:p w14:paraId="538FE01E" w14:textId="59E51744" w:rsidR="00D75EF6" w:rsidRDefault="00D75EF6" w:rsidP="00DB1D38">
            <w:pPr>
              <w:pStyle w:val="NotesText"/>
            </w:pPr>
            <w:r>
              <w:t xml:space="preserve">See </w:t>
            </w:r>
            <w:r w:rsidR="00EE455E">
              <w:t xml:space="preserve">Appendix </w:t>
            </w:r>
            <w:r w:rsidR="00EE455E">
              <w:rPr>
                <w:noProof/>
              </w:rPr>
              <w:t>B</w:t>
            </w:r>
            <w:r w:rsidR="00DB529D">
              <w:t xml:space="preserve">: </w:t>
            </w:r>
            <w:r w:rsidR="00EE455E">
              <w:t xml:space="preserve">Table </w:t>
            </w:r>
            <w:r w:rsidR="00EE455E">
              <w:rPr>
                <w:noProof/>
              </w:rPr>
              <w:t>23</w:t>
            </w:r>
            <w:r w:rsidR="00EE455E">
              <w:t xml:space="preserve">: </w:t>
            </w:r>
            <w:r w:rsidR="00EE455E">
              <w:rPr>
                <w:vanish/>
              </w:rPr>
              <w:t>PT_32.01</w:t>
            </w:r>
            <w:r w:rsidR="00EE455E">
              <w:rPr>
                <w:vanish/>
                <w:sz w:val="16"/>
              </w:rPr>
              <w:t xml:space="preserve"> </w:t>
            </w:r>
            <w:r w:rsidR="00EE455E">
              <w:t>VBECS Maximum Surgical Blood Order Schedule (MSBOS)</w:t>
            </w:r>
            <w:r>
              <w:t>.</w:t>
            </w:r>
          </w:p>
          <w:p w14:paraId="5195B045" w14:textId="77777777" w:rsidR="00D75EF6" w:rsidRDefault="00D75EF6" w:rsidP="00DB1D38">
            <w:pPr>
              <w:pStyle w:val="NotesText"/>
            </w:pPr>
          </w:p>
          <w:p w14:paraId="76982AF1" w14:textId="77777777" w:rsidR="00D75EF6" w:rsidRDefault="00D75EF6" w:rsidP="00DB1D38">
            <w:pPr>
              <w:pStyle w:val="NotesText"/>
            </w:pPr>
            <w:r w:rsidRPr="009660C3">
              <w:rPr>
                <w:vanish/>
                <w:szCs w:val="18"/>
              </w:rPr>
              <w:t xml:space="preserve">BR_32.04 </w:t>
            </w:r>
            <w:r>
              <w:t>Each surgery name has a Type &amp; Screen (TAS) (no blood order recommended) or one or more component classes defined as recommended orders.</w:t>
            </w:r>
          </w:p>
          <w:p w14:paraId="46B464A0" w14:textId="77777777" w:rsidR="00D75EF6" w:rsidRDefault="00D75EF6" w:rsidP="00DB1D38">
            <w:pPr>
              <w:pStyle w:val="NotesText"/>
            </w:pPr>
          </w:p>
          <w:p w14:paraId="11851862" w14:textId="77777777" w:rsidR="00D75EF6" w:rsidRDefault="00D75EF6" w:rsidP="00DB1D38">
            <w:pPr>
              <w:pStyle w:val="NotesText"/>
            </w:pPr>
            <w:r w:rsidRPr="009660C3">
              <w:rPr>
                <w:vanish/>
                <w:szCs w:val="18"/>
              </w:rPr>
              <w:t>BR_32.02</w:t>
            </w:r>
            <w:r w:rsidR="009660C3" w:rsidRPr="009660C3">
              <w:rPr>
                <w:vanish/>
                <w:szCs w:val="18"/>
              </w:rPr>
              <w:t>,</w:t>
            </w:r>
            <w:r w:rsidRPr="009660C3">
              <w:rPr>
                <w:vanish/>
                <w:szCs w:val="18"/>
              </w:rPr>
              <w:t xml:space="preserve"> BR_32.03 </w:t>
            </w:r>
            <w:r>
              <w:t>The user may select one or more component classes for MSBOS recommendation. Each defined component class must have an associated maximum number recommended. The user may inactivate previously activated component classes for an MSBOS recommendation. The OTHER component class is not available for selection.</w:t>
            </w:r>
          </w:p>
        </w:tc>
      </w:tr>
      <w:tr w:rsidR="00D75EF6" w14:paraId="476AC749" w14:textId="77777777">
        <w:tc>
          <w:tcPr>
            <w:tcW w:w="3240" w:type="dxa"/>
          </w:tcPr>
          <w:p w14:paraId="70F53F8C" w14:textId="77777777" w:rsidR="00D75EF6" w:rsidRDefault="00D75EF6" w:rsidP="00DB1D38">
            <w:pPr>
              <w:pStyle w:val="TableTextNumbers"/>
            </w:pPr>
            <w:r>
              <w:t>Repeat Step 2 until all new entries are created or existing entries are edited.</w:t>
            </w:r>
          </w:p>
          <w:p w14:paraId="0B93D141" w14:textId="77777777" w:rsidR="00D75EF6" w:rsidRDefault="00D75EF6" w:rsidP="00DB1D38">
            <w:pPr>
              <w:pStyle w:val="TableTextNumbersContinued"/>
            </w:pPr>
          </w:p>
          <w:p w14:paraId="40CF5399" w14:textId="77777777" w:rsidR="00D75EF6" w:rsidRDefault="00D75EF6" w:rsidP="00DB1D38">
            <w:pPr>
              <w:pStyle w:val="TableTextNumbersContinued"/>
            </w:pPr>
            <w:r>
              <w:t xml:space="preserve">Click </w:t>
            </w:r>
            <w:r>
              <w:rPr>
                <w:b/>
              </w:rPr>
              <w:t>OK</w:t>
            </w:r>
            <w:r>
              <w:t xml:space="preserve"> to save the updated data.</w:t>
            </w:r>
          </w:p>
        </w:tc>
        <w:tc>
          <w:tcPr>
            <w:tcW w:w="6120" w:type="dxa"/>
          </w:tcPr>
          <w:p w14:paraId="6CC6FC21" w14:textId="77777777" w:rsidR="00D75EF6" w:rsidRDefault="00D75EF6" w:rsidP="00DB1D38">
            <w:pPr>
              <w:pStyle w:val="TableText"/>
              <w:rPr>
                <w:b/>
                <w:bCs/>
                <w:szCs w:val="18"/>
              </w:rPr>
            </w:pPr>
          </w:p>
          <w:p w14:paraId="28C37F3E" w14:textId="53C88B7E" w:rsidR="00D75EF6" w:rsidRDefault="00D75EF6" w:rsidP="00DB1D38">
            <w:pPr>
              <w:pStyle w:val="TableText"/>
              <w:rPr>
                <w:b/>
                <w:bCs/>
                <w:szCs w:val="18"/>
              </w:rPr>
            </w:pPr>
            <w:r>
              <w:rPr>
                <w:b/>
                <w:bCs/>
                <w:szCs w:val="18"/>
              </w:rPr>
              <w:t>NOTES</w:t>
            </w:r>
          </w:p>
          <w:p w14:paraId="6EF52DBC" w14:textId="77777777" w:rsidR="00D75EF6" w:rsidRDefault="00D75EF6" w:rsidP="00DB1D38">
            <w:pPr>
              <w:pStyle w:val="NotesText"/>
            </w:pPr>
          </w:p>
          <w:p w14:paraId="4EE878B0" w14:textId="77777777" w:rsidR="00D75EF6" w:rsidRDefault="00D75EF6" w:rsidP="00DB1D38">
            <w:pPr>
              <w:pStyle w:val="NotesText"/>
            </w:pPr>
            <w:r>
              <w:t xml:space="preserve">VBECS does not save changes to the database when the user clicks </w:t>
            </w:r>
            <w:r>
              <w:rPr>
                <w:b/>
                <w:bCs/>
              </w:rPr>
              <w:t>Cancel</w:t>
            </w:r>
            <w:r>
              <w:t xml:space="preserve"> without clicking </w:t>
            </w:r>
            <w:r>
              <w:rPr>
                <w:b/>
                <w:bCs/>
              </w:rPr>
              <w:t>OK</w:t>
            </w:r>
            <w:r>
              <w:t>.</w:t>
            </w:r>
          </w:p>
        </w:tc>
      </w:tr>
      <w:tr w:rsidR="00D75EF6" w14:paraId="1C6FF01A" w14:textId="77777777">
        <w:tc>
          <w:tcPr>
            <w:tcW w:w="3240" w:type="dxa"/>
          </w:tcPr>
          <w:p w14:paraId="666C2312" w14:textId="77777777" w:rsidR="00D75EF6" w:rsidRDefault="00D75EF6" w:rsidP="00DB1D38">
            <w:pPr>
              <w:pStyle w:val="TableTextNumbers"/>
            </w:pPr>
            <w:r>
              <w:t xml:space="preserve">Click </w:t>
            </w:r>
            <w:r>
              <w:rPr>
                <w:b/>
              </w:rPr>
              <w:t>Cancel</w:t>
            </w:r>
            <w:r>
              <w:rPr>
                <w:bCs/>
              </w:rPr>
              <w:t xml:space="preserve"> to exit</w:t>
            </w:r>
            <w: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5D8A446D" w14:textId="77777777" w:rsidR="00D75EF6" w:rsidRDefault="00D75EF6" w:rsidP="00DB1D38">
            <w:pPr>
              <w:pStyle w:val="TableText"/>
            </w:pPr>
          </w:p>
        </w:tc>
      </w:tr>
    </w:tbl>
    <w:p w14:paraId="0D5ADB82" w14:textId="01D24CEC" w:rsidR="00070D1C" w:rsidRDefault="00070D1C" w:rsidP="00070D1C">
      <w:pPr>
        <w:pStyle w:val="Caption"/>
      </w:pPr>
      <w:bookmarkStart w:id="193" w:name="_Ref12647286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35</w:t>
      </w:r>
      <w:r w:rsidR="004E20BD">
        <w:rPr>
          <w:noProof/>
        </w:rPr>
        <w:fldChar w:fldCharType="end"/>
      </w:r>
      <w:bookmarkEnd w:id="193"/>
      <w:r>
        <w:t>: Maintain MSBOS</w:t>
      </w:r>
    </w:p>
    <w:p w14:paraId="71A3B755" w14:textId="77777777" w:rsidR="00D75EF6" w:rsidRDefault="00057948" w:rsidP="00070D1C">
      <w:pPr>
        <w:pStyle w:val="BodyText"/>
      </w:pPr>
      <w:r>
        <w:rPr>
          <w:noProof/>
        </w:rPr>
        <w:drawing>
          <wp:inline distT="0" distB="0" distL="0" distR="0" wp14:anchorId="1027D1CB" wp14:editId="5F2EA27E">
            <wp:extent cx="3546475" cy="2936875"/>
            <wp:effectExtent l="0" t="0" r="0" b="0"/>
            <wp:docPr id="138" name="Picture 138" descr="Example of Maintain MSBO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Example of Maintain MSBOS screen captur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46475" cy="2936875"/>
                    </a:xfrm>
                    <a:prstGeom prst="rect">
                      <a:avLst/>
                    </a:prstGeom>
                    <a:noFill/>
                    <a:ln>
                      <a:noFill/>
                    </a:ln>
                  </pic:spPr>
                </pic:pic>
              </a:graphicData>
            </a:graphic>
          </wp:inline>
        </w:drawing>
      </w:r>
    </w:p>
    <w:p w14:paraId="30BD1F0E" w14:textId="77777777" w:rsidR="002A21AE" w:rsidRDefault="00466CF2" w:rsidP="00D75EF6">
      <w:pPr>
        <w:pStyle w:val="Heading3"/>
      </w:pPr>
      <w:r>
        <w:br w:type="page"/>
      </w:r>
      <w:bookmarkStart w:id="194" w:name="_Toc149064109"/>
      <w:r w:rsidR="002A21AE">
        <w:t>Workload Codes</w:t>
      </w:r>
      <w:bookmarkEnd w:id="194"/>
      <w:r w:rsidR="002A21AE">
        <w:fldChar w:fldCharType="begin"/>
      </w:r>
      <w:r w:rsidR="002A21AE">
        <w:instrText xml:space="preserve"> XE </w:instrText>
      </w:r>
      <w:r w:rsidR="00FA7E65">
        <w:instrText>“</w:instrText>
      </w:r>
      <w:r w:rsidR="002A21AE">
        <w:instrText>Workload Codes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UC_29</w:t>
      </w:r>
    </w:p>
    <w:p w14:paraId="625D3A92" w14:textId="2E680492" w:rsidR="009D7052" w:rsidRDefault="009D7052" w:rsidP="009D7052">
      <w:pPr>
        <w:pStyle w:val="BodyText"/>
      </w:pPr>
      <w:r>
        <w:t xml:space="preserve">The user assigns workload Laboratory Management Index Program/National Laboratory Test (LMIP/NLT) tests to processes performed through VBECS. VBECS test names are associated with </w:t>
      </w:r>
      <w:r w:rsidRPr="00CA0045">
        <w:rPr>
          <w:bCs/>
        </w:rPr>
        <w:t>VistA</w:t>
      </w:r>
      <w:r>
        <w:t xml:space="preserve"> workload codes, which VBECS uses when compiling and storing data to provide workload-related reports to </w:t>
      </w:r>
      <w:r w:rsidRPr="00CA0045">
        <w:rPr>
          <w:bCs/>
        </w:rPr>
        <w:t>VistA</w:t>
      </w:r>
      <w:r>
        <w:t>.</w:t>
      </w:r>
      <w:r w:rsidR="001414E9">
        <w:t xml:space="preserve"> See FAQ </w:t>
      </w:r>
      <w:r w:rsidR="002F7CC9">
        <w:t xml:space="preserve">Workload Assignments </w:t>
      </w:r>
      <w:r w:rsidR="001414E9">
        <w:t>Single vs Batch Processing.</w:t>
      </w:r>
      <w:r w:rsidR="00E90A01">
        <w:t xml:space="preserve"> For additional information, see </w:t>
      </w:r>
      <w:r w:rsidR="00EE455E">
        <w:t xml:space="preserve">Appendix </w:t>
      </w:r>
      <w:r w:rsidR="00EE455E">
        <w:rPr>
          <w:noProof/>
        </w:rPr>
        <w:t>G</w:t>
      </w:r>
      <w:r w:rsidR="00EE455E">
        <w:t>: Work Process Flowcharts</w:t>
      </w:r>
      <w:r w:rsidR="00E90A01">
        <w:t>.</w:t>
      </w:r>
    </w:p>
    <w:p w14:paraId="2D9CCEC1" w14:textId="77777777" w:rsidR="002A21AE" w:rsidRDefault="002A21AE">
      <w:pPr>
        <w:pStyle w:val="Heading4"/>
      </w:pPr>
      <w:r>
        <w:t>Assumptions</w:t>
      </w:r>
    </w:p>
    <w:p w14:paraId="73B4822D" w14:textId="77777777" w:rsidR="002A21AE" w:rsidRDefault="002A21AE">
      <w:pPr>
        <w:pStyle w:val="ListBullet"/>
      </w:pPr>
      <w:r>
        <w:t xml:space="preserve">The </w:t>
      </w:r>
      <w:r w:rsidR="00CA0045" w:rsidRPr="00CA0045">
        <w:rPr>
          <w:bCs/>
        </w:rPr>
        <w:t>VistA</w:t>
      </w:r>
      <w:r>
        <w:t xml:space="preserve"> database was updated to include all required workload codes for the VBECS process.</w:t>
      </w:r>
    </w:p>
    <w:p w14:paraId="6EF2DDCC" w14:textId="77777777" w:rsidR="002A21AE" w:rsidRDefault="002A21AE">
      <w:pPr>
        <w:pStyle w:val="ListBullet"/>
      </w:pPr>
      <w:r>
        <w:t xml:space="preserve">The </w:t>
      </w:r>
      <w:r w:rsidR="00CA0045" w:rsidRPr="00CA0045">
        <w:rPr>
          <w:bCs/>
        </w:rPr>
        <w:t>VistA</w:t>
      </w:r>
      <w:r>
        <w:t xml:space="preserve"> database was updated to associate CPT codes and costs with the workload codes to be used by VBECS.</w:t>
      </w:r>
    </w:p>
    <w:p w14:paraId="7633D936" w14:textId="77777777" w:rsidR="002A21AE" w:rsidRDefault="002A21AE">
      <w:pPr>
        <w:pStyle w:val="ListBullet"/>
      </w:pPr>
      <w:r>
        <w:t xml:space="preserve">The connection to </w:t>
      </w:r>
      <w:r w:rsidR="00CA0045" w:rsidRPr="00CA0045">
        <w:rPr>
          <w:bCs/>
        </w:rPr>
        <w:t>VistA</w:t>
      </w:r>
      <w:r>
        <w:t xml:space="preserve"> is active.</w:t>
      </w:r>
    </w:p>
    <w:p w14:paraId="3E20E16E" w14:textId="77777777" w:rsidR="002A21AE" w:rsidRDefault="002A21AE">
      <w:pPr>
        <w:pStyle w:val="Heading4"/>
      </w:pPr>
      <w:r>
        <w:t>Outcome</w:t>
      </w:r>
    </w:p>
    <w:p w14:paraId="0E7519B2" w14:textId="77777777" w:rsidR="002A21AE" w:rsidRDefault="002A21AE">
      <w:pPr>
        <w:pStyle w:val="ListBullet"/>
      </w:pPr>
      <w:r>
        <w:t xml:space="preserve">Data are available to the </w:t>
      </w:r>
      <w:r w:rsidR="00CA0045" w:rsidRPr="00CA0045">
        <w:rPr>
          <w:bCs/>
        </w:rPr>
        <w:t>VistA</w:t>
      </w:r>
      <w:r>
        <w:t xml:space="preserve"> workload package.</w:t>
      </w:r>
    </w:p>
    <w:p w14:paraId="3D67883F" w14:textId="77777777" w:rsidR="002A21AE" w:rsidRDefault="002A21AE">
      <w:pPr>
        <w:pStyle w:val="Heading4"/>
      </w:pPr>
      <w:r>
        <w:t>Limitations and Restrictions</w:t>
      </w:r>
    </w:p>
    <w:p w14:paraId="47E2B6C6" w14:textId="77777777" w:rsidR="002A21AE" w:rsidRDefault="001016A5">
      <w:pPr>
        <w:pStyle w:val="ListBullet"/>
      </w:pPr>
      <w:r>
        <w:t>Transfusion-only sites must not map workload codes to processes</w:t>
      </w:r>
      <w:r w:rsidR="009D4700">
        <w:t xml:space="preserve">, such as ABO/Rh testing, </w:t>
      </w:r>
      <w:r>
        <w:t>not performed on site.</w:t>
      </w:r>
    </w:p>
    <w:p w14:paraId="5F8A9442" w14:textId="5C992680" w:rsidR="0024008D" w:rsidRDefault="0024008D">
      <w:pPr>
        <w:pStyle w:val="ListBullet"/>
      </w:pPr>
      <w:r>
        <w:t xml:space="preserve">Retrieved </w:t>
      </w:r>
      <w:r w:rsidR="00D34F22">
        <w:t xml:space="preserve">LMIP/NLT </w:t>
      </w:r>
      <w:r>
        <w:t>codes from VistA may have multiple CPT codes. Inactivating any of the associated CPT codes in VBECS will inactivate the LMIP</w:t>
      </w:r>
      <w:r w:rsidR="00D34F22">
        <w:t>/NLT</w:t>
      </w:r>
      <w:r>
        <w:t xml:space="preserve"> code. Editing of the LMIP/NLT code associations </w:t>
      </w:r>
      <w:r w:rsidR="00D34F22">
        <w:t xml:space="preserve">must be done in </w:t>
      </w:r>
      <w:r w:rsidR="00D34F22" w:rsidRPr="00D34F22">
        <w:t>VistA</w:t>
      </w:r>
      <w:r w:rsidR="00D34F22">
        <w:t>.</w:t>
      </w:r>
      <w:r w:rsidR="00395ABB">
        <w:rPr>
          <w:vanish/>
        </w:rPr>
        <w:t xml:space="preserve"> DR 3090</w:t>
      </w:r>
      <w:r w:rsidR="00377878">
        <w:t xml:space="preserve"> </w:t>
      </w:r>
      <w:r w:rsidR="00377878" w:rsidRPr="00377878">
        <w:rPr>
          <w:vanish/>
        </w:rPr>
        <w:t>Defect 209370</w:t>
      </w:r>
    </w:p>
    <w:p w14:paraId="7A66F236" w14:textId="5687C1D7" w:rsidR="002C4355" w:rsidRDefault="002C4355">
      <w:pPr>
        <w:pStyle w:val="ListBullet"/>
      </w:pPr>
      <w:r>
        <w:t xml:space="preserve">Invalidating split units will result in extra workload equal to the number of splits created applied to the total number of units logged in. This occurs when split units are incorrectly processed in VBECS. </w:t>
      </w:r>
      <w:r w:rsidRPr="002C4355">
        <w:rPr>
          <w:vanish/>
        </w:rPr>
        <w:t>Defect 209156</w:t>
      </w:r>
    </w:p>
    <w:p w14:paraId="62668902" w14:textId="77777777" w:rsidR="002A21AE" w:rsidRDefault="002A21AE">
      <w:pPr>
        <w:pStyle w:val="Heading4"/>
      </w:pPr>
      <w:r>
        <w:t>Additional Information</w:t>
      </w:r>
    </w:p>
    <w:p w14:paraId="12A2F42F" w14:textId="77777777" w:rsidR="002A21AE" w:rsidRDefault="002A21AE">
      <w:pPr>
        <w:pStyle w:val="ListBullet"/>
      </w:pPr>
      <w:r>
        <w:t xml:space="preserve">VistALink is required to query </w:t>
      </w:r>
      <w:r w:rsidR="00CA0045" w:rsidRPr="00CA0045">
        <w:rPr>
          <w:bCs/>
        </w:rPr>
        <w:t>VistA</w:t>
      </w:r>
      <w:r>
        <w:t xml:space="preserve"> files 64 (NLT/LMIP) and 81 (CPT) for appropriate entries.</w:t>
      </w:r>
    </w:p>
    <w:p w14:paraId="107E7C7A" w14:textId="77777777" w:rsidR="001B4207" w:rsidRDefault="003605E3" w:rsidP="001B4207">
      <w:pPr>
        <w:pStyle w:val="ListBullet"/>
      </w:pPr>
      <w:r>
        <w:t>The division provides CPT codes and costs associated with the workload codes when they need updating.</w:t>
      </w:r>
    </w:p>
    <w:p w14:paraId="5F7A2025" w14:textId="77777777" w:rsidR="003605E3" w:rsidRDefault="001B4207" w:rsidP="001B4207">
      <w:pPr>
        <w:pStyle w:val="ListBullet"/>
      </w:pPr>
      <w:r w:rsidRPr="001B4207">
        <w:t>Each</w:t>
      </w:r>
      <w:r>
        <w:t xml:space="preserve"> site is responsible for notifying users when incorrect CPT codes are used.</w:t>
      </w:r>
    </w:p>
    <w:p w14:paraId="6B3024BF" w14:textId="77777777" w:rsidR="00B32F1A" w:rsidRDefault="00B32F1A" w:rsidP="00B32F1A">
      <w:pPr>
        <w:pStyle w:val="ListBullet"/>
      </w:pPr>
      <w:r w:rsidRPr="009F086D">
        <w:rPr>
          <w:vanish/>
        </w:rPr>
        <w:t xml:space="preserve">BR_15.09 </w:t>
      </w:r>
      <w:r>
        <w:t xml:space="preserve">Workload events are placed in a queue for transmission via </w:t>
      </w:r>
      <w:r w:rsidR="00922AD8">
        <w:t>VistALink</w:t>
      </w:r>
      <w:r>
        <w:t>.</w:t>
      </w:r>
    </w:p>
    <w:p w14:paraId="30FEB683" w14:textId="77777777" w:rsidR="002A21AE" w:rsidRDefault="002A21AE">
      <w:pPr>
        <w:pStyle w:val="Heading4"/>
      </w:pPr>
      <w:r>
        <w:t>User Roles with Access to This Option</w:t>
      </w:r>
    </w:p>
    <w:p w14:paraId="36AC94A2" w14:textId="77777777" w:rsidR="002A21AE" w:rsidRDefault="00230841">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15CEEAEA" w14:textId="77777777" w:rsidR="002A21AE" w:rsidRDefault="002A21AE">
      <w:pPr>
        <w:pStyle w:val="Heading4"/>
      </w:pPr>
      <w:r>
        <w:t>Workload Codes</w:t>
      </w:r>
    </w:p>
    <w:p w14:paraId="3E16C13D" w14:textId="77777777" w:rsidR="002A21AE" w:rsidRDefault="002A21AE" w:rsidP="00FA7E65">
      <w:pPr>
        <w:pStyle w:val="BodyText"/>
      </w:pPr>
      <w:r>
        <w:t xml:space="preserve">As part of record-keeping activity, VBECS allows the user to account for workload units associated with each activity and to assign costs incurred by the blood bank due to these activities. Data gathered because of this workload collection are available to </w:t>
      </w:r>
      <w:r w:rsidR="00CA0045" w:rsidRPr="00CA0045">
        <w:rPr>
          <w:bCs/>
        </w:rPr>
        <w:t>VistA</w:t>
      </w:r>
      <w:r>
        <w:t>, as needed, for various reports.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9060DD4" w14:textId="77777777">
        <w:trPr>
          <w:tblHeader/>
        </w:trPr>
        <w:tc>
          <w:tcPr>
            <w:tcW w:w="3240" w:type="dxa"/>
            <w:shd w:val="pct30" w:color="auto" w:fill="FFFFFF"/>
            <w:vAlign w:val="bottom"/>
          </w:tcPr>
          <w:p w14:paraId="0A001DC6" w14:textId="77777777" w:rsidR="002A21AE" w:rsidRDefault="002A21AE">
            <w:pPr>
              <w:pStyle w:val="TableText"/>
              <w:rPr>
                <w:b/>
              </w:rPr>
            </w:pPr>
            <w:r>
              <w:rPr>
                <w:b/>
              </w:rPr>
              <w:t>User Action</w:t>
            </w:r>
          </w:p>
        </w:tc>
        <w:tc>
          <w:tcPr>
            <w:tcW w:w="6120" w:type="dxa"/>
            <w:shd w:val="pct30" w:color="auto" w:fill="FFFFFF"/>
            <w:vAlign w:val="bottom"/>
          </w:tcPr>
          <w:p w14:paraId="4182FBE3" w14:textId="77777777" w:rsidR="002A21AE" w:rsidRDefault="002A21AE">
            <w:pPr>
              <w:pStyle w:val="TableText"/>
              <w:rPr>
                <w:b/>
              </w:rPr>
            </w:pPr>
            <w:r>
              <w:rPr>
                <w:b/>
              </w:rPr>
              <w:t>VBECS</w:t>
            </w:r>
          </w:p>
        </w:tc>
      </w:tr>
      <w:tr w:rsidR="002A21AE" w14:paraId="37F81144" w14:textId="77777777">
        <w:tc>
          <w:tcPr>
            <w:tcW w:w="3240" w:type="dxa"/>
          </w:tcPr>
          <w:p w14:paraId="584D5A1A" w14:textId="77777777" w:rsidR="002A21AE" w:rsidRDefault="002A21AE">
            <w:pPr>
              <w:pStyle w:val="TableTextNumbers"/>
            </w:pPr>
            <w:r>
              <w:t xml:space="preserve">Select </w:t>
            </w:r>
            <w:r>
              <w:rPr>
                <w:b/>
              </w:rPr>
              <w:t>Tools</w:t>
            </w:r>
            <w:r>
              <w:t xml:space="preserve"> from the main menu.</w:t>
            </w:r>
          </w:p>
          <w:p w14:paraId="2A867A5A" w14:textId="77777777" w:rsidR="002A21AE" w:rsidRDefault="002A21AE">
            <w:pPr>
              <w:pStyle w:val="TableTextNumbersContinued"/>
              <w:rPr>
                <w:b/>
                <w:bCs/>
              </w:rPr>
            </w:pPr>
          </w:p>
          <w:p w14:paraId="04109F8C" w14:textId="77777777" w:rsidR="002A21AE" w:rsidRDefault="002A21AE">
            <w:pPr>
              <w:pStyle w:val="TableTextNumbersContinued"/>
            </w:pPr>
            <w:r>
              <w:t xml:space="preserve">Select </w:t>
            </w:r>
            <w:r>
              <w:rPr>
                <w:b/>
              </w:rPr>
              <w:t>Workload Codes</w:t>
            </w:r>
            <w:r>
              <w:t>.</w:t>
            </w:r>
          </w:p>
        </w:tc>
        <w:tc>
          <w:tcPr>
            <w:tcW w:w="6120" w:type="dxa"/>
          </w:tcPr>
          <w:p w14:paraId="0CC570F7" w14:textId="77777777" w:rsidR="002A21AE" w:rsidRDefault="002A21AE">
            <w:pPr>
              <w:pStyle w:val="TableTextBullet"/>
            </w:pPr>
            <w:r>
              <w:t>Displays options for processing administrative functions.</w:t>
            </w:r>
          </w:p>
          <w:p w14:paraId="0D8B6290" w14:textId="77777777" w:rsidR="002A21AE" w:rsidRDefault="002A21AE">
            <w:pPr>
              <w:pStyle w:val="TableTextBullet"/>
            </w:pPr>
            <w:r>
              <w:t>Displays fields for entering workload-related data.</w:t>
            </w:r>
          </w:p>
          <w:p w14:paraId="3750F5F2" w14:textId="77777777" w:rsidR="002A21AE" w:rsidRDefault="002A21AE" w:rsidP="00FE130E">
            <w:pPr>
              <w:pStyle w:val="TableTextBullet"/>
            </w:pPr>
            <w:r>
              <w:t xml:space="preserve">Lists and retrieves processes that may involve workload. </w:t>
            </w:r>
          </w:p>
        </w:tc>
      </w:tr>
      <w:tr w:rsidR="002A21AE" w14:paraId="7A072B56" w14:textId="77777777" w:rsidTr="007E500E">
        <w:trPr>
          <w:cantSplit/>
        </w:trPr>
        <w:tc>
          <w:tcPr>
            <w:tcW w:w="3240" w:type="dxa"/>
          </w:tcPr>
          <w:p w14:paraId="42BB3B10" w14:textId="77777777" w:rsidR="002A21AE" w:rsidRDefault="002A21AE">
            <w:pPr>
              <w:pStyle w:val="TableTextNumbers"/>
            </w:pPr>
            <w:r>
              <w:t>Select a process for which to define workload codes.</w:t>
            </w:r>
          </w:p>
        </w:tc>
        <w:tc>
          <w:tcPr>
            <w:tcW w:w="6120" w:type="dxa"/>
          </w:tcPr>
          <w:p w14:paraId="23D5BB17" w14:textId="77777777" w:rsidR="002A21AE" w:rsidRDefault="002A21AE">
            <w:pPr>
              <w:pStyle w:val="TableTextBullet"/>
            </w:pPr>
            <w:r>
              <w:t>Allows the user to edit existing data or add data.</w:t>
            </w:r>
          </w:p>
          <w:p w14:paraId="597738DF" w14:textId="77777777" w:rsidR="002A21AE" w:rsidRDefault="002A21AE">
            <w:pPr>
              <w:pStyle w:val="TableText"/>
            </w:pPr>
          </w:p>
          <w:p w14:paraId="4DCDA2D8" w14:textId="4F9C46E6" w:rsidR="002A21AE" w:rsidRDefault="002A21AE">
            <w:pPr>
              <w:pStyle w:val="TableText"/>
              <w:rPr>
                <w:b/>
                <w:bCs/>
                <w:szCs w:val="18"/>
              </w:rPr>
            </w:pPr>
            <w:r>
              <w:rPr>
                <w:b/>
                <w:bCs/>
                <w:szCs w:val="18"/>
              </w:rPr>
              <w:t>NOTES</w:t>
            </w:r>
          </w:p>
          <w:p w14:paraId="64ED1E85" w14:textId="77777777" w:rsidR="002A21AE" w:rsidRDefault="002A21AE">
            <w:pPr>
              <w:pStyle w:val="NotesText"/>
            </w:pPr>
          </w:p>
          <w:p w14:paraId="77B8BD4A" w14:textId="77777777" w:rsidR="002A21AE" w:rsidRDefault="002A21AE">
            <w:pPr>
              <w:pStyle w:val="NotesText"/>
            </w:pPr>
            <w:r>
              <w:rPr>
                <w:rFonts w:cs="Arial"/>
                <w:vanish/>
              </w:rPr>
              <w:t xml:space="preserve">BR_29.02 </w:t>
            </w:r>
            <w:r>
              <w:t>The user may assign multiple LMIP and CPT workload codes to a process.</w:t>
            </w:r>
          </w:p>
          <w:p w14:paraId="0542AC15" w14:textId="77777777" w:rsidR="002A21AE" w:rsidRDefault="002A21AE">
            <w:pPr>
              <w:pStyle w:val="NotesText"/>
            </w:pPr>
          </w:p>
          <w:p w14:paraId="69D06031" w14:textId="77777777" w:rsidR="0024008D" w:rsidRDefault="002A21AE" w:rsidP="0024008D">
            <w:pPr>
              <w:pStyle w:val="NotesText"/>
            </w:pPr>
            <w:r>
              <w:rPr>
                <w:rFonts w:cs="Arial"/>
                <w:vanish/>
              </w:rPr>
              <w:t xml:space="preserve">BR_29.08 </w:t>
            </w:r>
            <w:r>
              <w:t xml:space="preserve">VBECS checks for active and </w:t>
            </w:r>
            <w:r w:rsidR="00F1401D">
              <w:t>inactivated</w:t>
            </w:r>
            <w:r>
              <w:t xml:space="preserve"> workload associations and does not allow the user to enter a duplicate association. VBECS allows the user to reactivate previously inactivate entries and add workload associations.</w:t>
            </w:r>
          </w:p>
        </w:tc>
      </w:tr>
      <w:tr w:rsidR="002A21AE" w14:paraId="0484A684" w14:textId="77777777">
        <w:tc>
          <w:tcPr>
            <w:tcW w:w="3240" w:type="dxa"/>
          </w:tcPr>
          <w:p w14:paraId="001685E5" w14:textId="77777777" w:rsidR="002A21AE" w:rsidRDefault="002A21AE">
            <w:pPr>
              <w:pStyle w:val="TableTextNumbers"/>
            </w:pPr>
            <w:r>
              <w:t>Select an LMIP/NLT code.</w:t>
            </w:r>
          </w:p>
          <w:p w14:paraId="7B1B5B35" w14:textId="77777777" w:rsidR="002A21AE" w:rsidRDefault="002A21AE">
            <w:pPr>
              <w:pStyle w:val="TableTextNumbersContinued"/>
              <w:rPr>
                <w:b/>
                <w:bCs/>
              </w:rPr>
            </w:pPr>
          </w:p>
          <w:p w14:paraId="63870939" w14:textId="77777777" w:rsidR="002A21AE" w:rsidRDefault="002A21AE">
            <w:pPr>
              <w:pStyle w:val="TableTextNumbersContinued"/>
            </w:pPr>
            <w:r>
              <w:t xml:space="preserve">Click </w:t>
            </w:r>
            <w:r>
              <w:rPr>
                <w:b/>
              </w:rPr>
              <w:t>Add</w:t>
            </w:r>
            <w:r>
              <w:t xml:space="preserve"> to add the code, or click </w:t>
            </w:r>
            <w:r>
              <w:rPr>
                <w:b/>
              </w:rPr>
              <w:t>Update</w:t>
            </w:r>
            <w:r>
              <w:t xml:space="preserve"> to select a current association to edit.</w:t>
            </w:r>
          </w:p>
          <w:p w14:paraId="4E79B8D5" w14:textId="77777777" w:rsidR="002A21AE" w:rsidRDefault="002A21AE">
            <w:pPr>
              <w:pStyle w:val="TableTextNumbersContinued"/>
            </w:pPr>
          </w:p>
          <w:p w14:paraId="2EB49726" w14:textId="77777777" w:rsidR="002A21AE" w:rsidRDefault="002A21AE">
            <w:pPr>
              <w:pStyle w:val="TableTextNumbersContinued"/>
            </w:pPr>
          </w:p>
        </w:tc>
        <w:tc>
          <w:tcPr>
            <w:tcW w:w="6120" w:type="dxa"/>
          </w:tcPr>
          <w:p w14:paraId="6117697D" w14:textId="77777777" w:rsidR="002A21AE" w:rsidRDefault="002A21AE">
            <w:pPr>
              <w:pStyle w:val="TableTextBullet"/>
            </w:pPr>
            <w:r>
              <w:t>Lists previously assigned LMIP/NLT codes for the selected process.</w:t>
            </w:r>
          </w:p>
          <w:p w14:paraId="5A36D4B3" w14:textId="189D27F3" w:rsidR="002A21AE" w:rsidRDefault="002A21AE">
            <w:pPr>
              <w:pStyle w:val="TableTextBullet"/>
            </w:pPr>
            <w:r>
              <w:t xml:space="preserve">Allows the user to select an </w:t>
            </w:r>
            <w:r w:rsidR="00F8401C">
              <w:t>LMIP</w:t>
            </w:r>
            <w:r>
              <w:t>/NLT code.</w:t>
            </w:r>
          </w:p>
          <w:p w14:paraId="048AAD46" w14:textId="77777777" w:rsidR="002A21AE" w:rsidRDefault="002A21AE">
            <w:pPr>
              <w:pStyle w:val="TableText"/>
            </w:pPr>
          </w:p>
          <w:p w14:paraId="57260C87" w14:textId="3958D580" w:rsidR="002A21AE" w:rsidRDefault="002A21AE">
            <w:pPr>
              <w:pStyle w:val="TableText"/>
              <w:rPr>
                <w:b/>
                <w:bCs/>
                <w:szCs w:val="18"/>
              </w:rPr>
            </w:pPr>
            <w:r>
              <w:rPr>
                <w:b/>
                <w:bCs/>
                <w:szCs w:val="18"/>
              </w:rPr>
              <w:t>NOTES</w:t>
            </w:r>
          </w:p>
          <w:p w14:paraId="69BB766D" w14:textId="77777777" w:rsidR="002A21AE" w:rsidRDefault="002A21AE">
            <w:pPr>
              <w:pStyle w:val="NotesText"/>
            </w:pPr>
          </w:p>
          <w:p w14:paraId="57BB1634" w14:textId="77777777" w:rsidR="002A21AE" w:rsidRDefault="002A21AE">
            <w:pPr>
              <w:pStyle w:val="NotesText"/>
            </w:pPr>
            <w:r>
              <w:t xml:space="preserve">VBECS uses VistALink to query the </w:t>
            </w:r>
            <w:r w:rsidR="00CA0045" w:rsidRPr="00CA0045">
              <w:rPr>
                <w:bCs/>
              </w:rPr>
              <w:t>VistA</w:t>
            </w:r>
            <w:r>
              <w:t xml:space="preserve"> WKLD CODE File (#64) for valid LMIP/NLT codes. </w:t>
            </w:r>
          </w:p>
          <w:p w14:paraId="3F4FA43B" w14:textId="77777777" w:rsidR="002A21AE" w:rsidRDefault="002A21AE">
            <w:pPr>
              <w:pStyle w:val="NotesText"/>
            </w:pPr>
          </w:p>
          <w:p w14:paraId="6D5C2F04" w14:textId="35208642" w:rsidR="002A21AE" w:rsidRDefault="00CA0045">
            <w:pPr>
              <w:pStyle w:val="NotesText"/>
            </w:pPr>
            <w:r w:rsidRPr="00CA0045">
              <w:rPr>
                <w:bCs/>
              </w:rPr>
              <w:t>VistA</w:t>
            </w:r>
            <w:r w:rsidR="002A21AE">
              <w:t xml:space="preserve"> uses the LMIP/NLT code to create workload reports as well as reports to </w:t>
            </w:r>
            <w:r w:rsidR="009B5B80">
              <w:t>patient care encounter (</w:t>
            </w:r>
            <w:r w:rsidR="002A21AE">
              <w:t>PCE</w:t>
            </w:r>
            <w:r w:rsidR="009B5B80">
              <w:t>)</w:t>
            </w:r>
            <w:r w:rsidR="002A21AE">
              <w:t xml:space="preserve"> and the</w:t>
            </w:r>
            <w:r w:rsidR="00A814C4">
              <w:t xml:space="preserve"> decision support system (</w:t>
            </w:r>
            <w:r w:rsidR="002A21AE">
              <w:t>DSS</w:t>
            </w:r>
            <w:r w:rsidR="00A814C4">
              <w:t>)</w:t>
            </w:r>
            <w:r w:rsidR="002A21AE">
              <w:t xml:space="preserve"> database.</w:t>
            </w:r>
          </w:p>
        </w:tc>
      </w:tr>
      <w:tr w:rsidR="002A21AE" w14:paraId="1697C986" w14:textId="77777777">
        <w:tc>
          <w:tcPr>
            <w:tcW w:w="3240" w:type="dxa"/>
          </w:tcPr>
          <w:p w14:paraId="6FF4C561" w14:textId="681FC681" w:rsidR="002A21AE" w:rsidRDefault="007E004C">
            <w:pPr>
              <w:pStyle w:val="TableTextNumbers"/>
            </w:pPr>
            <w:r>
              <w:t>Enter</w:t>
            </w:r>
            <w:r w:rsidR="002A21AE">
              <w:t xml:space="preserve"> the </w:t>
            </w:r>
            <w:r w:rsidR="000144A0">
              <w:t>start</w:t>
            </w:r>
            <w:r w:rsidR="002A21AE">
              <w:t xml:space="preserve"> or </w:t>
            </w:r>
            <w:r w:rsidR="000144A0">
              <w:t>stop</w:t>
            </w:r>
            <w:r w:rsidR="002A21AE">
              <w:t xml:space="preserve"> date (whichever is appropriate) of the workload code association with the VBECS process</w:t>
            </w:r>
            <w:r w:rsidR="006A1989">
              <w:t xml:space="preserve"> (</w:t>
            </w:r>
            <w:r w:rsidR="00EE455E">
              <w:t xml:space="preserve">Figure </w:t>
            </w:r>
            <w:r w:rsidR="00EE455E">
              <w:rPr>
                <w:noProof/>
              </w:rPr>
              <w:t>36</w:t>
            </w:r>
            <w:r w:rsidR="006A1989">
              <w:t>)</w:t>
            </w:r>
            <w:r w:rsidR="002A21AE">
              <w:t>.</w:t>
            </w:r>
          </w:p>
        </w:tc>
        <w:tc>
          <w:tcPr>
            <w:tcW w:w="6120" w:type="dxa"/>
          </w:tcPr>
          <w:p w14:paraId="1C45199E" w14:textId="77777777" w:rsidR="002A21AE" w:rsidRDefault="002A21AE">
            <w:pPr>
              <w:pStyle w:val="TableTextBullet"/>
            </w:pPr>
            <w:r>
              <w:t xml:space="preserve">Allows the user to enter a date. </w:t>
            </w:r>
          </w:p>
          <w:p w14:paraId="21F49426" w14:textId="77777777" w:rsidR="002A21AE" w:rsidRDefault="002A21AE">
            <w:pPr>
              <w:pStyle w:val="TableText"/>
            </w:pPr>
          </w:p>
          <w:p w14:paraId="3EE42FCD" w14:textId="20035137" w:rsidR="002A21AE" w:rsidRDefault="002A21AE">
            <w:pPr>
              <w:pStyle w:val="TableText"/>
              <w:rPr>
                <w:b/>
                <w:bCs/>
                <w:szCs w:val="18"/>
              </w:rPr>
            </w:pPr>
            <w:r>
              <w:rPr>
                <w:b/>
                <w:bCs/>
                <w:szCs w:val="18"/>
              </w:rPr>
              <w:t>NOTES</w:t>
            </w:r>
          </w:p>
          <w:p w14:paraId="530A9593" w14:textId="77777777" w:rsidR="002A21AE" w:rsidRDefault="002A21AE">
            <w:pPr>
              <w:pStyle w:val="NotesText"/>
            </w:pPr>
          </w:p>
          <w:p w14:paraId="58191AE4" w14:textId="77777777" w:rsidR="002A21AE" w:rsidRDefault="002A21AE">
            <w:pPr>
              <w:pStyle w:val="NotesText"/>
            </w:pPr>
            <w:r>
              <w:rPr>
                <w:rFonts w:cs="Arial"/>
                <w:vanish/>
              </w:rPr>
              <w:t xml:space="preserve">BR_29.05 </w:t>
            </w:r>
            <w:r>
              <w:t>The user may enter an inactivation date only when an activation date was previously entered (default start date and time: current date and time).</w:t>
            </w:r>
          </w:p>
          <w:p w14:paraId="56298BA5" w14:textId="77777777" w:rsidR="002A21AE" w:rsidRDefault="002A21AE">
            <w:pPr>
              <w:pStyle w:val="NotesText"/>
            </w:pPr>
          </w:p>
          <w:p w14:paraId="12DF2B96" w14:textId="77777777" w:rsidR="002A21AE" w:rsidRDefault="002A21AE">
            <w:pPr>
              <w:pStyle w:val="NotesText"/>
            </w:pPr>
            <w:r>
              <w:rPr>
                <w:rFonts w:cs="Arial"/>
                <w:vanish/>
              </w:rPr>
              <w:t xml:space="preserve">BR_29.06 </w:t>
            </w:r>
            <w:r>
              <w:t>The inactivation date must be later than or the same as the activation date. When the user attempts to enter an inactivation date that is earlier than the activation date, VBECS warns the user. There is no override.</w:t>
            </w:r>
          </w:p>
        </w:tc>
      </w:tr>
      <w:tr w:rsidR="002A21AE" w14:paraId="57F7931E" w14:textId="77777777">
        <w:tc>
          <w:tcPr>
            <w:tcW w:w="3240" w:type="dxa"/>
          </w:tcPr>
          <w:p w14:paraId="581ADDB7" w14:textId="1F00285A" w:rsidR="002A21AE" w:rsidRDefault="00047C63">
            <w:pPr>
              <w:pStyle w:val="TableTextNumbers"/>
            </w:pPr>
            <w:r>
              <w:t>Repeat Steps 3</w:t>
            </w:r>
            <w:r w:rsidR="004F5589">
              <w:t xml:space="preserve"> through </w:t>
            </w:r>
            <w:r>
              <w:t>4</w:t>
            </w:r>
            <w:r w:rsidR="002A21AE">
              <w:t xml:space="preserve"> for each LMIP/NLT code to be associated with the selected process.</w:t>
            </w:r>
          </w:p>
        </w:tc>
        <w:tc>
          <w:tcPr>
            <w:tcW w:w="6120" w:type="dxa"/>
          </w:tcPr>
          <w:p w14:paraId="19B88CA0" w14:textId="77777777" w:rsidR="002A21AE" w:rsidRDefault="002A21AE" w:rsidP="0037534D">
            <w:pPr>
              <w:pStyle w:val="TableText"/>
            </w:pPr>
          </w:p>
        </w:tc>
      </w:tr>
      <w:tr w:rsidR="002A21AE" w14:paraId="364D055C" w14:textId="77777777">
        <w:tc>
          <w:tcPr>
            <w:tcW w:w="3240" w:type="dxa"/>
          </w:tcPr>
          <w:p w14:paraId="4FD3BA31" w14:textId="77777777" w:rsidR="002A21AE" w:rsidRDefault="002A21AE">
            <w:pPr>
              <w:pStyle w:val="TableTextNumbers"/>
            </w:pPr>
            <w:r>
              <w:t>Add the selected parameters to the selected process.</w:t>
            </w:r>
          </w:p>
        </w:tc>
        <w:tc>
          <w:tcPr>
            <w:tcW w:w="6120" w:type="dxa"/>
          </w:tcPr>
          <w:p w14:paraId="089AD0E8" w14:textId="77777777" w:rsidR="002A21AE" w:rsidRDefault="002A21AE">
            <w:pPr>
              <w:pStyle w:val="TableTextBullet"/>
            </w:pPr>
            <w:r>
              <w:t xml:space="preserve">Allows the user to add the selected parameters. </w:t>
            </w:r>
          </w:p>
        </w:tc>
      </w:tr>
      <w:tr w:rsidR="002A21AE" w14:paraId="2719EBE7" w14:textId="77777777">
        <w:tc>
          <w:tcPr>
            <w:tcW w:w="3240" w:type="dxa"/>
          </w:tcPr>
          <w:p w14:paraId="43D37349" w14:textId="493077D0" w:rsidR="002A21AE" w:rsidRDefault="002A21AE" w:rsidP="00047C63">
            <w:pPr>
              <w:pStyle w:val="TableTextNumbers"/>
            </w:pPr>
            <w:r>
              <w:t>Repeat Steps 1</w:t>
            </w:r>
            <w:r w:rsidR="004F5589">
              <w:t xml:space="preserve"> through </w:t>
            </w:r>
            <w:r w:rsidR="00047C63">
              <w:t>6</w:t>
            </w:r>
            <w:r>
              <w:t xml:space="preserve"> for to define workload parameters for another process, or exit. </w:t>
            </w:r>
            <w:r w:rsidRPr="0079067D">
              <w:rPr>
                <w:vanish/>
                <w:color w:val="FFFFFF"/>
                <w:szCs w:val="18"/>
              </w:rPr>
              <w:fldChar w:fldCharType="begin"/>
            </w:r>
            <w:r w:rsidRPr="0079067D">
              <w:rPr>
                <w:vanish/>
                <w:color w:val="FFFFFF"/>
                <w:szCs w:val="18"/>
              </w:rPr>
              <w:instrText xml:space="preserve"> LISTNUM \l 1 \s 0 </w:instrText>
            </w:r>
            <w:r w:rsidRPr="0079067D">
              <w:rPr>
                <w:vanish/>
                <w:color w:val="FFFFFF"/>
                <w:szCs w:val="18"/>
              </w:rPr>
              <w:fldChar w:fldCharType="end"/>
            </w:r>
          </w:p>
        </w:tc>
        <w:tc>
          <w:tcPr>
            <w:tcW w:w="6120" w:type="dxa"/>
          </w:tcPr>
          <w:p w14:paraId="21FAA1B2" w14:textId="77777777" w:rsidR="002A21AE" w:rsidRDefault="002A21AE">
            <w:pPr>
              <w:pStyle w:val="TableText"/>
            </w:pPr>
          </w:p>
        </w:tc>
      </w:tr>
    </w:tbl>
    <w:p w14:paraId="287BC646" w14:textId="60F68662" w:rsidR="006A1989" w:rsidRDefault="006A1989" w:rsidP="006A1989">
      <w:pPr>
        <w:pStyle w:val="Caption"/>
      </w:pPr>
      <w:bookmarkStart w:id="195" w:name="_Ref126473082"/>
      <w:bookmarkStart w:id="196" w:name="_Toc6368039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36</w:t>
      </w:r>
      <w:r w:rsidR="004E20BD">
        <w:rPr>
          <w:noProof/>
        </w:rPr>
        <w:fldChar w:fldCharType="end"/>
      </w:r>
      <w:bookmarkEnd w:id="195"/>
      <w:r>
        <w:t>: Assign Workload Codes</w:t>
      </w:r>
    </w:p>
    <w:p w14:paraId="2F723E9A" w14:textId="77777777" w:rsidR="00AA3950" w:rsidRDefault="00057948" w:rsidP="006A1989">
      <w:pPr>
        <w:pStyle w:val="BodyText"/>
      </w:pPr>
      <w:r>
        <w:rPr>
          <w:noProof/>
        </w:rPr>
        <w:drawing>
          <wp:inline distT="0" distB="0" distL="0" distR="0" wp14:anchorId="2CEA1965" wp14:editId="1CE20B1B">
            <wp:extent cx="3657600" cy="2484755"/>
            <wp:effectExtent l="0" t="0" r="0" b="0"/>
            <wp:docPr id="139" name="Picture 139" descr="Example of Assign Workload Cod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Example of Assign Workload Codes screen captur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57600" cy="2484755"/>
                    </a:xfrm>
                    <a:prstGeom prst="rect">
                      <a:avLst/>
                    </a:prstGeom>
                    <a:noFill/>
                    <a:ln>
                      <a:noFill/>
                    </a:ln>
                  </pic:spPr>
                </pic:pic>
              </a:graphicData>
            </a:graphic>
          </wp:inline>
        </w:drawing>
      </w:r>
    </w:p>
    <w:p w14:paraId="4CD8653F" w14:textId="7A1D7D79" w:rsidR="00F46B5A" w:rsidRDefault="00F46B5A" w:rsidP="00F46B5A">
      <w:pPr>
        <w:pStyle w:val="Heading4"/>
      </w:pPr>
      <w:bookmarkStart w:id="197" w:name="_Toc91651289"/>
      <w:bookmarkStart w:id="198" w:name="_Toc91651290"/>
      <w:bookmarkStart w:id="199" w:name="_Toc63680374"/>
      <w:bookmarkStart w:id="200" w:name="_Toc63680383"/>
      <w:bookmarkEnd w:id="196"/>
      <w:r>
        <w:t>Remapping Workload Codes</w:t>
      </w:r>
      <w:r w:rsidR="00DC3DA1">
        <w:t xml:space="preserve"> </w:t>
      </w:r>
      <w:r w:rsidR="00F067E0">
        <w:rPr>
          <w:rFonts w:ascii="Arial Bold" w:hAnsi="Arial Bold"/>
          <w:vanish/>
        </w:rPr>
        <w:t xml:space="preserve"> DR 3762</w:t>
      </w:r>
    </w:p>
    <w:p w14:paraId="37DD9BE7" w14:textId="77777777" w:rsidR="00F46B5A" w:rsidRDefault="00F46B5A" w:rsidP="00F46B5A">
      <w:pPr>
        <w:pStyle w:val="BodyText"/>
      </w:pPr>
      <w:r>
        <w:t xml:space="preserve">When workload codes or a workload code multiplier is </w:t>
      </w:r>
      <w:r w:rsidR="004641B8">
        <w:t>changed,</w:t>
      </w:r>
      <w:r>
        <w:t xml:space="preserve"> VBECS must be updated. The active workload process to LMIP/NLT Code association must be inactivated and remapped for VBECS to track workload correctly.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46B5A" w14:paraId="54E60E3C" w14:textId="77777777" w:rsidTr="00F46B5A">
        <w:trPr>
          <w:tblHeader/>
        </w:trPr>
        <w:tc>
          <w:tcPr>
            <w:tcW w:w="3240" w:type="dxa"/>
            <w:shd w:val="pct30" w:color="auto" w:fill="FFFFFF"/>
            <w:vAlign w:val="bottom"/>
          </w:tcPr>
          <w:p w14:paraId="4BB2BF30" w14:textId="77777777" w:rsidR="00F46B5A" w:rsidRDefault="00F46B5A" w:rsidP="00F46B5A">
            <w:pPr>
              <w:pStyle w:val="TableText"/>
              <w:rPr>
                <w:b/>
              </w:rPr>
            </w:pPr>
            <w:r>
              <w:rPr>
                <w:b/>
              </w:rPr>
              <w:t>User Action</w:t>
            </w:r>
          </w:p>
        </w:tc>
        <w:tc>
          <w:tcPr>
            <w:tcW w:w="6120" w:type="dxa"/>
            <w:shd w:val="pct30" w:color="auto" w:fill="FFFFFF"/>
            <w:vAlign w:val="bottom"/>
          </w:tcPr>
          <w:p w14:paraId="235D7F36" w14:textId="77777777" w:rsidR="00F46B5A" w:rsidRDefault="00F46B5A" w:rsidP="00F46B5A">
            <w:pPr>
              <w:pStyle w:val="TableText"/>
              <w:rPr>
                <w:b/>
              </w:rPr>
            </w:pPr>
            <w:r>
              <w:rPr>
                <w:b/>
              </w:rPr>
              <w:t>VBECS</w:t>
            </w:r>
          </w:p>
        </w:tc>
      </w:tr>
      <w:tr w:rsidR="00F46B5A" w14:paraId="728AE562" w14:textId="77777777" w:rsidTr="00F46B5A">
        <w:tc>
          <w:tcPr>
            <w:tcW w:w="3240" w:type="dxa"/>
          </w:tcPr>
          <w:p w14:paraId="18BD08EA" w14:textId="77777777" w:rsidR="00F46B5A" w:rsidRDefault="00F46B5A" w:rsidP="00F46B5A">
            <w:pPr>
              <w:pStyle w:val="TableTextNumbers"/>
            </w:pPr>
            <w:r>
              <w:t xml:space="preserve">Select </w:t>
            </w:r>
            <w:r>
              <w:rPr>
                <w:b/>
              </w:rPr>
              <w:t>Tools</w:t>
            </w:r>
            <w:r>
              <w:t xml:space="preserve"> from the main menu.</w:t>
            </w:r>
          </w:p>
          <w:p w14:paraId="270BA8D0" w14:textId="77777777" w:rsidR="00F46B5A" w:rsidRDefault="00F46B5A" w:rsidP="00F46B5A">
            <w:pPr>
              <w:pStyle w:val="TableTextNumbersContinued"/>
              <w:rPr>
                <w:b/>
                <w:bCs/>
              </w:rPr>
            </w:pPr>
          </w:p>
          <w:p w14:paraId="0558090F" w14:textId="77777777" w:rsidR="00F46B5A" w:rsidRDefault="00F46B5A" w:rsidP="00F46B5A">
            <w:pPr>
              <w:pStyle w:val="TableTextNumbersContinued"/>
            </w:pPr>
            <w:r>
              <w:t xml:space="preserve">Select </w:t>
            </w:r>
            <w:r>
              <w:rPr>
                <w:b/>
              </w:rPr>
              <w:t>Workload Codes</w:t>
            </w:r>
            <w:r>
              <w:t>.</w:t>
            </w:r>
          </w:p>
        </w:tc>
        <w:tc>
          <w:tcPr>
            <w:tcW w:w="6120" w:type="dxa"/>
          </w:tcPr>
          <w:p w14:paraId="1D604198" w14:textId="77777777" w:rsidR="00F46B5A" w:rsidRDefault="00F46B5A" w:rsidP="00F46B5A">
            <w:pPr>
              <w:pStyle w:val="TableTextBullet"/>
            </w:pPr>
            <w:r>
              <w:t>Displays options for processing administrative functions.</w:t>
            </w:r>
          </w:p>
          <w:p w14:paraId="10C12017" w14:textId="77777777" w:rsidR="00F46B5A" w:rsidRDefault="00F46B5A" w:rsidP="00F46B5A">
            <w:pPr>
              <w:pStyle w:val="TableTextBullet"/>
            </w:pPr>
            <w:r>
              <w:t>Displays fields for entering workload-related data.</w:t>
            </w:r>
          </w:p>
          <w:p w14:paraId="5BF8CADA" w14:textId="77777777" w:rsidR="00F46B5A" w:rsidRDefault="00F46B5A" w:rsidP="00F46B5A">
            <w:pPr>
              <w:pStyle w:val="TableTextBullet"/>
            </w:pPr>
            <w:r>
              <w:t xml:space="preserve">Lists and retrieves processes that may involve workload. </w:t>
            </w:r>
          </w:p>
        </w:tc>
      </w:tr>
      <w:tr w:rsidR="00F46B5A" w14:paraId="273EE251" w14:textId="77777777" w:rsidTr="00F46B5A">
        <w:tc>
          <w:tcPr>
            <w:tcW w:w="3240" w:type="dxa"/>
          </w:tcPr>
          <w:p w14:paraId="558ED8C9" w14:textId="77777777" w:rsidR="00F46B5A" w:rsidRDefault="00F46B5A" w:rsidP="00F46B5A">
            <w:pPr>
              <w:pStyle w:val="TableTextNumbers"/>
            </w:pPr>
            <w:r>
              <w:t xml:space="preserve">Select a process to </w:t>
            </w:r>
            <w:r w:rsidR="008B6D25">
              <w:t>edit</w:t>
            </w:r>
            <w:r>
              <w:t xml:space="preserve"> workload codes.</w:t>
            </w:r>
          </w:p>
        </w:tc>
        <w:tc>
          <w:tcPr>
            <w:tcW w:w="6120" w:type="dxa"/>
          </w:tcPr>
          <w:p w14:paraId="641F7E58" w14:textId="77777777" w:rsidR="00F46B5A" w:rsidRDefault="00F46B5A" w:rsidP="00F46B5A">
            <w:pPr>
              <w:pStyle w:val="TableTextBullet"/>
            </w:pPr>
            <w:r>
              <w:t>Allows the user to edit existing data or add data.</w:t>
            </w:r>
          </w:p>
        </w:tc>
      </w:tr>
      <w:tr w:rsidR="00F46B5A" w14:paraId="190970BD" w14:textId="77777777" w:rsidTr="00F46B5A">
        <w:tc>
          <w:tcPr>
            <w:tcW w:w="3240" w:type="dxa"/>
          </w:tcPr>
          <w:p w14:paraId="327D09EE" w14:textId="77777777" w:rsidR="00F46B5A" w:rsidRDefault="00F46B5A" w:rsidP="00F46B5A">
            <w:pPr>
              <w:pStyle w:val="TableTextNumbers"/>
            </w:pPr>
            <w:r>
              <w:t>Click one or more check boxes to inactivate LMIP/NLT Code.</w:t>
            </w:r>
          </w:p>
          <w:p w14:paraId="01F2B466" w14:textId="77777777" w:rsidR="00202ACF" w:rsidRDefault="00202ACF" w:rsidP="00202ACF">
            <w:pPr>
              <w:pStyle w:val="TableTextNumbers"/>
              <w:numPr>
                <w:ilvl w:val="0"/>
                <w:numId w:val="0"/>
              </w:numPr>
              <w:ind w:left="288"/>
            </w:pPr>
          </w:p>
          <w:p w14:paraId="56FF64BA" w14:textId="77777777" w:rsidR="00202ACF" w:rsidRDefault="00202ACF" w:rsidP="00202ACF">
            <w:pPr>
              <w:pStyle w:val="TableTextNumbers"/>
              <w:numPr>
                <w:ilvl w:val="0"/>
                <w:numId w:val="0"/>
              </w:numPr>
              <w:ind w:left="288"/>
            </w:pPr>
            <w:r>
              <w:t xml:space="preserve">Click </w:t>
            </w:r>
            <w:r>
              <w:rPr>
                <w:b/>
              </w:rPr>
              <w:t>OK</w:t>
            </w:r>
            <w:r>
              <w:t xml:space="preserve"> and </w:t>
            </w:r>
            <w:r>
              <w:rPr>
                <w:b/>
              </w:rPr>
              <w:t xml:space="preserve">Yes </w:t>
            </w:r>
            <w:r>
              <w:t>to save and exit.</w:t>
            </w:r>
          </w:p>
        </w:tc>
        <w:tc>
          <w:tcPr>
            <w:tcW w:w="6120" w:type="dxa"/>
          </w:tcPr>
          <w:p w14:paraId="1EC80BD7" w14:textId="77777777" w:rsidR="00F46B5A" w:rsidRDefault="00F46B5A" w:rsidP="00202ACF">
            <w:pPr>
              <w:pStyle w:val="TableTextBullet"/>
            </w:pPr>
            <w:r>
              <w:t>Removes the code from the Current Associations window.</w:t>
            </w:r>
          </w:p>
          <w:p w14:paraId="7B7B0088" w14:textId="77777777" w:rsidR="00202ACF" w:rsidRDefault="00202ACF" w:rsidP="00202ACF">
            <w:pPr>
              <w:pStyle w:val="TableText"/>
            </w:pPr>
          </w:p>
          <w:p w14:paraId="38D061E9" w14:textId="3A4F69EC" w:rsidR="00202ACF" w:rsidRDefault="00202ACF" w:rsidP="00202ACF">
            <w:pPr>
              <w:pStyle w:val="TableText"/>
              <w:rPr>
                <w:b/>
                <w:bCs/>
                <w:szCs w:val="18"/>
              </w:rPr>
            </w:pPr>
            <w:r>
              <w:rPr>
                <w:b/>
                <w:bCs/>
                <w:szCs w:val="18"/>
              </w:rPr>
              <w:t>NOTES</w:t>
            </w:r>
          </w:p>
          <w:p w14:paraId="7D8CAE58" w14:textId="6809A33C" w:rsidR="00202ACF" w:rsidRDefault="00344E38" w:rsidP="007E3EE1">
            <w:pPr>
              <w:pStyle w:val="NotesText"/>
            </w:pPr>
            <w:r>
              <w:t>Inactive codes can be viewed by clicking the Show Inactive Workload Codes checkbox.</w:t>
            </w:r>
          </w:p>
        </w:tc>
      </w:tr>
      <w:tr w:rsidR="00F46B5A" w14:paraId="427AC70D" w14:textId="77777777" w:rsidTr="00F46B5A">
        <w:tc>
          <w:tcPr>
            <w:tcW w:w="3240" w:type="dxa"/>
          </w:tcPr>
          <w:p w14:paraId="1A36C56D" w14:textId="77777777" w:rsidR="00F46B5A" w:rsidRDefault="00202ACF" w:rsidP="00F46B5A">
            <w:pPr>
              <w:pStyle w:val="TableTextNumbers"/>
            </w:pPr>
            <w:r>
              <w:t xml:space="preserve">Click </w:t>
            </w:r>
            <w:r>
              <w:rPr>
                <w:b/>
              </w:rPr>
              <w:t>OK</w:t>
            </w:r>
            <w:r>
              <w:t xml:space="preserve"> and </w:t>
            </w:r>
            <w:r>
              <w:rPr>
                <w:b/>
              </w:rPr>
              <w:t xml:space="preserve">Yes </w:t>
            </w:r>
            <w:r>
              <w:t>to save and exit.</w:t>
            </w:r>
          </w:p>
        </w:tc>
        <w:tc>
          <w:tcPr>
            <w:tcW w:w="6120" w:type="dxa"/>
          </w:tcPr>
          <w:p w14:paraId="42409401" w14:textId="77777777" w:rsidR="00F46B5A" w:rsidRDefault="00202ACF" w:rsidP="00F46B5A">
            <w:pPr>
              <w:pStyle w:val="TableTextBullet"/>
            </w:pPr>
            <w:r>
              <w:t>Saves the changes to the workload code mapping.</w:t>
            </w:r>
          </w:p>
        </w:tc>
      </w:tr>
      <w:tr w:rsidR="00202ACF" w14:paraId="4CCF2452" w14:textId="77777777" w:rsidTr="00F46B5A">
        <w:tc>
          <w:tcPr>
            <w:tcW w:w="3240" w:type="dxa"/>
          </w:tcPr>
          <w:p w14:paraId="7B330BA5" w14:textId="77777777" w:rsidR="00202ACF" w:rsidRDefault="00202ACF" w:rsidP="00202ACF">
            <w:pPr>
              <w:pStyle w:val="TableTextNumbers"/>
            </w:pPr>
            <w:r>
              <w:t xml:space="preserve">Select </w:t>
            </w:r>
            <w:r>
              <w:rPr>
                <w:b/>
              </w:rPr>
              <w:t>Tools</w:t>
            </w:r>
            <w:r>
              <w:t xml:space="preserve"> from the main menu.</w:t>
            </w:r>
          </w:p>
          <w:p w14:paraId="7052B58B" w14:textId="77777777" w:rsidR="00202ACF" w:rsidRDefault="00202ACF" w:rsidP="00202ACF">
            <w:pPr>
              <w:pStyle w:val="TableTextNumbersContinued"/>
              <w:rPr>
                <w:b/>
                <w:bCs/>
              </w:rPr>
            </w:pPr>
          </w:p>
          <w:p w14:paraId="300B9866" w14:textId="77777777" w:rsidR="00202ACF" w:rsidRDefault="00202ACF" w:rsidP="00202ACF">
            <w:pPr>
              <w:pStyle w:val="TableTextNumbers"/>
              <w:numPr>
                <w:ilvl w:val="0"/>
                <w:numId w:val="0"/>
              </w:numPr>
              <w:ind w:left="288"/>
            </w:pPr>
            <w:r>
              <w:t xml:space="preserve">Select </w:t>
            </w:r>
            <w:r>
              <w:rPr>
                <w:b/>
              </w:rPr>
              <w:t>Workload Codes</w:t>
            </w:r>
          </w:p>
        </w:tc>
        <w:tc>
          <w:tcPr>
            <w:tcW w:w="6120" w:type="dxa"/>
          </w:tcPr>
          <w:p w14:paraId="47E2411E" w14:textId="77777777" w:rsidR="008D0D9B" w:rsidRDefault="008D0D9B" w:rsidP="008D0D9B">
            <w:pPr>
              <w:pStyle w:val="TableTextBullet"/>
            </w:pPr>
            <w:r>
              <w:t>Displays options for processing administrative functions.</w:t>
            </w:r>
          </w:p>
          <w:p w14:paraId="4DE9015A" w14:textId="77777777" w:rsidR="008D0D9B" w:rsidRDefault="008D0D9B" w:rsidP="008D0D9B">
            <w:pPr>
              <w:pStyle w:val="TableTextBullet"/>
            </w:pPr>
            <w:r>
              <w:t>Displays fields for entering workload-related data.</w:t>
            </w:r>
          </w:p>
          <w:p w14:paraId="7EE5B148" w14:textId="77777777" w:rsidR="00202ACF" w:rsidRDefault="00857128" w:rsidP="00857128">
            <w:pPr>
              <w:pStyle w:val="TableTextBullet"/>
            </w:pPr>
            <w:r>
              <w:t>Lists and retrieves processes that may involve workload.</w:t>
            </w:r>
          </w:p>
        </w:tc>
      </w:tr>
      <w:tr w:rsidR="00202ACF" w14:paraId="6BDEC379" w14:textId="77777777" w:rsidTr="00F46B5A">
        <w:tc>
          <w:tcPr>
            <w:tcW w:w="3240" w:type="dxa"/>
          </w:tcPr>
          <w:p w14:paraId="41B13FB8" w14:textId="77777777" w:rsidR="00202ACF" w:rsidRDefault="00202ACF" w:rsidP="00202ACF">
            <w:pPr>
              <w:pStyle w:val="TableTextNumbers"/>
            </w:pPr>
            <w:r>
              <w:t xml:space="preserve">Select a process to </w:t>
            </w:r>
            <w:r w:rsidR="008B6D25">
              <w:t>edit</w:t>
            </w:r>
            <w:r>
              <w:t xml:space="preserve"> workload codes.</w:t>
            </w:r>
          </w:p>
        </w:tc>
        <w:tc>
          <w:tcPr>
            <w:tcW w:w="6120" w:type="dxa"/>
          </w:tcPr>
          <w:p w14:paraId="47E65F31" w14:textId="77777777" w:rsidR="00202ACF" w:rsidRDefault="00344E38" w:rsidP="00F46B5A">
            <w:pPr>
              <w:pStyle w:val="TableTextBullet"/>
            </w:pPr>
            <w:r>
              <w:t>Allows the user to edit existing data or add data.</w:t>
            </w:r>
          </w:p>
        </w:tc>
      </w:tr>
      <w:tr w:rsidR="00202ACF" w14:paraId="782F3FDF" w14:textId="77777777" w:rsidTr="007E500E">
        <w:trPr>
          <w:cantSplit/>
        </w:trPr>
        <w:tc>
          <w:tcPr>
            <w:tcW w:w="3240" w:type="dxa"/>
          </w:tcPr>
          <w:p w14:paraId="5BFDEFA4" w14:textId="77777777" w:rsidR="00202ACF" w:rsidRDefault="00202ACF" w:rsidP="00202ACF">
            <w:pPr>
              <w:pStyle w:val="TableTextNumbers"/>
            </w:pPr>
            <w:r>
              <w:t>Select an LMIP/NLT code.</w:t>
            </w:r>
          </w:p>
          <w:p w14:paraId="37DF5BFE" w14:textId="77777777" w:rsidR="00202ACF" w:rsidRDefault="00202ACF" w:rsidP="00202ACF">
            <w:pPr>
              <w:pStyle w:val="TableTextNumbersContinued"/>
            </w:pPr>
          </w:p>
          <w:p w14:paraId="0ED8EAF4" w14:textId="77777777" w:rsidR="00202ACF" w:rsidRPr="00202ACF" w:rsidRDefault="00202ACF" w:rsidP="00202ACF">
            <w:pPr>
              <w:pStyle w:val="TableTextNumbersContinued"/>
              <w:rPr>
                <w:b/>
                <w:bCs/>
              </w:rPr>
            </w:pPr>
            <w:r>
              <w:t xml:space="preserve">Click </w:t>
            </w:r>
            <w:r>
              <w:rPr>
                <w:b/>
              </w:rPr>
              <w:t>Add</w:t>
            </w:r>
            <w:r>
              <w:t xml:space="preserve"> to add the code.</w:t>
            </w:r>
          </w:p>
        </w:tc>
        <w:tc>
          <w:tcPr>
            <w:tcW w:w="6120" w:type="dxa"/>
          </w:tcPr>
          <w:p w14:paraId="32BA57A7" w14:textId="601249CD" w:rsidR="00344E38" w:rsidRDefault="00344E38" w:rsidP="00344E38">
            <w:pPr>
              <w:pStyle w:val="TableTextBullet"/>
            </w:pPr>
            <w:r>
              <w:t xml:space="preserve">Allows the user to select an </w:t>
            </w:r>
            <w:r w:rsidR="00F8401C">
              <w:t>LMIP</w:t>
            </w:r>
            <w:r>
              <w:t>/NLT code.</w:t>
            </w:r>
          </w:p>
          <w:p w14:paraId="31C1604F" w14:textId="77777777" w:rsidR="00202ACF" w:rsidRDefault="00202ACF" w:rsidP="00344E38">
            <w:pPr>
              <w:pStyle w:val="TableTextBullet"/>
              <w:numPr>
                <w:ilvl w:val="0"/>
                <w:numId w:val="0"/>
              </w:numPr>
            </w:pPr>
          </w:p>
          <w:p w14:paraId="62988AD8" w14:textId="139F4C64" w:rsidR="00344E38" w:rsidRPr="00344E38" w:rsidRDefault="00344E38" w:rsidP="00344E38">
            <w:pPr>
              <w:pStyle w:val="TableText"/>
              <w:rPr>
                <w:b/>
                <w:bCs/>
              </w:rPr>
            </w:pPr>
            <w:r w:rsidRPr="00344E38">
              <w:rPr>
                <w:b/>
                <w:bCs/>
              </w:rPr>
              <w:t>NOTES</w:t>
            </w:r>
          </w:p>
          <w:p w14:paraId="2E627B89" w14:textId="77777777" w:rsidR="00F067E0" w:rsidRDefault="00F067E0" w:rsidP="00F067E0">
            <w:pPr>
              <w:pStyle w:val="NotesText"/>
            </w:pPr>
            <w:r>
              <w:t>LMIP/NLT weight multipliers values are set in VistA and that value is imported into VBECS.</w:t>
            </w:r>
          </w:p>
          <w:p w14:paraId="132A0EE3" w14:textId="77777777" w:rsidR="00F067E0" w:rsidRDefault="00F067E0" w:rsidP="00F067E0">
            <w:pPr>
              <w:pStyle w:val="NotesText"/>
            </w:pPr>
          </w:p>
          <w:p w14:paraId="4F89E551" w14:textId="561ACE92" w:rsidR="00F067E0" w:rsidRDefault="00344E38" w:rsidP="00F067E0">
            <w:pPr>
              <w:pStyle w:val="NotesText"/>
            </w:pPr>
            <w:r>
              <w:t xml:space="preserve">Changes made to </w:t>
            </w:r>
            <w:r w:rsidRPr="00CA0045">
              <w:rPr>
                <w:bCs/>
              </w:rPr>
              <w:t>VistA</w:t>
            </w:r>
            <w:r>
              <w:t xml:space="preserve"> files 64 (NLT/LMIP) and 81 (CPT) are updated in VBECS </w:t>
            </w:r>
            <w:r w:rsidR="00F067E0">
              <w:t xml:space="preserve">on a rolling </w:t>
            </w:r>
            <w:r w:rsidR="002E5AC8">
              <w:t>24-hour</w:t>
            </w:r>
            <w:r w:rsidR="00F067E0">
              <w:t xml:space="preserve"> clock. The first user to log in 24 hours after the last update will trigger the next update.</w:t>
            </w:r>
          </w:p>
        </w:tc>
      </w:tr>
      <w:tr w:rsidR="00202ACF" w14:paraId="645AC272" w14:textId="77777777" w:rsidTr="00F46B5A">
        <w:tc>
          <w:tcPr>
            <w:tcW w:w="3240" w:type="dxa"/>
          </w:tcPr>
          <w:p w14:paraId="47B239FC" w14:textId="4F79CCFF" w:rsidR="00202ACF" w:rsidRDefault="00202ACF" w:rsidP="00722DBF">
            <w:pPr>
              <w:pStyle w:val="TableTextNumbers"/>
            </w:pPr>
            <w:r>
              <w:t>Repeat Steps 1</w:t>
            </w:r>
            <w:r w:rsidR="004F5589">
              <w:t xml:space="preserve"> through </w:t>
            </w:r>
            <w:r>
              <w:t>7 for to edit workload parameters for another process</w:t>
            </w:r>
            <w:r w:rsidR="00722DBF">
              <w:t xml:space="preserve">. </w:t>
            </w:r>
            <w:r w:rsidR="00722DBF" w:rsidRPr="0079067D">
              <w:rPr>
                <w:vanish/>
                <w:color w:val="FFFFFF"/>
                <w:szCs w:val="18"/>
              </w:rPr>
              <w:fldChar w:fldCharType="begin"/>
            </w:r>
            <w:r w:rsidR="00722DBF" w:rsidRPr="0079067D">
              <w:rPr>
                <w:vanish/>
                <w:color w:val="FFFFFF"/>
                <w:szCs w:val="18"/>
              </w:rPr>
              <w:instrText xml:space="preserve"> LISTNUM \l 1 \s 0 </w:instrText>
            </w:r>
            <w:r w:rsidR="00722DBF" w:rsidRPr="0079067D">
              <w:rPr>
                <w:vanish/>
                <w:color w:val="FFFFFF"/>
                <w:szCs w:val="18"/>
              </w:rPr>
              <w:fldChar w:fldCharType="end"/>
            </w:r>
          </w:p>
        </w:tc>
        <w:tc>
          <w:tcPr>
            <w:tcW w:w="6120" w:type="dxa"/>
          </w:tcPr>
          <w:p w14:paraId="1B6748A6" w14:textId="77777777" w:rsidR="00202ACF" w:rsidRDefault="00202ACF" w:rsidP="00F067E0">
            <w:pPr>
              <w:pStyle w:val="TableTextBullet"/>
              <w:numPr>
                <w:ilvl w:val="0"/>
                <w:numId w:val="0"/>
              </w:numPr>
            </w:pPr>
          </w:p>
        </w:tc>
      </w:tr>
    </w:tbl>
    <w:p w14:paraId="7667752C" w14:textId="3B81DE11" w:rsidR="002A21AE" w:rsidRDefault="002A21AE" w:rsidP="007E3EE1">
      <w:pPr>
        <w:pStyle w:val="Heading2"/>
        <w:pageBreakBefore/>
      </w:pPr>
      <w:bookmarkStart w:id="201" w:name="_Toc149064110"/>
      <w:r>
        <w:t>Reagents and Supplies</w:t>
      </w:r>
      <w:bookmarkEnd w:id="197"/>
      <w:bookmarkEnd w:id="198"/>
      <w:bookmarkEnd w:id="201"/>
      <w:r>
        <w:fldChar w:fldCharType="begin"/>
      </w:r>
      <w:r>
        <w:instrText xml:space="preserve"> XE </w:instrText>
      </w:r>
      <w:r w:rsidR="00FA7E65">
        <w:instrText>“</w:instrText>
      </w:r>
      <w:r>
        <w:instrText>Reagents and Supplies</w:instrText>
      </w:r>
      <w:r w:rsidR="00FA7E65">
        <w:instrText>”</w:instrText>
      </w:r>
      <w:r>
        <w:instrText xml:space="preserve"> </w:instrText>
      </w:r>
      <w:r>
        <w:fldChar w:fldCharType="end"/>
      </w:r>
    </w:p>
    <w:p w14:paraId="7A07088D" w14:textId="77777777" w:rsidR="002A21AE" w:rsidRDefault="002A21AE">
      <w:pPr>
        <w:pStyle w:val="Heading3"/>
      </w:pPr>
      <w:bookmarkStart w:id="202" w:name="_Enter_Daily_QC_Results"/>
      <w:bookmarkStart w:id="203" w:name="_Toc149064111"/>
      <w:bookmarkEnd w:id="202"/>
      <w:r>
        <w:t>Enter Daily QC Results</w:t>
      </w:r>
      <w:bookmarkEnd w:id="203"/>
      <w:r>
        <w:fldChar w:fldCharType="begin"/>
      </w:r>
      <w:r>
        <w:instrText xml:space="preserve"> XE </w:instrText>
      </w:r>
      <w:r w:rsidR="00FA7E65">
        <w:instrText>“</w:instrText>
      </w:r>
      <w:r>
        <w:instrText>Enter Daily QC Results</w:instrText>
      </w:r>
      <w:r w:rsidR="00FA7E65">
        <w:instrText>”</w:instrText>
      </w:r>
      <w:r>
        <w:instrText xml:space="preserve"> </w:instrText>
      </w:r>
      <w:r>
        <w:fldChar w:fldCharType="end"/>
      </w:r>
      <w:r>
        <w:t xml:space="preserve"> </w:t>
      </w:r>
      <w:r>
        <w:rPr>
          <w:rFonts w:ascii="Times New Roman" w:hAnsi="Times New Roman" w:cs="Times New Roman"/>
          <w:b w:val="0"/>
          <w:vanish/>
          <w:sz w:val="22"/>
        </w:rPr>
        <w:t>UC_28</w:t>
      </w:r>
    </w:p>
    <w:p w14:paraId="7ADFF4E4" w14:textId="77777777" w:rsidR="002A21AE" w:rsidRDefault="002A21AE" w:rsidP="00FA7E65">
      <w:pPr>
        <w:pStyle w:val="BodyText"/>
      </w:pPr>
      <w:r>
        <w:t>The user enters observed serological reactions for all phases of testing and interpretations of the various routine reagents.</w:t>
      </w:r>
    </w:p>
    <w:p w14:paraId="7CC2CFC7" w14:textId="77777777" w:rsidR="002A21AE" w:rsidRDefault="002A21AE">
      <w:pPr>
        <w:pStyle w:val="Heading4"/>
      </w:pPr>
      <w:r>
        <w:t>Assumptions</w:t>
      </w:r>
      <w:r>
        <w:rPr>
          <w:b w:val="0"/>
        </w:rPr>
        <w:t xml:space="preserve"> </w:t>
      </w:r>
    </w:p>
    <w:p w14:paraId="58A9F65C" w14:textId="77777777" w:rsidR="002A21AE" w:rsidRDefault="002A21AE">
      <w:pPr>
        <w:pStyle w:val="ListBullet"/>
      </w:pPr>
      <w:r>
        <w:t>The division is “full service.”</w:t>
      </w:r>
    </w:p>
    <w:p w14:paraId="0B5D0503" w14:textId="77777777" w:rsidR="002A21AE" w:rsidRDefault="002A21AE">
      <w:pPr>
        <w:pStyle w:val="ListBullet"/>
      </w:pPr>
      <w:r>
        <w:t>Site parameters regarding reagent quality control are set up.</w:t>
      </w:r>
    </w:p>
    <w:p w14:paraId="0A95F28D" w14:textId="77777777" w:rsidR="002A21AE" w:rsidRDefault="002A21AE">
      <w:pPr>
        <w:pStyle w:val="ListBullet"/>
      </w:pPr>
      <w:r>
        <w:t xml:space="preserve">Minimum inventory levels for reagent types are defined. </w:t>
      </w:r>
    </w:p>
    <w:p w14:paraId="3586B003" w14:textId="77777777" w:rsidR="002A21AE" w:rsidRDefault="002A21AE">
      <w:pPr>
        <w:pStyle w:val="ListBullet"/>
      </w:pPr>
      <w:r>
        <w:t xml:space="preserve">Inventory control functionality is in use and reagents are in the inventory of the user’s division. </w:t>
      </w:r>
    </w:p>
    <w:p w14:paraId="0B1B440D" w14:textId="77777777" w:rsidR="002A21AE" w:rsidRDefault="002A21AE">
      <w:pPr>
        <w:pStyle w:val="ListBullet"/>
      </w:pPr>
      <w:r>
        <w:t>Daily QC testing does not include reagents used in special antigen typing.</w:t>
      </w:r>
    </w:p>
    <w:p w14:paraId="300E5BD9" w14:textId="77777777" w:rsidR="002A21AE" w:rsidRDefault="002A21AE">
      <w:pPr>
        <w:pStyle w:val="Heading4"/>
      </w:pPr>
      <w:r>
        <w:t xml:space="preserve">Outcome </w:t>
      </w:r>
    </w:p>
    <w:p w14:paraId="31E6655B" w14:textId="77777777" w:rsidR="002A21AE" w:rsidRDefault="002A21AE">
      <w:pPr>
        <w:pStyle w:val="ListBullet"/>
      </w:pPr>
      <w:r>
        <w:t>Routine reagents are available for use, shutting down the alert for the day associated with the rack.</w:t>
      </w:r>
    </w:p>
    <w:p w14:paraId="6ECB1F82" w14:textId="77777777" w:rsidR="002A21AE" w:rsidRDefault="002A21AE">
      <w:pPr>
        <w:pStyle w:val="ListBullet"/>
      </w:pPr>
      <w:r>
        <w:t>The user may enter and save reaction results below the minimum expected reaction; an Exception Report may be generated for supervisory review; the rack may or may not be used by the site for routine testing throughout that day.</w:t>
      </w:r>
    </w:p>
    <w:p w14:paraId="0184BB10" w14:textId="77777777" w:rsidR="002A21AE" w:rsidRDefault="002A21AE">
      <w:pPr>
        <w:pStyle w:val="Heading4"/>
      </w:pPr>
      <w:r>
        <w:t>Limitations and Restrictions</w:t>
      </w:r>
      <w:r>
        <w:rPr>
          <w:b w:val="0"/>
        </w:rPr>
        <w:t xml:space="preserve"> </w:t>
      </w:r>
    </w:p>
    <w:p w14:paraId="5C08F99A" w14:textId="77777777" w:rsidR="002A21AE" w:rsidRDefault="002A21AE">
      <w:pPr>
        <w:pStyle w:val="ListBullet"/>
      </w:pPr>
      <w:r>
        <w:t xml:space="preserve">Additional user-defined reagent types not available in Configure Daily QC or Enter Daily QC Results are not part of a reagent rack’s daily QC testing. </w:t>
      </w:r>
    </w:p>
    <w:p w14:paraId="5F5C69E7" w14:textId="77777777" w:rsidR="002A21AE" w:rsidRDefault="002A21AE">
      <w:pPr>
        <w:pStyle w:val="Heading4"/>
      </w:pPr>
      <w:r>
        <w:t xml:space="preserve">Additional Information </w:t>
      </w:r>
    </w:p>
    <w:p w14:paraId="7757A9DE" w14:textId="77777777" w:rsidR="002A21AE" w:rsidRDefault="002A21AE">
      <w:pPr>
        <w:pStyle w:val="ListBullet"/>
      </w:pPr>
      <w:r>
        <w:rPr>
          <w:rFonts w:ascii="Arial" w:hAnsi="Arial" w:cs="Arial"/>
          <w:vanish/>
          <w:spacing w:val="0"/>
          <w:sz w:val="18"/>
        </w:rPr>
        <w:t xml:space="preserve">BR_28.19 </w:t>
      </w:r>
      <w:r>
        <w:t>VBECS allows the user to save a partially filled worksheet for a specific QC rack ID and allows the same or a different user to redisplay the form for the entry of remaining test results at a later time. The user, first or second, may enter new results but may not edit prior entries. VBECS records the ID of each user who enters test observations on a worksheet.</w:t>
      </w:r>
    </w:p>
    <w:p w14:paraId="791C9983" w14:textId="77777777" w:rsidR="002A21AE" w:rsidRDefault="002A21AE">
      <w:pPr>
        <w:pStyle w:val="ListBullet"/>
      </w:pPr>
      <w:r>
        <w:t>VBECS issues warnings when they are defined in Maintain Minimum Levels.</w:t>
      </w:r>
    </w:p>
    <w:p w14:paraId="593A3E22" w14:textId="77777777" w:rsidR="002A21AE" w:rsidRDefault="002A21AE">
      <w:pPr>
        <w:pStyle w:val="ListBullet"/>
      </w:pPr>
      <w:r>
        <w:t xml:space="preserve">VistALink does not need to be active when a user enters </w:t>
      </w:r>
      <w:r>
        <w:rPr>
          <w:bCs/>
        </w:rPr>
        <w:t>daily quality control results</w:t>
      </w:r>
      <w:r>
        <w:t>.</w:t>
      </w:r>
    </w:p>
    <w:p w14:paraId="2A6E8ED2" w14:textId="77777777" w:rsidR="002A21AE" w:rsidRDefault="002A21AE">
      <w:pPr>
        <w:pStyle w:val="ListBullet"/>
      </w:pPr>
      <w:r>
        <w:t>A testing template is generated for daily quality control testing of routine reagents for each rack in a division. (Multiple templates may be used on a given day.)</w:t>
      </w:r>
    </w:p>
    <w:p w14:paraId="6E69DA6A" w14:textId="77777777" w:rsidR="002A21AE" w:rsidRDefault="002A21AE">
      <w:pPr>
        <w:pStyle w:val="ListBullet"/>
      </w:pPr>
      <w:r>
        <w:t>System rules</w:t>
      </w:r>
      <w:r w:rsidR="00AA6C54">
        <w:t xml:space="preserve"> </w:t>
      </w:r>
      <w:r>
        <w:t>determine the validity of the test interpretations and determine if all phases of testing were recorded for both scenarios.</w:t>
      </w:r>
    </w:p>
    <w:p w14:paraId="6DED0353" w14:textId="77777777" w:rsidR="002A21AE" w:rsidRDefault="002A21AE">
      <w:pPr>
        <w:pStyle w:val="ListBullet"/>
      </w:pPr>
      <w:r>
        <w:t>A user must enter and may view one day’s QC data at a time. The supervisor or administrator must review these entries and the reagent information daily.</w:t>
      </w:r>
    </w:p>
    <w:p w14:paraId="38A579DE" w14:textId="77777777" w:rsidR="002A21AE" w:rsidRDefault="002A21AE">
      <w:pPr>
        <w:pStyle w:val="ListBullet"/>
      </w:pPr>
      <w:r>
        <w:t xml:space="preserve">VBECS compares the current rack QC results with the prior day’s QC results. </w:t>
      </w:r>
    </w:p>
    <w:p w14:paraId="3F411716" w14:textId="77777777" w:rsidR="002A21AE" w:rsidRDefault="002A21AE">
      <w:pPr>
        <w:pStyle w:val="ListBullet"/>
      </w:pPr>
      <w:r>
        <w:t xml:space="preserve">Multiple technologists may use the same rack. </w:t>
      </w:r>
    </w:p>
    <w:p w14:paraId="3F1F6DE0" w14:textId="77777777" w:rsidR="002A21AE" w:rsidRDefault="002A21AE">
      <w:pPr>
        <w:pStyle w:val="ListBullet"/>
      </w:pPr>
      <w:r>
        <w:t>Rack number and reagents used to test a specimen are linked to the lot number, manufacturer, and expiration date of the reagent type as well as the rack identifier.</w:t>
      </w:r>
    </w:p>
    <w:p w14:paraId="33C6FDC5" w14:textId="77777777" w:rsidR="00254E7B" w:rsidRDefault="00254E7B">
      <w:pPr>
        <w:pStyle w:val="ListBullet"/>
      </w:pPr>
      <w:r>
        <w:t>A user may use more than one testing method in accordance with local policies and procedures.</w:t>
      </w:r>
    </w:p>
    <w:p w14:paraId="74024EC5" w14:textId="15F691AC" w:rsidR="00F62041" w:rsidRDefault="00F62041" w:rsidP="00F62041">
      <w:pPr>
        <w:pStyle w:val="ListBullet"/>
      </w:pPr>
      <w:r w:rsidRPr="00622C54">
        <w:t xml:space="preserve">If a rack has never been used with reagents prior to using the QC Documentation Offline option and the rack is not so checked when the user attempts to use this untested rack, the message appears that this rack has never been tested and cannot be used. The user may not proceed. To use this rack on this date, the QC Offline check needs to be indicated or testing performed. </w:t>
      </w:r>
      <w:r w:rsidRPr="00622C54">
        <w:rPr>
          <w:vanish/>
        </w:rPr>
        <w:t>DR 4317</w:t>
      </w:r>
    </w:p>
    <w:p w14:paraId="2F3F2BE8" w14:textId="741D13C4" w:rsidR="00A03C1C" w:rsidRDefault="00A03C1C" w:rsidP="00A03C1C">
      <w:pPr>
        <w:pStyle w:val="ListBullet"/>
      </w:pPr>
      <w:r w:rsidRPr="00A03C1C">
        <w:t>A rack can be set as pa</w:t>
      </w:r>
      <w:r w:rsidR="00AE3748">
        <w:t>rtially tested and marked as "QC</w:t>
      </w:r>
      <w:r w:rsidRPr="00A03C1C">
        <w:t xml:space="preserve">’d Offline" at the same time. </w:t>
      </w:r>
      <w:r>
        <w:t>The r</w:t>
      </w:r>
      <w:r w:rsidRPr="00A03C1C">
        <w:t>ack wi</w:t>
      </w:r>
      <w:r>
        <w:t>ll be listed as "Tested = No", S</w:t>
      </w:r>
      <w:r w:rsidRPr="00A03C1C">
        <w:t>electing it will prompt for the "Rack QC not performed" override</w:t>
      </w:r>
      <w:r>
        <w:t>,</w:t>
      </w:r>
      <w:r w:rsidRPr="00A03C1C">
        <w:t xml:space="preserve"> as the partially tested rack setting is enforced.</w:t>
      </w:r>
      <w:r w:rsidR="00AB4BD9">
        <w:t xml:space="preserve"> </w:t>
      </w:r>
      <w:r w:rsidR="00AB4BD9" w:rsidRPr="00AB4BD9">
        <w:rPr>
          <w:vanish/>
        </w:rPr>
        <w:t>Defect 210297</w:t>
      </w:r>
    </w:p>
    <w:p w14:paraId="66D9AC81" w14:textId="725EBE85" w:rsidR="003A7501" w:rsidRDefault="003A7501" w:rsidP="003A7501">
      <w:pPr>
        <w:pStyle w:val="ListBullet"/>
      </w:pPr>
      <w:r>
        <w:t xml:space="preserve">The </w:t>
      </w:r>
      <w:r w:rsidRPr="003A7501">
        <w:t>antiglobulin testing grids for QC have a title of IAT. The same grid for patient testing is titled AHG.</w:t>
      </w:r>
      <w:r w:rsidR="00AB4BD9">
        <w:t xml:space="preserve"> </w:t>
      </w:r>
      <w:r w:rsidR="00AB4BD9" w:rsidRPr="00AB4BD9">
        <w:rPr>
          <w:vanish/>
        </w:rPr>
        <w:t>Defect 211747</w:t>
      </w:r>
    </w:p>
    <w:p w14:paraId="1794E477" w14:textId="26A0D3CA" w:rsidR="00E86766" w:rsidRPr="00622C54" w:rsidRDefault="009A1817" w:rsidP="00F62041">
      <w:pPr>
        <w:pStyle w:val="ListBullet"/>
      </w:pPr>
      <w:r>
        <w:t xml:space="preserve">If two instances of Enter Daily QC are opened, the second instance will not recognize testing performed in the first </w:t>
      </w:r>
      <w:r w:rsidR="00523215">
        <w:t>instance and</w:t>
      </w:r>
      <w:r>
        <w:t xml:space="preserve"> will accept retesting of the rack.</w:t>
      </w:r>
      <w:r w:rsidR="00AB4BD9">
        <w:t xml:space="preserve"> </w:t>
      </w:r>
      <w:r w:rsidR="00203682">
        <w:t>(</w:t>
      </w:r>
      <w:r w:rsidR="004C63BA">
        <w:t>See</w:t>
      </w:r>
      <w:r w:rsidR="00AC093B">
        <w:t xml:space="preserve"> </w:t>
      </w:r>
      <w:r w:rsidR="00E86766">
        <w:t>FAQ QC Setup</w:t>
      </w:r>
      <w:r w:rsidR="00AB4BD9">
        <w:t xml:space="preserve"> </w:t>
      </w:r>
      <w:r w:rsidR="00AC093B">
        <w:t>and FAQ Re</w:t>
      </w:r>
      <w:r w:rsidR="004C63BA">
        <w:t xml:space="preserve">testing QC for </w:t>
      </w:r>
      <w:r w:rsidR="00E90A01">
        <w:t>additional</w:t>
      </w:r>
      <w:r w:rsidR="004C63BA">
        <w:t xml:space="preserve"> information.</w:t>
      </w:r>
      <w:r w:rsidR="00A868BE" w:rsidRPr="00A868BE">
        <w:rPr>
          <w:vanish/>
        </w:rPr>
        <w:t xml:space="preserve"> Task 628088</w:t>
      </w:r>
      <w:r w:rsidR="00203682">
        <w:t>)</w:t>
      </w:r>
      <w:r w:rsidR="0002020B">
        <w:t xml:space="preserve"> </w:t>
      </w:r>
      <w:r w:rsidR="0002020B" w:rsidRPr="0002020B">
        <w:rPr>
          <w:vanish/>
        </w:rPr>
        <w:t>Defect 210503</w:t>
      </w:r>
    </w:p>
    <w:p w14:paraId="460D5750" w14:textId="77777777" w:rsidR="002A21AE" w:rsidRDefault="002A21AE">
      <w:pPr>
        <w:pStyle w:val="Heading4"/>
        <w:rPr>
          <w:b w:val="0"/>
        </w:rPr>
      </w:pPr>
      <w:r>
        <w:t>User Roles with Access to This Option</w:t>
      </w:r>
      <w:r>
        <w:rPr>
          <w:b w:val="0"/>
        </w:rPr>
        <w:t xml:space="preserve"> </w:t>
      </w:r>
    </w:p>
    <w:p w14:paraId="08DB66BE" w14:textId="77777777" w:rsidR="002A21AE" w:rsidRDefault="00046C55">
      <w:pPr>
        <w:pStyle w:val="Roles"/>
        <w:rPr>
          <w:snapToGrid w:val="0"/>
        </w:rPr>
      </w:pPr>
      <w:r>
        <w:t>All users</w:t>
      </w:r>
    </w:p>
    <w:p w14:paraId="64012FDC" w14:textId="77777777" w:rsidR="002A21AE" w:rsidRDefault="002A21AE">
      <w:pPr>
        <w:pStyle w:val="Heading4"/>
      </w:pPr>
      <w:r>
        <w:t xml:space="preserve">Enter Daily QC Results </w:t>
      </w:r>
    </w:p>
    <w:p w14:paraId="1C95E48A" w14:textId="77777777" w:rsidR="002A21AE" w:rsidRDefault="002A21AE" w:rsidP="00FA7E65">
      <w:pPr>
        <w:pStyle w:val="BodyText"/>
      </w:pPr>
      <w:r>
        <w:t xml:space="preserve">The American Association of Blood Banks’ </w:t>
      </w:r>
      <w:r>
        <w:rPr>
          <w:i/>
        </w:rPr>
        <w:t>Standards for Blood Banks and Transfusion Services</w:t>
      </w:r>
      <w:r>
        <w:t xml:space="preserve"> requires that commercial reagents in the blood bank—antisera and routinely-used red cell reagents—must be tested for performance “on the day of use.” As routine reagents are always used, they are tested daily. Records of these reagents, their lot numbers, and their testing results must be stored for reference. VBECS verifies and indicates whether the reagent is satisfactory for use. </w:t>
      </w:r>
    </w:p>
    <w:p w14:paraId="3D6D3EE6" w14:textId="77777777" w:rsidR="002A21AE" w:rsidRDefault="002A21AE" w:rsidP="00FA7E65">
      <w:pPr>
        <w:pStyle w:val="BodyText"/>
      </w:pPr>
      <w:r>
        <w:t xml:space="preserve">This option facilitates the direct entry of reaction results and interpretations, constituting daily reagent quality control testing for a rack of reagents. </w:t>
      </w:r>
    </w:p>
    <w:p w14:paraId="2312E34F" w14:textId="77777777" w:rsidR="002A21AE" w:rsidRDefault="002A21AE" w:rsidP="00FA7E65">
      <w:pPr>
        <w:pStyle w:val="BodyText"/>
      </w:pPr>
      <w:r>
        <w:t>VBECS allows the user to change individual reagents without repeating the QC for the full rack during the day.</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356"/>
      </w:tblGrid>
      <w:tr w:rsidR="002A21AE" w14:paraId="0E7728D1" w14:textId="77777777">
        <w:trPr>
          <w:tblHeader/>
        </w:trPr>
        <w:tc>
          <w:tcPr>
            <w:tcW w:w="3240" w:type="dxa"/>
            <w:shd w:val="pct30" w:color="auto" w:fill="FFFFFF"/>
            <w:vAlign w:val="bottom"/>
          </w:tcPr>
          <w:p w14:paraId="26A71ACD" w14:textId="77777777" w:rsidR="002A21AE" w:rsidRDefault="002A21AE">
            <w:pPr>
              <w:pStyle w:val="TableText"/>
              <w:rPr>
                <w:b/>
              </w:rPr>
            </w:pPr>
            <w:bookmarkStart w:id="204" w:name="_Toc30304250"/>
            <w:bookmarkStart w:id="205" w:name="_Toc30912571"/>
            <w:bookmarkStart w:id="206" w:name="_Toc49251208"/>
            <w:bookmarkStart w:id="207" w:name="_Toc49251692"/>
            <w:bookmarkStart w:id="208" w:name="_Toc68448916"/>
            <w:r>
              <w:rPr>
                <w:b/>
              </w:rPr>
              <w:t>User Action</w:t>
            </w:r>
          </w:p>
        </w:tc>
        <w:tc>
          <w:tcPr>
            <w:tcW w:w="6356" w:type="dxa"/>
            <w:shd w:val="pct30" w:color="auto" w:fill="FFFFFF"/>
            <w:vAlign w:val="bottom"/>
          </w:tcPr>
          <w:p w14:paraId="73BC00CA" w14:textId="77777777" w:rsidR="002A21AE" w:rsidRDefault="002A21AE">
            <w:pPr>
              <w:pStyle w:val="TableText"/>
              <w:rPr>
                <w:b/>
              </w:rPr>
            </w:pPr>
            <w:r>
              <w:rPr>
                <w:b/>
              </w:rPr>
              <w:t>VBECS</w:t>
            </w:r>
          </w:p>
        </w:tc>
      </w:tr>
      <w:tr w:rsidR="002A21AE" w14:paraId="2812042B" w14:textId="77777777">
        <w:tc>
          <w:tcPr>
            <w:tcW w:w="3240" w:type="dxa"/>
          </w:tcPr>
          <w:p w14:paraId="0C658EE7" w14:textId="77777777" w:rsidR="002A21AE" w:rsidRDefault="002A21AE">
            <w:pPr>
              <w:pStyle w:val="TableTextNumbers"/>
            </w:pPr>
            <w:r>
              <w:t xml:space="preserve">Select </w:t>
            </w:r>
            <w:r>
              <w:rPr>
                <w:b/>
              </w:rPr>
              <w:t>Reagents</w:t>
            </w:r>
            <w:r>
              <w:t xml:space="preserve"> from the main menu.</w:t>
            </w:r>
          </w:p>
          <w:p w14:paraId="2F27F781" w14:textId="77777777" w:rsidR="002A21AE" w:rsidRDefault="002A21AE">
            <w:pPr>
              <w:pStyle w:val="TableTextNumbersContinued"/>
              <w:rPr>
                <w:b/>
                <w:bCs/>
              </w:rPr>
            </w:pPr>
          </w:p>
          <w:p w14:paraId="2B4EE38F" w14:textId="77777777" w:rsidR="002A21AE" w:rsidRDefault="002A21AE">
            <w:pPr>
              <w:pStyle w:val="TableTextNumbersContinued"/>
            </w:pPr>
            <w:r>
              <w:t xml:space="preserve">Select </w:t>
            </w:r>
            <w:r>
              <w:rPr>
                <w:b/>
              </w:rPr>
              <w:t>Enter Daily QC Results</w:t>
            </w:r>
            <w:r>
              <w:t>.</w:t>
            </w:r>
          </w:p>
        </w:tc>
        <w:tc>
          <w:tcPr>
            <w:tcW w:w="6356" w:type="dxa"/>
          </w:tcPr>
          <w:p w14:paraId="0C7CBAAC" w14:textId="77777777" w:rsidR="002A21AE" w:rsidRDefault="002A21AE" w:rsidP="003356B8">
            <w:pPr>
              <w:pStyle w:val="TableTextBullet"/>
            </w:pPr>
            <w:r>
              <w:t>Displays options to perform daily reagent rack QC</w:t>
            </w:r>
            <w:r w:rsidR="000D380C">
              <w:t>.</w:t>
            </w:r>
          </w:p>
        </w:tc>
      </w:tr>
      <w:tr w:rsidR="000B5EBA" w14:paraId="2D6D8A80" w14:textId="77777777">
        <w:tc>
          <w:tcPr>
            <w:tcW w:w="3240" w:type="dxa"/>
          </w:tcPr>
          <w:p w14:paraId="5636BB7D" w14:textId="77777777" w:rsidR="000B5EBA" w:rsidRDefault="00003AD3" w:rsidP="00D148D7">
            <w:pPr>
              <w:pStyle w:val="TableTextNumbers"/>
            </w:pPr>
            <w:r>
              <w:t>Verify</w:t>
            </w:r>
            <w:r w:rsidR="000B5EBA">
              <w:t xml:space="preserve"> the default date tested and tester</w:t>
            </w:r>
            <w:r>
              <w:t xml:space="preserve">, </w:t>
            </w:r>
            <w:r w:rsidR="00686785">
              <w:t>and</w:t>
            </w:r>
            <w:r>
              <w:t xml:space="preserve"> edit them</w:t>
            </w:r>
            <w:r w:rsidR="000B5EBA">
              <w:t>, if needed.</w:t>
            </w:r>
          </w:p>
        </w:tc>
        <w:tc>
          <w:tcPr>
            <w:tcW w:w="6356" w:type="dxa"/>
          </w:tcPr>
          <w:p w14:paraId="0CC38A66" w14:textId="77777777" w:rsidR="000B5EBA" w:rsidRDefault="000B5EBA" w:rsidP="00D148D7">
            <w:pPr>
              <w:pStyle w:val="TableTextBullet"/>
            </w:pPr>
            <w:r>
              <w:t>Displays the date and time the testing was performed; the default is the current date and time, which are editable to allow retrospective entry.</w:t>
            </w:r>
          </w:p>
          <w:p w14:paraId="44A11251" w14:textId="77777777" w:rsidR="000B5EBA" w:rsidRDefault="000B5EBA" w:rsidP="00D148D7">
            <w:pPr>
              <w:pStyle w:val="TableTextBullet"/>
            </w:pPr>
            <w:r>
              <w:t>Displays the testing technologist’s identification; the default is the current user. Lists valid division users for selection.</w:t>
            </w:r>
          </w:p>
          <w:p w14:paraId="72488E28" w14:textId="77777777" w:rsidR="000B5EBA" w:rsidRDefault="000B5EBA" w:rsidP="00D148D7">
            <w:pPr>
              <w:pStyle w:val="TableTextBullet"/>
            </w:pPr>
            <w:r>
              <w:t>Displays the option to indicate the rack number of the reagents to test, a list of racks to be tested for the current date, and a retest option for the racks with testing completed for the date.</w:t>
            </w:r>
          </w:p>
          <w:p w14:paraId="6482817A" w14:textId="77777777" w:rsidR="000B5EBA" w:rsidRDefault="000B5EBA" w:rsidP="00D148D7">
            <w:pPr>
              <w:pStyle w:val="TableText"/>
            </w:pPr>
          </w:p>
          <w:p w14:paraId="7DAE035A" w14:textId="61426102" w:rsidR="000B5EBA" w:rsidRDefault="000B5EBA" w:rsidP="00D148D7">
            <w:pPr>
              <w:pStyle w:val="TableText"/>
              <w:rPr>
                <w:b/>
                <w:bCs/>
                <w:szCs w:val="18"/>
              </w:rPr>
            </w:pPr>
            <w:r>
              <w:rPr>
                <w:b/>
                <w:bCs/>
                <w:szCs w:val="18"/>
              </w:rPr>
              <w:t>NOTES</w:t>
            </w:r>
          </w:p>
          <w:p w14:paraId="17C39254" w14:textId="77777777" w:rsidR="000B5EBA" w:rsidRDefault="000B5EBA" w:rsidP="00D148D7">
            <w:pPr>
              <w:pStyle w:val="NotesText"/>
            </w:pPr>
          </w:p>
          <w:p w14:paraId="44D15318" w14:textId="77777777" w:rsidR="000B5EBA" w:rsidRDefault="000B5EBA" w:rsidP="001272CA">
            <w:pPr>
              <w:pStyle w:val="NotesText"/>
            </w:pPr>
            <w:r>
              <w:t>Daily QC testing does not include reagents used in special antigen typing.</w:t>
            </w:r>
          </w:p>
        </w:tc>
      </w:tr>
      <w:tr w:rsidR="002A21AE" w14:paraId="37D8DEBB"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5E670E9D" w14:textId="63EB54BB" w:rsidR="000D380C" w:rsidRDefault="000D380C">
            <w:pPr>
              <w:pStyle w:val="TableTextNumbers"/>
            </w:pPr>
            <w:r>
              <w:t xml:space="preserve">Select the </w:t>
            </w:r>
            <w:r w:rsidRPr="000D380C">
              <w:rPr>
                <w:b/>
              </w:rPr>
              <w:t>Test Rack(s)</w:t>
            </w:r>
            <w:r w:rsidRPr="000D380C">
              <w:t>,</w:t>
            </w:r>
            <w:r w:rsidRPr="000D380C">
              <w:rPr>
                <w:b/>
              </w:rPr>
              <w:t xml:space="preserve"> </w:t>
            </w:r>
            <w:r>
              <w:rPr>
                <w:b/>
              </w:rPr>
              <w:t>P</w:t>
            </w:r>
            <w:r w:rsidRPr="000D380C">
              <w:rPr>
                <w:b/>
              </w:rPr>
              <w:t>artially Tested Rack(s)</w:t>
            </w:r>
            <w:r w:rsidRPr="00F62D64">
              <w:t>, or</w:t>
            </w:r>
            <w:r w:rsidRPr="000D380C">
              <w:rPr>
                <w:b/>
              </w:rPr>
              <w:t xml:space="preserve"> Retest Rack(s</w:t>
            </w:r>
            <w:r w:rsidRPr="00F62D64">
              <w:rPr>
                <w:b/>
              </w:rPr>
              <w:t xml:space="preserve">) </w:t>
            </w:r>
            <w:r w:rsidRPr="00CC3C89">
              <w:t>tab</w:t>
            </w:r>
            <w:r w:rsidR="00957095" w:rsidRPr="00CC3C89">
              <w:t xml:space="preserve"> </w:t>
            </w:r>
            <w:r w:rsidR="00957095">
              <w:t>(</w:t>
            </w:r>
            <w:r w:rsidR="00EE455E">
              <w:t xml:space="preserve">Figure </w:t>
            </w:r>
            <w:r w:rsidR="00EE455E">
              <w:rPr>
                <w:noProof/>
              </w:rPr>
              <w:t>37</w:t>
            </w:r>
            <w:r w:rsidR="00957095">
              <w:t>)</w:t>
            </w:r>
            <w:r>
              <w:t>.</w:t>
            </w:r>
          </w:p>
          <w:p w14:paraId="32A88D21" w14:textId="77777777" w:rsidR="000D380C" w:rsidRDefault="000D380C" w:rsidP="000D380C">
            <w:pPr>
              <w:pStyle w:val="TableTextNumbersContinued"/>
            </w:pPr>
          </w:p>
          <w:p w14:paraId="073AFAA4" w14:textId="77777777" w:rsidR="002A21AE" w:rsidRDefault="00922EBC" w:rsidP="000D380C">
            <w:pPr>
              <w:pStyle w:val="TableTextNumbersContinued"/>
            </w:pPr>
            <w:r>
              <w:t>Click one or more check boxes to select</w:t>
            </w:r>
            <w:r w:rsidR="002A21AE">
              <w:t xml:space="preserve"> rack numbers.</w:t>
            </w:r>
          </w:p>
          <w:p w14:paraId="7CAE1C46" w14:textId="77777777" w:rsidR="00C36763" w:rsidRDefault="00C36763" w:rsidP="000D380C">
            <w:pPr>
              <w:pStyle w:val="TableTextNumbersContinued"/>
            </w:pPr>
          </w:p>
          <w:p w14:paraId="3E7F9A32" w14:textId="77777777" w:rsidR="00C36763" w:rsidRDefault="00C36763" w:rsidP="000D380C">
            <w:pPr>
              <w:pStyle w:val="TableTextNumbersContinued"/>
            </w:pPr>
            <w:r>
              <w:t xml:space="preserve">Click </w:t>
            </w:r>
            <w:r w:rsidRPr="00C36763">
              <w:rPr>
                <w:b/>
              </w:rPr>
              <w:t>OK</w:t>
            </w:r>
            <w:r>
              <w:t>.</w:t>
            </w:r>
          </w:p>
          <w:p w14:paraId="404B583D" w14:textId="77777777" w:rsidR="002A21AE" w:rsidRDefault="002A21AE" w:rsidP="00107CEB">
            <w:pPr>
              <w:pStyle w:val="TableTextNumbersContinued"/>
            </w:pPr>
          </w:p>
        </w:tc>
        <w:tc>
          <w:tcPr>
            <w:tcW w:w="6356" w:type="dxa"/>
            <w:tcBorders>
              <w:top w:val="single" w:sz="4" w:space="0" w:color="auto"/>
              <w:left w:val="single" w:sz="4" w:space="0" w:color="auto"/>
              <w:bottom w:val="single" w:sz="4" w:space="0" w:color="auto"/>
              <w:right w:val="single" w:sz="4" w:space="0" w:color="auto"/>
            </w:tcBorders>
          </w:tcPr>
          <w:p w14:paraId="25850177" w14:textId="77777777" w:rsidR="002A21AE" w:rsidRDefault="002A21AE">
            <w:pPr>
              <w:pStyle w:val="TableTextBullet"/>
            </w:pPr>
            <w:r>
              <w:t>Displays the lot number verification template for each rack selected.</w:t>
            </w:r>
          </w:p>
          <w:p w14:paraId="7A95FBE2" w14:textId="77777777" w:rsidR="002A21AE" w:rsidRDefault="002A21AE">
            <w:pPr>
              <w:pStyle w:val="TableText"/>
            </w:pPr>
          </w:p>
          <w:p w14:paraId="66ECFC25" w14:textId="4A906AE9" w:rsidR="002A21AE" w:rsidRDefault="002A21AE">
            <w:pPr>
              <w:pStyle w:val="TableText"/>
              <w:rPr>
                <w:b/>
                <w:bCs/>
                <w:szCs w:val="18"/>
              </w:rPr>
            </w:pPr>
            <w:r>
              <w:rPr>
                <w:b/>
                <w:bCs/>
                <w:szCs w:val="18"/>
              </w:rPr>
              <w:t>NOTES</w:t>
            </w:r>
          </w:p>
          <w:p w14:paraId="2C91F8C6" w14:textId="77777777" w:rsidR="00A013ED" w:rsidRDefault="00A013ED" w:rsidP="00A013ED">
            <w:pPr>
              <w:pStyle w:val="NotesText"/>
            </w:pPr>
          </w:p>
          <w:p w14:paraId="77019BE4" w14:textId="77777777" w:rsidR="00F233CC" w:rsidRDefault="005C1490" w:rsidP="00F233CC">
            <w:pPr>
              <w:pStyle w:val="NotesText"/>
            </w:pPr>
            <w:r>
              <w:rPr>
                <w:vanish/>
              </w:rPr>
              <w:t>BR_</w:t>
            </w:r>
            <w:r w:rsidRPr="00707B78">
              <w:rPr>
                <w:vanish/>
              </w:rPr>
              <w:t>28.3</w:t>
            </w:r>
            <w:r w:rsidR="00324E04" w:rsidRPr="00707B78">
              <w:rPr>
                <w:vanish/>
              </w:rPr>
              <w:t xml:space="preserve">3 </w:t>
            </w:r>
            <w:r w:rsidRPr="005C1490">
              <w:t>A</w:t>
            </w:r>
            <w:r w:rsidR="00F233CC" w:rsidRPr="005C1490">
              <w:t xml:space="preserve"> </w:t>
            </w:r>
            <w:r>
              <w:t xml:space="preserve">reagent </w:t>
            </w:r>
            <w:r w:rsidR="00F233CC">
              <w:t xml:space="preserve">rack </w:t>
            </w:r>
            <w:r>
              <w:t>is</w:t>
            </w:r>
            <w:r w:rsidR="00F233CC">
              <w:t xml:space="preserve"> displayed on one of three tabs based on its testing status and the daily alert time setting:</w:t>
            </w:r>
          </w:p>
          <w:p w14:paraId="13C68379" w14:textId="77777777" w:rsidR="00F233CC" w:rsidRDefault="00F233CC" w:rsidP="00F233CC">
            <w:pPr>
              <w:pStyle w:val="NotesTextBullet"/>
            </w:pPr>
            <w:r>
              <w:t>Test Rack(s): the current alert time has passed and is/are considered “untested”</w:t>
            </w:r>
          </w:p>
          <w:p w14:paraId="41AE865C" w14:textId="3880B745" w:rsidR="00F233CC" w:rsidRDefault="00F233CC" w:rsidP="00F233CC">
            <w:pPr>
              <w:pStyle w:val="NotesTextBullet"/>
            </w:pPr>
            <w:r>
              <w:t xml:space="preserve">Partially tested: racks that have incomplete test results for the current </w:t>
            </w:r>
            <w:r w:rsidR="002E5AC8">
              <w:t>24-hour</w:t>
            </w:r>
            <w:r>
              <w:t xml:space="preserve"> time clock and are considered “untested”</w:t>
            </w:r>
          </w:p>
          <w:p w14:paraId="5F65433F" w14:textId="77777777" w:rsidR="00F233CC" w:rsidRDefault="00F233CC" w:rsidP="00F233CC">
            <w:pPr>
              <w:pStyle w:val="NotesTextBullet"/>
            </w:pPr>
            <w:r>
              <w:t>Retest Racks: racks that are fully tested within the current alert time and are available for new lot number selection and its testing.</w:t>
            </w:r>
          </w:p>
          <w:p w14:paraId="4AD1C132" w14:textId="77777777" w:rsidR="00503F5E" w:rsidRDefault="00503F5E" w:rsidP="00A013ED">
            <w:pPr>
              <w:pStyle w:val="NotesText"/>
            </w:pPr>
          </w:p>
          <w:p w14:paraId="6BED77EC" w14:textId="77777777" w:rsidR="00F233CC" w:rsidRPr="00503F5E" w:rsidRDefault="00503F5E" w:rsidP="00A013ED">
            <w:pPr>
              <w:pStyle w:val="NotesText"/>
            </w:pPr>
            <w:r w:rsidRPr="00503F5E">
              <w:t>The user may test a rack no earlier than the alert time for the next 24 hours</w:t>
            </w:r>
            <w:r>
              <w:t>.</w:t>
            </w:r>
            <w:r>
              <w:rPr>
                <w:vanish/>
              </w:rPr>
              <w:t xml:space="preserve"> DR 4014</w:t>
            </w:r>
          </w:p>
          <w:p w14:paraId="101E93FF" w14:textId="77777777" w:rsidR="00503F5E" w:rsidRDefault="00503F5E" w:rsidP="00A013ED">
            <w:pPr>
              <w:pStyle w:val="NotesText"/>
            </w:pPr>
          </w:p>
          <w:p w14:paraId="00204979" w14:textId="77777777" w:rsidR="00A013ED" w:rsidRDefault="00A013ED" w:rsidP="00A013ED">
            <w:pPr>
              <w:pStyle w:val="NotesText"/>
            </w:pPr>
            <w:r>
              <w:t>On occasion, a user may save a partially completed QC worksheet and finish it later. The same user or a different user may complete the testing.</w:t>
            </w:r>
          </w:p>
          <w:p w14:paraId="71AF6465" w14:textId="77777777" w:rsidR="00A013ED" w:rsidRDefault="00A013ED" w:rsidP="00A013ED">
            <w:pPr>
              <w:pStyle w:val="NotesText"/>
            </w:pPr>
          </w:p>
          <w:p w14:paraId="70AB74CB" w14:textId="77777777" w:rsidR="00A013ED" w:rsidRDefault="00A013ED" w:rsidP="00A013ED">
            <w:pPr>
              <w:pStyle w:val="NotesText"/>
            </w:pPr>
            <w:r>
              <w:t>The user may retest a rack when a reagent lot number changes after initial testing. VBECS does not allow the user to retest saved valid results.</w:t>
            </w:r>
          </w:p>
          <w:p w14:paraId="7CAC92F1" w14:textId="77777777" w:rsidR="00A013ED" w:rsidRDefault="00A013ED" w:rsidP="00A013ED">
            <w:pPr>
              <w:pStyle w:val="NotesText"/>
              <w:rPr>
                <w:vanish/>
                <w:szCs w:val="18"/>
              </w:rPr>
            </w:pPr>
          </w:p>
          <w:p w14:paraId="038E29DB" w14:textId="77777777" w:rsidR="002A21AE" w:rsidRDefault="002A21AE">
            <w:pPr>
              <w:pStyle w:val="NotesText"/>
            </w:pPr>
            <w:r>
              <w:rPr>
                <w:vanish/>
                <w:szCs w:val="18"/>
              </w:rPr>
              <w:t xml:space="preserve">PT_28.01 </w:t>
            </w:r>
            <w:r>
              <w:t xml:space="preserve">VBECS requires the user to indicate the rack identifier to provide a testing template for each daily reagent rack QC. </w:t>
            </w:r>
          </w:p>
          <w:p w14:paraId="7FE8653C" w14:textId="77777777" w:rsidR="002A21AE" w:rsidRDefault="002A21AE" w:rsidP="00995EAA">
            <w:pPr>
              <w:pStyle w:val="NotesText"/>
            </w:pPr>
          </w:p>
          <w:p w14:paraId="1180B539" w14:textId="77777777" w:rsidR="002A21AE" w:rsidRDefault="002A21AE">
            <w:pPr>
              <w:pStyle w:val="NotesText"/>
            </w:pPr>
            <w:r>
              <w:rPr>
                <w:rFonts w:cs="Arial"/>
                <w:vanish/>
                <w:szCs w:val="18"/>
              </w:rPr>
              <w:t>BR_28.11</w:t>
            </w:r>
            <w:r w:rsidR="00CE3961">
              <w:rPr>
                <w:rFonts w:cs="Arial"/>
                <w:vanish/>
                <w:szCs w:val="18"/>
              </w:rPr>
              <w:t>,</w:t>
            </w:r>
            <w:r>
              <w:rPr>
                <w:rFonts w:cs="Arial"/>
                <w:vanish/>
                <w:szCs w:val="18"/>
              </w:rPr>
              <w:t xml:space="preserve"> </w:t>
            </w:r>
            <w:r>
              <w:rPr>
                <w:vanish/>
                <w:szCs w:val="18"/>
              </w:rPr>
              <w:t xml:space="preserve">BR_28.23 </w:t>
            </w:r>
            <w:r>
              <w:t>Site settings determine reagent types and lot numbers present. VBECS displays only reagent types previously entered for the division using the reagent inventory function. VBECS allows entry of lot numbers only. When VBECS displays lot numbers for selection, it checks the inventory system for the reagent name and lot numbers in use in a rack. VBECS does not offer a reagent with an unsatisfactory value in the “Inspection” field or with a quantity of zero as a selectable reagent. The user cannot force the entry of a lot number that VBECS disallowed on the selection list. The user must choose a different reagent.</w:t>
            </w:r>
          </w:p>
          <w:p w14:paraId="11B4FA17" w14:textId="77777777" w:rsidR="002A21AE" w:rsidRDefault="002A21AE">
            <w:pPr>
              <w:pStyle w:val="NotesText"/>
            </w:pPr>
          </w:p>
          <w:p w14:paraId="66EB088A" w14:textId="77777777" w:rsidR="002A21AE" w:rsidRDefault="002A21AE">
            <w:pPr>
              <w:pStyle w:val="NotesText"/>
            </w:pPr>
            <w:r>
              <w:rPr>
                <w:rFonts w:cs="Arial"/>
                <w:vanish/>
              </w:rPr>
              <w:t xml:space="preserve">BR_28.24 </w:t>
            </w:r>
            <w:r w:rsidR="00D62E87" w:rsidRPr="00896F17">
              <w:rPr>
                <w:rStyle w:val="BullhornChar"/>
              </w:rPr>
              <w:t></w:t>
            </w:r>
            <w:r w:rsidR="00D62E87" w:rsidRPr="00D62E87">
              <w:rPr>
                <w:rFonts w:ascii="Webdings" w:hAnsi="Webdings"/>
              </w:rPr>
              <w:t></w:t>
            </w:r>
            <w:r w:rsidR="00D62E87" w:rsidRPr="00D62E87">
              <w:t>V</w:t>
            </w:r>
            <w:r>
              <w:t>BECS compares the expiration date of each reagent on the selected rack to the testing date, emits an audible alert, and warns when the reagent is expired.</w:t>
            </w:r>
          </w:p>
          <w:p w14:paraId="61B37B36" w14:textId="77777777" w:rsidR="002A21AE" w:rsidRDefault="002A21AE">
            <w:pPr>
              <w:pStyle w:val="NotesText"/>
            </w:pPr>
          </w:p>
          <w:p w14:paraId="3D8AA1BB" w14:textId="77777777" w:rsidR="002A21AE" w:rsidRDefault="002A21AE">
            <w:pPr>
              <w:pStyle w:val="NotesText"/>
            </w:pPr>
            <w:r>
              <w:rPr>
                <w:b/>
              </w:rPr>
              <w:t>Yes</w:t>
            </w:r>
            <w:r>
              <w:t xml:space="preserve"> requires a comment and VBECS captures details for inclusion in an Exception Report (exception type: expired reagent QC’d).</w:t>
            </w:r>
          </w:p>
          <w:p w14:paraId="0A6B57FB" w14:textId="77777777" w:rsidR="002A21AE" w:rsidRDefault="002A21AE">
            <w:pPr>
              <w:pStyle w:val="NotesText"/>
            </w:pPr>
          </w:p>
          <w:p w14:paraId="531AF1E1" w14:textId="77777777" w:rsidR="002A21AE" w:rsidRDefault="002A21AE">
            <w:pPr>
              <w:pStyle w:val="NotesText"/>
            </w:pPr>
            <w:r>
              <w:rPr>
                <w:b/>
              </w:rPr>
              <w:t>No</w:t>
            </w:r>
            <w:r>
              <w:t xml:space="preserve"> removes the unsatisfactory reagent from the daily QC rack. The user must select a new one. VBECS does not display unsatisfactory lot numbers.</w:t>
            </w:r>
          </w:p>
          <w:p w14:paraId="4BBE1955" w14:textId="77777777" w:rsidR="002A21AE" w:rsidRDefault="002A21AE">
            <w:pPr>
              <w:pStyle w:val="NotesText"/>
            </w:pPr>
          </w:p>
          <w:p w14:paraId="56DEAE7D" w14:textId="77777777" w:rsidR="002A21AE" w:rsidRDefault="002A21AE">
            <w:pPr>
              <w:pStyle w:val="NotesText"/>
            </w:pPr>
            <w:r>
              <w:rPr>
                <w:rFonts w:cs="Arial"/>
                <w:vanish/>
              </w:rPr>
              <w:t xml:space="preserve">BR_28.32 </w:t>
            </w:r>
            <w:r>
              <w:t>The user may enter the lot numbers of the reagents used for the daily QC rack and the lot numbers of the enhancement media reagents defined in Configure Daily QC. VBECS does not display these reagents on the reaction results grid for a rack.</w:t>
            </w:r>
          </w:p>
        </w:tc>
      </w:tr>
      <w:tr w:rsidR="002A21AE" w14:paraId="260979B4"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15E5864D" w14:textId="58EA3C71" w:rsidR="002A21AE" w:rsidRDefault="002A21AE">
            <w:pPr>
              <w:pStyle w:val="TableTextNumbers"/>
            </w:pPr>
            <w:r>
              <w:t>Select a wo</w:t>
            </w:r>
            <w:r w:rsidR="0086218A">
              <w:t>rksheet to complete the testing</w:t>
            </w:r>
            <w:r w:rsidR="00F20BC5">
              <w:t xml:space="preserve"> (</w:t>
            </w:r>
            <w:r w:rsidR="00EE455E">
              <w:t xml:space="preserve">Figure </w:t>
            </w:r>
            <w:r w:rsidR="00EE455E">
              <w:rPr>
                <w:noProof/>
              </w:rPr>
              <w:t>38</w:t>
            </w:r>
            <w:r w:rsidR="00F20BC5">
              <w:t>)</w:t>
            </w:r>
            <w:r w:rsidR="0086218A">
              <w:t>, or</w:t>
            </w:r>
          </w:p>
          <w:p w14:paraId="215DEDB3" w14:textId="77777777" w:rsidR="0086218A" w:rsidRDefault="0086218A" w:rsidP="0086218A">
            <w:pPr>
              <w:pStyle w:val="TableTextNumbersContinued"/>
            </w:pPr>
          </w:p>
          <w:p w14:paraId="2B74A892" w14:textId="77777777" w:rsidR="002A21AE" w:rsidRDefault="0086218A" w:rsidP="001D6DF1">
            <w:pPr>
              <w:pStyle w:val="TableTextNumbersContinued"/>
            </w:pPr>
            <w:r>
              <w:rPr>
                <w:rFonts w:cs="Arial"/>
                <w:vanish/>
              </w:rPr>
              <w:t xml:space="preserve">BR_28.05 </w:t>
            </w:r>
            <w:r>
              <w:t xml:space="preserve">Click the </w:t>
            </w:r>
            <w:r w:rsidRPr="0086218A">
              <w:rPr>
                <w:b/>
              </w:rPr>
              <w:t xml:space="preserve">Rack not in use today </w:t>
            </w:r>
            <w:r w:rsidRPr="00D1100E">
              <w:t>check box</w:t>
            </w:r>
            <w:r>
              <w:t xml:space="preserve"> to indicate that testing of a rack will not be performed.</w:t>
            </w:r>
          </w:p>
          <w:p w14:paraId="3573B9E3" w14:textId="77777777" w:rsidR="006D3D24" w:rsidRDefault="006D3D24" w:rsidP="001D6DF1">
            <w:pPr>
              <w:pStyle w:val="TableTextNumbersContinued"/>
            </w:pPr>
          </w:p>
          <w:p w14:paraId="33AF12EE" w14:textId="77777777" w:rsidR="006D3D24" w:rsidRPr="006D3D24" w:rsidRDefault="006D3D24" w:rsidP="006D3D24">
            <w:pPr>
              <w:pStyle w:val="TableTextNumbersContinued"/>
            </w:pPr>
            <w:r>
              <w:rPr>
                <w:vanish/>
              </w:rPr>
              <w:t xml:space="preserve">BR_28.34 </w:t>
            </w:r>
            <w:r>
              <w:t xml:space="preserve">Click the </w:t>
            </w:r>
            <w:r>
              <w:rPr>
                <w:b/>
              </w:rPr>
              <w:t>QC Testing Documentation Offline</w:t>
            </w:r>
            <w:r>
              <w:t xml:space="preserve"> check box to acknowledge QC is not performed in VBECS but has been properly documented.</w:t>
            </w:r>
            <w:r w:rsidR="00D827B9">
              <w:t xml:space="preserve"> Click </w:t>
            </w:r>
            <w:r w:rsidR="00D827B9" w:rsidRPr="00D827B9">
              <w:rPr>
                <w:b/>
              </w:rPr>
              <w:t>Yes</w:t>
            </w:r>
            <w:r w:rsidR="00D827B9">
              <w:t xml:space="preserve"> to save changes. Close the window.</w:t>
            </w:r>
          </w:p>
        </w:tc>
        <w:tc>
          <w:tcPr>
            <w:tcW w:w="6356" w:type="dxa"/>
            <w:tcBorders>
              <w:top w:val="single" w:sz="4" w:space="0" w:color="auto"/>
              <w:left w:val="single" w:sz="4" w:space="0" w:color="auto"/>
              <w:bottom w:val="single" w:sz="4" w:space="0" w:color="auto"/>
              <w:right w:val="single" w:sz="4" w:space="0" w:color="auto"/>
            </w:tcBorders>
          </w:tcPr>
          <w:p w14:paraId="5E7609A7" w14:textId="77777777" w:rsidR="002A21AE" w:rsidRDefault="002A21AE">
            <w:pPr>
              <w:pStyle w:val="TableTextBullet"/>
            </w:pPr>
            <w:r>
              <w:t>Displays the selected worksheet.</w:t>
            </w:r>
          </w:p>
          <w:p w14:paraId="715D39A9" w14:textId="77777777" w:rsidR="002A21AE" w:rsidRDefault="002A21AE">
            <w:pPr>
              <w:pStyle w:val="TableTextBullet"/>
            </w:pPr>
            <w:r>
              <w:t>Displays the selected partially completed worksheet with the option to cancel the worksheet or continue to enter more testing information.</w:t>
            </w:r>
          </w:p>
          <w:p w14:paraId="2079FB1D" w14:textId="77777777" w:rsidR="002A21AE" w:rsidRDefault="002A21AE">
            <w:pPr>
              <w:pStyle w:val="TableText"/>
            </w:pPr>
          </w:p>
          <w:p w14:paraId="02A33E9D" w14:textId="216236AD" w:rsidR="002A21AE" w:rsidRDefault="002A21AE">
            <w:pPr>
              <w:pStyle w:val="TableText"/>
              <w:rPr>
                <w:b/>
                <w:bCs/>
                <w:szCs w:val="18"/>
              </w:rPr>
            </w:pPr>
            <w:r>
              <w:rPr>
                <w:b/>
                <w:bCs/>
                <w:szCs w:val="18"/>
              </w:rPr>
              <w:t>NOTES</w:t>
            </w:r>
          </w:p>
          <w:p w14:paraId="4BA5AD8E" w14:textId="77777777" w:rsidR="002A21AE" w:rsidRDefault="002A21AE">
            <w:pPr>
              <w:pStyle w:val="NotesText"/>
            </w:pPr>
          </w:p>
          <w:p w14:paraId="2DFFF3FC" w14:textId="77777777" w:rsidR="00CF0BDB" w:rsidRDefault="006D3D24">
            <w:pPr>
              <w:pStyle w:val="NotesText"/>
              <w:rPr>
                <w:rFonts w:cs="Arial"/>
              </w:rPr>
            </w:pPr>
            <w:r>
              <w:rPr>
                <w:rFonts w:cs="Arial"/>
              </w:rPr>
              <w:t xml:space="preserve">When the QC Testing Documentation Offline check box is checked </w:t>
            </w:r>
            <w:r w:rsidR="00CF0BDB">
              <w:rPr>
                <w:rFonts w:cs="Arial"/>
              </w:rPr>
              <w:t>for a reagent rack</w:t>
            </w:r>
            <w:r w:rsidR="00FE130E">
              <w:rPr>
                <w:rFonts w:cs="Arial"/>
              </w:rPr>
              <w:t>,</w:t>
            </w:r>
            <w:r w:rsidR="00CF0BDB">
              <w:rPr>
                <w:rFonts w:cs="Arial"/>
              </w:rPr>
              <w:t xml:space="preserve"> VBECS allows the rack to be used for patient testing until the next daily alert time.</w:t>
            </w:r>
          </w:p>
          <w:p w14:paraId="4F3FDB65" w14:textId="77777777" w:rsidR="006D3D24" w:rsidRPr="006D3D24" w:rsidRDefault="006D3D24">
            <w:pPr>
              <w:pStyle w:val="NotesText"/>
              <w:rPr>
                <w:rFonts w:cs="Arial"/>
              </w:rPr>
            </w:pPr>
            <w:r>
              <w:rPr>
                <w:rFonts w:cs="Arial"/>
              </w:rPr>
              <w:t xml:space="preserve"> </w:t>
            </w:r>
          </w:p>
          <w:p w14:paraId="5FD08B27" w14:textId="77777777" w:rsidR="002A21AE" w:rsidRDefault="00E10815">
            <w:pPr>
              <w:pStyle w:val="NotesText"/>
            </w:pPr>
            <w:r>
              <w:t>The primary lot number can be tested and changed and the results for both will display on the Testing Worklist Report.</w:t>
            </w:r>
          </w:p>
          <w:p w14:paraId="5E7752B9" w14:textId="77777777" w:rsidR="002A21AE" w:rsidRDefault="002A21AE">
            <w:pPr>
              <w:pStyle w:val="NotesText"/>
            </w:pPr>
          </w:p>
          <w:p w14:paraId="22AD7134" w14:textId="77777777" w:rsidR="002A21AE" w:rsidRDefault="00D62E87">
            <w:pPr>
              <w:pStyle w:val="NotesText"/>
            </w:pPr>
            <w:r w:rsidRPr="00896F17">
              <w:rPr>
                <w:rStyle w:val="BullhornChar"/>
              </w:rPr>
              <w:t></w:t>
            </w:r>
            <w:r w:rsidRPr="00D62E87">
              <w:rPr>
                <w:rFonts w:ascii="Webdings" w:hAnsi="Webdings"/>
              </w:rPr>
              <w:t></w:t>
            </w:r>
            <w:r w:rsidR="002A21AE">
              <w:t>A user may cancel or invalidate a partially completed QC rack worksheet when it is available. VBECS emits an audible alert and warns that invalidating this worksheet will necessitate starting over and asks whether the user wishes to continue.</w:t>
            </w:r>
          </w:p>
          <w:p w14:paraId="72DCA43D" w14:textId="77777777" w:rsidR="002A21AE" w:rsidRDefault="002A21AE">
            <w:pPr>
              <w:pStyle w:val="NotesText"/>
            </w:pPr>
          </w:p>
          <w:p w14:paraId="1595BBE3" w14:textId="77777777" w:rsidR="002A21AE" w:rsidRDefault="002A21AE">
            <w:pPr>
              <w:pStyle w:val="NotesText"/>
            </w:pPr>
            <w:r>
              <w:rPr>
                <w:b/>
              </w:rPr>
              <w:t>No</w:t>
            </w:r>
            <w:r>
              <w:t xml:space="preserve"> returns the user to the partially </w:t>
            </w:r>
            <w:proofErr w:type="gramStart"/>
            <w:r>
              <w:t>partially-completed</w:t>
            </w:r>
            <w:proofErr w:type="gramEnd"/>
            <w:r>
              <w:t xml:space="preserve"> worksheet. </w:t>
            </w:r>
          </w:p>
          <w:p w14:paraId="2C55B388" w14:textId="77777777" w:rsidR="002A21AE" w:rsidRDefault="002A21AE">
            <w:pPr>
              <w:pStyle w:val="NotesText"/>
            </w:pPr>
            <w:r>
              <w:rPr>
                <w:b/>
              </w:rPr>
              <w:t>Yes</w:t>
            </w:r>
            <w:r>
              <w:t xml:space="preserve"> invalidates the worksheet. VBECS does not delete reaction results from the database. </w:t>
            </w:r>
          </w:p>
          <w:p w14:paraId="6ED5277E" w14:textId="77777777" w:rsidR="002A21AE" w:rsidRDefault="002A21AE">
            <w:pPr>
              <w:pStyle w:val="NotesText"/>
            </w:pPr>
          </w:p>
          <w:p w14:paraId="02590ABB" w14:textId="77777777" w:rsidR="002A21AE" w:rsidRDefault="002A21AE">
            <w:pPr>
              <w:pStyle w:val="NotesText"/>
            </w:pPr>
            <w:r>
              <w:t>An Exception Report comment documents the invalidation of the rack’s worksheet. VBECS does not record workload calculation for invalidated testing. The invalidated reaction results and associated testing information remain in the database for future retrieval (exception type: deletion of partially completed QC).</w:t>
            </w:r>
          </w:p>
          <w:p w14:paraId="2CFD6873" w14:textId="77777777" w:rsidR="002A21AE" w:rsidRDefault="002A21AE">
            <w:pPr>
              <w:pStyle w:val="NotesText"/>
            </w:pPr>
          </w:p>
          <w:p w14:paraId="109CC652" w14:textId="77777777" w:rsidR="002A21AE" w:rsidRDefault="002A21AE">
            <w:pPr>
              <w:pStyle w:val="NotesText"/>
            </w:pPr>
            <w:r>
              <w:rPr>
                <w:rFonts w:cs="Arial"/>
                <w:vanish/>
              </w:rPr>
              <w:t xml:space="preserve">BR_28.12 </w:t>
            </w:r>
            <w:r w:rsidR="00D62E87" w:rsidRPr="00896F17">
              <w:rPr>
                <w:rStyle w:val="BullhornChar"/>
              </w:rPr>
              <w:t></w:t>
            </w:r>
            <w:r w:rsidR="00D62E87" w:rsidRPr="00D62E87">
              <w:rPr>
                <w:rFonts w:ascii="Webdings" w:hAnsi="Webdings"/>
              </w:rPr>
              <w:t></w:t>
            </w:r>
            <w:r w:rsidR="00D62E87" w:rsidRPr="00D62E87">
              <w:t>V</w:t>
            </w:r>
            <w:r>
              <w:t xml:space="preserve">BECS compares the results entered to those of the previous day for the same rack number and alerts the user when there is a </w:t>
            </w:r>
            <w:r w:rsidR="001F4C96">
              <w:t>change</w:t>
            </w:r>
            <w:r>
              <w:t xml:space="preserve"> in reactivity of two or more </w:t>
            </w:r>
            <w:r w:rsidR="001F4C96">
              <w:t>or when the result is changed from positive to negative</w:t>
            </w:r>
            <w:r>
              <w:t xml:space="preserve"> for each reagent type by lot number. VBECS </w:t>
            </w:r>
            <w:r>
              <w:rPr>
                <w:noProof/>
              </w:rPr>
              <w:t>emits an audible a</w:t>
            </w:r>
            <w:r w:rsidR="000C0766">
              <w:rPr>
                <w:noProof/>
              </w:rPr>
              <w:t xml:space="preserve">lert and warns that there is a </w:t>
            </w:r>
            <w:r w:rsidR="000C0766">
              <w:t>decrease</w:t>
            </w:r>
            <w:r>
              <w:t xml:space="preserve"> in reagent reactivity of two or more and asks whether the user wishes to continue to use this vial.</w:t>
            </w:r>
          </w:p>
          <w:p w14:paraId="6970E74B" w14:textId="77777777" w:rsidR="002A21AE" w:rsidRDefault="002A21AE">
            <w:pPr>
              <w:pStyle w:val="NotesText"/>
            </w:pPr>
          </w:p>
          <w:p w14:paraId="2B66083B" w14:textId="77777777" w:rsidR="002A21AE" w:rsidRDefault="002A21AE">
            <w:pPr>
              <w:pStyle w:val="NotesText"/>
            </w:pPr>
            <w:r>
              <w:rPr>
                <w:b/>
              </w:rPr>
              <w:t>Yes</w:t>
            </w:r>
            <w:r>
              <w:t xml:space="preserve"> allows the user to continue and requires a comment. VBECS captures details for inclusion in an Exception Report and allows this reagent to be used with the change (within acceptable limits) (exception type: QC decrease reagent reactivity </w:t>
            </w:r>
            <w:r w:rsidR="00DE5EF3" w:rsidRPr="00DE5EF3">
              <w:rPr>
                <w:rStyle w:val="Char"/>
                <w:rFonts w:cs="Arial"/>
                <w:sz w:val="18"/>
                <w:szCs w:val="18"/>
              </w:rPr>
              <w:t>≥</w:t>
            </w:r>
            <w:r>
              <w:t>2).</w:t>
            </w:r>
            <w:r w:rsidR="00DE5EF3">
              <w:t xml:space="preserve"> </w:t>
            </w:r>
          </w:p>
          <w:p w14:paraId="04568D10" w14:textId="77777777" w:rsidR="002A21AE" w:rsidRDefault="002A21AE">
            <w:pPr>
              <w:pStyle w:val="NotesText"/>
            </w:pPr>
          </w:p>
          <w:p w14:paraId="076E592F" w14:textId="77777777" w:rsidR="002A21AE" w:rsidRDefault="002A21AE">
            <w:pPr>
              <w:pStyle w:val="NotesText"/>
            </w:pPr>
            <w:r>
              <w:rPr>
                <w:b/>
              </w:rPr>
              <w:t>No</w:t>
            </w:r>
            <w:r>
              <w:t xml:space="preserve"> allows the user to return to the lot number entry for this reagent type and approve this lot number (different vial) or enter a new lot number. VBECS returns to the testing worksheet where the user left off. (An individual vial of the same lot number may replace the one losing its reactivity.)</w:t>
            </w:r>
          </w:p>
          <w:p w14:paraId="2F6026A8" w14:textId="77777777" w:rsidR="002A21AE" w:rsidRDefault="002A21AE">
            <w:pPr>
              <w:pStyle w:val="NotesText"/>
            </w:pPr>
          </w:p>
          <w:p w14:paraId="16B7D8EB" w14:textId="77777777" w:rsidR="002A21AE" w:rsidRDefault="002A21AE">
            <w:pPr>
              <w:pStyle w:val="NotesText"/>
            </w:pPr>
            <w:r>
              <w:rPr>
                <w:rFonts w:cs="Arial"/>
                <w:vanish/>
              </w:rPr>
              <w:t>BR_28.30</w:t>
            </w:r>
            <w:r w:rsidR="00C852BF">
              <w:rPr>
                <w:rFonts w:cs="Arial"/>
                <w:vanish/>
              </w:rPr>
              <w:t>,</w:t>
            </w:r>
            <w:r>
              <w:rPr>
                <w:rFonts w:cs="Arial"/>
                <w:vanish/>
              </w:rPr>
              <w:t xml:space="preserve"> </w:t>
            </w:r>
            <w:r w:rsidR="00C852BF">
              <w:rPr>
                <w:rFonts w:cs="Arial"/>
                <w:vanish/>
              </w:rPr>
              <w:t>BR_28.31</w:t>
            </w:r>
            <w:r>
              <w:t xml:space="preserve">The </w:t>
            </w:r>
            <w:r w:rsidR="00C377F3">
              <w:t>s</w:t>
            </w:r>
            <w:r>
              <w:t xml:space="preserve">creening </w:t>
            </w:r>
            <w:r w:rsidR="00C377F3">
              <w:t>c</w:t>
            </w:r>
            <w:r w:rsidR="00F20BC5">
              <w:t>ell</w:t>
            </w:r>
            <w:r w:rsidR="00462FB1">
              <w:t xml:space="preserve"> and reverse typing</w:t>
            </w:r>
            <w:r>
              <w:t xml:space="preserve"> reagents are delivered in set</w:t>
            </w:r>
            <w:r w:rsidR="00462FB1">
              <w:t>s</w:t>
            </w:r>
            <w:r>
              <w:t xml:space="preserve"> and share the same lot number; therefore, VBECS displays only one reagent type on the lot number template.</w:t>
            </w:r>
          </w:p>
        </w:tc>
      </w:tr>
      <w:tr w:rsidR="002A21AE" w14:paraId="7C6BD218" w14:textId="77777777" w:rsidTr="007E500E">
        <w:trPr>
          <w:cantSplit/>
        </w:trPr>
        <w:tc>
          <w:tcPr>
            <w:tcW w:w="3240" w:type="dxa"/>
          </w:tcPr>
          <w:p w14:paraId="548EA90F" w14:textId="77777777" w:rsidR="00A83F42" w:rsidRDefault="00A83F42" w:rsidP="00A83F42">
            <w:pPr>
              <w:pStyle w:val="TableTextNumbers"/>
            </w:pPr>
            <w:r>
              <w:t>Verify or select from the drop-down menu the reagent type lot number and test method for each rack chosen for processing.</w:t>
            </w:r>
          </w:p>
          <w:p w14:paraId="7FF886E7" w14:textId="77777777" w:rsidR="00107CEB" w:rsidRDefault="00107CEB" w:rsidP="00107CEB">
            <w:pPr>
              <w:pStyle w:val="TableTextNumbersContinued"/>
            </w:pPr>
          </w:p>
          <w:p w14:paraId="7C5C3FAE" w14:textId="77777777" w:rsidR="00107CEB" w:rsidRDefault="00A83F42" w:rsidP="00107CEB">
            <w:pPr>
              <w:pStyle w:val="TableTextNumbersContinued"/>
            </w:pPr>
            <w:r>
              <w:t xml:space="preserve">Click </w:t>
            </w:r>
            <w:r w:rsidRPr="001272CA">
              <w:rPr>
                <w:b/>
              </w:rPr>
              <w:t>OK</w:t>
            </w:r>
            <w:r>
              <w:t>.</w:t>
            </w:r>
          </w:p>
          <w:p w14:paraId="7A03E879" w14:textId="77777777" w:rsidR="00107CEB" w:rsidRDefault="00107CEB" w:rsidP="00A83F42">
            <w:pPr>
              <w:pStyle w:val="TableTextNumbersContinued"/>
            </w:pPr>
          </w:p>
        </w:tc>
        <w:tc>
          <w:tcPr>
            <w:tcW w:w="6356" w:type="dxa"/>
          </w:tcPr>
          <w:p w14:paraId="02FA6A50" w14:textId="77777777" w:rsidR="00A83F42" w:rsidRDefault="00A83F42" w:rsidP="00A83F42">
            <w:pPr>
              <w:pStyle w:val="TableTextBullet"/>
            </w:pPr>
            <w:r>
              <w:t xml:space="preserve">Displays the lot numbers and expiration dates for verification, if any. </w:t>
            </w:r>
          </w:p>
          <w:p w14:paraId="5BCD3862" w14:textId="77777777" w:rsidR="00687D72" w:rsidRDefault="00687D72" w:rsidP="00A83F42">
            <w:pPr>
              <w:pStyle w:val="TableTextBullet"/>
            </w:pPr>
            <w:r>
              <w:t>Displays each rack in its own tab.</w:t>
            </w:r>
          </w:p>
          <w:p w14:paraId="6AF8DFB8" w14:textId="77777777" w:rsidR="00A83F42" w:rsidRDefault="00A83F42" w:rsidP="00A83F42">
            <w:pPr>
              <w:pStyle w:val="TableText"/>
            </w:pPr>
          </w:p>
          <w:p w14:paraId="68AB77B3" w14:textId="4FD85001" w:rsidR="00A83F42" w:rsidRDefault="00A83F42" w:rsidP="00A83F42">
            <w:pPr>
              <w:pStyle w:val="TableText"/>
              <w:rPr>
                <w:b/>
                <w:bCs/>
                <w:szCs w:val="18"/>
              </w:rPr>
            </w:pPr>
            <w:r>
              <w:rPr>
                <w:b/>
                <w:bCs/>
                <w:szCs w:val="18"/>
              </w:rPr>
              <w:t>NOTES</w:t>
            </w:r>
          </w:p>
          <w:p w14:paraId="151BF090" w14:textId="77777777" w:rsidR="00A83F42" w:rsidRDefault="00A83F42" w:rsidP="00A83F42">
            <w:pPr>
              <w:pStyle w:val="NotesText"/>
            </w:pPr>
          </w:p>
          <w:p w14:paraId="6BE87251" w14:textId="77777777" w:rsidR="00A83F42" w:rsidRDefault="00A83F42" w:rsidP="00A83F42">
            <w:pPr>
              <w:pStyle w:val="NotesText"/>
            </w:pPr>
            <w:r>
              <w:rPr>
                <w:vanish/>
                <w:szCs w:val="18"/>
              </w:rPr>
              <w:t>BR_28.02</w:t>
            </w:r>
            <w:r w:rsidR="00CE3961">
              <w:rPr>
                <w:vanish/>
                <w:szCs w:val="18"/>
              </w:rPr>
              <w:t>,</w:t>
            </w:r>
            <w:r>
              <w:rPr>
                <w:vanish/>
                <w:szCs w:val="18"/>
              </w:rPr>
              <w:t xml:space="preserve"> BR_28.03 </w:t>
            </w:r>
            <w:r>
              <w:t xml:space="preserve">VBECS allows for one lot number entry per reagent type per rack template. </w:t>
            </w:r>
          </w:p>
          <w:p w14:paraId="4F767B7F" w14:textId="77777777" w:rsidR="00A83F42" w:rsidRDefault="00A83F42" w:rsidP="00A83F42">
            <w:pPr>
              <w:pStyle w:val="NotesText"/>
              <w:rPr>
                <w:rFonts w:cs="Arial"/>
                <w:vanish/>
              </w:rPr>
            </w:pPr>
          </w:p>
          <w:p w14:paraId="0F6C8A89" w14:textId="77777777" w:rsidR="002A21AE" w:rsidRDefault="00A83F42" w:rsidP="00A83F42">
            <w:pPr>
              <w:pStyle w:val="NotesText"/>
            </w:pPr>
            <w:r>
              <w:rPr>
                <w:rFonts w:cs="Arial"/>
                <w:vanish/>
              </w:rPr>
              <w:t xml:space="preserve">BR_28.13 </w:t>
            </w:r>
            <w:r>
              <w:t xml:space="preserve">When an entry was made, VBECS fills in the reagent type lot number, the expiration date of that lot number, and the manufacturer. The user may edit the lot number. </w:t>
            </w:r>
            <w:r w:rsidR="002A21AE">
              <w:t>The user must verify the lot numbers of racks in the selected batch before VBECS allows the user to move to the reaction results grids.</w:t>
            </w:r>
          </w:p>
          <w:p w14:paraId="520B639D" w14:textId="77777777" w:rsidR="002A21AE" w:rsidRDefault="002A21AE">
            <w:pPr>
              <w:pStyle w:val="NotesText"/>
            </w:pPr>
          </w:p>
          <w:p w14:paraId="19F96092" w14:textId="77777777" w:rsidR="002A21AE" w:rsidRDefault="002A21AE">
            <w:pPr>
              <w:pStyle w:val="NotesText"/>
            </w:pPr>
            <w:r>
              <w:rPr>
                <w:rFonts w:cs="Arial"/>
                <w:vanish/>
              </w:rPr>
              <w:t xml:space="preserve">BR_28.15 </w:t>
            </w:r>
            <w:r>
              <w:t xml:space="preserve">Each reagent rack has a separate reaction results grid to collect the user’s direct observations. </w:t>
            </w:r>
            <w:r>
              <w:rPr>
                <w:vanish/>
                <w:szCs w:val="18"/>
              </w:rPr>
              <w:t>See PT_28.02 Commercial QC Kit in Use and PT_28.03 Non-Commercial Daily QC Template.</w:t>
            </w:r>
          </w:p>
          <w:p w14:paraId="0EFA6F0C" w14:textId="77777777" w:rsidR="002A21AE" w:rsidRDefault="002A21AE">
            <w:pPr>
              <w:pStyle w:val="NotesText"/>
            </w:pPr>
          </w:p>
          <w:p w14:paraId="3882E711" w14:textId="77777777" w:rsidR="002A21AE" w:rsidRDefault="002A21AE">
            <w:pPr>
              <w:pStyle w:val="NotesText"/>
              <w:rPr>
                <w:vanish/>
                <w:szCs w:val="18"/>
              </w:rPr>
            </w:pPr>
            <w:r>
              <w:rPr>
                <w:rFonts w:cs="Arial"/>
                <w:vanish/>
              </w:rPr>
              <w:t xml:space="preserve">BR_51.10 </w:t>
            </w:r>
            <w:r>
              <w:t>VBECS displays reagent types (except for the gel and the instrument lot numbers) listed as REQUIRED (by VBECS or by the user) in the daily use field on the rack lot number template and the reaction result entry worksheet for each rack in Enter Daily QC Results.</w:t>
            </w:r>
          </w:p>
          <w:p w14:paraId="10E74A80" w14:textId="77777777" w:rsidR="00DF355E" w:rsidRDefault="00DF355E" w:rsidP="00DF355E">
            <w:pPr>
              <w:pStyle w:val="NotesText"/>
            </w:pPr>
          </w:p>
          <w:p w14:paraId="1421C361" w14:textId="77777777" w:rsidR="00DF355E" w:rsidRDefault="00DF355E" w:rsidP="00DF355E">
            <w:pPr>
              <w:pStyle w:val="NotesText"/>
            </w:pPr>
            <w:r>
              <w:rPr>
                <w:vanish/>
                <w:szCs w:val="18"/>
              </w:rPr>
              <w:t>BR_28.06</w:t>
            </w:r>
            <w:r w:rsidR="00CE3961">
              <w:rPr>
                <w:vanish/>
                <w:szCs w:val="18"/>
              </w:rPr>
              <w:t>,</w:t>
            </w:r>
            <w:r>
              <w:rPr>
                <w:vanish/>
                <w:szCs w:val="18"/>
              </w:rPr>
              <w:t xml:space="preserve"> BR_28.07 </w:t>
            </w:r>
            <w:r>
              <w:t xml:space="preserve">When a rack is tested, VBECS displays a retest option at the daily reagent QC prompt with the untested rack numbers. When a user requests to retest a rack on a given date, VBECS displays the option to reenter a lot number for reagent types for all or part of the daily QC with a comment. All other reagent type results previously entered are locked and may not be edited. VBECS saves the new information and the original data, then generates a report entry. </w:t>
            </w:r>
          </w:p>
          <w:p w14:paraId="6E512086" w14:textId="77777777" w:rsidR="00DF355E" w:rsidRDefault="00DF355E" w:rsidP="00DF355E">
            <w:pPr>
              <w:pStyle w:val="NotesText"/>
            </w:pPr>
          </w:p>
          <w:p w14:paraId="69CB4C1A" w14:textId="521A0DD0" w:rsidR="001055DF" w:rsidRDefault="00DF355E">
            <w:pPr>
              <w:pStyle w:val="NotesText"/>
              <w:rPr>
                <w:vanish/>
                <w:szCs w:val="18"/>
              </w:rPr>
            </w:pPr>
            <w:r>
              <w:t>When a user changes a reagent lot number, VBECS clears the testing template for that reagent type and allows the user to enter new results.</w:t>
            </w:r>
          </w:p>
          <w:p w14:paraId="3A2CAAEC" w14:textId="487A5168" w:rsidR="001055DF" w:rsidRDefault="001055DF">
            <w:pPr>
              <w:pStyle w:val="NotesText"/>
              <w:rPr>
                <w:vanish/>
                <w:szCs w:val="18"/>
              </w:rPr>
            </w:pPr>
          </w:p>
          <w:p w14:paraId="5CFB08B7" w14:textId="1E8163CE" w:rsidR="002A21AE" w:rsidRDefault="001055DF">
            <w:pPr>
              <w:pStyle w:val="NotesText"/>
              <w:rPr>
                <w:vanish/>
                <w:szCs w:val="18"/>
              </w:rPr>
            </w:pPr>
            <w:r>
              <w:rPr>
                <w:vanish/>
                <w:szCs w:val="18"/>
              </w:rPr>
              <w:t>TT</w:t>
            </w:r>
            <w:r w:rsidR="002A21AE">
              <w:rPr>
                <w:vanish/>
                <w:szCs w:val="18"/>
              </w:rPr>
              <w:t xml:space="preserve">_28.01 Daily QC Using a Commercial QC Template or PT_28.02 Commercial QC Kit </w:t>
            </w:r>
          </w:p>
          <w:p w14:paraId="258A4E17" w14:textId="77777777" w:rsidR="002A21AE" w:rsidRDefault="002A21AE">
            <w:pPr>
              <w:pStyle w:val="NotesText"/>
              <w:rPr>
                <w:vanish/>
                <w:szCs w:val="18"/>
              </w:rPr>
            </w:pPr>
          </w:p>
          <w:p w14:paraId="45E29AA0" w14:textId="77777777" w:rsidR="002A21AE" w:rsidRDefault="002A21AE">
            <w:pPr>
              <w:pStyle w:val="NotesText"/>
              <w:rPr>
                <w:vanish/>
                <w:szCs w:val="18"/>
              </w:rPr>
            </w:pPr>
            <w:r>
              <w:rPr>
                <w:vanish/>
                <w:szCs w:val="18"/>
              </w:rPr>
              <w:t>TT_28.02 Daily QC Using Non-Commercial QC Template</w:t>
            </w:r>
          </w:p>
          <w:p w14:paraId="2152D6E6" w14:textId="77777777" w:rsidR="002A21AE" w:rsidRDefault="002A21AE">
            <w:pPr>
              <w:pStyle w:val="NotesText"/>
              <w:rPr>
                <w:vanish/>
                <w:szCs w:val="18"/>
              </w:rPr>
            </w:pPr>
          </w:p>
          <w:p w14:paraId="020B092E" w14:textId="77777777" w:rsidR="002A21AE" w:rsidRDefault="002A21AE">
            <w:pPr>
              <w:pStyle w:val="NotesText"/>
            </w:pPr>
            <w:r>
              <w:rPr>
                <w:vanish/>
                <w:szCs w:val="18"/>
              </w:rPr>
              <w:t>PT_28.03 Non-Commercial Daily QC Template</w:t>
            </w:r>
          </w:p>
        </w:tc>
      </w:tr>
      <w:tr w:rsidR="002A21AE" w14:paraId="2B4763C8" w14:textId="77777777" w:rsidTr="007E500E">
        <w:trPr>
          <w:cantSplit/>
        </w:trPr>
        <w:tc>
          <w:tcPr>
            <w:tcW w:w="3240" w:type="dxa"/>
          </w:tcPr>
          <w:p w14:paraId="4F67DF40" w14:textId="6E7D9726" w:rsidR="002A21AE" w:rsidRDefault="002A21AE">
            <w:pPr>
              <w:pStyle w:val="TableTextNumbers"/>
            </w:pPr>
            <w:r>
              <w:t>Enter the observed serologic reacti</w:t>
            </w:r>
            <w:r w:rsidR="009C1A31">
              <w:t>ons</w:t>
            </w:r>
            <w:r w:rsidR="00462FB1">
              <w:t xml:space="preserve"> (</w:t>
            </w:r>
            <w:r w:rsidR="00EE455E">
              <w:t xml:space="preserve">Figure </w:t>
            </w:r>
            <w:r w:rsidR="00EE455E">
              <w:rPr>
                <w:noProof/>
              </w:rPr>
              <w:t>39</w:t>
            </w:r>
            <w:r w:rsidR="00462FB1">
              <w:t>)</w:t>
            </w:r>
            <w:r>
              <w:t>.</w:t>
            </w:r>
          </w:p>
          <w:p w14:paraId="5EEC86D2" w14:textId="77777777" w:rsidR="007D23B5" w:rsidRDefault="007D23B5" w:rsidP="007D23B5">
            <w:pPr>
              <w:pStyle w:val="TableTextNumbersContinued"/>
            </w:pPr>
          </w:p>
          <w:p w14:paraId="32FD07B2" w14:textId="77777777" w:rsidR="007D23B5" w:rsidRDefault="007D23B5" w:rsidP="007D23B5">
            <w:pPr>
              <w:pStyle w:val="TableTextNumbersContinued"/>
            </w:pPr>
            <w:r>
              <w:t xml:space="preserve">Click </w:t>
            </w:r>
            <w:r w:rsidRPr="007D23B5">
              <w:rPr>
                <w:b/>
              </w:rPr>
              <w:t>OK</w:t>
            </w:r>
            <w:r>
              <w:t xml:space="preserve"> and </w:t>
            </w:r>
            <w:r w:rsidRPr="007D23B5">
              <w:rPr>
                <w:b/>
              </w:rPr>
              <w:t>Yes</w:t>
            </w:r>
            <w:r>
              <w:t xml:space="preserve"> to save</w:t>
            </w:r>
            <w:r w:rsidR="00281172">
              <w:t xml:space="preserve"> and exit</w:t>
            </w:r>
            <w:r>
              <w:t>.</w:t>
            </w:r>
          </w:p>
          <w:p w14:paraId="301D1699" w14:textId="77777777" w:rsidR="00881170" w:rsidRDefault="00881170" w:rsidP="00881170">
            <w:pPr>
              <w:pStyle w:val="TableTextNumbersContinued"/>
            </w:pPr>
          </w:p>
          <w:p w14:paraId="66F8CABD" w14:textId="77777777" w:rsidR="00881170" w:rsidRDefault="00881170" w:rsidP="00881170">
            <w:pPr>
              <w:pStyle w:val="TableTextNumbersContinued"/>
            </w:pPr>
            <w:r>
              <w:t xml:space="preserve">Repeat for </w:t>
            </w:r>
            <w:r w:rsidR="00281172">
              <w:t>each rack</w:t>
            </w:r>
            <w:r>
              <w:t xml:space="preserve"> selected in Step 3. </w:t>
            </w:r>
            <w:r w:rsidR="005F23AD">
              <w:rPr>
                <w:rStyle w:val="TableTextNumbersChar"/>
                <w:vanish/>
                <w:color w:val="FFFFFF"/>
                <w:szCs w:val="18"/>
              </w:rPr>
              <w:fldChar w:fldCharType="begin"/>
            </w:r>
            <w:r w:rsidR="005F23AD">
              <w:rPr>
                <w:rStyle w:val="TableTextNumbersChar"/>
                <w:vanish/>
                <w:color w:val="FFFFFF"/>
                <w:szCs w:val="18"/>
              </w:rPr>
              <w:instrText xml:space="preserve"> LISTNUM \l 1 \s 0 </w:instrText>
            </w:r>
            <w:r w:rsidR="005F23AD">
              <w:rPr>
                <w:rStyle w:val="TableTextNumbersChar"/>
                <w:vanish/>
                <w:color w:val="FFFFFF"/>
                <w:szCs w:val="18"/>
              </w:rPr>
              <w:fldChar w:fldCharType="end"/>
            </w:r>
          </w:p>
        </w:tc>
        <w:tc>
          <w:tcPr>
            <w:tcW w:w="6356" w:type="dxa"/>
          </w:tcPr>
          <w:p w14:paraId="7186A8B9" w14:textId="77777777" w:rsidR="000F2E95" w:rsidRDefault="000F2E95" w:rsidP="000F2E95">
            <w:pPr>
              <w:pStyle w:val="TableTextBullet"/>
            </w:pPr>
            <w:r>
              <w:t>Displays the testing template reaction results grid for each rack selected, when</w:t>
            </w:r>
            <w:r>
              <w:rPr>
                <w:i/>
              </w:rPr>
              <w:t xml:space="preserve"> </w:t>
            </w:r>
            <w:r>
              <w:t>no lot number changes were made.</w:t>
            </w:r>
          </w:p>
          <w:p w14:paraId="5603A8E8" w14:textId="77777777" w:rsidR="002A21AE" w:rsidRDefault="002A21AE">
            <w:pPr>
              <w:pStyle w:val="TableTextBullet"/>
            </w:pPr>
            <w:r>
              <w:t>Determines whether the entered results are acceptable and indicates acceptability of the lot number for the reagent type.</w:t>
            </w:r>
          </w:p>
          <w:p w14:paraId="6573B51B" w14:textId="77777777" w:rsidR="00881170" w:rsidRDefault="002A21AE" w:rsidP="00881170">
            <w:pPr>
              <w:pStyle w:val="TableTextBullet"/>
            </w:pPr>
            <w:r>
              <w:t>Verifies (by type and lot number) that the reagent is satisfactory or unsatisfactory for use.</w:t>
            </w:r>
            <w:r w:rsidR="00881170">
              <w:t xml:space="preserve"> </w:t>
            </w:r>
          </w:p>
          <w:p w14:paraId="22F7AB12" w14:textId="77777777" w:rsidR="002A21AE" w:rsidRDefault="00881170" w:rsidP="00881170">
            <w:pPr>
              <w:pStyle w:val="TableTextBullet"/>
            </w:pPr>
            <w:r>
              <w:t xml:space="preserve">Saves the partially or fully completed data. </w:t>
            </w:r>
          </w:p>
          <w:p w14:paraId="126A9859" w14:textId="77777777" w:rsidR="002A21AE" w:rsidRDefault="002A21AE">
            <w:pPr>
              <w:pStyle w:val="TableText"/>
            </w:pPr>
          </w:p>
          <w:p w14:paraId="1E635AC3" w14:textId="3882294E" w:rsidR="002A21AE" w:rsidRDefault="002A21AE">
            <w:pPr>
              <w:pStyle w:val="TableText"/>
              <w:rPr>
                <w:b/>
                <w:bCs/>
                <w:szCs w:val="18"/>
              </w:rPr>
            </w:pPr>
            <w:r>
              <w:rPr>
                <w:b/>
                <w:bCs/>
                <w:szCs w:val="18"/>
              </w:rPr>
              <w:t>NOTES</w:t>
            </w:r>
          </w:p>
          <w:p w14:paraId="649DA8CE" w14:textId="77777777" w:rsidR="002A21AE" w:rsidRDefault="002A21AE">
            <w:pPr>
              <w:pStyle w:val="NotesText"/>
            </w:pPr>
          </w:p>
          <w:p w14:paraId="0F61C8FF" w14:textId="77777777" w:rsidR="002A21AE" w:rsidRDefault="002A21AE">
            <w:pPr>
              <w:pStyle w:val="NotesText"/>
            </w:pPr>
            <w:r>
              <w:t xml:space="preserve">The user may enter results on multiple reagent racks. VBECS displays each rack in its own tab. </w:t>
            </w:r>
          </w:p>
          <w:p w14:paraId="3568902A" w14:textId="77777777" w:rsidR="00881170" w:rsidRDefault="00881170">
            <w:pPr>
              <w:pStyle w:val="NotesText"/>
            </w:pPr>
          </w:p>
          <w:p w14:paraId="076F7793" w14:textId="77777777" w:rsidR="00881170" w:rsidRDefault="00881170" w:rsidP="00881170">
            <w:pPr>
              <w:pStyle w:val="NotesText"/>
            </w:pPr>
            <w:r>
              <w:rPr>
                <w:rFonts w:cs="Arial"/>
                <w:vanish/>
              </w:rPr>
              <w:t xml:space="preserve">BR_28.20 </w:t>
            </w:r>
            <w:r>
              <w:t>VBECS verifies satisfactory and unsatisfactory QC testing based on site parameters and user data entry. If the user-entered test results indicate a satisfactory interpretation, VBECS displays “Satisfactory.” VBECS saves results that are satisfactory only when the testing for a row is complete and the worksheet is saved. VBECS clears results associated with an unsatisfactory interpretation from the screen/worksheet and the testing for the affected QC rack is considered incomplete until the rack is retested with satisfactory results for the affected row. (Warnings generated by other options when QC testing is incomplete apply).</w:t>
            </w:r>
          </w:p>
          <w:p w14:paraId="5A4AED7C" w14:textId="77777777" w:rsidR="00881170" w:rsidRDefault="00881170" w:rsidP="00881170">
            <w:pPr>
              <w:pStyle w:val="NotesText"/>
            </w:pPr>
          </w:p>
          <w:p w14:paraId="078598E6" w14:textId="77777777" w:rsidR="00881170" w:rsidRDefault="00881170" w:rsidP="00881170">
            <w:pPr>
              <w:pStyle w:val="NotesText"/>
            </w:pPr>
            <w:r>
              <w:rPr>
                <w:rFonts w:cs="Arial"/>
                <w:vanish/>
              </w:rPr>
              <w:t xml:space="preserve">BR_28.14 </w:t>
            </w:r>
            <w:r>
              <w:t>The daily reagent QC for a date requires a valid entry for each reagent displayed on the worksheet. VBECS considers a rack ready and available for patient testing on that date when all reagents on a rack have valid test results.</w:t>
            </w:r>
          </w:p>
        </w:tc>
      </w:tr>
    </w:tbl>
    <w:p w14:paraId="6CCBBA48" w14:textId="5032A433" w:rsidR="00957095" w:rsidRDefault="00957095" w:rsidP="00957095">
      <w:pPr>
        <w:pStyle w:val="Caption"/>
      </w:pPr>
      <w:bookmarkStart w:id="209" w:name="_Ref126641381"/>
      <w:bookmarkStart w:id="210" w:name="_Ref126548442"/>
      <w:bookmarkEnd w:id="204"/>
      <w:bookmarkEnd w:id="205"/>
      <w:bookmarkEnd w:id="206"/>
      <w:bookmarkEnd w:id="207"/>
      <w:bookmarkEnd w:id="20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37</w:t>
      </w:r>
      <w:r w:rsidR="004E20BD">
        <w:rPr>
          <w:noProof/>
        </w:rPr>
        <w:fldChar w:fldCharType="end"/>
      </w:r>
      <w:bookmarkEnd w:id="209"/>
      <w:r>
        <w:t>: Enter Daily QC Results</w:t>
      </w:r>
    </w:p>
    <w:p w14:paraId="5EB6590F" w14:textId="77777777" w:rsidR="00957095" w:rsidRDefault="00057948" w:rsidP="00957095">
      <w:pPr>
        <w:pStyle w:val="BodyText"/>
      </w:pPr>
      <w:r>
        <w:rPr>
          <w:noProof/>
        </w:rPr>
        <w:drawing>
          <wp:inline distT="0" distB="0" distL="0" distR="0" wp14:anchorId="76731457" wp14:editId="4A4E1882">
            <wp:extent cx="4460875" cy="4220845"/>
            <wp:effectExtent l="0" t="0" r="0" b="8255"/>
            <wp:docPr id="140" name="Picture 140" descr="Example of Enter Daily QC Resul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Example of Enter Daily QC Results screen captur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60875" cy="4220845"/>
                    </a:xfrm>
                    <a:prstGeom prst="rect">
                      <a:avLst/>
                    </a:prstGeom>
                    <a:noFill/>
                    <a:ln>
                      <a:noFill/>
                    </a:ln>
                  </pic:spPr>
                </pic:pic>
              </a:graphicData>
            </a:graphic>
          </wp:inline>
        </w:drawing>
      </w:r>
    </w:p>
    <w:p w14:paraId="14838CDD" w14:textId="35512638" w:rsidR="002118B0" w:rsidRDefault="002118B0" w:rsidP="002118B0">
      <w:pPr>
        <w:pStyle w:val="Caption"/>
      </w:pPr>
      <w:bookmarkStart w:id="211" w:name="_Ref12664147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38</w:t>
      </w:r>
      <w:r w:rsidR="004E20BD">
        <w:rPr>
          <w:noProof/>
        </w:rPr>
        <w:fldChar w:fldCharType="end"/>
      </w:r>
      <w:bookmarkEnd w:id="210"/>
      <w:bookmarkEnd w:id="211"/>
      <w:r>
        <w:t>:</w:t>
      </w:r>
      <w:r w:rsidR="00F20BC5">
        <w:t xml:space="preserve"> </w:t>
      </w:r>
      <w:r w:rsidR="00957095">
        <w:t>Record Lot Numbers for</w:t>
      </w:r>
      <w:r w:rsidR="00F20BC5">
        <w:t xml:space="preserve"> Daily QC </w:t>
      </w:r>
      <w:r w:rsidR="00957095">
        <w:t>Testing</w:t>
      </w:r>
    </w:p>
    <w:p w14:paraId="15BFA9CB" w14:textId="77777777" w:rsidR="00F20BC5" w:rsidRPr="00F20BC5" w:rsidRDefault="00057948" w:rsidP="00580E36">
      <w:pPr>
        <w:pStyle w:val="BodyText"/>
      </w:pPr>
      <w:r>
        <w:rPr>
          <w:noProof/>
        </w:rPr>
        <w:drawing>
          <wp:inline distT="0" distB="0" distL="0" distR="0" wp14:anchorId="31CB3EBF" wp14:editId="18732C76">
            <wp:extent cx="4728845" cy="3444875"/>
            <wp:effectExtent l="0" t="0" r="0" b="3175"/>
            <wp:docPr id="141" name="Picture 141" descr="Example of Record Lot Numbers for Daily QC Test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Example of Record Lot Numbers for Daily QC Testing screen captur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28845" cy="3444875"/>
                    </a:xfrm>
                    <a:prstGeom prst="rect">
                      <a:avLst/>
                    </a:prstGeom>
                    <a:noFill/>
                    <a:ln>
                      <a:noFill/>
                    </a:ln>
                  </pic:spPr>
                </pic:pic>
              </a:graphicData>
            </a:graphic>
          </wp:inline>
        </w:drawing>
      </w:r>
    </w:p>
    <w:p w14:paraId="74E18A5D" w14:textId="0E78A395" w:rsidR="00462FB1" w:rsidRDefault="00462FB1" w:rsidP="00462FB1">
      <w:pPr>
        <w:pStyle w:val="Caption"/>
      </w:pPr>
      <w:bookmarkStart w:id="212" w:name="_Ref12664206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39</w:t>
      </w:r>
      <w:r w:rsidR="004E20BD">
        <w:rPr>
          <w:noProof/>
        </w:rPr>
        <w:fldChar w:fldCharType="end"/>
      </w:r>
      <w:bookmarkEnd w:id="212"/>
      <w:r>
        <w:t>: Enter Daily QC Results with Serologic Reactions</w:t>
      </w:r>
    </w:p>
    <w:p w14:paraId="0B8605C7" w14:textId="77777777" w:rsidR="00F759ED" w:rsidRDefault="00057948" w:rsidP="00462FB1">
      <w:pPr>
        <w:pStyle w:val="BodyText"/>
      </w:pPr>
      <w:r>
        <w:rPr>
          <w:noProof/>
        </w:rPr>
        <w:drawing>
          <wp:inline distT="0" distB="0" distL="0" distR="0" wp14:anchorId="04AD7154" wp14:editId="63C896C4">
            <wp:extent cx="4803140" cy="3509645"/>
            <wp:effectExtent l="0" t="0" r="0" b="0"/>
            <wp:docPr id="142" name="Picture 142" descr="Example of Enter Daily QC Results with Serologic Reaction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Example of Enter Daily QC Results with Serologic Reactions screen captur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03140" cy="3509645"/>
                    </a:xfrm>
                    <a:prstGeom prst="rect">
                      <a:avLst/>
                    </a:prstGeom>
                    <a:noFill/>
                    <a:ln>
                      <a:noFill/>
                    </a:ln>
                  </pic:spPr>
                </pic:pic>
              </a:graphicData>
            </a:graphic>
          </wp:inline>
        </w:drawing>
      </w:r>
    </w:p>
    <w:p w14:paraId="2205461F" w14:textId="2C7A0B2A" w:rsidR="0049125E" w:rsidRPr="008000E5" w:rsidRDefault="0049125E" w:rsidP="0049125E">
      <w:pPr>
        <w:pStyle w:val="Heading3"/>
      </w:pPr>
      <w:bookmarkStart w:id="213" w:name="_Toc149064112"/>
      <w:r>
        <w:t>Reagents</w:t>
      </w:r>
      <w:bookmarkEnd w:id="213"/>
      <w:r>
        <w:fldChar w:fldCharType="begin"/>
      </w:r>
      <w:r w:rsidRPr="008000E5">
        <w:instrText xml:space="preserve"> XE "Configure Division" </w:instrText>
      </w:r>
      <w:r>
        <w:fldChar w:fldCharType="end"/>
      </w:r>
      <w:r w:rsidRPr="008000E5">
        <w:rPr>
          <w:rFonts w:ascii="Arial Bold" w:hAnsi="Arial Bold"/>
          <w:vanish/>
        </w:rPr>
        <w:t xml:space="preserve"> UC_09</w:t>
      </w:r>
    </w:p>
    <w:p w14:paraId="034E0958" w14:textId="77777777" w:rsidR="002A21AE" w:rsidRDefault="002A21AE" w:rsidP="00FA7E65">
      <w:pPr>
        <w:pStyle w:val="BodyText"/>
      </w:pPr>
      <w:r>
        <w:t>The options related to reagent inventory control record the receipt of specific reagents by reagent type for each division.</w:t>
      </w:r>
    </w:p>
    <w:p w14:paraId="63C92C7D" w14:textId="77777777" w:rsidR="002A21AE" w:rsidRDefault="002A21AE">
      <w:pPr>
        <w:pStyle w:val="Heading4"/>
      </w:pPr>
      <w:bookmarkStart w:id="214" w:name="_Log_In_Reagents,_Update_Inventory,_"/>
      <w:bookmarkEnd w:id="199"/>
      <w:bookmarkEnd w:id="214"/>
      <w:r>
        <w:t>Log In Reagents, Update Inventory,</w:t>
      </w:r>
      <w:bookmarkStart w:id="215" w:name="_Toc63680376"/>
      <w:r>
        <w:t xml:space="preserve"> View/Print Inventory</w:t>
      </w:r>
      <w:bookmarkEnd w:id="215"/>
      <w:r w:rsidR="00771C65">
        <w:t xml:space="preserve">, Maintain </w:t>
      </w:r>
      <w:r w:rsidR="005F6016">
        <w:t>Minimum Levels</w:t>
      </w:r>
    </w:p>
    <w:p w14:paraId="37BCA81B" w14:textId="77777777" w:rsidR="002A21AE" w:rsidRDefault="002A21AE" w:rsidP="00FA7E65">
      <w:pPr>
        <w:pStyle w:val="BodyText"/>
      </w:pPr>
      <w:r>
        <w:t>The reagent log is maintained by individual division even in a multidivisional database. Update Inventory allows the user to update reagent inventory by changing the number of vials available. The user may view inventory online using various search criteria and prin</w:t>
      </w:r>
      <w:r w:rsidR="00447051">
        <w:t>t a copy of the search results.</w:t>
      </w:r>
    </w:p>
    <w:p w14:paraId="5B89E57B" w14:textId="77777777" w:rsidR="002A21AE" w:rsidRDefault="002A21AE">
      <w:pPr>
        <w:pStyle w:val="Heading4"/>
      </w:pPr>
      <w:r>
        <w:t>Assumptions</w:t>
      </w:r>
      <w:r>
        <w:rPr>
          <w:b w:val="0"/>
        </w:rPr>
        <w:t xml:space="preserve"> </w:t>
      </w:r>
    </w:p>
    <w:p w14:paraId="54357912" w14:textId="77777777" w:rsidR="00852AC1" w:rsidRDefault="00852AC1" w:rsidP="00852AC1">
      <w:pPr>
        <w:pStyle w:val="ListBullet"/>
      </w:pPr>
      <w:r>
        <w:t>The division is “full service.”</w:t>
      </w:r>
    </w:p>
    <w:p w14:paraId="22729C21" w14:textId="77777777" w:rsidR="002A21AE" w:rsidRDefault="002A21AE">
      <w:pPr>
        <w:pStyle w:val="ListBullet"/>
      </w:pPr>
      <w:r>
        <w:t>Reagents are in the inventory of the user’s division.</w:t>
      </w:r>
    </w:p>
    <w:p w14:paraId="21DC69BE" w14:textId="77777777" w:rsidR="002A21AE" w:rsidRDefault="002A21AE">
      <w:pPr>
        <w:pStyle w:val="Heading4"/>
      </w:pPr>
      <w:r>
        <w:t xml:space="preserve">Outcome </w:t>
      </w:r>
    </w:p>
    <w:p w14:paraId="1FD16A01" w14:textId="77777777" w:rsidR="002A21AE" w:rsidRDefault="002A21AE">
      <w:pPr>
        <w:pStyle w:val="ListBullet"/>
      </w:pPr>
      <w:r>
        <w:t>A user may select previously logged-in reagents through Enter Daily QC Results, Patient Testing: Record a Patient Antigen Typing, and Unit Antigen Typing.</w:t>
      </w:r>
    </w:p>
    <w:p w14:paraId="3FDC62E2" w14:textId="77777777" w:rsidR="002A21AE" w:rsidRDefault="002A21AE">
      <w:pPr>
        <w:pStyle w:val="ListBullet"/>
      </w:pPr>
      <w:r>
        <w:t>Reagents entered are accessible only within the division in which they were entered.</w:t>
      </w:r>
    </w:p>
    <w:p w14:paraId="04CA4CA0" w14:textId="77777777" w:rsidR="002A21AE" w:rsidRDefault="002A21AE">
      <w:pPr>
        <w:pStyle w:val="Heading4"/>
      </w:pPr>
      <w:r>
        <w:t>Limitations and Restrictions</w:t>
      </w:r>
      <w:r>
        <w:rPr>
          <w:b w:val="0"/>
        </w:rPr>
        <w:t xml:space="preserve"> </w:t>
      </w:r>
    </w:p>
    <w:p w14:paraId="5FEA4567" w14:textId="77777777" w:rsidR="002A21AE" w:rsidRDefault="002A21AE">
      <w:pPr>
        <w:pStyle w:val="ListBullet"/>
      </w:pPr>
      <w:r>
        <w:t>VBECS does not display a reagent report by invoice number.</w:t>
      </w:r>
    </w:p>
    <w:p w14:paraId="397571DC" w14:textId="77777777" w:rsidR="0029147B" w:rsidRDefault="0029147B">
      <w:pPr>
        <w:pStyle w:val="ListBullet"/>
      </w:pPr>
      <w:r>
        <w:t>The unsatisfactory portion of a shipment must be recorded individually.</w:t>
      </w:r>
    </w:p>
    <w:p w14:paraId="699DDEE9" w14:textId="77777777" w:rsidR="00BE53DD" w:rsidRDefault="00BE53DD" w:rsidP="00BE53DD">
      <w:pPr>
        <w:pStyle w:val="ListBullet"/>
      </w:pPr>
      <w:r>
        <w:t>There is no retrospective data entry or user selection for th</w:t>
      </w:r>
      <w:r w:rsidR="0061702F">
        <w:t>ese</w:t>
      </w:r>
      <w:r>
        <w:t xml:space="preserve"> </w:t>
      </w:r>
      <w:r w:rsidR="0061702F">
        <w:t>options</w:t>
      </w:r>
      <w:r>
        <w:t>.</w:t>
      </w:r>
    </w:p>
    <w:p w14:paraId="687D7040" w14:textId="77777777" w:rsidR="00053349" w:rsidRDefault="00053349" w:rsidP="00053349">
      <w:pPr>
        <w:pStyle w:val="ListBullet"/>
      </w:pPr>
      <w:r>
        <w:t xml:space="preserve">Each site must set a standard for recording quantity: it may use the number of cases or the number of units within the cases. </w:t>
      </w:r>
    </w:p>
    <w:p w14:paraId="2F483EC3" w14:textId="77777777" w:rsidR="00F759ED" w:rsidRPr="00993A74" w:rsidRDefault="00F759ED" w:rsidP="00053349">
      <w:pPr>
        <w:pStyle w:val="ListBullet"/>
      </w:pPr>
      <w:r>
        <w:t xml:space="preserve">When a user enters a lot number in the Lot # field and clicks the </w:t>
      </w:r>
      <w:r>
        <w:rPr>
          <w:b/>
        </w:rPr>
        <w:t>magnifying glass</w:t>
      </w:r>
      <w:r>
        <w:t xml:space="preserve">, VBECS displays only the first instance of a duplicate lot number. </w:t>
      </w:r>
      <w:r w:rsidRPr="00F759ED">
        <w:rPr>
          <w:vanish/>
        </w:rPr>
        <w:t>(UserDoc Task 1083)</w:t>
      </w:r>
    </w:p>
    <w:p w14:paraId="23508AFF" w14:textId="7D31D4E0" w:rsidR="004F5DF6" w:rsidRDefault="004F5DF6" w:rsidP="00053349">
      <w:pPr>
        <w:pStyle w:val="ListBullet"/>
      </w:pPr>
      <w:r>
        <w:t>When reagents with the same Manufacturer Reagent Name and Lot Number are entered from multiple invoices, only one of the reagents is visible for update.</w:t>
      </w:r>
      <w:r w:rsidR="005E3B7C">
        <w:t xml:space="preserve"> </w:t>
      </w:r>
      <w:r w:rsidR="005E3B7C" w:rsidRPr="005E3B7C">
        <w:rPr>
          <w:vanish/>
        </w:rPr>
        <w:t>Defect 209141</w:t>
      </w:r>
    </w:p>
    <w:p w14:paraId="7BC088B0" w14:textId="14B9F091" w:rsidR="00917168" w:rsidRDefault="00917168" w:rsidP="00053349">
      <w:pPr>
        <w:pStyle w:val="ListBullet"/>
      </w:pPr>
      <w:r>
        <w:t>Reagents that have had their Number of Vials Available set to zero (0) are no longer visible on the Update Reagent Inventory screen o</w:t>
      </w:r>
      <w:r w:rsidR="00A11CA3">
        <w:t>r</w:t>
      </w:r>
      <w:r>
        <w:t xml:space="preserve"> the Reagent Inventory Report. Print a copy of the Reagent Inventory Report prior to setting the Number of Vials Available to zero (0). </w:t>
      </w:r>
      <w:r w:rsidRPr="00917168">
        <w:rPr>
          <w:vanish/>
        </w:rPr>
        <w:t>Defects 208863, 208890, 210063</w:t>
      </w:r>
    </w:p>
    <w:p w14:paraId="6DF94FA2" w14:textId="77777777" w:rsidR="002A21AE" w:rsidRDefault="002A21AE">
      <w:pPr>
        <w:pStyle w:val="Heading4"/>
      </w:pPr>
      <w:r>
        <w:t>Additional Information</w:t>
      </w:r>
    </w:p>
    <w:p w14:paraId="1070E959" w14:textId="77777777" w:rsidR="00852AC1" w:rsidRPr="00852AC1" w:rsidRDefault="00852AC1" w:rsidP="00852AC1">
      <w:pPr>
        <w:pStyle w:val="ListBullet"/>
      </w:pPr>
      <w:r w:rsidRPr="00852AC1">
        <w:rPr>
          <w:snapToGrid w:val="0"/>
          <w:vanish/>
        </w:rPr>
        <w:t>BR_41.32</w:t>
      </w:r>
      <w:r>
        <w:rPr>
          <w:snapToGrid w:val="0"/>
        </w:rPr>
        <w:t xml:space="preserve">This option is disabled for transfusion-only facilities. </w:t>
      </w:r>
    </w:p>
    <w:p w14:paraId="56B4C523" w14:textId="77777777" w:rsidR="002A21AE" w:rsidRDefault="002A21AE">
      <w:pPr>
        <w:pStyle w:val="ListBullet"/>
      </w:pPr>
      <w:r>
        <w:t>VBECS displays alerts, as appropriate, during execution of Enter Daily QC Results to notify the user when reagent inventory levels fall below minimum inventory levels, as defined in Maintain Minimum Levels.</w:t>
      </w:r>
    </w:p>
    <w:p w14:paraId="6FFBA654" w14:textId="77777777" w:rsidR="00CA67F2" w:rsidRDefault="00CA67F2">
      <w:pPr>
        <w:pStyle w:val="ListBullet"/>
      </w:pPr>
      <w:r>
        <w:t>Local policies and procedures must define the use of patient antisera as reagents.</w:t>
      </w:r>
    </w:p>
    <w:p w14:paraId="2428E3D2" w14:textId="77777777" w:rsidR="002A21AE" w:rsidRDefault="002A21AE">
      <w:pPr>
        <w:pStyle w:val="Heading4"/>
        <w:rPr>
          <w:b w:val="0"/>
        </w:rPr>
      </w:pPr>
      <w:r>
        <w:t>User Roles with Access to This Option</w:t>
      </w:r>
      <w:r>
        <w:rPr>
          <w:b w:val="0"/>
        </w:rPr>
        <w:t xml:space="preserve"> </w:t>
      </w:r>
    </w:p>
    <w:p w14:paraId="4FB8BA24" w14:textId="77777777" w:rsidR="002A21AE" w:rsidRDefault="00560BC1">
      <w:pPr>
        <w:pStyle w:val="Roles"/>
        <w:rPr>
          <w:snapToGrid w:val="0"/>
        </w:rPr>
      </w:pPr>
      <w:r>
        <w:t>All users</w:t>
      </w:r>
    </w:p>
    <w:p w14:paraId="7CC9E286" w14:textId="77777777" w:rsidR="00D34814" w:rsidRDefault="00D34814" w:rsidP="00D34814">
      <w:pPr>
        <w:pStyle w:val="Heading4"/>
      </w:pPr>
      <w:r>
        <w:t>Log in Reagents</w:t>
      </w:r>
      <w:r>
        <w:fldChar w:fldCharType="begin"/>
      </w:r>
      <w:r>
        <w:instrText xml:space="preserve"> XE </w:instrText>
      </w:r>
      <w:r w:rsidR="00FA7E65">
        <w:instrText>“</w:instrText>
      </w:r>
      <w:r>
        <w:instrText>Log in Reagents</w:instrText>
      </w:r>
      <w:r w:rsidR="00FA7E65">
        <w:instrText>”</w:instrText>
      </w:r>
      <w:r>
        <w:instrText xml:space="preserve"> </w:instrText>
      </w:r>
      <w:r>
        <w:fldChar w:fldCharType="end"/>
      </w:r>
      <w:r>
        <w:t xml:space="preserve"> </w:t>
      </w:r>
    </w:p>
    <w:p w14:paraId="68041AA6" w14:textId="77777777" w:rsidR="009C34E7" w:rsidRDefault="00D34814" w:rsidP="00FA7E65">
      <w:pPr>
        <w:pStyle w:val="BodyText"/>
      </w:pPr>
      <w:r w:rsidRPr="00FA7E65">
        <w:t>A user records the receipt of specific reagents by type. The reagent record includes the date the shipment was received, reagent name, lot number, expiration date, manufacturer, and number of vials received in a shipment.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B4E58" w14:paraId="52F28929" w14:textId="77777777">
        <w:trPr>
          <w:cantSplit/>
          <w:tblHeader/>
        </w:trPr>
        <w:tc>
          <w:tcPr>
            <w:tcW w:w="3240" w:type="dxa"/>
            <w:shd w:val="pct30" w:color="auto" w:fill="FFFFFF"/>
            <w:vAlign w:val="bottom"/>
          </w:tcPr>
          <w:p w14:paraId="007F48C5" w14:textId="77777777" w:rsidR="00FB4E58" w:rsidRDefault="009C34E7" w:rsidP="00A65805">
            <w:pPr>
              <w:pStyle w:val="TableText"/>
              <w:rPr>
                <w:b/>
              </w:rPr>
            </w:pPr>
            <w:r>
              <w:br w:type="page"/>
            </w:r>
            <w:r w:rsidR="00FB4E58">
              <w:rPr>
                <w:b/>
              </w:rPr>
              <w:t>User Action</w:t>
            </w:r>
          </w:p>
        </w:tc>
        <w:tc>
          <w:tcPr>
            <w:tcW w:w="6120" w:type="dxa"/>
            <w:shd w:val="pct30" w:color="auto" w:fill="FFFFFF"/>
            <w:vAlign w:val="bottom"/>
          </w:tcPr>
          <w:p w14:paraId="2E1767B6" w14:textId="77777777" w:rsidR="00FB4E58" w:rsidRDefault="00FB4E58" w:rsidP="00A65805">
            <w:pPr>
              <w:pStyle w:val="TableText"/>
              <w:rPr>
                <w:b/>
              </w:rPr>
            </w:pPr>
            <w:r>
              <w:rPr>
                <w:b/>
              </w:rPr>
              <w:t>VBECS</w:t>
            </w:r>
          </w:p>
        </w:tc>
      </w:tr>
      <w:tr w:rsidR="00FB4E58" w14:paraId="236B050B" w14:textId="77777777">
        <w:tc>
          <w:tcPr>
            <w:tcW w:w="3240" w:type="dxa"/>
            <w:tcBorders>
              <w:top w:val="single" w:sz="4" w:space="0" w:color="auto"/>
              <w:left w:val="single" w:sz="4" w:space="0" w:color="auto"/>
              <w:bottom w:val="single" w:sz="4" w:space="0" w:color="auto"/>
              <w:right w:val="single" w:sz="4" w:space="0" w:color="auto"/>
            </w:tcBorders>
          </w:tcPr>
          <w:p w14:paraId="3D84B948" w14:textId="77777777" w:rsidR="00FB4E58" w:rsidRDefault="00FB4E58" w:rsidP="00FB4E58">
            <w:pPr>
              <w:pStyle w:val="TableTextNumbers"/>
            </w:pPr>
            <w:r>
              <w:t xml:space="preserve">Select </w:t>
            </w:r>
            <w:r>
              <w:rPr>
                <w:b/>
              </w:rPr>
              <w:t>Reagents</w:t>
            </w:r>
            <w:r>
              <w:t xml:space="preserve"> from the main menu.</w:t>
            </w:r>
          </w:p>
        </w:tc>
        <w:tc>
          <w:tcPr>
            <w:tcW w:w="6120" w:type="dxa"/>
            <w:tcBorders>
              <w:top w:val="single" w:sz="4" w:space="0" w:color="auto"/>
              <w:left w:val="single" w:sz="4" w:space="0" w:color="auto"/>
              <w:bottom w:val="single" w:sz="4" w:space="0" w:color="auto"/>
              <w:right w:val="single" w:sz="4" w:space="0" w:color="auto"/>
            </w:tcBorders>
          </w:tcPr>
          <w:p w14:paraId="27C4D6F9" w14:textId="77777777" w:rsidR="00FB4E58" w:rsidRDefault="00FB4E58" w:rsidP="00A65805">
            <w:pPr>
              <w:pStyle w:val="TableTextBullet"/>
            </w:pPr>
            <w:r>
              <w:t xml:space="preserve">Displays options for Quality Control functions. </w:t>
            </w:r>
          </w:p>
          <w:p w14:paraId="4577E3CD" w14:textId="77777777" w:rsidR="00FB4E58" w:rsidRDefault="00FB4E58" w:rsidP="00A65805">
            <w:pPr>
              <w:pStyle w:val="TableTextBullet"/>
            </w:pPr>
            <w:r>
              <w:t>Displays options for processing reagents.</w:t>
            </w:r>
          </w:p>
        </w:tc>
      </w:tr>
      <w:tr w:rsidR="00FB4E58" w14:paraId="577D0E9B" w14:textId="77777777">
        <w:tc>
          <w:tcPr>
            <w:tcW w:w="3240" w:type="dxa"/>
          </w:tcPr>
          <w:p w14:paraId="5BAD3B1B" w14:textId="77777777" w:rsidR="00FB4E58" w:rsidRDefault="00FB4E58" w:rsidP="00A65805">
            <w:pPr>
              <w:pStyle w:val="TableTextNumbers"/>
            </w:pPr>
            <w:r>
              <w:t xml:space="preserve">Select </w:t>
            </w:r>
            <w:r>
              <w:rPr>
                <w:b/>
              </w:rPr>
              <w:t>Log In Reagents</w:t>
            </w:r>
            <w:r w:rsidRPr="00FB4E58">
              <w:t>.</w:t>
            </w:r>
          </w:p>
        </w:tc>
        <w:tc>
          <w:tcPr>
            <w:tcW w:w="6120" w:type="dxa"/>
          </w:tcPr>
          <w:p w14:paraId="1FC158EC" w14:textId="77777777" w:rsidR="00FB4E58" w:rsidRDefault="00FB4E58" w:rsidP="00A65805">
            <w:pPr>
              <w:pStyle w:val="TableTextBullet"/>
            </w:pPr>
            <w:r>
              <w:t>Displays fields for entering invoice and reagent information.</w:t>
            </w:r>
          </w:p>
        </w:tc>
      </w:tr>
      <w:tr w:rsidR="00FB4E58" w14:paraId="55B29153" w14:textId="77777777">
        <w:tc>
          <w:tcPr>
            <w:tcW w:w="3240" w:type="dxa"/>
            <w:tcBorders>
              <w:top w:val="single" w:sz="4" w:space="0" w:color="auto"/>
              <w:left w:val="single" w:sz="4" w:space="0" w:color="auto"/>
              <w:bottom w:val="single" w:sz="4" w:space="0" w:color="auto"/>
              <w:right w:val="single" w:sz="4" w:space="0" w:color="auto"/>
            </w:tcBorders>
          </w:tcPr>
          <w:p w14:paraId="73A624FA" w14:textId="77777777" w:rsidR="00FB4E58" w:rsidRDefault="00FB4E58" w:rsidP="00A65805">
            <w:pPr>
              <w:pStyle w:val="TableTextNumbers"/>
            </w:pPr>
            <w:r>
              <w:t>Invoice Information:</w:t>
            </w:r>
          </w:p>
          <w:p w14:paraId="47E56E66" w14:textId="77777777" w:rsidR="00FB4E58" w:rsidRDefault="00FB4E58" w:rsidP="00A65805">
            <w:pPr>
              <w:pStyle w:val="TableTextNumbersContinued"/>
              <w:rPr>
                <w:b/>
                <w:bCs/>
              </w:rPr>
            </w:pPr>
          </w:p>
          <w:p w14:paraId="47C92854" w14:textId="77777777" w:rsidR="00FB4E58" w:rsidRDefault="00FB4E58" w:rsidP="00A65805">
            <w:pPr>
              <w:pStyle w:val="TableTextNumbersContinued"/>
            </w:pPr>
            <w:r>
              <w:t>Select or edit the date and time in the Date Received field.</w:t>
            </w:r>
          </w:p>
          <w:p w14:paraId="0B1D003A" w14:textId="77777777" w:rsidR="00FB4E58" w:rsidRDefault="00FB4E58" w:rsidP="00A65805">
            <w:pPr>
              <w:pStyle w:val="TableTextNumbersContinued"/>
            </w:pPr>
          </w:p>
          <w:p w14:paraId="729E5F26" w14:textId="77777777" w:rsidR="00FB4E58" w:rsidRDefault="00FB4E58" w:rsidP="00A65805">
            <w:pPr>
              <w:pStyle w:val="TableTextNumbersContinued"/>
            </w:pPr>
            <w:r>
              <w:t>Enter the invoice number in the Invoice Number field.</w:t>
            </w:r>
          </w:p>
          <w:p w14:paraId="40B529D8" w14:textId="77777777" w:rsidR="00FB4E58" w:rsidRDefault="00FB4E58" w:rsidP="00A65805">
            <w:pPr>
              <w:pStyle w:val="TableTextNumbersContinued"/>
            </w:pPr>
          </w:p>
          <w:p w14:paraId="011312D2" w14:textId="77777777" w:rsidR="00FB4E58" w:rsidRDefault="00FB4E58" w:rsidP="00A65805">
            <w:pPr>
              <w:pStyle w:val="TableTextNumbersContinued"/>
            </w:pPr>
            <w:r>
              <w:t>Enter the name of the manufacturer in the Manufacturer field, or select a name from the drop-down list.</w:t>
            </w:r>
          </w:p>
        </w:tc>
        <w:tc>
          <w:tcPr>
            <w:tcW w:w="6120" w:type="dxa"/>
            <w:tcBorders>
              <w:top w:val="single" w:sz="4" w:space="0" w:color="auto"/>
              <w:left w:val="single" w:sz="4" w:space="0" w:color="auto"/>
              <w:bottom w:val="single" w:sz="4" w:space="0" w:color="auto"/>
              <w:right w:val="single" w:sz="4" w:space="0" w:color="auto"/>
            </w:tcBorders>
          </w:tcPr>
          <w:p w14:paraId="53C5C37A" w14:textId="77777777" w:rsidR="00FB4E58" w:rsidRDefault="00FB4E58" w:rsidP="00A65805">
            <w:pPr>
              <w:pStyle w:val="TableText"/>
            </w:pPr>
          </w:p>
          <w:p w14:paraId="64E8FA35" w14:textId="7477613C" w:rsidR="00FB4E58" w:rsidRDefault="00FB4E58" w:rsidP="00A65805">
            <w:pPr>
              <w:pStyle w:val="TableText"/>
              <w:rPr>
                <w:b/>
                <w:bCs/>
                <w:szCs w:val="18"/>
              </w:rPr>
            </w:pPr>
            <w:r>
              <w:rPr>
                <w:b/>
                <w:bCs/>
                <w:szCs w:val="18"/>
              </w:rPr>
              <w:t>NOTES</w:t>
            </w:r>
          </w:p>
          <w:p w14:paraId="58D3B538" w14:textId="77777777" w:rsidR="00FB4E58" w:rsidRDefault="00FB4E58" w:rsidP="00A65805">
            <w:pPr>
              <w:pStyle w:val="NotesText"/>
            </w:pPr>
          </w:p>
          <w:p w14:paraId="4CDC09BF" w14:textId="77777777" w:rsidR="00FB4E58" w:rsidRDefault="00FB4E58" w:rsidP="00A65805">
            <w:pPr>
              <w:pStyle w:val="NotesText"/>
            </w:pPr>
            <w:r w:rsidRPr="00FB4E58">
              <w:rPr>
                <w:rFonts w:cs="Arial"/>
                <w:vanish/>
                <w:szCs w:val="18"/>
              </w:rPr>
              <w:t xml:space="preserve">BR_81.10 </w:t>
            </w:r>
            <w:r>
              <w:t xml:space="preserve">More than one technologist at a time may process a large shipment of reagents; only one technologist at a time may process individual reagents in the shipment. </w:t>
            </w:r>
          </w:p>
          <w:p w14:paraId="306ECD83" w14:textId="77777777" w:rsidR="00FB4E58" w:rsidRDefault="00FB4E58" w:rsidP="00A65805">
            <w:pPr>
              <w:pStyle w:val="NotesText"/>
            </w:pPr>
          </w:p>
          <w:p w14:paraId="25CEEE5D" w14:textId="77777777" w:rsidR="00FB4E58" w:rsidRDefault="00FB4E58" w:rsidP="00A65805">
            <w:pPr>
              <w:pStyle w:val="NotesText"/>
            </w:pPr>
            <w:r w:rsidRPr="00FB4E58">
              <w:rPr>
                <w:rFonts w:cs="Arial"/>
                <w:vanish/>
                <w:szCs w:val="18"/>
              </w:rPr>
              <w:t xml:space="preserve">BR_20.01 </w:t>
            </w:r>
            <w:r>
              <w:t>The default date received is the current date and time. The user may edit it to a past date and time only.</w:t>
            </w:r>
          </w:p>
          <w:p w14:paraId="0E9B1C1D" w14:textId="77777777" w:rsidR="00FB4E58" w:rsidRDefault="00FB4E58" w:rsidP="00A65805">
            <w:pPr>
              <w:pStyle w:val="NotesText"/>
            </w:pPr>
          </w:p>
          <w:p w14:paraId="6F922C18" w14:textId="77777777" w:rsidR="00FB4E58" w:rsidRDefault="00FB4E58" w:rsidP="00A65805">
            <w:pPr>
              <w:pStyle w:val="NotesText"/>
            </w:pPr>
            <w:r w:rsidRPr="001017A2">
              <w:rPr>
                <w:rFonts w:cs="Arial"/>
                <w:vanish/>
                <w:szCs w:val="18"/>
              </w:rPr>
              <w:t xml:space="preserve">BR_81.07 </w:t>
            </w:r>
            <w:r>
              <w:t xml:space="preserve">When the reagent type and lot number were already entered for this invoice, VBECS </w:t>
            </w:r>
            <w:r>
              <w:rPr>
                <w:noProof/>
              </w:rPr>
              <w:t>warns that the user is</w:t>
            </w:r>
            <w:r>
              <w:t xml:space="preserve"> trying to enter </w:t>
            </w:r>
            <w:r w:rsidR="001017A2">
              <w:t xml:space="preserve">a </w:t>
            </w:r>
            <w:r>
              <w:t xml:space="preserve">reagent that was already logged into the system for this invoice. </w:t>
            </w:r>
            <w:r>
              <w:rPr>
                <w:b/>
              </w:rPr>
              <w:t>Yes</w:t>
            </w:r>
            <w:r>
              <w:t xml:space="preserve"> takes the user to the </w:t>
            </w:r>
            <w:r w:rsidR="00FA7E65">
              <w:t>“</w:t>
            </w:r>
            <w:r>
              <w:t>Update Reagent Inventory</w:t>
            </w:r>
            <w:r w:rsidR="00FA7E65">
              <w:t>”</w:t>
            </w:r>
            <w:r>
              <w:t xml:space="preserve"> screen where VBECS displays the reagent type and lot number for update. </w:t>
            </w:r>
            <w:r>
              <w:rPr>
                <w:b/>
              </w:rPr>
              <w:t>No</w:t>
            </w:r>
            <w:r>
              <w:t xml:space="preserve"> clears all fields on the screen, allowing the user to log in another reagent. </w:t>
            </w:r>
          </w:p>
        </w:tc>
      </w:tr>
      <w:tr w:rsidR="00FB4E58" w14:paraId="78DAC8C7" w14:textId="77777777">
        <w:tc>
          <w:tcPr>
            <w:tcW w:w="3240" w:type="dxa"/>
            <w:tcBorders>
              <w:top w:val="single" w:sz="4" w:space="0" w:color="auto"/>
              <w:left w:val="single" w:sz="4" w:space="0" w:color="auto"/>
              <w:bottom w:val="single" w:sz="4" w:space="0" w:color="auto"/>
              <w:right w:val="single" w:sz="4" w:space="0" w:color="auto"/>
            </w:tcBorders>
          </w:tcPr>
          <w:p w14:paraId="3E7DF9B0" w14:textId="77777777" w:rsidR="00FB4E58" w:rsidRDefault="00FB4E58" w:rsidP="00A65805">
            <w:pPr>
              <w:pStyle w:val="TableTextNumbers"/>
            </w:pPr>
            <w:r>
              <w:t>Reagent Information:</w:t>
            </w:r>
          </w:p>
          <w:p w14:paraId="01E0BB4B" w14:textId="77777777" w:rsidR="00FB4E58" w:rsidRDefault="00FB4E58" w:rsidP="00A65805">
            <w:pPr>
              <w:pStyle w:val="TableTextNumbersContinued"/>
              <w:rPr>
                <w:b/>
                <w:bCs/>
              </w:rPr>
            </w:pPr>
          </w:p>
          <w:p w14:paraId="257DE45F" w14:textId="77777777" w:rsidR="00FB4E58" w:rsidRDefault="00FB4E58" w:rsidP="00A65805">
            <w:pPr>
              <w:pStyle w:val="TableTextNumbersContinued"/>
            </w:pPr>
            <w:r>
              <w:t>Enter the reagent name and reagent type in the Manufacturer Reagent Name and Reagent Type fields, or select from the drop-down lists.</w:t>
            </w:r>
          </w:p>
          <w:p w14:paraId="69AEC5DC" w14:textId="77777777" w:rsidR="00FB4E58" w:rsidRDefault="00FB4E58" w:rsidP="00A65805">
            <w:pPr>
              <w:pStyle w:val="TableTextNumbersContinued"/>
            </w:pPr>
          </w:p>
          <w:p w14:paraId="70E98659" w14:textId="77777777" w:rsidR="00FB4E58" w:rsidRDefault="00FB4E58" w:rsidP="00A65805">
            <w:pPr>
              <w:pStyle w:val="TableTextNumbersContinued"/>
            </w:pPr>
            <w:r>
              <w:t>Enter the lot number in the Lot Number field.</w:t>
            </w:r>
          </w:p>
          <w:p w14:paraId="49D40715" w14:textId="77777777" w:rsidR="00FB4E58" w:rsidRDefault="00FB4E58" w:rsidP="00A65805">
            <w:pPr>
              <w:pStyle w:val="TableTextNumbersContinued"/>
            </w:pPr>
          </w:p>
          <w:p w14:paraId="6620891E" w14:textId="77777777" w:rsidR="00FB4E58" w:rsidRDefault="00FB4E58" w:rsidP="00A65805">
            <w:pPr>
              <w:pStyle w:val="TableTextNumbersContinued"/>
            </w:pPr>
            <w:r>
              <w:t>Select or edit the date and time in the Lot Expiration Date field.</w:t>
            </w:r>
          </w:p>
          <w:p w14:paraId="09393199" w14:textId="77777777" w:rsidR="00FB4E58" w:rsidRDefault="00FB4E58" w:rsidP="00A65805">
            <w:pPr>
              <w:pStyle w:val="TableTextNumbersContinued"/>
            </w:pPr>
          </w:p>
          <w:p w14:paraId="72306B0F" w14:textId="77777777" w:rsidR="00FB4E58" w:rsidRDefault="00FB4E58" w:rsidP="00A65805">
            <w:pPr>
              <w:pStyle w:val="TableTextNumbersContinued"/>
            </w:pPr>
            <w:r>
              <w:t>Enter (or select) a quantity (1–999) in the Vials Received per Lot Number field.</w:t>
            </w:r>
          </w:p>
        </w:tc>
        <w:tc>
          <w:tcPr>
            <w:tcW w:w="6120" w:type="dxa"/>
            <w:tcBorders>
              <w:top w:val="single" w:sz="4" w:space="0" w:color="auto"/>
              <w:left w:val="single" w:sz="4" w:space="0" w:color="auto"/>
              <w:bottom w:val="single" w:sz="4" w:space="0" w:color="auto"/>
              <w:right w:val="single" w:sz="4" w:space="0" w:color="auto"/>
            </w:tcBorders>
          </w:tcPr>
          <w:p w14:paraId="46880C4B" w14:textId="77777777" w:rsidR="00FB4E58" w:rsidRDefault="00FB4E58" w:rsidP="00A65805">
            <w:pPr>
              <w:pStyle w:val="TableText"/>
              <w:rPr>
                <w:b/>
                <w:bCs/>
                <w:szCs w:val="18"/>
              </w:rPr>
            </w:pPr>
          </w:p>
          <w:p w14:paraId="6C4C7E2C" w14:textId="22DA3B14" w:rsidR="00FB4E58" w:rsidRDefault="00FB4E58" w:rsidP="00A65805">
            <w:pPr>
              <w:pStyle w:val="TableText"/>
              <w:rPr>
                <w:b/>
                <w:bCs/>
                <w:szCs w:val="18"/>
              </w:rPr>
            </w:pPr>
            <w:r>
              <w:rPr>
                <w:b/>
                <w:bCs/>
                <w:szCs w:val="18"/>
              </w:rPr>
              <w:t>NOTES</w:t>
            </w:r>
          </w:p>
          <w:p w14:paraId="4D915186" w14:textId="77777777" w:rsidR="00FB4E58" w:rsidRDefault="00FB4E58" w:rsidP="00A65805">
            <w:pPr>
              <w:pStyle w:val="NotesText"/>
            </w:pPr>
          </w:p>
          <w:p w14:paraId="5AF15F1D" w14:textId="77777777" w:rsidR="00FB4E58" w:rsidRDefault="00FB4E58" w:rsidP="00F95BCA">
            <w:pPr>
              <w:pStyle w:val="NotesText"/>
            </w:pPr>
            <w:r>
              <w:t>The default lot expiration date is one minute before midnig</w:t>
            </w:r>
            <w:r w:rsidR="00F95BCA">
              <w:t>ht (23:59) of the current date.</w:t>
            </w:r>
          </w:p>
        </w:tc>
      </w:tr>
      <w:tr w:rsidR="00FB4E58" w14:paraId="6F903EB3" w14:textId="77777777">
        <w:tc>
          <w:tcPr>
            <w:tcW w:w="3240" w:type="dxa"/>
            <w:tcBorders>
              <w:top w:val="single" w:sz="4" w:space="0" w:color="auto"/>
              <w:left w:val="single" w:sz="4" w:space="0" w:color="auto"/>
              <w:bottom w:val="single" w:sz="4" w:space="0" w:color="auto"/>
              <w:right w:val="single" w:sz="4" w:space="0" w:color="auto"/>
            </w:tcBorders>
          </w:tcPr>
          <w:p w14:paraId="7C55740C" w14:textId="77777777" w:rsidR="00FB4E58" w:rsidRDefault="00FB4E58" w:rsidP="00A65805">
            <w:pPr>
              <w:pStyle w:val="TableTextNumbers"/>
            </w:pPr>
            <w:r>
              <w:t>Visual Inspection Information:</w:t>
            </w:r>
          </w:p>
          <w:p w14:paraId="7551F701" w14:textId="77777777" w:rsidR="00FB4E58" w:rsidRDefault="00FB4E58" w:rsidP="00A65805">
            <w:pPr>
              <w:pStyle w:val="TableTextNumbersContinued"/>
              <w:rPr>
                <w:b/>
                <w:bCs/>
              </w:rPr>
            </w:pPr>
          </w:p>
          <w:p w14:paraId="647DCAEF" w14:textId="47ACCF1C" w:rsidR="00FB4E58" w:rsidRDefault="00FB4E58" w:rsidP="00A65805">
            <w:pPr>
              <w:pStyle w:val="TableTextNumbersContinued"/>
            </w:pPr>
            <w:r>
              <w:t xml:space="preserve">Click the </w:t>
            </w:r>
            <w:r>
              <w:rPr>
                <w:b/>
              </w:rPr>
              <w:t xml:space="preserve">Satisfactory </w:t>
            </w:r>
            <w:r w:rsidRPr="00BF2E41">
              <w:t>radio button</w:t>
            </w:r>
            <w:r>
              <w:t xml:space="preserve">, or click the </w:t>
            </w:r>
            <w:r>
              <w:rPr>
                <w:b/>
              </w:rPr>
              <w:t xml:space="preserve">Unsatisfactory </w:t>
            </w:r>
            <w:r w:rsidRPr="00BF2E41">
              <w:t>radio button</w:t>
            </w:r>
            <w:r>
              <w:t xml:space="preserve"> and select a comment from the drop-down list</w:t>
            </w:r>
            <w:r w:rsidR="00EF7A1C">
              <w:t xml:space="preserve"> or enter a free text comment</w:t>
            </w:r>
            <w:r>
              <w:t xml:space="preserve"> in the Comment field.</w:t>
            </w:r>
          </w:p>
          <w:p w14:paraId="48DF307B" w14:textId="77777777" w:rsidR="00FB4E58" w:rsidRDefault="00FB4E58" w:rsidP="00A65805">
            <w:pPr>
              <w:pStyle w:val="TableTextNumbersContinued"/>
            </w:pPr>
          </w:p>
          <w:p w14:paraId="3553A99D" w14:textId="77777777" w:rsidR="00FB4E58" w:rsidRDefault="00FB4E58" w:rsidP="00A65805">
            <w:pPr>
              <w:pStyle w:val="TableTextNumbersContinued"/>
            </w:pPr>
            <w:r>
              <w:t xml:space="preserve">Click </w:t>
            </w:r>
            <w:r>
              <w:rPr>
                <w:b/>
              </w:rPr>
              <w:t>Add</w:t>
            </w:r>
            <w:r>
              <w:t xml:space="preserve"> to add the reagents to the inventory list.</w:t>
            </w:r>
          </w:p>
        </w:tc>
        <w:tc>
          <w:tcPr>
            <w:tcW w:w="6120" w:type="dxa"/>
            <w:tcBorders>
              <w:top w:val="single" w:sz="4" w:space="0" w:color="auto"/>
              <w:left w:val="single" w:sz="4" w:space="0" w:color="auto"/>
              <w:bottom w:val="single" w:sz="4" w:space="0" w:color="auto"/>
              <w:right w:val="single" w:sz="4" w:space="0" w:color="auto"/>
            </w:tcBorders>
          </w:tcPr>
          <w:p w14:paraId="659EB816" w14:textId="77777777" w:rsidR="00FB4E58" w:rsidRDefault="00FB4E58" w:rsidP="00A65805">
            <w:pPr>
              <w:pStyle w:val="TableText"/>
              <w:rPr>
                <w:b/>
                <w:bCs/>
                <w:szCs w:val="18"/>
              </w:rPr>
            </w:pPr>
          </w:p>
          <w:p w14:paraId="15090BD9" w14:textId="2919208B" w:rsidR="00FB4E58" w:rsidRDefault="00FB4E58" w:rsidP="00A65805">
            <w:pPr>
              <w:pStyle w:val="TableText"/>
              <w:rPr>
                <w:b/>
                <w:bCs/>
                <w:szCs w:val="18"/>
              </w:rPr>
            </w:pPr>
            <w:r>
              <w:rPr>
                <w:b/>
                <w:bCs/>
                <w:szCs w:val="18"/>
              </w:rPr>
              <w:t>NOTES</w:t>
            </w:r>
          </w:p>
          <w:p w14:paraId="17182DDF" w14:textId="77777777" w:rsidR="00FB4E58" w:rsidRDefault="00FB4E58" w:rsidP="00A65805">
            <w:pPr>
              <w:pStyle w:val="NotesText"/>
            </w:pPr>
          </w:p>
          <w:p w14:paraId="15A473AB" w14:textId="77777777" w:rsidR="00FB4E58" w:rsidRDefault="00FB4E58" w:rsidP="00A65805">
            <w:pPr>
              <w:pStyle w:val="NotesText"/>
            </w:pPr>
            <w:r>
              <w:t>Satisfactory reagent</w:t>
            </w:r>
            <w:r w:rsidR="001017A2">
              <w:t>s are</w:t>
            </w:r>
            <w:r>
              <w:t xml:space="preserve"> available for later selection, unsatisfactory reagent</w:t>
            </w:r>
            <w:r w:rsidR="001017A2">
              <w:t>s</w:t>
            </w:r>
            <w:r>
              <w:t xml:space="preserve"> are not.</w:t>
            </w:r>
          </w:p>
          <w:p w14:paraId="60F62EAD" w14:textId="77777777" w:rsidR="00FB4E58" w:rsidRDefault="00FB4E58" w:rsidP="00A65805">
            <w:pPr>
              <w:pStyle w:val="NotesText"/>
            </w:pPr>
          </w:p>
          <w:p w14:paraId="5F698E98" w14:textId="77777777" w:rsidR="00FB4E58" w:rsidRDefault="00FB4E58" w:rsidP="00A65805">
            <w:pPr>
              <w:pStyle w:val="NotesText"/>
            </w:pPr>
            <w:r>
              <w:t>When a user selects Other from the drop-down list in the Comment field, entry of additional text in the Details field is required.</w:t>
            </w:r>
          </w:p>
        </w:tc>
      </w:tr>
      <w:tr w:rsidR="00FB4E58" w14:paraId="56B42877"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0BC23EEF" w14:textId="60EA1738" w:rsidR="00FB4E58" w:rsidRDefault="00FB4E58" w:rsidP="00A65805">
            <w:pPr>
              <w:pStyle w:val="TableTextNumbers"/>
            </w:pPr>
            <w:r>
              <w:t>Repeat Steps 3</w:t>
            </w:r>
            <w:r w:rsidR="004F5589">
              <w:t xml:space="preserve"> through </w:t>
            </w:r>
            <w:r>
              <w:t>5 to log in more supplies, as desired.</w:t>
            </w:r>
          </w:p>
        </w:tc>
        <w:tc>
          <w:tcPr>
            <w:tcW w:w="6120" w:type="dxa"/>
            <w:tcBorders>
              <w:top w:val="single" w:sz="4" w:space="0" w:color="auto"/>
              <w:left w:val="single" w:sz="4" w:space="0" w:color="auto"/>
              <w:bottom w:val="single" w:sz="4" w:space="0" w:color="auto"/>
              <w:right w:val="single" w:sz="4" w:space="0" w:color="auto"/>
            </w:tcBorders>
          </w:tcPr>
          <w:p w14:paraId="35F50B80" w14:textId="77777777" w:rsidR="00FB4E58" w:rsidRDefault="00FB4E58" w:rsidP="00A65805">
            <w:pPr>
              <w:pStyle w:val="TableText"/>
              <w:rPr>
                <w:b/>
                <w:bCs/>
                <w:szCs w:val="18"/>
              </w:rPr>
            </w:pPr>
          </w:p>
          <w:p w14:paraId="14C6FB94" w14:textId="440249C4" w:rsidR="00FB4E58" w:rsidRDefault="00FB4E58" w:rsidP="00A65805">
            <w:pPr>
              <w:pStyle w:val="TableText"/>
              <w:rPr>
                <w:b/>
                <w:bCs/>
                <w:szCs w:val="18"/>
              </w:rPr>
            </w:pPr>
            <w:r>
              <w:rPr>
                <w:b/>
                <w:bCs/>
                <w:szCs w:val="18"/>
              </w:rPr>
              <w:t>NOTES</w:t>
            </w:r>
          </w:p>
          <w:p w14:paraId="30AE1A95" w14:textId="77777777" w:rsidR="00FB4E58" w:rsidRDefault="00FB4E58" w:rsidP="00A65805">
            <w:pPr>
              <w:pStyle w:val="NotesText"/>
            </w:pPr>
          </w:p>
          <w:p w14:paraId="223E9A5A" w14:textId="77777777" w:rsidR="00FB4E58" w:rsidRDefault="00FB4E58" w:rsidP="00A65805">
            <w:pPr>
              <w:pStyle w:val="NotesText"/>
            </w:pPr>
            <w:r>
              <w:rPr>
                <w:rFonts w:cs="Arial"/>
                <w:vanish/>
              </w:rPr>
              <w:t xml:space="preserve">BR_81.03 </w:t>
            </w:r>
            <w:r>
              <w:t xml:space="preserve">Click </w:t>
            </w:r>
            <w:r>
              <w:rPr>
                <w:b/>
              </w:rPr>
              <w:t>Clear</w:t>
            </w:r>
            <w:r>
              <w:t xml:space="preserve"> to clear all but the Invoice Number, Date Received, Manufacturer, and Lot Expiration Date fields.</w:t>
            </w:r>
          </w:p>
        </w:tc>
      </w:tr>
      <w:tr w:rsidR="00FB4E58" w14:paraId="12ADDBE2" w14:textId="77777777">
        <w:tc>
          <w:tcPr>
            <w:tcW w:w="3240" w:type="dxa"/>
            <w:tcBorders>
              <w:top w:val="single" w:sz="4" w:space="0" w:color="auto"/>
              <w:left w:val="single" w:sz="4" w:space="0" w:color="auto"/>
              <w:bottom w:val="single" w:sz="4" w:space="0" w:color="auto"/>
              <w:right w:val="single" w:sz="4" w:space="0" w:color="auto"/>
            </w:tcBorders>
          </w:tcPr>
          <w:p w14:paraId="588138CB" w14:textId="77777777" w:rsidR="00FB4E58" w:rsidRDefault="00FB4E58" w:rsidP="00A65805">
            <w:pPr>
              <w:pStyle w:val="TableTextNumbers"/>
            </w:pPr>
            <w:r>
              <w:t xml:space="preserve">Click </w:t>
            </w:r>
            <w:r>
              <w:rPr>
                <w:b/>
              </w:rPr>
              <w:t>OK</w:t>
            </w:r>
            <w:r>
              <w:t xml:space="preserve"> to save.</w:t>
            </w:r>
          </w:p>
          <w:p w14:paraId="706C9C3C" w14:textId="77777777" w:rsidR="00FB4E58" w:rsidRDefault="00FB4E58" w:rsidP="00A65805">
            <w:pPr>
              <w:pStyle w:val="TableTextNumbersContinued"/>
              <w:rPr>
                <w:b/>
                <w:bCs/>
              </w:rPr>
            </w:pPr>
          </w:p>
          <w:p w14:paraId="11B2977F" w14:textId="77777777" w:rsidR="00FB4E58" w:rsidRDefault="00FB4E58" w:rsidP="00A65805">
            <w:pPr>
              <w:pStyle w:val="TableTextNumbersContinued"/>
              <w:rPr>
                <w:b/>
                <w:bCs/>
              </w:rPr>
            </w:pPr>
            <w:r>
              <w:rPr>
                <w:bCs/>
              </w:rPr>
              <w:t>Clic</w:t>
            </w:r>
            <w:r>
              <w:t xml:space="preserve">k </w:t>
            </w:r>
            <w:r>
              <w:rPr>
                <w:b/>
              </w:rPr>
              <w:t>Yes</w:t>
            </w:r>
            <w:r>
              <w:t xml:space="preserve"> to confirm the save and exit</w:t>
            </w:r>
            <w:r>
              <w:rPr>
                <w:bCs/>
              </w:rPr>
              <w: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0B6A939E" w14:textId="77777777" w:rsidR="00FB4E58" w:rsidRDefault="00FB4E58" w:rsidP="00A65805">
            <w:pPr>
              <w:pStyle w:val="TableTextBullet"/>
            </w:pPr>
            <w:r>
              <w:t>Requests confirmation to update the database.</w:t>
            </w:r>
          </w:p>
        </w:tc>
      </w:tr>
    </w:tbl>
    <w:p w14:paraId="32D92B85" w14:textId="77777777" w:rsidR="00466CF2" w:rsidRDefault="00466CF2" w:rsidP="00613D46">
      <w:pPr>
        <w:pStyle w:val="Heading4"/>
      </w:pPr>
    </w:p>
    <w:p w14:paraId="50674C8E" w14:textId="77777777" w:rsidR="00613D46" w:rsidRDefault="00466CF2" w:rsidP="00613D46">
      <w:pPr>
        <w:pStyle w:val="Heading4"/>
      </w:pPr>
      <w:r>
        <w:br w:type="page"/>
      </w:r>
      <w:r w:rsidR="00613D46">
        <w:t>Update Reagent Inventory</w:t>
      </w:r>
      <w:r w:rsidR="00613D46">
        <w:fldChar w:fldCharType="begin"/>
      </w:r>
      <w:r w:rsidR="00613D46">
        <w:instrText xml:space="preserve"> XE </w:instrText>
      </w:r>
      <w:r w:rsidR="00FA7E65">
        <w:instrText>“</w:instrText>
      </w:r>
      <w:r w:rsidR="00613D46">
        <w:instrText>Update Reagent Inventory</w:instrText>
      </w:r>
      <w:r w:rsidR="00FA7E65">
        <w:instrText>”</w:instrText>
      </w:r>
      <w:r w:rsidR="00613D46">
        <w:instrText xml:space="preserve"> </w:instrText>
      </w:r>
      <w:r w:rsidR="00613D46">
        <w:fldChar w:fldCharType="end"/>
      </w:r>
      <w:r w:rsidR="00613D46">
        <w:t xml:space="preserve"> </w:t>
      </w:r>
    </w:p>
    <w:p w14:paraId="25F0C91E" w14:textId="77777777" w:rsidR="002A21AE" w:rsidRDefault="00C461C7" w:rsidP="007F12F1">
      <w:pPr>
        <w:pStyle w:val="BodyText"/>
      </w:pPr>
      <w:r>
        <w:t>The</w:t>
      </w:r>
      <w:r w:rsidR="00613D46">
        <w:t xml:space="preserve"> user change</w:t>
      </w:r>
      <w:r w:rsidR="003B2E74">
        <w:t>s</w:t>
      </w:r>
      <w:r w:rsidR="00613D46">
        <w:t xml:space="preserve"> the number of available items in the reagent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613D46" w14:paraId="6735F65C" w14:textId="77777777">
        <w:trPr>
          <w:cantSplit/>
          <w:tblHeader/>
        </w:trPr>
        <w:tc>
          <w:tcPr>
            <w:tcW w:w="3240" w:type="dxa"/>
            <w:shd w:val="pct30" w:color="auto" w:fill="FFFFFF"/>
            <w:vAlign w:val="bottom"/>
          </w:tcPr>
          <w:p w14:paraId="21603C19" w14:textId="77777777" w:rsidR="00613D46" w:rsidRDefault="00613D46" w:rsidP="00A65805">
            <w:pPr>
              <w:pStyle w:val="TableText"/>
              <w:rPr>
                <w:b/>
              </w:rPr>
            </w:pPr>
            <w:r>
              <w:rPr>
                <w:b/>
              </w:rPr>
              <w:t>User Action</w:t>
            </w:r>
          </w:p>
        </w:tc>
        <w:tc>
          <w:tcPr>
            <w:tcW w:w="6120" w:type="dxa"/>
            <w:shd w:val="pct30" w:color="auto" w:fill="FFFFFF"/>
            <w:vAlign w:val="bottom"/>
          </w:tcPr>
          <w:p w14:paraId="03EE4767" w14:textId="77777777" w:rsidR="00613D46" w:rsidRDefault="00613D46" w:rsidP="00A65805">
            <w:pPr>
              <w:pStyle w:val="TableText"/>
              <w:rPr>
                <w:b/>
              </w:rPr>
            </w:pPr>
            <w:r>
              <w:rPr>
                <w:b/>
              </w:rPr>
              <w:t>VBECS</w:t>
            </w:r>
          </w:p>
        </w:tc>
      </w:tr>
      <w:tr w:rsidR="00613D46" w14:paraId="2A31BA5A" w14:textId="77777777">
        <w:tc>
          <w:tcPr>
            <w:tcW w:w="3240" w:type="dxa"/>
            <w:tcBorders>
              <w:top w:val="single" w:sz="4" w:space="0" w:color="auto"/>
              <w:left w:val="single" w:sz="4" w:space="0" w:color="auto"/>
              <w:bottom w:val="single" w:sz="4" w:space="0" w:color="auto"/>
              <w:right w:val="single" w:sz="4" w:space="0" w:color="auto"/>
            </w:tcBorders>
          </w:tcPr>
          <w:p w14:paraId="1C390D40" w14:textId="77777777" w:rsidR="00613D46" w:rsidRDefault="00613D46" w:rsidP="002244F1">
            <w:pPr>
              <w:pStyle w:val="TableTextNumbers"/>
            </w:pPr>
            <w:r>
              <w:t xml:space="preserve">Select </w:t>
            </w:r>
            <w:r>
              <w:rPr>
                <w:b/>
              </w:rPr>
              <w:t>Reagents</w:t>
            </w:r>
            <w:r>
              <w:t xml:space="preserve"> from the main menu.</w:t>
            </w:r>
          </w:p>
        </w:tc>
        <w:tc>
          <w:tcPr>
            <w:tcW w:w="6120" w:type="dxa"/>
            <w:tcBorders>
              <w:top w:val="single" w:sz="4" w:space="0" w:color="auto"/>
              <w:left w:val="single" w:sz="4" w:space="0" w:color="auto"/>
              <w:bottom w:val="single" w:sz="4" w:space="0" w:color="auto"/>
              <w:right w:val="single" w:sz="4" w:space="0" w:color="auto"/>
            </w:tcBorders>
          </w:tcPr>
          <w:p w14:paraId="53BE2452" w14:textId="77777777" w:rsidR="00613D46" w:rsidRDefault="00613D46" w:rsidP="00A65805">
            <w:pPr>
              <w:pStyle w:val="TableTextBullet"/>
            </w:pPr>
            <w:r>
              <w:t xml:space="preserve">Displays options for Quality Control functions. </w:t>
            </w:r>
          </w:p>
          <w:p w14:paraId="40842FFC" w14:textId="77777777" w:rsidR="00613D46" w:rsidRDefault="00613D46" w:rsidP="00A65805">
            <w:pPr>
              <w:pStyle w:val="TableTextBullet"/>
            </w:pPr>
            <w:r>
              <w:t>Displays options for processing reagents.</w:t>
            </w:r>
          </w:p>
        </w:tc>
      </w:tr>
      <w:tr w:rsidR="00613D46" w14:paraId="3731B081" w14:textId="77777777">
        <w:tc>
          <w:tcPr>
            <w:tcW w:w="3240" w:type="dxa"/>
          </w:tcPr>
          <w:p w14:paraId="50C6E670" w14:textId="77777777" w:rsidR="00613D46" w:rsidRDefault="00613D46" w:rsidP="00AB00F0">
            <w:pPr>
              <w:pStyle w:val="TableTextNumbers"/>
            </w:pPr>
            <w:r>
              <w:t xml:space="preserve">Select </w:t>
            </w:r>
            <w:r>
              <w:rPr>
                <w:b/>
              </w:rPr>
              <w:t>Update Inventory</w:t>
            </w:r>
            <w:r>
              <w:t>.</w:t>
            </w:r>
          </w:p>
        </w:tc>
        <w:tc>
          <w:tcPr>
            <w:tcW w:w="6120" w:type="dxa"/>
          </w:tcPr>
          <w:p w14:paraId="7983250F" w14:textId="77777777" w:rsidR="00613D46" w:rsidRDefault="00613D46" w:rsidP="00A65805">
            <w:pPr>
              <w:pStyle w:val="TableTextBullet"/>
            </w:pPr>
            <w:r>
              <w:t>Lists existing satisfactory reagents by default.</w:t>
            </w:r>
          </w:p>
        </w:tc>
      </w:tr>
      <w:tr w:rsidR="00613D46" w14:paraId="4EBCA6C7" w14:textId="77777777">
        <w:tc>
          <w:tcPr>
            <w:tcW w:w="3240" w:type="dxa"/>
            <w:tcBorders>
              <w:top w:val="single" w:sz="4" w:space="0" w:color="auto"/>
              <w:left w:val="single" w:sz="4" w:space="0" w:color="auto"/>
              <w:bottom w:val="single" w:sz="4" w:space="0" w:color="auto"/>
              <w:right w:val="single" w:sz="4" w:space="0" w:color="auto"/>
            </w:tcBorders>
          </w:tcPr>
          <w:p w14:paraId="084D08AD" w14:textId="77777777" w:rsidR="00613D46" w:rsidRDefault="00613D46" w:rsidP="00A65805">
            <w:pPr>
              <w:pStyle w:val="TableTextNumbers"/>
            </w:pPr>
            <w:r>
              <w:t>Select a reagent to edit.</w:t>
            </w:r>
          </w:p>
          <w:p w14:paraId="0E529716" w14:textId="77777777" w:rsidR="00613D46" w:rsidRDefault="00613D46" w:rsidP="00A65805">
            <w:pPr>
              <w:pStyle w:val="TableTextNumbersContinued"/>
            </w:pPr>
          </w:p>
          <w:p w14:paraId="117AF05A" w14:textId="77777777" w:rsidR="00613D46" w:rsidRDefault="00613D46" w:rsidP="00A65805">
            <w:pPr>
              <w:pStyle w:val="TableTextNumbersContinued"/>
            </w:pPr>
            <w:r>
              <w:t xml:space="preserve">To view </w:t>
            </w:r>
            <w:r w:rsidR="00E516F6">
              <w:t>reagents</w:t>
            </w:r>
            <w:r>
              <w:t xml:space="preserve"> with a specific lot number, enter the lot number in the Lot # field and click the </w:t>
            </w:r>
            <w:r>
              <w:rPr>
                <w:b/>
              </w:rPr>
              <w:t>magnifying glass</w:t>
            </w:r>
            <w:r>
              <w:t>.</w:t>
            </w:r>
          </w:p>
        </w:tc>
        <w:tc>
          <w:tcPr>
            <w:tcW w:w="6120" w:type="dxa"/>
            <w:tcBorders>
              <w:top w:val="single" w:sz="4" w:space="0" w:color="auto"/>
              <w:left w:val="single" w:sz="4" w:space="0" w:color="auto"/>
              <w:bottom w:val="single" w:sz="4" w:space="0" w:color="auto"/>
              <w:right w:val="single" w:sz="4" w:space="0" w:color="auto"/>
            </w:tcBorders>
          </w:tcPr>
          <w:p w14:paraId="34635981" w14:textId="77777777" w:rsidR="00613D46" w:rsidRDefault="00613D46" w:rsidP="00A65805">
            <w:pPr>
              <w:pStyle w:val="TableText"/>
            </w:pPr>
          </w:p>
          <w:p w14:paraId="626D752A" w14:textId="26D4B2CE" w:rsidR="00613D46" w:rsidRDefault="00613D46" w:rsidP="00A65805">
            <w:pPr>
              <w:pStyle w:val="TableText"/>
              <w:rPr>
                <w:b/>
                <w:bCs/>
                <w:szCs w:val="18"/>
              </w:rPr>
            </w:pPr>
            <w:r>
              <w:rPr>
                <w:b/>
                <w:bCs/>
                <w:szCs w:val="18"/>
              </w:rPr>
              <w:t>NOTES</w:t>
            </w:r>
          </w:p>
          <w:p w14:paraId="1C34BB27" w14:textId="77777777" w:rsidR="00613D46" w:rsidRDefault="00613D46" w:rsidP="00A65805">
            <w:pPr>
              <w:pStyle w:val="NotesText"/>
            </w:pPr>
          </w:p>
          <w:p w14:paraId="2DFC9A6A" w14:textId="77777777" w:rsidR="00613D46" w:rsidRDefault="00613D46" w:rsidP="00A65805">
            <w:pPr>
              <w:pStyle w:val="NotesText"/>
            </w:pPr>
            <w:r>
              <w:t>Click a reagent type to reveal manufacturer names. Click a manufacturer name to reveal lot numbers.</w:t>
            </w:r>
          </w:p>
        </w:tc>
      </w:tr>
      <w:tr w:rsidR="00613D46" w14:paraId="257998E3" w14:textId="77777777">
        <w:tc>
          <w:tcPr>
            <w:tcW w:w="3240" w:type="dxa"/>
            <w:tcBorders>
              <w:top w:val="single" w:sz="4" w:space="0" w:color="auto"/>
              <w:left w:val="single" w:sz="4" w:space="0" w:color="auto"/>
              <w:bottom w:val="single" w:sz="4" w:space="0" w:color="auto"/>
              <w:right w:val="single" w:sz="4" w:space="0" w:color="auto"/>
            </w:tcBorders>
          </w:tcPr>
          <w:p w14:paraId="36570B11" w14:textId="77777777" w:rsidR="00613D46" w:rsidRDefault="00613D46" w:rsidP="00A65805">
            <w:pPr>
              <w:pStyle w:val="TableTextNumbers"/>
            </w:pPr>
            <w:r>
              <w:t>Click a lot number to enable the Number of Vials Available field.</w:t>
            </w:r>
          </w:p>
          <w:p w14:paraId="44505ECC" w14:textId="77777777" w:rsidR="00613D46" w:rsidRDefault="00613D46" w:rsidP="00A65805">
            <w:pPr>
              <w:pStyle w:val="TableTextNumbersContinued"/>
            </w:pPr>
          </w:p>
          <w:p w14:paraId="5A5186DC" w14:textId="77777777" w:rsidR="00613D46" w:rsidRDefault="00613D46" w:rsidP="00A65805">
            <w:pPr>
              <w:pStyle w:val="TableTextNumbersContinued"/>
            </w:pPr>
            <w:r>
              <w:t>Enter (or select) a quantity that is less than or equal to the current entry in the Quantity Available field.</w:t>
            </w:r>
          </w:p>
          <w:p w14:paraId="04AF7C18" w14:textId="77777777" w:rsidR="00613D46" w:rsidRDefault="00613D46" w:rsidP="00A65805">
            <w:pPr>
              <w:pStyle w:val="TableTextNumbersContinued"/>
            </w:pPr>
          </w:p>
          <w:p w14:paraId="5B3853D9" w14:textId="46B16922" w:rsidR="00613D46" w:rsidRDefault="00613D46" w:rsidP="00A65805">
            <w:pPr>
              <w:pStyle w:val="TableTextNumbersContinued"/>
            </w:pPr>
            <w:r>
              <w:t>Select or edit the date and time in the Date Changed field</w:t>
            </w:r>
            <w:r w:rsidR="00580E36">
              <w:t xml:space="preserve"> (</w:t>
            </w:r>
            <w:r w:rsidR="00EE455E">
              <w:t xml:space="preserve">Figure </w:t>
            </w:r>
            <w:r w:rsidR="00EE455E">
              <w:rPr>
                <w:noProof/>
              </w:rPr>
              <w:t>40</w:t>
            </w:r>
            <w:r w:rsidR="00580E36">
              <w:t>)</w:t>
            </w:r>
            <w:r>
              <w:t>.</w:t>
            </w:r>
          </w:p>
        </w:tc>
        <w:tc>
          <w:tcPr>
            <w:tcW w:w="6120" w:type="dxa"/>
            <w:tcBorders>
              <w:top w:val="single" w:sz="4" w:space="0" w:color="auto"/>
              <w:left w:val="single" w:sz="4" w:space="0" w:color="auto"/>
              <w:bottom w:val="single" w:sz="4" w:space="0" w:color="auto"/>
              <w:right w:val="single" w:sz="4" w:space="0" w:color="auto"/>
            </w:tcBorders>
          </w:tcPr>
          <w:p w14:paraId="1AF58F57" w14:textId="77777777" w:rsidR="00613D46" w:rsidRDefault="00613D46" w:rsidP="00A65805">
            <w:pPr>
              <w:pStyle w:val="TableText"/>
            </w:pPr>
          </w:p>
          <w:p w14:paraId="5988B879" w14:textId="48DC5111" w:rsidR="00613D46" w:rsidRDefault="00613D46" w:rsidP="00A65805">
            <w:pPr>
              <w:pStyle w:val="TableText"/>
              <w:rPr>
                <w:b/>
                <w:bCs/>
                <w:szCs w:val="18"/>
              </w:rPr>
            </w:pPr>
            <w:r>
              <w:rPr>
                <w:b/>
                <w:bCs/>
                <w:szCs w:val="18"/>
              </w:rPr>
              <w:t>NOTES</w:t>
            </w:r>
          </w:p>
          <w:p w14:paraId="6D19D8D0" w14:textId="77777777" w:rsidR="00613D46" w:rsidRDefault="00613D46" w:rsidP="00A65805">
            <w:pPr>
              <w:pStyle w:val="NotesText"/>
            </w:pPr>
          </w:p>
          <w:p w14:paraId="139FA21F" w14:textId="77777777" w:rsidR="00613D46" w:rsidRDefault="00613D46" w:rsidP="00A65805">
            <w:pPr>
              <w:pStyle w:val="NotesText"/>
            </w:pPr>
            <w:r>
              <w:t>The default change date is the current date and time. The user may edit it to a past date and time only.</w:t>
            </w:r>
          </w:p>
          <w:p w14:paraId="6E1B2ACB" w14:textId="77777777" w:rsidR="00613D46" w:rsidRDefault="00613D46" w:rsidP="00A65805">
            <w:pPr>
              <w:pStyle w:val="NotesText"/>
            </w:pPr>
          </w:p>
          <w:p w14:paraId="23459C0B" w14:textId="5E12FEB6" w:rsidR="00613D46" w:rsidRDefault="00AC4234" w:rsidP="00A65805">
            <w:pPr>
              <w:pStyle w:val="NotesText"/>
            </w:pPr>
            <w:r w:rsidRPr="00AC4234">
              <w:t xml:space="preserve">The list of selectable comments in Reason for Change field is not associated with a canned comment category. </w:t>
            </w:r>
            <w:r w:rsidR="00613D46">
              <w:t>When a user selects Other from the drop-down list in the Reason for Change field, he may enter additional text in the Comments field.</w:t>
            </w:r>
          </w:p>
          <w:p w14:paraId="408013DC" w14:textId="67AEB418" w:rsidR="006B451C" w:rsidRDefault="006B451C" w:rsidP="00A65805">
            <w:pPr>
              <w:pStyle w:val="NotesText"/>
            </w:pPr>
            <w:r>
              <w:t>To avoid a system error, d</w:t>
            </w:r>
            <w:r w:rsidRPr="006B451C">
              <w:t>o not remove the reason for change before saving.</w:t>
            </w:r>
            <w:r w:rsidR="0002020B">
              <w:t xml:space="preserve"> </w:t>
            </w:r>
            <w:r w:rsidR="0002020B" w:rsidRPr="0002020B">
              <w:rPr>
                <w:vanish/>
              </w:rPr>
              <w:t>Defect 209684</w:t>
            </w:r>
            <w:r w:rsidR="0002020B">
              <w:rPr>
                <w:vanish/>
              </w:rPr>
              <w:t>, 210320</w:t>
            </w:r>
          </w:p>
          <w:p w14:paraId="0C86ABCD" w14:textId="77777777" w:rsidR="00613D46" w:rsidRDefault="00613D46" w:rsidP="00A65805">
            <w:pPr>
              <w:pStyle w:val="NotesText"/>
            </w:pPr>
          </w:p>
        </w:tc>
      </w:tr>
      <w:tr w:rsidR="00613D46" w14:paraId="55D6100F" w14:textId="77777777">
        <w:tc>
          <w:tcPr>
            <w:tcW w:w="3240" w:type="dxa"/>
            <w:tcBorders>
              <w:top w:val="single" w:sz="4" w:space="0" w:color="auto"/>
              <w:left w:val="single" w:sz="4" w:space="0" w:color="auto"/>
              <w:bottom w:val="single" w:sz="4" w:space="0" w:color="auto"/>
              <w:right w:val="single" w:sz="4" w:space="0" w:color="auto"/>
            </w:tcBorders>
          </w:tcPr>
          <w:p w14:paraId="44EB05E5" w14:textId="77777777" w:rsidR="00613D46" w:rsidRDefault="00613D46" w:rsidP="00A65805">
            <w:pPr>
              <w:pStyle w:val="TableTextNumbers"/>
            </w:pPr>
            <w:r>
              <w:t>Repeat Steps 3 and 4 to edit more reagents</w:t>
            </w:r>
            <w:r w:rsidR="00E516F6">
              <w:t>,</w:t>
            </w:r>
            <w:r>
              <w:t xml:space="preserve"> as desired.</w:t>
            </w:r>
          </w:p>
        </w:tc>
        <w:tc>
          <w:tcPr>
            <w:tcW w:w="6120" w:type="dxa"/>
            <w:tcBorders>
              <w:top w:val="single" w:sz="4" w:space="0" w:color="auto"/>
              <w:left w:val="single" w:sz="4" w:space="0" w:color="auto"/>
              <w:bottom w:val="single" w:sz="4" w:space="0" w:color="auto"/>
              <w:right w:val="single" w:sz="4" w:space="0" w:color="auto"/>
            </w:tcBorders>
          </w:tcPr>
          <w:p w14:paraId="074DFC55" w14:textId="77777777" w:rsidR="00613D46" w:rsidRDefault="00613D46" w:rsidP="00A65805">
            <w:pPr>
              <w:pStyle w:val="TableText"/>
            </w:pPr>
          </w:p>
        </w:tc>
      </w:tr>
      <w:tr w:rsidR="00613D46" w14:paraId="3E9E568F" w14:textId="77777777">
        <w:tc>
          <w:tcPr>
            <w:tcW w:w="3240" w:type="dxa"/>
            <w:tcBorders>
              <w:top w:val="single" w:sz="4" w:space="0" w:color="auto"/>
              <w:left w:val="single" w:sz="4" w:space="0" w:color="auto"/>
              <w:bottom w:val="single" w:sz="4" w:space="0" w:color="auto"/>
              <w:right w:val="single" w:sz="4" w:space="0" w:color="auto"/>
            </w:tcBorders>
          </w:tcPr>
          <w:p w14:paraId="1032FEB9" w14:textId="77777777" w:rsidR="00613D46" w:rsidRDefault="00613D46" w:rsidP="00A65805">
            <w:pPr>
              <w:pStyle w:val="TableTextNumbers"/>
            </w:pPr>
            <w:r>
              <w:t xml:space="preserve">Click </w:t>
            </w:r>
            <w:r>
              <w:rPr>
                <w:b/>
              </w:rPr>
              <w:t>OK</w:t>
            </w:r>
            <w:r>
              <w:t xml:space="preserve"> to save.</w:t>
            </w:r>
          </w:p>
          <w:p w14:paraId="0F62A892" w14:textId="77777777" w:rsidR="00613D46" w:rsidRDefault="00613D46" w:rsidP="00A65805">
            <w:pPr>
              <w:pStyle w:val="TableTextNumbersContinued"/>
            </w:pPr>
          </w:p>
          <w:p w14:paraId="56E9A6B4" w14:textId="77777777" w:rsidR="00613D46" w:rsidRDefault="00613D46" w:rsidP="00A65805">
            <w:pPr>
              <w:pStyle w:val="TableTextNumbersContinued"/>
            </w:pPr>
            <w:r>
              <w:t xml:space="preserve">Click </w:t>
            </w:r>
            <w:r>
              <w:rPr>
                <w:b/>
              </w:rPr>
              <w:t>Yes</w:t>
            </w:r>
            <w:r>
              <w:t xml:space="preserve"> to confirm the save and view the updated list.</w:t>
            </w:r>
          </w:p>
        </w:tc>
        <w:tc>
          <w:tcPr>
            <w:tcW w:w="6120" w:type="dxa"/>
            <w:tcBorders>
              <w:top w:val="single" w:sz="4" w:space="0" w:color="auto"/>
              <w:left w:val="single" w:sz="4" w:space="0" w:color="auto"/>
              <w:bottom w:val="single" w:sz="4" w:space="0" w:color="auto"/>
              <w:right w:val="single" w:sz="4" w:space="0" w:color="auto"/>
            </w:tcBorders>
          </w:tcPr>
          <w:p w14:paraId="5CAD3409" w14:textId="77777777" w:rsidR="00613D46" w:rsidRDefault="00613D46" w:rsidP="00A65805">
            <w:pPr>
              <w:pStyle w:val="TableTextBullet"/>
            </w:pPr>
            <w:r>
              <w:t xml:space="preserve">Prompts </w:t>
            </w:r>
            <w:r w:rsidR="00E516F6">
              <w:t>the user to confirm</w:t>
            </w:r>
            <w:r>
              <w:t xml:space="preserve"> the save.</w:t>
            </w:r>
          </w:p>
          <w:p w14:paraId="7BB225A4" w14:textId="77777777" w:rsidR="00613D46" w:rsidRDefault="00613D46" w:rsidP="00A65805">
            <w:pPr>
              <w:pStyle w:val="TableTextBullet"/>
            </w:pPr>
            <w:r>
              <w:t xml:space="preserve">Saves the record and redisplays current inventory, as in Step 3. </w:t>
            </w:r>
          </w:p>
          <w:p w14:paraId="7C5B05C0" w14:textId="77777777" w:rsidR="00613D46" w:rsidRDefault="00613D46" w:rsidP="00A65805">
            <w:pPr>
              <w:pStyle w:val="TableTextBullet"/>
            </w:pPr>
            <w:r>
              <w:t>Displays an option to exit.</w:t>
            </w:r>
          </w:p>
          <w:p w14:paraId="4AF89CA6" w14:textId="68C39AB3" w:rsidR="0050266C" w:rsidRDefault="0050266C" w:rsidP="0050266C">
            <w:pPr>
              <w:pStyle w:val="TableTextBullet"/>
            </w:pPr>
            <w:r w:rsidRPr="0050266C">
              <w:t>Click the Clear button to continue</w:t>
            </w:r>
            <w:r>
              <w:t xml:space="preserve"> if a warning message displays after selecting “No” to the entry confirmation message.</w:t>
            </w:r>
            <w:r w:rsidR="0002020B">
              <w:t xml:space="preserve"> </w:t>
            </w:r>
            <w:r w:rsidR="0002020B" w:rsidRPr="0002020B">
              <w:rPr>
                <w:vanish/>
              </w:rPr>
              <w:t>Defect 208884</w:t>
            </w:r>
          </w:p>
        </w:tc>
      </w:tr>
      <w:tr w:rsidR="00613D46" w14:paraId="0D8FF827" w14:textId="77777777">
        <w:tc>
          <w:tcPr>
            <w:tcW w:w="3240" w:type="dxa"/>
            <w:tcBorders>
              <w:top w:val="single" w:sz="4" w:space="0" w:color="auto"/>
              <w:left w:val="single" w:sz="4" w:space="0" w:color="auto"/>
              <w:bottom w:val="single" w:sz="4" w:space="0" w:color="auto"/>
              <w:right w:val="single" w:sz="4" w:space="0" w:color="auto"/>
            </w:tcBorders>
          </w:tcPr>
          <w:p w14:paraId="5B6B8603" w14:textId="77777777" w:rsidR="00613D46" w:rsidRDefault="00613D46" w:rsidP="00A65805">
            <w:pPr>
              <w:pStyle w:val="TableTextNumbers"/>
            </w:pPr>
            <w:r>
              <w:t xml:space="preserve">Click </w:t>
            </w:r>
            <w:r>
              <w:rPr>
                <w:b/>
              </w:rPr>
              <w:t>Close</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470107AB" w14:textId="77777777" w:rsidR="00613D46" w:rsidRDefault="00613D46" w:rsidP="00A65805">
            <w:pPr>
              <w:pStyle w:val="NotesText"/>
              <w:ind w:left="0"/>
            </w:pPr>
          </w:p>
        </w:tc>
      </w:tr>
    </w:tbl>
    <w:p w14:paraId="672F9927" w14:textId="05392D09" w:rsidR="00580E36" w:rsidRDefault="00580E36" w:rsidP="00580E36">
      <w:pPr>
        <w:pStyle w:val="Caption"/>
      </w:pPr>
      <w:bookmarkStart w:id="216" w:name="_Ref12654907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40</w:t>
      </w:r>
      <w:r w:rsidR="004E20BD">
        <w:rPr>
          <w:noProof/>
        </w:rPr>
        <w:fldChar w:fldCharType="end"/>
      </w:r>
      <w:bookmarkEnd w:id="216"/>
      <w:r>
        <w:t>: Update Reagent Inventory</w:t>
      </w:r>
    </w:p>
    <w:p w14:paraId="281354B8" w14:textId="77777777" w:rsidR="00580E36" w:rsidRDefault="00057948" w:rsidP="00580E36">
      <w:pPr>
        <w:pStyle w:val="BodyText"/>
      </w:pPr>
      <w:r>
        <w:rPr>
          <w:noProof/>
        </w:rPr>
        <w:drawing>
          <wp:inline distT="0" distB="0" distL="0" distR="0" wp14:anchorId="00E18D60" wp14:editId="7089A521">
            <wp:extent cx="4460875" cy="3667125"/>
            <wp:effectExtent l="0" t="0" r="0" b="9525"/>
            <wp:docPr id="143" name="Picture 143" descr="Example of Update Reagent Inventory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Example of Update Reagent Inventory screen captur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60875" cy="3667125"/>
                    </a:xfrm>
                    <a:prstGeom prst="rect">
                      <a:avLst/>
                    </a:prstGeom>
                    <a:noFill/>
                    <a:ln>
                      <a:noFill/>
                    </a:ln>
                  </pic:spPr>
                </pic:pic>
              </a:graphicData>
            </a:graphic>
          </wp:inline>
        </w:drawing>
      </w:r>
    </w:p>
    <w:p w14:paraId="08A5F1BC" w14:textId="77777777" w:rsidR="00FE6B9A" w:rsidRDefault="00466CF2" w:rsidP="00FE6B9A">
      <w:pPr>
        <w:pStyle w:val="Heading4"/>
      </w:pPr>
      <w:r>
        <w:br w:type="page"/>
      </w:r>
      <w:r w:rsidR="00FE6B9A">
        <w:t>View/Print Reagent Inventory</w:t>
      </w:r>
      <w:r w:rsidR="00FE6B9A">
        <w:fldChar w:fldCharType="begin"/>
      </w:r>
      <w:r w:rsidR="00FE6B9A">
        <w:instrText xml:space="preserve"> XE </w:instrText>
      </w:r>
      <w:r w:rsidR="00FA7E65">
        <w:instrText>“</w:instrText>
      </w:r>
      <w:r w:rsidR="00FE6B9A">
        <w:instrText>View/Print Reagent Inventory</w:instrText>
      </w:r>
      <w:r w:rsidR="00FA7E65">
        <w:instrText>”</w:instrText>
      </w:r>
      <w:r w:rsidR="00FE6B9A">
        <w:instrText xml:space="preserve"> </w:instrText>
      </w:r>
      <w:r w:rsidR="00FE6B9A">
        <w:fldChar w:fldCharType="end"/>
      </w:r>
      <w:r w:rsidR="00FE6B9A">
        <w:t xml:space="preserve"> </w:t>
      </w:r>
    </w:p>
    <w:p w14:paraId="6137796F" w14:textId="77777777" w:rsidR="002A21AE" w:rsidRDefault="00C461C7" w:rsidP="007F12F1">
      <w:pPr>
        <w:pStyle w:val="BodyText"/>
      </w:pPr>
      <w:r>
        <w:t>The</w:t>
      </w:r>
      <w:r w:rsidR="00FE6B9A">
        <w:t xml:space="preserve"> user view</w:t>
      </w:r>
      <w:r w:rsidR="00F859D5">
        <w:t>s</w:t>
      </w:r>
      <w:r w:rsidR="00FE6B9A">
        <w:t xml:space="preserve"> inventory online based on various search criteria and print</w:t>
      </w:r>
      <w:r w:rsidR="00F859D5">
        <w:t>s</w:t>
      </w:r>
      <w:r w:rsidR="00FE6B9A">
        <w:t xml:space="preserve"> the search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E6B9A" w14:paraId="25CFFDBD" w14:textId="77777777">
        <w:trPr>
          <w:cantSplit/>
          <w:tblHeader/>
        </w:trPr>
        <w:tc>
          <w:tcPr>
            <w:tcW w:w="3240" w:type="dxa"/>
            <w:shd w:val="pct30" w:color="auto" w:fill="FFFFFF"/>
            <w:vAlign w:val="bottom"/>
          </w:tcPr>
          <w:p w14:paraId="283A83BF" w14:textId="77777777" w:rsidR="00FE6B9A" w:rsidRDefault="00FE6B9A" w:rsidP="00A65805">
            <w:pPr>
              <w:pStyle w:val="TableText"/>
              <w:rPr>
                <w:b/>
              </w:rPr>
            </w:pPr>
            <w:r>
              <w:rPr>
                <w:b/>
              </w:rPr>
              <w:t>User Action</w:t>
            </w:r>
          </w:p>
        </w:tc>
        <w:tc>
          <w:tcPr>
            <w:tcW w:w="6120" w:type="dxa"/>
            <w:shd w:val="pct30" w:color="auto" w:fill="FFFFFF"/>
            <w:vAlign w:val="bottom"/>
          </w:tcPr>
          <w:p w14:paraId="67DD09DB" w14:textId="77777777" w:rsidR="00FE6B9A" w:rsidRDefault="00FE6B9A" w:rsidP="00A65805">
            <w:pPr>
              <w:pStyle w:val="TableText"/>
              <w:rPr>
                <w:b/>
              </w:rPr>
            </w:pPr>
            <w:r>
              <w:rPr>
                <w:b/>
              </w:rPr>
              <w:t>VBECS</w:t>
            </w:r>
          </w:p>
        </w:tc>
      </w:tr>
      <w:tr w:rsidR="00FE6B9A" w14:paraId="35D6F0C8" w14:textId="77777777">
        <w:tc>
          <w:tcPr>
            <w:tcW w:w="3240" w:type="dxa"/>
            <w:tcBorders>
              <w:top w:val="single" w:sz="4" w:space="0" w:color="auto"/>
              <w:left w:val="single" w:sz="4" w:space="0" w:color="auto"/>
              <w:bottom w:val="single" w:sz="4" w:space="0" w:color="auto"/>
              <w:right w:val="single" w:sz="4" w:space="0" w:color="auto"/>
            </w:tcBorders>
          </w:tcPr>
          <w:p w14:paraId="3745F3B5" w14:textId="77777777" w:rsidR="00FE6B9A" w:rsidRDefault="00FE6B9A" w:rsidP="00A65805">
            <w:pPr>
              <w:pStyle w:val="TableTextNumbers"/>
            </w:pPr>
            <w:r>
              <w:t xml:space="preserve">Select </w:t>
            </w:r>
            <w:r>
              <w:rPr>
                <w:b/>
              </w:rPr>
              <w:t>Reagents</w:t>
            </w:r>
            <w:r>
              <w:t xml:space="preserve"> from the main menu.</w:t>
            </w:r>
          </w:p>
          <w:p w14:paraId="11A33B80" w14:textId="77777777" w:rsidR="00FE6B9A" w:rsidRDefault="00FE6B9A" w:rsidP="00A65805">
            <w:pPr>
              <w:pStyle w:val="TableTextNumbersContinued"/>
            </w:pPr>
          </w:p>
        </w:tc>
        <w:tc>
          <w:tcPr>
            <w:tcW w:w="6120" w:type="dxa"/>
            <w:tcBorders>
              <w:top w:val="single" w:sz="4" w:space="0" w:color="auto"/>
              <w:left w:val="single" w:sz="4" w:space="0" w:color="auto"/>
              <w:bottom w:val="single" w:sz="4" w:space="0" w:color="auto"/>
              <w:right w:val="single" w:sz="4" w:space="0" w:color="auto"/>
            </w:tcBorders>
          </w:tcPr>
          <w:p w14:paraId="3E2E61AF" w14:textId="77777777" w:rsidR="00FE6B9A" w:rsidRDefault="00FE6B9A" w:rsidP="00A65805">
            <w:pPr>
              <w:pStyle w:val="TableTextBullet"/>
            </w:pPr>
            <w:r>
              <w:t xml:space="preserve">Displays options for Quality Control functions. </w:t>
            </w:r>
          </w:p>
          <w:p w14:paraId="14665BA8" w14:textId="77777777" w:rsidR="00FE6B9A" w:rsidRDefault="00FE6B9A" w:rsidP="00A65805">
            <w:pPr>
              <w:pStyle w:val="TableTextBullet"/>
            </w:pPr>
            <w:r>
              <w:t>Displays options for processing reagents.</w:t>
            </w:r>
          </w:p>
        </w:tc>
      </w:tr>
      <w:tr w:rsidR="00FE6B9A" w14:paraId="06B4CC97" w14:textId="77777777">
        <w:tc>
          <w:tcPr>
            <w:tcW w:w="3240" w:type="dxa"/>
          </w:tcPr>
          <w:p w14:paraId="11DFFDB4" w14:textId="77777777" w:rsidR="00FE6B9A" w:rsidRDefault="00FE6B9A" w:rsidP="00A65805">
            <w:pPr>
              <w:pStyle w:val="TableTextNumbers"/>
            </w:pPr>
            <w:r>
              <w:t xml:space="preserve">Select </w:t>
            </w:r>
            <w:r>
              <w:rPr>
                <w:b/>
              </w:rPr>
              <w:t>View/Print Inventory</w:t>
            </w:r>
            <w:r>
              <w:t>.</w:t>
            </w:r>
          </w:p>
        </w:tc>
        <w:tc>
          <w:tcPr>
            <w:tcW w:w="6120" w:type="dxa"/>
          </w:tcPr>
          <w:p w14:paraId="59149C16" w14:textId="77777777" w:rsidR="00FE6B9A" w:rsidRDefault="00FE6B9A" w:rsidP="00A65805">
            <w:pPr>
              <w:pStyle w:val="TableTextBullet"/>
            </w:pPr>
            <w:r>
              <w:t xml:space="preserve">Lists </w:t>
            </w:r>
            <w:r w:rsidR="006B2239">
              <w:t>r</w:t>
            </w:r>
            <w:r>
              <w:t xml:space="preserve">eagent </w:t>
            </w:r>
            <w:r w:rsidR="006B2239">
              <w:t>t</w:t>
            </w:r>
            <w:r>
              <w:t>ypes.</w:t>
            </w:r>
          </w:p>
        </w:tc>
      </w:tr>
      <w:tr w:rsidR="00FE6B9A" w14:paraId="3FEFAD77" w14:textId="77777777">
        <w:tc>
          <w:tcPr>
            <w:tcW w:w="3240" w:type="dxa"/>
            <w:tcBorders>
              <w:top w:val="single" w:sz="4" w:space="0" w:color="auto"/>
              <w:left w:val="single" w:sz="4" w:space="0" w:color="auto"/>
              <w:bottom w:val="single" w:sz="4" w:space="0" w:color="auto"/>
              <w:right w:val="single" w:sz="4" w:space="0" w:color="auto"/>
            </w:tcBorders>
          </w:tcPr>
          <w:p w14:paraId="6119731A" w14:textId="77777777" w:rsidR="00FE6B9A" w:rsidRDefault="00FE6B9A" w:rsidP="00A65805">
            <w:pPr>
              <w:pStyle w:val="TableTextNumbers"/>
            </w:pPr>
            <w:r>
              <w:t>Click one or more check boxes in the Reagent Type list to select reagent types.</w:t>
            </w:r>
          </w:p>
        </w:tc>
        <w:tc>
          <w:tcPr>
            <w:tcW w:w="6120" w:type="dxa"/>
            <w:tcBorders>
              <w:top w:val="single" w:sz="4" w:space="0" w:color="auto"/>
              <w:left w:val="single" w:sz="4" w:space="0" w:color="auto"/>
              <w:bottom w:val="single" w:sz="4" w:space="0" w:color="auto"/>
              <w:right w:val="single" w:sz="4" w:space="0" w:color="auto"/>
            </w:tcBorders>
          </w:tcPr>
          <w:p w14:paraId="286199C4" w14:textId="77777777" w:rsidR="00FE6B9A" w:rsidRDefault="00FE6B9A" w:rsidP="00A65805">
            <w:pPr>
              <w:pStyle w:val="TableTextBullet"/>
            </w:pPr>
            <w:r>
              <w:t xml:space="preserve">Displays or allows </w:t>
            </w:r>
            <w:r w:rsidR="006B2239">
              <w:t xml:space="preserve">the </w:t>
            </w:r>
            <w:r>
              <w:t>user to print a report of all current in-date, unsatisfactory, expired reagent inventory and minimum stock levels as a read-only display based on the selection criteria entered:</w:t>
            </w:r>
          </w:p>
          <w:p w14:paraId="4354CE91" w14:textId="77777777" w:rsidR="00FE6B9A" w:rsidRDefault="00FE6B9A" w:rsidP="00A65805">
            <w:pPr>
              <w:pStyle w:val="TableTextBullet1"/>
            </w:pPr>
            <w:r>
              <w:t xml:space="preserve">Reagent </w:t>
            </w:r>
            <w:r w:rsidR="006B2239">
              <w:t>t</w:t>
            </w:r>
            <w:r>
              <w:t>ype</w:t>
            </w:r>
          </w:p>
          <w:p w14:paraId="27856CC4" w14:textId="77777777" w:rsidR="00FE6B9A" w:rsidRDefault="00FE6B9A" w:rsidP="00A65805">
            <w:pPr>
              <w:pStyle w:val="TableTextBullet1"/>
            </w:pPr>
            <w:r>
              <w:t xml:space="preserve">In-date (active) </w:t>
            </w:r>
            <w:r w:rsidR="006B2239">
              <w:t>r</w:t>
            </w:r>
            <w:r>
              <w:t>eagents</w:t>
            </w:r>
          </w:p>
          <w:p w14:paraId="44AA57BF" w14:textId="77777777" w:rsidR="00FE6B9A" w:rsidRDefault="00FE6B9A" w:rsidP="00A65805">
            <w:pPr>
              <w:pStyle w:val="TableTextBullet1"/>
            </w:pPr>
            <w:r>
              <w:t xml:space="preserve">Unsatisfactory </w:t>
            </w:r>
            <w:r w:rsidR="006B2239">
              <w:t>r</w:t>
            </w:r>
            <w:r>
              <w:t>eagents</w:t>
            </w:r>
          </w:p>
          <w:p w14:paraId="55F50B3C" w14:textId="77777777" w:rsidR="00FE6B9A" w:rsidRDefault="00FE6B9A" w:rsidP="00A65805">
            <w:pPr>
              <w:pStyle w:val="TableTextBullet1"/>
            </w:pPr>
            <w:r>
              <w:t xml:space="preserve">Expired (inactive) </w:t>
            </w:r>
            <w:r w:rsidR="006B2239">
              <w:t>r</w:t>
            </w:r>
            <w:r>
              <w:t>eagents</w:t>
            </w:r>
          </w:p>
          <w:p w14:paraId="34BCD643" w14:textId="77777777" w:rsidR="00FE6B9A" w:rsidRDefault="00FE6B9A" w:rsidP="00A65805">
            <w:pPr>
              <w:pStyle w:val="TableTextBullet1"/>
            </w:pPr>
            <w:r>
              <w:t xml:space="preserve">Expiration </w:t>
            </w:r>
            <w:r w:rsidR="006B2239">
              <w:t>d</w:t>
            </w:r>
            <w:r>
              <w:t xml:space="preserve">ate </w:t>
            </w:r>
            <w:r w:rsidR="006B2239">
              <w:t>r</w:t>
            </w:r>
            <w:r>
              <w:t>ange (</w:t>
            </w:r>
            <w:r w:rsidR="006B2239">
              <w:t xml:space="preserve">the </w:t>
            </w:r>
            <w:r>
              <w:t>user enters a date to begin and end the search)</w:t>
            </w:r>
          </w:p>
          <w:p w14:paraId="4B749D88" w14:textId="77777777" w:rsidR="00FE6B9A" w:rsidRDefault="00A517D3" w:rsidP="00A65805">
            <w:pPr>
              <w:pStyle w:val="TableTextBullet1"/>
            </w:pPr>
            <w:r>
              <w:t>Date received</w:t>
            </w:r>
            <w:r w:rsidR="00FE6B9A">
              <w:t xml:space="preserve"> (</w:t>
            </w:r>
            <w:r w:rsidR="006B2239">
              <w:t xml:space="preserve">the </w:t>
            </w:r>
            <w:r w:rsidR="00FE6B9A">
              <w:t>user enters a date to begin and end the search)</w:t>
            </w:r>
          </w:p>
          <w:p w14:paraId="53CC5866" w14:textId="77777777" w:rsidR="00FE6B9A" w:rsidRDefault="00FE6B9A" w:rsidP="00A65805">
            <w:pPr>
              <w:pStyle w:val="TableText"/>
            </w:pPr>
          </w:p>
          <w:p w14:paraId="616833C5" w14:textId="471ED6E9" w:rsidR="00FE6B9A" w:rsidRDefault="00FE6B9A" w:rsidP="00A65805">
            <w:pPr>
              <w:pStyle w:val="TableText"/>
              <w:rPr>
                <w:b/>
                <w:bCs/>
                <w:szCs w:val="18"/>
              </w:rPr>
            </w:pPr>
            <w:r>
              <w:rPr>
                <w:b/>
                <w:bCs/>
                <w:szCs w:val="18"/>
              </w:rPr>
              <w:t>NOTES</w:t>
            </w:r>
          </w:p>
          <w:p w14:paraId="7596E9ED" w14:textId="77777777" w:rsidR="00FE6B9A" w:rsidRDefault="00FE6B9A" w:rsidP="00A65805">
            <w:pPr>
              <w:pStyle w:val="NotesText"/>
            </w:pPr>
          </w:p>
          <w:p w14:paraId="6944DAF5" w14:textId="31970020" w:rsidR="00FE6B9A" w:rsidRDefault="00FE6B9A" w:rsidP="00165119">
            <w:pPr>
              <w:pStyle w:val="NotesText"/>
            </w:pPr>
            <w:r>
              <w:rPr>
                <w:rFonts w:cs="Arial"/>
                <w:vanish/>
              </w:rPr>
              <w:t>BR_</w:t>
            </w:r>
            <w:r w:rsidR="00C8315E">
              <w:rPr>
                <w:rFonts w:cs="Arial"/>
                <w:vanish/>
              </w:rPr>
              <w:t>20.16</w:t>
            </w:r>
            <w:r>
              <w:rPr>
                <w:rFonts w:cs="Arial"/>
                <w:vanish/>
              </w:rPr>
              <w:t xml:space="preserve"> </w:t>
            </w:r>
            <w:bookmarkStart w:id="217" w:name="OLE_LINK11"/>
            <w:bookmarkStart w:id="218" w:name="OLE_LINK12"/>
            <w:r w:rsidR="00C8315E">
              <w:t>VBECS display</w:t>
            </w:r>
            <w:r w:rsidR="005E01BC">
              <w:t>s</w:t>
            </w:r>
            <w:r w:rsidR="00C8315E">
              <w:t xml:space="preserve"> only reagents selected based on search criteria.</w:t>
            </w:r>
            <w:bookmarkEnd w:id="217"/>
            <w:bookmarkEnd w:id="218"/>
          </w:p>
          <w:p w14:paraId="6A6822B8" w14:textId="77777777" w:rsidR="005E01BC" w:rsidRDefault="005E01BC" w:rsidP="00165119">
            <w:pPr>
              <w:pStyle w:val="NotesText"/>
            </w:pPr>
          </w:p>
          <w:p w14:paraId="1AFABB26" w14:textId="0C0BFCC5" w:rsidR="005E01BC" w:rsidRDefault="0055690F" w:rsidP="00165119">
            <w:pPr>
              <w:pStyle w:val="NotesText"/>
              <w:rPr>
                <w:szCs w:val="18"/>
              </w:rPr>
            </w:pPr>
            <w:r w:rsidRPr="0055690F">
              <w:rPr>
                <w:szCs w:val="18"/>
              </w:rPr>
              <w:t>In a multidivi</w:t>
            </w:r>
            <w:r>
              <w:rPr>
                <w:szCs w:val="18"/>
              </w:rPr>
              <w:t xml:space="preserve">sional environment, the </w:t>
            </w:r>
            <w:r w:rsidRPr="0055690F">
              <w:rPr>
                <w:szCs w:val="18"/>
              </w:rPr>
              <w:t>repor</w:t>
            </w:r>
            <w:r w:rsidR="002C71AF">
              <w:rPr>
                <w:szCs w:val="18"/>
              </w:rPr>
              <w:t xml:space="preserve">t for a division will print one </w:t>
            </w:r>
            <w:r w:rsidR="00AE3748">
              <w:rPr>
                <w:szCs w:val="18"/>
              </w:rPr>
              <w:t>line-</w:t>
            </w:r>
            <w:r w:rsidRPr="0055690F">
              <w:rPr>
                <w:szCs w:val="18"/>
              </w:rPr>
              <w:t>item for each division that has set minimum levels for that reagent type.</w:t>
            </w:r>
            <w:r w:rsidR="0002020B">
              <w:rPr>
                <w:szCs w:val="18"/>
              </w:rPr>
              <w:t xml:space="preserve"> </w:t>
            </w:r>
            <w:r w:rsidR="0002020B" w:rsidRPr="0002020B">
              <w:rPr>
                <w:vanish/>
                <w:szCs w:val="18"/>
              </w:rPr>
              <w:t>Defect 209165</w:t>
            </w:r>
          </w:p>
          <w:p w14:paraId="69396FBC" w14:textId="77777777" w:rsidR="00817083" w:rsidRDefault="00817083" w:rsidP="00165119">
            <w:pPr>
              <w:pStyle w:val="NotesText"/>
              <w:rPr>
                <w:szCs w:val="18"/>
              </w:rPr>
            </w:pPr>
          </w:p>
          <w:p w14:paraId="39990F60" w14:textId="16B11285" w:rsidR="00817083" w:rsidRPr="00165119" w:rsidRDefault="00817083" w:rsidP="00165119">
            <w:pPr>
              <w:pStyle w:val="NotesText"/>
              <w:rPr>
                <w:vanish/>
                <w:szCs w:val="18"/>
              </w:rPr>
            </w:pPr>
            <w:r w:rsidRPr="00817083">
              <w:rPr>
                <w:szCs w:val="18"/>
              </w:rPr>
              <w:t>Multiple shipments of the same lot number of a reagent type can cause a discrepancy in the total number available displayed on the</w:t>
            </w:r>
            <w:r w:rsidR="00D14259">
              <w:rPr>
                <w:szCs w:val="18"/>
              </w:rPr>
              <w:t xml:space="preserve"> report. Always r</w:t>
            </w:r>
            <w:r w:rsidR="00D14259" w:rsidRPr="00D14259">
              <w:rPr>
                <w:szCs w:val="18"/>
              </w:rPr>
              <w:t>efer to the most recent entry of a reagent for the number of vials available when the shipment was received.</w:t>
            </w:r>
            <w:r w:rsidR="0002020B">
              <w:rPr>
                <w:szCs w:val="18"/>
              </w:rPr>
              <w:t xml:space="preserve"> </w:t>
            </w:r>
            <w:r w:rsidR="0002020B" w:rsidRPr="0002020B">
              <w:rPr>
                <w:vanish/>
                <w:szCs w:val="18"/>
              </w:rPr>
              <w:t>Defect 209</w:t>
            </w:r>
            <w:r w:rsidR="00963554">
              <w:rPr>
                <w:vanish/>
                <w:szCs w:val="18"/>
              </w:rPr>
              <w:t>531</w:t>
            </w:r>
          </w:p>
        </w:tc>
      </w:tr>
      <w:tr w:rsidR="00FE6B9A" w14:paraId="763C2707" w14:textId="77777777">
        <w:tc>
          <w:tcPr>
            <w:tcW w:w="3240" w:type="dxa"/>
            <w:tcBorders>
              <w:top w:val="single" w:sz="4" w:space="0" w:color="auto"/>
              <w:left w:val="single" w:sz="4" w:space="0" w:color="auto"/>
              <w:bottom w:val="single" w:sz="4" w:space="0" w:color="auto"/>
              <w:right w:val="single" w:sz="4" w:space="0" w:color="auto"/>
            </w:tcBorders>
          </w:tcPr>
          <w:p w14:paraId="68DE9508" w14:textId="3479845B" w:rsidR="00FE6B9A" w:rsidRDefault="000D70D6" w:rsidP="00A65805">
            <w:pPr>
              <w:pStyle w:val="TableTextNumbers"/>
            </w:pPr>
            <w:r>
              <w:t xml:space="preserve">Click </w:t>
            </w:r>
            <w:r w:rsidRPr="000D70D6">
              <w:rPr>
                <w:b/>
              </w:rPr>
              <w:t>OK</w:t>
            </w:r>
            <w:r>
              <w:t xml:space="preserve"> to a</w:t>
            </w:r>
            <w:r w:rsidR="00FE6B9A">
              <w:t>ccept the displayed selection criteria</w:t>
            </w:r>
            <w:r w:rsidR="00686D38">
              <w:t xml:space="preserve"> (</w:t>
            </w:r>
            <w:r w:rsidR="00EE455E">
              <w:t xml:space="preserve">Figure </w:t>
            </w:r>
            <w:r w:rsidR="00EE455E">
              <w:rPr>
                <w:noProof/>
              </w:rPr>
              <w:t>41</w:t>
            </w:r>
            <w:r w:rsidR="00686D38">
              <w:t>)</w:t>
            </w:r>
            <w:r w:rsidR="00FE6B9A">
              <w:t>.</w:t>
            </w:r>
          </w:p>
          <w:p w14:paraId="3E0835D7" w14:textId="77777777" w:rsidR="00FE6B9A" w:rsidRDefault="00FE6B9A" w:rsidP="00A65805">
            <w:pPr>
              <w:pStyle w:val="TableTextNumbers"/>
              <w:numPr>
                <w:ilvl w:val="0"/>
                <w:numId w:val="0"/>
              </w:numPr>
            </w:pPr>
          </w:p>
        </w:tc>
        <w:tc>
          <w:tcPr>
            <w:tcW w:w="6120" w:type="dxa"/>
            <w:tcBorders>
              <w:top w:val="single" w:sz="4" w:space="0" w:color="auto"/>
              <w:left w:val="single" w:sz="4" w:space="0" w:color="auto"/>
              <w:bottom w:val="single" w:sz="4" w:space="0" w:color="auto"/>
              <w:right w:val="single" w:sz="4" w:space="0" w:color="auto"/>
            </w:tcBorders>
          </w:tcPr>
          <w:p w14:paraId="5C063C17" w14:textId="77777777" w:rsidR="00FE6B9A" w:rsidRDefault="00FE6B9A" w:rsidP="00A65805">
            <w:pPr>
              <w:pStyle w:val="TableTextBullet"/>
            </w:pPr>
            <w:r>
              <w:t>Compiles the report and displays an option to print or exit the report.</w:t>
            </w:r>
          </w:p>
        </w:tc>
      </w:tr>
      <w:tr w:rsidR="00FE6B9A" w14:paraId="6E7CCCCC" w14:textId="77777777">
        <w:tc>
          <w:tcPr>
            <w:tcW w:w="3240" w:type="dxa"/>
            <w:tcBorders>
              <w:top w:val="single" w:sz="4" w:space="0" w:color="auto"/>
              <w:left w:val="single" w:sz="4" w:space="0" w:color="auto"/>
              <w:bottom w:val="single" w:sz="4" w:space="0" w:color="auto"/>
              <w:right w:val="single" w:sz="4" w:space="0" w:color="auto"/>
            </w:tcBorders>
          </w:tcPr>
          <w:p w14:paraId="7CB22E3A" w14:textId="77777777" w:rsidR="00FE6B9A" w:rsidRDefault="00FE6B9A" w:rsidP="00A65805">
            <w:pPr>
              <w:pStyle w:val="TableTextNumbers"/>
            </w:pPr>
            <w:r>
              <w:t xml:space="preserve">Click </w:t>
            </w:r>
            <w:r>
              <w:rPr>
                <w:b/>
              </w:rPr>
              <w:t xml:space="preserve">Print </w:t>
            </w:r>
            <w:r>
              <w:t>to print the list of reagents.</w:t>
            </w:r>
          </w:p>
        </w:tc>
        <w:tc>
          <w:tcPr>
            <w:tcW w:w="6120" w:type="dxa"/>
            <w:tcBorders>
              <w:top w:val="single" w:sz="4" w:space="0" w:color="auto"/>
              <w:left w:val="single" w:sz="4" w:space="0" w:color="auto"/>
              <w:bottom w:val="single" w:sz="4" w:space="0" w:color="auto"/>
              <w:right w:val="single" w:sz="4" w:space="0" w:color="auto"/>
            </w:tcBorders>
          </w:tcPr>
          <w:p w14:paraId="5AA45C7B" w14:textId="77777777" w:rsidR="00FE6B9A" w:rsidRDefault="00FE6B9A" w:rsidP="009710F9">
            <w:pPr>
              <w:pStyle w:val="TableTextBullet"/>
            </w:pPr>
            <w:r>
              <w:t>Sends the report to print on the printer selected by the user.</w:t>
            </w:r>
          </w:p>
        </w:tc>
      </w:tr>
      <w:tr w:rsidR="00FE6B9A" w14:paraId="2AB2B3A8" w14:textId="77777777">
        <w:tc>
          <w:tcPr>
            <w:tcW w:w="3240" w:type="dxa"/>
            <w:tcBorders>
              <w:top w:val="single" w:sz="4" w:space="0" w:color="auto"/>
              <w:left w:val="single" w:sz="4" w:space="0" w:color="auto"/>
              <w:bottom w:val="single" w:sz="4" w:space="0" w:color="auto"/>
              <w:right w:val="single" w:sz="4" w:space="0" w:color="auto"/>
            </w:tcBorders>
          </w:tcPr>
          <w:p w14:paraId="44C9A073" w14:textId="77777777" w:rsidR="00FE6B9A" w:rsidRDefault="00FE6B9A" w:rsidP="00A65805">
            <w:pPr>
              <w:pStyle w:val="TableTextNumbers"/>
            </w:pPr>
            <w:r>
              <w:t xml:space="preserve">Print another report or </w:t>
            </w:r>
            <w:r w:rsidR="000D70D6">
              <w:t xml:space="preserve">click </w:t>
            </w:r>
            <w:r w:rsidR="000D70D6" w:rsidRPr="000D70D6">
              <w:rPr>
                <w:b/>
              </w:rPr>
              <w:t>Close</w:t>
            </w:r>
            <w:r w:rsidR="000D70D6">
              <w:t xml:space="preserve"> </w:t>
            </w:r>
            <w:r w:rsidR="005D7E72">
              <w:t xml:space="preserve">to </w:t>
            </w: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061D3CD0" w14:textId="77777777" w:rsidR="00FE6B9A" w:rsidRDefault="00FE6B9A" w:rsidP="00A65805">
            <w:pPr>
              <w:pStyle w:val="TableText"/>
            </w:pPr>
          </w:p>
        </w:tc>
      </w:tr>
    </w:tbl>
    <w:p w14:paraId="24A3016F" w14:textId="2ECCDF1D" w:rsidR="00686D38" w:rsidRDefault="00686D38" w:rsidP="00686D38">
      <w:pPr>
        <w:pStyle w:val="Caption"/>
      </w:pPr>
      <w:bookmarkStart w:id="219" w:name="_Ref12655001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41</w:t>
      </w:r>
      <w:r w:rsidR="004E20BD">
        <w:rPr>
          <w:noProof/>
        </w:rPr>
        <w:fldChar w:fldCharType="end"/>
      </w:r>
      <w:bookmarkEnd w:id="219"/>
      <w:r>
        <w:t xml:space="preserve">: Reagent </w:t>
      </w:r>
      <w:r w:rsidR="006406D8">
        <w:t>Search</w:t>
      </w:r>
    </w:p>
    <w:p w14:paraId="1C7ACB27" w14:textId="77777777" w:rsidR="00307D76" w:rsidRDefault="00057948" w:rsidP="00307D76">
      <w:pPr>
        <w:pStyle w:val="BodyText"/>
      </w:pPr>
      <w:r>
        <w:rPr>
          <w:noProof/>
        </w:rPr>
        <w:drawing>
          <wp:inline distT="0" distB="0" distL="0" distR="0" wp14:anchorId="18FA9AC9" wp14:editId="0AA49529">
            <wp:extent cx="4017645" cy="2872740"/>
            <wp:effectExtent l="0" t="0" r="1905" b="3810"/>
            <wp:docPr id="144" name="Picture 144" descr="Example of Reagent Search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Example of Reagent Search screen captur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17645" cy="2872740"/>
                    </a:xfrm>
                    <a:prstGeom prst="rect">
                      <a:avLst/>
                    </a:prstGeom>
                    <a:noFill/>
                    <a:ln>
                      <a:noFill/>
                    </a:ln>
                  </pic:spPr>
                </pic:pic>
              </a:graphicData>
            </a:graphic>
          </wp:inline>
        </w:drawing>
      </w:r>
    </w:p>
    <w:p w14:paraId="2DD06A1D" w14:textId="77777777" w:rsidR="00771C65" w:rsidRDefault="00B06E01" w:rsidP="00FD24BA">
      <w:pPr>
        <w:pStyle w:val="Heading4"/>
      </w:pPr>
      <w:r>
        <w:br w:type="page"/>
      </w:r>
      <w:r w:rsidR="005F6016">
        <w:t xml:space="preserve">Maintain Minimum Levels </w:t>
      </w:r>
      <w:r w:rsidR="00771C65">
        <w:fldChar w:fldCharType="begin"/>
      </w:r>
      <w:r w:rsidR="00771C65">
        <w:instrText xml:space="preserve"> XE </w:instrText>
      </w:r>
      <w:r w:rsidR="00FA7E65">
        <w:instrText>“</w:instrText>
      </w:r>
      <w:r w:rsidR="005F6016">
        <w:instrText xml:space="preserve">Maintain Minimum Levels </w:instrText>
      </w:r>
      <w:r w:rsidR="00FA7E65">
        <w:instrText>”</w:instrText>
      </w:r>
      <w:r w:rsidR="00771C65">
        <w:instrText xml:space="preserve"> </w:instrText>
      </w:r>
      <w:r w:rsidR="00771C65">
        <w:fldChar w:fldCharType="end"/>
      </w:r>
      <w:r w:rsidR="00771C65">
        <w:t xml:space="preserve"> </w:t>
      </w:r>
    </w:p>
    <w:p w14:paraId="2F83B74C" w14:textId="77777777" w:rsidR="002A21AE" w:rsidRPr="00CF3293" w:rsidRDefault="00CF3293" w:rsidP="00CF3293">
      <w:pPr>
        <w:pStyle w:val="BodyText"/>
        <w:rPr>
          <w:rFonts w:cs="Arial"/>
          <w:snapToGrid w:val="0"/>
          <w:color w:val="000000"/>
          <w:szCs w:val="18"/>
        </w:rPr>
      </w:pPr>
      <w:r>
        <w:t>The user sets minimum stock levels for reagent types used in the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1B61D3" w14:paraId="546AF962" w14:textId="77777777">
        <w:trPr>
          <w:cantSplit/>
          <w:tblHeader/>
        </w:trPr>
        <w:tc>
          <w:tcPr>
            <w:tcW w:w="3240" w:type="dxa"/>
            <w:shd w:val="pct30" w:color="auto" w:fill="FFFFFF"/>
            <w:vAlign w:val="bottom"/>
          </w:tcPr>
          <w:p w14:paraId="6B1BB380" w14:textId="77777777" w:rsidR="001B61D3" w:rsidRDefault="001B61D3" w:rsidP="00A65805">
            <w:pPr>
              <w:pStyle w:val="TableText"/>
              <w:rPr>
                <w:b/>
              </w:rPr>
            </w:pPr>
            <w:r>
              <w:rPr>
                <w:b/>
              </w:rPr>
              <w:t>User Action</w:t>
            </w:r>
          </w:p>
        </w:tc>
        <w:tc>
          <w:tcPr>
            <w:tcW w:w="6120" w:type="dxa"/>
            <w:shd w:val="pct30" w:color="auto" w:fill="FFFFFF"/>
            <w:vAlign w:val="bottom"/>
          </w:tcPr>
          <w:p w14:paraId="20C22DFD" w14:textId="77777777" w:rsidR="001B61D3" w:rsidRDefault="001B61D3" w:rsidP="00A65805">
            <w:pPr>
              <w:pStyle w:val="TableText"/>
              <w:rPr>
                <w:b/>
              </w:rPr>
            </w:pPr>
            <w:r>
              <w:rPr>
                <w:b/>
              </w:rPr>
              <w:t>VBECS</w:t>
            </w:r>
          </w:p>
        </w:tc>
      </w:tr>
      <w:tr w:rsidR="001B61D3" w14:paraId="63CAF148" w14:textId="77777777">
        <w:tc>
          <w:tcPr>
            <w:tcW w:w="3240" w:type="dxa"/>
          </w:tcPr>
          <w:p w14:paraId="26EE0077" w14:textId="77777777" w:rsidR="001B61D3" w:rsidRDefault="001B61D3" w:rsidP="006D628A">
            <w:pPr>
              <w:pStyle w:val="TableTextNumbers"/>
            </w:pPr>
            <w:r>
              <w:t xml:space="preserve">Select </w:t>
            </w:r>
            <w:r>
              <w:rPr>
                <w:b/>
              </w:rPr>
              <w:t>Reagents</w:t>
            </w:r>
            <w:r w:rsidR="006D628A">
              <w:t xml:space="preserve"> from the main menu.</w:t>
            </w:r>
          </w:p>
        </w:tc>
        <w:tc>
          <w:tcPr>
            <w:tcW w:w="6120" w:type="dxa"/>
          </w:tcPr>
          <w:p w14:paraId="1394A33C" w14:textId="77777777" w:rsidR="001B61D3" w:rsidRDefault="001B61D3" w:rsidP="006D628A">
            <w:pPr>
              <w:pStyle w:val="TableTextBullet"/>
            </w:pPr>
            <w:r>
              <w:t>Displays o</w:t>
            </w:r>
            <w:r w:rsidR="006D628A">
              <w:t>ptions for processing reagents.</w:t>
            </w:r>
          </w:p>
          <w:p w14:paraId="4846EBA5" w14:textId="77777777" w:rsidR="001B61D3" w:rsidRDefault="001B61D3" w:rsidP="00A65805">
            <w:pPr>
              <w:pStyle w:val="NotesText"/>
            </w:pPr>
          </w:p>
        </w:tc>
      </w:tr>
      <w:tr w:rsidR="001B61D3" w14:paraId="0FB1F587" w14:textId="77777777">
        <w:tc>
          <w:tcPr>
            <w:tcW w:w="3240" w:type="dxa"/>
            <w:tcBorders>
              <w:top w:val="single" w:sz="4" w:space="0" w:color="auto"/>
              <w:left w:val="single" w:sz="4" w:space="0" w:color="auto"/>
              <w:bottom w:val="single" w:sz="4" w:space="0" w:color="auto"/>
              <w:right w:val="single" w:sz="4" w:space="0" w:color="auto"/>
            </w:tcBorders>
          </w:tcPr>
          <w:p w14:paraId="7B9736E9" w14:textId="77777777" w:rsidR="001B61D3" w:rsidRDefault="001B61D3" w:rsidP="00A65805">
            <w:pPr>
              <w:pStyle w:val="TableTextNumbers"/>
            </w:pPr>
            <w:r>
              <w:t xml:space="preserve">Select </w:t>
            </w:r>
            <w:r>
              <w:rPr>
                <w:b/>
              </w:rPr>
              <w:t>Maintain Minimum Levels</w:t>
            </w:r>
            <w:r>
              <w:rPr>
                <w:rStyle w:val="TableTextNumbersContinuedChar"/>
              </w:rPr>
              <w:t>.</w:t>
            </w:r>
          </w:p>
        </w:tc>
        <w:tc>
          <w:tcPr>
            <w:tcW w:w="6120" w:type="dxa"/>
            <w:tcBorders>
              <w:top w:val="single" w:sz="4" w:space="0" w:color="auto"/>
              <w:left w:val="single" w:sz="4" w:space="0" w:color="auto"/>
              <w:bottom w:val="single" w:sz="4" w:space="0" w:color="auto"/>
              <w:right w:val="single" w:sz="4" w:space="0" w:color="auto"/>
            </w:tcBorders>
          </w:tcPr>
          <w:p w14:paraId="73228E17" w14:textId="77777777" w:rsidR="001B61D3" w:rsidRDefault="001B61D3" w:rsidP="00A65805">
            <w:pPr>
              <w:pStyle w:val="TableTextBullet"/>
            </w:pPr>
            <w:r>
              <w:t>Lists available reagent types and their associated minimum stock levels.</w:t>
            </w:r>
          </w:p>
        </w:tc>
      </w:tr>
      <w:tr w:rsidR="001B61D3" w14:paraId="44362FD3" w14:textId="77777777">
        <w:tc>
          <w:tcPr>
            <w:tcW w:w="3240" w:type="dxa"/>
            <w:tcBorders>
              <w:top w:val="single" w:sz="4" w:space="0" w:color="auto"/>
              <w:left w:val="single" w:sz="4" w:space="0" w:color="auto"/>
              <w:bottom w:val="single" w:sz="4" w:space="0" w:color="auto"/>
              <w:right w:val="single" w:sz="4" w:space="0" w:color="auto"/>
            </w:tcBorders>
          </w:tcPr>
          <w:p w14:paraId="3925088C" w14:textId="77777777" w:rsidR="001B61D3" w:rsidRDefault="001B61D3" w:rsidP="00A65805">
            <w:pPr>
              <w:pStyle w:val="TableTextNumbers"/>
            </w:pPr>
            <w:r>
              <w:t xml:space="preserve">Select a </w:t>
            </w:r>
            <w:r w:rsidRPr="00A96756">
              <w:rPr>
                <w:b/>
              </w:rPr>
              <w:t>Reagent Type</w:t>
            </w:r>
            <w:r>
              <w:t xml:space="preserve"> to edit the minimum level threshold. </w:t>
            </w:r>
          </w:p>
        </w:tc>
        <w:tc>
          <w:tcPr>
            <w:tcW w:w="6120" w:type="dxa"/>
            <w:tcBorders>
              <w:top w:val="single" w:sz="4" w:space="0" w:color="auto"/>
              <w:left w:val="single" w:sz="4" w:space="0" w:color="auto"/>
              <w:bottom w:val="single" w:sz="4" w:space="0" w:color="auto"/>
              <w:right w:val="single" w:sz="4" w:space="0" w:color="auto"/>
            </w:tcBorders>
          </w:tcPr>
          <w:p w14:paraId="5CC5A7CB" w14:textId="77777777" w:rsidR="001B61D3" w:rsidRDefault="006D628A" w:rsidP="00A65805">
            <w:pPr>
              <w:pStyle w:val="TableTextBullet"/>
            </w:pPr>
            <w:r>
              <w:t>Displays the r</w:t>
            </w:r>
            <w:r w:rsidR="001B61D3">
              <w:t xml:space="preserve">eagent </w:t>
            </w:r>
            <w:r>
              <w:t>t</w:t>
            </w:r>
            <w:r w:rsidR="001B61D3">
              <w:t xml:space="preserve">ype selected and allows the user to edit the Minimum Stock Level field or select </w:t>
            </w:r>
            <w:r>
              <w:t>another</w:t>
            </w:r>
            <w:r w:rsidR="001B61D3">
              <w:t xml:space="preserve"> reagent.</w:t>
            </w:r>
          </w:p>
          <w:p w14:paraId="25C2F4C8" w14:textId="77777777" w:rsidR="001B61D3" w:rsidRDefault="001B61D3" w:rsidP="006D628A">
            <w:pPr>
              <w:pStyle w:val="TableText"/>
            </w:pPr>
          </w:p>
          <w:p w14:paraId="433574EC" w14:textId="05278B67" w:rsidR="001B61D3" w:rsidRDefault="001B61D3" w:rsidP="00A65805">
            <w:pPr>
              <w:pStyle w:val="TableText"/>
              <w:rPr>
                <w:b/>
                <w:bCs/>
                <w:szCs w:val="18"/>
              </w:rPr>
            </w:pPr>
            <w:r>
              <w:rPr>
                <w:b/>
                <w:bCs/>
                <w:szCs w:val="18"/>
              </w:rPr>
              <w:t>NOTES</w:t>
            </w:r>
          </w:p>
          <w:p w14:paraId="74D35A86" w14:textId="77777777" w:rsidR="001B61D3" w:rsidRDefault="001B61D3" w:rsidP="00A65805">
            <w:pPr>
              <w:pStyle w:val="NotesText"/>
            </w:pPr>
          </w:p>
          <w:p w14:paraId="6B44A9E2" w14:textId="77777777" w:rsidR="001B61D3" w:rsidRDefault="001B61D3" w:rsidP="006D628A">
            <w:pPr>
              <w:pStyle w:val="NotesText"/>
            </w:pPr>
            <w:r w:rsidRPr="00A96756">
              <w:rPr>
                <w:rFonts w:cs="Arial"/>
              </w:rPr>
              <w:t xml:space="preserve">A minimum inventory level (a whole number from 0 to 999) is set for each reagent type. This is related to the reagent type, independent of manufacturer name and lot numbers. </w:t>
            </w:r>
          </w:p>
        </w:tc>
      </w:tr>
      <w:tr w:rsidR="001B61D3" w14:paraId="653E05BC" w14:textId="77777777">
        <w:tc>
          <w:tcPr>
            <w:tcW w:w="3240" w:type="dxa"/>
            <w:tcBorders>
              <w:top w:val="single" w:sz="4" w:space="0" w:color="auto"/>
              <w:left w:val="single" w:sz="4" w:space="0" w:color="auto"/>
              <w:bottom w:val="single" w:sz="4" w:space="0" w:color="auto"/>
              <w:right w:val="single" w:sz="4" w:space="0" w:color="auto"/>
            </w:tcBorders>
          </w:tcPr>
          <w:p w14:paraId="6DD57AB4" w14:textId="77777777" w:rsidR="001B61D3" w:rsidRDefault="001B61D3" w:rsidP="00A65805">
            <w:pPr>
              <w:pStyle w:val="TableTextNumbers"/>
            </w:pPr>
            <w:r>
              <w:t xml:space="preserve">Enter (or select) a minimum number of vials in the </w:t>
            </w:r>
            <w:r w:rsidRPr="00A96756">
              <w:rPr>
                <w:b/>
              </w:rPr>
              <w:t xml:space="preserve">Minimum Stock </w:t>
            </w:r>
            <w:r>
              <w:rPr>
                <w:b/>
              </w:rPr>
              <w:t>L</w:t>
            </w:r>
            <w:r w:rsidRPr="00A96756">
              <w:rPr>
                <w:b/>
              </w:rPr>
              <w:t>evel</w:t>
            </w:r>
            <w:r>
              <w:t xml:space="preserve"> field.</w:t>
            </w:r>
          </w:p>
        </w:tc>
        <w:tc>
          <w:tcPr>
            <w:tcW w:w="6120" w:type="dxa"/>
            <w:tcBorders>
              <w:top w:val="single" w:sz="4" w:space="0" w:color="auto"/>
              <w:left w:val="single" w:sz="4" w:space="0" w:color="auto"/>
              <w:bottom w:val="single" w:sz="4" w:space="0" w:color="auto"/>
              <w:right w:val="single" w:sz="4" w:space="0" w:color="auto"/>
            </w:tcBorders>
          </w:tcPr>
          <w:p w14:paraId="31D14F6A" w14:textId="77777777" w:rsidR="001B61D3" w:rsidRDefault="001B61D3" w:rsidP="00A65805">
            <w:pPr>
              <w:pStyle w:val="TableTextBullet"/>
            </w:pPr>
            <w:r>
              <w:t>Displays the changes and allows the user to</w:t>
            </w:r>
            <w:r w:rsidR="00BC0E81">
              <w:t xml:space="preserve"> select another reagent to edit.</w:t>
            </w:r>
          </w:p>
          <w:p w14:paraId="45E07172" w14:textId="77777777" w:rsidR="001B61D3" w:rsidRDefault="001B61D3" w:rsidP="00A65805">
            <w:pPr>
              <w:pStyle w:val="TableText"/>
            </w:pPr>
          </w:p>
          <w:p w14:paraId="4E6CF762" w14:textId="591BB154" w:rsidR="001B61D3" w:rsidRDefault="001B61D3" w:rsidP="00A65805">
            <w:pPr>
              <w:pStyle w:val="TableText"/>
              <w:rPr>
                <w:b/>
                <w:bCs/>
                <w:szCs w:val="18"/>
              </w:rPr>
            </w:pPr>
            <w:r>
              <w:rPr>
                <w:b/>
                <w:bCs/>
                <w:szCs w:val="18"/>
              </w:rPr>
              <w:t>NOTES</w:t>
            </w:r>
          </w:p>
          <w:p w14:paraId="455B43B1" w14:textId="77777777" w:rsidR="001B61D3" w:rsidRDefault="001B61D3" w:rsidP="00A65805">
            <w:pPr>
              <w:pStyle w:val="NotesText"/>
            </w:pPr>
          </w:p>
          <w:p w14:paraId="5940B604" w14:textId="77777777" w:rsidR="001B61D3" w:rsidRDefault="001B61D3" w:rsidP="00A65805">
            <w:pPr>
              <w:pStyle w:val="NotesText"/>
            </w:pPr>
            <w:r>
              <w:rPr>
                <w:rFonts w:cs="Arial"/>
                <w:vanish/>
              </w:rPr>
              <w:t xml:space="preserve">BR_20.09 </w:t>
            </w:r>
            <w:r>
              <w:t xml:space="preserve">When the number of vials in stock is at or is less than the stock minimum, VBECS notifies the user and instructs him to check the inventory. </w:t>
            </w:r>
          </w:p>
          <w:p w14:paraId="229393B1" w14:textId="77777777" w:rsidR="001B61D3" w:rsidRDefault="001B61D3" w:rsidP="00A65805">
            <w:pPr>
              <w:pStyle w:val="NotesText"/>
            </w:pPr>
          </w:p>
          <w:p w14:paraId="1295B7C8" w14:textId="77777777" w:rsidR="001B61D3" w:rsidRDefault="001B61D3" w:rsidP="00A65805">
            <w:pPr>
              <w:pStyle w:val="NotesText"/>
            </w:pPr>
            <w:r>
              <w:t>Inventory levels are tied to the reagent type, not to the manufacturer reagent name or the lot number. A particular type may have multiple manufacturer reagent names and multiple lot numbers associated with that manufacturer reagent name, all of which are summed to create the inventory of that reagent type. VBECS tracks the total number of vials in the system for a particular reagent type.</w:t>
            </w:r>
          </w:p>
          <w:p w14:paraId="14B83C44" w14:textId="77777777" w:rsidR="0079067D" w:rsidRDefault="0079067D" w:rsidP="00A65805">
            <w:pPr>
              <w:pStyle w:val="NotesText"/>
            </w:pPr>
          </w:p>
          <w:p w14:paraId="7AECB08D" w14:textId="77777777" w:rsidR="0079067D" w:rsidRDefault="0079067D" w:rsidP="00A65805">
            <w:pPr>
              <w:pStyle w:val="NotesText"/>
            </w:pPr>
            <w:r>
              <w:rPr>
                <w:rFonts w:cs="Arial"/>
                <w:vanish/>
              </w:rPr>
              <w:t xml:space="preserve">BR_58.02 </w:t>
            </w:r>
            <w:r>
              <w:t xml:space="preserve">Each reagent type has one minimum inventory level established regardless of manufacturer name and lot numbers. Valid entries are whole numbers from </w:t>
            </w:r>
            <w:r w:rsidR="00133C70">
              <w:t>0</w:t>
            </w:r>
            <w:r>
              <w:t xml:space="preserve"> to 999.</w:t>
            </w:r>
          </w:p>
        </w:tc>
      </w:tr>
      <w:tr w:rsidR="001B61D3" w14:paraId="566C7653" w14:textId="77777777">
        <w:tc>
          <w:tcPr>
            <w:tcW w:w="3240" w:type="dxa"/>
            <w:tcBorders>
              <w:top w:val="single" w:sz="4" w:space="0" w:color="auto"/>
              <w:left w:val="single" w:sz="4" w:space="0" w:color="auto"/>
              <w:bottom w:val="single" w:sz="4" w:space="0" w:color="auto"/>
              <w:right w:val="single" w:sz="4" w:space="0" w:color="auto"/>
            </w:tcBorders>
          </w:tcPr>
          <w:p w14:paraId="176EE886" w14:textId="78E41AFB" w:rsidR="001B61D3" w:rsidRDefault="001B61D3" w:rsidP="00A65805">
            <w:pPr>
              <w:pStyle w:val="TableTextNumbers"/>
            </w:pPr>
            <w:r>
              <w:t xml:space="preserve">Review the displayed information and click </w:t>
            </w:r>
            <w:r>
              <w:rPr>
                <w:b/>
              </w:rPr>
              <w:t>U</w:t>
            </w:r>
            <w:r w:rsidR="00B31DEA">
              <w:rPr>
                <w:b/>
              </w:rPr>
              <w:t>pdate</w:t>
            </w:r>
            <w:r w:rsidR="00307D76" w:rsidRPr="00307D76">
              <w:t xml:space="preserve"> (</w:t>
            </w:r>
            <w:r w:rsidR="00EE455E">
              <w:t xml:space="preserve">Figure </w:t>
            </w:r>
            <w:r w:rsidR="00EE455E">
              <w:rPr>
                <w:noProof/>
              </w:rPr>
              <w:t>42</w:t>
            </w:r>
            <w:r w:rsidR="00307D76" w:rsidRPr="00307D76">
              <w:t>)</w:t>
            </w:r>
            <w:r>
              <w:t>.</w:t>
            </w:r>
          </w:p>
        </w:tc>
        <w:tc>
          <w:tcPr>
            <w:tcW w:w="6120" w:type="dxa"/>
            <w:tcBorders>
              <w:top w:val="single" w:sz="4" w:space="0" w:color="auto"/>
              <w:left w:val="single" w:sz="4" w:space="0" w:color="auto"/>
              <w:bottom w:val="single" w:sz="4" w:space="0" w:color="auto"/>
              <w:right w:val="single" w:sz="4" w:space="0" w:color="auto"/>
            </w:tcBorders>
          </w:tcPr>
          <w:p w14:paraId="14DB0D63" w14:textId="77777777" w:rsidR="001B61D3" w:rsidRDefault="001B61D3" w:rsidP="00A65805">
            <w:pPr>
              <w:pStyle w:val="TableTextBullet"/>
            </w:pPr>
            <w:r>
              <w:t>Displays the changes and allows the user to select another reagent to edit</w:t>
            </w:r>
            <w:r w:rsidR="002F1731">
              <w:t>.</w:t>
            </w:r>
          </w:p>
          <w:p w14:paraId="329D44FD" w14:textId="77777777" w:rsidR="001B61D3" w:rsidRDefault="001B61D3" w:rsidP="00A65805">
            <w:pPr>
              <w:pStyle w:val="TableTextBullet"/>
            </w:pPr>
            <w:r>
              <w:t xml:space="preserve">Prompts </w:t>
            </w:r>
            <w:r w:rsidR="00B31DEA">
              <w:t>the user to confirm</w:t>
            </w:r>
            <w:r>
              <w:t xml:space="preserve"> the save. </w:t>
            </w:r>
          </w:p>
        </w:tc>
      </w:tr>
      <w:tr w:rsidR="00BE3C21" w14:paraId="386F9E80" w14:textId="77777777">
        <w:tc>
          <w:tcPr>
            <w:tcW w:w="3240" w:type="dxa"/>
            <w:tcBorders>
              <w:top w:val="single" w:sz="4" w:space="0" w:color="auto"/>
              <w:left w:val="single" w:sz="4" w:space="0" w:color="auto"/>
              <w:bottom w:val="single" w:sz="4" w:space="0" w:color="auto"/>
              <w:right w:val="single" w:sz="4" w:space="0" w:color="auto"/>
            </w:tcBorders>
          </w:tcPr>
          <w:p w14:paraId="1A0434E2" w14:textId="5890BA9A" w:rsidR="00BE3C21" w:rsidRDefault="00BE3C21" w:rsidP="004A7373">
            <w:pPr>
              <w:pStyle w:val="TableTextNumbers"/>
            </w:pPr>
            <w:r>
              <w:t>Repeat Steps 3</w:t>
            </w:r>
            <w:r w:rsidR="004F5589">
              <w:t xml:space="preserve"> through </w:t>
            </w:r>
            <w:r>
              <w:t>5 until all minimum reagent levels are set.</w:t>
            </w:r>
          </w:p>
        </w:tc>
        <w:tc>
          <w:tcPr>
            <w:tcW w:w="6120" w:type="dxa"/>
            <w:tcBorders>
              <w:top w:val="single" w:sz="4" w:space="0" w:color="auto"/>
              <w:left w:val="single" w:sz="4" w:space="0" w:color="auto"/>
              <w:bottom w:val="single" w:sz="4" w:space="0" w:color="auto"/>
              <w:right w:val="single" w:sz="4" w:space="0" w:color="auto"/>
            </w:tcBorders>
          </w:tcPr>
          <w:p w14:paraId="2E6D76B4" w14:textId="77777777" w:rsidR="00BE3C21" w:rsidRDefault="00BE3C21" w:rsidP="00BE3C21">
            <w:pPr>
              <w:pStyle w:val="TableText"/>
            </w:pPr>
          </w:p>
        </w:tc>
      </w:tr>
      <w:tr w:rsidR="001B61D3" w14:paraId="51EC770F" w14:textId="77777777">
        <w:tc>
          <w:tcPr>
            <w:tcW w:w="3240" w:type="dxa"/>
            <w:tcBorders>
              <w:top w:val="single" w:sz="4" w:space="0" w:color="auto"/>
              <w:left w:val="single" w:sz="4" w:space="0" w:color="auto"/>
              <w:bottom w:val="single" w:sz="4" w:space="0" w:color="auto"/>
              <w:right w:val="single" w:sz="4" w:space="0" w:color="auto"/>
            </w:tcBorders>
          </w:tcPr>
          <w:p w14:paraId="2D205670" w14:textId="77777777" w:rsidR="001B61D3" w:rsidRDefault="001B61D3" w:rsidP="004A7373">
            <w:pPr>
              <w:pStyle w:val="TableTextNumbers"/>
            </w:pPr>
            <w:r>
              <w:t xml:space="preserve">Click </w:t>
            </w:r>
            <w:r>
              <w:rPr>
                <w:b/>
              </w:rPr>
              <w:t>OK</w:t>
            </w:r>
            <w:r>
              <w:t xml:space="preserve"> to save</w:t>
            </w:r>
            <w:r w:rsidR="004A7373">
              <w:t>,</w:t>
            </w:r>
            <w:r w:rsidR="00B31DEA">
              <w:t xml:space="preserve"> and </w:t>
            </w:r>
            <w:r>
              <w:rPr>
                <w:b/>
              </w:rPr>
              <w:t>Yes</w:t>
            </w:r>
            <w:r>
              <w:t xml:space="preserve"> to confirm the save.</w:t>
            </w:r>
            <w:r w:rsidR="005D6F0D">
              <w:rPr>
                <w:vanish/>
                <w:color w:val="FFFFFF"/>
                <w:szCs w:val="18"/>
              </w:rPr>
              <w:t xml:space="preserve"> </w:t>
            </w:r>
            <w:r w:rsidR="005D6F0D">
              <w:rPr>
                <w:vanish/>
                <w:color w:val="FFFFFF"/>
                <w:szCs w:val="18"/>
              </w:rPr>
              <w:fldChar w:fldCharType="begin"/>
            </w:r>
            <w:r w:rsidR="005D6F0D">
              <w:rPr>
                <w:vanish/>
                <w:color w:val="FFFFFF"/>
                <w:szCs w:val="18"/>
              </w:rPr>
              <w:instrText xml:space="preserve"> LISTNUM \l 1 \s 0 </w:instrText>
            </w:r>
            <w:r w:rsidR="005D6F0D">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4CA0DA88" w14:textId="77777777" w:rsidR="001B61D3" w:rsidRDefault="001B61D3" w:rsidP="00A65805">
            <w:pPr>
              <w:pStyle w:val="TableTextBullet"/>
            </w:pPr>
            <w:r>
              <w:t>Saves the record and exits.</w:t>
            </w:r>
          </w:p>
        </w:tc>
      </w:tr>
    </w:tbl>
    <w:p w14:paraId="77A06A9D" w14:textId="280D5374" w:rsidR="00307D76" w:rsidRDefault="00307D76" w:rsidP="00307D76">
      <w:pPr>
        <w:pStyle w:val="Caption"/>
      </w:pPr>
      <w:bookmarkStart w:id="220" w:name="_Ref12655065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42</w:t>
      </w:r>
      <w:r w:rsidR="004E20BD">
        <w:rPr>
          <w:noProof/>
        </w:rPr>
        <w:fldChar w:fldCharType="end"/>
      </w:r>
      <w:bookmarkEnd w:id="220"/>
      <w:r>
        <w:t>: Maintain Minimum Reagent Levels</w:t>
      </w:r>
    </w:p>
    <w:p w14:paraId="60270604" w14:textId="77777777" w:rsidR="00771C65" w:rsidRDefault="00057948" w:rsidP="00771C65">
      <w:pPr>
        <w:pStyle w:val="BodyText"/>
      </w:pPr>
      <w:r>
        <w:rPr>
          <w:noProof/>
        </w:rPr>
        <w:drawing>
          <wp:inline distT="0" distB="0" distL="0" distR="0" wp14:anchorId="6101395D" wp14:editId="1DB80FA5">
            <wp:extent cx="3417570" cy="3519170"/>
            <wp:effectExtent l="0" t="0" r="0" b="5080"/>
            <wp:docPr id="145" name="Picture 145" descr="Example of Maintain Minimum Reagent Level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Example of Maintain Minimum Reagent Levels screen captur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17570" cy="3519170"/>
                    </a:xfrm>
                    <a:prstGeom prst="rect">
                      <a:avLst/>
                    </a:prstGeom>
                    <a:noFill/>
                    <a:ln>
                      <a:noFill/>
                    </a:ln>
                  </pic:spPr>
                </pic:pic>
              </a:graphicData>
            </a:graphic>
          </wp:inline>
        </w:drawing>
      </w:r>
    </w:p>
    <w:p w14:paraId="541EA064" w14:textId="77777777" w:rsidR="002A21AE" w:rsidRDefault="00864906">
      <w:pPr>
        <w:pStyle w:val="Heading3"/>
      </w:pPr>
      <w:r>
        <w:br w:type="page"/>
      </w:r>
      <w:bookmarkStart w:id="221" w:name="_Toc149064113"/>
      <w:r w:rsidR="00FF225E">
        <w:t>Supplies</w:t>
      </w:r>
      <w:bookmarkEnd w:id="221"/>
      <w:r w:rsidR="002A21AE">
        <w:fldChar w:fldCharType="begin"/>
      </w:r>
      <w:r w:rsidR="002A21AE">
        <w:instrText xml:space="preserve"> XE </w:instrText>
      </w:r>
      <w:r w:rsidR="00FA7E65">
        <w:instrText>“</w:instrText>
      </w:r>
      <w:r w:rsidR="00FF225E">
        <w:instrText>Supplies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UC_81</w:t>
      </w:r>
    </w:p>
    <w:p w14:paraId="35FC0D79" w14:textId="77777777" w:rsidR="002A21AE" w:rsidRDefault="002A21AE" w:rsidP="00FA7E65">
      <w:pPr>
        <w:pStyle w:val="BodyText"/>
      </w:pPr>
      <w:r>
        <w:t xml:space="preserve">The user documents the receipt of supplies, and updates and views the supply inventory. </w:t>
      </w:r>
    </w:p>
    <w:p w14:paraId="219D9913" w14:textId="77777777" w:rsidR="002A21AE" w:rsidRDefault="002A21AE">
      <w:pPr>
        <w:pStyle w:val="Heading4"/>
      </w:pPr>
      <w:r>
        <w:t>Assumptions</w:t>
      </w:r>
      <w:r>
        <w:rPr>
          <w:b w:val="0"/>
        </w:rPr>
        <w:t xml:space="preserve"> </w:t>
      </w:r>
    </w:p>
    <w:p w14:paraId="360637A2" w14:textId="77777777" w:rsidR="002A21AE" w:rsidRDefault="002A21AE">
      <w:pPr>
        <w:pStyle w:val="ListBullet"/>
      </w:pPr>
      <w:r>
        <w:rPr>
          <w:rFonts w:ascii="Arial" w:hAnsi="Arial" w:cs="Arial"/>
          <w:vanish/>
          <w:spacing w:val="0"/>
          <w:sz w:val="18"/>
        </w:rPr>
        <w:t xml:space="preserve">BR_81.01 </w:t>
      </w:r>
      <w:r>
        <w:t>A user may maintain supply inventory only in the division logged into.</w:t>
      </w:r>
    </w:p>
    <w:p w14:paraId="27911181" w14:textId="77777777" w:rsidR="002A21AE" w:rsidRDefault="002A21AE">
      <w:pPr>
        <w:pStyle w:val="Heading4"/>
      </w:pPr>
      <w:r>
        <w:t xml:space="preserve">Outcome </w:t>
      </w:r>
    </w:p>
    <w:p w14:paraId="03593891" w14:textId="77777777" w:rsidR="002A21AE" w:rsidRDefault="002A21AE">
      <w:pPr>
        <w:pStyle w:val="ListBullet"/>
      </w:pPr>
      <w:r>
        <w:t>A supply inventory that is accessible only within the division of entry was established.</w:t>
      </w:r>
    </w:p>
    <w:p w14:paraId="10DBB6B8" w14:textId="77777777" w:rsidR="002A21AE" w:rsidRDefault="002A21AE">
      <w:pPr>
        <w:pStyle w:val="Heading4"/>
      </w:pPr>
      <w:r>
        <w:t>Limitations and Restrictions</w:t>
      </w:r>
      <w:r>
        <w:rPr>
          <w:b w:val="0"/>
        </w:rPr>
        <w:t xml:space="preserve"> </w:t>
      </w:r>
    </w:p>
    <w:p w14:paraId="57FD727B" w14:textId="77777777" w:rsidR="002A21AE" w:rsidRDefault="002A21AE">
      <w:pPr>
        <w:pStyle w:val="ListBullet"/>
      </w:pPr>
      <w:r>
        <w:t xml:space="preserve">The division’s modification processes may allow or require the user to select previously entered supplies for association with a blood unit’s modification. An inventory of containers (transfer bags) and sterile </w:t>
      </w:r>
      <w:r w:rsidR="00AD29E0">
        <w:t>connection</w:t>
      </w:r>
      <w:r>
        <w:t xml:space="preserve"> device (SCD) wafers is </w:t>
      </w:r>
      <w:r>
        <w:rPr>
          <w:i/>
        </w:rPr>
        <w:t>required</w:t>
      </w:r>
      <w:r>
        <w:t xml:space="preserve"> for various modification processes. </w:t>
      </w:r>
    </w:p>
    <w:p w14:paraId="311DB705" w14:textId="77777777" w:rsidR="002A21AE" w:rsidRDefault="002A21AE">
      <w:pPr>
        <w:pStyle w:val="ListBullet"/>
      </w:pPr>
      <w:r>
        <w:t>There is no retrospective data entry or user selection for th</w:t>
      </w:r>
      <w:r w:rsidR="00932460">
        <w:t>is</w:t>
      </w:r>
      <w:r>
        <w:t xml:space="preserve"> </w:t>
      </w:r>
      <w:r w:rsidR="00932460">
        <w:t>option</w:t>
      </w:r>
      <w:r>
        <w:t>.</w:t>
      </w:r>
    </w:p>
    <w:p w14:paraId="5C030897" w14:textId="77777777" w:rsidR="0007472F" w:rsidRDefault="0007472F" w:rsidP="0007472F">
      <w:pPr>
        <w:pStyle w:val="ListBullet"/>
      </w:pPr>
      <w:r>
        <w:t>The unsatisfactory portion of a shipment must be recorded individually.</w:t>
      </w:r>
    </w:p>
    <w:p w14:paraId="7B6D7785" w14:textId="77777777" w:rsidR="00A90872" w:rsidRDefault="007F4949">
      <w:pPr>
        <w:pStyle w:val="ListBullet"/>
      </w:pPr>
      <w:r>
        <w:t>Each site must set a standard for recording quantity: it may</w:t>
      </w:r>
      <w:r w:rsidR="00A90872">
        <w:t xml:space="preserve"> </w:t>
      </w:r>
      <w:r>
        <w:t>use</w:t>
      </w:r>
      <w:r w:rsidR="00A90872">
        <w:t xml:space="preserve"> </w:t>
      </w:r>
      <w:r>
        <w:t xml:space="preserve">the number of </w:t>
      </w:r>
      <w:r w:rsidR="009335DA">
        <w:t>case</w:t>
      </w:r>
      <w:r>
        <w:t>s</w:t>
      </w:r>
      <w:r w:rsidR="00A90872">
        <w:t xml:space="preserve"> or the number of units </w:t>
      </w:r>
      <w:r>
        <w:t>within the cases</w:t>
      </w:r>
      <w:r w:rsidR="00A90872">
        <w:t>.</w:t>
      </w:r>
      <w:r>
        <w:t xml:space="preserve"> </w:t>
      </w:r>
    </w:p>
    <w:p w14:paraId="318F3462" w14:textId="77777777" w:rsidR="002A21AE" w:rsidRDefault="002A21AE">
      <w:pPr>
        <w:pStyle w:val="Heading4"/>
      </w:pPr>
      <w:r>
        <w:t xml:space="preserve">Additional Information </w:t>
      </w:r>
    </w:p>
    <w:p w14:paraId="5DD9723C" w14:textId="77777777" w:rsidR="002A21AE" w:rsidRDefault="002A21AE">
      <w:pPr>
        <w:pStyle w:val="ListBullet"/>
      </w:pPr>
      <w:r>
        <w:t xml:space="preserve">Maintaining Blood Bank Equipment (Equipment: Log In Equipment, Equipment: Maintain Equipment) and </w:t>
      </w:r>
      <w:r w:rsidR="005F6016">
        <w:t>Reagents</w:t>
      </w:r>
      <w:r>
        <w:t xml:space="preserve"> (Log In Reagents, Update Inventory, View/Print Inventory</w:t>
      </w:r>
      <w:r w:rsidR="005F6016">
        <w:t>, Maintain Minimum Levels</w:t>
      </w:r>
      <w:r>
        <w:t xml:space="preserve">) accommodate the maintenance of reagents and equipment, respectively. </w:t>
      </w:r>
    </w:p>
    <w:p w14:paraId="7A005171" w14:textId="77777777" w:rsidR="002A21AE" w:rsidRDefault="002A21AE">
      <w:pPr>
        <w:pStyle w:val="ListBullet"/>
      </w:pPr>
      <w:r>
        <w:t xml:space="preserve">VBECS saves the lot number, manufacturer name, and expiration date of supplies used in a unit’s modification process as part of a unit’s modification record when associated during the modification transaction. </w:t>
      </w:r>
    </w:p>
    <w:p w14:paraId="79416099" w14:textId="77777777" w:rsidR="002A21AE" w:rsidRDefault="002A21AE">
      <w:pPr>
        <w:pStyle w:val="ListBullet"/>
      </w:pPr>
      <w:r>
        <w:t>VBECS creates a list of manufacturers as they are entered and makes the list available for selection. Users may not edit entries.</w:t>
      </w:r>
    </w:p>
    <w:p w14:paraId="5C23B3DC" w14:textId="77777777" w:rsidR="002A21AE" w:rsidRDefault="002A21AE">
      <w:pPr>
        <w:pStyle w:val="Heading4"/>
        <w:rPr>
          <w:b w:val="0"/>
        </w:rPr>
      </w:pPr>
      <w:r>
        <w:t>User Roles with Access to This Option</w:t>
      </w:r>
      <w:r>
        <w:rPr>
          <w:b w:val="0"/>
        </w:rPr>
        <w:t xml:space="preserve"> </w:t>
      </w:r>
    </w:p>
    <w:p w14:paraId="60B7D683" w14:textId="77777777" w:rsidR="002A21AE" w:rsidRDefault="00BB1B50">
      <w:pPr>
        <w:pStyle w:val="Roles"/>
        <w:rPr>
          <w:snapToGrid w:val="0"/>
        </w:rPr>
      </w:pPr>
      <w:r>
        <w:t>All users</w:t>
      </w:r>
    </w:p>
    <w:p w14:paraId="07AD4665" w14:textId="77777777" w:rsidR="002A21AE" w:rsidRDefault="002A21AE">
      <w:pPr>
        <w:pStyle w:val="Heading4"/>
      </w:pPr>
      <w:r>
        <w:t>Log in Supplies</w:t>
      </w:r>
      <w:r>
        <w:fldChar w:fldCharType="begin"/>
      </w:r>
      <w:r>
        <w:instrText xml:space="preserve"> XE </w:instrText>
      </w:r>
      <w:r w:rsidR="00FA7E65">
        <w:instrText>“</w:instrText>
      </w:r>
      <w:r>
        <w:instrText>Log in Supplies</w:instrText>
      </w:r>
      <w:r w:rsidR="00FA7E65">
        <w:instrText>”</w:instrText>
      </w:r>
      <w:r>
        <w:instrText xml:space="preserve"> </w:instrText>
      </w:r>
      <w:r>
        <w:fldChar w:fldCharType="end"/>
      </w:r>
      <w:r>
        <w:t xml:space="preserve"> </w:t>
      </w:r>
    </w:p>
    <w:p w14:paraId="1D724C43" w14:textId="77777777" w:rsidR="002A21AE" w:rsidRDefault="00153A27" w:rsidP="00FA7E65">
      <w:pPr>
        <w:pStyle w:val="BodyText"/>
      </w:pPr>
      <w:r>
        <w:t>The</w:t>
      </w:r>
      <w:r w:rsidR="002A21AE">
        <w:t xml:space="preserve"> user records the receipt of specific supplies by type. The supply record includes the date the shipment was received, supply name, lot number, expiration date, manufacturer, and number of items received in a shipment.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64CFE57" w14:textId="77777777">
        <w:trPr>
          <w:cantSplit/>
          <w:tblHeader/>
        </w:trPr>
        <w:tc>
          <w:tcPr>
            <w:tcW w:w="3240" w:type="dxa"/>
            <w:shd w:val="pct30" w:color="auto" w:fill="FFFFFF"/>
            <w:vAlign w:val="bottom"/>
          </w:tcPr>
          <w:p w14:paraId="44E46953" w14:textId="77777777" w:rsidR="002A21AE" w:rsidRDefault="002A21AE">
            <w:pPr>
              <w:pStyle w:val="TableText"/>
              <w:rPr>
                <w:b/>
              </w:rPr>
            </w:pPr>
            <w:r>
              <w:rPr>
                <w:b/>
              </w:rPr>
              <w:t>User Action</w:t>
            </w:r>
          </w:p>
        </w:tc>
        <w:tc>
          <w:tcPr>
            <w:tcW w:w="6120" w:type="dxa"/>
            <w:shd w:val="pct30" w:color="auto" w:fill="FFFFFF"/>
            <w:vAlign w:val="bottom"/>
          </w:tcPr>
          <w:p w14:paraId="09A97DD5" w14:textId="77777777" w:rsidR="002A21AE" w:rsidRDefault="002A21AE">
            <w:pPr>
              <w:pStyle w:val="TableText"/>
              <w:rPr>
                <w:b/>
              </w:rPr>
            </w:pPr>
            <w:r>
              <w:rPr>
                <w:b/>
              </w:rPr>
              <w:t>VBECS</w:t>
            </w:r>
          </w:p>
        </w:tc>
      </w:tr>
      <w:tr w:rsidR="002A21AE" w14:paraId="29366905" w14:textId="77777777">
        <w:tc>
          <w:tcPr>
            <w:tcW w:w="3240" w:type="dxa"/>
            <w:tcBorders>
              <w:top w:val="single" w:sz="4" w:space="0" w:color="auto"/>
              <w:left w:val="single" w:sz="4" w:space="0" w:color="auto"/>
              <w:bottom w:val="single" w:sz="4" w:space="0" w:color="auto"/>
              <w:right w:val="single" w:sz="4" w:space="0" w:color="auto"/>
            </w:tcBorders>
          </w:tcPr>
          <w:p w14:paraId="12C61EA8" w14:textId="77777777" w:rsidR="002A21AE" w:rsidRDefault="002A21AE">
            <w:pPr>
              <w:pStyle w:val="TableTextNumbers"/>
            </w:pPr>
            <w:r>
              <w:t xml:space="preserve">Select </w:t>
            </w:r>
            <w:r>
              <w:rPr>
                <w:b/>
              </w:rPr>
              <w:t>Tools</w:t>
            </w:r>
            <w:r>
              <w:t xml:space="preserve"> from the main menu.</w:t>
            </w:r>
          </w:p>
          <w:p w14:paraId="5592DEB5" w14:textId="77777777" w:rsidR="002A21AE" w:rsidRDefault="002A21AE">
            <w:pPr>
              <w:pStyle w:val="TableTextNumbersContinued"/>
            </w:pPr>
          </w:p>
          <w:p w14:paraId="7E76B11F"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2A75FDA1" w14:textId="77777777" w:rsidR="002A21AE" w:rsidRDefault="002A21AE">
            <w:pPr>
              <w:pStyle w:val="TableTextBullet"/>
            </w:pPr>
            <w:r>
              <w:t xml:space="preserve">Displays options for processing administrative functions. </w:t>
            </w:r>
          </w:p>
          <w:p w14:paraId="0B8FDDA3" w14:textId="77777777" w:rsidR="002A21AE" w:rsidRDefault="002A21AE">
            <w:pPr>
              <w:pStyle w:val="TableTextBullet"/>
            </w:pPr>
            <w:r>
              <w:t>Displays options for processing supplies.</w:t>
            </w:r>
          </w:p>
        </w:tc>
      </w:tr>
      <w:tr w:rsidR="002A21AE" w14:paraId="7203C23B" w14:textId="77777777">
        <w:tc>
          <w:tcPr>
            <w:tcW w:w="3240" w:type="dxa"/>
          </w:tcPr>
          <w:p w14:paraId="27679E23" w14:textId="77777777" w:rsidR="002A21AE" w:rsidRDefault="002A21AE">
            <w:pPr>
              <w:pStyle w:val="TableTextNumbers"/>
            </w:pPr>
            <w:r>
              <w:t xml:space="preserve">Select </w:t>
            </w:r>
            <w:r>
              <w:rPr>
                <w:b/>
              </w:rPr>
              <w:t>Log In Supplies</w:t>
            </w:r>
            <w:r>
              <w:t>.</w:t>
            </w:r>
          </w:p>
        </w:tc>
        <w:tc>
          <w:tcPr>
            <w:tcW w:w="6120" w:type="dxa"/>
          </w:tcPr>
          <w:p w14:paraId="4D2A7CD4" w14:textId="77777777" w:rsidR="002A21AE" w:rsidRDefault="002A21AE">
            <w:pPr>
              <w:pStyle w:val="TableTextBullet"/>
            </w:pPr>
            <w:r>
              <w:t>Displays fields for entering invoice and supply information.</w:t>
            </w:r>
          </w:p>
        </w:tc>
      </w:tr>
      <w:tr w:rsidR="002A21AE" w14:paraId="42D51A75"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153F3CE2" w14:textId="77777777" w:rsidR="002A21AE" w:rsidRDefault="002A21AE">
            <w:pPr>
              <w:pStyle w:val="TableTextNumbers"/>
            </w:pPr>
            <w:r>
              <w:t>Invoice Information:</w:t>
            </w:r>
          </w:p>
          <w:p w14:paraId="360F6FDC" w14:textId="77777777" w:rsidR="002A21AE" w:rsidRDefault="002A21AE">
            <w:pPr>
              <w:pStyle w:val="TableTextNumbersContinued"/>
              <w:rPr>
                <w:b/>
                <w:bCs/>
              </w:rPr>
            </w:pPr>
          </w:p>
          <w:p w14:paraId="094328E3" w14:textId="77777777" w:rsidR="002A21AE" w:rsidRDefault="002A21AE">
            <w:pPr>
              <w:pStyle w:val="TableTextNumbersContinued"/>
            </w:pPr>
            <w:r>
              <w:t>Enter the invoice number in the Invoice Number field.</w:t>
            </w:r>
          </w:p>
          <w:p w14:paraId="70843765" w14:textId="77777777" w:rsidR="002A21AE" w:rsidRDefault="002A21AE">
            <w:pPr>
              <w:pStyle w:val="TableTextNumbersContinued"/>
            </w:pPr>
          </w:p>
          <w:p w14:paraId="1B4E20F8" w14:textId="77777777" w:rsidR="002A21AE" w:rsidRDefault="002A21AE">
            <w:pPr>
              <w:pStyle w:val="TableTextNumbersContinued"/>
            </w:pPr>
            <w:r>
              <w:t>Select or edit the date and time in the Date Received field</w:t>
            </w:r>
            <w:r w:rsidR="00FB4E58">
              <w:t>.</w:t>
            </w:r>
          </w:p>
          <w:p w14:paraId="1F538690" w14:textId="77777777" w:rsidR="002A21AE" w:rsidRDefault="002A21AE">
            <w:pPr>
              <w:pStyle w:val="TableTextNumbersContinued"/>
            </w:pPr>
          </w:p>
          <w:p w14:paraId="625E0C31" w14:textId="77777777" w:rsidR="002A21AE" w:rsidRDefault="002A21AE">
            <w:pPr>
              <w:pStyle w:val="TableTextNumbersContinued"/>
            </w:pPr>
            <w:r>
              <w:t>Enter the name of the manufacturer in the Manufacturer field, or select a name from the drop-down list.</w:t>
            </w:r>
          </w:p>
        </w:tc>
        <w:tc>
          <w:tcPr>
            <w:tcW w:w="6120" w:type="dxa"/>
            <w:tcBorders>
              <w:top w:val="single" w:sz="4" w:space="0" w:color="auto"/>
              <w:left w:val="single" w:sz="4" w:space="0" w:color="auto"/>
              <w:bottom w:val="single" w:sz="4" w:space="0" w:color="auto"/>
              <w:right w:val="single" w:sz="4" w:space="0" w:color="auto"/>
            </w:tcBorders>
          </w:tcPr>
          <w:p w14:paraId="4D069163" w14:textId="77777777" w:rsidR="002A21AE" w:rsidRDefault="002A21AE">
            <w:pPr>
              <w:pStyle w:val="TableText"/>
            </w:pPr>
          </w:p>
          <w:p w14:paraId="100457C9" w14:textId="166EC53A" w:rsidR="002A21AE" w:rsidRDefault="002A21AE">
            <w:pPr>
              <w:pStyle w:val="TableText"/>
              <w:rPr>
                <w:b/>
                <w:bCs/>
                <w:szCs w:val="18"/>
              </w:rPr>
            </w:pPr>
            <w:r>
              <w:rPr>
                <w:b/>
                <w:bCs/>
                <w:szCs w:val="18"/>
              </w:rPr>
              <w:t>NOTES</w:t>
            </w:r>
          </w:p>
          <w:p w14:paraId="11A8852D" w14:textId="77777777" w:rsidR="002A21AE" w:rsidRDefault="002A21AE">
            <w:pPr>
              <w:pStyle w:val="NotesText"/>
            </w:pPr>
          </w:p>
          <w:p w14:paraId="0909C9F2" w14:textId="77777777" w:rsidR="002A21AE" w:rsidRDefault="002A21AE">
            <w:pPr>
              <w:pStyle w:val="NotesText"/>
            </w:pPr>
            <w:r>
              <w:rPr>
                <w:rFonts w:cs="Arial"/>
                <w:vanish/>
              </w:rPr>
              <w:t xml:space="preserve">BR_81.10 </w:t>
            </w:r>
            <w:r>
              <w:t xml:space="preserve">More than one technologist at a time may process a large shipment of supplies; only one technologist at a time may process individual supplies in the shipment. </w:t>
            </w:r>
          </w:p>
          <w:p w14:paraId="5794FE0A" w14:textId="77777777" w:rsidR="002A21AE" w:rsidRDefault="002A21AE">
            <w:pPr>
              <w:pStyle w:val="NotesText"/>
            </w:pPr>
          </w:p>
          <w:p w14:paraId="09E29729" w14:textId="77777777" w:rsidR="002A21AE" w:rsidRDefault="002A21AE">
            <w:pPr>
              <w:pStyle w:val="NotesText"/>
            </w:pPr>
            <w:r>
              <w:rPr>
                <w:rFonts w:cs="Arial"/>
                <w:vanish/>
              </w:rPr>
              <w:t xml:space="preserve">BR_20.01 </w:t>
            </w:r>
            <w:r>
              <w:t>The default date received is the current date and time. The user may edit it to a past date and time only.</w:t>
            </w:r>
          </w:p>
          <w:p w14:paraId="54CDA4FC" w14:textId="77777777" w:rsidR="002A21AE" w:rsidRDefault="002A21AE">
            <w:pPr>
              <w:pStyle w:val="NotesText"/>
            </w:pPr>
          </w:p>
          <w:p w14:paraId="703F2E03" w14:textId="77777777" w:rsidR="002A21AE" w:rsidRDefault="002A21AE">
            <w:pPr>
              <w:pStyle w:val="NotesText"/>
            </w:pPr>
            <w:r>
              <w:rPr>
                <w:rFonts w:cs="Arial"/>
                <w:vanish/>
              </w:rPr>
              <w:t xml:space="preserve">BR_81.07 </w:t>
            </w:r>
            <w:r>
              <w:t xml:space="preserve">When the supply type and lot number were already entered for this invoice, VBECS </w:t>
            </w:r>
            <w:r>
              <w:rPr>
                <w:noProof/>
              </w:rPr>
              <w:t>warns that the user is</w:t>
            </w:r>
            <w:r>
              <w:t xml:space="preserve"> trying to enter </w:t>
            </w:r>
            <w:r w:rsidR="001017A2">
              <w:t xml:space="preserve">a </w:t>
            </w:r>
            <w:r>
              <w:t xml:space="preserve">supply that was already logged into the system for this invoice. </w:t>
            </w:r>
            <w:r>
              <w:rPr>
                <w:b/>
              </w:rPr>
              <w:t>Yes</w:t>
            </w:r>
            <w:r>
              <w:t xml:space="preserve"> takes the user to the </w:t>
            </w:r>
            <w:r w:rsidR="00FA7E65">
              <w:t>“</w:t>
            </w:r>
            <w:r>
              <w:t>Update Supply Inventory</w:t>
            </w:r>
            <w:r w:rsidR="00FA7E65">
              <w:t>”</w:t>
            </w:r>
            <w:r>
              <w:t xml:space="preserve"> screen where VBECS displays the supply type and lot number for update. </w:t>
            </w:r>
            <w:r>
              <w:rPr>
                <w:b/>
              </w:rPr>
              <w:t>No</w:t>
            </w:r>
            <w:r>
              <w:t xml:space="preserve"> clears all fields on the screen, allowing the user to log in another supply. </w:t>
            </w:r>
          </w:p>
        </w:tc>
      </w:tr>
      <w:tr w:rsidR="002A21AE" w14:paraId="2847B64B" w14:textId="77777777">
        <w:tc>
          <w:tcPr>
            <w:tcW w:w="3240" w:type="dxa"/>
            <w:tcBorders>
              <w:top w:val="single" w:sz="4" w:space="0" w:color="auto"/>
              <w:left w:val="single" w:sz="4" w:space="0" w:color="auto"/>
              <w:bottom w:val="single" w:sz="4" w:space="0" w:color="auto"/>
              <w:right w:val="single" w:sz="4" w:space="0" w:color="auto"/>
            </w:tcBorders>
          </w:tcPr>
          <w:p w14:paraId="0464CD9A" w14:textId="77777777" w:rsidR="002A21AE" w:rsidRDefault="002A21AE">
            <w:pPr>
              <w:pStyle w:val="TableTextNumbers"/>
            </w:pPr>
            <w:r>
              <w:t>Supply Information:</w:t>
            </w:r>
          </w:p>
          <w:p w14:paraId="2A305148" w14:textId="77777777" w:rsidR="002A21AE" w:rsidRDefault="002A21AE">
            <w:pPr>
              <w:pStyle w:val="TableTextNumbersContinued"/>
              <w:rPr>
                <w:b/>
                <w:bCs/>
              </w:rPr>
            </w:pPr>
          </w:p>
          <w:p w14:paraId="1AAB03CF" w14:textId="77777777" w:rsidR="002A21AE" w:rsidRDefault="002A21AE">
            <w:pPr>
              <w:pStyle w:val="TableTextNumbersContinued"/>
            </w:pPr>
            <w:r>
              <w:t>Enter the name of the manufacturer and supply type in the Manufacturer and Supply Type fields, or select from the drop-down lists.</w:t>
            </w:r>
          </w:p>
          <w:p w14:paraId="2DBDEF12" w14:textId="77777777" w:rsidR="002A21AE" w:rsidRDefault="002A21AE">
            <w:pPr>
              <w:pStyle w:val="TableTextNumbersContinued"/>
            </w:pPr>
          </w:p>
          <w:p w14:paraId="6A895B54" w14:textId="77777777" w:rsidR="002A21AE" w:rsidRDefault="002A21AE">
            <w:pPr>
              <w:pStyle w:val="TableTextNumbersContinued"/>
            </w:pPr>
            <w:r>
              <w:t>Enter the lot number in the Lot Number field.</w:t>
            </w:r>
          </w:p>
          <w:p w14:paraId="3281A4E5" w14:textId="77777777" w:rsidR="002A21AE" w:rsidRDefault="002A21AE">
            <w:pPr>
              <w:pStyle w:val="TableTextNumbersContinued"/>
            </w:pPr>
          </w:p>
          <w:p w14:paraId="329FB6F0" w14:textId="77777777" w:rsidR="002A21AE" w:rsidRDefault="002A21AE">
            <w:pPr>
              <w:pStyle w:val="TableTextNumbersContinued"/>
            </w:pPr>
            <w:r>
              <w:t>Select or edit the date and time in the Lot Expiration Date field.</w:t>
            </w:r>
          </w:p>
          <w:p w14:paraId="3439F58C" w14:textId="77777777" w:rsidR="002A21AE" w:rsidRDefault="002A21AE">
            <w:pPr>
              <w:pStyle w:val="TableTextNumbersContinued"/>
            </w:pPr>
          </w:p>
          <w:p w14:paraId="2E8DC5F7" w14:textId="77777777" w:rsidR="002A21AE" w:rsidRDefault="002A21AE">
            <w:pPr>
              <w:pStyle w:val="TableTextNumbersContinued"/>
            </w:pPr>
            <w:r>
              <w:t>Enter (or select) a quantity (1–999) in the Quantity Received field.</w:t>
            </w:r>
          </w:p>
        </w:tc>
        <w:tc>
          <w:tcPr>
            <w:tcW w:w="6120" w:type="dxa"/>
            <w:tcBorders>
              <w:top w:val="single" w:sz="4" w:space="0" w:color="auto"/>
              <w:left w:val="single" w:sz="4" w:space="0" w:color="auto"/>
              <w:bottom w:val="single" w:sz="4" w:space="0" w:color="auto"/>
              <w:right w:val="single" w:sz="4" w:space="0" w:color="auto"/>
            </w:tcBorders>
          </w:tcPr>
          <w:p w14:paraId="0FF060DC" w14:textId="77777777" w:rsidR="002A21AE" w:rsidRDefault="002A21AE">
            <w:pPr>
              <w:pStyle w:val="TableText"/>
              <w:rPr>
                <w:b/>
                <w:bCs/>
                <w:szCs w:val="18"/>
              </w:rPr>
            </w:pPr>
          </w:p>
          <w:p w14:paraId="13C0A061" w14:textId="3290F027" w:rsidR="002A21AE" w:rsidRDefault="002A21AE">
            <w:pPr>
              <w:pStyle w:val="TableText"/>
              <w:rPr>
                <w:b/>
                <w:bCs/>
                <w:szCs w:val="18"/>
              </w:rPr>
            </w:pPr>
            <w:r>
              <w:rPr>
                <w:b/>
                <w:bCs/>
                <w:szCs w:val="18"/>
              </w:rPr>
              <w:t>NOTES</w:t>
            </w:r>
          </w:p>
          <w:p w14:paraId="5FD57583" w14:textId="77777777" w:rsidR="002A21AE" w:rsidRDefault="002A21AE">
            <w:pPr>
              <w:pStyle w:val="NotesText"/>
            </w:pPr>
          </w:p>
          <w:p w14:paraId="1B0A1F59" w14:textId="77777777" w:rsidR="002A21AE" w:rsidRDefault="002A21AE">
            <w:pPr>
              <w:pStyle w:val="NotesText"/>
            </w:pPr>
            <w:r>
              <w:t>The default lot expiration date is one minute before midnight (23:59) of the current date.</w:t>
            </w:r>
          </w:p>
          <w:p w14:paraId="6E615D5D" w14:textId="77777777" w:rsidR="002A21AE" w:rsidRDefault="002A21AE">
            <w:pPr>
              <w:pStyle w:val="TableText"/>
            </w:pPr>
          </w:p>
        </w:tc>
      </w:tr>
      <w:tr w:rsidR="002A21AE" w14:paraId="0C00DEB5" w14:textId="77777777">
        <w:tc>
          <w:tcPr>
            <w:tcW w:w="3240" w:type="dxa"/>
            <w:tcBorders>
              <w:top w:val="single" w:sz="4" w:space="0" w:color="auto"/>
              <w:left w:val="single" w:sz="4" w:space="0" w:color="auto"/>
              <w:bottom w:val="single" w:sz="4" w:space="0" w:color="auto"/>
              <w:right w:val="single" w:sz="4" w:space="0" w:color="auto"/>
            </w:tcBorders>
          </w:tcPr>
          <w:p w14:paraId="62291850" w14:textId="77777777" w:rsidR="002A21AE" w:rsidRDefault="002A21AE">
            <w:pPr>
              <w:pStyle w:val="TableTextNumbers"/>
            </w:pPr>
            <w:r>
              <w:t>Visual Inspection Information:</w:t>
            </w:r>
          </w:p>
          <w:p w14:paraId="5D969053" w14:textId="77777777" w:rsidR="002A21AE" w:rsidRDefault="002A21AE">
            <w:pPr>
              <w:pStyle w:val="TableTextNumbersContinued"/>
              <w:rPr>
                <w:b/>
                <w:bCs/>
              </w:rPr>
            </w:pPr>
          </w:p>
          <w:p w14:paraId="742BA321" w14:textId="77777777" w:rsidR="002A21AE" w:rsidRDefault="002A21AE">
            <w:pPr>
              <w:pStyle w:val="TableTextNumbersContinued"/>
            </w:pPr>
            <w:r>
              <w:t xml:space="preserve">Click the </w:t>
            </w:r>
            <w:r>
              <w:rPr>
                <w:b/>
              </w:rPr>
              <w:t xml:space="preserve">Satisfactory </w:t>
            </w:r>
            <w:r w:rsidRPr="00BF2E41">
              <w:t>radio button</w:t>
            </w:r>
            <w:r>
              <w:t xml:space="preserve">, or click the </w:t>
            </w:r>
            <w:r>
              <w:rPr>
                <w:b/>
              </w:rPr>
              <w:t xml:space="preserve">Unsatisfactory </w:t>
            </w:r>
            <w:r w:rsidRPr="00BF2E41">
              <w:t>radio button</w:t>
            </w:r>
            <w:r>
              <w:t xml:space="preserve"> and select a comment from the drop-down list in the Comment field.</w:t>
            </w:r>
          </w:p>
          <w:p w14:paraId="491E272B" w14:textId="77777777" w:rsidR="002A21AE" w:rsidRDefault="002A21AE">
            <w:pPr>
              <w:pStyle w:val="TableTextNumbersContinued"/>
            </w:pPr>
          </w:p>
          <w:p w14:paraId="24D171F7" w14:textId="77B534B4" w:rsidR="002A21AE" w:rsidRDefault="002A21AE">
            <w:pPr>
              <w:pStyle w:val="TableTextNumbersContinued"/>
            </w:pPr>
            <w:r>
              <w:t xml:space="preserve">Click </w:t>
            </w:r>
            <w:r>
              <w:rPr>
                <w:b/>
              </w:rPr>
              <w:t>Add</w:t>
            </w:r>
            <w:r>
              <w:t xml:space="preserve"> to add the supplies to the inventory list</w:t>
            </w:r>
            <w:r w:rsidR="00FD24BA">
              <w:t xml:space="preserve"> (</w:t>
            </w:r>
            <w:r w:rsidR="00EE455E">
              <w:t xml:space="preserve">Figure </w:t>
            </w:r>
            <w:r w:rsidR="00EE455E">
              <w:rPr>
                <w:noProof/>
              </w:rPr>
              <w:t>43</w:t>
            </w:r>
            <w:r w:rsidR="00FD24BA">
              <w:t>)</w:t>
            </w:r>
            <w:r>
              <w:t>.</w:t>
            </w:r>
          </w:p>
        </w:tc>
        <w:tc>
          <w:tcPr>
            <w:tcW w:w="6120" w:type="dxa"/>
            <w:tcBorders>
              <w:top w:val="single" w:sz="4" w:space="0" w:color="auto"/>
              <w:left w:val="single" w:sz="4" w:space="0" w:color="auto"/>
              <w:bottom w:val="single" w:sz="4" w:space="0" w:color="auto"/>
              <w:right w:val="single" w:sz="4" w:space="0" w:color="auto"/>
            </w:tcBorders>
          </w:tcPr>
          <w:p w14:paraId="120DE64D" w14:textId="77777777" w:rsidR="002A21AE" w:rsidRDefault="002A21AE">
            <w:pPr>
              <w:pStyle w:val="TableText"/>
              <w:rPr>
                <w:b/>
                <w:bCs/>
                <w:szCs w:val="18"/>
              </w:rPr>
            </w:pPr>
          </w:p>
          <w:p w14:paraId="3A48DC15" w14:textId="7D59D6D7" w:rsidR="002A21AE" w:rsidRDefault="002A21AE">
            <w:pPr>
              <w:pStyle w:val="TableText"/>
              <w:rPr>
                <w:b/>
                <w:bCs/>
                <w:szCs w:val="18"/>
              </w:rPr>
            </w:pPr>
            <w:r>
              <w:rPr>
                <w:b/>
                <w:bCs/>
                <w:szCs w:val="18"/>
              </w:rPr>
              <w:t>NOTES</w:t>
            </w:r>
          </w:p>
          <w:p w14:paraId="182FEFBE" w14:textId="77777777" w:rsidR="002A21AE" w:rsidRDefault="002A21AE">
            <w:pPr>
              <w:pStyle w:val="NotesText"/>
            </w:pPr>
          </w:p>
          <w:p w14:paraId="020D04E6" w14:textId="77777777" w:rsidR="002A21AE" w:rsidRDefault="002A21AE">
            <w:pPr>
              <w:pStyle w:val="NotesText"/>
            </w:pPr>
            <w:r>
              <w:t xml:space="preserve">Satisfactory inventory is available for later selection, unsatisfactory inventory </w:t>
            </w:r>
            <w:r w:rsidR="001017A2">
              <w:t xml:space="preserve">is </w:t>
            </w:r>
            <w:r>
              <w:t>not.</w:t>
            </w:r>
          </w:p>
          <w:p w14:paraId="488199DC" w14:textId="77777777" w:rsidR="002A21AE" w:rsidRDefault="002A21AE">
            <w:pPr>
              <w:pStyle w:val="NotesText"/>
            </w:pPr>
          </w:p>
          <w:p w14:paraId="2EF87081" w14:textId="77777777" w:rsidR="002A21AE" w:rsidRDefault="002A21AE">
            <w:pPr>
              <w:pStyle w:val="NotesText"/>
            </w:pPr>
            <w:r>
              <w:t>When a user selects Other from the drop-down list in the Comment field, entry of additional text in the Details field is required.</w:t>
            </w:r>
          </w:p>
        </w:tc>
      </w:tr>
      <w:tr w:rsidR="002A21AE" w14:paraId="305F07D3" w14:textId="77777777">
        <w:tc>
          <w:tcPr>
            <w:tcW w:w="3240" w:type="dxa"/>
            <w:tcBorders>
              <w:top w:val="single" w:sz="4" w:space="0" w:color="auto"/>
              <w:left w:val="single" w:sz="4" w:space="0" w:color="auto"/>
              <w:bottom w:val="single" w:sz="4" w:space="0" w:color="auto"/>
              <w:right w:val="single" w:sz="4" w:space="0" w:color="auto"/>
            </w:tcBorders>
          </w:tcPr>
          <w:p w14:paraId="186C7111" w14:textId="099303B9" w:rsidR="002A21AE" w:rsidRDefault="002A21AE">
            <w:pPr>
              <w:pStyle w:val="TableTextNumbers"/>
            </w:pPr>
            <w:r>
              <w:t>Repeat Steps 3</w:t>
            </w:r>
            <w:r w:rsidR="004F5589">
              <w:t xml:space="preserve"> through </w:t>
            </w:r>
            <w:r>
              <w:t>5 to log in more supplies, as desired.</w:t>
            </w:r>
          </w:p>
        </w:tc>
        <w:tc>
          <w:tcPr>
            <w:tcW w:w="6120" w:type="dxa"/>
            <w:tcBorders>
              <w:top w:val="single" w:sz="4" w:space="0" w:color="auto"/>
              <w:left w:val="single" w:sz="4" w:space="0" w:color="auto"/>
              <w:bottom w:val="single" w:sz="4" w:space="0" w:color="auto"/>
              <w:right w:val="single" w:sz="4" w:space="0" w:color="auto"/>
            </w:tcBorders>
          </w:tcPr>
          <w:p w14:paraId="133A4C34" w14:textId="77777777" w:rsidR="002A21AE" w:rsidRDefault="002A21AE">
            <w:pPr>
              <w:pStyle w:val="TableText"/>
              <w:rPr>
                <w:b/>
                <w:bCs/>
                <w:szCs w:val="18"/>
              </w:rPr>
            </w:pPr>
          </w:p>
          <w:p w14:paraId="3E8A351E" w14:textId="7A93EBAA" w:rsidR="002A21AE" w:rsidRDefault="002A21AE">
            <w:pPr>
              <w:pStyle w:val="TableText"/>
              <w:rPr>
                <w:b/>
                <w:bCs/>
                <w:szCs w:val="18"/>
              </w:rPr>
            </w:pPr>
            <w:r>
              <w:rPr>
                <w:b/>
                <w:bCs/>
                <w:szCs w:val="18"/>
              </w:rPr>
              <w:t>NOTES</w:t>
            </w:r>
          </w:p>
          <w:p w14:paraId="57248BA6" w14:textId="77777777" w:rsidR="002A21AE" w:rsidRDefault="002A21AE">
            <w:pPr>
              <w:pStyle w:val="NotesText"/>
            </w:pPr>
          </w:p>
          <w:p w14:paraId="300E51A6" w14:textId="77777777" w:rsidR="002A21AE" w:rsidRDefault="002A21AE">
            <w:pPr>
              <w:pStyle w:val="NotesText"/>
            </w:pPr>
            <w:r>
              <w:rPr>
                <w:rFonts w:cs="Arial"/>
                <w:vanish/>
              </w:rPr>
              <w:t xml:space="preserve">BR_81.03 </w:t>
            </w:r>
            <w:r>
              <w:t xml:space="preserve">Click </w:t>
            </w:r>
            <w:r>
              <w:rPr>
                <w:b/>
              </w:rPr>
              <w:t>Clear</w:t>
            </w:r>
            <w:r>
              <w:t xml:space="preserve"> to clear all but the Invoice Number, Date Received, Manufacturer, and Lot Expiration Date fields.</w:t>
            </w:r>
          </w:p>
        </w:tc>
      </w:tr>
      <w:tr w:rsidR="002A21AE" w14:paraId="4F64DF1B" w14:textId="77777777">
        <w:tc>
          <w:tcPr>
            <w:tcW w:w="3240" w:type="dxa"/>
            <w:tcBorders>
              <w:top w:val="single" w:sz="4" w:space="0" w:color="auto"/>
              <w:left w:val="single" w:sz="4" w:space="0" w:color="auto"/>
              <w:bottom w:val="single" w:sz="4" w:space="0" w:color="auto"/>
              <w:right w:val="single" w:sz="4" w:space="0" w:color="auto"/>
            </w:tcBorders>
          </w:tcPr>
          <w:p w14:paraId="48BBFE2C" w14:textId="77777777" w:rsidR="002A21AE" w:rsidRDefault="002A21AE">
            <w:pPr>
              <w:pStyle w:val="TableTextNumbers"/>
            </w:pPr>
            <w:r>
              <w:t xml:space="preserve">Click </w:t>
            </w:r>
            <w:r>
              <w:rPr>
                <w:b/>
              </w:rPr>
              <w:t>OK</w:t>
            </w:r>
            <w:r>
              <w:t xml:space="preserve"> to save.</w:t>
            </w:r>
          </w:p>
          <w:p w14:paraId="6F12B3A0" w14:textId="77777777" w:rsidR="002A21AE" w:rsidRDefault="002A21AE">
            <w:pPr>
              <w:pStyle w:val="TableTextNumbersContinued"/>
              <w:rPr>
                <w:b/>
                <w:bCs/>
              </w:rPr>
            </w:pPr>
          </w:p>
          <w:p w14:paraId="3B81F291" w14:textId="77777777" w:rsidR="002A21AE" w:rsidRDefault="002A21AE">
            <w:pPr>
              <w:pStyle w:val="TableTextNumbersContinued"/>
              <w:rPr>
                <w:b/>
                <w:bCs/>
              </w:rPr>
            </w:pPr>
            <w:r>
              <w:rPr>
                <w:bCs/>
              </w:rPr>
              <w:t>Clic</w:t>
            </w:r>
            <w:r>
              <w:t xml:space="preserve">k </w:t>
            </w:r>
            <w:r>
              <w:rPr>
                <w:b/>
              </w:rPr>
              <w:t>Yes</w:t>
            </w:r>
            <w:r>
              <w:t xml:space="preserve"> to confirm the save and exit</w:t>
            </w:r>
            <w:r>
              <w:rPr>
                <w:bCs/>
              </w:rPr>
              <w:t>.</w:t>
            </w:r>
            <w:r>
              <w:rPr>
                <w:b/>
                <w:bCs/>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03437ED2" w14:textId="77777777" w:rsidR="002A21AE" w:rsidRDefault="002A21AE">
            <w:pPr>
              <w:pStyle w:val="TableTextBullet"/>
            </w:pPr>
            <w:r>
              <w:t>Requests confirmation to update the database.</w:t>
            </w:r>
          </w:p>
        </w:tc>
      </w:tr>
    </w:tbl>
    <w:p w14:paraId="6BCFFE14" w14:textId="06D0695D" w:rsidR="00FD24BA" w:rsidRDefault="00FD24BA" w:rsidP="00FD24BA">
      <w:pPr>
        <w:pStyle w:val="Caption"/>
      </w:pPr>
      <w:bookmarkStart w:id="222" w:name="_Ref12655151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43</w:t>
      </w:r>
      <w:r w:rsidR="004E20BD">
        <w:rPr>
          <w:noProof/>
        </w:rPr>
        <w:fldChar w:fldCharType="end"/>
      </w:r>
      <w:bookmarkEnd w:id="222"/>
      <w:r>
        <w:t>: Log In Supplies</w:t>
      </w:r>
    </w:p>
    <w:p w14:paraId="25532BFF" w14:textId="77777777" w:rsidR="00FD24BA" w:rsidRDefault="00057948" w:rsidP="00FD24BA">
      <w:pPr>
        <w:pStyle w:val="BodyText"/>
      </w:pPr>
      <w:r>
        <w:rPr>
          <w:noProof/>
        </w:rPr>
        <w:drawing>
          <wp:inline distT="0" distB="0" distL="0" distR="0" wp14:anchorId="2A3BD9B0" wp14:editId="755E8D95">
            <wp:extent cx="5144770" cy="3444875"/>
            <wp:effectExtent l="0" t="0" r="0" b="3175"/>
            <wp:docPr id="146" name="Picture 146" descr="Example of Log In Suppli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Example of Log In Supplies screen captur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44770" cy="3444875"/>
                    </a:xfrm>
                    <a:prstGeom prst="rect">
                      <a:avLst/>
                    </a:prstGeom>
                    <a:noFill/>
                    <a:ln>
                      <a:noFill/>
                    </a:ln>
                  </pic:spPr>
                </pic:pic>
              </a:graphicData>
            </a:graphic>
          </wp:inline>
        </w:drawing>
      </w:r>
    </w:p>
    <w:p w14:paraId="02CB8A51" w14:textId="77777777" w:rsidR="002A21AE" w:rsidRDefault="002A21AE">
      <w:pPr>
        <w:pStyle w:val="Heading4"/>
      </w:pPr>
      <w:r>
        <w:t>Update Supply Inventory</w:t>
      </w:r>
      <w:r>
        <w:fldChar w:fldCharType="begin"/>
      </w:r>
      <w:r>
        <w:instrText xml:space="preserve"> XE </w:instrText>
      </w:r>
      <w:r w:rsidR="00FA7E65">
        <w:instrText>“</w:instrText>
      </w:r>
      <w:r>
        <w:instrText>Update Supply Inventory</w:instrText>
      </w:r>
      <w:r w:rsidR="00FA7E65">
        <w:instrText>”</w:instrText>
      </w:r>
      <w:r>
        <w:instrText xml:space="preserve"> </w:instrText>
      </w:r>
      <w:r>
        <w:fldChar w:fldCharType="end"/>
      </w:r>
      <w:r>
        <w:t xml:space="preserve"> </w:t>
      </w:r>
    </w:p>
    <w:p w14:paraId="5585ED23" w14:textId="77777777" w:rsidR="002A21AE" w:rsidRDefault="00153A27" w:rsidP="00FA7E65">
      <w:pPr>
        <w:pStyle w:val="BodyText"/>
      </w:pPr>
      <w:r>
        <w:t>The</w:t>
      </w:r>
      <w:r w:rsidR="002A21AE">
        <w:t xml:space="preserve"> user change</w:t>
      </w:r>
      <w:r w:rsidR="00CE6B22">
        <w:t>s</w:t>
      </w:r>
      <w:r w:rsidR="002A21AE">
        <w:t xml:space="preserve"> the number of available items in the supply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449D894" w14:textId="77777777">
        <w:trPr>
          <w:cantSplit/>
          <w:tblHeader/>
        </w:trPr>
        <w:tc>
          <w:tcPr>
            <w:tcW w:w="3240" w:type="dxa"/>
            <w:shd w:val="pct30" w:color="auto" w:fill="FFFFFF"/>
            <w:vAlign w:val="bottom"/>
          </w:tcPr>
          <w:p w14:paraId="0DE73BE6" w14:textId="77777777" w:rsidR="002A21AE" w:rsidRDefault="002A21AE">
            <w:pPr>
              <w:pStyle w:val="TableText"/>
              <w:rPr>
                <w:b/>
              </w:rPr>
            </w:pPr>
            <w:r>
              <w:rPr>
                <w:b/>
              </w:rPr>
              <w:t>User Action</w:t>
            </w:r>
          </w:p>
        </w:tc>
        <w:tc>
          <w:tcPr>
            <w:tcW w:w="6120" w:type="dxa"/>
            <w:shd w:val="pct30" w:color="auto" w:fill="FFFFFF"/>
            <w:vAlign w:val="bottom"/>
          </w:tcPr>
          <w:p w14:paraId="7AF1AB69" w14:textId="77777777" w:rsidR="002A21AE" w:rsidRDefault="002A21AE">
            <w:pPr>
              <w:pStyle w:val="TableText"/>
              <w:rPr>
                <w:b/>
              </w:rPr>
            </w:pPr>
            <w:r>
              <w:rPr>
                <w:b/>
              </w:rPr>
              <w:t>VBECS</w:t>
            </w:r>
          </w:p>
        </w:tc>
      </w:tr>
      <w:tr w:rsidR="002A21AE" w14:paraId="614B841C" w14:textId="77777777">
        <w:tc>
          <w:tcPr>
            <w:tcW w:w="3240" w:type="dxa"/>
            <w:tcBorders>
              <w:top w:val="single" w:sz="4" w:space="0" w:color="auto"/>
              <w:left w:val="single" w:sz="4" w:space="0" w:color="auto"/>
              <w:bottom w:val="single" w:sz="4" w:space="0" w:color="auto"/>
              <w:right w:val="single" w:sz="4" w:space="0" w:color="auto"/>
            </w:tcBorders>
          </w:tcPr>
          <w:p w14:paraId="40065BF0" w14:textId="77777777" w:rsidR="002A21AE" w:rsidRDefault="002A21AE">
            <w:pPr>
              <w:pStyle w:val="TableTextNumbers"/>
            </w:pPr>
            <w:r>
              <w:t xml:space="preserve">Select </w:t>
            </w:r>
            <w:r>
              <w:rPr>
                <w:b/>
              </w:rPr>
              <w:t>Tools</w:t>
            </w:r>
            <w:r>
              <w:t xml:space="preserve"> from the main menu.</w:t>
            </w:r>
          </w:p>
          <w:p w14:paraId="4F01EC8A" w14:textId="77777777" w:rsidR="002A21AE" w:rsidRDefault="002A21AE">
            <w:pPr>
              <w:pStyle w:val="TableTextNumbersContinued"/>
            </w:pPr>
          </w:p>
          <w:p w14:paraId="17DC489F"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78DAB11C" w14:textId="77777777" w:rsidR="002A21AE" w:rsidRDefault="002A21AE">
            <w:pPr>
              <w:pStyle w:val="TableTextBullet"/>
            </w:pPr>
            <w:r>
              <w:t xml:space="preserve">Displays options for processing administrative functions. </w:t>
            </w:r>
          </w:p>
          <w:p w14:paraId="78C96599" w14:textId="77777777" w:rsidR="002A21AE" w:rsidRDefault="002A21AE">
            <w:pPr>
              <w:pStyle w:val="TableTextBullet"/>
            </w:pPr>
            <w:r>
              <w:t>Displays options for processing supplies.</w:t>
            </w:r>
          </w:p>
        </w:tc>
      </w:tr>
      <w:tr w:rsidR="002A21AE" w14:paraId="47035DC3" w14:textId="77777777">
        <w:tc>
          <w:tcPr>
            <w:tcW w:w="3240" w:type="dxa"/>
          </w:tcPr>
          <w:p w14:paraId="291804CF" w14:textId="77777777" w:rsidR="002A21AE" w:rsidRDefault="002A21AE">
            <w:pPr>
              <w:pStyle w:val="TableTextNumbers"/>
            </w:pPr>
            <w:r>
              <w:t xml:space="preserve">Select </w:t>
            </w:r>
            <w:r>
              <w:rPr>
                <w:b/>
              </w:rPr>
              <w:t>Update Supply Inventory</w:t>
            </w:r>
            <w:r>
              <w:t>.</w:t>
            </w:r>
          </w:p>
          <w:p w14:paraId="197D3C7D" w14:textId="77777777" w:rsidR="002A21AE" w:rsidRDefault="002A21AE">
            <w:pPr>
              <w:pStyle w:val="TableTextNumbersContinued"/>
            </w:pPr>
          </w:p>
          <w:p w14:paraId="74863F3B" w14:textId="77777777" w:rsidR="002A21AE" w:rsidRDefault="002A21AE">
            <w:pPr>
              <w:pStyle w:val="TableTextNumbersContinued"/>
            </w:pPr>
            <w:r>
              <w:rPr>
                <w:rFonts w:cs="Arial"/>
                <w:vanish/>
              </w:rPr>
              <w:t xml:space="preserve">BR_81.12 </w:t>
            </w:r>
            <w:r>
              <w:t xml:space="preserve">Click the </w:t>
            </w:r>
            <w:r>
              <w:rPr>
                <w:b/>
              </w:rPr>
              <w:t xml:space="preserve">Include Expired Supplies </w:t>
            </w:r>
            <w:r w:rsidRPr="00D1100E">
              <w:t>check box</w:t>
            </w:r>
            <w:r>
              <w:t xml:space="preserve"> to include expired supplies in the list.</w:t>
            </w:r>
          </w:p>
        </w:tc>
        <w:tc>
          <w:tcPr>
            <w:tcW w:w="6120" w:type="dxa"/>
          </w:tcPr>
          <w:p w14:paraId="5D34A0A2" w14:textId="77777777" w:rsidR="002A21AE" w:rsidRDefault="002A21AE">
            <w:pPr>
              <w:pStyle w:val="TableTextBullet"/>
            </w:pPr>
            <w:r>
              <w:t>Lists existing satisfactory supplies by default.</w:t>
            </w:r>
          </w:p>
        </w:tc>
      </w:tr>
      <w:tr w:rsidR="002A21AE" w14:paraId="0B8DE93C" w14:textId="77777777">
        <w:tc>
          <w:tcPr>
            <w:tcW w:w="3240" w:type="dxa"/>
            <w:tcBorders>
              <w:top w:val="single" w:sz="4" w:space="0" w:color="auto"/>
              <w:left w:val="single" w:sz="4" w:space="0" w:color="auto"/>
              <w:bottom w:val="single" w:sz="4" w:space="0" w:color="auto"/>
              <w:right w:val="single" w:sz="4" w:space="0" w:color="auto"/>
            </w:tcBorders>
          </w:tcPr>
          <w:p w14:paraId="6730E5CB" w14:textId="77777777" w:rsidR="002A21AE" w:rsidRDefault="002A21AE">
            <w:pPr>
              <w:pStyle w:val="TableTextNumbers"/>
            </w:pPr>
            <w:r>
              <w:t>Select a supply to edit.</w:t>
            </w:r>
          </w:p>
          <w:p w14:paraId="59EC826C" w14:textId="77777777" w:rsidR="002A21AE" w:rsidRDefault="002A21AE">
            <w:pPr>
              <w:pStyle w:val="TableTextNumbersContinued"/>
            </w:pPr>
          </w:p>
          <w:p w14:paraId="615455BB" w14:textId="77777777" w:rsidR="002A21AE" w:rsidRDefault="002A21AE">
            <w:pPr>
              <w:pStyle w:val="TableTextNumbersContinued"/>
            </w:pPr>
            <w:r>
              <w:t xml:space="preserve">To view supplies with a specific lot number, enter the lot number in the Lot # field and click the </w:t>
            </w:r>
            <w:r>
              <w:rPr>
                <w:b/>
              </w:rPr>
              <w:t>magnifying glass</w:t>
            </w:r>
            <w:r>
              <w:t>.</w:t>
            </w:r>
          </w:p>
        </w:tc>
        <w:tc>
          <w:tcPr>
            <w:tcW w:w="6120" w:type="dxa"/>
            <w:tcBorders>
              <w:top w:val="single" w:sz="4" w:space="0" w:color="auto"/>
              <w:left w:val="single" w:sz="4" w:space="0" w:color="auto"/>
              <w:bottom w:val="single" w:sz="4" w:space="0" w:color="auto"/>
              <w:right w:val="single" w:sz="4" w:space="0" w:color="auto"/>
            </w:tcBorders>
          </w:tcPr>
          <w:p w14:paraId="7B69C15E" w14:textId="77777777" w:rsidR="002A21AE" w:rsidRDefault="002A21AE">
            <w:pPr>
              <w:pStyle w:val="TableText"/>
            </w:pPr>
          </w:p>
          <w:p w14:paraId="232C3C92" w14:textId="17C4D8D0" w:rsidR="002A21AE" w:rsidRDefault="002A21AE">
            <w:pPr>
              <w:pStyle w:val="TableText"/>
              <w:rPr>
                <w:b/>
                <w:bCs/>
                <w:szCs w:val="18"/>
              </w:rPr>
            </w:pPr>
            <w:r>
              <w:rPr>
                <w:b/>
                <w:bCs/>
                <w:szCs w:val="18"/>
              </w:rPr>
              <w:t>NOTES</w:t>
            </w:r>
          </w:p>
          <w:p w14:paraId="731C659B" w14:textId="77777777" w:rsidR="002A21AE" w:rsidRDefault="002A21AE">
            <w:pPr>
              <w:pStyle w:val="NotesText"/>
            </w:pPr>
          </w:p>
          <w:p w14:paraId="2372F0D5" w14:textId="77777777" w:rsidR="002A21AE" w:rsidRDefault="002A21AE">
            <w:pPr>
              <w:pStyle w:val="NotesText"/>
            </w:pPr>
            <w:r>
              <w:t>Click a supply type to reveal manufacturer supply names. Click a manufacturer supply name to reveal lot numbers.</w:t>
            </w:r>
          </w:p>
        </w:tc>
      </w:tr>
      <w:tr w:rsidR="002A21AE" w14:paraId="6F9B7FE5"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5E394BB5" w14:textId="77777777" w:rsidR="002A21AE" w:rsidRDefault="002A21AE">
            <w:pPr>
              <w:pStyle w:val="TableTextNumbers"/>
            </w:pPr>
            <w:r>
              <w:t>Click a lot number to enable the Quantity Available field.</w:t>
            </w:r>
          </w:p>
          <w:p w14:paraId="571A3F56" w14:textId="77777777" w:rsidR="002A21AE" w:rsidRDefault="002A21AE">
            <w:pPr>
              <w:pStyle w:val="TableTextNumbersContinued"/>
            </w:pPr>
          </w:p>
          <w:p w14:paraId="24FCA541" w14:textId="77777777" w:rsidR="002A21AE" w:rsidRDefault="002A21AE">
            <w:pPr>
              <w:pStyle w:val="TableTextNumbersContinued"/>
            </w:pPr>
            <w:r>
              <w:t>Enter (or select) a quantity that is less than or equal to the current entry in the Quantity Available field.</w:t>
            </w:r>
          </w:p>
          <w:p w14:paraId="0B5C6E61" w14:textId="77777777" w:rsidR="002A21AE" w:rsidRDefault="002A21AE">
            <w:pPr>
              <w:pStyle w:val="TableTextNumbersContinued"/>
            </w:pPr>
          </w:p>
          <w:p w14:paraId="740348D1" w14:textId="376525AC" w:rsidR="002A21AE" w:rsidRDefault="002A21AE">
            <w:pPr>
              <w:pStyle w:val="TableTextNumbersContinued"/>
            </w:pPr>
            <w:r>
              <w:t>Select or edit the date and time in the Date Changed field</w:t>
            </w:r>
            <w:r w:rsidR="001556AE">
              <w:t xml:space="preserve"> (</w:t>
            </w:r>
            <w:r w:rsidR="00EE455E">
              <w:t xml:space="preserve">Figure </w:t>
            </w:r>
            <w:r w:rsidR="00EE455E">
              <w:rPr>
                <w:noProof/>
              </w:rPr>
              <w:t>44</w:t>
            </w:r>
            <w:r w:rsidR="001556AE">
              <w:t>)</w:t>
            </w:r>
            <w:r>
              <w:t>.</w:t>
            </w:r>
          </w:p>
        </w:tc>
        <w:tc>
          <w:tcPr>
            <w:tcW w:w="6120" w:type="dxa"/>
            <w:tcBorders>
              <w:top w:val="single" w:sz="4" w:space="0" w:color="auto"/>
              <w:left w:val="single" w:sz="4" w:space="0" w:color="auto"/>
              <w:bottom w:val="single" w:sz="4" w:space="0" w:color="auto"/>
              <w:right w:val="single" w:sz="4" w:space="0" w:color="auto"/>
            </w:tcBorders>
          </w:tcPr>
          <w:p w14:paraId="3D0D6200" w14:textId="77777777" w:rsidR="002A21AE" w:rsidRDefault="002A21AE">
            <w:pPr>
              <w:pStyle w:val="TableText"/>
            </w:pPr>
          </w:p>
          <w:p w14:paraId="45757F61" w14:textId="75BE675F" w:rsidR="002A21AE" w:rsidRDefault="002A21AE">
            <w:pPr>
              <w:pStyle w:val="TableText"/>
              <w:rPr>
                <w:b/>
                <w:bCs/>
                <w:szCs w:val="18"/>
              </w:rPr>
            </w:pPr>
            <w:r>
              <w:rPr>
                <w:b/>
                <w:bCs/>
                <w:szCs w:val="18"/>
              </w:rPr>
              <w:t>NOTES</w:t>
            </w:r>
          </w:p>
          <w:p w14:paraId="47A47CDC" w14:textId="77777777" w:rsidR="002A21AE" w:rsidRDefault="002A21AE">
            <w:pPr>
              <w:pStyle w:val="NotesText"/>
            </w:pPr>
          </w:p>
          <w:p w14:paraId="0C56EED9" w14:textId="77777777" w:rsidR="002A21AE" w:rsidRDefault="002A21AE">
            <w:pPr>
              <w:pStyle w:val="NotesText"/>
            </w:pPr>
            <w:r>
              <w:t>The default change date is the current date and time. The user may edit it to a past date and time only.</w:t>
            </w:r>
          </w:p>
          <w:p w14:paraId="7E15B606" w14:textId="77777777" w:rsidR="002A21AE" w:rsidRDefault="002A21AE">
            <w:pPr>
              <w:pStyle w:val="NotesText"/>
            </w:pPr>
          </w:p>
          <w:p w14:paraId="21F4F10D" w14:textId="77777777" w:rsidR="002A21AE" w:rsidRDefault="002A21AE">
            <w:pPr>
              <w:pStyle w:val="NotesText"/>
            </w:pPr>
            <w:r>
              <w:t>When a user selects Other from the drop-down list in the Reason for Change field, he may enter additional text in the Comments field.</w:t>
            </w:r>
          </w:p>
          <w:p w14:paraId="4CD056B7" w14:textId="77777777" w:rsidR="002A21AE" w:rsidRDefault="002A21AE">
            <w:pPr>
              <w:pStyle w:val="NotesText"/>
            </w:pPr>
          </w:p>
        </w:tc>
      </w:tr>
      <w:tr w:rsidR="002A21AE" w14:paraId="2899451C" w14:textId="77777777">
        <w:tc>
          <w:tcPr>
            <w:tcW w:w="3240" w:type="dxa"/>
            <w:tcBorders>
              <w:top w:val="single" w:sz="4" w:space="0" w:color="auto"/>
              <w:left w:val="single" w:sz="4" w:space="0" w:color="auto"/>
              <w:bottom w:val="single" w:sz="4" w:space="0" w:color="auto"/>
              <w:right w:val="single" w:sz="4" w:space="0" w:color="auto"/>
            </w:tcBorders>
          </w:tcPr>
          <w:p w14:paraId="3B867717" w14:textId="77777777" w:rsidR="002A21AE" w:rsidRDefault="002A21AE">
            <w:pPr>
              <w:pStyle w:val="TableTextNumbers"/>
            </w:pPr>
            <w:r>
              <w:t>Repeat Steps 3 and 4 to edit more supplies, as desired.</w:t>
            </w:r>
          </w:p>
        </w:tc>
        <w:tc>
          <w:tcPr>
            <w:tcW w:w="6120" w:type="dxa"/>
            <w:tcBorders>
              <w:top w:val="single" w:sz="4" w:space="0" w:color="auto"/>
              <w:left w:val="single" w:sz="4" w:space="0" w:color="auto"/>
              <w:bottom w:val="single" w:sz="4" w:space="0" w:color="auto"/>
              <w:right w:val="single" w:sz="4" w:space="0" w:color="auto"/>
            </w:tcBorders>
          </w:tcPr>
          <w:p w14:paraId="309393C9" w14:textId="77777777" w:rsidR="002A21AE" w:rsidRDefault="002A21AE">
            <w:pPr>
              <w:pStyle w:val="TableText"/>
            </w:pPr>
          </w:p>
        </w:tc>
      </w:tr>
      <w:tr w:rsidR="002A21AE" w14:paraId="22AED5F3" w14:textId="77777777">
        <w:tc>
          <w:tcPr>
            <w:tcW w:w="3240" w:type="dxa"/>
            <w:tcBorders>
              <w:top w:val="single" w:sz="4" w:space="0" w:color="auto"/>
              <w:left w:val="single" w:sz="4" w:space="0" w:color="auto"/>
              <w:bottom w:val="single" w:sz="4" w:space="0" w:color="auto"/>
              <w:right w:val="single" w:sz="4" w:space="0" w:color="auto"/>
            </w:tcBorders>
          </w:tcPr>
          <w:p w14:paraId="1AFD1AC4" w14:textId="77777777" w:rsidR="002A21AE" w:rsidRDefault="002A21AE">
            <w:pPr>
              <w:pStyle w:val="TableTextNumbers"/>
            </w:pPr>
            <w:r>
              <w:t xml:space="preserve">Click </w:t>
            </w:r>
            <w:r>
              <w:rPr>
                <w:b/>
              </w:rPr>
              <w:t>OK</w:t>
            </w:r>
            <w:r>
              <w:t xml:space="preserve"> to save.</w:t>
            </w:r>
          </w:p>
          <w:p w14:paraId="7AF891A3" w14:textId="77777777" w:rsidR="002A21AE" w:rsidRDefault="002A21AE">
            <w:pPr>
              <w:pStyle w:val="TableTextNumbersContinued"/>
            </w:pPr>
          </w:p>
          <w:p w14:paraId="2CF82283" w14:textId="77777777" w:rsidR="002A21AE" w:rsidRDefault="002A21AE">
            <w:pPr>
              <w:pStyle w:val="TableTextNumbersContinued"/>
            </w:pPr>
            <w:r>
              <w:t xml:space="preserve">Click </w:t>
            </w:r>
            <w:r>
              <w:rPr>
                <w:b/>
              </w:rPr>
              <w:t>Yes</w:t>
            </w:r>
            <w:r>
              <w:t xml:space="preserve"> to confirm the save and view the updated list.</w:t>
            </w:r>
          </w:p>
        </w:tc>
        <w:tc>
          <w:tcPr>
            <w:tcW w:w="6120" w:type="dxa"/>
            <w:tcBorders>
              <w:top w:val="single" w:sz="4" w:space="0" w:color="auto"/>
              <w:left w:val="single" w:sz="4" w:space="0" w:color="auto"/>
              <w:bottom w:val="single" w:sz="4" w:space="0" w:color="auto"/>
              <w:right w:val="single" w:sz="4" w:space="0" w:color="auto"/>
            </w:tcBorders>
          </w:tcPr>
          <w:p w14:paraId="4650BEA7" w14:textId="77777777" w:rsidR="002A21AE" w:rsidRDefault="002A21AE">
            <w:pPr>
              <w:pStyle w:val="TableText"/>
            </w:pPr>
          </w:p>
        </w:tc>
      </w:tr>
      <w:tr w:rsidR="002A21AE" w14:paraId="63F20F53" w14:textId="77777777">
        <w:tc>
          <w:tcPr>
            <w:tcW w:w="3240" w:type="dxa"/>
            <w:tcBorders>
              <w:top w:val="single" w:sz="4" w:space="0" w:color="auto"/>
              <w:left w:val="single" w:sz="4" w:space="0" w:color="auto"/>
              <w:bottom w:val="single" w:sz="4" w:space="0" w:color="auto"/>
              <w:right w:val="single" w:sz="4" w:space="0" w:color="auto"/>
            </w:tcBorders>
          </w:tcPr>
          <w:p w14:paraId="2852977B" w14:textId="77777777" w:rsidR="002A21AE" w:rsidRDefault="002A21AE">
            <w:pPr>
              <w:pStyle w:val="TableTextNumbers"/>
            </w:pPr>
            <w:r>
              <w:t xml:space="preserve">Click </w:t>
            </w:r>
            <w:r>
              <w:rPr>
                <w:b/>
              </w:rPr>
              <w:t>Print Supply Inventory</w:t>
            </w:r>
            <w:r>
              <w:t xml:space="preserve"> to print the list of supplies.</w:t>
            </w:r>
          </w:p>
        </w:tc>
        <w:tc>
          <w:tcPr>
            <w:tcW w:w="6120" w:type="dxa"/>
            <w:tcBorders>
              <w:top w:val="single" w:sz="4" w:space="0" w:color="auto"/>
              <w:left w:val="single" w:sz="4" w:space="0" w:color="auto"/>
              <w:bottom w:val="single" w:sz="4" w:space="0" w:color="auto"/>
              <w:right w:val="single" w:sz="4" w:space="0" w:color="auto"/>
            </w:tcBorders>
          </w:tcPr>
          <w:p w14:paraId="038A191D" w14:textId="77777777" w:rsidR="002A21AE" w:rsidRDefault="002A21AE">
            <w:pPr>
              <w:pStyle w:val="TableTextBullet"/>
            </w:pPr>
            <w:r>
              <w:t>Displays the Supply Inventory window (see View/Print Supply Inventory).</w:t>
            </w:r>
          </w:p>
        </w:tc>
      </w:tr>
      <w:tr w:rsidR="002A21AE" w14:paraId="42D148CE" w14:textId="77777777">
        <w:tc>
          <w:tcPr>
            <w:tcW w:w="3240" w:type="dxa"/>
            <w:tcBorders>
              <w:top w:val="single" w:sz="4" w:space="0" w:color="auto"/>
              <w:left w:val="single" w:sz="4" w:space="0" w:color="auto"/>
              <w:bottom w:val="single" w:sz="4" w:space="0" w:color="auto"/>
              <w:right w:val="single" w:sz="4" w:space="0" w:color="auto"/>
            </w:tcBorders>
          </w:tcPr>
          <w:p w14:paraId="5842E048" w14:textId="77777777" w:rsidR="002A21AE" w:rsidRDefault="002A21AE">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18A31109" w14:textId="77777777" w:rsidR="002A21AE" w:rsidRDefault="002A21AE">
            <w:pPr>
              <w:pStyle w:val="NotesText"/>
              <w:ind w:left="0"/>
            </w:pPr>
          </w:p>
        </w:tc>
      </w:tr>
    </w:tbl>
    <w:p w14:paraId="71E2EC10" w14:textId="063EFE9C" w:rsidR="001556AE" w:rsidRDefault="001556AE" w:rsidP="001556AE">
      <w:pPr>
        <w:pStyle w:val="Caption"/>
      </w:pPr>
      <w:bookmarkStart w:id="223" w:name="_Ref12655225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44</w:t>
      </w:r>
      <w:r w:rsidR="004E20BD">
        <w:rPr>
          <w:noProof/>
        </w:rPr>
        <w:fldChar w:fldCharType="end"/>
      </w:r>
      <w:bookmarkEnd w:id="223"/>
      <w:r>
        <w:t>: Update Supplies</w:t>
      </w:r>
    </w:p>
    <w:p w14:paraId="29870ADD" w14:textId="77777777" w:rsidR="001556AE" w:rsidRDefault="00057948" w:rsidP="001556AE">
      <w:pPr>
        <w:pStyle w:val="BodyText"/>
      </w:pPr>
      <w:r>
        <w:rPr>
          <w:noProof/>
        </w:rPr>
        <w:drawing>
          <wp:inline distT="0" distB="0" distL="0" distR="0" wp14:anchorId="0F04B074" wp14:editId="091C2FC9">
            <wp:extent cx="5144770" cy="3888740"/>
            <wp:effectExtent l="0" t="0" r="0" b="0"/>
            <wp:docPr id="147" name="Picture 147" descr="Example of Update Suppli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Example of Update Supplies screen captur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144770" cy="3888740"/>
                    </a:xfrm>
                    <a:prstGeom prst="rect">
                      <a:avLst/>
                    </a:prstGeom>
                    <a:noFill/>
                    <a:ln>
                      <a:noFill/>
                    </a:ln>
                  </pic:spPr>
                </pic:pic>
              </a:graphicData>
            </a:graphic>
          </wp:inline>
        </w:drawing>
      </w:r>
    </w:p>
    <w:p w14:paraId="2F5B271B" w14:textId="77777777" w:rsidR="007E500E" w:rsidRDefault="007E500E">
      <w:pPr>
        <w:rPr>
          <w:rFonts w:ascii="Arial" w:hAnsi="Arial"/>
          <w:b/>
          <w:sz w:val="22"/>
        </w:rPr>
      </w:pPr>
      <w:r>
        <w:br w:type="page"/>
      </w:r>
    </w:p>
    <w:p w14:paraId="3CB88D3D" w14:textId="37CC3006" w:rsidR="002A21AE" w:rsidRDefault="002A21AE">
      <w:pPr>
        <w:pStyle w:val="Heading4"/>
      </w:pPr>
      <w:r>
        <w:t>View/Print Supply Inventory</w:t>
      </w:r>
      <w:r>
        <w:fldChar w:fldCharType="begin"/>
      </w:r>
      <w:r>
        <w:instrText xml:space="preserve"> XE </w:instrText>
      </w:r>
      <w:r w:rsidR="00FA7E65">
        <w:instrText>“</w:instrText>
      </w:r>
      <w:r>
        <w:instrText>View/Print Supply Inventory</w:instrText>
      </w:r>
      <w:r w:rsidR="00FA7E65">
        <w:instrText>”</w:instrText>
      </w:r>
      <w:r>
        <w:instrText xml:space="preserve"> </w:instrText>
      </w:r>
      <w:r>
        <w:fldChar w:fldCharType="end"/>
      </w:r>
      <w:r>
        <w:t xml:space="preserve"> </w:t>
      </w:r>
    </w:p>
    <w:p w14:paraId="0F0F258B" w14:textId="77777777" w:rsidR="002A21AE" w:rsidRDefault="00153A27" w:rsidP="00FA7E65">
      <w:pPr>
        <w:pStyle w:val="BodyText"/>
      </w:pPr>
      <w:r>
        <w:t>The</w:t>
      </w:r>
      <w:r w:rsidR="002A21AE">
        <w:t xml:space="preserve"> user view</w:t>
      </w:r>
      <w:r w:rsidR="00A91655">
        <w:t>s</w:t>
      </w:r>
      <w:r w:rsidR="002A21AE">
        <w:t xml:space="preserve"> inventory online based on various search criteria and print</w:t>
      </w:r>
      <w:r w:rsidR="00A91655">
        <w:t>s</w:t>
      </w:r>
      <w:r w:rsidR="002A21AE">
        <w:t xml:space="preserve"> the search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8FC4F5B" w14:textId="77777777">
        <w:trPr>
          <w:cantSplit/>
          <w:tblHeader/>
        </w:trPr>
        <w:tc>
          <w:tcPr>
            <w:tcW w:w="3240" w:type="dxa"/>
            <w:shd w:val="pct30" w:color="auto" w:fill="FFFFFF"/>
            <w:vAlign w:val="bottom"/>
          </w:tcPr>
          <w:p w14:paraId="53200ACE" w14:textId="77777777" w:rsidR="002A21AE" w:rsidRDefault="002A21AE">
            <w:pPr>
              <w:pStyle w:val="TableText"/>
              <w:rPr>
                <w:b/>
              </w:rPr>
            </w:pPr>
            <w:bookmarkStart w:id="224" w:name="_Toc73176862"/>
            <w:r>
              <w:rPr>
                <w:b/>
              </w:rPr>
              <w:t>User Action</w:t>
            </w:r>
          </w:p>
        </w:tc>
        <w:tc>
          <w:tcPr>
            <w:tcW w:w="6120" w:type="dxa"/>
            <w:shd w:val="pct30" w:color="auto" w:fill="FFFFFF"/>
            <w:vAlign w:val="bottom"/>
          </w:tcPr>
          <w:p w14:paraId="0F4B5B5A" w14:textId="77777777" w:rsidR="002A21AE" w:rsidRDefault="002A21AE">
            <w:pPr>
              <w:pStyle w:val="TableText"/>
              <w:rPr>
                <w:b/>
              </w:rPr>
            </w:pPr>
            <w:r>
              <w:rPr>
                <w:b/>
              </w:rPr>
              <w:t>VBECS</w:t>
            </w:r>
          </w:p>
        </w:tc>
      </w:tr>
      <w:tr w:rsidR="002A21AE" w14:paraId="0B27150F" w14:textId="77777777">
        <w:tc>
          <w:tcPr>
            <w:tcW w:w="3240" w:type="dxa"/>
            <w:tcBorders>
              <w:top w:val="single" w:sz="4" w:space="0" w:color="auto"/>
              <w:left w:val="single" w:sz="4" w:space="0" w:color="auto"/>
              <w:bottom w:val="single" w:sz="4" w:space="0" w:color="auto"/>
              <w:right w:val="single" w:sz="4" w:space="0" w:color="auto"/>
            </w:tcBorders>
          </w:tcPr>
          <w:p w14:paraId="627D30B8" w14:textId="77777777" w:rsidR="002A21AE" w:rsidRDefault="002A21AE">
            <w:pPr>
              <w:pStyle w:val="TableTextNumbers"/>
            </w:pPr>
            <w:r>
              <w:t xml:space="preserve">Select </w:t>
            </w:r>
            <w:r>
              <w:rPr>
                <w:b/>
              </w:rPr>
              <w:t>Tools</w:t>
            </w:r>
            <w:r>
              <w:t xml:space="preserve"> from the main menu.</w:t>
            </w:r>
          </w:p>
          <w:p w14:paraId="77C2FACD" w14:textId="77777777" w:rsidR="002A21AE" w:rsidRDefault="002A21AE">
            <w:pPr>
              <w:pStyle w:val="TableTextNumbersContinued"/>
            </w:pPr>
          </w:p>
          <w:p w14:paraId="0E1C8343" w14:textId="77777777" w:rsidR="002A21AE" w:rsidRDefault="002A21AE">
            <w:pPr>
              <w:pStyle w:val="TableTextNumbersContinued"/>
            </w:pPr>
            <w:r>
              <w:t xml:space="preserve">Select </w:t>
            </w:r>
            <w:r>
              <w:rPr>
                <w:b/>
              </w:rPr>
              <w:t>Supplies</w:t>
            </w:r>
            <w:r>
              <w:t>.</w:t>
            </w:r>
          </w:p>
        </w:tc>
        <w:tc>
          <w:tcPr>
            <w:tcW w:w="6120" w:type="dxa"/>
            <w:tcBorders>
              <w:top w:val="single" w:sz="4" w:space="0" w:color="auto"/>
              <w:left w:val="single" w:sz="4" w:space="0" w:color="auto"/>
              <w:bottom w:val="single" w:sz="4" w:space="0" w:color="auto"/>
              <w:right w:val="single" w:sz="4" w:space="0" w:color="auto"/>
            </w:tcBorders>
          </w:tcPr>
          <w:p w14:paraId="76E44D52" w14:textId="77777777" w:rsidR="002A21AE" w:rsidRDefault="002A21AE">
            <w:pPr>
              <w:pStyle w:val="TableTextBullet"/>
            </w:pPr>
            <w:r>
              <w:t xml:space="preserve">Displays options for processing administrative functions. </w:t>
            </w:r>
          </w:p>
          <w:p w14:paraId="2F773488" w14:textId="77777777" w:rsidR="002A21AE" w:rsidRDefault="002A21AE">
            <w:pPr>
              <w:pStyle w:val="TableTextBullet"/>
            </w:pPr>
            <w:r>
              <w:t>Displays options for processing supplies.</w:t>
            </w:r>
          </w:p>
        </w:tc>
      </w:tr>
      <w:tr w:rsidR="002A21AE" w14:paraId="12BC7455" w14:textId="77777777">
        <w:tc>
          <w:tcPr>
            <w:tcW w:w="3240" w:type="dxa"/>
          </w:tcPr>
          <w:p w14:paraId="755F9725" w14:textId="77777777" w:rsidR="002A21AE" w:rsidRDefault="002A21AE">
            <w:pPr>
              <w:pStyle w:val="TableTextNumbers"/>
            </w:pPr>
            <w:r>
              <w:t xml:space="preserve">Select </w:t>
            </w:r>
            <w:r>
              <w:rPr>
                <w:b/>
              </w:rPr>
              <w:t>View/Print Supply Inventory</w:t>
            </w:r>
            <w:r>
              <w:t>.</w:t>
            </w:r>
          </w:p>
        </w:tc>
        <w:tc>
          <w:tcPr>
            <w:tcW w:w="6120" w:type="dxa"/>
          </w:tcPr>
          <w:p w14:paraId="6F365735" w14:textId="77777777" w:rsidR="002A21AE" w:rsidRDefault="002A21AE">
            <w:pPr>
              <w:pStyle w:val="TableTextBullet"/>
            </w:pPr>
            <w:r>
              <w:t>Lists supply types.</w:t>
            </w:r>
          </w:p>
        </w:tc>
      </w:tr>
      <w:tr w:rsidR="002A21AE" w14:paraId="2E0E87BF" w14:textId="77777777">
        <w:tc>
          <w:tcPr>
            <w:tcW w:w="3240" w:type="dxa"/>
            <w:tcBorders>
              <w:top w:val="single" w:sz="4" w:space="0" w:color="auto"/>
              <w:left w:val="single" w:sz="4" w:space="0" w:color="auto"/>
              <w:bottom w:val="single" w:sz="4" w:space="0" w:color="auto"/>
              <w:right w:val="single" w:sz="4" w:space="0" w:color="auto"/>
            </w:tcBorders>
          </w:tcPr>
          <w:p w14:paraId="62C79FE4" w14:textId="77777777" w:rsidR="002A21AE" w:rsidRDefault="002A21AE">
            <w:pPr>
              <w:pStyle w:val="TableTextNumbers"/>
            </w:pPr>
            <w:r>
              <w:t>Click one or more check boxes in the Supply Type list to select supply types.</w:t>
            </w:r>
          </w:p>
        </w:tc>
        <w:tc>
          <w:tcPr>
            <w:tcW w:w="6120" w:type="dxa"/>
            <w:tcBorders>
              <w:top w:val="single" w:sz="4" w:space="0" w:color="auto"/>
              <w:left w:val="single" w:sz="4" w:space="0" w:color="auto"/>
              <w:bottom w:val="single" w:sz="4" w:space="0" w:color="auto"/>
              <w:right w:val="single" w:sz="4" w:space="0" w:color="auto"/>
            </w:tcBorders>
          </w:tcPr>
          <w:p w14:paraId="1F4DE4D1" w14:textId="77777777" w:rsidR="002A21AE" w:rsidRDefault="002A21AE">
            <w:pPr>
              <w:pStyle w:val="TableTextBullet"/>
            </w:pPr>
            <w:r>
              <w:t>Displays or allows</w:t>
            </w:r>
            <w:r w:rsidR="006B2239">
              <w:t xml:space="preserve"> the</w:t>
            </w:r>
            <w:r>
              <w:t xml:space="preserve"> user to print a report of all current in-date, expired, and unsatisfactory supply inventory and minimum stock levels as a read-only display based on the selection criteria entered:</w:t>
            </w:r>
          </w:p>
          <w:p w14:paraId="0A4FEA7D" w14:textId="77777777" w:rsidR="002A21AE" w:rsidRDefault="002A21AE">
            <w:pPr>
              <w:pStyle w:val="TableTextBullet1"/>
            </w:pPr>
            <w:r>
              <w:t>Date range (</w:t>
            </w:r>
            <w:r w:rsidR="006B2239">
              <w:t xml:space="preserve">the </w:t>
            </w:r>
            <w:r>
              <w:t>user enter</w:t>
            </w:r>
            <w:r w:rsidR="006B2239">
              <w:t>s</w:t>
            </w:r>
            <w:r>
              <w:t xml:space="preserve"> a date to begin and end the search)</w:t>
            </w:r>
          </w:p>
          <w:p w14:paraId="36E3789B" w14:textId="77777777" w:rsidR="002A21AE" w:rsidRDefault="002A21AE">
            <w:pPr>
              <w:pStyle w:val="TableTextBullet1"/>
            </w:pPr>
            <w:r>
              <w:t>Supply type</w:t>
            </w:r>
          </w:p>
          <w:p w14:paraId="4F9698D1" w14:textId="77777777" w:rsidR="002A21AE" w:rsidRDefault="002A21AE">
            <w:pPr>
              <w:pStyle w:val="TableTextBullet1"/>
            </w:pPr>
            <w:r>
              <w:t>In-date (active) Supplies</w:t>
            </w:r>
          </w:p>
          <w:p w14:paraId="5F7160D7" w14:textId="77777777" w:rsidR="002A21AE" w:rsidRDefault="002A21AE">
            <w:pPr>
              <w:pStyle w:val="TableTextBullet1"/>
            </w:pPr>
            <w:r>
              <w:t>Expired (inactive) Supplies</w:t>
            </w:r>
          </w:p>
          <w:p w14:paraId="1B9D0CEC" w14:textId="77777777" w:rsidR="002A21AE" w:rsidRDefault="002A21AE">
            <w:pPr>
              <w:pStyle w:val="TableTextBullet1"/>
            </w:pPr>
            <w:r>
              <w:t>Expiration date of the supply</w:t>
            </w:r>
          </w:p>
          <w:p w14:paraId="73057407" w14:textId="77777777" w:rsidR="002A21AE" w:rsidRDefault="002A21AE">
            <w:pPr>
              <w:pStyle w:val="TableTextBullet1"/>
            </w:pPr>
            <w:r>
              <w:t>Date received</w:t>
            </w:r>
          </w:p>
          <w:p w14:paraId="33411685" w14:textId="77777777" w:rsidR="002A21AE" w:rsidRDefault="002A21AE">
            <w:pPr>
              <w:pStyle w:val="TableText"/>
            </w:pPr>
          </w:p>
          <w:p w14:paraId="6309CE65" w14:textId="2490901D" w:rsidR="002A21AE" w:rsidRDefault="002A21AE">
            <w:pPr>
              <w:pStyle w:val="TableText"/>
              <w:rPr>
                <w:b/>
                <w:bCs/>
                <w:szCs w:val="18"/>
              </w:rPr>
            </w:pPr>
            <w:r>
              <w:rPr>
                <w:b/>
                <w:bCs/>
                <w:szCs w:val="18"/>
              </w:rPr>
              <w:t>NOTES</w:t>
            </w:r>
          </w:p>
          <w:p w14:paraId="0A3FEFFB" w14:textId="77777777" w:rsidR="002A21AE" w:rsidRDefault="002A21AE">
            <w:pPr>
              <w:pStyle w:val="NotesText"/>
            </w:pPr>
          </w:p>
          <w:p w14:paraId="51E62A41" w14:textId="77777777" w:rsidR="002A21AE" w:rsidRDefault="002A21AE">
            <w:pPr>
              <w:pStyle w:val="NotesText"/>
              <w:rPr>
                <w:vanish/>
                <w:szCs w:val="18"/>
              </w:rPr>
            </w:pPr>
            <w:r>
              <w:rPr>
                <w:rFonts w:cs="Arial"/>
                <w:vanish/>
              </w:rPr>
              <w:t xml:space="preserve">BR_81.08 </w:t>
            </w:r>
            <w:r>
              <w:t>A user may view the supply inventory by one, some, or all of the selection criteria.</w:t>
            </w:r>
          </w:p>
          <w:p w14:paraId="05EFD0B1" w14:textId="77777777" w:rsidR="002A21AE" w:rsidRDefault="002A21AE">
            <w:pPr>
              <w:pStyle w:val="NotesText"/>
              <w:rPr>
                <w:vanish/>
                <w:szCs w:val="18"/>
              </w:rPr>
            </w:pPr>
          </w:p>
          <w:p w14:paraId="5C25B7F1" w14:textId="77777777" w:rsidR="002A21AE" w:rsidRDefault="002A21AE">
            <w:pPr>
              <w:pStyle w:val="NotesText"/>
            </w:pPr>
            <w:r>
              <w:rPr>
                <w:vanish/>
                <w:szCs w:val="18"/>
              </w:rPr>
              <w:t>PT_81.01 Supply Types</w:t>
            </w:r>
          </w:p>
        </w:tc>
      </w:tr>
      <w:tr w:rsidR="002A21AE" w14:paraId="2A34E17E" w14:textId="77777777">
        <w:tc>
          <w:tcPr>
            <w:tcW w:w="3240" w:type="dxa"/>
            <w:tcBorders>
              <w:top w:val="single" w:sz="4" w:space="0" w:color="auto"/>
              <w:left w:val="single" w:sz="4" w:space="0" w:color="auto"/>
              <w:bottom w:val="single" w:sz="4" w:space="0" w:color="auto"/>
              <w:right w:val="single" w:sz="4" w:space="0" w:color="auto"/>
            </w:tcBorders>
          </w:tcPr>
          <w:p w14:paraId="7E7A7323" w14:textId="77777777" w:rsidR="002A21AE" w:rsidRDefault="00165119">
            <w:pPr>
              <w:pStyle w:val="TableTextNumbers"/>
            </w:pPr>
            <w:r>
              <w:t xml:space="preserve">Click </w:t>
            </w:r>
            <w:r w:rsidRPr="00165119">
              <w:rPr>
                <w:b/>
              </w:rPr>
              <w:t>OK</w:t>
            </w:r>
            <w:r>
              <w:t xml:space="preserve"> to a</w:t>
            </w:r>
            <w:r w:rsidR="002A21AE">
              <w:t>ccept the displayed selection criteria.</w:t>
            </w:r>
          </w:p>
        </w:tc>
        <w:tc>
          <w:tcPr>
            <w:tcW w:w="6120" w:type="dxa"/>
            <w:tcBorders>
              <w:top w:val="single" w:sz="4" w:space="0" w:color="auto"/>
              <w:left w:val="single" w:sz="4" w:space="0" w:color="auto"/>
              <w:bottom w:val="single" w:sz="4" w:space="0" w:color="auto"/>
              <w:right w:val="single" w:sz="4" w:space="0" w:color="auto"/>
            </w:tcBorders>
          </w:tcPr>
          <w:p w14:paraId="3AA0143B" w14:textId="77777777" w:rsidR="002A21AE" w:rsidRDefault="002A21AE">
            <w:pPr>
              <w:pStyle w:val="TableTextBullet"/>
            </w:pPr>
            <w:r>
              <w:t>Compiles the report and displays an option to print or exit the report.</w:t>
            </w:r>
          </w:p>
        </w:tc>
      </w:tr>
      <w:tr w:rsidR="002A21AE" w14:paraId="184BAAFD" w14:textId="77777777">
        <w:tc>
          <w:tcPr>
            <w:tcW w:w="3240" w:type="dxa"/>
            <w:tcBorders>
              <w:top w:val="single" w:sz="4" w:space="0" w:color="auto"/>
              <w:left w:val="single" w:sz="4" w:space="0" w:color="auto"/>
              <w:bottom w:val="single" w:sz="4" w:space="0" w:color="auto"/>
              <w:right w:val="single" w:sz="4" w:space="0" w:color="auto"/>
            </w:tcBorders>
          </w:tcPr>
          <w:p w14:paraId="49BB723E" w14:textId="77777777" w:rsidR="002A21AE" w:rsidRDefault="002A21AE">
            <w:pPr>
              <w:pStyle w:val="TableTextNumbers"/>
            </w:pPr>
            <w:r>
              <w:t xml:space="preserve">Click </w:t>
            </w:r>
            <w:r>
              <w:rPr>
                <w:b/>
              </w:rPr>
              <w:t>Print Supply Inventory</w:t>
            </w:r>
            <w:r>
              <w:t xml:space="preserve"> to print the list of supplies.</w:t>
            </w:r>
          </w:p>
        </w:tc>
        <w:tc>
          <w:tcPr>
            <w:tcW w:w="6120" w:type="dxa"/>
            <w:tcBorders>
              <w:top w:val="single" w:sz="4" w:space="0" w:color="auto"/>
              <w:left w:val="single" w:sz="4" w:space="0" w:color="auto"/>
              <w:bottom w:val="single" w:sz="4" w:space="0" w:color="auto"/>
              <w:right w:val="single" w:sz="4" w:space="0" w:color="auto"/>
            </w:tcBorders>
          </w:tcPr>
          <w:p w14:paraId="371A9BB3" w14:textId="77777777" w:rsidR="002A21AE" w:rsidRDefault="002A21AE">
            <w:pPr>
              <w:pStyle w:val="TableTextBullet"/>
            </w:pPr>
            <w:r>
              <w:t>Sends the report to print on the printer selected by the user.</w:t>
            </w:r>
          </w:p>
          <w:p w14:paraId="12D40071" w14:textId="77777777" w:rsidR="002A21AE" w:rsidRDefault="002A21AE">
            <w:pPr>
              <w:pStyle w:val="TableText"/>
            </w:pPr>
          </w:p>
          <w:p w14:paraId="6A219D6E" w14:textId="58F571E4" w:rsidR="002A21AE" w:rsidRDefault="002A21AE">
            <w:pPr>
              <w:pStyle w:val="TableText"/>
              <w:rPr>
                <w:b/>
                <w:bCs/>
                <w:szCs w:val="18"/>
              </w:rPr>
            </w:pPr>
            <w:r>
              <w:rPr>
                <w:b/>
                <w:bCs/>
                <w:szCs w:val="18"/>
              </w:rPr>
              <w:t>NOTES</w:t>
            </w:r>
          </w:p>
          <w:p w14:paraId="26A16F83" w14:textId="77777777" w:rsidR="002A21AE" w:rsidRDefault="002A21AE">
            <w:pPr>
              <w:pStyle w:val="NotesText"/>
            </w:pPr>
          </w:p>
          <w:p w14:paraId="1A3FB34F" w14:textId="77777777" w:rsidR="002A21AE" w:rsidRDefault="002A21AE">
            <w:pPr>
              <w:pStyle w:val="NotesText"/>
            </w:pPr>
            <w:r>
              <w:rPr>
                <w:rFonts w:cs="Arial"/>
                <w:vanish/>
              </w:rPr>
              <w:t xml:space="preserve">BR_81.09 </w:t>
            </w:r>
            <w:r>
              <w:t>VBECS displays and prints the report in the supply type order</w:t>
            </w:r>
            <w:r w:rsidR="00F85F11">
              <w:t xml:space="preserve"> </w:t>
            </w:r>
            <w:r>
              <w:rPr>
                <w:vanish/>
                <w:szCs w:val="18"/>
              </w:rPr>
              <w:t>(as defined in PT_81.01)</w:t>
            </w:r>
            <w:r>
              <w:t>: in-date by lot number in reverse chronological order of expiration date, followed by expired and unsatisfactory supplies. Details included in the report:</w:t>
            </w:r>
          </w:p>
          <w:p w14:paraId="18CE9274" w14:textId="77777777" w:rsidR="002A21AE" w:rsidRDefault="002A21AE">
            <w:pPr>
              <w:pStyle w:val="NotesTextBullet"/>
            </w:pPr>
            <w:r>
              <w:t xml:space="preserve">Supply Type (Unit of Measure) </w:t>
            </w:r>
          </w:p>
          <w:p w14:paraId="47D51AD2" w14:textId="77777777" w:rsidR="002A21AE" w:rsidRDefault="002A21AE">
            <w:pPr>
              <w:pStyle w:val="NotesTextBullet"/>
            </w:pPr>
            <w:r>
              <w:t>Manufacturer</w:t>
            </w:r>
          </w:p>
          <w:p w14:paraId="5572CA59" w14:textId="77777777" w:rsidR="002A21AE" w:rsidRDefault="002A21AE">
            <w:pPr>
              <w:pStyle w:val="NotesTextBullet"/>
            </w:pPr>
            <w:r>
              <w:t>Manufacturer’s Supply Name</w:t>
            </w:r>
          </w:p>
          <w:p w14:paraId="2FC98CED" w14:textId="77777777" w:rsidR="002A21AE" w:rsidRDefault="002A21AE">
            <w:pPr>
              <w:pStyle w:val="NotesTextBullet"/>
            </w:pPr>
            <w:r>
              <w:t>Lot Number</w:t>
            </w:r>
          </w:p>
          <w:p w14:paraId="62303CB5" w14:textId="77777777" w:rsidR="002A21AE" w:rsidRDefault="002A21AE">
            <w:pPr>
              <w:pStyle w:val="NotesTextBullet"/>
            </w:pPr>
            <w:r>
              <w:t>Expiration Date</w:t>
            </w:r>
          </w:p>
          <w:p w14:paraId="6F95D912" w14:textId="77777777" w:rsidR="002A21AE" w:rsidRDefault="002A21AE">
            <w:pPr>
              <w:pStyle w:val="NotesTextBullet"/>
            </w:pPr>
            <w:r>
              <w:t>Number Available</w:t>
            </w:r>
          </w:p>
          <w:p w14:paraId="62B58844" w14:textId="77777777" w:rsidR="002A21AE" w:rsidRDefault="002A21AE">
            <w:pPr>
              <w:pStyle w:val="NotesTextBullet"/>
            </w:pPr>
            <w:r>
              <w:t>Inspection upon receipt</w:t>
            </w:r>
          </w:p>
          <w:p w14:paraId="693974F0" w14:textId="77777777" w:rsidR="002A21AE" w:rsidRDefault="002A21AE">
            <w:pPr>
              <w:pStyle w:val="NotesTextBullet"/>
            </w:pPr>
            <w:r>
              <w:t>Invoice Number</w:t>
            </w:r>
          </w:p>
          <w:p w14:paraId="5C480C07" w14:textId="77777777" w:rsidR="002A21AE" w:rsidRDefault="002A21AE">
            <w:pPr>
              <w:pStyle w:val="NotesTextBullet"/>
            </w:pPr>
            <w:r>
              <w:t xml:space="preserve">Received Date/Time </w:t>
            </w:r>
          </w:p>
          <w:p w14:paraId="53025783" w14:textId="77777777" w:rsidR="002A21AE" w:rsidRDefault="002A21AE">
            <w:pPr>
              <w:pStyle w:val="NotesTextBullet"/>
            </w:pPr>
            <w:r>
              <w:t>Received by Tech Name</w:t>
            </w:r>
          </w:p>
          <w:p w14:paraId="1BE416CE" w14:textId="77777777" w:rsidR="002A21AE" w:rsidRDefault="002A21AE" w:rsidP="000C4324">
            <w:pPr>
              <w:pStyle w:val="NotesTextBullet"/>
            </w:pPr>
            <w:r>
              <w:t>Comments</w:t>
            </w:r>
          </w:p>
        </w:tc>
      </w:tr>
      <w:tr w:rsidR="002A21AE" w14:paraId="2075155A" w14:textId="77777777">
        <w:tc>
          <w:tcPr>
            <w:tcW w:w="3240" w:type="dxa"/>
            <w:tcBorders>
              <w:top w:val="single" w:sz="4" w:space="0" w:color="auto"/>
              <w:left w:val="single" w:sz="4" w:space="0" w:color="auto"/>
              <w:bottom w:val="single" w:sz="4" w:space="0" w:color="auto"/>
              <w:right w:val="single" w:sz="4" w:space="0" w:color="auto"/>
            </w:tcBorders>
          </w:tcPr>
          <w:p w14:paraId="29EB70B2" w14:textId="77777777" w:rsidR="002A21AE" w:rsidRDefault="002A21AE">
            <w:pPr>
              <w:pStyle w:val="TableTextNumbers"/>
            </w:pPr>
            <w:r>
              <w:t>Print another report or</w:t>
            </w:r>
            <w:r w:rsidR="00165119">
              <w:t xml:space="preserve"> click </w:t>
            </w:r>
            <w:r w:rsidR="00165119" w:rsidRPr="00165119">
              <w:rPr>
                <w:b/>
              </w:rPr>
              <w:t>Cancel</w:t>
            </w:r>
            <w:r w:rsidR="00165119">
              <w:t xml:space="preserve"> to</w:t>
            </w:r>
            <w:r>
              <w:t xml:space="preserve">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484F2CC3" w14:textId="77777777" w:rsidR="002A21AE" w:rsidRDefault="002A21AE">
            <w:pPr>
              <w:pStyle w:val="TableText"/>
            </w:pPr>
          </w:p>
        </w:tc>
      </w:tr>
      <w:bookmarkEnd w:id="224"/>
    </w:tbl>
    <w:p w14:paraId="46C0CF5F" w14:textId="77777777" w:rsidR="00DC6F96" w:rsidRDefault="00DC6F96">
      <w:pPr>
        <w:pStyle w:val="Heading3"/>
      </w:pPr>
    </w:p>
    <w:p w14:paraId="6DE059C2" w14:textId="77777777" w:rsidR="002A21AE" w:rsidRDefault="00DC6F96">
      <w:pPr>
        <w:pStyle w:val="Heading3"/>
      </w:pPr>
      <w:r>
        <w:br w:type="page"/>
      </w:r>
      <w:bookmarkStart w:id="225" w:name="_Toc149064114"/>
      <w:r w:rsidR="002A21AE">
        <w:t>Equipment</w:t>
      </w:r>
      <w:bookmarkEnd w:id="225"/>
      <w:r w:rsidR="002A21AE">
        <w:fldChar w:fldCharType="begin"/>
      </w:r>
      <w:r w:rsidR="002A21AE">
        <w:instrText xml:space="preserve"> XE </w:instrText>
      </w:r>
      <w:r w:rsidR="00FA7E65">
        <w:instrText>“</w:instrText>
      </w:r>
      <w:r w:rsidR="002A21AE">
        <w:instrText>Equipment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UC_22</w:t>
      </w:r>
    </w:p>
    <w:p w14:paraId="52E0570B" w14:textId="77777777" w:rsidR="002A21AE" w:rsidRDefault="002A21AE" w:rsidP="00FA7E65">
      <w:pPr>
        <w:pStyle w:val="BodyText"/>
      </w:pPr>
      <w:r>
        <w:t>The user registers blood bank instruments and other equipment (refrigerators, freezers, thawing bath, incubators, centrifuges, etc.) and records associated maintenance activities.</w:t>
      </w:r>
    </w:p>
    <w:p w14:paraId="03782CAC" w14:textId="77777777" w:rsidR="002A21AE" w:rsidRDefault="002A21AE">
      <w:pPr>
        <w:pStyle w:val="Heading4"/>
        <w:rPr>
          <w:b w:val="0"/>
        </w:rPr>
      </w:pPr>
      <w:r>
        <w:t>Assumptions</w:t>
      </w:r>
    </w:p>
    <w:p w14:paraId="345676A3" w14:textId="77777777" w:rsidR="002A21AE" w:rsidRDefault="002A21AE">
      <w:pPr>
        <w:pStyle w:val="ListBullet"/>
      </w:pPr>
      <w:r>
        <w:rPr>
          <w:rFonts w:ascii="Arial" w:hAnsi="Arial" w:cs="Arial"/>
          <w:vanish/>
          <w:spacing w:val="0"/>
          <w:sz w:val="18"/>
        </w:rPr>
        <w:t xml:space="preserve">BR_22.01 </w:t>
      </w:r>
      <w:r>
        <w:t>A user may maintain equipment inventory only in the division currently logged into.</w:t>
      </w:r>
    </w:p>
    <w:p w14:paraId="74120EDF" w14:textId="77777777" w:rsidR="002A21AE" w:rsidRDefault="002A21AE">
      <w:pPr>
        <w:pStyle w:val="Heading4"/>
      </w:pPr>
      <w:r>
        <w:t xml:space="preserve">Outcome </w:t>
      </w:r>
    </w:p>
    <w:p w14:paraId="73D18209" w14:textId="77777777" w:rsidR="002A21AE" w:rsidRDefault="002A21AE">
      <w:pPr>
        <w:pStyle w:val="ListBullet"/>
        <w:rPr>
          <w:b/>
        </w:rPr>
      </w:pPr>
      <w:r>
        <w:t>An equipment maintenance record, accessible within the division of entry, was established.</w:t>
      </w:r>
    </w:p>
    <w:p w14:paraId="47768B61" w14:textId="77777777" w:rsidR="002A21AE" w:rsidRDefault="002A21AE">
      <w:pPr>
        <w:pStyle w:val="Heading4"/>
      </w:pPr>
      <w:r>
        <w:t xml:space="preserve">Limitations and Restrictions </w:t>
      </w:r>
    </w:p>
    <w:p w14:paraId="29CDE8AC" w14:textId="77777777" w:rsidR="002A21AE" w:rsidRDefault="002A21AE">
      <w:pPr>
        <w:pStyle w:val="ListBullet"/>
      </w:pPr>
      <w:r>
        <w:t>VBECS does not check for duplicate entries of equipment names and identifiers.</w:t>
      </w:r>
    </w:p>
    <w:p w14:paraId="5B63DF8E" w14:textId="77777777" w:rsidR="002A21AE" w:rsidRDefault="002A21AE">
      <w:pPr>
        <w:pStyle w:val="ListBullet"/>
      </w:pPr>
      <w:r>
        <w:t xml:space="preserve">There is no retrospective data entry or user selection for </w:t>
      </w:r>
      <w:r w:rsidR="00932460">
        <w:t>this option</w:t>
      </w:r>
      <w:r>
        <w:t>.</w:t>
      </w:r>
    </w:p>
    <w:p w14:paraId="218438F5" w14:textId="77777777" w:rsidR="002A21AE" w:rsidRDefault="002A21AE">
      <w:pPr>
        <w:pStyle w:val="Heading4"/>
      </w:pPr>
      <w:r>
        <w:t xml:space="preserve">Additional Information </w:t>
      </w:r>
    </w:p>
    <w:p w14:paraId="6889D7D5" w14:textId="77777777" w:rsidR="002A21AE" w:rsidRDefault="002A21AE">
      <w:pPr>
        <w:pStyle w:val="ListBullet"/>
      </w:pPr>
      <w:r>
        <w:t>VBECS does not calculate inventory levels for supplies or equipment.</w:t>
      </w:r>
    </w:p>
    <w:p w14:paraId="0B29F580" w14:textId="77777777" w:rsidR="002A21AE" w:rsidRDefault="002A21AE">
      <w:pPr>
        <w:pStyle w:val="Heading4"/>
        <w:rPr>
          <w:b w:val="0"/>
        </w:rPr>
      </w:pPr>
      <w:r>
        <w:t>User Roles with Access to This Option</w:t>
      </w:r>
      <w:r>
        <w:rPr>
          <w:b w:val="0"/>
        </w:rPr>
        <w:t xml:space="preserve"> </w:t>
      </w:r>
    </w:p>
    <w:p w14:paraId="63BBF149" w14:textId="77777777" w:rsidR="002A21AE" w:rsidRDefault="00410B0E">
      <w:pPr>
        <w:pStyle w:val="Roles"/>
        <w:rPr>
          <w:snapToGrid w:val="0"/>
        </w:rPr>
      </w:pPr>
      <w:r>
        <w:t>All users</w:t>
      </w:r>
    </w:p>
    <w:p w14:paraId="3C2469CB" w14:textId="77777777" w:rsidR="002A21AE" w:rsidRDefault="002A21AE">
      <w:pPr>
        <w:pStyle w:val="Heading4"/>
      </w:pPr>
      <w:r>
        <w:t>Equipment: Log In Equipment</w:t>
      </w:r>
      <w:r>
        <w:fldChar w:fldCharType="begin"/>
      </w:r>
      <w:r>
        <w:instrText xml:space="preserve"> XE </w:instrText>
      </w:r>
      <w:r w:rsidR="00FA7E65">
        <w:instrText>“</w:instrText>
      </w:r>
      <w:r>
        <w:instrText>Equipment\: Log In Equipment</w:instrText>
      </w:r>
      <w:r w:rsidR="00FA7E65">
        <w:instrText>”</w:instrText>
      </w:r>
      <w:r>
        <w:instrText xml:space="preserve"> </w:instrText>
      </w:r>
      <w:r>
        <w:fldChar w:fldCharType="end"/>
      </w:r>
    </w:p>
    <w:p w14:paraId="5BFB5647" w14:textId="77777777" w:rsidR="002A21AE" w:rsidRDefault="002A21AE" w:rsidP="00FA7E65">
      <w:pPr>
        <w:pStyle w:val="BodyText"/>
      </w:pPr>
      <w:r>
        <w:t>A user add</w:t>
      </w:r>
      <w:r w:rsidR="0000095B">
        <w:t>s</w:t>
      </w:r>
      <w:r>
        <w:t xml:space="preserve"> new equipment or maintain</w:t>
      </w:r>
      <w:r w:rsidR="0000095B">
        <w:t>s</w:t>
      </w:r>
      <w:r>
        <w:t xml:space="preserve"> existing equipment. After equipment is registered, the user must record periodic maintenance. The equipment records are updated and retained according to local procedure and policy. Once an equipment record is established, it may be selected as equipment used during a blood product modification.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1349994" w14:textId="77777777">
        <w:trPr>
          <w:cantSplit/>
          <w:tblHeader/>
        </w:trPr>
        <w:tc>
          <w:tcPr>
            <w:tcW w:w="3240" w:type="dxa"/>
            <w:shd w:val="pct30" w:color="auto" w:fill="FFFFFF"/>
            <w:vAlign w:val="bottom"/>
          </w:tcPr>
          <w:p w14:paraId="5429D136" w14:textId="77777777" w:rsidR="002A21AE" w:rsidRDefault="002A21AE">
            <w:pPr>
              <w:pStyle w:val="TableText"/>
              <w:rPr>
                <w:b/>
              </w:rPr>
            </w:pPr>
            <w:r>
              <w:rPr>
                <w:b/>
              </w:rPr>
              <w:t>User Action</w:t>
            </w:r>
          </w:p>
        </w:tc>
        <w:tc>
          <w:tcPr>
            <w:tcW w:w="6120" w:type="dxa"/>
            <w:shd w:val="pct30" w:color="auto" w:fill="FFFFFF"/>
            <w:vAlign w:val="bottom"/>
          </w:tcPr>
          <w:p w14:paraId="634BE247" w14:textId="77777777" w:rsidR="002A21AE" w:rsidRDefault="002A21AE">
            <w:pPr>
              <w:pStyle w:val="TableText"/>
              <w:rPr>
                <w:b/>
              </w:rPr>
            </w:pPr>
            <w:r>
              <w:rPr>
                <w:b/>
              </w:rPr>
              <w:t>VBECS</w:t>
            </w:r>
          </w:p>
        </w:tc>
      </w:tr>
      <w:tr w:rsidR="002A21AE" w14:paraId="546EFB15" w14:textId="77777777">
        <w:tc>
          <w:tcPr>
            <w:tcW w:w="3240" w:type="dxa"/>
          </w:tcPr>
          <w:p w14:paraId="09F4B02A" w14:textId="77777777" w:rsidR="002A21AE" w:rsidRDefault="002A21AE">
            <w:pPr>
              <w:pStyle w:val="TableTextNumbers"/>
            </w:pPr>
            <w:r>
              <w:t xml:space="preserve">To add new equipment, select </w:t>
            </w:r>
            <w:r>
              <w:rPr>
                <w:b/>
              </w:rPr>
              <w:t>Tools</w:t>
            </w:r>
            <w:r>
              <w:t xml:space="preserve"> from the main menu.</w:t>
            </w:r>
          </w:p>
          <w:p w14:paraId="0B16F63B" w14:textId="77777777" w:rsidR="002A21AE" w:rsidRDefault="002A21AE">
            <w:pPr>
              <w:pStyle w:val="TableTextNumbersContinued"/>
            </w:pPr>
          </w:p>
          <w:p w14:paraId="0AF0E70A" w14:textId="77777777" w:rsidR="002A21AE" w:rsidRDefault="002A21AE">
            <w:pPr>
              <w:pStyle w:val="TableTextNumbersContinued"/>
            </w:pPr>
            <w:r>
              <w:t xml:space="preserve">Select </w:t>
            </w:r>
            <w:r>
              <w:rPr>
                <w:b/>
              </w:rPr>
              <w:t>Equipment</w:t>
            </w:r>
            <w:r>
              <w:t>.</w:t>
            </w:r>
          </w:p>
        </w:tc>
        <w:tc>
          <w:tcPr>
            <w:tcW w:w="6120" w:type="dxa"/>
          </w:tcPr>
          <w:p w14:paraId="56DC278C" w14:textId="77777777" w:rsidR="002A21AE" w:rsidRDefault="002A21AE">
            <w:pPr>
              <w:pStyle w:val="TableTextBullet"/>
            </w:pPr>
            <w:r>
              <w:t>Displays options to maintain equipment maintenance.</w:t>
            </w:r>
          </w:p>
          <w:p w14:paraId="56E6198C" w14:textId="77777777" w:rsidR="002A21AE" w:rsidRDefault="002A21AE">
            <w:pPr>
              <w:pStyle w:val="NotesText"/>
            </w:pPr>
          </w:p>
        </w:tc>
      </w:tr>
      <w:tr w:rsidR="002A21AE" w14:paraId="088B4C72" w14:textId="77777777">
        <w:tc>
          <w:tcPr>
            <w:tcW w:w="3240" w:type="dxa"/>
            <w:tcBorders>
              <w:top w:val="single" w:sz="4" w:space="0" w:color="auto"/>
              <w:left w:val="single" w:sz="4" w:space="0" w:color="auto"/>
              <w:bottom w:val="single" w:sz="4" w:space="0" w:color="auto"/>
              <w:right w:val="single" w:sz="4" w:space="0" w:color="auto"/>
            </w:tcBorders>
          </w:tcPr>
          <w:p w14:paraId="40A32BB2" w14:textId="77777777" w:rsidR="002A21AE" w:rsidRDefault="002A21AE">
            <w:pPr>
              <w:pStyle w:val="TableTextNumbers"/>
            </w:pPr>
            <w:r>
              <w:t xml:space="preserve">Select </w:t>
            </w:r>
            <w:r>
              <w:rPr>
                <w:b/>
              </w:rPr>
              <w:t>Log In Equipment</w:t>
            </w:r>
            <w:r>
              <w:t xml:space="preserve"> to create an equipment record or </w:t>
            </w:r>
            <w:r>
              <w:rPr>
                <w:b/>
              </w:rPr>
              <w:t>Maintain Equipment</w:t>
            </w:r>
            <w:r>
              <w:t xml:space="preserve"> to record maintenance (see Equipment: Maintain Equipment).</w:t>
            </w:r>
          </w:p>
        </w:tc>
        <w:tc>
          <w:tcPr>
            <w:tcW w:w="6120" w:type="dxa"/>
            <w:tcBorders>
              <w:top w:val="single" w:sz="4" w:space="0" w:color="auto"/>
              <w:left w:val="single" w:sz="4" w:space="0" w:color="auto"/>
              <w:bottom w:val="single" w:sz="4" w:space="0" w:color="auto"/>
              <w:right w:val="single" w:sz="4" w:space="0" w:color="auto"/>
            </w:tcBorders>
          </w:tcPr>
          <w:p w14:paraId="4ED0280D" w14:textId="77777777" w:rsidR="002A21AE" w:rsidRDefault="002A21AE">
            <w:pPr>
              <w:pStyle w:val="TableTextBullet"/>
            </w:pPr>
            <w:r>
              <w:rPr>
                <w:rFonts w:cs="Arial"/>
                <w:vanish/>
              </w:rPr>
              <w:t xml:space="preserve">BR_22.05 </w:t>
            </w:r>
            <w:r>
              <w:t>Displays an empty equipment property template.</w:t>
            </w:r>
          </w:p>
          <w:p w14:paraId="229D5324" w14:textId="77777777" w:rsidR="002A21AE" w:rsidRDefault="002A21AE">
            <w:pPr>
              <w:pStyle w:val="TableTextBullet"/>
            </w:pPr>
            <w:r>
              <w:t>Displays all in-service equipment items for the blood bank associated with the user’s division and offers the option to display out-of-service equipment.</w:t>
            </w:r>
          </w:p>
        </w:tc>
      </w:tr>
      <w:tr w:rsidR="002A21AE" w14:paraId="10E5BC00" w14:textId="77777777" w:rsidTr="007E500E">
        <w:trPr>
          <w:cantSplit/>
        </w:trPr>
        <w:tc>
          <w:tcPr>
            <w:tcW w:w="3240" w:type="dxa"/>
            <w:tcBorders>
              <w:top w:val="single" w:sz="4" w:space="0" w:color="auto"/>
              <w:left w:val="single" w:sz="4" w:space="0" w:color="auto"/>
              <w:bottom w:val="single" w:sz="4" w:space="0" w:color="auto"/>
              <w:right w:val="single" w:sz="4" w:space="0" w:color="auto"/>
            </w:tcBorders>
          </w:tcPr>
          <w:p w14:paraId="63006603" w14:textId="77777777" w:rsidR="002A21AE" w:rsidRDefault="002A21AE">
            <w:pPr>
              <w:pStyle w:val="TableTextNumbers"/>
            </w:pPr>
            <w:r>
              <w:t>Equipment Info area: Enter the equipment information in the appropriate fields. Enter or select an equipment type from the drop-down menu.</w:t>
            </w:r>
          </w:p>
          <w:p w14:paraId="21566E90" w14:textId="77777777" w:rsidR="002A21AE" w:rsidRDefault="002A21AE">
            <w:pPr>
              <w:pStyle w:val="TableTextNumbersContinued"/>
              <w:rPr>
                <w:b/>
                <w:bCs/>
              </w:rPr>
            </w:pPr>
          </w:p>
          <w:p w14:paraId="0BDC4C41" w14:textId="77777777" w:rsidR="002A21AE" w:rsidRDefault="002A21AE">
            <w:pPr>
              <w:pStyle w:val="TableTextNumbersContinued"/>
            </w:pPr>
            <w:r>
              <w:t>Installation Info area: Select or edit the date and time in the Date Received/Installed field.</w:t>
            </w:r>
          </w:p>
          <w:p w14:paraId="1D660719" w14:textId="77777777" w:rsidR="002A21AE" w:rsidRDefault="002A21AE">
            <w:pPr>
              <w:pStyle w:val="TableTextNumbersContinued"/>
            </w:pPr>
          </w:p>
          <w:p w14:paraId="6E2B075F" w14:textId="77777777" w:rsidR="002A21AE" w:rsidRDefault="002A21AE">
            <w:pPr>
              <w:pStyle w:val="TableTextNumbersContinued"/>
            </w:pPr>
            <w:r>
              <w:t xml:space="preserve">Click the </w:t>
            </w:r>
            <w:r>
              <w:rPr>
                <w:b/>
              </w:rPr>
              <w:t xml:space="preserve">Expiration/Renewal Date </w:t>
            </w:r>
            <w:r w:rsidRPr="00D1100E">
              <w:t>check box</w:t>
            </w:r>
            <w:r>
              <w:rPr>
                <w:b/>
              </w:rPr>
              <w:t xml:space="preserve"> </w:t>
            </w:r>
            <w:r>
              <w:t xml:space="preserve">when there’s an expiration or renewal date, and edit the date as above. </w:t>
            </w:r>
          </w:p>
          <w:p w14:paraId="03C6B7AF" w14:textId="77777777" w:rsidR="002A21AE" w:rsidRDefault="002A21AE">
            <w:pPr>
              <w:pStyle w:val="TableTextNumbersContinued"/>
            </w:pPr>
          </w:p>
          <w:p w14:paraId="798164E6" w14:textId="77777777" w:rsidR="002A21AE" w:rsidRDefault="002A21AE">
            <w:pPr>
              <w:pStyle w:val="TableTextNumbersContinued"/>
            </w:pPr>
            <w:r>
              <w:t>Manufacturer Info area: Enter the manufacturer name or select a manufacturer from the drop-down list.</w:t>
            </w:r>
          </w:p>
          <w:p w14:paraId="7408D1D3" w14:textId="77777777" w:rsidR="002A21AE" w:rsidRDefault="002A21AE">
            <w:pPr>
              <w:pStyle w:val="TableTextNumbersContinued"/>
            </w:pPr>
          </w:p>
          <w:p w14:paraId="116678AD" w14:textId="77777777" w:rsidR="002A21AE" w:rsidRDefault="002A21AE">
            <w:pPr>
              <w:pStyle w:val="TableTextNumbersContinued"/>
            </w:pPr>
            <w:r>
              <w:t xml:space="preserve">Enter the manufacturer’s contact information in the appropriate fields or click the </w:t>
            </w:r>
            <w:r w:rsidR="00A6373D">
              <w:rPr>
                <w:b/>
              </w:rPr>
              <w:t>find</w:t>
            </w:r>
            <w:r w:rsidRPr="00BF2E41">
              <w:t xml:space="preserve"> button</w:t>
            </w:r>
            <w:r>
              <w:t xml:space="preserve"> to select the manufacturer’s address.</w:t>
            </w:r>
          </w:p>
          <w:p w14:paraId="2330436A" w14:textId="77777777" w:rsidR="002A21AE" w:rsidRDefault="002A21AE">
            <w:pPr>
              <w:pStyle w:val="TableTextNumbersContinued"/>
            </w:pPr>
          </w:p>
          <w:p w14:paraId="0D9706B0" w14:textId="019772D5" w:rsidR="002A21AE" w:rsidRDefault="002A21AE">
            <w:pPr>
              <w:pStyle w:val="TableTextNumbersContinued"/>
            </w:pPr>
            <w:r>
              <w:t xml:space="preserve">Click </w:t>
            </w:r>
            <w:r>
              <w:rPr>
                <w:b/>
              </w:rPr>
              <w:t>Add</w:t>
            </w:r>
            <w:r>
              <w:t xml:space="preserve"> to add the equipment to inventory</w:t>
            </w:r>
            <w:r w:rsidR="00D33C56">
              <w:t xml:space="preserve"> (</w:t>
            </w:r>
            <w:r w:rsidR="00EE455E">
              <w:t xml:space="preserve">Figure </w:t>
            </w:r>
            <w:r w:rsidR="00EE455E">
              <w:rPr>
                <w:noProof/>
              </w:rPr>
              <w:t>45</w:t>
            </w:r>
            <w:r w:rsidR="00D33C56">
              <w:t>)</w:t>
            </w:r>
            <w:r>
              <w:t>.</w:t>
            </w:r>
          </w:p>
        </w:tc>
        <w:tc>
          <w:tcPr>
            <w:tcW w:w="6120" w:type="dxa"/>
            <w:tcBorders>
              <w:top w:val="single" w:sz="4" w:space="0" w:color="auto"/>
              <w:left w:val="single" w:sz="4" w:space="0" w:color="auto"/>
              <w:bottom w:val="single" w:sz="4" w:space="0" w:color="auto"/>
              <w:right w:val="single" w:sz="4" w:space="0" w:color="auto"/>
            </w:tcBorders>
          </w:tcPr>
          <w:p w14:paraId="75E844DB" w14:textId="77777777" w:rsidR="002A21AE" w:rsidRDefault="002A21AE">
            <w:pPr>
              <w:pStyle w:val="TableTextBullet"/>
            </w:pPr>
            <w:r>
              <w:t>Displays fields for entering equipment name, ID, serial number, and type in the Equipment Info area.</w:t>
            </w:r>
          </w:p>
          <w:p w14:paraId="6AA68B3A" w14:textId="77777777" w:rsidR="002A21AE" w:rsidRDefault="002A21AE">
            <w:pPr>
              <w:pStyle w:val="TableTextBullet"/>
            </w:pPr>
            <w:r>
              <w:t>Displays fields for entering the date the equipment was received or installed, warranty or service contract number, and expiration or renewal service contract date in the Installation Info area.</w:t>
            </w:r>
          </w:p>
          <w:p w14:paraId="12383213" w14:textId="77777777" w:rsidR="002A21AE" w:rsidRDefault="002A21AE">
            <w:pPr>
              <w:pStyle w:val="TableTextBullet"/>
            </w:pPr>
            <w:r>
              <w:t>Displays fields for entering the manufacturer name, address, and phone in the Manufacturer Info area.</w:t>
            </w:r>
          </w:p>
        </w:tc>
      </w:tr>
      <w:tr w:rsidR="002A21AE" w14:paraId="00DB82BD" w14:textId="77777777">
        <w:tc>
          <w:tcPr>
            <w:tcW w:w="3240" w:type="dxa"/>
            <w:tcBorders>
              <w:top w:val="single" w:sz="4" w:space="0" w:color="auto"/>
              <w:left w:val="single" w:sz="4" w:space="0" w:color="auto"/>
              <w:bottom w:val="single" w:sz="4" w:space="0" w:color="auto"/>
              <w:right w:val="single" w:sz="4" w:space="0" w:color="auto"/>
            </w:tcBorders>
          </w:tcPr>
          <w:p w14:paraId="586A0F36" w14:textId="77777777" w:rsidR="002A21AE" w:rsidRDefault="002A21AE">
            <w:pPr>
              <w:pStyle w:val="TableTextNumbers"/>
            </w:pPr>
            <w:r>
              <w:t>Repeat Step 3 to add new items to the equipment list.</w:t>
            </w:r>
          </w:p>
          <w:p w14:paraId="77D661D5" w14:textId="77777777" w:rsidR="002A21AE" w:rsidRDefault="002A21AE">
            <w:pPr>
              <w:pStyle w:val="TableTextNumbersContinued"/>
            </w:pPr>
          </w:p>
          <w:p w14:paraId="767412B3" w14:textId="77777777" w:rsidR="002A21AE" w:rsidRDefault="002A21AE">
            <w:pPr>
              <w:pStyle w:val="TableTextNumbersContinued"/>
            </w:pPr>
            <w:r>
              <w:t xml:space="preserve">Click </w:t>
            </w:r>
            <w:r>
              <w:rPr>
                <w:b/>
              </w:rPr>
              <w:t>OK</w:t>
            </w:r>
            <w:r>
              <w:t xml:space="preserve"> to save.</w:t>
            </w:r>
          </w:p>
        </w:tc>
        <w:tc>
          <w:tcPr>
            <w:tcW w:w="6120" w:type="dxa"/>
            <w:tcBorders>
              <w:top w:val="single" w:sz="4" w:space="0" w:color="auto"/>
              <w:left w:val="single" w:sz="4" w:space="0" w:color="auto"/>
              <w:bottom w:val="single" w:sz="4" w:space="0" w:color="auto"/>
              <w:right w:val="single" w:sz="4" w:space="0" w:color="auto"/>
            </w:tcBorders>
          </w:tcPr>
          <w:p w14:paraId="5DFE53A3" w14:textId="77777777" w:rsidR="002A21AE" w:rsidRDefault="002A21AE">
            <w:pPr>
              <w:pStyle w:val="TableTextBullet"/>
            </w:pPr>
            <w:r>
              <w:rPr>
                <w:rFonts w:cs="Arial"/>
                <w:vanish/>
              </w:rPr>
              <w:t xml:space="preserve">BR_22.02 </w:t>
            </w:r>
            <w:r>
              <w:t>VBECS maintains a historical record for each piece of equipment entered.</w:t>
            </w:r>
          </w:p>
        </w:tc>
      </w:tr>
      <w:tr w:rsidR="002A21AE" w14:paraId="3441D556" w14:textId="77777777">
        <w:tc>
          <w:tcPr>
            <w:tcW w:w="3240" w:type="dxa"/>
            <w:tcBorders>
              <w:top w:val="single" w:sz="4" w:space="0" w:color="auto"/>
              <w:left w:val="single" w:sz="4" w:space="0" w:color="auto"/>
              <w:bottom w:val="single" w:sz="4" w:space="0" w:color="auto"/>
              <w:right w:val="single" w:sz="4" w:space="0" w:color="auto"/>
            </w:tcBorders>
          </w:tcPr>
          <w:p w14:paraId="00333D11" w14:textId="77777777" w:rsidR="002A21AE" w:rsidRDefault="002A21AE">
            <w:pPr>
              <w:pStyle w:val="TableTextNumbers"/>
            </w:pPr>
            <w:r>
              <w:t xml:space="preserve">Click </w:t>
            </w:r>
            <w:r>
              <w:rPr>
                <w:b/>
              </w:rPr>
              <w:t>Yes</w:t>
            </w:r>
            <w:r>
              <w:t xml:space="preserve"> to confirm and exit.</w:t>
            </w:r>
            <w:r>
              <w:rPr>
                <w:vanish/>
                <w:szCs w:val="18"/>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48BA75B1" w14:textId="77777777" w:rsidR="002A21AE" w:rsidRDefault="002A21AE">
            <w:pPr>
              <w:pStyle w:val="TableText"/>
            </w:pPr>
          </w:p>
        </w:tc>
      </w:tr>
    </w:tbl>
    <w:p w14:paraId="5CA22400" w14:textId="29C986A8" w:rsidR="00D33C56" w:rsidRDefault="00D33C56" w:rsidP="00D33C56">
      <w:pPr>
        <w:pStyle w:val="Caption"/>
      </w:pPr>
      <w:bookmarkStart w:id="226" w:name="_Toc67109534"/>
      <w:bookmarkStart w:id="227" w:name="_Ref126556319"/>
      <w:bookmarkEnd w:id="22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45</w:t>
      </w:r>
      <w:r w:rsidR="004E20BD">
        <w:rPr>
          <w:noProof/>
        </w:rPr>
        <w:fldChar w:fldCharType="end"/>
      </w:r>
      <w:bookmarkEnd w:id="227"/>
      <w:r>
        <w:t>: Log In Equipment</w:t>
      </w:r>
    </w:p>
    <w:p w14:paraId="534BF315" w14:textId="77777777" w:rsidR="00F00E49" w:rsidRDefault="00057948" w:rsidP="00F00E49">
      <w:pPr>
        <w:pStyle w:val="BodyText"/>
      </w:pPr>
      <w:r>
        <w:rPr>
          <w:noProof/>
        </w:rPr>
        <w:drawing>
          <wp:inline distT="0" distB="0" distL="0" distR="0" wp14:anchorId="5CF459A1" wp14:editId="324D7434">
            <wp:extent cx="5939155" cy="3814445"/>
            <wp:effectExtent l="0" t="0" r="4445" b="0"/>
            <wp:docPr id="148" name="Picture 148" descr="Example of Log In Equipm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Example of Log In Equipment screen captur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9155" cy="3814445"/>
                    </a:xfrm>
                    <a:prstGeom prst="rect">
                      <a:avLst/>
                    </a:prstGeom>
                    <a:noFill/>
                    <a:ln>
                      <a:noFill/>
                    </a:ln>
                  </pic:spPr>
                </pic:pic>
              </a:graphicData>
            </a:graphic>
          </wp:inline>
        </w:drawing>
      </w:r>
    </w:p>
    <w:p w14:paraId="23B959BA" w14:textId="77777777" w:rsidR="002A21AE" w:rsidRDefault="00DC6F96">
      <w:pPr>
        <w:pStyle w:val="Heading4"/>
      </w:pPr>
      <w:r>
        <w:br w:type="page"/>
      </w:r>
      <w:r w:rsidR="002A21AE">
        <w:t>Equipment: Maintain Equipment</w:t>
      </w:r>
      <w:r w:rsidR="002A21AE">
        <w:fldChar w:fldCharType="begin"/>
      </w:r>
      <w:r w:rsidR="002A21AE">
        <w:instrText xml:space="preserve"> XE </w:instrText>
      </w:r>
      <w:r w:rsidR="00FA7E65">
        <w:instrText>“</w:instrText>
      </w:r>
      <w:r w:rsidR="002A21AE">
        <w:instrText>Equipment\: Maintain Equipment</w:instrText>
      </w:r>
      <w:r w:rsidR="00FA7E65">
        <w:instrText>”</w:instrText>
      </w:r>
      <w:r w:rsidR="002A21AE">
        <w:instrText xml:space="preserve"> </w:instrText>
      </w:r>
      <w:r w:rsidR="002A21AE">
        <w:fldChar w:fldCharType="end"/>
      </w:r>
      <w:r w:rsidR="002A21AE">
        <w:t xml:space="preserve"> </w:t>
      </w:r>
    </w:p>
    <w:p w14:paraId="18B3FA08" w14:textId="77777777" w:rsidR="002A21AE" w:rsidRDefault="002A21AE" w:rsidP="00FA7E65">
      <w:pPr>
        <w:pStyle w:val="BodyText"/>
      </w:pPr>
      <w:r>
        <w:t>The user maintain</w:t>
      </w:r>
      <w:r w:rsidR="00D268A9">
        <w:t>s</w:t>
      </w:r>
      <w:r>
        <w:t xml:space="preserve"> an online equipment record to record periodic maintenance. Equipment records are updated and retained according to local procedure and policy.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8695480" w14:textId="77777777">
        <w:trPr>
          <w:tblHeader/>
        </w:trPr>
        <w:tc>
          <w:tcPr>
            <w:tcW w:w="3240" w:type="dxa"/>
            <w:shd w:val="clear" w:color="auto" w:fill="B3B3B3"/>
            <w:vAlign w:val="bottom"/>
          </w:tcPr>
          <w:p w14:paraId="4B8BC6FE" w14:textId="77777777" w:rsidR="002A21AE" w:rsidRDefault="002A21AE">
            <w:pPr>
              <w:pStyle w:val="TableText"/>
              <w:rPr>
                <w:b/>
              </w:rPr>
            </w:pPr>
            <w:r>
              <w:rPr>
                <w:b/>
              </w:rPr>
              <w:t>User Action</w:t>
            </w:r>
          </w:p>
        </w:tc>
        <w:tc>
          <w:tcPr>
            <w:tcW w:w="6120" w:type="dxa"/>
            <w:shd w:val="clear" w:color="auto" w:fill="B3B3B3"/>
            <w:vAlign w:val="bottom"/>
          </w:tcPr>
          <w:p w14:paraId="4C5DE00E" w14:textId="77777777" w:rsidR="002A21AE" w:rsidRDefault="002A21AE">
            <w:pPr>
              <w:pStyle w:val="TableText"/>
              <w:rPr>
                <w:b/>
              </w:rPr>
            </w:pPr>
            <w:r>
              <w:rPr>
                <w:b/>
              </w:rPr>
              <w:t>VBECS</w:t>
            </w:r>
          </w:p>
        </w:tc>
      </w:tr>
      <w:tr w:rsidR="002A21AE" w14:paraId="4997DE86" w14:textId="77777777">
        <w:tc>
          <w:tcPr>
            <w:tcW w:w="3240" w:type="dxa"/>
          </w:tcPr>
          <w:p w14:paraId="0BDB7D0F" w14:textId="77777777" w:rsidR="002A21AE" w:rsidRDefault="002A21AE">
            <w:pPr>
              <w:pStyle w:val="TableTextNumbers"/>
            </w:pPr>
            <w:r>
              <w:t xml:space="preserve">To maintain equipment, select </w:t>
            </w:r>
            <w:r>
              <w:rPr>
                <w:b/>
              </w:rPr>
              <w:t>Tools</w:t>
            </w:r>
            <w:r>
              <w:t xml:space="preserve"> from the main menu.</w:t>
            </w:r>
          </w:p>
          <w:p w14:paraId="7E5951A8" w14:textId="77777777" w:rsidR="002A21AE" w:rsidRDefault="002A21AE">
            <w:pPr>
              <w:pStyle w:val="TableTextNumbersContinued"/>
              <w:rPr>
                <w:b/>
                <w:bCs/>
              </w:rPr>
            </w:pPr>
          </w:p>
          <w:p w14:paraId="439E967D" w14:textId="77777777" w:rsidR="002A21AE" w:rsidRDefault="002A21AE">
            <w:pPr>
              <w:pStyle w:val="TableTextNumbersContinued"/>
            </w:pPr>
            <w:r>
              <w:t xml:space="preserve">Select </w:t>
            </w:r>
            <w:r>
              <w:rPr>
                <w:b/>
              </w:rPr>
              <w:t>Equipment</w:t>
            </w:r>
            <w:r>
              <w:t>.</w:t>
            </w:r>
          </w:p>
        </w:tc>
        <w:tc>
          <w:tcPr>
            <w:tcW w:w="6120" w:type="dxa"/>
          </w:tcPr>
          <w:p w14:paraId="36000803" w14:textId="77777777" w:rsidR="002A21AE" w:rsidRDefault="002A21AE">
            <w:pPr>
              <w:pStyle w:val="TableTextBullet"/>
            </w:pPr>
            <w:r>
              <w:t>Displays options to maintain equipment maintenance.</w:t>
            </w:r>
          </w:p>
          <w:p w14:paraId="3A402352" w14:textId="77777777" w:rsidR="002A21AE" w:rsidRDefault="002A21AE">
            <w:pPr>
              <w:pStyle w:val="NotesText"/>
            </w:pPr>
          </w:p>
        </w:tc>
      </w:tr>
      <w:tr w:rsidR="002A21AE" w14:paraId="5325934A" w14:textId="77777777">
        <w:tc>
          <w:tcPr>
            <w:tcW w:w="3240" w:type="dxa"/>
            <w:tcBorders>
              <w:top w:val="single" w:sz="4" w:space="0" w:color="auto"/>
              <w:left w:val="single" w:sz="4" w:space="0" w:color="auto"/>
              <w:bottom w:val="single" w:sz="4" w:space="0" w:color="auto"/>
              <w:right w:val="single" w:sz="4" w:space="0" w:color="auto"/>
            </w:tcBorders>
          </w:tcPr>
          <w:p w14:paraId="62409D6F" w14:textId="77777777" w:rsidR="002A21AE" w:rsidRDefault="002A21AE">
            <w:pPr>
              <w:pStyle w:val="TableTextNumbers"/>
            </w:pPr>
            <w:r>
              <w:t xml:space="preserve">Select </w:t>
            </w:r>
            <w:r>
              <w:rPr>
                <w:b/>
              </w:rPr>
              <w:t>Maintain Equipment</w:t>
            </w:r>
            <w:r>
              <w:t xml:space="preserve"> to record maintenance or </w:t>
            </w:r>
            <w:r>
              <w:rPr>
                <w:b/>
              </w:rPr>
              <w:t>Log In Equipment</w:t>
            </w:r>
            <w:r>
              <w:t xml:space="preserve"> to create an equipment record (see Equipment: Log In Equipment).</w:t>
            </w:r>
            <w:r>
              <w:rPr>
                <w:b/>
              </w:rPr>
              <w:t xml:space="preserve"> </w:t>
            </w:r>
          </w:p>
        </w:tc>
        <w:tc>
          <w:tcPr>
            <w:tcW w:w="6120" w:type="dxa"/>
            <w:tcBorders>
              <w:top w:val="single" w:sz="4" w:space="0" w:color="auto"/>
              <w:left w:val="single" w:sz="4" w:space="0" w:color="auto"/>
              <w:bottom w:val="single" w:sz="4" w:space="0" w:color="auto"/>
              <w:right w:val="single" w:sz="4" w:space="0" w:color="auto"/>
            </w:tcBorders>
          </w:tcPr>
          <w:p w14:paraId="63E49499" w14:textId="77777777" w:rsidR="002A21AE" w:rsidRDefault="002A21AE">
            <w:pPr>
              <w:pStyle w:val="TableTextBullet"/>
            </w:pPr>
            <w:r>
              <w:t>Displays entered in-service equipment items for the blood bank associated with the user’s division and offers the option to display out-of-service equipment.</w:t>
            </w:r>
          </w:p>
        </w:tc>
      </w:tr>
      <w:tr w:rsidR="002A21AE" w14:paraId="70F0D41E" w14:textId="77777777">
        <w:tc>
          <w:tcPr>
            <w:tcW w:w="3240" w:type="dxa"/>
          </w:tcPr>
          <w:p w14:paraId="63905253" w14:textId="6BE202C0" w:rsidR="002A21AE" w:rsidRDefault="002A21AE">
            <w:pPr>
              <w:pStyle w:val="TableTextNumbers"/>
            </w:pPr>
            <w:r>
              <w:t>In the Equipment tab, enter the equipment serial number</w:t>
            </w:r>
            <w:r w:rsidR="005B4E11">
              <w:t xml:space="preserve"> (or </w:t>
            </w:r>
            <w:r>
              <w:t xml:space="preserve">enter part of the serial number and click the </w:t>
            </w:r>
            <w:r>
              <w:rPr>
                <w:b/>
              </w:rPr>
              <w:t>magnifying glass</w:t>
            </w:r>
            <w:r>
              <w:t xml:space="preserve"> to view serial numbers</w:t>
            </w:r>
            <w:r w:rsidR="005B4E11">
              <w:t>)</w:t>
            </w:r>
            <w:r>
              <w:t xml:space="preserve">, or click </w:t>
            </w:r>
            <w:r>
              <w:rPr>
                <w:bdr w:val="single" w:sz="4" w:space="0" w:color="auto"/>
              </w:rPr>
              <w:fldChar w:fldCharType="begin">
                <w:ffData>
                  <w:name w:val=""/>
                  <w:enabled w:val="0"/>
                  <w:calcOnExit w:val="0"/>
                  <w:textInput>
                    <w:default w:val=" + "/>
                  </w:textInput>
                </w:ffData>
              </w:fldChar>
            </w:r>
            <w:r>
              <w:rPr>
                <w:bdr w:val="single" w:sz="4" w:space="0" w:color="auto"/>
              </w:rPr>
              <w:instrText xml:space="preserve"> FORMTEXT </w:instrText>
            </w:r>
            <w:r>
              <w:rPr>
                <w:bdr w:val="single" w:sz="4" w:space="0" w:color="auto"/>
              </w:rPr>
            </w:r>
            <w:r>
              <w:rPr>
                <w:bdr w:val="single" w:sz="4" w:space="0" w:color="auto"/>
              </w:rPr>
              <w:fldChar w:fldCharType="separate"/>
            </w:r>
            <w:r w:rsidR="00A91C73">
              <w:rPr>
                <w:noProof/>
                <w:bdr w:val="single" w:sz="4" w:space="0" w:color="auto"/>
              </w:rPr>
              <w:t xml:space="preserve"> + </w:t>
            </w:r>
            <w:r>
              <w:rPr>
                <w:bdr w:val="single" w:sz="4" w:space="0" w:color="auto"/>
              </w:rPr>
              <w:fldChar w:fldCharType="end"/>
            </w:r>
            <w:r>
              <w:t xml:space="preserve"> in front of each equipment type and name to view equipment items.</w:t>
            </w:r>
          </w:p>
          <w:p w14:paraId="32B32F31" w14:textId="77777777" w:rsidR="002A21AE" w:rsidRDefault="002A21AE">
            <w:pPr>
              <w:pStyle w:val="TableTextNumbersContinued"/>
            </w:pPr>
          </w:p>
          <w:p w14:paraId="1F263A01" w14:textId="77777777" w:rsidR="002A21AE" w:rsidRDefault="002A21AE">
            <w:pPr>
              <w:pStyle w:val="TableTextNumbersContinued"/>
            </w:pPr>
            <w:r>
              <w:t>Select the serial number of the item whose record will be maintained.</w:t>
            </w:r>
          </w:p>
          <w:p w14:paraId="188BEB9E" w14:textId="77777777" w:rsidR="002A21AE" w:rsidRDefault="002A21AE">
            <w:pPr>
              <w:pStyle w:val="TableTextNumbersContinued"/>
            </w:pPr>
          </w:p>
          <w:p w14:paraId="4ADAC92A" w14:textId="77777777" w:rsidR="002A21AE" w:rsidRDefault="002A21AE">
            <w:pPr>
              <w:pStyle w:val="TableTextNumbersContinued"/>
            </w:pPr>
            <w:r>
              <w:t xml:space="preserve">Click the </w:t>
            </w:r>
            <w:r>
              <w:rPr>
                <w:b/>
              </w:rPr>
              <w:t xml:space="preserve">Include Out of Service Equipment </w:t>
            </w:r>
            <w:r w:rsidRPr="00D1100E">
              <w:t>check box</w:t>
            </w:r>
            <w:r>
              <w:t>, if desired.</w:t>
            </w:r>
          </w:p>
        </w:tc>
        <w:tc>
          <w:tcPr>
            <w:tcW w:w="6120" w:type="dxa"/>
          </w:tcPr>
          <w:p w14:paraId="46643603" w14:textId="77777777" w:rsidR="002A21AE" w:rsidRDefault="002A21AE">
            <w:pPr>
              <w:pStyle w:val="TableTextBullet"/>
            </w:pPr>
            <w:r>
              <w:t>Displays fields for entering the type of maintenance event performed, the date the maintenance was performed, the results of the event, the next scheduled event, the next scheduled maintenance date, and pending maintenance issues in the Maintenance tab, and allows the user to select a maintenance event type and event details.</w:t>
            </w:r>
          </w:p>
          <w:p w14:paraId="0D78DE32" w14:textId="77777777" w:rsidR="002A21AE" w:rsidRDefault="002A21AE">
            <w:pPr>
              <w:pStyle w:val="TableTextBullet"/>
            </w:pPr>
            <w:r>
              <w:t>Displays entered information.</w:t>
            </w:r>
          </w:p>
        </w:tc>
      </w:tr>
      <w:tr w:rsidR="002A21AE" w14:paraId="0485B826" w14:textId="77777777">
        <w:tc>
          <w:tcPr>
            <w:tcW w:w="3240" w:type="dxa"/>
          </w:tcPr>
          <w:p w14:paraId="62066654" w14:textId="77777777" w:rsidR="002A21AE" w:rsidRDefault="002A21AE">
            <w:pPr>
              <w:pStyle w:val="TableTextNumbers"/>
            </w:pPr>
            <w:r>
              <w:t>Review and edit the equipment data in the Equipment tab.</w:t>
            </w:r>
          </w:p>
        </w:tc>
        <w:tc>
          <w:tcPr>
            <w:tcW w:w="6120" w:type="dxa"/>
          </w:tcPr>
          <w:p w14:paraId="2A907FDB" w14:textId="77777777" w:rsidR="002A21AE" w:rsidRDefault="002A21AE">
            <w:pPr>
              <w:pStyle w:val="TableTextBullet"/>
            </w:pPr>
            <w:r>
              <w:t>Displays entered information.</w:t>
            </w:r>
          </w:p>
        </w:tc>
      </w:tr>
      <w:tr w:rsidR="002A21AE" w14:paraId="33DA3297" w14:textId="77777777">
        <w:tc>
          <w:tcPr>
            <w:tcW w:w="3240" w:type="dxa"/>
          </w:tcPr>
          <w:p w14:paraId="18F63724" w14:textId="77777777" w:rsidR="002A21AE" w:rsidRDefault="002A21AE">
            <w:pPr>
              <w:pStyle w:val="TableTextNumbers"/>
            </w:pPr>
            <w:r>
              <w:t xml:space="preserve">Select the </w:t>
            </w:r>
            <w:r>
              <w:rPr>
                <w:b/>
              </w:rPr>
              <w:t>Maintenance</w:t>
            </w:r>
            <w:r>
              <w:t xml:space="preserve"> </w:t>
            </w:r>
            <w:r>
              <w:rPr>
                <w:b/>
              </w:rPr>
              <w:t>tab</w:t>
            </w:r>
            <w:r>
              <w:t>.</w:t>
            </w:r>
          </w:p>
          <w:p w14:paraId="38AE0F6F" w14:textId="77777777" w:rsidR="002A21AE" w:rsidRDefault="002A21AE">
            <w:pPr>
              <w:pStyle w:val="TableTextNumbersContinued"/>
            </w:pPr>
          </w:p>
          <w:p w14:paraId="0892E760" w14:textId="77777777" w:rsidR="002A21AE" w:rsidRDefault="002A21AE">
            <w:pPr>
              <w:pStyle w:val="TableTextNumbersContinued"/>
            </w:pPr>
            <w:r>
              <w:t xml:space="preserve">To add a maintenance event, enter the maintenance type or select it from the drop-down list. </w:t>
            </w:r>
          </w:p>
          <w:p w14:paraId="06C2FD62" w14:textId="77777777" w:rsidR="002A21AE" w:rsidRDefault="002A21AE">
            <w:pPr>
              <w:pStyle w:val="TableTextNumbersContinued"/>
            </w:pPr>
          </w:p>
          <w:p w14:paraId="017F523A" w14:textId="77777777" w:rsidR="002A21AE" w:rsidRDefault="002A21AE">
            <w:pPr>
              <w:pStyle w:val="TableTextNumbersContinued"/>
            </w:pPr>
            <w:r>
              <w:t>Select or edit the date and time in the Maintenance Date field.</w:t>
            </w:r>
          </w:p>
          <w:p w14:paraId="0C822256" w14:textId="77777777" w:rsidR="002A21AE" w:rsidRDefault="002A21AE">
            <w:pPr>
              <w:pStyle w:val="TableTextNumbersContinued"/>
            </w:pPr>
          </w:p>
          <w:p w14:paraId="776BF79C" w14:textId="77777777" w:rsidR="002A21AE" w:rsidRDefault="002A21AE">
            <w:pPr>
              <w:pStyle w:val="TableTextNumbersContinued"/>
            </w:pPr>
            <w:r>
              <w:t>Enter details in the Maintenance Results and Pending Issues fields.</w:t>
            </w:r>
          </w:p>
          <w:p w14:paraId="04071420" w14:textId="77777777" w:rsidR="002A21AE" w:rsidRDefault="002A21AE">
            <w:pPr>
              <w:pStyle w:val="TableTextNumbersContinued"/>
            </w:pPr>
          </w:p>
          <w:p w14:paraId="1E9BAF79" w14:textId="3EE309C7" w:rsidR="002A21AE" w:rsidRDefault="002A21AE">
            <w:pPr>
              <w:pStyle w:val="TableTextNumbersContinued"/>
            </w:pPr>
            <w:r>
              <w:t xml:space="preserve">Click </w:t>
            </w:r>
            <w:r>
              <w:rPr>
                <w:b/>
              </w:rPr>
              <w:t>Add</w:t>
            </w:r>
            <w:r>
              <w:t xml:space="preserve"> to add the maintenance event to the Maintenance Events list</w:t>
            </w:r>
            <w:r w:rsidR="005B4E11">
              <w:t xml:space="preserve"> (</w:t>
            </w:r>
            <w:r w:rsidR="00EE455E">
              <w:t xml:space="preserve">Figure </w:t>
            </w:r>
            <w:r w:rsidR="00EE455E">
              <w:rPr>
                <w:noProof/>
              </w:rPr>
              <w:t>46</w:t>
            </w:r>
            <w:r w:rsidR="005B4E11">
              <w:t>)</w:t>
            </w:r>
            <w:r>
              <w:t>.</w:t>
            </w:r>
          </w:p>
          <w:p w14:paraId="55A77000" w14:textId="77777777" w:rsidR="002A21AE" w:rsidRDefault="002A21AE">
            <w:pPr>
              <w:pStyle w:val="TableTextNumbersContinued"/>
            </w:pPr>
          </w:p>
          <w:p w14:paraId="13808EF0" w14:textId="77777777" w:rsidR="002A21AE" w:rsidRDefault="002A21AE">
            <w:pPr>
              <w:pStyle w:val="TableTextNumbersContinued"/>
            </w:pPr>
            <w:r>
              <w:t xml:space="preserve">Click </w:t>
            </w:r>
            <w:r>
              <w:rPr>
                <w:b/>
              </w:rPr>
              <w:t>Print</w:t>
            </w:r>
            <w:r>
              <w:t xml:space="preserve"> to print the record.</w:t>
            </w:r>
          </w:p>
        </w:tc>
        <w:tc>
          <w:tcPr>
            <w:tcW w:w="6120" w:type="dxa"/>
          </w:tcPr>
          <w:p w14:paraId="45F845FC" w14:textId="77777777" w:rsidR="002A21AE" w:rsidRDefault="002A21AE">
            <w:pPr>
              <w:pStyle w:val="TableTextBullet"/>
            </w:pPr>
            <w:r>
              <w:t>Displays recorded maintenance information and allows the user to update information.</w:t>
            </w:r>
          </w:p>
          <w:p w14:paraId="60A1A23F" w14:textId="77777777" w:rsidR="002A21AE" w:rsidRDefault="002A21AE">
            <w:pPr>
              <w:pStyle w:val="TableTextBullet"/>
            </w:pPr>
            <w:r>
              <w:t>Displays an option to print an Equipment Report.</w:t>
            </w:r>
          </w:p>
        </w:tc>
      </w:tr>
      <w:tr w:rsidR="002A21AE" w14:paraId="259538BF" w14:textId="77777777">
        <w:tc>
          <w:tcPr>
            <w:tcW w:w="3240" w:type="dxa"/>
          </w:tcPr>
          <w:p w14:paraId="54D38D51" w14:textId="77777777" w:rsidR="002A21AE" w:rsidRDefault="002A21AE">
            <w:pPr>
              <w:pStyle w:val="TableTextNumbers"/>
            </w:pPr>
            <w:r>
              <w:t xml:space="preserve">Click the </w:t>
            </w:r>
            <w:r>
              <w:rPr>
                <w:b/>
              </w:rPr>
              <w:t>Out of Service Equipment</w:t>
            </w:r>
            <w:r>
              <w:t xml:space="preserve"> </w:t>
            </w:r>
            <w:r w:rsidRPr="00D1100E">
              <w:t>check box</w:t>
            </w:r>
            <w:r>
              <w:t xml:space="preserve"> to remove equipment.</w:t>
            </w:r>
          </w:p>
        </w:tc>
        <w:tc>
          <w:tcPr>
            <w:tcW w:w="6120" w:type="dxa"/>
          </w:tcPr>
          <w:p w14:paraId="52E13AAF" w14:textId="77777777" w:rsidR="002A21AE" w:rsidRDefault="002A21AE">
            <w:pPr>
              <w:pStyle w:val="TableTextBullet"/>
            </w:pPr>
            <w:r>
              <w:t>Removes the equipment from the list of currently maintained equipment.</w:t>
            </w:r>
          </w:p>
        </w:tc>
      </w:tr>
      <w:tr w:rsidR="002A21AE" w14:paraId="38989AFC" w14:textId="77777777">
        <w:tc>
          <w:tcPr>
            <w:tcW w:w="3240" w:type="dxa"/>
          </w:tcPr>
          <w:p w14:paraId="68AEC3D0" w14:textId="6BEAB35E" w:rsidR="002A21AE" w:rsidRDefault="002A21AE">
            <w:pPr>
              <w:pStyle w:val="TableTextNumbers"/>
            </w:pPr>
            <w:r>
              <w:t>Repeat Steps 3</w:t>
            </w:r>
            <w:r w:rsidR="004F5589">
              <w:t xml:space="preserve"> through </w:t>
            </w:r>
            <w:r>
              <w:t>6, as desired.</w:t>
            </w:r>
          </w:p>
        </w:tc>
        <w:tc>
          <w:tcPr>
            <w:tcW w:w="6120" w:type="dxa"/>
          </w:tcPr>
          <w:p w14:paraId="139AE6E5" w14:textId="77777777" w:rsidR="002A21AE" w:rsidRDefault="002A21AE">
            <w:pPr>
              <w:pStyle w:val="TableText"/>
            </w:pPr>
          </w:p>
        </w:tc>
      </w:tr>
      <w:tr w:rsidR="002A21AE" w14:paraId="6D03E5D9" w14:textId="77777777" w:rsidTr="007E500E">
        <w:trPr>
          <w:cantSplit/>
        </w:trPr>
        <w:tc>
          <w:tcPr>
            <w:tcW w:w="3240" w:type="dxa"/>
          </w:tcPr>
          <w:p w14:paraId="517E8D70" w14:textId="77777777" w:rsidR="002A21AE" w:rsidRDefault="002A21AE">
            <w:pPr>
              <w:pStyle w:val="TableTextNumbers"/>
            </w:pPr>
            <w:r>
              <w:t xml:space="preserve">Click </w:t>
            </w:r>
            <w:r>
              <w:rPr>
                <w:b/>
              </w:rPr>
              <w:t xml:space="preserve">OK </w:t>
            </w:r>
            <w:r>
              <w:t xml:space="preserve">and </w:t>
            </w:r>
            <w:r>
              <w:rPr>
                <w:b/>
              </w:rPr>
              <w:t>Yes</w:t>
            </w:r>
            <w:r>
              <w:t xml:space="preserve"> to save and continue, or </w:t>
            </w:r>
            <w:r>
              <w:rPr>
                <w:b/>
              </w:rPr>
              <w:t>No</w:t>
            </w:r>
            <w:r>
              <w:t xml:space="preserve"> to return to the screen and continue.</w:t>
            </w:r>
          </w:p>
          <w:p w14:paraId="7F04DDFF" w14:textId="77777777" w:rsidR="002A21AE" w:rsidRDefault="002A21AE">
            <w:pPr>
              <w:pStyle w:val="TableTextNumbersContinued"/>
            </w:pPr>
          </w:p>
          <w:p w14:paraId="78C57772" w14:textId="77777777" w:rsidR="002A21AE" w:rsidRDefault="002A21AE">
            <w:pPr>
              <w:pStyle w:val="TableTextNumbersContinued"/>
            </w:pPr>
            <w:r>
              <w:t xml:space="preserve">Click </w:t>
            </w:r>
            <w:r>
              <w:rPr>
                <w:b/>
              </w:rPr>
              <w:t>Cancel</w:t>
            </w:r>
            <w:r>
              <w:t xml:space="preserve"> to exit without saving.</w:t>
            </w:r>
            <w:r>
              <w:rPr>
                <w:vanish/>
                <w:szCs w:val="18"/>
              </w:rP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4A843B56" w14:textId="77777777" w:rsidR="002A21AE" w:rsidRDefault="002A21AE">
            <w:pPr>
              <w:pStyle w:val="TableTextBullet"/>
              <w:ind w:left="0" w:firstLine="0"/>
            </w:pPr>
            <w:r>
              <w:t>Prompts the user to confirm the save.</w:t>
            </w:r>
          </w:p>
          <w:p w14:paraId="4DE533E0" w14:textId="77777777" w:rsidR="002A21AE" w:rsidRDefault="002A21AE">
            <w:pPr>
              <w:pStyle w:val="TableTextBullet"/>
              <w:ind w:left="0" w:firstLine="0"/>
            </w:pPr>
            <w:r>
              <w:t>Saves the updates to the equipment record.</w:t>
            </w:r>
          </w:p>
        </w:tc>
      </w:tr>
    </w:tbl>
    <w:p w14:paraId="4995AEFE" w14:textId="468DFE5F" w:rsidR="005B4E11" w:rsidRDefault="005B4E11" w:rsidP="005B4E11">
      <w:pPr>
        <w:pStyle w:val="Caption"/>
      </w:pPr>
      <w:bookmarkStart w:id="228" w:name="_Ref12655675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46</w:t>
      </w:r>
      <w:r w:rsidR="004E20BD">
        <w:rPr>
          <w:noProof/>
        </w:rPr>
        <w:fldChar w:fldCharType="end"/>
      </w:r>
      <w:bookmarkEnd w:id="228"/>
      <w:r>
        <w:t>: Maintain Equipment</w:t>
      </w:r>
    </w:p>
    <w:p w14:paraId="0E67152D" w14:textId="77777777" w:rsidR="009516A4" w:rsidRDefault="00057948" w:rsidP="005B4E11">
      <w:pPr>
        <w:pStyle w:val="BodyText"/>
      </w:pPr>
      <w:r>
        <w:rPr>
          <w:noProof/>
        </w:rPr>
        <w:drawing>
          <wp:inline distT="0" distB="0" distL="0" distR="0" wp14:anchorId="3CD71F54" wp14:editId="5C6828C6">
            <wp:extent cx="5597525" cy="4405630"/>
            <wp:effectExtent l="0" t="0" r="3175" b="0"/>
            <wp:docPr id="149" name="Picture 149" descr="Example of Maintain Equipm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Example of Maintain Equipment screen captur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97525" cy="4405630"/>
                    </a:xfrm>
                    <a:prstGeom prst="rect">
                      <a:avLst/>
                    </a:prstGeom>
                    <a:noFill/>
                    <a:ln>
                      <a:noFill/>
                    </a:ln>
                  </pic:spPr>
                </pic:pic>
              </a:graphicData>
            </a:graphic>
          </wp:inline>
        </w:drawing>
      </w:r>
    </w:p>
    <w:p w14:paraId="69FCC89B" w14:textId="77777777" w:rsidR="002A21AE" w:rsidRDefault="003C25CC">
      <w:pPr>
        <w:pStyle w:val="Heading1"/>
      </w:pPr>
      <w:bookmarkStart w:id="229" w:name="_Toc63680360"/>
      <w:bookmarkEnd w:id="200"/>
      <w:r>
        <w:br w:type="page"/>
      </w:r>
      <w:bookmarkStart w:id="230" w:name="_Toc149064115"/>
      <w:r w:rsidR="002A21AE">
        <w:t>Component Processing</w:t>
      </w:r>
      <w:bookmarkEnd w:id="230"/>
      <w:r w:rsidR="002A21AE">
        <w:fldChar w:fldCharType="begin"/>
      </w:r>
      <w:r w:rsidR="002A21AE">
        <w:instrText xml:space="preserve"> XE </w:instrText>
      </w:r>
      <w:r w:rsidR="00FA7E65">
        <w:instrText>“</w:instrText>
      </w:r>
      <w:r w:rsidR="002A21AE">
        <w:instrText>Component Processing</w:instrText>
      </w:r>
      <w:r w:rsidR="00FA7E65">
        <w:instrText>”</w:instrText>
      </w:r>
      <w:r w:rsidR="002A21AE">
        <w:instrText xml:space="preserve"> </w:instrText>
      </w:r>
      <w:r w:rsidR="002A21AE">
        <w:fldChar w:fldCharType="end"/>
      </w:r>
    </w:p>
    <w:p w14:paraId="21A8C691" w14:textId="77777777" w:rsidR="002A21AE" w:rsidRDefault="002A21AE">
      <w:pPr>
        <w:pStyle w:val="Heading2"/>
      </w:pPr>
      <w:bookmarkStart w:id="231" w:name="_Toc63680357"/>
      <w:bookmarkStart w:id="232" w:name="_Toc149064116"/>
      <w:bookmarkStart w:id="233" w:name="_Toc63680361"/>
      <w:bookmarkEnd w:id="229"/>
      <w:r>
        <w:t>Shipments</w:t>
      </w:r>
      <w:bookmarkEnd w:id="231"/>
      <w:bookmarkEnd w:id="232"/>
      <w:r>
        <w:fldChar w:fldCharType="begin"/>
      </w:r>
      <w:r>
        <w:instrText xml:space="preserve"> XE </w:instrText>
      </w:r>
      <w:r w:rsidR="00FA7E65">
        <w:instrText>“</w:instrText>
      </w:r>
      <w:r>
        <w:instrText>Shipments</w:instrText>
      </w:r>
      <w:r w:rsidR="00FA7E65">
        <w:instrText>”</w:instrText>
      </w:r>
      <w:r>
        <w:instrText xml:space="preserve"> </w:instrText>
      </w:r>
      <w:r>
        <w:fldChar w:fldCharType="end"/>
      </w:r>
    </w:p>
    <w:p w14:paraId="62D65D80" w14:textId="77777777" w:rsidR="002A21AE" w:rsidRDefault="002A21AE">
      <w:pPr>
        <w:pStyle w:val="Heading3"/>
      </w:pPr>
      <w:bookmarkStart w:id="234" w:name="_Incoming_Shipment"/>
      <w:bookmarkStart w:id="235" w:name="_Toc149064117"/>
      <w:bookmarkStart w:id="236" w:name="_Toc63680358"/>
      <w:bookmarkEnd w:id="234"/>
      <w:r>
        <w:t>Incoming Shipment</w:t>
      </w:r>
      <w:bookmarkEnd w:id="235"/>
      <w:r w:rsidRPr="007716F7">
        <w:rPr>
          <w:vanish/>
        </w:rPr>
        <w:fldChar w:fldCharType="begin"/>
      </w:r>
      <w:r w:rsidRPr="007716F7">
        <w:rPr>
          <w:vanish/>
        </w:rPr>
        <w:instrText xml:space="preserve"> XE </w:instrText>
      </w:r>
      <w:r w:rsidR="00FA7E65" w:rsidRPr="007716F7">
        <w:rPr>
          <w:vanish/>
        </w:rPr>
        <w:instrText>“</w:instrText>
      </w:r>
      <w:r w:rsidRPr="007716F7">
        <w:rPr>
          <w:vanish/>
        </w:rPr>
        <w:instrText>Incoming Shipment</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UC_01</w:t>
      </w:r>
    </w:p>
    <w:p w14:paraId="54CDD383" w14:textId="77777777" w:rsidR="002A21AE" w:rsidRDefault="002A21AE" w:rsidP="00FA7E65">
      <w:pPr>
        <w:pStyle w:val="BodyText"/>
      </w:pPr>
      <w:r>
        <w:t xml:space="preserve">A shipment handled in this option contains one or more containers of human blood products. </w:t>
      </w:r>
    </w:p>
    <w:p w14:paraId="77382486" w14:textId="5E2DDD54" w:rsidR="002A21AE" w:rsidRDefault="002A21AE" w:rsidP="00FA7E65">
      <w:pPr>
        <w:pStyle w:val="BodyText"/>
      </w:pPr>
      <w:r>
        <w:t>The user may use a barcode scanner to read information from a unit blood bag (recommended) or enter this information. The user reviews and confirms the information before adding a unit to the database.</w:t>
      </w:r>
    </w:p>
    <w:p w14:paraId="13079940" w14:textId="30E2FEEB" w:rsidR="008A3500" w:rsidRDefault="008A3500" w:rsidP="00FA7E65">
      <w:pPr>
        <w:pStyle w:val="BodyText"/>
      </w:pPr>
      <w:r>
        <w:t>The user may enter a comment in the ‘Incoming Shipment’ comment context. The comment will be displayed</w:t>
      </w:r>
      <w:r w:rsidR="00F551B2">
        <w:t xml:space="preserve"> in the Unit History Report, Incoming Shipment section and may be edited in Edit Unit Information.</w:t>
      </w:r>
      <w:r w:rsidR="002D072F">
        <w:rPr>
          <w:vanish/>
        </w:rPr>
        <w:t xml:space="preserve"> BR_1.77</w:t>
      </w:r>
    </w:p>
    <w:p w14:paraId="3FDE2403" w14:textId="77777777" w:rsidR="002A21AE" w:rsidRDefault="002A21AE">
      <w:pPr>
        <w:pStyle w:val="Heading4"/>
      </w:pPr>
      <w:r>
        <w:t>Assumptions</w:t>
      </w:r>
    </w:p>
    <w:p w14:paraId="48186054" w14:textId="77777777" w:rsidR="002A21AE" w:rsidRDefault="002A21AE">
      <w:pPr>
        <w:pStyle w:val="ListBullet"/>
      </w:pPr>
      <w:r>
        <w:t>The division is configured.</w:t>
      </w:r>
    </w:p>
    <w:p w14:paraId="6A345D2A" w14:textId="77777777" w:rsidR="006B4DCB" w:rsidRDefault="00AF37DA" w:rsidP="006B4DCB">
      <w:pPr>
        <w:pStyle w:val="ListBullet"/>
      </w:pPr>
      <w:r>
        <w:t>The shipper is active.</w:t>
      </w:r>
    </w:p>
    <w:p w14:paraId="75E70E9D" w14:textId="77777777" w:rsidR="00AE02FE" w:rsidRDefault="00AE02FE">
      <w:pPr>
        <w:pStyle w:val="ListBullet"/>
      </w:pPr>
      <w:r>
        <w:t>Units are inspected and deemed satisfactory for receipt before they are entered in VBECS.</w:t>
      </w:r>
    </w:p>
    <w:p w14:paraId="3C288EA1" w14:textId="77777777" w:rsidR="002A21AE" w:rsidRDefault="002A21AE">
      <w:pPr>
        <w:pStyle w:val="Heading4"/>
      </w:pPr>
      <w:r>
        <w:t>Outcome</w:t>
      </w:r>
    </w:p>
    <w:p w14:paraId="7AF4780C" w14:textId="77777777" w:rsidR="002A21AE" w:rsidRDefault="002A21AE">
      <w:pPr>
        <w:pStyle w:val="ListBullet"/>
      </w:pPr>
      <w:r>
        <w:t>A shipment or partial shipment of blood units was processed and added to the blood bank inventory.</w:t>
      </w:r>
    </w:p>
    <w:p w14:paraId="0FAE6218" w14:textId="77777777" w:rsidR="002A21AE" w:rsidRDefault="002A21AE">
      <w:pPr>
        <w:pStyle w:val="ListBullet"/>
      </w:pPr>
      <w:r>
        <w:t>The initial status for each unit was set in accordance with component class.</w:t>
      </w:r>
    </w:p>
    <w:p w14:paraId="2FF5DE67" w14:textId="77777777" w:rsidR="002A21AE" w:rsidRDefault="002A21AE">
      <w:pPr>
        <w:pStyle w:val="Heading4"/>
      </w:pPr>
      <w:r>
        <w:t>Limitations and Restrictions</w:t>
      </w:r>
    </w:p>
    <w:p w14:paraId="758C2F80" w14:textId="77777777" w:rsidR="007B6D4B" w:rsidRDefault="007B6D4B" w:rsidP="007B6D4B">
      <w:pPr>
        <w:pStyle w:val="ListBullet"/>
      </w:pPr>
      <w:bookmarkStart w:id="237" w:name="OLE_LINK29"/>
      <w:bookmarkStart w:id="238" w:name="OLE_LINK30"/>
      <w:r w:rsidRPr="009212B0">
        <w:t>VBECS does not check whether blood products with the same unit ID and different product</w:t>
      </w:r>
      <w:r>
        <w:t xml:space="preserve"> codes are the same blood type.</w:t>
      </w:r>
    </w:p>
    <w:p w14:paraId="1E07357E" w14:textId="77777777" w:rsidR="00F862E5" w:rsidRDefault="00F862E5" w:rsidP="009212B0">
      <w:pPr>
        <w:pStyle w:val="ListBullet"/>
      </w:pPr>
      <w:r>
        <w:t>VBECS d</w:t>
      </w:r>
      <w:r w:rsidRPr="00F862E5">
        <w:t xml:space="preserve">oes not </w:t>
      </w:r>
      <w:r w:rsidR="008C657D">
        <w:t>compare</w:t>
      </w:r>
      <w:r w:rsidRPr="00F862E5">
        <w:t xml:space="preserve"> </w:t>
      </w:r>
      <w:r w:rsidR="008C657D">
        <w:t xml:space="preserve">the ABO/Rh </w:t>
      </w:r>
      <w:r w:rsidRPr="00F862E5">
        <w:t xml:space="preserve">of </w:t>
      </w:r>
      <w:r>
        <w:t>a</w:t>
      </w:r>
      <w:r w:rsidR="008C657D">
        <w:t>n</w:t>
      </w:r>
      <w:r w:rsidRPr="00F862E5">
        <w:t xml:space="preserve"> </w:t>
      </w:r>
      <w:r w:rsidR="008C657D">
        <w:t>a</w:t>
      </w:r>
      <w:r w:rsidRPr="00F862E5">
        <w:t xml:space="preserve">utologous unit </w:t>
      </w:r>
      <w:r w:rsidR="008C657D">
        <w:t xml:space="preserve">or display a message when the ABO/Rh </w:t>
      </w:r>
      <w:r w:rsidRPr="00F862E5">
        <w:t xml:space="preserve">is incompatible with the </w:t>
      </w:r>
      <w:r>
        <w:t>r</w:t>
      </w:r>
      <w:r w:rsidRPr="00F862E5">
        <w:t xml:space="preserve">estricted </w:t>
      </w:r>
      <w:r>
        <w:t>f</w:t>
      </w:r>
      <w:r w:rsidRPr="00F862E5">
        <w:t>or patient</w:t>
      </w:r>
      <w:r>
        <w:t>.</w:t>
      </w:r>
    </w:p>
    <w:bookmarkEnd w:id="237"/>
    <w:bookmarkEnd w:id="238"/>
    <w:p w14:paraId="159BDD25" w14:textId="03C8921A" w:rsidR="00DC5A13" w:rsidRDefault="00DC5A13" w:rsidP="004B3753">
      <w:pPr>
        <w:pStyle w:val="Caution"/>
        <w:pBdr>
          <w:top w:val="single" w:sz="4" w:space="5" w:color="auto"/>
        </w:pBdr>
      </w:pPr>
      <w:r w:rsidRPr="009A667D">
        <w:t>When a product typ</w:t>
      </w:r>
      <w:r w:rsidR="009A667D" w:rsidRPr="009A667D">
        <w:t>e, cod</w:t>
      </w:r>
      <w:r w:rsidRPr="009A667D">
        <w:t>e</w:t>
      </w:r>
      <w:r w:rsidR="009A667D" w:rsidRPr="009A667D">
        <w:t>,</w:t>
      </w:r>
      <w:r w:rsidRPr="009A667D">
        <w:t xml:space="preserve"> or</w:t>
      </w:r>
      <w:r w:rsidR="009A667D" w:rsidRPr="009A667D">
        <w:t xml:space="preserve"> local</w:t>
      </w:r>
      <w:r w:rsidRPr="009A667D">
        <w:t xml:space="preserve"> code is not in</w:t>
      </w:r>
      <w:r>
        <w:t xml:space="preserve"> VBECS or a blood supplier creates a</w:t>
      </w:r>
      <w:r w:rsidR="00C230C9">
        <w:t xml:space="preserve"> product code, contact the </w:t>
      </w:r>
      <w:r w:rsidR="005364D9">
        <w:t xml:space="preserve">Service </w:t>
      </w:r>
      <w:r>
        <w:t>Desk. See Customer Support for contact information.</w:t>
      </w:r>
      <w:r w:rsidR="00703780" w:rsidRPr="00703780">
        <w:rPr>
          <w:vanish/>
        </w:rPr>
        <w:t>(DR 2,640)</w:t>
      </w:r>
    </w:p>
    <w:p w14:paraId="177F9B07" w14:textId="77777777" w:rsidR="00E63663" w:rsidRDefault="00E63663" w:rsidP="00E63663">
      <w:pPr>
        <w:pStyle w:val="ListBullet"/>
      </w:pPr>
      <w:r w:rsidRPr="00E63663">
        <w:rPr>
          <w:vanish/>
        </w:rPr>
        <w:t xml:space="preserve">BR_1.72 </w:t>
      </w:r>
      <w:r w:rsidRPr="00E63663">
        <w:t>T</w:t>
      </w:r>
      <w:r w:rsidRPr="0030088C">
        <w:t>he user may not save the unit record until the donation type and its requirements are satisfied.</w:t>
      </w:r>
    </w:p>
    <w:p w14:paraId="156B1311" w14:textId="77777777" w:rsidR="001131F9" w:rsidRPr="009212B0" w:rsidRDefault="001131F9" w:rsidP="001131F9">
      <w:pPr>
        <w:pStyle w:val="ListBullet"/>
      </w:pPr>
      <w:r w:rsidRPr="001131F9">
        <w:t>No longer supports the entry of blood products labeled in Codabar label type to new or existing invoices.</w:t>
      </w:r>
    </w:p>
    <w:p w14:paraId="47C73D81" w14:textId="611E5535" w:rsidR="008C1BD3" w:rsidRDefault="008C1BD3" w:rsidP="00C805FB">
      <w:pPr>
        <w:pStyle w:val="ListBullet"/>
      </w:pPr>
      <w:r>
        <w:t>T</w:t>
      </w:r>
      <w:r w:rsidRPr="008C1BD3">
        <w:t xml:space="preserve">he </w:t>
      </w:r>
      <w:r w:rsidR="00F551B2">
        <w:t xml:space="preserve">default </w:t>
      </w:r>
      <w:r>
        <w:t>unit expiration [</w:t>
      </w:r>
      <w:r w:rsidRPr="008C1BD3">
        <w:t>Maximum Storage Time (MST)</w:t>
      </w:r>
      <w:r>
        <w:t>]</w:t>
      </w:r>
      <w:r w:rsidRPr="008C1BD3">
        <w:t xml:space="preserve"> is set to the longest possible storage time based on product type, core condition</w:t>
      </w:r>
      <w:r w:rsidR="00922AD8" w:rsidRPr="008C1BD3">
        <w:t>, attributes</w:t>
      </w:r>
      <w:r w:rsidRPr="008C1BD3">
        <w:t>, and available references as a guide</w:t>
      </w:r>
      <w:r w:rsidR="006E30BA">
        <w:t xml:space="preserve">, but a user with the Traditional Supervisor role or higher can override the default MST </w:t>
      </w:r>
      <w:r w:rsidR="00F551B2">
        <w:t xml:space="preserve"> (see Blood Product</w:t>
      </w:r>
      <w:r w:rsidR="00B65FD0">
        <w:t>s</w:t>
      </w:r>
      <w:r w:rsidR="00F551B2">
        <w:t xml:space="preserve"> section for more info)</w:t>
      </w:r>
      <w:r w:rsidRPr="008C1BD3">
        <w:t>. The MST is set at a higher leve</w:t>
      </w:r>
      <w:r>
        <w:t>l</w:t>
      </w:r>
      <w:r w:rsidRPr="008C1BD3">
        <w:t xml:space="preserve"> than an individual collection product code. VBECS does not know the specific collection details.  It is the </w:t>
      </w:r>
      <w:r w:rsidR="008B6D25" w:rsidRPr="008C1BD3">
        <w:t>responsibility</w:t>
      </w:r>
      <w:r w:rsidRPr="008C1BD3">
        <w:t xml:space="preserve"> of each user to accurately enter and process any one blood unit based on its expiration date/time as labeled by the collection facility.</w:t>
      </w:r>
      <w:r>
        <w:rPr>
          <w:vanish/>
        </w:rPr>
        <w:t xml:space="preserve"> Task 1280</w:t>
      </w:r>
    </w:p>
    <w:p w14:paraId="418F5EE5" w14:textId="77777777" w:rsidR="00947FF8" w:rsidRDefault="003D0CA1" w:rsidP="009212B0">
      <w:pPr>
        <w:pStyle w:val="ListBullet"/>
      </w:pPr>
      <w:r w:rsidRPr="009212B0">
        <w:t>When blood products intended for quarantine are scanned, VBECS does not automatically quarantine them: the user must do so.</w:t>
      </w:r>
    </w:p>
    <w:p w14:paraId="343859A6" w14:textId="77777777" w:rsidR="00B4679A" w:rsidRPr="009212B0" w:rsidRDefault="005D3F4F" w:rsidP="009212B0">
      <w:pPr>
        <w:pStyle w:val="ListBullet"/>
      </w:pPr>
      <w:r>
        <w:t>VBECS does not recognize scanned</w:t>
      </w:r>
      <w:r w:rsidR="00190AFA" w:rsidRPr="009212B0">
        <w:t xml:space="preserve"> labels for </w:t>
      </w:r>
      <w:r w:rsidR="00EF77F8">
        <w:t>para-Bombay or B</w:t>
      </w:r>
      <w:r w:rsidR="00B4679A" w:rsidRPr="009212B0">
        <w:t xml:space="preserve">ombay </w:t>
      </w:r>
      <w:r w:rsidR="00190AFA" w:rsidRPr="009212B0">
        <w:t xml:space="preserve">ISBT </w:t>
      </w:r>
      <w:r w:rsidR="00B4679A" w:rsidRPr="009212B0">
        <w:t>unit</w:t>
      </w:r>
      <w:r w:rsidR="00190AFA" w:rsidRPr="009212B0">
        <w:t>s</w:t>
      </w:r>
      <w:r w:rsidR="00B4679A" w:rsidRPr="009212B0">
        <w:t>.</w:t>
      </w:r>
    </w:p>
    <w:p w14:paraId="70D402B4" w14:textId="77777777" w:rsidR="0078512B" w:rsidRDefault="005D3F4F" w:rsidP="009212B0">
      <w:pPr>
        <w:pStyle w:val="ListBullet"/>
      </w:pPr>
      <w:r>
        <w:t>VBECS does not allow duplicate IDs for the same product code.</w:t>
      </w:r>
    </w:p>
    <w:p w14:paraId="1078A596" w14:textId="77FCD2F8" w:rsidR="00452BA4" w:rsidRDefault="00452BA4" w:rsidP="009212B0">
      <w:pPr>
        <w:pStyle w:val="ListBullet"/>
      </w:pPr>
      <w:r>
        <w:t>When a user scans a p</w:t>
      </w:r>
      <w:r w:rsidRPr="00452BA4">
        <w:t xml:space="preserve">roduct </w:t>
      </w:r>
      <w:r>
        <w:t>c</w:t>
      </w:r>
      <w:r w:rsidRPr="00452BA4">
        <w:t xml:space="preserve">ode </w:t>
      </w:r>
      <w:r>
        <w:t>or</w:t>
      </w:r>
      <w:r w:rsidRPr="00452BA4">
        <w:t xml:space="preserve"> </w:t>
      </w:r>
      <w:r>
        <w:t>e</w:t>
      </w:r>
      <w:r w:rsidRPr="00452BA4">
        <w:t xml:space="preserve">xpiration </w:t>
      </w:r>
      <w:r>
        <w:t>d</w:t>
      </w:r>
      <w:r w:rsidRPr="00452BA4">
        <w:t>ate barcode in the Unit ID field</w:t>
      </w:r>
      <w:r>
        <w:t>, VBECS does not displ</w:t>
      </w:r>
      <w:r w:rsidR="00940D48">
        <w:t>ay the entered information</w:t>
      </w:r>
      <w:r w:rsidRPr="00452BA4">
        <w:t xml:space="preserve">. </w:t>
      </w:r>
    </w:p>
    <w:p w14:paraId="39367B91" w14:textId="5267916A" w:rsidR="009B0984" w:rsidRDefault="009B0984" w:rsidP="009B0984">
      <w:pPr>
        <w:pStyle w:val="ListBullet"/>
      </w:pPr>
      <w:r w:rsidRPr="004E2550">
        <w:t>VBECS supports the scanning of ISBT 128 special testing information barcodes by detecting the appropriate hidden identifiers.</w:t>
      </w:r>
      <w:r>
        <w:t xml:space="preserve"> </w:t>
      </w:r>
      <w:r w:rsidRPr="0030088C">
        <w:rPr>
          <w:rFonts w:cs="Arial"/>
        </w:rPr>
        <w:t xml:space="preserve">Once the hidden identifier is removed, the </w:t>
      </w:r>
      <w:r>
        <w:rPr>
          <w:rFonts w:cs="Arial"/>
        </w:rPr>
        <w:t>special testing code is a varying length of digits, depending on the type of special testing barcode scanned.</w:t>
      </w:r>
    </w:p>
    <w:p w14:paraId="7F751812" w14:textId="77777777" w:rsidR="00DC22C9" w:rsidRDefault="00DC22C9" w:rsidP="007E3EE1">
      <w:pPr>
        <w:pStyle w:val="ListBullet"/>
        <w:keepLines/>
      </w:pPr>
      <w:bookmarkStart w:id="239" w:name="OLE_LINK33"/>
      <w:bookmarkStart w:id="240" w:name="OLE_LINK34"/>
      <w:r w:rsidRPr="00DC22C9">
        <w:t xml:space="preserve">When </w:t>
      </w:r>
      <w:r>
        <w:t>a user scans an ISBT</w:t>
      </w:r>
      <w:r w:rsidR="00940D48">
        <w:t xml:space="preserve"> blood</w:t>
      </w:r>
      <w:r>
        <w:t xml:space="preserve"> </w:t>
      </w:r>
      <w:r w:rsidR="00D723CF">
        <w:t xml:space="preserve">product </w:t>
      </w:r>
      <w:r w:rsidR="00940D48">
        <w:t xml:space="preserve">code </w:t>
      </w:r>
      <w:r w:rsidR="00D723CF">
        <w:t xml:space="preserve">ID </w:t>
      </w:r>
      <w:r>
        <w:t xml:space="preserve">with “0” as </w:t>
      </w:r>
      <w:r w:rsidR="004F2A80">
        <w:t xml:space="preserve">the </w:t>
      </w:r>
      <w:r w:rsidR="00D723CF">
        <w:t>donation type (</w:t>
      </w:r>
      <w:r>
        <w:t>sixth character</w:t>
      </w:r>
      <w:r w:rsidR="00D723CF">
        <w:t>)</w:t>
      </w:r>
      <w:r>
        <w:t xml:space="preserve">, VBECS indicates that the donation type is not specified. </w:t>
      </w:r>
      <w:r w:rsidR="004F2A80">
        <w:t>W</w:t>
      </w:r>
      <w:r w:rsidR="00205693">
        <w:t>h</w:t>
      </w:r>
      <w:r>
        <w:t xml:space="preserve">en the user selects </w:t>
      </w:r>
      <w:r w:rsidR="00DF2243">
        <w:t xml:space="preserve">a donation type </w:t>
      </w:r>
      <w:r>
        <w:t>from</w:t>
      </w:r>
      <w:r w:rsidRPr="00DC22C9">
        <w:t xml:space="preserve"> the </w:t>
      </w:r>
      <w:r w:rsidR="005131BC">
        <w:t>drop-down</w:t>
      </w:r>
      <w:r w:rsidRPr="00DC22C9">
        <w:t xml:space="preserve"> </w:t>
      </w:r>
      <w:r>
        <w:t xml:space="preserve">menu, VBECS </w:t>
      </w:r>
      <w:r w:rsidR="00DF2243">
        <w:t xml:space="preserve">replaces “0” with </w:t>
      </w:r>
      <w:r w:rsidR="00FD697C">
        <w:t>a</w:t>
      </w:r>
      <w:r w:rsidR="004F2A80">
        <w:t xml:space="preserve"> recognizable</w:t>
      </w:r>
      <w:r w:rsidR="00DF2243">
        <w:t xml:space="preserve"> </w:t>
      </w:r>
      <w:r w:rsidRPr="00DC22C9">
        <w:t>character in the product code text box and store</w:t>
      </w:r>
      <w:r w:rsidR="00DF2243">
        <w:t>s it as such</w:t>
      </w:r>
      <w:r w:rsidRPr="00DC22C9">
        <w:t xml:space="preserve">. </w:t>
      </w:r>
      <w:r w:rsidR="004F2A80">
        <w:t xml:space="preserve">When the user rescans the product ID, </w:t>
      </w:r>
      <w:r w:rsidR="00693E8E">
        <w:t xml:space="preserve">he </w:t>
      </w:r>
      <w:r w:rsidR="004F2A80">
        <w:t xml:space="preserve">must </w:t>
      </w:r>
      <w:r w:rsidRPr="00DC22C9">
        <w:t xml:space="preserve">manually </w:t>
      </w:r>
      <w:r w:rsidR="004F2A80">
        <w:t>replace</w:t>
      </w:r>
      <w:r w:rsidRPr="00DC22C9">
        <w:t xml:space="preserve"> </w:t>
      </w:r>
      <w:r w:rsidR="00693E8E">
        <w:t>“0”</w:t>
      </w:r>
      <w:r w:rsidR="004F2A80">
        <w:t xml:space="preserve"> or search using the unit ID alone, or the unit ID and the first five characters of the product ID</w:t>
      </w:r>
      <w:r w:rsidRPr="00DC22C9">
        <w:t xml:space="preserve">. </w:t>
      </w:r>
      <w:r w:rsidR="00940D48">
        <w:t>When scanning a blood product derivative, this does not apply.</w:t>
      </w:r>
    </w:p>
    <w:p w14:paraId="4A296DAA" w14:textId="77777777" w:rsidR="000E07BD" w:rsidRDefault="000E07BD" w:rsidP="000E07BD">
      <w:pPr>
        <w:pStyle w:val="ListBullet"/>
      </w:pPr>
      <w:bookmarkStart w:id="241" w:name="_Toc76279374"/>
      <w:bookmarkEnd w:id="239"/>
      <w:bookmarkEnd w:id="240"/>
      <w:r>
        <w:t xml:space="preserve">Blood product code entries in the blood product table include those from ICCBBA for ISBT 128. Product codes created after </w:t>
      </w:r>
      <w:r w:rsidR="00D76A13">
        <w:t>the release of VBECS</w:t>
      </w:r>
      <w:r>
        <w:t xml:space="preserve"> cannot be entered until the updated tables are incorporated through patches to VBECS. Refuse acceptance of the unit, if possible.</w:t>
      </w:r>
      <w:r w:rsidR="003D71A3">
        <w:t xml:space="preserve"> </w:t>
      </w:r>
      <w:r>
        <w:t>U</w:t>
      </w:r>
      <w:r w:rsidRPr="009212B0">
        <w:t>ser</w:t>
      </w:r>
      <w:r>
        <w:t>s</w:t>
      </w:r>
      <w:r w:rsidRPr="009212B0">
        <w:t xml:space="preserve"> may not </w:t>
      </w:r>
      <w:r>
        <w:t>edit the blood product table.</w:t>
      </w:r>
    </w:p>
    <w:p w14:paraId="3260E7CD" w14:textId="77777777" w:rsidR="009C0C39" w:rsidRDefault="009C0C39" w:rsidP="009C0C39">
      <w:pPr>
        <w:pStyle w:val="ListBullet"/>
      </w:pPr>
      <w:r>
        <w:t>ISBT 128 tables include blood product codes labeled as not for manufacturing or transfusion.</w:t>
      </w:r>
      <w:r w:rsidR="00A25BC9">
        <w:t xml:space="preserve"> </w:t>
      </w:r>
      <w:r>
        <w:t>VBECS does not restrict such products from being entered, issued, or transferred</w:t>
      </w:r>
      <w:r w:rsidR="00F964B4">
        <w:t xml:space="preserve"> (</w:t>
      </w:r>
      <w:r>
        <w:t>local policy controls their use</w:t>
      </w:r>
      <w:r w:rsidR="00F964B4">
        <w:t>), but</w:t>
      </w:r>
      <w:r>
        <w:t xml:space="preserve"> does not accommodate blood modification for </w:t>
      </w:r>
      <w:r w:rsidR="00F964B4">
        <w:t>the</w:t>
      </w:r>
      <w:r w:rsidR="00976013">
        <w:t>se products</w:t>
      </w:r>
      <w:r w:rsidR="00F964B4">
        <w:t>.</w:t>
      </w:r>
    </w:p>
    <w:p w14:paraId="4AA98388" w14:textId="6E9B7D8E" w:rsidR="00DC382A" w:rsidRDefault="00DC382A" w:rsidP="009C0C39">
      <w:pPr>
        <w:pStyle w:val="ListBullet"/>
      </w:pPr>
      <w:r>
        <w:t xml:space="preserve">No entry of an ICCBBA </w:t>
      </w:r>
      <w:r w:rsidRPr="00630C68">
        <w:t xml:space="preserve">Product Description Code </w:t>
      </w:r>
      <w:r>
        <w:t>starting with A, B, C, or D aka</w:t>
      </w:r>
      <w:r w:rsidRPr="00630C68">
        <w:t xml:space="preserve"> National or Local Codes A0000-D9999</w:t>
      </w:r>
      <w:r>
        <w:t>.</w:t>
      </w:r>
      <w:r w:rsidRPr="00630C68">
        <w:rPr>
          <w:i/>
        </w:rPr>
        <w:t xml:space="preserve"> If use of such a code is necessary for patient care, contact Service Desk and file a request fo</w:t>
      </w:r>
      <w:r>
        <w:rPr>
          <w:i/>
        </w:rPr>
        <w:t>r the code to be added to VBECS</w:t>
      </w:r>
      <w:r w:rsidR="00526F70">
        <w:rPr>
          <w:i/>
        </w:rPr>
        <w:t>.</w:t>
      </w:r>
    </w:p>
    <w:p w14:paraId="6427CD00" w14:textId="77777777" w:rsidR="002A21AE" w:rsidRDefault="002A21AE">
      <w:pPr>
        <w:pStyle w:val="Heading4"/>
      </w:pPr>
      <w:r>
        <w:t>Additional Information</w:t>
      </w:r>
      <w:bookmarkEnd w:id="241"/>
    </w:p>
    <w:p w14:paraId="65F0559C" w14:textId="77777777" w:rsidR="00B743A4" w:rsidRPr="00922928" w:rsidRDefault="0004202A" w:rsidP="00B743A4">
      <w:pPr>
        <w:pStyle w:val="ListBullet"/>
      </w:pPr>
      <w:bookmarkStart w:id="242" w:name="_Toc76279375"/>
      <w:r w:rsidRPr="00B743A4">
        <w:rPr>
          <w:vanish/>
        </w:rPr>
        <w:t xml:space="preserve">BR_1.14 </w:t>
      </w:r>
      <w:r w:rsidR="00B743A4" w:rsidRPr="00922928">
        <w:t xml:space="preserve">A unique blood unit record is defined by the following data elements: </w:t>
      </w:r>
    </w:p>
    <w:p w14:paraId="50112EFE" w14:textId="77777777" w:rsidR="00B743A4" w:rsidRPr="00922928" w:rsidRDefault="00B743A4" w:rsidP="00B743A4">
      <w:pPr>
        <w:pStyle w:val="ListBullet2"/>
        <w:tabs>
          <w:tab w:val="clear" w:pos="648"/>
          <w:tab w:val="num" w:pos="576"/>
        </w:tabs>
        <w:ind w:left="1008" w:hanging="360"/>
      </w:pPr>
      <w:r w:rsidRPr="00922928">
        <w:t>VBECS Division</w:t>
      </w:r>
    </w:p>
    <w:p w14:paraId="3E44A0A3" w14:textId="77777777" w:rsidR="00B743A4" w:rsidRPr="00922928" w:rsidRDefault="00B743A4" w:rsidP="00B743A4">
      <w:pPr>
        <w:pStyle w:val="ListBullet2"/>
        <w:tabs>
          <w:tab w:val="clear" w:pos="648"/>
          <w:tab w:val="num" w:pos="576"/>
        </w:tabs>
        <w:ind w:left="1008" w:hanging="360"/>
      </w:pPr>
      <w:r w:rsidRPr="00922928">
        <w:t>Unit ID</w:t>
      </w:r>
    </w:p>
    <w:p w14:paraId="69D3694D" w14:textId="77777777" w:rsidR="00B743A4" w:rsidRPr="00922928" w:rsidRDefault="00B743A4" w:rsidP="00B743A4">
      <w:pPr>
        <w:pStyle w:val="ListBullet2"/>
        <w:tabs>
          <w:tab w:val="clear" w:pos="648"/>
          <w:tab w:val="num" w:pos="576"/>
        </w:tabs>
        <w:ind w:left="1008" w:hanging="360"/>
      </w:pPr>
      <w:r w:rsidRPr="00922928">
        <w:t>Product code</w:t>
      </w:r>
    </w:p>
    <w:p w14:paraId="6E7B91E0" w14:textId="77777777" w:rsidR="00B743A4" w:rsidRPr="0029712B" w:rsidRDefault="00B743A4" w:rsidP="00925CAD">
      <w:pPr>
        <w:pStyle w:val="TableText"/>
        <w:numPr>
          <w:ilvl w:val="2"/>
          <w:numId w:val="37"/>
        </w:numPr>
        <w:tabs>
          <w:tab w:val="clear" w:pos="2160"/>
          <w:tab w:val="num" w:pos="1528"/>
        </w:tabs>
        <w:ind w:hanging="992"/>
        <w:rPr>
          <w:rFonts w:ascii="Times New Roman" w:hAnsi="Times New Roman"/>
          <w:sz w:val="22"/>
          <w:szCs w:val="22"/>
        </w:rPr>
      </w:pPr>
      <w:r w:rsidRPr="0029712B">
        <w:rPr>
          <w:rFonts w:ascii="Times New Roman" w:hAnsi="Times New Roman"/>
          <w:sz w:val="22"/>
          <w:szCs w:val="22"/>
        </w:rPr>
        <w:t>ISBT 128 (8 alphanumeric characters).</w:t>
      </w:r>
    </w:p>
    <w:p w14:paraId="15983597" w14:textId="77777777" w:rsidR="0004202A" w:rsidRDefault="0004202A" w:rsidP="0004202A">
      <w:pPr>
        <w:pStyle w:val="ListBullet"/>
      </w:pPr>
      <w:r>
        <w:t>VBECS stores scanned ISBT 128 product codes and displays them as eight characters:</w:t>
      </w:r>
    </w:p>
    <w:p w14:paraId="0B4C9509" w14:textId="77777777" w:rsidR="0004202A" w:rsidRDefault="0004202A" w:rsidP="0004202A">
      <w:pPr>
        <w:pStyle w:val="ListBullet2"/>
      </w:pPr>
      <w:r>
        <w:t>Characters 1–5: product type</w:t>
      </w:r>
    </w:p>
    <w:p w14:paraId="13FE3012" w14:textId="77777777" w:rsidR="0004202A" w:rsidRDefault="0004202A" w:rsidP="0004202A">
      <w:pPr>
        <w:pStyle w:val="ListBullet2"/>
      </w:pPr>
      <w:r>
        <w:t>Character 6: donation type</w:t>
      </w:r>
    </w:p>
    <w:p w14:paraId="1986E60D" w14:textId="77777777" w:rsidR="0004202A" w:rsidRDefault="0004202A" w:rsidP="0004202A">
      <w:pPr>
        <w:pStyle w:val="ListBullet2"/>
      </w:pPr>
      <w:r>
        <w:t>Characters 7 and 8: division code (split)</w:t>
      </w:r>
    </w:p>
    <w:p w14:paraId="67344D72" w14:textId="77777777" w:rsidR="00467C77" w:rsidRPr="00467C77" w:rsidRDefault="0087742E" w:rsidP="00363509">
      <w:pPr>
        <w:pStyle w:val="ListBullet"/>
      </w:pPr>
      <w:r w:rsidRPr="00467C77">
        <w:t xml:space="preserve">When </w:t>
      </w:r>
      <w:r w:rsidR="0004065B" w:rsidRPr="00467C77">
        <w:t xml:space="preserve">ISBT 128 </w:t>
      </w:r>
      <w:r w:rsidRPr="00467C77">
        <w:t xml:space="preserve">units received during downtime must be issued, it is recommended that the user record the check character. </w:t>
      </w:r>
      <w:r w:rsidR="00871BF5" w:rsidRPr="00467C77">
        <w:t xml:space="preserve">When a blood unit is to be logged in after downtime and the unit is unavailable for scanning, the user must enter the </w:t>
      </w:r>
      <w:r w:rsidR="00DC36C4" w:rsidRPr="00467C77">
        <w:t xml:space="preserve">ISBT </w:t>
      </w:r>
      <w:r w:rsidR="00363509" w:rsidRPr="00467C77">
        <w:t>unit ID</w:t>
      </w:r>
      <w:r w:rsidR="00871BF5" w:rsidRPr="00467C77">
        <w:t xml:space="preserve"> and </w:t>
      </w:r>
      <w:r w:rsidR="00DC36C4" w:rsidRPr="00467C77">
        <w:t>the case-sensitive check character (</w:t>
      </w:r>
      <w:r w:rsidR="00363509" w:rsidRPr="00467C77">
        <w:t xml:space="preserve">the character in the </w:t>
      </w:r>
      <w:r w:rsidR="00DC36C4" w:rsidRPr="00467C77">
        <w:t xml:space="preserve">square following the </w:t>
      </w:r>
      <w:r w:rsidR="00363509" w:rsidRPr="00467C77">
        <w:t>unit ID</w:t>
      </w:r>
      <w:r w:rsidR="00DC36C4" w:rsidRPr="00467C77">
        <w:t>).</w:t>
      </w:r>
      <w:r w:rsidR="00871BF5" w:rsidRPr="00467C77">
        <w:t xml:space="preserve"> </w:t>
      </w:r>
      <w:bookmarkStart w:id="243" w:name="OLE_LINK9"/>
      <w:bookmarkStart w:id="244" w:name="OLE_LINK10"/>
    </w:p>
    <w:p w14:paraId="5C8C0E9D" w14:textId="77777777" w:rsidR="00467C77" w:rsidRPr="00467C77" w:rsidRDefault="00363509">
      <w:pPr>
        <w:pStyle w:val="ListBullet"/>
      </w:pPr>
      <w:r w:rsidRPr="00467C77">
        <w:t>To calculate a check character</w:t>
      </w:r>
      <w:r w:rsidRPr="00467C77">
        <w:fldChar w:fldCharType="begin"/>
      </w:r>
      <w:r w:rsidRPr="00467C77">
        <w:instrText xml:space="preserve"> XE "check character" </w:instrText>
      </w:r>
      <w:r w:rsidRPr="00467C77">
        <w:fldChar w:fldCharType="end"/>
      </w:r>
      <w:r w:rsidRPr="00467C77">
        <w:t>, see the Quick K Calculator</w:t>
      </w:r>
      <w:r w:rsidR="00985C7F" w:rsidRPr="00467C77">
        <w:fldChar w:fldCharType="begin"/>
      </w:r>
      <w:r w:rsidR="00985C7F" w:rsidRPr="00467C77">
        <w:instrText xml:space="preserve"> XE "Quick K Calculator" </w:instrText>
      </w:r>
      <w:r w:rsidR="00985C7F" w:rsidRPr="00467C77">
        <w:fldChar w:fldCharType="end"/>
      </w:r>
      <w:r w:rsidRPr="00467C77">
        <w:t xml:space="preserve"> on the ICCBBA Web page under ISBT 128, Other Tools. Follow the instructions to download the application.</w:t>
      </w:r>
      <w:bookmarkEnd w:id="243"/>
      <w:bookmarkEnd w:id="244"/>
    </w:p>
    <w:p w14:paraId="04199513" w14:textId="77777777" w:rsidR="00467C77" w:rsidRPr="00467C77" w:rsidRDefault="002A21AE" w:rsidP="00C718D7">
      <w:pPr>
        <w:pStyle w:val="ListBullet"/>
      </w:pPr>
      <w:r w:rsidRPr="00467C77">
        <w:t>Each division may have only one blood unit record of the same product type, product code, and unit ID. A unit shipped out (transferred) and subsequently shipped to (received by) a division in the same database will maintain individual records of the unit ID and product code for each division.</w:t>
      </w:r>
    </w:p>
    <w:p w14:paraId="6478ACED" w14:textId="77777777" w:rsidR="00467C77" w:rsidRPr="00467C77" w:rsidRDefault="00C718D7" w:rsidP="00C718D7">
      <w:pPr>
        <w:pStyle w:val="ListBullet"/>
      </w:pPr>
      <w:r w:rsidRPr="00467C77">
        <w:t xml:space="preserve">Several data elements, including the unit ID and product code, define a blood unit record as unique. </w:t>
      </w:r>
      <w:r w:rsidR="0078512B" w:rsidRPr="00467C77">
        <w:t xml:space="preserve">The unit record also includes </w:t>
      </w:r>
      <w:r w:rsidRPr="00467C77">
        <w:t>expiration date</w:t>
      </w:r>
      <w:r w:rsidR="0078512B" w:rsidRPr="00467C77">
        <w:t xml:space="preserve"> and </w:t>
      </w:r>
      <w:r w:rsidRPr="00467C77">
        <w:t>time, blood type</w:t>
      </w:r>
      <w:r w:rsidR="0078512B" w:rsidRPr="00467C77">
        <w:t>,</w:t>
      </w:r>
      <w:r w:rsidRPr="00467C77">
        <w:t xml:space="preserve"> and donation type. </w:t>
      </w:r>
      <w:r w:rsidR="0078512B" w:rsidRPr="00467C77">
        <w:t>These data elements are not editable.</w:t>
      </w:r>
    </w:p>
    <w:p w14:paraId="048EF4B1" w14:textId="77777777" w:rsidR="00992C7D" w:rsidRPr="00467C77" w:rsidRDefault="00992C7D" w:rsidP="00C718D7">
      <w:pPr>
        <w:pStyle w:val="ListBullet"/>
      </w:pPr>
      <w:r w:rsidRPr="00467C77">
        <w:t xml:space="preserve">Some suppliers relabel blood products and do not affix their own FDA Registration Number to </w:t>
      </w:r>
      <w:r w:rsidR="009026B6" w:rsidRPr="00467C77">
        <w:t xml:space="preserve">those </w:t>
      </w:r>
      <w:r w:rsidRPr="00467C77">
        <w:t xml:space="preserve">units. </w:t>
      </w:r>
      <w:r w:rsidR="00D86843" w:rsidRPr="00467C77">
        <w:t xml:space="preserve">It is recommended that the user obtain FDA Registration Number barcodes from their suppliers and </w:t>
      </w:r>
      <w:r w:rsidR="00DD5226" w:rsidRPr="00467C77">
        <w:t>use them for</w:t>
      </w:r>
      <w:r w:rsidR="00D86843" w:rsidRPr="00467C77">
        <w:t xml:space="preserve"> scanning </w:t>
      </w:r>
      <w:r w:rsidRPr="00467C77">
        <w:t>the shipper.</w:t>
      </w:r>
    </w:p>
    <w:p w14:paraId="7B4DCFB0" w14:textId="77777777" w:rsidR="002A21AE" w:rsidRDefault="002A21AE">
      <w:pPr>
        <w:pStyle w:val="Heading4"/>
      </w:pPr>
      <w:r>
        <w:t>User Roles with Access to This Option</w:t>
      </w:r>
      <w:bookmarkEnd w:id="242"/>
    </w:p>
    <w:p w14:paraId="73258546" w14:textId="77777777" w:rsidR="002A21AE" w:rsidRDefault="00873EEB">
      <w:pPr>
        <w:pStyle w:val="Roles"/>
        <w:rPr>
          <w:snapToGrid w:val="0"/>
        </w:rPr>
      </w:pPr>
      <w:r>
        <w:t>All users</w:t>
      </w:r>
    </w:p>
    <w:p w14:paraId="0176D5D4" w14:textId="77777777" w:rsidR="002A21AE" w:rsidRDefault="00057948">
      <w:pPr>
        <w:pStyle w:val="Heading4"/>
      </w:pPr>
      <w:r>
        <w:rPr>
          <w:noProof/>
        </w:rPr>
        <w:drawing>
          <wp:inline distT="0" distB="0" distL="0" distR="0" wp14:anchorId="6E7561C0" wp14:editId="586E2766">
            <wp:extent cx="156845" cy="156845"/>
            <wp:effectExtent l="0" t="0" r="0" b="0"/>
            <wp:docPr id="150" name="Picture 150" descr="Outgoing Shi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Outgoing Shipment ic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Incoming Shipment </w:t>
      </w:r>
    </w:p>
    <w:p w14:paraId="46F5E22F" w14:textId="77777777" w:rsidR="002A21AE" w:rsidRDefault="00A367A9" w:rsidP="00FA7E65">
      <w:pPr>
        <w:pStyle w:val="BodyText"/>
      </w:pPr>
      <w:r>
        <w:t>I</w:t>
      </w:r>
      <w:r w:rsidR="002A21AE">
        <w:t>n a “transfusion-only” facility, units must be restricted for use by a specific patient while an incoming shipment is processed. VBECS identifies the original collection facility to determine the presence of</w:t>
      </w:r>
      <w:r w:rsidR="0029712B">
        <w:t xml:space="preserve"> an eye-readable prefix</w:t>
      </w:r>
      <w:r w:rsidR="002A21AE">
        <w:t>. A user may enter unique unit information regarding special testing and antigen phenotyping. The user confirms that all entered units from the shipment were added to the database in the blood bank.</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60B0ECB" w14:textId="77777777">
        <w:trPr>
          <w:tblHeader/>
        </w:trPr>
        <w:tc>
          <w:tcPr>
            <w:tcW w:w="3240" w:type="dxa"/>
            <w:shd w:val="pct30" w:color="auto" w:fill="FFFFFF"/>
            <w:vAlign w:val="bottom"/>
          </w:tcPr>
          <w:p w14:paraId="61F2F971" w14:textId="77777777" w:rsidR="002A21AE" w:rsidRDefault="002A21AE">
            <w:pPr>
              <w:pStyle w:val="TableText"/>
              <w:rPr>
                <w:b/>
              </w:rPr>
            </w:pPr>
            <w:r>
              <w:rPr>
                <w:b/>
              </w:rPr>
              <w:t>User Action</w:t>
            </w:r>
          </w:p>
        </w:tc>
        <w:tc>
          <w:tcPr>
            <w:tcW w:w="6120" w:type="dxa"/>
            <w:shd w:val="pct30" w:color="auto" w:fill="FFFFFF"/>
            <w:vAlign w:val="bottom"/>
          </w:tcPr>
          <w:p w14:paraId="41585D96" w14:textId="77777777" w:rsidR="002A21AE" w:rsidRDefault="002A21AE">
            <w:pPr>
              <w:pStyle w:val="TableText"/>
              <w:rPr>
                <w:b/>
              </w:rPr>
            </w:pPr>
            <w:r>
              <w:rPr>
                <w:b/>
              </w:rPr>
              <w:t>VBECS</w:t>
            </w:r>
          </w:p>
        </w:tc>
      </w:tr>
      <w:tr w:rsidR="002A21AE" w14:paraId="12010085" w14:textId="77777777">
        <w:tc>
          <w:tcPr>
            <w:tcW w:w="3240" w:type="dxa"/>
          </w:tcPr>
          <w:p w14:paraId="214370A4" w14:textId="77777777" w:rsidR="002A21AE" w:rsidRDefault="002A21AE">
            <w:pPr>
              <w:pStyle w:val="TableTextNumbers"/>
            </w:pPr>
            <w:r>
              <w:t xml:space="preserve">Select </w:t>
            </w:r>
            <w:r>
              <w:rPr>
                <w:b/>
              </w:rPr>
              <w:t>Shipments</w:t>
            </w:r>
            <w:r>
              <w:t xml:space="preserve"> from the main menu.</w:t>
            </w:r>
          </w:p>
          <w:p w14:paraId="334516D3" w14:textId="77777777" w:rsidR="002A21AE" w:rsidRDefault="002A21AE">
            <w:pPr>
              <w:pStyle w:val="TableTextNumbersContinued"/>
              <w:rPr>
                <w:b/>
                <w:bCs/>
              </w:rPr>
            </w:pPr>
          </w:p>
          <w:p w14:paraId="7C896EEC" w14:textId="77777777" w:rsidR="002A21AE" w:rsidRDefault="002A21AE">
            <w:pPr>
              <w:pStyle w:val="TableTextNumbersContinued"/>
              <w:rPr>
                <w:b/>
                <w:bCs/>
              </w:rPr>
            </w:pPr>
            <w:r w:rsidRPr="00C761CD">
              <w:rPr>
                <w:bCs/>
              </w:rPr>
              <w:t>Select</w:t>
            </w:r>
            <w:r>
              <w:rPr>
                <w:b/>
                <w:bCs/>
              </w:rPr>
              <w:t xml:space="preserve"> Incoming Shipment</w:t>
            </w:r>
            <w:r w:rsidRPr="00C761CD">
              <w:rPr>
                <w:bCs/>
              </w:rPr>
              <w:t>.</w:t>
            </w:r>
          </w:p>
        </w:tc>
        <w:tc>
          <w:tcPr>
            <w:tcW w:w="6120" w:type="dxa"/>
          </w:tcPr>
          <w:p w14:paraId="3F713E82" w14:textId="77777777" w:rsidR="002A21AE" w:rsidRDefault="002A21AE">
            <w:pPr>
              <w:pStyle w:val="TableTextBullet"/>
            </w:pPr>
            <w:r>
              <w:t xml:space="preserve">Displays options for processing blood product shipments. </w:t>
            </w:r>
          </w:p>
          <w:p w14:paraId="7677D4EB" w14:textId="77777777" w:rsidR="0038298F" w:rsidRDefault="002A21AE" w:rsidP="0038298F">
            <w:pPr>
              <w:pStyle w:val="TableTextBullet"/>
            </w:pPr>
            <w:r>
              <w:t>Displays invoice information fields for entering shipment information.</w:t>
            </w:r>
          </w:p>
          <w:p w14:paraId="6E303773" w14:textId="77777777" w:rsidR="0038298F" w:rsidRDefault="0038298F" w:rsidP="0038298F">
            <w:pPr>
              <w:pStyle w:val="TableTextBullet"/>
              <w:numPr>
                <w:ilvl w:val="0"/>
                <w:numId w:val="0"/>
              </w:numPr>
              <w:ind w:left="288"/>
            </w:pPr>
          </w:p>
          <w:p w14:paraId="4ACC2F30" w14:textId="5B1F0AFF" w:rsidR="0038298F" w:rsidRDefault="0038298F" w:rsidP="0038298F">
            <w:pPr>
              <w:pStyle w:val="TableText"/>
              <w:rPr>
                <w:b/>
                <w:bCs/>
                <w:szCs w:val="18"/>
              </w:rPr>
            </w:pPr>
            <w:r>
              <w:rPr>
                <w:b/>
                <w:bCs/>
                <w:szCs w:val="18"/>
              </w:rPr>
              <w:t>NOTES</w:t>
            </w:r>
          </w:p>
          <w:p w14:paraId="163B1A62" w14:textId="77777777" w:rsidR="0038298F" w:rsidRDefault="0038298F" w:rsidP="0038298F">
            <w:pPr>
              <w:pStyle w:val="TableTextBullet"/>
              <w:numPr>
                <w:ilvl w:val="0"/>
                <w:numId w:val="0"/>
              </w:numPr>
              <w:ind w:left="288" w:hanging="288"/>
              <w:rPr>
                <w:rFonts w:cs="Arial"/>
                <w:szCs w:val="18"/>
              </w:rPr>
            </w:pPr>
          </w:p>
          <w:p w14:paraId="03453B4F" w14:textId="1F5C070F" w:rsidR="009F2A03" w:rsidRDefault="0038298F" w:rsidP="007E3EE1">
            <w:pPr>
              <w:pStyle w:val="NotesText"/>
            </w:pPr>
            <w:r w:rsidRPr="0038298F">
              <w:rPr>
                <w:vanish/>
              </w:rPr>
              <w:t xml:space="preserve">BR_1.62 </w:t>
            </w:r>
            <w:r w:rsidRPr="0038298F">
              <w:t>The system is s</w:t>
            </w:r>
            <w:r>
              <w:t xml:space="preserve">et as a default to ISBT </w:t>
            </w:r>
            <w:r w:rsidRPr="0038298F">
              <w:t>128 label type.</w:t>
            </w:r>
          </w:p>
        </w:tc>
      </w:tr>
      <w:tr w:rsidR="002A21AE" w14:paraId="2625EF2D" w14:textId="77777777" w:rsidTr="007E500E">
        <w:trPr>
          <w:cantSplit/>
        </w:trPr>
        <w:tc>
          <w:tcPr>
            <w:tcW w:w="3240" w:type="dxa"/>
          </w:tcPr>
          <w:p w14:paraId="4B7DB859" w14:textId="77777777" w:rsidR="002A21AE" w:rsidRDefault="002A21AE">
            <w:pPr>
              <w:pStyle w:val="TableTextNumbers"/>
            </w:pPr>
            <w:r>
              <w:t xml:space="preserve">Scan the invoice number barcode or enter the invoice number. </w:t>
            </w:r>
          </w:p>
          <w:p w14:paraId="31160A7F" w14:textId="77777777" w:rsidR="002A21AE" w:rsidRDefault="002A21AE">
            <w:pPr>
              <w:pStyle w:val="TableTextNumbersContinued"/>
            </w:pPr>
          </w:p>
          <w:p w14:paraId="359D6DA6" w14:textId="77777777" w:rsidR="002A21AE" w:rsidRDefault="002A21AE">
            <w:pPr>
              <w:pStyle w:val="TableTextNumbersContinued"/>
            </w:pPr>
            <w:r>
              <w:t xml:space="preserve">To search for an existing invoice, click the </w:t>
            </w:r>
            <w:r w:rsidR="00A6373D">
              <w:rPr>
                <w:b/>
              </w:rPr>
              <w:t>find</w:t>
            </w:r>
            <w:r w:rsidRPr="00BF2E41">
              <w:t xml:space="preserve"> button</w:t>
            </w:r>
            <w:r>
              <w:t xml:space="preserve">. Enter an invoice number and/or select a shipper from the drop-down list, then click </w:t>
            </w:r>
            <w:r>
              <w:rPr>
                <w:b/>
              </w:rPr>
              <w:t>Search</w:t>
            </w:r>
            <w:r>
              <w:t xml:space="preserve">. Click an invoice number to select it and click </w:t>
            </w:r>
            <w:r>
              <w:rPr>
                <w:b/>
              </w:rPr>
              <w:t>OK</w:t>
            </w:r>
            <w:r>
              <w:t>.</w:t>
            </w:r>
          </w:p>
        </w:tc>
        <w:tc>
          <w:tcPr>
            <w:tcW w:w="6120" w:type="dxa"/>
          </w:tcPr>
          <w:p w14:paraId="73844607" w14:textId="77777777" w:rsidR="002A21AE" w:rsidRDefault="002A21AE">
            <w:pPr>
              <w:pStyle w:val="TableTextBullet"/>
            </w:pPr>
            <w:r>
              <w:t>When an identified invoice does not exist, asks the user whether he wants to create an invoice and add units to it.</w:t>
            </w:r>
          </w:p>
          <w:p w14:paraId="347F7ABF" w14:textId="77777777" w:rsidR="002A21AE" w:rsidRDefault="002A21AE">
            <w:pPr>
              <w:pStyle w:val="TableTextBullet"/>
            </w:pPr>
            <w:r>
              <w:t>Displays the option to search for existing invoices by invoice number and/or by active shipper. When no match is found, notifies the user.</w:t>
            </w:r>
          </w:p>
          <w:p w14:paraId="1994C323" w14:textId="77777777" w:rsidR="002A21AE" w:rsidRDefault="002A21AE">
            <w:pPr>
              <w:pStyle w:val="TableText"/>
              <w:rPr>
                <w:b/>
                <w:bCs/>
                <w:szCs w:val="18"/>
              </w:rPr>
            </w:pPr>
          </w:p>
          <w:p w14:paraId="7B0ECFB5" w14:textId="50F5CA4D" w:rsidR="002A21AE" w:rsidRDefault="002A21AE">
            <w:pPr>
              <w:pStyle w:val="TableText"/>
              <w:rPr>
                <w:b/>
                <w:bCs/>
                <w:szCs w:val="18"/>
              </w:rPr>
            </w:pPr>
            <w:r>
              <w:rPr>
                <w:b/>
                <w:bCs/>
                <w:szCs w:val="18"/>
              </w:rPr>
              <w:t>NOTES</w:t>
            </w:r>
          </w:p>
          <w:p w14:paraId="0243433A" w14:textId="77777777" w:rsidR="002A21AE" w:rsidRPr="0051299B" w:rsidRDefault="002A21AE" w:rsidP="0051299B">
            <w:pPr>
              <w:pStyle w:val="NotesText"/>
            </w:pPr>
          </w:p>
          <w:p w14:paraId="6976ADE8" w14:textId="77777777" w:rsidR="002A21AE" w:rsidRDefault="002A21AE" w:rsidP="0051299B">
            <w:pPr>
              <w:pStyle w:val="NotesText"/>
            </w:pPr>
            <w:r w:rsidRPr="00A800FB">
              <w:rPr>
                <w:vanish/>
                <w:szCs w:val="18"/>
              </w:rPr>
              <w:t xml:space="preserve">BR_1.63 </w:t>
            </w:r>
            <w:r w:rsidRPr="00A800FB">
              <w:t>When a user chooses to select an existing invoice to add units, VBECS ensures that the shipper is marked as active. VBECS displays and allows the user to edit existing invoices associated with active shippers.</w:t>
            </w:r>
          </w:p>
          <w:p w14:paraId="08FA9313" w14:textId="77777777" w:rsidR="00126AF8" w:rsidRDefault="00126AF8">
            <w:pPr>
              <w:pStyle w:val="NotesText"/>
            </w:pPr>
          </w:p>
          <w:p w14:paraId="0FE8F8B4" w14:textId="7CD20F7D" w:rsidR="00126AF8" w:rsidRDefault="00126AF8">
            <w:pPr>
              <w:pStyle w:val="NotesText"/>
            </w:pPr>
            <w:r w:rsidRPr="004B0900">
              <w:t>To correct an invoice associated with an inactive shipper, the user must reactivate the shipper.</w:t>
            </w:r>
            <w:r w:rsidRPr="00126AF8">
              <w:t xml:space="preserve"> </w:t>
            </w:r>
            <w:r w:rsidR="004B0900">
              <w:t>(See FAQ CAP Comprehensive Transfusion Medicine Crossmatch Survey)</w:t>
            </w:r>
          </w:p>
          <w:p w14:paraId="01880B9E" w14:textId="77777777" w:rsidR="00117986" w:rsidRDefault="00117986">
            <w:pPr>
              <w:pStyle w:val="NotesText"/>
            </w:pPr>
          </w:p>
          <w:p w14:paraId="5F509F45" w14:textId="77777777" w:rsidR="002A21AE" w:rsidRDefault="002A21AE" w:rsidP="00297B57">
            <w:pPr>
              <w:pStyle w:val="NotesText"/>
            </w:pPr>
            <w:r w:rsidRPr="009660C3">
              <w:rPr>
                <w:vanish/>
                <w:szCs w:val="18"/>
              </w:rPr>
              <w:t xml:space="preserve">BR_1.38 </w:t>
            </w:r>
            <w:r>
              <w:t xml:space="preserve">Multiple users may process different units from a </w:t>
            </w:r>
            <w:r>
              <w:rPr>
                <w:iCs/>
              </w:rPr>
              <w:t>shipment</w:t>
            </w:r>
            <w:r w:rsidR="00297B57">
              <w:t xml:space="preserve">. </w:t>
            </w:r>
            <w:r w:rsidR="009F2A03">
              <w:t xml:space="preserve"> </w:t>
            </w:r>
            <w:r w:rsidR="009F2A03" w:rsidRPr="0030088C">
              <w:rPr>
                <w:rFonts w:cs="Arial"/>
                <w:szCs w:val="18"/>
              </w:rPr>
              <w:t>A large shipment of blood can be physically processed by more than one tech simultaneously, however, each individual unit in the shipment can only be processed by one tech.</w:t>
            </w:r>
          </w:p>
          <w:p w14:paraId="32FB02E4" w14:textId="77777777" w:rsidR="009A7DAC" w:rsidRDefault="009A7DAC" w:rsidP="00297B57">
            <w:pPr>
              <w:pStyle w:val="NotesText"/>
            </w:pPr>
          </w:p>
          <w:p w14:paraId="62AAC316" w14:textId="77777777" w:rsidR="009A7DAC" w:rsidRDefault="009A7DAC" w:rsidP="00297B57">
            <w:pPr>
              <w:pStyle w:val="NotesText"/>
            </w:pPr>
            <w:bookmarkStart w:id="245" w:name="OLE_LINK31"/>
            <w:bookmarkStart w:id="246" w:name="OLE_LINK32"/>
            <w:r w:rsidRPr="009A7DAC">
              <w:t xml:space="preserve">When </w:t>
            </w:r>
            <w:r w:rsidR="006829C9">
              <w:t>more than one user</w:t>
            </w:r>
            <w:r w:rsidRPr="009A7DAC">
              <w:t xml:space="preserve"> intend</w:t>
            </w:r>
            <w:r w:rsidR="006829C9">
              <w:t>s</w:t>
            </w:r>
            <w:r w:rsidRPr="009A7DAC">
              <w:t xml:space="preserve"> to work on </w:t>
            </w:r>
            <w:r w:rsidR="006829C9">
              <w:t>an</w:t>
            </w:r>
            <w:r w:rsidRPr="009A7DAC">
              <w:t xml:space="preserve"> invoice, one </w:t>
            </w:r>
            <w:r>
              <w:t>user</w:t>
            </w:r>
            <w:r w:rsidRPr="009A7DAC">
              <w:t xml:space="preserve"> </w:t>
            </w:r>
            <w:r>
              <w:t>must</w:t>
            </w:r>
            <w:r w:rsidRPr="009A7DAC">
              <w:t xml:space="preserve"> create </w:t>
            </w:r>
            <w:r w:rsidR="006829C9">
              <w:t>the</w:t>
            </w:r>
            <w:r w:rsidRPr="009A7DAC">
              <w:t xml:space="preserve"> invoice</w:t>
            </w:r>
            <w:r>
              <w:t>. T</w:t>
            </w:r>
            <w:r w:rsidRPr="009A7DAC">
              <w:t xml:space="preserve">he other users </w:t>
            </w:r>
            <w:r>
              <w:t>must</w:t>
            </w:r>
            <w:r w:rsidRPr="009A7DAC">
              <w:t xml:space="preserve"> select </w:t>
            </w:r>
            <w:r w:rsidR="00551508">
              <w:t>that</w:t>
            </w:r>
            <w:r w:rsidRPr="009A7DAC">
              <w:t xml:space="preserve"> invoice and add units to it.</w:t>
            </w:r>
            <w:bookmarkEnd w:id="245"/>
            <w:bookmarkEnd w:id="246"/>
          </w:p>
          <w:p w14:paraId="4C0B102A" w14:textId="77777777" w:rsidR="005710CE" w:rsidRDefault="005710CE" w:rsidP="00297B57">
            <w:pPr>
              <w:pStyle w:val="NotesText"/>
            </w:pPr>
          </w:p>
          <w:p w14:paraId="5F77E7AF" w14:textId="77777777" w:rsidR="005710CE" w:rsidRDefault="005710CE" w:rsidP="00297B57">
            <w:pPr>
              <w:pStyle w:val="NotesText"/>
            </w:pPr>
            <w:r w:rsidRPr="005710CE">
              <w:rPr>
                <w:vanish/>
              </w:rPr>
              <w:t xml:space="preserve">BR_1.07 </w:t>
            </w:r>
            <w:r>
              <w:t>When using a scanner to read barcodes on blood product bags, the system must display the input to the user in the eye-readable form that appears on the blood bag.</w:t>
            </w:r>
          </w:p>
          <w:p w14:paraId="160008E8" w14:textId="77777777" w:rsidR="005710CE" w:rsidRDefault="005710CE" w:rsidP="00297B57">
            <w:pPr>
              <w:pStyle w:val="NotesText"/>
            </w:pPr>
          </w:p>
          <w:p w14:paraId="1A626814" w14:textId="5DE84791" w:rsidR="005710CE" w:rsidRDefault="009F2A03" w:rsidP="00297B57">
            <w:pPr>
              <w:pStyle w:val="NotesText"/>
              <w:rPr>
                <w:rFonts w:cs="Arial"/>
                <w:szCs w:val="18"/>
              </w:rPr>
            </w:pPr>
            <w:r w:rsidRPr="009F2A03">
              <w:rPr>
                <w:rFonts w:cs="Arial"/>
                <w:vanish/>
                <w:szCs w:val="18"/>
              </w:rPr>
              <w:t xml:space="preserve">BR_1.06 </w:t>
            </w:r>
            <w:r w:rsidRPr="0030088C">
              <w:rPr>
                <w:rFonts w:cs="Arial"/>
                <w:szCs w:val="18"/>
              </w:rPr>
              <w:t xml:space="preserve">When processing a shipment, the system should provide an indication to the user which specific barcode the system is expecting. Once the scan is complete, the system automatically ‘moves’ the indication to the next logical input. The user can override this progression by manually selecting a different input field. It is assumed that the scanners </w:t>
            </w:r>
            <w:r w:rsidR="004D0A70">
              <w:rPr>
                <w:rFonts w:cs="Arial"/>
                <w:szCs w:val="18"/>
              </w:rPr>
              <w:t>are</w:t>
            </w:r>
            <w:r w:rsidRPr="0030088C">
              <w:rPr>
                <w:rFonts w:cs="Arial"/>
                <w:szCs w:val="18"/>
              </w:rPr>
              <w:t xml:space="preserve"> configured to append the proper command at the completion of each scan.</w:t>
            </w:r>
          </w:p>
          <w:p w14:paraId="4C3F78CB" w14:textId="77777777" w:rsidR="009F2A03" w:rsidRDefault="009F2A03" w:rsidP="00297B57">
            <w:pPr>
              <w:pStyle w:val="NotesText"/>
              <w:rPr>
                <w:rFonts w:cs="Arial"/>
                <w:szCs w:val="18"/>
              </w:rPr>
            </w:pPr>
          </w:p>
          <w:p w14:paraId="3A09E00F" w14:textId="77777777" w:rsidR="009F2A03" w:rsidRDefault="00EC25E3" w:rsidP="00297B57">
            <w:pPr>
              <w:pStyle w:val="NotesText"/>
              <w:rPr>
                <w:rFonts w:cs="Arial"/>
                <w:szCs w:val="18"/>
              </w:rPr>
            </w:pPr>
            <w:r w:rsidRPr="00EC25E3">
              <w:rPr>
                <w:rFonts w:cs="Arial"/>
                <w:vanish/>
                <w:szCs w:val="18"/>
              </w:rPr>
              <w:t xml:space="preserve">BR_1.54 </w:t>
            </w:r>
            <w:r w:rsidRPr="0030088C">
              <w:rPr>
                <w:rFonts w:cs="Arial"/>
                <w:szCs w:val="18"/>
              </w:rPr>
              <w:t>If the user entered shipment propertie</w:t>
            </w:r>
            <w:r>
              <w:rPr>
                <w:rFonts w:cs="Arial"/>
                <w:szCs w:val="18"/>
              </w:rPr>
              <w:t xml:space="preserve">s for an existing invoice, VBECS </w:t>
            </w:r>
            <w:r w:rsidRPr="0030088C">
              <w:rPr>
                <w:rFonts w:cs="Arial"/>
                <w:szCs w:val="18"/>
              </w:rPr>
              <w:t>displays a message: Do you want to continue and add units to an existing invoice? (Select “No” to use another invoice.) If the user responds “No,” the shipment property fields are cleared, allowing the user to enter data for anothe</w:t>
            </w:r>
            <w:r>
              <w:rPr>
                <w:rFonts w:cs="Arial"/>
                <w:szCs w:val="18"/>
              </w:rPr>
              <w:t>r invoice; otherwise, VBECS</w:t>
            </w:r>
            <w:r w:rsidRPr="0030088C">
              <w:rPr>
                <w:rFonts w:cs="Arial"/>
                <w:szCs w:val="18"/>
              </w:rPr>
              <w:t xml:space="preserve"> continues to the next step.</w:t>
            </w:r>
          </w:p>
          <w:p w14:paraId="27E570E6" w14:textId="77777777" w:rsidR="00EC25E3" w:rsidRDefault="00EC25E3" w:rsidP="00297B57">
            <w:pPr>
              <w:pStyle w:val="NotesText"/>
              <w:rPr>
                <w:rFonts w:cs="Arial"/>
                <w:szCs w:val="18"/>
              </w:rPr>
            </w:pPr>
          </w:p>
          <w:p w14:paraId="2828EC0A" w14:textId="77777777" w:rsidR="00EC25E3" w:rsidRDefault="00EC25E3" w:rsidP="00297B57">
            <w:pPr>
              <w:pStyle w:val="NotesText"/>
              <w:rPr>
                <w:rFonts w:cs="Arial"/>
                <w:szCs w:val="18"/>
              </w:rPr>
            </w:pPr>
            <w:r w:rsidRPr="00EC25E3">
              <w:rPr>
                <w:rFonts w:cs="Arial"/>
                <w:vanish/>
                <w:szCs w:val="18"/>
              </w:rPr>
              <w:t xml:space="preserve">BR_1.55 </w:t>
            </w:r>
            <w:r w:rsidRPr="0030088C">
              <w:rPr>
                <w:rFonts w:cs="Arial"/>
                <w:szCs w:val="18"/>
              </w:rPr>
              <w:t>If the user entered shipment properties</w:t>
            </w:r>
            <w:r>
              <w:rPr>
                <w:rFonts w:cs="Arial"/>
                <w:szCs w:val="18"/>
              </w:rPr>
              <w:t xml:space="preserve"> for a new invoice, VBECS</w:t>
            </w:r>
            <w:r w:rsidRPr="0030088C">
              <w:rPr>
                <w:rFonts w:cs="Arial"/>
                <w:szCs w:val="18"/>
              </w:rPr>
              <w:t xml:space="preserve"> displays a message: Do you want to continue and add units to the new invoice? (Select “No” to use another invoice.) If the user responds “No,” the shipment property fields are cleared, allowing the user to enter data for another invoice; otherwise, the system continues to the next step.</w:t>
            </w:r>
          </w:p>
          <w:p w14:paraId="44F41639" w14:textId="77777777" w:rsidR="00EC25E3" w:rsidRDefault="00EC25E3" w:rsidP="00297B57">
            <w:pPr>
              <w:pStyle w:val="NotesText"/>
              <w:rPr>
                <w:rFonts w:cs="Arial"/>
                <w:szCs w:val="18"/>
              </w:rPr>
            </w:pPr>
          </w:p>
          <w:p w14:paraId="5F6E50FD" w14:textId="2D9745C3" w:rsidR="004B3753" w:rsidRPr="007E3EE1" w:rsidRDefault="004B3753" w:rsidP="007E3EE1">
            <w:pPr>
              <w:pStyle w:val="NotesText"/>
              <w:rPr>
                <w:rFonts w:cs="Arial"/>
                <w:szCs w:val="18"/>
              </w:rPr>
            </w:pPr>
            <w:r w:rsidRPr="004B3753">
              <w:rPr>
                <w:rFonts w:cs="Arial"/>
                <w:vanish/>
                <w:szCs w:val="18"/>
              </w:rPr>
              <w:t xml:space="preserve">BR_1.56 </w:t>
            </w:r>
            <w:r w:rsidRPr="0030088C">
              <w:rPr>
                <w:rFonts w:cs="Arial"/>
                <w:szCs w:val="18"/>
              </w:rPr>
              <w:t>The combination of invoice number, shipper, and date</w:t>
            </w:r>
            <w:r>
              <w:rPr>
                <w:rFonts w:cs="Arial"/>
                <w:szCs w:val="18"/>
              </w:rPr>
              <w:t>/time</w:t>
            </w:r>
            <w:r w:rsidRPr="0030088C">
              <w:rPr>
                <w:rFonts w:cs="Arial"/>
                <w:szCs w:val="18"/>
              </w:rPr>
              <w:t xml:space="preserve"> received uniquely identifies the shipment for data retrieval.</w:t>
            </w:r>
          </w:p>
        </w:tc>
      </w:tr>
      <w:tr w:rsidR="00DA1590" w14:paraId="22E50377" w14:textId="77777777" w:rsidTr="006C058D">
        <w:trPr>
          <w:cantSplit/>
        </w:trPr>
        <w:tc>
          <w:tcPr>
            <w:tcW w:w="3240" w:type="dxa"/>
          </w:tcPr>
          <w:p w14:paraId="18554F17" w14:textId="77777777" w:rsidR="00DA1590" w:rsidRDefault="00DA1590">
            <w:pPr>
              <w:pStyle w:val="TableTextNumbers"/>
            </w:pPr>
            <w:r>
              <w:t>Select a source</w:t>
            </w:r>
            <w:r w:rsidR="007536F3">
              <w:t xml:space="preserve"> from the Source (Shipper) drop-down list. If needed, edit the date received in the Date Received field.</w:t>
            </w:r>
          </w:p>
        </w:tc>
        <w:tc>
          <w:tcPr>
            <w:tcW w:w="6120" w:type="dxa"/>
          </w:tcPr>
          <w:p w14:paraId="1BC7F29C" w14:textId="77777777" w:rsidR="00297B57" w:rsidRDefault="00297B57" w:rsidP="00297B57">
            <w:pPr>
              <w:pStyle w:val="TableText"/>
              <w:rPr>
                <w:b/>
                <w:bCs/>
                <w:szCs w:val="18"/>
              </w:rPr>
            </w:pPr>
          </w:p>
          <w:p w14:paraId="60B30890" w14:textId="005EDADF" w:rsidR="00297B57" w:rsidRDefault="00297B57" w:rsidP="00297B57">
            <w:pPr>
              <w:pStyle w:val="TableText"/>
              <w:rPr>
                <w:b/>
                <w:bCs/>
                <w:szCs w:val="18"/>
              </w:rPr>
            </w:pPr>
            <w:r>
              <w:rPr>
                <w:b/>
                <w:bCs/>
                <w:szCs w:val="18"/>
              </w:rPr>
              <w:t>NOTES</w:t>
            </w:r>
          </w:p>
          <w:p w14:paraId="4F5C5780" w14:textId="77777777" w:rsidR="00297B57" w:rsidRDefault="00297B57" w:rsidP="00297B57">
            <w:pPr>
              <w:pStyle w:val="NotesText"/>
            </w:pPr>
          </w:p>
          <w:p w14:paraId="17CC0604" w14:textId="77777777" w:rsidR="00297B57" w:rsidRDefault="00297B57" w:rsidP="00297B57">
            <w:pPr>
              <w:pStyle w:val="NotesText"/>
            </w:pPr>
            <w:r>
              <w:t>After a user enters or selects an invoice number, the user may enter information in the shipper, date received, and processing technologist fields.</w:t>
            </w:r>
          </w:p>
          <w:p w14:paraId="090F7A2F" w14:textId="77777777" w:rsidR="00297B57" w:rsidRDefault="00297B57" w:rsidP="00297B57">
            <w:pPr>
              <w:pStyle w:val="NotesText"/>
            </w:pPr>
          </w:p>
          <w:p w14:paraId="31CF0F6D" w14:textId="77777777" w:rsidR="00DA1590" w:rsidRDefault="00297B57" w:rsidP="00297B57">
            <w:pPr>
              <w:pStyle w:val="NotesText"/>
            </w:pPr>
            <w:r>
              <w:t>During retrospective entry, the user must enter the shipment date and time before entering any other unit transaction.</w:t>
            </w:r>
          </w:p>
          <w:p w14:paraId="6F8FA4D5" w14:textId="77777777" w:rsidR="009F2A03" w:rsidRDefault="009F2A03" w:rsidP="00297B57">
            <w:pPr>
              <w:pStyle w:val="NotesText"/>
            </w:pPr>
          </w:p>
          <w:p w14:paraId="74B37038" w14:textId="2C1FEA1C" w:rsidR="009F2A03" w:rsidRDefault="009F2A03" w:rsidP="00297B57">
            <w:pPr>
              <w:pStyle w:val="NotesText"/>
            </w:pPr>
            <w:r w:rsidRPr="009F2A03">
              <w:rPr>
                <w:rFonts w:cs="Arial"/>
                <w:vanish/>
                <w:szCs w:val="18"/>
              </w:rPr>
              <w:t xml:space="preserve">BR_1.51 </w:t>
            </w:r>
            <w:r w:rsidRPr="0030088C">
              <w:rPr>
                <w:rFonts w:cs="Arial"/>
                <w:szCs w:val="18"/>
              </w:rPr>
              <w:t>Shipment received date/time cannot be a future date/time</w:t>
            </w:r>
            <w:r>
              <w:rPr>
                <w:rFonts w:cs="Arial"/>
                <w:szCs w:val="18"/>
              </w:rPr>
              <w:t>.</w:t>
            </w:r>
          </w:p>
        </w:tc>
      </w:tr>
      <w:tr w:rsidR="002A21AE" w14:paraId="4A4C0AFE" w14:textId="77777777">
        <w:tc>
          <w:tcPr>
            <w:tcW w:w="3240" w:type="dxa"/>
          </w:tcPr>
          <w:p w14:paraId="46C2AE18" w14:textId="77777777" w:rsidR="002A21AE" w:rsidRDefault="002A21AE">
            <w:pPr>
              <w:pStyle w:val="TableTextNumbers"/>
            </w:pPr>
            <w:r>
              <w:t xml:space="preserve">Click </w:t>
            </w:r>
            <w:r>
              <w:rPr>
                <w:b/>
              </w:rPr>
              <w:t>OK</w:t>
            </w:r>
            <w:r>
              <w:t xml:space="preserve"> again to continue. </w:t>
            </w:r>
          </w:p>
        </w:tc>
        <w:tc>
          <w:tcPr>
            <w:tcW w:w="6120" w:type="dxa"/>
          </w:tcPr>
          <w:p w14:paraId="7A66FDFE" w14:textId="77777777" w:rsidR="0038298F" w:rsidRDefault="0038298F" w:rsidP="0038298F">
            <w:pPr>
              <w:pStyle w:val="TableTextBullet"/>
              <w:numPr>
                <w:ilvl w:val="0"/>
                <w:numId w:val="0"/>
              </w:numPr>
              <w:ind w:left="288" w:hanging="288"/>
            </w:pPr>
          </w:p>
          <w:p w14:paraId="5C2AE911" w14:textId="51FF49E5" w:rsidR="0038298F" w:rsidRDefault="0038298F" w:rsidP="0038298F">
            <w:pPr>
              <w:pStyle w:val="TableText"/>
              <w:rPr>
                <w:b/>
                <w:bCs/>
                <w:szCs w:val="18"/>
              </w:rPr>
            </w:pPr>
            <w:r>
              <w:rPr>
                <w:b/>
                <w:bCs/>
                <w:szCs w:val="18"/>
              </w:rPr>
              <w:t>NOTES</w:t>
            </w:r>
          </w:p>
          <w:p w14:paraId="753C0B50" w14:textId="77777777" w:rsidR="0038298F" w:rsidRDefault="0038298F" w:rsidP="0038298F">
            <w:pPr>
              <w:pStyle w:val="NotesText"/>
              <w:rPr>
                <w:vanish/>
              </w:rPr>
            </w:pPr>
          </w:p>
          <w:p w14:paraId="26F2C3BE" w14:textId="0A381DEC" w:rsidR="004B3753" w:rsidRDefault="0038298F" w:rsidP="0039783A">
            <w:pPr>
              <w:pStyle w:val="NotesText"/>
            </w:pPr>
            <w:r w:rsidRPr="0038298F">
              <w:rPr>
                <w:vanish/>
              </w:rPr>
              <w:t xml:space="preserve">BR_1.71 </w:t>
            </w:r>
            <w:r>
              <w:t>Entry of Codabar labeled blood units is disabled.</w:t>
            </w:r>
          </w:p>
        </w:tc>
      </w:tr>
      <w:tr w:rsidR="002A21AE" w14:paraId="58B4A160" w14:textId="77777777">
        <w:tc>
          <w:tcPr>
            <w:tcW w:w="3240" w:type="dxa"/>
          </w:tcPr>
          <w:p w14:paraId="624E8A3D" w14:textId="77777777" w:rsidR="002A21AE" w:rsidRDefault="002A21AE">
            <w:pPr>
              <w:pStyle w:val="TableTextNumbers"/>
            </w:pPr>
            <w:r>
              <w:t xml:space="preserve">Click </w:t>
            </w:r>
            <w:r>
              <w:rPr>
                <w:b/>
              </w:rPr>
              <w:t>Yes</w:t>
            </w:r>
            <w:r>
              <w:t xml:space="preserve"> to add units to the invoice or click </w:t>
            </w:r>
            <w:r>
              <w:rPr>
                <w:b/>
              </w:rPr>
              <w:t>No</w:t>
            </w:r>
            <w:r>
              <w:t xml:space="preserve"> to select another invoice.</w:t>
            </w:r>
          </w:p>
        </w:tc>
        <w:tc>
          <w:tcPr>
            <w:tcW w:w="6120" w:type="dxa"/>
          </w:tcPr>
          <w:p w14:paraId="7A1A2970" w14:textId="77777777" w:rsidR="002A21AE" w:rsidRDefault="002A21AE">
            <w:pPr>
              <w:pStyle w:val="TableTextBullet"/>
            </w:pPr>
            <w:r>
              <w:t>When a user selects an existing invoice, displays the shipment information and blood unit details associated with the invoice.</w:t>
            </w:r>
          </w:p>
        </w:tc>
      </w:tr>
      <w:tr w:rsidR="002A21AE" w14:paraId="14D1B863" w14:textId="77777777">
        <w:tc>
          <w:tcPr>
            <w:tcW w:w="3240" w:type="dxa"/>
          </w:tcPr>
          <w:p w14:paraId="249FCB19" w14:textId="77777777" w:rsidR="00F5287E" w:rsidRDefault="00F5287E">
            <w:pPr>
              <w:pStyle w:val="TableTextNumbers"/>
            </w:pPr>
            <w:r>
              <w:t>Select a unit to add.</w:t>
            </w:r>
          </w:p>
          <w:p w14:paraId="213F5527" w14:textId="0EFB2B46" w:rsidR="002A21AE" w:rsidRDefault="002A21AE" w:rsidP="00F5287E">
            <w:pPr>
              <w:pStyle w:val="TableTextNumbers"/>
              <w:numPr>
                <w:ilvl w:val="0"/>
                <w:numId w:val="0"/>
              </w:numPr>
              <w:ind w:left="288"/>
            </w:pPr>
            <w:r>
              <w:t>For an ISBT 128-labeled unit, scan</w:t>
            </w:r>
            <w:r w:rsidR="00A83A22">
              <w:t xml:space="preserve"> the label</w:t>
            </w:r>
            <w:r>
              <w:t xml:space="preserve"> or enter the unit ID</w:t>
            </w:r>
            <w:r w:rsidR="00A83A22">
              <w:t xml:space="preserve"> and check character (in that order)</w:t>
            </w:r>
            <w:r>
              <w:t>.</w:t>
            </w:r>
          </w:p>
        </w:tc>
        <w:tc>
          <w:tcPr>
            <w:tcW w:w="6120" w:type="dxa"/>
          </w:tcPr>
          <w:p w14:paraId="15B26F32" w14:textId="77777777" w:rsidR="002A21AE" w:rsidRDefault="002A21AE">
            <w:pPr>
              <w:pStyle w:val="TableTextBullet"/>
            </w:pPr>
            <w:r>
              <w:t xml:space="preserve">Disables the FDA </w:t>
            </w:r>
            <w:r w:rsidR="00B85812">
              <w:t>Registration Number</w:t>
            </w:r>
            <w:r>
              <w:t xml:space="preserve"> field.</w:t>
            </w:r>
          </w:p>
          <w:p w14:paraId="79608337" w14:textId="5DE8375D" w:rsidR="002A21AE" w:rsidRDefault="002A21AE">
            <w:pPr>
              <w:pStyle w:val="TableTextBullet"/>
            </w:pPr>
            <w:r>
              <w:t>Displays information corresponding to the unit ID barcode</w:t>
            </w:r>
            <w:r w:rsidR="00931D60">
              <w:t xml:space="preserve"> </w:t>
            </w:r>
            <w:r>
              <w:t>scanned. When a user enters an ISBT 128-labeled unit ID, VBECS prompts the user to enter the check character from the blood bag.</w:t>
            </w:r>
          </w:p>
          <w:p w14:paraId="0696BBB6" w14:textId="77777777" w:rsidR="002A21AE" w:rsidRDefault="002A21AE">
            <w:pPr>
              <w:pStyle w:val="TableTextBullet1"/>
            </w:pPr>
            <w:r>
              <w:rPr>
                <w:vanish/>
              </w:rPr>
              <w:t xml:space="preserve">BR_1.08 </w:t>
            </w:r>
            <w:r>
              <w:t xml:space="preserve">When a user scans ISBT 128 labels units and the cursor is in an inappropriate field, VBECS </w:t>
            </w:r>
            <w:r>
              <w:rPr>
                <w:noProof/>
              </w:rPr>
              <w:t xml:space="preserve">warns that the </w:t>
            </w:r>
            <w:r w:rsidR="00346B6E">
              <w:rPr>
                <w:noProof/>
              </w:rPr>
              <w:t>incorrect</w:t>
            </w:r>
            <w:r>
              <w:t xml:space="preserve"> barcode was scanned.</w:t>
            </w:r>
          </w:p>
          <w:p w14:paraId="5FABE9CA" w14:textId="77777777" w:rsidR="002A21AE" w:rsidRDefault="002A21AE">
            <w:pPr>
              <w:pStyle w:val="TableText"/>
            </w:pPr>
          </w:p>
          <w:p w14:paraId="6134DED2" w14:textId="49C2A877" w:rsidR="002A21AE" w:rsidRDefault="002A21AE">
            <w:pPr>
              <w:pStyle w:val="TableText"/>
              <w:rPr>
                <w:b/>
                <w:bCs/>
                <w:szCs w:val="18"/>
              </w:rPr>
            </w:pPr>
            <w:r>
              <w:rPr>
                <w:b/>
                <w:bCs/>
                <w:szCs w:val="18"/>
              </w:rPr>
              <w:t>NOTES</w:t>
            </w:r>
          </w:p>
          <w:p w14:paraId="44550278" w14:textId="77777777" w:rsidR="002A21AE" w:rsidRDefault="002A21AE">
            <w:pPr>
              <w:pStyle w:val="NotesText"/>
            </w:pPr>
          </w:p>
          <w:p w14:paraId="0C4C89D1" w14:textId="77777777" w:rsidR="002A21AE" w:rsidRDefault="002A21AE">
            <w:pPr>
              <w:pStyle w:val="NotesText"/>
              <w:ind w:left="0"/>
            </w:pPr>
            <w:r>
              <w:t>For ISBT 128-labeled units:</w:t>
            </w:r>
          </w:p>
          <w:p w14:paraId="6F4FD0B1" w14:textId="77777777" w:rsidR="002A21AE" w:rsidRDefault="002A21AE">
            <w:pPr>
              <w:pStyle w:val="NotesText"/>
            </w:pPr>
            <w:r w:rsidRPr="00DC786E">
              <w:rPr>
                <w:rFonts w:cs="Arial"/>
                <w:vanish/>
                <w:szCs w:val="18"/>
              </w:rPr>
              <w:t>BR_1.19</w:t>
            </w:r>
            <w:r w:rsidRPr="009660C3">
              <w:rPr>
                <w:vanish/>
                <w:szCs w:val="18"/>
              </w:rPr>
              <w:t xml:space="preserve"> </w:t>
            </w:r>
            <w:r>
              <w:t>When the user-entered check character from the label does not match the VBECS-generated check character, VBECS warns the user.</w:t>
            </w:r>
          </w:p>
          <w:p w14:paraId="64061839" w14:textId="77777777" w:rsidR="002A21AE" w:rsidRDefault="002A21AE">
            <w:pPr>
              <w:pStyle w:val="NotesText"/>
            </w:pPr>
          </w:p>
          <w:p w14:paraId="0E6010F6" w14:textId="77777777" w:rsidR="002A21AE" w:rsidRDefault="002A21AE">
            <w:pPr>
              <w:pStyle w:val="NotesText"/>
            </w:pPr>
            <w:r w:rsidRPr="00781DAE">
              <w:rPr>
                <w:rFonts w:cs="Arial"/>
                <w:vanish/>
                <w:szCs w:val="18"/>
              </w:rPr>
              <w:t>BR_1.64</w:t>
            </w:r>
            <w:r w:rsidRPr="009660C3">
              <w:rPr>
                <w:vanish/>
                <w:szCs w:val="18"/>
              </w:rPr>
              <w:t xml:space="preserve"> </w:t>
            </w:r>
            <w:r>
              <w:t xml:space="preserve">When VBECS does not find a matching entry for the ICCBBA </w:t>
            </w:r>
            <w:r w:rsidR="00B85812">
              <w:t>Registration Number</w:t>
            </w:r>
            <w:r>
              <w:t xml:space="preserve"> on the local supplier table, the user must activate or add a local supplier before continuing.</w:t>
            </w:r>
          </w:p>
          <w:p w14:paraId="7B63C04E" w14:textId="77777777" w:rsidR="0039783A" w:rsidRDefault="0039783A">
            <w:pPr>
              <w:pStyle w:val="NotesText"/>
            </w:pPr>
          </w:p>
          <w:p w14:paraId="58DC41B6" w14:textId="07445A5C" w:rsidR="0039783A" w:rsidRPr="0039783A" w:rsidRDefault="0039783A" w:rsidP="0039783A">
            <w:pPr>
              <w:pStyle w:val="NotesText"/>
              <w:rPr>
                <w:rFonts w:cs="Arial"/>
                <w:szCs w:val="18"/>
              </w:rPr>
            </w:pPr>
            <w:r w:rsidRPr="00C92599">
              <w:rPr>
                <w:rFonts w:cs="Arial"/>
                <w:vanish/>
                <w:szCs w:val="18"/>
              </w:rPr>
              <w:t xml:space="preserve">BR_1.18 </w:t>
            </w:r>
            <w:r w:rsidR="00C51D45">
              <w:rPr>
                <w:rFonts w:cs="Arial"/>
                <w:vanish/>
                <w:szCs w:val="18"/>
              </w:rPr>
              <w:t xml:space="preserve">BR_1.79 </w:t>
            </w:r>
            <w:r w:rsidRPr="00030C52">
              <w:rPr>
                <w:rFonts w:cs="Arial"/>
                <w:szCs w:val="18"/>
              </w:rPr>
              <w:t xml:space="preserve">A scanned ISBT 128 Unit ID barcode </w:t>
            </w:r>
            <w:r w:rsidR="00C51D45" w:rsidRPr="00C51D45">
              <w:rPr>
                <w:rFonts w:cs="Arial"/>
                <w:szCs w:val="18"/>
              </w:rPr>
              <w:t>or 2-d barcode</w:t>
            </w:r>
            <w:r w:rsidR="00C51D45">
              <w:rPr>
                <w:rFonts w:cs="Arial"/>
                <w:szCs w:val="18"/>
              </w:rPr>
              <w:t xml:space="preserve"> </w:t>
            </w:r>
            <w:r w:rsidRPr="00030C52">
              <w:rPr>
                <w:rFonts w:cs="Arial"/>
                <w:szCs w:val="18"/>
              </w:rPr>
              <w:t>is identified by the presence of hidden identifier</w:t>
            </w:r>
            <w:r w:rsidR="0017525B">
              <w:rPr>
                <w:rFonts w:cs="Arial"/>
                <w:szCs w:val="18"/>
              </w:rPr>
              <w:t>s</w:t>
            </w:r>
            <w:r w:rsidRPr="00030C52">
              <w:rPr>
                <w:rFonts w:cs="Arial"/>
                <w:szCs w:val="18"/>
              </w:rPr>
              <w:t>. Once the hidden identifier is removed</w:t>
            </w:r>
            <w:r>
              <w:rPr>
                <w:rFonts w:cs="Arial"/>
                <w:szCs w:val="18"/>
              </w:rPr>
              <w:t xml:space="preserve"> or when the </w:t>
            </w:r>
            <w:r w:rsidRPr="00030C52">
              <w:rPr>
                <w:rFonts w:cs="Arial"/>
                <w:szCs w:val="18"/>
              </w:rPr>
              <w:t xml:space="preserve">Unit ID </w:t>
            </w:r>
            <w:r>
              <w:rPr>
                <w:rFonts w:cs="Arial"/>
                <w:szCs w:val="18"/>
              </w:rPr>
              <w:t>is manually entered</w:t>
            </w:r>
            <w:r w:rsidRPr="00030C52">
              <w:rPr>
                <w:rFonts w:cs="Arial"/>
                <w:szCs w:val="18"/>
              </w:rPr>
              <w:t xml:space="preserve">, the Unit ID is validated to ensure that the first five characters are alphanumeric and the remaining </w:t>
            </w:r>
            <w:r>
              <w:rPr>
                <w:rFonts w:cs="Arial"/>
                <w:szCs w:val="18"/>
              </w:rPr>
              <w:t>eight</w:t>
            </w:r>
            <w:r w:rsidRPr="00030C52">
              <w:rPr>
                <w:rFonts w:cs="Arial"/>
                <w:szCs w:val="18"/>
              </w:rPr>
              <w:t xml:space="preserve"> characters are numeric; totaling a 13-character unit ID. The Unit record is flagged as scanned during initial receipt</w:t>
            </w:r>
            <w:r>
              <w:rPr>
                <w:rFonts w:cs="Arial"/>
                <w:szCs w:val="18"/>
              </w:rPr>
              <w:t xml:space="preserve"> only if the hidden identifier was present</w:t>
            </w:r>
            <w:r w:rsidRPr="00030C52">
              <w:rPr>
                <w:rFonts w:cs="Arial"/>
                <w:szCs w:val="18"/>
              </w:rPr>
              <w:t>.</w:t>
            </w:r>
          </w:p>
        </w:tc>
      </w:tr>
      <w:tr w:rsidR="002A21AE" w14:paraId="3E57AECE" w14:textId="77777777">
        <w:tc>
          <w:tcPr>
            <w:tcW w:w="3240" w:type="dxa"/>
          </w:tcPr>
          <w:p w14:paraId="4C9B7C90" w14:textId="7370B39F" w:rsidR="002A21AE" w:rsidRDefault="002A21AE">
            <w:pPr>
              <w:pStyle w:val="TableTextNumbers"/>
            </w:pPr>
            <w:r>
              <w:t>Scan the product code barcode</w:t>
            </w:r>
            <w:r w:rsidR="00C51D45">
              <w:t xml:space="preserve"> or the </w:t>
            </w:r>
            <w:r w:rsidR="00C51D45" w:rsidRPr="00C51D45">
              <w:t>2-d barcode</w:t>
            </w:r>
            <w:r w:rsidRPr="00C51D45">
              <w:t xml:space="preserve"> or</w:t>
            </w:r>
            <w:r>
              <w:t xml:space="preserve"> enter the product code. </w:t>
            </w:r>
          </w:p>
        </w:tc>
        <w:tc>
          <w:tcPr>
            <w:tcW w:w="6120" w:type="dxa"/>
          </w:tcPr>
          <w:p w14:paraId="04068EE9" w14:textId="46303D82" w:rsidR="004641E8" w:rsidRPr="004641E8" w:rsidRDefault="004641E8">
            <w:pPr>
              <w:pStyle w:val="TableTextBullet"/>
              <w:rPr>
                <w:color w:val="000000"/>
              </w:rPr>
            </w:pPr>
            <w:r>
              <w:t xml:space="preserve">When a user scans a product code </w:t>
            </w:r>
            <w:r w:rsidR="006D09BD">
              <w:t>barcode</w:t>
            </w:r>
            <w:r w:rsidR="00931D60">
              <w:t xml:space="preserve"> </w:t>
            </w:r>
            <w:r w:rsidR="006D09BD">
              <w:t>that is not activ</w:t>
            </w:r>
            <w:r>
              <w:t>ated in the user’s division, prompts the user to activate the code.</w:t>
            </w:r>
            <w:r w:rsidR="006D09BD">
              <w:t xml:space="preserve"> (See Blood Products.)</w:t>
            </w:r>
          </w:p>
          <w:p w14:paraId="0AA53805" w14:textId="77777777" w:rsidR="002A21AE" w:rsidRDefault="002A21AE">
            <w:pPr>
              <w:pStyle w:val="TableTextBullet"/>
              <w:rPr>
                <w:color w:val="000000"/>
              </w:rPr>
            </w:pPr>
            <w:r>
              <w:t xml:space="preserve">Displays the corresponding product code, product name, and (for </w:t>
            </w:r>
            <w:r w:rsidR="00073282">
              <w:t>ISBT) donation type (see Step 10</w:t>
            </w:r>
            <w:r>
              <w:t>).</w:t>
            </w:r>
          </w:p>
          <w:p w14:paraId="7F62D434" w14:textId="77777777" w:rsidR="002A21AE" w:rsidRDefault="002A21AE">
            <w:pPr>
              <w:pStyle w:val="TableTextBullet"/>
            </w:pPr>
            <w:r>
              <w:rPr>
                <w:color w:val="000000"/>
              </w:rPr>
              <w:t>When a unit ID of the same product type and code exists in a division, t</w:t>
            </w:r>
            <w:r>
              <w:t>he expiration date is in the future, and there is no record of inactivation or transfer of that unit ID and product code in the division’s record:</w:t>
            </w:r>
          </w:p>
          <w:p w14:paraId="0D73DE88" w14:textId="77777777" w:rsidR="002A21AE" w:rsidRDefault="002A21AE">
            <w:pPr>
              <w:pStyle w:val="TableTextBullet1"/>
            </w:pPr>
            <w:r>
              <w:t>Warns that the blood unit already exists in the division.</w:t>
            </w:r>
          </w:p>
          <w:p w14:paraId="312CC2D3" w14:textId="77777777" w:rsidR="002A21AE" w:rsidRDefault="002A21AE">
            <w:pPr>
              <w:pStyle w:val="TableTextBullet1"/>
            </w:pPr>
            <w:r>
              <w:t>Clears the data entry fields. The user may enter a different unit ID and product code.</w:t>
            </w:r>
          </w:p>
          <w:p w14:paraId="1D3AF411" w14:textId="77777777" w:rsidR="002A21AE" w:rsidRDefault="002A21AE">
            <w:pPr>
              <w:pStyle w:val="TableTextBullet"/>
            </w:pPr>
            <w:r>
              <w:rPr>
                <w:color w:val="000000"/>
              </w:rPr>
              <w:t>When a unit ID of the same product type and code exists in a division and t</w:t>
            </w:r>
            <w:r>
              <w:t xml:space="preserve">he unit in the division has an expiration date in the past, </w:t>
            </w:r>
            <w:r>
              <w:rPr>
                <w:noProof/>
              </w:rPr>
              <w:t>warns that t</w:t>
            </w:r>
            <w:r>
              <w:t>he blood unit already exists in the division.</w:t>
            </w:r>
          </w:p>
          <w:p w14:paraId="79B1FABA" w14:textId="77777777" w:rsidR="002A21AE" w:rsidRDefault="002A21AE">
            <w:pPr>
              <w:pStyle w:val="TableTextBullet"/>
            </w:pPr>
            <w:r>
              <w:rPr>
                <w:color w:val="000000"/>
              </w:rPr>
              <w:t>When a unit ID of the same product type and code exists in a division, t</w:t>
            </w:r>
            <w:r>
              <w:t>he unit status is “Transferred,” and the ABO/Rh and unit expiration date are identical to the existing unit of record:</w:t>
            </w:r>
          </w:p>
          <w:p w14:paraId="3BECA782" w14:textId="77777777" w:rsidR="002A21AE" w:rsidRDefault="002A21AE">
            <w:pPr>
              <w:pStyle w:val="TableTextBullet1"/>
            </w:pPr>
            <w:r>
              <w:t>Makes the existing unit record available.</w:t>
            </w:r>
          </w:p>
          <w:p w14:paraId="00E2FC79" w14:textId="77777777" w:rsidR="002A21AE" w:rsidRDefault="002A21AE">
            <w:pPr>
              <w:pStyle w:val="TableTextBullet1"/>
            </w:pPr>
            <w:r>
              <w:t xml:space="preserve">Warns that the user is attempting to reenter a unit in inventory. </w:t>
            </w:r>
            <w:r>
              <w:rPr>
                <w:b/>
              </w:rPr>
              <w:t>No</w:t>
            </w:r>
            <w:r>
              <w:t xml:space="preserve"> clears the unit. </w:t>
            </w:r>
            <w:r>
              <w:rPr>
                <w:b/>
              </w:rPr>
              <w:t>Yes</w:t>
            </w:r>
            <w:r>
              <w:t xml:space="preserve"> and saves the unit.</w:t>
            </w:r>
          </w:p>
          <w:p w14:paraId="1EFC640F" w14:textId="77777777" w:rsidR="002A21AE" w:rsidRDefault="002A21AE">
            <w:pPr>
              <w:pStyle w:val="TableTextBullet1"/>
            </w:pPr>
            <w:r>
              <w:t>Updates the unit status to “Limited” or “Available</w:t>
            </w:r>
            <w:r w:rsidR="00BA7846">
              <w:t>.</w:t>
            </w:r>
            <w:r>
              <w:t xml:space="preserve">” </w:t>
            </w:r>
          </w:p>
          <w:p w14:paraId="53974C78" w14:textId="77777777" w:rsidR="002A21AE" w:rsidRDefault="002A21AE">
            <w:pPr>
              <w:pStyle w:val="TableTextBullet1"/>
            </w:pPr>
            <w:r>
              <w:t>Updates the unit record to reflect the reentry of the unit in the division’s inventory. The user may add new information about this unit through Edit Unit Information.</w:t>
            </w:r>
          </w:p>
          <w:p w14:paraId="6E5D85B3" w14:textId="77777777" w:rsidR="004B4CE8" w:rsidRDefault="004B4CE8" w:rsidP="004B4CE8">
            <w:pPr>
              <w:pStyle w:val="TableTextBullet"/>
            </w:pPr>
            <w:r>
              <w:t>System determines barcode type(s) scanned based on hidden identifiers. System interprets and displays product name and donation type, as appropriate.</w:t>
            </w:r>
          </w:p>
          <w:p w14:paraId="14DF0DFB" w14:textId="77777777" w:rsidR="004B4CE8" w:rsidRDefault="004B4CE8" w:rsidP="004B4CE8">
            <w:pPr>
              <w:pStyle w:val="TableTextBullet"/>
            </w:pPr>
            <w:r>
              <w:t>System determines if the facility it full service or transfusion only.</w:t>
            </w:r>
          </w:p>
          <w:p w14:paraId="4C2803AA" w14:textId="77777777" w:rsidR="004B4CE8" w:rsidRDefault="004B4CE8" w:rsidP="004B4CE8">
            <w:pPr>
              <w:pStyle w:val="TableTextBullet"/>
            </w:pPr>
            <w:r>
              <w:t>System assigns the donation type to the unit or requires user input, as appropriate.</w:t>
            </w:r>
          </w:p>
          <w:p w14:paraId="3621746A" w14:textId="77777777" w:rsidR="002A21AE" w:rsidRDefault="002A21AE">
            <w:pPr>
              <w:pStyle w:val="TableText"/>
            </w:pPr>
          </w:p>
          <w:p w14:paraId="3C7BD050" w14:textId="4BC5B007" w:rsidR="002A21AE" w:rsidRDefault="002A21AE">
            <w:pPr>
              <w:pStyle w:val="TableText"/>
              <w:rPr>
                <w:b/>
                <w:bCs/>
                <w:szCs w:val="18"/>
              </w:rPr>
            </w:pPr>
            <w:r>
              <w:rPr>
                <w:b/>
                <w:bCs/>
                <w:szCs w:val="18"/>
              </w:rPr>
              <w:t>NOTES</w:t>
            </w:r>
          </w:p>
          <w:p w14:paraId="74F363AD" w14:textId="77777777" w:rsidR="002A21AE" w:rsidRDefault="002A21AE">
            <w:pPr>
              <w:pStyle w:val="NotesText"/>
              <w:ind w:left="0"/>
            </w:pPr>
            <w:r>
              <w:br/>
              <w:t>Scanned Product Codes</w:t>
            </w:r>
          </w:p>
          <w:p w14:paraId="3843E327" w14:textId="2AA5AF3C" w:rsidR="002A21AE" w:rsidRPr="00DE7667" w:rsidRDefault="002A21AE" w:rsidP="00DE7667">
            <w:pPr>
              <w:pStyle w:val="NotesText"/>
            </w:pPr>
            <w:r w:rsidRPr="00781DAE">
              <w:rPr>
                <w:rFonts w:cs="Arial"/>
                <w:vanish/>
              </w:rPr>
              <w:t>BR_1.42</w:t>
            </w:r>
            <w:r w:rsidRPr="009660C3">
              <w:rPr>
                <w:vanish/>
                <w:szCs w:val="18"/>
              </w:rPr>
              <w:t xml:space="preserve"> </w:t>
            </w:r>
            <w:r>
              <w:t xml:space="preserve">When a unit is transferred between facilities in a </w:t>
            </w:r>
            <w:r w:rsidR="0064398B">
              <w:t>multidivisional</w:t>
            </w:r>
            <w:r>
              <w:t xml:space="preserve"> database or is reentered after transfer to an unrelated facility, VBECS records all unit activity.</w:t>
            </w:r>
          </w:p>
          <w:p w14:paraId="1F6E1A06" w14:textId="77777777" w:rsidR="002A21AE" w:rsidRDefault="002A21AE">
            <w:pPr>
              <w:pStyle w:val="NotesText"/>
            </w:pPr>
          </w:p>
          <w:p w14:paraId="5DE91D43" w14:textId="77777777" w:rsidR="002A21AE" w:rsidRDefault="002A21AE">
            <w:pPr>
              <w:pStyle w:val="NotesText"/>
            </w:pPr>
            <w:r>
              <w:rPr>
                <w:b/>
                <w:bCs/>
              </w:rPr>
              <w:t>OK</w:t>
            </w:r>
            <w:r>
              <w:t xml:space="preserve"> returns the user to a blank screen to enter a different product. The user may enter a different product code.</w:t>
            </w:r>
          </w:p>
          <w:p w14:paraId="53147F50" w14:textId="77777777" w:rsidR="00185119" w:rsidRDefault="00185119">
            <w:pPr>
              <w:pStyle w:val="NotesText"/>
            </w:pPr>
          </w:p>
          <w:p w14:paraId="5464F016" w14:textId="4EC48D86" w:rsidR="00185119" w:rsidRDefault="00185119" w:rsidP="00185119">
            <w:pPr>
              <w:pStyle w:val="NotesText"/>
            </w:pPr>
            <w:r>
              <w:t xml:space="preserve">VBECS requires the full 8-digit ISBT 128 product code. The user should enter the 8-digit ISBT 128 product code as it appears on the blood unit label of the actual blood unit being entered into VBECS. When a user does not enter the sixth through eighth characters, VBECS automatically completes the required information with defaults, V and 00, respectively. This may be changed by clearing the unit information and entering the complete 8-digit ISBT </w:t>
            </w:r>
            <w:r w:rsidR="002E5AC8">
              <w:t>128-unit</w:t>
            </w:r>
            <w:r>
              <w:t xml:space="preserve"> product code.</w:t>
            </w:r>
            <w:r>
              <w:rPr>
                <w:vanish/>
              </w:rPr>
              <w:t xml:space="preserve"> </w:t>
            </w:r>
            <w:r w:rsidRPr="00185119">
              <w:rPr>
                <w:vanish/>
              </w:rPr>
              <w:t>DR 4484</w:t>
            </w:r>
          </w:p>
          <w:p w14:paraId="3F5B5588" w14:textId="77777777" w:rsidR="002A21AE" w:rsidRDefault="002A21AE">
            <w:pPr>
              <w:pStyle w:val="NotesText"/>
            </w:pPr>
          </w:p>
          <w:p w14:paraId="2DED1E92" w14:textId="239CA412" w:rsidR="002A21AE" w:rsidRPr="00D676C0" w:rsidRDefault="002A21AE">
            <w:pPr>
              <w:pStyle w:val="NotesText"/>
            </w:pPr>
            <w:r w:rsidRPr="00D676C0">
              <w:rPr>
                <w:rFonts w:cs="Arial"/>
                <w:vanish/>
              </w:rPr>
              <w:t xml:space="preserve">BR_1.50 </w:t>
            </w:r>
            <w:r w:rsidR="00084027" w:rsidRPr="00D676C0">
              <w:rPr>
                <w:rFonts w:cs="Arial"/>
              </w:rPr>
              <w:t>When adding an individual blood unit to the database, the volume default is based on the volume field from the Blood Product table entry that corresponds to the blood product code of the unit. The volume may be edited by the user within the range of 1 mL to 2000 mL</w:t>
            </w:r>
          </w:p>
          <w:p w14:paraId="00C97B00" w14:textId="4C805A4F" w:rsidR="000B3F35" w:rsidRPr="00D13D9B" w:rsidRDefault="000B3F35">
            <w:pPr>
              <w:pStyle w:val="NotesText"/>
              <w:rPr>
                <w:highlight w:val="green"/>
              </w:rPr>
            </w:pPr>
          </w:p>
          <w:p w14:paraId="1B620FF4" w14:textId="77777777" w:rsidR="002A21AE" w:rsidRDefault="002A21AE" w:rsidP="003947ED">
            <w:pPr>
              <w:pStyle w:val="NotesText"/>
              <w:rPr>
                <w:rFonts w:cs="Arial"/>
                <w:szCs w:val="18"/>
              </w:rPr>
            </w:pPr>
            <w:r>
              <w:rPr>
                <w:rFonts w:cs="Arial"/>
                <w:vanish/>
              </w:rPr>
              <w:t xml:space="preserve">BR_1.02 </w:t>
            </w:r>
            <w:r>
              <w:t>For each product type in a shipment, site parameters must indicate that the product is marked as active for the division and that a cost is associated with the shipper. If not, VBECS prompts the user to</w:t>
            </w:r>
            <w:r w:rsidR="003947ED">
              <w:t xml:space="preserve"> mark the component as active.</w:t>
            </w:r>
            <w:r w:rsidR="00AA6C54">
              <w:t xml:space="preserve"> </w:t>
            </w:r>
            <w:r w:rsidR="00D53BD0" w:rsidRPr="0030088C">
              <w:rPr>
                <w:rFonts w:cs="Arial"/>
                <w:szCs w:val="18"/>
              </w:rPr>
              <w:t>Blood product data entry cannot continue until the product is marked as active and a base unit cost is associated with the shipper.</w:t>
            </w:r>
          </w:p>
          <w:p w14:paraId="78D1796D" w14:textId="77777777" w:rsidR="008E48F6" w:rsidRDefault="008E48F6" w:rsidP="008E48F6">
            <w:pPr>
              <w:pStyle w:val="NotesText"/>
            </w:pPr>
          </w:p>
          <w:p w14:paraId="172C3F30" w14:textId="77777777" w:rsidR="008E48F6" w:rsidRDefault="008E48F6" w:rsidP="008E48F6">
            <w:pPr>
              <w:pStyle w:val="NotesText"/>
              <w:ind w:left="0"/>
            </w:pPr>
            <w:r>
              <w:t>For ISBT 128-labeled units:</w:t>
            </w:r>
          </w:p>
          <w:p w14:paraId="1780E031" w14:textId="77777777" w:rsidR="008E48F6" w:rsidRDefault="008E48F6" w:rsidP="008E48F6">
            <w:pPr>
              <w:pStyle w:val="NotesText"/>
            </w:pPr>
            <w:r>
              <w:rPr>
                <w:rFonts w:cs="Arial"/>
                <w:vanish/>
              </w:rPr>
              <w:t xml:space="preserve">BR_1.14 </w:t>
            </w:r>
            <w:r>
              <w:t>VBECS stores scanned ISBT 128 product codes and displays them as eight characters:</w:t>
            </w:r>
          </w:p>
          <w:p w14:paraId="462583C7" w14:textId="77777777" w:rsidR="008E48F6" w:rsidRDefault="008E48F6" w:rsidP="008E48F6">
            <w:pPr>
              <w:pStyle w:val="NotesTextBullet"/>
            </w:pPr>
            <w:r>
              <w:t>Characters 1–5 are used to search the ISBT Blood Product Table to identify the product type.</w:t>
            </w:r>
          </w:p>
          <w:p w14:paraId="283D4A2D" w14:textId="77777777" w:rsidR="008E48F6" w:rsidRDefault="008E48F6" w:rsidP="008E48F6">
            <w:pPr>
              <w:pStyle w:val="NotesTextBullet"/>
            </w:pPr>
            <w:r>
              <w:t>Character 6 indicates donation type.</w:t>
            </w:r>
          </w:p>
          <w:p w14:paraId="525374DE" w14:textId="77777777" w:rsidR="008E48F6" w:rsidRDefault="008E48F6" w:rsidP="008E48F6">
            <w:pPr>
              <w:pStyle w:val="NotesTextBullet"/>
            </w:pPr>
            <w:r>
              <w:t>Character 7 indicates a division at the time of collection.</w:t>
            </w:r>
          </w:p>
          <w:p w14:paraId="66B73E4A" w14:textId="2D6EDA3A" w:rsidR="008E48F6" w:rsidRDefault="008E48F6" w:rsidP="008E48F6">
            <w:pPr>
              <w:pStyle w:val="NotesTextBullet"/>
            </w:pPr>
            <w:r>
              <w:t>Character 8 indicates an additional aliquot.</w:t>
            </w:r>
          </w:p>
          <w:p w14:paraId="2BD41828" w14:textId="77777777" w:rsidR="00A5635C" w:rsidRDefault="00A5635C" w:rsidP="00A5635C">
            <w:pPr>
              <w:pStyle w:val="NotesTextBullet"/>
              <w:numPr>
                <w:ilvl w:val="0"/>
                <w:numId w:val="0"/>
              </w:numPr>
              <w:ind w:left="1008" w:hanging="288"/>
            </w:pPr>
          </w:p>
          <w:p w14:paraId="10B6A682" w14:textId="7FE791BD" w:rsidR="00A5635C" w:rsidRDefault="00A5635C" w:rsidP="00A5635C">
            <w:pPr>
              <w:pStyle w:val="NotesTextBullet"/>
              <w:numPr>
                <w:ilvl w:val="0"/>
                <w:numId w:val="0"/>
              </w:numPr>
              <w:ind w:left="1008" w:hanging="288"/>
            </w:pPr>
            <w:r w:rsidRPr="00447DC2">
              <w:rPr>
                <w:vanish/>
              </w:rPr>
              <w:t xml:space="preserve">BR_1.79 </w:t>
            </w:r>
            <w:r>
              <w:t>VBECS supports the scanning of ISB</w:t>
            </w:r>
            <w:r w:rsidR="00447DC2">
              <w:t>T</w:t>
            </w:r>
            <w:r>
              <w:t>-128 2-d barcodes by detecting  the appropriate hidden identifier.</w:t>
            </w:r>
          </w:p>
          <w:p w14:paraId="1EDD8E54" w14:textId="77777777" w:rsidR="00FF1194" w:rsidRDefault="00FF1194" w:rsidP="00FF1194">
            <w:pPr>
              <w:pStyle w:val="NotesTextBullet"/>
              <w:numPr>
                <w:ilvl w:val="0"/>
                <w:numId w:val="0"/>
              </w:numPr>
              <w:ind w:left="1008" w:hanging="288"/>
            </w:pPr>
          </w:p>
          <w:p w14:paraId="34A9E024" w14:textId="77777777" w:rsidR="00FF1194" w:rsidRDefault="00FF1194" w:rsidP="0086447D">
            <w:pPr>
              <w:pStyle w:val="NotesText"/>
            </w:pPr>
            <w:r w:rsidRPr="0086447D">
              <w:rPr>
                <w:vanish/>
              </w:rPr>
              <w:t xml:space="preserve">BR_1.75 </w:t>
            </w:r>
            <w:r w:rsidRPr="00FF1194">
              <w:t>When the user does not enter a donation type and unit division codes when manually entering a unit, the donation type is defaulted to "V" and defaults to "00" for the division characters. These are not editable after the unit is saved to the invoice.</w:t>
            </w:r>
          </w:p>
          <w:p w14:paraId="7408A4AF" w14:textId="77777777" w:rsidR="0086447D" w:rsidRDefault="0086447D" w:rsidP="0086447D">
            <w:pPr>
              <w:pStyle w:val="NotesText"/>
            </w:pPr>
          </w:p>
          <w:p w14:paraId="0AA2C517" w14:textId="77777777" w:rsidR="0086447D" w:rsidRDefault="0086447D" w:rsidP="0086447D">
            <w:pPr>
              <w:pStyle w:val="NotesText"/>
            </w:pPr>
            <w:r w:rsidRPr="0086447D">
              <w:rPr>
                <w:vanish/>
              </w:rPr>
              <w:t xml:space="preserve">BR_1.70 </w:t>
            </w:r>
            <w:r w:rsidRPr="0086447D">
              <w:t>Allow the entry of individual products associated with the active product categories.</w:t>
            </w:r>
          </w:p>
          <w:p w14:paraId="216FAC0B" w14:textId="77777777" w:rsidR="00813AE2" w:rsidRDefault="00813AE2" w:rsidP="0086447D">
            <w:pPr>
              <w:pStyle w:val="NotesText"/>
            </w:pPr>
          </w:p>
          <w:p w14:paraId="5427EDAC" w14:textId="77777777" w:rsidR="00813AE2" w:rsidRDefault="00813AE2" w:rsidP="0086447D">
            <w:pPr>
              <w:pStyle w:val="NotesText"/>
            </w:pPr>
            <w:r>
              <w:t>When a blood product code in the RED BLOOD CELLS or WHOLE BLOOD component class is entered, VBECS enables data entry of sickle cell negative and antigen typing.</w:t>
            </w:r>
          </w:p>
          <w:p w14:paraId="1AD5CADC" w14:textId="77777777" w:rsidR="006223D2" w:rsidRDefault="006223D2" w:rsidP="0086447D">
            <w:pPr>
              <w:pStyle w:val="NotesText"/>
            </w:pPr>
          </w:p>
          <w:p w14:paraId="16D41891" w14:textId="77777777" w:rsidR="006223D2" w:rsidRDefault="006223D2" w:rsidP="0086447D">
            <w:pPr>
              <w:pStyle w:val="NotesText"/>
            </w:pPr>
            <w:r>
              <w:t>The cytomegalovirus (CMV) negative data entry option is always enabled.</w:t>
            </w:r>
          </w:p>
          <w:p w14:paraId="61BF2075" w14:textId="77777777" w:rsidR="00462CAD" w:rsidRDefault="00462CAD" w:rsidP="0086447D">
            <w:pPr>
              <w:pStyle w:val="NotesText"/>
            </w:pPr>
          </w:p>
          <w:p w14:paraId="7C4D01AA" w14:textId="77777777" w:rsidR="00462CAD" w:rsidRPr="00462CAD" w:rsidRDefault="00462CAD" w:rsidP="00462CAD">
            <w:pPr>
              <w:pStyle w:val="NotesText"/>
            </w:pPr>
            <w:r w:rsidRPr="00462CAD">
              <w:rPr>
                <w:vanish/>
              </w:rPr>
              <w:t xml:space="preserve">BR_1.73 </w:t>
            </w:r>
            <w:r w:rsidR="00645BE3">
              <w:t xml:space="preserve">The system </w:t>
            </w:r>
            <w:r w:rsidRPr="00462CAD">
              <w:t>present</w:t>
            </w:r>
            <w:r w:rsidR="00645BE3">
              <w:t>s</w:t>
            </w:r>
            <w:r w:rsidRPr="00462CAD">
              <w:t xml:space="preserve"> </w:t>
            </w:r>
            <w:r w:rsidR="00645BE3">
              <w:t xml:space="preserve">an indicator for RBC </w:t>
            </w:r>
            <w:r w:rsidRPr="00462CAD">
              <w:t>contamination of equal to or greater than (</w:t>
            </w:r>
            <w:r w:rsidR="00C233B7">
              <w:t xml:space="preserve">= </w:t>
            </w:r>
            <w:r w:rsidRPr="00462CAD">
              <w:t xml:space="preserve">&gt;) 2 mL. </w:t>
            </w:r>
            <w:r w:rsidR="00645BE3">
              <w:t>RBC, WB and plasma products are set and not editable. PLATELET and OTHER products require evaluation and entry by the user.</w:t>
            </w:r>
          </w:p>
          <w:p w14:paraId="3145DCCE" w14:textId="77777777" w:rsidR="00462CAD" w:rsidRPr="00462CAD" w:rsidRDefault="00462CAD" w:rsidP="00462CAD">
            <w:pPr>
              <w:pStyle w:val="NotesText"/>
            </w:pPr>
          </w:p>
          <w:p w14:paraId="6034A306" w14:textId="77777777" w:rsidR="00462CAD" w:rsidRDefault="00462CAD" w:rsidP="00462CAD">
            <w:pPr>
              <w:pStyle w:val="NotesText"/>
            </w:pPr>
            <w:r w:rsidRPr="00462CAD">
              <w:rPr>
                <w:vanish/>
              </w:rPr>
              <w:t xml:space="preserve">BR_1.73 </w:t>
            </w:r>
            <w:r w:rsidRPr="00462CAD">
              <w:t>The</w:t>
            </w:r>
            <w:r w:rsidR="00813AE2">
              <w:t xml:space="preserve"> RBC contamination</w:t>
            </w:r>
            <w:r w:rsidRPr="00462CAD">
              <w:t xml:space="preserve"> indicator setting as saved is recorded as part of the unit record. The indicator displays with the Incoming Shipment entry on the Unit History Report</w:t>
            </w:r>
            <w:r>
              <w:t>.</w:t>
            </w:r>
          </w:p>
          <w:p w14:paraId="5E5F155D" w14:textId="77777777" w:rsidR="008B5229" w:rsidRDefault="008B5229" w:rsidP="00462CAD">
            <w:pPr>
              <w:pStyle w:val="NotesText"/>
            </w:pPr>
          </w:p>
          <w:p w14:paraId="00C3781E" w14:textId="77777777" w:rsidR="008B5229" w:rsidRDefault="008B5229" w:rsidP="00462CAD">
            <w:pPr>
              <w:pStyle w:val="NotesText"/>
              <w:rPr>
                <w:rFonts w:cs="Arial"/>
                <w:szCs w:val="18"/>
              </w:rPr>
            </w:pPr>
            <w:r w:rsidRPr="008B5229">
              <w:rPr>
                <w:rStyle w:val="StyleTableText9ptCharChar"/>
                <w:rFonts w:cs="Arial"/>
                <w:vanish/>
                <w:szCs w:val="18"/>
              </w:rPr>
              <w:t xml:space="preserve">BR_1.30 </w:t>
            </w:r>
            <w:r w:rsidRPr="0030088C">
              <w:rPr>
                <w:rStyle w:val="StyleTableText9ptCharChar"/>
                <w:rFonts w:cs="Arial"/>
                <w:szCs w:val="18"/>
              </w:rPr>
              <w:t>When the site parameter indicates that the site is</w:t>
            </w:r>
            <w:r w:rsidRPr="0030088C">
              <w:rPr>
                <w:rFonts w:cs="Arial"/>
                <w:szCs w:val="18"/>
              </w:rPr>
              <w:t xml:space="preserve"> a ‘Transfusion Only’ facility when units are added to the database, they are given a status of Available regardless of the required need for ABO/Rh confirmation testing as it is not required in this configuration.</w:t>
            </w:r>
          </w:p>
          <w:p w14:paraId="65E3B684" w14:textId="77777777" w:rsidR="008B5229" w:rsidRDefault="008B5229" w:rsidP="00462CAD">
            <w:pPr>
              <w:pStyle w:val="NotesText"/>
            </w:pPr>
          </w:p>
          <w:p w14:paraId="6BDDD8D1" w14:textId="77777777" w:rsidR="008B5229" w:rsidRPr="008B5229" w:rsidRDefault="008B5229" w:rsidP="008B5229">
            <w:pPr>
              <w:pStyle w:val="NotesText"/>
              <w:rPr>
                <w:rStyle w:val="StyleTableText9ptCharChar"/>
                <w:szCs w:val="18"/>
              </w:rPr>
            </w:pPr>
            <w:r w:rsidRPr="008B5229">
              <w:rPr>
                <w:rStyle w:val="StyleTableText9ptCharChar"/>
                <w:vanish/>
                <w:szCs w:val="18"/>
              </w:rPr>
              <w:t xml:space="preserve">BR_1.35 </w:t>
            </w:r>
            <w:r w:rsidRPr="008B5229">
              <w:rPr>
                <w:rStyle w:val="StyleTableText9ptCharChar"/>
                <w:szCs w:val="18"/>
              </w:rPr>
              <w:t>When processing units labeled using ISBT 128, all eight (8) characters are required when either:</w:t>
            </w:r>
          </w:p>
          <w:p w14:paraId="38D3C0B0" w14:textId="77777777" w:rsidR="008B5229" w:rsidRPr="0030088C" w:rsidRDefault="008B5229" w:rsidP="00925CAD">
            <w:pPr>
              <w:pStyle w:val="StyleTableText9ptChar"/>
              <w:numPr>
                <w:ilvl w:val="0"/>
                <w:numId w:val="60"/>
              </w:numPr>
              <w:rPr>
                <w:rFonts w:cs="Arial"/>
              </w:rPr>
            </w:pPr>
            <w:r w:rsidRPr="0030088C">
              <w:rPr>
                <w:rFonts w:cs="Arial"/>
              </w:rPr>
              <w:t>The site parameter indicates the site is a ‘transfusion only’ facility</w:t>
            </w:r>
          </w:p>
          <w:p w14:paraId="2E93F608" w14:textId="77777777" w:rsidR="008B5229" w:rsidRDefault="008B5229" w:rsidP="00925CAD">
            <w:pPr>
              <w:pStyle w:val="StyleTableText9ptChar"/>
              <w:numPr>
                <w:ilvl w:val="0"/>
                <w:numId w:val="60"/>
              </w:numPr>
              <w:rPr>
                <w:rFonts w:cs="Arial"/>
              </w:rPr>
            </w:pPr>
            <w:r w:rsidRPr="0030088C">
              <w:rPr>
                <w:rFonts w:cs="Arial"/>
              </w:rPr>
              <w:t>The donation type re</w:t>
            </w:r>
            <w:r>
              <w:rPr>
                <w:rFonts w:cs="Arial"/>
              </w:rPr>
              <w:t>quires restriction</w:t>
            </w:r>
            <w:r w:rsidRPr="0030088C">
              <w:rPr>
                <w:rFonts w:cs="Arial"/>
              </w:rPr>
              <w:t>. The blood unit processed must be restricted with a specific patient.</w:t>
            </w:r>
          </w:p>
          <w:p w14:paraId="7D525F6D" w14:textId="77777777" w:rsidR="008B5229" w:rsidRDefault="008B5229" w:rsidP="008B5229">
            <w:pPr>
              <w:pStyle w:val="NotesText"/>
              <w:rPr>
                <w:rFonts w:cs="Arial"/>
              </w:rPr>
            </w:pPr>
          </w:p>
          <w:p w14:paraId="299B1A96" w14:textId="6956F088" w:rsidR="00545FFE" w:rsidRPr="0032634C" w:rsidRDefault="00545FFE" w:rsidP="0032634C">
            <w:pPr>
              <w:pStyle w:val="NotesText"/>
              <w:rPr>
                <w:rFonts w:cs="Arial"/>
                <w:szCs w:val="18"/>
              </w:rPr>
            </w:pPr>
            <w:r w:rsidRPr="00545FFE">
              <w:rPr>
                <w:rFonts w:cs="Arial"/>
                <w:vanish/>
                <w:szCs w:val="18"/>
              </w:rPr>
              <w:t xml:space="preserve">BR_1.21 </w:t>
            </w:r>
            <w:r w:rsidRPr="0030088C">
              <w:rPr>
                <w:rFonts w:cs="Arial"/>
                <w:szCs w:val="18"/>
              </w:rPr>
              <w:t>An ISBT 128 ABO/Rh barcode is identified by the presence of</w:t>
            </w:r>
            <w:r w:rsidR="00372501">
              <w:rPr>
                <w:rFonts w:cs="Arial"/>
                <w:szCs w:val="18"/>
              </w:rPr>
              <w:t xml:space="preserve"> </w:t>
            </w:r>
            <w:r w:rsidRPr="0030088C">
              <w:rPr>
                <w:rFonts w:cs="Arial"/>
                <w:szCs w:val="18"/>
              </w:rPr>
              <w:t>hidden identifier</w:t>
            </w:r>
            <w:r w:rsidR="00372501">
              <w:rPr>
                <w:rFonts w:cs="Arial"/>
                <w:szCs w:val="18"/>
              </w:rPr>
              <w:t>s</w:t>
            </w:r>
            <w:r w:rsidRPr="0030088C">
              <w:rPr>
                <w:rFonts w:cs="Arial"/>
                <w:szCs w:val="18"/>
              </w:rPr>
              <w:t>. Once the hidden identifier is removed, the ABO/Rh is a four-character code.</w:t>
            </w:r>
          </w:p>
        </w:tc>
      </w:tr>
      <w:tr w:rsidR="002A21AE" w14:paraId="1FA2ACD1" w14:textId="77777777" w:rsidTr="0032634C">
        <w:trPr>
          <w:cantSplit/>
        </w:trPr>
        <w:tc>
          <w:tcPr>
            <w:tcW w:w="3240" w:type="dxa"/>
          </w:tcPr>
          <w:p w14:paraId="44D9E529" w14:textId="77777777" w:rsidR="002A21AE" w:rsidRDefault="00073282">
            <w:pPr>
              <w:pStyle w:val="TableTextNumbers"/>
            </w:pPr>
            <w:r>
              <w:t xml:space="preserve">For </w:t>
            </w:r>
            <w:r w:rsidR="002A21AE">
              <w:t xml:space="preserve">ISBT 128-labeled units, scan the ABO/Rh number barcode, enter the ABO/Rh, or select the ABO/Rh from the drop-down list. </w:t>
            </w:r>
          </w:p>
        </w:tc>
        <w:tc>
          <w:tcPr>
            <w:tcW w:w="6120" w:type="dxa"/>
          </w:tcPr>
          <w:p w14:paraId="763924F1" w14:textId="77777777" w:rsidR="002A21AE" w:rsidRDefault="002A21AE">
            <w:pPr>
              <w:pStyle w:val="TableTextBullet"/>
            </w:pPr>
            <w:r>
              <w:t>Displays the corresponding ABO/Rh.</w:t>
            </w:r>
          </w:p>
          <w:p w14:paraId="094B2398" w14:textId="77777777" w:rsidR="002A21AE" w:rsidRDefault="002A21AE">
            <w:pPr>
              <w:pStyle w:val="TableTextBullet"/>
              <w:rPr>
                <w:color w:val="000000"/>
              </w:rPr>
            </w:pPr>
            <w:r>
              <w:t>Allows the selection of only ABO/Rh types acceptable for ICCBBA component classes.</w:t>
            </w:r>
          </w:p>
          <w:p w14:paraId="22A14361" w14:textId="77777777" w:rsidR="002A21AE" w:rsidRDefault="002A21AE">
            <w:pPr>
              <w:pStyle w:val="TableTextBullet"/>
            </w:pPr>
            <w:r>
              <w:rPr>
                <w:rFonts w:cs="Arial"/>
                <w:vanish/>
              </w:rPr>
              <w:t xml:space="preserve">BR_1.66 </w:t>
            </w:r>
            <w:r>
              <w:t xml:space="preserve">Enables the ABO/Rh field when a valid product code is entered. </w:t>
            </w:r>
          </w:p>
        </w:tc>
      </w:tr>
      <w:tr w:rsidR="002A21AE" w14:paraId="1906F6F9" w14:textId="77777777" w:rsidTr="0032634C">
        <w:trPr>
          <w:cantSplit/>
        </w:trPr>
        <w:tc>
          <w:tcPr>
            <w:tcW w:w="3240" w:type="dxa"/>
          </w:tcPr>
          <w:p w14:paraId="3ECC99D4" w14:textId="77777777" w:rsidR="002A21AE" w:rsidRDefault="002A21AE">
            <w:pPr>
              <w:pStyle w:val="TableTextNumbers"/>
            </w:pPr>
            <w:r>
              <w:t>Scan the expiration date barcode or enter the expiration date and time when an expiration time is required.</w:t>
            </w:r>
          </w:p>
        </w:tc>
        <w:tc>
          <w:tcPr>
            <w:tcW w:w="6120" w:type="dxa"/>
          </w:tcPr>
          <w:p w14:paraId="4A3633EE" w14:textId="77777777" w:rsidR="002A21AE" w:rsidRDefault="002A21AE">
            <w:pPr>
              <w:pStyle w:val="TableTextBullet"/>
            </w:pPr>
            <w:r>
              <w:t>Displays the corresponding expiration date and time.</w:t>
            </w:r>
          </w:p>
          <w:p w14:paraId="1C730A1B" w14:textId="77777777" w:rsidR="002A21AE" w:rsidRDefault="002A21AE">
            <w:pPr>
              <w:pStyle w:val="TableText"/>
              <w:ind w:left="720"/>
            </w:pPr>
          </w:p>
          <w:p w14:paraId="04575CB8" w14:textId="79FECB5D" w:rsidR="002A21AE" w:rsidRDefault="002A21AE">
            <w:pPr>
              <w:pStyle w:val="TableText"/>
              <w:rPr>
                <w:b/>
                <w:bCs/>
                <w:szCs w:val="18"/>
              </w:rPr>
            </w:pPr>
            <w:r>
              <w:rPr>
                <w:b/>
                <w:bCs/>
                <w:szCs w:val="18"/>
              </w:rPr>
              <w:t>NOTES</w:t>
            </w:r>
          </w:p>
          <w:p w14:paraId="268CA715" w14:textId="77777777" w:rsidR="002A21AE" w:rsidRDefault="002A21AE">
            <w:pPr>
              <w:pStyle w:val="NotesText"/>
            </w:pPr>
          </w:p>
          <w:p w14:paraId="7CF298DB" w14:textId="79D47526" w:rsidR="00FF1194" w:rsidRPr="00FF1194" w:rsidRDefault="002A21AE" w:rsidP="00FF1194">
            <w:pPr>
              <w:pStyle w:val="NotesText"/>
            </w:pPr>
            <w:r w:rsidRPr="00FF1194">
              <w:rPr>
                <w:vanish/>
              </w:rPr>
              <w:t xml:space="preserve">BR_1.23 </w:t>
            </w:r>
            <w:r w:rsidR="00FF1194" w:rsidRPr="00FF1194">
              <w:t>A scanned ISBT 128 expiration date barcode is identified by the presence of hidden identifier</w:t>
            </w:r>
            <w:r w:rsidR="0017525B">
              <w:t>s</w:t>
            </w:r>
            <w:r w:rsidR="00FF1194" w:rsidRPr="00FF1194">
              <w:t>. Once the hidden identifier is removed, there are two possible formats of the barcode, one involving the date only and another involving date and time. If no time in the barcode, the default expiration time is 23:59.</w:t>
            </w:r>
          </w:p>
          <w:p w14:paraId="01DF0DA9" w14:textId="103C8CF6" w:rsidR="002A21AE" w:rsidRDefault="002A21AE" w:rsidP="00FF1194">
            <w:pPr>
              <w:pStyle w:val="NotesText"/>
            </w:pPr>
          </w:p>
          <w:p w14:paraId="651BC8DC" w14:textId="77777777" w:rsidR="002A21AE" w:rsidRDefault="002A21AE">
            <w:pPr>
              <w:pStyle w:val="NotesText"/>
            </w:pPr>
            <w:r>
              <w:rPr>
                <w:rFonts w:cs="Arial"/>
                <w:vanish/>
              </w:rPr>
              <w:t xml:space="preserve">BR_1.31 </w:t>
            </w:r>
            <w:r>
              <w:t xml:space="preserve">VBECS compares the entered blood product’s expiration date to the maximum storage date and time limit for the </w:t>
            </w:r>
            <w:r w:rsidR="00B10B13">
              <w:t>blood product</w:t>
            </w:r>
            <w:r>
              <w:t xml:space="preserve">. The date and time of shipment receipt are used as the collection date and time. When the expiration date entered exceeds the defined maximum storage time, VBECS displays an error message and clears the field. The user may reenter an expiration date and time for the product. </w:t>
            </w:r>
          </w:p>
          <w:p w14:paraId="75F5902A" w14:textId="77777777" w:rsidR="002A21AE" w:rsidRDefault="002A21AE">
            <w:pPr>
              <w:pStyle w:val="NotesText"/>
            </w:pPr>
            <w:r>
              <w:t> </w:t>
            </w:r>
          </w:p>
          <w:p w14:paraId="68A88FD8" w14:textId="3D7C1BB2" w:rsidR="002A21AE" w:rsidRDefault="002A21AE">
            <w:pPr>
              <w:pStyle w:val="NotesText"/>
            </w:pPr>
            <w:r>
              <w:t xml:space="preserve">Products </w:t>
            </w:r>
            <w:r w:rsidR="00352C41">
              <w:t>with</w:t>
            </w:r>
            <w:r>
              <w:t xml:space="preserve"> a maximum expiration date and time of </w:t>
            </w:r>
            <w:r>
              <w:rPr>
                <w:u w:val="single"/>
              </w:rPr>
              <w:t>&lt;</w:t>
            </w:r>
            <w:r>
              <w:t xml:space="preserve">24 hours default to an expiration time </w:t>
            </w:r>
            <w:r w:rsidR="00352C41">
              <w:rPr>
                <w:u w:val="single"/>
              </w:rPr>
              <w:t>&lt;</w:t>
            </w:r>
            <w:r>
              <w:t xml:space="preserve">24 hours from the time of the </w:t>
            </w:r>
            <w:r w:rsidR="00B10B13">
              <w:t xml:space="preserve">incoming shipment. Blood products </w:t>
            </w:r>
            <w:r>
              <w:t xml:space="preserve">with a maximum expiration date and time of </w:t>
            </w:r>
            <w:r>
              <w:rPr>
                <w:u w:val="single"/>
              </w:rPr>
              <w:t>&gt;</w:t>
            </w:r>
            <w:r>
              <w:t xml:space="preserve"> 24 hours have a default expiration time of 23:59.</w:t>
            </w:r>
          </w:p>
          <w:p w14:paraId="5D3F3F3F" w14:textId="77777777" w:rsidR="00B51FD4" w:rsidRDefault="00B51FD4">
            <w:pPr>
              <w:pStyle w:val="NotesText"/>
            </w:pPr>
          </w:p>
          <w:p w14:paraId="404937CD" w14:textId="25149AD4" w:rsidR="00B51FD4" w:rsidRDefault="004A34A4">
            <w:pPr>
              <w:pStyle w:val="NotesText"/>
            </w:pPr>
            <w:r>
              <w:t>Expiration date entries can be c</w:t>
            </w:r>
            <w:r w:rsidR="00B51FD4" w:rsidRPr="00B51FD4">
              <w:t>orrect</w:t>
            </w:r>
            <w:r>
              <w:t>ed before saving, as th</w:t>
            </w:r>
            <w:r w:rsidR="00B51FD4" w:rsidRPr="00B51FD4">
              <w:t>e</w:t>
            </w:r>
            <w:r>
              <w:t xml:space="preserve"> date</w:t>
            </w:r>
            <w:r w:rsidR="00B51FD4" w:rsidRPr="00B51FD4">
              <w:t xml:space="preserve"> is prese</w:t>
            </w:r>
            <w:r>
              <w:t xml:space="preserve">nted for review before final acceptance. </w:t>
            </w:r>
            <w:r w:rsidR="00E66ACD">
              <w:t>To correct a saved,</w:t>
            </w:r>
            <w:r>
              <w:t xml:space="preserve"> invalid Expiration Date, i</w:t>
            </w:r>
            <w:r w:rsidRPr="004A34A4">
              <w:t>nactivate and reente</w:t>
            </w:r>
            <w:r>
              <w:t>r the unit.</w:t>
            </w:r>
          </w:p>
          <w:p w14:paraId="76C7DB3D" w14:textId="24D0FE24" w:rsidR="00B51FD4" w:rsidRDefault="00B51FD4">
            <w:pPr>
              <w:pStyle w:val="NotesText"/>
            </w:pPr>
            <w:r>
              <w:t xml:space="preserve"> </w:t>
            </w:r>
          </w:p>
          <w:p w14:paraId="25A34396" w14:textId="77777777" w:rsidR="002A21AE" w:rsidRDefault="002A21AE">
            <w:pPr>
              <w:pStyle w:val="NotesText"/>
            </w:pPr>
          </w:p>
          <w:p w14:paraId="03649D79" w14:textId="77777777" w:rsidR="002A21AE" w:rsidRDefault="002A21AE">
            <w:pPr>
              <w:pStyle w:val="NotesText"/>
            </w:pPr>
            <w:r>
              <w:rPr>
                <w:rFonts w:cs="Arial"/>
                <w:vanish/>
              </w:rPr>
              <w:t xml:space="preserve">BR_1.61 </w:t>
            </w:r>
            <w:r w:rsidR="009965B7" w:rsidRPr="00896F17">
              <w:rPr>
                <w:rStyle w:val="BullhornChar"/>
              </w:rPr>
              <w:t></w:t>
            </w:r>
            <w:r w:rsidR="009965B7" w:rsidRPr="00D62E87">
              <w:rPr>
                <w:rFonts w:ascii="Webdings" w:hAnsi="Webdings"/>
              </w:rPr>
              <w:t></w:t>
            </w:r>
            <w:r>
              <w:t xml:space="preserve">When a unit expiration date precedes the incoming shipment date and time, VBECS emits an audible alert, </w:t>
            </w:r>
            <w:r>
              <w:rPr>
                <w:noProof/>
              </w:rPr>
              <w:t>warns that the user</w:t>
            </w:r>
            <w:r>
              <w:t xml:space="preserve"> is attempting to enter an expired unit, and asks whether the user wishes to continue. </w:t>
            </w:r>
          </w:p>
          <w:p w14:paraId="45F9E57A" w14:textId="77777777" w:rsidR="002A21AE" w:rsidRDefault="002A21AE">
            <w:pPr>
              <w:pStyle w:val="NotesText"/>
              <w:rPr>
                <w:b/>
              </w:rPr>
            </w:pPr>
          </w:p>
          <w:p w14:paraId="1EE54DD7" w14:textId="77777777" w:rsidR="002A21AE" w:rsidRDefault="002A21AE">
            <w:pPr>
              <w:pStyle w:val="NotesText"/>
            </w:pPr>
            <w:r>
              <w:rPr>
                <w:b/>
              </w:rPr>
              <w:t>No</w:t>
            </w:r>
            <w:r>
              <w:t xml:space="preserve"> clears the unit expiration date field. The user must enter a new, acceptable expiration date. </w:t>
            </w:r>
            <w:r>
              <w:rPr>
                <w:b/>
              </w:rPr>
              <w:t>Yes</w:t>
            </w:r>
            <w:r>
              <w:t xml:space="preserve"> requires the user to enter a comment.</w:t>
            </w:r>
          </w:p>
          <w:p w14:paraId="5DE806BF" w14:textId="77777777" w:rsidR="002A21AE" w:rsidRDefault="002A21AE">
            <w:pPr>
              <w:pStyle w:val="NotesText"/>
              <w:rPr>
                <w:rFonts w:cs="Arial"/>
              </w:rPr>
            </w:pPr>
          </w:p>
          <w:p w14:paraId="2957BED4" w14:textId="77777777" w:rsidR="002A21AE" w:rsidRDefault="002A21AE">
            <w:pPr>
              <w:pStyle w:val="NotesText"/>
              <w:rPr>
                <w:rFonts w:cs="Arial"/>
              </w:rPr>
            </w:pPr>
            <w:r>
              <w:rPr>
                <w:rFonts w:cs="Arial"/>
              </w:rPr>
              <w:t>VBECS captures details of this override in an Exception Report.</w:t>
            </w:r>
          </w:p>
          <w:p w14:paraId="2640A502" w14:textId="77777777" w:rsidR="00D30BE6" w:rsidRDefault="00D30BE6" w:rsidP="004C6F72">
            <w:pPr>
              <w:pStyle w:val="TableText"/>
              <w:rPr>
                <w:rFonts w:cs="Arial"/>
              </w:rPr>
            </w:pPr>
          </w:p>
        </w:tc>
      </w:tr>
      <w:tr w:rsidR="002A21AE" w14:paraId="7037DE73" w14:textId="77777777" w:rsidTr="0032634C">
        <w:trPr>
          <w:cantSplit/>
        </w:trPr>
        <w:tc>
          <w:tcPr>
            <w:tcW w:w="3240" w:type="dxa"/>
          </w:tcPr>
          <w:p w14:paraId="3B3D7F9B" w14:textId="77777777" w:rsidR="002A21AE" w:rsidRDefault="00073282" w:rsidP="00073282">
            <w:pPr>
              <w:pStyle w:val="TableTextNumbers"/>
            </w:pPr>
            <w:r>
              <w:t xml:space="preserve"> </w:t>
            </w:r>
            <w:r w:rsidR="002A21AE">
              <w:t>For ISBT 128-labeled units, accept the donation type based on character 6 of the product code (cannot be edited) or, when character 6 is “0,” indicate a donation type.</w:t>
            </w:r>
          </w:p>
        </w:tc>
        <w:tc>
          <w:tcPr>
            <w:tcW w:w="6120" w:type="dxa"/>
          </w:tcPr>
          <w:p w14:paraId="41552C49" w14:textId="77777777" w:rsidR="002A21AE" w:rsidRDefault="002A21AE">
            <w:pPr>
              <w:pStyle w:val="TableTextBullet"/>
            </w:pPr>
            <w:r>
              <w:t xml:space="preserve">Assigns the donation type to the unit or requires user input, as needed. </w:t>
            </w:r>
          </w:p>
          <w:p w14:paraId="7B90B13A" w14:textId="77777777" w:rsidR="002A21AE" w:rsidRDefault="002A21AE">
            <w:pPr>
              <w:pStyle w:val="TableTextBullet"/>
            </w:pPr>
            <w:r>
              <w:t>Requires data entry of the “reserved for” patient name and/or patient ID and the disease market testing status for “autologous” and “directed” donation types.</w:t>
            </w:r>
          </w:p>
          <w:p w14:paraId="78EBED8F" w14:textId="77777777" w:rsidR="002A21AE" w:rsidRDefault="002A21AE">
            <w:pPr>
              <w:pStyle w:val="TableText"/>
              <w:ind w:left="720"/>
            </w:pPr>
          </w:p>
          <w:p w14:paraId="0E0591F2" w14:textId="3ECCB249" w:rsidR="002A21AE" w:rsidRDefault="002A21AE">
            <w:pPr>
              <w:pStyle w:val="TableText"/>
              <w:rPr>
                <w:b/>
                <w:bCs/>
                <w:szCs w:val="18"/>
              </w:rPr>
            </w:pPr>
            <w:r>
              <w:rPr>
                <w:b/>
                <w:bCs/>
                <w:szCs w:val="18"/>
              </w:rPr>
              <w:t>NOTES</w:t>
            </w:r>
          </w:p>
          <w:p w14:paraId="06BCA24C" w14:textId="77777777" w:rsidR="002A21AE" w:rsidRDefault="002A21AE">
            <w:pPr>
              <w:pStyle w:val="NotesText"/>
            </w:pPr>
          </w:p>
          <w:p w14:paraId="0DAAE5A0" w14:textId="77777777" w:rsidR="002A21AE" w:rsidRDefault="002A21AE">
            <w:pPr>
              <w:pStyle w:val="NotesText"/>
            </w:pPr>
            <w:r>
              <w:rPr>
                <w:rFonts w:cs="Arial"/>
                <w:vanish/>
              </w:rPr>
              <w:t xml:space="preserve">BR_1.26 </w:t>
            </w:r>
            <w:r>
              <w:t>When a site is a transfusion-only facility, each unit processed must be restricted to a specific patient regardless of donation type.</w:t>
            </w:r>
          </w:p>
        </w:tc>
      </w:tr>
      <w:tr w:rsidR="002A21AE" w14:paraId="6B529E43" w14:textId="77777777" w:rsidTr="0032634C">
        <w:trPr>
          <w:cantSplit/>
        </w:trPr>
        <w:tc>
          <w:tcPr>
            <w:tcW w:w="3240" w:type="dxa"/>
          </w:tcPr>
          <w:p w14:paraId="2A5DCBE1" w14:textId="77777777" w:rsidR="002A21AE" w:rsidRDefault="0017553F">
            <w:pPr>
              <w:pStyle w:val="TableTextNumbers"/>
            </w:pPr>
            <w:r>
              <w:t xml:space="preserve">Click the </w:t>
            </w:r>
            <w:r w:rsidR="00A6373D">
              <w:rPr>
                <w:b/>
              </w:rPr>
              <w:t>find</w:t>
            </w:r>
            <w:r w:rsidRPr="00BF2E41">
              <w:t xml:space="preserve"> button</w:t>
            </w:r>
            <w:r>
              <w:t xml:space="preserve"> next to the Restricted For Patient field to </w:t>
            </w:r>
            <w:r w:rsidR="00034390">
              <w:t>i</w:t>
            </w:r>
            <w:r w:rsidR="002A21AE">
              <w:t>ndicate the patient for whom the unit is reserved, as needed.</w:t>
            </w:r>
          </w:p>
        </w:tc>
        <w:tc>
          <w:tcPr>
            <w:tcW w:w="6120" w:type="dxa"/>
          </w:tcPr>
          <w:p w14:paraId="6B633201" w14:textId="77777777" w:rsidR="002A21AE" w:rsidRDefault="002A21AE">
            <w:pPr>
              <w:pStyle w:val="TableTextBullet"/>
            </w:pPr>
            <w:r>
              <w:t xml:space="preserve">Allows the user to search for active </w:t>
            </w:r>
            <w:r w:rsidR="00CA0045" w:rsidRPr="00CA0045">
              <w:rPr>
                <w:bCs/>
              </w:rPr>
              <w:t>VistA</w:t>
            </w:r>
            <w:r>
              <w:rPr>
                <w:bCs/>
              </w:rPr>
              <w:t xml:space="preserve"> patients to associate with the unit.</w:t>
            </w:r>
          </w:p>
          <w:p w14:paraId="57824434" w14:textId="77777777" w:rsidR="002A21AE" w:rsidRDefault="002A21AE">
            <w:pPr>
              <w:pStyle w:val="TableTextBullet"/>
            </w:pPr>
            <w:r>
              <w:t>Requires data entry of a patient name and/or patient ID to associate the unit with that patient when a unit has a “directed” or “autologous” donation type or the receiving facility is a “transfusion-only” facility.</w:t>
            </w:r>
          </w:p>
          <w:p w14:paraId="3B7F51D6" w14:textId="77777777" w:rsidR="002A21AE" w:rsidRDefault="002A21AE">
            <w:pPr>
              <w:pStyle w:val="TableTextBullet"/>
            </w:pPr>
            <w:r>
              <w:t xml:space="preserve">When no match exists, </w:t>
            </w:r>
            <w:r>
              <w:rPr>
                <w:noProof/>
              </w:rPr>
              <w:t>warns the user.</w:t>
            </w:r>
          </w:p>
          <w:p w14:paraId="1E735B81" w14:textId="77777777" w:rsidR="002A21AE" w:rsidRDefault="002A21AE">
            <w:pPr>
              <w:pStyle w:val="TableTextBullet"/>
            </w:pPr>
            <w:r>
              <w:t>When the unit is autologous, requires a user to indicate the disease marker testing status:</w:t>
            </w:r>
          </w:p>
          <w:p w14:paraId="4A8A38C2" w14:textId="77777777" w:rsidR="002A21AE" w:rsidRDefault="002A21AE">
            <w:pPr>
              <w:pStyle w:val="TableTextBullet1"/>
            </w:pPr>
            <w:r>
              <w:t>NEG: unit fully tested and negative for all disease markers</w:t>
            </w:r>
          </w:p>
          <w:p w14:paraId="33B03C99" w14:textId="77777777" w:rsidR="002A21AE" w:rsidRDefault="002A21AE">
            <w:pPr>
              <w:pStyle w:val="TableTextBullet1"/>
            </w:pPr>
            <w:r>
              <w:t>POS: unit tested and positive for one or more disease markers (biohazard)</w:t>
            </w:r>
          </w:p>
          <w:p w14:paraId="0B11966C" w14:textId="77777777" w:rsidR="002A21AE" w:rsidRDefault="002A21AE">
            <w:pPr>
              <w:pStyle w:val="TableTextBullet1"/>
            </w:pPr>
            <w:r>
              <w:t>NFT: unit not fully tested for one or more disease markers (biohazard)</w:t>
            </w:r>
          </w:p>
          <w:p w14:paraId="3CC462BC" w14:textId="77777777" w:rsidR="002A21AE" w:rsidRDefault="002A21AE">
            <w:pPr>
              <w:pStyle w:val="TableText"/>
            </w:pPr>
          </w:p>
          <w:p w14:paraId="550C944C" w14:textId="4DE06BF7" w:rsidR="002A21AE" w:rsidRDefault="002A21AE">
            <w:pPr>
              <w:pStyle w:val="TableText"/>
              <w:rPr>
                <w:b/>
                <w:bCs/>
                <w:szCs w:val="18"/>
              </w:rPr>
            </w:pPr>
            <w:r>
              <w:rPr>
                <w:b/>
                <w:bCs/>
                <w:szCs w:val="18"/>
              </w:rPr>
              <w:t>NOTES</w:t>
            </w:r>
          </w:p>
          <w:p w14:paraId="5EA204D2" w14:textId="77777777" w:rsidR="002A21AE" w:rsidRDefault="002A21AE">
            <w:pPr>
              <w:pStyle w:val="NotesText"/>
            </w:pPr>
          </w:p>
          <w:p w14:paraId="089FC4A2" w14:textId="77777777" w:rsidR="001C50C2" w:rsidRDefault="001C50C2">
            <w:pPr>
              <w:pStyle w:val="NotesText"/>
              <w:rPr>
                <w:rFonts w:cs="Arial"/>
              </w:rPr>
            </w:pPr>
            <w:r w:rsidRPr="001C50C2">
              <w:rPr>
                <w:rFonts w:cs="Arial"/>
              </w:rPr>
              <w:t xml:space="preserve">Displays a message when the user selects a patient with a blank first or last name, or the name is too long. The user is instructed to contact the VBECS Administrator for assistance. </w:t>
            </w:r>
            <w:r w:rsidRPr="001C50C2">
              <w:rPr>
                <w:rFonts w:cs="Arial"/>
                <w:vanish/>
              </w:rPr>
              <w:t>DR 3444</w:t>
            </w:r>
          </w:p>
          <w:p w14:paraId="7447343E" w14:textId="77777777" w:rsidR="001C50C2" w:rsidRDefault="001C50C2">
            <w:pPr>
              <w:pStyle w:val="NotesText"/>
              <w:rPr>
                <w:rFonts w:cs="Arial"/>
              </w:rPr>
            </w:pPr>
          </w:p>
          <w:p w14:paraId="6AAC33F8" w14:textId="77777777" w:rsidR="002A21AE" w:rsidRDefault="00D407D0">
            <w:pPr>
              <w:pStyle w:val="NotesText"/>
            </w:pPr>
            <w:r>
              <w:rPr>
                <w:rFonts w:cs="Arial"/>
                <w:vanish/>
              </w:rPr>
              <w:t>DR 1,041</w:t>
            </w:r>
            <w:r w:rsidRPr="00D407D0">
              <w:rPr>
                <w:rFonts w:cs="Arial"/>
                <w:szCs w:val="18"/>
              </w:rPr>
              <w:t xml:space="preserve">The Patient Blood Availability Report does not include restricted units not assigned </w:t>
            </w:r>
            <w:r>
              <w:rPr>
                <w:rFonts w:cs="Arial"/>
                <w:szCs w:val="18"/>
              </w:rPr>
              <w:t xml:space="preserve">to a patient. To track such units, the user may enter restricted units’ IDs in the Special Instruction field in Special Instructions &amp; Transfusion Requirements: Enter and Remove Special </w:t>
            </w:r>
            <w:r w:rsidR="00541DC0">
              <w:rPr>
                <w:rFonts w:cs="Arial"/>
                <w:szCs w:val="18"/>
              </w:rPr>
              <w:t>Instructions. When</w:t>
            </w:r>
            <w:r w:rsidR="002A21AE">
              <w:t xml:space="preserve"> a user restricts a unit to a patient and VBECS does not find that patient in its database, VBECS searches </w:t>
            </w:r>
            <w:r w:rsidR="00CA0045" w:rsidRPr="00CA0045">
              <w:rPr>
                <w:bCs/>
              </w:rPr>
              <w:t>VistA</w:t>
            </w:r>
            <w:r w:rsidR="002A21AE">
              <w:t>. When it finds a valid patient, VBECS adds the patient to the database.</w:t>
            </w:r>
          </w:p>
        </w:tc>
      </w:tr>
      <w:tr w:rsidR="002A21AE" w14:paraId="15299BBF" w14:textId="77777777" w:rsidTr="0032634C">
        <w:trPr>
          <w:cantSplit/>
        </w:trPr>
        <w:tc>
          <w:tcPr>
            <w:tcW w:w="3240" w:type="dxa"/>
          </w:tcPr>
          <w:p w14:paraId="5B8E6321" w14:textId="77777777" w:rsidR="002A21AE" w:rsidRDefault="002A21AE">
            <w:pPr>
              <w:pStyle w:val="TableTextNumbers"/>
            </w:pPr>
            <w:r>
              <w:t>Do one or more:</w:t>
            </w:r>
          </w:p>
          <w:p w14:paraId="007DCD52" w14:textId="77777777" w:rsidR="002A21AE" w:rsidRDefault="002A21AE">
            <w:pPr>
              <w:pStyle w:val="TableTextNumbersContinued"/>
            </w:pPr>
          </w:p>
          <w:p w14:paraId="753A7E94" w14:textId="77777777" w:rsidR="002A21AE" w:rsidRDefault="002A21AE">
            <w:pPr>
              <w:pStyle w:val="TableTextNumbersContinued"/>
            </w:pPr>
            <w:r>
              <w:t xml:space="preserve">Accept the blank check boxes or click a check box to indicate that a unit is CMV Negative or Sickle Cell Negative. </w:t>
            </w:r>
          </w:p>
          <w:p w14:paraId="6016F205" w14:textId="77777777" w:rsidR="002A21AE" w:rsidRDefault="002A21AE">
            <w:pPr>
              <w:pStyle w:val="TableTextNumbersContinued"/>
            </w:pPr>
          </w:p>
          <w:p w14:paraId="6B4F91BD" w14:textId="77777777" w:rsidR="002A21AE" w:rsidRDefault="002A21AE">
            <w:pPr>
              <w:pStyle w:val="TableTextNumbersContinued"/>
            </w:pPr>
            <w:r>
              <w:t>Enter an additional cost.</w:t>
            </w:r>
          </w:p>
          <w:p w14:paraId="6696FD63" w14:textId="77777777" w:rsidR="002A21AE" w:rsidRDefault="002A21AE">
            <w:pPr>
              <w:pStyle w:val="TableTextNumbersContinued"/>
            </w:pPr>
          </w:p>
          <w:p w14:paraId="4983B760" w14:textId="0C1ED57A" w:rsidR="002A21AE" w:rsidRDefault="002A21AE">
            <w:pPr>
              <w:pStyle w:val="TableTextNumbersContinued"/>
            </w:pPr>
            <w:r>
              <w:t>Enter an antigen phenotype for a unit</w:t>
            </w:r>
            <w:r w:rsidR="00DC6B68">
              <w:t xml:space="preserve"> (</w:t>
            </w:r>
            <w:r w:rsidR="00EE455E">
              <w:t xml:space="preserve">Figure </w:t>
            </w:r>
            <w:r w:rsidR="00EE455E">
              <w:rPr>
                <w:noProof/>
              </w:rPr>
              <w:t>47</w:t>
            </w:r>
            <w:r w:rsidR="00DC6B68">
              <w:t>)</w:t>
            </w:r>
            <w:r>
              <w:t xml:space="preserve">. </w:t>
            </w:r>
          </w:p>
        </w:tc>
        <w:tc>
          <w:tcPr>
            <w:tcW w:w="6120" w:type="dxa"/>
          </w:tcPr>
          <w:p w14:paraId="5D1EB3BE" w14:textId="09F0DFFB" w:rsidR="002A21AE" w:rsidRDefault="002A21AE">
            <w:pPr>
              <w:pStyle w:val="TableTextBullet"/>
            </w:pPr>
            <w:r>
              <w:t>Displays an option to save or clear unit information.</w:t>
            </w:r>
          </w:p>
          <w:p w14:paraId="78CD4D4A" w14:textId="498B0EB7" w:rsidR="00CA2E17" w:rsidRDefault="00CA2E17">
            <w:pPr>
              <w:pStyle w:val="TableTextBullet"/>
            </w:pPr>
            <w:r>
              <w:t>Allows the user to enter a comment.</w:t>
            </w:r>
          </w:p>
          <w:p w14:paraId="7DE26001" w14:textId="77777777" w:rsidR="002A21AE" w:rsidRDefault="002A21AE">
            <w:pPr>
              <w:pStyle w:val="TableText"/>
            </w:pPr>
          </w:p>
          <w:p w14:paraId="7089FA5A" w14:textId="359ACD94" w:rsidR="002A21AE" w:rsidRDefault="002A21AE">
            <w:pPr>
              <w:pStyle w:val="TableText"/>
              <w:rPr>
                <w:b/>
                <w:bCs/>
                <w:szCs w:val="18"/>
              </w:rPr>
            </w:pPr>
            <w:r>
              <w:rPr>
                <w:b/>
                <w:bCs/>
                <w:szCs w:val="18"/>
              </w:rPr>
              <w:t>NOTES</w:t>
            </w:r>
          </w:p>
          <w:p w14:paraId="78562F6D" w14:textId="77777777" w:rsidR="002A21AE" w:rsidRDefault="002A21AE">
            <w:pPr>
              <w:pStyle w:val="NotesText"/>
            </w:pPr>
          </w:p>
          <w:p w14:paraId="1D66559F" w14:textId="77777777" w:rsidR="002A21AE" w:rsidRDefault="002A21AE" w:rsidP="00137C68">
            <w:pPr>
              <w:pStyle w:val="NotesText"/>
            </w:pPr>
            <w:r>
              <w:t>VBECS accommodates data entry of:</w:t>
            </w:r>
          </w:p>
          <w:p w14:paraId="79EF7353" w14:textId="18180E8B" w:rsidR="002A21AE" w:rsidRDefault="002A21AE">
            <w:pPr>
              <w:pStyle w:val="NotesTextBullet"/>
            </w:pPr>
            <w:r>
              <w:rPr>
                <w:rFonts w:cs="Arial"/>
                <w:vanish/>
              </w:rPr>
              <w:t xml:space="preserve">BR_1.46 </w:t>
            </w:r>
            <w:r>
              <w:t xml:space="preserve">A single special </w:t>
            </w:r>
            <w:r w:rsidR="001C07FE">
              <w:t>testing</w:t>
            </w:r>
            <w:r>
              <w:t xml:space="preserve"> cost (the sum of charges from $0.00 to $</w:t>
            </w:r>
            <w:r w:rsidR="001C07FE">
              <w:t>9,</w:t>
            </w:r>
            <w:r>
              <w:t>999.</w:t>
            </w:r>
            <w:r w:rsidR="001C07FE">
              <w:t>99</w:t>
            </w:r>
            <w:r>
              <w:t>, other than the base unit cost) to associate with a unit.</w:t>
            </w:r>
          </w:p>
          <w:p w14:paraId="72282AB0" w14:textId="77777777" w:rsidR="002A21AE" w:rsidRDefault="002A21AE">
            <w:pPr>
              <w:pStyle w:val="NotesText"/>
            </w:pPr>
          </w:p>
          <w:p w14:paraId="09FAA5BD" w14:textId="6D860022" w:rsidR="002A21AE" w:rsidRDefault="002A21AE">
            <w:pPr>
              <w:pStyle w:val="NotesText"/>
            </w:pPr>
            <w:r>
              <w:rPr>
                <w:rFonts w:cs="Arial"/>
                <w:vanish/>
              </w:rPr>
              <w:t xml:space="preserve">BR_1.45 </w:t>
            </w:r>
            <w:r>
              <w:t xml:space="preserve">An antigen type may be positive or negative for any antigen listed as a VBECS corresponding antigen in </w:t>
            </w:r>
            <w:r w:rsidR="00EE455E">
              <w:t xml:space="preserve">Appendix </w:t>
            </w:r>
            <w:r w:rsidR="00EE455E">
              <w:rPr>
                <w:noProof/>
              </w:rPr>
              <w:t>B</w:t>
            </w:r>
            <w:r>
              <w:t xml:space="preserve">: </w:t>
            </w:r>
            <w:r w:rsidR="00EE455E">
              <w:t xml:space="preserve">Table </w:t>
            </w:r>
            <w:r w:rsidR="00EE455E">
              <w:rPr>
                <w:noProof/>
              </w:rPr>
              <w:t>14</w:t>
            </w:r>
            <w:r w:rsidR="00EE455E">
              <w:t xml:space="preserve">: </w:t>
            </w:r>
            <w:r w:rsidR="00EE455E">
              <w:rPr>
                <w:vanish/>
              </w:rPr>
              <w:t xml:space="preserve">TT_23.01A </w:t>
            </w:r>
            <w:r w:rsidR="00EE455E">
              <w:t>Antibody and Antigen Table: Irregular Antibodies</w:t>
            </w:r>
            <w:r>
              <w:t>. An antigen may not be positive and negative for the same unit.</w:t>
            </w:r>
          </w:p>
          <w:p w14:paraId="6FB50A9D" w14:textId="77777777" w:rsidR="005710CE" w:rsidRDefault="005710CE">
            <w:pPr>
              <w:pStyle w:val="NotesText"/>
            </w:pPr>
          </w:p>
          <w:p w14:paraId="4B2FA7D2" w14:textId="77777777" w:rsidR="005710CE" w:rsidRDefault="005710CE" w:rsidP="0032634C">
            <w:pPr>
              <w:pStyle w:val="NotesText"/>
              <w:rPr>
                <w:rFonts w:cs="Arial"/>
                <w:szCs w:val="18"/>
              </w:rPr>
            </w:pPr>
            <w:r w:rsidRPr="005710CE">
              <w:rPr>
                <w:rFonts w:cs="Arial"/>
                <w:vanish/>
                <w:szCs w:val="18"/>
              </w:rPr>
              <w:t xml:space="preserve">BR_1.01 </w:t>
            </w:r>
            <w:r w:rsidRPr="0030088C">
              <w:rPr>
                <w:rFonts w:cs="Arial"/>
                <w:szCs w:val="18"/>
              </w:rPr>
              <w:t>The shipper of the shipment is used to determine the actual costs of the blood products contained in the shipment. The shipper is the “ship from/ship to” shipper and may or may not be the same as the shipper that collected and/or processed the blood product as indicated on the blood component label. A user can select a shipper from previously activated shipper entries that have been marked as active shipper for a division.</w:t>
            </w:r>
          </w:p>
          <w:p w14:paraId="7286B8D1" w14:textId="77777777" w:rsidR="006E30BA" w:rsidRDefault="006E30BA" w:rsidP="006E30BA">
            <w:pPr>
              <w:pStyle w:val="NotesText"/>
            </w:pPr>
          </w:p>
          <w:p w14:paraId="1AEB2CF4" w14:textId="77777777" w:rsidR="006E30BA" w:rsidRDefault="006E30BA" w:rsidP="006E30BA">
            <w:pPr>
              <w:pStyle w:val="NotesText"/>
              <w:rPr>
                <w:rFonts w:cs="Arial"/>
                <w:szCs w:val="18"/>
              </w:rPr>
            </w:pPr>
            <w:r w:rsidRPr="005710CE">
              <w:rPr>
                <w:rFonts w:cs="Arial"/>
                <w:vanish/>
                <w:szCs w:val="18"/>
              </w:rPr>
              <w:t>BR_1.</w:t>
            </w:r>
            <w:r>
              <w:rPr>
                <w:rFonts w:cs="Arial"/>
                <w:vanish/>
                <w:szCs w:val="18"/>
              </w:rPr>
              <w:t>77</w:t>
            </w:r>
            <w:r w:rsidRPr="005710CE">
              <w:rPr>
                <w:rFonts w:cs="Arial"/>
                <w:vanish/>
                <w:szCs w:val="18"/>
              </w:rPr>
              <w:t xml:space="preserve"> </w:t>
            </w:r>
            <w:r w:rsidRPr="0030088C">
              <w:rPr>
                <w:rFonts w:cs="Arial"/>
                <w:szCs w:val="18"/>
              </w:rPr>
              <w:t xml:space="preserve">The </w:t>
            </w:r>
            <w:r>
              <w:rPr>
                <w:rFonts w:cs="Arial"/>
                <w:szCs w:val="18"/>
              </w:rPr>
              <w:t>user may enter a comment in the "Incoming Shipment" comment context and a free text comment</w:t>
            </w:r>
            <w:r w:rsidRPr="0030088C">
              <w:rPr>
                <w:rFonts w:cs="Arial"/>
                <w:szCs w:val="18"/>
              </w:rPr>
              <w:t>.</w:t>
            </w:r>
            <w:r>
              <w:rPr>
                <w:rFonts w:cs="Arial"/>
                <w:szCs w:val="18"/>
              </w:rPr>
              <w:t xml:space="preserve"> </w:t>
            </w:r>
            <w:r w:rsidRPr="006E30BA">
              <w:rPr>
                <w:rFonts w:cs="Arial"/>
                <w:szCs w:val="18"/>
              </w:rPr>
              <w:t>The comment will be displayed in the Unit History Report, Incoming Shipment section and may be edited in Edit Unit Information</w:t>
            </w:r>
            <w:r>
              <w:rPr>
                <w:rFonts w:cs="Arial"/>
                <w:szCs w:val="18"/>
              </w:rPr>
              <w:t xml:space="preserve">. </w:t>
            </w:r>
          </w:p>
          <w:p w14:paraId="6601E499" w14:textId="77777777" w:rsidR="004C7721" w:rsidRDefault="004C7721" w:rsidP="006E30BA">
            <w:pPr>
              <w:pStyle w:val="NotesText"/>
              <w:rPr>
                <w:rFonts w:cs="Arial"/>
                <w:szCs w:val="18"/>
              </w:rPr>
            </w:pPr>
          </w:p>
          <w:p w14:paraId="36FFFA14" w14:textId="427F79E3" w:rsidR="004C7721" w:rsidRPr="0032634C" w:rsidRDefault="004C7721" w:rsidP="006E30BA">
            <w:pPr>
              <w:pStyle w:val="NotesText"/>
              <w:rPr>
                <w:rFonts w:cs="Arial"/>
                <w:szCs w:val="18"/>
              </w:rPr>
            </w:pPr>
            <w:r w:rsidRPr="004C7721">
              <w:rPr>
                <w:rFonts w:cs="Arial"/>
                <w:vanish/>
                <w:szCs w:val="18"/>
              </w:rPr>
              <w:t>BR_1.78</w:t>
            </w:r>
            <w:r w:rsidR="006A7B5C">
              <w:rPr>
                <w:rFonts w:cs="Arial"/>
                <w:vanish/>
                <w:szCs w:val="18"/>
              </w:rPr>
              <w:t xml:space="preserve"> </w:t>
            </w:r>
            <w:r>
              <w:rPr>
                <w:rFonts w:cs="Arial"/>
                <w:szCs w:val="18"/>
              </w:rPr>
              <w:t>VBECS supports the scanning of ISBT 128 special testing information barcodes by detecting the appropriate hidden identifiers. The scanned special testing value may populate the CMV Negative field, the Antigen list, and/or the Comment, based on the value scanned.</w:t>
            </w:r>
          </w:p>
        </w:tc>
      </w:tr>
      <w:tr w:rsidR="002A21AE" w14:paraId="18974901" w14:textId="77777777" w:rsidTr="0032634C">
        <w:trPr>
          <w:cantSplit/>
        </w:trPr>
        <w:tc>
          <w:tcPr>
            <w:tcW w:w="3240" w:type="dxa"/>
          </w:tcPr>
          <w:p w14:paraId="7848B6FD" w14:textId="77777777" w:rsidR="002A21AE" w:rsidRDefault="002A21AE">
            <w:pPr>
              <w:pStyle w:val="TableTextNumbers"/>
            </w:pPr>
            <w:r>
              <w:t xml:space="preserve">Review and click </w:t>
            </w:r>
            <w:r>
              <w:rPr>
                <w:b/>
              </w:rPr>
              <w:t>Save</w:t>
            </w:r>
            <w:r>
              <w:t xml:space="preserve"> to accept the unit.</w:t>
            </w:r>
          </w:p>
        </w:tc>
        <w:tc>
          <w:tcPr>
            <w:tcW w:w="6120" w:type="dxa"/>
          </w:tcPr>
          <w:p w14:paraId="18A1087D" w14:textId="77777777" w:rsidR="002A21AE" w:rsidRDefault="00590A7C" w:rsidP="004A4FC6">
            <w:pPr>
              <w:pStyle w:val="TableTextBullet"/>
            </w:pPr>
            <w:r w:rsidRPr="004A4FC6">
              <w:rPr>
                <w:vanish/>
              </w:rPr>
              <w:t xml:space="preserve">BR_1.68 </w:t>
            </w:r>
            <w:r w:rsidR="004A4FC6" w:rsidRPr="004A4FC6">
              <w:t>The confirmation message presented when saving a unit record states: “Are you sure you want to add this unit, by clicking Yes, you acknowledge that you inspected this uni</w:t>
            </w:r>
            <w:r w:rsidR="004A4FC6">
              <w:t>t and that it is satisfactory.”</w:t>
            </w:r>
          </w:p>
          <w:p w14:paraId="327F447F" w14:textId="14DBF897" w:rsidR="0074412C" w:rsidRDefault="000E3E6B" w:rsidP="0074412C">
            <w:pPr>
              <w:pStyle w:val="TableTextBullet"/>
            </w:pPr>
            <w:r>
              <w:t xml:space="preserve">When the user clicks yes, the unit record is added to the division’s inventory.  When the user clicks no, </w:t>
            </w:r>
            <w:r w:rsidR="00EF64BD" w:rsidRPr="0030088C">
              <w:rPr>
                <w:rFonts w:cs="Arial"/>
                <w:szCs w:val="18"/>
              </w:rPr>
              <w:t>the user is allowed to edit information, clear the unit information or may attempt to save again.</w:t>
            </w:r>
            <w:r w:rsidR="0074412C">
              <w:rPr>
                <w:rFonts w:cs="Arial"/>
              </w:rPr>
              <w:t xml:space="preserve"> The visual inspection indicator will be displayed in the Unit History Report, Incoming Shipment section.</w:t>
            </w:r>
          </w:p>
          <w:p w14:paraId="74CF718F" w14:textId="38B2CE57" w:rsidR="000E3E6B" w:rsidRDefault="0074412C" w:rsidP="0074412C">
            <w:pPr>
              <w:pStyle w:val="TableTextBullet"/>
            </w:pPr>
            <w:r>
              <w:t>Adds the unit to the database.</w:t>
            </w:r>
          </w:p>
          <w:p w14:paraId="3C0D9D55" w14:textId="77777777" w:rsidR="002A21AE" w:rsidRDefault="002A21AE">
            <w:pPr>
              <w:pStyle w:val="TableTextBullet"/>
            </w:pPr>
            <w:r>
              <w:t xml:space="preserve">Lists summary information for the accepted unit. </w:t>
            </w:r>
          </w:p>
          <w:p w14:paraId="71598DF5" w14:textId="77777777" w:rsidR="002A21AE" w:rsidRDefault="002A21AE">
            <w:pPr>
              <w:pStyle w:val="TableTextBullet"/>
            </w:pPr>
            <w:r>
              <w:t xml:space="preserve">Allows the user to begin processing a new unit. </w:t>
            </w:r>
          </w:p>
          <w:p w14:paraId="13A7E62B" w14:textId="77777777" w:rsidR="002A21AE" w:rsidRDefault="002A21AE">
            <w:pPr>
              <w:pStyle w:val="TableText"/>
            </w:pPr>
          </w:p>
          <w:p w14:paraId="2B35C455" w14:textId="0ECD815B" w:rsidR="002A21AE" w:rsidRDefault="002A21AE">
            <w:pPr>
              <w:pStyle w:val="TableText"/>
              <w:rPr>
                <w:b/>
                <w:bCs/>
                <w:szCs w:val="18"/>
              </w:rPr>
            </w:pPr>
            <w:r>
              <w:rPr>
                <w:b/>
                <w:bCs/>
                <w:szCs w:val="18"/>
              </w:rPr>
              <w:t>NOTES</w:t>
            </w:r>
          </w:p>
          <w:p w14:paraId="48B9BA02" w14:textId="77777777" w:rsidR="002A21AE" w:rsidRDefault="002A21AE">
            <w:pPr>
              <w:pStyle w:val="NotesText"/>
            </w:pPr>
          </w:p>
          <w:p w14:paraId="1821C35C" w14:textId="77777777" w:rsidR="00B21CEA" w:rsidRPr="00B21CEA" w:rsidRDefault="00B21CEA" w:rsidP="00B21CEA">
            <w:pPr>
              <w:pStyle w:val="NotesText"/>
            </w:pPr>
            <w:r w:rsidRPr="00B21CEA">
              <w:t>If the unit is not satisfactory per the visual inspection, the user must click no. The unit is not entered into VBECS inventory and should be processed according to local procedure and policy.</w:t>
            </w:r>
          </w:p>
          <w:p w14:paraId="625051B9" w14:textId="77777777" w:rsidR="00B21CEA" w:rsidRDefault="00B21CEA">
            <w:pPr>
              <w:pStyle w:val="NotesText"/>
            </w:pPr>
          </w:p>
          <w:p w14:paraId="3E5C13FA" w14:textId="77777777" w:rsidR="002A21AE" w:rsidRDefault="002A21AE">
            <w:pPr>
              <w:pStyle w:val="NotesText"/>
            </w:pPr>
            <w:r>
              <w:t>VBECS assigns unit statuses based on a site’s configuration in Configure Division. For a:</w:t>
            </w:r>
          </w:p>
          <w:p w14:paraId="6D773BA1" w14:textId="77777777" w:rsidR="002A21AE" w:rsidRDefault="002A21AE">
            <w:pPr>
              <w:pStyle w:val="NotesTextBullet"/>
            </w:pPr>
            <w:r>
              <w:t>“Full-service” facility, VBECS assigns “Limited” status to blood products that contain red cells and “Available” status to all other components.</w:t>
            </w:r>
          </w:p>
          <w:p w14:paraId="12377937" w14:textId="77777777" w:rsidR="002A21AE" w:rsidRDefault="002A21AE">
            <w:pPr>
              <w:pStyle w:val="NotesTextBullet"/>
            </w:pPr>
            <w:r>
              <w:t>“Transfusion-only” facility, VBECS assigns “Available” status to the units. ABO/Rh confirmation testing is not required.</w:t>
            </w:r>
          </w:p>
          <w:p w14:paraId="7531F1D8" w14:textId="77777777" w:rsidR="002A21AE" w:rsidRDefault="002A21AE">
            <w:pPr>
              <w:pStyle w:val="NotesText"/>
            </w:pPr>
          </w:p>
          <w:p w14:paraId="1817D485" w14:textId="77777777" w:rsidR="002A21AE" w:rsidRDefault="002A21AE">
            <w:pPr>
              <w:pStyle w:val="NotesText"/>
            </w:pPr>
            <w:r>
              <w:t>Units are available only to users in the division in which the units were processed (separate inventories are maintained in a multidivisional site).</w:t>
            </w:r>
          </w:p>
          <w:p w14:paraId="6540BF44" w14:textId="77777777" w:rsidR="00260D14" w:rsidRDefault="00260D14">
            <w:pPr>
              <w:pStyle w:val="NotesText"/>
            </w:pPr>
          </w:p>
          <w:p w14:paraId="7FF68272" w14:textId="77777777" w:rsidR="00260D14" w:rsidRDefault="00260D14">
            <w:pPr>
              <w:pStyle w:val="NotesText"/>
            </w:pPr>
            <w:r>
              <w:t>To edit incorrect saved information, inactivate the unit through Edit Unit Information</w:t>
            </w:r>
            <w:r w:rsidR="00AB2CA4">
              <w:t>, then ree</w:t>
            </w:r>
            <w:r>
              <w:t xml:space="preserve">nter </w:t>
            </w:r>
            <w:r w:rsidR="00AB2CA4">
              <w:t xml:space="preserve">unit </w:t>
            </w:r>
            <w:r>
              <w:t>information in Incoming Shipment.</w:t>
            </w:r>
          </w:p>
          <w:p w14:paraId="2EF73B16" w14:textId="77777777" w:rsidR="00CE13F4" w:rsidRDefault="00CE13F4">
            <w:pPr>
              <w:pStyle w:val="NotesText"/>
            </w:pPr>
          </w:p>
          <w:p w14:paraId="5DA29594" w14:textId="21655E82" w:rsidR="00CE13F4" w:rsidRDefault="00CE13F4">
            <w:pPr>
              <w:pStyle w:val="NotesText"/>
              <w:rPr>
                <w:rFonts w:cs="Arial"/>
                <w:szCs w:val="18"/>
              </w:rPr>
            </w:pPr>
            <w:r w:rsidRPr="00CE13F4">
              <w:rPr>
                <w:rFonts w:cs="Arial"/>
                <w:vanish/>
                <w:szCs w:val="18"/>
              </w:rPr>
              <w:t xml:space="preserve">BR_1.74 </w:t>
            </w:r>
            <w:r w:rsidRPr="0030088C">
              <w:rPr>
                <w:rFonts w:cs="Arial"/>
                <w:szCs w:val="18"/>
              </w:rPr>
              <w:t xml:space="preserve">Existing invoices continue </w:t>
            </w:r>
            <w:r w:rsidR="00073282">
              <w:rPr>
                <w:rFonts w:cs="Arial"/>
                <w:szCs w:val="18"/>
              </w:rPr>
              <w:t xml:space="preserve">to display historic </w:t>
            </w:r>
            <w:r w:rsidRPr="0030088C">
              <w:rPr>
                <w:rFonts w:cs="Arial"/>
                <w:szCs w:val="18"/>
              </w:rPr>
              <w:t>ISBT 128 labeled units.</w:t>
            </w:r>
          </w:p>
          <w:p w14:paraId="41513FC2" w14:textId="77777777" w:rsidR="0040523B" w:rsidRDefault="0040523B">
            <w:pPr>
              <w:pStyle w:val="NotesText"/>
            </w:pPr>
          </w:p>
          <w:p w14:paraId="6507CC04" w14:textId="77777777" w:rsidR="0040523B" w:rsidRDefault="0040523B" w:rsidP="0040523B">
            <w:pPr>
              <w:pStyle w:val="NotesText"/>
            </w:pPr>
            <w:r w:rsidRPr="0040523B">
              <w:rPr>
                <w:vanish/>
              </w:rPr>
              <w:t xml:space="preserve">BR_1.72 </w:t>
            </w:r>
            <w:r w:rsidRPr="0040523B">
              <w:t>The user may not save the unit record until the donation type and its requirements are satisfied.</w:t>
            </w:r>
          </w:p>
          <w:p w14:paraId="772AADC9" w14:textId="77777777" w:rsidR="00674B59" w:rsidRDefault="00674B59" w:rsidP="0040523B">
            <w:pPr>
              <w:pStyle w:val="NotesText"/>
              <w:rPr>
                <w:rFonts w:cs="Arial"/>
                <w:szCs w:val="18"/>
              </w:rPr>
            </w:pPr>
          </w:p>
          <w:p w14:paraId="3B59ED48" w14:textId="77777777" w:rsidR="00674B59" w:rsidRDefault="00674B59" w:rsidP="0040523B">
            <w:pPr>
              <w:pStyle w:val="NotesText"/>
              <w:rPr>
                <w:rFonts w:cs="Arial"/>
                <w:szCs w:val="18"/>
              </w:rPr>
            </w:pPr>
            <w:r w:rsidRPr="00674B59">
              <w:rPr>
                <w:rFonts w:cs="Arial"/>
                <w:vanish/>
                <w:szCs w:val="18"/>
              </w:rPr>
              <w:t xml:space="preserve">BR_1.10 </w:t>
            </w:r>
            <w:r w:rsidRPr="0030088C">
              <w:rPr>
                <w:rFonts w:cs="Arial"/>
                <w:szCs w:val="18"/>
              </w:rPr>
              <w:t>The system determines that valid required data exist for individual units before adding to the database. The newly added unit displays in a list. This list includes Unit ID, ABO/Rh, Product Code, and Expiration date.</w:t>
            </w:r>
          </w:p>
          <w:p w14:paraId="03F0C757" w14:textId="77777777" w:rsidR="00674B59" w:rsidRDefault="00674B59" w:rsidP="0040523B">
            <w:pPr>
              <w:pStyle w:val="NotesText"/>
              <w:rPr>
                <w:rFonts w:cs="Arial"/>
                <w:szCs w:val="18"/>
              </w:rPr>
            </w:pPr>
          </w:p>
          <w:p w14:paraId="471C0276" w14:textId="77777777" w:rsidR="00674B59" w:rsidRPr="0040523B" w:rsidRDefault="00674B59" w:rsidP="0040523B">
            <w:pPr>
              <w:pStyle w:val="NotesText"/>
              <w:rPr>
                <w:rFonts w:cs="Arial"/>
                <w:szCs w:val="18"/>
              </w:rPr>
            </w:pPr>
            <w:r>
              <w:rPr>
                <w:vanish/>
              </w:rPr>
              <w:t>BR_1.47</w:t>
            </w:r>
            <w:r w:rsidRPr="00674B59">
              <w:rPr>
                <w:vanish/>
              </w:rPr>
              <w:t xml:space="preserve"> </w:t>
            </w:r>
            <w:r>
              <w:t>When units are added to the database, the records must be created in a manner that the units are retrievable for other VBECS functionality by scanning the Unit ID and Product Code barcodes.</w:t>
            </w:r>
          </w:p>
        </w:tc>
      </w:tr>
      <w:tr w:rsidR="002A21AE" w14:paraId="0978423F" w14:textId="77777777" w:rsidTr="0032634C">
        <w:trPr>
          <w:cantSplit/>
        </w:trPr>
        <w:tc>
          <w:tcPr>
            <w:tcW w:w="3240" w:type="dxa"/>
          </w:tcPr>
          <w:p w14:paraId="7ED8608F" w14:textId="77777777" w:rsidR="002A21AE" w:rsidRDefault="002A21AE">
            <w:pPr>
              <w:pStyle w:val="TableTextNumbers"/>
            </w:pPr>
            <w:r>
              <w:t>Repeat until all units are entered.</w:t>
            </w:r>
          </w:p>
        </w:tc>
        <w:tc>
          <w:tcPr>
            <w:tcW w:w="6120" w:type="dxa"/>
          </w:tcPr>
          <w:p w14:paraId="4DFD4CCD" w14:textId="77777777" w:rsidR="002A21AE" w:rsidRDefault="002A21AE">
            <w:pPr>
              <w:pStyle w:val="TableTextBullet"/>
            </w:pPr>
            <w:r>
              <w:t>Displays all unit data entries.</w:t>
            </w:r>
          </w:p>
        </w:tc>
      </w:tr>
      <w:tr w:rsidR="002A21AE" w14:paraId="42EFF919" w14:textId="77777777" w:rsidTr="0032634C">
        <w:trPr>
          <w:cantSplit/>
        </w:trPr>
        <w:tc>
          <w:tcPr>
            <w:tcW w:w="3240" w:type="dxa"/>
            <w:tcBorders>
              <w:bottom w:val="single" w:sz="4" w:space="0" w:color="auto"/>
            </w:tcBorders>
          </w:tcPr>
          <w:p w14:paraId="65922255" w14:textId="77777777" w:rsidR="002A21AE" w:rsidRDefault="002A21AE">
            <w:pPr>
              <w:pStyle w:val="TableTextNumbers"/>
            </w:pPr>
            <w:r>
              <w:t xml:space="preserve">Click </w:t>
            </w:r>
            <w:r>
              <w:rPr>
                <w:b/>
              </w:rPr>
              <w:t>Close</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bottom w:val="single" w:sz="4" w:space="0" w:color="auto"/>
            </w:tcBorders>
          </w:tcPr>
          <w:p w14:paraId="323C009B" w14:textId="77777777" w:rsidR="002A21AE" w:rsidRDefault="002A21AE">
            <w:pPr>
              <w:pStyle w:val="TableText"/>
            </w:pPr>
          </w:p>
        </w:tc>
      </w:tr>
    </w:tbl>
    <w:p w14:paraId="0B34162B" w14:textId="386092DA" w:rsidR="00DC6B68" w:rsidRDefault="00DC6B68" w:rsidP="00DC6B68">
      <w:pPr>
        <w:pStyle w:val="Caption"/>
      </w:pPr>
      <w:bookmarkStart w:id="247" w:name="_Ref12664504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47</w:t>
      </w:r>
      <w:r w:rsidR="004E20BD">
        <w:rPr>
          <w:noProof/>
        </w:rPr>
        <w:fldChar w:fldCharType="end"/>
      </w:r>
      <w:bookmarkEnd w:id="247"/>
      <w:r>
        <w:t>: Process Incoming Shipment</w:t>
      </w:r>
    </w:p>
    <w:p w14:paraId="68431A2E" w14:textId="595301E0" w:rsidR="00DA7128" w:rsidRDefault="00756E5A" w:rsidP="00DA7128">
      <w:pPr>
        <w:pStyle w:val="BodyText"/>
      </w:pPr>
      <w:bookmarkStart w:id="248" w:name="_Outgoing_Shipment"/>
      <w:bookmarkStart w:id="249" w:name="_Toc63680359"/>
      <w:bookmarkEnd w:id="236"/>
      <w:bookmarkEnd w:id="248"/>
      <w:r>
        <w:rPr>
          <w:noProof/>
        </w:rPr>
        <w:drawing>
          <wp:inline distT="0" distB="0" distL="0" distR="0" wp14:anchorId="0DC9CABA" wp14:editId="2ED0BE9F">
            <wp:extent cx="5943600" cy="4079875"/>
            <wp:effectExtent l="0" t="0" r="0" b="0"/>
            <wp:docPr id="45" name="Picture 45" descr="Example of Process Incoming Shipm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Example of Process Incoming Shipment screen captur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4079875"/>
                    </a:xfrm>
                    <a:prstGeom prst="rect">
                      <a:avLst/>
                    </a:prstGeom>
                    <a:noFill/>
                    <a:ln>
                      <a:noFill/>
                    </a:ln>
                  </pic:spPr>
                </pic:pic>
              </a:graphicData>
            </a:graphic>
          </wp:inline>
        </w:drawing>
      </w:r>
    </w:p>
    <w:p w14:paraId="3DB08C47" w14:textId="77777777" w:rsidR="001A459B" w:rsidRDefault="001A459B">
      <w:pPr>
        <w:rPr>
          <w:rFonts w:ascii="Arial" w:hAnsi="Arial"/>
          <w:b/>
          <w:sz w:val="22"/>
        </w:rPr>
      </w:pPr>
      <w:r>
        <w:br w:type="page"/>
      </w:r>
    </w:p>
    <w:p w14:paraId="71503724" w14:textId="44A30982" w:rsidR="002A21AE" w:rsidRPr="008A3222" w:rsidRDefault="002A21AE" w:rsidP="008A3222">
      <w:pPr>
        <w:pStyle w:val="Heading3"/>
      </w:pPr>
      <w:bookmarkStart w:id="250" w:name="_Toc149064118"/>
      <w:r>
        <w:t>Outgoing Shipment</w:t>
      </w:r>
      <w:bookmarkEnd w:id="249"/>
      <w:bookmarkEnd w:id="250"/>
      <w:r w:rsidRPr="008A3222">
        <w:rPr>
          <w:rFonts w:ascii="Arial Bold" w:hAnsi="Arial Bold"/>
          <w:vanish/>
        </w:rPr>
        <w:fldChar w:fldCharType="begin"/>
      </w:r>
      <w:r w:rsidRPr="008A3222">
        <w:rPr>
          <w:rFonts w:ascii="Arial Bold" w:hAnsi="Arial Bold"/>
          <w:vanish/>
        </w:rPr>
        <w:instrText xml:space="preserve"> XE </w:instrText>
      </w:r>
      <w:r w:rsidR="00FA7E65" w:rsidRPr="008A3222">
        <w:rPr>
          <w:rFonts w:ascii="Arial Bold" w:hAnsi="Arial Bold"/>
          <w:vanish/>
        </w:rPr>
        <w:instrText>“</w:instrText>
      </w:r>
      <w:r w:rsidRPr="008A3222">
        <w:rPr>
          <w:rFonts w:ascii="Arial Bold" w:hAnsi="Arial Bold"/>
          <w:vanish/>
        </w:rPr>
        <w:instrText>Outgoing Shipment</w:instrText>
      </w:r>
      <w:r w:rsidR="00FA7E65" w:rsidRPr="008A3222">
        <w:rPr>
          <w:rFonts w:ascii="Arial Bold" w:hAnsi="Arial Bold"/>
          <w:vanish/>
        </w:rPr>
        <w:instrText>”</w:instrText>
      </w:r>
      <w:r w:rsidRPr="008A3222">
        <w:rPr>
          <w:rFonts w:ascii="Arial Bold" w:hAnsi="Arial Bold"/>
          <w:vanish/>
        </w:rPr>
        <w:instrText xml:space="preserve"> </w:instrText>
      </w:r>
      <w:r w:rsidRPr="008A3222">
        <w:rPr>
          <w:rFonts w:ascii="Arial Bold" w:hAnsi="Arial Bold"/>
          <w:vanish/>
        </w:rPr>
        <w:fldChar w:fldCharType="end"/>
      </w:r>
      <w:r w:rsidRPr="008A3222">
        <w:rPr>
          <w:rFonts w:ascii="Arial Bold" w:hAnsi="Arial Bold"/>
          <w:vanish/>
        </w:rPr>
        <w:t xml:space="preserve"> UC_11</w:t>
      </w:r>
    </w:p>
    <w:p w14:paraId="2D605784" w14:textId="77777777" w:rsidR="002A21AE" w:rsidRDefault="002A21AE" w:rsidP="00FA7E65">
      <w:pPr>
        <w:pStyle w:val="BodyText"/>
      </w:pPr>
      <w:bookmarkStart w:id="251" w:name="_Toc49225137"/>
      <w:bookmarkStart w:id="252" w:name="_Toc49225235"/>
      <w:bookmarkStart w:id="253" w:name="_Toc75920287"/>
      <w:r>
        <w:t xml:space="preserve">The user processes and ships available blood units from his division to an outside facility, blood center, or hospital. </w:t>
      </w:r>
    </w:p>
    <w:p w14:paraId="640A2B1B" w14:textId="77777777" w:rsidR="002A21AE" w:rsidRDefault="002A21AE" w:rsidP="00FA7E65">
      <w:pPr>
        <w:pStyle w:val="BodyText"/>
      </w:pPr>
      <w:r>
        <w:t>The user may edit return credits (additional fees or credits may be issued from one site to another) before processing the shipment.</w:t>
      </w:r>
    </w:p>
    <w:p w14:paraId="7524A7F0" w14:textId="4D074FD4" w:rsidR="002A21AE" w:rsidRDefault="002A21AE" w:rsidP="00FA7E65">
      <w:pPr>
        <w:pStyle w:val="BodyText"/>
      </w:pPr>
      <w:r>
        <w:t>VBECS generates a shipping invoice.</w:t>
      </w:r>
    </w:p>
    <w:p w14:paraId="2C8E43EB" w14:textId="1376B1C0" w:rsidR="00991787" w:rsidRDefault="00991787" w:rsidP="00FA7E65">
      <w:pPr>
        <w:pStyle w:val="BodyText"/>
      </w:pPr>
      <w:r>
        <w:t>The user may enter a comment in the ‘Outgoing Shipment’ comment context. The comment will be displayed in the Unit History Report, Outgoing Shipmen</w:t>
      </w:r>
      <w:r w:rsidR="009F5B93">
        <w:t xml:space="preserve">t section. </w:t>
      </w:r>
      <w:r w:rsidR="009F5B93" w:rsidRPr="009F5B93">
        <w:rPr>
          <w:vanish/>
        </w:rPr>
        <w:t>BR_11.23</w:t>
      </w:r>
    </w:p>
    <w:p w14:paraId="1A4B8911" w14:textId="77777777" w:rsidR="002A21AE" w:rsidRDefault="002A21AE">
      <w:pPr>
        <w:pStyle w:val="Heading4"/>
      </w:pPr>
      <w:r>
        <w:t>Assumptions</w:t>
      </w:r>
    </w:p>
    <w:p w14:paraId="5ED613C9" w14:textId="77777777" w:rsidR="002A21AE" w:rsidRDefault="002A21AE">
      <w:pPr>
        <w:pStyle w:val="ListBullet"/>
      </w:pPr>
      <w:r>
        <w:t>Users are authorized to release units from inventory.</w:t>
      </w:r>
    </w:p>
    <w:p w14:paraId="55C1F237" w14:textId="77777777" w:rsidR="002A21AE" w:rsidRDefault="002A21AE">
      <w:pPr>
        <w:pStyle w:val="ListBullet"/>
      </w:pPr>
      <w:r>
        <w:t>Blood units being shipped:</w:t>
      </w:r>
    </w:p>
    <w:p w14:paraId="27DA13D3" w14:textId="77777777" w:rsidR="002A21AE" w:rsidRDefault="002A21AE" w:rsidP="00802EE9">
      <w:pPr>
        <w:pStyle w:val="ListBullet2"/>
        <w:tabs>
          <w:tab w:val="clear" w:pos="648"/>
        </w:tabs>
        <w:ind w:left="900" w:hanging="270"/>
      </w:pPr>
      <w:r>
        <w:t>Are available for scanning.</w:t>
      </w:r>
    </w:p>
    <w:p w14:paraId="74373C92" w14:textId="77777777" w:rsidR="002A21AE" w:rsidRDefault="002A21AE" w:rsidP="00802EE9">
      <w:pPr>
        <w:pStyle w:val="ListBullet2"/>
        <w:tabs>
          <w:tab w:val="clear" w:pos="648"/>
        </w:tabs>
        <w:ind w:left="900" w:hanging="270"/>
      </w:pPr>
      <w:r>
        <w:t>Are located in the user’s division.</w:t>
      </w:r>
    </w:p>
    <w:p w14:paraId="061BB2B7" w14:textId="77777777" w:rsidR="002A21AE" w:rsidRDefault="002A21AE">
      <w:pPr>
        <w:pStyle w:val="Heading4"/>
      </w:pPr>
      <w:r>
        <w:t>Outcome</w:t>
      </w:r>
    </w:p>
    <w:p w14:paraId="6FA3CBC0" w14:textId="213F30C0" w:rsidR="002A21AE" w:rsidRDefault="002A21AE">
      <w:pPr>
        <w:pStyle w:val="ListBullet"/>
      </w:pPr>
      <w:r>
        <w:t xml:space="preserve">An invoice for a </w:t>
      </w:r>
      <w:r w:rsidR="00F551B2">
        <w:t>confirmed</w:t>
      </w:r>
      <w:r>
        <w:t xml:space="preserve"> shipment is closed and may not be modified.</w:t>
      </w:r>
    </w:p>
    <w:p w14:paraId="79CC8A92" w14:textId="77777777" w:rsidR="002A21AE" w:rsidRDefault="002A21AE">
      <w:pPr>
        <w:pStyle w:val="ListBullet"/>
      </w:pPr>
      <w:r>
        <w:t>An invoice for a shipment that is not confirmed is open and may be edited.</w:t>
      </w:r>
    </w:p>
    <w:p w14:paraId="36ECECC4" w14:textId="77777777" w:rsidR="002A21AE" w:rsidRDefault="002A21AE">
      <w:pPr>
        <w:pStyle w:val="ListBullet"/>
      </w:pPr>
      <w:r>
        <w:t>The units are not available in the division’s inventory.</w:t>
      </w:r>
    </w:p>
    <w:p w14:paraId="3A43DA12" w14:textId="4ED6466A" w:rsidR="002A21AE" w:rsidRDefault="002A21AE">
      <w:pPr>
        <w:pStyle w:val="ListBullet"/>
      </w:pPr>
      <w:r>
        <w:t>When a unit is transferred</w:t>
      </w:r>
      <w:r w:rsidR="00F551B2">
        <w:t xml:space="preserve"> out of one division and logged in</w:t>
      </w:r>
      <w:r>
        <w:t xml:space="preserve">to another division in the database, VBECS </w:t>
      </w:r>
      <w:r w:rsidR="00A73EA2">
        <w:t xml:space="preserve">keeps </w:t>
      </w:r>
      <w:r>
        <w:t xml:space="preserve">the history of the unit </w:t>
      </w:r>
      <w:r w:rsidR="00A73EA2">
        <w:t xml:space="preserve">individually </w:t>
      </w:r>
      <w:r>
        <w:t>at both divisions.</w:t>
      </w:r>
    </w:p>
    <w:p w14:paraId="5811A739" w14:textId="77777777" w:rsidR="002A21AE" w:rsidRDefault="002A21AE">
      <w:pPr>
        <w:pStyle w:val="ListBullet"/>
      </w:pPr>
      <w:r>
        <w:t>A credit for a returned product may be assigned.</w:t>
      </w:r>
    </w:p>
    <w:p w14:paraId="384928DF" w14:textId="77777777" w:rsidR="002A21AE" w:rsidRDefault="002A21AE">
      <w:pPr>
        <w:pStyle w:val="Heading4"/>
      </w:pPr>
      <w:r>
        <w:t>Limitations and Restrictions</w:t>
      </w:r>
    </w:p>
    <w:p w14:paraId="69B1D3D1" w14:textId="77777777" w:rsidR="002A21AE" w:rsidRDefault="002A21AE">
      <w:pPr>
        <w:pStyle w:val="ListBullet"/>
      </w:pPr>
      <w:r>
        <w:t>A user may edit only unconfirmed invoices.</w:t>
      </w:r>
    </w:p>
    <w:p w14:paraId="6617ECD6" w14:textId="2F0B08E4" w:rsidR="007F1742" w:rsidRDefault="007F1742">
      <w:pPr>
        <w:pStyle w:val="ListBullet"/>
      </w:pPr>
      <w:bookmarkStart w:id="254" w:name="OLE_LINK25"/>
      <w:bookmarkStart w:id="255" w:name="OLE_LINK26"/>
      <w:r>
        <w:t xml:space="preserve">The </w:t>
      </w:r>
      <w:r w:rsidR="00313B75">
        <w:t>unit testing data</w:t>
      </w:r>
      <w:r>
        <w:t xml:space="preserve"> </w:t>
      </w:r>
      <w:r w:rsidRPr="007F1742">
        <w:t xml:space="preserve">displayed on </w:t>
      </w:r>
      <w:r>
        <w:t>an</w:t>
      </w:r>
      <w:r w:rsidRPr="007F1742">
        <w:t xml:space="preserve"> invoice is limited to 8</w:t>
      </w:r>
      <w:r>
        <w:t>,000 characters</w:t>
      </w:r>
      <w:r w:rsidR="0083592C">
        <w:t xml:space="preserve"> per unit</w:t>
      </w:r>
      <w:r>
        <w:t>.</w:t>
      </w:r>
    </w:p>
    <w:bookmarkEnd w:id="254"/>
    <w:bookmarkEnd w:id="255"/>
    <w:p w14:paraId="1117AEB8" w14:textId="77777777" w:rsidR="002A21AE" w:rsidRDefault="002A21AE">
      <w:pPr>
        <w:pStyle w:val="Heading4"/>
      </w:pPr>
      <w:r>
        <w:t>Additional Information</w:t>
      </w:r>
    </w:p>
    <w:p w14:paraId="54967FFD" w14:textId="77777777" w:rsidR="002A21AE" w:rsidRDefault="002A21AE">
      <w:pPr>
        <w:pStyle w:val="ListBullet"/>
      </w:pPr>
      <w:r>
        <w:t>None</w:t>
      </w:r>
    </w:p>
    <w:p w14:paraId="2CB90120" w14:textId="77777777" w:rsidR="002A21AE" w:rsidRDefault="002A21AE">
      <w:pPr>
        <w:pStyle w:val="Heading4"/>
      </w:pPr>
      <w:r>
        <w:t>User Roles with Access to This Option</w:t>
      </w:r>
    </w:p>
    <w:p w14:paraId="506CF7E6" w14:textId="77777777" w:rsidR="002A21AE" w:rsidRDefault="00873EEB">
      <w:pPr>
        <w:pStyle w:val="Roles"/>
        <w:rPr>
          <w:snapToGrid w:val="0"/>
        </w:rPr>
      </w:pPr>
      <w:r>
        <w:t>All users</w:t>
      </w:r>
    </w:p>
    <w:bookmarkEnd w:id="251"/>
    <w:bookmarkEnd w:id="252"/>
    <w:bookmarkEnd w:id="253"/>
    <w:p w14:paraId="7F6F1322" w14:textId="77777777" w:rsidR="002A21AE" w:rsidRDefault="00057948">
      <w:pPr>
        <w:pStyle w:val="Heading4"/>
      </w:pPr>
      <w:r>
        <w:rPr>
          <w:noProof/>
        </w:rPr>
        <w:drawing>
          <wp:inline distT="0" distB="0" distL="0" distR="0" wp14:anchorId="6187B61B" wp14:editId="644C8A50">
            <wp:extent cx="156845" cy="156845"/>
            <wp:effectExtent l="0" t="0" r="0" b="0"/>
            <wp:docPr id="152" name="Picture 152" descr="Incoming Shi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Incoming Shipment ic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Outgoing Shipment </w:t>
      </w:r>
    </w:p>
    <w:p w14:paraId="633E04B9" w14:textId="77777777" w:rsidR="002A21AE" w:rsidRDefault="002A21AE" w:rsidP="00FA7E65">
      <w:pPr>
        <w:pStyle w:val="BodyText"/>
      </w:pPr>
      <w:r>
        <w:t xml:space="preserve">A user ships blood units from his division’s inventory to a facility that is not a transfusion location of his division. These units were removed from inventory and are available for scanning and packaging. </w:t>
      </w:r>
    </w:p>
    <w:p w14:paraId="5D481355" w14:textId="088965C8" w:rsidR="002A21AE" w:rsidRDefault="002A21AE" w:rsidP="00FA7E65">
      <w:pPr>
        <w:pStyle w:val="BodyText"/>
      </w:pPr>
      <w:r>
        <w:t xml:space="preserve">The user identifies the shipment destination, scans the unit ID and product code for the first unit in the shipment, and repeats this process for each unit added to the shipment. The user completes the data entry and then reviews and accepts the shipment information. </w:t>
      </w:r>
      <w:r w:rsidR="00DA0D7E">
        <w:t xml:space="preserve">A user may edit return credits (additional fees or credits may be issued from one site to another) before confirming the shipment. </w:t>
      </w:r>
      <w:r>
        <w:t>When the shipment is confirmed, the user may print a shipping invoice.</w:t>
      </w:r>
    </w:p>
    <w:p w14:paraId="63A5C75D" w14:textId="50A22F75" w:rsidR="002A21AE" w:rsidRDefault="002A21AE" w:rsidP="00FA7E65">
      <w:pPr>
        <w:pStyle w:val="BodyText"/>
      </w:pPr>
      <w:r>
        <w:t>VBECS generates an invoice that includes information for the blood units.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E227C5" w14:textId="77777777">
        <w:trPr>
          <w:tblHeader/>
        </w:trPr>
        <w:tc>
          <w:tcPr>
            <w:tcW w:w="3240" w:type="dxa"/>
            <w:shd w:val="pct30" w:color="auto" w:fill="FFFFFF"/>
            <w:vAlign w:val="bottom"/>
          </w:tcPr>
          <w:p w14:paraId="69DE2016" w14:textId="77777777" w:rsidR="002A21AE" w:rsidRDefault="002A21AE">
            <w:pPr>
              <w:pStyle w:val="TableText"/>
              <w:rPr>
                <w:b/>
              </w:rPr>
            </w:pPr>
            <w:r>
              <w:rPr>
                <w:b/>
              </w:rPr>
              <w:t>User Action</w:t>
            </w:r>
          </w:p>
        </w:tc>
        <w:tc>
          <w:tcPr>
            <w:tcW w:w="6120" w:type="dxa"/>
            <w:shd w:val="pct30" w:color="auto" w:fill="FFFFFF"/>
            <w:vAlign w:val="bottom"/>
          </w:tcPr>
          <w:p w14:paraId="0981DC03" w14:textId="77777777" w:rsidR="002A21AE" w:rsidRDefault="002A21AE">
            <w:pPr>
              <w:pStyle w:val="TableText"/>
              <w:rPr>
                <w:b/>
              </w:rPr>
            </w:pPr>
            <w:r>
              <w:rPr>
                <w:b/>
              </w:rPr>
              <w:t>VBECS</w:t>
            </w:r>
          </w:p>
        </w:tc>
      </w:tr>
      <w:tr w:rsidR="002A21AE" w14:paraId="7F42141D" w14:textId="77777777">
        <w:tc>
          <w:tcPr>
            <w:tcW w:w="3240" w:type="dxa"/>
          </w:tcPr>
          <w:p w14:paraId="601C91BF" w14:textId="77777777" w:rsidR="002A21AE" w:rsidRDefault="002A21AE">
            <w:pPr>
              <w:pStyle w:val="TableTextNumbers"/>
            </w:pPr>
            <w:r>
              <w:t xml:space="preserve">Select </w:t>
            </w:r>
            <w:r>
              <w:rPr>
                <w:b/>
              </w:rPr>
              <w:t>Shipments</w:t>
            </w:r>
            <w:r>
              <w:t xml:space="preserve"> from the main menu.</w:t>
            </w:r>
          </w:p>
          <w:p w14:paraId="43103CC7" w14:textId="77777777" w:rsidR="002A21AE" w:rsidRDefault="002A21AE">
            <w:pPr>
              <w:pStyle w:val="TableTextNumbersContinued"/>
              <w:rPr>
                <w:b/>
                <w:bCs/>
              </w:rPr>
            </w:pPr>
          </w:p>
          <w:p w14:paraId="60F889D0" w14:textId="77777777" w:rsidR="002A21AE" w:rsidRDefault="002A21AE">
            <w:pPr>
              <w:pStyle w:val="TableTextNumbersContinued"/>
              <w:rPr>
                <w:b/>
                <w:bCs/>
              </w:rPr>
            </w:pPr>
            <w:r>
              <w:rPr>
                <w:b/>
                <w:bCs/>
              </w:rPr>
              <w:t>Select Outgoing Shipment.</w:t>
            </w:r>
          </w:p>
        </w:tc>
        <w:tc>
          <w:tcPr>
            <w:tcW w:w="6120" w:type="dxa"/>
          </w:tcPr>
          <w:p w14:paraId="39CBE381" w14:textId="77777777" w:rsidR="002A21AE" w:rsidRDefault="002A21AE">
            <w:pPr>
              <w:pStyle w:val="TableTextBullet"/>
            </w:pPr>
            <w:r>
              <w:t xml:space="preserve">Displays options for processing shipments. </w:t>
            </w:r>
          </w:p>
          <w:p w14:paraId="5DE397C4" w14:textId="77777777" w:rsidR="002A21AE" w:rsidRDefault="002A21AE">
            <w:pPr>
              <w:pStyle w:val="TableTextBullet"/>
            </w:pPr>
            <w:r>
              <w:t>Displays options for selecting a new invoice or an existing (recent) invoice.</w:t>
            </w:r>
          </w:p>
        </w:tc>
      </w:tr>
      <w:tr w:rsidR="002A21AE" w14:paraId="49CCD582" w14:textId="77777777">
        <w:tc>
          <w:tcPr>
            <w:tcW w:w="3240" w:type="dxa"/>
          </w:tcPr>
          <w:p w14:paraId="250A9B8A" w14:textId="77777777" w:rsidR="002A21AE" w:rsidRDefault="002A21AE">
            <w:pPr>
              <w:pStyle w:val="TableTextNumbers"/>
            </w:pPr>
            <w:r>
              <w:t xml:space="preserve">To process a new invoice, select </w:t>
            </w:r>
            <w:r>
              <w:rPr>
                <w:b/>
              </w:rPr>
              <w:t>New Invoice</w:t>
            </w:r>
            <w:r>
              <w:t xml:space="preserve">. (To process an existing invoice, </w:t>
            </w:r>
            <w:r w:rsidR="0059575A">
              <w:t>continue at</w:t>
            </w:r>
            <w:r>
              <w:t xml:space="preserve"> Step </w:t>
            </w:r>
            <w:r w:rsidR="007E11BF">
              <w:t>3</w:t>
            </w:r>
            <w:r>
              <w:t>.)</w:t>
            </w:r>
          </w:p>
          <w:p w14:paraId="22FDD27A" w14:textId="77777777" w:rsidR="002A21AE" w:rsidRDefault="002A21AE">
            <w:pPr>
              <w:pStyle w:val="TableTextNumbersContinued"/>
            </w:pPr>
          </w:p>
          <w:p w14:paraId="7E8067E3" w14:textId="77777777" w:rsidR="002A21AE" w:rsidRDefault="002A21AE">
            <w:pPr>
              <w:pStyle w:val="TableTextNumbersContinued"/>
            </w:pPr>
            <w:r>
              <w:t>Enter the invoice number provided by the outside facility or leave the Invoice Number field blank.</w:t>
            </w:r>
          </w:p>
          <w:p w14:paraId="1F1E59F1" w14:textId="77777777" w:rsidR="002A21AE" w:rsidRDefault="002A21AE">
            <w:pPr>
              <w:pStyle w:val="TableTextNumbersContinued"/>
            </w:pPr>
          </w:p>
          <w:p w14:paraId="6A6D2A5F" w14:textId="77777777" w:rsidR="002A21AE" w:rsidRDefault="002A21AE">
            <w:pPr>
              <w:pStyle w:val="TableTextNumbersContinued"/>
            </w:pPr>
            <w:r>
              <w:t>Select a shipment destination from the drop-down list.</w:t>
            </w:r>
          </w:p>
          <w:p w14:paraId="78FF64B6" w14:textId="77777777" w:rsidR="002A21AE" w:rsidRDefault="002A21AE">
            <w:pPr>
              <w:pStyle w:val="TableTextNumbersContinued"/>
            </w:pPr>
          </w:p>
          <w:p w14:paraId="78C79106" w14:textId="5CC4E433" w:rsidR="002A21AE" w:rsidRDefault="007E11BF">
            <w:pPr>
              <w:pStyle w:val="TableTextNumbersContinued"/>
            </w:pPr>
            <w:r>
              <w:t xml:space="preserve">Click the </w:t>
            </w:r>
            <w:r w:rsidRPr="007E11BF">
              <w:rPr>
                <w:b/>
              </w:rPr>
              <w:t>Return to Shipper</w:t>
            </w:r>
            <w:r>
              <w:t xml:space="preserve"> or </w:t>
            </w:r>
            <w:r w:rsidRPr="007E11BF">
              <w:rPr>
                <w:b/>
              </w:rPr>
              <w:t xml:space="preserve">Send to Unrelated Shipper </w:t>
            </w:r>
            <w:r w:rsidRPr="00BF2E41">
              <w:t>radio button</w:t>
            </w:r>
            <w:r>
              <w:t xml:space="preserve"> to select a shipment type</w:t>
            </w:r>
            <w:r w:rsidR="00D039A6">
              <w:t xml:space="preserve"> (</w:t>
            </w:r>
            <w:r w:rsidR="00EE455E">
              <w:t xml:space="preserve">Figure </w:t>
            </w:r>
            <w:r w:rsidR="00EE455E">
              <w:rPr>
                <w:noProof/>
              </w:rPr>
              <w:t>48</w:t>
            </w:r>
            <w:r w:rsidR="00D039A6">
              <w:t>)</w:t>
            </w:r>
            <w:r>
              <w:t>.</w:t>
            </w:r>
          </w:p>
          <w:p w14:paraId="1B139D93" w14:textId="77777777" w:rsidR="002A21AE" w:rsidRDefault="002A21AE">
            <w:pPr>
              <w:pStyle w:val="TableTextNumbersContinued"/>
            </w:pPr>
          </w:p>
          <w:p w14:paraId="5A90D6C2" w14:textId="77777777" w:rsidR="002A21AE" w:rsidRDefault="002A21AE">
            <w:pPr>
              <w:pStyle w:val="TableTextNumbersContinued"/>
            </w:pPr>
            <w:r>
              <w:t>Continue at Step 4.</w:t>
            </w:r>
          </w:p>
        </w:tc>
        <w:tc>
          <w:tcPr>
            <w:tcW w:w="6120" w:type="dxa"/>
          </w:tcPr>
          <w:p w14:paraId="018BBFD3" w14:textId="77777777" w:rsidR="002A21AE" w:rsidRDefault="002A21AE">
            <w:pPr>
              <w:pStyle w:val="TableTextBullet"/>
            </w:pPr>
            <w:r>
              <w:t>Displays fields for entering shipment information.</w:t>
            </w:r>
          </w:p>
          <w:p w14:paraId="694AB1FB" w14:textId="77777777" w:rsidR="002A21AE" w:rsidRDefault="002A21AE">
            <w:pPr>
              <w:pStyle w:val="TableTextBullet"/>
            </w:pPr>
            <w:r>
              <w:t>Generates an invoice number when the Invoice Number field is blank.</w:t>
            </w:r>
          </w:p>
          <w:p w14:paraId="719ACA17" w14:textId="77777777" w:rsidR="002A21AE" w:rsidRDefault="002A21AE">
            <w:pPr>
              <w:pStyle w:val="TableText"/>
            </w:pPr>
          </w:p>
          <w:p w14:paraId="5A47CCD7" w14:textId="7CE84AAF" w:rsidR="002A21AE" w:rsidRDefault="002A21AE">
            <w:pPr>
              <w:pStyle w:val="TableText"/>
              <w:rPr>
                <w:b/>
                <w:bCs/>
                <w:szCs w:val="18"/>
              </w:rPr>
            </w:pPr>
            <w:r>
              <w:rPr>
                <w:b/>
                <w:bCs/>
                <w:szCs w:val="18"/>
              </w:rPr>
              <w:t>NOTES</w:t>
            </w:r>
          </w:p>
          <w:p w14:paraId="0F8A30F2" w14:textId="77777777" w:rsidR="002A21AE" w:rsidRDefault="002A21AE">
            <w:pPr>
              <w:pStyle w:val="NotesText"/>
            </w:pPr>
          </w:p>
          <w:p w14:paraId="4384696A" w14:textId="77777777" w:rsidR="002A21AE" w:rsidRDefault="002A21AE">
            <w:pPr>
              <w:pStyle w:val="NotesText"/>
            </w:pPr>
            <w:r>
              <w:t xml:space="preserve">To select an existing invoice while in the new invoice window, click </w:t>
            </w:r>
            <w:r>
              <w:rPr>
                <w:b/>
              </w:rPr>
              <w:t>Use Existing Invoice</w:t>
            </w:r>
            <w:r>
              <w:t>.</w:t>
            </w:r>
          </w:p>
        </w:tc>
      </w:tr>
      <w:tr w:rsidR="002A21AE" w14:paraId="62FD769F" w14:textId="77777777">
        <w:tc>
          <w:tcPr>
            <w:tcW w:w="3240" w:type="dxa"/>
          </w:tcPr>
          <w:p w14:paraId="5227B970" w14:textId="77777777" w:rsidR="002A21AE" w:rsidRDefault="002A21AE">
            <w:pPr>
              <w:pStyle w:val="TableTextNumbers"/>
            </w:pPr>
            <w:r>
              <w:t xml:space="preserve">To process an existing invoice, select </w:t>
            </w:r>
            <w:r>
              <w:rPr>
                <w:b/>
              </w:rPr>
              <w:t>Recent Invoice</w:t>
            </w:r>
            <w:r>
              <w:t xml:space="preserve"> from the Outgoing Shipment menu. </w:t>
            </w:r>
          </w:p>
          <w:p w14:paraId="5901D607" w14:textId="77777777" w:rsidR="002A21AE" w:rsidRDefault="002A21AE">
            <w:pPr>
              <w:pStyle w:val="TableTextNumbersContinued"/>
            </w:pPr>
          </w:p>
          <w:p w14:paraId="367CAA4D" w14:textId="77777777" w:rsidR="002A21AE" w:rsidRDefault="002A21AE">
            <w:pPr>
              <w:pStyle w:val="TableTextNumbersContinued"/>
            </w:pPr>
            <w:r>
              <w:t>Select an invoice.</w:t>
            </w:r>
          </w:p>
        </w:tc>
        <w:tc>
          <w:tcPr>
            <w:tcW w:w="6120" w:type="dxa"/>
          </w:tcPr>
          <w:p w14:paraId="679E2B0E" w14:textId="77777777" w:rsidR="002A21AE" w:rsidRDefault="002A21AE">
            <w:pPr>
              <w:pStyle w:val="TableTextBullet"/>
            </w:pPr>
            <w:r>
              <w:t>Displays a list of open (unconfirmed) invoices.</w:t>
            </w:r>
          </w:p>
          <w:p w14:paraId="39E6A52F" w14:textId="77777777" w:rsidR="002A21AE" w:rsidRDefault="002A21AE">
            <w:pPr>
              <w:pStyle w:val="TableText"/>
            </w:pPr>
          </w:p>
          <w:p w14:paraId="605BC188" w14:textId="7686187A" w:rsidR="002A21AE" w:rsidRDefault="002A21AE">
            <w:pPr>
              <w:pStyle w:val="TableText"/>
              <w:rPr>
                <w:b/>
                <w:bCs/>
                <w:szCs w:val="18"/>
              </w:rPr>
            </w:pPr>
            <w:r>
              <w:rPr>
                <w:b/>
                <w:bCs/>
                <w:szCs w:val="18"/>
              </w:rPr>
              <w:t>NOTES</w:t>
            </w:r>
          </w:p>
          <w:p w14:paraId="3B1C66DB" w14:textId="77777777" w:rsidR="002A21AE" w:rsidRDefault="002A21AE">
            <w:pPr>
              <w:pStyle w:val="NotesText"/>
            </w:pPr>
          </w:p>
          <w:p w14:paraId="4BA2C157" w14:textId="77777777" w:rsidR="002A21AE" w:rsidRDefault="002A21AE">
            <w:pPr>
              <w:pStyle w:val="NotesText"/>
            </w:pPr>
            <w:r>
              <w:t xml:space="preserve">To select a new invoice while in the existing invoice window, click </w:t>
            </w:r>
            <w:r>
              <w:rPr>
                <w:b/>
              </w:rPr>
              <w:t>Create New Invoice</w:t>
            </w:r>
            <w:r>
              <w:t>.</w:t>
            </w:r>
          </w:p>
          <w:p w14:paraId="3DE00205" w14:textId="77777777" w:rsidR="002A21AE" w:rsidRDefault="002A21AE">
            <w:pPr>
              <w:pStyle w:val="NotesText"/>
            </w:pPr>
          </w:p>
          <w:p w14:paraId="55EF9394" w14:textId="24049D37" w:rsidR="002A21AE" w:rsidRDefault="002A21AE" w:rsidP="00A7524F">
            <w:pPr>
              <w:pStyle w:val="NotesText"/>
            </w:pPr>
            <w:r>
              <w:rPr>
                <w:rFonts w:cs="Arial"/>
                <w:vanish/>
              </w:rPr>
              <w:t xml:space="preserve">BR_11.20 </w:t>
            </w:r>
            <w:r>
              <w:t xml:space="preserve">A user may edit only saved, </w:t>
            </w:r>
            <w:r w:rsidR="00051401">
              <w:t>unconfirmed</w:t>
            </w:r>
            <w:r>
              <w:t xml:space="preserve"> invoices.</w:t>
            </w:r>
          </w:p>
        </w:tc>
      </w:tr>
      <w:tr w:rsidR="002A21AE" w14:paraId="12300254" w14:textId="77777777">
        <w:tc>
          <w:tcPr>
            <w:tcW w:w="3240" w:type="dxa"/>
          </w:tcPr>
          <w:p w14:paraId="30BC9425" w14:textId="61077144" w:rsidR="002A21AE" w:rsidRDefault="002A21AE">
            <w:pPr>
              <w:pStyle w:val="TableTextNumbers"/>
            </w:pPr>
            <w:r>
              <w:t xml:space="preserve">Click </w:t>
            </w:r>
            <w:r>
              <w:rPr>
                <w:b/>
              </w:rPr>
              <w:t>OK</w:t>
            </w:r>
            <w:r>
              <w:t xml:space="preserve"> to</w:t>
            </w:r>
            <w:r w:rsidR="00A7524F">
              <w:t xml:space="preserve"> proceed to unit selection</w:t>
            </w:r>
            <w:r w:rsidR="0023533F">
              <w:t xml:space="preserve"> (</w:t>
            </w:r>
            <w:r w:rsidR="00EE455E">
              <w:t xml:space="preserve">Figure </w:t>
            </w:r>
            <w:r w:rsidR="00EE455E">
              <w:rPr>
                <w:noProof/>
              </w:rPr>
              <w:t>48</w:t>
            </w:r>
            <w:r w:rsidR="0023533F">
              <w:t>)</w:t>
            </w:r>
            <w:r>
              <w:t>.</w:t>
            </w:r>
          </w:p>
        </w:tc>
        <w:tc>
          <w:tcPr>
            <w:tcW w:w="6120" w:type="dxa"/>
          </w:tcPr>
          <w:p w14:paraId="4D8C15E0" w14:textId="77777777" w:rsidR="002A21AE" w:rsidRDefault="002A21AE">
            <w:pPr>
              <w:pStyle w:val="TableTextBullet"/>
            </w:pPr>
            <w:r>
              <w:t>Displays fields for entering unit information.</w:t>
            </w:r>
          </w:p>
        </w:tc>
      </w:tr>
      <w:tr w:rsidR="002A21AE" w14:paraId="2BB5319A" w14:textId="77777777" w:rsidTr="001A459B">
        <w:trPr>
          <w:cantSplit/>
        </w:trPr>
        <w:tc>
          <w:tcPr>
            <w:tcW w:w="3240" w:type="dxa"/>
          </w:tcPr>
          <w:p w14:paraId="4198A91D" w14:textId="77777777" w:rsidR="00F35773" w:rsidRDefault="002A21AE" w:rsidP="00F35773">
            <w:pPr>
              <w:pStyle w:val="TableTextNumbers"/>
            </w:pPr>
            <w:r>
              <w:t>For each unit to be added to the shipping invoice, scan the unit ID and product barcodes or enter them in</w:t>
            </w:r>
            <w:r w:rsidR="007D28E0">
              <w:t xml:space="preserve"> the Unit ID and Product fields.</w:t>
            </w:r>
          </w:p>
          <w:p w14:paraId="4C39BA98" w14:textId="77777777" w:rsidR="00D14968" w:rsidRDefault="00D14968" w:rsidP="00D14968">
            <w:pPr>
              <w:pStyle w:val="TableTextNumbers"/>
              <w:numPr>
                <w:ilvl w:val="0"/>
                <w:numId w:val="0"/>
              </w:numPr>
              <w:ind w:left="288" w:hanging="288"/>
            </w:pPr>
          </w:p>
          <w:p w14:paraId="06DBCDDB" w14:textId="3F24914F" w:rsidR="00D14968" w:rsidRDefault="00D14968" w:rsidP="00127DFF">
            <w:pPr>
              <w:pStyle w:val="TableTextNumbersContinued"/>
            </w:pPr>
            <w:r>
              <w:t>Clic</w:t>
            </w:r>
            <w:r w:rsidRPr="00127DFF">
              <w:t xml:space="preserve">k </w:t>
            </w:r>
            <w:r w:rsidRPr="008D1739">
              <w:rPr>
                <w:b/>
                <w:bCs/>
              </w:rPr>
              <w:t>Select</w:t>
            </w:r>
            <w:r w:rsidRPr="00127DFF">
              <w:t xml:space="preserve"> to add the entered unit t</w:t>
            </w:r>
            <w:r>
              <w:t xml:space="preserve">o the shipping invoice or click </w:t>
            </w:r>
            <w:r w:rsidRPr="008D1739">
              <w:rPr>
                <w:b/>
                <w:bCs/>
              </w:rPr>
              <w:t>Clear</w:t>
            </w:r>
            <w:r>
              <w:t xml:space="preserve"> to remove the entered unit (</w:t>
            </w:r>
            <w:r w:rsidR="00EE455E">
              <w:t>Figure 49</w:t>
            </w:r>
            <w:r>
              <w:t>).</w:t>
            </w:r>
          </w:p>
          <w:p w14:paraId="561D80A3" w14:textId="77777777" w:rsidR="00D14968" w:rsidRDefault="00D14968" w:rsidP="00D14968">
            <w:pPr>
              <w:pStyle w:val="TableTextNumbers"/>
              <w:numPr>
                <w:ilvl w:val="0"/>
                <w:numId w:val="0"/>
              </w:numPr>
              <w:ind w:left="288" w:hanging="288"/>
            </w:pPr>
          </w:p>
          <w:p w14:paraId="2CA415E9" w14:textId="45173BC7" w:rsidR="00D14968" w:rsidRDefault="00D14968" w:rsidP="00127DFF">
            <w:pPr>
              <w:pStyle w:val="TableTextNumbersContinued"/>
            </w:pPr>
            <w:r>
              <w:t>Respond to warnings, when indicated.</w:t>
            </w:r>
          </w:p>
        </w:tc>
        <w:tc>
          <w:tcPr>
            <w:tcW w:w="6120" w:type="dxa"/>
          </w:tcPr>
          <w:p w14:paraId="2DE95BE5" w14:textId="3CF880B4" w:rsidR="002A21AE" w:rsidRDefault="002A21AE">
            <w:pPr>
              <w:pStyle w:val="TableTextBullet"/>
            </w:pPr>
            <w:r>
              <w:t>Displays corresponding unit data.</w:t>
            </w:r>
          </w:p>
          <w:p w14:paraId="246E418C" w14:textId="0130F726" w:rsidR="00051401" w:rsidRDefault="00051401">
            <w:pPr>
              <w:pStyle w:val="TableTextBullet"/>
            </w:pPr>
            <w:r>
              <w:t>Adds the unit to the list of selected units.</w:t>
            </w:r>
          </w:p>
          <w:p w14:paraId="6C772845" w14:textId="77777777" w:rsidR="002A21AE" w:rsidRDefault="002A21AE">
            <w:pPr>
              <w:pStyle w:val="TableText"/>
            </w:pPr>
          </w:p>
          <w:p w14:paraId="3250D53B" w14:textId="1165F8BC" w:rsidR="002A21AE" w:rsidRDefault="002A21AE">
            <w:pPr>
              <w:pStyle w:val="TableText"/>
              <w:rPr>
                <w:b/>
                <w:bCs/>
                <w:szCs w:val="18"/>
              </w:rPr>
            </w:pPr>
            <w:r>
              <w:rPr>
                <w:b/>
                <w:bCs/>
                <w:szCs w:val="18"/>
              </w:rPr>
              <w:t>NOTES</w:t>
            </w:r>
          </w:p>
          <w:p w14:paraId="6210FD24" w14:textId="77777777" w:rsidR="002A21AE" w:rsidRDefault="002A21AE">
            <w:pPr>
              <w:pStyle w:val="NotesText"/>
            </w:pPr>
          </w:p>
          <w:p w14:paraId="218953F0" w14:textId="08EC6D84" w:rsidR="002A21AE" w:rsidRDefault="002A21AE">
            <w:pPr>
              <w:pStyle w:val="NotesText"/>
            </w:pPr>
            <w:r>
              <w:rPr>
                <w:rFonts w:cs="Arial"/>
                <w:vanish/>
              </w:rPr>
              <w:t xml:space="preserve">BR_11.03 </w:t>
            </w:r>
            <w:r>
              <w:t>VBECS allows the shipment or transfer of units located only in the same division as the user and in the blood bank (for “Limited,” “Available,” “Assigned,” and “Crossmatched” unit statuses only).</w:t>
            </w:r>
          </w:p>
          <w:p w14:paraId="71320BBC" w14:textId="27F920A3" w:rsidR="00127DFF" w:rsidRDefault="00127DFF">
            <w:pPr>
              <w:pStyle w:val="NotesText"/>
            </w:pPr>
          </w:p>
          <w:p w14:paraId="1B65D214" w14:textId="20DA7B7C" w:rsidR="00127DFF" w:rsidRDefault="00127DFF" w:rsidP="00127DFF">
            <w:pPr>
              <w:pStyle w:val="NotesText"/>
            </w:pPr>
            <w:r>
              <w:rPr>
                <w:rFonts w:cs="Arial"/>
                <w:vanish/>
              </w:rPr>
              <w:t xml:space="preserve">BR_11.15 </w:t>
            </w:r>
            <w:r>
              <w:t xml:space="preserve">When a unit is quarantined, VBECS </w:t>
            </w:r>
            <w:r>
              <w:rPr>
                <w:noProof/>
              </w:rPr>
              <w:t>warns the user.</w:t>
            </w:r>
            <w:r>
              <w:t xml:space="preserve"> </w:t>
            </w:r>
          </w:p>
          <w:p w14:paraId="4C00AD06" w14:textId="50FA99EB" w:rsidR="00127DFF" w:rsidRDefault="00127DFF">
            <w:pPr>
              <w:pStyle w:val="NotesText"/>
            </w:pPr>
          </w:p>
          <w:p w14:paraId="5A4E6B3D" w14:textId="77777777" w:rsidR="002A21AE" w:rsidRDefault="002A21AE">
            <w:pPr>
              <w:pStyle w:val="NotesText"/>
            </w:pPr>
            <w:r>
              <w:rPr>
                <w:rFonts w:cs="Arial"/>
                <w:vanish/>
              </w:rPr>
              <w:t xml:space="preserve">BR_11.12 </w:t>
            </w:r>
            <w:r>
              <w:t>When a unit is expired, VBECS warns the user.</w:t>
            </w:r>
          </w:p>
          <w:p w14:paraId="0D74DE34" w14:textId="77777777" w:rsidR="002A21AE" w:rsidRDefault="002A21AE">
            <w:pPr>
              <w:pStyle w:val="NotesText"/>
            </w:pPr>
          </w:p>
          <w:p w14:paraId="577D189A" w14:textId="77777777" w:rsidR="002A21AE" w:rsidRDefault="002A21AE">
            <w:pPr>
              <w:pStyle w:val="NotesText"/>
            </w:pPr>
            <w:r>
              <w:rPr>
                <w:rFonts w:cs="Arial"/>
                <w:vanish/>
              </w:rPr>
              <w:t xml:space="preserve">BR_11.05 </w:t>
            </w:r>
            <w:r>
              <w:t xml:space="preserve">When units selected for shipment are assigned </w:t>
            </w:r>
            <w:r w:rsidR="0009383F">
              <w:t xml:space="preserve">or crossmatched </w:t>
            </w:r>
            <w:r>
              <w:t xml:space="preserve">to a patient, VBECS warns the user and asks the user whether to release the unit before shipping. </w:t>
            </w:r>
          </w:p>
          <w:p w14:paraId="7525B01F" w14:textId="77777777" w:rsidR="002A21AE" w:rsidRDefault="002A21AE">
            <w:pPr>
              <w:pStyle w:val="NotesText"/>
            </w:pPr>
          </w:p>
          <w:p w14:paraId="07E71E47" w14:textId="77777777" w:rsidR="00D31A97" w:rsidRDefault="0009383F" w:rsidP="00D31A97">
            <w:pPr>
              <w:pStyle w:val="NotesText"/>
            </w:pPr>
            <w:r>
              <w:rPr>
                <w:b/>
              </w:rPr>
              <w:t>Yes</w:t>
            </w:r>
            <w:r>
              <w:t xml:space="preserve"> releases all patient assignments from the unit </w:t>
            </w:r>
            <w:r w:rsidRPr="00203AFF">
              <w:t>prior to adding the unit to the invoic</w:t>
            </w:r>
            <w:r w:rsidR="00F35773">
              <w:t>e</w:t>
            </w:r>
            <w:r>
              <w:t>.</w:t>
            </w:r>
          </w:p>
          <w:p w14:paraId="1F85E3D9" w14:textId="77777777" w:rsidR="00127DFF" w:rsidRDefault="00127DFF" w:rsidP="00D31A97">
            <w:pPr>
              <w:pStyle w:val="NotesText"/>
            </w:pPr>
          </w:p>
          <w:p w14:paraId="73B4EE7E" w14:textId="5AB4C73C" w:rsidR="00127DFF" w:rsidRDefault="007C5E77" w:rsidP="00D31A97">
            <w:pPr>
              <w:pStyle w:val="NotesText"/>
            </w:pPr>
            <w:r>
              <w:rPr>
                <w:rFonts w:cs="Arial"/>
                <w:vanish/>
              </w:rPr>
              <w:t xml:space="preserve">BR_11.24 </w:t>
            </w:r>
            <w:r w:rsidR="00127DFF">
              <w:t>The confirmation message displays: “Are you sure you want to add this unit? By clicking Yes, you acknowledge that you have inspected this unit and it is satisfactory.”</w:t>
            </w:r>
          </w:p>
          <w:p w14:paraId="2FF4C35D" w14:textId="77777777" w:rsidR="00127DFF" w:rsidRDefault="00127DFF" w:rsidP="00D31A97">
            <w:pPr>
              <w:pStyle w:val="NotesText"/>
            </w:pPr>
          </w:p>
          <w:p w14:paraId="41E28FD8" w14:textId="002C3F16" w:rsidR="008D1739" w:rsidRDefault="00127DFF" w:rsidP="00051401">
            <w:pPr>
              <w:pStyle w:val="NotesText"/>
            </w:pPr>
            <w:r>
              <w:t>If the user clicks Yes, the unit is added to the selected units list. When the user clicks No, the unit is cleared. The visual inspection indicator will be displayed in the Unit History Report, Outgoing Shipment section.</w:t>
            </w:r>
          </w:p>
        </w:tc>
      </w:tr>
      <w:tr w:rsidR="008D1739" w14:paraId="2B29E1B3" w14:textId="77777777" w:rsidTr="001A459B">
        <w:trPr>
          <w:cantSplit/>
        </w:trPr>
        <w:tc>
          <w:tcPr>
            <w:tcW w:w="3240" w:type="dxa"/>
          </w:tcPr>
          <w:p w14:paraId="6734B50A" w14:textId="77777777" w:rsidR="008D1739" w:rsidRDefault="008D1739" w:rsidP="00F35773">
            <w:pPr>
              <w:pStyle w:val="TableTextNumbers"/>
            </w:pPr>
            <w:r>
              <w:t xml:space="preserve">To change the return credit amount for a unit in a “Return to Shipper” unconfirmed shipment, select a unit and click </w:t>
            </w:r>
            <w:r w:rsidRPr="008D1739">
              <w:rPr>
                <w:b/>
                <w:bCs/>
              </w:rPr>
              <w:t>Return Credit</w:t>
            </w:r>
            <w:r>
              <w:t>.</w:t>
            </w:r>
          </w:p>
          <w:p w14:paraId="0E6E9B8B" w14:textId="77777777" w:rsidR="00D34858" w:rsidRDefault="00D34858" w:rsidP="00D34858">
            <w:pPr>
              <w:pStyle w:val="TableTextNumbers"/>
              <w:numPr>
                <w:ilvl w:val="0"/>
                <w:numId w:val="0"/>
              </w:numPr>
              <w:ind w:left="288" w:hanging="288"/>
            </w:pPr>
          </w:p>
          <w:p w14:paraId="7CA095B6" w14:textId="77777777" w:rsidR="00D34858" w:rsidRDefault="00D34858" w:rsidP="00D34858">
            <w:pPr>
              <w:pStyle w:val="TableTextNumbersContinued"/>
            </w:pPr>
            <w:r>
              <w:t>Enter the return credit amount.</w:t>
            </w:r>
          </w:p>
          <w:p w14:paraId="07065D06" w14:textId="77777777" w:rsidR="00D34858" w:rsidRDefault="00D34858" w:rsidP="00D34858">
            <w:pPr>
              <w:pStyle w:val="TableTextNumbersContinued"/>
            </w:pPr>
          </w:p>
          <w:p w14:paraId="15D9225A" w14:textId="2A18C131" w:rsidR="00D34858" w:rsidRDefault="00D34858" w:rsidP="00D34858">
            <w:pPr>
              <w:pStyle w:val="TableTextNumbersContinued"/>
            </w:pPr>
            <w:r>
              <w:t xml:space="preserve">Click </w:t>
            </w:r>
            <w:r w:rsidRPr="00D34858">
              <w:rPr>
                <w:b/>
                <w:bCs/>
              </w:rPr>
              <w:t>OK</w:t>
            </w:r>
            <w:r>
              <w:t xml:space="preserve"> to save the amount entered or </w:t>
            </w:r>
            <w:r w:rsidRPr="00D34858">
              <w:rPr>
                <w:b/>
                <w:bCs/>
              </w:rPr>
              <w:t>Cancel</w:t>
            </w:r>
            <w:r>
              <w:t xml:space="preserve"> to return to the invoice.</w:t>
            </w:r>
          </w:p>
        </w:tc>
        <w:tc>
          <w:tcPr>
            <w:tcW w:w="6120" w:type="dxa"/>
          </w:tcPr>
          <w:p w14:paraId="1C495261" w14:textId="77777777" w:rsidR="008D1739" w:rsidRDefault="00D34858">
            <w:pPr>
              <w:pStyle w:val="TableTextBullet"/>
            </w:pPr>
            <w:r>
              <w:t>Displays the unit’s financial information and allows the user to edit the return credit amount.</w:t>
            </w:r>
          </w:p>
          <w:p w14:paraId="7B0CEFDB" w14:textId="77777777" w:rsidR="00D34858" w:rsidRDefault="00362960">
            <w:pPr>
              <w:pStyle w:val="TableTextBullet"/>
            </w:pPr>
            <w:r>
              <w:t>Prompts the user to accept the new amount.</w:t>
            </w:r>
          </w:p>
          <w:p w14:paraId="289B5BAD" w14:textId="2BFB885D" w:rsidR="00362960" w:rsidRDefault="00362960">
            <w:pPr>
              <w:pStyle w:val="TableTextBullet"/>
            </w:pPr>
            <w:r>
              <w:t>Returns to the invoice and displays the return credit amount on the invoice.</w:t>
            </w:r>
          </w:p>
          <w:p w14:paraId="6BAB129A" w14:textId="77777777" w:rsidR="00362960" w:rsidRDefault="00362960" w:rsidP="00362960">
            <w:pPr>
              <w:pStyle w:val="TableTextBullet"/>
              <w:numPr>
                <w:ilvl w:val="0"/>
                <w:numId w:val="0"/>
              </w:numPr>
            </w:pPr>
          </w:p>
          <w:p w14:paraId="6B18CB59" w14:textId="77777777" w:rsidR="00362960" w:rsidRDefault="00362960" w:rsidP="00362960">
            <w:pPr>
              <w:pStyle w:val="TableText"/>
              <w:rPr>
                <w:b/>
                <w:bCs/>
                <w:szCs w:val="18"/>
              </w:rPr>
            </w:pPr>
            <w:r>
              <w:rPr>
                <w:b/>
                <w:bCs/>
                <w:szCs w:val="18"/>
              </w:rPr>
              <w:t>NOTES</w:t>
            </w:r>
          </w:p>
          <w:p w14:paraId="313DFB76" w14:textId="77777777" w:rsidR="00362960" w:rsidRPr="00362960" w:rsidRDefault="00362960" w:rsidP="00362960">
            <w:pPr>
              <w:pStyle w:val="TableText"/>
              <w:rPr>
                <w:b/>
                <w:bCs/>
                <w:szCs w:val="18"/>
              </w:rPr>
            </w:pPr>
          </w:p>
          <w:p w14:paraId="46078FF1" w14:textId="7D4986FA" w:rsidR="00362960" w:rsidRDefault="00362960" w:rsidP="00047819">
            <w:pPr>
              <w:pStyle w:val="NotesText"/>
            </w:pPr>
            <w:r w:rsidRPr="00362960">
              <w:rPr>
                <w:vanish/>
              </w:rPr>
              <w:t>BR_11.</w:t>
            </w:r>
            <w:r w:rsidR="00047819">
              <w:rPr>
                <w:vanish/>
              </w:rPr>
              <w:t>14</w:t>
            </w:r>
            <w:r w:rsidRPr="00362960">
              <w:rPr>
                <w:vanish/>
              </w:rPr>
              <w:t xml:space="preserve"> </w:t>
            </w:r>
            <w:r w:rsidRPr="00362960">
              <w:t xml:space="preserve">VBECS </w:t>
            </w:r>
            <w:r>
              <w:t>applies a return credit (equal to the return credit percentage of the original cost of the unit) to units processed in an outgoing shipment to the original shipper. Users may edit return credits for individual units.</w:t>
            </w:r>
          </w:p>
        </w:tc>
      </w:tr>
      <w:tr w:rsidR="009C2E0C" w14:paraId="5C61E91E" w14:textId="77777777" w:rsidTr="00615FC3">
        <w:tc>
          <w:tcPr>
            <w:tcW w:w="3240" w:type="dxa"/>
            <w:tcBorders>
              <w:bottom w:val="single" w:sz="4" w:space="0" w:color="auto"/>
            </w:tcBorders>
          </w:tcPr>
          <w:p w14:paraId="76C2701D" w14:textId="623BA51C" w:rsidR="009C2E0C" w:rsidRDefault="007441D3" w:rsidP="006F799E">
            <w:pPr>
              <w:pStyle w:val="TableTextNumbers"/>
            </w:pPr>
            <w:r>
              <w:t xml:space="preserve">To </w:t>
            </w:r>
            <w:r w:rsidR="00F35773">
              <w:t xml:space="preserve">add or </w:t>
            </w:r>
            <w:r>
              <w:t>edit a comment</w:t>
            </w:r>
            <w:r w:rsidR="00331054">
              <w:t xml:space="preserve"> for a unit</w:t>
            </w:r>
            <w:r>
              <w:t>, s</w:t>
            </w:r>
            <w:r w:rsidR="009C2E0C">
              <w:t xml:space="preserve">elect a </w:t>
            </w:r>
            <w:r w:rsidR="00331054">
              <w:t>unit</w:t>
            </w:r>
            <w:r w:rsidR="009C2E0C">
              <w:t xml:space="preserve"> from the list of selected units and click </w:t>
            </w:r>
            <w:r w:rsidR="009C2E0C">
              <w:rPr>
                <w:b/>
                <w:bCs/>
              </w:rPr>
              <w:t xml:space="preserve">Comment </w:t>
            </w:r>
            <w:r w:rsidR="009C2E0C">
              <w:t>(</w:t>
            </w:r>
            <w:r w:rsidR="00EE455E">
              <w:t xml:space="preserve">Figure </w:t>
            </w:r>
            <w:r w:rsidR="00EE455E">
              <w:rPr>
                <w:noProof/>
              </w:rPr>
              <w:t>50</w:t>
            </w:r>
            <w:r w:rsidR="009C2E0C">
              <w:t>).</w:t>
            </w:r>
          </w:p>
        </w:tc>
        <w:tc>
          <w:tcPr>
            <w:tcW w:w="6120" w:type="dxa"/>
            <w:tcBorders>
              <w:bottom w:val="single" w:sz="4" w:space="0" w:color="auto"/>
            </w:tcBorders>
          </w:tcPr>
          <w:p w14:paraId="155E84BB" w14:textId="77777777" w:rsidR="009C2E0C" w:rsidRDefault="009C2E0C" w:rsidP="00615FC3">
            <w:pPr>
              <w:pStyle w:val="TableTextBullet"/>
            </w:pPr>
            <w:r>
              <w:t>Displays the current unit's outgoing shipment comment, allowing edit of the comment.</w:t>
            </w:r>
          </w:p>
          <w:p w14:paraId="6616BFFD" w14:textId="77777777" w:rsidR="009C2E0C" w:rsidRDefault="009C2E0C" w:rsidP="009C2E0C">
            <w:pPr>
              <w:pStyle w:val="TableText"/>
            </w:pPr>
          </w:p>
          <w:p w14:paraId="11D046BF" w14:textId="77777777" w:rsidR="009C2E0C" w:rsidRDefault="009C2E0C" w:rsidP="009C2E0C">
            <w:pPr>
              <w:pStyle w:val="TableText"/>
              <w:rPr>
                <w:b/>
                <w:bCs/>
                <w:szCs w:val="18"/>
              </w:rPr>
            </w:pPr>
            <w:r>
              <w:rPr>
                <w:b/>
                <w:bCs/>
                <w:szCs w:val="18"/>
              </w:rPr>
              <w:t>NOTES</w:t>
            </w:r>
          </w:p>
          <w:p w14:paraId="7E36CE32" w14:textId="77777777" w:rsidR="009C2E0C" w:rsidRDefault="009C2E0C" w:rsidP="009C2E0C">
            <w:pPr>
              <w:pStyle w:val="NotesText"/>
            </w:pPr>
          </w:p>
          <w:p w14:paraId="1C53F81B" w14:textId="46851701" w:rsidR="009C2E0C" w:rsidRPr="009C2E0C" w:rsidRDefault="009C2E0C" w:rsidP="006F799E">
            <w:pPr>
              <w:pStyle w:val="NotesText"/>
              <w:rPr>
                <w:rFonts w:cs="Arial"/>
                <w:szCs w:val="18"/>
              </w:rPr>
            </w:pPr>
            <w:r w:rsidRPr="005710CE">
              <w:rPr>
                <w:rFonts w:cs="Arial"/>
                <w:vanish/>
                <w:szCs w:val="18"/>
              </w:rPr>
              <w:t>BR_1</w:t>
            </w:r>
            <w:r>
              <w:rPr>
                <w:rFonts w:cs="Arial"/>
                <w:vanish/>
                <w:szCs w:val="18"/>
              </w:rPr>
              <w:t>1.23</w:t>
            </w:r>
            <w:r w:rsidRPr="005710CE">
              <w:rPr>
                <w:rFonts w:cs="Arial"/>
                <w:vanish/>
                <w:szCs w:val="18"/>
              </w:rPr>
              <w:t xml:space="preserve"> </w:t>
            </w:r>
            <w:r w:rsidRPr="0030088C">
              <w:rPr>
                <w:rFonts w:cs="Arial"/>
                <w:szCs w:val="18"/>
              </w:rPr>
              <w:t xml:space="preserve">The </w:t>
            </w:r>
            <w:r>
              <w:rPr>
                <w:rFonts w:cs="Arial"/>
                <w:szCs w:val="18"/>
              </w:rPr>
              <w:t xml:space="preserve">user may </w:t>
            </w:r>
            <w:r w:rsidR="00331054">
              <w:rPr>
                <w:rFonts w:cs="Arial"/>
                <w:szCs w:val="18"/>
              </w:rPr>
              <w:t>select an</w:t>
            </w:r>
            <w:r>
              <w:rPr>
                <w:rFonts w:cs="Arial"/>
                <w:szCs w:val="18"/>
              </w:rPr>
              <w:t xml:space="preserve"> "Outgoing Shipment" </w:t>
            </w:r>
            <w:r w:rsidR="00331054">
              <w:rPr>
                <w:rFonts w:cs="Arial"/>
                <w:szCs w:val="18"/>
              </w:rPr>
              <w:t xml:space="preserve">canned </w:t>
            </w:r>
            <w:r>
              <w:rPr>
                <w:rFonts w:cs="Arial"/>
                <w:szCs w:val="18"/>
              </w:rPr>
              <w:t xml:space="preserve">comment context and </w:t>
            </w:r>
            <w:r w:rsidR="00331054">
              <w:rPr>
                <w:rFonts w:cs="Arial"/>
                <w:szCs w:val="18"/>
              </w:rPr>
              <w:t>enter</w:t>
            </w:r>
            <w:r>
              <w:rPr>
                <w:rFonts w:cs="Arial"/>
                <w:szCs w:val="18"/>
              </w:rPr>
              <w:t xml:space="preserve"> free text </w:t>
            </w:r>
            <w:r w:rsidR="00331054">
              <w:rPr>
                <w:rFonts w:cs="Arial"/>
                <w:szCs w:val="18"/>
              </w:rPr>
              <w:t>details</w:t>
            </w:r>
            <w:r w:rsidRPr="0030088C">
              <w:rPr>
                <w:rFonts w:cs="Arial"/>
                <w:szCs w:val="18"/>
              </w:rPr>
              <w:t>.</w:t>
            </w:r>
            <w:r>
              <w:rPr>
                <w:rFonts w:cs="Arial"/>
                <w:szCs w:val="18"/>
              </w:rPr>
              <w:t xml:space="preserve"> </w:t>
            </w:r>
            <w:r w:rsidRPr="006E30BA">
              <w:rPr>
                <w:rFonts w:cs="Arial"/>
                <w:szCs w:val="18"/>
              </w:rPr>
              <w:t xml:space="preserve">The comment will be displayed in the Unit History Report, </w:t>
            </w:r>
            <w:r>
              <w:rPr>
                <w:rFonts w:cs="Arial"/>
                <w:szCs w:val="18"/>
              </w:rPr>
              <w:t>Outgoing</w:t>
            </w:r>
            <w:r w:rsidRPr="006E30BA">
              <w:rPr>
                <w:rFonts w:cs="Arial"/>
                <w:szCs w:val="18"/>
              </w:rPr>
              <w:t xml:space="preserve"> Shipment section</w:t>
            </w:r>
            <w:r w:rsidR="00331054">
              <w:rPr>
                <w:rFonts w:cs="Arial"/>
                <w:szCs w:val="18"/>
              </w:rPr>
              <w:t xml:space="preserve"> and printed invoice</w:t>
            </w:r>
            <w:r>
              <w:rPr>
                <w:rFonts w:cs="Arial"/>
                <w:szCs w:val="18"/>
              </w:rPr>
              <w:t>.</w:t>
            </w:r>
          </w:p>
        </w:tc>
      </w:tr>
      <w:tr w:rsidR="00351221" w14:paraId="552EE931" w14:textId="77777777" w:rsidTr="00047819">
        <w:trPr>
          <w:cantSplit/>
        </w:trPr>
        <w:tc>
          <w:tcPr>
            <w:tcW w:w="3240" w:type="dxa"/>
            <w:tcBorders>
              <w:bottom w:val="single" w:sz="4" w:space="0" w:color="auto"/>
            </w:tcBorders>
          </w:tcPr>
          <w:p w14:paraId="7A8E7FEE" w14:textId="31836CE6" w:rsidR="00CB20E3" w:rsidRPr="002742DD" w:rsidRDefault="00CB20E3" w:rsidP="00CB20E3">
            <w:pPr>
              <w:pStyle w:val="TableTextNumbers"/>
              <w:rPr>
                <w:rFonts w:cs="Arial"/>
                <w:szCs w:val="18"/>
              </w:rPr>
            </w:pPr>
            <w:r w:rsidRPr="002742DD">
              <w:rPr>
                <w:rFonts w:cs="Arial"/>
                <w:szCs w:val="18"/>
              </w:rPr>
              <w:t>Repeat Steps 5</w:t>
            </w:r>
            <w:r w:rsidR="00AB1D6F" w:rsidRPr="002742DD">
              <w:rPr>
                <w:rFonts w:cs="Arial"/>
                <w:szCs w:val="18"/>
              </w:rPr>
              <w:t>, 6</w:t>
            </w:r>
            <w:r w:rsidRPr="002742DD">
              <w:rPr>
                <w:rFonts w:cs="Arial"/>
                <w:szCs w:val="18"/>
              </w:rPr>
              <w:t xml:space="preserve"> and </w:t>
            </w:r>
            <w:r w:rsidR="00AB1D6F" w:rsidRPr="002742DD">
              <w:rPr>
                <w:rFonts w:cs="Arial"/>
                <w:szCs w:val="18"/>
              </w:rPr>
              <w:t xml:space="preserve">7 </w:t>
            </w:r>
            <w:r w:rsidRPr="002742DD">
              <w:rPr>
                <w:rFonts w:cs="Arial"/>
                <w:szCs w:val="18"/>
              </w:rPr>
              <w:t>until all units for</w:t>
            </w:r>
            <w:r w:rsidR="00331054">
              <w:rPr>
                <w:rFonts w:cs="Arial"/>
                <w:szCs w:val="18"/>
              </w:rPr>
              <w:t xml:space="preserve"> the current invoice</w:t>
            </w:r>
            <w:r w:rsidRPr="002742DD">
              <w:rPr>
                <w:rFonts w:cs="Arial"/>
                <w:szCs w:val="18"/>
              </w:rPr>
              <w:t xml:space="preserve"> are entered.</w:t>
            </w:r>
          </w:p>
          <w:p w14:paraId="47CED96D" w14:textId="77777777" w:rsidR="00CB20E3" w:rsidRPr="002742DD" w:rsidRDefault="00CB20E3" w:rsidP="00CB20E3">
            <w:pPr>
              <w:pStyle w:val="TableTextNumbersContinued"/>
              <w:rPr>
                <w:rFonts w:cs="Arial"/>
                <w:szCs w:val="18"/>
              </w:rPr>
            </w:pPr>
          </w:p>
          <w:p w14:paraId="4ECF3FC1" w14:textId="3AFDFC8F" w:rsidR="003B03EA" w:rsidRPr="00362960" w:rsidRDefault="00CB20E3" w:rsidP="00362960">
            <w:pPr>
              <w:pStyle w:val="TableTextNumbersContinued"/>
              <w:rPr>
                <w:rFonts w:cs="Arial"/>
                <w:szCs w:val="18"/>
              </w:rPr>
            </w:pPr>
            <w:r w:rsidRPr="002742DD">
              <w:rPr>
                <w:rFonts w:cs="Arial"/>
                <w:szCs w:val="18"/>
              </w:rPr>
              <w:t xml:space="preserve">Click </w:t>
            </w:r>
            <w:r w:rsidRPr="002742DD">
              <w:rPr>
                <w:rFonts w:cs="Arial"/>
                <w:b/>
                <w:bCs/>
                <w:szCs w:val="18"/>
              </w:rPr>
              <w:t>Save</w:t>
            </w:r>
            <w:r w:rsidRPr="002742DD">
              <w:rPr>
                <w:rFonts w:cs="Arial"/>
                <w:szCs w:val="18"/>
              </w:rPr>
              <w:t xml:space="preserve"> to save the information entered</w:t>
            </w:r>
            <w:r w:rsidR="00AA511E" w:rsidRPr="002742DD">
              <w:rPr>
                <w:rFonts w:cs="Arial"/>
                <w:szCs w:val="18"/>
              </w:rPr>
              <w:t xml:space="preserve"> (</w:t>
            </w:r>
            <w:r w:rsidR="00EE455E">
              <w:t xml:space="preserve">Figure </w:t>
            </w:r>
            <w:r w:rsidR="00EE455E">
              <w:rPr>
                <w:noProof/>
              </w:rPr>
              <w:t>51</w:t>
            </w:r>
            <w:r w:rsidR="00AA511E" w:rsidRPr="002742DD">
              <w:rPr>
                <w:rFonts w:cs="Arial"/>
                <w:szCs w:val="18"/>
              </w:rPr>
              <w:t xml:space="preserve">) and </w:t>
            </w:r>
            <w:r w:rsidR="00AA511E" w:rsidRPr="002742DD">
              <w:rPr>
                <w:rFonts w:cs="Arial"/>
                <w:b/>
                <w:bCs/>
                <w:szCs w:val="18"/>
              </w:rPr>
              <w:t>Yes</w:t>
            </w:r>
            <w:r w:rsidR="00AA511E" w:rsidRPr="002742DD">
              <w:rPr>
                <w:rFonts w:cs="Arial"/>
                <w:szCs w:val="18"/>
              </w:rPr>
              <w:t xml:space="preserve"> to confirm the save</w:t>
            </w:r>
            <w:r w:rsidRPr="002742DD">
              <w:rPr>
                <w:rFonts w:cs="Arial"/>
                <w:szCs w:val="18"/>
              </w:rPr>
              <w:t>.</w:t>
            </w:r>
          </w:p>
        </w:tc>
        <w:tc>
          <w:tcPr>
            <w:tcW w:w="6120" w:type="dxa"/>
            <w:tcBorders>
              <w:bottom w:val="single" w:sz="4" w:space="0" w:color="auto"/>
            </w:tcBorders>
          </w:tcPr>
          <w:p w14:paraId="791C7E87" w14:textId="09F1AFF2" w:rsidR="00351221" w:rsidRDefault="00047819" w:rsidP="00047819">
            <w:pPr>
              <w:pStyle w:val="TableTextBullet"/>
            </w:pPr>
            <w:r>
              <w:t xml:space="preserve">Confirms the user action. </w:t>
            </w:r>
            <w:r>
              <w:rPr>
                <w:b/>
                <w:bCs/>
              </w:rPr>
              <w:t>Yes</w:t>
            </w:r>
            <w:r>
              <w:t xml:space="preserve"> saves all changes to the invoice.</w:t>
            </w:r>
          </w:p>
        </w:tc>
      </w:tr>
      <w:tr w:rsidR="00047819" w14:paraId="2D4AA34A" w14:textId="77777777" w:rsidTr="001A459B">
        <w:trPr>
          <w:cantSplit/>
        </w:trPr>
        <w:tc>
          <w:tcPr>
            <w:tcW w:w="3240" w:type="dxa"/>
            <w:tcBorders>
              <w:bottom w:val="single" w:sz="4" w:space="0" w:color="auto"/>
            </w:tcBorders>
          </w:tcPr>
          <w:p w14:paraId="794D88AC" w14:textId="6EF3439D" w:rsidR="00047819" w:rsidRDefault="00047819" w:rsidP="005C043C">
            <w:pPr>
              <w:pStyle w:val="TableTextNumbers"/>
            </w:pPr>
            <w:r>
              <w:t xml:space="preserve">To cancel the shipment, click </w:t>
            </w:r>
            <w:r>
              <w:rPr>
                <w:b/>
                <w:bCs/>
              </w:rPr>
              <w:t>Cancel Shipment</w:t>
            </w:r>
            <w:r>
              <w:t>.</w:t>
            </w:r>
          </w:p>
        </w:tc>
        <w:tc>
          <w:tcPr>
            <w:tcW w:w="6120" w:type="dxa"/>
            <w:tcBorders>
              <w:bottom w:val="single" w:sz="4" w:space="0" w:color="auto"/>
            </w:tcBorders>
          </w:tcPr>
          <w:p w14:paraId="0D217BAA" w14:textId="77777777" w:rsidR="00047819" w:rsidRDefault="00047819" w:rsidP="0035003C">
            <w:pPr>
              <w:pStyle w:val="TableTextBullet"/>
            </w:pPr>
            <w:r>
              <w:t xml:space="preserve">Confirms the user action. </w:t>
            </w:r>
            <w:r>
              <w:rPr>
                <w:b/>
                <w:bCs/>
              </w:rPr>
              <w:t>Yes</w:t>
            </w:r>
            <w:r>
              <w:t xml:space="preserve"> deletes the invoice and all selected units are returned to their previous status.</w:t>
            </w:r>
          </w:p>
          <w:p w14:paraId="57F89504" w14:textId="77777777" w:rsidR="00047819" w:rsidRDefault="00047819" w:rsidP="00047819">
            <w:pPr>
              <w:pStyle w:val="TableText"/>
            </w:pPr>
          </w:p>
          <w:p w14:paraId="767997A9" w14:textId="77777777" w:rsidR="00047819" w:rsidRDefault="00047819" w:rsidP="00047819">
            <w:pPr>
              <w:pStyle w:val="TableText"/>
              <w:rPr>
                <w:b/>
                <w:bCs/>
                <w:szCs w:val="18"/>
              </w:rPr>
            </w:pPr>
            <w:r>
              <w:rPr>
                <w:b/>
                <w:bCs/>
                <w:szCs w:val="18"/>
              </w:rPr>
              <w:t>NOTES</w:t>
            </w:r>
          </w:p>
          <w:p w14:paraId="31BC2D19" w14:textId="77777777" w:rsidR="00047819" w:rsidRDefault="00047819" w:rsidP="00047819">
            <w:pPr>
              <w:pStyle w:val="NotesText"/>
            </w:pPr>
          </w:p>
          <w:p w14:paraId="2E81313C" w14:textId="4878A574" w:rsidR="00047819" w:rsidRDefault="00047819" w:rsidP="00047819">
            <w:pPr>
              <w:pStyle w:val="NotesText"/>
            </w:pPr>
            <w:r>
              <w:t>Canceled shipments are not visible on any report or menu option within VBECS.</w:t>
            </w:r>
          </w:p>
        </w:tc>
      </w:tr>
      <w:tr w:rsidR="002A21AE" w14:paraId="571421F9" w14:textId="77777777">
        <w:tc>
          <w:tcPr>
            <w:tcW w:w="3240" w:type="dxa"/>
            <w:tcBorders>
              <w:bottom w:val="single" w:sz="4" w:space="0" w:color="auto"/>
            </w:tcBorders>
          </w:tcPr>
          <w:p w14:paraId="4DE90953" w14:textId="6B1BDEFA" w:rsidR="002A21AE" w:rsidRDefault="002A21AE" w:rsidP="007C5E77">
            <w:pPr>
              <w:pStyle w:val="TableTextNumbers"/>
            </w:pPr>
            <w:r>
              <w:t xml:space="preserve">To confirm the shipment, </w:t>
            </w:r>
            <w:r w:rsidR="009F225E">
              <w:t xml:space="preserve">it must first be saved. Click </w:t>
            </w:r>
            <w:r w:rsidR="009F225E" w:rsidRPr="006F799E">
              <w:rPr>
                <w:b/>
                <w:bCs/>
              </w:rPr>
              <w:t>Confirm Shipment</w:t>
            </w:r>
            <w:r>
              <w:t>.</w:t>
            </w:r>
          </w:p>
        </w:tc>
        <w:tc>
          <w:tcPr>
            <w:tcW w:w="6120" w:type="dxa"/>
            <w:tcBorders>
              <w:bottom w:val="single" w:sz="4" w:space="0" w:color="auto"/>
            </w:tcBorders>
          </w:tcPr>
          <w:p w14:paraId="3BA57F5F" w14:textId="1DAF59FC" w:rsidR="0016671A" w:rsidRDefault="0016671A" w:rsidP="007C5E77">
            <w:pPr>
              <w:pStyle w:val="TableTextBullet"/>
            </w:pPr>
            <w:r>
              <w:t>Displays a</w:t>
            </w:r>
            <w:r w:rsidR="00413CD5">
              <w:t>n</w:t>
            </w:r>
            <w:r>
              <w:t xml:space="preserve"> “</w:t>
            </w:r>
            <w:r w:rsidR="00413CD5">
              <w:t>Edit</w:t>
            </w:r>
            <w:r>
              <w:t xml:space="preserve"> Shipment</w:t>
            </w:r>
            <w:r w:rsidR="00413CD5">
              <w:t xml:space="preserve"> Date</w:t>
            </w:r>
            <w:r>
              <w:t xml:space="preserve">” </w:t>
            </w:r>
            <w:r w:rsidR="00413CD5">
              <w:t>window</w:t>
            </w:r>
            <w:r>
              <w:t>.</w:t>
            </w:r>
          </w:p>
        </w:tc>
      </w:tr>
      <w:tr w:rsidR="002A21AE" w14:paraId="0BFAF546" w14:textId="77777777" w:rsidTr="001A459B">
        <w:trPr>
          <w:cantSplit/>
        </w:trPr>
        <w:tc>
          <w:tcPr>
            <w:tcW w:w="3240" w:type="dxa"/>
          </w:tcPr>
          <w:p w14:paraId="66871509" w14:textId="6326E2D2" w:rsidR="002A21AE" w:rsidRDefault="00C34657">
            <w:pPr>
              <w:pStyle w:val="TableTextNumbers"/>
            </w:pPr>
            <w:r>
              <w:t>S</w:t>
            </w:r>
            <w:r w:rsidR="002A21AE">
              <w:t>elect or edit the date and time in the Shipment Date/Time field</w:t>
            </w:r>
            <w:r w:rsidR="0016671A">
              <w:t xml:space="preserve"> (</w:t>
            </w:r>
            <w:r w:rsidR="00EE455E">
              <w:t xml:space="preserve">Figure </w:t>
            </w:r>
            <w:r w:rsidR="00EE455E">
              <w:rPr>
                <w:noProof/>
              </w:rPr>
              <w:t>52</w:t>
            </w:r>
            <w:r w:rsidR="00AB1D6F">
              <w:t>)</w:t>
            </w:r>
            <w:r w:rsidR="002A21AE">
              <w:t>.</w:t>
            </w:r>
          </w:p>
          <w:p w14:paraId="673EE7E3" w14:textId="77777777" w:rsidR="002A21AE" w:rsidRDefault="002A21AE">
            <w:pPr>
              <w:pStyle w:val="TableTextNumbersContinued"/>
            </w:pPr>
          </w:p>
          <w:p w14:paraId="7352E5B3" w14:textId="714E061B" w:rsidR="002A21AE" w:rsidRDefault="002A21AE">
            <w:pPr>
              <w:pStyle w:val="TableTextNumbersContinued"/>
            </w:pPr>
            <w:r>
              <w:t xml:space="preserve">Click </w:t>
            </w:r>
            <w:r>
              <w:rPr>
                <w:b/>
              </w:rPr>
              <w:t>OK</w:t>
            </w:r>
            <w:r>
              <w:t xml:space="preserve"> to save the information entered or </w:t>
            </w:r>
            <w:r>
              <w:rPr>
                <w:b/>
              </w:rPr>
              <w:t>Cancel</w:t>
            </w:r>
            <w:r>
              <w:t xml:space="preserve"> to return to </w:t>
            </w:r>
            <w:r w:rsidR="00C34657">
              <w:t>leave the invoice unconfirmed</w:t>
            </w:r>
            <w:r>
              <w:t>.</w:t>
            </w:r>
          </w:p>
        </w:tc>
        <w:tc>
          <w:tcPr>
            <w:tcW w:w="6120" w:type="dxa"/>
          </w:tcPr>
          <w:p w14:paraId="4E42F5FE" w14:textId="77777777" w:rsidR="002A21AE" w:rsidRDefault="002A21AE">
            <w:pPr>
              <w:pStyle w:val="TableTextBullet"/>
            </w:pPr>
            <w:r>
              <w:t>Displays shipment information, including the shipment date and time. When a user accepts the entered date and time, displays the invoice to be printed.</w:t>
            </w:r>
          </w:p>
          <w:p w14:paraId="79E3F5C0" w14:textId="77777777" w:rsidR="002A21AE" w:rsidRDefault="002A21AE">
            <w:pPr>
              <w:pStyle w:val="TableTextBullet"/>
            </w:pPr>
            <w:r>
              <w:t xml:space="preserve">Updates the status of each unit in the shipment to show that each unit was transferred to the ship-to facility and assigns the shipment date and time as the date and time of the transaction. </w:t>
            </w:r>
          </w:p>
          <w:p w14:paraId="3957B6D8" w14:textId="77777777" w:rsidR="002A21AE" w:rsidRDefault="002A21AE">
            <w:pPr>
              <w:pStyle w:val="TableText"/>
            </w:pPr>
          </w:p>
          <w:p w14:paraId="750E4C1D" w14:textId="5F569929" w:rsidR="002A21AE" w:rsidRDefault="002A21AE">
            <w:pPr>
              <w:pStyle w:val="TableText"/>
              <w:rPr>
                <w:b/>
                <w:bCs/>
                <w:szCs w:val="18"/>
              </w:rPr>
            </w:pPr>
            <w:r>
              <w:rPr>
                <w:b/>
                <w:bCs/>
                <w:szCs w:val="18"/>
              </w:rPr>
              <w:t>NOTES</w:t>
            </w:r>
          </w:p>
          <w:p w14:paraId="408AF7F6" w14:textId="77777777" w:rsidR="002A21AE" w:rsidRDefault="002A21AE">
            <w:pPr>
              <w:pStyle w:val="NotesText"/>
            </w:pPr>
          </w:p>
          <w:p w14:paraId="2E5762EC" w14:textId="77777777" w:rsidR="002A21AE" w:rsidRDefault="002A21AE">
            <w:pPr>
              <w:pStyle w:val="NotesText"/>
            </w:pPr>
            <w:r>
              <w:t>When VBECS confirms an outgoing shipment, it:</w:t>
            </w:r>
          </w:p>
          <w:p w14:paraId="697AC74E" w14:textId="508BE419" w:rsidR="002A21AE" w:rsidRDefault="002A21AE">
            <w:pPr>
              <w:pStyle w:val="NotesTextBullet"/>
            </w:pPr>
            <w:r>
              <w:rPr>
                <w:rFonts w:cs="Arial"/>
                <w:vanish/>
              </w:rPr>
              <w:t>BR_11.08</w:t>
            </w:r>
            <w:r w:rsidR="009E64CB">
              <w:t xml:space="preserve">Upon confirmation of an outgoing shipment, the system </w:t>
            </w:r>
            <w:r w:rsidR="001B1F53">
              <w:t>updates</w:t>
            </w:r>
            <w:r w:rsidR="009E64CB">
              <w:t xml:space="preserve"> the unit record with the shipment information. The system updates the status of each unit in the shipment to “transferred”.</w:t>
            </w:r>
          </w:p>
          <w:p w14:paraId="21BA638F" w14:textId="14D33F04" w:rsidR="00662C08" w:rsidRDefault="00662C08">
            <w:pPr>
              <w:pStyle w:val="NotesTextBullet"/>
            </w:pPr>
            <w:r>
              <w:rPr>
                <w:rFonts w:cs="Arial"/>
              </w:rPr>
              <w:t>(Transfusion-Only division configuration only) removes the unit restriction.</w:t>
            </w:r>
          </w:p>
          <w:p w14:paraId="263CF7CB" w14:textId="07254177" w:rsidR="002A21AE" w:rsidRDefault="002A21AE" w:rsidP="009E64CB">
            <w:pPr>
              <w:pStyle w:val="NotesTextBullet"/>
            </w:pPr>
            <w:r>
              <w:rPr>
                <w:rFonts w:cs="Arial"/>
                <w:vanish/>
              </w:rPr>
              <w:t>BR_11.09</w:t>
            </w:r>
            <w:r w:rsidR="00662C08">
              <w:t>T</w:t>
            </w:r>
            <w:r w:rsidR="009E64CB" w:rsidRPr="00374A4B">
              <w:t>he system captures the logged on user as the processed by information (Tech ID, print Tech name)</w:t>
            </w:r>
            <w:r w:rsidR="00662C08">
              <w:t xml:space="preserve">. </w:t>
            </w:r>
            <w:r w:rsidR="009E64CB">
              <w:t>The date and time</w:t>
            </w:r>
            <w:r w:rsidR="00662C08">
              <w:t xml:space="preserve"> entered are saved</w:t>
            </w:r>
            <w:r w:rsidR="009E64CB">
              <w:t xml:space="preserve"> as the actual date/time of shipment. No future date/time may be entered. A default of the current date/time is displayed for the user to accept or edit.</w:t>
            </w:r>
          </w:p>
        </w:tc>
      </w:tr>
      <w:tr w:rsidR="002A21AE" w14:paraId="3EBF274A" w14:textId="77777777">
        <w:tc>
          <w:tcPr>
            <w:tcW w:w="3240" w:type="dxa"/>
            <w:tcBorders>
              <w:top w:val="single" w:sz="4" w:space="0" w:color="auto"/>
              <w:left w:val="single" w:sz="4" w:space="0" w:color="auto"/>
              <w:bottom w:val="single" w:sz="4" w:space="0" w:color="auto"/>
              <w:right w:val="single" w:sz="4" w:space="0" w:color="auto"/>
            </w:tcBorders>
          </w:tcPr>
          <w:p w14:paraId="35A03FB1" w14:textId="53708062" w:rsidR="002A21AE" w:rsidRDefault="002A21AE">
            <w:pPr>
              <w:pStyle w:val="TableTextNumbers"/>
            </w:pPr>
            <w:r>
              <w:t xml:space="preserve">Click </w:t>
            </w:r>
            <w:r>
              <w:rPr>
                <w:b/>
              </w:rPr>
              <w:t>Print Invoice</w:t>
            </w:r>
            <w:r>
              <w:t xml:space="preserve"> to generate and view an invoice or 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FB84B28" w14:textId="77777777" w:rsidR="002A21AE" w:rsidRDefault="002A21AE">
            <w:pPr>
              <w:pStyle w:val="TableTextBullet"/>
            </w:pPr>
            <w:r>
              <w:t xml:space="preserve">Displays the information to be printed on the invoice. </w:t>
            </w:r>
          </w:p>
          <w:p w14:paraId="3C281FEA" w14:textId="1D4AF013" w:rsidR="002A21AE" w:rsidRDefault="00662C08">
            <w:pPr>
              <w:pStyle w:val="TableTextBullet"/>
            </w:pPr>
            <w:r>
              <w:t>Displays an option to send</w:t>
            </w:r>
            <w:r w:rsidR="002A21AE">
              <w:t xml:space="preserve"> the shipping invoice</w:t>
            </w:r>
            <w:r>
              <w:t xml:space="preserve"> to a printer</w:t>
            </w:r>
            <w:r w:rsidR="002A21AE">
              <w:t>.</w:t>
            </w:r>
          </w:p>
          <w:p w14:paraId="33798BB9" w14:textId="77777777" w:rsidR="002A21AE" w:rsidRDefault="002A21AE" w:rsidP="00753212">
            <w:pPr>
              <w:pStyle w:val="TableText"/>
            </w:pPr>
          </w:p>
          <w:p w14:paraId="4D7234B6" w14:textId="4BC3CE0E" w:rsidR="00753212" w:rsidRDefault="00753212" w:rsidP="00753212">
            <w:pPr>
              <w:pStyle w:val="TableText"/>
              <w:rPr>
                <w:b/>
                <w:bCs/>
                <w:szCs w:val="18"/>
              </w:rPr>
            </w:pPr>
            <w:r w:rsidRPr="00753212">
              <w:rPr>
                <w:b/>
                <w:bCs/>
                <w:szCs w:val="18"/>
              </w:rPr>
              <w:t>N</w:t>
            </w:r>
            <w:r>
              <w:rPr>
                <w:b/>
                <w:bCs/>
                <w:szCs w:val="18"/>
              </w:rPr>
              <w:t>OTES</w:t>
            </w:r>
          </w:p>
          <w:p w14:paraId="31C4D5D0" w14:textId="674B6786" w:rsidR="00753212" w:rsidRDefault="00753212" w:rsidP="00753212">
            <w:pPr>
              <w:pStyle w:val="TableText"/>
              <w:rPr>
                <w:b/>
                <w:bCs/>
                <w:szCs w:val="18"/>
              </w:rPr>
            </w:pPr>
          </w:p>
          <w:p w14:paraId="5C6031D3" w14:textId="77777777" w:rsidR="00753212" w:rsidRDefault="00753212" w:rsidP="00753212">
            <w:pPr>
              <w:pStyle w:val="NotesText"/>
            </w:pPr>
            <w:r w:rsidRPr="00753212">
              <w:rPr>
                <w:vanish/>
              </w:rPr>
              <w:t xml:space="preserve">BR_11.18 </w:t>
            </w:r>
            <w:r>
              <w:t>When a shipment is saved but not confirmed, VBECS displays “NOT CONFIRMED” as the shipment date.</w:t>
            </w:r>
          </w:p>
          <w:p w14:paraId="71646482" w14:textId="77777777" w:rsidR="00753212" w:rsidRDefault="00753212" w:rsidP="00753212">
            <w:pPr>
              <w:pStyle w:val="NotesText"/>
            </w:pPr>
          </w:p>
          <w:p w14:paraId="55768452" w14:textId="3B4D30DF" w:rsidR="00753212" w:rsidRDefault="00753212" w:rsidP="007C5E77">
            <w:pPr>
              <w:pStyle w:val="NotesText"/>
            </w:pPr>
            <w:r w:rsidRPr="00753212">
              <w:rPr>
                <w:vanish/>
              </w:rPr>
              <w:t xml:space="preserve">BR_17.02 </w:t>
            </w:r>
            <w:r>
              <w:t>The shipping invoice includes patient restriction, quarantine status, biohazard information, antigen typing (specificity and interpretation only), special testing information, the autologous unit testing status, and comment.</w:t>
            </w:r>
          </w:p>
        </w:tc>
      </w:tr>
    </w:tbl>
    <w:p w14:paraId="46531222" w14:textId="75E26C31" w:rsidR="00D039A6" w:rsidRDefault="00D039A6" w:rsidP="00D039A6">
      <w:pPr>
        <w:pStyle w:val="Caption"/>
      </w:pPr>
      <w:bookmarkStart w:id="256" w:name="_Ref12655423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48</w:t>
      </w:r>
      <w:r w:rsidR="004E20BD">
        <w:rPr>
          <w:noProof/>
        </w:rPr>
        <w:fldChar w:fldCharType="end"/>
      </w:r>
      <w:bookmarkEnd w:id="256"/>
      <w:r>
        <w:t>: Process Outgoing Shipment</w:t>
      </w:r>
    </w:p>
    <w:p w14:paraId="7BEB6A6E" w14:textId="55E1D252" w:rsidR="00D039A6" w:rsidRDefault="00535F97" w:rsidP="00D039A6">
      <w:pPr>
        <w:pStyle w:val="BodyText"/>
      </w:pPr>
      <w:r>
        <w:rPr>
          <w:noProof/>
        </w:rPr>
        <w:drawing>
          <wp:inline distT="0" distB="0" distL="0" distR="0" wp14:anchorId="64C75D8B" wp14:editId="16A6BFE1">
            <wp:extent cx="4572000" cy="2567940"/>
            <wp:effectExtent l="0" t="0" r="0" b="3810"/>
            <wp:docPr id="154" name="Picture 154" descr="Example of Process Outgoing Shipm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Example of Process Outgoing Shipment screen captur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72000" cy="2567940"/>
                    </a:xfrm>
                    <a:prstGeom prst="rect">
                      <a:avLst/>
                    </a:prstGeom>
                    <a:noFill/>
                    <a:ln>
                      <a:noFill/>
                    </a:ln>
                  </pic:spPr>
                </pic:pic>
              </a:graphicData>
            </a:graphic>
          </wp:inline>
        </w:drawing>
      </w:r>
    </w:p>
    <w:p w14:paraId="5C8060BF" w14:textId="503FE4F0" w:rsidR="0084755D" w:rsidRDefault="0084755D" w:rsidP="0084755D">
      <w:pPr>
        <w:pStyle w:val="Caption"/>
      </w:pPr>
      <w:bookmarkStart w:id="257" w:name="_Ref13788842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49</w:t>
      </w:r>
      <w:r w:rsidR="004E20BD">
        <w:rPr>
          <w:noProof/>
        </w:rPr>
        <w:fldChar w:fldCharType="end"/>
      </w:r>
      <w:bookmarkEnd w:id="257"/>
      <w:r>
        <w:t>: Select Units</w:t>
      </w:r>
    </w:p>
    <w:p w14:paraId="440C6417" w14:textId="7A677183" w:rsidR="0084755D" w:rsidRDefault="00653A4D" w:rsidP="00D039A6">
      <w:pPr>
        <w:pStyle w:val="BodyText"/>
      </w:pPr>
      <w:r>
        <w:rPr>
          <w:noProof/>
        </w:rPr>
        <w:drawing>
          <wp:inline distT="0" distB="0" distL="0" distR="0" wp14:anchorId="72605E6E" wp14:editId="2865F334">
            <wp:extent cx="5943600" cy="2567503"/>
            <wp:effectExtent l="0" t="0" r="0" b="4445"/>
            <wp:docPr id="161" name="Picture 161" descr="Example of Select Uni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Select Units screen captur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3600" cy="2567503"/>
                    </a:xfrm>
                    <a:prstGeom prst="rect">
                      <a:avLst/>
                    </a:prstGeom>
                    <a:noFill/>
                    <a:ln>
                      <a:noFill/>
                    </a:ln>
                  </pic:spPr>
                </pic:pic>
              </a:graphicData>
            </a:graphic>
          </wp:inline>
        </w:drawing>
      </w:r>
    </w:p>
    <w:p w14:paraId="5934488D" w14:textId="0B127F6A" w:rsidR="00535F97" w:rsidRDefault="00535F97" w:rsidP="00535F97">
      <w:pPr>
        <w:pStyle w:val="Caption"/>
      </w:pPr>
      <w:bookmarkStart w:id="258" w:name="_Ref123909328"/>
      <w:bookmarkStart w:id="259" w:name="_Ref137888482"/>
      <w:r>
        <w:t xml:space="preserve">Figure </w:t>
      </w:r>
      <w:r>
        <w:rPr>
          <w:noProof/>
        </w:rPr>
        <w:fldChar w:fldCharType="begin"/>
      </w:r>
      <w:r>
        <w:rPr>
          <w:noProof/>
        </w:rPr>
        <w:instrText xml:space="preserve"> SEQ Figure \* ARABIC </w:instrText>
      </w:r>
      <w:r>
        <w:rPr>
          <w:noProof/>
        </w:rPr>
        <w:fldChar w:fldCharType="separate"/>
      </w:r>
      <w:r w:rsidR="00ED2D38">
        <w:rPr>
          <w:noProof/>
        </w:rPr>
        <w:t>50</w:t>
      </w:r>
      <w:r>
        <w:rPr>
          <w:noProof/>
        </w:rPr>
        <w:fldChar w:fldCharType="end"/>
      </w:r>
      <w:bookmarkEnd w:id="258"/>
      <w:r>
        <w:t>: Outgoing Shipment Comment</w:t>
      </w:r>
    </w:p>
    <w:p w14:paraId="45D01D38" w14:textId="32715492" w:rsidR="00535F97" w:rsidRDefault="00653A4D" w:rsidP="00535F97">
      <w:pPr>
        <w:pStyle w:val="BodyText"/>
      </w:pPr>
      <w:r>
        <w:rPr>
          <w:noProof/>
        </w:rPr>
        <w:drawing>
          <wp:inline distT="0" distB="0" distL="0" distR="0" wp14:anchorId="25FC1901" wp14:editId="40C62A6C">
            <wp:extent cx="5295900" cy="3552825"/>
            <wp:effectExtent l="0" t="0" r="0" b="9525"/>
            <wp:docPr id="162" name="Picture 162" descr="Example of Outgoing Shipment Comm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Example of Outgoing Shipment Comment screen captur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95900" cy="3552825"/>
                    </a:xfrm>
                    <a:prstGeom prst="rect">
                      <a:avLst/>
                    </a:prstGeom>
                    <a:noFill/>
                    <a:ln>
                      <a:noFill/>
                    </a:ln>
                  </pic:spPr>
                </pic:pic>
              </a:graphicData>
            </a:graphic>
          </wp:inline>
        </w:drawing>
      </w:r>
    </w:p>
    <w:p w14:paraId="2A68A4FE" w14:textId="0FF961D5" w:rsidR="0084755D" w:rsidRDefault="0084755D" w:rsidP="0084755D">
      <w:pPr>
        <w:pStyle w:val="Caption"/>
      </w:pPr>
      <w:bookmarkStart w:id="260" w:name="_Ref12415914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51</w:t>
      </w:r>
      <w:r w:rsidR="004E20BD">
        <w:rPr>
          <w:noProof/>
        </w:rPr>
        <w:fldChar w:fldCharType="end"/>
      </w:r>
      <w:bookmarkEnd w:id="259"/>
      <w:bookmarkEnd w:id="260"/>
      <w:r>
        <w:t xml:space="preserve">: </w:t>
      </w:r>
      <w:r w:rsidR="00F44E08">
        <w:t>Saving Outgoing Shipment</w:t>
      </w:r>
    </w:p>
    <w:p w14:paraId="3F5806D8" w14:textId="6704ED21" w:rsidR="00B4455C" w:rsidRDefault="00B4455C" w:rsidP="00333E75">
      <w:pPr>
        <w:pStyle w:val="BodyText"/>
      </w:pPr>
      <w:r>
        <w:rPr>
          <w:noProof/>
        </w:rPr>
        <w:drawing>
          <wp:inline distT="0" distB="0" distL="0" distR="0" wp14:anchorId="0B7FE55C" wp14:editId="14594B5C">
            <wp:extent cx="6241235" cy="2543175"/>
            <wp:effectExtent l="0" t="0" r="7620" b="0"/>
            <wp:docPr id="51" name="Picture 51" descr="Example of Outgoing Shipment Sav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xample of Outgoing Shipment Save screen captur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243010" cy="2543898"/>
                    </a:xfrm>
                    <a:prstGeom prst="rect">
                      <a:avLst/>
                    </a:prstGeom>
                    <a:noFill/>
                    <a:ln>
                      <a:noFill/>
                    </a:ln>
                  </pic:spPr>
                </pic:pic>
              </a:graphicData>
            </a:graphic>
          </wp:inline>
        </w:drawing>
      </w:r>
    </w:p>
    <w:p w14:paraId="2369B54F" w14:textId="67365732" w:rsidR="00FC76B3" w:rsidRDefault="00FC76B3" w:rsidP="00D039A6">
      <w:pPr>
        <w:pStyle w:val="BodyText"/>
      </w:pPr>
    </w:p>
    <w:p w14:paraId="3A25959C" w14:textId="4B58B37C" w:rsidR="002041DB" w:rsidRDefault="002041DB" w:rsidP="002041DB">
      <w:pPr>
        <w:pStyle w:val="Caption"/>
      </w:pPr>
      <w:bookmarkStart w:id="261" w:name="_Ref12390817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52</w:t>
      </w:r>
      <w:r w:rsidR="004E20BD">
        <w:rPr>
          <w:noProof/>
        </w:rPr>
        <w:fldChar w:fldCharType="end"/>
      </w:r>
      <w:bookmarkEnd w:id="261"/>
      <w:r>
        <w:t>: Confirm Shipment</w:t>
      </w:r>
      <w:r w:rsidR="00535F97">
        <w:t xml:space="preserve"> Date</w:t>
      </w:r>
    </w:p>
    <w:p w14:paraId="2E97CC51" w14:textId="28762CF8" w:rsidR="002041DB" w:rsidRDefault="009F327A" w:rsidP="00A815F7">
      <w:pPr>
        <w:pStyle w:val="BodyText"/>
      </w:pPr>
      <w:r w:rsidRPr="009F327A">
        <w:t xml:space="preserve"> </w:t>
      </w:r>
      <w:r w:rsidR="00653A4D">
        <w:rPr>
          <w:noProof/>
        </w:rPr>
        <w:drawing>
          <wp:inline distT="0" distB="0" distL="0" distR="0" wp14:anchorId="65F6A2D2" wp14:editId="0C3F6FC8">
            <wp:extent cx="4038600" cy="2219325"/>
            <wp:effectExtent l="0" t="0" r="0" b="9525"/>
            <wp:docPr id="163" name="Picture 163" descr="Example of Confirm Shipment Dat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Example of Confirm Shipment Date screen captur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038600" cy="2219325"/>
                    </a:xfrm>
                    <a:prstGeom prst="rect">
                      <a:avLst/>
                    </a:prstGeom>
                    <a:noFill/>
                    <a:ln>
                      <a:noFill/>
                    </a:ln>
                  </pic:spPr>
                </pic:pic>
              </a:graphicData>
            </a:graphic>
          </wp:inline>
        </w:drawing>
      </w:r>
    </w:p>
    <w:p w14:paraId="6C860F8B" w14:textId="77777777" w:rsidR="00736D67" w:rsidRDefault="00736D67">
      <w:pPr>
        <w:rPr>
          <w:rFonts w:ascii="Arial" w:hAnsi="Arial" w:cs="Arial"/>
          <w:b/>
          <w:bCs/>
          <w:sz w:val="26"/>
          <w:szCs w:val="26"/>
        </w:rPr>
      </w:pPr>
      <w:r>
        <w:br w:type="page"/>
      </w:r>
    </w:p>
    <w:p w14:paraId="2CBB7330" w14:textId="2894B8E6" w:rsidR="002A21AE" w:rsidRDefault="002A21AE" w:rsidP="00597EEA">
      <w:pPr>
        <w:pStyle w:val="Heading3"/>
      </w:pPr>
      <w:bookmarkStart w:id="262" w:name="_Toc149064119"/>
      <w:r>
        <w:t>Edit Invoice Text</w:t>
      </w:r>
      <w:bookmarkEnd w:id="262"/>
      <w:r w:rsidRPr="009F1B54">
        <w:rPr>
          <w:rFonts w:ascii="Arial Bold" w:hAnsi="Arial Bold"/>
          <w:vanish/>
        </w:rPr>
        <w:fldChar w:fldCharType="begin"/>
      </w:r>
      <w:r w:rsidRPr="009F1B54">
        <w:rPr>
          <w:rFonts w:ascii="Arial Bold" w:hAnsi="Arial Bold"/>
          <w:vanish/>
        </w:rPr>
        <w:instrText xml:space="preserve"> XE </w:instrText>
      </w:r>
      <w:r w:rsidR="00FA7E65" w:rsidRPr="009F1B54">
        <w:rPr>
          <w:rFonts w:ascii="Arial Bold" w:hAnsi="Arial Bold"/>
          <w:vanish/>
        </w:rPr>
        <w:instrText>“</w:instrText>
      </w:r>
      <w:r w:rsidRPr="009F1B54">
        <w:rPr>
          <w:rFonts w:ascii="Arial Bold" w:hAnsi="Arial Bold"/>
          <w:vanish/>
        </w:rPr>
        <w:instrText>Edit Invoice Text</w:instrText>
      </w:r>
      <w:r w:rsidR="00FA7E65" w:rsidRPr="009F1B54">
        <w:rPr>
          <w:rFonts w:ascii="Arial Bold" w:hAnsi="Arial Bold"/>
          <w:vanish/>
        </w:rPr>
        <w:instrText>”</w:instrText>
      </w:r>
      <w:r w:rsidRPr="009F1B54">
        <w:rPr>
          <w:rFonts w:ascii="Arial Bold" w:hAnsi="Arial Bold"/>
          <w:vanish/>
        </w:rPr>
        <w:instrText xml:space="preserve"> </w:instrText>
      </w:r>
      <w:r w:rsidRPr="009F1B54">
        <w:rPr>
          <w:rFonts w:ascii="Arial Bold" w:hAnsi="Arial Bold"/>
          <w:vanish/>
        </w:rPr>
        <w:fldChar w:fldCharType="end"/>
      </w:r>
      <w:r w:rsidRPr="009F1B54">
        <w:rPr>
          <w:rFonts w:ascii="Arial Bold" w:hAnsi="Arial Bold"/>
          <w:vanish/>
        </w:rPr>
        <w:t xml:space="preserve"> UC_17</w:t>
      </w:r>
    </w:p>
    <w:p w14:paraId="2E3ECDC8" w14:textId="77777777" w:rsidR="002A21AE" w:rsidRDefault="002A21AE" w:rsidP="00FA7E65">
      <w:pPr>
        <w:pStyle w:val="BodyText"/>
      </w:pPr>
      <w:r>
        <w:t xml:space="preserve">VBECS includes a shipping invoice. The user may edit the explanatory text above the signature on the last page of a shipping invoice. </w:t>
      </w:r>
    </w:p>
    <w:p w14:paraId="3A69473A" w14:textId="77777777" w:rsidR="002A21AE" w:rsidRDefault="002A21AE">
      <w:pPr>
        <w:pStyle w:val="Heading4"/>
        <w:rPr>
          <w:b w:val="0"/>
        </w:rPr>
      </w:pPr>
      <w:r>
        <w:t>Assumptions</w:t>
      </w:r>
      <w:r>
        <w:rPr>
          <w:b w:val="0"/>
        </w:rPr>
        <w:t xml:space="preserve"> </w:t>
      </w:r>
    </w:p>
    <w:p w14:paraId="73DE402D" w14:textId="77777777" w:rsidR="002A21AE" w:rsidRDefault="002A21AE">
      <w:pPr>
        <w:pStyle w:val="ListBullet"/>
      </w:pPr>
      <w:r>
        <w:t>Information on the outgoing shipment invoice is generated during Outgoing Shipment.</w:t>
      </w:r>
    </w:p>
    <w:p w14:paraId="305102D2" w14:textId="77777777" w:rsidR="002A21AE" w:rsidRDefault="002A21AE">
      <w:pPr>
        <w:pStyle w:val="Heading4"/>
      </w:pPr>
      <w:r>
        <w:t>Outcome</w:t>
      </w:r>
    </w:p>
    <w:p w14:paraId="2EE61186" w14:textId="77777777" w:rsidR="002A21AE" w:rsidRDefault="002A21AE">
      <w:pPr>
        <w:pStyle w:val="ListBullet"/>
      </w:pPr>
      <w:r>
        <w:t>A division customized the text displayed on an outgoing shipment invoice.</w:t>
      </w:r>
    </w:p>
    <w:p w14:paraId="4B3B1659" w14:textId="77777777" w:rsidR="002A21AE" w:rsidRDefault="002A21AE">
      <w:pPr>
        <w:pStyle w:val="Heading4"/>
        <w:rPr>
          <w:b w:val="0"/>
        </w:rPr>
      </w:pPr>
      <w:r>
        <w:t>Limitations and Restrictions</w:t>
      </w:r>
      <w:r>
        <w:rPr>
          <w:b w:val="0"/>
        </w:rPr>
        <w:t xml:space="preserve"> </w:t>
      </w:r>
    </w:p>
    <w:p w14:paraId="34D537EA" w14:textId="77777777" w:rsidR="002A21AE" w:rsidRDefault="002A21AE">
      <w:pPr>
        <w:pStyle w:val="ListBullet"/>
        <w:ind w:left="720"/>
      </w:pPr>
      <w:r>
        <w:t>None</w:t>
      </w:r>
    </w:p>
    <w:p w14:paraId="72CECED7" w14:textId="77777777" w:rsidR="002A21AE" w:rsidRDefault="002A21AE">
      <w:pPr>
        <w:pStyle w:val="Heading4"/>
      </w:pPr>
      <w:r>
        <w:t xml:space="preserve">Additional Information </w:t>
      </w:r>
    </w:p>
    <w:p w14:paraId="02E20F36" w14:textId="77777777" w:rsidR="000D6A15" w:rsidRDefault="000D6A15" w:rsidP="000D6A15">
      <w:pPr>
        <w:pStyle w:val="ListBullet"/>
      </w:pPr>
      <w:r w:rsidRPr="000D6A15">
        <w:rPr>
          <w:vanish/>
        </w:rPr>
        <w:t>BR_17.05</w:t>
      </w:r>
      <w:r w:rsidRPr="00D21BA8">
        <w:t>T</w:t>
      </w:r>
      <w:r>
        <w:t>he default explanatory text</w:t>
      </w:r>
      <w:r w:rsidR="00D21BA8">
        <w:t xml:space="preserve"> reads</w:t>
      </w:r>
      <w:r>
        <w:t>: “</w:t>
      </w:r>
      <w:r w:rsidRPr="005861CC">
        <w:t>I certify that the blood products listed were properly maintained, in accordance with the Code of Federal Regulations, while in storage at this institution. Components were inspected when packed for shipment and found to be satisfactory in color and appearance.</w:t>
      </w:r>
      <w:r>
        <w:t>”</w:t>
      </w:r>
    </w:p>
    <w:p w14:paraId="356E3CE5" w14:textId="77777777" w:rsidR="002A21AE" w:rsidRDefault="002A21AE">
      <w:pPr>
        <w:pStyle w:val="Heading4"/>
        <w:tabs>
          <w:tab w:val="left" w:pos="4140"/>
        </w:tabs>
        <w:rPr>
          <w:snapToGrid w:val="0"/>
        </w:rPr>
      </w:pPr>
      <w:r>
        <w:rPr>
          <w:snapToGrid w:val="0"/>
        </w:rPr>
        <w:t xml:space="preserve">User Roles with Access to This Option </w:t>
      </w:r>
    </w:p>
    <w:p w14:paraId="6122F276" w14:textId="77777777" w:rsidR="002A21AE" w:rsidRDefault="00B2267D">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Enhanced Supervisor</w:t>
      </w:r>
    </w:p>
    <w:p w14:paraId="14BC7E79" w14:textId="77777777" w:rsidR="002A21AE" w:rsidRDefault="002A21AE">
      <w:pPr>
        <w:pStyle w:val="Heading4"/>
        <w:rPr>
          <w:snapToGrid w:val="0"/>
        </w:rPr>
      </w:pPr>
      <w:r>
        <w:rPr>
          <w:snapToGrid w:val="0"/>
        </w:rPr>
        <w:t>Edit Invoice Text</w:t>
      </w:r>
    </w:p>
    <w:p w14:paraId="1E4CA720" w14:textId="77777777" w:rsidR="002A21AE" w:rsidRDefault="002A21AE" w:rsidP="00FA7E65">
      <w:pPr>
        <w:pStyle w:val="BodyText"/>
      </w:pPr>
      <w:r>
        <w:t>The blood bank user needs to edit the shipping invoice text box to conform to changes in regulations or division requirements. When the edit is complete, the user saves the altered text for future shipping invoices. An audit trail of changes is maintained.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A18DC7A" w14:textId="77777777">
        <w:trPr>
          <w:cantSplit/>
          <w:tblHeader/>
        </w:trPr>
        <w:tc>
          <w:tcPr>
            <w:tcW w:w="3240" w:type="dxa"/>
            <w:shd w:val="pct30" w:color="auto" w:fill="FFFFFF"/>
            <w:vAlign w:val="bottom"/>
          </w:tcPr>
          <w:p w14:paraId="7DB42ED1" w14:textId="77777777" w:rsidR="002A21AE" w:rsidRDefault="002A21AE">
            <w:pPr>
              <w:pStyle w:val="TableText"/>
              <w:rPr>
                <w:b/>
              </w:rPr>
            </w:pPr>
            <w:r>
              <w:rPr>
                <w:b/>
              </w:rPr>
              <w:t>User Action</w:t>
            </w:r>
          </w:p>
        </w:tc>
        <w:tc>
          <w:tcPr>
            <w:tcW w:w="6120" w:type="dxa"/>
            <w:shd w:val="pct30" w:color="auto" w:fill="FFFFFF"/>
            <w:vAlign w:val="bottom"/>
          </w:tcPr>
          <w:p w14:paraId="047510F9" w14:textId="77777777" w:rsidR="002A21AE" w:rsidRDefault="002A21AE">
            <w:pPr>
              <w:pStyle w:val="TableText"/>
              <w:rPr>
                <w:b/>
              </w:rPr>
            </w:pPr>
            <w:r>
              <w:rPr>
                <w:b/>
              </w:rPr>
              <w:t>VBECS</w:t>
            </w:r>
          </w:p>
        </w:tc>
      </w:tr>
      <w:tr w:rsidR="002A21AE" w14:paraId="42DA7C32" w14:textId="77777777">
        <w:trPr>
          <w:cantSplit/>
        </w:trPr>
        <w:tc>
          <w:tcPr>
            <w:tcW w:w="3240" w:type="dxa"/>
          </w:tcPr>
          <w:p w14:paraId="46CEFAC1" w14:textId="77777777" w:rsidR="002A21AE" w:rsidRDefault="002A21AE">
            <w:pPr>
              <w:pStyle w:val="TableTextNumbers"/>
            </w:pPr>
            <w:r>
              <w:t xml:space="preserve">Select </w:t>
            </w:r>
            <w:r>
              <w:rPr>
                <w:b/>
              </w:rPr>
              <w:t>Shipments</w:t>
            </w:r>
            <w:r>
              <w:t xml:space="preserve"> from the main menu. </w:t>
            </w:r>
          </w:p>
          <w:p w14:paraId="0D768E11" w14:textId="77777777" w:rsidR="002A21AE" w:rsidRDefault="002A21AE">
            <w:pPr>
              <w:pStyle w:val="TableTextNumbersContinued"/>
            </w:pPr>
          </w:p>
          <w:p w14:paraId="1834CE63" w14:textId="77777777" w:rsidR="002A21AE" w:rsidRDefault="002A21AE">
            <w:pPr>
              <w:pStyle w:val="TableTextNumbersContinued"/>
            </w:pPr>
            <w:r>
              <w:t xml:space="preserve">Select </w:t>
            </w:r>
            <w:r>
              <w:rPr>
                <w:b/>
              </w:rPr>
              <w:t>Edit Invoice Text.</w:t>
            </w:r>
          </w:p>
        </w:tc>
        <w:tc>
          <w:tcPr>
            <w:tcW w:w="6120" w:type="dxa"/>
          </w:tcPr>
          <w:p w14:paraId="3CDE65E3" w14:textId="77777777" w:rsidR="002A21AE" w:rsidRDefault="002A21AE">
            <w:pPr>
              <w:pStyle w:val="TableTextBullet"/>
            </w:pPr>
            <w:r>
              <w:t xml:space="preserve">Displays options for processing blood product shipments. </w:t>
            </w:r>
          </w:p>
          <w:p w14:paraId="3AF7789A" w14:textId="77777777" w:rsidR="002A21AE" w:rsidRDefault="002A21AE">
            <w:pPr>
              <w:pStyle w:val="TableTextBullet"/>
            </w:pPr>
            <w:r>
              <w:t>Displays the current text for outgoing shipment invoice.</w:t>
            </w:r>
          </w:p>
        </w:tc>
      </w:tr>
      <w:tr w:rsidR="002A21AE" w14:paraId="45C3B790" w14:textId="77777777">
        <w:trPr>
          <w:cantSplit/>
        </w:trPr>
        <w:tc>
          <w:tcPr>
            <w:tcW w:w="3240" w:type="dxa"/>
          </w:tcPr>
          <w:p w14:paraId="52DB523F" w14:textId="77777777" w:rsidR="002A21AE" w:rsidRDefault="002A21AE">
            <w:pPr>
              <w:pStyle w:val="TableTextNumbers"/>
            </w:pPr>
            <w:r>
              <w:t>Edit the text.</w:t>
            </w:r>
          </w:p>
        </w:tc>
        <w:tc>
          <w:tcPr>
            <w:tcW w:w="6120" w:type="dxa"/>
          </w:tcPr>
          <w:p w14:paraId="42EF0AAF" w14:textId="77777777" w:rsidR="002A21AE" w:rsidRDefault="002A21AE">
            <w:pPr>
              <w:pStyle w:val="TableTextBullet"/>
            </w:pPr>
            <w:r>
              <w:t xml:space="preserve">Displays entered data and changes for review. </w:t>
            </w:r>
          </w:p>
          <w:p w14:paraId="6779C692" w14:textId="77777777" w:rsidR="002A21AE" w:rsidRDefault="002A21AE">
            <w:pPr>
              <w:pStyle w:val="TableTextBullet"/>
            </w:pPr>
            <w:r>
              <w:t>Prompts the user to save or reject the changes.</w:t>
            </w:r>
          </w:p>
        </w:tc>
      </w:tr>
      <w:tr w:rsidR="002A21AE" w14:paraId="5ED702CC" w14:textId="77777777">
        <w:trPr>
          <w:cantSplit/>
        </w:trPr>
        <w:tc>
          <w:tcPr>
            <w:tcW w:w="3240" w:type="dxa"/>
          </w:tcPr>
          <w:p w14:paraId="0065F811" w14:textId="77777777" w:rsidR="002A21AE" w:rsidRDefault="002A21AE">
            <w:pPr>
              <w:pStyle w:val="TableTextNumbers"/>
            </w:pPr>
            <w:r>
              <w:t>Review the changes.</w:t>
            </w:r>
          </w:p>
          <w:p w14:paraId="62EA551A" w14:textId="77777777" w:rsidR="002A21AE" w:rsidRDefault="002A21AE">
            <w:pPr>
              <w:pStyle w:val="TableTextNumbersContinued"/>
            </w:pPr>
          </w:p>
          <w:p w14:paraId="52CFB7BD" w14:textId="77777777" w:rsidR="002A21AE" w:rsidRDefault="002A21AE">
            <w:pPr>
              <w:pStyle w:val="TableTextNumbersContinued"/>
            </w:pPr>
            <w:r>
              <w:t xml:space="preserve">Click </w:t>
            </w:r>
            <w:r>
              <w:rPr>
                <w:b/>
              </w:rPr>
              <w:t>OK</w:t>
            </w:r>
            <w:r>
              <w:t xml:space="preserve"> to save the text.</w:t>
            </w:r>
          </w:p>
          <w:p w14:paraId="05C8A81A" w14:textId="77777777" w:rsidR="002A21AE" w:rsidRDefault="002A21AE">
            <w:pPr>
              <w:pStyle w:val="TableTextNumbersContinued"/>
            </w:pPr>
          </w:p>
          <w:p w14:paraId="7DE5AA22" w14:textId="77777777" w:rsidR="002A21AE" w:rsidRDefault="002A21AE">
            <w:pPr>
              <w:pStyle w:val="TableTextNumbersContinued"/>
            </w:pPr>
            <w:r>
              <w:t xml:space="preserve">Click </w:t>
            </w:r>
            <w:r>
              <w:rPr>
                <w:b/>
              </w:rPr>
              <w:t>Yes</w:t>
            </w:r>
            <w:r>
              <w:t xml:space="preserve"> to confirm the save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EBCDF7F" w14:textId="77777777" w:rsidR="002A21AE" w:rsidRDefault="002A21AE">
            <w:pPr>
              <w:pStyle w:val="TableTextBullet"/>
            </w:pPr>
            <w:r>
              <w:t>Saves the new text and makes it available for outgoing shipment invoices.</w:t>
            </w:r>
          </w:p>
        </w:tc>
      </w:tr>
    </w:tbl>
    <w:p w14:paraId="79932918" w14:textId="77777777" w:rsidR="00696609" w:rsidRDefault="00D53FD3" w:rsidP="00696609">
      <w:pPr>
        <w:pStyle w:val="Heading2"/>
      </w:pPr>
      <w:bookmarkStart w:id="263" w:name="_Toc149064120"/>
      <w:r>
        <w:t>Unit Search</w:t>
      </w:r>
      <w:r w:rsidR="005259AC">
        <w:t xml:space="preserve"> </w:t>
      </w:r>
      <w:r w:rsidR="00696609">
        <w:t>Screen</w:t>
      </w:r>
      <w:bookmarkEnd w:id="263"/>
      <w:r w:rsidR="00696609">
        <w:fldChar w:fldCharType="begin"/>
      </w:r>
      <w:r w:rsidR="00696609">
        <w:instrText xml:space="preserve"> XE “</w:instrText>
      </w:r>
      <w:r>
        <w:instrText>Unit Search</w:instrText>
      </w:r>
      <w:r w:rsidR="00696609">
        <w:instrText xml:space="preserve"> Screen” </w:instrText>
      </w:r>
      <w:r w:rsidR="00696609">
        <w:fldChar w:fldCharType="end"/>
      </w:r>
    </w:p>
    <w:p w14:paraId="1D9C6785" w14:textId="1955A10F" w:rsidR="00696609" w:rsidRDefault="00696609" w:rsidP="00696609">
      <w:pPr>
        <w:pStyle w:val="BodyText"/>
      </w:pPr>
      <w:r>
        <w:t xml:space="preserve">VBECS displays the </w:t>
      </w:r>
      <w:r w:rsidR="000E2F87">
        <w:t>Unit Search</w:t>
      </w:r>
      <w:r>
        <w:t xml:space="preserve"> screen </w:t>
      </w:r>
      <w:r w:rsidR="00A86D14">
        <w:t>(</w:t>
      </w:r>
      <w:r w:rsidR="00EE455E">
        <w:t xml:space="preserve">Figure </w:t>
      </w:r>
      <w:r w:rsidR="00EE455E">
        <w:rPr>
          <w:noProof/>
        </w:rPr>
        <w:t>53</w:t>
      </w:r>
      <w:r w:rsidR="00A86D14">
        <w:t xml:space="preserve">) </w:t>
      </w:r>
      <w:r>
        <w:t xml:space="preserve">when the user </w:t>
      </w:r>
      <w:r w:rsidR="00C57F9C">
        <w:t xml:space="preserve">clicks the </w:t>
      </w:r>
      <w:r w:rsidR="00A6373D">
        <w:rPr>
          <w:b/>
        </w:rPr>
        <w:t>find</w:t>
      </w:r>
      <w:r w:rsidR="00C57F9C" w:rsidRPr="00C57F9C">
        <w:rPr>
          <w:b/>
        </w:rPr>
        <w:t xml:space="preserve"> </w:t>
      </w:r>
      <w:r w:rsidR="00C57F9C" w:rsidRPr="00BF2E41">
        <w:t>button</w:t>
      </w:r>
      <w:r w:rsidR="002A36EF" w:rsidRPr="002A36EF">
        <w:t xml:space="preserve"> </w:t>
      </w:r>
      <w:r w:rsidR="00CA2640">
        <w:t>to select a unit</w:t>
      </w:r>
      <w:r w:rsidR="00574388">
        <w:t xml:space="preserve"> through some of the Blood Units, Patients, Shipments, and Supervisor main menu items</w:t>
      </w:r>
      <w:r>
        <w:t>.</w:t>
      </w:r>
      <w:r w:rsidR="005259AC">
        <w:t xml:space="preserve"> The title of the screen may vary </w:t>
      </w:r>
      <w:r w:rsidR="00A134BA">
        <w:t xml:space="preserve">(e.g., </w:t>
      </w:r>
      <w:r w:rsidR="003B7116">
        <w:t xml:space="preserve">Select Unit for Printing, Unit ABO/Rh Confirmation, </w:t>
      </w:r>
      <w:r w:rsidR="001A7E50">
        <w:t>Unit Antigen Typing,</w:t>
      </w:r>
      <w:r w:rsidR="005627A6">
        <w:t xml:space="preserve"> </w:t>
      </w:r>
      <w:r w:rsidR="00F47488">
        <w:t>Edit Unit Information</w:t>
      </w:r>
      <w:r w:rsidR="00A86581">
        <w:t>)</w:t>
      </w:r>
      <w:r w:rsidR="009046B4" w:rsidRPr="009046B4">
        <w:t xml:space="preserve"> </w:t>
      </w:r>
      <w:r w:rsidR="009046B4">
        <w:t>depending on the option selected.</w:t>
      </w:r>
      <w:r w:rsidR="003308A2">
        <w:t xml:space="preserve"> (The user then selects criteria to continue the search.)</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696609" w14:paraId="2BFE6495" w14:textId="77777777">
        <w:trPr>
          <w:cantSplit/>
          <w:tblHeader/>
        </w:trPr>
        <w:tc>
          <w:tcPr>
            <w:tcW w:w="3240" w:type="dxa"/>
            <w:shd w:val="pct30" w:color="auto" w:fill="FFFFFF"/>
            <w:vAlign w:val="bottom"/>
          </w:tcPr>
          <w:p w14:paraId="143C1F14" w14:textId="77777777" w:rsidR="00696609" w:rsidRDefault="00696609" w:rsidP="00F52014">
            <w:pPr>
              <w:pStyle w:val="TableText"/>
              <w:rPr>
                <w:b/>
              </w:rPr>
            </w:pPr>
            <w:r>
              <w:rPr>
                <w:b/>
              </w:rPr>
              <w:t>User Action</w:t>
            </w:r>
          </w:p>
        </w:tc>
        <w:tc>
          <w:tcPr>
            <w:tcW w:w="6120" w:type="dxa"/>
            <w:shd w:val="pct30" w:color="auto" w:fill="FFFFFF"/>
            <w:vAlign w:val="bottom"/>
          </w:tcPr>
          <w:p w14:paraId="6180F9DC" w14:textId="77777777" w:rsidR="00696609" w:rsidRDefault="00696609" w:rsidP="00F52014">
            <w:pPr>
              <w:pStyle w:val="TableText"/>
              <w:rPr>
                <w:b/>
              </w:rPr>
            </w:pPr>
            <w:r>
              <w:rPr>
                <w:b/>
              </w:rPr>
              <w:t>VBECS</w:t>
            </w:r>
          </w:p>
        </w:tc>
      </w:tr>
      <w:tr w:rsidR="00696609" w14:paraId="681C0D2A" w14:textId="77777777" w:rsidTr="006C058D">
        <w:trPr>
          <w:cantSplit/>
        </w:trPr>
        <w:tc>
          <w:tcPr>
            <w:tcW w:w="3240" w:type="dxa"/>
            <w:tcBorders>
              <w:top w:val="single" w:sz="4" w:space="0" w:color="auto"/>
              <w:left w:val="single" w:sz="4" w:space="0" w:color="auto"/>
              <w:bottom w:val="single" w:sz="4" w:space="0" w:color="auto"/>
              <w:right w:val="single" w:sz="4" w:space="0" w:color="auto"/>
            </w:tcBorders>
          </w:tcPr>
          <w:p w14:paraId="5965850A" w14:textId="77777777" w:rsidR="00696609" w:rsidRDefault="00574388" w:rsidP="00F52014">
            <w:pPr>
              <w:pStyle w:val="TableTextNumbers"/>
            </w:pPr>
            <w:r>
              <w:t>Select an item from the main menu and the desired option.</w:t>
            </w:r>
          </w:p>
          <w:p w14:paraId="26ADB377" w14:textId="77777777" w:rsidR="00574388" w:rsidRDefault="00574388" w:rsidP="00574388">
            <w:pPr>
              <w:pStyle w:val="TableTextNumbersContinued"/>
            </w:pPr>
          </w:p>
          <w:p w14:paraId="70CAA61B" w14:textId="77777777" w:rsidR="00653EEA" w:rsidRPr="00653EEA" w:rsidRDefault="00574388" w:rsidP="00574388">
            <w:pPr>
              <w:pStyle w:val="TableTextNumbersContinued"/>
            </w:pPr>
            <w:r>
              <w:t>Click additional buttons as needed.</w:t>
            </w:r>
          </w:p>
        </w:tc>
        <w:tc>
          <w:tcPr>
            <w:tcW w:w="6120" w:type="dxa"/>
            <w:tcBorders>
              <w:top w:val="single" w:sz="4" w:space="0" w:color="auto"/>
              <w:left w:val="single" w:sz="4" w:space="0" w:color="auto"/>
              <w:bottom w:val="single" w:sz="4" w:space="0" w:color="auto"/>
              <w:right w:val="single" w:sz="4" w:space="0" w:color="auto"/>
            </w:tcBorders>
          </w:tcPr>
          <w:p w14:paraId="29535DC2" w14:textId="77777777" w:rsidR="00696609" w:rsidRDefault="00696609" w:rsidP="00F52014">
            <w:pPr>
              <w:pStyle w:val="TableTextBullet"/>
            </w:pPr>
            <w:r>
              <w:t xml:space="preserve">Displays the </w:t>
            </w:r>
            <w:r w:rsidR="000E2F87">
              <w:t>Unit</w:t>
            </w:r>
            <w:r>
              <w:t xml:space="preserve"> Search screen.</w:t>
            </w:r>
          </w:p>
          <w:p w14:paraId="7E40B05E" w14:textId="77777777" w:rsidR="00EC1534" w:rsidRDefault="00EC1534" w:rsidP="00EC1534">
            <w:pPr>
              <w:pStyle w:val="TableText"/>
              <w:rPr>
                <w:b/>
                <w:bCs/>
              </w:rPr>
            </w:pPr>
          </w:p>
          <w:p w14:paraId="12BAFEA3" w14:textId="359F0EFC" w:rsidR="00EC1534" w:rsidRDefault="00EC1534" w:rsidP="00EC1534">
            <w:pPr>
              <w:pStyle w:val="TableText"/>
              <w:rPr>
                <w:b/>
                <w:bCs/>
              </w:rPr>
            </w:pPr>
            <w:r>
              <w:rPr>
                <w:b/>
                <w:bCs/>
              </w:rPr>
              <w:t xml:space="preserve">NOTES </w:t>
            </w:r>
          </w:p>
          <w:p w14:paraId="2AC769B0" w14:textId="77777777" w:rsidR="00EC1534" w:rsidRPr="0008348E" w:rsidRDefault="00EC1534" w:rsidP="00EC1534">
            <w:pPr>
              <w:pStyle w:val="NotesText"/>
            </w:pPr>
            <w:r w:rsidRPr="00EC1534">
              <w:t xml:space="preserve">Although multiple </w:t>
            </w:r>
            <w:r>
              <w:t xml:space="preserve">search </w:t>
            </w:r>
            <w:r w:rsidRPr="00EC1534">
              <w:t>criteria can be c</w:t>
            </w:r>
            <w:r>
              <w:t xml:space="preserve">hecked, the Unit Search screen </w:t>
            </w:r>
            <w:r w:rsidRPr="00EC1534">
              <w:t>perform</w:t>
            </w:r>
            <w:r>
              <w:t>s</w:t>
            </w:r>
            <w:r w:rsidRPr="00EC1534">
              <w:t xml:space="preserve"> independent searches not a summary search </w:t>
            </w:r>
            <w:r>
              <w:t>for all the selected variables.</w:t>
            </w:r>
            <w:r w:rsidR="0008348E">
              <w:rPr>
                <w:vanish/>
              </w:rPr>
              <w:t xml:space="preserve"> DR 3597</w:t>
            </w:r>
          </w:p>
          <w:p w14:paraId="3F2E60CD" w14:textId="77777777" w:rsidR="00EC1534" w:rsidRDefault="00EC1534" w:rsidP="00EC1534">
            <w:pPr>
              <w:pStyle w:val="NotesText"/>
            </w:pPr>
          </w:p>
          <w:p w14:paraId="71446678" w14:textId="77777777" w:rsidR="00EC1534" w:rsidRPr="0008348E" w:rsidRDefault="00EC1534" w:rsidP="00EC1534">
            <w:pPr>
              <w:pStyle w:val="NotesText"/>
            </w:pPr>
            <w:r>
              <w:t>Users can obtain a listing of all available unit specifics by creating a custom Blood Availability Report allowing them to make the appropriate selections without looking at each unit’s record.</w:t>
            </w:r>
            <w:r w:rsidR="0008348E">
              <w:rPr>
                <w:vanish/>
              </w:rPr>
              <w:t xml:space="preserve"> DR 3597</w:t>
            </w:r>
          </w:p>
        </w:tc>
      </w:tr>
      <w:tr w:rsidR="00696609" w14:paraId="1E355C9F" w14:textId="77777777">
        <w:tc>
          <w:tcPr>
            <w:tcW w:w="3240" w:type="dxa"/>
            <w:tcBorders>
              <w:top w:val="single" w:sz="4" w:space="0" w:color="auto"/>
              <w:left w:val="single" w:sz="4" w:space="0" w:color="auto"/>
              <w:bottom w:val="single" w:sz="4" w:space="0" w:color="auto"/>
              <w:right w:val="single" w:sz="4" w:space="0" w:color="auto"/>
            </w:tcBorders>
          </w:tcPr>
          <w:p w14:paraId="173202F7" w14:textId="5B730393" w:rsidR="000C426C" w:rsidRDefault="00696609" w:rsidP="008E012C">
            <w:pPr>
              <w:pStyle w:val="TableTextNumbers"/>
            </w:pPr>
            <w:r>
              <w:t xml:space="preserve">To search for a </w:t>
            </w:r>
            <w:r w:rsidR="000C426C">
              <w:t>unit</w:t>
            </w:r>
            <w:r w:rsidR="008E012C">
              <w:t xml:space="preserve">, </w:t>
            </w:r>
            <w:r w:rsidR="00415C5B">
              <w:t>enter the full or partial unit ID</w:t>
            </w:r>
            <w:r w:rsidR="00ED20E2">
              <w:t xml:space="preserve"> and click the </w:t>
            </w:r>
            <w:r w:rsidR="00A6373D" w:rsidRPr="00A6373D">
              <w:rPr>
                <w:b/>
              </w:rPr>
              <w:t>find</w:t>
            </w:r>
            <w:r w:rsidR="00ED20E2" w:rsidRPr="00ED20E2">
              <w:rPr>
                <w:b/>
              </w:rPr>
              <w:t xml:space="preserve"> </w:t>
            </w:r>
            <w:r w:rsidR="00ED20E2" w:rsidRPr="00D1100E">
              <w:t>button</w:t>
            </w:r>
            <w:r w:rsidR="00415C5B">
              <w:t xml:space="preserve">, or </w:t>
            </w:r>
            <w:r w:rsidR="00ED20E2">
              <w:t xml:space="preserve">just </w:t>
            </w:r>
            <w:r w:rsidR="008E012C">
              <w:t>c</w:t>
            </w:r>
            <w:r w:rsidR="000C426C">
              <w:t xml:space="preserve">lick the </w:t>
            </w:r>
            <w:r w:rsidR="00A6373D" w:rsidRPr="00A6373D">
              <w:rPr>
                <w:b/>
              </w:rPr>
              <w:t>find</w:t>
            </w:r>
            <w:r w:rsidR="000C426C" w:rsidRPr="008E012C">
              <w:rPr>
                <w:b/>
              </w:rPr>
              <w:t xml:space="preserve"> </w:t>
            </w:r>
            <w:r w:rsidR="000C426C" w:rsidRPr="00D1100E">
              <w:t>button</w:t>
            </w:r>
            <w:r w:rsidR="00A86D14">
              <w:rPr>
                <w:b/>
              </w:rPr>
              <w:t xml:space="preserve"> </w:t>
            </w:r>
            <w:r w:rsidR="00A86D14" w:rsidRPr="00A86D14">
              <w:t>(</w:t>
            </w:r>
            <w:r w:rsidR="00EE455E">
              <w:t xml:space="preserve">Figure </w:t>
            </w:r>
            <w:r w:rsidR="00EE455E">
              <w:rPr>
                <w:noProof/>
              </w:rPr>
              <w:t>53</w:t>
            </w:r>
            <w:r w:rsidR="000275FF">
              <w:t>)</w:t>
            </w:r>
            <w:r w:rsidR="000C426C">
              <w:t>.</w:t>
            </w:r>
          </w:p>
          <w:p w14:paraId="74A8771F" w14:textId="77777777" w:rsidR="008E012C" w:rsidRDefault="008E012C" w:rsidP="008E012C">
            <w:pPr>
              <w:pStyle w:val="TableTextNumbersContinued"/>
            </w:pPr>
          </w:p>
          <w:p w14:paraId="7DEEE5B5" w14:textId="77777777" w:rsidR="00696609" w:rsidRDefault="008E012C" w:rsidP="008E012C">
            <w:pPr>
              <w:pStyle w:val="TableTextNumbersContinued"/>
            </w:pPr>
            <w:r>
              <w:t>Click a check box to select a unit.</w:t>
            </w:r>
          </w:p>
          <w:p w14:paraId="50EF3DEC" w14:textId="77777777" w:rsidR="008E012C" w:rsidRDefault="008E012C" w:rsidP="008E012C">
            <w:pPr>
              <w:pStyle w:val="TableTextNumbersContinued"/>
            </w:pPr>
          </w:p>
          <w:p w14:paraId="0527799A" w14:textId="77777777" w:rsidR="00696609" w:rsidRDefault="008E012C" w:rsidP="008E012C">
            <w:pPr>
              <w:pStyle w:val="TableTextNumbersContinued"/>
            </w:pPr>
            <w:r>
              <w:t xml:space="preserve">Click </w:t>
            </w:r>
            <w:r w:rsidRPr="008E012C">
              <w:rPr>
                <w:b/>
              </w:rPr>
              <w:t>OK</w:t>
            </w:r>
            <w:r w:rsidR="00696609">
              <w:t>.</w:t>
            </w:r>
            <w:r w:rsidR="003F7207">
              <w:t xml:space="preserve"> </w:t>
            </w:r>
            <w:r w:rsidR="003F7207">
              <w:rPr>
                <w:vanish/>
                <w:color w:val="FFFFFF"/>
                <w:szCs w:val="18"/>
              </w:rPr>
              <w:fldChar w:fldCharType="begin"/>
            </w:r>
            <w:r w:rsidR="003F7207">
              <w:rPr>
                <w:vanish/>
                <w:color w:val="FFFFFF"/>
                <w:szCs w:val="18"/>
              </w:rPr>
              <w:instrText xml:space="preserve"> LISTNUM \l 1 \s 0 </w:instrText>
            </w:r>
            <w:r w:rsidR="003F7207">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670CDE1" w14:textId="77777777" w:rsidR="00050576" w:rsidRDefault="00696609" w:rsidP="00050576">
            <w:pPr>
              <w:pStyle w:val="TableTextBullet"/>
            </w:pPr>
            <w:r>
              <w:t xml:space="preserve">Lists </w:t>
            </w:r>
            <w:r w:rsidR="000C426C">
              <w:t>units</w:t>
            </w:r>
            <w:r>
              <w:t xml:space="preserve"> that meet the search criteria.</w:t>
            </w:r>
            <w:r w:rsidR="00050576">
              <w:t xml:space="preserve"> </w:t>
            </w:r>
          </w:p>
          <w:p w14:paraId="40970EC6" w14:textId="77777777" w:rsidR="00696609" w:rsidRDefault="00050576" w:rsidP="00574388">
            <w:pPr>
              <w:pStyle w:val="TableTextBullet"/>
            </w:pPr>
            <w:r>
              <w:t>Displays unit-associated data.</w:t>
            </w:r>
          </w:p>
          <w:p w14:paraId="7E1E9A31" w14:textId="77777777" w:rsidR="00415C5B" w:rsidRDefault="00415C5B" w:rsidP="00415C5B">
            <w:pPr>
              <w:pStyle w:val="TableText"/>
            </w:pPr>
          </w:p>
          <w:p w14:paraId="770E48F3" w14:textId="320EA8E6" w:rsidR="00415C5B" w:rsidRDefault="00415C5B" w:rsidP="00415C5B">
            <w:pPr>
              <w:pStyle w:val="TableText"/>
              <w:rPr>
                <w:b/>
                <w:bCs/>
              </w:rPr>
            </w:pPr>
            <w:r>
              <w:rPr>
                <w:b/>
                <w:bCs/>
              </w:rPr>
              <w:t xml:space="preserve">NOTES </w:t>
            </w:r>
          </w:p>
          <w:p w14:paraId="7A119BEB" w14:textId="77777777" w:rsidR="00415C5B" w:rsidRDefault="00415C5B" w:rsidP="00415C5B">
            <w:pPr>
              <w:pStyle w:val="NotesText"/>
            </w:pPr>
          </w:p>
          <w:p w14:paraId="10977A23" w14:textId="77777777" w:rsidR="00415C5B" w:rsidRDefault="00ED20E2" w:rsidP="00A6373D">
            <w:pPr>
              <w:pStyle w:val="NotesText"/>
            </w:pPr>
            <w:r>
              <w:t>To speed the search, e</w:t>
            </w:r>
            <w:r w:rsidR="00415C5B">
              <w:t xml:space="preserve">nter a </w:t>
            </w:r>
            <w:r>
              <w:t xml:space="preserve">full or partial </w:t>
            </w:r>
            <w:r w:rsidR="00415C5B">
              <w:t xml:space="preserve">unit ID instead </w:t>
            </w:r>
            <w:r>
              <w:t xml:space="preserve">of just clicking the </w:t>
            </w:r>
            <w:r w:rsidR="00A6373D">
              <w:rPr>
                <w:b/>
              </w:rPr>
              <w:t>find</w:t>
            </w:r>
            <w:r>
              <w:t xml:space="preserve"> button</w:t>
            </w:r>
            <w:r w:rsidR="00C54571">
              <w:t xml:space="preserve"> (which causes VBECS to search the entire database and takes longer)</w:t>
            </w:r>
            <w:r>
              <w:t>.</w:t>
            </w:r>
          </w:p>
        </w:tc>
      </w:tr>
    </w:tbl>
    <w:p w14:paraId="002EF351" w14:textId="77777777" w:rsidR="00DB3F75" w:rsidRDefault="0002560C" w:rsidP="0002560C">
      <w:pPr>
        <w:pStyle w:val="Caution"/>
      </w:pPr>
      <w:r>
        <w:t>VBECS checks unit IDs and product codes after the user enters the product code. When there is a discrepancy, VBECS displays the Input Error icon and allows the user to edit the data.</w:t>
      </w:r>
    </w:p>
    <w:p w14:paraId="24391CB4" w14:textId="36F50B36" w:rsidR="00156636" w:rsidRPr="00A6373D" w:rsidRDefault="00A6373D" w:rsidP="00A6373D">
      <w:pPr>
        <w:pStyle w:val="Caption"/>
      </w:pPr>
      <w:bookmarkStart w:id="264" w:name="_Ref300839358"/>
      <w:bookmarkStart w:id="265" w:name="_Ref30083935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53</w:t>
      </w:r>
      <w:r w:rsidR="004E20BD">
        <w:rPr>
          <w:noProof/>
        </w:rPr>
        <w:fldChar w:fldCharType="end"/>
      </w:r>
      <w:bookmarkEnd w:id="264"/>
      <w:r>
        <w:t xml:space="preserve">: </w:t>
      </w:r>
      <w:r w:rsidR="00156636" w:rsidRPr="00A6373D">
        <w:t>Click the Find Button</w:t>
      </w:r>
      <w:bookmarkEnd w:id="265"/>
    </w:p>
    <w:p w14:paraId="3E0EFAA9" w14:textId="77777777" w:rsidR="00A6373D" w:rsidRDefault="00057948" w:rsidP="00A6373D">
      <w:pPr>
        <w:pStyle w:val="BodyText"/>
      </w:pPr>
      <w:r>
        <w:rPr>
          <w:noProof/>
        </w:rPr>
        <w:drawing>
          <wp:inline distT="0" distB="0" distL="0" distR="0" wp14:anchorId="7E5255E7" wp14:editId="43C2F4F5">
            <wp:extent cx="4627245" cy="2733675"/>
            <wp:effectExtent l="0" t="0" r="1905" b="9525"/>
            <wp:docPr id="166" name="Picture 166" descr="Example of Click the Find Butt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Example of Click the Find Button screen captur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27245" cy="2733675"/>
                    </a:xfrm>
                    <a:prstGeom prst="rect">
                      <a:avLst/>
                    </a:prstGeom>
                    <a:noFill/>
                    <a:ln>
                      <a:noFill/>
                    </a:ln>
                  </pic:spPr>
                </pic:pic>
              </a:graphicData>
            </a:graphic>
          </wp:inline>
        </w:drawing>
      </w:r>
    </w:p>
    <w:p w14:paraId="5FB30261" w14:textId="04CF25C7" w:rsidR="00A6373D" w:rsidRPr="00A6373D" w:rsidRDefault="00A6373D" w:rsidP="00A6373D">
      <w:pPr>
        <w:pStyle w:val="Caption"/>
      </w:pPr>
      <w:bookmarkStart w:id="266" w:name="_Ref30083938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54</w:t>
      </w:r>
      <w:r w:rsidR="004E20BD">
        <w:rPr>
          <w:noProof/>
        </w:rPr>
        <w:fldChar w:fldCharType="end"/>
      </w:r>
      <w:bookmarkEnd w:id="266"/>
      <w:r>
        <w:t xml:space="preserve">: </w:t>
      </w:r>
      <w:r w:rsidRPr="00A6373D">
        <w:t>Display Unit Search Screen</w:t>
      </w:r>
    </w:p>
    <w:p w14:paraId="716F2D09" w14:textId="77777777" w:rsidR="00156636" w:rsidRDefault="00057948" w:rsidP="00156636">
      <w:pPr>
        <w:pStyle w:val="BodyText"/>
      </w:pPr>
      <w:r>
        <w:rPr>
          <w:noProof/>
        </w:rPr>
        <w:drawing>
          <wp:inline distT="0" distB="0" distL="0" distR="0" wp14:anchorId="6C68FA56" wp14:editId="5DF70F67">
            <wp:extent cx="5939155" cy="3352800"/>
            <wp:effectExtent l="0" t="0" r="4445" b="0"/>
            <wp:docPr id="167" name="Picture 167" descr="Example of Display Unit Search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Example of Display Unit Search screen captur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39155" cy="3352800"/>
                    </a:xfrm>
                    <a:prstGeom prst="rect">
                      <a:avLst/>
                    </a:prstGeom>
                    <a:noFill/>
                    <a:ln>
                      <a:noFill/>
                    </a:ln>
                  </pic:spPr>
                </pic:pic>
              </a:graphicData>
            </a:graphic>
          </wp:inline>
        </w:drawing>
      </w:r>
    </w:p>
    <w:p w14:paraId="511F9E64" w14:textId="77777777" w:rsidR="00156636" w:rsidRDefault="00156636" w:rsidP="00156636">
      <w:pPr>
        <w:pStyle w:val="BodyText"/>
      </w:pPr>
    </w:p>
    <w:p w14:paraId="450C405D" w14:textId="77777777" w:rsidR="00156636" w:rsidRPr="00156636" w:rsidRDefault="00156636" w:rsidP="00156636">
      <w:pPr>
        <w:pStyle w:val="BodyText"/>
        <w:sectPr w:rsidR="00156636" w:rsidRPr="00156636" w:rsidSect="00EE771C">
          <w:headerReference w:type="default" r:id="rId145"/>
          <w:pgSz w:w="12240" w:h="15840" w:code="1"/>
          <w:pgMar w:top="1440" w:right="1440" w:bottom="1440" w:left="1440" w:header="720" w:footer="720" w:gutter="0"/>
          <w:cols w:space="720"/>
          <w:docGrid w:linePitch="360"/>
        </w:sectPr>
      </w:pPr>
    </w:p>
    <w:p w14:paraId="020E080E" w14:textId="77777777" w:rsidR="002A21AE" w:rsidRDefault="002A21AE" w:rsidP="00CE6B6A">
      <w:pPr>
        <w:pStyle w:val="Heading2"/>
      </w:pPr>
      <w:bookmarkStart w:id="267" w:name="_Toc149064121"/>
      <w:r>
        <w:t>Test Units</w:t>
      </w:r>
      <w:bookmarkEnd w:id="233"/>
      <w:bookmarkEnd w:id="267"/>
      <w:r>
        <w:fldChar w:fldCharType="begin"/>
      </w:r>
      <w:r>
        <w:instrText xml:space="preserve"> XE </w:instrText>
      </w:r>
      <w:r w:rsidR="00FA7E65">
        <w:instrText>“</w:instrText>
      </w:r>
      <w:r>
        <w:instrText>Test Units</w:instrText>
      </w:r>
      <w:r w:rsidR="00FA7E65">
        <w:instrText>”</w:instrText>
      </w:r>
      <w:r>
        <w:instrText xml:space="preserve"> </w:instrText>
      </w:r>
      <w:r>
        <w:fldChar w:fldCharType="end"/>
      </w:r>
    </w:p>
    <w:p w14:paraId="6F57B383" w14:textId="77777777" w:rsidR="002A21AE" w:rsidRDefault="002A21AE">
      <w:pPr>
        <w:pStyle w:val="Heading3"/>
      </w:pPr>
      <w:bookmarkStart w:id="268" w:name="_ABO/Rh_Confirmation"/>
      <w:bookmarkStart w:id="269" w:name="_Toc149064122"/>
      <w:bookmarkEnd w:id="268"/>
      <w:r>
        <w:t>ABO/Rh Confirmation</w:t>
      </w:r>
      <w:bookmarkEnd w:id="269"/>
      <w:r w:rsidRPr="007716F7">
        <w:rPr>
          <w:vanish/>
        </w:rPr>
        <w:fldChar w:fldCharType="begin"/>
      </w:r>
      <w:r w:rsidRPr="007716F7">
        <w:rPr>
          <w:vanish/>
        </w:rPr>
        <w:instrText xml:space="preserve"> XE </w:instrText>
      </w:r>
      <w:r w:rsidR="00FA7E65" w:rsidRPr="007716F7">
        <w:rPr>
          <w:vanish/>
        </w:rPr>
        <w:instrText>“</w:instrText>
      </w:r>
      <w:r w:rsidRPr="007716F7">
        <w:rPr>
          <w:vanish/>
        </w:rPr>
        <w:instrText>ABO/Rh Confirmation</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UC_02</w:t>
      </w:r>
    </w:p>
    <w:p w14:paraId="128E8BCD" w14:textId="77777777" w:rsidR="002A21AE" w:rsidRDefault="002A21AE" w:rsidP="00FA7E65">
      <w:pPr>
        <w:pStyle w:val="BodyText"/>
      </w:pPr>
      <w:r>
        <w:t>Blood produc</w:t>
      </w:r>
      <w:r w:rsidR="006C5ACC">
        <w:t xml:space="preserve">ts </w:t>
      </w:r>
      <w:r w:rsidR="00C55227">
        <w:t xml:space="preserve">that contain </w:t>
      </w:r>
      <w:r w:rsidR="00C0155E">
        <w:t xml:space="preserve">equal to or greater than (= &gt;) of </w:t>
      </w:r>
      <w:r w:rsidR="00C55227">
        <w:t xml:space="preserve">red blood cells (Red Blood Cells, Whole Blood, Granulocytes and Leukocytes) </w:t>
      </w:r>
      <w:r>
        <w:t>require ABO/Rh confirmation</w:t>
      </w:r>
      <w:r w:rsidR="00D2652F" w:rsidRPr="00D2652F">
        <w:rPr>
          <w:vanish/>
        </w:rPr>
        <w:t>(PT_1.06 Product Types)</w:t>
      </w:r>
      <w:r>
        <w:t>. The user may process ABO/Rh confirmation results by selecting an invoice or individual units of blood received in a shipment. VBECS records the ABO/Rh test results for the list of blood units tested.</w:t>
      </w:r>
    </w:p>
    <w:p w14:paraId="0195EE8D" w14:textId="77777777" w:rsidR="002A21AE" w:rsidRDefault="002A21AE">
      <w:pPr>
        <w:pStyle w:val="Heading4"/>
      </w:pPr>
      <w:r>
        <w:t>Assumptions</w:t>
      </w:r>
    </w:p>
    <w:p w14:paraId="6FED37BD" w14:textId="77777777" w:rsidR="00852AC1" w:rsidRDefault="00852AC1" w:rsidP="00852AC1">
      <w:pPr>
        <w:pStyle w:val="ListBullet"/>
      </w:pPr>
      <w:r>
        <w:t>The division is “full service.”</w:t>
      </w:r>
    </w:p>
    <w:p w14:paraId="7A80476B" w14:textId="77777777" w:rsidR="002A21AE" w:rsidRDefault="002A21AE">
      <w:pPr>
        <w:pStyle w:val="ListBullet"/>
      </w:pPr>
      <w:r>
        <w:t xml:space="preserve">A unit’s labeled ABO/Rh was entered in the same division as the user during login of an incoming shipment. </w:t>
      </w:r>
    </w:p>
    <w:p w14:paraId="2640BFB2" w14:textId="77777777" w:rsidR="002A21AE" w:rsidRDefault="002A21AE">
      <w:pPr>
        <w:pStyle w:val="ListBullet"/>
      </w:pPr>
      <w:r>
        <w:rPr>
          <w:rFonts w:ascii="Arial" w:hAnsi="Arial" w:cs="Arial"/>
          <w:vanish/>
          <w:spacing w:val="0"/>
          <w:sz w:val="18"/>
        </w:rPr>
        <w:t xml:space="preserve">BR_2.02 </w:t>
      </w:r>
      <w:r>
        <w:t>Only invoices processed within a user’s division may be accessed to create an ABO/Rh confirmation worklist.</w:t>
      </w:r>
    </w:p>
    <w:p w14:paraId="1D06D1D4" w14:textId="77777777" w:rsidR="002A21AE" w:rsidRDefault="002A21AE">
      <w:pPr>
        <w:pStyle w:val="Heading4"/>
      </w:pPr>
      <w:r>
        <w:t>Outcome</w:t>
      </w:r>
    </w:p>
    <w:p w14:paraId="29AC7467" w14:textId="77777777" w:rsidR="002A21AE" w:rsidRDefault="002A21AE">
      <w:pPr>
        <w:pStyle w:val="ListBullet"/>
      </w:pPr>
      <w:r>
        <w:t>Unit ABO/Rh observed test results and interpretations are available for selection for patient use.</w:t>
      </w:r>
    </w:p>
    <w:p w14:paraId="57FA6AB5" w14:textId="77777777" w:rsidR="002A21AE" w:rsidRDefault="002A21AE">
      <w:pPr>
        <w:pStyle w:val="Heading4"/>
      </w:pPr>
      <w:r>
        <w:t>Limitations and Restrictions</w:t>
      </w:r>
    </w:p>
    <w:p w14:paraId="3CDC930C" w14:textId="77777777" w:rsidR="00164B44" w:rsidRPr="00164B44" w:rsidRDefault="00164B44">
      <w:pPr>
        <w:pStyle w:val="ListBullet"/>
      </w:pPr>
      <w:r w:rsidRPr="00164B44">
        <w:rPr>
          <w:vanish/>
        </w:rPr>
        <w:t xml:space="preserve">BR_41.32 </w:t>
      </w:r>
      <w:r>
        <w:t>This option is disabled for transfusion-only facilities.</w:t>
      </w:r>
    </w:p>
    <w:p w14:paraId="7501FF69" w14:textId="77777777" w:rsidR="002A21AE" w:rsidRDefault="002A21AE">
      <w:pPr>
        <w:pStyle w:val="ListBullet"/>
      </w:pPr>
      <w:r>
        <w:rPr>
          <w:rFonts w:ascii="Arial" w:hAnsi="Arial" w:cs="Arial"/>
          <w:vanish/>
          <w:spacing w:val="0"/>
          <w:sz w:val="18"/>
        </w:rPr>
        <w:t xml:space="preserve">BR_2.04 </w:t>
      </w:r>
      <w:r w:rsidR="007D535F">
        <w:t>When building a worklist by invoice number, only invoiced units not previously tested and confirmed appear on the worklist. The user may deselect or add additional units.</w:t>
      </w:r>
    </w:p>
    <w:p w14:paraId="68B046FE" w14:textId="77777777" w:rsidR="00513A28" w:rsidRPr="008631E9" w:rsidRDefault="002A21AE" w:rsidP="008631E9">
      <w:pPr>
        <w:pStyle w:val="ListBullet"/>
      </w:pPr>
      <w:r>
        <w:rPr>
          <w:rFonts w:ascii="Arial" w:hAnsi="Arial" w:cs="Arial"/>
          <w:vanish/>
          <w:spacing w:val="0"/>
          <w:sz w:val="18"/>
        </w:rPr>
        <w:t xml:space="preserve">BR_27.09 </w:t>
      </w:r>
      <w:r w:rsidR="001E3F16">
        <w:t>For batch processing, the user can select incoming shipment invoices from his division, processed within the previous five days</w:t>
      </w:r>
      <w:r w:rsidR="001E3F16" w:rsidRPr="008631E9">
        <w:t>.</w:t>
      </w:r>
    </w:p>
    <w:p w14:paraId="4DA0752F" w14:textId="77777777" w:rsidR="00E44A83" w:rsidRDefault="008631E9" w:rsidP="008631E9">
      <w:pPr>
        <w:pStyle w:val="ListBullet"/>
      </w:pPr>
      <w:r>
        <w:t xml:space="preserve">VBECS does not display product </w:t>
      </w:r>
      <w:r w:rsidRPr="008631E9">
        <w:t>code</w:t>
      </w:r>
      <w:r>
        <w:t xml:space="preserve">s associated with unit IDs in ABO/Rh Confirmation. </w:t>
      </w:r>
      <w:r w:rsidR="0011459B">
        <w:t>Therefore, d</w:t>
      </w:r>
      <w:r>
        <w:t>o not create ABO/Rh confirmation worklists containing units with the same unit ID.</w:t>
      </w:r>
    </w:p>
    <w:p w14:paraId="1FBC7008" w14:textId="5C03DDCB" w:rsidR="00E44A83" w:rsidRPr="00D12C95" w:rsidRDefault="00E44A83" w:rsidP="00E44A83">
      <w:pPr>
        <w:pStyle w:val="ListBullet"/>
      </w:pPr>
      <w:r>
        <w:t xml:space="preserve">POOLED </w:t>
      </w:r>
      <w:r w:rsidRPr="00D12C95">
        <w:t xml:space="preserve">GRANULOCYTES </w:t>
      </w:r>
      <w:r w:rsidRPr="00C60EBB">
        <w:rPr>
          <w:vanish/>
        </w:rPr>
        <w:t xml:space="preserve">(ICCBBA Component Class E036) </w:t>
      </w:r>
      <w:r w:rsidRPr="00D12C95">
        <w:t xml:space="preserve">labeled with </w:t>
      </w:r>
      <w:r w:rsidR="00523215" w:rsidRPr="00D12C95">
        <w:t>a</w:t>
      </w:r>
      <w:r w:rsidR="00D7366E">
        <w:t>n</w:t>
      </w:r>
      <w:r w:rsidRPr="00D12C95">
        <w:t xml:space="preserve"> Rh type of “Pooled” is considered </w:t>
      </w:r>
      <w:r w:rsidR="00523215" w:rsidRPr="00D12C95">
        <w:t>a</w:t>
      </w:r>
      <w:r w:rsidR="00D7366E">
        <w:t>n</w:t>
      </w:r>
      <w:r w:rsidRPr="00D12C95">
        <w:t xml:space="preserve"> Rh Positive unit which does not require confirmation testing.</w:t>
      </w:r>
    </w:p>
    <w:p w14:paraId="1B22A239" w14:textId="3CE5C96D" w:rsidR="008631E9" w:rsidRDefault="00E44A83" w:rsidP="00E44A83">
      <w:pPr>
        <w:pStyle w:val="ListBullet"/>
      </w:pPr>
      <w:r w:rsidRPr="00E44A83">
        <w:t xml:space="preserve">POOLED GRANULOCYTES </w:t>
      </w:r>
      <w:r w:rsidRPr="00C60EBB">
        <w:rPr>
          <w:vanish/>
        </w:rPr>
        <w:t xml:space="preserve">(ICCBBA Component Class E036) </w:t>
      </w:r>
      <w:r w:rsidRPr="00E44A83">
        <w:t>labeled with an ABO group of “Pooled” cannot be confirmed. A blood component unit received as “POOLED ABO” will have to be transfused using the Supervisory option, Document ABO Incompatible Transfusion.</w:t>
      </w:r>
    </w:p>
    <w:p w14:paraId="566D2932" w14:textId="30DCE1B7" w:rsidR="00FE6750" w:rsidRPr="008631E9" w:rsidRDefault="00AA7B45" w:rsidP="00AA7B45">
      <w:pPr>
        <w:pStyle w:val="ListBullet"/>
      </w:pPr>
      <w:r w:rsidRPr="00B26970">
        <w:rPr>
          <w:rFonts w:cs="Arial"/>
          <w:szCs w:val="18"/>
        </w:rPr>
        <w:t>Patient assignment is not released automatically when a unit is quarantined due to discrepant ABO/Rh retype testing.</w:t>
      </w:r>
      <w:r>
        <w:rPr>
          <w:rFonts w:cs="Arial"/>
          <w:szCs w:val="18"/>
        </w:rPr>
        <w:t xml:space="preserve"> </w:t>
      </w:r>
      <w:r w:rsidRPr="00B26970">
        <w:rPr>
          <w:rFonts w:cs="Arial"/>
          <w:szCs w:val="18"/>
        </w:rPr>
        <w:t xml:space="preserve">The unit is quarantined and cannot be selected for a different patient or issued for </w:t>
      </w:r>
      <w:r>
        <w:rPr>
          <w:rFonts w:cs="Arial"/>
          <w:szCs w:val="18"/>
        </w:rPr>
        <w:t>the current</w:t>
      </w:r>
      <w:r w:rsidRPr="00B26970">
        <w:rPr>
          <w:rFonts w:cs="Arial"/>
          <w:szCs w:val="18"/>
        </w:rPr>
        <w:t xml:space="preserve"> patient.</w:t>
      </w:r>
      <w:r>
        <w:rPr>
          <w:rFonts w:cs="Arial"/>
          <w:szCs w:val="18"/>
        </w:rPr>
        <w:t xml:space="preserve"> Quarantined units are clearly marked in VBECS and cannot be issued. </w:t>
      </w:r>
      <w:r w:rsidRPr="00C11B6E">
        <w:rPr>
          <w:rFonts w:cs="Arial"/>
          <w:vanish/>
          <w:szCs w:val="18"/>
        </w:rPr>
        <w:t>Task 213499</w:t>
      </w:r>
    </w:p>
    <w:p w14:paraId="1AB62AD8" w14:textId="77777777" w:rsidR="00852AC1" w:rsidRPr="00852AC1" w:rsidRDefault="002A21AE" w:rsidP="002F55AF">
      <w:pPr>
        <w:pStyle w:val="Heading4"/>
      </w:pPr>
      <w:r>
        <w:t>Additional Information</w:t>
      </w:r>
    </w:p>
    <w:p w14:paraId="5996548B" w14:textId="77777777" w:rsidR="002A21AE" w:rsidRPr="00995EAA" w:rsidRDefault="002A21AE">
      <w:pPr>
        <w:pStyle w:val="ListBullet"/>
        <w:rPr>
          <w:rStyle w:val="CommentReference"/>
          <w:sz w:val="22"/>
          <w:szCs w:val="22"/>
        </w:rPr>
      </w:pPr>
      <w:r>
        <w:rPr>
          <w:rFonts w:ascii="Arial" w:hAnsi="Arial" w:cs="Arial"/>
          <w:vanish/>
          <w:spacing w:val="0"/>
          <w:sz w:val="18"/>
        </w:rPr>
        <w:t xml:space="preserve">BR_2.11 </w:t>
      </w:r>
      <w:r>
        <w:t>Within a multidivisional facility when ABO/Rh confirmation is repeated on units from a facility within the same database, both the originating facility ABO/Rh confirmation testing results and the current testing results are stored.</w:t>
      </w:r>
      <w:r>
        <w:rPr>
          <w:rStyle w:val="CommentReference"/>
          <w:b/>
          <w:vanish/>
        </w:rPr>
        <w:t xml:space="preserve"> </w:t>
      </w:r>
    </w:p>
    <w:p w14:paraId="77363B8C" w14:textId="77777777" w:rsidR="002A21AE" w:rsidRDefault="002A21AE">
      <w:pPr>
        <w:pStyle w:val="Heading4"/>
      </w:pPr>
      <w:r>
        <w:t>User Roles with Access to This Option</w:t>
      </w:r>
    </w:p>
    <w:p w14:paraId="76976F01" w14:textId="77777777" w:rsidR="002A21AE" w:rsidRDefault="002B1D25">
      <w:pPr>
        <w:pStyle w:val="Roles"/>
        <w:rPr>
          <w:snapToGrid w:val="0"/>
        </w:rPr>
      </w:pPr>
      <w:r>
        <w:t>All users</w:t>
      </w:r>
    </w:p>
    <w:p w14:paraId="2A8A7107" w14:textId="77777777" w:rsidR="002A21AE" w:rsidRDefault="00057948">
      <w:pPr>
        <w:pStyle w:val="Heading4"/>
      </w:pPr>
      <w:r>
        <w:rPr>
          <w:noProof/>
        </w:rPr>
        <w:drawing>
          <wp:inline distT="0" distB="0" distL="0" distR="0" wp14:anchorId="705B0667" wp14:editId="3A916B94">
            <wp:extent cx="156845" cy="156845"/>
            <wp:effectExtent l="0" t="0" r="0" b="0"/>
            <wp:docPr id="168" name="Picture 168" descr="ABO/Rh Confirmation Te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BO/Rh Confirmation Testing ic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ABO/Rh Confirmation Testing</w:t>
      </w:r>
    </w:p>
    <w:p w14:paraId="1C1ED02B" w14:textId="77777777" w:rsidR="002A21AE" w:rsidRDefault="002A21AE" w:rsidP="00FA7E65">
      <w:pPr>
        <w:pStyle w:val="BodyText"/>
      </w:pPr>
      <w:r>
        <w:t>To confirm ABO/Rh testing, the user creates a worklist of individual units from an invoice, or creates a custom worklist. The user records observed test reactions and interpretations. VBECS uses truth tables to verify that user-entered interpretations are consistent with observed reactions. VBECS compares ABO and/or Rh interpretations to units labeled “ABO/Rh” during login and displays warnings when there are inconsistencies.</w:t>
      </w:r>
    </w:p>
    <w:p w14:paraId="6524C50E" w14:textId="77777777" w:rsidR="006F25B6" w:rsidRPr="00D73AB9" w:rsidRDefault="00057948" w:rsidP="006F25B6">
      <w:pPr>
        <w:pStyle w:val="Caution"/>
        <w:rPr>
          <w:spacing w:val="-5"/>
        </w:rPr>
      </w:pPr>
      <w:r>
        <w:rPr>
          <w:noProof/>
        </w:rPr>
        <w:drawing>
          <wp:inline distT="0" distB="0" distL="0" distR="0" wp14:anchorId="0F7FE99E" wp14:editId="0CF8B2D7">
            <wp:extent cx="267970" cy="221615"/>
            <wp:effectExtent l="0" t="0" r="0" b="6985"/>
            <wp:docPr id="169" name="Picture 169"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43024">
        <w:t xml:space="preserve"> </w:t>
      </w:r>
      <w:r w:rsidR="006F25B6" w:rsidRPr="00D73AB9">
        <w:t>When a unit</w:t>
      </w:r>
      <w:r w:rsidR="006F25B6">
        <w:t>’</w:t>
      </w:r>
      <w:r w:rsidR="006F25B6" w:rsidRPr="00D73AB9">
        <w:t>s ABO/Rh confirmation test is repea</w:t>
      </w:r>
      <w:r w:rsidR="006F25B6">
        <w:t>ted after issue to a patient</w:t>
      </w:r>
      <w:r w:rsidR="006F25B6" w:rsidRPr="00D73AB9">
        <w:t xml:space="preserve">, </w:t>
      </w:r>
      <w:r w:rsidR="006F25B6">
        <w:t xml:space="preserve">VBECS does not compare the </w:t>
      </w:r>
      <w:r w:rsidR="006F25B6" w:rsidRPr="00D73AB9">
        <w:t>test result</w:t>
      </w:r>
      <w:r w:rsidR="006F25B6">
        <w:t>s</w:t>
      </w:r>
      <w:r w:rsidR="006F25B6" w:rsidRPr="00D73AB9">
        <w:t xml:space="preserve"> </w:t>
      </w:r>
      <w:r w:rsidR="006F25B6">
        <w:t>to</w:t>
      </w:r>
      <w:r w:rsidR="006F25B6" w:rsidRPr="00D73AB9">
        <w:t xml:space="preserve"> the patient</w:t>
      </w:r>
      <w:r w:rsidR="006F25B6">
        <w:t>’</w:t>
      </w:r>
      <w:r w:rsidR="006F25B6" w:rsidRPr="00D73AB9">
        <w:t xml:space="preserve">s blood type at time of issue. </w:t>
      </w:r>
      <w:r w:rsidR="006F25B6">
        <w:t>T</w:t>
      </w:r>
      <w:r w:rsidR="006F25B6" w:rsidRPr="00D73AB9">
        <w:t xml:space="preserve">he user </w:t>
      </w:r>
      <w:r w:rsidR="006F25B6">
        <w:t>must</w:t>
      </w:r>
      <w:r w:rsidR="006F25B6" w:rsidRPr="00D73AB9">
        <w:t xml:space="preserve"> </w:t>
      </w:r>
      <w:r w:rsidR="006F25B6">
        <w:t>detect discrepancies</w:t>
      </w:r>
      <w:r w:rsidR="006F25B6" w:rsidRPr="00D73AB9">
        <w:t xml:space="preserve"> and </w:t>
      </w:r>
      <w:r w:rsidR="006F25B6">
        <w:t xml:space="preserve">notify </w:t>
      </w:r>
      <w:r w:rsidR="006F25B6" w:rsidRPr="00D73AB9">
        <w:t>clinical personnel</w:t>
      </w:r>
      <w:r w:rsidR="006F25B6">
        <w:t>, in accordance with local policy</w:t>
      </w:r>
      <w:r w:rsidR="006F25B6" w:rsidRPr="00D73AB9">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B7A0847" w14:textId="77777777">
        <w:trPr>
          <w:tblHeader/>
        </w:trPr>
        <w:tc>
          <w:tcPr>
            <w:tcW w:w="3240" w:type="dxa"/>
            <w:shd w:val="pct30" w:color="auto" w:fill="FFFFFF"/>
            <w:vAlign w:val="bottom"/>
          </w:tcPr>
          <w:p w14:paraId="4EA89635" w14:textId="77777777" w:rsidR="002A21AE" w:rsidRDefault="002A21AE">
            <w:pPr>
              <w:pStyle w:val="TableText"/>
              <w:rPr>
                <w:b/>
              </w:rPr>
            </w:pPr>
            <w:bookmarkStart w:id="270" w:name="_Toc78036833"/>
            <w:r>
              <w:rPr>
                <w:b/>
              </w:rPr>
              <w:t>User Action</w:t>
            </w:r>
          </w:p>
        </w:tc>
        <w:tc>
          <w:tcPr>
            <w:tcW w:w="6120" w:type="dxa"/>
            <w:shd w:val="pct30" w:color="auto" w:fill="FFFFFF"/>
            <w:vAlign w:val="bottom"/>
          </w:tcPr>
          <w:p w14:paraId="34974D37" w14:textId="77777777" w:rsidR="002A21AE" w:rsidRDefault="002A21AE">
            <w:pPr>
              <w:pStyle w:val="TableText"/>
              <w:rPr>
                <w:b/>
              </w:rPr>
            </w:pPr>
            <w:r>
              <w:rPr>
                <w:b/>
              </w:rPr>
              <w:t>VBECS</w:t>
            </w:r>
          </w:p>
        </w:tc>
      </w:tr>
      <w:tr w:rsidR="002A21AE" w14:paraId="7112FB46" w14:textId="77777777">
        <w:tc>
          <w:tcPr>
            <w:tcW w:w="3240" w:type="dxa"/>
          </w:tcPr>
          <w:p w14:paraId="039C68B5" w14:textId="77777777" w:rsidR="002A21AE" w:rsidRDefault="002A21AE">
            <w:pPr>
              <w:pStyle w:val="TableTextNumbers"/>
            </w:pPr>
            <w:r>
              <w:t xml:space="preserve">When processing a shipment, select </w:t>
            </w:r>
            <w:r>
              <w:rPr>
                <w:b/>
              </w:rPr>
              <w:t>Shipments</w:t>
            </w:r>
            <w:r>
              <w:t xml:space="preserve"> from the main menu. </w:t>
            </w:r>
          </w:p>
          <w:p w14:paraId="2269A439" w14:textId="77777777" w:rsidR="002A21AE" w:rsidRDefault="002A21AE">
            <w:pPr>
              <w:pStyle w:val="TableTextNumbersContinued"/>
              <w:rPr>
                <w:b/>
                <w:bCs/>
              </w:rPr>
            </w:pPr>
          </w:p>
          <w:p w14:paraId="49CDE896" w14:textId="77777777" w:rsidR="002A21AE" w:rsidRDefault="002A21AE">
            <w:pPr>
              <w:pStyle w:val="TableTextNumbersContinued"/>
            </w:pPr>
            <w:r>
              <w:t xml:space="preserve">When processing selected units, select </w:t>
            </w:r>
            <w:r>
              <w:rPr>
                <w:b/>
              </w:rPr>
              <w:t>Blood Units</w:t>
            </w:r>
            <w:r>
              <w:t xml:space="preserve"> from the main menu.</w:t>
            </w:r>
          </w:p>
          <w:p w14:paraId="7B60A013" w14:textId="77777777" w:rsidR="002A21AE" w:rsidRDefault="002A21AE">
            <w:pPr>
              <w:pStyle w:val="TableTextNumbersContinued"/>
            </w:pPr>
          </w:p>
          <w:p w14:paraId="44E9F416" w14:textId="77777777" w:rsidR="002A21AE" w:rsidRDefault="002A21AE">
            <w:pPr>
              <w:pStyle w:val="TableTextNumbersContinued"/>
            </w:pPr>
            <w:r>
              <w:t xml:space="preserve">Select </w:t>
            </w:r>
            <w:r>
              <w:rPr>
                <w:b/>
              </w:rPr>
              <w:t>ABO/Rh Confirmation</w:t>
            </w:r>
            <w:r>
              <w:t>.</w:t>
            </w:r>
          </w:p>
          <w:p w14:paraId="5E45BB25" w14:textId="77777777" w:rsidR="002A21AE" w:rsidRDefault="002A21AE">
            <w:pPr>
              <w:pStyle w:val="TableTextNumbersContinued"/>
            </w:pPr>
          </w:p>
          <w:p w14:paraId="34295B66" w14:textId="77777777" w:rsidR="002A21AE" w:rsidRDefault="002A21AE">
            <w:pPr>
              <w:pStyle w:val="TableTextNumbersContinued"/>
            </w:pPr>
            <w:r>
              <w:t>Select an invoice or units.</w:t>
            </w:r>
          </w:p>
          <w:p w14:paraId="31A4338B" w14:textId="77777777" w:rsidR="002A21AE" w:rsidRDefault="002A21AE">
            <w:pPr>
              <w:pStyle w:val="TableTextNumbersContinued"/>
            </w:pPr>
            <w:r>
              <w:t xml:space="preserve"> </w:t>
            </w:r>
          </w:p>
          <w:p w14:paraId="035A2D06" w14:textId="77777777" w:rsidR="002A21AE" w:rsidRDefault="002A21AE">
            <w:pPr>
              <w:pStyle w:val="TableTextNumbersContinued"/>
            </w:pPr>
            <w:r>
              <w:t xml:space="preserve">Click </w:t>
            </w:r>
            <w:r>
              <w:rPr>
                <w:b/>
              </w:rPr>
              <w:t>OK</w:t>
            </w:r>
            <w:r>
              <w:t>.</w:t>
            </w:r>
          </w:p>
        </w:tc>
        <w:tc>
          <w:tcPr>
            <w:tcW w:w="6120" w:type="dxa"/>
          </w:tcPr>
          <w:p w14:paraId="357DE445" w14:textId="77777777" w:rsidR="002A21AE" w:rsidRDefault="002A21AE">
            <w:pPr>
              <w:pStyle w:val="TableTextBullet"/>
            </w:pPr>
            <w:r>
              <w:t xml:space="preserve">Displays options for processing blood product shipments. By default, displays units in the worklist in the order in which they were entered during Incoming Shipment. </w:t>
            </w:r>
          </w:p>
          <w:p w14:paraId="39AB0189" w14:textId="77777777" w:rsidR="002A21AE" w:rsidRDefault="002A21AE">
            <w:pPr>
              <w:pStyle w:val="TableTextBullet"/>
            </w:pPr>
            <w:r>
              <w:t>Lists invoices processed within the last five days in reverse chronological order.</w:t>
            </w:r>
          </w:p>
          <w:p w14:paraId="7066AFC5" w14:textId="77777777" w:rsidR="002A21AE" w:rsidRDefault="002A21AE">
            <w:pPr>
              <w:pStyle w:val="TableTextBullet"/>
            </w:pPr>
            <w:r>
              <w:t xml:space="preserve">Displays fields for entering rack information. </w:t>
            </w:r>
          </w:p>
          <w:p w14:paraId="2E7211F4" w14:textId="77777777" w:rsidR="002A21AE" w:rsidRDefault="002A21AE">
            <w:pPr>
              <w:pStyle w:val="TableTextBullet"/>
            </w:pPr>
            <w:r>
              <w:t>Allows units to be deleted from or added to the worklist.</w:t>
            </w:r>
          </w:p>
          <w:p w14:paraId="69277B01" w14:textId="77777777" w:rsidR="002A21AE" w:rsidRDefault="002A21AE">
            <w:pPr>
              <w:pStyle w:val="TableText"/>
            </w:pPr>
          </w:p>
          <w:p w14:paraId="2AA6CC80" w14:textId="777240BD" w:rsidR="002A21AE" w:rsidRDefault="002A21AE">
            <w:pPr>
              <w:pStyle w:val="TableText"/>
              <w:rPr>
                <w:b/>
                <w:bCs/>
              </w:rPr>
            </w:pPr>
            <w:r>
              <w:rPr>
                <w:b/>
                <w:bCs/>
              </w:rPr>
              <w:t xml:space="preserve">NOTES </w:t>
            </w:r>
          </w:p>
          <w:p w14:paraId="5C001CFF" w14:textId="77777777" w:rsidR="002A21AE" w:rsidRDefault="002A21AE">
            <w:pPr>
              <w:pStyle w:val="NotesText"/>
            </w:pPr>
          </w:p>
          <w:p w14:paraId="0B653BF4" w14:textId="77777777" w:rsidR="006C18E7" w:rsidRDefault="006C18E7" w:rsidP="006C18E7">
            <w:pPr>
              <w:pStyle w:val="NotesText"/>
            </w:pPr>
            <w:r>
              <w:rPr>
                <w:rFonts w:cs="Arial"/>
                <w:vanish/>
              </w:rPr>
              <w:t xml:space="preserve">BR_5.03 </w:t>
            </w:r>
            <w:r>
              <w:t xml:space="preserve">The user may select only active units and those not in an inactive or final status. </w:t>
            </w:r>
          </w:p>
          <w:p w14:paraId="45B9C6E6" w14:textId="77777777" w:rsidR="006C18E7" w:rsidRDefault="006C18E7">
            <w:pPr>
              <w:pStyle w:val="NotesText"/>
            </w:pPr>
          </w:p>
          <w:p w14:paraId="0310356F" w14:textId="77777777" w:rsidR="002A21AE" w:rsidRDefault="002A21AE">
            <w:pPr>
              <w:pStyle w:val="NotesText"/>
            </w:pPr>
            <w:r>
              <w:t>To create a customized list of units:</w:t>
            </w:r>
          </w:p>
          <w:p w14:paraId="1FDE8891" w14:textId="77777777" w:rsidR="002A21AE" w:rsidRDefault="002A21AE">
            <w:pPr>
              <w:pStyle w:val="NotesTextBullet"/>
            </w:pPr>
            <w:r>
              <w:t xml:space="preserve">Enter a unit ID or click the </w:t>
            </w:r>
            <w:r w:rsidR="00A6373D">
              <w:rPr>
                <w:b/>
              </w:rPr>
              <w:t>find</w:t>
            </w:r>
            <w:r>
              <w:rPr>
                <w:b/>
              </w:rPr>
              <w:t xml:space="preserve"> </w:t>
            </w:r>
            <w:r w:rsidRPr="00D1100E">
              <w:t>button</w:t>
            </w:r>
            <w:r>
              <w:t xml:space="preserve"> to search for a unit. VBECS lists</w:t>
            </w:r>
            <w:r>
              <w:rPr>
                <w:rStyle w:val="historydatafont1"/>
              </w:rPr>
              <w:t xml:space="preserve"> units with “limited” status</w:t>
            </w:r>
            <w:r>
              <w:t>.</w:t>
            </w:r>
          </w:p>
          <w:p w14:paraId="3729E0B8" w14:textId="77777777" w:rsidR="002A21AE" w:rsidRDefault="002A21AE">
            <w:pPr>
              <w:pStyle w:val="NotesTextBullet"/>
            </w:pPr>
            <w:r>
              <w:t>Select parameters from the options on the Select Units for ABO/Rh Confirmation screen.</w:t>
            </w:r>
          </w:p>
          <w:p w14:paraId="5C9ECC9B" w14:textId="77777777" w:rsidR="002A21AE" w:rsidRDefault="002A21AE">
            <w:pPr>
              <w:pStyle w:val="NotesTextBullet"/>
            </w:pPr>
            <w:r>
              <w:t xml:space="preserve">Select </w:t>
            </w:r>
            <w:r>
              <w:rPr>
                <w:b/>
              </w:rPr>
              <w:t>Units within Criteria</w:t>
            </w:r>
            <w:r>
              <w:t xml:space="preserve"> to work with.</w:t>
            </w:r>
          </w:p>
          <w:p w14:paraId="531C4760" w14:textId="77777777" w:rsidR="002A21AE" w:rsidRDefault="002A21AE">
            <w:pPr>
              <w:pStyle w:val="NotesTextBullet"/>
            </w:pPr>
            <w:r>
              <w:t xml:space="preserve">Click </w:t>
            </w:r>
            <w:r>
              <w:rPr>
                <w:b/>
              </w:rPr>
              <w:t>OK</w:t>
            </w:r>
            <w:r>
              <w:t>.</w:t>
            </w:r>
          </w:p>
          <w:p w14:paraId="7EEB0B62" w14:textId="77777777" w:rsidR="002A21AE" w:rsidRDefault="002A21AE">
            <w:pPr>
              <w:pStyle w:val="NotesTextBullet"/>
            </w:pPr>
            <w:r>
              <w:t>Repeat this step until all units are included in the Selected Units list on the Unit ABO/Rh Confirmation screen.</w:t>
            </w:r>
          </w:p>
          <w:p w14:paraId="1A20A2D1" w14:textId="77777777" w:rsidR="002A21AE" w:rsidRDefault="002A21AE">
            <w:pPr>
              <w:pStyle w:val="NotesTextBullet"/>
            </w:pPr>
            <w:r>
              <w:t xml:space="preserve">Click </w:t>
            </w:r>
            <w:r>
              <w:rPr>
                <w:b/>
              </w:rPr>
              <w:t>OK</w:t>
            </w:r>
            <w:r>
              <w:t>.</w:t>
            </w:r>
          </w:p>
        </w:tc>
      </w:tr>
      <w:tr w:rsidR="002A21AE" w14:paraId="6BD916CE" w14:textId="77777777" w:rsidTr="001A459B">
        <w:trPr>
          <w:cantSplit/>
        </w:trPr>
        <w:tc>
          <w:tcPr>
            <w:tcW w:w="3240" w:type="dxa"/>
          </w:tcPr>
          <w:p w14:paraId="003E93FC" w14:textId="77777777" w:rsidR="002A21AE" w:rsidRDefault="002A21AE" w:rsidP="009023E2">
            <w:pPr>
              <w:pStyle w:val="TableTextNumbers"/>
            </w:pPr>
            <w:r>
              <w:t>Select a rack.</w:t>
            </w:r>
          </w:p>
          <w:p w14:paraId="7BBFDF38" w14:textId="77777777" w:rsidR="002A21AE" w:rsidRDefault="002A21AE">
            <w:pPr>
              <w:pStyle w:val="TableTextNumbersContinued"/>
            </w:pPr>
          </w:p>
          <w:p w14:paraId="0AE35BCA" w14:textId="77777777" w:rsidR="002A21AE" w:rsidRDefault="002A21AE">
            <w:pPr>
              <w:pStyle w:val="TableTextNumbersContinued"/>
            </w:pPr>
            <w:r>
              <w:t>Select a date or accept the default.</w:t>
            </w:r>
          </w:p>
          <w:p w14:paraId="4F44FA39" w14:textId="77777777" w:rsidR="002A21AE" w:rsidRDefault="002A21AE">
            <w:pPr>
              <w:pStyle w:val="TableTextNumbersContinued"/>
            </w:pPr>
          </w:p>
          <w:p w14:paraId="24402C22" w14:textId="77777777" w:rsidR="002A21AE" w:rsidRDefault="002A21AE">
            <w:pPr>
              <w:pStyle w:val="TableTextNumbersContinued"/>
            </w:pPr>
            <w:r>
              <w:t>Select a Tested By name.</w:t>
            </w:r>
          </w:p>
          <w:p w14:paraId="4CE9DC82" w14:textId="77777777" w:rsidR="002A21AE" w:rsidRDefault="002A21AE">
            <w:pPr>
              <w:pStyle w:val="TableTextNumbersContinued"/>
            </w:pPr>
          </w:p>
          <w:p w14:paraId="42BD3DFE" w14:textId="77777777" w:rsidR="002A21AE" w:rsidRDefault="002A21AE">
            <w:pPr>
              <w:pStyle w:val="TableTextNumbersContinued"/>
            </w:pPr>
            <w:r>
              <w:t xml:space="preserve">Click </w:t>
            </w:r>
            <w:r>
              <w:rPr>
                <w:b/>
              </w:rPr>
              <w:t>Using Automated Instrument</w:t>
            </w:r>
            <w:r>
              <w:t xml:space="preserve">, as appropriate. </w:t>
            </w:r>
          </w:p>
          <w:p w14:paraId="71002026" w14:textId="77777777" w:rsidR="002A21AE" w:rsidRDefault="002A21AE">
            <w:pPr>
              <w:pStyle w:val="TableTextNumbersContinued"/>
            </w:pPr>
          </w:p>
          <w:p w14:paraId="2CDE3AB5" w14:textId="77777777" w:rsidR="002A21AE" w:rsidRDefault="002A21AE">
            <w:pPr>
              <w:pStyle w:val="TableTextNumbersContinued"/>
            </w:pPr>
            <w:r>
              <w:t xml:space="preserve">Click the </w:t>
            </w:r>
            <w:r>
              <w:rPr>
                <w:b/>
              </w:rPr>
              <w:t xml:space="preserve">Perform Anti-D Testing </w:t>
            </w:r>
            <w:r w:rsidRPr="00D1100E">
              <w:t>check box</w:t>
            </w:r>
            <w:r>
              <w:t>, when appropriate.</w:t>
            </w:r>
          </w:p>
          <w:p w14:paraId="647EF09E" w14:textId="77777777" w:rsidR="002A21AE" w:rsidRDefault="002A21AE">
            <w:pPr>
              <w:pStyle w:val="TableTextNumbersContinued"/>
            </w:pPr>
          </w:p>
          <w:p w14:paraId="74E1C672" w14:textId="77777777" w:rsidR="002A21AE" w:rsidRDefault="002A21AE">
            <w:pPr>
              <w:pStyle w:val="TableTextNumbersContinued"/>
            </w:pPr>
            <w:r>
              <w:t xml:space="preserve">Click </w:t>
            </w:r>
            <w:r>
              <w:rPr>
                <w:b/>
              </w:rPr>
              <w:t>OK</w:t>
            </w:r>
            <w:r>
              <w:t>.</w:t>
            </w:r>
          </w:p>
        </w:tc>
        <w:tc>
          <w:tcPr>
            <w:tcW w:w="6120" w:type="dxa"/>
          </w:tcPr>
          <w:p w14:paraId="1486F695" w14:textId="77777777" w:rsidR="002A21AE" w:rsidRDefault="002A21AE">
            <w:pPr>
              <w:pStyle w:val="TableTextBullet"/>
            </w:pPr>
            <w:r>
              <w:t xml:space="preserve">Displays the racks available using the pick list provided. </w:t>
            </w:r>
          </w:p>
          <w:p w14:paraId="18AE6CA7" w14:textId="77777777" w:rsidR="002A21AE" w:rsidRDefault="002A21AE">
            <w:pPr>
              <w:pStyle w:val="TableTextBullet"/>
            </w:pPr>
            <w:r>
              <w:t xml:space="preserve">Displays the date and time testing was performed. The default is the current date and time. The date may be edited using the pick list provided. </w:t>
            </w:r>
          </w:p>
          <w:p w14:paraId="768AF0D2" w14:textId="77777777" w:rsidR="002A21AE" w:rsidRDefault="002A21AE">
            <w:pPr>
              <w:pStyle w:val="TableTextBullet"/>
            </w:pPr>
            <w:r>
              <w:t xml:space="preserve">Displays the testing technologist’s identification. The default is the current user. Select a name from the pick list of valid division users to show a different testing technologist. </w:t>
            </w:r>
          </w:p>
          <w:p w14:paraId="4B45A44C" w14:textId="77777777" w:rsidR="002A21AE" w:rsidRDefault="002A21AE">
            <w:pPr>
              <w:pStyle w:val="TableTextBullet"/>
            </w:pPr>
            <w:r>
              <w:t>Displays warnings and the option to indicate that the user is ready to begin entering results after all warnings are addressed.</w:t>
            </w:r>
          </w:p>
          <w:p w14:paraId="49BCC2C3" w14:textId="77777777" w:rsidR="002A21AE" w:rsidRDefault="002A21AE">
            <w:pPr>
              <w:pStyle w:val="TableTextBullet"/>
            </w:pPr>
            <w:r>
              <w:t>Generates an Exception Report entry when the user inactivates or deletes the partially completed result grids and enters a comment.</w:t>
            </w:r>
          </w:p>
          <w:p w14:paraId="698893CB" w14:textId="77777777" w:rsidR="002A21AE" w:rsidRDefault="002A21AE">
            <w:pPr>
              <w:pStyle w:val="TableText"/>
            </w:pPr>
          </w:p>
          <w:p w14:paraId="379AD499" w14:textId="752A93E9" w:rsidR="002A21AE" w:rsidRDefault="002A21AE">
            <w:pPr>
              <w:pStyle w:val="TableText"/>
              <w:rPr>
                <w:b/>
                <w:bCs/>
              </w:rPr>
            </w:pPr>
            <w:r>
              <w:rPr>
                <w:b/>
                <w:bCs/>
              </w:rPr>
              <w:t xml:space="preserve">NOTES </w:t>
            </w:r>
          </w:p>
          <w:p w14:paraId="49DAC31B" w14:textId="77777777" w:rsidR="002A21AE" w:rsidRDefault="002A21AE">
            <w:pPr>
              <w:pStyle w:val="NotesText"/>
            </w:pPr>
          </w:p>
          <w:p w14:paraId="687BAE42" w14:textId="77777777" w:rsidR="002A21AE" w:rsidRDefault="002A21AE" w:rsidP="00C0155E">
            <w:pPr>
              <w:pStyle w:val="NotesText"/>
            </w:pPr>
            <w:r>
              <w:rPr>
                <w:rFonts w:cs="Arial"/>
                <w:vanish/>
              </w:rPr>
              <w:t xml:space="preserve">BR_2.47 </w:t>
            </w:r>
            <w:r>
              <w:t>A user may disable the anti-D testing grid column in the ABO/Rh unit confirmation worksheet.</w:t>
            </w:r>
            <w:r w:rsidR="00632245">
              <w:t xml:space="preserve"> When the Anti-D testing grid display is disabled, the user </w:t>
            </w:r>
            <w:r w:rsidR="00C0155E">
              <w:t>may</w:t>
            </w:r>
            <w:r w:rsidR="00632245">
              <w:t xml:space="preserve"> select only RH Positive labeled units for confirmation testing.</w:t>
            </w:r>
          </w:p>
        </w:tc>
      </w:tr>
      <w:tr w:rsidR="002A21AE" w14:paraId="4D42A5BA" w14:textId="77777777">
        <w:tc>
          <w:tcPr>
            <w:tcW w:w="3240" w:type="dxa"/>
          </w:tcPr>
          <w:p w14:paraId="024CCE35" w14:textId="77777777" w:rsidR="002A21AE" w:rsidRDefault="002A21AE">
            <w:pPr>
              <w:pStyle w:val="TableTextNumbers"/>
            </w:pPr>
            <w:r>
              <w:t>Select a unit for which to record test results.</w:t>
            </w:r>
          </w:p>
          <w:p w14:paraId="578F73FC" w14:textId="77777777" w:rsidR="002A21AE" w:rsidRDefault="002A21AE">
            <w:pPr>
              <w:pStyle w:val="TableTextNumbersContinued"/>
            </w:pPr>
          </w:p>
          <w:p w14:paraId="35617540" w14:textId="77777777" w:rsidR="002A21AE" w:rsidRDefault="002A21AE">
            <w:pPr>
              <w:pStyle w:val="TableTextNumbersContinued"/>
            </w:pPr>
            <w:r>
              <w:t>Select a cell and enter an observed test result from the legend at the bottom of the screen.</w:t>
            </w:r>
          </w:p>
          <w:p w14:paraId="76DBD58A" w14:textId="77777777" w:rsidR="002A21AE" w:rsidRDefault="002A21AE">
            <w:pPr>
              <w:pStyle w:val="TableTextNumbersContinued"/>
            </w:pPr>
          </w:p>
          <w:p w14:paraId="6A9BFF4C" w14:textId="77777777" w:rsidR="002A21AE" w:rsidRDefault="002A21AE">
            <w:pPr>
              <w:pStyle w:val="TableTextNumbersContinued"/>
            </w:pPr>
            <w:r>
              <w:rPr>
                <w:rFonts w:cs="Arial"/>
                <w:vanish/>
                <w:szCs w:val="18"/>
              </w:rPr>
              <w:t>BR_2.30</w:t>
            </w:r>
            <w:r w:rsidR="00CE3961">
              <w:rPr>
                <w:rFonts w:cs="Arial"/>
                <w:vanish/>
                <w:szCs w:val="18"/>
              </w:rPr>
              <w:t>,</w:t>
            </w:r>
            <w:r>
              <w:rPr>
                <w:rFonts w:cs="Arial"/>
                <w:vanish/>
                <w:szCs w:val="18"/>
              </w:rPr>
              <w:t xml:space="preserve"> </w:t>
            </w:r>
            <w:r>
              <w:rPr>
                <w:vanish/>
                <w:szCs w:val="18"/>
              </w:rPr>
              <w:t xml:space="preserve">BR_2.31 </w:t>
            </w:r>
            <w:r>
              <w:t xml:space="preserve">Enter a valid interpretation, then press </w:t>
            </w:r>
            <w:r w:rsidR="00DF74D1">
              <w:t xml:space="preserve">the </w:t>
            </w:r>
            <w:r>
              <w:rPr>
                <w:b/>
              </w:rPr>
              <w:t>Enter</w:t>
            </w:r>
            <w:r w:rsidR="00DF74D1">
              <w:rPr>
                <w:b/>
              </w:rPr>
              <w:t xml:space="preserve"> key</w:t>
            </w:r>
            <w:r>
              <w:t xml:space="preserve"> to go to the next data grid interpretation or Comment cell.</w:t>
            </w:r>
          </w:p>
          <w:p w14:paraId="7D9E03A9" w14:textId="77777777" w:rsidR="002A21AE" w:rsidRDefault="002A21AE">
            <w:pPr>
              <w:pStyle w:val="TableTextNumbersContinued"/>
            </w:pPr>
          </w:p>
          <w:p w14:paraId="31FF70AB" w14:textId="77777777" w:rsidR="002A21AE" w:rsidRDefault="002A21AE">
            <w:pPr>
              <w:pStyle w:val="TableTextNumbersContinued"/>
            </w:pPr>
            <w:r>
              <w:t>Select enter comments from the Unit Testing for the ABO and Rh interpretations, as needed.</w:t>
            </w:r>
          </w:p>
          <w:p w14:paraId="2F9216C8" w14:textId="77777777" w:rsidR="002A21AE" w:rsidRDefault="002A21AE">
            <w:pPr>
              <w:pStyle w:val="TableTextNumbersContinued"/>
            </w:pPr>
          </w:p>
          <w:p w14:paraId="1280B526" w14:textId="77777777" w:rsidR="002A21AE" w:rsidRDefault="002A21AE">
            <w:pPr>
              <w:pStyle w:val="TableTextNumbersContinued"/>
            </w:pPr>
            <w:r>
              <w:t>Repeat until all test results for the selected unit are entered.</w:t>
            </w:r>
          </w:p>
        </w:tc>
        <w:tc>
          <w:tcPr>
            <w:tcW w:w="6120" w:type="dxa"/>
          </w:tcPr>
          <w:p w14:paraId="6EB23903" w14:textId="77777777" w:rsidR="002A21AE" w:rsidRDefault="002A21AE">
            <w:pPr>
              <w:pStyle w:val="TableTextBullet"/>
            </w:pPr>
            <w:r>
              <w:t>Creates a grid for data entry of results and interpretations, displaying units in the order selected.</w:t>
            </w:r>
          </w:p>
          <w:p w14:paraId="4642097F" w14:textId="77777777" w:rsidR="002A21AE" w:rsidRDefault="002A21AE">
            <w:pPr>
              <w:pStyle w:val="TableTextBullet"/>
            </w:pPr>
            <w:r>
              <w:t>Allows the user to select a blood test type and enter a test result for the unit.</w:t>
            </w:r>
          </w:p>
          <w:p w14:paraId="6E732C11" w14:textId="77777777" w:rsidR="002A21AE" w:rsidRDefault="002A21AE">
            <w:pPr>
              <w:pStyle w:val="TableTextBullet"/>
            </w:pPr>
            <w:r>
              <w:t>Restricts data entry to valid selections for testing results. Displays testing results and interpretations entered.</w:t>
            </w:r>
          </w:p>
          <w:p w14:paraId="536E8DB2" w14:textId="77777777" w:rsidR="002A21AE" w:rsidRDefault="002A21AE">
            <w:pPr>
              <w:pStyle w:val="TableTextBullet"/>
            </w:pPr>
            <w:r>
              <w:t>An interpretation indicates that all appropriate test results were entered for the unit.</w:t>
            </w:r>
          </w:p>
          <w:p w14:paraId="533ED9E1" w14:textId="77777777" w:rsidR="002A21AE" w:rsidRDefault="002A21AE">
            <w:pPr>
              <w:pStyle w:val="TableText"/>
            </w:pPr>
          </w:p>
          <w:p w14:paraId="2D395C04" w14:textId="7D793838" w:rsidR="002A21AE" w:rsidRDefault="002A21AE">
            <w:pPr>
              <w:pStyle w:val="TableText"/>
              <w:rPr>
                <w:b/>
                <w:bCs/>
                <w:szCs w:val="18"/>
              </w:rPr>
            </w:pPr>
            <w:r>
              <w:rPr>
                <w:b/>
                <w:bCs/>
                <w:szCs w:val="18"/>
              </w:rPr>
              <w:t>NOTES</w:t>
            </w:r>
          </w:p>
          <w:p w14:paraId="0C8BBFAD" w14:textId="77777777" w:rsidR="002A21AE" w:rsidRDefault="009965B7">
            <w:pPr>
              <w:pStyle w:val="NotesText"/>
              <w:spacing w:before="240"/>
            </w:pPr>
            <w:r w:rsidRPr="00896F17">
              <w:rPr>
                <w:rStyle w:val="BullhornChar"/>
              </w:rPr>
              <w:t></w:t>
            </w:r>
            <w:r w:rsidRPr="00D62E87">
              <w:rPr>
                <w:rFonts w:ascii="Webdings" w:hAnsi="Webdings"/>
              </w:rPr>
              <w:t></w:t>
            </w:r>
            <w:r w:rsidRPr="00D62E87">
              <w:t>V</w:t>
            </w:r>
            <w:r w:rsidR="002A21AE">
              <w:t xml:space="preserve">BECS emits an audible alert and generates a warning requiring override when the ABO and/or Rh confirmation interpretation does not match the ABO and/or Rh of the unit at initial login. When the user confirms the discrepancy, inventory units whose ABO/Rh confirmation does not match the ABO/Rh at login are marked “Quarantined.” VBECS captures details for inclusion in an Exception Report (exception type: Unit ABO/Rh </w:t>
            </w:r>
            <w:r w:rsidR="00922AD8">
              <w:t>login</w:t>
            </w:r>
            <w:r w:rsidR="002A21AE">
              <w:t xml:space="preserve"> vs. confirmation do not match, unit quarantined).</w:t>
            </w:r>
          </w:p>
          <w:p w14:paraId="6845087E" w14:textId="77777777" w:rsidR="002A21AE" w:rsidRDefault="002A21AE">
            <w:pPr>
              <w:pStyle w:val="NotesText"/>
            </w:pPr>
          </w:p>
          <w:p w14:paraId="3B63AFE7" w14:textId="77777777" w:rsidR="002A21AE" w:rsidRDefault="002A21AE" w:rsidP="005F1F08">
            <w:pPr>
              <w:pStyle w:val="NotesText"/>
            </w:pPr>
            <w:r>
              <w:rPr>
                <w:rFonts w:cs="Arial"/>
                <w:vanish/>
              </w:rPr>
              <w:t xml:space="preserve">BR_2.03 </w:t>
            </w:r>
            <w:r>
              <w:t>ABO/Rh confirmation testing data grids accommodate uniform data entry for Forward ABO testing</w:t>
            </w:r>
            <w:r w:rsidR="005F1F08">
              <w:t>.</w:t>
            </w:r>
          </w:p>
          <w:p w14:paraId="7A5FFA7F" w14:textId="77777777" w:rsidR="002A21AE" w:rsidRDefault="002A21AE">
            <w:pPr>
              <w:pStyle w:val="NotesText"/>
            </w:pPr>
          </w:p>
          <w:p w14:paraId="4F19C236" w14:textId="77777777" w:rsidR="002A21AE" w:rsidRDefault="002A21AE">
            <w:pPr>
              <w:pStyle w:val="NotesText"/>
            </w:pPr>
            <w:r>
              <w:rPr>
                <w:rFonts w:cs="Arial"/>
                <w:vanish/>
              </w:rPr>
              <w:t xml:space="preserve">BR_2.27 </w:t>
            </w:r>
            <w:r w:rsidR="00EC34E1" w:rsidRPr="0094281E">
              <w:t>The cursor move</w:t>
            </w:r>
            <w:r w:rsidR="00EC34E1">
              <w:t>s</w:t>
            </w:r>
            <w:r w:rsidR="00EC34E1" w:rsidRPr="0094281E">
              <w:t xml:space="preserve"> with a single valid keystroke from the top left cell </w:t>
            </w:r>
            <w:r w:rsidR="00EC34E1">
              <w:t>across</w:t>
            </w:r>
            <w:r w:rsidR="00EC34E1" w:rsidRPr="0094281E">
              <w:t xml:space="preserve"> the row</w:t>
            </w:r>
            <w:r w:rsidR="00EC34E1">
              <w:t>,</w:t>
            </w:r>
            <w:r w:rsidR="00EC34E1" w:rsidRPr="0094281E">
              <w:t xml:space="preserve"> returning to the </w:t>
            </w:r>
            <w:r w:rsidR="00EC34E1">
              <w:t>left</w:t>
            </w:r>
            <w:r w:rsidR="00EC34E1" w:rsidRPr="0094281E">
              <w:t>most cell in the next row</w:t>
            </w:r>
            <w:r w:rsidR="00EC34E1">
              <w:t>,</w:t>
            </w:r>
            <w:r w:rsidR="00EC34E1" w:rsidRPr="0094281E">
              <w:t xml:space="preserve"> and so on down the worksheet grid.</w:t>
            </w:r>
            <w:r>
              <w:t xml:space="preserve"> The cursor stays in the reaction results cells by default (the technologist may use the mouse to click in the interpretation area) until the last entry is made in the reaction result portion of the grid. The cursor then goes to the first (top) interpretation cell.</w:t>
            </w:r>
          </w:p>
          <w:p w14:paraId="2A3C76FF" w14:textId="77777777" w:rsidR="002A21AE" w:rsidRDefault="002A21AE">
            <w:pPr>
              <w:pStyle w:val="NotesText"/>
              <w:ind w:left="0"/>
            </w:pPr>
          </w:p>
          <w:p w14:paraId="6CADE542" w14:textId="1D8E72A1" w:rsidR="002A21AE" w:rsidRDefault="002A21AE">
            <w:pPr>
              <w:pStyle w:val="NotesText"/>
            </w:pPr>
            <w:r>
              <w:t>The user may enter free-text comments or comments from the Unit Testing for the ABO and Rh interpretations</w:t>
            </w:r>
            <w:r w:rsidR="002106D5">
              <w:t xml:space="preserve"> (</w:t>
            </w:r>
            <w:r w:rsidR="00EE455E">
              <w:t xml:space="preserve">Table </w:t>
            </w:r>
            <w:r w:rsidR="00EE455E">
              <w:rPr>
                <w:noProof/>
              </w:rPr>
              <w:t>4</w:t>
            </w:r>
            <w:r w:rsidR="002106D5">
              <w:t>)</w:t>
            </w:r>
            <w:r>
              <w:t>.</w:t>
            </w:r>
          </w:p>
          <w:p w14:paraId="6640FFE6" w14:textId="5CA10C92" w:rsidR="002A21AE" w:rsidRDefault="002A21AE">
            <w:pPr>
              <w:pStyle w:val="Caption"/>
              <w:ind w:left="720"/>
            </w:pPr>
            <w:bookmarkStart w:id="271" w:name="_Ref256686527"/>
            <w:bookmarkStart w:id="272" w:name="_Toc97523616"/>
            <w:bookmarkStart w:id="273" w:name="_Toc97527586"/>
            <w:bookmarkStart w:id="274" w:name="_Ref126504333"/>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4</w:t>
            </w:r>
            <w:r w:rsidR="004E20BD">
              <w:rPr>
                <w:noProof/>
              </w:rPr>
              <w:fldChar w:fldCharType="end"/>
            </w:r>
            <w:bookmarkEnd w:id="271"/>
            <w:r>
              <w:t xml:space="preserve">: </w:t>
            </w:r>
            <w:r>
              <w:rPr>
                <w:rFonts w:ascii="Arial" w:hAnsi="Arial" w:cs="Arial"/>
                <w:b w:val="0"/>
                <w:vanish/>
                <w:sz w:val="18"/>
              </w:rPr>
              <w:t xml:space="preserve">BR_2.10 </w:t>
            </w:r>
            <w:r>
              <w:t>Valid Interpretations</w:t>
            </w:r>
            <w:bookmarkEnd w:id="272"/>
            <w:bookmarkEnd w:id="273"/>
            <w:bookmarkEnd w:id="274"/>
            <w:r>
              <w:fldChar w:fldCharType="begin"/>
            </w:r>
            <w:r>
              <w:instrText xml:space="preserve"> XE </w:instrText>
            </w:r>
            <w:r w:rsidR="00FA7E65">
              <w:instrText>“</w:instrText>
            </w:r>
            <w:r>
              <w:instrText>Tables:Valid Interpretations</w:instrText>
            </w:r>
            <w:r w:rsidR="00FA7E65">
              <w:instrText>”</w:instrText>
            </w:r>
            <w:r>
              <w:instrText xml:space="preserve"> </w:instrText>
            </w:r>
            <w:r>
              <w:fldChar w:fldCharType="end"/>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5"/>
              <w:gridCol w:w="1800"/>
            </w:tblGrid>
            <w:tr w:rsidR="002A21AE" w14:paraId="108605CF" w14:textId="77777777">
              <w:trPr>
                <w:tblHeader/>
              </w:trPr>
              <w:tc>
                <w:tcPr>
                  <w:tcW w:w="1615" w:type="dxa"/>
                  <w:shd w:val="clear" w:color="auto" w:fill="B3B3B3"/>
                  <w:vAlign w:val="bottom"/>
                </w:tcPr>
                <w:p w14:paraId="66A5FC2F" w14:textId="77777777" w:rsidR="002A21AE" w:rsidRDefault="002A21AE">
                  <w:pPr>
                    <w:pStyle w:val="TableText"/>
                    <w:jc w:val="center"/>
                    <w:rPr>
                      <w:b/>
                    </w:rPr>
                  </w:pPr>
                  <w:r>
                    <w:rPr>
                      <w:b/>
                    </w:rPr>
                    <w:t>ABO</w:t>
                  </w:r>
                </w:p>
              </w:tc>
              <w:tc>
                <w:tcPr>
                  <w:tcW w:w="1800" w:type="dxa"/>
                  <w:shd w:val="clear" w:color="auto" w:fill="B3B3B3"/>
                  <w:vAlign w:val="bottom"/>
                </w:tcPr>
                <w:p w14:paraId="08C88AEB" w14:textId="77777777" w:rsidR="002A21AE" w:rsidRDefault="002A21AE">
                  <w:pPr>
                    <w:pStyle w:val="TableText"/>
                    <w:jc w:val="center"/>
                    <w:rPr>
                      <w:b/>
                    </w:rPr>
                  </w:pPr>
                  <w:r>
                    <w:rPr>
                      <w:b/>
                    </w:rPr>
                    <w:t>Rh</w:t>
                  </w:r>
                </w:p>
              </w:tc>
            </w:tr>
            <w:tr w:rsidR="002A21AE" w14:paraId="6FAA90C7" w14:textId="77777777">
              <w:tc>
                <w:tcPr>
                  <w:tcW w:w="1615" w:type="dxa"/>
                  <w:vAlign w:val="bottom"/>
                </w:tcPr>
                <w:p w14:paraId="00997EAA" w14:textId="77777777" w:rsidR="002A21AE" w:rsidRDefault="002A21AE">
                  <w:pPr>
                    <w:pStyle w:val="TableText"/>
                  </w:pPr>
                  <w:r>
                    <w:t>A</w:t>
                  </w:r>
                </w:p>
              </w:tc>
              <w:tc>
                <w:tcPr>
                  <w:tcW w:w="1800" w:type="dxa"/>
                  <w:vAlign w:val="bottom"/>
                </w:tcPr>
                <w:p w14:paraId="1B9CF688" w14:textId="77777777" w:rsidR="002A21AE" w:rsidRDefault="002A21AE">
                  <w:pPr>
                    <w:pStyle w:val="TableText"/>
                  </w:pPr>
                  <w:r>
                    <w:t>P, POS (positive)</w:t>
                  </w:r>
                </w:p>
              </w:tc>
            </w:tr>
            <w:tr w:rsidR="002A21AE" w14:paraId="39B5D904" w14:textId="77777777">
              <w:tc>
                <w:tcPr>
                  <w:tcW w:w="1615" w:type="dxa"/>
                  <w:vAlign w:val="bottom"/>
                </w:tcPr>
                <w:p w14:paraId="7D8111AC" w14:textId="77777777" w:rsidR="002A21AE" w:rsidRDefault="002A21AE">
                  <w:pPr>
                    <w:pStyle w:val="TableText"/>
                  </w:pPr>
                  <w:r>
                    <w:t>B</w:t>
                  </w:r>
                </w:p>
              </w:tc>
              <w:tc>
                <w:tcPr>
                  <w:tcW w:w="1800" w:type="dxa"/>
                  <w:vAlign w:val="bottom"/>
                </w:tcPr>
                <w:p w14:paraId="5B8FE0F4" w14:textId="77777777" w:rsidR="002A21AE" w:rsidRDefault="002A21AE">
                  <w:pPr>
                    <w:pStyle w:val="TableText"/>
                  </w:pPr>
                  <w:r>
                    <w:t>N, NEG (negative)</w:t>
                  </w:r>
                </w:p>
              </w:tc>
            </w:tr>
            <w:tr w:rsidR="002A21AE" w14:paraId="24200F57" w14:textId="77777777">
              <w:tc>
                <w:tcPr>
                  <w:tcW w:w="1615" w:type="dxa"/>
                  <w:vAlign w:val="bottom"/>
                </w:tcPr>
                <w:p w14:paraId="10534945" w14:textId="77777777" w:rsidR="002A21AE" w:rsidRDefault="002A21AE">
                  <w:pPr>
                    <w:pStyle w:val="TableText"/>
                  </w:pPr>
                  <w:r>
                    <w:t>AB</w:t>
                  </w:r>
                </w:p>
              </w:tc>
              <w:tc>
                <w:tcPr>
                  <w:tcW w:w="1800" w:type="dxa"/>
                  <w:tcBorders>
                    <w:bottom w:val="single" w:sz="4" w:space="0" w:color="auto"/>
                  </w:tcBorders>
                  <w:vAlign w:val="bottom"/>
                </w:tcPr>
                <w:p w14:paraId="662E953C" w14:textId="77777777" w:rsidR="002A21AE" w:rsidRDefault="002A21AE">
                  <w:pPr>
                    <w:pStyle w:val="TableText"/>
                  </w:pPr>
                  <w:r>
                    <w:t>I, Inconclusive</w:t>
                  </w:r>
                </w:p>
              </w:tc>
            </w:tr>
            <w:tr w:rsidR="002A21AE" w14:paraId="7EB85C38" w14:textId="77777777">
              <w:trPr>
                <w:cantSplit/>
              </w:trPr>
              <w:tc>
                <w:tcPr>
                  <w:tcW w:w="1615" w:type="dxa"/>
                  <w:vAlign w:val="bottom"/>
                </w:tcPr>
                <w:p w14:paraId="7CF94FB3" w14:textId="77777777" w:rsidR="002A21AE" w:rsidRDefault="002A21AE">
                  <w:pPr>
                    <w:pStyle w:val="TableText"/>
                  </w:pPr>
                  <w:r>
                    <w:t>O</w:t>
                  </w:r>
                </w:p>
              </w:tc>
              <w:tc>
                <w:tcPr>
                  <w:tcW w:w="1800" w:type="dxa"/>
                  <w:vMerge w:val="restart"/>
                  <w:shd w:val="clear" w:color="auto" w:fill="B3B3B3"/>
                  <w:vAlign w:val="bottom"/>
                </w:tcPr>
                <w:p w14:paraId="037370BB" w14:textId="77777777" w:rsidR="002A21AE" w:rsidRDefault="002A21AE">
                  <w:pPr>
                    <w:pStyle w:val="TableText"/>
                  </w:pPr>
                </w:p>
              </w:tc>
            </w:tr>
            <w:tr w:rsidR="002A21AE" w14:paraId="6B3AEEB5" w14:textId="77777777">
              <w:trPr>
                <w:cantSplit/>
              </w:trPr>
              <w:tc>
                <w:tcPr>
                  <w:tcW w:w="1615" w:type="dxa"/>
                  <w:vAlign w:val="bottom"/>
                </w:tcPr>
                <w:p w14:paraId="01B6C995" w14:textId="77777777" w:rsidR="002A21AE" w:rsidRDefault="002A21AE">
                  <w:pPr>
                    <w:pStyle w:val="TableText"/>
                  </w:pPr>
                  <w:r>
                    <w:t>I, Inconclusive</w:t>
                  </w:r>
                </w:p>
              </w:tc>
              <w:tc>
                <w:tcPr>
                  <w:tcW w:w="1800" w:type="dxa"/>
                  <w:vMerge/>
                  <w:vAlign w:val="bottom"/>
                </w:tcPr>
                <w:p w14:paraId="5C6008B5" w14:textId="77777777" w:rsidR="002A21AE" w:rsidRDefault="002A21AE">
                  <w:pPr>
                    <w:pStyle w:val="NotesText"/>
                  </w:pPr>
                </w:p>
              </w:tc>
            </w:tr>
          </w:tbl>
          <w:p w14:paraId="4EE47643" w14:textId="77777777" w:rsidR="002A21AE" w:rsidRDefault="002A21AE">
            <w:pPr>
              <w:pStyle w:val="NotesText"/>
              <w:ind w:left="0"/>
            </w:pPr>
          </w:p>
          <w:p w14:paraId="2D99C062" w14:textId="77777777" w:rsidR="002A21AE" w:rsidRDefault="002A21AE">
            <w:pPr>
              <w:pStyle w:val="NotesText"/>
            </w:pPr>
            <w:r>
              <w:rPr>
                <w:rFonts w:cs="Arial"/>
                <w:vanish/>
              </w:rPr>
              <w:t xml:space="preserve">BR_2.15 </w:t>
            </w:r>
            <w:r>
              <w:t>When a user saves a partially completed ABO/Rh testing worklist, VBECS clears unit entries with incomplete or no results, releases them from the worklist, and makes them available for inclusion in a future worklist.</w:t>
            </w:r>
          </w:p>
          <w:p w14:paraId="7E76337C" w14:textId="77777777" w:rsidR="002A21AE" w:rsidRDefault="002A21AE">
            <w:pPr>
              <w:pStyle w:val="NotesText"/>
            </w:pPr>
          </w:p>
          <w:p w14:paraId="17A20B9E" w14:textId="77777777" w:rsidR="002A21AE" w:rsidRDefault="002A21AE">
            <w:pPr>
              <w:pStyle w:val="NotesText"/>
            </w:pPr>
            <w:r>
              <w:rPr>
                <w:rFonts w:cs="Arial"/>
                <w:vanish/>
              </w:rPr>
              <w:t xml:space="preserve">BR_2.35 </w:t>
            </w:r>
            <w:r>
              <w:t>Row validation is established for the interpretation vs. reaction results pattern by system rules</w:t>
            </w:r>
            <w:r>
              <w:rPr>
                <w:vanish/>
                <w:szCs w:val="18"/>
              </w:rPr>
              <w:t>TT_2.01 Forward ABO Confirmation and TT_2.02 Rh Confirmation: Forward Testing Truth Tables</w:t>
            </w:r>
            <w:r>
              <w:t>.</w:t>
            </w:r>
          </w:p>
          <w:p w14:paraId="3EA471B5" w14:textId="77777777" w:rsidR="00C55908" w:rsidRPr="00200B6D" w:rsidRDefault="00C55908" w:rsidP="00200B6D">
            <w:pPr>
              <w:pStyle w:val="NotesText"/>
            </w:pPr>
          </w:p>
          <w:p w14:paraId="45AB0744" w14:textId="77777777" w:rsidR="002A21AE" w:rsidRDefault="002A21AE" w:rsidP="00200B6D">
            <w:pPr>
              <w:pStyle w:val="NotesText"/>
              <w:rPr>
                <w:noProof/>
                <w:color w:val="000000"/>
              </w:rPr>
            </w:pPr>
            <w:r w:rsidRPr="00200B6D">
              <w:rPr>
                <w:vanish/>
                <w:szCs w:val="18"/>
              </w:rPr>
              <w:t>BR_2.05</w:t>
            </w:r>
            <w:r w:rsidR="00CE3961">
              <w:rPr>
                <w:vanish/>
                <w:szCs w:val="18"/>
              </w:rPr>
              <w:t>,</w:t>
            </w:r>
            <w:r w:rsidRPr="00200B6D">
              <w:rPr>
                <w:vanish/>
                <w:szCs w:val="18"/>
              </w:rPr>
              <w:t xml:space="preserve"> BR_2.06 </w:t>
            </w:r>
            <w:r w:rsidRPr="00200B6D">
              <w:t>ABO</w:t>
            </w:r>
            <w:r w:rsidR="004A178C" w:rsidRPr="00200B6D">
              <w:t>/Rh</w:t>
            </w:r>
            <w:r w:rsidRPr="00200B6D">
              <w:t xml:space="preserve"> interpretations are consistent with observed test results based on system rules. Discrepancies are resolved before VBECS can verify ABO</w:t>
            </w:r>
            <w:r w:rsidR="004A178C" w:rsidRPr="00200B6D">
              <w:t>/Rh</w:t>
            </w:r>
            <w:r w:rsidRPr="00200B6D">
              <w:t xml:space="preserve"> confirmation results and add them to the database. The user may reenter valid results or delete entries and start over. </w:t>
            </w:r>
          </w:p>
        </w:tc>
      </w:tr>
      <w:tr w:rsidR="002A21AE" w14:paraId="20F59AF1" w14:textId="77777777">
        <w:tc>
          <w:tcPr>
            <w:tcW w:w="3240" w:type="dxa"/>
          </w:tcPr>
          <w:p w14:paraId="10DCAB3D" w14:textId="77777777" w:rsidR="002A21AE" w:rsidRDefault="002A21AE">
            <w:pPr>
              <w:pStyle w:val="TableTextNumbers"/>
            </w:pPr>
            <w:r>
              <w:t>Confirm that all results were reviewed and are acceptable.</w:t>
            </w:r>
          </w:p>
          <w:p w14:paraId="7CA1EE64" w14:textId="77777777" w:rsidR="002A21AE" w:rsidRDefault="002A21AE">
            <w:pPr>
              <w:pStyle w:val="TableTextNumbersContinued"/>
            </w:pPr>
          </w:p>
        </w:tc>
        <w:tc>
          <w:tcPr>
            <w:tcW w:w="6120" w:type="dxa"/>
          </w:tcPr>
          <w:p w14:paraId="6B436B1C" w14:textId="77777777" w:rsidR="002A21AE" w:rsidRDefault="002A21AE">
            <w:pPr>
              <w:pStyle w:val="TableTextBullet"/>
            </w:pPr>
            <w:r>
              <w:t>Repeats data validation and prompts the user to save.</w:t>
            </w:r>
          </w:p>
          <w:p w14:paraId="147109E2" w14:textId="77777777" w:rsidR="002A21AE" w:rsidRDefault="002A21AE">
            <w:pPr>
              <w:pStyle w:val="TableText"/>
            </w:pPr>
          </w:p>
          <w:p w14:paraId="4F94EE8E" w14:textId="7C210945" w:rsidR="002A21AE" w:rsidRDefault="002A21AE">
            <w:pPr>
              <w:pStyle w:val="TableText"/>
              <w:rPr>
                <w:b/>
                <w:bCs/>
                <w:szCs w:val="18"/>
              </w:rPr>
            </w:pPr>
            <w:r>
              <w:rPr>
                <w:b/>
                <w:bCs/>
                <w:szCs w:val="18"/>
              </w:rPr>
              <w:t>NOTES</w:t>
            </w:r>
          </w:p>
          <w:p w14:paraId="1F90940E" w14:textId="77777777" w:rsidR="002A21AE" w:rsidRDefault="002A21AE">
            <w:pPr>
              <w:pStyle w:val="NotesText"/>
            </w:pPr>
          </w:p>
          <w:p w14:paraId="088CA818" w14:textId="77777777" w:rsidR="002A21AE" w:rsidRDefault="002A21AE">
            <w:pPr>
              <w:pStyle w:val="NotesText"/>
            </w:pPr>
            <w:r>
              <w:rPr>
                <w:rFonts w:cs="Arial"/>
                <w:vanish/>
              </w:rPr>
              <w:t xml:space="preserve">BR_2.44 </w:t>
            </w:r>
            <w:r>
              <w:t xml:space="preserve">VBECS warns that it doesn’t save partially completed unit ABO/Rh confirmation worksheets. </w:t>
            </w:r>
          </w:p>
          <w:p w14:paraId="17194D61" w14:textId="77777777" w:rsidR="002A21AE" w:rsidRDefault="002A21AE">
            <w:pPr>
              <w:pStyle w:val="NotesText"/>
            </w:pPr>
          </w:p>
          <w:p w14:paraId="40BA3F9B" w14:textId="4792E62E" w:rsidR="002A21AE" w:rsidRDefault="002A21AE">
            <w:pPr>
              <w:pStyle w:val="NotesText"/>
            </w:pPr>
            <w:r>
              <w:rPr>
                <w:rFonts w:cs="Arial"/>
                <w:vanish/>
              </w:rPr>
              <w:t xml:space="preserve">BR_2.21 </w:t>
            </w:r>
            <w:r w:rsidR="009965B7">
              <w:rPr>
                <w:rFonts w:ascii="Webdings" w:hAnsi="Webdings"/>
                <w:sz w:val="40"/>
                <w:szCs w:val="40"/>
              </w:rPr>
              <w:t></w:t>
            </w:r>
            <w:r w:rsidR="009965B7" w:rsidRPr="00D62E87">
              <w:rPr>
                <w:rFonts w:ascii="Webdings" w:hAnsi="Webdings"/>
              </w:rPr>
              <w:t></w:t>
            </w:r>
            <w:r w:rsidR="009965B7">
              <w:t>W</w:t>
            </w:r>
            <w:r>
              <w:t xml:space="preserve">hen VBECS verifies that the ABO or Rh interpretation is “Inconclusive,” it assigns the unit a “Quarantine” indicator, emits an audible alert, and captures details for inclusion in an Exception Report (exception type: </w:t>
            </w:r>
            <w:r w:rsidR="00372501">
              <w:t xml:space="preserve">Unit </w:t>
            </w:r>
            <w:r>
              <w:t>ABO/Rh confirmation Inconclusiv</w:t>
            </w:r>
            <w:r w:rsidR="0038568C">
              <w:t>e, unit quarantined).</w:t>
            </w:r>
            <w:r w:rsidR="0002020B">
              <w:t xml:space="preserve"> </w:t>
            </w:r>
            <w:r w:rsidR="00C4296C">
              <w:t>An Exception Report entry is not created when a unit is r</w:t>
            </w:r>
            <w:r w:rsidR="00C4296C" w:rsidRPr="00C4296C">
              <w:t>esulted as weak D positive or weak D inconclusive and is properly quarantined.</w:t>
            </w:r>
            <w:r w:rsidR="0002020B">
              <w:t xml:space="preserve"> </w:t>
            </w:r>
            <w:r w:rsidR="0002020B" w:rsidRPr="0002020B">
              <w:rPr>
                <w:vanish/>
              </w:rPr>
              <w:t>Defect 214349</w:t>
            </w:r>
            <w:r w:rsidR="00C4296C" w:rsidRPr="0002020B">
              <w:rPr>
                <w:vanish/>
              </w:rPr>
              <w:t xml:space="preserve">  </w:t>
            </w:r>
          </w:p>
          <w:p w14:paraId="4426EE15" w14:textId="77777777" w:rsidR="002A21AE" w:rsidRDefault="002A21AE">
            <w:pPr>
              <w:pStyle w:val="NotesText"/>
            </w:pPr>
          </w:p>
          <w:p w14:paraId="24886E21" w14:textId="77777777" w:rsidR="002A21AE" w:rsidRDefault="002A21AE">
            <w:pPr>
              <w:pStyle w:val="NotesText"/>
            </w:pPr>
            <w:r>
              <w:rPr>
                <w:rFonts w:cs="Arial"/>
                <w:vanish/>
              </w:rPr>
              <w:t xml:space="preserve">BR_2.12 </w:t>
            </w:r>
            <w:r w:rsidR="00D91CEA">
              <w:t>Upon successful completion of ABO/Rh confirmation, the unit status is</w:t>
            </w:r>
            <w:r w:rsidR="001C17DF">
              <w:t xml:space="preserve"> updated</w:t>
            </w:r>
            <w:r w:rsidR="00D91CEA">
              <w:t>. Successful completion means that the ABO and Rh (if required) interpretation is consistent with recorded observed results and matches the ABO/Rh at unit login and any repeat ABO/Rh tests on the unit that are not invalidated.</w:t>
            </w:r>
          </w:p>
        </w:tc>
      </w:tr>
      <w:tr w:rsidR="00A751E4" w14:paraId="7C6D0B80" w14:textId="77777777">
        <w:tc>
          <w:tcPr>
            <w:tcW w:w="3240" w:type="dxa"/>
          </w:tcPr>
          <w:p w14:paraId="0945D6D0" w14:textId="77777777" w:rsidR="00A751E4" w:rsidRDefault="00A751E4">
            <w:pPr>
              <w:pStyle w:val="TableTextNumbers"/>
            </w:pPr>
            <w:r>
              <w:t xml:space="preserve">Click </w:t>
            </w:r>
            <w:r w:rsidRPr="008C3BED">
              <w:rPr>
                <w:b/>
              </w:rPr>
              <w:t>OK</w:t>
            </w:r>
            <w:r>
              <w:t xml:space="preserve"> to save the ABO/Rh confirmation testing.</w:t>
            </w:r>
          </w:p>
        </w:tc>
        <w:tc>
          <w:tcPr>
            <w:tcW w:w="6120" w:type="dxa"/>
          </w:tcPr>
          <w:p w14:paraId="574E9312" w14:textId="77777777" w:rsidR="00A751E4" w:rsidRDefault="00A751E4" w:rsidP="00A751E4">
            <w:pPr>
              <w:pStyle w:val="TableTextBullet"/>
              <w:rPr>
                <w:b/>
                <w:bCs/>
                <w:szCs w:val="18"/>
              </w:rPr>
            </w:pPr>
            <w:r>
              <w:t>Prompts the user to confirm that all results were reviewed and are acceptable.</w:t>
            </w:r>
          </w:p>
        </w:tc>
      </w:tr>
      <w:tr w:rsidR="002A21AE" w14:paraId="2D61A5DD" w14:textId="77777777">
        <w:tc>
          <w:tcPr>
            <w:tcW w:w="3240" w:type="dxa"/>
          </w:tcPr>
          <w:p w14:paraId="7E5F3844" w14:textId="77777777" w:rsidR="002A21AE" w:rsidRDefault="002A21AE">
            <w:pPr>
              <w:pStyle w:val="TableTextNumbers"/>
            </w:pPr>
            <w:r>
              <w:t xml:space="preserve">Click </w:t>
            </w:r>
            <w:r>
              <w:rPr>
                <w:b/>
              </w:rPr>
              <w:t>OK</w:t>
            </w:r>
            <w: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5FE71D4" w14:textId="77777777" w:rsidR="002A21AE" w:rsidRDefault="002A21AE">
            <w:pPr>
              <w:pStyle w:val="TableText"/>
              <w:keepNext/>
              <w:rPr>
                <w:b/>
                <w:bCs/>
                <w:szCs w:val="18"/>
              </w:rPr>
            </w:pPr>
          </w:p>
        </w:tc>
      </w:tr>
    </w:tbl>
    <w:p w14:paraId="1624CC94" w14:textId="77777777" w:rsidR="00C0155E" w:rsidRDefault="00C0155E">
      <w:pPr>
        <w:pStyle w:val="Heading3"/>
      </w:pPr>
      <w:bookmarkStart w:id="275" w:name="_Unit_Antigen_Typing"/>
      <w:bookmarkEnd w:id="270"/>
      <w:bookmarkEnd w:id="275"/>
    </w:p>
    <w:p w14:paraId="1CC91393" w14:textId="77777777" w:rsidR="002A21AE" w:rsidRDefault="00C0155E">
      <w:pPr>
        <w:pStyle w:val="Heading3"/>
      </w:pPr>
      <w:r>
        <w:br w:type="page"/>
      </w:r>
      <w:bookmarkStart w:id="276" w:name="_Toc149064123"/>
      <w:r w:rsidR="002A21AE">
        <w:t>Unit Antigen Typing</w:t>
      </w:r>
      <w:bookmarkEnd w:id="276"/>
      <w:r w:rsidR="002A21AE" w:rsidRPr="00796039">
        <w:rPr>
          <w:rFonts w:ascii="Arial Bold" w:hAnsi="Arial Bold"/>
          <w:vanish/>
        </w:rPr>
        <w:fldChar w:fldCharType="begin"/>
      </w:r>
      <w:r w:rsidR="002A21AE" w:rsidRPr="00796039">
        <w:rPr>
          <w:rFonts w:ascii="Arial Bold" w:hAnsi="Arial Bold"/>
          <w:vanish/>
        </w:rPr>
        <w:instrText xml:space="preserve"> XE </w:instrText>
      </w:r>
      <w:r w:rsidR="00FA7E65" w:rsidRPr="00796039">
        <w:rPr>
          <w:rFonts w:ascii="Arial Bold" w:hAnsi="Arial Bold"/>
          <w:vanish/>
        </w:rPr>
        <w:instrText>“</w:instrText>
      </w:r>
      <w:r w:rsidR="002A21AE" w:rsidRPr="00796039">
        <w:rPr>
          <w:rFonts w:ascii="Arial Bold" w:hAnsi="Arial Bold"/>
          <w:vanish/>
        </w:rPr>
        <w:instrText>Unit Antigen Typing</w:instrText>
      </w:r>
      <w:r w:rsidR="00FA7E65" w:rsidRPr="00796039">
        <w:rPr>
          <w:rFonts w:ascii="Arial Bold" w:hAnsi="Arial Bold"/>
          <w:vanish/>
        </w:rPr>
        <w:instrText>”</w:instrText>
      </w:r>
      <w:r w:rsidR="002A21AE" w:rsidRPr="00796039">
        <w:rPr>
          <w:rFonts w:ascii="Arial Bold" w:hAnsi="Arial Bold"/>
          <w:vanish/>
        </w:rPr>
        <w:instrText xml:space="preserve"> </w:instrText>
      </w:r>
      <w:r w:rsidR="002A21AE" w:rsidRPr="00796039">
        <w:rPr>
          <w:rFonts w:ascii="Arial Bold" w:hAnsi="Arial Bold"/>
          <w:vanish/>
        </w:rPr>
        <w:fldChar w:fldCharType="end"/>
      </w:r>
      <w:r w:rsidR="002A21AE" w:rsidRPr="00796039">
        <w:rPr>
          <w:rFonts w:ascii="Arial Bold" w:hAnsi="Arial Bold"/>
          <w:vanish/>
        </w:rPr>
        <w:t xml:space="preserve"> UC_41 </w:t>
      </w:r>
    </w:p>
    <w:p w14:paraId="69009EA7" w14:textId="77777777" w:rsidR="002A21AE" w:rsidRDefault="002A21AE" w:rsidP="00FA7E65">
      <w:pPr>
        <w:pStyle w:val="BodyText"/>
      </w:pPr>
      <w:bookmarkStart w:id="277" w:name="_Toc78171570"/>
      <w:r>
        <w:t>The user performs antigen typing for one or more of the antigens in a blood unit and records the results in a worklist.</w:t>
      </w:r>
    </w:p>
    <w:p w14:paraId="57D36BF8" w14:textId="77777777" w:rsidR="002A21AE" w:rsidRDefault="002A21AE">
      <w:pPr>
        <w:pStyle w:val="Heading4"/>
      </w:pPr>
      <w:r>
        <w:t>Assumptions</w:t>
      </w:r>
    </w:p>
    <w:p w14:paraId="64E1FA3C" w14:textId="77777777" w:rsidR="002A21AE" w:rsidRDefault="002A21AE">
      <w:pPr>
        <w:pStyle w:val="ListBullet"/>
      </w:pPr>
      <w:r>
        <w:rPr>
          <w:rFonts w:ascii="Arial" w:hAnsi="Arial" w:cs="Arial"/>
          <w:vanish/>
          <w:spacing w:val="0"/>
          <w:sz w:val="18"/>
        </w:rPr>
        <w:t xml:space="preserve">BR_2.43 </w:t>
      </w:r>
      <w:r w:rsidR="00B540C0">
        <w:t>The division is “full service”.</w:t>
      </w:r>
    </w:p>
    <w:p w14:paraId="4C49B446" w14:textId="77777777" w:rsidR="002A21AE" w:rsidRDefault="00A8101B">
      <w:pPr>
        <w:pStyle w:val="ListBullet"/>
      </w:pPr>
      <w:r>
        <w:t>The units</w:t>
      </w:r>
      <w:r w:rsidR="002A21AE">
        <w:t xml:space="preserve"> and the user are in the same division.</w:t>
      </w:r>
    </w:p>
    <w:p w14:paraId="4295D186" w14:textId="77777777" w:rsidR="002A21AE" w:rsidRDefault="002A21AE">
      <w:pPr>
        <w:pStyle w:val="ListBullet"/>
      </w:pPr>
      <w:r>
        <w:t>Antiserum inventory is entered during Log In Reagents.</w:t>
      </w:r>
    </w:p>
    <w:p w14:paraId="0893D155" w14:textId="77777777" w:rsidR="002A21AE" w:rsidRDefault="002A21AE">
      <w:pPr>
        <w:pStyle w:val="ListBullet"/>
      </w:pPr>
      <w:r>
        <w:t>Workload codes are assigned through Workload Codes.</w:t>
      </w:r>
    </w:p>
    <w:p w14:paraId="29D26094" w14:textId="77777777" w:rsidR="002A21AE" w:rsidRDefault="002A21AE">
      <w:pPr>
        <w:pStyle w:val="Heading4"/>
      </w:pPr>
      <w:r>
        <w:t>Outcome</w:t>
      </w:r>
    </w:p>
    <w:p w14:paraId="06CFD82C" w14:textId="77777777" w:rsidR="002A21AE" w:rsidRDefault="002A21AE">
      <w:pPr>
        <w:pStyle w:val="ListBullet"/>
      </w:pPr>
      <w:r>
        <w:t>Antigen typing was applied in the unit record for informational purposes in other options.</w:t>
      </w:r>
    </w:p>
    <w:p w14:paraId="6EA4D19E" w14:textId="77777777" w:rsidR="002A21AE" w:rsidRDefault="002A21AE">
      <w:pPr>
        <w:pStyle w:val="ListBullet"/>
      </w:pPr>
      <w:r>
        <w:rPr>
          <w:rFonts w:ascii="Arial" w:hAnsi="Arial" w:cs="Arial"/>
          <w:vanish/>
          <w:spacing w:val="0"/>
          <w:sz w:val="18"/>
        </w:rPr>
        <w:t xml:space="preserve">BR_41.06 </w:t>
      </w:r>
      <w:r>
        <w:t>VBECS stores the lot number, vial identifier, manufacturer, and expiration date of the positive and negative control cells with the testing record.</w:t>
      </w:r>
    </w:p>
    <w:p w14:paraId="440A9F19" w14:textId="77777777" w:rsidR="002A21AE" w:rsidRDefault="002A21AE">
      <w:pPr>
        <w:pStyle w:val="Heading4"/>
      </w:pPr>
      <w:r>
        <w:t>Limitations and Restrictions</w:t>
      </w:r>
    </w:p>
    <w:p w14:paraId="66864FEE" w14:textId="77777777" w:rsidR="002A21AE" w:rsidRDefault="002A21AE">
      <w:pPr>
        <w:pStyle w:val="ListBullet"/>
      </w:pPr>
      <w:r>
        <w:t>Antigen ty</w:t>
      </w:r>
      <w:r w:rsidR="00C0155E">
        <w:t>ping applies only to red blood cell antigens</w:t>
      </w:r>
      <w:r>
        <w:t xml:space="preserve">. This option does not address platelet, </w:t>
      </w:r>
      <w:r w:rsidR="007A6452">
        <w:t>histocompatibility locus antigens (</w:t>
      </w:r>
      <w:r>
        <w:t>HLA</w:t>
      </w:r>
      <w:r w:rsidR="00FF15AD">
        <w:t>s</w:t>
      </w:r>
      <w:r w:rsidR="007A6452">
        <w:t>)</w:t>
      </w:r>
      <w:r>
        <w:t xml:space="preserve">, or </w:t>
      </w:r>
      <w:r w:rsidR="007A6452">
        <w:t>Immunoglobulin A (</w:t>
      </w:r>
      <w:r>
        <w:t>IgA</w:t>
      </w:r>
      <w:r w:rsidR="007A6452">
        <w:t>)</w:t>
      </w:r>
      <w:r>
        <w:t xml:space="preserve"> antigenicity.</w:t>
      </w:r>
    </w:p>
    <w:p w14:paraId="49B55319" w14:textId="77777777" w:rsidR="00391084" w:rsidRDefault="00391084">
      <w:pPr>
        <w:pStyle w:val="ListBullet"/>
      </w:pPr>
      <w:r>
        <w:t>Only blood units of the “WHOLE BLOOD” and “RED BLOOD CELLS” ICCBBA component classes can be selected for inclusion in the antigen type worklist.</w:t>
      </w:r>
    </w:p>
    <w:p w14:paraId="4C41C6AA" w14:textId="6D86D09D" w:rsidR="00C0155E" w:rsidRDefault="00C0155E">
      <w:pPr>
        <w:pStyle w:val="ListBullet"/>
      </w:pPr>
      <w:r>
        <w:t>Antigen typing is not required on products with = &gt; 2 mL of RBC contamination that are not Red Blood Cells or Whole Blood.</w:t>
      </w:r>
    </w:p>
    <w:p w14:paraId="126F46C5" w14:textId="77777777" w:rsidR="002A21AE" w:rsidRDefault="002A21AE">
      <w:pPr>
        <w:pStyle w:val="ListBullet"/>
      </w:pPr>
      <w:r>
        <w:t>VBECS does not check whether the lot and vial numbers selected for the positive control cells differ from those of the negative control cells.</w:t>
      </w:r>
    </w:p>
    <w:p w14:paraId="51FAB354" w14:textId="51C2C1CC" w:rsidR="00AC52D9" w:rsidRDefault="00FF15AD" w:rsidP="00383985">
      <w:pPr>
        <w:pStyle w:val="ListBullet"/>
      </w:pPr>
      <w:r>
        <w:t>D antigen typing must not be combined in batch testing of Rh positive units.</w:t>
      </w:r>
    </w:p>
    <w:p w14:paraId="37919144" w14:textId="73A002D2" w:rsidR="00C86AB4" w:rsidRDefault="002C4355" w:rsidP="00383985">
      <w:pPr>
        <w:pStyle w:val="ListBullet"/>
      </w:pPr>
      <w:r>
        <w:t xml:space="preserve">The sort order of the selected units may not be inherited by the testing grid. Organize physical test materials according to the order of units presented on the testing grid. </w:t>
      </w:r>
      <w:r w:rsidRPr="002C4355">
        <w:rPr>
          <w:vanish/>
        </w:rPr>
        <w:t>Defect 209578</w:t>
      </w:r>
    </w:p>
    <w:p w14:paraId="19BE8D76" w14:textId="169F154D" w:rsidR="004675C2" w:rsidRDefault="004675C2" w:rsidP="00383985">
      <w:pPr>
        <w:pStyle w:val="ListBullet"/>
        <w:numPr>
          <w:ilvl w:val="0"/>
          <w:numId w:val="0"/>
        </w:numPr>
        <w:ind w:left="648"/>
      </w:pPr>
    </w:p>
    <w:p w14:paraId="3E45A994" w14:textId="77777777" w:rsidR="002A21AE" w:rsidRDefault="002A21AE" w:rsidP="005B025F">
      <w:pPr>
        <w:pStyle w:val="Heading4"/>
      </w:pPr>
      <w:r>
        <w:t>Additional Information</w:t>
      </w:r>
    </w:p>
    <w:p w14:paraId="11877812" w14:textId="77777777" w:rsidR="00852AC1" w:rsidRPr="00852AC1" w:rsidRDefault="00852AC1" w:rsidP="009A6575">
      <w:pPr>
        <w:pStyle w:val="ListBullet"/>
      </w:pPr>
      <w:r w:rsidRPr="00852AC1">
        <w:rPr>
          <w:snapToGrid w:val="0"/>
          <w:vanish/>
        </w:rPr>
        <w:t>BR_41.32</w:t>
      </w:r>
      <w:r>
        <w:rPr>
          <w:snapToGrid w:val="0"/>
        </w:rPr>
        <w:t xml:space="preserve">This option is disabled for transfusion-only facilities. </w:t>
      </w:r>
    </w:p>
    <w:p w14:paraId="15161432" w14:textId="77777777" w:rsidR="009A6575" w:rsidRDefault="009A6575" w:rsidP="009A6575">
      <w:pPr>
        <w:pStyle w:val="ListBullet"/>
      </w:pPr>
      <w:r>
        <w:t>Clinical significance and availability of typing reagents are not implied when antigens are included in the list of antigen type tests.</w:t>
      </w:r>
    </w:p>
    <w:p w14:paraId="0B118AD9" w14:textId="77777777" w:rsidR="002A21AE" w:rsidRDefault="002A21AE">
      <w:pPr>
        <w:pStyle w:val="ListBullet"/>
      </w:pPr>
      <w:r>
        <w:t xml:space="preserve">A CPRS patient order is not required to perform antigen typing of units. </w:t>
      </w:r>
    </w:p>
    <w:p w14:paraId="3B0861A7" w14:textId="77777777" w:rsidR="002A21AE" w:rsidRDefault="002A21AE">
      <w:pPr>
        <w:pStyle w:val="ListBullet"/>
      </w:pPr>
      <w:r>
        <w:t>A user may query the database for the presence of antigen-typed units and display or print the query results</w:t>
      </w:r>
      <w:r w:rsidR="006D5D06">
        <w:t xml:space="preserve"> in Blood Availability.</w:t>
      </w:r>
    </w:p>
    <w:p w14:paraId="4B970DB2" w14:textId="77777777" w:rsidR="002A21AE" w:rsidRDefault="002A21AE">
      <w:pPr>
        <w:pStyle w:val="ListBullet"/>
      </w:pPr>
      <w:r>
        <w:t>A user may retrieve evidence of antigen typing for any date or date range. Regulatory agencies require documentation of the reagent name, lot number, reagent expiration date, and positive and negative control.</w:t>
      </w:r>
    </w:p>
    <w:p w14:paraId="7CF5512F" w14:textId="7CE89508" w:rsidR="00AC52D9" w:rsidRDefault="00AC52D9">
      <w:pPr>
        <w:pStyle w:val="ListBullet"/>
      </w:pPr>
      <w:r>
        <w:t>A user is required to complete antigen typing QC in order to save test results. If an antigen testing worklist is started but not saved and a second testing worklist is started for the same antigen</w:t>
      </w:r>
      <w:r w:rsidR="00FE130E">
        <w:t>,</w:t>
      </w:r>
      <w:r>
        <w:t xml:space="preserve"> the QC grid will display and require completion because the first worklist has not been saved.</w:t>
      </w:r>
      <w:r>
        <w:rPr>
          <w:vanish/>
        </w:rPr>
        <w:t xml:space="preserve"> Task 1307</w:t>
      </w:r>
    </w:p>
    <w:p w14:paraId="01AA52C4" w14:textId="2CE7F570" w:rsidR="00261D97" w:rsidRDefault="00261D97" w:rsidP="00383985">
      <w:pPr>
        <w:pStyle w:val="ListBullet"/>
      </w:pPr>
      <w:r w:rsidRPr="00261D97">
        <w:t>When invalidating results from Unit Antigen Typing</w:t>
      </w:r>
      <w:r w:rsidR="00383985">
        <w:t>,</w:t>
      </w:r>
      <w:r w:rsidRPr="00261D97">
        <w:t xml:space="preserve"> the Exception Report does not show all invalidated values.</w:t>
      </w:r>
      <w:r w:rsidR="00383985" w:rsidRPr="00383985">
        <w:t xml:space="preserve"> View the invalidated tests on the Testing Worklist Report and the Unit History Report.</w:t>
      </w:r>
      <w:r w:rsidR="005A75E0">
        <w:t xml:space="preserve"> </w:t>
      </w:r>
      <w:r w:rsidR="005A75E0" w:rsidRPr="005A75E0">
        <w:rPr>
          <w:vanish/>
        </w:rPr>
        <w:t>Defect 210521</w:t>
      </w:r>
    </w:p>
    <w:p w14:paraId="6A386B03" w14:textId="77777777" w:rsidR="002A21AE" w:rsidRDefault="002A21AE">
      <w:pPr>
        <w:pStyle w:val="Heading4"/>
      </w:pPr>
      <w:r>
        <w:t>User Roles with Access to This Option</w:t>
      </w:r>
    </w:p>
    <w:p w14:paraId="116E4482" w14:textId="77777777" w:rsidR="002A21AE" w:rsidRDefault="002B1D25">
      <w:pPr>
        <w:pStyle w:val="Roles"/>
        <w:rPr>
          <w:snapToGrid w:val="0"/>
        </w:rPr>
      </w:pPr>
      <w:r>
        <w:t>All users</w:t>
      </w:r>
    </w:p>
    <w:bookmarkEnd w:id="277"/>
    <w:p w14:paraId="4E46F0B7" w14:textId="77777777" w:rsidR="002A21AE" w:rsidRDefault="002A21AE">
      <w:pPr>
        <w:pStyle w:val="Heading4"/>
      </w:pPr>
      <w:r>
        <w:t xml:space="preserve">Unit Antigen Typing </w:t>
      </w:r>
    </w:p>
    <w:p w14:paraId="128D6CE2" w14:textId="77777777" w:rsidR="002A21AE" w:rsidRDefault="002A21AE" w:rsidP="00FA7E65">
      <w:pPr>
        <w:pStyle w:val="BodyText"/>
      </w:pPr>
      <w:r>
        <w:t>The user performs antigen typing for one or more of the antigens on blood units. VBECS creates a list of available antigen specificities, including weak D, that can be tested. For each antigen tested, the user must select a reagent from available inventory. VBECS will check to see if valid positive and negative controls were tested for the selected reagent on the calendar day of testing. When controls are not tested, VBECS adds tests for the positive and negative controls to the worksheet.</w:t>
      </w:r>
    </w:p>
    <w:p w14:paraId="5696C9C1" w14:textId="77777777" w:rsidR="002A21AE" w:rsidRDefault="002A21AE" w:rsidP="00FA7E65">
      <w:pPr>
        <w:pStyle w:val="BodyText"/>
      </w:pPr>
      <w:r>
        <w:t>Red cell units prepared for patient transfusion may need to be negative for this antibody specificity based on their setting in the antibody table defined in Antibodies.</w:t>
      </w:r>
    </w:p>
    <w:p w14:paraId="71C6DF08" w14:textId="77777777" w:rsidR="00970274" w:rsidRDefault="00057948" w:rsidP="00970274">
      <w:pPr>
        <w:pStyle w:val="Caution"/>
      </w:pPr>
      <w:r>
        <w:rPr>
          <w:noProof/>
        </w:rPr>
        <w:drawing>
          <wp:inline distT="0" distB="0" distL="0" distR="0" wp14:anchorId="55CC5395" wp14:editId="3DA84AF1">
            <wp:extent cx="267970" cy="221615"/>
            <wp:effectExtent l="0" t="0" r="0" b="6985"/>
            <wp:docPr id="170" name="Picture 170"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970274">
        <w:t xml:space="preserve"> Deletion of a partially completed antigen typing worklist invalidates any completed tests contained on the worklist regardless of the status of the unit, including transfused units.</w:t>
      </w:r>
    </w:p>
    <w:p w14:paraId="756721A6" w14:textId="77777777" w:rsidR="00970274" w:rsidRPr="00D73AB9" w:rsidRDefault="00970274" w:rsidP="00970274">
      <w:pPr>
        <w:pStyle w:val="Caution"/>
        <w:rPr>
          <w:spacing w:val="-5"/>
        </w:rPr>
      </w:pPr>
      <w:r>
        <w:t>It is the user’s responsibility to verify that the records are being invalidated appropriately.</w:t>
      </w:r>
    </w:p>
    <w:p w14:paraId="1082E54E" w14:textId="77777777" w:rsidR="00970274" w:rsidRDefault="00970274" w:rsidP="00FA7E65">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361E1E" w14:textId="77777777">
        <w:trPr>
          <w:tblHeader/>
        </w:trPr>
        <w:tc>
          <w:tcPr>
            <w:tcW w:w="3240" w:type="dxa"/>
            <w:shd w:val="pct30" w:color="auto" w:fill="FFFFFF"/>
            <w:vAlign w:val="bottom"/>
          </w:tcPr>
          <w:p w14:paraId="08A38887" w14:textId="77777777" w:rsidR="002A21AE" w:rsidRDefault="002A21AE">
            <w:pPr>
              <w:pStyle w:val="TableText"/>
              <w:rPr>
                <w:b/>
                <w:bCs/>
              </w:rPr>
            </w:pPr>
            <w:r>
              <w:rPr>
                <w:b/>
                <w:bCs/>
              </w:rPr>
              <w:t>User Action</w:t>
            </w:r>
          </w:p>
        </w:tc>
        <w:tc>
          <w:tcPr>
            <w:tcW w:w="6120" w:type="dxa"/>
            <w:shd w:val="pct30" w:color="auto" w:fill="FFFFFF"/>
            <w:vAlign w:val="bottom"/>
          </w:tcPr>
          <w:p w14:paraId="04B95673" w14:textId="77777777" w:rsidR="002A21AE" w:rsidRDefault="002A21AE">
            <w:pPr>
              <w:pStyle w:val="TableText"/>
              <w:rPr>
                <w:b/>
                <w:bCs/>
              </w:rPr>
            </w:pPr>
            <w:r>
              <w:rPr>
                <w:b/>
                <w:bCs/>
              </w:rPr>
              <w:t>VBECS</w:t>
            </w:r>
          </w:p>
        </w:tc>
      </w:tr>
      <w:tr w:rsidR="002A21AE" w14:paraId="3347A465" w14:textId="77777777">
        <w:tc>
          <w:tcPr>
            <w:tcW w:w="3240" w:type="dxa"/>
          </w:tcPr>
          <w:p w14:paraId="182E4269" w14:textId="77777777" w:rsidR="002A21AE" w:rsidRDefault="002A21AE">
            <w:pPr>
              <w:pStyle w:val="TableTextNumbers"/>
            </w:pPr>
            <w:r>
              <w:t xml:space="preserve">Select </w:t>
            </w:r>
            <w:r>
              <w:rPr>
                <w:b/>
              </w:rPr>
              <w:t>Blood Units</w:t>
            </w:r>
            <w:r>
              <w:t xml:space="preserve"> from the main menu. </w:t>
            </w:r>
          </w:p>
          <w:p w14:paraId="41B683FF" w14:textId="77777777" w:rsidR="002A21AE" w:rsidRDefault="002A21AE">
            <w:pPr>
              <w:pStyle w:val="TableTextNumbersContinued"/>
            </w:pPr>
          </w:p>
          <w:p w14:paraId="11F29CEA" w14:textId="77777777" w:rsidR="002A21AE" w:rsidRDefault="002A21AE">
            <w:pPr>
              <w:pStyle w:val="TableTextNumbersContinued"/>
            </w:pPr>
            <w:r>
              <w:t xml:space="preserve">Select </w:t>
            </w:r>
            <w:r>
              <w:rPr>
                <w:b/>
              </w:rPr>
              <w:t>Unit Antigen Typing</w:t>
            </w:r>
            <w:r>
              <w:t>.</w:t>
            </w:r>
          </w:p>
        </w:tc>
        <w:tc>
          <w:tcPr>
            <w:tcW w:w="6120" w:type="dxa"/>
          </w:tcPr>
          <w:p w14:paraId="237A773B" w14:textId="77777777" w:rsidR="002A21AE" w:rsidRDefault="002A21AE">
            <w:pPr>
              <w:pStyle w:val="TableTextBullet"/>
            </w:pPr>
            <w:r>
              <w:t>Displays options for processing blood units.</w:t>
            </w:r>
          </w:p>
          <w:p w14:paraId="2C3CCB15" w14:textId="77777777" w:rsidR="002A21AE" w:rsidRDefault="002A21AE">
            <w:pPr>
              <w:pStyle w:val="TableTextBullet"/>
            </w:pPr>
            <w:r>
              <w:t>Displays options for processing antisera.</w:t>
            </w:r>
          </w:p>
        </w:tc>
      </w:tr>
      <w:tr w:rsidR="002A21AE" w14:paraId="3A20B377" w14:textId="77777777">
        <w:tc>
          <w:tcPr>
            <w:tcW w:w="3240" w:type="dxa"/>
          </w:tcPr>
          <w:p w14:paraId="5E7A8045" w14:textId="77777777" w:rsidR="002A21AE" w:rsidRDefault="002A21AE">
            <w:pPr>
              <w:pStyle w:val="TableTextNumbers"/>
            </w:pPr>
            <w:r>
              <w:t xml:space="preserve">Click </w:t>
            </w:r>
            <w:r>
              <w:rPr>
                <w:b/>
              </w:rPr>
              <w:t>Create New Worklist</w:t>
            </w:r>
          </w:p>
          <w:p w14:paraId="1C97BF25" w14:textId="50E323DD" w:rsidR="002A21AE" w:rsidRDefault="00F465E9">
            <w:pPr>
              <w:pStyle w:val="TableTextNumbersContinued"/>
            </w:pPr>
            <w:r w:rsidRPr="00F465E9">
              <w:t>(</w:t>
            </w:r>
            <w:r w:rsidR="00EE455E">
              <w:t xml:space="preserve">Figure </w:t>
            </w:r>
            <w:r w:rsidR="00EE455E">
              <w:rPr>
                <w:noProof/>
              </w:rPr>
              <w:t>55</w:t>
            </w:r>
            <w:r>
              <w:t xml:space="preserve">, </w:t>
            </w:r>
            <w:r w:rsidR="00EE455E">
              <w:t xml:space="preserve">Figure </w:t>
            </w:r>
            <w:r w:rsidR="00EE455E">
              <w:rPr>
                <w:noProof/>
              </w:rPr>
              <w:t>56</w:t>
            </w:r>
            <w:r w:rsidRPr="00F465E9">
              <w:t>)</w:t>
            </w:r>
            <w:r>
              <w:t>.</w:t>
            </w:r>
          </w:p>
          <w:p w14:paraId="048CAD63" w14:textId="77777777" w:rsidR="00F465E9" w:rsidRDefault="00F465E9">
            <w:pPr>
              <w:pStyle w:val="TableTextNumbersContinued"/>
            </w:pPr>
          </w:p>
          <w:p w14:paraId="23E45242" w14:textId="3D549119" w:rsidR="002A21AE" w:rsidRDefault="002A21AE">
            <w:pPr>
              <w:pStyle w:val="TableTextNumbersContinued"/>
            </w:pPr>
            <w:r>
              <w:t>When partially completed worklists exist, click a check box to select an existing worklist and go to Step 5</w:t>
            </w:r>
            <w:r w:rsidR="00F465E9">
              <w:t xml:space="preserve"> (</w:t>
            </w:r>
            <w:r w:rsidR="00EE455E">
              <w:t xml:space="preserve">Figure </w:t>
            </w:r>
            <w:r w:rsidR="00EE455E">
              <w:rPr>
                <w:noProof/>
              </w:rPr>
              <w:t>57</w:t>
            </w:r>
            <w:r w:rsidR="00F465E9">
              <w:t>)</w:t>
            </w:r>
            <w:r>
              <w:t xml:space="preserve">. </w:t>
            </w:r>
          </w:p>
          <w:p w14:paraId="093476A9" w14:textId="77777777" w:rsidR="002A21AE" w:rsidRDefault="002A21AE">
            <w:pPr>
              <w:pStyle w:val="TableTextNumbersContinued"/>
            </w:pPr>
          </w:p>
          <w:p w14:paraId="3CB8EC37" w14:textId="77777777" w:rsidR="002A21AE" w:rsidRDefault="002A21AE">
            <w:pPr>
              <w:pStyle w:val="TableTextNumbersContinued"/>
            </w:pPr>
            <w:r>
              <w:t xml:space="preserve">Click </w:t>
            </w:r>
            <w:r>
              <w:rPr>
                <w:b/>
              </w:rPr>
              <w:t>Delete</w:t>
            </w:r>
            <w:r>
              <w:t xml:space="preserve"> to delete the worklist from the list or </w:t>
            </w:r>
            <w:r>
              <w:rPr>
                <w:b/>
              </w:rPr>
              <w:t>OK</w:t>
            </w:r>
            <w:r>
              <w:t xml:space="preserve"> to continue.</w:t>
            </w:r>
          </w:p>
          <w:p w14:paraId="1D4AC403" w14:textId="77777777" w:rsidR="002A21AE" w:rsidRDefault="002A21AE">
            <w:pPr>
              <w:pStyle w:val="TableTextNumbersContinued"/>
              <w:rPr>
                <w:b/>
                <w:bCs/>
              </w:rPr>
            </w:pPr>
          </w:p>
          <w:p w14:paraId="584E6C3F" w14:textId="77777777" w:rsidR="002A21AE" w:rsidRDefault="002A21AE"/>
        </w:tc>
        <w:tc>
          <w:tcPr>
            <w:tcW w:w="6120" w:type="dxa"/>
          </w:tcPr>
          <w:p w14:paraId="539B9FD3" w14:textId="77777777" w:rsidR="002A21AE" w:rsidRDefault="002A21AE">
            <w:pPr>
              <w:pStyle w:val="TableTextBullet"/>
            </w:pPr>
            <w:r>
              <w:t>Accommodates selection of a partially completed testing worklist or creation of a new testing worklist.</w:t>
            </w:r>
          </w:p>
          <w:p w14:paraId="144F53EC" w14:textId="77777777" w:rsidR="002A21AE" w:rsidRDefault="002A21AE">
            <w:pPr>
              <w:pStyle w:val="TableTextBullet"/>
            </w:pPr>
            <w:r>
              <w:t>Displays an option to select or delete a partially completed worksheet.</w:t>
            </w:r>
          </w:p>
          <w:p w14:paraId="42533849" w14:textId="77777777" w:rsidR="002A21AE" w:rsidRDefault="002A21AE">
            <w:pPr>
              <w:pStyle w:val="TableTextBullet"/>
            </w:pPr>
            <w:r>
              <w:rPr>
                <w:rFonts w:cs="Arial"/>
                <w:vanish/>
              </w:rPr>
              <w:t xml:space="preserve">BR_41.15 </w:t>
            </w:r>
            <w:r>
              <w:t>When selecting a partially completed worklist, the user verifies the lot numbers, manufacturer name, and expiration date of the antiserum and control cells previously selected. These may not be edited. When a discrepancy is found, the user must delete the worklist and start over.</w:t>
            </w:r>
          </w:p>
          <w:p w14:paraId="0DA3212A" w14:textId="77777777" w:rsidR="002A21AE" w:rsidRDefault="002A21AE">
            <w:pPr>
              <w:pStyle w:val="TableText"/>
            </w:pPr>
          </w:p>
          <w:p w14:paraId="463BF72A" w14:textId="1A6DA3FD" w:rsidR="002A21AE" w:rsidRDefault="002A21AE">
            <w:pPr>
              <w:pStyle w:val="TableText"/>
              <w:rPr>
                <w:b/>
                <w:bCs/>
                <w:szCs w:val="18"/>
              </w:rPr>
            </w:pPr>
            <w:r>
              <w:rPr>
                <w:b/>
                <w:bCs/>
                <w:szCs w:val="18"/>
              </w:rPr>
              <w:t>NOTES</w:t>
            </w:r>
          </w:p>
          <w:p w14:paraId="0585D4DD" w14:textId="77777777" w:rsidR="002A21AE" w:rsidRDefault="002A21AE">
            <w:pPr>
              <w:pStyle w:val="NotesText"/>
            </w:pPr>
          </w:p>
          <w:p w14:paraId="7A43C426" w14:textId="77777777" w:rsidR="002A21AE" w:rsidRDefault="002A21AE">
            <w:pPr>
              <w:pStyle w:val="NotesText"/>
            </w:pPr>
            <w:r>
              <w:t>VBECS displays the date and time the testing was performed (default: current date and time). These are editable to allow for retrospective entry.</w:t>
            </w:r>
          </w:p>
          <w:p w14:paraId="14C8E9E8" w14:textId="77777777" w:rsidR="002A21AE" w:rsidRDefault="002A21AE">
            <w:pPr>
              <w:pStyle w:val="NotesText"/>
            </w:pPr>
          </w:p>
          <w:p w14:paraId="7AC225BF" w14:textId="77777777" w:rsidR="002A21AE" w:rsidRDefault="002A21AE">
            <w:pPr>
              <w:pStyle w:val="NotesText"/>
            </w:pPr>
            <w:r>
              <w:t>VBECS displays the testing technologist ID (default: current user). A pick list of valid division users is available for the user’s selection.</w:t>
            </w:r>
          </w:p>
          <w:p w14:paraId="052F00A2" w14:textId="77777777" w:rsidR="002A21AE" w:rsidRDefault="002A21AE">
            <w:pPr>
              <w:pStyle w:val="NotesText"/>
              <w:ind w:left="0"/>
            </w:pPr>
          </w:p>
          <w:p w14:paraId="7737FE38" w14:textId="77777777" w:rsidR="002A21AE" w:rsidRDefault="002A21AE">
            <w:pPr>
              <w:pStyle w:val="NotesText"/>
            </w:pPr>
            <w:r>
              <w:rPr>
                <w:rFonts w:cs="Arial"/>
                <w:vanish/>
              </w:rPr>
              <w:t xml:space="preserve">BR_56.14 </w:t>
            </w:r>
            <w:r>
              <w:t>When an automated instrument was used for testing, the user enters the name of the instrument and may indicate that successful quality control testing was done for the date.</w:t>
            </w:r>
          </w:p>
        </w:tc>
      </w:tr>
      <w:tr w:rsidR="002A21AE" w14:paraId="0B9F8EF5" w14:textId="77777777" w:rsidTr="006C058D">
        <w:trPr>
          <w:cantSplit/>
        </w:trPr>
        <w:tc>
          <w:tcPr>
            <w:tcW w:w="3240" w:type="dxa"/>
          </w:tcPr>
          <w:p w14:paraId="13919F4B" w14:textId="77777777" w:rsidR="002A21AE" w:rsidRDefault="002A21AE">
            <w:pPr>
              <w:pStyle w:val="TableTextNumbers"/>
            </w:pPr>
            <w:r>
              <w:t>To create a new testing worklist, select a date or accept the default.</w:t>
            </w:r>
          </w:p>
          <w:p w14:paraId="5498C986" w14:textId="77777777" w:rsidR="002A21AE" w:rsidRDefault="002A21AE">
            <w:pPr>
              <w:pStyle w:val="TableTextNumbersContinued"/>
            </w:pPr>
          </w:p>
          <w:p w14:paraId="04780C40" w14:textId="77777777" w:rsidR="002A21AE" w:rsidRDefault="002A21AE">
            <w:pPr>
              <w:pStyle w:val="TableTextNumbersContinued"/>
            </w:pPr>
            <w:r>
              <w:t>Select a “Tested By” name.</w:t>
            </w:r>
          </w:p>
          <w:p w14:paraId="0C7A9C50" w14:textId="77777777" w:rsidR="002A21AE" w:rsidRDefault="002A21AE">
            <w:pPr>
              <w:pStyle w:val="TableTextNumbersContinued"/>
            </w:pPr>
          </w:p>
          <w:p w14:paraId="56CB7138" w14:textId="77777777" w:rsidR="002A21AE" w:rsidRDefault="002A21AE">
            <w:pPr>
              <w:pStyle w:val="TableTextNumbersContinued"/>
            </w:pPr>
            <w:r>
              <w:t>Click a radio button to select Tube, Gel, or Solid Phase.</w:t>
            </w:r>
          </w:p>
          <w:p w14:paraId="55C3481C" w14:textId="77777777" w:rsidR="002A21AE" w:rsidRDefault="002A21AE">
            <w:pPr>
              <w:pStyle w:val="TableTextNumbersContinued"/>
            </w:pPr>
          </w:p>
          <w:p w14:paraId="3FB2410C" w14:textId="77777777" w:rsidR="002A21AE" w:rsidRDefault="002A21AE">
            <w:pPr>
              <w:pStyle w:val="TableTextNumbersContinued"/>
            </w:pPr>
            <w:r>
              <w:t xml:space="preserve">Click </w:t>
            </w:r>
            <w:r>
              <w:rPr>
                <w:b/>
              </w:rPr>
              <w:t>Using Automated Instrument</w:t>
            </w:r>
            <w:r>
              <w:t xml:space="preserve">, as appropriate. </w:t>
            </w:r>
          </w:p>
          <w:p w14:paraId="34765243" w14:textId="77777777" w:rsidR="002A21AE" w:rsidRDefault="002A21AE">
            <w:pPr>
              <w:pStyle w:val="TableTextNumbersContinued"/>
            </w:pPr>
          </w:p>
          <w:p w14:paraId="3A3E9335" w14:textId="77777777" w:rsidR="002A21AE" w:rsidRDefault="002A21AE">
            <w:pPr>
              <w:pStyle w:val="TableTextNumbersContinued"/>
            </w:pPr>
            <w:r>
              <w:t xml:space="preserve">Click </w:t>
            </w:r>
            <w:r>
              <w:rPr>
                <w:b/>
              </w:rPr>
              <w:t>OK</w:t>
            </w:r>
            <w:r>
              <w:t>.</w:t>
            </w:r>
          </w:p>
          <w:p w14:paraId="0DA21AF2" w14:textId="77777777" w:rsidR="002A21AE" w:rsidRDefault="002A21AE">
            <w:pPr>
              <w:pStyle w:val="TableTextNumbersContinued"/>
            </w:pPr>
          </w:p>
        </w:tc>
        <w:tc>
          <w:tcPr>
            <w:tcW w:w="6120" w:type="dxa"/>
          </w:tcPr>
          <w:p w14:paraId="1EF05C5B" w14:textId="77777777" w:rsidR="002A21AE" w:rsidRDefault="002A21AE">
            <w:pPr>
              <w:pStyle w:val="TableTextBullet"/>
            </w:pPr>
            <w:r>
              <w:t xml:space="preserve">Displays an option to select antiserum types. </w:t>
            </w:r>
          </w:p>
          <w:p w14:paraId="0613C982" w14:textId="77777777" w:rsidR="002A21AE" w:rsidRDefault="002A21AE">
            <w:pPr>
              <w:pStyle w:val="TableTextBullet"/>
            </w:pPr>
            <w:r>
              <w:t xml:space="preserve">Displays an option to select a lot number for each antiserum type selected. </w:t>
            </w:r>
          </w:p>
          <w:p w14:paraId="4026276A" w14:textId="77777777" w:rsidR="002A21AE" w:rsidRDefault="002A21AE">
            <w:pPr>
              <w:pStyle w:val="TableTextBullet"/>
            </w:pPr>
            <w:r>
              <w:t>Displays the lot number information.</w:t>
            </w:r>
          </w:p>
          <w:p w14:paraId="12C2E746" w14:textId="77777777" w:rsidR="002A21AE" w:rsidRDefault="002A21AE">
            <w:pPr>
              <w:pStyle w:val="TableTextBullet"/>
            </w:pPr>
            <w:r>
              <w:t>Prompts the user to select the correct antiserum entry for the specificity selected.</w:t>
            </w:r>
          </w:p>
          <w:p w14:paraId="5A2F3322" w14:textId="77777777" w:rsidR="002A21AE" w:rsidRDefault="002A21AE">
            <w:pPr>
              <w:pStyle w:val="TableText"/>
            </w:pPr>
          </w:p>
          <w:p w14:paraId="5FC97CDC" w14:textId="7B38E790" w:rsidR="002A21AE" w:rsidRDefault="002A21AE">
            <w:pPr>
              <w:pStyle w:val="TableText"/>
              <w:rPr>
                <w:b/>
                <w:bCs/>
                <w:szCs w:val="18"/>
              </w:rPr>
            </w:pPr>
            <w:r>
              <w:rPr>
                <w:b/>
                <w:bCs/>
                <w:szCs w:val="18"/>
              </w:rPr>
              <w:t>NOTES</w:t>
            </w:r>
          </w:p>
          <w:p w14:paraId="4FC7F823" w14:textId="77777777" w:rsidR="002A21AE" w:rsidRDefault="002A21AE">
            <w:pPr>
              <w:pStyle w:val="NotesText"/>
            </w:pPr>
          </w:p>
          <w:p w14:paraId="458725FD" w14:textId="0805B980" w:rsidR="002A21AE" w:rsidRDefault="002A21AE">
            <w:pPr>
              <w:pStyle w:val="NotesText"/>
            </w:pPr>
            <w:r>
              <w:rPr>
                <w:rFonts w:cs="Arial"/>
                <w:vanish/>
              </w:rPr>
              <w:t xml:space="preserve">BR_41.01 </w:t>
            </w:r>
            <w:r>
              <w:t xml:space="preserve">VBECS lists available antigen type tests from which the user may select and allows the user to enter the specificity to expedite the search. The list of antigen type tests is derived from the Corresponding Antigens field from </w:t>
            </w:r>
            <w:r w:rsidR="00EE455E">
              <w:t xml:space="preserve">Appendix </w:t>
            </w:r>
            <w:r w:rsidR="00EE455E">
              <w:rPr>
                <w:noProof/>
              </w:rPr>
              <w:t>B</w:t>
            </w:r>
            <w:r>
              <w:t>:</w:t>
            </w:r>
            <w:r w:rsidR="0059553A">
              <w:t xml:space="preserve"> </w:t>
            </w:r>
            <w:r w:rsidR="00EE455E">
              <w:t xml:space="preserve">Table </w:t>
            </w:r>
            <w:r w:rsidR="00EE455E">
              <w:rPr>
                <w:noProof/>
              </w:rPr>
              <w:t>14</w:t>
            </w:r>
            <w:r w:rsidR="00EE455E">
              <w:t xml:space="preserve">: </w:t>
            </w:r>
            <w:r w:rsidR="00EE455E">
              <w:rPr>
                <w:vanish/>
              </w:rPr>
              <w:t xml:space="preserve">TT_23.01A </w:t>
            </w:r>
            <w:r w:rsidR="00EE455E">
              <w:t>Antibody and Antigen Table: Irregular Antibodies</w:t>
            </w:r>
            <w:r>
              <w:t xml:space="preserve">. </w:t>
            </w:r>
          </w:p>
          <w:p w14:paraId="6CC93B7E" w14:textId="77777777" w:rsidR="002A21AE" w:rsidRDefault="002A21AE">
            <w:pPr>
              <w:pStyle w:val="NotesText"/>
            </w:pPr>
          </w:p>
          <w:p w14:paraId="7EFC2FC7" w14:textId="77777777" w:rsidR="002A21AE" w:rsidRDefault="002A21AE">
            <w:pPr>
              <w:pStyle w:val="NotesText"/>
            </w:pPr>
            <w:r>
              <w:rPr>
                <w:rFonts w:cs="Arial"/>
                <w:vanish/>
              </w:rPr>
              <w:t xml:space="preserve">BR_41.04 </w:t>
            </w:r>
            <w:r w:rsidR="009965B7" w:rsidRPr="00896F17">
              <w:rPr>
                <w:rStyle w:val="BullhornChar"/>
              </w:rPr>
              <w:t></w:t>
            </w:r>
            <w:r w:rsidR="009965B7" w:rsidRPr="00D62E87">
              <w:rPr>
                <w:rFonts w:ascii="Webdings" w:hAnsi="Webdings"/>
              </w:rPr>
              <w:t></w:t>
            </w:r>
            <w:r w:rsidR="009965B7" w:rsidRPr="00D62E87">
              <w:t>V</w:t>
            </w:r>
            <w:r>
              <w:t>BECS displays data fields for the user to select or enter the lot number, and displays the manufacturer and expiration date of each antiserum to be used in this transaction to allow the user to choose the correct antiserum. VBECS displays in-date antisera and allows the selection of outdated antisera, if needed, emits an audible alert, and requires an override and generation of an Exception Report (exception type: expired antisera used). A comment is required.</w:t>
            </w:r>
          </w:p>
          <w:p w14:paraId="2BC1F1C9" w14:textId="77777777" w:rsidR="002A21AE" w:rsidRDefault="002A21AE">
            <w:pPr>
              <w:pStyle w:val="NotesText"/>
            </w:pPr>
          </w:p>
          <w:p w14:paraId="4A6575AC" w14:textId="77777777" w:rsidR="002A21AE" w:rsidRDefault="002A21AE">
            <w:pPr>
              <w:pStyle w:val="NotesText"/>
            </w:pPr>
            <w:r>
              <w:rPr>
                <w:rFonts w:cs="Arial"/>
                <w:vanish/>
              </w:rPr>
              <w:t xml:space="preserve">BR_41.26 </w:t>
            </w:r>
            <w:r w:rsidR="00263B24" w:rsidRPr="00896F17">
              <w:rPr>
                <w:rStyle w:val="BullhornChar"/>
              </w:rPr>
              <w:t></w:t>
            </w:r>
            <w:r w:rsidR="00263B24">
              <w:rPr>
                <w:rFonts w:ascii="Webdings" w:hAnsi="Webdings"/>
              </w:rPr>
              <w:t></w:t>
            </w:r>
            <w:r w:rsidR="00263B24">
              <w:t>W</w:t>
            </w:r>
            <w:r>
              <w:t>hen a user attempts to change the phases of reactivity, VBECS emits an audible alert, warns that the user selected phases that were not used previously for this reagent, and asks whether the user wishes to continue.</w:t>
            </w:r>
          </w:p>
          <w:p w14:paraId="31603688" w14:textId="77777777" w:rsidR="002A21AE" w:rsidRDefault="002A21AE">
            <w:pPr>
              <w:pStyle w:val="NotesText"/>
            </w:pPr>
          </w:p>
          <w:p w14:paraId="5318BA39" w14:textId="77777777" w:rsidR="002A21AE" w:rsidRDefault="002A21AE">
            <w:pPr>
              <w:pStyle w:val="NotesText"/>
            </w:pPr>
            <w:r>
              <w:rPr>
                <w:b/>
              </w:rPr>
              <w:t>No</w:t>
            </w:r>
            <w:r>
              <w:t xml:space="preserve"> returns the user to the screen to select the correct testing phases. </w:t>
            </w:r>
            <w:r>
              <w:rPr>
                <w:b/>
              </w:rPr>
              <w:t>Yes</w:t>
            </w:r>
            <w:r>
              <w:t xml:space="preserve"> requires the user to enter a comment explaining why different testing phases are selected, and captures details for inclusion in an Exception Report (exception type: antigen testing phase change).</w:t>
            </w:r>
          </w:p>
          <w:p w14:paraId="76AD0D19" w14:textId="77777777" w:rsidR="002A21AE" w:rsidRDefault="002A21AE">
            <w:pPr>
              <w:pStyle w:val="NotesText"/>
            </w:pPr>
          </w:p>
          <w:p w14:paraId="67DC639A" w14:textId="77777777" w:rsidR="00722DBF" w:rsidRDefault="00722DBF" w:rsidP="00722DBF">
            <w:pPr>
              <w:pStyle w:val="NotesText"/>
            </w:pPr>
            <w:r>
              <w:rPr>
                <w:snapToGrid w:val="0"/>
                <w:vanish/>
              </w:rPr>
              <w:t xml:space="preserve">BR_41.30 </w:t>
            </w:r>
            <w:r>
              <w:t>When a user selects a reagent rack for which quality control (QC) testing was never performed in Enter Daily QC Results, VBECS displays a warning message, clears the selection, and allows the user to select a different rack.</w:t>
            </w:r>
            <w:r w:rsidR="000371B2">
              <w:rPr>
                <w:vanish/>
              </w:rPr>
              <w:t xml:space="preserve"> DR 3945</w:t>
            </w:r>
          </w:p>
          <w:p w14:paraId="0CE5FDF7" w14:textId="77777777" w:rsidR="00722DBF" w:rsidRDefault="00722DBF">
            <w:pPr>
              <w:pStyle w:val="NotesText"/>
              <w:rPr>
                <w:rFonts w:cs="Arial"/>
                <w:vanish/>
              </w:rPr>
            </w:pPr>
          </w:p>
          <w:p w14:paraId="6E4C993C" w14:textId="77777777" w:rsidR="002A21AE" w:rsidRDefault="002A21AE">
            <w:pPr>
              <w:pStyle w:val="NotesText"/>
            </w:pPr>
            <w:r>
              <w:rPr>
                <w:rFonts w:cs="Arial"/>
                <w:vanish/>
              </w:rPr>
              <w:t xml:space="preserve">BR_41.27 </w:t>
            </w:r>
            <w:r>
              <w:t>When the user QC’d the antigen typing reagent lot number and performed patient antigen typing on the same date under different testing phases, VBECS enables the QC grid for the antisera in the phases the user selected.</w:t>
            </w:r>
          </w:p>
        </w:tc>
      </w:tr>
      <w:tr w:rsidR="002A21AE" w14:paraId="036D2862" w14:textId="77777777" w:rsidTr="006C058D">
        <w:trPr>
          <w:cantSplit/>
        </w:trPr>
        <w:tc>
          <w:tcPr>
            <w:tcW w:w="3240" w:type="dxa"/>
          </w:tcPr>
          <w:p w14:paraId="033BFFBC" w14:textId="77777777" w:rsidR="002A21AE" w:rsidRDefault="002A21AE">
            <w:pPr>
              <w:pStyle w:val="TableTextNumbers"/>
            </w:pPr>
            <w:r>
              <w:t xml:space="preserve">Define the antiserum used. </w:t>
            </w:r>
          </w:p>
          <w:p w14:paraId="2FCE81A6" w14:textId="77777777" w:rsidR="002A21AE" w:rsidRDefault="002A21AE">
            <w:pPr>
              <w:pStyle w:val="TableTextNumbersContinued"/>
            </w:pPr>
          </w:p>
          <w:p w14:paraId="2050998C" w14:textId="77777777" w:rsidR="002A21AE" w:rsidRDefault="002A21AE">
            <w:pPr>
              <w:pStyle w:val="TableTextNumbersContinued"/>
            </w:pPr>
            <w:r>
              <w:t>Enter a lot number for each antiserum specificity.</w:t>
            </w:r>
          </w:p>
          <w:p w14:paraId="4F1F4AFA" w14:textId="77777777" w:rsidR="002A21AE" w:rsidRDefault="002A21AE">
            <w:pPr>
              <w:pStyle w:val="TableTextNumbersContinued"/>
            </w:pPr>
          </w:p>
          <w:p w14:paraId="7E8C3EB8" w14:textId="77777777" w:rsidR="002A21AE" w:rsidRDefault="002A21AE">
            <w:pPr>
              <w:pStyle w:val="TableTextNumbersContinued"/>
            </w:pPr>
            <w:r>
              <w:t>Select the testing phase:</w:t>
            </w:r>
          </w:p>
          <w:p w14:paraId="654F1A3E" w14:textId="77777777" w:rsidR="002A21AE" w:rsidRDefault="002A21AE">
            <w:pPr>
              <w:pStyle w:val="TableTextNumbersBullet"/>
            </w:pPr>
            <w:r>
              <w:t>IS</w:t>
            </w:r>
          </w:p>
          <w:p w14:paraId="26AEB10A" w14:textId="77777777" w:rsidR="002A21AE" w:rsidRDefault="002A21AE">
            <w:pPr>
              <w:pStyle w:val="TableTextNumbersBullet"/>
            </w:pPr>
            <w:r>
              <w:t>IS/RT</w:t>
            </w:r>
          </w:p>
          <w:p w14:paraId="16CA916B" w14:textId="77777777" w:rsidR="002A21AE" w:rsidRDefault="002A21AE">
            <w:pPr>
              <w:pStyle w:val="TableTextNumbersBullet"/>
            </w:pPr>
            <w:r>
              <w:t>IS/37</w:t>
            </w:r>
          </w:p>
          <w:p w14:paraId="743985F7" w14:textId="77777777" w:rsidR="002A21AE" w:rsidRDefault="002A21AE">
            <w:pPr>
              <w:pStyle w:val="TableTextNumbersBullet"/>
            </w:pPr>
            <w:r>
              <w:t>AHG/CC.</w:t>
            </w:r>
            <w:r>
              <w:br/>
            </w:r>
          </w:p>
          <w:p w14:paraId="5DD55B9A" w14:textId="77777777" w:rsidR="002A21AE" w:rsidRDefault="002A21AE">
            <w:pPr>
              <w:pStyle w:val="TableTextNumbersContinued"/>
            </w:pPr>
            <w:r>
              <w:t>Select the rack, if applicable.</w:t>
            </w:r>
            <w:r>
              <w:br/>
            </w:r>
          </w:p>
          <w:p w14:paraId="5D27FAFC" w14:textId="77777777" w:rsidR="002A21AE" w:rsidRDefault="002A21AE">
            <w:pPr>
              <w:pStyle w:val="TableTextNumbersContinued"/>
            </w:pPr>
            <w:r>
              <w:t xml:space="preserve">Select </w:t>
            </w:r>
            <w:r>
              <w:rPr>
                <w:b/>
              </w:rPr>
              <w:t>Add</w:t>
            </w:r>
            <w:r>
              <w:t xml:space="preserve">. </w:t>
            </w:r>
          </w:p>
          <w:p w14:paraId="61D47FCB" w14:textId="77777777" w:rsidR="002A21AE" w:rsidRDefault="002A21AE">
            <w:pPr>
              <w:pStyle w:val="TableTextNumbersContinued"/>
            </w:pPr>
          </w:p>
          <w:p w14:paraId="30377E51" w14:textId="77777777" w:rsidR="002A21AE" w:rsidRDefault="002A21AE">
            <w:pPr>
              <w:pStyle w:val="TableTextNumbersContinued"/>
            </w:pPr>
            <w:r>
              <w:t>Select additional antisera, if desired.</w:t>
            </w:r>
          </w:p>
          <w:p w14:paraId="5BF5AEA8" w14:textId="77777777" w:rsidR="002A21AE" w:rsidRDefault="002A21AE">
            <w:pPr>
              <w:pStyle w:val="TableTextNumbersContinued"/>
            </w:pPr>
          </w:p>
          <w:p w14:paraId="7B3A5CF0" w14:textId="77777777" w:rsidR="002A21AE" w:rsidRDefault="002A21AE">
            <w:pPr>
              <w:pStyle w:val="TableTextNumbersContinued"/>
            </w:pPr>
            <w:r>
              <w:t>Respond to warnings and enter comments, when indicated.</w:t>
            </w:r>
            <w:r>
              <w:br/>
            </w:r>
          </w:p>
          <w:p w14:paraId="090C5156" w14:textId="2FD827E1" w:rsidR="002A21AE" w:rsidRDefault="002A21AE" w:rsidP="0027394C">
            <w:pPr>
              <w:pStyle w:val="TableTextNumbersContinued"/>
              <w:rPr>
                <w:b/>
                <w:bCs/>
              </w:rPr>
            </w:pPr>
            <w:r>
              <w:t xml:space="preserve">Select </w:t>
            </w:r>
            <w:r>
              <w:rPr>
                <w:b/>
              </w:rPr>
              <w:t>OK</w:t>
            </w:r>
            <w:r w:rsidR="00030E55" w:rsidRPr="00030E55">
              <w:t xml:space="preserve"> (</w:t>
            </w:r>
            <w:r w:rsidR="00EE455E">
              <w:t xml:space="preserve">Figure </w:t>
            </w:r>
            <w:r w:rsidR="00EE455E">
              <w:rPr>
                <w:noProof/>
              </w:rPr>
              <w:t>58</w:t>
            </w:r>
            <w:r w:rsidR="00030E55" w:rsidRPr="00030E55">
              <w:t>)</w:t>
            </w:r>
            <w:r>
              <w:t>.</w:t>
            </w:r>
          </w:p>
        </w:tc>
        <w:tc>
          <w:tcPr>
            <w:tcW w:w="6120" w:type="dxa"/>
          </w:tcPr>
          <w:p w14:paraId="38990451" w14:textId="77777777" w:rsidR="002A21AE" w:rsidRDefault="002A21AE">
            <w:pPr>
              <w:pStyle w:val="TableTextBullet"/>
            </w:pPr>
            <w:r>
              <w:t xml:space="preserve">Displays an option to select the testing phases for the antiserum specificity by lot number. </w:t>
            </w:r>
          </w:p>
          <w:p w14:paraId="61477A7B" w14:textId="77777777" w:rsidR="002A21AE" w:rsidRDefault="002A21AE">
            <w:pPr>
              <w:pStyle w:val="TableTextBullet"/>
            </w:pPr>
            <w:r>
              <w:t>Displays a testing grid disabling the phases not to be entered.</w:t>
            </w:r>
          </w:p>
          <w:p w14:paraId="0E329F79" w14:textId="77777777" w:rsidR="002A21AE" w:rsidRDefault="002A21AE">
            <w:pPr>
              <w:pStyle w:val="TableTextBullet"/>
            </w:pPr>
            <w:r>
              <w:t>Stores the antiserum information and checks whether the positive and negative controls need to be tested with this batch.</w:t>
            </w:r>
          </w:p>
          <w:p w14:paraId="471C8FD1" w14:textId="77777777" w:rsidR="002A21AE" w:rsidRDefault="002A21AE">
            <w:pPr>
              <w:pStyle w:val="TableTextBullet"/>
            </w:pPr>
            <w:r>
              <w:t>Prompts the user to enter the lot number and vial identifier for the positive and negative control used for each antiserum tested.</w:t>
            </w:r>
          </w:p>
          <w:p w14:paraId="2DC61ADF" w14:textId="77777777" w:rsidR="002A21AE" w:rsidRDefault="002A21AE">
            <w:pPr>
              <w:pStyle w:val="TableText"/>
            </w:pPr>
          </w:p>
          <w:p w14:paraId="24019D9A" w14:textId="51188A87" w:rsidR="002A21AE" w:rsidRDefault="002A21AE">
            <w:pPr>
              <w:pStyle w:val="TableText"/>
              <w:rPr>
                <w:b/>
                <w:bCs/>
                <w:szCs w:val="18"/>
              </w:rPr>
            </w:pPr>
            <w:r>
              <w:rPr>
                <w:b/>
                <w:bCs/>
                <w:szCs w:val="18"/>
              </w:rPr>
              <w:t>NOTES</w:t>
            </w:r>
          </w:p>
          <w:p w14:paraId="6D07E673" w14:textId="77777777" w:rsidR="002A21AE" w:rsidRDefault="002A21AE">
            <w:pPr>
              <w:pStyle w:val="NotesText"/>
            </w:pPr>
          </w:p>
          <w:p w14:paraId="6320AAE2" w14:textId="77777777" w:rsidR="002A21AE" w:rsidRDefault="002A21AE">
            <w:pPr>
              <w:pStyle w:val="NotesText"/>
            </w:pPr>
            <w:r>
              <w:rPr>
                <w:rFonts w:cs="Arial"/>
                <w:vanish/>
              </w:rPr>
              <w:t xml:space="preserve">BR_28.23 </w:t>
            </w:r>
            <w:r>
              <w:t>When VBECS displays lot numbers for selection, it checks the inventory system for the reagent name and lot numbers in a rack. The user cannot force the entry of a lot number that VBECS disallowed on the selection list. The user must choose a different reagent. The user may not select a reagent with an “unsatisfactory” value in the Inspection field or with a quantity of zero.</w:t>
            </w:r>
          </w:p>
          <w:p w14:paraId="77488986" w14:textId="77777777" w:rsidR="008C5A8F" w:rsidRDefault="008C5A8F">
            <w:pPr>
              <w:pStyle w:val="NotesText"/>
            </w:pPr>
          </w:p>
          <w:p w14:paraId="34D0C953" w14:textId="77777777" w:rsidR="008C5A8F" w:rsidRDefault="008C5A8F" w:rsidP="008C5A8F">
            <w:pPr>
              <w:pStyle w:val="NotesText"/>
            </w:pPr>
            <w:r>
              <w:rPr>
                <w:rFonts w:cs="Arial"/>
                <w:vanish/>
              </w:rPr>
              <w:t xml:space="preserve">BR_28.24 </w:t>
            </w:r>
            <w:r w:rsidRPr="00896F17">
              <w:rPr>
                <w:rStyle w:val="BullhornChar"/>
              </w:rPr>
              <w:t></w:t>
            </w:r>
            <w:r w:rsidRPr="00D62E87">
              <w:rPr>
                <w:rFonts w:ascii="Webdings" w:hAnsi="Webdings"/>
              </w:rPr>
              <w:t></w:t>
            </w:r>
            <w:r w:rsidRPr="00D62E87">
              <w:t>V</w:t>
            </w:r>
            <w:r>
              <w:t>BECS compares the expiration date of each reagent on the selected rack to the testing date, emits an audible alert, and warns when the reagent is expired.</w:t>
            </w:r>
          </w:p>
          <w:p w14:paraId="48C84181" w14:textId="77777777" w:rsidR="002A21AE" w:rsidRDefault="002A21AE">
            <w:pPr>
              <w:pStyle w:val="NotesText"/>
            </w:pPr>
          </w:p>
          <w:p w14:paraId="4585CF39" w14:textId="77777777" w:rsidR="002A21AE" w:rsidRDefault="002A21AE">
            <w:pPr>
              <w:pStyle w:val="NotesText"/>
            </w:pPr>
            <w:r>
              <w:rPr>
                <w:rFonts w:cs="Arial"/>
                <w:vanish/>
              </w:rPr>
              <w:t xml:space="preserve">BR_41.02 </w:t>
            </w:r>
            <w:r>
              <w:t xml:space="preserve">VBECS enables the rack identifier field when a user selects the weak D or AHG/CC phase and disables the field when a user selects other phases. </w:t>
            </w:r>
          </w:p>
          <w:p w14:paraId="396BA3FC" w14:textId="77777777" w:rsidR="002A21AE" w:rsidRDefault="002A21AE">
            <w:pPr>
              <w:pStyle w:val="NotesText"/>
            </w:pPr>
          </w:p>
          <w:p w14:paraId="717ED20F" w14:textId="77777777" w:rsidR="002A21AE" w:rsidRPr="00D452FC" w:rsidRDefault="002A21AE">
            <w:pPr>
              <w:pStyle w:val="NotesText"/>
              <w:rPr>
                <w:vanish/>
              </w:rPr>
            </w:pPr>
            <w:r>
              <w:rPr>
                <w:rFonts w:cs="Arial"/>
                <w:vanish/>
              </w:rPr>
              <w:t xml:space="preserve">BR_41.03 </w:t>
            </w:r>
            <w:r w:rsidR="004F2D49">
              <w:t>VBECS automatically adds the positive and negative control tests to the selected reagent type worklist if they have not been tested on that calendar date for the selected antisera lot number</w:t>
            </w:r>
            <w:r>
              <w:t>.</w:t>
            </w:r>
            <w:r w:rsidR="00D452FC">
              <w:t xml:space="preserve"> </w:t>
            </w:r>
            <w:r w:rsidR="00D452FC" w:rsidRPr="00D452FC">
              <w:rPr>
                <w:vanish/>
              </w:rPr>
              <w:t>DR 3717</w:t>
            </w:r>
          </w:p>
          <w:p w14:paraId="294D8FA6" w14:textId="77777777" w:rsidR="002A21AE" w:rsidRDefault="002A21AE">
            <w:pPr>
              <w:pStyle w:val="NotesText"/>
            </w:pPr>
          </w:p>
          <w:p w14:paraId="1F8C9312" w14:textId="77777777" w:rsidR="002A21AE" w:rsidRDefault="002A21AE">
            <w:pPr>
              <w:pStyle w:val="NotesText"/>
            </w:pPr>
            <w:r>
              <w:rPr>
                <w:rFonts w:cs="Arial"/>
                <w:vanish/>
              </w:rPr>
              <w:t xml:space="preserve">BR_41.25 </w:t>
            </w:r>
            <w:r>
              <w:t xml:space="preserve">Reagent lot numbers that are selectable for positive and negative control cells: </w:t>
            </w:r>
          </w:p>
          <w:p w14:paraId="6EF2E31E" w14:textId="77777777" w:rsidR="002A21AE" w:rsidRDefault="002A21AE">
            <w:pPr>
              <w:pStyle w:val="NotesTextBullet"/>
            </w:pPr>
            <w:r>
              <w:t>Reverse ABO Typing Cells (set)</w:t>
            </w:r>
          </w:p>
          <w:p w14:paraId="76FFDDF9" w14:textId="77777777" w:rsidR="002A21AE" w:rsidRDefault="002A21AE">
            <w:pPr>
              <w:pStyle w:val="NotesTextBullet"/>
            </w:pPr>
            <w:r>
              <w:t>A2 cell (vial)</w:t>
            </w:r>
          </w:p>
          <w:p w14:paraId="50F37ED6" w14:textId="77777777" w:rsidR="002A21AE" w:rsidRDefault="002A21AE">
            <w:pPr>
              <w:pStyle w:val="NotesTextBullet"/>
            </w:pPr>
            <w:r>
              <w:t>Screening Cells (set)</w:t>
            </w:r>
          </w:p>
          <w:p w14:paraId="2855A871" w14:textId="77777777" w:rsidR="002A21AE" w:rsidRDefault="002A21AE">
            <w:pPr>
              <w:pStyle w:val="NotesTextBullet"/>
            </w:pPr>
            <w:r>
              <w:t>Check Cells (vial)</w:t>
            </w:r>
          </w:p>
          <w:p w14:paraId="792BC293" w14:textId="77777777" w:rsidR="002A21AE" w:rsidRDefault="002A21AE">
            <w:pPr>
              <w:pStyle w:val="NotesTextBullet"/>
            </w:pPr>
            <w:r>
              <w:t>Panel (set)</w:t>
            </w:r>
          </w:p>
          <w:p w14:paraId="1ED48534" w14:textId="77777777" w:rsidR="002A21AE" w:rsidRDefault="002A21AE">
            <w:pPr>
              <w:pStyle w:val="NotesTextBullet"/>
            </w:pPr>
            <w:r>
              <w:t>Other (set)</w:t>
            </w:r>
          </w:p>
          <w:p w14:paraId="5A06E2D9" w14:textId="77777777" w:rsidR="00B062CD" w:rsidRDefault="00B062CD" w:rsidP="00B062CD">
            <w:pPr>
              <w:pStyle w:val="NotesText"/>
            </w:pPr>
          </w:p>
          <w:p w14:paraId="55397932" w14:textId="77777777" w:rsidR="00B062CD" w:rsidRDefault="00B062CD" w:rsidP="00B062CD">
            <w:pPr>
              <w:pStyle w:val="NotesText"/>
            </w:pPr>
            <w:r>
              <w:t>VBECS r</w:t>
            </w:r>
            <w:r w:rsidRPr="00AA089C">
              <w:t>equest</w:t>
            </w:r>
            <w:r>
              <w:t>s</w:t>
            </w:r>
            <w:r w:rsidRPr="00AA089C">
              <w:t xml:space="preserve"> information about </w:t>
            </w:r>
            <w:r>
              <w:t>an antigen</w:t>
            </w:r>
            <w:r w:rsidRPr="00AA089C">
              <w:t xml:space="preserve"> lot number </w:t>
            </w:r>
            <w:r>
              <w:t xml:space="preserve">only </w:t>
            </w:r>
            <w:r w:rsidRPr="00AA089C">
              <w:t xml:space="preserve">the first time it is used </w:t>
            </w:r>
            <w:r>
              <w:t>on a specific</w:t>
            </w:r>
            <w:r w:rsidRPr="00AA089C">
              <w:t xml:space="preserve"> day. </w:t>
            </w:r>
          </w:p>
          <w:p w14:paraId="18EB4F41" w14:textId="77777777" w:rsidR="00B062CD" w:rsidRDefault="00B062CD" w:rsidP="00B062CD">
            <w:pPr>
              <w:pStyle w:val="NotesText"/>
            </w:pPr>
          </w:p>
          <w:p w14:paraId="164C2D29" w14:textId="77777777" w:rsidR="00B062CD" w:rsidRDefault="00B062CD" w:rsidP="00B062CD">
            <w:pPr>
              <w:pStyle w:val="NotesText"/>
            </w:pPr>
            <w:r w:rsidRPr="00AA089C">
              <w:t xml:space="preserve">If there are multiple test tabs, </w:t>
            </w:r>
            <w:r>
              <w:t>VBECS displays a</w:t>
            </w:r>
            <w:r w:rsidRPr="00AA089C">
              <w:t xml:space="preserve"> </w:t>
            </w:r>
            <w:r>
              <w:t>message</w:t>
            </w:r>
            <w:r w:rsidRPr="00AA089C">
              <w:t xml:space="preserve"> </w:t>
            </w:r>
            <w:r>
              <w:t xml:space="preserve">that </w:t>
            </w:r>
            <w:r w:rsidRPr="00AA089C">
              <w:t xml:space="preserve">may not </w:t>
            </w:r>
            <w:r>
              <w:t>correspond to</w:t>
            </w:r>
            <w:r w:rsidRPr="00AA089C">
              <w:t xml:space="preserve"> the</w:t>
            </w:r>
            <w:r>
              <w:t xml:space="preserve"> selected</w:t>
            </w:r>
            <w:r w:rsidRPr="00AA089C">
              <w:t xml:space="preserve"> tab, but will </w:t>
            </w:r>
            <w:r>
              <w:t xml:space="preserve">correspond to </w:t>
            </w:r>
            <w:r w:rsidRPr="00AA089C">
              <w:t xml:space="preserve">information </w:t>
            </w:r>
            <w:r>
              <w:t xml:space="preserve">required by </w:t>
            </w:r>
            <w:r w:rsidRPr="00AA089C">
              <w:t>one of the requested tests.</w:t>
            </w:r>
          </w:p>
        </w:tc>
      </w:tr>
      <w:tr w:rsidR="002A21AE" w14:paraId="5EEE1B3C" w14:textId="77777777">
        <w:tc>
          <w:tcPr>
            <w:tcW w:w="3240" w:type="dxa"/>
          </w:tcPr>
          <w:p w14:paraId="0DB2EAB5" w14:textId="77777777" w:rsidR="002A21AE" w:rsidRDefault="002A21AE">
            <w:pPr>
              <w:pStyle w:val="TableTextNumbers"/>
            </w:pPr>
            <w:r>
              <w:t xml:space="preserve">Select one or more blood units to add to the worklist. </w:t>
            </w:r>
          </w:p>
          <w:p w14:paraId="23E2D096" w14:textId="77777777" w:rsidR="002A21AE" w:rsidRDefault="002A21AE">
            <w:pPr>
              <w:pStyle w:val="TableTextNumbersContinued"/>
            </w:pPr>
          </w:p>
          <w:p w14:paraId="4F68D21F" w14:textId="77777777" w:rsidR="002A21AE" w:rsidRDefault="002A21AE">
            <w:pPr>
              <w:pStyle w:val="TableTextNumbersContinued"/>
            </w:pPr>
            <w:r>
              <w:t xml:space="preserve">Enter the unit ID and the product code from the inventory, or click the </w:t>
            </w:r>
            <w:r w:rsidR="00A6373D">
              <w:rPr>
                <w:b/>
              </w:rPr>
              <w:t>find</w:t>
            </w:r>
            <w:r>
              <w:rPr>
                <w:b/>
              </w:rPr>
              <w:t xml:space="preserve"> </w:t>
            </w:r>
            <w:r w:rsidRPr="00D1100E">
              <w:t>button</w:t>
            </w:r>
            <w:r>
              <w:t xml:space="preserve"> to search for a blood unit and select from the list of available units.</w:t>
            </w:r>
          </w:p>
          <w:p w14:paraId="0351E1FB" w14:textId="77777777" w:rsidR="002A21AE" w:rsidRDefault="002A21AE">
            <w:pPr>
              <w:pStyle w:val="TableTextNumbersContinued"/>
            </w:pPr>
          </w:p>
          <w:p w14:paraId="7757112E" w14:textId="77777777" w:rsidR="002A21AE" w:rsidRDefault="002A21AE" w:rsidP="001E4417">
            <w:pPr>
              <w:pStyle w:val="TableTextNumbersContinued"/>
            </w:pPr>
            <w:r>
              <w:t xml:space="preserve">Click </w:t>
            </w:r>
            <w:r>
              <w:rPr>
                <w:b/>
              </w:rPr>
              <w:t>OK</w:t>
            </w:r>
            <w:r>
              <w:t xml:space="preserve"> when all units are selected.</w:t>
            </w:r>
          </w:p>
        </w:tc>
        <w:tc>
          <w:tcPr>
            <w:tcW w:w="6120" w:type="dxa"/>
          </w:tcPr>
          <w:p w14:paraId="623AF7FD" w14:textId="77777777" w:rsidR="002A21AE" w:rsidRDefault="002A21AE">
            <w:pPr>
              <w:pStyle w:val="TableTextBullet"/>
            </w:pPr>
            <w:r>
              <w:t>Allows the user to scan or enter units to be included in the worklist or select them from a list.</w:t>
            </w:r>
          </w:p>
          <w:p w14:paraId="0B48936F" w14:textId="77777777" w:rsidR="001C07B3" w:rsidRPr="000B4589" w:rsidRDefault="002A21AE" w:rsidP="001C07B3">
            <w:pPr>
              <w:pStyle w:val="TableTextBullet"/>
              <w:rPr>
                <w:bCs/>
              </w:rPr>
            </w:pPr>
            <w:r>
              <w:t>Lists the selected units</w:t>
            </w:r>
            <w:r w:rsidRPr="001E4417">
              <w:rPr>
                <w:bCs/>
              </w:rPr>
              <w:t>.</w:t>
            </w:r>
          </w:p>
          <w:p w14:paraId="7A4CB9BA" w14:textId="77777777" w:rsidR="000B4589" w:rsidRDefault="000B4589">
            <w:pPr>
              <w:pStyle w:val="TableTextBullet"/>
              <w:numPr>
                <w:ilvl w:val="0"/>
                <w:numId w:val="0"/>
              </w:numPr>
              <w:rPr>
                <w:bCs/>
              </w:rPr>
            </w:pPr>
          </w:p>
          <w:p w14:paraId="38242D64" w14:textId="05F91D9E" w:rsidR="000B4589" w:rsidRPr="001C07B3" w:rsidRDefault="000B4589" w:rsidP="002B3455">
            <w:pPr>
              <w:pStyle w:val="NotesText"/>
              <w:rPr>
                <w:b/>
                <w:bCs/>
              </w:rPr>
            </w:pPr>
          </w:p>
        </w:tc>
      </w:tr>
      <w:tr w:rsidR="002A21AE" w14:paraId="27382E5E" w14:textId="77777777">
        <w:tc>
          <w:tcPr>
            <w:tcW w:w="3240" w:type="dxa"/>
          </w:tcPr>
          <w:p w14:paraId="6F97B8B1" w14:textId="77777777" w:rsidR="00B6515C" w:rsidRDefault="00B6515C" w:rsidP="00B6515C">
            <w:pPr>
              <w:pStyle w:val="TableTextNumbers"/>
            </w:pPr>
            <w:r>
              <w:t>Select the lot number for the reagent and the positive and negative control cells. Enter the vial identifiers, if required. Enter “0” when not using panel cells.</w:t>
            </w:r>
          </w:p>
          <w:p w14:paraId="2A954DB9" w14:textId="77777777" w:rsidR="00B6515C" w:rsidRDefault="00B6515C" w:rsidP="00B6515C">
            <w:pPr>
              <w:pStyle w:val="TableTextNumbersContinued"/>
            </w:pPr>
          </w:p>
          <w:p w14:paraId="3CD36994" w14:textId="77777777" w:rsidR="0048389A" w:rsidRDefault="00B6515C" w:rsidP="00B6515C">
            <w:pPr>
              <w:pStyle w:val="TableTextNumbersContinued"/>
            </w:pPr>
            <w:r>
              <w:t>Verify the reagent type and the positive and negative control cell lot numbers selected and vial identifiers entered, if required.</w:t>
            </w:r>
          </w:p>
        </w:tc>
        <w:tc>
          <w:tcPr>
            <w:tcW w:w="6120" w:type="dxa"/>
          </w:tcPr>
          <w:p w14:paraId="15863586" w14:textId="77777777" w:rsidR="002A21AE" w:rsidRDefault="002A21AE">
            <w:pPr>
              <w:pStyle w:val="TableTextBullet"/>
            </w:pPr>
            <w:r>
              <w:t xml:space="preserve">Displays the reagent type and lot numbers, including the vial identifier. </w:t>
            </w:r>
          </w:p>
          <w:p w14:paraId="58C01897" w14:textId="77777777" w:rsidR="002A21AE" w:rsidRDefault="002A21AE">
            <w:pPr>
              <w:pStyle w:val="TableText"/>
            </w:pPr>
          </w:p>
          <w:p w14:paraId="5C7C3A90" w14:textId="2225AD2F" w:rsidR="002A21AE" w:rsidRDefault="002A21AE">
            <w:pPr>
              <w:pStyle w:val="TableText"/>
              <w:rPr>
                <w:b/>
                <w:bCs/>
                <w:szCs w:val="18"/>
              </w:rPr>
            </w:pPr>
            <w:r>
              <w:rPr>
                <w:b/>
                <w:bCs/>
                <w:szCs w:val="18"/>
              </w:rPr>
              <w:t>NOTES</w:t>
            </w:r>
          </w:p>
          <w:p w14:paraId="24DF7AC2" w14:textId="77777777" w:rsidR="002A21AE" w:rsidRDefault="002A21AE">
            <w:pPr>
              <w:pStyle w:val="NotesText"/>
            </w:pPr>
          </w:p>
          <w:p w14:paraId="2C753327" w14:textId="77777777" w:rsidR="002A21AE" w:rsidRDefault="00B6515C">
            <w:pPr>
              <w:pStyle w:val="NotesText"/>
            </w:pPr>
            <w:r>
              <w:t>The vial identifier, comprising one or two digits, identifies the vial contained in a kit of reagent red blood cells. A vial contains antigen positive or antigen negative blood cells to be used in quality control of the antisera.</w:t>
            </w:r>
          </w:p>
        </w:tc>
      </w:tr>
      <w:tr w:rsidR="002A21AE" w14:paraId="125A891F" w14:textId="77777777">
        <w:tc>
          <w:tcPr>
            <w:tcW w:w="3240" w:type="dxa"/>
          </w:tcPr>
          <w:p w14:paraId="3157A5C4" w14:textId="77777777" w:rsidR="002A21AE" w:rsidRDefault="002A21AE">
            <w:pPr>
              <w:pStyle w:val="TableTextNumbers"/>
            </w:pPr>
            <w:r>
              <w:t xml:space="preserve">Respond to warnings and continue with antigen typing. </w:t>
            </w:r>
          </w:p>
          <w:p w14:paraId="0A7F0CF9" w14:textId="77777777" w:rsidR="002A21AE" w:rsidRDefault="002A21AE">
            <w:pPr>
              <w:pStyle w:val="TableTextNumbersContinued"/>
            </w:pPr>
          </w:p>
          <w:p w14:paraId="47216BD9" w14:textId="77777777" w:rsidR="002A21AE" w:rsidRDefault="002A21AE">
            <w:pPr>
              <w:pStyle w:val="TableTextNumbersContinued"/>
            </w:pPr>
            <w:r>
              <w:t>Review the lot number, manufacturer name, and expiration date for the antiserum and control cells. If they are not correct, start over.</w:t>
            </w:r>
          </w:p>
          <w:p w14:paraId="683330EE" w14:textId="77777777" w:rsidR="002A21AE" w:rsidRDefault="002A21AE">
            <w:pPr>
              <w:pStyle w:val="TableTextNumbersContinued"/>
            </w:pPr>
          </w:p>
          <w:p w14:paraId="0EE91725" w14:textId="77777777" w:rsidR="002A21AE" w:rsidRDefault="002A21AE">
            <w:pPr>
              <w:pStyle w:val="TableTextNumbersContinued"/>
            </w:pPr>
            <w:r>
              <w:t>Select a control cell or unit to begin entering serologic reactions and interpretations in the data entry grid.</w:t>
            </w:r>
          </w:p>
          <w:p w14:paraId="1F29A383" w14:textId="77777777" w:rsidR="002A21AE" w:rsidRDefault="002A21AE">
            <w:pPr>
              <w:pStyle w:val="TableTextNumbersContinued"/>
            </w:pPr>
          </w:p>
          <w:p w14:paraId="1B728D7E" w14:textId="77777777" w:rsidR="002A21AE" w:rsidRDefault="002A21AE">
            <w:pPr>
              <w:pStyle w:val="TableTextNumbersContinued"/>
              <w:rPr>
                <w:b/>
                <w:bCs/>
              </w:rPr>
            </w:pPr>
          </w:p>
          <w:p w14:paraId="14AAD765" w14:textId="77777777" w:rsidR="002A21AE" w:rsidRDefault="002A21AE">
            <w:pPr>
              <w:pStyle w:val="TableTextNumbersContinued"/>
            </w:pPr>
          </w:p>
        </w:tc>
        <w:tc>
          <w:tcPr>
            <w:tcW w:w="6120" w:type="dxa"/>
          </w:tcPr>
          <w:p w14:paraId="7915EF24" w14:textId="77777777" w:rsidR="002A21AE" w:rsidRDefault="002A21AE">
            <w:pPr>
              <w:pStyle w:val="TableTextBullet"/>
            </w:pPr>
            <w:r>
              <w:t>Displays each selected unit in a separate tab for each selected specificity with its own grids and quality control.</w:t>
            </w:r>
          </w:p>
          <w:p w14:paraId="598433C9" w14:textId="77777777" w:rsidR="002A21AE" w:rsidRDefault="002A21AE">
            <w:pPr>
              <w:pStyle w:val="TableTextBullet"/>
            </w:pPr>
            <w:r>
              <w:t xml:space="preserve">Displays a direct data entry </w:t>
            </w:r>
            <w:r w:rsidR="00917E9F">
              <w:t xml:space="preserve">(DDE) </w:t>
            </w:r>
            <w:r>
              <w:t>grid to enter serologic reaction results for antigen typing of units. This may already be filled with results from a previously saved partially completed worksheet.</w:t>
            </w:r>
          </w:p>
          <w:p w14:paraId="3FC37BAA" w14:textId="77777777" w:rsidR="002A21AE" w:rsidRDefault="002A21AE">
            <w:pPr>
              <w:pStyle w:val="TableTextBullet"/>
            </w:pPr>
            <w:r>
              <w:t>Allows a user to select a unit or control cell and enter a test result.</w:t>
            </w:r>
          </w:p>
          <w:p w14:paraId="496BF3D6" w14:textId="77777777" w:rsidR="002A21AE" w:rsidRDefault="002A21AE">
            <w:pPr>
              <w:pStyle w:val="TableTextBullet"/>
            </w:pPr>
            <w:r>
              <w:t>Allows only valid data entries in the grid reaction result and interpretation cells.</w:t>
            </w:r>
          </w:p>
          <w:p w14:paraId="4D7632BB" w14:textId="77777777" w:rsidR="002A21AE" w:rsidRDefault="002A21AE">
            <w:pPr>
              <w:pStyle w:val="TableTextBullet"/>
            </w:pPr>
            <w:r>
              <w:t>Restricts data entry to valid selections for testing results.</w:t>
            </w:r>
          </w:p>
          <w:p w14:paraId="4A850F8B" w14:textId="77777777" w:rsidR="002A21AE" w:rsidRDefault="002A21AE">
            <w:pPr>
              <w:pStyle w:val="TableTextBullet"/>
            </w:pPr>
            <w:r>
              <w:t>Keeps all testing results and entered interpretations on the screen until the user saves them.</w:t>
            </w:r>
          </w:p>
          <w:p w14:paraId="6DB218A4" w14:textId="77777777" w:rsidR="002A21AE" w:rsidRDefault="002A21AE">
            <w:pPr>
              <w:pStyle w:val="TableText"/>
            </w:pPr>
          </w:p>
          <w:p w14:paraId="646840EA" w14:textId="1A71BAC5" w:rsidR="002A21AE" w:rsidRDefault="002A21AE">
            <w:pPr>
              <w:pStyle w:val="TableText"/>
              <w:rPr>
                <w:b/>
                <w:bCs/>
                <w:szCs w:val="18"/>
              </w:rPr>
            </w:pPr>
            <w:r>
              <w:rPr>
                <w:b/>
                <w:bCs/>
                <w:szCs w:val="18"/>
              </w:rPr>
              <w:t>NOTES</w:t>
            </w:r>
          </w:p>
          <w:p w14:paraId="0E8F3C3C" w14:textId="77777777" w:rsidR="002A21AE" w:rsidRDefault="002A21AE">
            <w:pPr>
              <w:pStyle w:val="NotesText"/>
            </w:pPr>
          </w:p>
          <w:p w14:paraId="28067A81" w14:textId="77777777" w:rsidR="002A21AE" w:rsidRDefault="002A21AE">
            <w:pPr>
              <w:pStyle w:val="NotesText"/>
            </w:pPr>
            <w:r>
              <w:rPr>
                <w:rFonts w:cs="Arial"/>
                <w:vanish/>
              </w:rPr>
              <w:t xml:space="preserve">BR_41.07 </w:t>
            </w:r>
            <w:r>
              <w:t>VBECS displays the worklist for the grids by antiserum types.</w:t>
            </w:r>
          </w:p>
          <w:p w14:paraId="1B965CE4" w14:textId="77777777" w:rsidR="002A21AE" w:rsidRDefault="002A21AE">
            <w:pPr>
              <w:pStyle w:val="NotesText"/>
            </w:pPr>
          </w:p>
          <w:p w14:paraId="727648E1" w14:textId="77777777" w:rsidR="002A21AE" w:rsidRDefault="002A21AE">
            <w:pPr>
              <w:pStyle w:val="NotesText"/>
            </w:pPr>
            <w:r>
              <w:rPr>
                <w:rFonts w:cs="Arial"/>
                <w:vanish/>
              </w:rPr>
              <w:t xml:space="preserve">BR_41.09 </w:t>
            </w:r>
            <w:r>
              <w:t>Valid observed test results entered by a user:</w:t>
            </w:r>
          </w:p>
          <w:p w14:paraId="3ED6C677" w14:textId="77777777" w:rsidR="002A21AE" w:rsidRDefault="002A21AE">
            <w:pPr>
              <w:pStyle w:val="NotesTextBullet"/>
            </w:pPr>
            <w:r>
              <w:t>1 [1+ (positive)]</w:t>
            </w:r>
          </w:p>
          <w:p w14:paraId="50889E45" w14:textId="77777777" w:rsidR="002A21AE" w:rsidRDefault="002A21AE">
            <w:pPr>
              <w:pStyle w:val="NotesTextBullet"/>
            </w:pPr>
            <w:r>
              <w:t>2 [2+ (positive)]</w:t>
            </w:r>
          </w:p>
          <w:p w14:paraId="242C8B25" w14:textId="77777777" w:rsidR="002A21AE" w:rsidRDefault="002A21AE">
            <w:pPr>
              <w:pStyle w:val="NotesTextBullet"/>
            </w:pPr>
            <w:r>
              <w:t>3 [3+ (positive)]</w:t>
            </w:r>
          </w:p>
          <w:p w14:paraId="5BE2C842" w14:textId="77777777" w:rsidR="002A21AE" w:rsidRDefault="002A21AE">
            <w:pPr>
              <w:pStyle w:val="NotesTextBullet"/>
            </w:pPr>
            <w:r>
              <w:t>4 [4+ (positive)]</w:t>
            </w:r>
          </w:p>
          <w:p w14:paraId="26296033" w14:textId="77777777" w:rsidR="002A21AE" w:rsidRDefault="002A21AE">
            <w:pPr>
              <w:pStyle w:val="NotesTextBullet"/>
            </w:pPr>
            <w:r>
              <w:t>W [Weak (</w:t>
            </w:r>
            <w:r w:rsidR="006D384A">
              <w:t>positive</w:t>
            </w:r>
            <w:r>
              <w:t>)]</w:t>
            </w:r>
          </w:p>
          <w:p w14:paraId="1C5C3E4D" w14:textId="77777777" w:rsidR="002A21AE" w:rsidRDefault="002A21AE">
            <w:pPr>
              <w:pStyle w:val="NotesTextBullet"/>
            </w:pPr>
            <w:r>
              <w:t>F [Mixed Field (</w:t>
            </w:r>
            <w:r w:rsidR="006D384A">
              <w:t>positive</w:t>
            </w:r>
            <w:r>
              <w:t>)]</w:t>
            </w:r>
          </w:p>
          <w:p w14:paraId="19CEC52D" w14:textId="77777777" w:rsidR="002A21AE" w:rsidRDefault="002A21AE">
            <w:pPr>
              <w:pStyle w:val="NotesTextBullet"/>
            </w:pPr>
            <w:r>
              <w:t>M [Microscopic (</w:t>
            </w:r>
            <w:r w:rsidR="006D384A">
              <w:t>positive</w:t>
            </w:r>
            <w:r>
              <w:t>)]</w:t>
            </w:r>
          </w:p>
          <w:p w14:paraId="2C6F017A" w14:textId="77777777" w:rsidR="002A21AE" w:rsidRDefault="002A21AE">
            <w:pPr>
              <w:pStyle w:val="NotesTextBullet"/>
            </w:pPr>
            <w:r>
              <w:t>R [rouleaux (negative)]</w:t>
            </w:r>
          </w:p>
          <w:p w14:paraId="39986CA7" w14:textId="77777777" w:rsidR="002A21AE" w:rsidRDefault="002A21AE">
            <w:pPr>
              <w:pStyle w:val="NotesTextBullet"/>
            </w:pPr>
            <w:r>
              <w:t>0 (zero) [No Agglutination (negative)]</w:t>
            </w:r>
          </w:p>
          <w:p w14:paraId="278D1983" w14:textId="77777777" w:rsidR="002A21AE" w:rsidRDefault="002A21AE">
            <w:pPr>
              <w:pStyle w:val="NotesTextBullet"/>
            </w:pPr>
            <w:r>
              <w:t>X (Not Tested)</w:t>
            </w:r>
            <w:r w:rsidR="002F7FF1">
              <w:t xml:space="preserve"> (does not indicate a disabled cell)</w:t>
            </w:r>
          </w:p>
          <w:p w14:paraId="6B187E12" w14:textId="77777777" w:rsidR="002A21AE" w:rsidRDefault="002A21AE">
            <w:pPr>
              <w:pStyle w:val="NotesText"/>
            </w:pPr>
          </w:p>
          <w:p w14:paraId="25A95D52" w14:textId="77777777" w:rsidR="002A21AE" w:rsidRDefault="002A21AE">
            <w:pPr>
              <w:pStyle w:val="NotesText"/>
            </w:pPr>
            <w:r>
              <w:t>When the AHG phase is selected for testing, the AHG must be negative and the CC must be at least 1+ positive to consider the test negative for a unit or for the negative control cell.</w:t>
            </w:r>
          </w:p>
          <w:p w14:paraId="6D6DD21A" w14:textId="77777777" w:rsidR="002A21AE" w:rsidRDefault="002A21AE">
            <w:pPr>
              <w:pStyle w:val="NotesText"/>
            </w:pPr>
          </w:p>
          <w:p w14:paraId="29221BF1" w14:textId="77777777" w:rsidR="002A21AE" w:rsidRDefault="002A21AE">
            <w:pPr>
              <w:pStyle w:val="NotesText"/>
            </w:pPr>
            <w:r>
              <w:rPr>
                <w:rFonts w:cs="Arial"/>
                <w:vanish/>
              </w:rPr>
              <w:t xml:space="preserve">BR_41.17 </w:t>
            </w:r>
            <w:r>
              <w:t xml:space="preserve">The column heading of the data grid specifies the phases of reactivity that may be used in a test selected for the specificity. </w:t>
            </w:r>
          </w:p>
          <w:p w14:paraId="1C96C6FE" w14:textId="77777777" w:rsidR="002A21AE" w:rsidRDefault="002A21AE">
            <w:pPr>
              <w:pStyle w:val="NotesText"/>
            </w:pPr>
          </w:p>
          <w:p w14:paraId="5F5CBAF7" w14:textId="77777777" w:rsidR="002A21AE" w:rsidRDefault="002A21AE">
            <w:pPr>
              <w:pStyle w:val="NotesText"/>
            </w:pPr>
            <w:r>
              <w:rPr>
                <w:rFonts w:cs="Arial"/>
                <w:vanish/>
              </w:rPr>
              <w:t xml:space="preserve">BR_41.18 </w:t>
            </w:r>
            <w:r>
              <w:t>The row heading of the data grid specifies the unit ID being tested. These fields cannot be edited.</w:t>
            </w:r>
          </w:p>
          <w:p w14:paraId="037D7485" w14:textId="77777777" w:rsidR="002A21AE" w:rsidRDefault="002A21AE">
            <w:pPr>
              <w:pStyle w:val="NotesText"/>
            </w:pPr>
          </w:p>
          <w:p w14:paraId="7EEBBD2C" w14:textId="77777777" w:rsidR="002A21AE" w:rsidRDefault="002A21AE">
            <w:pPr>
              <w:pStyle w:val="NotesText"/>
            </w:pPr>
            <w:r>
              <w:rPr>
                <w:rFonts w:cs="Arial"/>
                <w:vanish/>
              </w:rPr>
              <w:t xml:space="preserve">BR_41.21 </w:t>
            </w:r>
            <w:r>
              <w:t>The rows for each antiserum type grid display the positive and negative control cells, then units, in the order in which a user added units to the worklist.</w:t>
            </w:r>
          </w:p>
          <w:p w14:paraId="34C53D4B" w14:textId="77777777" w:rsidR="002A21AE" w:rsidRDefault="002A21AE">
            <w:pPr>
              <w:pStyle w:val="NotesText"/>
            </w:pPr>
          </w:p>
          <w:p w14:paraId="0DCD26EA" w14:textId="77777777" w:rsidR="002A21AE" w:rsidRDefault="002A21AE">
            <w:pPr>
              <w:pStyle w:val="NotesText"/>
            </w:pPr>
            <w:r>
              <w:rPr>
                <w:rFonts w:cs="Arial"/>
                <w:vanish/>
              </w:rPr>
              <w:t xml:space="preserve">BR_41.14 </w:t>
            </w:r>
            <w:r>
              <w:t xml:space="preserve">A comment can be associated with any antigen test performed. A user may select canned comments required by an override from the drop-down list or select </w:t>
            </w:r>
            <w:r>
              <w:rPr>
                <w:b/>
              </w:rPr>
              <w:t>Other</w:t>
            </w:r>
            <w:r>
              <w:t xml:space="preserve"> to enter free-text comments.</w:t>
            </w:r>
          </w:p>
        </w:tc>
      </w:tr>
      <w:tr w:rsidR="002A21AE" w14:paraId="1571F2FC" w14:textId="77777777" w:rsidTr="001A459B">
        <w:trPr>
          <w:cantSplit/>
        </w:trPr>
        <w:tc>
          <w:tcPr>
            <w:tcW w:w="3240" w:type="dxa"/>
          </w:tcPr>
          <w:p w14:paraId="364B20E3" w14:textId="34C0BA3D" w:rsidR="002A21AE" w:rsidRDefault="002A21AE" w:rsidP="0027394C">
            <w:pPr>
              <w:pStyle w:val="TableTextNumbers"/>
            </w:pPr>
            <w:r>
              <w:t>Enter results for the control cells and for all selected units. Refer to the legend at the bottom of the screen</w:t>
            </w:r>
            <w:r w:rsidR="002A4159">
              <w:t xml:space="preserve"> (</w:t>
            </w:r>
            <w:r w:rsidR="00EE455E">
              <w:t xml:space="preserve">Figure </w:t>
            </w:r>
            <w:r w:rsidR="00EE455E">
              <w:rPr>
                <w:noProof/>
              </w:rPr>
              <w:t>59</w:t>
            </w:r>
            <w:r w:rsidR="002A4159">
              <w:t>)</w:t>
            </w:r>
            <w:r>
              <w:t>.</w:t>
            </w:r>
          </w:p>
        </w:tc>
        <w:tc>
          <w:tcPr>
            <w:tcW w:w="6120" w:type="dxa"/>
          </w:tcPr>
          <w:p w14:paraId="7B3967E6" w14:textId="77777777" w:rsidR="002A21AE" w:rsidRDefault="002A21AE">
            <w:pPr>
              <w:pStyle w:val="TableTextBullet"/>
            </w:pPr>
            <w:r>
              <w:t>Prompts the user to confirm that all results were reviewed and are acceptable.</w:t>
            </w:r>
          </w:p>
          <w:p w14:paraId="6453CEAD" w14:textId="77777777" w:rsidR="002A21AE" w:rsidRDefault="002A21AE">
            <w:pPr>
              <w:pStyle w:val="TableText"/>
            </w:pPr>
          </w:p>
          <w:p w14:paraId="7E2CA0E1" w14:textId="1816D11D" w:rsidR="002A21AE" w:rsidRDefault="002A21AE">
            <w:pPr>
              <w:pStyle w:val="TableText"/>
              <w:rPr>
                <w:b/>
                <w:bCs/>
                <w:szCs w:val="18"/>
              </w:rPr>
            </w:pPr>
            <w:r>
              <w:rPr>
                <w:b/>
                <w:bCs/>
                <w:szCs w:val="18"/>
              </w:rPr>
              <w:t>NOTES</w:t>
            </w:r>
          </w:p>
          <w:p w14:paraId="1124D65F" w14:textId="77777777" w:rsidR="002A21AE" w:rsidRDefault="002A21AE">
            <w:pPr>
              <w:pStyle w:val="NotesText"/>
            </w:pPr>
          </w:p>
          <w:p w14:paraId="4D40AD16" w14:textId="77777777" w:rsidR="002A21AE" w:rsidRDefault="002A21AE" w:rsidP="009256FE">
            <w:pPr>
              <w:pStyle w:val="NotesText"/>
            </w:pPr>
            <w:r>
              <w:t xml:space="preserve">The positive and/or negative control cell test results on the date of testing must be </w:t>
            </w:r>
            <w:r w:rsidR="009256FE">
              <w:t>a valid positive or negative.</w:t>
            </w:r>
          </w:p>
          <w:p w14:paraId="453D1622" w14:textId="77777777" w:rsidR="002A21AE" w:rsidRDefault="002A21AE">
            <w:pPr>
              <w:pStyle w:val="NotesText"/>
            </w:pPr>
          </w:p>
          <w:p w14:paraId="5386FAD4" w14:textId="77777777" w:rsidR="002A21AE" w:rsidRDefault="002A21AE">
            <w:pPr>
              <w:pStyle w:val="NotesText"/>
            </w:pPr>
            <w:r>
              <w:rPr>
                <w:rFonts w:cs="Arial"/>
                <w:vanish/>
              </w:rPr>
              <w:t xml:space="preserve">BR_41.22 </w:t>
            </w:r>
            <w:r>
              <w:t xml:space="preserve">When a weak D interpretation is positive </w:t>
            </w:r>
            <w:r w:rsidR="00C749CF">
              <w:t xml:space="preserve">or inconclusive </w:t>
            </w:r>
            <w:r>
              <w:t xml:space="preserve">and is verified for a tested blood unit that was labeled as (Rh) D negative, VBECS warns the user and adds the quarantine indicator to the unit. </w:t>
            </w:r>
          </w:p>
          <w:p w14:paraId="7C51871B" w14:textId="77777777" w:rsidR="002A21AE" w:rsidRDefault="002A21AE">
            <w:pPr>
              <w:pStyle w:val="NotesText"/>
            </w:pPr>
          </w:p>
          <w:p w14:paraId="5EB90CD2" w14:textId="77777777" w:rsidR="00A33DDA" w:rsidRDefault="002A21AE" w:rsidP="00A33DDA">
            <w:pPr>
              <w:pStyle w:val="NotesText"/>
              <w:rPr>
                <w:rFonts w:cs="Arial"/>
                <w:vanish/>
              </w:rPr>
            </w:pPr>
            <w:r>
              <w:rPr>
                <w:rFonts w:cs="Arial"/>
                <w:vanish/>
              </w:rPr>
              <w:t xml:space="preserve">BR_41.12 </w:t>
            </w:r>
            <w:r w:rsidR="00A33DDA">
              <w:t xml:space="preserve">VBECS compares the antigen typing interpretation a user enters to previously assigned antigen </w:t>
            </w:r>
            <w:proofErr w:type="spellStart"/>
            <w:r w:rsidR="00A33DDA">
              <w:t>typings</w:t>
            </w:r>
            <w:proofErr w:type="spellEnd"/>
            <w:r w:rsidR="00A33DDA">
              <w:t xml:space="preserve"> for the same antigen (as assigned during Incoming Shipment, Edit Unit Information, or previous testing). When the previous interpretation was not “inconclusive” and the current interpretation does not match the previously identified antigen type, VBECS warns the user and quarantines the unit.</w:t>
            </w:r>
          </w:p>
          <w:p w14:paraId="7C2DB16C" w14:textId="77777777" w:rsidR="00BC3648" w:rsidRDefault="00BC3648">
            <w:pPr>
              <w:pStyle w:val="NotesText"/>
            </w:pPr>
          </w:p>
          <w:p w14:paraId="7FFC73F7" w14:textId="77777777" w:rsidR="009230AA" w:rsidRDefault="009230AA" w:rsidP="00BC3648">
            <w:pPr>
              <w:pStyle w:val="NotesText"/>
              <w:rPr>
                <w:rFonts w:cs="Arial"/>
                <w:szCs w:val="18"/>
              </w:rPr>
            </w:pPr>
          </w:p>
          <w:p w14:paraId="12F9D520" w14:textId="77777777" w:rsidR="00BC3648" w:rsidRDefault="00BC3648" w:rsidP="00BC3648">
            <w:pPr>
              <w:pStyle w:val="NotesText"/>
            </w:pPr>
            <w:r w:rsidRPr="00BC3648">
              <w:rPr>
                <w:rFonts w:cs="Arial"/>
                <w:vanish/>
                <w:szCs w:val="18"/>
              </w:rPr>
              <w:t>BR_41.19</w:t>
            </w:r>
            <w:r>
              <w:t>System rules establish row validation for the interpretation vs. reaction results pattern [for all user-indicated phase(s) of reactivity] for blood unit and quality control tests.</w:t>
            </w:r>
          </w:p>
        </w:tc>
      </w:tr>
      <w:tr w:rsidR="002A21AE" w14:paraId="6507DF34" w14:textId="77777777">
        <w:tc>
          <w:tcPr>
            <w:tcW w:w="3240" w:type="dxa"/>
          </w:tcPr>
          <w:p w14:paraId="4F837687" w14:textId="07D43255" w:rsidR="002A21AE" w:rsidRDefault="002A21AE">
            <w:pPr>
              <w:pStyle w:val="TableTextNumbers"/>
            </w:pPr>
            <w:r>
              <w:t>Repeat Steps 4</w:t>
            </w:r>
            <w:r w:rsidR="004F5589">
              <w:t xml:space="preserve"> through </w:t>
            </w:r>
            <w:r>
              <w:t>8 for each antiserum type.</w:t>
            </w:r>
          </w:p>
        </w:tc>
        <w:tc>
          <w:tcPr>
            <w:tcW w:w="6120" w:type="dxa"/>
          </w:tcPr>
          <w:p w14:paraId="0166EFBD" w14:textId="77777777" w:rsidR="002A21AE" w:rsidRDefault="002A21AE">
            <w:pPr>
              <w:pStyle w:val="TableTextBullet"/>
            </w:pPr>
            <w:r>
              <w:t>Displays the option to save.</w:t>
            </w:r>
          </w:p>
        </w:tc>
      </w:tr>
      <w:tr w:rsidR="002A21AE" w14:paraId="541F9216" w14:textId="77777777">
        <w:tc>
          <w:tcPr>
            <w:tcW w:w="3240" w:type="dxa"/>
          </w:tcPr>
          <w:p w14:paraId="7A0ABAE9" w14:textId="77777777" w:rsidR="002A21AE" w:rsidRDefault="002A21AE">
            <w:pPr>
              <w:pStyle w:val="TableTextNumbers"/>
            </w:pPr>
            <w:r>
              <w:t>Respond to warnings and save.</w:t>
            </w:r>
          </w:p>
        </w:tc>
        <w:tc>
          <w:tcPr>
            <w:tcW w:w="6120" w:type="dxa"/>
          </w:tcPr>
          <w:p w14:paraId="08B16CF7" w14:textId="77777777" w:rsidR="002A21AE" w:rsidRDefault="00C96530">
            <w:pPr>
              <w:pStyle w:val="TableTextBullet"/>
            </w:pPr>
            <w:r>
              <w:t xml:space="preserve">Saves the completed QC results with </w:t>
            </w:r>
            <w:r w:rsidR="002A21AE">
              <w:t xml:space="preserve">partially or fully completed </w:t>
            </w:r>
            <w:r>
              <w:t xml:space="preserve">unit testing </w:t>
            </w:r>
            <w:r w:rsidR="002A21AE">
              <w:t xml:space="preserve">data. </w:t>
            </w:r>
          </w:p>
          <w:p w14:paraId="19ADFE00" w14:textId="77777777" w:rsidR="002A21AE" w:rsidRDefault="002A21AE">
            <w:pPr>
              <w:pStyle w:val="TableTextBullet"/>
            </w:pPr>
            <w:r>
              <w:t xml:space="preserve">Reconfirms that all appropriate test results were entered, repeats all data validation, and saves the information on the worksheet displayed. </w:t>
            </w:r>
          </w:p>
          <w:p w14:paraId="42F5F74E" w14:textId="77777777" w:rsidR="002A21AE" w:rsidRDefault="002A21AE">
            <w:pPr>
              <w:pStyle w:val="TableText"/>
            </w:pPr>
          </w:p>
          <w:p w14:paraId="711D32BD" w14:textId="3E610C31" w:rsidR="002A21AE" w:rsidRDefault="002A21AE">
            <w:pPr>
              <w:pStyle w:val="TableText"/>
              <w:rPr>
                <w:b/>
                <w:bCs/>
                <w:szCs w:val="18"/>
              </w:rPr>
            </w:pPr>
            <w:r>
              <w:rPr>
                <w:b/>
                <w:bCs/>
                <w:szCs w:val="18"/>
              </w:rPr>
              <w:t>NOTES</w:t>
            </w:r>
          </w:p>
          <w:p w14:paraId="083080D6" w14:textId="77777777" w:rsidR="002A21AE" w:rsidRDefault="002A21AE">
            <w:pPr>
              <w:pStyle w:val="NotesText"/>
            </w:pPr>
          </w:p>
          <w:p w14:paraId="47CB551A" w14:textId="77777777" w:rsidR="002A21AE" w:rsidRDefault="002A21AE">
            <w:pPr>
              <w:pStyle w:val="NotesText"/>
            </w:pPr>
            <w:r>
              <w:rPr>
                <w:rFonts w:cs="Arial"/>
                <w:vanish/>
              </w:rPr>
              <w:t xml:space="preserve">BR_41.16 </w:t>
            </w:r>
            <w:r>
              <w:t>VBECS saves the testing of one antiserum specificity at a time.</w:t>
            </w:r>
          </w:p>
          <w:p w14:paraId="5E8CAB99" w14:textId="77777777" w:rsidR="00C96530" w:rsidRDefault="00C96530">
            <w:pPr>
              <w:pStyle w:val="NotesText"/>
            </w:pPr>
          </w:p>
          <w:p w14:paraId="559FEEAA" w14:textId="77777777" w:rsidR="002A21AE" w:rsidRDefault="00C96530">
            <w:pPr>
              <w:pStyle w:val="NotesText"/>
            </w:pPr>
            <w:r>
              <w:rPr>
                <w:vanish/>
              </w:rPr>
              <w:t xml:space="preserve">BR_41.33 </w:t>
            </w:r>
            <w:r w:rsidRPr="00C96530">
              <w:t>T</w:t>
            </w:r>
            <w:r w:rsidRPr="00176F35">
              <w:t xml:space="preserve">he Positive and Negative control cells must be complete and valid prior to the save of a unit antigen typing result. </w:t>
            </w:r>
            <w:r>
              <w:t>VBECS will d</w:t>
            </w:r>
            <w:r w:rsidRPr="00176F35">
              <w:t xml:space="preserve">isplay a </w:t>
            </w:r>
            <w:r w:rsidR="00D51933">
              <w:t xml:space="preserve">tooltip </w:t>
            </w:r>
            <w:r w:rsidRPr="00176F35">
              <w:t xml:space="preserve">message to the user </w:t>
            </w:r>
            <w:r>
              <w:t>if an attempt to save is made and the QC is not valid.</w:t>
            </w:r>
          </w:p>
          <w:p w14:paraId="7393C0AD" w14:textId="77777777" w:rsidR="00C96530" w:rsidRDefault="00C96530">
            <w:pPr>
              <w:pStyle w:val="NotesText"/>
            </w:pPr>
          </w:p>
          <w:p w14:paraId="0653B3A6" w14:textId="77777777" w:rsidR="002A21AE" w:rsidRDefault="002A21AE">
            <w:pPr>
              <w:pStyle w:val="NotesText"/>
            </w:pPr>
            <w:r>
              <w:rPr>
                <w:rFonts w:cs="Arial"/>
                <w:vanish/>
              </w:rPr>
              <w:t xml:space="preserve">BR_41.06 </w:t>
            </w:r>
            <w:r>
              <w:t>VBECS stores the lot number, vial identifier, manufacturer, and expiration date of the positive and negative control cells with the testing record.</w:t>
            </w:r>
          </w:p>
        </w:tc>
      </w:tr>
      <w:tr w:rsidR="002A21AE" w14:paraId="1FFB29FD" w14:textId="77777777">
        <w:tc>
          <w:tcPr>
            <w:tcW w:w="3240" w:type="dxa"/>
          </w:tcPr>
          <w:p w14:paraId="5A344B54"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33AC097" w14:textId="77777777" w:rsidR="002A21AE" w:rsidRDefault="002A21AE">
            <w:pPr>
              <w:pStyle w:val="TableText"/>
            </w:pPr>
          </w:p>
        </w:tc>
      </w:tr>
    </w:tbl>
    <w:p w14:paraId="01868D2E" w14:textId="68E351A0" w:rsidR="00030E55" w:rsidRDefault="00030E55" w:rsidP="00030E55">
      <w:pPr>
        <w:pStyle w:val="Caption"/>
      </w:pPr>
      <w:bookmarkStart w:id="278" w:name="_Ref126648704"/>
      <w:bookmarkStart w:id="279" w:name="_Toc6368036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55</w:t>
      </w:r>
      <w:r w:rsidR="004E20BD">
        <w:rPr>
          <w:noProof/>
        </w:rPr>
        <w:fldChar w:fldCharType="end"/>
      </w:r>
      <w:bookmarkEnd w:id="278"/>
      <w:r>
        <w:t>: Unit Antigen Typing</w:t>
      </w:r>
      <w:r w:rsidR="004E0AFB">
        <w:t xml:space="preserve"> (Initial screen)</w:t>
      </w:r>
    </w:p>
    <w:p w14:paraId="21E2CF04" w14:textId="306EE18E" w:rsidR="0004496F" w:rsidRPr="0004496F" w:rsidRDefault="002117D4" w:rsidP="0004496F">
      <w:pPr>
        <w:pStyle w:val="BodyText"/>
      </w:pPr>
      <w:r>
        <w:rPr>
          <w:noProof/>
        </w:rPr>
        <w:drawing>
          <wp:inline distT="0" distB="0" distL="0" distR="0" wp14:anchorId="596E00D7" wp14:editId="70CD6D8C">
            <wp:extent cx="5086350" cy="4733925"/>
            <wp:effectExtent l="0" t="0" r="0" b="9525"/>
            <wp:docPr id="15" name="Picture 15" descr="Example of Unit Antigen Typing (Initial scree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of Unit Antigen Typing (Initial screen) screen captur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86350" cy="4733925"/>
                    </a:xfrm>
                    <a:prstGeom prst="rect">
                      <a:avLst/>
                    </a:prstGeom>
                    <a:noFill/>
                    <a:ln>
                      <a:noFill/>
                    </a:ln>
                  </pic:spPr>
                </pic:pic>
              </a:graphicData>
            </a:graphic>
          </wp:inline>
        </w:drawing>
      </w:r>
    </w:p>
    <w:p w14:paraId="152C93DD" w14:textId="58EE7A28" w:rsidR="0004496F" w:rsidRDefault="0004496F" w:rsidP="0004496F">
      <w:pPr>
        <w:pStyle w:val="Caption"/>
      </w:pPr>
      <w:bookmarkStart w:id="280" w:name="_Ref50895703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56</w:t>
      </w:r>
      <w:r w:rsidR="004E20BD">
        <w:rPr>
          <w:noProof/>
        </w:rPr>
        <w:fldChar w:fldCharType="end"/>
      </w:r>
      <w:bookmarkEnd w:id="280"/>
      <w:r>
        <w:t>: Unit Antigen Typing (New worklist)</w:t>
      </w:r>
    </w:p>
    <w:p w14:paraId="6A31483B" w14:textId="77777777" w:rsidR="0004496F" w:rsidRDefault="00057948" w:rsidP="0004496F">
      <w:pPr>
        <w:pStyle w:val="BodyText"/>
      </w:pPr>
      <w:r>
        <w:rPr>
          <w:noProof/>
        </w:rPr>
        <w:drawing>
          <wp:inline distT="0" distB="0" distL="0" distR="0" wp14:anchorId="763AC125" wp14:editId="654F389B">
            <wp:extent cx="5080000" cy="4756785"/>
            <wp:effectExtent l="0" t="0" r="6350" b="5715"/>
            <wp:docPr id="172" name="Picture 172" descr="Example of Unit Antigen Typing (New workli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Example of Unit Antigen Typing (New worklist) screen captur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80000" cy="4756785"/>
                    </a:xfrm>
                    <a:prstGeom prst="rect">
                      <a:avLst/>
                    </a:prstGeom>
                    <a:noFill/>
                    <a:ln>
                      <a:noFill/>
                    </a:ln>
                  </pic:spPr>
                </pic:pic>
              </a:graphicData>
            </a:graphic>
          </wp:inline>
        </w:drawing>
      </w:r>
    </w:p>
    <w:p w14:paraId="29AB7F71" w14:textId="3BB04F9B" w:rsidR="0004496F" w:rsidRDefault="0004496F" w:rsidP="0004496F">
      <w:pPr>
        <w:pStyle w:val="Caption"/>
      </w:pPr>
      <w:bookmarkStart w:id="281" w:name="_Ref50895711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57</w:t>
      </w:r>
      <w:r w:rsidR="004E20BD">
        <w:rPr>
          <w:noProof/>
        </w:rPr>
        <w:fldChar w:fldCharType="end"/>
      </w:r>
      <w:bookmarkEnd w:id="281"/>
      <w:r>
        <w:t>: Unit Antigen Typing (Partially Completed Worklist)</w:t>
      </w:r>
    </w:p>
    <w:p w14:paraId="3344D137" w14:textId="77777777" w:rsidR="0004496F" w:rsidRPr="0004496F" w:rsidRDefault="00057948" w:rsidP="0004496F">
      <w:pPr>
        <w:pStyle w:val="BodyText"/>
      </w:pPr>
      <w:r>
        <w:rPr>
          <w:noProof/>
        </w:rPr>
        <w:drawing>
          <wp:inline distT="0" distB="0" distL="0" distR="0" wp14:anchorId="6619C890" wp14:editId="04A01C45">
            <wp:extent cx="5939155" cy="4230370"/>
            <wp:effectExtent l="0" t="0" r="4445" b="0"/>
            <wp:docPr id="173" name="Picture 173" descr="Example of Unit Antigen Typing (Partially Completed Workli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Example of Unit Antigen Typing (Partially Completed Worklist) screen captur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39155" cy="4230370"/>
                    </a:xfrm>
                    <a:prstGeom prst="rect">
                      <a:avLst/>
                    </a:prstGeom>
                    <a:noFill/>
                    <a:ln>
                      <a:noFill/>
                    </a:ln>
                  </pic:spPr>
                </pic:pic>
              </a:graphicData>
            </a:graphic>
          </wp:inline>
        </w:drawing>
      </w:r>
    </w:p>
    <w:p w14:paraId="721B098A" w14:textId="66CBB6F9" w:rsidR="0004496F" w:rsidRPr="0004496F" w:rsidRDefault="0004496F" w:rsidP="004E0AFB">
      <w:pPr>
        <w:pStyle w:val="Caption"/>
        <w:widowControl w:val="0"/>
      </w:pPr>
      <w:bookmarkStart w:id="282" w:name="_Ref50895307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58</w:t>
      </w:r>
      <w:r w:rsidR="004E20BD">
        <w:rPr>
          <w:noProof/>
        </w:rPr>
        <w:fldChar w:fldCharType="end"/>
      </w:r>
      <w:bookmarkEnd w:id="282"/>
      <w:r>
        <w:t>: Unit Antigen Typing</w:t>
      </w:r>
    </w:p>
    <w:p w14:paraId="1249D5D1" w14:textId="77777777" w:rsidR="002A4159" w:rsidRDefault="00057948" w:rsidP="0032634C">
      <w:pPr>
        <w:pStyle w:val="BodyText"/>
        <w:widowControl w:val="0"/>
      </w:pPr>
      <w:r>
        <w:rPr>
          <w:noProof/>
        </w:rPr>
        <w:drawing>
          <wp:inline distT="0" distB="0" distL="0" distR="0" wp14:anchorId="0329CA28" wp14:editId="132C2778">
            <wp:extent cx="5939155" cy="4073525"/>
            <wp:effectExtent l="0" t="0" r="4445" b="3175"/>
            <wp:docPr id="174" name="Picture 174" descr="Example of Unit Antigen Typ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Example of Unit Antigen Typing screen captur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39155" cy="4073525"/>
                    </a:xfrm>
                    <a:prstGeom prst="rect">
                      <a:avLst/>
                    </a:prstGeom>
                    <a:noFill/>
                    <a:ln>
                      <a:noFill/>
                    </a:ln>
                  </pic:spPr>
                </pic:pic>
              </a:graphicData>
            </a:graphic>
          </wp:inline>
        </w:drawing>
      </w:r>
      <w:r w:rsidR="00030E55">
        <w:t xml:space="preserve"> </w:t>
      </w:r>
    </w:p>
    <w:p w14:paraId="359C6EF2" w14:textId="1FA174E7" w:rsidR="002A4159" w:rsidRDefault="002A4159" w:rsidP="002A4159">
      <w:pPr>
        <w:pStyle w:val="Caption"/>
      </w:pPr>
      <w:bookmarkStart w:id="283" w:name="_Ref12664909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59</w:t>
      </w:r>
      <w:r w:rsidR="004E20BD">
        <w:rPr>
          <w:noProof/>
        </w:rPr>
        <w:fldChar w:fldCharType="end"/>
      </w:r>
      <w:bookmarkEnd w:id="283"/>
      <w:r>
        <w:t>: Unit Antigen Typing Serologic Results</w:t>
      </w:r>
    </w:p>
    <w:p w14:paraId="4D590059" w14:textId="125171E5" w:rsidR="001B4885" w:rsidRDefault="00653A4D" w:rsidP="00030E55">
      <w:pPr>
        <w:pStyle w:val="BodyText"/>
      </w:pPr>
      <w:r>
        <w:rPr>
          <w:noProof/>
        </w:rPr>
        <w:drawing>
          <wp:inline distT="0" distB="0" distL="0" distR="0" wp14:anchorId="0C9E37DB" wp14:editId="78B00BCB">
            <wp:extent cx="5943600" cy="4333240"/>
            <wp:effectExtent l="0" t="0" r="0" b="0"/>
            <wp:docPr id="165" name="Picture 165" descr="Example of Unit Antigen Typing Serologic Resul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Example of Unit Antigen Typing Serologic Results screen capture"/>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4333240"/>
                    </a:xfrm>
                    <a:prstGeom prst="rect">
                      <a:avLst/>
                    </a:prstGeom>
                    <a:noFill/>
                    <a:ln>
                      <a:noFill/>
                    </a:ln>
                  </pic:spPr>
                </pic:pic>
              </a:graphicData>
            </a:graphic>
          </wp:inline>
        </w:drawing>
      </w:r>
    </w:p>
    <w:p w14:paraId="6A6F2647" w14:textId="77777777" w:rsidR="002A21AE" w:rsidRDefault="002A21AE" w:rsidP="00E3402B">
      <w:pPr>
        <w:pStyle w:val="Heading2"/>
      </w:pPr>
      <w:r>
        <w:br w:type="page"/>
      </w:r>
      <w:bookmarkStart w:id="284" w:name="_Toc149064124"/>
      <w:bookmarkStart w:id="285" w:name="_Toc92426453"/>
      <w:bookmarkStart w:id="286" w:name="_Toc94349314"/>
      <w:bookmarkEnd w:id="279"/>
      <w:r>
        <w:t>Modify Components</w:t>
      </w:r>
      <w:bookmarkEnd w:id="284"/>
      <w:r>
        <w:fldChar w:fldCharType="begin"/>
      </w:r>
      <w:r>
        <w:instrText xml:space="preserve"> XE </w:instrText>
      </w:r>
      <w:r w:rsidR="00FA7E65">
        <w:instrText>“</w:instrText>
      </w:r>
      <w:r>
        <w:instrText>Modify Component</w:instrText>
      </w:r>
      <w:r w:rsidR="00FA7E65">
        <w:instrText>”</w:instrText>
      </w:r>
      <w:r>
        <w:instrText xml:space="preserve"> </w:instrText>
      </w:r>
      <w:r>
        <w:fldChar w:fldCharType="end"/>
      </w:r>
      <w:bookmarkEnd w:id="285"/>
      <w:bookmarkEnd w:id="286"/>
    </w:p>
    <w:p w14:paraId="451C6ABA" w14:textId="77777777" w:rsidR="002A21AE" w:rsidRDefault="002A21AE">
      <w:pPr>
        <w:pStyle w:val="Heading3"/>
      </w:pPr>
      <w:bookmarkStart w:id="287" w:name="_Modify_Units"/>
      <w:bookmarkStart w:id="288" w:name="_Toc149064125"/>
      <w:bookmarkStart w:id="289" w:name="_Toc94349315"/>
      <w:bookmarkEnd w:id="287"/>
      <w:r>
        <w:t>Modify Units</w:t>
      </w:r>
      <w:bookmarkEnd w:id="288"/>
      <w:r w:rsidRPr="00796039">
        <w:rPr>
          <w:rFonts w:ascii="Arial Bold" w:hAnsi="Arial Bold"/>
          <w:vanish/>
        </w:rPr>
        <w:fldChar w:fldCharType="begin"/>
      </w:r>
      <w:r w:rsidRPr="00796039">
        <w:rPr>
          <w:rFonts w:ascii="Arial Bold" w:hAnsi="Arial Bold"/>
          <w:vanish/>
        </w:rPr>
        <w:instrText xml:space="preserve"> XE </w:instrText>
      </w:r>
      <w:r w:rsidR="00FA7E65" w:rsidRPr="00796039">
        <w:rPr>
          <w:rFonts w:ascii="Arial Bold" w:hAnsi="Arial Bold"/>
          <w:vanish/>
        </w:rPr>
        <w:instrText>“</w:instrText>
      </w:r>
      <w:r w:rsidRPr="00796039">
        <w:rPr>
          <w:rFonts w:ascii="Arial Bold" w:hAnsi="Arial Bold"/>
          <w:vanish/>
        </w:rPr>
        <w:instrText>Modify Units</w:instrText>
      </w:r>
      <w:r w:rsidR="00FA7E65" w:rsidRPr="00796039">
        <w:rPr>
          <w:rFonts w:ascii="Arial Bold" w:hAnsi="Arial Bold"/>
          <w:vanish/>
        </w:rPr>
        <w:instrText>”</w:instrText>
      </w:r>
      <w:r w:rsidRPr="00796039">
        <w:rPr>
          <w:rFonts w:ascii="Arial Bold" w:hAnsi="Arial Bold"/>
          <w:vanish/>
        </w:rPr>
        <w:instrText xml:space="preserve"> </w:instrText>
      </w:r>
      <w:r w:rsidRPr="00796039">
        <w:rPr>
          <w:rFonts w:ascii="Arial Bold" w:hAnsi="Arial Bold"/>
          <w:vanish/>
        </w:rPr>
        <w:fldChar w:fldCharType="end"/>
      </w:r>
      <w:r w:rsidRPr="00796039">
        <w:rPr>
          <w:rFonts w:ascii="Arial Bold" w:hAnsi="Arial Bold"/>
          <w:vanish/>
        </w:rPr>
        <w:t xml:space="preserve"> UC_26</w:t>
      </w:r>
      <w:bookmarkEnd w:id="289"/>
    </w:p>
    <w:p w14:paraId="6E3741DA" w14:textId="529F5102" w:rsidR="002A21AE" w:rsidRDefault="002A21AE" w:rsidP="00FA7E65">
      <w:pPr>
        <w:pStyle w:val="BodyText"/>
      </w:pPr>
      <w:bookmarkStart w:id="290" w:name="_Toc77662608"/>
      <w:r>
        <w:t xml:space="preserve">The user modifies a unit, which results in a different blood product (target product) with </w:t>
      </w:r>
      <w:r w:rsidR="00AC457B">
        <w:t>its own</w:t>
      </w:r>
      <w:r>
        <w:t xml:space="preserve"> properties. A division’s configuration determines the available modification types</w:t>
      </w:r>
      <w:r w:rsidR="003B6DCF">
        <w:t>.</w:t>
      </w:r>
    </w:p>
    <w:p w14:paraId="58E631B1" w14:textId="77777777" w:rsidR="002A21AE" w:rsidRDefault="002A21AE">
      <w:pPr>
        <w:pStyle w:val="Heading4"/>
      </w:pPr>
      <w:bookmarkStart w:id="291" w:name="_Toc94349316"/>
      <w:r>
        <w:t>Assumptions</w:t>
      </w:r>
      <w:bookmarkEnd w:id="291"/>
      <w:r w:rsidR="00AC457B">
        <w:fldChar w:fldCharType="begin"/>
      </w:r>
      <w:r w:rsidR="00AC457B">
        <w:instrText xml:space="preserve"> XE "</w:instrText>
      </w:r>
      <w:r w:rsidR="00AC457B" w:rsidRPr="00A60D38">
        <w:instrText>Assumptions</w:instrText>
      </w:r>
      <w:r w:rsidR="00AC457B">
        <w:instrText xml:space="preserve">" </w:instrText>
      </w:r>
      <w:r w:rsidR="00AC457B">
        <w:fldChar w:fldCharType="end"/>
      </w:r>
    </w:p>
    <w:p w14:paraId="120D49EA" w14:textId="77777777" w:rsidR="002A21AE" w:rsidRDefault="00046402">
      <w:pPr>
        <w:pStyle w:val="ListBullet"/>
      </w:pPr>
      <w:r>
        <w:t>Product Modifications</w:t>
      </w:r>
      <w:r w:rsidR="002A21AE">
        <w:t xml:space="preserve"> was executed.</w:t>
      </w:r>
    </w:p>
    <w:p w14:paraId="22D95E17" w14:textId="77777777" w:rsidR="002A21AE" w:rsidRDefault="00CB7D9B">
      <w:pPr>
        <w:pStyle w:val="ListBullet"/>
      </w:pPr>
      <w:r>
        <w:t>The division is the active shipper for target blood products.</w:t>
      </w:r>
    </w:p>
    <w:p w14:paraId="07FB6828" w14:textId="77777777" w:rsidR="002A21AE" w:rsidRDefault="002A21AE">
      <w:pPr>
        <w:pStyle w:val="ListBullet"/>
      </w:pPr>
      <w:r>
        <w:t>A unit may be modified with or without patient assignment or restriction.</w:t>
      </w:r>
    </w:p>
    <w:p w14:paraId="52D78B2A" w14:textId="77777777" w:rsidR="002A21AE" w:rsidRDefault="002A21AE">
      <w:pPr>
        <w:pStyle w:val="ListBullet"/>
      </w:pPr>
      <w:r>
        <w:t>A unit may be modified with or without a patient order.</w:t>
      </w:r>
    </w:p>
    <w:p w14:paraId="3202B2C9" w14:textId="77777777" w:rsidR="002A21AE" w:rsidRDefault="002A21AE">
      <w:pPr>
        <w:pStyle w:val="ListBullet"/>
      </w:pPr>
      <w:r>
        <w:t>Units selected for modification must be in the same division as the user.</w:t>
      </w:r>
    </w:p>
    <w:p w14:paraId="2C918B68" w14:textId="77777777" w:rsidR="00F81D5E" w:rsidRDefault="00F81D5E">
      <w:pPr>
        <w:pStyle w:val="ListBullet"/>
      </w:pPr>
      <w:r>
        <w:t>Product labels and unit numbers for modified products</w:t>
      </w:r>
      <w:r w:rsidRPr="00F81D5E">
        <w:t xml:space="preserve"> </w:t>
      </w:r>
      <w:r>
        <w:t>are on hand.</w:t>
      </w:r>
    </w:p>
    <w:p w14:paraId="669DEC12" w14:textId="77777777" w:rsidR="0014066B" w:rsidRDefault="0014066B">
      <w:pPr>
        <w:pStyle w:val="ListBullet"/>
      </w:pPr>
      <w:r>
        <w:t>Supplies needed for the unit modification were entered in VBECS.</w:t>
      </w:r>
    </w:p>
    <w:p w14:paraId="53765FD4" w14:textId="77777777" w:rsidR="002A21AE" w:rsidRDefault="002A21AE">
      <w:pPr>
        <w:pStyle w:val="Heading4"/>
      </w:pPr>
      <w:bookmarkStart w:id="292" w:name="_Toc94349317"/>
      <w:r>
        <w:t>Outcome</w:t>
      </w:r>
      <w:bookmarkEnd w:id="292"/>
    </w:p>
    <w:p w14:paraId="7F473A6D" w14:textId="77777777" w:rsidR="002A21AE" w:rsidRDefault="002A21AE">
      <w:pPr>
        <w:pStyle w:val="ListBullet"/>
      </w:pPr>
      <w:r>
        <w:t>Data generated for an Exception Report are stored for inclusion in the next Exception Report.</w:t>
      </w:r>
    </w:p>
    <w:p w14:paraId="6A9975CF" w14:textId="77777777" w:rsidR="002A21AE" w:rsidRDefault="002A21AE">
      <w:pPr>
        <w:pStyle w:val="ListBullet"/>
      </w:pPr>
      <w:r>
        <w:t>Workload-related data collected as the result of unit modification are stored for inclusion in Workload Reports.</w:t>
      </w:r>
    </w:p>
    <w:p w14:paraId="1C497D1D" w14:textId="77777777" w:rsidR="002A21AE" w:rsidRDefault="002A21AE">
      <w:pPr>
        <w:pStyle w:val="ListBullet"/>
      </w:pPr>
      <w:r>
        <w:t>At the completion of a unit modification, VBECS assigns the original unit a final status of “modified.”</w:t>
      </w:r>
    </w:p>
    <w:p w14:paraId="4A517F20" w14:textId="77777777" w:rsidR="002A21AE" w:rsidRDefault="002A21AE">
      <w:pPr>
        <w:pStyle w:val="ListBullet"/>
      </w:pPr>
      <w:r>
        <w:t>A permanent virtual link exists between the original unit and target units created.</w:t>
      </w:r>
    </w:p>
    <w:p w14:paraId="3386D44E" w14:textId="77777777" w:rsidR="002A21AE" w:rsidRDefault="002A21AE">
      <w:pPr>
        <w:pStyle w:val="ListBullet"/>
      </w:pPr>
      <w:r>
        <w:t>The shipper of the target unit created is the division in which the modification was performed. The cost assigned to the target unit is based on what was defined in Blood Products.</w:t>
      </w:r>
    </w:p>
    <w:p w14:paraId="568B7A78" w14:textId="77777777" w:rsidR="002A21AE" w:rsidRDefault="002A21AE">
      <w:pPr>
        <w:pStyle w:val="Heading4"/>
      </w:pPr>
      <w:bookmarkStart w:id="293" w:name="_Toc94349318"/>
      <w:r>
        <w:t>Limitations and Restrictions</w:t>
      </w:r>
      <w:bookmarkEnd w:id="293"/>
    </w:p>
    <w:p w14:paraId="3FE62808" w14:textId="77777777" w:rsidR="002A21AE" w:rsidRDefault="00CC5F64">
      <w:pPr>
        <w:pStyle w:val="ListBullet"/>
      </w:pPr>
      <w:r>
        <w:t>VBECS allows modification of units only in limited, assigned, crossmatched, and available statuses.</w:t>
      </w:r>
    </w:p>
    <w:p w14:paraId="7B9A9DF5" w14:textId="77777777" w:rsidR="002D6306" w:rsidRPr="004E1DF1" w:rsidRDefault="002D6306" w:rsidP="002D6306">
      <w:pPr>
        <w:pStyle w:val="ListBullet"/>
      </w:pPr>
      <w:r>
        <w:t>VBECS presents the conservative expiration date for target units. VBECS does not know th</w:t>
      </w:r>
      <w:r w:rsidR="008B6D25">
        <w:t xml:space="preserve">e specific collection details. </w:t>
      </w:r>
      <w:r>
        <w:t>It is the responsib</w:t>
      </w:r>
      <w:r w:rsidR="008B6D25">
        <w:t>i</w:t>
      </w:r>
      <w:r>
        <w:t>lity of each user to accurately enter and process any one blood unit based on its expiration date/time as labeled by the collection facility.</w:t>
      </w:r>
      <w:r>
        <w:rPr>
          <w:vanish/>
        </w:rPr>
        <w:t xml:space="preserve"> Task 1324</w:t>
      </w:r>
    </w:p>
    <w:p w14:paraId="75AAC526" w14:textId="2D2C2501" w:rsidR="004E1DF1" w:rsidRPr="0050055B" w:rsidRDefault="004E1DF1" w:rsidP="002D6306">
      <w:pPr>
        <w:pStyle w:val="ListBullet"/>
      </w:pPr>
      <w:r>
        <w:t xml:space="preserve">Pooling of units that have the attribute form </w:t>
      </w:r>
      <w:r>
        <w:rPr>
          <w:rFonts w:cs="Arial"/>
          <w:szCs w:val="18"/>
        </w:rPr>
        <w:t xml:space="preserve">V0013 (irradiated) and attribute </w:t>
      </w:r>
      <w:r w:rsidRPr="00DC60F9">
        <w:rPr>
          <w:rFonts w:cs="Arial"/>
          <w:szCs w:val="18"/>
        </w:rPr>
        <w:t>V0021005</w:t>
      </w:r>
      <w:r>
        <w:rPr>
          <w:rFonts w:cs="Arial"/>
          <w:szCs w:val="18"/>
        </w:rPr>
        <w:t xml:space="preserve"> (psoralen treatment) does not produce a target.</w:t>
      </w:r>
    </w:p>
    <w:p w14:paraId="335A3A77" w14:textId="77777777" w:rsidR="002A21AE" w:rsidRDefault="002A21AE">
      <w:pPr>
        <w:pStyle w:val="Heading4"/>
      </w:pPr>
      <w:bookmarkStart w:id="294" w:name="_Toc94349319"/>
      <w:r>
        <w:t>Additional Information</w:t>
      </w:r>
      <w:bookmarkEnd w:id="294"/>
    </w:p>
    <w:p w14:paraId="2781C438" w14:textId="77777777" w:rsidR="002A21AE" w:rsidRDefault="002A21AE">
      <w:pPr>
        <w:pStyle w:val="ListBullet"/>
      </w:pPr>
      <w:r>
        <w:t>VBECS requires the identification of the transferred-to container when using an open method</w:t>
      </w:r>
      <w:r w:rsidR="00C249B1">
        <w:t xml:space="preserve"> or </w:t>
      </w:r>
      <w:r w:rsidR="00922AD8">
        <w:t>a</w:t>
      </w:r>
      <w:r w:rsidR="00C249B1">
        <w:t xml:space="preserve"> </w:t>
      </w:r>
      <w:r w:rsidR="00AD29E0">
        <w:t>sterile connection</w:t>
      </w:r>
      <w:r w:rsidR="00F17F64">
        <w:t xml:space="preserve"> device (SCD)</w:t>
      </w:r>
      <w:r w:rsidR="00C249B1">
        <w:t>.</w:t>
      </w:r>
    </w:p>
    <w:p w14:paraId="38515BC8" w14:textId="77777777" w:rsidR="002A21AE" w:rsidRDefault="002A21AE">
      <w:pPr>
        <w:pStyle w:val="ListBullet"/>
      </w:pPr>
      <w:r>
        <w:t xml:space="preserve">VBECS requires the identification of the SCD wafer data when using an SCD. </w:t>
      </w:r>
    </w:p>
    <w:p w14:paraId="243ACD6B" w14:textId="77777777" w:rsidR="00B57CCA" w:rsidRDefault="00B57CCA">
      <w:pPr>
        <w:pStyle w:val="ListBullet"/>
      </w:pPr>
      <w:r w:rsidRPr="00B57CCA">
        <w:t xml:space="preserve">When </w:t>
      </w:r>
      <w:r>
        <w:t>a user extends an</w:t>
      </w:r>
      <w:r w:rsidRPr="00B57CCA">
        <w:t xml:space="preserve"> expiration date</w:t>
      </w:r>
      <w:r>
        <w:t xml:space="preserve"> beyond the default expiration date</w:t>
      </w:r>
      <w:r w:rsidRPr="00B57CCA">
        <w:t xml:space="preserve">, </w:t>
      </w:r>
      <w:r>
        <w:t xml:space="preserve">the override message </w:t>
      </w:r>
      <w:r w:rsidRPr="00B57CCA">
        <w:t xml:space="preserve">displays the </w:t>
      </w:r>
      <w:r>
        <w:t xml:space="preserve">original </w:t>
      </w:r>
      <w:r w:rsidRPr="00B57CCA">
        <w:t>expiration date.</w:t>
      </w:r>
    </w:p>
    <w:p w14:paraId="7EE73977" w14:textId="77777777" w:rsidR="002A21AE" w:rsidRDefault="002A21AE">
      <w:pPr>
        <w:pStyle w:val="ListBullet"/>
      </w:pPr>
      <w:r>
        <w:t xml:space="preserve">Due to the variations in supplies </w:t>
      </w:r>
      <w:r w:rsidR="00C249B1">
        <w:t xml:space="preserve">and equipment </w:t>
      </w:r>
      <w:r>
        <w:t>used for other modification types, VBECS does not require supply</w:t>
      </w:r>
      <w:r w:rsidR="00C249B1">
        <w:t xml:space="preserve"> or equipment</w:t>
      </w:r>
      <w:r>
        <w:t xml:space="preserve"> entry</w:t>
      </w:r>
      <w:r w:rsidR="00C249B1">
        <w:t>,</w:t>
      </w:r>
      <w:r>
        <w:t xml:space="preserve"> but allows entry of those data as part of the modification record.</w:t>
      </w:r>
    </w:p>
    <w:p w14:paraId="079481E5" w14:textId="77777777" w:rsidR="002A21AE" w:rsidRDefault="002A21AE">
      <w:pPr>
        <w:pStyle w:val="ListBullet"/>
      </w:pPr>
      <w:r>
        <w:t>During the modification options (Modify Units: Pool Units; Modify Units: Split a Unit; Modify Units), a user may select an assigned blood unit for modification and transfer one patient assignment to the target units created.</w:t>
      </w:r>
    </w:p>
    <w:p w14:paraId="6747E4D0" w14:textId="77777777" w:rsidR="000145FB" w:rsidRDefault="000145FB" w:rsidP="000145FB">
      <w:pPr>
        <w:pStyle w:val="ListBullet"/>
      </w:pPr>
      <w:r>
        <w:t xml:space="preserve">To reverse other modifications, remove the “modified” status from each unit through </w:t>
      </w:r>
      <w:r w:rsidR="00F078F4">
        <w:t xml:space="preserve">Supervisor Menu, </w:t>
      </w:r>
      <w:r>
        <w:t>Remove Final Status.</w:t>
      </w:r>
    </w:p>
    <w:p w14:paraId="4C21E95C" w14:textId="77777777" w:rsidR="003221B7" w:rsidRDefault="003221B7" w:rsidP="000145FB">
      <w:pPr>
        <w:pStyle w:val="ListBullet"/>
      </w:pPr>
      <w:r>
        <w:t>To edit the number of units in a</w:t>
      </w:r>
      <w:r w:rsidR="00892AB1">
        <w:t>n existing pool, use Add/Remove Units from a Pool.</w:t>
      </w:r>
    </w:p>
    <w:p w14:paraId="4C025A8B" w14:textId="165E6A67" w:rsidR="003F0E80" w:rsidRDefault="003F0E80" w:rsidP="000145FB">
      <w:pPr>
        <w:pStyle w:val="ListBullet"/>
      </w:pPr>
      <w:r>
        <w:t>The user can scan to select the target</w:t>
      </w:r>
      <w:r w:rsidR="00A032AC">
        <w:t>,</w:t>
      </w:r>
      <w:r w:rsidR="00110B97">
        <w:t xml:space="preserve"> </w:t>
      </w:r>
      <w:r>
        <w:t>but it will only present the product codes available as a target by VBECS</w:t>
      </w:r>
      <w:r w:rsidR="002F7E19">
        <w:t xml:space="preserve"> (See </w:t>
      </w:r>
      <w:r w:rsidR="00311F17">
        <w:t xml:space="preserve">FAQ </w:t>
      </w:r>
      <w:r w:rsidR="002F7E19">
        <w:t>Modification Target Not Available)</w:t>
      </w:r>
      <w:r>
        <w:t>.</w:t>
      </w:r>
    </w:p>
    <w:p w14:paraId="11586476" w14:textId="77777777" w:rsidR="00C61ED6" w:rsidRDefault="00C61ED6" w:rsidP="00C61ED6">
      <w:pPr>
        <w:pStyle w:val="ListBullet"/>
      </w:pPr>
      <w:r>
        <w:t>The user can change the expiration date and time prior to completing bl</w:t>
      </w:r>
      <w:r w:rsidR="00071143">
        <w:t>ood unit’s modification</w:t>
      </w:r>
      <w:r w:rsidR="003502C9">
        <w:t xml:space="preserve">. </w:t>
      </w:r>
      <w:r w:rsidR="003502C9" w:rsidRPr="003502C9">
        <w:rPr>
          <w:vanish/>
        </w:rPr>
        <w:t>Task 618684</w:t>
      </w:r>
    </w:p>
    <w:p w14:paraId="0712ADCE" w14:textId="77777777" w:rsidR="002A21AE" w:rsidRDefault="002A21AE">
      <w:pPr>
        <w:pStyle w:val="Heading4"/>
      </w:pPr>
      <w:bookmarkStart w:id="295" w:name="_Toc94349320"/>
      <w:r>
        <w:t>User Roles with Access to This Option</w:t>
      </w:r>
      <w:bookmarkEnd w:id="295"/>
    </w:p>
    <w:bookmarkEnd w:id="290"/>
    <w:p w14:paraId="72A26E62" w14:textId="77777777" w:rsidR="000D69CE" w:rsidRDefault="000D69CE" w:rsidP="000D69CE">
      <w:pPr>
        <w:pStyle w:val="Roles"/>
        <w:rPr>
          <w:snapToGrid w:val="0"/>
        </w:rPr>
      </w:pPr>
      <w:r>
        <w:t>All users</w:t>
      </w:r>
    </w:p>
    <w:p w14:paraId="5C71886E" w14:textId="77777777" w:rsidR="002A21AE" w:rsidRDefault="002A21AE">
      <w:pPr>
        <w:pStyle w:val="Heading4"/>
      </w:pPr>
      <w:bookmarkStart w:id="296" w:name="OLE_LINK27"/>
      <w:bookmarkStart w:id="297" w:name="OLE_LINK28"/>
      <w:r>
        <w:t>Modify Units</w:t>
      </w:r>
      <w:bookmarkEnd w:id="296"/>
      <w:bookmarkEnd w:id="297"/>
    </w:p>
    <w:p w14:paraId="0A8BD448" w14:textId="77777777" w:rsidR="002A21AE" w:rsidRDefault="002A21AE" w:rsidP="00FA7E65">
      <w:pPr>
        <w:pStyle w:val="BodyText"/>
      </w:pPr>
      <w:r>
        <w:t xml:space="preserve">The user selects the units to be modified. The user indicates the type of modification to be performed, then enters (preferably by scanning) the unit ID and product code. </w:t>
      </w:r>
    </w:p>
    <w:p w14:paraId="315B8C59" w14:textId="77777777" w:rsidR="002A21AE" w:rsidRDefault="002A21AE" w:rsidP="00FA7E65">
      <w:pPr>
        <w:pStyle w:val="BodyText"/>
      </w:pPr>
      <w:r>
        <w:t>VBECS displays a creation date and time (default: current date and time) for the target units, which the user may change to a date and time in the past and not before the login date and time of the original unit. VBECS calculates a new expiration date for the target unit (based on the creation date and time</w:t>
      </w:r>
      <w:r w:rsidR="00C5700C">
        <w:t>, modification type, method, and original unit product type</w:t>
      </w:r>
      <w:r w:rsidR="00B14F35">
        <w:t>)</w:t>
      </w:r>
      <w:r>
        <w:t xml:space="preserve"> and records the date and time the original unit was modified. Some modification procedures require materials in addition to the new container. VBECS requires the entry of a new container lot number and SCD wafer, if indicated. </w:t>
      </w:r>
    </w:p>
    <w:p w14:paraId="20240308" w14:textId="77777777" w:rsidR="002A21AE" w:rsidRDefault="00AA7C63" w:rsidP="00FA7E65">
      <w:pPr>
        <w:pStyle w:val="BodyText"/>
      </w:pPr>
      <w:r>
        <w:t>The modified target unit is now available for use.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6499FB9" w14:textId="77777777">
        <w:trPr>
          <w:tblHeader/>
        </w:trPr>
        <w:tc>
          <w:tcPr>
            <w:tcW w:w="3240" w:type="dxa"/>
            <w:shd w:val="pct30" w:color="auto" w:fill="FFFFFF"/>
            <w:vAlign w:val="bottom"/>
          </w:tcPr>
          <w:p w14:paraId="20951570" w14:textId="77777777" w:rsidR="002A21AE" w:rsidRDefault="002A21AE">
            <w:pPr>
              <w:pStyle w:val="TableText"/>
              <w:rPr>
                <w:b/>
              </w:rPr>
            </w:pPr>
            <w:bookmarkStart w:id="298" w:name="_Toc79478694"/>
            <w:bookmarkStart w:id="299" w:name="_Toc63680363"/>
            <w:r>
              <w:rPr>
                <w:b/>
              </w:rPr>
              <w:t>User Action</w:t>
            </w:r>
          </w:p>
        </w:tc>
        <w:tc>
          <w:tcPr>
            <w:tcW w:w="6120" w:type="dxa"/>
            <w:shd w:val="pct30" w:color="auto" w:fill="FFFFFF"/>
            <w:vAlign w:val="bottom"/>
          </w:tcPr>
          <w:p w14:paraId="126420C3" w14:textId="77777777" w:rsidR="002A21AE" w:rsidRDefault="002A21AE">
            <w:pPr>
              <w:pStyle w:val="TableText"/>
              <w:rPr>
                <w:b/>
              </w:rPr>
            </w:pPr>
            <w:r>
              <w:rPr>
                <w:b/>
              </w:rPr>
              <w:t>VBECS</w:t>
            </w:r>
          </w:p>
        </w:tc>
      </w:tr>
      <w:tr w:rsidR="002A21AE" w14:paraId="2316F43D" w14:textId="77777777">
        <w:tc>
          <w:tcPr>
            <w:tcW w:w="3240" w:type="dxa"/>
          </w:tcPr>
          <w:p w14:paraId="71814F99" w14:textId="77777777" w:rsidR="002A21AE" w:rsidRDefault="002A21AE" w:rsidP="002C6BD1">
            <w:pPr>
              <w:pStyle w:val="TableTextNumbers"/>
            </w:pPr>
            <w:r>
              <w:t xml:space="preserve">Select </w:t>
            </w:r>
            <w:r>
              <w:rPr>
                <w:b/>
              </w:rPr>
              <w:t>Blood Units</w:t>
            </w:r>
            <w:r>
              <w:t xml:space="preserve"> from the main menu. </w:t>
            </w:r>
          </w:p>
          <w:p w14:paraId="08D7A728" w14:textId="77777777" w:rsidR="002A21AE" w:rsidRDefault="002A21AE">
            <w:pPr>
              <w:pStyle w:val="TableTextNumbersContinued"/>
            </w:pPr>
          </w:p>
          <w:p w14:paraId="543465B3" w14:textId="77777777" w:rsidR="002A21AE" w:rsidRDefault="002A21AE">
            <w:pPr>
              <w:pStyle w:val="TableTextNumbersContinued"/>
            </w:pPr>
            <w:r>
              <w:t xml:space="preserve">Select </w:t>
            </w:r>
            <w:r>
              <w:rPr>
                <w:b/>
              </w:rPr>
              <w:t>Modify Units</w:t>
            </w:r>
            <w:r>
              <w:t>.</w:t>
            </w:r>
          </w:p>
        </w:tc>
        <w:tc>
          <w:tcPr>
            <w:tcW w:w="6120" w:type="dxa"/>
          </w:tcPr>
          <w:p w14:paraId="792E5865" w14:textId="77777777" w:rsidR="002A21AE" w:rsidRDefault="002A21AE">
            <w:pPr>
              <w:pStyle w:val="TableTextBullet"/>
            </w:pPr>
            <w:r>
              <w:t>Displays options for processing blood units.</w:t>
            </w:r>
          </w:p>
          <w:p w14:paraId="020208C4" w14:textId="77777777" w:rsidR="002A21AE" w:rsidRDefault="00792C64">
            <w:pPr>
              <w:pStyle w:val="TableTextBullet"/>
            </w:pPr>
            <w:r w:rsidRPr="00792C64">
              <w:rPr>
                <w:vanish/>
                <w:szCs w:val="18"/>
              </w:rPr>
              <w:t>BR_26.32</w:t>
            </w:r>
            <w:r w:rsidR="002B1949">
              <w:rPr>
                <w:vanish/>
                <w:szCs w:val="18"/>
              </w:rPr>
              <w:t xml:space="preserve"> </w:t>
            </w:r>
            <w:r w:rsidR="002A21AE">
              <w:t xml:space="preserve">Displays valid modification options </w:t>
            </w:r>
            <w:r w:rsidR="00794BA2">
              <w:t xml:space="preserve">configured </w:t>
            </w:r>
            <w:r w:rsidR="002A21AE">
              <w:t xml:space="preserve">for the division and allows the user to select an option. </w:t>
            </w:r>
          </w:p>
        </w:tc>
      </w:tr>
      <w:tr w:rsidR="00504CD6" w14:paraId="6AE2BFD7" w14:textId="77777777">
        <w:tc>
          <w:tcPr>
            <w:tcW w:w="3240" w:type="dxa"/>
          </w:tcPr>
          <w:p w14:paraId="42A48202" w14:textId="77777777" w:rsidR="00504CD6" w:rsidRDefault="00504CD6" w:rsidP="00C92722">
            <w:pPr>
              <w:pStyle w:val="TableTextNumbers"/>
            </w:pPr>
            <w:r>
              <w:t>Enter the date and time of the unit modification.</w:t>
            </w:r>
          </w:p>
          <w:p w14:paraId="3C1C59E6" w14:textId="77777777" w:rsidR="00504CD6" w:rsidRDefault="00504CD6" w:rsidP="007C035C">
            <w:pPr>
              <w:pStyle w:val="TableTextNumbersContinued"/>
            </w:pPr>
          </w:p>
          <w:p w14:paraId="26B197DC" w14:textId="77777777" w:rsidR="00504CD6" w:rsidRDefault="00504CD6" w:rsidP="007C035C">
            <w:pPr>
              <w:pStyle w:val="TableTextNumbersContinued"/>
            </w:pPr>
            <w:r>
              <w:t xml:space="preserve">Enter the </w:t>
            </w:r>
            <w:r w:rsidR="007C035C">
              <w:t>name of the user who modifies the unit.</w:t>
            </w:r>
          </w:p>
        </w:tc>
        <w:tc>
          <w:tcPr>
            <w:tcW w:w="6120" w:type="dxa"/>
          </w:tcPr>
          <w:p w14:paraId="061B9B75" w14:textId="77777777" w:rsidR="00504CD6" w:rsidRDefault="00504CD6" w:rsidP="00C92722">
            <w:pPr>
              <w:pStyle w:val="TableTextBullet"/>
            </w:pPr>
            <w:r>
              <w:t xml:space="preserve">Displays the default (current) date and time as the modification date and time. </w:t>
            </w:r>
          </w:p>
          <w:p w14:paraId="6C278462" w14:textId="77777777" w:rsidR="00504CD6" w:rsidRDefault="00504CD6" w:rsidP="00C92722">
            <w:pPr>
              <w:pStyle w:val="TableTextBullet"/>
            </w:pPr>
            <w:r>
              <w:t>Allows the user to change the date and time to a past date and time.</w:t>
            </w:r>
          </w:p>
          <w:p w14:paraId="430E9C3C" w14:textId="77777777" w:rsidR="00504CD6" w:rsidRDefault="00504CD6" w:rsidP="00C92722">
            <w:pPr>
              <w:pStyle w:val="TableText"/>
            </w:pPr>
          </w:p>
          <w:p w14:paraId="228C94B9" w14:textId="2C1D98A8" w:rsidR="00504CD6" w:rsidRDefault="00504CD6" w:rsidP="00C92722">
            <w:pPr>
              <w:pStyle w:val="TableText"/>
              <w:rPr>
                <w:b/>
                <w:bCs/>
                <w:szCs w:val="18"/>
              </w:rPr>
            </w:pPr>
            <w:r>
              <w:rPr>
                <w:b/>
                <w:bCs/>
                <w:szCs w:val="18"/>
              </w:rPr>
              <w:t>NOTES</w:t>
            </w:r>
          </w:p>
          <w:p w14:paraId="06323867" w14:textId="77777777" w:rsidR="00504CD6" w:rsidRDefault="00504CD6" w:rsidP="00C92722">
            <w:pPr>
              <w:pStyle w:val="NotesText"/>
            </w:pPr>
          </w:p>
          <w:p w14:paraId="4FAA8DED" w14:textId="77777777" w:rsidR="00504CD6" w:rsidRDefault="00504CD6" w:rsidP="00C92722">
            <w:pPr>
              <w:pStyle w:val="NotesText"/>
            </w:pPr>
            <w:r>
              <w:rPr>
                <w:rFonts w:cs="Arial"/>
                <w:vanish/>
              </w:rPr>
              <w:t xml:space="preserve">BR_26.01 </w:t>
            </w:r>
            <w:r>
              <w:t>The user may not enter a future date and time.</w:t>
            </w:r>
          </w:p>
          <w:p w14:paraId="5D139403" w14:textId="77777777" w:rsidR="000430E8" w:rsidRDefault="000430E8" w:rsidP="00C92722">
            <w:pPr>
              <w:pStyle w:val="NotesText"/>
            </w:pPr>
          </w:p>
          <w:p w14:paraId="53222BE7" w14:textId="77777777" w:rsidR="000430E8" w:rsidRDefault="000430E8" w:rsidP="000430E8">
            <w:pPr>
              <w:pStyle w:val="NotesText"/>
            </w:pPr>
            <w:r w:rsidRPr="004E2963">
              <w:rPr>
                <w:vanish/>
              </w:rPr>
              <w:t xml:space="preserve">BR_25.57 </w:t>
            </w:r>
            <w:r>
              <w:t>When a unit is modified, the processing fee is added to the cost of a modified unit target.</w:t>
            </w:r>
          </w:p>
          <w:p w14:paraId="60FB1D93" w14:textId="77777777" w:rsidR="000430E8" w:rsidRDefault="000430E8" w:rsidP="000430E8">
            <w:pPr>
              <w:pStyle w:val="NotesText"/>
            </w:pPr>
            <w:r>
              <w:t>A single unit modification has the processing fee added to the target unit.</w:t>
            </w:r>
          </w:p>
          <w:p w14:paraId="1CAA7662" w14:textId="77777777" w:rsidR="000430E8" w:rsidRDefault="000430E8" w:rsidP="000430E8">
            <w:pPr>
              <w:pStyle w:val="NotesText"/>
            </w:pPr>
            <w:r>
              <w:t>When split, the processing fee is divided and a portion is added to each target unit.</w:t>
            </w:r>
          </w:p>
          <w:p w14:paraId="528C493E" w14:textId="77777777" w:rsidR="000430E8" w:rsidRDefault="000430E8" w:rsidP="000430E8">
            <w:pPr>
              <w:pStyle w:val="NotesText"/>
            </w:pPr>
            <w:r>
              <w:t>When pooling, the processing fee is multiplied for each original unit included in the pool.</w:t>
            </w:r>
          </w:p>
        </w:tc>
      </w:tr>
      <w:tr w:rsidR="00504CD6" w14:paraId="4A4AA0B2" w14:textId="77777777" w:rsidTr="001A459B">
        <w:trPr>
          <w:cantSplit/>
          <w:hidden/>
        </w:trPr>
        <w:tc>
          <w:tcPr>
            <w:tcW w:w="3240" w:type="dxa"/>
          </w:tcPr>
          <w:p w14:paraId="17E67FA9" w14:textId="77777777" w:rsidR="00504CD6" w:rsidRDefault="00504CD6" w:rsidP="00C92722">
            <w:pPr>
              <w:pStyle w:val="TableTextNumbers"/>
              <w:rPr>
                <w:b/>
              </w:rPr>
            </w:pPr>
            <w:r>
              <w:rPr>
                <w:rFonts w:cs="Arial"/>
                <w:vanish/>
              </w:rPr>
              <w:t xml:space="preserve">BR_26.10 </w:t>
            </w:r>
            <w:r>
              <w:t>Click a radio button to select a modification type:</w:t>
            </w:r>
            <w:r>
              <w:rPr>
                <w:b/>
              </w:rPr>
              <w:t xml:space="preserve"> </w:t>
            </w:r>
          </w:p>
          <w:p w14:paraId="00BC473F" w14:textId="77777777" w:rsidR="00504CD6" w:rsidRDefault="00504CD6" w:rsidP="004A7B44">
            <w:pPr>
              <w:pStyle w:val="TableTextNumbersBullet"/>
              <w:ind w:left="576" w:hanging="288"/>
            </w:pPr>
            <w:r>
              <w:t xml:space="preserve">Thaw </w:t>
            </w:r>
          </w:p>
          <w:p w14:paraId="5205EEFD" w14:textId="77777777" w:rsidR="00504CD6" w:rsidRDefault="00504CD6" w:rsidP="004A7B44">
            <w:pPr>
              <w:pStyle w:val="TableTextNumbersBullet"/>
              <w:ind w:left="576" w:hanging="288"/>
            </w:pPr>
            <w:r>
              <w:t>Pool (See Modify Units: Pool Units.)</w:t>
            </w:r>
          </w:p>
          <w:p w14:paraId="48AE351B" w14:textId="77777777" w:rsidR="00504CD6" w:rsidRDefault="00504CD6" w:rsidP="004A7B44">
            <w:pPr>
              <w:pStyle w:val="TableTextNumbersBullet"/>
              <w:ind w:left="576" w:hanging="288"/>
            </w:pPr>
            <w:r>
              <w:t>Thaw/Pool Cryo (See Modify Units: Pool Units.)</w:t>
            </w:r>
          </w:p>
          <w:p w14:paraId="5E381FE7" w14:textId="77777777" w:rsidR="00504CD6" w:rsidRDefault="00504CD6" w:rsidP="004A7B44">
            <w:pPr>
              <w:pStyle w:val="TableTextNumbersBullet"/>
              <w:ind w:left="576" w:hanging="288"/>
            </w:pPr>
            <w:r>
              <w:t>Split/Divide (See Modify Units: Split a Unit.)</w:t>
            </w:r>
          </w:p>
          <w:p w14:paraId="2A2CCB9E" w14:textId="77777777" w:rsidR="00504CD6" w:rsidRDefault="00504CD6" w:rsidP="004A7B44">
            <w:pPr>
              <w:pStyle w:val="TableTextNumbersBullet"/>
              <w:ind w:left="576" w:hanging="288"/>
            </w:pPr>
            <w:r>
              <w:t>Irradiate</w:t>
            </w:r>
          </w:p>
          <w:p w14:paraId="138C390E" w14:textId="77777777" w:rsidR="00504CD6" w:rsidRDefault="00504CD6" w:rsidP="004A7B44">
            <w:pPr>
              <w:pStyle w:val="TableTextNumbersBullet"/>
              <w:ind w:left="576" w:hanging="288"/>
            </w:pPr>
            <w:r>
              <w:t>Leukoreduce</w:t>
            </w:r>
          </w:p>
          <w:p w14:paraId="05757A99" w14:textId="77777777" w:rsidR="00504CD6" w:rsidRDefault="00504CD6" w:rsidP="004A7B44">
            <w:pPr>
              <w:pStyle w:val="TableTextNumbersBullet"/>
              <w:ind w:left="576" w:hanging="288"/>
            </w:pPr>
            <w:r>
              <w:t>Volume Reduce</w:t>
            </w:r>
          </w:p>
          <w:p w14:paraId="06ECEF04" w14:textId="77777777" w:rsidR="00504CD6" w:rsidRDefault="00504CD6" w:rsidP="004A7B44">
            <w:pPr>
              <w:pStyle w:val="TableTextNumbersBullet"/>
              <w:ind w:left="576" w:hanging="288"/>
            </w:pPr>
            <w:r>
              <w:t>Wash</w:t>
            </w:r>
          </w:p>
          <w:p w14:paraId="4A9A1F1B" w14:textId="77777777" w:rsidR="00504CD6" w:rsidRDefault="00504CD6" w:rsidP="004A7B44">
            <w:pPr>
              <w:pStyle w:val="TableTextNumbersBullet"/>
              <w:ind w:left="576" w:hanging="288"/>
            </w:pPr>
            <w:r>
              <w:t xml:space="preserve">Rejuvenate </w:t>
            </w:r>
          </w:p>
          <w:p w14:paraId="15A8208F" w14:textId="77777777" w:rsidR="00504CD6" w:rsidRDefault="00504CD6" w:rsidP="004A7B44">
            <w:pPr>
              <w:pStyle w:val="TableTextNumbersBullet"/>
              <w:ind w:left="576" w:hanging="288"/>
            </w:pPr>
            <w:r>
              <w:t xml:space="preserve">Freeze </w:t>
            </w:r>
          </w:p>
          <w:p w14:paraId="6DF5C7F1" w14:textId="77777777" w:rsidR="00504CD6" w:rsidRDefault="00504CD6" w:rsidP="004A7B44">
            <w:pPr>
              <w:pStyle w:val="TableTextNumbersBullet"/>
              <w:ind w:left="576" w:hanging="288"/>
            </w:pPr>
            <w:r>
              <w:t>Deglycerolize</w:t>
            </w:r>
          </w:p>
          <w:p w14:paraId="09045906" w14:textId="77777777" w:rsidR="00504CD6" w:rsidRDefault="00504CD6" w:rsidP="004A7B44">
            <w:pPr>
              <w:pStyle w:val="TableTextNumbersBullet"/>
              <w:ind w:left="576" w:hanging="288"/>
            </w:pPr>
            <w:r>
              <w:t>Add/Remove Units from Pool (See Add/Remove Units from a Pool.)</w:t>
            </w:r>
          </w:p>
        </w:tc>
        <w:tc>
          <w:tcPr>
            <w:tcW w:w="6120" w:type="dxa"/>
          </w:tcPr>
          <w:p w14:paraId="06D7E106" w14:textId="77777777" w:rsidR="00504CD6" w:rsidRDefault="00504CD6" w:rsidP="00C92722">
            <w:pPr>
              <w:pStyle w:val="TableTextBullet"/>
            </w:pPr>
            <w:r>
              <w:t>Allows the user to enter data based on the modification type selected.</w:t>
            </w:r>
          </w:p>
          <w:p w14:paraId="22E04C3E" w14:textId="77777777" w:rsidR="00504CD6" w:rsidRDefault="00504CD6" w:rsidP="00C92722">
            <w:pPr>
              <w:pStyle w:val="TableTextBullet"/>
            </w:pPr>
            <w:r>
              <w:t>Allows the user to select a different processing technologist.</w:t>
            </w:r>
          </w:p>
          <w:p w14:paraId="11D9AEAF" w14:textId="77777777" w:rsidR="00504CD6" w:rsidRDefault="00504CD6" w:rsidP="00C92722">
            <w:pPr>
              <w:pStyle w:val="TableTextBullet"/>
            </w:pPr>
            <w:r>
              <w:t>Displays only modifications enabled for the division.</w:t>
            </w:r>
          </w:p>
          <w:p w14:paraId="670F1FFA" w14:textId="77777777" w:rsidR="00504CD6" w:rsidRDefault="00504CD6" w:rsidP="00C92722">
            <w:pPr>
              <w:pStyle w:val="NotesText"/>
            </w:pPr>
          </w:p>
        </w:tc>
      </w:tr>
      <w:tr w:rsidR="002A21AE" w14:paraId="5C882EB7" w14:textId="77777777">
        <w:tc>
          <w:tcPr>
            <w:tcW w:w="3240" w:type="dxa"/>
          </w:tcPr>
          <w:p w14:paraId="753BC02A" w14:textId="22158006" w:rsidR="0039783A" w:rsidRDefault="0039783A" w:rsidP="0007120F">
            <w:pPr>
              <w:pStyle w:val="TableTextNumbers"/>
            </w:pPr>
            <w:r>
              <w:t>Click a radio button to select a modification method, if required:</w:t>
            </w:r>
          </w:p>
          <w:p w14:paraId="2DDD3C93" w14:textId="0EA22877" w:rsidR="00B87C33" w:rsidRDefault="00B87C33" w:rsidP="00B87C33">
            <w:pPr>
              <w:pStyle w:val="TableTextNumbersBullet"/>
              <w:ind w:left="576" w:hanging="288"/>
            </w:pPr>
            <w:r>
              <w:t>Open</w:t>
            </w:r>
          </w:p>
          <w:p w14:paraId="7DF7210A" w14:textId="3035A87E" w:rsidR="00B87C33" w:rsidRDefault="00B87C33" w:rsidP="00B87C33">
            <w:pPr>
              <w:pStyle w:val="TableTextNumbersBullet"/>
              <w:ind w:left="576" w:hanging="288"/>
            </w:pPr>
            <w:r>
              <w:t>Closed</w:t>
            </w:r>
          </w:p>
          <w:p w14:paraId="158DAE56" w14:textId="016AEBDA" w:rsidR="00B87C33" w:rsidRDefault="00B87C33" w:rsidP="00B87C33">
            <w:pPr>
              <w:pStyle w:val="TableTextNumbersBullet"/>
              <w:ind w:left="576" w:hanging="288"/>
            </w:pPr>
            <w:r>
              <w:t>Sterile Connection Device</w:t>
            </w:r>
          </w:p>
          <w:p w14:paraId="7DE6BAAC" w14:textId="171DBFEB" w:rsidR="00B87C33" w:rsidRDefault="00B87C33" w:rsidP="00B87C33">
            <w:pPr>
              <w:pStyle w:val="TableTextNumbersBullet"/>
              <w:numPr>
                <w:ilvl w:val="0"/>
                <w:numId w:val="0"/>
              </w:numPr>
              <w:ind w:left="288"/>
            </w:pPr>
            <w:r>
              <w:t>(</w:t>
            </w:r>
            <w:r w:rsidR="00EE455E">
              <w:t xml:space="preserve">Figure </w:t>
            </w:r>
            <w:r w:rsidR="00EE455E">
              <w:rPr>
                <w:noProof/>
              </w:rPr>
              <w:t>60</w:t>
            </w:r>
            <w:r>
              <w:t>)</w:t>
            </w:r>
          </w:p>
          <w:p w14:paraId="339F65A3" w14:textId="77777777" w:rsidR="0039783A" w:rsidRDefault="0039783A" w:rsidP="0039783A">
            <w:pPr>
              <w:pStyle w:val="TableTextNumbers"/>
              <w:numPr>
                <w:ilvl w:val="0"/>
                <w:numId w:val="0"/>
              </w:numPr>
            </w:pPr>
          </w:p>
          <w:p w14:paraId="6B923CE0" w14:textId="38BF6886" w:rsidR="00AA3DF4" w:rsidRDefault="0007120F" w:rsidP="00B87C33">
            <w:pPr>
              <w:pStyle w:val="TableTextNumbers"/>
              <w:numPr>
                <w:ilvl w:val="0"/>
                <w:numId w:val="0"/>
              </w:numPr>
              <w:ind w:left="288"/>
            </w:pPr>
            <w:r>
              <w:t xml:space="preserve">Click the </w:t>
            </w:r>
            <w:r w:rsidRPr="00764A64">
              <w:rPr>
                <w:b/>
              </w:rPr>
              <w:t>Weld Complete</w:t>
            </w:r>
            <w:r>
              <w:t xml:space="preserve"> or </w:t>
            </w:r>
            <w:r w:rsidRPr="00764A64">
              <w:rPr>
                <w:b/>
              </w:rPr>
              <w:t xml:space="preserve">Weld Incomplete </w:t>
            </w:r>
            <w:r w:rsidRPr="00BF2E41">
              <w:t>radio button</w:t>
            </w:r>
            <w:r>
              <w:t xml:space="preserve"> to indicate the integrity of the SCD weld, when indicated.</w:t>
            </w:r>
          </w:p>
        </w:tc>
        <w:tc>
          <w:tcPr>
            <w:tcW w:w="6120" w:type="dxa"/>
          </w:tcPr>
          <w:p w14:paraId="64363E41" w14:textId="77777777" w:rsidR="002A21AE" w:rsidRDefault="002A21AE">
            <w:pPr>
              <w:pStyle w:val="TableTextBullet"/>
            </w:pPr>
            <w:r>
              <w:t>Displays the selected method.</w:t>
            </w:r>
          </w:p>
          <w:p w14:paraId="0FFF3E93" w14:textId="77777777" w:rsidR="002A21AE" w:rsidRDefault="002A21AE" w:rsidP="0009404D">
            <w:pPr>
              <w:pStyle w:val="TableText"/>
            </w:pPr>
          </w:p>
          <w:p w14:paraId="4E1043A6" w14:textId="06762B3E" w:rsidR="002A21AE" w:rsidRDefault="002A21AE">
            <w:pPr>
              <w:pStyle w:val="TableText"/>
              <w:rPr>
                <w:b/>
                <w:bCs/>
                <w:szCs w:val="18"/>
              </w:rPr>
            </w:pPr>
            <w:r>
              <w:rPr>
                <w:b/>
                <w:bCs/>
                <w:szCs w:val="18"/>
              </w:rPr>
              <w:t>NOTES</w:t>
            </w:r>
          </w:p>
          <w:p w14:paraId="610024A0" w14:textId="77777777" w:rsidR="002A21AE" w:rsidRDefault="002A21AE">
            <w:pPr>
              <w:pStyle w:val="NotesText"/>
            </w:pPr>
          </w:p>
          <w:p w14:paraId="5D89E87D" w14:textId="77777777" w:rsidR="002A21AE" w:rsidRDefault="002A21AE">
            <w:pPr>
              <w:pStyle w:val="NotesText"/>
            </w:pPr>
            <w:r>
              <w:rPr>
                <w:rFonts w:cs="Arial"/>
                <w:vanish/>
              </w:rPr>
              <w:t xml:space="preserve">BR_26.22 </w:t>
            </w:r>
            <w:r>
              <w:t xml:space="preserve">VBECS stores the date and time for the original unit when it is modified. The </w:t>
            </w:r>
            <w:r w:rsidR="00600F6F">
              <w:t xml:space="preserve">modification </w:t>
            </w:r>
            <w:r>
              <w:t>date and time are also stored as the creation time for the target unit</w:t>
            </w:r>
            <w:r w:rsidR="00071143">
              <w:t xml:space="preserve"> for splits and pools only</w:t>
            </w:r>
            <w:r>
              <w:t>.</w:t>
            </w:r>
          </w:p>
          <w:p w14:paraId="0EA8DF80" w14:textId="77777777" w:rsidR="002A21AE" w:rsidRDefault="002A21AE">
            <w:pPr>
              <w:pStyle w:val="NotesText"/>
            </w:pPr>
          </w:p>
          <w:p w14:paraId="7F92EE0A" w14:textId="77777777" w:rsidR="002A21AE" w:rsidRDefault="002A21AE">
            <w:pPr>
              <w:pStyle w:val="NotesText"/>
            </w:pPr>
            <w:r>
              <w:rPr>
                <w:rFonts w:cs="Arial"/>
                <w:vanish/>
              </w:rPr>
              <w:t xml:space="preserve">BR_26.37 </w:t>
            </w:r>
            <w:r>
              <w:t>When the modification method is “Open” or “Sterile Connection Device (SCD),” the user must select a container supply type. When the modification method is “Closed,” VBECS does not allow the user to select a container supply type.</w:t>
            </w:r>
          </w:p>
          <w:p w14:paraId="42C2ECD8" w14:textId="77777777" w:rsidR="002A21AE" w:rsidRDefault="002A21AE">
            <w:pPr>
              <w:pStyle w:val="NotesText"/>
            </w:pPr>
          </w:p>
          <w:p w14:paraId="4B04F402" w14:textId="77777777" w:rsidR="002A21AE" w:rsidRDefault="002A21AE">
            <w:pPr>
              <w:pStyle w:val="NotesText"/>
            </w:pPr>
            <w:r>
              <w:rPr>
                <w:rFonts w:cs="Arial"/>
                <w:vanish/>
              </w:rPr>
              <w:t xml:space="preserve">BR_26.30 </w:t>
            </w:r>
            <w:r>
              <w:t>For an SCD modification method, the user must indicate the completeness of the weld</w:t>
            </w:r>
            <w:r w:rsidR="00725E6E">
              <w:t>, in accordance with local policy and procedures. VBECS defines weld status</w:t>
            </w:r>
            <w:r w:rsidR="007E2543">
              <w:t xml:space="preserve"> as</w:t>
            </w:r>
            <w:r>
              <w:t xml:space="preserve">: </w:t>
            </w:r>
          </w:p>
          <w:p w14:paraId="1811CCE4" w14:textId="77777777" w:rsidR="00396A5D" w:rsidRDefault="002A21AE" w:rsidP="00396A5D">
            <w:pPr>
              <w:pStyle w:val="NotesTextBullet"/>
            </w:pPr>
            <w:r>
              <w:t>Complete: the weld is complete and has no leakage or air bubbles.</w:t>
            </w:r>
          </w:p>
          <w:p w14:paraId="7DEE0A56" w14:textId="77777777" w:rsidR="002A21AE" w:rsidRDefault="002A21AE" w:rsidP="00396A5D">
            <w:pPr>
              <w:pStyle w:val="NotesTextBullet"/>
            </w:pPr>
            <w:r>
              <w:t>Incomplete: the weld has a leak or air bubbles are present.</w:t>
            </w:r>
            <w:r w:rsidR="00396A5D">
              <w:t xml:space="preserve"> </w:t>
            </w:r>
            <w:r>
              <w:t xml:space="preserve">VBECS changes the expiration date and time of the unit to those of an open system for that product type. VBECS stores this weld check with the </w:t>
            </w:r>
            <w:r w:rsidR="0051757B">
              <w:t>historic</w:t>
            </w:r>
            <w:r>
              <w:t xml:space="preserve"> record of the target unit created in the modification.</w:t>
            </w:r>
          </w:p>
          <w:p w14:paraId="300F7855" w14:textId="77777777" w:rsidR="0039034C" w:rsidRDefault="0039034C" w:rsidP="004E2963">
            <w:pPr>
              <w:pStyle w:val="NotesText"/>
            </w:pPr>
            <w:r>
              <w:t>The system store</w:t>
            </w:r>
            <w:r w:rsidR="004E2963">
              <w:t>s</w:t>
            </w:r>
            <w:r>
              <w:t xml:space="preserve"> this weld check with the longitudinal record of the target unit </w:t>
            </w:r>
            <w:r w:rsidR="004E2963">
              <w:t>created</w:t>
            </w:r>
            <w:r>
              <w:t>.</w:t>
            </w:r>
          </w:p>
        </w:tc>
      </w:tr>
      <w:tr w:rsidR="002A21AE" w14:paraId="2AFDE545" w14:textId="77777777">
        <w:tc>
          <w:tcPr>
            <w:tcW w:w="3240" w:type="dxa"/>
          </w:tcPr>
          <w:p w14:paraId="6F751A83" w14:textId="77777777" w:rsidR="002A21AE" w:rsidRDefault="00764A64">
            <w:pPr>
              <w:pStyle w:val="TableTextNumbers"/>
            </w:pPr>
            <w:r>
              <w:t xml:space="preserve">Click </w:t>
            </w:r>
            <w:r w:rsidRPr="00764A64">
              <w:rPr>
                <w:b/>
              </w:rPr>
              <w:t>OK</w:t>
            </w:r>
            <w:r>
              <w:t xml:space="preserve"> to a</w:t>
            </w:r>
            <w:r w:rsidR="002A21AE">
              <w:t xml:space="preserve">ccept </w:t>
            </w:r>
            <w:r w:rsidR="00403743">
              <w:t>the selected method</w:t>
            </w:r>
            <w:r>
              <w:t xml:space="preserve">, </w:t>
            </w:r>
            <w:r w:rsidR="002A21AE">
              <w:t xml:space="preserve">or edit </w:t>
            </w:r>
            <w:r>
              <w:t>it</w:t>
            </w:r>
            <w:r w:rsidR="002A21AE">
              <w:t>.</w:t>
            </w:r>
          </w:p>
        </w:tc>
        <w:tc>
          <w:tcPr>
            <w:tcW w:w="6120" w:type="dxa"/>
          </w:tcPr>
          <w:p w14:paraId="7A871357" w14:textId="77777777" w:rsidR="002A21AE" w:rsidRDefault="002A21AE">
            <w:pPr>
              <w:pStyle w:val="TableTextBullet"/>
            </w:pPr>
            <w:r>
              <w:t>Allows the user to scan, enter, or select units to modify.</w:t>
            </w:r>
          </w:p>
        </w:tc>
      </w:tr>
      <w:tr w:rsidR="002A21AE" w14:paraId="51C12A53" w14:textId="77777777" w:rsidTr="006C058D">
        <w:trPr>
          <w:cantSplit/>
        </w:trPr>
        <w:tc>
          <w:tcPr>
            <w:tcW w:w="3240" w:type="dxa"/>
          </w:tcPr>
          <w:p w14:paraId="69515ADC" w14:textId="77777777" w:rsidR="002A21AE" w:rsidRDefault="002A21AE">
            <w:pPr>
              <w:pStyle w:val="TableTextNumbers"/>
            </w:pPr>
            <w:r>
              <w:t>Scan, enter, or select the ID and product code of the unit to be modified.</w:t>
            </w:r>
          </w:p>
        </w:tc>
        <w:tc>
          <w:tcPr>
            <w:tcW w:w="6120" w:type="dxa"/>
          </w:tcPr>
          <w:p w14:paraId="71179F1B" w14:textId="77777777" w:rsidR="002A21AE" w:rsidRDefault="002A21AE">
            <w:pPr>
              <w:pStyle w:val="TableTextBullet"/>
            </w:pPr>
            <w:r>
              <w:t>Displays current data for the selected unit.</w:t>
            </w:r>
          </w:p>
          <w:p w14:paraId="323FD24F" w14:textId="77777777" w:rsidR="002A21AE" w:rsidRDefault="002A21AE">
            <w:pPr>
              <w:pStyle w:val="TableTextBullet"/>
            </w:pPr>
            <w:r>
              <w:t>Verifies the appropriateness of the selected unit based on system rules and truth tables and displays error and warning messages based on the modification type selected and the user’s security level.</w:t>
            </w:r>
          </w:p>
          <w:p w14:paraId="5573F225" w14:textId="77777777" w:rsidR="002A21AE" w:rsidRDefault="002A21AE">
            <w:pPr>
              <w:pStyle w:val="TableTextBullet"/>
            </w:pPr>
            <w:r>
              <w:t>Prompts the user to continue with the selected unit or select a new unit based on the data in the review window.</w:t>
            </w:r>
          </w:p>
          <w:p w14:paraId="5C1D604A" w14:textId="77777777" w:rsidR="002A21AE" w:rsidRDefault="002A21AE">
            <w:pPr>
              <w:pStyle w:val="TableText"/>
            </w:pPr>
          </w:p>
          <w:p w14:paraId="6E03D178" w14:textId="7E65A490" w:rsidR="002A21AE" w:rsidRDefault="002A21AE">
            <w:pPr>
              <w:pStyle w:val="TableText"/>
              <w:rPr>
                <w:b/>
                <w:bCs/>
                <w:szCs w:val="18"/>
              </w:rPr>
            </w:pPr>
            <w:r>
              <w:rPr>
                <w:b/>
                <w:bCs/>
                <w:szCs w:val="18"/>
              </w:rPr>
              <w:t>NOTES</w:t>
            </w:r>
          </w:p>
          <w:p w14:paraId="2387D996" w14:textId="77777777" w:rsidR="002A21AE" w:rsidRDefault="002A21AE">
            <w:pPr>
              <w:pStyle w:val="NotesText"/>
            </w:pPr>
          </w:p>
          <w:p w14:paraId="2DB32609" w14:textId="31E3E320" w:rsidR="002A21AE" w:rsidRDefault="002A21AE">
            <w:pPr>
              <w:pStyle w:val="NotesText"/>
              <w:rPr>
                <w:rFonts w:cs="Arial"/>
              </w:rPr>
            </w:pPr>
            <w:r>
              <w:rPr>
                <w:rFonts w:cs="Arial"/>
                <w:vanish/>
              </w:rPr>
              <w:t xml:space="preserve">BR_26.43 </w:t>
            </w:r>
            <w:r w:rsidR="0039034C" w:rsidRPr="00CF3A1F">
              <w:rPr>
                <w:rFonts w:cs="Arial"/>
              </w:rPr>
              <w:t>The modification</w:t>
            </w:r>
            <w:r w:rsidR="0039034C">
              <w:rPr>
                <w:rFonts w:cs="Arial"/>
              </w:rPr>
              <w:t xml:space="preserve"> types</w:t>
            </w:r>
            <w:r w:rsidR="0039034C" w:rsidRPr="00CF3A1F">
              <w:rPr>
                <w:rFonts w:cs="Arial"/>
              </w:rPr>
              <w:t xml:space="preserve"> are </w:t>
            </w:r>
            <w:r w:rsidR="0039034C">
              <w:rPr>
                <w:rFonts w:cs="Arial"/>
              </w:rPr>
              <w:t>presented in the</w:t>
            </w:r>
            <w:r w:rsidR="00F14DF3">
              <w:rPr>
                <w:rFonts w:cs="Arial"/>
              </w:rPr>
              <w:t xml:space="preserve"> sort order displayed</w:t>
            </w:r>
            <w:r w:rsidR="0039034C">
              <w:rPr>
                <w:rFonts w:cs="Arial"/>
              </w:rPr>
              <w:t xml:space="preserve"> followed by </w:t>
            </w:r>
            <w:r w:rsidR="0039034C" w:rsidRPr="009E0726">
              <w:rPr>
                <w:rFonts w:cs="Arial"/>
              </w:rPr>
              <w:t>Add/Remove Units from Pool</w:t>
            </w:r>
            <w:r w:rsidR="0039034C">
              <w:rPr>
                <w:rFonts w:cs="Arial"/>
              </w:rPr>
              <w:t>.</w:t>
            </w:r>
          </w:p>
          <w:p w14:paraId="0E8D0C82" w14:textId="77777777" w:rsidR="006F799E" w:rsidRDefault="006F799E">
            <w:pPr>
              <w:pStyle w:val="NotesText"/>
            </w:pPr>
          </w:p>
          <w:p w14:paraId="2EB53BDC" w14:textId="77777777" w:rsidR="00B00DEF" w:rsidRDefault="00B00DEF" w:rsidP="00B00DEF">
            <w:pPr>
              <w:pStyle w:val="NotesText"/>
            </w:pPr>
            <w:r>
              <w:rPr>
                <w:rFonts w:cs="Arial"/>
                <w:vanish/>
              </w:rPr>
              <w:t xml:space="preserve">BR_5.03 </w:t>
            </w:r>
            <w:r>
              <w:t xml:space="preserve">The user may select only active units and those not in an inactive or final status. </w:t>
            </w:r>
          </w:p>
          <w:p w14:paraId="79C624CF" w14:textId="77777777" w:rsidR="002A21AE" w:rsidRDefault="002A21AE">
            <w:pPr>
              <w:pStyle w:val="NotesText"/>
            </w:pPr>
          </w:p>
          <w:p w14:paraId="417F1AC0" w14:textId="77777777" w:rsidR="002A21AE" w:rsidRDefault="002A21AE">
            <w:pPr>
              <w:pStyle w:val="NotesText"/>
            </w:pPr>
            <w:r w:rsidRPr="00636659">
              <w:rPr>
                <w:rFonts w:cs="Arial"/>
                <w:vanish/>
                <w:color w:val="0000FF"/>
              </w:rPr>
              <w:t>BR_26.33</w:t>
            </w:r>
            <w:r>
              <w:rPr>
                <w:rFonts w:cs="Arial"/>
                <w:vanish/>
              </w:rPr>
              <w:t xml:space="preserve"> </w:t>
            </w:r>
            <w:r>
              <w:t>When the user selects a status other than “limited,” “available,” “assigned,” or “crossmatched” for an original unit, VBECS warns the user. There is no override.</w:t>
            </w:r>
          </w:p>
          <w:p w14:paraId="443213D6" w14:textId="77777777" w:rsidR="002A21AE" w:rsidRDefault="002A21AE">
            <w:pPr>
              <w:pStyle w:val="NotesText"/>
            </w:pPr>
          </w:p>
          <w:p w14:paraId="502FDBA6" w14:textId="0DBDBAB0" w:rsidR="002A21AE" w:rsidRDefault="002A21AE">
            <w:pPr>
              <w:pStyle w:val="NotesText"/>
            </w:pPr>
            <w:r w:rsidRPr="00FD2A6F">
              <w:rPr>
                <w:rFonts w:cs="Arial"/>
                <w:vanish/>
                <w:color w:val="0000FF"/>
              </w:rPr>
              <w:t>BR_26.36</w:t>
            </w:r>
            <w:r>
              <w:rPr>
                <w:rFonts w:cs="Arial"/>
                <w:vanish/>
              </w:rPr>
              <w:t xml:space="preserve"> </w:t>
            </w:r>
            <w:r>
              <w:t>When the selected unit is not appropriate for the modification type selected, VBECS warns the user and instructs him to verify the selected unit and modification type. There is no override. When the unit is expired or quarantined, VBECS displays an error message.</w:t>
            </w:r>
            <w:r w:rsidR="00643699">
              <w:t xml:space="preserve"> </w:t>
            </w:r>
            <w:r w:rsidR="00643699">
              <w:rPr>
                <w:rFonts w:cs="Arial"/>
                <w:szCs w:val="18"/>
              </w:rPr>
              <w:t>When multiple selected units that individually may be pooled or thaw/pooled, but together do not have a target product, the system does not display this warning message.</w:t>
            </w:r>
            <w:r w:rsidR="001B5B84">
              <w:rPr>
                <w:rFonts w:cs="Arial"/>
                <w:szCs w:val="18"/>
              </w:rPr>
              <w:t xml:space="preserve"> </w:t>
            </w:r>
            <w:r w:rsidR="00DE7D81" w:rsidRPr="00DE7D81">
              <w:rPr>
                <w:rFonts w:cs="Arial"/>
                <w:vanish/>
                <w:szCs w:val="18"/>
              </w:rPr>
              <w:t>Task 733924</w:t>
            </w:r>
          </w:p>
          <w:p w14:paraId="570A4027" w14:textId="77777777" w:rsidR="002A21AE" w:rsidRDefault="002A21AE">
            <w:pPr>
              <w:pStyle w:val="NotesText"/>
            </w:pPr>
          </w:p>
          <w:p w14:paraId="3F4BF1A2" w14:textId="77777777" w:rsidR="002A21AE" w:rsidRDefault="002A21AE">
            <w:pPr>
              <w:pStyle w:val="NotesText"/>
            </w:pPr>
            <w:r>
              <w:rPr>
                <w:rFonts w:cs="Arial"/>
                <w:vanish/>
              </w:rPr>
              <w:t xml:space="preserve">BR_26.09 </w:t>
            </w:r>
            <w:r>
              <w:t>The user may select units containing red blood cells chosen for rejuvenation within three full days past their labeled expiration date. (For example, when a unit’s expiration date is the current day, VBECS counts this day as “day 0,” the next day as “day 1,” etc. The last acceptable date and time for selection is day 3 at 23:59). After this three-day period, VBECS considers the unit to be expired.</w:t>
            </w:r>
          </w:p>
          <w:p w14:paraId="5F81A90B" w14:textId="77777777" w:rsidR="002A21AE" w:rsidRDefault="002A21AE">
            <w:pPr>
              <w:pStyle w:val="NotesText"/>
            </w:pPr>
          </w:p>
          <w:p w14:paraId="0C3EF8FF" w14:textId="77777777" w:rsidR="002A21AE" w:rsidRDefault="002A21AE">
            <w:pPr>
              <w:pStyle w:val="NotesText"/>
            </w:pPr>
            <w:r>
              <w:rPr>
                <w:rFonts w:cs="Arial"/>
                <w:vanish/>
              </w:rPr>
              <w:t xml:space="preserve">BR_26.41 </w:t>
            </w:r>
            <w:r>
              <w:t>When the modification type is “volume reduce,” VBECS records the discarded plasma volume on the unit record. Otherwise, the user may not edit the Discarded Plasma Volume field. The discarded plasma volume may not be “0” (zero).</w:t>
            </w:r>
          </w:p>
          <w:p w14:paraId="66E2F4A0" w14:textId="77777777" w:rsidR="008847B8" w:rsidRDefault="008847B8">
            <w:pPr>
              <w:pStyle w:val="NotesText"/>
            </w:pPr>
          </w:p>
          <w:p w14:paraId="2BCF7B7D" w14:textId="27AA20FB" w:rsidR="002A21AE" w:rsidRDefault="002A21AE" w:rsidP="006A576D">
            <w:pPr>
              <w:pStyle w:val="NotesText"/>
            </w:pPr>
            <w:r w:rsidRPr="00896F17">
              <w:rPr>
                <w:rStyle w:val="BullhornChar"/>
              </w:rPr>
              <w:t></w:t>
            </w:r>
            <w:r w:rsidR="00C51C45" w:rsidRPr="00C51C45">
              <w:t xml:space="preserve"> </w:t>
            </w:r>
            <w:r>
              <w:t xml:space="preserve">See </w:t>
            </w:r>
            <w:r w:rsidR="00EE455E">
              <w:t xml:space="preserve">Table </w:t>
            </w:r>
            <w:r w:rsidR="00EE455E">
              <w:rPr>
                <w:noProof/>
              </w:rPr>
              <w:t>5</w:t>
            </w:r>
            <w:r w:rsidR="006A576D">
              <w:t xml:space="preserve"> </w:t>
            </w:r>
            <w:r>
              <w:t>for alerts that may occur during this option.</w:t>
            </w:r>
          </w:p>
        </w:tc>
      </w:tr>
      <w:tr w:rsidR="002A21AE" w14:paraId="3CC50B97" w14:textId="77777777">
        <w:tc>
          <w:tcPr>
            <w:tcW w:w="3240" w:type="dxa"/>
          </w:tcPr>
          <w:p w14:paraId="7A8189AA" w14:textId="77777777" w:rsidR="002A21AE" w:rsidRDefault="00764A64">
            <w:pPr>
              <w:pStyle w:val="TableTextNumbers"/>
            </w:pPr>
            <w:r>
              <w:t xml:space="preserve">Click </w:t>
            </w:r>
            <w:r w:rsidRPr="00764A64">
              <w:rPr>
                <w:b/>
              </w:rPr>
              <w:t>OK</w:t>
            </w:r>
            <w:r>
              <w:t xml:space="preserve"> to accept </w:t>
            </w:r>
            <w:r w:rsidR="002A21AE">
              <w:t xml:space="preserve">the unit for modification. </w:t>
            </w:r>
          </w:p>
        </w:tc>
        <w:tc>
          <w:tcPr>
            <w:tcW w:w="6120" w:type="dxa"/>
          </w:tcPr>
          <w:p w14:paraId="568B44F4" w14:textId="77777777" w:rsidR="002A21AE" w:rsidRDefault="002A21AE">
            <w:pPr>
              <w:pStyle w:val="TableTextBullet"/>
            </w:pPr>
            <w:r>
              <w:t xml:space="preserve">When the modification type is “thaw” or “irradiate,” </w:t>
            </w:r>
            <w:r w:rsidR="00971715">
              <w:t>allows</w:t>
            </w:r>
            <w:r>
              <w:t xml:space="preserve"> the user to select additional units to process or to continue processing the selected units. Otherwise, go to Step 8.</w:t>
            </w:r>
          </w:p>
          <w:p w14:paraId="37E12AC5" w14:textId="77777777" w:rsidR="002A21AE" w:rsidRDefault="002A21AE">
            <w:pPr>
              <w:pStyle w:val="TableText"/>
            </w:pPr>
          </w:p>
          <w:p w14:paraId="54329125" w14:textId="1C672D9D" w:rsidR="002A21AE" w:rsidRDefault="002A21AE">
            <w:pPr>
              <w:pStyle w:val="TableText"/>
              <w:rPr>
                <w:b/>
                <w:bCs/>
                <w:szCs w:val="18"/>
              </w:rPr>
            </w:pPr>
            <w:r>
              <w:rPr>
                <w:b/>
                <w:bCs/>
                <w:szCs w:val="18"/>
              </w:rPr>
              <w:t>NOTES</w:t>
            </w:r>
          </w:p>
          <w:p w14:paraId="32F72085" w14:textId="77777777" w:rsidR="002A21AE" w:rsidRDefault="002A21AE">
            <w:pPr>
              <w:pStyle w:val="NotesText"/>
            </w:pPr>
          </w:p>
          <w:p w14:paraId="4DA74D41" w14:textId="77777777" w:rsidR="002A21AE" w:rsidRDefault="002A21AE">
            <w:pPr>
              <w:pStyle w:val="NotesText"/>
            </w:pPr>
            <w:r>
              <w:rPr>
                <w:rFonts w:cs="Arial"/>
                <w:vanish/>
              </w:rPr>
              <w:t xml:space="preserve">BR_26.02 </w:t>
            </w:r>
            <w:r>
              <w:t>The user may process multiple products in a batch when the units are thawed or irradiated. The creation date and time apply to all units in the batch.</w:t>
            </w:r>
          </w:p>
          <w:p w14:paraId="264BA6A2" w14:textId="77777777" w:rsidR="003C1A05" w:rsidRDefault="003C1A05">
            <w:pPr>
              <w:pStyle w:val="NotesText"/>
            </w:pPr>
          </w:p>
          <w:p w14:paraId="3F445D88" w14:textId="77777777" w:rsidR="003C1A05" w:rsidRDefault="003C1A05" w:rsidP="003C1A05">
            <w:pPr>
              <w:pStyle w:val="NotesText"/>
            </w:pPr>
            <w:r w:rsidRPr="003C1A05">
              <w:rPr>
                <w:vanish/>
              </w:rPr>
              <w:t xml:space="preserve">BR_29.04 </w:t>
            </w:r>
            <w:r w:rsidR="000A126F">
              <w:t>VBECS</w:t>
            </w:r>
            <w:r>
              <w:t xml:space="preserve"> record</w:t>
            </w:r>
            <w:r w:rsidR="000A126F">
              <w:t xml:space="preserve">s the </w:t>
            </w:r>
            <w:r>
              <w:t>codes/costs assigned or unassigned with a date/time stam</w:t>
            </w:r>
            <w:r w:rsidR="000A126F">
              <w:t xml:space="preserve">p and the user ID and </w:t>
            </w:r>
            <w:r>
              <w:t>user name on any reports of the person creating the update.</w:t>
            </w:r>
          </w:p>
        </w:tc>
      </w:tr>
      <w:tr w:rsidR="002A21AE" w14:paraId="4A948136" w14:textId="77777777" w:rsidTr="006C058D">
        <w:trPr>
          <w:cantSplit/>
        </w:trPr>
        <w:tc>
          <w:tcPr>
            <w:tcW w:w="3240" w:type="dxa"/>
          </w:tcPr>
          <w:p w14:paraId="287B3CC7" w14:textId="78E5D9D5" w:rsidR="002A21AE" w:rsidRDefault="00F437F8" w:rsidP="00751755">
            <w:pPr>
              <w:pStyle w:val="TableTextNumbers"/>
            </w:pPr>
            <w:r>
              <w:t xml:space="preserve">Click the </w:t>
            </w:r>
            <w:r w:rsidRPr="00751755">
              <w:rPr>
                <w:b/>
              </w:rPr>
              <w:t>Container</w:t>
            </w:r>
            <w:r>
              <w:t xml:space="preserve">, </w:t>
            </w:r>
            <w:r w:rsidRPr="00751755">
              <w:rPr>
                <w:b/>
              </w:rPr>
              <w:t>Supplies</w:t>
            </w:r>
            <w:r w:rsidRPr="007B7DEC">
              <w:t>,</w:t>
            </w:r>
            <w:r w:rsidR="0023261D">
              <w:t xml:space="preserve"> </w:t>
            </w:r>
            <w:r w:rsidRPr="00751755">
              <w:rPr>
                <w:b/>
              </w:rPr>
              <w:t>Equipment</w:t>
            </w:r>
            <w:r w:rsidRPr="007B7DEC">
              <w:t>, or</w:t>
            </w:r>
            <w:r w:rsidRPr="00751755">
              <w:rPr>
                <w:b/>
              </w:rPr>
              <w:t xml:space="preserve"> SCD Wafer </w:t>
            </w:r>
            <w:r w:rsidRPr="00CC3C89">
              <w:t>tab</w:t>
            </w:r>
            <w:r w:rsidR="00764A64" w:rsidRPr="00CC3C89">
              <w:t xml:space="preserve"> </w:t>
            </w:r>
            <w:r w:rsidR="00764A64">
              <w:t>and enter</w:t>
            </w:r>
            <w:r w:rsidR="002A21AE">
              <w:t xml:space="preserve"> </w:t>
            </w:r>
            <w:r w:rsidR="00764A64">
              <w:t>an</w:t>
            </w:r>
            <w:r w:rsidR="002A21AE">
              <w:t>other supply and</w:t>
            </w:r>
            <w:r w:rsidR="00764A64">
              <w:t>/</w:t>
            </w:r>
            <w:r w:rsidR="002A21AE">
              <w:t>or equipment lot or ID number</w:t>
            </w:r>
            <w:r w:rsidR="00443BD5">
              <w:t xml:space="preserve"> (</w:t>
            </w:r>
            <w:r w:rsidR="00EE455E">
              <w:t xml:space="preserve">Figure </w:t>
            </w:r>
            <w:r w:rsidR="00EE455E">
              <w:rPr>
                <w:noProof/>
              </w:rPr>
              <w:t>61</w:t>
            </w:r>
            <w:r w:rsidR="00443BD5">
              <w:t>)</w:t>
            </w:r>
            <w:r w:rsidR="002A21AE">
              <w:t xml:space="preserve">. </w:t>
            </w:r>
          </w:p>
          <w:p w14:paraId="1AD7712B" w14:textId="77777777" w:rsidR="002A21AE" w:rsidRDefault="002A21AE">
            <w:pPr>
              <w:pStyle w:val="TableTextNumbers"/>
              <w:numPr>
                <w:ilvl w:val="0"/>
                <w:numId w:val="0"/>
              </w:numPr>
            </w:pPr>
          </w:p>
        </w:tc>
        <w:tc>
          <w:tcPr>
            <w:tcW w:w="6120" w:type="dxa"/>
          </w:tcPr>
          <w:p w14:paraId="561D2E0D" w14:textId="77777777" w:rsidR="002A21AE" w:rsidRDefault="002A21AE">
            <w:pPr>
              <w:pStyle w:val="TableTextBullet"/>
            </w:pPr>
            <w:r>
              <w:t>Calculates and displays a default expiration date and time of the target unit based on rules specific to the original blood product, the modification type, and processing conditions (open, closed); prompts the user to accept the date and time; and allows the user to edit them.</w:t>
            </w:r>
          </w:p>
          <w:p w14:paraId="387C81BD" w14:textId="77777777" w:rsidR="002A21AE" w:rsidRDefault="002A21AE">
            <w:pPr>
              <w:pStyle w:val="TableText"/>
            </w:pPr>
          </w:p>
          <w:p w14:paraId="1B8A0169" w14:textId="3D4D98E8" w:rsidR="002A21AE" w:rsidRDefault="002A21AE">
            <w:pPr>
              <w:pStyle w:val="TableText"/>
              <w:rPr>
                <w:b/>
                <w:bCs/>
                <w:szCs w:val="18"/>
              </w:rPr>
            </w:pPr>
            <w:r>
              <w:rPr>
                <w:b/>
                <w:bCs/>
                <w:szCs w:val="18"/>
              </w:rPr>
              <w:t>NOTES</w:t>
            </w:r>
          </w:p>
          <w:p w14:paraId="1864D324" w14:textId="77777777" w:rsidR="002A21AE" w:rsidRDefault="002A21AE">
            <w:pPr>
              <w:pStyle w:val="NotesText"/>
            </w:pPr>
          </w:p>
          <w:p w14:paraId="6F04D62E" w14:textId="77777777" w:rsidR="002A21AE" w:rsidRDefault="002A21AE">
            <w:pPr>
              <w:pStyle w:val="NotesText"/>
            </w:pPr>
            <w:r>
              <w:rPr>
                <w:rFonts w:cs="Arial"/>
                <w:vanish/>
              </w:rPr>
              <w:t xml:space="preserve">BR_26.31 </w:t>
            </w:r>
            <w:r>
              <w:t xml:space="preserve">VBECS maintains lot and ID numbers entered, the new container lot number in the unit modification record, and the </w:t>
            </w:r>
            <w:r w:rsidR="0051757B">
              <w:t>historic</w:t>
            </w:r>
            <w:r>
              <w:t xml:space="preserve"> record of the target unit.</w:t>
            </w:r>
          </w:p>
          <w:p w14:paraId="27999534" w14:textId="77777777" w:rsidR="002A21AE" w:rsidRDefault="002A21AE">
            <w:pPr>
              <w:pStyle w:val="NotesText"/>
            </w:pPr>
          </w:p>
          <w:p w14:paraId="49FDB459" w14:textId="77777777" w:rsidR="002A21AE" w:rsidRDefault="002A21AE">
            <w:pPr>
              <w:pStyle w:val="NotesText"/>
            </w:pPr>
            <w:r w:rsidRPr="009174D5">
              <w:rPr>
                <w:rFonts w:cs="Arial"/>
                <w:vanish/>
              </w:rPr>
              <w:t>BR_26.45</w:t>
            </w:r>
            <w:r>
              <w:rPr>
                <w:rFonts w:cs="Arial"/>
                <w:vanish/>
              </w:rPr>
              <w:t xml:space="preserve"> </w:t>
            </w:r>
            <w:r>
              <w:t>VBECS checks the inventory system for the supply name, lot numbers, expiration date, and a quantity greater than “0” (zero). VBECS does not allow the user to select supplies with an “unsatisfactory” value in the Inspection field. When the user enters an unsatisfactory supply lot number, VBECS warns the user. The user must select a different supply item.</w:t>
            </w:r>
          </w:p>
          <w:p w14:paraId="24FC869C" w14:textId="77777777" w:rsidR="002A21AE" w:rsidRDefault="002A21AE">
            <w:pPr>
              <w:pStyle w:val="NotesText"/>
            </w:pPr>
          </w:p>
          <w:p w14:paraId="06C4E511" w14:textId="6C1C5154" w:rsidR="002A21AE" w:rsidRDefault="00C51C45" w:rsidP="006A576D">
            <w:pPr>
              <w:pStyle w:val="NotesText"/>
            </w:pPr>
            <w:r w:rsidRPr="00896F17">
              <w:rPr>
                <w:rStyle w:val="BullhornChar"/>
              </w:rPr>
              <w:t></w:t>
            </w:r>
            <w:r w:rsidRPr="00C51C45">
              <w:t xml:space="preserve"> </w:t>
            </w:r>
            <w:r>
              <w:t>See</w:t>
            </w:r>
            <w:r w:rsidR="002A21AE">
              <w:t xml:space="preserve"> </w:t>
            </w:r>
            <w:r w:rsidR="00EE455E">
              <w:t xml:space="preserve">Table </w:t>
            </w:r>
            <w:r w:rsidR="00EE455E">
              <w:rPr>
                <w:noProof/>
              </w:rPr>
              <w:t>5</w:t>
            </w:r>
            <w:r w:rsidR="006A576D">
              <w:t xml:space="preserve"> </w:t>
            </w:r>
            <w:r w:rsidR="002A21AE">
              <w:t>for alerts that may occur during this option.</w:t>
            </w:r>
          </w:p>
        </w:tc>
      </w:tr>
      <w:tr w:rsidR="002A21AE" w14:paraId="70C6A68C" w14:textId="77777777">
        <w:tc>
          <w:tcPr>
            <w:tcW w:w="3240" w:type="dxa"/>
          </w:tcPr>
          <w:p w14:paraId="3E2DCBC2" w14:textId="77777777" w:rsidR="002A21AE" w:rsidRDefault="002A21AE">
            <w:pPr>
              <w:pStyle w:val="TableTextNumbers"/>
            </w:pPr>
            <w:r>
              <w:t>Select</w:t>
            </w:r>
            <w:r w:rsidR="00764A64">
              <w:t xml:space="preserve"> a target product type from the drop-down list in the Product field.</w:t>
            </w:r>
          </w:p>
        </w:tc>
        <w:tc>
          <w:tcPr>
            <w:tcW w:w="6120" w:type="dxa"/>
          </w:tcPr>
          <w:p w14:paraId="7DEEB4D4" w14:textId="77777777" w:rsidR="002A21AE" w:rsidRDefault="002A21AE">
            <w:pPr>
              <w:pStyle w:val="TableTextBullet"/>
            </w:pPr>
            <w:r>
              <w:t xml:space="preserve">Displays target component types for the modification, conditions selected, and the original unit product type, and allows the user to select a single </w:t>
            </w:r>
            <w:r w:rsidR="00AF09D3">
              <w:t xml:space="preserve">product </w:t>
            </w:r>
            <w:r>
              <w:t>type.</w:t>
            </w:r>
          </w:p>
          <w:p w14:paraId="499C23AC" w14:textId="77777777" w:rsidR="002A21AE" w:rsidRDefault="002A21AE">
            <w:pPr>
              <w:pStyle w:val="TableTextBullet"/>
            </w:pPr>
            <w:r>
              <w:t>Verifies that an active target component was selected and warns the user.</w:t>
            </w:r>
          </w:p>
          <w:p w14:paraId="061164AA" w14:textId="77777777" w:rsidR="002A21AE" w:rsidRDefault="002A21AE">
            <w:pPr>
              <w:pStyle w:val="TableTextBullet"/>
            </w:pPr>
            <w:r>
              <w:t>Allows the user to enter lot and ID numbers (with auto-completion) or select multiple items from the supply and equipment lists.</w:t>
            </w:r>
          </w:p>
          <w:p w14:paraId="644F85CD" w14:textId="77777777" w:rsidR="002A21AE" w:rsidRDefault="002A21AE">
            <w:pPr>
              <w:pStyle w:val="TableTextBullet"/>
            </w:pPr>
            <w:r>
              <w:t>Warns that the target unit is not active and allows the user to activate the target component.</w:t>
            </w:r>
          </w:p>
          <w:p w14:paraId="59CD0494" w14:textId="77777777" w:rsidR="002A21AE" w:rsidRDefault="002A21AE">
            <w:pPr>
              <w:pStyle w:val="TableText"/>
            </w:pPr>
          </w:p>
          <w:p w14:paraId="29358C51" w14:textId="64EFD0F3" w:rsidR="002A21AE" w:rsidRDefault="002A21AE">
            <w:pPr>
              <w:pStyle w:val="TableText"/>
              <w:rPr>
                <w:b/>
                <w:bCs/>
                <w:szCs w:val="18"/>
              </w:rPr>
            </w:pPr>
            <w:r>
              <w:rPr>
                <w:b/>
                <w:bCs/>
                <w:szCs w:val="18"/>
              </w:rPr>
              <w:t>NOTES</w:t>
            </w:r>
          </w:p>
          <w:p w14:paraId="0654BE25" w14:textId="77777777" w:rsidR="002A21AE" w:rsidRDefault="002A21AE">
            <w:pPr>
              <w:pStyle w:val="NotesText"/>
            </w:pPr>
          </w:p>
          <w:p w14:paraId="7C0F4630" w14:textId="36893B41" w:rsidR="002A21AE" w:rsidRDefault="002A21AE">
            <w:pPr>
              <w:pStyle w:val="NotesText"/>
            </w:pPr>
            <w:r>
              <w:rPr>
                <w:rFonts w:cs="Arial"/>
                <w:vanish/>
              </w:rPr>
              <w:t xml:space="preserve">BR_26.13 </w:t>
            </w:r>
            <w:r>
              <w:t>The user must select a modification method (open, closed, Sterile Connection Device) for modification types.</w:t>
            </w:r>
          </w:p>
          <w:p w14:paraId="71049AD7" w14:textId="77777777" w:rsidR="002A21AE" w:rsidRDefault="002A21AE">
            <w:pPr>
              <w:pStyle w:val="NotesText"/>
            </w:pPr>
          </w:p>
          <w:p w14:paraId="58B5309A" w14:textId="77777777" w:rsidR="002A21AE" w:rsidRDefault="002A21AE">
            <w:pPr>
              <w:pStyle w:val="NotesText"/>
            </w:pPr>
            <w:r>
              <w:rPr>
                <w:rFonts w:cs="Arial"/>
                <w:vanish/>
              </w:rPr>
              <w:t xml:space="preserve">BR_26.12 </w:t>
            </w:r>
            <w:r>
              <w:t>VBECS displays available target component types based on ISBT 128 modification rules and site parameters for the division.</w:t>
            </w:r>
            <w:r w:rsidR="00B15FBF">
              <w:t xml:space="preserve"> </w:t>
            </w:r>
            <w:r w:rsidR="00B15FBF" w:rsidRPr="00E14216">
              <w:t>When no target is found, VBECS indicates this to the user and prevents the modification from being saved.</w:t>
            </w:r>
          </w:p>
          <w:p w14:paraId="3A165F95" w14:textId="77777777" w:rsidR="002A21AE" w:rsidRDefault="002A21AE">
            <w:pPr>
              <w:pStyle w:val="NotesText"/>
            </w:pPr>
          </w:p>
          <w:p w14:paraId="075DB697" w14:textId="77777777" w:rsidR="002A21AE" w:rsidRDefault="002A21AE">
            <w:pPr>
              <w:pStyle w:val="NotesText"/>
            </w:pPr>
            <w:r>
              <w:rPr>
                <w:rFonts w:cs="Arial"/>
                <w:vanish/>
              </w:rPr>
              <w:t xml:space="preserve">BR_26.11 </w:t>
            </w:r>
            <w:r>
              <w:t>When the user selects a target component type not marked as active, VBECS warns the user, allows him to mark the target component as active, and returns him to this step in the modification process. Otherwise, VBECS returns the user to this step and allows him to select another target component type.</w:t>
            </w:r>
          </w:p>
          <w:p w14:paraId="31328211" w14:textId="77777777" w:rsidR="002A21AE" w:rsidRDefault="002A21AE">
            <w:pPr>
              <w:pStyle w:val="NotesText"/>
            </w:pPr>
          </w:p>
          <w:p w14:paraId="79B49D64" w14:textId="77777777" w:rsidR="002A21AE" w:rsidRDefault="002A21AE">
            <w:pPr>
              <w:pStyle w:val="NotesText"/>
            </w:pPr>
            <w:r>
              <w:rPr>
                <w:rFonts w:cs="Arial"/>
                <w:vanish/>
              </w:rPr>
              <w:t xml:space="preserve">BR_26.16 </w:t>
            </w:r>
            <w:r>
              <w:t>When the original unit type did not require ABO/Rh confirmation, the target unit</w:t>
            </w:r>
            <w:r w:rsidR="00004786">
              <w:t>, when created,</w:t>
            </w:r>
            <w:r>
              <w:t xml:space="preserve"> does not either. The target unit is immediately available for assignment, crossmatch, issue, or transfusion on completion of the modification. </w:t>
            </w:r>
          </w:p>
          <w:p w14:paraId="2106EFA7" w14:textId="77777777" w:rsidR="002A21AE" w:rsidRDefault="002A21AE">
            <w:pPr>
              <w:pStyle w:val="NotesText"/>
            </w:pPr>
          </w:p>
          <w:p w14:paraId="2224A9EB" w14:textId="77777777" w:rsidR="00B15FBF" w:rsidRPr="00B15FBF" w:rsidRDefault="00B15FBF" w:rsidP="00B15FBF">
            <w:pPr>
              <w:pStyle w:val="NotesText"/>
            </w:pPr>
            <w:r w:rsidRPr="00B15FBF">
              <w:rPr>
                <w:vanish/>
              </w:rPr>
              <w:t xml:space="preserve">BR_26.23 </w:t>
            </w:r>
            <w:r w:rsidRPr="00B15FBF">
              <w:t>When the original (parent) unit type required A</w:t>
            </w:r>
            <w:r>
              <w:t>BO/Rh confirmation</w:t>
            </w:r>
            <w:r w:rsidRPr="00B15FBF">
              <w:t xml:space="preserve">, the target (child) unit, when created, does too. </w:t>
            </w:r>
          </w:p>
          <w:p w14:paraId="73976473" w14:textId="77777777" w:rsidR="00B15FBF" w:rsidRPr="00A301B0" w:rsidRDefault="00B15FBF" w:rsidP="00B15FBF">
            <w:pPr>
              <w:pStyle w:val="TableText"/>
              <w:tabs>
                <w:tab w:val="left" w:pos="1526"/>
              </w:tabs>
              <w:ind w:left="36"/>
              <w:rPr>
                <w:rFonts w:cs="Arial"/>
                <w:szCs w:val="18"/>
              </w:rPr>
            </w:pPr>
          </w:p>
          <w:p w14:paraId="11F585F1" w14:textId="77777777" w:rsidR="00B15FBF" w:rsidRPr="00A301B0" w:rsidRDefault="00B15FBF" w:rsidP="00925CAD">
            <w:pPr>
              <w:pStyle w:val="TableText"/>
              <w:numPr>
                <w:ilvl w:val="1"/>
                <w:numId w:val="66"/>
              </w:numPr>
              <w:tabs>
                <w:tab w:val="left" w:pos="252"/>
              </w:tabs>
              <w:ind w:left="1116" w:hanging="198"/>
              <w:rPr>
                <w:rFonts w:cs="Arial"/>
                <w:szCs w:val="18"/>
              </w:rPr>
            </w:pPr>
            <w:r w:rsidRPr="00A301B0">
              <w:rPr>
                <w:rFonts w:cs="Arial"/>
                <w:szCs w:val="18"/>
              </w:rPr>
              <w:t>If the target is not inheriting ABORh con</w:t>
            </w:r>
            <w:r>
              <w:rPr>
                <w:rFonts w:cs="Arial"/>
                <w:szCs w:val="18"/>
              </w:rPr>
              <w:t>firmation testing</w:t>
            </w:r>
            <w:r w:rsidRPr="00A301B0">
              <w:rPr>
                <w:rFonts w:cs="Arial"/>
                <w:szCs w:val="18"/>
              </w:rPr>
              <w:t>, then the target unit’s status is Limited.</w:t>
            </w:r>
          </w:p>
          <w:p w14:paraId="13203343" w14:textId="77777777" w:rsidR="00B15FBF" w:rsidRPr="00A301B0" w:rsidRDefault="00B15FBF" w:rsidP="00B15FBF">
            <w:pPr>
              <w:pStyle w:val="TableText"/>
              <w:tabs>
                <w:tab w:val="left" w:pos="1526"/>
              </w:tabs>
              <w:ind w:left="1116" w:hanging="198"/>
              <w:rPr>
                <w:rFonts w:cs="Arial"/>
                <w:szCs w:val="18"/>
              </w:rPr>
            </w:pPr>
          </w:p>
          <w:p w14:paraId="555B5A78" w14:textId="77777777" w:rsidR="00B15FBF" w:rsidRDefault="00B15FBF" w:rsidP="00925CAD">
            <w:pPr>
              <w:pStyle w:val="TableText"/>
              <w:numPr>
                <w:ilvl w:val="1"/>
                <w:numId w:val="66"/>
              </w:numPr>
              <w:tabs>
                <w:tab w:val="left" w:pos="252"/>
              </w:tabs>
              <w:ind w:left="1116" w:hanging="198"/>
            </w:pPr>
            <w:r w:rsidRPr="00A301B0">
              <w:rPr>
                <w:rFonts w:cs="Arial"/>
                <w:szCs w:val="18"/>
              </w:rPr>
              <w:t>If the target is inheriting ABORh con</w:t>
            </w:r>
            <w:r>
              <w:rPr>
                <w:rFonts w:cs="Arial"/>
                <w:szCs w:val="18"/>
              </w:rPr>
              <w:t>firmation testing</w:t>
            </w:r>
            <w:r w:rsidRPr="00A301B0">
              <w:rPr>
                <w:rFonts w:cs="Arial"/>
                <w:szCs w:val="18"/>
              </w:rPr>
              <w:t>, then the target unit is immediately available for assignment, crossmatch, issuance, or transfusion upon completion of modification.</w:t>
            </w:r>
          </w:p>
          <w:p w14:paraId="2CAA9239" w14:textId="77777777" w:rsidR="002A21AE" w:rsidRDefault="002A21AE">
            <w:pPr>
              <w:pStyle w:val="NotesText"/>
            </w:pPr>
            <w:r>
              <w:tab/>
            </w:r>
          </w:p>
          <w:p w14:paraId="26B86C60" w14:textId="77777777" w:rsidR="002A21AE" w:rsidRDefault="002A21AE">
            <w:pPr>
              <w:pStyle w:val="NotesText"/>
            </w:pPr>
            <w:r w:rsidRPr="003F0C14">
              <w:rPr>
                <w:rFonts w:cs="Arial"/>
                <w:vanish/>
                <w:color w:val="0000FF"/>
              </w:rPr>
              <w:t>BR_26.25</w:t>
            </w:r>
            <w:r>
              <w:rPr>
                <w:rFonts w:cs="Arial"/>
                <w:vanish/>
              </w:rPr>
              <w:t xml:space="preserve"> </w:t>
            </w:r>
            <w:r>
              <w:t xml:space="preserve">When the original unit is assigned or crossmatched to a patient at the time of modification, VBECS notifies the user and asks whether he wishes to automatically assign the modified units to the patient. </w:t>
            </w:r>
            <w:r>
              <w:rPr>
                <w:b/>
              </w:rPr>
              <w:t>Yes</w:t>
            </w:r>
            <w:r>
              <w:t xml:space="preserve"> (default) applies the unit’s assignment or crossmatch data to the target component. </w:t>
            </w:r>
            <w:r>
              <w:rPr>
                <w:b/>
              </w:rPr>
              <w:t>No</w:t>
            </w:r>
            <w:r>
              <w:t xml:space="preserve"> does not apply the assignment to the target, and changes the target unit status to “available.” The original unit </w:t>
            </w:r>
            <w:r w:rsidR="006212E6">
              <w:t>retains patient assignment</w:t>
            </w:r>
            <w:r w:rsidR="00AA6C54">
              <w:t xml:space="preserve"> </w:t>
            </w:r>
            <w:r>
              <w:t>in both cases.</w:t>
            </w:r>
          </w:p>
          <w:p w14:paraId="0C226649" w14:textId="77777777" w:rsidR="00C26FA7" w:rsidRDefault="00C26FA7">
            <w:pPr>
              <w:pStyle w:val="NotesText"/>
            </w:pPr>
          </w:p>
          <w:p w14:paraId="1EBAB5F8" w14:textId="77777777" w:rsidR="00C26FA7" w:rsidRDefault="00C26FA7">
            <w:pPr>
              <w:pStyle w:val="NotesText"/>
              <w:rPr>
                <w:rFonts w:cs="Arial"/>
                <w:szCs w:val="18"/>
              </w:rPr>
            </w:pPr>
            <w:r>
              <w:rPr>
                <w:rFonts w:cs="Arial"/>
                <w:vanish/>
                <w:szCs w:val="18"/>
              </w:rPr>
              <w:t>BR_26.58</w:t>
            </w:r>
            <w:r w:rsidRPr="00C26FA7">
              <w:rPr>
                <w:rFonts w:cs="Arial"/>
                <w:vanish/>
                <w:szCs w:val="18"/>
              </w:rPr>
              <w:t xml:space="preserve"> </w:t>
            </w:r>
            <w:r>
              <w:rPr>
                <w:rFonts w:cs="Arial"/>
                <w:szCs w:val="18"/>
              </w:rPr>
              <w:t>The user may select the target product code from available targets by scanning.</w:t>
            </w:r>
          </w:p>
          <w:p w14:paraId="0C0D02BE" w14:textId="5FC1FA58" w:rsidR="002A21AE" w:rsidRDefault="002A21AE" w:rsidP="000C5084">
            <w:pPr>
              <w:pStyle w:val="NotesText"/>
              <w:ind w:left="0"/>
            </w:pPr>
          </w:p>
          <w:p w14:paraId="6A2EF3FC" w14:textId="77777777" w:rsidR="00B448CE" w:rsidRDefault="00562516" w:rsidP="00032278">
            <w:pPr>
              <w:pStyle w:val="NotesText"/>
            </w:pPr>
            <w:r w:rsidRPr="00562516">
              <w:rPr>
                <w:vanish/>
              </w:rPr>
              <w:t xml:space="preserve">BR_26.49 </w:t>
            </w:r>
            <w:r w:rsidRPr="00F02C5D">
              <w:t xml:space="preserve">When the Blood Group (V0076) attribute </w:t>
            </w:r>
            <w:r>
              <w:t>group</w:t>
            </w:r>
            <w:r w:rsidRPr="00F02C5D">
              <w:t>, is present in the original it is required in the target</w:t>
            </w:r>
            <w:r w:rsidR="000A126F">
              <w:t xml:space="preserve"> but is not used by VBECS</w:t>
            </w:r>
            <w:r w:rsidRPr="00F02C5D">
              <w:t>.</w:t>
            </w:r>
          </w:p>
          <w:p w14:paraId="2652F6E5" w14:textId="77777777" w:rsidR="00B448CE" w:rsidRDefault="00B448CE" w:rsidP="00032278">
            <w:pPr>
              <w:pStyle w:val="NotesText"/>
            </w:pPr>
          </w:p>
          <w:p w14:paraId="57D67BB1" w14:textId="77777777" w:rsidR="00B448CE" w:rsidRDefault="00B448CE" w:rsidP="00B448CE">
            <w:pPr>
              <w:pStyle w:val="NotesText"/>
            </w:pPr>
            <w:r w:rsidRPr="00B448CE">
              <w:rPr>
                <w:vanish/>
              </w:rPr>
              <w:t xml:space="preserve">BR_26.57 </w:t>
            </w:r>
            <w:r>
              <w:t xml:space="preserve">When a unit is modified, the processing fee as set in </w:t>
            </w:r>
            <w:r w:rsidR="000A126F">
              <w:t>Configure Division</w:t>
            </w:r>
            <w:r>
              <w:t xml:space="preserve"> is added to the cost of a modified unit target.</w:t>
            </w:r>
          </w:p>
          <w:p w14:paraId="5A542099" w14:textId="77777777" w:rsidR="00B448CE" w:rsidRDefault="00B448CE" w:rsidP="00B448CE">
            <w:pPr>
              <w:pStyle w:val="NotesText"/>
            </w:pPr>
            <w:r>
              <w:t>When split, the processing fee is divided and a portion is added to each target unit.</w:t>
            </w:r>
          </w:p>
          <w:p w14:paraId="68736B9D" w14:textId="77777777" w:rsidR="00E1658C" w:rsidRDefault="00E1658C" w:rsidP="00B448CE">
            <w:pPr>
              <w:pStyle w:val="NotesText"/>
            </w:pPr>
          </w:p>
          <w:p w14:paraId="2EF464AA" w14:textId="76149BF5" w:rsidR="002A21AE" w:rsidRDefault="00C51C45" w:rsidP="006A576D">
            <w:pPr>
              <w:pStyle w:val="NotesText"/>
            </w:pPr>
            <w:r w:rsidRPr="00896F17">
              <w:rPr>
                <w:rStyle w:val="BullhornChar"/>
              </w:rPr>
              <w:t></w:t>
            </w:r>
            <w:r w:rsidRPr="00C51C45">
              <w:t xml:space="preserve"> </w:t>
            </w:r>
            <w:r>
              <w:t>See</w:t>
            </w:r>
            <w:r w:rsidR="002A21AE">
              <w:t xml:space="preserve"> </w:t>
            </w:r>
            <w:r w:rsidR="00EE455E">
              <w:t xml:space="preserve">Table </w:t>
            </w:r>
            <w:r w:rsidR="00EE455E">
              <w:rPr>
                <w:noProof/>
              </w:rPr>
              <w:t>5</w:t>
            </w:r>
            <w:r w:rsidR="006A576D">
              <w:t xml:space="preserve"> </w:t>
            </w:r>
            <w:r w:rsidR="002A21AE">
              <w:t>for alerts that may occur during this option.</w:t>
            </w:r>
          </w:p>
        </w:tc>
      </w:tr>
      <w:tr w:rsidR="002A21AE" w14:paraId="7146408D" w14:textId="77777777">
        <w:tc>
          <w:tcPr>
            <w:tcW w:w="3240" w:type="dxa"/>
          </w:tcPr>
          <w:p w14:paraId="0FF02C11" w14:textId="77777777" w:rsidR="002A21AE" w:rsidRDefault="00C239D1" w:rsidP="00C239D1">
            <w:pPr>
              <w:pStyle w:val="TableTextNumbers"/>
            </w:pPr>
            <w:r>
              <w:t>Accept or edit</w:t>
            </w:r>
            <w:r w:rsidR="00A77D1F">
              <w:t xml:space="preserve"> the</w:t>
            </w:r>
            <w:r w:rsidR="002A21AE">
              <w:t xml:space="preserve"> expiration date.</w:t>
            </w:r>
          </w:p>
        </w:tc>
        <w:tc>
          <w:tcPr>
            <w:tcW w:w="6120" w:type="dxa"/>
          </w:tcPr>
          <w:p w14:paraId="0BD74E89" w14:textId="77777777" w:rsidR="002A21AE" w:rsidRDefault="002A21AE">
            <w:pPr>
              <w:pStyle w:val="TableTextBullet"/>
            </w:pPr>
            <w:r>
              <w:t>Verifies the validity of the expiration date and warns the user, if indicated.</w:t>
            </w:r>
          </w:p>
          <w:p w14:paraId="5DECA6C0" w14:textId="77777777" w:rsidR="002A21AE" w:rsidRDefault="002A21AE">
            <w:pPr>
              <w:pStyle w:val="TableText"/>
            </w:pPr>
          </w:p>
          <w:p w14:paraId="5AC5EA71" w14:textId="5F2FDDDB" w:rsidR="002A21AE" w:rsidRDefault="002A21AE">
            <w:pPr>
              <w:pStyle w:val="TableText"/>
              <w:rPr>
                <w:b/>
                <w:bCs/>
                <w:szCs w:val="18"/>
              </w:rPr>
            </w:pPr>
            <w:r>
              <w:rPr>
                <w:b/>
                <w:bCs/>
                <w:szCs w:val="18"/>
              </w:rPr>
              <w:t>NOTES</w:t>
            </w:r>
          </w:p>
          <w:p w14:paraId="1A98AF1C" w14:textId="71007535" w:rsidR="002A21AE" w:rsidRDefault="002A21AE" w:rsidP="003D61DB">
            <w:pPr>
              <w:pStyle w:val="NotesText"/>
              <w:ind w:left="0"/>
            </w:pPr>
          </w:p>
          <w:p w14:paraId="6E829258" w14:textId="77777777" w:rsidR="00B448CE" w:rsidRPr="00B448CE" w:rsidRDefault="00B448CE" w:rsidP="00B448CE">
            <w:pPr>
              <w:pStyle w:val="NotesText"/>
            </w:pPr>
            <w:r w:rsidRPr="00B448CE">
              <w:rPr>
                <w:vanish/>
              </w:rPr>
              <w:t xml:space="preserve">BR_26.20 </w:t>
            </w:r>
            <w:r>
              <w:t>VBECS</w:t>
            </w:r>
            <w:r w:rsidRPr="00B448CE">
              <w:t xml:space="preserve"> calculate</w:t>
            </w:r>
            <w:r>
              <w:t>s</w:t>
            </w:r>
            <w:r w:rsidRPr="00B448CE">
              <w:t xml:space="preserve"> an expiration date for the target component type and the system integrity (Open or Closed).</w:t>
            </w:r>
          </w:p>
          <w:p w14:paraId="22353D9F" w14:textId="77777777" w:rsidR="00B448CE" w:rsidRPr="00B448CE" w:rsidRDefault="00B448CE" w:rsidP="00B448CE">
            <w:pPr>
              <w:pStyle w:val="NotesText"/>
            </w:pPr>
            <w:r w:rsidRPr="00B448CE">
              <w:t>The system will calculate an expiration date for the target component based</w:t>
            </w:r>
            <w:r>
              <w:t xml:space="preserve"> on the following. (Due to the nature of the process, the calculated expiration date will greatly exceed the original expiration date of the original unit for Rejuvenate and Freeze, and will supersede the unit’s original expiration date.)</w:t>
            </w:r>
          </w:p>
          <w:p w14:paraId="6F89B5C8" w14:textId="77777777" w:rsidR="00B448CE" w:rsidRPr="007B53AE" w:rsidRDefault="00B448CE" w:rsidP="00B448CE">
            <w:pPr>
              <w:pStyle w:val="StyleTableText9ptChar"/>
              <w:rPr>
                <w:rFonts w:cs="Arial"/>
              </w:rPr>
            </w:pPr>
          </w:p>
          <w:p w14:paraId="110F9C44" w14:textId="77777777" w:rsidR="00B448CE" w:rsidRPr="007B53AE" w:rsidRDefault="00B448CE" w:rsidP="00B448CE">
            <w:pPr>
              <w:pStyle w:val="CommentText"/>
              <w:rPr>
                <w:rFonts w:ascii="Arial" w:hAnsi="Arial" w:cs="Arial"/>
                <w:sz w:val="18"/>
                <w:szCs w:val="18"/>
              </w:rPr>
            </w:pPr>
            <w:r w:rsidRPr="007B53AE">
              <w:rPr>
                <w:rFonts w:ascii="Arial" w:hAnsi="Arial" w:cs="Arial"/>
                <w:sz w:val="18"/>
                <w:szCs w:val="18"/>
              </w:rPr>
              <w:t>Expiration Date is the shortest of:</w:t>
            </w:r>
          </w:p>
          <w:p w14:paraId="1EEA91AE" w14:textId="4DF6F712" w:rsidR="00B448CE" w:rsidRDefault="00B448CE" w:rsidP="00925CAD">
            <w:pPr>
              <w:pStyle w:val="CommentText"/>
              <w:numPr>
                <w:ilvl w:val="0"/>
                <w:numId w:val="68"/>
              </w:numPr>
              <w:ind w:left="1080"/>
              <w:rPr>
                <w:rFonts w:ascii="Arial" w:hAnsi="Arial" w:cs="Arial"/>
                <w:sz w:val="18"/>
                <w:szCs w:val="18"/>
              </w:rPr>
            </w:pPr>
            <w:r w:rsidRPr="007B53AE">
              <w:rPr>
                <w:rFonts w:ascii="Arial" w:hAnsi="Arial" w:cs="Arial"/>
                <w:sz w:val="18"/>
                <w:szCs w:val="18"/>
              </w:rPr>
              <w:t>Original unit’s expiration date/time (For Rejuv</w:t>
            </w:r>
            <w:r>
              <w:rPr>
                <w:rFonts w:ascii="Arial" w:hAnsi="Arial" w:cs="Arial"/>
                <w:sz w:val="18"/>
                <w:szCs w:val="18"/>
              </w:rPr>
              <w:t>enate and Freeze</w:t>
            </w:r>
            <w:r w:rsidRPr="007B53AE">
              <w:rPr>
                <w:rFonts w:ascii="Arial" w:hAnsi="Arial" w:cs="Arial"/>
                <w:sz w:val="18"/>
                <w:szCs w:val="18"/>
              </w:rPr>
              <w:t>, the Original unit’s expiration is not factored in the calculation)</w:t>
            </w:r>
          </w:p>
          <w:p w14:paraId="16715727" w14:textId="0BF28041" w:rsidR="008E2CB0" w:rsidRDefault="008E2CB0" w:rsidP="00925CAD">
            <w:pPr>
              <w:pStyle w:val="CommentText"/>
              <w:numPr>
                <w:ilvl w:val="0"/>
                <w:numId w:val="68"/>
              </w:numPr>
              <w:ind w:left="1080"/>
              <w:rPr>
                <w:rFonts w:ascii="Arial" w:hAnsi="Arial" w:cs="Arial"/>
                <w:sz w:val="18"/>
                <w:szCs w:val="18"/>
              </w:rPr>
            </w:pPr>
            <w:r>
              <w:rPr>
                <w:rFonts w:ascii="Arial" w:hAnsi="Arial" w:cs="Arial"/>
                <w:sz w:val="18"/>
                <w:szCs w:val="18"/>
              </w:rPr>
              <w:t>If Expiration hours is &gt; 0, the Modification date/time + Expiration hours**</w:t>
            </w:r>
          </w:p>
          <w:p w14:paraId="472E6289" w14:textId="77777777" w:rsidR="00B448CE" w:rsidRDefault="008E2CB0" w:rsidP="00925CAD">
            <w:pPr>
              <w:pStyle w:val="CommentText"/>
              <w:numPr>
                <w:ilvl w:val="0"/>
                <w:numId w:val="68"/>
              </w:numPr>
              <w:ind w:left="1080"/>
              <w:rPr>
                <w:rFonts w:ascii="Arial" w:hAnsi="Arial" w:cs="Arial"/>
                <w:sz w:val="18"/>
                <w:szCs w:val="18"/>
              </w:rPr>
            </w:pPr>
            <w:r>
              <w:rPr>
                <w:rFonts w:ascii="Arial" w:hAnsi="Arial" w:cs="Arial"/>
                <w:sz w:val="18"/>
                <w:szCs w:val="18"/>
              </w:rPr>
              <w:t>Modification date/time + Target blood product’s maximum storage time (MST)**</w:t>
            </w:r>
          </w:p>
          <w:p w14:paraId="04A1B8AC" w14:textId="77777777" w:rsidR="008E2CB0" w:rsidRDefault="008E2CB0" w:rsidP="008E2CB0">
            <w:pPr>
              <w:pStyle w:val="CommentText"/>
              <w:tabs>
                <w:tab w:val="clear" w:pos="1080"/>
              </w:tabs>
              <w:rPr>
                <w:rFonts w:ascii="Arial" w:hAnsi="Arial" w:cs="Arial"/>
                <w:sz w:val="18"/>
                <w:szCs w:val="18"/>
              </w:rPr>
            </w:pPr>
          </w:p>
          <w:p w14:paraId="5E43FCCE" w14:textId="2958DA5B" w:rsidR="008E2CB0" w:rsidRPr="008E2CB0" w:rsidRDefault="008E2CB0" w:rsidP="008E2CB0">
            <w:pPr>
              <w:pStyle w:val="CommentText"/>
              <w:tabs>
                <w:tab w:val="clear" w:pos="1080"/>
              </w:tabs>
              <w:rPr>
                <w:rFonts w:ascii="Arial" w:hAnsi="Arial" w:cs="Arial"/>
                <w:sz w:val="18"/>
                <w:szCs w:val="18"/>
              </w:rPr>
            </w:pPr>
            <w:r>
              <w:rPr>
                <w:rFonts w:ascii="Arial" w:hAnsi="Arial"/>
                <w:sz w:val="18"/>
                <w:szCs w:val="24"/>
              </w:rPr>
              <w:t xml:space="preserve">    </w:t>
            </w:r>
            <w:r w:rsidRPr="008E2CB0">
              <w:rPr>
                <w:rFonts w:ascii="Arial" w:hAnsi="Arial"/>
                <w:sz w:val="18"/>
                <w:szCs w:val="24"/>
              </w:rPr>
              <w:t>**If Expiration hours or Target blood product’s MST is greater than (&gt;) 24 hours: divide the hours by 24 to get the number of days (no rounding); add the number of days to the Modification date/time and the time will be 23:59.</w:t>
            </w:r>
          </w:p>
        </w:tc>
      </w:tr>
      <w:tr w:rsidR="002A21AE" w14:paraId="0ABE9EC8" w14:textId="77777777" w:rsidTr="006C058D">
        <w:trPr>
          <w:cantSplit/>
        </w:trPr>
        <w:tc>
          <w:tcPr>
            <w:tcW w:w="3240" w:type="dxa"/>
          </w:tcPr>
          <w:p w14:paraId="2F2759A2" w14:textId="77777777" w:rsidR="002A21AE" w:rsidRDefault="002A21AE">
            <w:pPr>
              <w:pStyle w:val="TableTextNumbers"/>
            </w:pPr>
            <w:r>
              <w:t xml:space="preserve">Review the displayed unit data and </w:t>
            </w:r>
            <w:r w:rsidR="00A77D1F">
              <w:t xml:space="preserve">click </w:t>
            </w:r>
            <w:r w:rsidR="00A77D1F" w:rsidRPr="00A77D1F">
              <w:rPr>
                <w:b/>
              </w:rPr>
              <w:t>OK</w:t>
            </w:r>
            <w:r w:rsidR="00A77D1F">
              <w:t xml:space="preserve"> to </w:t>
            </w:r>
            <w:r>
              <w:t>confirm the modification.</w:t>
            </w:r>
          </w:p>
          <w:p w14:paraId="13A671CC" w14:textId="77777777" w:rsidR="00A77D1F" w:rsidRDefault="00A77D1F" w:rsidP="00A77D1F">
            <w:pPr>
              <w:pStyle w:val="TableTextNumbersContinued"/>
            </w:pPr>
          </w:p>
          <w:p w14:paraId="73685FB2" w14:textId="6179EA85" w:rsidR="00A77D1F" w:rsidRDefault="00C239D1" w:rsidP="00A77D1F">
            <w:pPr>
              <w:pStyle w:val="TableTextNumbersContinued"/>
            </w:pPr>
            <w:r>
              <w:t>If the unit has been relabeled, c</w:t>
            </w:r>
            <w:r w:rsidR="00A77D1F">
              <w:t xml:space="preserve">lick </w:t>
            </w:r>
            <w:r w:rsidR="00A77D1F" w:rsidRPr="00A77D1F">
              <w:rPr>
                <w:b/>
              </w:rPr>
              <w:t>Yes</w:t>
            </w:r>
            <w:r w:rsidR="00A77D1F">
              <w:t xml:space="preserve"> to verify the label</w:t>
            </w:r>
            <w:r>
              <w:t xml:space="preserve"> </w:t>
            </w:r>
            <w:r w:rsidR="00F331EC">
              <w:t>(</w:t>
            </w:r>
            <w:r w:rsidR="00EE455E">
              <w:t xml:space="preserve">Figure </w:t>
            </w:r>
            <w:r w:rsidR="00EE455E">
              <w:rPr>
                <w:noProof/>
              </w:rPr>
              <w:t>62</w:t>
            </w:r>
            <w:r w:rsidR="00F331EC">
              <w:t>)</w:t>
            </w:r>
            <w:r w:rsidR="00A77D1F">
              <w:t>.</w:t>
            </w:r>
          </w:p>
          <w:p w14:paraId="062C1F89" w14:textId="77777777" w:rsidR="0014066B" w:rsidRDefault="0014066B" w:rsidP="00A77D1F">
            <w:pPr>
              <w:pStyle w:val="TableTextNumbersContinued"/>
            </w:pPr>
          </w:p>
          <w:p w14:paraId="65C28596" w14:textId="77777777" w:rsidR="0014066B" w:rsidRDefault="0014066B" w:rsidP="00A77D1F">
            <w:pPr>
              <w:pStyle w:val="TableTextNumbersContinued"/>
            </w:pPr>
            <w:r>
              <w:t xml:space="preserve">Click </w:t>
            </w:r>
            <w:r w:rsidRPr="0014066B">
              <w:rPr>
                <w:b/>
              </w:rPr>
              <w:t>No</w:t>
            </w:r>
            <w:r>
              <w:t xml:space="preserve"> to cancel and continue at Step 14.</w:t>
            </w:r>
          </w:p>
        </w:tc>
        <w:tc>
          <w:tcPr>
            <w:tcW w:w="6120" w:type="dxa"/>
          </w:tcPr>
          <w:p w14:paraId="728BBBE2" w14:textId="77777777" w:rsidR="005D32B0" w:rsidRDefault="005D32B0" w:rsidP="005D32B0">
            <w:pPr>
              <w:pStyle w:val="TableTextBullet"/>
            </w:pPr>
            <w:r>
              <w:t>When the original unit is currently assigned to a patient, notifies the user and asks whether he wishes to transfer the status to the target un</w:t>
            </w:r>
            <w:r w:rsidR="00E1658C">
              <w:t>it.</w:t>
            </w:r>
          </w:p>
          <w:p w14:paraId="75B3B89F" w14:textId="77777777" w:rsidR="002A21AE" w:rsidRDefault="002A21AE">
            <w:pPr>
              <w:pStyle w:val="NotesText"/>
            </w:pPr>
          </w:p>
        </w:tc>
      </w:tr>
      <w:tr w:rsidR="002A21AE" w14:paraId="649CEFE7" w14:textId="77777777">
        <w:tc>
          <w:tcPr>
            <w:tcW w:w="3240" w:type="dxa"/>
          </w:tcPr>
          <w:p w14:paraId="4DDE0B3D" w14:textId="77777777" w:rsidR="002A21AE" w:rsidRDefault="00A77D1F">
            <w:pPr>
              <w:pStyle w:val="TableTextNumbers"/>
            </w:pPr>
            <w:r>
              <w:t>Scan the label barcodes to v</w:t>
            </w:r>
            <w:r w:rsidR="002A21AE">
              <w:t>erify the target labels, based on local practice and labeling type of the modified unit.</w:t>
            </w:r>
          </w:p>
          <w:p w14:paraId="5A61FFEC" w14:textId="77777777" w:rsidR="00A77D1F" w:rsidRDefault="00A77D1F" w:rsidP="00A77D1F">
            <w:pPr>
              <w:pStyle w:val="TableTextNumbersContinued"/>
            </w:pPr>
          </w:p>
          <w:p w14:paraId="7CA3D5A0" w14:textId="77777777" w:rsidR="00A77D1F" w:rsidRDefault="00A77D1F" w:rsidP="00A77D1F">
            <w:pPr>
              <w:pStyle w:val="TableTextNumbersContinued"/>
            </w:pPr>
            <w:r>
              <w:t>Enter a comment to complete the verification.</w:t>
            </w:r>
            <w:r w:rsidR="00403743">
              <w:t xml:space="preserve"> (This step is optional.)</w:t>
            </w:r>
          </w:p>
        </w:tc>
        <w:tc>
          <w:tcPr>
            <w:tcW w:w="6120" w:type="dxa"/>
          </w:tcPr>
          <w:p w14:paraId="3447539C" w14:textId="77777777" w:rsidR="002A21AE" w:rsidRDefault="002A21AE">
            <w:pPr>
              <w:pStyle w:val="TableTextBullet"/>
            </w:pPr>
            <w:r>
              <w:t>Displays the label verification window.</w:t>
            </w:r>
          </w:p>
          <w:p w14:paraId="2F5F6482" w14:textId="77777777" w:rsidR="00A77D1F" w:rsidRDefault="00A77D1F">
            <w:pPr>
              <w:pStyle w:val="TableTextBullet"/>
            </w:pPr>
            <w:r>
              <w:t>Indicates whether the scanned barcodes match those in the label.</w:t>
            </w:r>
          </w:p>
          <w:p w14:paraId="799FAB16" w14:textId="77777777" w:rsidR="00403743" w:rsidRDefault="00403743" w:rsidP="00403743">
            <w:pPr>
              <w:pStyle w:val="TableTextBullet"/>
              <w:tabs>
                <w:tab w:val="num" w:pos="360"/>
              </w:tabs>
            </w:pPr>
            <w:r>
              <w:t xml:space="preserve">For each target created, system prompts user to indicate readiness to verify the labeling of the modified product. </w:t>
            </w:r>
          </w:p>
          <w:p w14:paraId="7D735F5A" w14:textId="77777777" w:rsidR="00403743" w:rsidRDefault="00403743" w:rsidP="00403743">
            <w:pPr>
              <w:pStyle w:val="TableTextBullet"/>
              <w:tabs>
                <w:tab w:val="num" w:pos="360"/>
              </w:tabs>
            </w:pPr>
            <w:r>
              <w:t>No new labels applied to modified product. Proceed to save the unit.</w:t>
            </w:r>
          </w:p>
          <w:p w14:paraId="4E1E0358" w14:textId="77777777" w:rsidR="00403743" w:rsidRDefault="00403743" w:rsidP="00403743">
            <w:pPr>
              <w:pStyle w:val="TableTextBullet"/>
              <w:tabs>
                <w:tab w:val="num" w:pos="360"/>
              </w:tabs>
            </w:pPr>
            <w:r>
              <w:t>Displays a screen to accommodate data entry of the modified unit’s:</w:t>
            </w:r>
          </w:p>
          <w:p w14:paraId="7073265A" w14:textId="77777777" w:rsidR="00403743" w:rsidRDefault="00403743" w:rsidP="00403743">
            <w:pPr>
              <w:pStyle w:val="TableTextBullet1"/>
              <w:tabs>
                <w:tab w:val="clear" w:pos="576"/>
                <w:tab w:val="num" w:pos="288"/>
              </w:tabs>
            </w:pPr>
            <w:r>
              <w:t>ABO/Rh</w:t>
            </w:r>
          </w:p>
          <w:p w14:paraId="0C932D4E" w14:textId="77777777" w:rsidR="00403743" w:rsidRDefault="00403743" w:rsidP="00403743">
            <w:pPr>
              <w:pStyle w:val="TableTextBullet1"/>
              <w:tabs>
                <w:tab w:val="clear" w:pos="576"/>
                <w:tab w:val="num" w:pos="288"/>
              </w:tabs>
            </w:pPr>
            <w:r>
              <w:t>Product Code</w:t>
            </w:r>
          </w:p>
          <w:p w14:paraId="053DBE50" w14:textId="77777777" w:rsidR="00403743" w:rsidRDefault="00403743" w:rsidP="00403743">
            <w:pPr>
              <w:pStyle w:val="TableTextBullet1"/>
              <w:tabs>
                <w:tab w:val="clear" w:pos="576"/>
                <w:tab w:val="num" w:pos="288"/>
              </w:tabs>
            </w:pPr>
            <w:r>
              <w:t>Expiration Date</w:t>
            </w:r>
          </w:p>
          <w:p w14:paraId="2CBAC6A6" w14:textId="77777777" w:rsidR="00403743" w:rsidRDefault="00403743" w:rsidP="00403743">
            <w:pPr>
              <w:pStyle w:val="TableTextBullet"/>
              <w:tabs>
                <w:tab w:val="num" w:pos="360"/>
              </w:tabs>
            </w:pPr>
            <w:r>
              <w:t>This step repeats until all targets have been labeled and/or are ready for continued processing.</w:t>
            </w:r>
          </w:p>
          <w:p w14:paraId="1463A201" w14:textId="77777777" w:rsidR="00403743" w:rsidRDefault="00403743" w:rsidP="00403743">
            <w:pPr>
              <w:pStyle w:val="TableText"/>
            </w:pPr>
          </w:p>
          <w:p w14:paraId="4D4AAFB8" w14:textId="4A5F03C2" w:rsidR="00403743" w:rsidRDefault="00403743" w:rsidP="00403743">
            <w:pPr>
              <w:pStyle w:val="TableText"/>
              <w:rPr>
                <w:b/>
                <w:bCs/>
                <w:szCs w:val="18"/>
              </w:rPr>
            </w:pPr>
            <w:r>
              <w:rPr>
                <w:b/>
                <w:bCs/>
                <w:szCs w:val="18"/>
              </w:rPr>
              <w:t>NOTES</w:t>
            </w:r>
          </w:p>
          <w:p w14:paraId="4543F7E4" w14:textId="77777777" w:rsidR="00403743" w:rsidRDefault="00403743" w:rsidP="00403743">
            <w:pPr>
              <w:pStyle w:val="NotesText"/>
            </w:pPr>
          </w:p>
          <w:p w14:paraId="5B89BBB2" w14:textId="77777777" w:rsidR="00403743" w:rsidRDefault="00403743" w:rsidP="00403743">
            <w:pPr>
              <w:pStyle w:val="NotesText"/>
            </w:pPr>
            <w:r>
              <w:t>The user may select “Verify modified unit label” to verify the modified unit label</w:t>
            </w:r>
            <w:r w:rsidR="00380967">
              <w:t>.</w:t>
            </w:r>
            <w:r>
              <w:t xml:space="preserve"> </w:t>
            </w:r>
            <w:r w:rsidR="00542972">
              <w:t xml:space="preserve">When the user does not verify the label, he </w:t>
            </w:r>
            <w:r w:rsidR="006832A2">
              <w:t xml:space="preserve">must enter a comment and </w:t>
            </w:r>
            <w:r w:rsidR="00BD738E">
              <w:t xml:space="preserve">then </w:t>
            </w:r>
            <w:r w:rsidR="006832A2">
              <w:t>click</w:t>
            </w:r>
            <w:r w:rsidR="00542972">
              <w:t xml:space="preserve"> </w:t>
            </w:r>
            <w:r w:rsidR="00542972" w:rsidRPr="00542972">
              <w:rPr>
                <w:b/>
              </w:rPr>
              <w:t>Cancel</w:t>
            </w:r>
            <w:r w:rsidR="006832A2">
              <w:t xml:space="preserve"> </w:t>
            </w:r>
            <w:r>
              <w:t>to exit.</w:t>
            </w:r>
          </w:p>
          <w:p w14:paraId="4DF27BA6" w14:textId="77777777" w:rsidR="00403743" w:rsidRDefault="00403743" w:rsidP="00403743">
            <w:pPr>
              <w:pStyle w:val="NotesText"/>
            </w:pPr>
          </w:p>
          <w:p w14:paraId="6A7E5CEE" w14:textId="77777777" w:rsidR="00403743" w:rsidRDefault="00403743" w:rsidP="00403743">
            <w:pPr>
              <w:pStyle w:val="NotesText"/>
            </w:pPr>
            <w:r>
              <w:t>When the user does not select “Verify modified unit label,” he may continue at Step 1</w:t>
            </w:r>
            <w:r w:rsidR="00027FF5">
              <w:t>4</w:t>
            </w:r>
            <w:r>
              <w:t xml:space="preserve">. VBECS bypasses the label verification and does not create an Exception Report. </w:t>
            </w:r>
          </w:p>
          <w:p w14:paraId="0CBFF732" w14:textId="77777777" w:rsidR="00403743" w:rsidRDefault="00403743" w:rsidP="00403743">
            <w:pPr>
              <w:pStyle w:val="NotesText"/>
            </w:pPr>
          </w:p>
          <w:p w14:paraId="3B7AFFBF" w14:textId="77777777" w:rsidR="00403743" w:rsidRDefault="00403743" w:rsidP="00403743">
            <w:pPr>
              <w:pStyle w:val="NotesText"/>
              <w:rPr>
                <w:b/>
              </w:rPr>
            </w:pPr>
            <w:r>
              <w:t xml:space="preserve">When a component is modified and a new label is applied, </w:t>
            </w:r>
            <w:r w:rsidR="002A6CE1">
              <w:t>American Association of Blood Banks (</w:t>
            </w:r>
            <w:r>
              <w:t>AABB</w:t>
            </w:r>
            <w:r w:rsidR="002A6CE1">
              <w:t>)</w:t>
            </w:r>
            <w:r>
              <w:t xml:space="preserve"> standards require the labeling process to include a method to ensure the correctness of the unit number, ABO/Rh, expiration date, and component label.</w:t>
            </w:r>
          </w:p>
          <w:p w14:paraId="78B22045" w14:textId="77777777" w:rsidR="00403743" w:rsidRDefault="00403743" w:rsidP="00403743">
            <w:pPr>
              <w:pStyle w:val="NotesText"/>
              <w:rPr>
                <w:b/>
              </w:rPr>
            </w:pPr>
          </w:p>
          <w:p w14:paraId="648CE7C2" w14:textId="77777777" w:rsidR="00403743" w:rsidRDefault="00403743" w:rsidP="00403743">
            <w:pPr>
              <w:pStyle w:val="NotesText"/>
            </w:pPr>
            <w:r w:rsidRPr="00DE10EE">
              <w:rPr>
                <w:rFonts w:cs="Arial"/>
                <w:vanish/>
                <w:color w:val="0000FF"/>
              </w:rPr>
              <w:t>BR_26.29</w:t>
            </w:r>
            <w:r>
              <w:rPr>
                <w:rFonts w:cs="Arial"/>
                <w:vanish/>
              </w:rPr>
              <w:t xml:space="preserve"> </w:t>
            </w:r>
            <w:r>
              <w:t>To verify the label, VBECS compares the entered data with the data of the target unit from the database. The user may scan or enter:</w:t>
            </w:r>
          </w:p>
          <w:p w14:paraId="0CA3DE83" w14:textId="77777777" w:rsidR="00403743" w:rsidRDefault="00403743" w:rsidP="00403743">
            <w:pPr>
              <w:pStyle w:val="NotesTextBullet"/>
            </w:pPr>
            <w:r>
              <w:t>Unit ABO/Rh Label</w:t>
            </w:r>
            <w:r w:rsidR="00682656">
              <w:t xml:space="preserve"> (scan or manual entry)</w:t>
            </w:r>
          </w:p>
          <w:p w14:paraId="059C03B0" w14:textId="77777777" w:rsidR="00403743" w:rsidRDefault="00403743" w:rsidP="00403743">
            <w:pPr>
              <w:pStyle w:val="NotesTextBullet"/>
            </w:pPr>
            <w:r>
              <w:t>Unit Product Code</w:t>
            </w:r>
            <w:r w:rsidR="00682656">
              <w:t xml:space="preserve"> (scan or manual entry)</w:t>
            </w:r>
          </w:p>
          <w:p w14:paraId="4D461DFA" w14:textId="77777777" w:rsidR="00403743" w:rsidRDefault="00403743" w:rsidP="00027FF5">
            <w:pPr>
              <w:pStyle w:val="NotesTextBullet"/>
            </w:pPr>
            <w:r>
              <w:t>Unit Expiration Date</w:t>
            </w:r>
            <w:r w:rsidR="00682656">
              <w:t xml:space="preserve"> (scan or manual entry)</w:t>
            </w:r>
          </w:p>
          <w:p w14:paraId="15F8CBA7" w14:textId="77777777" w:rsidR="00682656" w:rsidRDefault="00682656" w:rsidP="00682656">
            <w:pPr>
              <w:rPr>
                <w:rFonts w:ascii="Arial" w:hAnsi="Arial"/>
                <w:sz w:val="18"/>
              </w:rPr>
            </w:pPr>
          </w:p>
          <w:p w14:paraId="04A97241" w14:textId="77777777" w:rsidR="00682656" w:rsidRDefault="00682656" w:rsidP="00682656">
            <w:pPr>
              <w:pStyle w:val="NotesText"/>
            </w:pPr>
            <w:r>
              <w:t>If all comparisons are okay, VBECS displays a message stating that label verification is complete and asks whether the user wishes to continue.</w:t>
            </w:r>
          </w:p>
          <w:p w14:paraId="7390DE02" w14:textId="77777777" w:rsidR="00682656" w:rsidRDefault="00682656" w:rsidP="00682656">
            <w:pPr>
              <w:pStyle w:val="NotesText"/>
            </w:pPr>
          </w:p>
          <w:p w14:paraId="17A1EDFD" w14:textId="77777777" w:rsidR="00682656" w:rsidRDefault="00682656" w:rsidP="00682656">
            <w:pPr>
              <w:pStyle w:val="NotesText"/>
            </w:pPr>
            <w:r>
              <w:t>If there is not a match, VBECS</w:t>
            </w:r>
            <w:r w:rsidRPr="00682656">
              <w:t xml:space="preserve"> provides an audible alert and displays</w:t>
            </w:r>
            <w:r>
              <w:t xml:space="preserve"> an error message stating that &lt;data element&gt; does NOT match &lt;data element&gt; of record and asks the user to verify labeling and reenter, or select </w:t>
            </w:r>
            <w:r w:rsidRPr="00682656">
              <w:rPr>
                <w:b/>
              </w:rPr>
              <w:t>Continue</w:t>
            </w:r>
            <w:r>
              <w:t>.</w:t>
            </w:r>
          </w:p>
          <w:p w14:paraId="3A33AEBE" w14:textId="77777777" w:rsidR="00682656" w:rsidRDefault="00682656" w:rsidP="00682656">
            <w:pPr>
              <w:pStyle w:val="NotesText"/>
            </w:pPr>
          </w:p>
          <w:p w14:paraId="6BC392D3" w14:textId="77777777" w:rsidR="00682656" w:rsidRDefault="00682656" w:rsidP="00682656">
            <w:pPr>
              <w:pStyle w:val="NotesText"/>
            </w:pPr>
            <w:r>
              <w:t xml:space="preserve">If there is a null or no user entry for one of the fields, VBECS displays an error message stating that &lt;data element&gt; was not entered and asks the user to enter a value or select </w:t>
            </w:r>
            <w:r w:rsidRPr="00682656">
              <w:rPr>
                <w:b/>
              </w:rPr>
              <w:t>Continue</w:t>
            </w:r>
            <w:r>
              <w:t>.</w:t>
            </w:r>
          </w:p>
          <w:p w14:paraId="48E4A6C2" w14:textId="77777777" w:rsidR="00682656" w:rsidRDefault="00682656" w:rsidP="00682656">
            <w:pPr>
              <w:pStyle w:val="NotesText"/>
            </w:pPr>
          </w:p>
          <w:p w14:paraId="06DE2EEE" w14:textId="77777777" w:rsidR="00682656" w:rsidRDefault="00682656" w:rsidP="00682656">
            <w:pPr>
              <w:pStyle w:val="NotesText"/>
            </w:pPr>
            <w:r>
              <w:t>If checks were either invalid or incomplete, VBECS</w:t>
            </w:r>
            <w:r w:rsidRPr="00682656">
              <w:t xml:space="preserve"> will not allow unit issue to this </w:t>
            </w:r>
            <w:r>
              <w:t>or any other patient. VBECS</w:t>
            </w:r>
            <w:r w:rsidRPr="00682656">
              <w:t xml:space="preserve"> displays a warning message: “Unit is unacceptable for transfusion. Releasing all patient assignments and qu</w:t>
            </w:r>
            <w:r>
              <w:t>arantining the unit.” VBECS</w:t>
            </w:r>
            <w:r w:rsidRPr="00682656">
              <w:t xml:space="preserve"> clears the unit data and allows for entry of a different unit number. </w:t>
            </w:r>
            <w:r>
              <w:t xml:space="preserve">When the user selects </w:t>
            </w:r>
            <w:r w:rsidRPr="00682656">
              <w:rPr>
                <w:b/>
              </w:rPr>
              <w:t>Continue</w:t>
            </w:r>
            <w:r>
              <w:t>, a comment is required and details are captured in an exception report. Details in the exception report include:</w:t>
            </w:r>
          </w:p>
          <w:p w14:paraId="14BB1AC2" w14:textId="2E611D9B" w:rsidR="00682656" w:rsidRDefault="00372501" w:rsidP="00925CAD">
            <w:pPr>
              <w:pStyle w:val="StyleTableText9ptChar"/>
              <w:numPr>
                <w:ilvl w:val="0"/>
                <w:numId w:val="65"/>
              </w:numPr>
            </w:pPr>
            <w:r>
              <w:t>Exception</w:t>
            </w:r>
            <w:r w:rsidR="00682656">
              <w:t xml:space="preserve"> type: Target Product Label Failed checks </w:t>
            </w:r>
          </w:p>
          <w:p w14:paraId="68FE4417" w14:textId="77777777" w:rsidR="00682656" w:rsidRDefault="00682656" w:rsidP="00925CAD">
            <w:pPr>
              <w:pStyle w:val="StyleTableText9ptChar"/>
              <w:numPr>
                <w:ilvl w:val="0"/>
                <w:numId w:val="65"/>
              </w:numPr>
            </w:pPr>
            <w:r>
              <w:t>Type of modification: &lt;insert type defined by the transaction&gt;</w:t>
            </w:r>
          </w:p>
          <w:p w14:paraId="7D87085C" w14:textId="77777777" w:rsidR="00682656" w:rsidRDefault="00682656" w:rsidP="00925CAD">
            <w:pPr>
              <w:pStyle w:val="StyleTableText9ptChar"/>
              <w:numPr>
                <w:ilvl w:val="0"/>
                <w:numId w:val="65"/>
              </w:numPr>
            </w:pPr>
            <w:r>
              <w:t>Target Unit ID</w:t>
            </w:r>
          </w:p>
          <w:p w14:paraId="4058A1BD" w14:textId="77777777" w:rsidR="00682656" w:rsidRDefault="00682656" w:rsidP="00925CAD">
            <w:pPr>
              <w:pStyle w:val="StyleTableText9ptChar"/>
              <w:numPr>
                <w:ilvl w:val="0"/>
                <w:numId w:val="65"/>
              </w:numPr>
            </w:pPr>
            <w:r>
              <w:t>Target Unit ABO/Rh</w:t>
            </w:r>
          </w:p>
          <w:p w14:paraId="2341B44A" w14:textId="77777777" w:rsidR="00682656" w:rsidRDefault="00682656" w:rsidP="00925CAD">
            <w:pPr>
              <w:pStyle w:val="StyleTableText9ptChar"/>
              <w:numPr>
                <w:ilvl w:val="0"/>
                <w:numId w:val="65"/>
              </w:numPr>
            </w:pPr>
            <w:r>
              <w:t>Target Unit Product Code</w:t>
            </w:r>
          </w:p>
          <w:p w14:paraId="2AAE528D" w14:textId="77777777" w:rsidR="00682656" w:rsidRDefault="00682656" w:rsidP="00925CAD">
            <w:pPr>
              <w:pStyle w:val="StyleTableText9ptChar"/>
              <w:numPr>
                <w:ilvl w:val="0"/>
                <w:numId w:val="65"/>
              </w:numPr>
            </w:pPr>
            <w:r>
              <w:t>Target Unit Product (Short) Name</w:t>
            </w:r>
          </w:p>
          <w:p w14:paraId="7CA1B2A0" w14:textId="77777777" w:rsidR="00682656" w:rsidRDefault="00682656" w:rsidP="00925CAD">
            <w:pPr>
              <w:pStyle w:val="StyleTableText9ptChar"/>
              <w:numPr>
                <w:ilvl w:val="0"/>
                <w:numId w:val="65"/>
              </w:numPr>
            </w:pPr>
            <w:r>
              <w:t>Target Expiration Date</w:t>
            </w:r>
          </w:p>
          <w:p w14:paraId="624EA84C" w14:textId="77777777" w:rsidR="00682656" w:rsidRDefault="00682656" w:rsidP="00925CAD">
            <w:pPr>
              <w:pStyle w:val="StyleTableText9ptChar"/>
              <w:numPr>
                <w:ilvl w:val="0"/>
                <w:numId w:val="65"/>
              </w:numPr>
            </w:pPr>
            <w:r>
              <w:t>Date/Time of Modification (transaction)</w:t>
            </w:r>
          </w:p>
          <w:p w14:paraId="7E9B5554" w14:textId="77777777" w:rsidR="00682656" w:rsidRDefault="00682656" w:rsidP="00925CAD">
            <w:pPr>
              <w:pStyle w:val="StyleTableText9ptChar"/>
              <w:numPr>
                <w:ilvl w:val="0"/>
                <w:numId w:val="65"/>
              </w:numPr>
            </w:pPr>
            <w:r>
              <w:t>Data Field User Entered Value or “no entry” if null</w:t>
            </w:r>
          </w:p>
          <w:p w14:paraId="28258309" w14:textId="77777777" w:rsidR="00682656" w:rsidRDefault="00682656" w:rsidP="00925CAD">
            <w:pPr>
              <w:pStyle w:val="StyleTableText9ptChar"/>
              <w:numPr>
                <w:ilvl w:val="0"/>
                <w:numId w:val="65"/>
              </w:numPr>
            </w:pPr>
            <w:r>
              <w:t>Data Field Correct or Expected Value</w:t>
            </w:r>
          </w:p>
          <w:p w14:paraId="4220AC23" w14:textId="77777777" w:rsidR="00682656" w:rsidRDefault="00682656" w:rsidP="00925CAD">
            <w:pPr>
              <w:pStyle w:val="StyleTableText9ptChar"/>
              <w:numPr>
                <w:ilvl w:val="0"/>
                <w:numId w:val="65"/>
              </w:numPr>
            </w:pPr>
            <w:r>
              <w:t>Required Comment (“unit modification” context)</w:t>
            </w:r>
          </w:p>
          <w:p w14:paraId="7A789992" w14:textId="77777777" w:rsidR="00682656" w:rsidRDefault="00682656" w:rsidP="00925CAD">
            <w:pPr>
              <w:pStyle w:val="StyleTableText9ptChar"/>
              <w:numPr>
                <w:ilvl w:val="0"/>
                <w:numId w:val="65"/>
              </w:numPr>
            </w:pPr>
            <w:r>
              <w:t>Modifying Tech ID, print Tech name on report</w:t>
            </w:r>
          </w:p>
          <w:p w14:paraId="7FA87497" w14:textId="77777777" w:rsidR="00682656" w:rsidRDefault="00682656" w:rsidP="00925CAD">
            <w:pPr>
              <w:pStyle w:val="StyleTableText9ptChar"/>
              <w:numPr>
                <w:ilvl w:val="0"/>
                <w:numId w:val="65"/>
              </w:numPr>
            </w:pPr>
            <w:r>
              <w:t>Login Tech ID, print Tech name on report</w:t>
            </w:r>
          </w:p>
          <w:p w14:paraId="7C8DBD1D" w14:textId="77777777" w:rsidR="00682656" w:rsidRDefault="00682656" w:rsidP="00925CAD">
            <w:pPr>
              <w:pStyle w:val="StyleTableText9ptChar"/>
              <w:numPr>
                <w:ilvl w:val="0"/>
                <w:numId w:val="65"/>
              </w:numPr>
            </w:pPr>
            <w:r>
              <w:t>Division</w:t>
            </w:r>
          </w:p>
        </w:tc>
      </w:tr>
      <w:tr w:rsidR="002A21AE" w14:paraId="7A454AAF" w14:textId="77777777">
        <w:tc>
          <w:tcPr>
            <w:tcW w:w="3240" w:type="dxa"/>
          </w:tcPr>
          <w:p w14:paraId="73AC602F" w14:textId="77777777" w:rsidR="002A21AE" w:rsidRDefault="002A21AE">
            <w:pPr>
              <w:pStyle w:val="TableTextNumbers"/>
            </w:pPr>
            <w:r>
              <w:t>Scan or enter each label on the target unit.</w:t>
            </w:r>
          </w:p>
        </w:tc>
        <w:tc>
          <w:tcPr>
            <w:tcW w:w="6120" w:type="dxa"/>
          </w:tcPr>
          <w:p w14:paraId="36F2E129" w14:textId="77777777" w:rsidR="002A21AE" w:rsidRDefault="002A21AE">
            <w:pPr>
              <w:pStyle w:val="TableTextBullet"/>
            </w:pPr>
            <w:r>
              <w:t xml:space="preserve">Compares the data entered in each field to the database. </w:t>
            </w:r>
          </w:p>
          <w:p w14:paraId="1EB4C5ED" w14:textId="77777777" w:rsidR="002A21AE" w:rsidRDefault="002A21AE">
            <w:pPr>
              <w:pStyle w:val="TableTextBullet"/>
            </w:pPr>
            <w:r>
              <w:t>Asks whether the user wishes to save the data. When the user confirms that the data are correct, notifies him that the label verification is complete.</w:t>
            </w:r>
          </w:p>
          <w:p w14:paraId="1819DB62" w14:textId="77777777" w:rsidR="002A21AE" w:rsidRDefault="002A21AE">
            <w:pPr>
              <w:pStyle w:val="TableTextBullet"/>
            </w:pPr>
            <w:r>
              <w:rPr>
                <w:rFonts w:cs="Arial"/>
                <w:vanish/>
              </w:rPr>
              <w:t xml:space="preserve">BR_26.27 </w:t>
            </w:r>
            <w:r>
              <w:t xml:space="preserve">Records the modified or restriction-released unit relabeling data as part of the unit record and stores the data for inclusion in the unit </w:t>
            </w:r>
            <w:r w:rsidR="0051757B">
              <w:t>history</w:t>
            </w:r>
            <w:r>
              <w:t xml:space="preserve"> report.</w:t>
            </w:r>
          </w:p>
          <w:p w14:paraId="3302009D" w14:textId="77777777" w:rsidR="002A21AE" w:rsidRDefault="002A21AE">
            <w:pPr>
              <w:pStyle w:val="TableTextBullet"/>
              <w:tabs>
                <w:tab w:val="clear" w:pos="288"/>
              </w:tabs>
            </w:pPr>
            <w:r>
              <w:t>When the user confirms that the comparisons are correct, notifies him and asks whether he wishes to continue.</w:t>
            </w:r>
          </w:p>
          <w:p w14:paraId="6EDE61D9" w14:textId="77777777" w:rsidR="002A21AE" w:rsidRDefault="002A21AE">
            <w:pPr>
              <w:pStyle w:val="TableText"/>
            </w:pPr>
          </w:p>
          <w:p w14:paraId="645CA15D" w14:textId="3A200437" w:rsidR="002A21AE" w:rsidRDefault="002A21AE">
            <w:pPr>
              <w:pStyle w:val="TableText"/>
              <w:rPr>
                <w:b/>
                <w:bCs/>
                <w:szCs w:val="18"/>
              </w:rPr>
            </w:pPr>
            <w:r>
              <w:rPr>
                <w:b/>
                <w:bCs/>
                <w:szCs w:val="18"/>
              </w:rPr>
              <w:t>NOTES</w:t>
            </w:r>
          </w:p>
          <w:p w14:paraId="50A75D67" w14:textId="77777777" w:rsidR="002A21AE" w:rsidRDefault="002A21AE">
            <w:pPr>
              <w:pStyle w:val="NotesText"/>
            </w:pPr>
          </w:p>
          <w:p w14:paraId="3FB7127B" w14:textId="77777777" w:rsidR="002A21AE" w:rsidRDefault="00E979DB">
            <w:pPr>
              <w:pStyle w:val="NotesText"/>
            </w:pPr>
            <w:r>
              <w:t xml:space="preserve"> </w:t>
            </w:r>
          </w:p>
          <w:p w14:paraId="6D4CDF42" w14:textId="77777777" w:rsidR="002A21AE" w:rsidRDefault="002A21AE">
            <w:pPr>
              <w:pStyle w:val="NotesText"/>
            </w:pPr>
            <w:r>
              <w:t xml:space="preserve">When there is no previous entry for a field, VBECS notifies the user and instructs him to enter a value or select </w:t>
            </w:r>
            <w:r w:rsidR="0082101B">
              <w:rPr>
                <w:b/>
              </w:rPr>
              <w:t>Cancel</w:t>
            </w:r>
            <w:r>
              <w:t>.</w:t>
            </w:r>
          </w:p>
          <w:p w14:paraId="391DDA5E" w14:textId="77777777" w:rsidR="002A21AE" w:rsidRDefault="002A21AE">
            <w:pPr>
              <w:pStyle w:val="NotesText"/>
            </w:pPr>
          </w:p>
          <w:p w14:paraId="494F177F" w14:textId="77777777" w:rsidR="002A21AE" w:rsidRDefault="00892350">
            <w:pPr>
              <w:pStyle w:val="NotesText"/>
            </w:pPr>
            <w:r>
              <w:t>VBECS requires a comment w</w:t>
            </w:r>
            <w:r w:rsidR="002A21AE">
              <w:t xml:space="preserve">hen the user selects </w:t>
            </w:r>
            <w:r w:rsidR="0082101B">
              <w:rPr>
                <w:b/>
              </w:rPr>
              <w:t>Cancel</w:t>
            </w:r>
            <w:r w:rsidR="002A21AE">
              <w:t>, and captures details for inclusion in an Exception Report (exception type: target product label failed checks).</w:t>
            </w:r>
          </w:p>
        </w:tc>
      </w:tr>
      <w:tr w:rsidR="002A21AE" w14:paraId="3EBDA77C" w14:textId="77777777">
        <w:tc>
          <w:tcPr>
            <w:tcW w:w="3240" w:type="dxa"/>
          </w:tcPr>
          <w:p w14:paraId="4F4F1CD3" w14:textId="77777777" w:rsidR="002A21AE" w:rsidRDefault="002A21AE">
            <w:pPr>
              <w:pStyle w:val="TableTextNumbers"/>
            </w:pPr>
            <w:r>
              <w:t xml:space="preserve">Click </w:t>
            </w:r>
            <w:r>
              <w:rPr>
                <w:b/>
              </w:rPr>
              <w:t>OK</w:t>
            </w:r>
            <w:r>
              <w:t xml:space="preserve"> to confirm the save.</w:t>
            </w:r>
          </w:p>
        </w:tc>
        <w:tc>
          <w:tcPr>
            <w:tcW w:w="6120" w:type="dxa"/>
          </w:tcPr>
          <w:p w14:paraId="2911B13B" w14:textId="77777777" w:rsidR="002A21AE" w:rsidRDefault="002A21AE">
            <w:pPr>
              <w:pStyle w:val="TableTextBullet"/>
              <w:tabs>
                <w:tab w:val="clear" w:pos="288"/>
              </w:tabs>
            </w:pPr>
            <w:r>
              <w:t>Saves the new modified unit data.</w:t>
            </w:r>
          </w:p>
          <w:p w14:paraId="26C8F176" w14:textId="77777777" w:rsidR="002A21AE" w:rsidRDefault="002A21AE">
            <w:pPr>
              <w:pStyle w:val="TableTextBullet"/>
              <w:tabs>
                <w:tab w:val="clear" w:pos="288"/>
              </w:tabs>
            </w:pPr>
            <w:r>
              <w:t>Updates the status of the original unit to “modified.”</w:t>
            </w:r>
          </w:p>
          <w:p w14:paraId="05E40B38" w14:textId="77777777" w:rsidR="00EE2911" w:rsidRDefault="00EE2911">
            <w:pPr>
              <w:pStyle w:val="TableTextBullet"/>
              <w:tabs>
                <w:tab w:val="clear" w:pos="288"/>
              </w:tabs>
            </w:pPr>
            <w:r>
              <w:t>Records the unit ID of the target unit on the record of the original unit.</w:t>
            </w:r>
          </w:p>
          <w:p w14:paraId="188F2489" w14:textId="77777777" w:rsidR="002A21AE" w:rsidRDefault="002A21AE">
            <w:pPr>
              <w:pStyle w:val="TableTextBullet"/>
              <w:tabs>
                <w:tab w:val="clear" w:pos="288"/>
              </w:tabs>
            </w:pPr>
            <w:r>
              <w:t>Prompts the user to modify another unit.</w:t>
            </w:r>
          </w:p>
          <w:p w14:paraId="4679504B" w14:textId="77777777" w:rsidR="002A21AE" w:rsidRDefault="002A21AE">
            <w:pPr>
              <w:pStyle w:val="TableText"/>
            </w:pPr>
          </w:p>
          <w:p w14:paraId="370A33C0" w14:textId="794E8A8B" w:rsidR="002A21AE" w:rsidRDefault="002A21AE">
            <w:pPr>
              <w:pStyle w:val="TableText"/>
              <w:rPr>
                <w:b/>
                <w:bCs/>
                <w:szCs w:val="18"/>
              </w:rPr>
            </w:pPr>
            <w:r>
              <w:rPr>
                <w:b/>
                <w:bCs/>
                <w:szCs w:val="18"/>
              </w:rPr>
              <w:t>NOTES</w:t>
            </w:r>
          </w:p>
          <w:p w14:paraId="1D7012CF" w14:textId="77777777" w:rsidR="002A21AE" w:rsidRDefault="002A21AE">
            <w:pPr>
              <w:pStyle w:val="NotesText"/>
            </w:pPr>
          </w:p>
          <w:p w14:paraId="6F8E62AB" w14:textId="77777777" w:rsidR="002A21AE" w:rsidRDefault="002A21AE">
            <w:pPr>
              <w:pStyle w:val="NotesText"/>
              <w:rPr>
                <w:i/>
              </w:rPr>
            </w:pPr>
            <w:r>
              <w:rPr>
                <w:rFonts w:cs="Arial"/>
                <w:vanish/>
              </w:rPr>
              <w:t xml:space="preserve">BR_26.15 </w:t>
            </w:r>
            <w:r>
              <w:t>The target unit automatically inh</w:t>
            </w:r>
            <w:r w:rsidR="00131240">
              <w:t>erits original unit data</w:t>
            </w:r>
            <w:r>
              <w:t>:</w:t>
            </w:r>
            <w:r>
              <w:rPr>
                <w:i/>
              </w:rPr>
              <w:t xml:space="preserve"> </w:t>
            </w:r>
          </w:p>
          <w:p w14:paraId="446C214C" w14:textId="77777777" w:rsidR="00391084" w:rsidRDefault="00391084">
            <w:pPr>
              <w:pStyle w:val="NotesTextBullet"/>
            </w:pPr>
            <w:r>
              <w:t xml:space="preserve">Additional unit testing (CMV, Sickle Cell, antigen </w:t>
            </w:r>
            <w:proofErr w:type="spellStart"/>
            <w:r>
              <w:t>typings</w:t>
            </w:r>
            <w:proofErr w:type="spellEnd"/>
            <w:r>
              <w:t>, = &gt; 2 mL RBC contamination)</w:t>
            </w:r>
          </w:p>
          <w:p w14:paraId="03463F19" w14:textId="77777777" w:rsidR="002A21AE" w:rsidRDefault="002A21AE">
            <w:pPr>
              <w:pStyle w:val="NotesTextBullet"/>
            </w:pPr>
            <w:r>
              <w:t>Unit ABO/Rh (from login)</w:t>
            </w:r>
          </w:p>
          <w:p w14:paraId="38EF576F" w14:textId="77777777" w:rsidR="002A21AE" w:rsidRDefault="002A21AE">
            <w:pPr>
              <w:pStyle w:val="NotesTextBullet"/>
            </w:pPr>
            <w:r>
              <w:t>ABO/Rh confirmation testing information (when performed)</w:t>
            </w:r>
          </w:p>
          <w:p w14:paraId="50F9FD64" w14:textId="77777777" w:rsidR="002A21AE" w:rsidRDefault="002A21AE">
            <w:pPr>
              <w:pStyle w:val="NotesTextBullet"/>
            </w:pPr>
            <w:r>
              <w:t>Unit ID</w:t>
            </w:r>
          </w:p>
          <w:p w14:paraId="217ABB6C" w14:textId="77777777" w:rsidR="002A21AE" w:rsidRDefault="002A21AE">
            <w:pPr>
              <w:pStyle w:val="NotesTextBullet"/>
            </w:pPr>
            <w:r>
              <w:t xml:space="preserve">Unit Volume </w:t>
            </w:r>
            <w:r w:rsidR="0039034C">
              <w:t>(exceptions – target unit created as a result of Split or Volume Reduce does not inherit original unit volume. Target unit volume must be manually entered for volume reduced units)</w:t>
            </w:r>
          </w:p>
          <w:p w14:paraId="7C74ECC2" w14:textId="77777777" w:rsidR="002A21AE" w:rsidRDefault="002A21AE">
            <w:pPr>
              <w:pStyle w:val="NotesTextBullet"/>
            </w:pPr>
            <w:r>
              <w:t>Donation type</w:t>
            </w:r>
          </w:p>
          <w:p w14:paraId="2CABB61B" w14:textId="77777777" w:rsidR="002A21AE" w:rsidRDefault="002A21AE">
            <w:pPr>
              <w:pStyle w:val="NotesTextBullet"/>
            </w:pPr>
            <w:r>
              <w:t>Disease marker testing information, when autologous.</w:t>
            </w:r>
          </w:p>
          <w:p w14:paraId="5275E560" w14:textId="77777777" w:rsidR="002A21AE" w:rsidRDefault="002A21AE">
            <w:pPr>
              <w:pStyle w:val="NotesTextBullet"/>
            </w:pPr>
            <w:r>
              <w:t>Restricted for patient name, ID.</w:t>
            </w:r>
          </w:p>
          <w:p w14:paraId="0FED7D3A" w14:textId="77777777" w:rsidR="002A21AE" w:rsidRDefault="002A21AE">
            <w:pPr>
              <w:pStyle w:val="NotesTextBullet"/>
            </w:pPr>
            <w:r>
              <w:t>Current status</w:t>
            </w:r>
          </w:p>
          <w:p w14:paraId="24E9DC62" w14:textId="77777777" w:rsidR="002A21AE" w:rsidRDefault="002A21AE">
            <w:pPr>
              <w:pStyle w:val="NotesTextBullet"/>
            </w:pPr>
            <w:r>
              <w:t>Biohazard Indicator</w:t>
            </w:r>
          </w:p>
          <w:p w14:paraId="3AB86BED" w14:textId="77777777" w:rsidR="002A21AE" w:rsidRDefault="002A21AE">
            <w:pPr>
              <w:pStyle w:val="NotesTextBullet"/>
            </w:pPr>
            <w:r>
              <w:t>Quarantine Indicator</w:t>
            </w:r>
          </w:p>
          <w:p w14:paraId="50113225" w14:textId="77777777" w:rsidR="002A21AE" w:rsidRDefault="002A21AE" w:rsidP="00391084">
            <w:pPr>
              <w:pStyle w:val="NotesTextBullet"/>
            </w:pPr>
            <w:r>
              <w:t>Division</w:t>
            </w:r>
          </w:p>
        </w:tc>
      </w:tr>
      <w:tr w:rsidR="002A21AE" w14:paraId="49727980" w14:textId="77777777">
        <w:tc>
          <w:tcPr>
            <w:tcW w:w="3240" w:type="dxa"/>
          </w:tcPr>
          <w:p w14:paraId="0CCF050F" w14:textId="2A0490B2" w:rsidR="002A21AE" w:rsidRDefault="002A21AE">
            <w:pPr>
              <w:pStyle w:val="TableTextNumbers"/>
            </w:pPr>
            <w:r>
              <w:t>Repeat Steps 3</w:t>
            </w:r>
            <w:r w:rsidR="004F5589">
              <w:t xml:space="preserve"> through </w:t>
            </w:r>
            <w:r>
              <w:t xml:space="preserve">14 to modify another unit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D01CF16" w14:textId="77777777" w:rsidR="002A21AE" w:rsidRDefault="002A21AE">
            <w:pPr>
              <w:pStyle w:val="TableText"/>
            </w:pPr>
          </w:p>
        </w:tc>
      </w:tr>
    </w:tbl>
    <w:p w14:paraId="47ABFCBD" w14:textId="46811AA0" w:rsidR="001B4885" w:rsidRDefault="001B4885" w:rsidP="001B4885">
      <w:pPr>
        <w:pStyle w:val="Caption"/>
      </w:pPr>
      <w:bookmarkStart w:id="300" w:name="_Ref126649536"/>
      <w:bookmarkStart w:id="301" w:name="_Ref23852327"/>
      <w:bookmarkStart w:id="302" w:name="_Toc9434932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60</w:t>
      </w:r>
      <w:r w:rsidR="004E20BD">
        <w:rPr>
          <w:noProof/>
        </w:rPr>
        <w:fldChar w:fldCharType="end"/>
      </w:r>
      <w:bookmarkEnd w:id="300"/>
      <w:r>
        <w:t>: Modify Unit(s)</w:t>
      </w:r>
      <w:bookmarkEnd w:id="301"/>
    </w:p>
    <w:p w14:paraId="2C0BC550" w14:textId="734E5C47" w:rsidR="001B4885" w:rsidRDefault="00570C93" w:rsidP="00AB1E83">
      <w:pPr>
        <w:pStyle w:val="BodyText"/>
      </w:pPr>
      <w:r>
        <w:rPr>
          <w:noProof/>
        </w:rPr>
        <w:drawing>
          <wp:inline distT="0" distB="0" distL="0" distR="0" wp14:anchorId="0777C66E" wp14:editId="00E015E6">
            <wp:extent cx="3752850" cy="4965700"/>
            <wp:effectExtent l="0" t="0" r="0" b="6350"/>
            <wp:docPr id="64" name="Picture 64" descr="Example of Modify Uni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Example of Modify Unit(s) screen captur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52850" cy="4965700"/>
                    </a:xfrm>
                    <a:prstGeom prst="rect">
                      <a:avLst/>
                    </a:prstGeom>
                    <a:noFill/>
                    <a:ln>
                      <a:noFill/>
                    </a:ln>
                  </pic:spPr>
                </pic:pic>
              </a:graphicData>
            </a:graphic>
          </wp:inline>
        </w:drawing>
      </w:r>
    </w:p>
    <w:p w14:paraId="5A9D620E" w14:textId="50D77D98" w:rsidR="00443BD5" w:rsidRDefault="00443BD5" w:rsidP="00443BD5">
      <w:pPr>
        <w:pStyle w:val="Caption"/>
      </w:pPr>
      <w:bookmarkStart w:id="303" w:name="_Ref12665040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61</w:t>
      </w:r>
      <w:r w:rsidR="004E20BD">
        <w:rPr>
          <w:noProof/>
        </w:rPr>
        <w:fldChar w:fldCharType="end"/>
      </w:r>
      <w:bookmarkEnd w:id="303"/>
      <w:r>
        <w:t>: Split/Divide Unit</w:t>
      </w:r>
    </w:p>
    <w:p w14:paraId="62C7A4AD" w14:textId="56AE3E47" w:rsidR="00443BD5" w:rsidRDefault="00570C93" w:rsidP="00443BD5">
      <w:pPr>
        <w:pStyle w:val="BodyText"/>
      </w:pPr>
      <w:r>
        <w:rPr>
          <w:noProof/>
        </w:rPr>
        <w:drawing>
          <wp:inline distT="0" distB="0" distL="0" distR="0" wp14:anchorId="5653F3A0" wp14:editId="72CE6C76">
            <wp:extent cx="5943600" cy="4898390"/>
            <wp:effectExtent l="0" t="0" r="0" b="0"/>
            <wp:docPr id="55" name="Picture 55" descr="Example of Split/Divide Uni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Example of Split/Divide Unit screen captur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4898390"/>
                    </a:xfrm>
                    <a:prstGeom prst="rect">
                      <a:avLst/>
                    </a:prstGeom>
                    <a:noFill/>
                    <a:ln>
                      <a:noFill/>
                    </a:ln>
                  </pic:spPr>
                </pic:pic>
              </a:graphicData>
            </a:graphic>
          </wp:inline>
        </w:drawing>
      </w:r>
    </w:p>
    <w:p w14:paraId="200568C7" w14:textId="674C951E" w:rsidR="00051E30" w:rsidRDefault="00051E30" w:rsidP="00051E30">
      <w:pPr>
        <w:pStyle w:val="Caption"/>
      </w:pPr>
      <w:bookmarkStart w:id="304" w:name="_Ref12665085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62</w:t>
      </w:r>
      <w:r w:rsidR="004E20BD">
        <w:rPr>
          <w:noProof/>
        </w:rPr>
        <w:fldChar w:fldCharType="end"/>
      </w:r>
      <w:bookmarkEnd w:id="304"/>
      <w:r>
        <w:t>: Verify Printed Label</w:t>
      </w:r>
    </w:p>
    <w:p w14:paraId="0A914B4D" w14:textId="2923D8AD" w:rsidR="00051E30" w:rsidRDefault="008C4FF4" w:rsidP="00443BD5">
      <w:pPr>
        <w:pStyle w:val="BodyText"/>
      </w:pPr>
      <w:r w:rsidRPr="008C4FF4">
        <w:t xml:space="preserve"> </w:t>
      </w:r>
      <w:r w:rsidR="00653A4D">
        <w:rPr>
          <w:noProof/>
        </w:rPr>
        <w:drawing>
          <wp:inline distT="0" distB="0" distL="0" distR="0" wp14:anchorId="4BD7D278" wp14:editId="14C1572C">
            <wp:extent cx="5905500" cy="3695700"/>
            <wp:effectExtent l="0" t="0" r="0" b="0"/>
            <wp:docPr id="171" name="Picture 171" descr="Example of Verify Printed Label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Example of Verify Printed Label screen captu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05500" cy="3695700"/>
                    </a:xfrm>
                    <a:prstGeom prst="rect">
                      <a:avLst/>
                    </a:prstGeom>
                    <a:noFill/>
                    <a:ln>
                      <a:noFill/>
                    </a:ln>
                  </pic:spPr>
                </pic:pic>
              </a:graphicData>
            </a:graphic>
          </wp:inline>
        </w:drawing>
      </w:r>
    </w:p>
    <w:p w14:paraId="03027483" w14:textId="77777777" w:rsidR="002A21AE" w:rsidRDefault="00263B24">
      <w:pPr>
        <w:pStyle w:val="Heading4"/>
      </w:pPr>
      <w:r w:rsidRPr="00896F17">
        <w:rPr>
          <w:rStyle w:val="BullhornChar"/>
        </w:rPr>
        <w:t></w:t>
      </w:r>
      <w:r>
        <w:rPr>
          <w:rFonts w:ascii="Webdings" w:hAnsi="Webdings"/>
        </w:rPr>
        <w:t></w:t>
      </w:r>
      <w:r>
        <w:t>A</w:t>
      </w:r>
      <w:r w:rsidR="002A21AE">
        <w:t>lerts</w:t>
      </w:r>
      <w:bookmarkEnd w:id="302"/>
    </w:p>
    <w:p w14:paraId="103C6729" w14:textId="71092E37" w:rsidR="002A21AE" w:rsidRDefault="00B94CA8" w:rsidP="00B94CA8">
      <w:pPr>
        <w:pStyle w:val="Caption"/>
      </w:pPr>
      <w:bookmarkStart w:id="305" w:name="_Ref50989899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5</w:t>
      </w:r>
      <w:r w:rsidR="004E20BD">
        <w:rPr>
          <w:noProof/>
        </w:rPr>
        <w:fldChar w:fldCharType="end"/>
      </w:r>
      <w:bookmarkEnd w:id="305"/>
      <w:r>
        <w:t>: Alerts That May Occur in Modify Units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6A2778D7" w14:textId="77777777" w:rsidTr="004A7B44">
        <w:trPr>
          <w:cantSplit/>
          <w:tblHeader/>
        </w:trPr>
        <w:tc>
          <w:tcPr>
            <w:tcW w:w="780" w:type="dxa"/>
            <w:shd w:val="clear" w:color="auto" w:fill="B3B3B3"/>
          </w:tcPr>
          <w:p w14:paraId="784E51C1" w14:textId="77777777" w:rsidR="002A21AE" w:rsidRDefault="002A21AE">
            <w:pPr>
              <w:pStyle w:val="TableText"/>
              <w:rPr>
                <w:b/>
              </w:rPr>
            </w:pPr>
            <w:r>
              <w:rPr>
                <w:b/>
              </w:rPr>
              <w:t>Step</w:t>
            </w:r>
          </w:p>
        </w:tc>
        <w:tc>
          <w:tcPr>
            <w:tcW w:w="8580" w:type="dxa"/>
            <w:shd w:val="clear" w:color="auto" w:fill="B3B3B3"/>
          </w:tcPr>
          <w:p w14:paraId="6FA3635A" w14:textId="77777777" w:rsidR="002A21AE" w:rsidRDefault="002A21AE">
            <w:pPr>
              <w:pStyle w:val="TableText"/>
              <w:rPr>
                <w:b/>
              </w:rPr>
            </w:pPr>
            <w:r>
              <w:rPr>
                <w:b/>
              </w:rPr>
              <w:t>Alerts</w:t>
            </w:r>
          </w:p>
        </w:tc>
      </w:tr>
      <w:tr w:rsidR="002A21AE" w14:paraId="7A514020" w14:textId="77777777" w:rsidTr="004A7B44">
        <w:trPr>
          <w:cantSplit/>
        </w:trPr>
        <w:tc>
          <w:tcPr>
            <w:tcW w:w="780" w:type="dxa"/>
          </w:tcPr>
          <w:p w14:paraId="0753C7C5" w14:textId="77777777" w:rsidR="002A21AE" w:rsidRDefault="002A21AE">
            <w:pPr>
              <w:pStyle w:val="TableText"/>
            </w:pPr>
            <w:r>
              <w:t>6</w:t>
            </w:r>
          </w:p>
        </w:tc>
        <w:tc>
          <w:tcPr>
            <w:tcW w:w="8580" w:type="dxa"/>
          </w:tcPr>
          <w:p w14:paraId="3423871E" w14:textId="77777777" w:rsidR="002A21AE" w:rsidRDefault="002A21AE">
            <w:pPr>
              <w:pStyle w:val="TableText"/>
            </w:pPr>
            <w:r w:rsidRPr="002D7202">
              <w:rPr>
                <w:rFonts w:cs="Arial"/>
                <w:vanish/>
                <w:color w:val="0000FF"/>
                <w:szCs w:val="18"/>
              </w:rPr>
              <w:t>BR_26.03</w:t>
            </w:r>
            <w:r w:rsidR="00CE3961" w:rsidRPr="00CE3961">
              <w:rPr>
                <w:vanish/>
                <w:szCs w:val="18"/>
              </w:rPr>
              <w:t>,</w:t>
            </w:r>
            <w:r w:rsidRPr="00CE3961">
              <w:rPr>
                <w:vanish/>
                <w:szCs w:val="18"/>
              </w:rPr>
              <w:t xml:space="preserve"> </w:t>
            </w:r>
            <w:r>
              <w:rPr>
                <w:vanish/>
                <w:szCs w:val="18"/>
              </w:rPr>
              <w:t xml:space="preserve">BR_26.44 </w:t>
            </w:r>
            <w:r>
              <w:t xml:space="preserve">VBECS compares the original unit’s expiration date and time to those of the modification to determine whether the selected unit was expired at the time of modification. When the user is a Blood Bank Technologist and the unit selected for modification expired, VBECS </w:t>
            </w:r>
            <w:r w:rsidR="007313EB">
              <w:t xml:space="preserve">emits an audible alert, </w:t>
            </w:r>
            <w:r>
              <w:t>displays an error message, clears the selected unit, and allows the user to select another unit for modification.</w:t>
            </w:r>
          </w:p>
          <w:p w14:paraId="5203465D" w14:textId="77777777" w:rsidR="002A21AE" w:rsidRDefault="002A21AE">
            <w:pPr>
              <w:pStyle w:val="TableText"/>
            </w:pPr>
          </w:p>
          <w:p w14:paraId="62AF4E07" w14:textId="77777777" w:rsidR="002A21AE" w:rsidRDefault="002A21AE">
            <w:pPr>
              <w:pStyle w:val="TableTextBullet1"/>
              <w:numPr>
                <w:ilvl w:val="0"/>
                <w:numId w:val="0"/>
              </w:numPr>
            </w:pPr>
            <w:r w:rsidRPr="00EC7489">
              <w:rPr>
                <w:rFonts w:ascii="Wingdings 3" w:hAnsi="Wingdings 3" w:cs="Wingdings"/>
              </w:rPr>
              <w:t></w:t>
            </w:r>
            <w:r w:rsidRPr="00EC7489">
              <w:rPr>
                <w:rFonts w:ascii="Wingdings 3" w:hAnsi="Wingdings 3" w:cs="Wingdings"/>
              </w:rPr>
              <w:t></w:t>
            </w:r>
            <w:r>
              <w:t xml:space="preserve"> When the user is an Enhanced Technologist and the unit selected for modification is expired, VBECS emits an audible alert, notifies the user, and asks him to verify to continue, or cancel to correct the entry data. </w:t>
            </w:r>
            <w:r w:rsidR="00692DD1">
              <w:rPr>
                <w:b/>
              </w:rPr>
              <w:t>Override</w:t>
            </w:r>
            <w:r w:rsidR="00692DD1">
              <w:t xml:space="preserve"> </w:t>
            </w:r>
            <w:r>
              <w:t xml:space="preserve">requires a comment and VBECS captures details for inclusion in an Exception Report (exception type: expires unit modified). </w:t>
            </w:r>
            <w:r>
              <w:rPr>
                <w:b/>
              </w:rPr>
              <w:t>Cancel</w:t>
            </w:r>
            <w:r>
              <w:t xml:space="preserve"> clears the selected unit and allows the user to select another unit for modification.</w:t>
            </w:r>
          </w:p>
        </w:tc>
      </w:tr>
      <w:tr w:rsidR="002A21AE" w14:paraId="329DA3A7" w14:textId="77777777" w:rsidTr="004A7B44">
        <w:trPr>
          <w:cantSplit/>
        </w:trPr>
        <w:tc>
          <w:tcPr>
            <w:tcW w:w="780" w:type="dxa"/>
          </w:tcPr>
          <w:p w14:paraId="1A1606CF" w14:textId="77777777" w:rsidR="002A21AE" w:rsidRDefault="002A21AE">
            <w:pPr>
              <w:pStyle w:val="TableText"/>
            </w:pPr>
            <w:r>
              <w:t>6</w:t>
            </w:r>
          </w:p>
        </w:tc>
        <w:tc>
          <w:tcPr>
            <w:tcW w:w="8580" w:type="dxa"/>
          </w:tcPr>
          <w:p w14:paraId="5A0FFE5A" w14:textId="77777777" w:rsidR="002A21AE" w:rsidRDefault="002A21AE">
            <w:pPr>
              <w:pStyle w:val="TableText"/>
            </w:pPr>
            <w:r w:rsidRPr="00317A8A">
              <w:rPr>
                <w:rFonts w:cs="Arial"/>
                <w:vanish/>
                <w:color w:val="0000FF"/>
              </w:rPr>
              <w:t>BR_26.07</w:t>
            </w:r>
            <w:r>
              <w:rPr>
                <w:rFonts w:cs="Arial"/>
                <w:vanish/>
              </w:rPr>
              <w:t xml:space="preserve"> </w:t>
            </w:r>
            <w:r>
              <w:t>When ABO/Rh confirmation testing is required but not performed, VBECS notifies the user that testing must be completed before issuing a target unit. The user may continue with the modification.</w:t>
            </w:r>
          </w:p>
        </w:tc>
      </w:tr>
      <w:tr w:rsidR="002A21AE" w14:paraId="044B4FF4" w14:textId="77777777" w:rsidTr="004A7B44">
        <w:trPr>
          <w:cantSplit/>
        </w:trPr>
        <w:tc>
          <w:tcPr>
            <w:tcW w:w="780" w:type="dxa"/>
          </w:tcPr>
          <w:p w14:paraId="649C1927" w14:textId="77777777" w:rsidR="002A21AE" w:rsidRDefault="002A21AE">
            <w:pPr>
              <w:pStyle w:val="TableText"/>
            </w:pPr>
            <w:r>
              <w:t>6</w:t>
            </w:r>
          </w:p>
        </w:tc>
        <w:tc>
          <w:tcPr>
            <w:tcW w:w="8580" w:type="dxa"/>
          </w:tcPr>
          <w:p w14:paraId="537DE50D" w14:textId="77777777" w:rsidR="00A36571" w:rsidRDefault="00A36571" w:rsidP="00A36571">
            <w:pPr>
              <w:pStyle w:val="TableText"/>
            </w:pPr>
            <w:r w:rsidRPr="004A4EC2">
              <w:rPr>
                <w:rFonts w:cs="Arial"/>
                <w:vanish/>
                <w:color w:val="0000FF"/>
              </w:rPr>
              <w:t>BR_26.05</w:t>
            </w:r>
            <w:r>
              <w:rPr>
                <w:rFonts w:cs="Arial"/>
                <w:vanish/>
              </w:rPr>
              <w:t xml:space="preserve"> </w:t>
            </w:r>
            <w:r>
              <w:t>When a unit has an indicator of “quarantined,” VBECS notifies the user that it must be released before processing may continue, clears the selected unit, and allows the user to select another unit.</w:t>
            </w:r>
          </w:p>
          <w:p w14:paraId="1FC9158B" w14:textId="77777777" w:rsidR="00A36571" w:rsidRDefault="00A36571" w:rsidP="00A36571">
            <w:pPr>
              <w:pStyle w:val="TableText"/>
            </w:pPr>
          </w:p>
          <w:p w14:paraId="004C259B" w14:textId="77777777" w:rsidR="002A21AE" w:rsidRDefault="00A36571" w:rsidP="00A36571">
            <w:pPr>
              <w:pStyle w:val="TableText"/>
            </w:pPr>
            <w:r w:rsidRPr="004A4EC2">
              <w:rPr>
                <w:rFonts w:cs="Arial"/>
                <w:vanish/>
                <w:color w:val="0000FF"/>
              </w:rPr>
              <w:t>BR_26.06</w:t>
            </w:r>
            <w:r>
              <w:rPr>
                <w:rFonts w:cs="Arial"/>
                <w:vanish/>
              </w:rPr>
              <w:t xml:space="preserve"> </w:t>
            </w:r>
            <w:r w:rsidRPr="00EC7489">
              <w:rPr>
                <w:rFonts w:ascii="Wingdings 3" w:hAnsi="Wingdings 3" w:cs="Wingdings"/>
              </w:rPr>
              <w:t></w:t>
            </w:r>
            <w:r w:rsidRPr="00EC7489">
              <w:rPr>
                <w:rFonts w:ascii="Wingdings 3" w:hAnsi="Wingdings 3" w:cs="Wingdings"/>
              </w:rPr>
              <w:t></w:t>
            </w:r>
            <w:r>
              <w:t xml:space="preserve"> When the user is an Enhanced Technologist and a unit has an indicator of “quarantined,” VBECS notifies the user that it must be released before processing may continue and asks whether the user wishes to release the unit. </w:t>
            </w:r>
            <w:r>
              <w:rPr>
                <w:b/>
              </w:rPr>
              <w:t>Cancel</w:t>
            </w:r>
            <w:r>
              <w:t xml:space="preserve"> clears the selected unit and allows the user to select another unit. </w:t>
            </w:r>
            <w:r>
              <w:rPr>
                <w:b/>
              </w:rPr>
              <w:t>Override</w:t>
            </w:r>
            <w:r>
              <w:t xml:space="preserve"> releases the unit through Discard or Quarantine.</w:t>
            </w:r>
          </w:p>
        </w:tc>
      </w:tr>
      <w:tr w:rsidR="002A21AE" w14:paraId="0A5C75D6" w14:textId="77777777" w:rsidTr="004A7B44">
        <w:trPr>
          <w:cantSplit/>
        </w:trPr>
        <w:tc>
          <w:tcPr>
            <w:tcW w:w="780" w:type="dxa"/>
          </w:tcPr>
          <w:p w14:paraId="5846F04C" w14:textId="77777777" w:rsidR="002A21AE" w:rsidRDefault="002A21AE">
            <w:pPr>
              <w:pStyle w:val="TableText"/>
            </w:pPr>
            <w:r>
              <w:t>6</w:t>
            </w:r>
          </w:p>
        </w:tc>
        <w:tc>
          <w:tcPr>
            <w:tcW w:w="8580" w:type="dxa"/>
          </w:tcPr>
          <w:p w14:paraId="347D85B6" w14:textId="77777777" w:rsidR="002A21AE" w:rsidRDefault="002A21AE">
            <w:pPr>
              <w:pStyle w:val="TableText"/>
            </w:pPr>
            <w:r w:rsidRPr="00150E0F">
              <w:rPr>
                <w:rFonts w:cs="Arial"/>
                <w:vanish/>
                <w:color w:val="0000FF"/>
              </w:rPr>
              <w:t>BR_26.42</w:t>
            </w:r>
            <w:r>
              <w:rPr>
                <w:rFonts w:cs="Arial"/>
                <w:vanish/>
              </w:rPr>
              <w:t xml:space="preserve"> </w:t>
            </w:r>
            <w:r>
              <w:t xml:space="preserve">When the selected unit has a positive biohazard Indicator, </w:t>
            </w:r>
            <w:r w:rsidR="00796883">
              <w:t>VBECS will not allow modification unless the user role is Enhanced Technologist, VBECS security levels 2 and above. When the user role is Technologist, VBECS security level 1, the system emits an audible alert and displays a warning message stating that the user does not have the proper security to perform this function. The system does not allow an override.</w:t>
            </w:r>
          </w:p>
          <w:p w14:paraId="4E7F729B" w14:textId="77777777" w:rsidR="00796883" w:rsidRDefault="00796883">
            <w:pPr>
              <w:pStyle w:val="TableText"/>
            </w:pPr>
            <w:r>
              <w:t>When the user role is Enhanced Technologist, VBECS security levels 2 and above, VBECS provides an audible alert and displays a warning message: "&lt;Unit ID, Product Name&gt; is Biohazardous. Do you wish to continue with the modification?" If the user responds “No,” the unit is cleared from the screen and a new unit can be selected. If the user responds “Yes,” a comment (context: Unit modification) is required. Details of this override are captured for inclusion in an exception report.</w:t>
            </w:r>
          </w:p>
        </w:tc>
      </w:tr>
      <w:tr w:rsidR="002A21AE" w14:paraId="1FC49BD6" w14:textId="77777777" w:rsidTr="004A7B44">
        <w:trPr>
          <w:cantSplit/>
        </w:trPr>
        <w:tc>
          <w:tcPr>
            <w:tcW w:w="780" w:type="dxa"/>
          </w:tcPr>
          <w:p w14:paraId="182137D6" w14:textId="77777777" w:rsidR="002A21AE" w:rsidRDefault="007B681E">
            <w:pPr>
              <w:pStyle w:val="TableText"/>
            </w:pPr>
            <w:r>
              <w:t>8</w:t>
            </w:r>
          </w:p>
        </w:tc>
        <w:tc>
          <w:tcPr>
            <w:tcW w:w="8580" w:type="dxa"/>
          </w:tcPr>
          <w:p w14:paraId="4D67BCD8" w14:textId="77777777" w:rsidR="002A21AE" w:rsidRDefault="002A21AE">
            <w:pPr>
              <w:pStyle w:val="TableText"/>
            </w:pPr>
            <w:r>
              <w:rPr>
                <w:rFonts w:cs="Arial"/>
                <w:vanish/>
              </w:rPr>
              <w:t xml:space="preserve">BR_26.46 </w:t>
            </w:r>
            <w:r>
              <w:t xml:space="preserve">When a supply item is expired, VBECS emits an audible alert, warns the user, and asks whether the user still wishes to use the item. </w:t>
            </w:r>
            <w:r>
              <w:rPr>
                <w:b/>
              </w:rPr>
              <w:t>Yes</w:t>
            </w:r>
            <w:r>
              <w:t xml:space="preserve"> requires a comment and VBECS captures details for inclusion in an Exception Report (exception type: expires supply used in unit modification). </w:t>
            </w:r>
            <w:r>
              <w:rPr>
                <w:b/>
              </w:rPr>
              <w:t>No</w:t>
            </w:r>
            <w:r>
              <w:t xml:space="preserve"> requires the user to select another supply lot number.</w:t>
            </w:r>
          </w:p>
        </w:tc>
      </w:tr>
      <w:tr w:rsidR="002A21AE" w14:paraId="619486C3" w14:textId="77777777" w:rsidTr="004A7B44">
        <w:trPr>
          <w:cantSplit/>
        </w:trPr>
        <w:tc>
          <w:tcPr>
            <w:tcW w:w="780" w:type="dxa"/>
          </w:tcPr>
          <w:p w14:paraId="549B33C3" w14:textId="77777777" w:rsidR="002A21AE" w:rsidRDefault="002A21AE">
            <w:pPr>
              <w:pStyle w:val="TableText"/>
            </w:pPr>
            <w:r>
              <w:t>10</w:t>
            </w:r>
          </w:p>
        </w:tc>
        <w:tc>
          <w:tcPr>
            <w:tcW w:w="8580" w:type="dxa"/>
          </w:tcPr>
          <w:p w14:paraId="611DA391" w14:textId="77777777" w:rsidR="002A21AE" w:rsidRDefault="002A21AE">
            <w:pPr>
              <w:pStyle w:val="TableText"/>
            </w:pPr>
            <w:r w:rsidRPr="003354C6">
              <w:rPr>
                <w:rFonts w:cs="Arial"/>
                <w:vanish/>
                <w:color w:val="0000FF"/>
              </w:rPr>
              <w:t>BR_26.28</w:t>
            </w:r>
            <w:r>
              <w:rPr>
                <w:rFonts w:cs="Arial"/>
                <w:vanish/>
              </w:rPr>
              <w:t xml:space="preserve"> </w:t>
            </w:r>
            <w:r>
              <w:t xml:space="preserve">When the user </w:t>
            </w:r>
            <w:r w:rsidR="005C01E3">
              <w:t>extends</w:t>
            </w:r>
            <w:r>
              <w:t xml:space="preserve"> the </w:t>
            </w:r>
            <w:r w:rsidR="0003608A">
              <w:t>system-recommended</w:t>
            </w:r>
            <w:r>
              <w:t xml:space="preserve"> expiration date and time, VBECS warns the user, asks him to reenter the unit expiration date, and </w:t>
            </w:r>
            <w:r w:rsidR="00C877D1">
              <w:t>redisplays</w:t>
            </w:r>
            <w:r w:rsidR="00811354">
              <w:t xml:space="preserve"> </w:t>
            </w:r>
            <w:r>
              <w:t xml:space="preserve">the </w:t>
            </w:r>
            <w:r w:rsidR="00C877D1">
              <w:t xml:space="preserve">original </w:t>
            </w:r>
            <w:r>
              <w:t>entry. The user may enter another expiration date and time for the target unit.</w:t>
            </w:r>
          </w:p>
          <w:p w14:paraId="4918E8D0" w14:textId="77777777" w:rsidR="002A21AE" w:rsidRDefault="002A21AE">
            <w:pPr>
              <w:pStyle w:val="TableText"/>
            </w:pPr>
          </w:p>
          <w:p w14:paraId="5BA8460F" w14:textId="77777777" w:rsidR="002A21AE" w:rsidRDefault="002A21AE">
            <w:pPr>
              <w:pStyle w:val="TableText"/>
            </w:pPr>
            <w:r w:rsidRPr="003354C6">
              <w:rPr>
                <w:rFonts w:cs="Arial"/>
                <w:vanish/>
                <w:color w:val="0000FF"/>
              </w:rPr>
              <w:t>BR_26.21</w:t>
            </w:r>
            <w:r>
              <w:rPr>
                <w:rFonts w:cs="Arial"/>
                <w:vanish/>
              </w:rPr>
              <w:t xml:space="preserve"> </w:t>
            </w:r>
            <w:r w:rsidRPr="00EC7489">
              <w:rPr>
                <w:rFonts w:ascii="Wingdings 3" w:hAnsi="Wingdings 3" w:cs="Wingdings"/>
              </w:rPr>
              <w:t></w:t>
            </w:r>
            <w:r w:rsidRPr="00EC7489">
              <w:rPr>
                <w:rFonts w:ascii="Wingdings 3" w:hAnsi="Wingdings 3" w:cs="Wingdings"/>
              </w:rPr>
              <w:t></w:t>
            </w:r>
            <w:r>
              <w:t xml:space="preserve"> When an Enhanced Technologist extends the target unit expiration date and time past the system-recommended expiration date and time, VBECS emits an audible alert, warns the user, and asks whether he wishes to continue.</w:t>
            </w:r>
            <w:r w:rsidR="00323872">
              <w:t xml:space="preserve"> </w:t>
            </w:r>
            <w:r w:rsidR="00323872" w:rsidRPr="00323872">
              <w:rPr>
                <w:b/>
              </w:rPr>
              <w:t>Cancel</w:t>
            </w:r>
            <w:r w:rsidR="00323872">
              <w:t xml:space="preserve"> restores the expiration</w:t>
            </w:r>
            <w:r w:rsidR="00E00D0E">
              <w:t xml:space="preserve"> date</w:t>
            </w:r>
            <w:r w:rsidR="00323872">
              <w:t xml:space="preserve">. </w:t>
            </w:r>
            <w:r w:rsidR="00323872" w:rsidRPr="00323872">
              <w:rPr>
                <w:b/>
              </w:rPr>
              <w:t>Override</w:t>
            </w:r>
            <w:r w:rsidR="00323872">
              <w:t xml:space="preserve"> allows the user to</w:t>
            </w:r>
            <w:r w:rsidR="00AA6C54">
              <w:t xml:space="preserve"> </w:t>
            </w:r>
            <w:r w:rsidR="00323872">
              <w:t>continue</w:t>
            </w:r>
            <w:r>
              <w:t xml:space="preserve"> with this date</w:t>
            </w:r>
            <w:r w:rsidR="00323872">
              <w:t>,</w:t>
            </w:r>
            <w:r>
              <w:t xml:space="preserve"> requires a comment</w:t>
            </w:r>
            <w:r w:rsidR="00323872">
              <w:t>,</w:t>
            </w:r>
            <w:r>
              <w:t xml:space="preserve"> and captures details for inclusion in an Exception Report (exception type: target product outdate extended).</w:t>
            </w:r>
            <w:r w:rsidR="00D76D67">
              <w:t xml:space="preserve"> </w:t>
            </w:r>
            <w:r w:rsidR="00D76D67">
              <w:rPr>
                <w:rStyle w:val="StyleTableText9ptCharChar"/>
              </w:rPr>
              <w:t>Information about this transaction and the comment are queued for an exception report.</w:t>
            </w:r>
          </w:p>
        </w:tc>
      </w:tr>
      <w:tr w:rsidR="00E979DB" w14:paraId="5CDFA49A" w14:textId="77777777" w:rsidTr="004A7B44">
        <w:trPr>
          <w:cantSplit/>
        </w:trPr>
        <w:tc>
          <w:tcPr>
            <w:tcW w:w="780" w:type="dxa"/>
          </w:tcPr>
          <w:p w14:paraId="1A02D476" w14:textId="77777777" w:rsidR="00E979DB" w:rsidRDefault="00E979DB">
            <w:pPr>
              <w:pStyle w:val="TableText"/>
            </w:pPr>
            <w:r>
              <w:t>13</w:t>
            </w:r>
          </w:p>
        </w:tc>
        <w:tc>
          <w:tcPr>
            <w:tcW w:w="8580" w:type="dxa"/>
          </w:tcPr>
          <w:p w14:paraId="799D82BD" w14:textId="77777777" w:rsidR="00E979DB" w:rsidRDefault="00E979DB" w:rsidP="00E979DB">
            <w:pPr>
              <w:pStyle w:val="NotesText"/>
              <w:ind w:left="0"/>
            </w:pPr>
            <w:r>
              <w:t>When there is no match,</w:t>
            </w:r>
            <w:r>
              <w:rPr>
                <w:noProof/>
                <w:color w:val="000000"/>
              </w:rPr>
              <w:t xml:space="preserve"> VBECS emits an audible alert, notifies the user, </w:t>
            </w:r>
            <w:r>
              <w:t xml:space="preserve">and instructs him to verify the labeling and reenter label data or select </w:t>
            </w:r>
            <w:r>
              <w:rPr>
                <w:b/>
              </w:rPr>
              <w:t>Cancel</w:t>
            </w:r>
            <w:r>
              <w:t xml:space="preserve">. </w:t>
            </w:r>
          </w:p>
          <w:p w14:paraId="2AAD7EA1" w14:textId="77777777" w:rsidR="00E979DB" w:rsidRPr="003354C6" w:rsidRDefault="00E979DB">
            <w:pPr>
              <w:pStyle w:val="TableText"/>
              <w:rPr>
                <w:rFonts w:cs="Arial"/>
                <w:vanish/>
                <w:color w:val="0000FF"/>
              </w:rPr>
            </w:pPr>
          </w:p>
        </w:tc>
      </w:tr>
    </w:tbl>
    <w:p w14:paraId="33678748" w14:textId="77777777" w:rsidR="002A21AE" w:rsidRDefault="000A126F">
      <w:pPr>
        <w:pStyle w:val="Heading3"/>
      </w:pPr>
      <w:bookmarkStart w:id="306" w:name="_Toc94349323"/>
      <w:bookmarkEnd w:id="298"/>
      <w:r>
        <w:br w:type="page"/>
      </w:r>
      <w:bookmarkStart w:id="307" w:name="_Toc149064126"/>
      <w:r w:rsidR="002A21AE">
        <w:t>Modify Units: Split a Unit</w:t>
      </w:r>
      <w:bookmarkEnd w:id="307"/>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Modify Units\: Split a Unit</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w:t>
      </w:r>
      <w:bookmarkEnd w:id="306"/>
      <w:r w:rsidR="00B30CE5">
        <w:rPr>
          <w:vanish/>
        </w:rPr>
        <w:t>6</w:t>
      </w:r>
    </w:p>
    <w:p w14:paraId="25BDB238" w14:textId="77777777" w:rsidR="002A21AE" w:rsidRDefault="002A21AE" w:rsidP="00FA7E65">
      <w:pPr>
        <w:pStyle w:val="BodyText"/>
      </w:pPr>
      <w:bookmarkStart w:id="308" w:name="_Toc77662537"/>
      <w:r>
        <w:t xml:space="preserve">The user selects the unit to be split (divided) for transfusion. </w:t>
      </w:r>
    </w:p>
    <w:p w14:paraId="796AD8BF" w14:textId="77777777" w:rsidR="002A21AE" w:rsidRDefault="002A21AE">
      <w:pPr>
        <w:pStyle w:val="Heading4"/>
      </w:pPr>
      <w:bookmarkStart w:id="309" w:name="_Toc94349324"/>
      <w:r>
        <w:t>Assumptions</w:t>
      </w:r>
      <w:bookmarkEnd w:id="309"/>
    </w:p>
    <w:p w14:paraId="1309FF64" w14:textId="77777777" w:rsidR="002A21AE" w:rsidRDefault="002A21AE">
      <w:pPr>
        <w:pStyle w:val="ListBullet"/>
      </w:pPr>
      <w:r>
        <w:t>See Modify Units.</w:t>
      </w:r>
    </w:p>
    <w:p w14:paraId="0197574E" w14:textId="77777777" w:rsidR="002A21AE" w:rsidRDefault="002A21AE">
      <w:pPr>
        <w:pStyle w:val="Heading4"/>
      </w:pPr>
      <w:bookmarkStart w:id="310" w:name="_Toc94349325"/>
      <w:r>
        <w:t>Outcome</w:t>
      </w:r>
      <w:bookmarkEnd w:id="310"/>
    </w:p>
    <w:p w14:paraId="25FCF2C0" w14:textId="77777777" w:rsidR="002A21AE" w:rsidRDefault="002A21AE">
      <w:pPr>
        <w:pStyle w:val="ListBullet"/>
      </w:pPr>
      <w:r>
        <w:t>See Modify Units.</w:t>
      </w:r>
    </w:p>
    <w:p w14:paraId="73F9780E" w14:textId="77777777" w:rsidR="002A21AE" w:rsidRDefault="002A21AE">
      <w:pPr>
        <w:pStyle w:val="Heading4"/>
      </w:pPr>
      <w:bookmarkStart w:id="311" w:name="_Toc94349326"/>
      <w:r>
        <w:t>Limitations and Restrictions</w:t>
      </w:r>
      <w:bookmarkEnd w:id="311"/>
    </w:p>
    <w:p w14:paraId="447FA14B" w14:textId="77777777" w:rsidR="00516343" w:rsidRDefault="002A21AE">
      <w:pPr>
        <w:pStyle w:val="ListBullet"/>
      </w:pPr>
      <w:r>
        <w:rPr>
          <w:rFonts w:ascii="Arial" w:hAnsi="Arial" w:cs="Arial"/>
          <w:vanish/>
          <w:spacing w:val="0"/>
          <w:sz w:val="18"/>
        </w:rPr>
        <w:t xml:space="preserve">BR_25.21 </w:t>
      </w:r>
      <w:r>
        <w:t xml:space="preserve">A </w:t>
      </w:r>
      <w:r w:rsidR="004248F5">
        <w:t xml:space="preserve">unit </w:t>
      </w:r>
      <w:r>
        <w:t xml:space="preserve">previously split </w:t>
      </w:r>
      <w:r w:rsidR="004248F5">
        <w:t xml:space="preserve">in VBECS </w:t>
      </w:r>
      <w:r>
        <w:t xml:space="preserve">cannot be split again. </w:t>
      </w:r>
      <w:r w:rsidR="00516343">
        <w:t>Only an ISBT unit that was split outside of VBECS can be split again.</w:t>
      </w:r>
    </w:p>
    <w:p w14:paraId="6F5B8133" w14:textId="6F313010" w:rsidR="00516343" w:rsidRDefault="00516343">
      <w:pPr>
        <w:pStyle w:val="ListBullet"/>
      </w:pPr>
      <w:r w:rsidRPr="00516343">
        <w:rPr>
          <w:vanish/>
        </w:rPr>
        <w:t xml:space="preserve">BR_25.21 </w:t>
      </w:r>
      <w:r w:rsidR="00CD635A">
        <w:t>A unit pooled in VBECS may no</w:t>
      </w:r>
      <w:r w:rsidR="00F744C5">
        <w:t>t be split</w:t>
      </w:r>
      <w:r>
        <w:t>.</w:t>
      </w:r>
    </w:p>
    <w:p w14:paraId="3E29D3DA" w14:textId="24DC1859" w:rsidR="002A21AE" w:rsidRDefault="00516343" w:rsidP="00F744C5">
      <w:pPr>
        <w:pStyle w:val="ListBullet"/>
      </w:pPr>
      <w:r w:rsidRPr="00516343">
        <w:rPr>
          <w:vanish/>
        </w:rPr>
        <w:t xml:space="preserve">BR_25.21 </w:t>
      </w:r>
      <w:r w:rsidR="00CD635A">
        <w:t>A unit that has a division code present upon receipt in incoming shipment may be split in VBECS.</w:t>
      </w:r>
    </w:p>
    <w:p w14:paraId="65B11CAC" w14:textId="77777777" w:rsidR="002A21AE" w:rsidRDefault="002A21AE">
      <w:pPr>
        <w:pStyle w:val="Heading4"/>
      </w:pPr>
      <w:bookmarkStart w:id="312" w:name="_Toc94349327"/>
      <w:r>
        <w:t>Additional Information</w:t>
      </w:r>
      <w:bookmarkEnd w:id="312"/>
    </w:p>
    <w:p w14:paraId="56A5E174" w14:textId="77777777" w:rsidR="00A03B5F" w:rsidRDefault="00A03B5F" w:rsidP="00A03B5F">
      <w:pPr>
        <w:pStyle w:val="ListBullet"/>
      </w:pPr>
      <w:r>
        <w:t xml:space="preserve">To reverse other modifications, remove the “modified” status from each unit through </w:t>
      </w:r>
      <w:r w:rsidR="00131240">
        <w:t xml:space="preserve">Supervisor Menu, </w:t>
      </w:r>
      <w:r>
        <w:t>Remove Final Status.</w:t>
      </w:r>
    </w:p>
    <w:p w14:paraId="34C6F95B" w14:textId="77777777" w:rsidR="002A21AE" w:rsidRDefault="002A21AE">
      <w:pPr>
        <w:pStyle w:val="Heading4"/>
      </w:pPr>
      <w:bookmarkStart w:id="313" w:name="_Toc94349328"/>
      <w:r>
        <w:t>User Roles with Access to This Option</w:t>
      </w:r>
      <w:bookmarkEnd w:id="313"/>
    </w:p>
    <w:p w14:paraId="5058E635" w14:textId="77777777" w:rsidR="00700CAA" w:rsidRDefault="00700CAA" w:rsidP="00700CAA">
      <w:pPr>
        <w:pStyle w:val="Roles"/>
        <w:rPr>
          <w:snapToGrid w:val="0"/>
        </w:rPr>
      </w:pPr>
      <w:r>
        <w:t>All users</w:t>
      </w:r>
    </w:p>
    <w:bookmarkEnd w:id="308"/>
    <w:p w14:paraId="7D846A66" w14:textId="77777777" w:rsidR="002A21AE" w:rsidRDefault="002A21AE">
      <w:pPr>
        <w:pStyle w:val="Heading4"/>
      </w:pPr>
      <w:r w:rsidRPr="00FA2D4C">
        <w:t>Modify Units: Split a Unit</w:t>
      </w:r>
    </w:p>
    <w:p w14:paraId="5BF2C184" w14:textId="77777777" w:rsidR="002A21AE" w:rsidRDefault="002A21AE" w:rsidP="00FA7E65">
      <w:pPr>
        <w:pStyle w:val="BodyText"/>
      </w:pPr>
      <w:r>
        <w:t>The user selects the unit to be split for transfusion. VBECS automatically applies directed and autologous restrictions to aliquots created. The user may or may not maintain patient assignments (usually, these units are crossmatched and available for the patient before the split is made). This section lists only rules unique to the division of a blood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A2736C" w14:textId="77777777" w:rsidTr="004A7B44">
        <w:trPr>
          <w:cantSplit/>
          <w:tblHeader/>
        </w:trPr>
        <w:tc>
          <w:tcPr>
            <w:tcW w:w="3240" w:type="dxa"/>
            <w:shd w:val="pct30" w:color="auto" w:fill="FFFFFF"/>
            <w:vAlign w:val="bottom"/>
          </w:tcPr>
          <w:p w14:paraId="0AF6C58A" w14:textId="77777777" w:rsidR="002A21AE" w:rsidRDefault="002A21AE">
            <w:pPr>
              <w:pStyle w:val="TableText"/>
              <w:rPr>
                <w:b/>
              </w:rPr>
            </w:pPr>
            <w:r>
              <w:rPr>
                <w:b/>
              </w:rPr>
              <w:t>User Action</w:t>
            </w:r>
          </w:p>
        </w:tc>
        <w:tc>
          <w:tcPr>
            <w:tcW w:w="6120" w:type="dxa"/>
            <w:shd w:val="pct30" w:color="auto" w:fill="FFFFFF"/>
            <w:vAlign w:val="bottom"/>
          </w:tcPr>
          <w:p w14:paraId="3804F7C8" w14:textId="77777777" w:rsidR="002A21AE" w:rsidRDefault="002A21AE">
            <w:pPr>
              <w:pStyle w:val="TableText"/>
              <w:rPr>
                <w:b/>
              </w:rPr>
            </w:pPr>
            <w:r>
              <w:rPr>
                <w:b/>
              </w:rPr>
              <w:t>VBECS</w:t>
            </w:r>
          </w:p>
        </w:tc>
      </w:tr>
      <w:tr w:rsidR="002A21AE" w14:paraId="7E6FD3E5" w14:textId="77777777" w:rsidTr="004A7B44">
        <w:trPr>
          <w:cantSplit/>
        </w:trPr>
        <w:tc>
          <w:tcPr>
            <w:tcW w:w="3240" w:type="dxa"/>
          </w:tcPr>
          <w:p w14:paraId="4032BFD0" w14:textId="77777777" w:rsidR="002A21AE" w:rsidRDefault="002A21AE">
            <w:pPr>
              <w:pStyle w:val="TableTextNumbers"/>
            </w:pPr>
            <w:r>
              <w:t xml:space="preserve">Select </w:t>
            </w:r>
            <w:r>
              <w:rPr>
                <w:b/>
              </w:rPr>
              <w:t>Blood Units</w:t>
            </w:r>
            <w:r>
              <w:t xml:space="preserve"> from the main menu. </w:t>
            </w:r>
          </w:p>
          <w:p w14:paraId="75F576A3" w14:textId="77777777" w:rsidR="002A21AE" w:rsidRDefault="002A21AE">
            <w:pPr>
              <w:pStyle w:val="TableTextNumbersContinued"/>
            </w:pPr>
          </w:p>
          <w:p w14:paraId="64D53084" w14:textId="77777777" w:rsidR="002A21AE" w:rsidRDefault="002A21AE">
            <w:pPr>
              <w:pStyle w:val="TableTextNumbersContinued"/>
            </w:pPr>
            <w:r>
              <w:t xml:space="preserve">Select </w:t>
            </w:r>
            <w:r>
              <w:rPr>
                <w:b/>
              </w:rPr>
              <w:t>Modify Units</w:t>
            </w:r>
            <w:r>
              <w:t>.</w:t>
            </w:r>
          </w:p>
        </w:tc>
        <w:tc>
          <w:tcPr>
            <w:tcW w:w="6120" w:type="dxa"/>
          </w:tcPr>
          <w:p w14:paraId="61B327F8" w14:textId="77777777" w:rsidR="002A21AE" w:rsidRDefault="002A21AE">
            <w:pPr>
              <w:pStyle w:val="TableTextBullet"/>
            </w:pPr>
            <w:r>
              <w:t>Displays options for processing blood units.</w:t>
            </w:r>
          </w:p>
          <w:p w14:paraId="31114424" w14:textId="77777777" w:rsidR="002A21AE" w:rsidRDefault="002A21AE">
            <w:pPr>
              <w:pStyle w:val="TableTextBullet"/>
            </w:pPr>
            <w:r>
              <w:t>Displays valid modification types for selection.</w:t>
            </w:r>
          </w:p>
        </w:tc>
      </w:tr>
      <w:tr w:rsidR="002A21AE" w14:paraId="52BE394C" w14:textId="77777777" w:rsidTr="004A7B44">
        <w:trPr>
          <w:cantSplit/>
        </w:trPr>
        <w:tc>
          <w:tcPr>
            <w:tcW w:w="3240" w:type="dxa"/>
          </w:tcPr>
          <w:p w14:paraId="2320E896" w14:textId="2312B04F" w:rsidR="002A21AE" w:rsidRDefault="002A21AE">
            <w:pPr>
              <w:pStyle w:val="TableTextNumbers"/>
            </w:pPr>
            <w:r>
              <w:t xml:space="preserve">Click the </w:t>
            </w:r>
            <w:r>
              <w:rPr>
                <w:b/>
              </w:rPr>
              <w:t xml:space="preserve">Split/Divide </w:t>
            </w:r>
            <w:r w:rsidRPr="00BF2E41">
              <w:t>radio button</w:t>
            </w:r>
            <w:r>
              <w:t>.</w:t>
            </w:r>
          </w:p>
          <w:p w14:paraId="1F029574" w14:textId="412C32F2" w:rsidR="00B87C33" w:rsidRDefault="00B87C33" w:rsidP="00B87C33">
            <w:pPr>
              <w:pStyle w:val="TableTextNumbers"/>
              <w:numPr>
                <w:ilvl w:val="0"/>
                <w:numId w:val="0"/>
              </w:numPr>
              <w:ind w:left="288" w:hanging="288"/>
            </w:pPr>
          </w:p>
          <w:p w14:paraId="2EA7B5D9" w14:textId="77777777" w:rsidR="00B87C33" w:rsidRPr="00D431F7" w:rsidRDefault="00B87C33" w:rsidP="00D431F7">
            <w:pPr>
              <w:pStyle w:val="TableText"/>
              <w:ind w:left="288"/>
              <w:rPr>
                <w:rFonts w:cs="Arial"/>
                <w:szCs w:val="18"/>
              </w:rPr>
            </w:pPr>
            <w:r w:rsidRPr="00D431F7">
              <w:rPr>
                <w:rFonts w:cs="Arial"/>
                <w:szCs w:val="18"/>
              </w:rPr>
              <w:t>Click a radio button to select a modification method, if required:</w:t>
            </w:r>
          </w:p>
          <w:p w14:paraId="72F824EA" w14:textId="77777777" w:rsidR="00B87C33" w:rsidRPr="00D431F7" w:rsidRDefault="00B87C33" w:rsidP="00925CAD">
            <w:pPr>
              <w:pStyle w:val="TableText"/>
              <w:numPr>
                <w:ilvl w:val="0"/>
                <w:numId w:val="76"/>
              </w:numPr>
              <w:ind w:left="604"/>
              <w:rPr>
                <w:rFonts w:cs="Arial"/>
                <w:szCs w:val="18"/>
              </w:rPr>
            </w:pPr>
            <w:r w:rsidRPr="00D431F7">
              <w:rPr>
                <w:rFonts w:cs="Arial"/>
                <w:szCs w:val="18"/>
              </w:rPr>
              <w:t>Open</w:t>
            </w:r>
          </w:p>
          <w:p w14:paraId="34AD121B" w14:textId="40DE6DB5" w:rsidR="00B87C33" w:rsidRPr="00D431F7" w:rsidRDefault="00B87C33" w:rsidP="00925CAD">
            <w:pPr>
              <w:pStyle w:val="TableText"/>
              <w:numPr>
                <w:ilvl w:val="0"/>
                <w:numId w:val="76"/>
              </w:numPr>
              <w:ind w:left="604"/>
              <w:rPr>
                <w:rFonts w:cs="Arial"/>
                <w:szCs w:val="18"/>
              </w:rPr>
            </w:pPr>
            <w:r w:rsidRPr="00D431F7">
              <w:rPr>
                <w:rFonts w:cs="Arial"/>
                <w:szCs w:val="18"/>
              </w:rPr>
              <w:t>Closed</w:t>
            </w:r>
          </w:p>
          <w:p w14:paraId="57AB4368" w14:textId="5D66239B" w:rsidR="00B87C33" w:rsidRPr="00D431F7" w:rsidRDefault="00B87C33" w:rsidP="00925CAD">
            <w:pPr>
              <w:pStyle w:val="TableText"/>
              <w:numPr>
                <w:ilvl w:val="0"/>
                <w:numId w:val="76"/>
              </w:numPr>
              <w:ind w:left="604"/>
              <w:rPr>
                <w:rFonts w:cs="Arial"/>
                <w:szCs w:val="18"/>
              </w:rPr>
            </w:pPr>
            <w:r w:rsidRPr="00D431F7">
              <w:rPr>
                <w:rFonts w:cs="Arial"/>
                <w:szCs w:val="18"/>
              </w:rPr>
              <w:t xml:space="preserve">Sterile </w:t>
            </w:r>
            <w:r w:rsidR="00D431F7" w:rsidRPr="00D431F7">
              <w:rPr>
                <w:rFonts w:cs="Arial"/>
                <w:szCs w:val="18"/>
              </w:rPr>
              <w:t>Connection Device</w:t>
            </w:r>
          </w:p>
          <w:p w14:paraId="171C08E3" w14:textId="77777777" w:rsidR="00C96CC3" w:rsidRDefault="00C96CC3" w:rsidP="00C96CC3">
            <w:pPr>
              <w:pStyle w:val="TableTextNumbers"/>
              <w:numPr>
                <w:ilvl w:val="0"/>
                <w:numId w:val="0"/>
              </w:numPr>
              <w:ind w:left="288"/>
            </w:pPr>
          </w:p>
          <w:p w14:paraId="488F5BC5" w14:textId="76C0044E" w:rsidR="00C96CC3" w:rsidRDefault="00C96CC3" w:rsidP="00C96CC3">
            <w:pPr>
              <w:pStyle w:val="TableTextNumbersContinued"/>
            </w:pPr>
            <w:r>
              <w:t xml:space="preserve">For a Sterile Connection Device modification method, click the </w:t>
            </w:r>
            <w:r>
              <w:rPr>
                <w:b/>
              </w:rPr>
              <w:t>Weld Complete</w:t>
            </w:r>
            <w:r>
              <w:t xml:space="preserve"> or</w:t>
            </w:r>
            <w:r>
              <w:rPr>
                <w:b/>
              </w:rPr>
              <w:t xml:space="preserve"> Weld Incomplete </w:t>
            </w:r>
            <w:r w:rsidRPr="00BF2E41">
              <w:t>radio button</w:t>
            </w:r>
            <w:r>
              <w:rPr>
                <w:b/>
              </w:rPr>
              <w:t xml:space="preserve"> </w:t>
            </w:r>
            <w:r>
              <w:t>to indicate the condition of the weld.</w:t>
            </w:r>
          </w:p>
          <w:p w14:paraId="408787A7" w14:textId="77777777" w:rsidR="002A21AE" w:rsidRDefault="002A21AE">
            <w:pPr>
              <w:pStyle w:val="TableTextNumbersContinued"/>
            </w:pPr>
          </w:p>
          <w:p w14:paraId="2A6BDE3F" w14:textId="77777777" w:rsidR="002A21AE" w:rsidRDefault="002A21AE">
            <w:pPr>
              <w:pStyle w:val="TableTextNumbersContinued"/>
            </w:pPr>
            <w:r>
              <w:t xml:space="preserve">Click </w:t>
            </w:r>
            <w:r>
              <w:rPr>
                <w:b/>
              </w:rPr>
              <w:t>OK</w:t>
            </w:r>
            <w:r>
              <w:t>.</w:t>
            </w:r>
          </w:p>
        </w:tc>
        <w:tc>
          <w:tcPr>
            <w:tcW w:w="6120" w:type="dxa"/>
          </w:tcPr>
          <w:p w14:paraId="0739E2CB" w14:textId="77777777" w:rsidR="002A21AE" w:rsidRDefault="002A21AE">
            <w:pPr>
              <w:pStyle w:val="TableTextBullet"/>
              <w:tabs>
                <w:tab w:val="num" w:pos="360"/>
              </w:tabs>
            </w:pPr>
            <w:r>
              <w:t>Allows the user to search for a unit.</w:t>
            </w:r>
          </w:p>
        </w:tc>
      </w:tr>
      <w:tr w:rsidR="002A21AE" w14:paraId="4FA3ED8D" w14:textId="77777777" w:rsidTr="004A7B44">
        <w:trPr>
          <w:cantSplit/>
        </w:trPr>
        <w:tc>
          <w:tcPr>
            <w:tcW w:w="3240" w:type="dxa"/>
          </w:tcPr>
          <w:p w14:paraId="66A8F13F" w14:textId="77777777" w:rsidR="002A21AE" w:rsidRDefault="002A21AE">
            <w:pPr>
              <w:pStyle w:val="TableTextNumbers"/>
            </w:pPr>
            <w:r>
              <w:t xml:space="preserve">Select a unit and click </w:t>
            </w:r>
            <w:r>
              <w:rPr>
                <w:b/>
              </w:rPr>
              <w:t>OK</w:t>
            </w:r>
            <w:r>
              <w:t>.</w:t>
            </w:r>
          </w:p>
          <w:p w14:paraId="7A3BF984" w14:textId="77777777" w:rsidR="002A21AE" w:rsidRDefault="002A21AE">
            <w:pPr>
              <w:pStyle w:val="TableTextNumbersContinued"/>
            </w:pPr>
          </w:p>
          <w:p w14:paraId="69E031EA" w14:textId="77777777" w:rsidR="002A21AE" w:rsidRDefault="002A21AE">
            <w:pPr>
              <w:pStyle w:val="TableTextNumbersContinued"/>
            </w:pPr>
            <w:r>
              <w:t xml:space="preserve">Click </w:t>
            </w:r>
            <w:r>
              <w:rPr>
                <w:b/>
              </w:rPr>
              <w:t>Select</w:t>
            </w:r>
            <w:r w:rsidR="00462E2C" w:rsidRPr="00462E2C">
              <w:t xml:space="preserve"> to confirm the unit selected.</w:t>
            </w:r>
          </w:p>
        </w:tc>
        <w:tc>
          <w:tcPr>
            <w:tcW w:w="6120" w:type="dxa"/>
          </w:tcPr>
          <w:p w14:paraId="58E7CCAD" w14:textId="77777777" w:rsidR="002A21AE" w:rsidRDefault="002A21AE">
            <w:pPr>
              <w:pStyle w:val="TableTextBullet"/>
              <w:tabs>
                <w:tab w:val="num" w:pos="360"/>
              </w:tabs>
            </w:pPr>
            <w:r>
              <w:t>Displays data for the original and target units.</w:t>
            </w:r>
          </w:p>
        </w:tc>
      </w:tr>
      <w:tr w:rsidR="002A21AE" w14:paraId="4305180F" w14:textId="77777777" w:rsidTr="004A7B44">
        <w:trPr>
          <w:cantSplit/>
        </w:trPr>
        <w:tc>
          <w:tcPr>
            <w:tcW w:w="3240" w:type="dxa"/>
          </w:tcPr>
          <w:p w14:paraId="5EDD18DB" w14:textId="60691104" w:rsidR="002A21AE" w:rsidRDefault="002A21AE">
            <w:pPr>
              <w:pStyle w:val="TableTextNumbers"/>
            </w:pPr>
            <w:r>
              <w:t>Edit the number of adult splits to be created, if required</w:t>
            </w:r>
            <w:r w:rsidR="004C6777">
              <w:t xml:space="preserve"> (</w:t>
            </w:r>
            <w:r w:rsidR="00EE455E">
              <w:t xml:space="preserve">Figure </w:t>
            </w:r>
            <w:r w:rsidR="00EE455E">
              <w:rPr>
                <w:noProof/>
              </w:rPr>
              <w:t>61</w:t>
            </w:r>
            <w:r w:rsidR="004C6777">
              <w:t>)</w:t>
            </w:r>
            <w:r>
              <w:t>.</w:t>
            </w:r>
          </w:p>
          <w:p w14:paraId="630F7335" w14:textId="77777777" w:rsidR="002A21AE" w:rsidRDefault="002A21AE">
            <w:pPr>
              <w:pStyle w:val="TableTextNumbersContinued"/>
            </w:pPr>
          </w:p>
          <w:p w14:paraId="62C39670" w14:textId="77777777" w:rsidR="002A21AE" w:rsidRDefault="002A21AE">
            <w:pPr>
              <w:pStyle w:val="TableTextNumbersContinued"/>
            </w:pPr>
            <w:r>
              <w:t xml:space="preserve">Click </w:t>
            </w:r>
            <w:r>
              <w:rPr>
                <w:b/>
              </w:rPr>
              <w:t>Split*</w:t>
            </w:r>
            <w:r>
              <w:t xml:space="preserve"> to verify the number of splits to be created and add the appropriate number of target unit tabs.</w:t>
            </w:r>
          </w:p>
          <w:p w14:paraId="046F2CE5" w14:textId="77777777" w:rsidR="002A21AE" w:rsidRDefault="002A21AE">
            <w:pPr>
              <w:pStyle w:val="TableTextNumbers"/>
              <w:numPr>
                <w:ilvl w:val="0"/>
                <w:numId w:val="0"/>
              </w:numPr>
            </w:pPr>
          </w:p>
        </w:tc>
        <w:tc>
          <w:tcPr>
            <w:tcW w:w="6120" w:type="dxa"/>
          </w:tcPr>
          <w:p w14:paraId="3819F760" w14:textId="77777777" w:rsidR="002A21AE" w:rsidRDefault="002A21AE">
            <w:pPr>
              <w:pStyle w:val="TableTextBullet"/>
              <w:tabs>
                <w:tab w:val="num" w:pos="360"/>
              </w:tabs>
            </w:pPr>
            <w:r>
              <w:t xml:space="preserve">Displays the number of splits to be created (default: 2) for verification. </w:t>
            </w:r>
          </w:p>
          <w:p w14:paraId="573401D4" w14:textId="77777777" w:rsidR="002A21AE" w:rsidRDefault="002A21AE">
            <w:pPr>
              <w:pStyle w:val="TableTextBullet"/>
              <w:tabs>
                <w:tab w:val="num" w:pos="360"/>
              </w:tabs>
            </w:pPr>
            <w:r>
              <w:t>Requires entry of the number of splits to be created.</w:t>
            </w:r>
          </w:p>
          <w:p w14:paraId="013707B3" w14:textId="77777777" w:rsidR="002A21AE" w:rsidRDefault="002A21AE">
            <w:pPr>
              <w:pStyle w:val="TableText"/>
            </w:pPr>
          </w:p>
          <w:p w14:paraId="372EFDCC" w14:textId="5525EB29" w:rsidR="002A21AE" w:rsidRDefault="002A21AE">
            <w:pPr>
              <w:pStyle w:val="TableText"/>
              <w:rPr>
                <w:b/>
                <w:bCs/>
                <w:szCs w:val="18"/>
              </w:rPr>
            </w:pPr>
            <w:r>
              <w:rPr>
                <w:b/>
                <w:bCs/>
                <w:szCs w:val="18"/>
              </w:rPr>
              <w:t>NOTES</w:t>
            </w:r>
          </w:p>
          <w:p w14:paraId="20CB558D" w14:textId="77777777" w:rsidR="002A21AE" w:rsidRDefault="002A21AE">
            <w:pPr>
              <w:pStyle w:val="NotesText"/>
            </w:pPr>
          </w:p>
          <w:p w14:paraId="339DCA61" w14:textId="77777777" w:rsidR="00A93FEA" w:rsidRDefault="00A93FEA" w:rsidP="001132DE">
            <w:pPr>
              <w:pStyle w:val="NotesText"/>
              <w:rPr>
                <w:rFonts w:cs="Arial"/>
                <w:szCs w:val="18"/>
              </w:rPr>
            </w:pPr>
            <w:r w:rsidRPr="00A93FEA">
              <w:rPr>
                <w:rFonts w:cs="Arial"/>
                <w:vanish/>
                <w:szCs w:val="18"/>
              </w:rPr>
              <w:t xml:space="preserve">BR_25.01 </w:t>
            </w:r>
            <w:r w:rsidRPr="00D06747">
              <w:rPr>
                <w:rFonts w:cs="Arial"/>
                <w:szCs w:val="18"/>
              </w:rPr>
              <w:t>The user may split a unit into 2 to 26 subunits (or however many available alphabetic characters remain) until the volume of the original container is consumed. The system will calculate the patient charge of each split (fraction) as its portion of the original unit cost in U.S. dollars ($0,000.00).</w:t>
            </w:r>
          </w:p>
          <w:p w14:paraId="4769C201" w14:textId="77777777" w:rsidR="00A93FEA" w:rsidRDefault="00A93FEA" w:rsidP="001132DE">
            <w:pPr>
              <w:pStyle w:val="NotesText"/>
              <w:rPr>
                <w:rFonts w:cs="Arial"/>
                <w:szCs w:val="18"/>
              </w:rPr>
            </w:pPr>
          </w:p>
          <w:p w14:paraId="3F44873D" w14:textId="77777777" w:rsidR="00A93FEA" w:rsidRDefault="00A93FEA" w:rsidP="00A93FEA">
            <w:pPr>
              <w:pStyle w:val="NotesText"/>
            </w:pPr>
            <w:r w:rsidRPr="00A93FEA">
              <w:rPr>
                <w:vanish/>
              </w:rPr>
              <w:t xml:space="preserve">BR_25.16 </w:t>
            </w:r>
            <w:r w:rsidRPr="00D06747">
              <w:t>When split is selected, users must indicate the number of split units to be created if other than the default number of 2.</w:t>
            </w:r>
          </w:p>
        </w:tc>
      </w:tr>
      <w:tr w:rsidR="002A21AE" w14:paraId="4A8DCA5A" w14:textId="77777777" w:rsidTr="004A7B44">
        <w:trPr>
          <w:cantSplit/>
        </w:trPr>
        <w:tc>
          <w:tcPr>
            <w:tcW w:w="3240" w:type="dxa"/>
          </w:tcPr>
          <w:p w14:paraId="3578DCAE" w14:textId="77777777" w:rsidR="002A21AE" w:rsidRDefault="002A21AE">
            <w:pPr>
              <w:pStyle w:val="TableTextNumbers"/>
            </w:pPr>
            <w:r>
              <w:t>Select or confirm the desired target component type.</w:t>
            </w:r>
          </w:p>
          <w:p w14:paraId="78B6C1E5" w14:textId="77777777" w:rsidR="002A21AE" w:rsidRDefault="002A21AE">
            <w:pPr>
              <w:pStyle w:val="TableTextNumbersContinued"/>
            </w:pPr>
          </w:p>
          <w:p w14:paraId="11EEB213" w14:textId="77777777" w:rsidR="000E6E10" w:rsidRDefault="00F437F8">
            <w:pPr>
              <w:pStyle w:val="TableTextNumbersContinued"/>
            </w:pPr>
            <w:r>
              <w:t xml:space="preserve">Click the </w:t>
            </w:r>
            <w:r w:rsidRPr="007B7DEC">
              <w:rPr>
                <w:b/>
              </w:rPr>
              <w:t>Container</w:t>
            </w:r>
            <w:r>
              <w:t xml:space="preserve">, </w:t>
            </w:r>
            <w:r w:rsidRPr="00764A64">
              <w:rPr>
                <w:b/>
              </w:rPr>
              <w:t>Supplies</w:t>
            </w:r>
            <w:r w:rsidRPr="007B7DEC">
              <w:t>,</w:t>
            </w:r>
            <w:r w:rsidR="0023261D">
              <w:t xml:space="preserve"> </w:t>
            </w:r>
            <w:r w:rsidRPr="00764A64">
              <w:rPr>
                <w:b/>
              </w:rPr>
              <w:t>Equipment</w:t>
            </w:r>
            <w:r w:rsidRPr="007B7DEC">
              <w:t>, or</w:t>
            </w:r>
            <w:r>
              <w:rPr>
                <w:b/>
              </w:rPr>
              <w:t xml:space="preserve"> SCD Wafer</w:t>
            </w:r>
            <w:r w:rsidRPr="00764A64">
              <w:rPr>
                <w:b/>
              </w:rPr>
              <w:t xml:space="preserve"> </w:t>
            </w:r>
            <w:r w:rsidRPr="00CC3C89">
              <w:t>tab</w:t>
            </w:r>
            <w:r w:rsidR="000E6E10" w:rsidRPr="00CC3C89">
              <w:t xml:space="preserve"> </w:t>
            </w:r>
            <w:r w:rsidR="000E6E10">
              <w:t>and enter another supply and/or equipment lot or ID number.</w:t>
            </w:r>
          </w:p>
          <w:p w14:paraId="0D32322F" w14:textId="77777777" w:rsidR="002A21AE" w:rsidRDefault="002A21AE">
            <w:pPr>
              <w:pStyle w:val="TableTextNumbers"/>
              <w:numPr>
                <w:ilvl w:val="0"/>
                <w:numId w:val="0"/>
              </w:numPr>
            </w:pPr>
          </w:p>
        </w:tc>
        <w:tc>
          <w:tcPr>
            <w:tcW w:w="6120" w:type="dxa"/>
          </w:tcPr>
          <w:p w14:paraId="59BC0027" w14:textId="77777777" w:rsidR="002A21AE" w:rsidRDefault="002A21AE">
            <w:pPr>
              <w:pStyle w:val="TableTextBullet"/>
              <w:tabs>
                <w:tab w:val="num" w:pos="360"/>
              </w:tabs>
            </w:pPr>
            <w:r>
              <w:t>Allows the user to enter lot and ID numbers or select multiple items from the supply and equipment lists.</w:t>
            </w:r>
          </w:p>
          <w:p w14:paraId="1C5EB229" w14:textId="77777777" w:rsidR="002A21AE" w:rsidRDefault="002A21AE">
            <w:pPr>
              <w:pStyle w:val="TableText"/>
            </w:pPr>
          </w:p>
          <w:p w14:paraId="77E58823" w14:textId="2ABB56B1" w:rsidR="002A21AE" w:rsidRDefault="002A21AE">
            <w:pPr>
              <w:pStyle w:val="TableText"/>
              <w:rPr>
                <w:b/>
                <w:bCs/>
                <w:szCs w:val="18"/>
              </w:rPr>
            </w:pPr>
            <w:r>
              <w:rPr>
                <w:b/>
                <w:bCs/>
                <w:szCs w:val="18"/>
              </w:rPr>
              <w:t>NOTES</w:t>
            </w:r>
          </w:p>
          <w:p w14:paraId="3BA49E3A" w14:textId="77777777" w:rsidR="002A21AE" w:rsidRDefault="002A21AE">
            <w:pPr>
              <w:pStyle w:val="NotesText"/>
            </w:pPr>
          </w:p>
          <w:p w14:paraId="3556E61F" w14:textId="77777777" w:rsidR="002A21AE" w:rsidRDefault="002A21AE">
            <w:pPr>
              <w:pStyle w:val="NotesText"/>
              <w:rPr>
                <w:color w:val="000000"/>
              </w:rPr>
            </w:pPr>
            <w:r>
              <w:rPr>
                <w:rFonts w:cs="Arial"/>
                <w:vanish/>
              </w:rPr>
              <w:t xml:space="preserve">BR_25.04 </w:t>
            </w:r>
            <w:r>
              <w:rPr>
                <w:color w:val="000000"/>
              </w:rPr>
              <w:t xml:space="preserve">When multiple </w:t>
            </w:r>
            <w:r w:rsidR="003133AE">
              <w:rPr>
                <w:color w:val="000000"/>
              </w:rPr>
              <w:t>aliquot/split</w:t>
            </w:r>
            <w:r>
              <w:rPr>
                <w:color w:val="000000"/>
              </w:rPr>
              <w:t xml:space="preserve"> units are created, the user must associate a container lot number with each unit created. “Original container” may serve as the lot number for one of the aliquots created.</w:t>
            </w:r>
          </w:p>
          <w:p w14:paraId="61C6FEF0" w14:textId="77777777" w:rsidR="002A21AE" w:rsidRDefault="002A21AE">
            <w:pPr>
              <w:pStyle w:val="NotesText"/>
            </w:pPr>
          </w:p>
          <w:p w14:paraId="2A2F2890" w14:textId="77777777" w:rsidR="002A21AE" w:rsidRDefault="002A21AE">
            <w:pPr>
              <w:pStyle w:val="NotesText"/>
            </w:pPr>
            <w:r>
              <w:t xml:space="preserve">The original blood collection facility must keep a record of the original container lot numbers so that, when a lot number is recalled, it is known which patient was exposed to it. </w:t>
            </w:r>
          </w:p>
          <w:p w14:paraId="459C7642" w14:textId="52C1E474" w:rsidR="00025409" w:rsidRDefault="00025409" w:rsidP="003D61DB">
            <w:pPr>
              <w:pStyle w:val="NotesText"/>
              <w:ind w:left="0"/>
            </w:pPr>
          </w:p>
          <w:p w14:paraId="1E71A8A1" w14:textId="77777777" w:rsidR="00025409" w:rsidRDefault="00025409">
            <w:pPr>
              <w:pStyle w:val="NotesText"/>
              <w:rPr>
                <w:rFonts w:cs="Arial"/>
                <w:szCs w:val="18"/>
              </w:rPr>
            </w:pPr>
            <w:r w:rsidRPr="00025409">
              <w:rPr>
                <w:rFonts w:cs="Arial"/>
                <w:vanish/>
                <w:szCs w:val="18"/>
              </w:rPr>
              <w:t xml:space="preserve">BR_26.58 </w:t>
            </w:r>
            <w:r>
              <w:rPr>
                <w:rFonts w:cs="Arial"/>
                <w:szCs w:val="18"/>
              </w:rPr>
              <w:t>The user may select the target product code from available targets by scanning.</w:t>
            </w:r>
          </w:p>
          <w:p w14:paraId="095EFC7D" w14:textId="77777777" w:rsidR="00025409" w:rsidRDefault="00025409">
            <w:pPr>
              <w:pStyle w:val="NotesText"/>
            </w:pPr>
          </w:p>
          <w:p w14:paraId="1C08EC47" w14:textId="77777777" w:rsidR="00025409" w:rsidRPr="00025409" w:rsidRDefault="00025409" w:rsidP="00025409">
            <w:pPr>
              <w:pStyle w:val="NotesText"/>
              <w:rPr>
                <w:rFonts w:cs="Arial"/>
                <w:szCs w:val="18"/>
              </w:rPr>
            </w:pPr>
            <w:r w:rsidRPr="00025409">
              <w:rPr>
                <w:rFonts w:cs="Arial"/>
                <w:vanish/>
                <w:szCs w:val="18"/>
              </w:rPr>
              <w:t xml:space="preserve">BR_26.59 </w:t>
            </w:r>
            <w:r w:rsidRPr="00025409">
              <w:rPr>
                <w:rFonts w:cs="Arial"/>
                <w:szCs w:val="18"/>
              </w:rPr>
              <w:t>For THAW modification type:</w:t>
            </w:r>
          </w:p>
          <w:p w14:paraId="1D5D215C" w14:textId="77777777" w:rsidR="00025409" w:rsidRPr="00C05AF1" w:rsidRDefault="00025409" w:rsidP="00025409">
            <w:pPr>
              <w:pStyle w:val="NotesTextBullet"/>
              <w:rPr>
                <w:rFonts w:cs="Arial"/>
                <w:szCs w:val="18"/>
              </w:rPr>
            </w:pPr>
            <w:r w:rsidRPr="00C05AF1">
              <w:rPr>
                <w:rFonts w:cs="Arial"/>
                <w:szCs w:val="18"/>
              </w:rPr>
              <w:t xml:space="preserve">There is no attribute assigned for thaw. </w:t>
            </w:r>
          </w:p>
          <w:p w14:paraId="18D5776D" w14:textId="77777777" w:rsidR="00025409" w:rsidRPr="00C05AF1" w:rsidRDefault="00025409" w:rsidP="00025409">
            <w:pPr>
              <w:pStyle w:val="NotesTextBullet"/>
              <w:rPr>
                <w:rFonts w:cs="Arial"/>
                <w:szCs w:val="18"/>
              </w:rPr>
            </w:pPr>
            <w:r w:rsidRPr="00C05AF1">
              <w:rPr>
                <w:rFonts w:cs="Arial"/>
                <w:szCs w:val="18"/>
              </w:rPr>
              <w:t>The product class, modifier and Blood Core (V001) change.</w:t>
            </w:r>
          </w:p>
          <w:p w14:paraId="5053627E" w14:textId="77777777" w:rsidR="00025409" w:rsidRPr="00C05AF1" w:rsidRDefault="00025409" w:rsidP="00025409">
            <w:pPr>
              <w:pStyle w:val="NotesTextBullet"/>
              <w:rPr>
                <w:rFonts w:cs="Arial"/>
                <w:szCs w:val="18"/>
              </w:rPr>
            </w:pPr>
            <w:r w:rsidRPr="00C05AF1">
              <w:rPr>
                <w:rFonts w:cs="Arial"/>
                <w:szCs w:val="18"/>
              </w:rPr>
              <w:t>The system integrity should not change (V0012)</w:t>
            </w:r>
          </w:p>
          <w:p w14:paraId="29F66A12" w14:textId="77777777" w:rsidR="00025409" w:rsidRPr="00C05AF1" w:rsidRDefault="00025409" w:rsidP="00025409">
            <w:pPr>
              <w:pStyle w:val="NotesTextBullet"/>
              <w:rPr>
                <w:rFonts w:cs="Arial"/>
                <w:szCs w:val="18"/>
              </w:rPr>
            </w:pPr>
            <w:r w:rsidRPr="00C05AF1">
              <w:rPr>
                <w:rFonts w:cs="Arial"/>
                <w:szCs w:val="18"/>
              </w:rPr>
              <w:t>Maintain original attribute groups to the target; do not add any attribute values.</w:t>
            </w:r>
          </w:p>
          <w:p w14:paraId="6D4FF666" w14:textId="77777777" w:rsidR="00025409" w:rsidRPr="00C05AF1" w:rsidRDefault="00025409" w:rsidP="00025409">
            <w:pPr>
              <w:pStyle w:val="NotesTextBullet"/>
              <w:rPr>
                <w:rFonts w:cs="Arial"/>
                <w:szCs w:val="18"/>
              </w:rPr>
            </w:pPr>
            <w:r w:rsidRPr="00C05AF1">
              <w:rPr>
                <w:rFonts w:cs="Arial"/>
                <w:szCs w:val="18"/>
              </w:rPr>
              <w:t>Maintain the original anticoagulant or NS.</w:t>
            </w:r>
          </w:p>
          <w:p w14:paraId="2FAC9A4C" w14:textId="7510C461" w:rsidR="00025409" w:rsidRDefault="00025409" w:rsidP="00025409">
            <w:pPr>
              <w:pStyle w:val="NotesTextBullet"/>
              <w:rPr>
                <w:rFonts w:cs="Arial"/>
                <w:szCs w:val="18"/>
              </w:rPr>
            </w:pPr>
            <w:r w:rsidRPr="00C05AF1">
              <w:rPr>
                <w:rFonts w:cs="Arial"/>
                <w:szCs w:val="18"/>
              </w:rPr>
              <w:t>Temperature must change to a non-frozen temperature</w:t>
            </w:r>
          </w:p>
          <w:p w14:paraId="1F4ABC2B" w14:textId="623DC10B" w:rsidR="00491E6F" w:rsidRPr="00025409" w:rsidRDefault="00491E6F" w:rsidP="00025409">
            <w:pPr>
              <w:pStyle w:val="NotesTextBullet"/>
              <w:rPr>
                <w:rFonts w:cs="Arial"/>
                <w:szCs w:val="18"/>
              </w:rPr>
            </w:pPr>
            <w:r>
              <w:rPr>
                <w:rFonts w:cs="Arial"/>
                <w:szCs w:val="18"/>
              </w:rPr>
              <w:t>Target volume may be XX, or match the volume of the parent</w:t>
            </w:r>
          </w:p>
          <w:p w14:paraId="0BA8172D" w14:textId="77777777" w:rsidR="00025409" w:rsidRDefault="00025409" w:rsidP="00025409">
            <w:pPr>
              <w:pStyle w:val="TableText"/>
              <w:ind w:left="252"/>
            </w:pPr>
          </w:p>
        </w:tc>
      </w:tr>
      <w:tr w:rsidR="002A21AE" w14:paraId="442B49D3" w14:textId="77777777" w:rsidTr="004A7B44">
        <w:trPr>
          <w:cantSplit/>
        </w:trPr>
        <w:tc>
          <w:tcPr>
            <w:tcW w:w="3240" w:type="dxa"/>
          </w:tcPr>
          <w:p w14:paraId="3C98B098" w14:textId="77777777" w:rsidR="002A21AE" w:rsidRDefault="002A21AE">
            <w:pPr>
              <w:pStyle w:val="TableTextNumbers"/>
            </w:pPr>
            <w:r>
              <w:t>Accept or edit the displayed expiration date.</w:t>
            </w:r>
          </w:p>
        </w:tc>
        <w:tc>
          <w:tcPr>
            <w:tcW w:w="6120" w:type="dxa"/>
          </w:tcPr>
          <w:p w14:paraId="48BB7F26" w14:textId="77777777" w:rsidR="002A21AE" w:rsidRDefault="002A21AE">
            <w:pPr>
              <w:pStyle w:val="TableTextBullet"/>
              <w:tabs>
                <w:tab w:val="num" w:pos="360"/>
              </w:tabs>
            </w:pPr>
            <w:r>
              <w:t>Displays the expiration date.</w:t>
            </w:r>
          </w:p>
          <w:p w14:paraId="5C09BD07" w14:textId="77777777" w:rsidR="002A21AE" w:rsidRDefault="002A21AE">
            <w:pPr>
              <w:pStyle w:val="TableTextBullet"/>
              <w:tabs>
                <w:tab w:val="num" w:pos="360"/>
              </w:tabs>
            </w:pPr>
            <w:r>
              <w:t xml:space="preserve">Calculates and displays the volume of each split unit. </w:t>
            </w:r>
          </w:p>
          <w:p w14:paraId="7CA5A8C8" w14:textId="77777777" w:rsidR="002A21AE" w:rsidRDefault="002A21AE">
            <w:pPr>
              <w:pStyle w:val="TableText"/>
            </w:pPr>
          </w:p>
          <w:p w14:paraId="7A48E86E" w14:textId="6FF9931F" w:rsidR="002A21AE" w:rsidRDefault="002A21AE">
            <w:pPr>
              <w:pStyle w:val="TableText"/>
              <w:rPr>
                <w:b/>
                <w:bCs/>
                <w:szCs w:val="18"/>
              </w:rPr>
            </w:pPr>
            <w:r>
              <w:rPr>
                <w:b/>
                <w:bCs/>
                <w:szCs w:val="18"/>
              </w:rPr>
              <w:t>NOTES</w:t>
            </w:r>
          </w:p>
          <w:p w14:paraId="02B54790" w14:textId="6B0C7D4D" w:rsidR="002A21AE" w:rsidRDefault="002A21AE">
            <w:pPr>
              <w:pStyle w:val="TableText"/>
              <w:rPr>
                <w:b/>
                <w:bCs/>
                <w:szCs w:val="18"/>
              </w:rPr>
            </w:pPr>
          </w:p>
          <w:p w14:paraId="7F86FE1B" w14:textId="51FF0F32" w:rsidR="00E93AC0" w:rsidRPr="00E93AC0" w:rsidRDefault="002A21AE" w:rsidP="00E93AC0">
            <w:pPr>
              <w:pStyle w:val="NotesText"/>
            </w:pPr>
            <w:r w:rsidRPr="00E93AC0">
              <w:rPr>
                <w:vanish/>
              </w:rPr>
              <w:t xml:space="preserve">BR_25.05 </w:t>
            </w:r>
            <w:r w:rsidR="00E93AC0" w:rsidRPr="00E93AC0">
              <w:t xml:space="preserve">VBECS calculates and displays default volumes for each target split (does not include pediatric aliquots) based on the volume of the original unit and the number of splits being created, consuming the total volume of the original unit. The system will restrict the user </w:t>
            </w:r>
            <w:r w:rsidR="00D676C0">
              <w:t>to enter a value between 1 and 2000</w:t>
            </w:r>
            <w:r w:rsidR="00E93AC0" w:rsidRPr="00E93AC0">
              <w:t>.</w:t>
            </w:r>
          </w:p>
          <w:p w14:paraId="78CF44BF" w14:textId="77777777" w:rsidR="00E93AC0" w:rsidRPr="00D06747" w:rsidRDefault="00E93AC0" w:rsidP="00E93AC0">
            <w:pPr>
              <w:pStyle w:val="TableText"/>
              <w:rPr>
                <w:rFonts w:cs="Arial"/>
                <w:szCs w:val="18"/>
              </w:rPr>
            </w:pPr>
          </w:p>
          <w:p w14:paraId="428D5CBB" w14:textId="77777777" w:rsidR="002A21AE" w:rsidRDefault="00E93AC0" w:rsidP="00E93AC0">
            <w:pPr>
              <w:pStyle w:val="NotesText"/>
            </w:pPr>
            <w:r w:rsidRPr="00D06747">
              <w:t>The system will split the volume evenly among the splits and add the remainder to the first split.</w:t>
            </w:r>
          </w:p>
        </w:tc>
      </w:tr>
      <w:tr w:rsidR="002A21AE" w14:paraId="77AB46E2" w14:textId="77777777" w:rsidTr="004A7B44">
        <w:trPr>
          <w:cantSplit/>
        </w:trPr>
        <w:tc>
          <w:tcPr>
            <w:tcW w:w="3240" w:type="dxa"/>
          </w:tcPr>
          <w:p w14:paraId="4BBBFFF7" w14:textId="77777777" w:rsidR="002A21AE" w:rsidRDefault="002A21AE">
            <w:pPr>
              <w:pStyle w:val="TableTextNumbers"/>
            </w:pPr>
            <w:r>
              <w:t>Accept or edit the displayed unit volumes.</w:t>
            </w:r>
          </w:p>
        </w:tc>
        <w:tc>
          <w:tcPr>
            <w:tcW w:w="6120" w:type="dxa"/>
          </w:tcPr>
          <w:p w14:paraId="0657782E" w14:textId="77777777" w:rsidR="002A21AE" w:rsidRDefault="002A21AE">
            <w:pPr>
              <w:pStyle w:val="TableTextBullet"/>
              <w:tabs>
                <w:tab w:val="num" w:pos="360"/>
              </w:tabs>
            </w:pPr>
            <w:r>
              <w:t>Displays the original and target unit data for review.</w:t>
            </w:r>
          </w:p>
          <w:p w14:paraId="64AA4132" w14:textId="77777777" w:rsidR="002A21AE" w:rsidRDefault="002A21AE">
            <w:pPr>
              <w:pStyle w:val="TableText"/>
            </w:pPr>
          </w:p>
          <w:p w14:paraId="7293F5C0" w14:textId="548E0FC3" w:rsidR="002A21AE" w:rsidRDefault="002A21AE">
            <w:pPr>
              <w:pStyle w:val="TableText"/>
              <w:rPr>
                <w:b/>
                <w:bCs/>
                <w:szCs w:val="18"/>
              </w:rPr>
            </w:pPr>
            <w:r>
              <w:rPr>
                <w:b/>
                <w:bCs/>
                <w:szCs w:val="18"/>
              </w:rPr>
              <w:t>NOTES</w:t>
            </w:r>
          </w:p>
          <w:p w14:paraId="3147B7BE" w14:textId="77777777" w:rsidR="002A21AE" w:rsidRDefault="002A21AE">
            <w:pPr>
              <w:pStyle w:val="NotesText"/>
            </w:pPr>
          </w:p>
          <w:p w14:paraId="2760CA91" w14:textId="77777777" w:rsidR="002A21AE" w:rsidRDefault="002A21AE">
            <w:pPr>
              <w:pStyle w:val="NotesText"/>
            </w:pPr>
            <w:r>
              <w:t>The user may not edit original unit data.</w:t>
            </w:r>
          </w:p>
          <w:p w14:paraId="4747EEA6" w14:textId="77777777" w:rsidR="002A21AE" w:rsidRDefault="002A21AE">
            <w:pPr>
              <w:pStyle w:val="NotesText"/>
            </w:pPr>
          </w:p>
          <w:p w14:paraId="087E7A6D" w14:textId="77777777" w:rsidR="00A40202" w:rsidRDefault="002A21AE" w:rsidP="00A40202">
            <w:pPr>
              <w:pStyle w:val="TableText"/>
              <w:rPr>
                <w:b/>
                <w:bCs/>
                <w:sz w:val="20"/>
              </w:rPr>
            </w:pPr>
            <w:r>
              <w:rPr>
                <w:rFonts w:cs="Arial"/>
                <w:vanish/>
              </w:rPr>
              <w:t xml:space="preserve">BR_25.11 </w:t>
            </w:r>
            <w:r w:rsidR="00A40202">
              <w:rPr>
                <w:b/>
                <w:bCs/>
              </w:rPr>
              <w:t>For Split modification type:</w:t>
            </w:r>
          </w:p>
          <w:p w14:paraId="772B5D78" w14:textId="77777777" w:rsidR="00A40202" w:rsidRDefault="00A40202" w:rsidP="00925CAD">
            <w:pPr>
              <w:pStyle w:val="TableText"/>
              <w:numPr>
                <w:ilvl w:val="0"/>
                <w:numId w:val="71"/>
              </w:numPr>
              <w:ind w:left="252" w:hanging="198"/>
            </w:pPr>
            <w:r>
              <w:t>Do not allow splitting frozen products.</w:t>
            </w:r>
          </w:p>
          <w:p w14:paraId="55ADB56F" w14:textId="4AB7A73C" w:rsidR="00A40202" w:rsidRDefault="00A40202" w:rsidP="00925CAD">
            <w:pPr>
              <w:pStyle w:val="TableText"/>
              <w:numPr>
                <w:ilvl w:val="0"/>
                <w:numId w:val="71"/>
              </w:numPr>
              <w:ind w:left="252" w:hanging="198"/>
            </w:pPr>
            <w:r>
              <w:t>There is no attribute assigned for split.</w:t>
            </w:r>
          </w:p>
          <w:p w14:paraId="33EF1FFF" w14:textId="0D20B381" w:rsidR="002A21AE" w:rsidRDefault="00F744C5" w:rsidP="00925CAD">
            <w:pPr>
              <w:pStyle w:val="TableText"/>
              <w:numPr>
                <w:ilvl w:val="0"/>
                <w:numId w:val="71"/>
              </w:numPr>
              <w:ind w:left="252" w:hanging="198"/>
            </w:pPr>
            <w:r>
              <w:t>Maintain original product type attributes to the target.</w:t>
            </w:r>
          </w:p>
        </w:tc>
      </w:tr>
      <w:tr w:rsidR="002A21AE" w14:paraId="3EED31AB" w14:textId="77777777" w:rsidTr="004A7B44">
        <w:trPr>
          <w:cantSplit/>
        </w:trPr>
        <w:tc>
          <w:tcPr>
            <w:tcW w:w="3240" w:type="dxa"/>
          </w:tcPr>
          <w:p w14:paraId="00CB56B9" w14:textId="77777777" w:rsidR="002A21AE" w:rsidRDefault="002A21AE">
            <w:pPr>
              <w:pStyle w:val="TableTextNumbers"/>
            </w:pPr>
            <w:r>
              <w:t>Review the displayed data for the target units and confirm the modification type.</w:t>
            </w:r>
          </w:p>
        </w:tc>
        <w:tc>
          <w:tcPr>
            <w:tcW w:w="6120" w:type="dxa"/>
          </w:tcPr>
          <w:p w14:paraId="13CAAC2F" w14:textId="77777777" w:rsidR="002A21AE" w:rsidRDefault="002A21AE" w:rsidP="000C3495">
            <w:pPr>
              <w:pStyle w:val="TableTextBullet"/>
            </w:pPr>
            <w:r>
              <w:t>Displays the target unit’s ID number.</w:t>
            </w:r>
          </w:p>
          <w:p w14:paraId="613C4AA9" w14:textId="77777777" w:rsidR="002A21AE" w:rsidRDefault="002A21AE">
            <w:pPr>
              <w:pStyle w:val="TableText"/>
            </w:pPr>
          </w:p>
          <w:p w14:paraId="61091497" w14:textId="68FF7D49" w:rsidR="002A21AE" w:rsidRDefault="002A21AE">
            <w:pPr>
              <w:pStyle w:val="TableText"/>
              <w:rPr>
                <w:b/>
                <w:bCs/>
                <w:szCs w:val="18"/>
              </w:rPr>
            </w:pPr>
            <w:r>
              <w:rPr>
                <w:b/>
                <w:bCs/>
                <w:szCs w:val="18"/>
              </w:rPr>
              <w:t>NOTES</w:t>
            </w:r>
          </w:p>
          <w:p w14:paraId="3467C943" w14:textId="77777777" w:rsidR="002A21AE" w:rsidRDefault="002A21AE">
            <w:pPr>
              <w:pStyle w:val="NotesText"/>
            </w:pPr>
          </w:p>
          <w:p w14:paraId="0CA0D21B" w14:textId="77777777" w:rsidR="002A21AE" w:rsidRPr="001416EA" w:rsidRDefault="002A21AE">
            <w:pPr>
              <w:pStyle w:val="NotesTextBullet"/>
              <w:rPr>
                <w:rStyle w:val="NotesTextBullet1Char"/>
                <w:color w:val="auto"/>
              </w:rPr>
            </w:pPr>
            <w:r>
              <w:rPr>
                <w:rFonts w:cs="Arial"/>
                <w:vanish/>
              </w:rPr>
              <w:t>BR</w:t>
            </w:r>
            <w:r>
              <w:rPr>
                <w:rStyle w:val="NotesTextBullet1Char"/>
                <w:rFonts w:cs="Arial"/>
                <w:vanish/>
                <w:color w:val="auto"/>
              </w:rPr>
              <w:t xml:space="preserve">_25.07 </w:t>
            </w:r>
            <w:r>
              <w:rPr>
                <w:rStyle w:val="NotesTextBullet1Char"/>
              </w:rPr>
              <w:t xml:space="preserve">ISBT 128: the unit ID, five-digit product description code, and sixth-character donation code remain the same. Characters 7 and 8 of the ISBT 128 product code barcode reflect the aliquot level: when a previously undivided unit is split, character 7 of the unique eight-digit ISBT 128 product code is incremented alphabetically in uppercase letters, resulting in characters 7 and 8: A0, B0, C0, </w:t>
            </w:r>
            <w:r w:rsidR="00A10483">
              <w:rPr>
                <w:rStyle w:val="NotesTextBullet1Char"/>
              </w:rPr>
              <w:t>D0 …</w:t>
            </w:r>
            <w:r>
              <w:rPr>
                <w:rStyle w:val="NotesTextBullet1Char"/>
              </w:rPr>
              <w:t xml:space="preserve"> Z0.</w:t>
            </w:r>
          </w:p>
          <w:p w14:paraId="10A90338" w14:textId="77777777" w:rsidR="001416EA" w:rsidRDefault="001416EA" w:rsidP="001416EA">
            <w:pPr>
              <w:pStyle w:val="NotesTextBullet"/>
              <w:numPr>
                <w:ilvl w:val="0"/>
                <w:numId w:val="0"/>
              </w:numPr>
              <w:ind w:left="1008" w:hanging="288"/>
            </w:pPr>
          </w:p>
        </w:tc>
      </w:tr>
      <w:tr w:rsidR="002A21AE" w14:paraId="738282F6" w14:textId="77777777" w:rsidTr="004A7B44">
        <w:trPr>
          <w:cantSplit/>
        </w:trPr>
        <w:tc>
          <w:tcPr>
            <w:tcW w:w="3240" w:type="dxa"/>
          </w:tcPr>
          <w:p w14:paraId="2C973B0C" w14:textId="77777777" w:rsidR="002A21AE" w:rsidRDefault="002A21AE">
            <w:pPr>
              <w:pStyle w:val="TableTextNumbers"/>
            </w:pPr>
            <w:r>
              <w:t xml:space="preserve">Click </w:t>
            </w:r>
            <w:r>
              <w:rPr>
                <w:b/>
              </w:rPr>
              <w:t>OK</w:t>
            </w:r>
            <w:r>
              <w:t xml:space="preserve"> to save.</w:t>
            </w:r>
          </w:p>
          <w:p w14:paraId="40C1119A" w14:textId="77777777" w:rsidR="00913F95" w:rsidRDefault="00913F95" w:rsidP="00913F95">
            <w:pPr>
              <w:pStyle w:val="TableTextNumbersContinued"/>
            </w:pPr>
          </w:p>
          <w:p w14:paraId="49CD1D68" w14:textId="77777777" w:rsidR="00913F95" w:rsidRDefault="00913F95" w:rsidP="00913F95">
            <w:pPr>
              <w:pStyle w:val="TableTextNumbersContinued"/>
            </w:pPr>
            <w:r>
              <w:t xml:space="preserve">Click </w:t>
            </w:r>
            <w:r w:rsidRPr="00A77D1F">
              <w:rPr>
                <w:b/>
              </w:rPr>
              <w:t>Yes</w:t>
            </w:r>
            <w:r>
              <w:t xml:space="preserve"> to verify the label.</w:t>
            </w:r>
          </w:p>
        </w:tc>
        <w:tc>
          <w:tcPr>
            <w:tcW w:w="6120" w:type="dxa"/>
          </w:tcPr>
          <w:p w14:paraId="5CEDFE2A" w14:textId="77777777" w:rsidR="000C3495" w:rsidRDefault="000C3495" w:rsidP="000C3495">
            <w:pPr>
              <w:pStyle w:val="TableTextBullet"/>
              <w:tabs>
                <w:tab w:val="num" w:pos="360"/>
              </w:tabs>
            </w:pPr>
            <w:r>
              <w:t xml:space="preserve">Prompts the user to save the data, including patient assignment and restriction information, if any. </w:t>
            </w:r>
          </w:p>
          <w:p w14:paraId="313C73DD" w14:textId="77777777" w:rsidR="002A21AE" w:rsidRDefault="002A21AE">
            <w:pPr>
              <w:pStyle w:val="TableTextBullet"/>
            </w:pPr>
            <w:r>
              <w:t>Saves aliquots created from the modified unit.</w:t>
            </w:r>
          </w:p>
          <w:p w14:paraId="7735C09F" w14:textId="77777777" w:rsidR="00913F95" w:rsidRDefault="00EE2911" w:rsidP="00913F95">
            <w:pPr>
              <w:pStyle w:val="TableTextBullet"/>
              <w:tabs>
                <w:tab w:val="clear" w:pos="288"/>
              </w:tabs>
            </w:pPr>
            <w:r>
              <w:t>Records the unit ID of the target unit on the record of the original unit.</w:t>
            </w:r>
          </w:p>
          <w:p w14:paraId="642B7DB5" w14:textId="77777777" w:rsidR="00E92B60" w:rsidRDefault="00E92B60" w:rsidP="00E92B60">
            <w:pPr>
              <w:pStyle w:val="TableTextBullet"/>
              <w:tabs>
                <w:tab w:val="clear" w:pos="288"/>
              </w:tabs>
            </w:pPr>
            <w:r>
              <w:t>Saves only the technologist name and the date and time the label was verified. When the user indicates that a new label applied fails to complete the verification process, releases the assignment, quarantines the unit, and captures details for inclusion in an Exception Report (exception type: target product label failed checks).</w:t>
            </w:r>
          </w:p>
        </w:tc>
      </w:tr>
      <w:tr w:rsidR="002A21AE" w14:paraId="4A38CD9A" w14:textId="77777777" w:rsidTr="004A7B44">
        <w:trPr>
          <w:cantSplit/>
        </w:trPr>
        <w:tc>
          <w:tcPr>
            <w:tcW w:w="3240" w:type="dxa"/>
            <w:tcBorders>
              <w:bottom w:val="single" w:sz="4" w:space="0" w:color="auto"/>
            </w:tcBorders>
          </w:tcPr>
          <w:p w14:paraId="70E6FB05" w14:textId="77777777" w:rsidR="000C3495" w:rsidRDefault="000C3495">
            <w:pPr>
              <w:pStyle w:val="TableTextNumbers"/>
            </w:pPr>
            <w:r>
              <w:t xml:space="preserve">Click </w:t>
            </w:r>
            <w:r w:rsidR="00913F95">
              <w:rPr>
                <w:b/>
              </w:rPr>
              <w:t>Yes</w:t>
            </w:r>
            <w:r>
              <w:t xml:space="preserve"> to save.</w:t>
            </w:r>
          </w:p>
          <w:p w14:paraId="6838DF22" w14:textId="77777777" w:rsidR="000C3495" w:rsidRDefault="000C3495" w:rsidP="000C3495">
            <w:pPr>
              <w:pStyle w:val="TableTextNumbersContinued"/>
            </w:pPr>
          </w:p>
          <w:p w14:paraId="68D4FFFA" w14:textId="01B79628" w:rsidR="002A21AE" w:rsidRDefault="002A21AE" w:rsidP="000C3495">
            <w:pPr>
              <w:pStyle w:val="TableTextNumbersContinued"/>
            </w:pPr>
            <w:r>
              <w:t>Repeat Steps 2</w:t>
            </w:r>
            <w:r w:rsidR="004F5589">
              <w:t xml:space="preserve"> through </w:t>
            </w:r>
            <w:r>
              <w:t>9 to split additional units, or return to Step 1 to use a different modification method on a</w:t>
            </w:r>
            <w:r w:rsidR="00C43733">
              <w:t>nother</w:t>
            </w:r>
            <w:r>
              <w:t xml:space="preserve"> unit.</w:t>
            </w:r>
          </w:p>
        </w:tc>
        <w:tc>
          <w:tcPr>
            <w:tcW w:w="6120" w:type="dxa"/>
            <w:tcBorders>
              <w:bottom w:val="single" w:sz="4" w:space="0" w:color="auto"/>
            </w:tcBorders>
          </w:tcPr>
          <w:p w14:paraId="4E6D17D9" w14:textId="77777777" w:rsidR="002A21AE" w:rsidRDefault="002A21AE">
            <w:pPr>
              <w:pStyle w:val="TableTextBullet"/>
            </w:pPr>
            <w:r>
              <w:t>Prompts the user to split or modify another unit.</w:t>
            </w:r>
          </w:p>
        </w:tc>
      </w:tr>
      <w:tr w:rsidR="002A21AE" w14:paraId="206691E6" w14:textId="77777777" w:rsidTr="004A7B44">
        <w:trPr>
          <w:cantSplit/>
        </w:trPr>
        <w:tc>
          <w:tcPr>
            <w:tcW w:w="3240" w:type="dxa"/>
            <w:tcBorders>
              <w:bottom w:val="single" w:sz="4" w:space="0" w:color="auto"/>
            </w:tcBorders>
          </w:tcPr>
          <w:p w14:paraId="00346AC2"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bottom w:val="single" w:sz="4" w:space="0" w:color="auto"/>
            </w:tcBorders>
          </w:tcPr>
          <w:p w14:paraId="75F057D6" w14:textId="77777777" w:rsidR="002A21AE" w:rsidRDefault="002A21AE">
            <w:pPr>
              <w:pStyle w:val="TableText"/>
            </w:pPr>
          </w:p>
        </w:tc>
      </w:tr>
    </w:tbl>
    <w:p w14:paraId="578B9585" w14:textId="77777777" w:rsidR="002A21AE" w:rsidRDefault="009F1B54">
      <w:pPr>
        <w:pStyle w:val="Heading3"/>
      </w:pPr>
      <w:bookmarkStart w:id="314" w:name="_Toc94349343"/>
      <w:r>
        <w:br w:type="page"/>
      </w:r>
      <w:bookmarkStart w:id="315" w:name="_Toc149064127"/>
      <w:r w:rsidR="002A21AE">
        <w:t>Modify Units: Pool Units</w:t>
      </w:r>
      <w:bookmarkEnd w:id="315"/>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Modify Units\: Pool Units</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w:t>
      </w:r>
      <w:bookmarkEnd w:id="314"/>
      <w:r w:rsidR="00B30CE5">
        <w:rPr>
          <w:vanish/>
        </w:rPr>
        <w:t>6</w:t>
      </w:r>
    </w:p>
    <w:p w14:paraId="20F3FE23" w14:textId="77777777" w:rsidR="002A21AE" w:rsidRDefault="002A21AE" w:rsidP="00FA7E65">
      <w:pPr>
        <w:pStyle w:val="BodyText"/>
      </w:pPr>
      <w:bookmarkStart w:id="316" w:name="_Toc78292638"/>
      <w:r>
        <w:t xml:space="preserve">The user selects units to be pooled. </w:t>
      </w:r>
    </w:p>
    <w:p w14:paraId="4B6950FE" w14:textId="77777777" w:rsidR="002A21AE" w:rsidRDefault="002A21AE">
      <w:pPr>
        <w:pStyle w:val="Heading4"/>
      </w:pPr>
      <w:bookmarkStart w:id="317" w:name="_Toc94349344"/>
      <w:r>
        <w:t>Assumptions</w:t>
      </w:r>
      <w:bookmarkEnd w:id="317"/>
    </w:p>
    <w:p w14:paraId="2254F6AB" w14:textId="77777777" w:rsidR="002A21AE" w:rsidRDefault="002A21AE">
      <w:pPr>
        <w:pStyle w:val="ListBullet"/>
      </w:pPr>
      <w:r>
        <w:t>See Modify Units.</w:t>
      </w:r>
    </w:p>
    <w:p w14:paraId="3087C228" w14:textId="77777777" w:rsidR="002A21AE" w:rsidRDefault="002A21AE">
      <w:pPr>
        <w:pStyle w:val="Heading4"/>
      </w:pPr>
      <w:bookmarkStart w:id="318" w:name="_Toc94349345"/>
      <w:r>
        <w:t>Outcome</w:t>
      </w:r>
      <w:bookmarkEnd w:id="318"/>
    </w:p>
    <w:p w14:paraId="63304FAC" w14:textId="77777777" w:rsidR="002A21AE" w:rsidRDefault="002A21AE">
      <w:pPr>
        <w:pStyle w:val="ListBullet"/>
      </w:pPr>
      <w:r>
        <w:t>See Modify Units.</w:t>
      </w:r>
    </w:p>
    <w:p w14:paraId="4F6D5CD7" w14:textId="77777777" w:rsidR="002A21AE" w:rsidRDefault="002A21AE">
      <w:pPr>
        <w:pStyle w:val="Heading4"/>
      </w:pPr>
      <w:bookmarkStart w:id="319" w:name="_Toc94349346"/>
      <w:r>
        <w:t>Limitations and Restrictions</w:t>
      </w:r>
      <w:bookmarkEnd w:id="319"/>
      <w:r w:rsidR="0004660C">
        <w:t xml:space="preserve"> </w:t>
      </w:r>
      <w:r w:rsidR="0004660C" w:rsidRPr="002546AC">
        <w:rPr>
          <w:rFonts w:ascii="Arial Bold" w:hAnsi="Arial Bold"/>
          <w:b w:val="0"/>
          <w:vanish/>
        </w:rPr>
        <w:t>DR 4474 removed third bullet</w:t>
      </w:r>
    </w:p>
    <w:p w14:paraId="318F7867" w14:textId="77777777" w:rsidR="00E11C56" w:rsidRDefault="00E11C56">
      <w:pPr>
        <w:pStyle w:val="ListBullet"/>
      </w:pPr>
      <w:r>
        <w:t>VBECS allows modification of units only in limited, assigned, crossmatched, and available statuses.</w:t>
      </w:r>
    </w:p>
    <w:p w14:paraId="680AC827" w14:textId="4D1733CE" w:rsidR="00971928" w:rsidRDefault="00D47D4A" w:rsidP="0004660C">
      <w:pPr>
        <w:pStyle w:val="ListBullet"/>
      </w:pPr>
      <w:r w:rsidRPr="00D47D4A">
        <w:t>When a</w:t>
      </w:r>
      <w:r>
        <w:t xml:space="preserve"> user adds a</w:t>
      </w:r>
      <w:r w:rsidRPr="00D47D4A">
        <w:t xml:space="preserve"> biohazardous unit to a pool, </w:t>
      </w:r>
      <w:r>
        <w:t xml:space="preserve">VBECS does not </w:t>
      </w:r>
      <w:r w:rsidR="0074247E">
        <w:t>designate</w:t>
      </w:r>
      <w:r>
        <w:t xml:space="preserve"> </w:t>
      </w:r>
      <w:r w:rsidR="002B51D0">
        <w:t xml:space="preserve">the </w:t>
      </w:r>
      <w:r w:rsidRPr="00D47D4A">
        <w:t xml:space="preserve">pool </w:t>
      </w:r>
      <w:r w:rsidR="0074247E">
        <w:t>as</w:t>
      </w:r>
      <w:r w:rsidRPr="00D47D4A">
        <w:t xml:space="preserve"> biohazardous</w:t>
      </w:r>
      <w:r w:rsidR="00785616">
        <w:t xml:space="preserve"> on the Blood Transfusion Record Form (BTRF) or Caution Tag</w:t>
      </w:r>
      <w:r w:rsidRPr="00D47D4A">
        <w:t>.</w:t>
      </w:r>
    </w:p>
    <w:p w14:paraId="00AD7DFA" w14:textId="77777777" w:rsidR="002A21AE" w:rsidRDefault="002A21AE">
      <w:pPr>
        <w:pStyle w:val="Heading4"/>
      </w:pPr>
      <w:bookmarkStart w:id="320" w:name="_Toc94349347"/>
      <w:r>
        <w:t>Additional Information</w:t>
      </w:r>
      <w:bookmarkEnd w:id="320"/>
    </w:p>
    <w:p w14:paraId="1AC69253" w14:textId="77777777" w:rsidR="002A21AE" w:rsidRDefault="002A21AE">
      <w:pPr>
        <w:pStyle w:val="ListBullet"/>
      </w:pPr>
      <w:r w:rsidRPr="009D4EED">
        <w:rPr>
          <w:vanish/>
        </w:rPr>
        <w:t>BR_24.16</w:t>
      </w:r>
      <w:r>
        <w:rPr>
          <w:rFonts w:ascii="Arial" w:hAnsi="Arial" w:cs="Arial"/>
          <w:vanish/>
          <w:spacing w:val="0"/>
          <w:sz w:val="18"/>
        </w:rPr>
        <w:t xml:space="preserve"> </w:t>
      </w:r>
      <w:r>
        <w:t xml:space="preserve">When autologous or directed units are pooled, the “restricted for” patient must be the same for all units. VBECS assigns the same donation type and applies the “restricted for” patient data to the pool. </w:t>
      </w:r>
    </w:p>
    <w:p w14:paraId="4EE83DF7" w14:textId="77777777" w:rsidR="00A03B5F" w:rsidRDefault="00A03B5F" w:rsidP="00A03B5F">
      <w:pPr>
        <w:pStyle w:val="ListBullet"/>
      </w:pPr>
      <w:r>
        <w:t>To reverse the pooling of units:</w:t>
      </w:r>
    </w:p>
    <w:p w14:paraId="3E9DFA78" w14:textId="77777777" w:rsidR="00EB1E75" w:rsidRDefault="00A03B5F" w:rsidP="00EB1E75">
      <w:pPr>
        <w:pStyle w:val="ListBullet2"/>
      </w:pPr>
      <w:r>
        <w:t xml:space="preserve">Inactivate the target </w:t>
      </w:r>
      <w:r w:rsidRPr="00234222">
        <w:t>through</w:t>
      </w:r>
      <w:r>
        <w:t xml:space="preserve"> Edit Unit Information. </w:t>
      </w:r>
    </w:p>
    <w:p w14:paraId="4D9EA58F" w14:textId="77777777" w:rsidR="00A03B5F" w:rsidRDefault="00A03B5F" w:rsidP="00EB1E75">
      <w:pPr>
        <w:pStyle w:val="ListBullet2"/>
      </w:pPr>
      <w:r>
        <w:t>Remove the “modified” status from each unit in the pool through Remove Final Status.</w:t>
      </w:r>
    </w:p>
    <w:p w14:paraId="5A42423A" w14:textId="77777777" w:rsidR="00A03B5F" w:rsidRDefault="00A03B5F" w:rsidP="00A03B5F">
      <w:pPr>
        <w:pStyle w:val="ListBullet"/>
      </w:pPr>
      <w:r>
        <w:t>To edit the number of units in an existing pool, use Add/Remove Units from a Pool.</w:t>
      </w:r>
    </w:p>
    <w:p w14:paraId="3AF39EC3" w14:textId="77777777" w:rsidR="002A21AE" w:rsidRDefault="002A21AE">
      <w:pPr>
        <w:pStyle w:val="Heading4"/>
      </w:pPr>
      <w:bookmarkStart w:id="321" w:name="_Toc94349348"/>
      <w:r>
        <w:t>User Roles with Access to This Option</w:t>
      </w:r>
      <w:bookmarkEnd w:id="321"/>
    </w:p>
    <w:bookmarkEnd w:id="316"/>
    <w:p w14:paraId="2F1E63B3" w14:textId="77777777" w:rsidR="001A3179" w:rsidRDefault="001A3179" w:rsidP="001A3179">
      <w:pPr>
        <w:pStyle w:val="Roles"/>
        <w:rPr>
          <w:snapToGrid w:val="0"/>
        </w:rPr>
      </w:pPr>
      <w:r>
        <w:t>All users</w:t>
      </w:r>
    </w:p>
    <w:p w14:paraId="3BE3A118" w14:textId="77777777" w:rsidR="002A21AE" w:rsidRDefault="002A21AE">
      <w:pPr>
        <w:pStyle w:val="Heading4"/>
      </w:pPr>
      <w:r>
        <w:t>Modify Units: Pool Units</w:t>
      </w:r>
    </w:p>
    <w:p w14:paraId="26A7F21B" w14:textId="77777777" w:rsidR="002A21AE" w:rsidRDefault="002A21AE" w:rsidP="00FA7E65">
      <w:pPr>
        <w:pStyle w:val="BodyText"/>
      </w:pPr>
      <w:r>
        <w:t xml:space="preserve">When the pooling is in process or almost complete, the user records it in VBECS. Data entry may also be completed retrospectively. The user pools units and enters the ID and product code of the original unit and the IDs and product codes for each unit added to the pool. </w:t>
      </w:r>
    </w:p>
    <w:p w14:paraId="13FFCE3A" w14:textId="77777777" w:rsidR="002A21AE" w:rsidRDefault="002A21AE" w:rsidP="00FA7E65">
      <w:pPr>
        <w:pStyle w:val="BodyText"/>
      </w:pPr>
      <w:r>
        <w:t xml:space="preserve">VBECS records the date and time the units are pooled, uses the date and time to calculate a new expiration date for the pool, and assigns a unit ID and ABO/Rh, as defined by system rules. When an original unit in a pool was previously assigned to a patient, VBECS asks the user whether the entire pool is to be assigned to that patient. VBECS automatically assigns autologous and directed patient restriction data from an individual unit to the pool. VBECS determines the volume of the pool based on the sum of the volumes of the units in the pool. </w:t>
      </w:r>
    </w:p>
    <w:p w14:paraId="5797476F" w14:textId="77777777" w:rsidR="002A21AE" w:rsidRDefault="002A21AE" w:rsidP="00FA7E65">
      <w:pPr>
        <w:pStyle w:val="BodyText"/>
      </w:pPr>
      <w:r>
        <w:t xml:space="preserve">The new, </w:t>
      </w:r>
      <w:r>
        <w:rPr>
          <w:iCs/>
        </w:rPr>
        <w:t>pooled</w:t>
      </w:r>
      <w:r>
        <w:t xml:space="preserve"> unit needs a full set of unit properties, some of which were defined by the original units’ properties. VBECS assigns new properties such as volume, date and time created, container lot number, and expiration date to the target.</w:t>
      </w:r>
    </w:p>
    <w:p w14:paraId="619C4849" w14:textId="77777777" w:rsidR="002A21AE" w:rsidRDefault="002A21AE" w:rsidP="00FA7E65">
      <w:pPr>
        <w:pStyle w:val="BodyText"/>
      </w:pPr>
      <w:r>
        <w:t xml:space="preserve">VBECS uses system rules to check pertinent blood bank requirements associated with pooling and displays appropriate target unit information for review. The user reviews and edits the information, as needed, and completes the transaction. VBECS updates internal records, including the collection of workload and unit statuses, for each unit involved. </w:t>
      </w:r>
    </w:p>
    <w:p w14:paraId="438E05FD" w14:textId="77777777" w:rsidR="002A21AE" w:rsidRDefault="002A21AE" w:rsidP="00FA7E65">
      <w:pPr>
        <w:pStyle w:val="BodyText"/>
      </w:pPr>
      <w:r>
        <w:t>The user may now assign the units or print the BTRF and Caution Tag, and notify appropriate personnel that the ordered units are ready for issue.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F38EC85" w14:textId="77777777">
        <w:trPr>
          <w:tblHeader/>
        </w:trPr>
        <w:tc>
          <w:tcPr>
            <w:tcW w:w="3240" w:type="dxa"/>
            <w:shd w:val="pct30" w:color="auto" w:fill="FFFFFF"/>
            <w:vAlign w:val="bottom"/>
          </w:tcPr>
          <w:p w14:paraId="3A88A336" w14:textId="77777777" w:rsidR="002A21AE" w:rsidRDefault="002A21AE">
            <w:pPr>
              <w:pStyle w:val="TableText"/>
              <w:rPr>
                <w:b/>
              </w:rPr>
            </w:pPr>
            <w:r>
              <w:rPr>
                <w:b/>
              </w:rPr>
              <w:t>User Action</w:t>
            </w:r>
          </w:p>
        </w:tc>
        <w:tc>
          <w:tcPr>
            <w:tcW w:w="6120" w:type="dxa"/>
            <w:shd w:val="pct30" w:color="auto" w:fill="FFFFFF"/>
            <w:vAlign w:val="bottom"/>
          </w:tcPr>
          <w:p w14:paraId="26EA2277" w14:textId="77777777" w:rsidR="002A21AE" w:rsidRDefault="002A21AE">
            <w:pPr>
              <w:pStyle w:val="TableText"/>
              <w:rPr>
                <w:b/>
              </w:rPr>
            </w:pPr>
            <w:r>
              <w:rPr>
                <w:b/>
              </w:rPr>
              <w:t>VBECS</w:t>
            </w:r>
          </w:p>
        </w:tc>
      </w:tr>
      <w:tr w:rsidR="002A21AE" w14:paraId="304587AE" w14:textId="77777777">
        <w:tc>
          <w:tcPr>
            <w:tcW w:w="3240" w:type="dxa"/>
          </w:tcPr>
          <w:p w14:paraId="45D69A7C" w14:textId="77777777" w:rsidR="002A21AE" w:rsidRDefault="002A21AE" w:rsidP="007B7DEC">
            <w:pPr>
              <w:pStyle w:val="TableTextNumbers"/>
            </w:pPr>
            <w:r>
              <w:t xml:space="preserve">Select </w:t>
            </w:r>
            <w:r>
              <w:rPr>
                <w:b/>
              </w:rPr>
              <w:t>Blood Units</w:t>
            </w:r>
            <w:r>
              <w:t xml:space="preserve"> from the main menu. </w:t>
            </w:r>
          </w:p>
          <w:p w14:paraId="54F15DBD" w14:textId="77777777" w:rsidR="002A21AE" w:rsidRDefault="002A21AE">
            <w:pPr>
              <w:pStyle w:val="TableTextNumbersContinued"/>
            </w:pPr>
          </w:p>
          <w:p w14:paraId="4AA5FB91" w14:textId="77777777" w:rsidR="002A21AE" w:rsidRDefault="002A21AE">
            <w:pPr>
              <w:pStyle w:val="TableTextNumbersContinued"/>
            </w:pPr>
            <w:r>
              <w:t xml:space="preserve">Select </w:t>
            </w:r>
            <w:r>
              <w:rPr>
                <w:b/>
              </w:rPr>
              <w:t>Modify Units</w:t>
            </w:r>
            <w:r>
              <w:t>.</w:t>
            </w:r>
          </w:p>
        </w:tc>
        <w:tc>
          <w:tcPr>
            <w:tcW w:w="6120" w:type="dxa"/>
          </w:tcPr>
          <w:p w14:paraId="5CB0D6B2" w14:textId="77777777" w:rsidR="002A21AE" w:rsidRDefault="002A21AE">
            <w:pPr>
              <w:pStyle w:val="TableTextBullet"/>
            </w:pPr>
            <w:r>
              <w:t>Displays options for processing blood units.</w:t>
            </w:r>
          </w:p>
          <w:p w14:paraId="07294F85" w14:textId="77777777" w:rsidR="002A21AE" w:rsidRDefault="002A21AE">
            <w:pPr>
              <w:pStyle w:val="TableTextBullet"/>
              <w:tabs>
                <w:tab w:val="clear" w:pos="288"/>
              </w:tabs>
            </w:pPr>
            <w:r>
              <w:t xml:space="preserve">Displays valid modification types for selection. </w:t>
            </w:r>
          </w:p>
          <w:p w14:paraId="56DC6786" w14:textId="77777777" w:rsidR="008807BD" w:rsidRDefault="008807BD" w:rsidP="008807BD">
            <w:pPr>
              <w:pStyle w:val="TableText"/>
              <w:rPr>
                <w:b/>
                <w:bCs/>
                <w:szCs w:val="18"/>
              </w:rPr>
            </w:pPr>
          </w:p>
          <w:p w14:paraId="607C6116" w14:textId="2C76445E" w:rsidR="008807BD" w:rsidRDefault="008807BD" w:rsidP="008807BD">
            <w:pPr>
              <w:pStyle w:val="TableText"/>
              <w:rPr>
                <w:b/>
                <w:bCs/>
                <w:szCs w:val="18"/>
              </w:rPr>
            </w:pPr>
            <w:r>
              <w:rPr>
                <w:b/>
                <w:bCs/>
                <w:szCs w:val="18"/>
              </w:rPr>
              <w:t>NOTES</w:t>
            </w:r>
          </w:p>
          <w:p w14:paraId="1EA567EE" w14:textId="77777777" w:rsidR="008807BD" w:rsidRDefault="008807BD" w:rsidP="008807BD">
            <w:pPr>
              <w:pStyle w:val="NotesText"/>
            </w:pPr>
          </w:p>
          <w:p w14:paraId="4A90CE42" w14:textId="77777777" w:rsidR="008807BD" w:rsidRDefault="008807BD" w:rsidP="008807BD">
            <w:pPr>
              <w:pStyle w:val="NotesText"/>
            </w:pPr>
            <w:r w:rsidRPr="008807BD">
              <w:t xml:space="preserve">The </w:t>
            </w:r>
            <w:r w:rsidRPr="00EC7489">
              <w:rPr>
                <w:rFonts w:ascii="Wingdings 3" w:hAnsi="Wingdings 3" w:cs="Wingdings"/>
              </w:rPr>
              <w:t></w:t>
            </w:r>
            <w:r w:rsidRPr="00EC7489">
              <w:rPr>
                <w:rFonts w:ascii="Wingdings 3" w:hAnsi="Wingdings 3" w:cs="Wingdings"/>
              </w:rPr>
              <w:t></w:t>
            </w:r>
            <w:r>
              <w:t xml:space="preserve"> Enhanced Technologist </w:t>
            </w:r>
            <w:r w:rsidR="00915BD8">
              <w:t>or</w:t>
            </w:r>
            <w:r>
              <w:t xml:space="preserve"> above is authorized to modify expired blood products.</w:t>
            </w:r>
          </w:p>
        </w:tc>
      </w:tr>
      <w:tr w:rsidR="002A21AE" w14:paraId="4CF15C8A" w14:textId="77777777">
        <w:tc>
          <w:tcPr>
            <w:tcW w:w="3240" w:type="dxa"/>
          </w:tcPr>
          <w:p w14:paraId="7672DF8C" w14:textId="77777777" w:rsidR="002A21AE" w:rsidRDefault="002A21AE">
            <w:pPr>
              <w:pStyle w:val="TableTextNumbers"/>
            </w:pPr>
            <w:r>
              <w:t xml:space="preserve">Click the </w:t>
            </w:r>
            <w:r>
              <w:rPr>
                <w:b/>
              </w:rPr>
              <w:t xml:space="preserve">Pool </w:t>
            </w:r>
            <w:r>
              <w:t>or</w:t>
            </w:r>
            <w:r>
              <w:rPr>
                <w:b/>
              </w:rPr>
              <w:t xml:space="preserve"> Thaw/Pool Cryo </w:t>
            </w:r>
            <w:r w:rsidRPr="00BF2E41">
              <w:t>radio button</w:t>
            </w:r>
            <w:r>
              <w:t>.</w:t>
            </w:r>
          </w:p>
          <w:p w14:paraId="2FF6E6AF" w14:textId="77777777" w:rsidR="002A21AE" w:rsidRDefault="002A21AE">
            <w:pPr>
              <w:pStyle w:val="TableTextNumbersContinued"/>
            </w:pPr>
          </w:p>
          <w:p w14:paraId="2DFCA5E9" w14:textId="77777777" w:rsidR="002A21AE" w:rsidRDefault="002A21AE">
            <w:pPr>
              <w:pStyle w:val="TableTextNumbersContinued"/>
            </w:pPr>
            <w:r>
              <w:t xml:space="preserve">Click </w:t>
            </w:r>
            <w:r>
              <w:rPr>
                <w:b/>
              </w:rPr>
              <w:t>OK</w:t>
            </w:r>
            <w:r>
              <w:t>.</w:t>
            </w:r>
          </w:p>
        </w:tc>
        <w:tc>
          <w:tcPr>
            <w:tcW w:w="6120" w:type="dxa"/>
          </w:tcPr>
          <w:p w14:paraId="5075A96B" w14:textId="77777777" w:rsidR="002A21AE" w:rsidRDefault="002A21AE">
            <w:pPr>
              <w:pStyle w:val="TableTextBullet"/>
            </w:pPr>
            <w:r>
              <w:t>Allows the user to search for a unit.</w:t>
            </w:r>
          </w:p>
        </w:tc>
      </w:tr>
      <w:tr w:rsidR="002A21AE" w14:paraId="2B5920DC" w14:textId="77777777">
        <w:tc>
          <w:tcPr>
            <w:tcW w:w="3240" w:type="dxa"/>
          </w:tcPr>
          <w:p w14:paraId="6277FED6" w14:textId="77777777" w:rsidR="00DD68ED" w:rsidRDefault="002A21AE" w:rsidP="00054FA6">
            <w:pPr>
              <w:pStyle w:val="TableTextNumbers"/>
            </w:pPr>
            <w:r>
              <w:t xml:space="preserve">Scan, enter, or select the ID and product code </w:t>
            </w:r>
            <w:r w:rsidR="00DD68ED">
              <w:t xml:space="preserve">of the most restricted </w:t>
            </w:r>
            <w:r w:rsidR="00054FA6">
              <w:t>(e.g., biohazardous, autologous, directed)</w:t>
            </w:r>
            <w:r>
              <w:t xml:space="preserve"> unit to be pooled.</w:t>
            </w:r>
          </w:p>
        </w:tc>
        <w:tc>
          <w:tcPr>
            <w:tcW w:w="6120" w:type="dxa"/>
          </w:tcPr>
          <w:p w14:paraId="30783661" w14:textId="77777777" w:rsidR="002A21AE" w:rsidRDefault="002A21AE">
            <w:pPr>
              <w:pStyle w:val="TableTextBullet"/>
            </w:pPr>
            <w:r>
              <w:t>Displays current data for the selected unit.</w:t>
            </w:r>
          </w:p>
          <w:p w14:paraId="0ECAEA87" w14:textId="77777777" w:rsidR="002A21AE" w:rsidRDefault="002A21AE">
            <w:pPr>
              <w:pStyle w:val="TableText"/>
              <w:rPr>
                <w:b/>
                <w:bCs/>
                <w:szCs w:val="18"/>
              </w:rPr>
            </w:pPr>
          </w:p>
          <w:p w14:paraId="1993F4DE" w14:textId="5029A4BC" w:rsidR="002A21AE" w:rsidRDefault="002A21AE">
            <w:pPr>
              <w:pStyle w:val="TableText"/>
              <w:rPr>
                <w:b/>
                <w:bCs/>
                <w:szCs w:val="18"/>
              </w:rPr>
            </w:pPr>
            <w:r>
              <w:rPr>
                <w:b/>
                <w:bCs/>
                <w:szCs w:val="18"/>
              </w:rPr>
              <w:t>NOTES</w:t>
            </w:r>
          </w:p>
          <w:p w14:paraId="5C25A87C" w14:textId="77777777" w:rsidR="002A21AE" w:rsidRDefault="002A21AE">
            <w:pPr>
              <w:pStyle w:val="NotesText"/>
            </w:pPr>
          </w:p>
          <w:p w14:paraId="2BBD93F6" w14:textId="77777777" w:rsidR="00054FA6" w:rsidRDefault="00054FA6">
            <w:pPr>
              <w:pStyle w:val="NotesText"/>
            </w:pPr>
            <w:r>
              <w:t>VBECS applies the restriction of the first unit selected to the pool.</w:t>
            </w:r>
          </w:p>
          <w:p w14:paraId="22E201F6" w14:textId="77777777" w:rsidR="00054FA6" w:rsidRDefault="00054FA6">
            <w:pPr>
              <w:pStyle w:val="NotesText"/>
            </w:pPr>
          </w:p>
          <w:p w14:paraId="5371F9AE" w14:textId="77777777" w:rsidR="002A21AE" w:rsidRDefault="00C51C45" w:rsidP="00823261">
            <w:pPr>
              <w:pStyle w:val="NotesText"/>
              <w:rPr>
                <w:color w:val="000000"/>
                <w:szCs w:val="18"/>
              </w:rPr>
            </w:pPr>
            <w:r w:rsidRPr="00896F17">
              <w:rPr>
                <w:rStyle w:val="BullhornChar"/>
              </w:rPr>
              <w:t></w:t>
            </w:r>
            <w:r w:rsidR="005A3214">
              <w:t xml:space="preserve"> </w:t>
            </w:r>
            <w:r w:rsidR="002A21AE" w:rsidRPr="00613DA8">
              <w:rPr>
                <w:rFonts w:cs="Arial"/>
                <w:vanish/>
                <w:color w:val="0000FF"/>
              </w:rPr>
              <w:t>BR_24.02</w:t>
            </w:r>
            <w:r w:rsidR="002A21AE">
              <w:rPr>
                <w:rFonts w:cs="Arial"/>
                <w:vanish/>
              </w:rPr>
              <w:t xml:space="preserve"> </w:t>
            </w:r>
            <w:r w:rsidR="002A21AE">
              <w:t>B</w:t>
            </w:r>
            <w:r w:rsidR="002A21AE">
              <w:rPr>
                <w:color w:val="000000"/>
                <w:szCs w:val="18"/>
              </w:rPr>
              <w:t>ased on the product code, VBECS determines the component class of each selected unit to verify that the component class of the selected unit matches that of the first unit selected for the pool (only units from the same component class may be pooled). When the</w:t>
            </w:r>
            <w:r w:rsidR="00CE58C1">
              <w:rPr>
                <w:color w:val="000000"/>
                <w:szCs w:val="18"/>
              </w:rPr>
              <w:t>y</w:t>
            </w:r>
            <w:r w:rsidR="002A21AE">
              <w:rPr>
                <w:color w:val="000000"/>
                <w:szCs w:val="18"/>
              </w:rPr>
              <w:t xml:space="preserve"> do not match, VBECS warns the user and clears the entry. The user may enter another unit.</w:t>
            </w:r>
          </w:p>
          <w:p w14:paraId="568474B5" w14:textId="77777777" w:rsidR="000C5084" w:rsidRDefault="000C5084" w:rsidP="00823261">
            <w:pPr>
              <w:pStyle w:val="NotesText"/>
              <w:rPr>
                <w:color w:val="000000"/>
                <w:szCs w:val="18"/>
              </w:rPr>
            </w:pPr>
          </w:p>
          <w:p w14:paraId="327E1E32" w14:textId="77777777" w:rsidR="000C5084" w:rsidRDefault="000C5084" w:rsidP="00C45B80">
            <w:pPr>
              <w:pStyle w:val="NotesText"/>
            </w:pPr>
            <w:r w:rsidRPr="000C5084">
              <w:rPr>
                <w:iCs/>
                <w:vanish/>
              </w:rPr>
              <w:t xml:space="preserve">BR_24.34 </w:t>
            </w:r>
            <w:r w:rsidR="00C233B7">
              <w:rPr>
                <w:iCs/>
              </w:rPr>
              <w:t>If one unit containing</w:t>
            </w:r>
            <w:r w:rsidRPr="009D3134">
              <w:rPr>
                <w:iCs/>
              </w:rPr>
              <w:t xml:space="preserve"> = </w:t>
            </w:r>
            <w:r w:rsidR="00C233B7">
              <w:rPr>
                <w:iCs/>
              </w:rPr>
              <w:t xml:space="preserve">&gt; </w:t>
            </w:r>
            <w:r w:rsidRPr="009D3134">
              <w:rPr>
                <w:iCs/>
              </w:rPr>
              <w:t xml:space="preserve">2 mL of red blood cell contamination is added to a pool, the target </w:t>
            </w:r>
            <w:r w:rsidR="00C45B80">
              <w:rPr>
                <w:iCs/>
              </w:rPr>
              <w:t>is</w:t>
            </w:r>
            <w:r w:rsidRPr="009D3134">
              <w:rPr>
                <w:iCs/>
              </w:rPr>
              <w:t xml:space="preserve"> marked as containing </w:t>
            </w:r>
            <w:r w:rsidR="00C233B7">
              <w:rPr>
                <w:iCs/>
              </w:rPr>
              <w:t>=</w:t>
            </w:r>
            <w:r w:rsidRPr="009D3134">
              <w:rPr>
                <w:iCs/>
              </w:rPr>
              <w:t xml:space="preserve"> </w:t>
            </w:r>
            <w:r w:rsidR="00C233B7">
              <w:rPr>
                <w:iCs/>
              </w:rPr>
              <w:t xml:space="preserve">&gt; </w:t>
            </w:r>
            <w:r w:rsidRPr="009D3134">
              <w:rPr>
                <w:iCs/>
              </w:rPr>
              <w:t>2 mL of red blood cell contamination.</w:t>
            </w:r>
          </w:p>
        </w:tc>
      </w:tr>
      <w:tr w:rsidR="002A21AE" w14:paraId="61824A7A" w14:textId="77777777">
        <w:tc>
          <w:tcPr>
            <w:tcW w:w="3240" w:type="dxa"/>
            <w:tcBorders>
              <w:top w:val="single" w:sz="4" w:space="0" w:color="auto"/>
              <w:left w:val="single" w:sz="4" w:space="0" w:color="auto"/>
              <w:bottom w:val="single" w:sz="4" w:space="0" w:color="auto"/>
              <w:right w:val="single" w:sz="4" w:space="0" w:color="auto"/>
            </w:tcBorders>
          </w:tcPr>
          <w:p w14:paraId="154E5059" w14:textId="77777777" w:rsidR="002A21AE" w:rsidRDefault="002A21AE">
            <w:pPr>
              <w:pStyle w:val="TableTextNumbers"/>
            </w:pPr>
            <w:r>
              <w:t>Enter the ID and product code of a</w:t>
            </w:r>
            <w:r w:rsidR="0071381D">
              <w:t>nother</w:t>
            </w:r>
            <w:r>
              <w:t xml:space="preserve"> unit </w:t>
            </w:r>
            <w:r w:rsidR="0071381D">
              <w:t xml:space="preserve">of the same donation type </w:t>
            </w:r>
            <w:r>
              <w:t xml:space="preserve">for inclusion in the pool. </w:t>
            </w:r>
          </w:p>
        </w:tc>
        <w:tc>
          <w:tcPr>
            <w:tcW w:w="6120" w:type="dxa"/>
            <w:tcBorders>
              <w:top w:val="single" w:sz="4" w:space="0" w:color="auto"/>
              <w:left w:val="single" w:sz="4" w:space="0" w:color="auto"/>
              <w:bottom w:val="single" w:sz="4" w:space="0" w:color="auto"/>
              <w:right w:val="single" w:sz="4" w:space="0" w:color="auto"/>
            </w:tcBorders>
          </w:tcPr>
          <w:p w14:paraId="786D1130" w14:textId="77777777" w:rsidR="002A21AE" w:rsidRDefault="00CE58C1">
            <w:pPr>
              <w:pStyle w:val="TableTextBullet"/>
              <w:tabs>
                <w:tab w:val="num" w:pos="360"/>
              </w:tabs>
            </w:pPr>
            <w:r>
              <w:t xml:space="preserve">May warn </w:t>
            </w:r>
            <w:r w:rsidR="002A21AE">
              <w:t>the user and asks whether to release the unit from “restricted for patient.”</w:t>
            </w:r>
          </w:p>
          <w:p w14:paraId="0B395ABF" w14:textId="77777777" w:rsidR="002A21AE" w:rsidRDefault="002A21AE">
            <w:pPr>
              <w:pStyle w:val="TableText"/>
            </w:pPr>
          </w:p>
          <w:p w14:paraId="325B120D" w14:textId="68A1B149" w:rsidR="002A21AE" w:rsidRDefault="002A21AE">
            <w:pPr>
              <w:pStyle w:val="TableText"/>
              <w:rPr>
                <w:b/>
                <w:bCs/>
              </w:rPr>
            </w:pPr>
            <w:r>
              <w:rPr>
                <w:b/>
                <w:bCs/>
              </w:rPr>
              <w:t>NOTES</w:t>
            </w:r>
          </w:p>
          <w:p w14:paraId="6AD04D31" w14:textId="77777777" w:rsidR="002A21AE" w:rsidRDefault="002A21AE">
            <w:pPr>
              <w:pStyle w:val="NotesText"/>
            </w:pPr>
          </w:p>
          <w:p w14:paraId="542E5426" w14:textId="77777777" w:rsidR="002A21AE" w:rsidRDefault="002A21AE">
            <w:pPr>
              <w:pStyle w:val="NotesText"/>
            </w:pPr>
            <w:r>
              <w:t xml:space="preserve">When the donation type of a unit selected for inclusion in a pool is restricted, the user may release the directed unit to the general blood supply, if indicated, and complete the pooling process. </w:t>
            </w:r>
          </w:p>
          <w:p w14:paraId="105F1FAE" w14:textId="77777777" w:rsidR="00A33872" w:rsidRDefault="00A33872" w:rsidP="00A33872">
            <w:pPr>
              <w:pStyle w:val="NotesText"/>
            </w:pPr>
          </w:p>
          <w:p w14:paraId="2C4F22F0" w14:textId="77777777" w:rsidR="005E0061" w:rsidRDefault="00A33872" w:rsidP="00A33872">
            <w:pPr>
              <w:pStyle w:val="NotesText"/>
              <w:rPr>
                <w:iCs/>
                <w:szCs w:val="18"/>
              </w:rPr>
            </w:pPr>
            <w:r w:rsidRPr="001051D0">
              <w:rPr>
                <w:rFonts w:cs="Arial"/>
                <w:vanish/>
              </w:rPr>
              <w:t>BR_24.12</w:t>
            </w:r>
            <w:r>
              <w:rPr>
                <w:rFonts w:cs="Arial"/>
                <w:vanish/>
                <w:szCs w:val="18"/>
              </w:rPr>
              <w:t xml:space="preserve"> </w:t>
            </w:r>
            <w:r w:rsidR="00CD6052" w:rsidRPr="00CD6052">
              <w:rPr>
                <w:iCs/>
                <w:szCs w:val="18"/>
              </w:rPr>
              <w:t>When the first unit entered for a pool is labeled in ISBT 128, VBECS determines the unit ID of the pool created from ISBT-labeled units using the country and ICCBBA-assigned facility code (division preparing the pool), two-number year, and six-number sequential number of the pool event at the division, and displays it for acceptance only.</w:t>
            </w:r>
          </w:p>
          <w:p w14:paraId="72FC2B06" w14:textId="77777777" w:rsidR="00A33872" w:rsidRDefault="009439F8" w:rsidP="00A33872">
            <w:pPr>
              <w:pStyle w:val="NotesText"/>
              <w:rPr>
                <w:iCs/>
                <w:vanish/>
                <w:szCs w:val="18"/>
              </w:rPr>
            </w:pPr>
            <w:r>
              <w:rPr>
                <w:iCs/>
                <w:vanish/>
                <w:szCs w:val="18"/>
              </w:rPr>
              <w:t xml:space="preserve"> DR 3668</w:t>
            </w:r>
          </w:p>
          <w:p w14:paraId="4F0B7D37" w14:textId="77777777" w:rsidR="005E0061" w:rsidRDefault="005E0061" w:rsidP="00A33872">
            <w:pPr>
              <w:pStyle w:val="NotesText"/>
              <w:rPr>
                <w:color w:val="000000"/>
                <w:szCs w:val="18"/>
              </w:rPr>
            </w:pPr>
          </w:p>
          <w:p w14:paraId="06CF8086" w14:textId="77777777" w:rsidR="005E0061" w:rsidRPr="009439F8" w:rsidRDefault="005E0061" w:rsidP="00A33872">
            <w:pPr>
              <w:pStyle w:val="NotesText"/>
              <w:rPr>
                <w:color w:val="000000"/>
                <w:szCs w:val="18"/>
              </w:rPr>
            </w:pPr>
            <w:r w:rsidRPr="005E0061">
              <w:rPr>
                <w:iCs/>
                <w:vanish/>
              </w:rPr>
              <w:t xml:space="preserve">BR_24.34 </w:t>
            </w:r>
            <w:r w:rsidRPr="009D3134">
              <w:rPr>
                <w:iCs/>
              </w:rPr>
              <w:t>If one unit conta</w:t>
            </w:r>
            <w:r w:rsidR="00C233B7">
              <w:rPr>
                <w:iCs/>
              </w:rPr>
              <w:t xml:space="preserve">ining </w:t>
            </w:r>
            <w:r w:rsidRPr="009D3134">
              <w:rPr>
                <w:iCs/>
              </w:rPr>
              <w:t xml:space="preserve">= </w:t>
            </w:r>
            <w:r w:rsidR="00C233B7">
              <w:rPr>
                <w:iCs/>
              </w:rPr>
              <w:t xml:space="preserve">&gt; </w:t>
            </w:r>
            <w:r w:rsidRPr="009D3134">
              <w:rPr>
                <w:iCs/>
              </w:rPr>
              <w:t>2 mL of red blood cell contamination is added to a pool, the target</w:t>
            </w:r>
            <w:r w:rsidR="00DB1100">
              <w:rPr>
                <w:iCs/>
              </w:rPr>
              <w:t xml:space="preserve"> is</w:t>
            </w:r>
            <w:r w:rsidR="00C233B7">
              <w:rPr>
                <w:iCs/>
              </w:rPr>
              <w:t xml:space="preserve"> marked as containing </w:t>
            </w:r>
            <w:r w:rsidRPr="009D3134">
              <w:rPr>
                <w:iCs/>
              </w:rPr>
              <w:t xml:space="preserve">= </w:t>
            </w:r>
            <w:r w:rsidR="00C233B7">
              <w:rPr>
                <w:iCs/>
              </w:rPr>
              <w:t xml:space="preserve">&gt; </w:t>
            </w:r>
            <w:r w:rsidRPr="009D3134">
              <w:rPr>
                <w:iCs/>
              </w:rPr>
              <w:t>2 mL of red blood cell contamination.</w:t>
            </w:r>
          </w:p>
        </w:tc>
      </w:tr>
      <w:tr w:rsidR="002A21AE" w14:paraId="1CE912F2" w14:textId="77777777" w:rsidTr="001A459B">
        <w:trPr>
          <w:cantSplit/>
        </w:trPr>
        <w:tc>
          <w:tcPr>
            <w:tcW w:w="3240" w:type="dxa"/>
            <w:tcBorders>
              <w:top w:val="single" w:sz="4" w:space="0" w:color="auto"/>
              <w:left w:val="single" w:sz="4" w:space="0" w:color="auto"/>
              <w:bottom w:val="single" w:sz="4" w:space="0" w:color="auto"/>
              <w:right w:val="single" w:sz="4" w:space="0" w:color="auto"/>
            </w:tcBorders>
          </w:tcPr>
          <w:p w14:paraId="5E701431" w14:textId="77777777" w:rsidR="002A21AE" w:rsidRDefault="002A21AE">
            <w:pPr>
              <w:pStyle w:val="TableTextNumbers"/>
            </w:pPr>
            <w:r>
              <w:t>Accept the previously selected unit and repeat Step 4 to select another unit to add to the pool.</w:t>
            </w:r>
          </w:p>
        </w:tc>
        <w:tc>
          <w:tcPr>
            <w:tcW w:w="6120" w:type="dxa"/>
            <w:tcBorders>
              <w:top w:val="single" w:sz="4" w:space="0" w:color="auto"/>
              <w:left w:val="single" w:sz="4" w:space="0" w:color="auto"/>
              <w:bottom w:val="single" w:sz="4" w:space="0" w:color="auto"/>
              <w:right w:val="single" w:sz="4" w:space="0" w:color="auto"/>
            </w:tcBorders>
          </w:tcPr>
          <w:p w14:paraId="0CC38EE5" w14:textId="77777777" w:rsidR="002A21AE" w:rsidRDefault="002A21AE">
            <w:pPr>
              <w:pStyle w:val="TableTextBullet"/>
              <w:tabs>
                <w:tab w:val="num" w:pos="360"/>
              </w:tabs>
              <w:rPr>
                <w:color w:val="000000"/>
                <w:szCs w:val="20"/>
              </w:rPr>
            </w:pPr>
            <w:r>
              <w:rPr>
                <w:color w:val="000000"/>
                <w:szCs w:val="20"/>
              </w:rPr>
              <w:t>Displays all data for all original units.</w:t>
            </w:r>
          </w:p>
          <w:p w14:paraId="454D9AAB" w14:textId="77777777" w:rsidR="002A21AE" w:rsidRDefault="002A21AE">
            <w:pPr>
              <w:pStyle w:val="TableText"/>
            </w:pPr>
          </w:p>
          <w:p w14:paraId="4D3363CB" w14:textId="1E1B3A6D" w:rsidR="002A21AE" w:rsidRDefault="002A21AE">
            <w:pPr>
              <w:pStyle w:val="TableText"/>
              <w:rPr>
                <w:b/>
                <w:bCs/>
              </w:rPr>
            </w:pPr>
            <w:r>
              <w:rPr>
                <w:b/>
                <w:bCs/>
              </w:rPr>
              <w:t>NOTES</w:t>
            </w:r>
          </w:p>
          <w:p w14:paraId="47883C23" w14:textId="69561650" w:rsidR="002A21AE" w:rsidRDefault="00D431F7" w:rsidP="00D431F7">
            <w:pPr>
              <w:pStyle w:val="NotesText"/>
              <w:tabs>
                <w:tab w:val="left" w:pos="2580"/>
              </w:tabs>
            </w:pPr>
            <w:r>
              <w:tab/>
            </w:r>
          </w:p>
          <w:p w14:paraId="5077D8F0" w14:textId="0A67D2F6" w:rsidR="002A21AE" w:rsidRDefault="002A21AE">
            <w:pPr>
              <w:pStyle w:val="NotesText"/>
            </w:pPr>
            <w:r>
              <w:rPr>
                <w:rFonts w:cs="Arial"/>
                <w:vanish/>
              </w:rPr>
              <w:t>BR_24.03</w:t>
            </w:r>
            <w:r>
              <w:rPr>
                <w:rFonts w:cs="Arial"/>
                <w:vanish/>
                <w:szCs w:val="18"/>
              </w:rPr>
              <w:t xml:space="preserve"> </w:t>
            </w:r>
            <w:r w:rsidR="00D431F7">
              <w:rPr>
                <w:szCs w:val="18"/>
              </w:rPr>
              <w:t>The system will tally</w:t>
            </w:r>
            <w:r>
              <w:rPr>
                <w:szCs w:val="18"/>
              </w:rPr>
              <w:t xml:space="preserve"> the</w:t>
            </w:r>
            <w:r w:rsidR="00D431F7">
              <w:rPr>
                <w:szCs w:val="18"/>
              </w:rPr>
              <w:t xml:space="preserve"> total</w:t>
            </w:r>
            <w:r>
              <w:rPr>
                <w:szCs w:val="18"/>
              </w:rPr>
              <w:t xml:space="preserve"> number of units pooled</w:t>
            </w:r>
            <w:r w:rsidR="00E537E5">
              <w:rPr>
                <w:szCs w:val="18"/>
              </w:rPr>
              <w:t xml:space="preserve"> for this transaction. </w:t>
            </w:r>
            <w:r w:rsidR="00D431F7">
              <w:rPr>
                <w:szCs w:val="18"/>
              </w:rPr>
              <w:t>The system</w:t>
            </w:r>
            <w:r w:rsidR="00E537E5">
              <w:rPr>
                <w:szCs w:val="18"/>
              </w:rPr>
              <w:t xml:space="preserve"> will not allow the user to edit this number</w:t>
            </w:r>
            <w:r>
              <w:rPr>
                <w:szCs w:val="18"/>
              </w:rPr>
              <w:t xml:space="preserve">. The user may not edit this number. </w:t>
            </w:r>
            <w:r w:rsidR="00D431F7">
              <w:rPr>
                <w:szCs w:val="18"/>
              </w:rPr>
              <w:t>The system will calculate</w:t>
            </w:r>
            <w:r>
              <w:rPr>
                <w:szCs w:val="18"/>
              </w:rPr>
              <w:t xml:space="preserve"> </w:t>
            </w:r>
            <w:r w:rsidR="00D431F7">
              <w:rPr>
                <w:szCs w:val="18"/>
              </w:rPr>
              <w:t xml:space="preserve">sum of </w:t>
            </w:r>
            <w:r>
              <w:rPr>
                <w:szCs w:val="18"/>
              </w:rPr>
              <w:t>the pooled unit’s cost</w:t>
            </w:r>
            <w:r w:rsidR="00D431F7">
              <w:rPr>
                <w:szCs w:val="18"/>
              </w:rPr>
              <w:t>.</w:t>
            </w:r>
          </w:p>
          <w:p w14:paraId="20CA614E" w14:textId="77777777" w:rsidR="002A21AE" w:rsidRDefault="002A21AE">
            <w:pPr>
              <w:pStyle w:val="NotesText"/>
            </w:pPr>
          </w:p>
          <w:p w14:paraId="0F03B951" w14:textId="77777777" w:rsidR="002A21AE" w:rsidRDefault="002A21AE">
            <w:pPr>
              <w:pStyle w:val="NotesText"/>
            </w:pPr>
            <w:r w:rsidRPr="00D31A97">
              <w:rPr>
                <w:rFonts w:cs="Arial"/>
                <w:vanish/>
              </w:rPr>
              <w:t>BR_24.05</w:t>
            </w:r>
            <w:r>
              <w:rPr>
                <w:rFonts w:cs="Arial"/>
                <w:vanish/>
              </w:rPr>
              <w:t xml:space="preserve"> </w:t>
            </w:r>
            <w:r>
              <w:rPr>
                <w:szCs w:val="18"/>
              </w:rPr>
              <w:t xml:space="preserve">VBECS does not allow a unit to be entered twice in a pool. A split unit </w:t>
            </w:r>
            <w:r w:rsidR="00D31A97">
              <w:rPr>
                <w:szCs w:val="18"/>
              </w:rPr>
              <w:t xml:space="preserve">created in VBECS </w:t>
            </w:r>
            <w:r>
              <w:rPr>
                <w:szCs w:val="18"/>
              </w:rPr>
              <w:t>may not be pooled.</w:t>
            </w:r>
            <w:r w:rsidR="00D31A97">
              <w:rPr>
                <w:szCs w:val="18"/>
              </w:rPr>
              <w:t xml:space="preserve"> A </w:t>
            </w:r>
            <w:r w:rsidR="008B6D25">
              <w:rPr>
                <w:szCs w:val="18"/>
              </w:rPr>
              <w:t>unit</w:t>
            </w:r>
            <w:r w:rsidR="00D31A97">
              <w:rPr>
                <w:szCs w:val="18"/>
              </w:rPr>
              <w:t xml:space="preserve"> that has a division code (7</w:t>
            </w:r>
            <w:r w:rsidR="00D31A97" w:rsidRPr="00D31A97">
              <w:rPr>
                <w:szCs w:val="18"/>
                <w:vertAlign w:val="superscript"/>
              </w:rPr>
              <w:t>th</w:t>
            </w:r>
            <w:r w:rsidR="00D31A97">
              <w:rPr>
                <w:szCs w:val="18"/>
              </w:rPr>
              <w:t>/8</w:t>
            </w:r>
            <w:r w:rsidR="00D31A97" w:rsidRPr="00D31A97">
              <w:rPr>
                <w:szCs w:val="18"/>
                <w:vertAlign w:val="superscript"/>
              </w:rPr>
              <w:t>th</w:t>
            </w:r>
            <w:r w:rsidR="00D31A97">
              <w:rPr>
                <w:szCs w:val="18"/>
              </w:rPr>
              <w:t xml:space="preserve"> characters in the ISBT Product code) present upon receipt in incoming shipment may be pooled.</w:t>
            </w:r>
          </w:p>
        </w:tc>
      </w:tr>
      <w:tr w:rsidR="002A21AE" w14:paraId="5171622C" w14:textId="77777777">
        <w:tc>
          <w:tcPr>
            <w:tcW w:w="3240" w:type="dxa"/>
            <w:tcBorders>
              <w:top w:val="single" w:sz="4" w:space="0" w:color="auto"/>
              <w:left w:val="single" w:sz="4" w:space="0" w:color="auto"/>
              <w:bottom w:val="single" w:sz="4" w:space="0" w:color="auto"/>
              <w:right w:val="single" w:sz="4" w:space="0" w:color="auto"/>
            </w:tcBorders>
          </w:tcPr>
          <w:p w14:paraId="3488A26F" w14:textId="77777777" w:rsidR="002A21AE" w:rsidRDefault="002A21AE">
            <w:pPr>
              <w:pStyle w:val="TableTextNumbers"/>
            </w:pPr>
            <w:r>
              <w:t>Accept the displayed units’ data for the pool.</w:t>
            </w:r>
          </w:p>
        </w:tc>
        <w:tc>
          <w:tcPr>
            <w:tcW w:w="6120" w:type="dxa"/>
            <w:tcBorders>
              <w:top w:val="single" w:sz="4" w:space="0" w:color="auto"/>
              <w:left w:val="single" w:sz="4" w:space="0" w:color="auto"/>
              <w:bottom w:val="single" w:sz="4" w:space="0" w:color="auto"/>
              <w:right w:val="single" w:sz="4" w:space="0" w:color="auto"/>
            </w:tcBorders>
          </w:tcPr>
          <w:p w14:paraId="78CC51F7" w14:textId="77777777" w:rsidR="002A21AE" w:rsidRDefault="002A21AE">
            <w:pPr>
              <w:pStyle w:val="TableTextBullet"/>
              <w:tabs>
                <w:tab w:val="num" w:pos="360"/>
              </w:tabs>
            </w:pPr>
            <w:r>
              <w:t>Displays target component types for the modification, conditions selected, and the original unit product type, and allows the user to select a single modification type.</w:t>
            </w:r>
          </w:p>
        </w:tc>
      </w:tr>
      <w:tr w:rsidR="002A21AE" w14:paraId="45A8E6F8" w14:textId="77777777">
        <w:tc>
          <w:tcPr>
            <w:tcW w:w="3240" w:type="dxa"/>
            <w:tcBorders>
              <w:top w:val="single" w:sz="4" w:space="0" w:color="auto"/>
              <w:left w:val="single" w:sz="4" w:space="0" w:color="auto"/>
              <w:bottom w:val="single" w:sz="4" w:space="0" w:color="auto"/>
              <w:right w:val="single" w:sz="4" w:space="0" w:color="auto"/>
            </w:tcBorders>
          </w:tcPr>
          <w:p w14:paraId="05D00C21" w14:textId="77777777" w:rsidR="002A21AE" w:rsidRDefault="002A21AE">
            <w:pPr>
              <w:pStyle w:val="TableTextNumbers"/>
            </w:pPr>
            <w:r>
              <w:t xml:space="preserve">Select or confirm the desired target component type. </w:t>
            </w:r>
          </w:p>
          <w:p w14:paraId="196DEECF" w14:textId="77777777" w:rsidR="00CE58C1" w:rsidRDefault="00CE58C1" w:rsidP="00CE58C1">
            <w:pPr>
              <w:pStyle w:val="TableTextNumbersContinued"/>
            </w:pPr>
          </w:p>
          <w:p w14:paraId="296F441B" w14:textId="77777777" w:rsidR="002A21AE" w:rsidRDefault="00CE58C1" w:rsidP="00CE58C1">
            <w:pPr>
              <w:pStyle w:val="TableTextNumbersContinued"/>
            </w:pPr>
            <w:r>
              <w:t>Click the</w:t>
            </w:r>
            <w:r w:rsidR="007B7DEC">
              <w:t xml:space="preserve"> </w:t>
            </w:r>
            <w:r w:rsidR="007B7DEC" w:rsidRPr="007B7DEC">
              <w:rPr>
                <w:b/>
              </w:rPr>
              <w:t>Container</w:t>
            </w:r>
            <w:r w:rsidR="007B7DEC">
              <w:t>,</w:t>
            </w:r>
            <w:r>
              <w:t xml:space="preserve"> </w:t>
            </w:r>
            <w:r w:rsidRPr="00764A64">
              <w:rPr>
                <w:b/>
              </w:rPr>
              <w:t>Supplies</w:t>
            </w:r>
            <w:r w:rsidR="007B7DEC" w:rsidRPr="007B7DEC">
              <w:t>,</w:t>
            </w:r>
            <w:r w:rsidR="0023261D">
              <w:t xml:space="preserve"> </w:t>
            </w:r>
            <w:r w:rsidRPr="00764A64">
              <w:rPr>
                <w:b/>
              </w:rPr>
              <w:t>Equipment</w:t>
            </w:r>
            <w:r w:rsidR="007B7DEC" w:rsidRPr="007B7DEC">
              <w:t>, or</w:t>
            </w:r>
            <w:r w:rsidR="007B7DEC">
              <w:rPr>
                <w:b/>
              </w:rPr>
              <w:t xml:space="preserve"> SCD Wafer</w:t>
            </w:r>
            <w:r w:rsidRPr="00764A64">
              <w:rPr>
                <w:b/>
              </w:rPr>
              <w:t xml:space="preserve"> </w:t>
            </w:r>
            <w:r w:rsidRPr="00CC3C89">
              <w:t xml:space="preserve">tab </w:t>
            </w:r>
            <w:r>
              <w:t>and enter another supply and/or equipment lot or ID number.</w:t>
            </w:r>
          </w:p>
        </w:tc>
        <w:tc>
          <w:tcPr>
            <w:tcW w:w="6120" w:type="dxa"/>
            <w:tcBorders>
              <w:top w:val="single" w:sz="4" w:space="0" w:color="auto"/>
              <w:left w:val="single" w:sz="4" w:space="0" w:color="auto"/>
              <w:bottom w:val="single" w:sz="4" w:space="0" w:color="auto"/>
              <w:right w:val="single" w:sz="4" w:space="0" w:color="auto"/>
            </w:tcBorders>
          </w:tcPr>
          <w:p w14:paraId="2C948F89" w14:textId="77777777" w:rsidR="002A21AE" w:rsidRDefault="002A21AE">
            <w:pPr>
              <w:pStyle w:val="TableTextBullet"/>
              <w:tabs>
                <w:tab w:val="num" w:pos="360"/>
              </w:tabs>
              <w:rPr>
                <w:color w:val="000000"/>
                <w:szCs w:val="20"/>
              </w:rPr>
            </w:pPr>
            <w:r>
              <w:rPr>
                <w:color w:val="000000"/>
                <w:szCs w:val="20"/>
              </w:rPr>
              <w:t>Verifies that an active target component was selected. Requires activation, as needed.</w:t>
            </w:r>
          </w:p>
          <w:p w14:paraId="5A53386F" w14:textId="77777777" w:rsidR="002A21AE" w:rsidRDefault="002A21AE">
            <w:pPr>
              <w:pStyle w:val="TableTextBullet"/>
              <w:tabs>
                <w:tab w:val="num" w:pos="360"/>
              </w:tabs>
            </w:pPr>
            <w:r>
              <w:t>Allows the user to enter lot and ID numbers (with auto-completion) or select multiple items from the supply and equipment lists.</w:t>
            </w:r>
          </w:p>
        </w:tc>
      </w:tr>
      <w:tr w:rsidR="002A21AE" w14:paraId="666D3D97" w14:textId="77777777">
        <w:tc>
          <w:tcPr>
            <w:tcW w:w="3240" w:type="dxa"/>
            <w:tcBorders>
              <w:top w:val="single" w:sz="4" w:space="0" w:color="auto"/>
              <w:left w:val="single" w:sz="4" w:space="0" w:color="auto"/>
              <w:bottom w:val="single" w:sz="4" w:space="0" w:color="auto"/>
              <w:right w:val="single" w:sz="4" w:space="0" w:color="auto"/>
            </w:tcBorders>
          </w:tcPr>
          <w:p w14:paraId="7BB1A077" w14:textId="77777777" w:rsidR="002A21AE" w:rsidRDefault="002A21AE">
            <w:pPr>
              <w:pStyle w:val="TableTextNumbers"/>
            </w:pPr>
            <w:r>
              <w:t>Accept the displayed</w:t>
            </w:r>
            <w:r w:rsidR="00AA6C54">
              <w:t xml:space="preserve"> </w:t>
            </w:r>
            <w:r w:rsidR="00CE58C1">
              <w:t xml:space="preserve">expiration date </w:t>
            </w:r>
            <w:r>
              <w:t xml:space="preserve">or edit </w:t>
            </w:r>
            <w:r w:rsidR="00CE58C1">
              <w:t>it</w:t>
            </w:r>
            <w:r>
              <w:t>.</w:t>
            </w:r>
          </w:p>
        </w:tc>
        <w:tc>
          <w:tcPr>
            <w:tcW w:w="6120" w:type="dxa"/>
            <w:tcBorders>
              <w:top w:val="single" w:sz="4" w:space="0" w:color="auto"/>
              <w:left w:val="single" w:sz="4" w:space="0" w:color="auto"/>
              <w:bottom w:val="single" w:sz="4" w:space="0" w:color="auto"/>
              <w:right w:val="single" w:sz="4" w:space="0" w:color="auto"/>
            </w:tcBorders>
          </w:tcPr>
          <w:p w14:paraId="6865F668" w14:textId="77777777" w:rsidR="002A21AE" w:rsidRDefault="002A21AE">
            <w:pPr>
              <w:pStyle w:val="TableTextBullet"/>
              <w:tabs>
                <w:tab w:val="num" w:pos="360"/>
              </w:tabs>
              <w:rPr>
                <w:color w:val="000000"/>
                <w:szCs w:val="20"/>
              </w:rPr>
            </w:pPr>
            <w:r>
              <w:rPr>
                <w:color w:val="000000"/>
                <w:szCs w:val="20"/>
              </w:rPr>
              <w:t>Calculates and displays the expiration date of the pooled unit based on rules specific to the participant blood product.</w:t>
            </w:r>
          </w:p>
          <w:p w14:paraId="2AAAD351" w14:textId="77777777" w:rsidR="002A21AE" w:rsidRDefault="002A21AE">
            <w:pPr>
              <w:pStyle w:val="TableTextBullet"/>
              <w:tabs>
                <w:tab w:val="num" w:pos="360"/>
              </w:tabs>
              <w:rPr>
                <w:color w:val="000000"/>
                <w:szCs w:val="20"/>
              </w:rPr>
            </w:pPr>
            <w:r>
              <w:rPr>
                <w:color w:val="000000"/>
                <w:szCs w:val="20"/>
              </w:rPr>
              <w:t>Verifies the validity of the expiration date and warns the user, when indicated.</w:t>
            </w:r>
          </w:p>
          <w:p w14:paraId="7679949A" w14:textId="77777777" w:rsidR="002A21AE" w:rsidRDefault="002A21AE">
            <w:pPr>
              <w:pStyle w:val="TableText"/>
            </w:pPr>
          </w:p>
          <w:p w14:paraId="3146D168" w14:textId="159D3992" w:rsidR="002A21AE" w:rsidRDefault="002A21AE">
            <w:pPr>
              <w:pStyle w:val="TableText"/>
              <w:rPr>
                <w:b/>
                <w:bCs/>
              </w:rPr>
            </w:pPr>
            <w:r>
              <w:rPr>
                <w:b/>
                <w:bCs/>
              </w:rPr>
              <w:t>NOTES</w:t>
            </w:r>
          </w:p>
          <w:p w14:paraId="04DC4732" w14:textId="77777777" w:rsidR="002A21AE" w:rsidRDefault="002A21AE">
            <w:pPr>
              <w:pStyle w:val="NotesText"/>
            </w:pPr>
          </w:p>
          <w:p w14:paraId="11A3F66D" w14:textId="77777777" w:rsidR="00B37CE1" w:rsidRPr="00B37CE1" w:rsidRDefault="00B37CE1" w:rsidP="00B37CE1">
            <w:pPr>
              <w:pStyle w:val="NotesText"/>
              <w:rPr>
                <w:szCs w:val="18"/>
              </w:rPr>
            </w:pPr>
            <w:r w:rsidRPr="00B37CE1">
              <w:rPr>
                <w:vanish/>
                <w:szCs w:val="18"/>
              </w:rPr>
              <w:t xml:space="preserve">BR_24.10 </w:t>
            </w:r>
            <w:r w:rsidRPr="00B37CE1">
              <w:rPr>
                <w:szCs w:val="18"/>
              </w:rPr>
              <w:t>When the method selected is “Thaw/Pool Cryo”, The system shall ‘thaw’ frozen components automatically when they are being pooled.</w:t>
            </w:r>
          </w:p>
          <w:p w14:paraId="5A315BFC" w14:textId="77777777" w:rsidR="00B37CE1" w:rsidRPr="00B37CE1" w:rsidRDefault="00B37CE1" w:rsidP="00B37CE1">
            <w:pPr>
              <w:pStyle w:val="NotesText"/>
              <w:rPr>
                <w:szCs w:val="18"/>
              </w:rPr>
            </w:pPr>
          </w:p>
          <w:p w14:paraId="32A2A8B7" w14:textId="77777777" w:rsidR="00B37CE1" w:rsidRPr="00B37CE1" w:rsidRDefault="00B37CE1" w:rsidP="00B37CE1">
            <w:pPr>
              <w:pStyle w:val="NotesText"/>
              <w:rPr>
                <w:szCs w:val="18"/>
              </w:rPr>
            </w:pPr>
            <w:r w:rsidRPr="00B37CE1">
              <w:rPr>
                <w:szCs w:val="18"/>
              </w:rPr>
              <w:t xml:space="preserve">The workload for thawing each unit in the pool </w:t>
            </w:r>
            <w:r w:rsidR="00C45B80">
              <w:rPr>
                <w:szCs w:val="18"/>
              </w:rPr>
              <w:t xml:space="preserve">is </w:t>
            </w:r>
            <w:r w:rsidRPr="00B37CE1">
              <w:rPr>
                <w:szCs w:val="18"/>
              </w:rPr>
              <w:t>collected in addition to the pool workload.</w:t>
            </w:r>
          </w:p>
          <w:p w14:paraId="252F49FA" w14:textId="77777777" w:rsidR="00B37CE1" w:rsidRDefault="00B37CE1" w:rsidP="00B37CE1">
            <w:pPr>
              <w:pStyle w:val="TableText"/>
            </w:pPr>
          </w:p>
          <w:p w14:paraId="2235B8F7" w14:textId="77777777" w:rsidR="00B37CE1" w:rsidRDefault="00B37CE1" w:rsidP="00B37CE1">
            <w:pPr>
              <w:pStyle w:val="NotesText"/>
              <w:rPr>
                <w:szCs w:val="18"/>
              </w:rPr>
            </w:pPr>
            <w:r>
              <w:t>The new expiration date of the thawed unit is determined by the date/time of pooling.</w:t>
            </w:r>
          </w:p>
          <w:p w14:paraId="0205979A" w14:textId="77777777" w:rsidR="002A21AE" w:rsidRDefault="002A21AE">
            <w:pPr>
              <w:pStyle w:val="NotesText"/>
              <w:rPr>
                <w:szCs w:val="18"/>
              </w:rPr>
            </w:pPr>
          </w:p>
          <w:p w14:paraId="2B95A771" w14:textId="77777777" w:rsidR="002A21AE" w:rsidRDefault="002A21AE">
            <w:pPr>
              <w:pStyle w:val="NotesText"/>
            </w:pPr>
            <w:r>
              <w:rPr>
                <w:rFonts w:cs="Arial"/>
                <w:vanish/>
              </w:rPr>
              <w:t xml:space="preserve">BR_24.13 </w:t>
            </w:r>
            <w:r>
              <w:t>VBECS calculates an expiration date for the pool based on the product type, the date and time created, and the expiration dates and times of each pool participant. When one or more participants in the pool have an expiration date that is earlier than the calculated expiration date, VBECS uses the earlier date as the default expiration date for the pool.</w:t>
            </w:r>
          </w:p>
          <w:p w14:paraId="2745723F" w14:textId="77777777" w:rsidR="002A21AE" w:rsidRDefault="002A21AE">
            <w:pPr>
              <w:pStyle w:val="NotesText"/>
            </w:pPr>
          </w:p>
          <w:p w14:paraId="2E3C9D59" w14:textId="3AD207A9" w:rsidR="002A21AE" w:rsidRDefault="002A21AE">
            <w:pPr>
              <w:pStyle w:val="NotesText"/>
            </w:pPr>
            <w:r w:rsidRPr="00896F17">
              <w:rPr>
                <w:rStyle w:val="BullhornChar"/>
              </w:rPr>
              <w:t></w:t>
            </w:r>
            <w:r>
              <w:rPr>
                <w:color w:val="000000"/>
                <w:szCs w:val="18"/>
              </w:rPr>
              <w:t xml:space="preserve"> </w:t>
            </w:r>
            <w:r>
              <w:rPr>
                <w:rFonts w:cs="Arial"/>
                <w:vanish/>
              </w:rPr>
              <w:t>BR_24.07</w:t>
            </w:r>
            <w:r>
              <w:rPr>
                <w:rFonts w:cs="Arial"/>
                <w:vanish/>
                <w:szCs w:val="18"/>
              </w:rPr>
              <w:t xml:space="preserve"> </w:t>
            </w:r>
            <w:r>
              <w:rPr>
                <w:szCs w:val="18"/>
              </w:rPr>
              <w:t xml:space="preserve">For each unit in the pool that was previously assigned or crossmatched to a patient, VBECS warns the user and asks whether he wishes to assign the entire pool to that patient. </w:t>
            </w:r>
            <w:r>
              <w:rPr>
                <w:b/>
                <w:bCs/>
                <w:szCs w:val="18"/>
              </w:rPr>
              <w:t>Yes</w:t>
            </w:r>
            <w:r>
              <w:rPr>
                <w:szCs w:val="18"/>
              </w:rPr>
              <w:t xml:space="preserve"> applies the patient-assigned data to the pool. </w:t>
            </w:r>
            <w:r>
              <w:rPr>
                <w:b/>
                <w:bCs/>
                <w:szCs w:val="18"/>
              </w:rPr>
              <w:t>No</w:t>
            </w:r>
            <w:r>
              <w:rPr>
                <w:szCs w:val="18"/>
              </w:rPr>
              <w:t xml:space="preserve"> releases the unit from the patient.</w:t>
            </w:r>
            <w:r w:rsidR="001C3461">
              <w:rPr>
                <w:szCs w:val="18"/>
              </w:rPr>
              <w:t xml:space="preserve"> VBECS offers the user the ability to carry over any past assignment.</w:t>
            </w:r>
          </w:p>
        </w:tc>
      </w:tr>
      <w:tr w:rsidR="002A21AE" w14:paraId="0EA2A531" w14:textId="77777777">
        <w:tc>
          <w:tcPr>
            <w:tcW w:w="3240" w:type="dxa"/>
            <w:tcBorders>
              <w:top w:val="single" w:sz="4" w:space="0" w:color="auto"/>
              <w:left w:val="single" w:sz="4" w:space="0" w:color="auto"/>
              <w:bottom w:val="single" w:sz="4" w:space="0" w:color="auto"/>
              <w:right w:val="single" w:sz="4" w:space="0" w:color="auto"/>
            </w:tcBorders>
          </w:tcPr>
          <w:p w14:paraId="07E0B708" w14:textId="77777777" w:rsidR="002A21AE" w:rsidRDefault="00CE58C1">
            <w:pPr>
              <w:pStyle w:val="TableTextNumbers"/>
            </w:pPr>
            <w:r>
              <w:t xml:space="preserve">Click </w:t>
            </w:r>
            <w:r w:rsidRPr="00CE58C1">
              <w:rPr>
                <w:b/>
              </w:rPr>
              <w:t>OK</w:t>
            </w:r>
            <w:r>
              <w:t xml:space="preserve"> to </w:t>
            </w:r>
            <w:r w:rsidR="00913F95">
              <w:t>save</w:t>
            </w:r>
            <w:r w:rsidR="002A21AE">
              <w:t>.</w:t>
            </w:r>
          </w:p>
        </w:tc>
        <w:tc>
          <w:tcPr>
            <w:tcW w:w="6120" w:type="dxa"/>
            <w:tcBorders>
              <w:top w:val="single" w:sz="4" w:space="0" w:color="auto"/>
              <w:left w:val="single" w:sz="4" w:space="0" w:color="auto"/>
              <w:bottom w:val="single" w:sz="4" w:space="0" w:color="auto"/>
              <w:right w:val="single" w:sz="4" w:space="0" w:color="auto"/>
            </w:tcBorders>
          </w:tcPr>
          <w:p w14:paraId="52DA53F8" w14:textId="77777777" w:rsidR="002A21AE" w:rsidRDefault="002A21AE">
            <w:pPr>
              <w:pStyle w:val="TableTextBullet"/>
              <w:tabs>
                <w:tab w:val="clear" w:pos="288"/>
              </w:tabs>
            </w:pPr>
            <w:r>
              <w:t>Calculates the volume, total number of participants, ID, and ABO/Rh for the pool. Applies CMV negative status to the pool, when indicated.</w:t>
            </w:r>
          </w:p>
          <w:p w14:paraId="1CD4356D" w14:textId="77777777" w:rsidR="00CE58C1" w:rsidRDefault="00CE58C1" w:rsidP="00CE58C1">
            <w:pPr>
              <w:pStyle w:val="TableTextBullet"/>
              <w:tabs>
                <w:tab w:val="num" w:pos="360"/>
              </w:tabs>
              <w:rPr>
                <w:color w:val="000000"/>
                <w:szCs w:val="20"/>
              </w:rPr>
            </w:pPr>
            <w:r>
              <w:rPr>
                <w:color w:val="000000"/>
                <w:szCs w:val="20"/>
              </w:rPr>
              <w:t>Determines whether any pool participants were previously assigned to a patient and queries the user to maintain the association, when indicated.</w:t>
            </w:r>
          </w:p>
          <w:p w14:paraId="14125265" w14:textId="77777777" w:rsidR="002A21AE" w:rsidRDefault="002A21AE">
            <w:pPr>
              <w:pStyle w:val="TableText"/>
            </w:pPr>
          </w:p>
          <w:p w14:paraId="1DEF9E39" w14:textId="4BB664F0" w:rsidR="002A21AE" w:rsidRDefault="002A21AE">
            <w:pPr>
              <w:pStyle w:val="TableText"/>
              <w:rPr>
                <w:b/>
                <w:bCs/>
              </w:rPr>
            </w:pPr>
            <w:r>
              <w:rPr>
                <w:b/>
                <w:bCs/>
              </w:rPr>
              <w:t>NOTES</w:t>
            </w:r>
          </w:p>
          <w:p w14:paraId="0C95A6A9" w14:textId="77777777" w:rsidR="002A21AE" w:rsidRDefault="002A21AE">
            <w:pPr>
              <w:pStyle w:val="NotesText"/>
            </w:pPr>
          </w:p>
          <w:p w14:paraId="64274C7A" w14:textId="77777777" w:rsidR="002A21AE" w:rsidRDefault="002A21AE">
            <w:pPr>
              <w:pStyle w:val="NotesText"/>
            </w:pPr>
            <w:r>
              <w:rPr>
                <w:rFonts w:cs="Arial"/>
                <w:vanish/>
              </w:rPr>
              <w:t xml:space="preserve">BR_24.09 </w:t>
            </w:r>
            <w:r>
              <w:rPr>
                <w:szCs w:val="18"/>
              </w:rPr>
              <w:t>When the ABO/Rh of each unit in a pool is identical, VBECS assigns that ABO/Rh to the pool. When the ABO and/or Rh of the units in a pool are not identical, VBECS assigns “</w:t>
            </w:r>
            <w:r w:rsidR="00A33872">
              <w:rPr>
                <w:szCs w:val="18"/>
              </w:rPr>
              <w:t>mixed</w:t>
            </w:r>
            <w:r>
              <w:rPr>
                <w:szCs w:val="18"/>
              </w:rPr>
              <w:t>” as the ABO and/or Rh group and type.</w:t>
            </w:r>
          </w:p>
          <w:p w14:paraId="52ADCF2B" w14:textId="77777777" w:rsidR="002A21AE" w:rsidRDefault="002A21AE">
            <w:pPr>
              <w:pStyle w:val="NotesText"/>
            </w:pPr>
          </w:p>
          <w:p w14:paraId="70F17F35" w14:textId="77777777" w:rsidR="002A21AE" w:rsidRDefault="002A21AE">
            <w:pPr>
              <w:pStyle w:val="NotesText"/>
              <w:rPr>
                <w:szCs w:val="18"/>
              </w:rPr>
            </w:pPr>
            <w:r>
              <w:rPr>
                <w:rFonts w:cs="Arial"/>
                <w:vanish/>
              </w:rPr>
              <w:t xml:space="preserve">BR_24.08 </w:t>
            </w:r>
            <w:r>
              <w:rPr>
                <w:szCs w:val="18"/>
              </w:rPr>
              <w:t xml:space="preserve">VBECS determines the volume of the pooled unit based on the sum of the individual volumes of the original units included in the pool and displays that as the default. </w:t>
            </w:r>
            <w:r w:rsidR="00D1735B">
              <w:rPr>
                <w:szCs w:val="18"/>
              </w:rPr>
              <w:t>VBECS will restrict the user to a value between 1 and 2,000 mL</w:t>
            </w:r>
            <w:r>
              <w:rPr>
                <w:szCs w:val="18"/>
              </w:rPr>
              <w:t>.</w:t>
            </w:r>
          </w:p>
          <w:p w14:paraId="7BAA053E" w14:textId="77777777" w:rsidR="002A21AE" w:rsidRDefault="002A21AE">
            <w:pPr>
              <w:pStyle w:val="NotesText"/>
              <w:rPr>
                <w:szCs w:val="18"/>
              </w:rPr>
            </w:pPr>
          </w:p>
          <w:p w14:paraId="4498186E" w14:textId="77777777" w:rsidR="002216F3" w:rsidRDefault="002A21AE" w:rsidP="002216F3">
            <w:pPr>
              <w:pStyle w:val="NotesText"/>
            </w:pPr>
            <w:r>
              <w:rPr>
                <w:rFonts w:cs="Arial"/>
                <w:vanish/>
              </w:rPr>
              <w:t>BR_24.19</w:t>
            </w:r>
            <w:r w:rsidR="004248F5">
              <w:rPr>
                <w:rFonts w:cs="Arial"/>
                <w:vanish/>
              </w:rPr>
              <w:t xml:space="preserve"> </w:t>
            </w:r>
            <w:r w:rsidR="002216F3">
              <w:t>If all of the parent units selected for a pool are CMV negative, the child (pooled unit) will also be labeled CMV negative by the system. If any one unit is not CMV negative, the pool cannot be labeled CMV negative.</w:t>
            </w:r>
          </w:p>
          <w:p w14:paraId="19EE0603" w14:textId="77777777" w:rsidR="002216F3" w:rsidRDefault="002216F3" w:rsidP="002216F3">
            <w:pPr>
              <w:pStyle w:val="NotesText"/>
            </w:pPr>
          </w:p>
          <w:p w14:paraId="5B695098" w14:textId="77777777" w:rsidR="002216F3" w:rsidRDefault="002216F3" w:rsidP="002216F3">
            <w:pPr>
              <w:pStyle w:val="NotesText"/>
            </w:pPr>
            <w:r w:rsidRPr="002216F3">
              <w:rPr>
                <w:vanish/>
              </w:rPr>
              <w:t xml:space="preserve">BR_24.20 </w:t>
            </w:r>
            <w:r w:rsidRPr="00314E13">
              <w:t xml:space="preserve">A pooled unit cannot be labeled as </w:t>
            </w:r>
            <w:r>
              <w:t xml:space="preserve">“Pre-treated to Prevent GVHD” </w:t>
            </w:r>
            <w:r w:rsidRPr="00314E13">
              <w:t>unless all of the parent (original) units used in creating that pool</w:t>
            </w:r>
            <w:r>
              <w:t xml:space="preserve"> have at least one attribute form from attribute group </w:t>
            </w:r>
            <w:r w:rsidRPr="00E14EFC">
              <w:t>V0013</w:t>
            </w:r>
            <w:r>
              <w:t xml:space="preserve"> indicating that the unit is irradiated or the attribute form indicating the unit was psoralen treated, </w:t>
            </w:r>
            <w:r w:rsidRPr="00314E13">
              <w:t>V0021005</w:t>
            </w:r>
            <w:r>
              <w:t xml:space="preserve">. </w:t>
            </w:r>
            <w:r w:rsidRPr="00314E13">
              <w:t>There is no override.</w:t>
            </w:r>
          </w:p>
          <w:p w14:paraId="7245B733" w14:textId="77777777" w:rsidR="002216F3" w:rsidRDefault="002216F3" w:rsidP="002216F3">
            <w:pPr>
              <w:pStyle w:val="NotesText"/>
            </w:pPr>
          </w:p>
          <w:p w14:paraId="77921383" w14:textId="0ECA01AB" w:rsidR="002216F3" w:rsidRPr="00314E13" w:rsidRDefault="002216F3" w:rsidP="002216F3">
            <w:pPr>
              <w:pStyle w:val="NotesText"/>
            </w:pPr>
            <w:r w:rsidRPr="002216F3">
              <w:rPr>
                <w:vanish/>
              </w:rPr>
              <w:t xml:space="preserve">BR_24.20 </w:t>
            </w:r>
            <w:r w:rsidRPr="00314E13">
              <w:t xml:space="preserve">A pooled unit cannot be labeled as </w:t>
            </w:r>
            <w:r>
              <w:t>“</w:t>
            </w:r>
            <w:r w:rsidRPr="00314E13">
              <w:t>Leukocyte Reduced</w:t>
            </w:r>
            <w:r>
              <w:t>”</w:t>
            </w:r>
            <w:r w:rsidRPr="00314E13">
              <w:t xml:space="preserve"> </w:t>
            </w:r>
            <w:r>
              <w:t xml:space="preserve">unless all of </w:t>
            </w:r>
            <w:r w:rsidRPr="00314E13">
              <w:t xml:space="preserve">the parent (original) units used in creating that pool </w:t>
            </w:r>
            <w:r>
              <w:t xml:space="preserve">have at least one of the attribute forms from attribute group </w:t>
            </w:r>
            <w:r w:rsidRPr="00E14EFC">
              <w:t>V001</w:t>
            </w:r>
            <w:r>
              <w:t>4, indicating that the unit has an altered “</w:t>
            </w:r>
            <w:r w:rsidRPr="00E14EFC">
              <w:t>Residual Leukocyte Content</w:t>
            </w:r>
            <w:r>
              <w:t>”.</w:t>
            </w:r>
          </w:p>
          <w:p w14:paraId="3A038FB0" w14:textId="77777777" w:rsidR="002216F3" w:rsidRPr="00314E13" w:rsidRDefault="002216F3" w:rsidP="002216F3">
            <w:pPr>
              <w:pStyle w:val="NotesText"/>
            </w:pPr>
          </w:p>
          <w:p w14:paraId="35AC1999" w14:textId="77777777" w:rsidR="002216F3" w:rsidRDefault="002216F3" w:rsidP="002216F3">
            <w:pPr>
              <w:pStyle w:val="NotesText"/>
            </w:pPr>
            <w:r w:rsidRPr="002216F3">
              <w:rPr>
                <w:vanish/>
              </w:rPr>
              <w:t xml:space="preserve">BR_24.20 </w:t>
            </w:r>
            <w:r w:rsidRPr="00314E13">
              <w:t xml:space="preserve">Example, a pool is created from 5 units, </w:t>
            </w:r>
            <w:r>
              <w:t xml:space="preserve">if </w:t>
            </w:r>
            <w:r w:rsidRPr="00314E13">
              <w:t xml:space="preserve">any one of the units </w:t>
            </w:r>
            <w:r w:rsidR="00C45B80">
              <w:t>is not irradiated or psoralen related</w:t>
            </w:r>
            <w:r w:rsidRPr="00E14EFC">
              <w:t xml:space="preserve">, </w:t>
            </w:r>
            <w:r w:rsidRPr="00314E13">
              <w:t xml:space="preserve">then the target </w:t>
            </w:r>
            <w:r>
              <w:t>cannot be labeled as Pre-treated to Prevent GVHD”.</w:t>
            </w:r>
          </w:p>
          <w:p w14:paraId="265EC113" w14:textId="77777777" w:rsidR="002216F3" w:rsidRDefault="002216F3" w:rsidP="002216F3">
            <w:pPr>
              <w:pStyle w:val="NotesText"/>
            </w:pPr>
          </w:p>
          <w:p w14:paraId="1C21BC1D" w14:textId="76AEB9E3" w:rsidR="002216F3" w:rsidRDefault="002216F3" w:rsidP="002216F3">
            <w:pPr>
              <w:pStyle w:val="NotesText"/>
            </w:pPr>
            <w:r w:rsidRPr="002216F3">
              <w:rPr>
                <w:vanish/>
              </w:rPr>
              <w:t xml:space="preserve">BR_24.20 </w:t>
            </w:r>
            <w:r w:rsidRPr="00314E13">
              <w:t xml:space="preserve">Example, a pool is created from 5 units, </w:t>
            </w:r>
            <w:r>
              <w:t xml:space="preserve">if </w:t>
            </w:r>
            <w:r w:rsidRPr="00314E13">
              <w:t xml:space="preserve">any one of the units </w:t>
            </w:r>
            <w:r>
              <w:t xml:space="preserve">does not contain at least one of the attribute forms from </w:t>
            </w:r>
            <w:r w:rsidR="00C45B80">
              <w:t xml:space="preserve">the </w:t>
            </w:r>
            <w:r>
              <w:t>attribute group indicating that the unit has an altered “</w:t>
            </w:r>
            <w:r w:rsidRPr="00E14EFC">
              <w:t>Residual Leukocyte Content</w:t>
            </w:r>
            <w:r>
              <w:t>”</w:t>
            </w:r>
            <w:r w:rsidRPr="00314E13" w:rsidDel="00E14EFC">
              <w:t xml:space="preserve"> </w:t>
            </w:r>
            <w:r w:rsidRPr="00314E13">
              <w:t xml:space="preserve">then the target </w:t>
            </w:r>
            <w:r>
              <w:t>cannot be labeled as “</w:t>
            </w:r>
            <w:r w:rsidRPr="00314E13">
              <w:t>Leukocyte Reduced</w:t>
            </w:r>
            <w:r>
              <w:t>”</w:t>
            </w:r>
          </w:p>
          <w:p w14:paraId="553A5F94" w14:textId="77777777" w:rsidR="002216F3" w:rsidRDefault="002216F3" w:rsidP="002216F3">
            <w:pPr>
              <w:pStyle w:val="NotesText"/>
            </w:pPr>
          </w:p>
          <w:p w14:paraId="3B718FB3" w14:textId="77777777" w:rsidR="004248F5" w:rsidRPr="004248F5" w:rsidRDefault="0099483E" w:rsidP="00C45B80">
            <w:pPr>
              <w:pStyle w:val="NotesText"/>
            </w:pPr>
            <w:r w:rsidRPr="0099483E">
              <w:rPr>
                <w:iCs/>
                <w:vanish/>
              </w:rPr>
              <w:t xml:space="preserve">BR_24.31 </w:t>
            </w:r>
            <w:r w:rsidRPr="00314E13">
              <w:rPr>
                <w:iCs/>
              </w:rPr>
              <w:t xml:space="preserve">If one biohazardous unit is added to a pool, the target </w:t>
            </w:r>
            <w:r w:rsidR="00C45B80">
              <w:rPr>
                <w:iCs/>
              </w:rPr>
              <w:t>is</w:t>
            </w:r>
            <w:r w:rsidRPr="00314E13">
              <w:rPr>
                <w:iCs/>
              </w:rPr>
              <w:t xml:space="preserve"> marked biohazardous.</w:t>
            </w:r>
          </w:p>
        </w:tc>
      </w:tr>
      <w:tr w:rsidR="002A21AE" w14:paraId="0771E9D5" w14:textId="77777777" w:rsidTr="001A459B">
        <w:trPr>
          <w:cantSplit/>
        </w:trPr>
        <w:tc>
          <w:tcPr>
            <w:tcW w:w="3240" w:type="dxa"/>
            <w:tcBorders>
              <w:top w:val="single" w:sz="4" w:space="0" w:color="auto"/>
              <w:left w:val="single" w:sz="4" w:space="0" w:color="auto"/>
              <w:bottom w:val="single" w:sz="4" w:space="0" w:color="auto"/>
              <w:right w:val="single" w:sz="4" w:space="0" w:color="auto"/>
            </w:tcBorders>
          </w:tcPr>
          <w:p w14:paraId="10A7F024" w14:textId="77777777" w:rsidR="00913F95" w:rsidRDefault="00913F95" w:rsidP="00913F95">
            <w:pPr>
              <w:pStyle w:val="TableTextNumbers"/>
            </w:pPr>
            <w:r>
              <w:t xml:space="preserve">Click </w:t>
            </w:r>
            <w:r w:rsidRPr="00A77D1F">
              <w:rPr>
                <w:b/>
              </w:rPr>
              <w:t>Yes</w:t>
            </w:r>
            <w:r>
              <w:t xml:space="preserve"> to verify the label.</w:t>
            </w:r>
          </w:p>
          <w:p w14:paraId="15B4566B" w14:textId="77777777" w:rsidR="00913F95" w:rsidRDefault="00913F95" w:rsidP="00913F95">
            <w:pPr>
              <w:pStyle w:val="TableTextNumbersContinued"/>
            </w:pPr>
          </w:p>
          <w:p w14:paraId="42640955" w14:textId="77777777" w:rsidR="002A21AE" w:rsidRDefault="00913F95" w:rsidP="00913F95">
            <w:pPr>
              <w:pStyle w:val="TableTextNumbersContinued"/>
            </w:pPr>
            <w:r>
              <w:t xml:space="preserve">Click </w:t>
            </w:r>
            <w:r w:rsidRPr="00913F95">
              <w:rPr>
                <w:b/>
              </w:rPr>
              <w:t>OK</w:t>
            </w:r>
            <w:r>
              <w:t xml:space="preserve"> to save</w:t>
            </w:r>
            <w:r w:rsidR="002A21AE">
              <w:t>.</w:t>
            </w:r>
          </w:p>
        </w:tc>
        <w:tc>
          <w:tcPr>
            <w:tcW w:w="6120" w:type="dxa"/>
            <w:tcBorders>
              <w:top w:val="single" w:sz="4" w:space="0" w:color="auto"/>
              <w:left w:val="single" w:sz="4" w:space="0" w:color="auto"/>
              <w:bottom w:val="single" w:sz="4" w:space="0" w:color="auto"/>
              <w:right w:val="single" w:sz="4" w:space="0" w:color="auto"/>
            </w:tcBorders>
          </w:tcPr>
          <w:p w14:paraId="12C6E024" w14:textId="77777777" w:rsidR="002A21AE" w:rsidRDefault="002A21AE">
            <w:pPr>
              <w:pStyle w:val="TableTextBullet"/>
            </w:pPr>
            <w:r>
              <w:t>Saves the new pooled unit.</w:t>
            </w:r>
          </w:p>
          <w:p w14:paraId="72918BE2" w14:textId="77777777" w:rsidR="002A21AE" w:rsidRDefault="002A21AE">
            <w:pPr>
              <w:pStyle w:val="TableTextBullet"/>
            </w:pPr>
            <w:r>
              <w:t>Updates the status of each participant unit to “modified.”</w:t>
            </w:r>
          </w:p>
          <w:p w14:paraId="54B04FE4" w14:textId="77777777" w:rsidR="002A21AE" w:rsidRDefault="00EE2911" w:rsidP="00EE2911">
            <w:pPr>
              <w:pStyle w:val="TableTextBullet"/>
              <w:tabs>
                <w:tab w:val="clear" w:pos="288"/>
              </w:tabs>
            </w:pPr>
            <w:r>
              <w:t>Records the unit ID of the target unit on the record of the original unit.</w:t>
            </w:r>
          </w:p>
          <w:p w14:paraId="0AF5C229" w14:textId="77777777" w:rsidR="002A21AE" w:rsidRDefault="002A21AE">
            <w:pPr>
              <w:pStyle w:val="TableTextBullet"/>
            </w:pPr>
            <w:r>
              <w:t>Prompts the user to modify another unit.</w:t>
            </w:r>
          </w:p>
          <w:p w14:paraId="11265AB1" w14:textId="77777777" w:rsidR="00E92B60" w:rsidRDefault="00E92B60" w:rsidP="00E92B60">
            <w:pPr>
              <w:pStyle w:val="TableTextBullet"/>
              <w:tabs>
                <w:tab w:val="clear" w:pos="288"/>
              </w:tabs>
            </w:pPr>
            <w:r>
              <w:t>Saves only the technologist name and the date and time the label was verified. When the user indicates that a new label applied fails to complete the verification process, releases the assignment, quarantines the unit, and captures details for inclusion in an Exception Report (exception type: target product label failed checks).</w:t>
            </w:r>
          </w:p>
        </w:tc>
      </w:tr>
      <w:tr w:rsidR="002A21AE" w14:paraId="4EDF2937" w14:textId="77777777">
        <w:tc>
          <w:tcPr>
            <w:tcW w:w="3240" w:type="dxa"/>
            <w:tcBorders>
              <w:top w:val="single" w:sz="4" w:space="0" w:color="auto"/>
              <w:left w:val="single" w:sz="4" w:space="0" w:color="auto"/>
              <w:bottom w:val="single" w:sz="4" w:space="0" w:color="auto"/>
              <w:right w:val="single" w:sz="4" w:space="0" w:color="auto"/>
            </w:tcBorders>
          </w:tcPr>
          <w:p w14:paraId="38244654" w14:textId="3D6435BE" w:rsidR="002A21AE" w:rsidRDefault="002A21AE">
            <w:pPr>
              <w:pStyle w:val="TableTextNumbers"/>
            </w:pPr>
            <w:r>
              <w:t xml:space="preserve">Repeat Steps </w:t>
            </w:r>
            <w:r w:rsidR="006E5C1E">
              <w:t>2</w:t>
            </w:r>
            <w:r w:rsidR="004F5589">
              <w:t xml:space="preserve"> through </w:t>
            </w:r>
            <w:r w:rsidR="00047C63">
              <w:t>10</w:t>
            </w:r>
            <w:r>
              <w:t xml:space="preserve"> to modify another unit</w:t>
            </w:r>
            <w:r w:rsidR="00576D72">
              <w:t>,</w:t>
            </w:r>
            <w:r>
              <w:t xml:space="preserve">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62AAD5F6" w14:textId="77777777" w:rsidR="002A21AE" w:rsidRDefault="002A21AE">
            <w:pPr>
              <w:pStyle w:val="TableText"/>
            </w:pPr>
          </w:p>
        </w:tc>
      </w:tr>
    </w:tbl>
    <w:p w14:paraId="58D894AB" w14:textId="77777777" w:rsidR="002A21AE" w:rsidRDefault="009F1B54">
      <w:pPr>
        <w:pStyle w:val="Heading3"/>
      </w:pPr>
      <w:bookmarkStart w:id="322" w:name="_Toc94349350"/>
      <w:r>
        <w:br w:type="page"/>
      </w:r>
      <w:bookmarkStart w:id="323" w:name="_Toc149064128"/>
      <w:r w:rsidR="003E28C1">
        <w:t xml:space="preserve">Add and/or </w:t>
      </w:r>
      <w:r w:rsidR="002A21AE">
        <w:t>Remove Units from a Pool</w:t>
      </w:r>
      <w:bookmarkEnd w:id="323"/>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Add/Remove Units from a Pool</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UC_26</w:t>
      </w:r>
      <w:bookmarkEnd w:id="322"/>
    </w:p>
    <w:p w14:paraId="07CC3AAB" w14:textId="77777777" w:rsidR="002A21AE" w:rsidRDefault="002A21AE" w:rsidP="00FA7E65">
      <w:pPr>
        <w:pStyle w:val="BodyText"/>
      </w:pPr>
      <w:r>
        <w:t xml:space="preserve">The user selects a pooled unit to add and/or remove some of the participants. </w:t>
      </w:r>
    </w:p>
    <w:p w14:paraId="40F35DBB" w14:textId="77777777" w:rsidR="002A21AE" w:rsidRDefault="002A21AE">
      <w:pPr>
        <w:pStyle w:val="Heading4"/>
      </w:pPr>
      <w:bookmarkStart w:id="324" w:name="_Toc94349351"/>
      <w:r>
        <w:t>Assumptions</w:t>
      </w:r>
      <w:bookmarkEnd w:id="324"/>
    </w:p>
    <w:p w14:paraId="535F9DD5" w14:textId="77777777" w:rsidR="002A21AE" w:rsidRDefault="002A21AE">
      <w:pPr>
        <w:pStyle w:val="ListBullet"/>
      </w:pPr>
      <w:r>
        <w:t>See Modify Units.</w:t>
      </w:r>
    </w:p>
    <w:p w14:paraId="1636D87C" w14:textId="77777777" w:rsidR="002A21AE" w:rsidRDefault="002A21AE">
      <w:pPr>
        <w:pStyle w:val="Heading4"/>
      </w:pPr>
      <w:bookmarkStart w:id="325" w:name="_Toc94349352"/>
      <w:r>
        <w:t>Outcome</w:t>
      </w:r>
      <w:bookmarkEnd w:id="325"/>
    </w:p>
    <w:p w14:paraId="511BDA4C" w14:textId="77777777" w:rsidR="002A21AE" w:rsidRDefault="002A21AE">
      <w:pPr>
        <w:pStyle w:val="ListBullet"/>
      </w:pPr>
      <w:r>
        <w:t>See Modify Units.</w:t>
      </w:r>
    </w:p>
    <w:p w14:paraId="349279DD" w14:textId="77777777" w:rsidR="002A21AE" w:rsidRDefault="002A21AE">
      <w:pPr>
        <w:pStyle w:val="Heading4"/>
      </w:pPr>
      <w:bookmarkStart w:id="326" w:name="_Toc94349353"/>
      <w:r>
        <w:t>Limitations and Restrictions</w:t>
      </w:r>
      <w:bookmarkEnd w:id="326"/>
    </w:p>
    <w:p w14:paraId="7259EE78" w14:textId="77777777" w:rsidR="002A21AE" w:rsidRDefault="002A21AE">
      <w:pPr>
        <w:pStyle w:val="ListBullet"/>
      </w:pPr>
      <w:r>
        <w:t>See Modify Units.</w:t>
      </w:r>
    </w:p>
    <w:p w14:paraId="7F1E73F7" w14:textId="77777777" w:rsidR="002A21AE" w:rsidRDefault="002A21AE">
      <w:pPr>
        <w:pStyle w:val="Heading4"/>
      </w:pPr>
      <w:bookmarkStart w:id="327" w:name="_Toc94349354"/>
      <w:r>
        <w:t>Additional Information</w:t>
      </w:r>
      <w:bookmarkEnd w:id="327"/>
    </w:p>
    <w:p w14:paraId="4E53CD08" w14:textId="77777777" w:rsidR="002A21AE" w:rsidRDefault="00662057">
      <w:pPr>
        <w:pStyle w:val="ListBullet"/>
      </w:pPr>
      <w:r>
        <w:t>None</w:t>
      </w:r>
      <w:r w:rsidR="002A21AE">
        <w:t>.</w:t>
      </w:r>
    </w:p>
    <w:p w14:paraId="7FED80F2" w14:textId="77777777" w:rsidR="002A21AE" w:rsidRDefault="002A21AE">
      <w:pPr>
        <w:pStyle w:val="Heading4"/>
      </w:pPr>
      <w:bookmarkStart w:id="328" w:name="_Toc94349355"/>
      <w:r>
        <w:t>User Roles with Access to This Option</w:t>
      </w:r>
      <w:bookmarkEnd w:id="328"/>
    </w:p>
    <w:p w14:paraId="5578CA56" w14:textId="77777777" w:rsidR="005663D0" w:rsidRDefault="005663D0" w:rsidP="001A3179">
      <w:pPr>
        <w:pStyle w:val="Roles"/>
        <w:rPr>
          <w:rFonts w:ascii="Wingdings 3" w:hAnsi="Wingdings 3" w:cs="Wingdings"/>
        </w:rPr>
      </w:pPr>
      <w:r w:rsidRPr="00EC7489">
        <w:rPr>
          <w:rFonts w:ascii="Wingdings 3" w:hAnsi="Wingdings 3" w:cs="Wingdings"/>
        </w:rPr>
        <w:t></w:t>
      </w:r>
      <w:r w:rsidRPr="00EC7489">
        <w:rPr>
          <w:rFonts w:ascii="Wingdings 3" w:hAnsi="Wingdings 3" w:cs="Wingdings"/>
        </w:rPr>
        <w:t></w:t>
      </w:r>
      <w:r>
        <w:t xml:space="preserve"> Enhanced Technologist (add/remove prior to patient associations) </w:t>
      </w:r>
    </w:p>
    <w:p w14:paraId="15F719FD" w14:textId="77777777" w:rsidR="002A21AE" w:rsidRDefault="001A3179" w:rsidP="001A3179">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Traditional Supervisor</w:t>
      </w:r>
      <w:r w:rsidR="005663D0">
        <w:t xml:space="preserve"> (add/remove with patient associations)</w:t>
      </w:r>
    </w:p>
    <w:p w14:paraId="43ACC318" w14:textId="77777777" w:rsidR="002A21AE" w:rsidRDefault="002A21AE">
      <w:pPr>
        <w:pStyle w:val="Heading4"/>
        <w:rPr>
          <w:rFonts w:ascii="Times New Roman" w:hAnsi="Times New Roman"/>
          <w:bCs/>
          <w:i/>
          <w:iCs/>
          <w:sz w:val="24"/>
        </w:rPr>
      </w:pPr>
      <w:bookmarkStart w:id="329" w:name="_Toc94349356"/>
      <w:bookmarkStart w:id="330" w:name="OLE_LINK24"/>
      <w:r>
        <w:t>Add/Remove Units from a Pool</w:t>
      </w:r>
      <w:bookmarkEnd w:id="329"/>
      <w:bookmarkEnd w:id="330"/>
    </w:p>
    <w:p w14:paraId="55C554CC" w14:textId="77777777" w:rsidR="002A21AE" w:rsidRDefault="002A21AE" w:rsidP="00FA7E65">
      <w:pPr>
        <w:pStyle w:val="BodyText"/>
      </w:pPr>
      <w:r>
        <w:t>The user adds or deletes units to or from a pool.</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08"/>
      </w:tblGrid>
      <w:tr w:rsidR="002A21AE" w14:paraId="681361CE" w14:textId="77777777">
        <w:trPr>
          <w:tblHeader/>
        </w:trPr>
        <w:tc>
          <w:tcPr>
            <w:tcW w:w="3240" w:type="dxa"/>
            <w:tcBorders>
              <w:top w:val="single" w:sz="4" w:space="0" w:color="auto"/>
              <w:left w:val="single" w:sz="4" w:space="0" w:color="auto"/>
              <w:bottom w:val="single" w:sz="4" w:space="0" w:color="auto"/>
              <w:right w:val="single" w:sz="4" w:space="0" w:color="auto"/>
            </w:tcBorders>
            <w:shd w:val="clear" w:color="auto" w:fill="C0C0C0"/>
            <w:vAlign w:val="bottom"/>
          </w:tcPr>
          <w:p w14:paraId="0E52F13A" w14:textId="77777777" w:rsidR="002A21AE" w:rsidRDefault="002A21AE">
            <w:pPr>
              <w:pStyle w:val="TableText"/>
              <w:rPr>
                <w:b/>
              </w:rPr>
            </w:pPr>
            <w:r>
              <w:rPr>
                <w:b/>
              </w:rPr>
              <w:t>User Action</w:t>
            </w:r>
          </w:p>
        </w:tc>
        <w:tc>
          <w:tcPr>
            <w:tcW w:w="6108" w:type="dxa"/>
            <w:tcBorders>
              <w:top w:val="single" w:sz="4" w:space="0" w:color="auto"/>
              <w:left w:val="single" w:sz="4" w:space="0" w:color="auto"/>
              <w:bottom w:val="single" w:sz="4" w:space="0" w:color="auto"/>
              <w:right w:val="single" w:sz="4" w:space="0" w:color="auto"/>
            </w:tcBorders>
            <w:shd w:val="clear" w:color="auto" w:fill="C0C0C0"/>
            <w:vAlign w:val="bottom"/>
          </w:tcPr>
          <w:p w14:paraId="1EFCECC1" w14:textId="77777777" w:rsidR="002A21AE" w:rsidRDefault="002A21AE">
            <w:pPr>
              <w:pStyle w:val="TableText"/>
              <w:rPr>
                <w:b/>
              </w:rPr>
            </w:pPr>
            <w:r>
              <w:rPr>
                <w:b/>
              </w:rPr>
              <w:t>VBECS</w:t>
            </w:r>
          </w:p>
        </w:tc>
      </w:tr>
      <w:tr w:rsidR="002A21AE" w14:paraId="614EF6E3" w14:textId="77777777">
        <w:tc>
          <w:tcPr>
            <w:tcW w:w="3240" w:type="dxa"/>
          </w:tcPr>
          <w:p w14:paraId="4A9C16CB" w14:textId="77777777" w:rsidR="002A21AE" w:rsidRDefault="002A21AE">
            <w:pPr>
              <w:pStyle w:val="TableTextNumbers"/>
            </w:pPr>
            <w:r>
              <w:t xml:space="preserve">Select </w:t>
            </w:r>
            <w:r>
              <w:rPr>
                <w:b/>
              </w:rPr>
              <w:t>Blood Units</w:t>
            </w:r>
            <w:r>
              <w:t xml:space="preserve"> from the main menu. </w:t>
            </w:r>
          </w:p>
          <w:p w14:paraId="6123465B" w14:textId="77777777" w:rsidR="002A21AE" w:rsidRDefault="002A21AE">
            <w:pPr>
              <w:pStyle w:val="TableTextNumbersContinued"/>
            </w:pPr>
          </w:p>
          <w:p w14:paraId="214EFE62" w14:textId="77777777" w:rsidR="002A21AE" w:rsidRDefault="002A21AE">
            <w:pPr>
              <w:pStyle w:val="TableTextNumbersContinued"/>
            </w:pPr>
            <w:r>
              <w:t xml:space="preserve">Select </w:t>
            </w:r>
            <w:r>
              <w:rPr>
                <w:b/>
              </w:rPr>
              <w:t>Modify Units</w:t>
            </w:r>
            <w:r>
              <w:t>.</w:t>
            </w:r>
          </w:p>
        </w:tc>
        <w:tc>
          <w:tcPr>
            <w:tcW w:w="6108" w:type="dxa"/>
          </w:tcPr>
          <w:p w14:paraId="6E81A999" w14:textId="77777777" w:rsidR="002A21AE" w:rsidRDefault="002A21AE">
            <w:pPr>
              <w:pStyle w:val="TableTextBullet"/>
            </w:pPr>
            <w:r>
              <w:t>Displays options for processing blood units.</w:t>
            </w:r>
          </w:p>
          <w:p w14:paraId="7F545507" w14:textId="77777777" w:rsidR="002A21AE" w:rsidRDefault="002A21AE">
            <w:pPr>
              <w:pStyle w:val="TableTextBullet"/>
            </w:pPr>
            <w:r>
              <w:t>Displays valid modification types and allows the user to select an option.</w:t>
            </w:r>
          </w:p>
        </w:tc>
      </w:tr>
      <w:tr w:rsidR="002A21AE" w14:paraId="08350CCA" w14:textId="77777777">
        <w:tc>
          <w:tcPr>
            <w:tcW w:w="3240" w:type="dxa"/>
          </w:tcPr>
          <w:p w14:paraId="2D623A5B" w14:textId="77777777" w:rsidR="002A21AE" w:rsidRDefault="002A21AE">
            <w:pPr>
              <w:pStyle w:val="TableTextNumbers"/>
            </w:pPr>
            <w:r>
              <w:t xml:space="preserve">Click the </w:t>
            </w:r>
            <w:r>
              <w:rPr>
                <w:b/>
              </w:rPr>
              <w:t xml:space="preserve">Add/Remove Units from a Pool </w:t>
            </w:r>
            <w:r w:rsidRPr="00BF2E41">
              <w:t>radio button</w:t>
            </w:r>
            <w:r>
              <w:t>.</w:t>
            </w:r>
          </w:p>
          <w:p w14:paraId="2C65915F" w14:textId="77777777" w:rsidR="002A21AE" w:rsidRDefault="002A21AE">
            <w:pPr>
              <w:pStyle w:val="TableTextNumbersContinued"/>
            </w:pPr>
          </w:p>
          <w:p w14:paraId="4F86BAF5" w14:textId="77777777" w:rsidR="002A21AE" w:rsidRDefault="002A21AE">
            <w:pPr>
              <w:pStyle w:val="TableTextNumbersContinued"/>
            </w:pPr>
            <w:r>
              <w:t xml:space="preserve">Click </w:t>
            </w:r>
            <w:r>
              <w:rPr>
                <w:b/>
              </w:rPr>
              <w:t>OK</w:t>
            </w:r>
            <w:r>
              <w:t>.</w:t>
            </w:r>
          </w:p>
        </w:tc>
        <w:tc>
          <w:tcPr>
            <w:tcW w:w="6108" w:type="dxa"/>
          </w:tcPr>
          <w:p w14:paraId="7EBF33D9" w14:textId="77777777" w:rsidR="002A21AE" w:rsidRDefault="002A21AE">
            <w:pPr>
              <w:pStyle w:val="TableTextBullet"/>
              <w:tabs>
                <w:tab w:val="num" w:pos="360"/>
              </w:tabs>
            </w:pPr>
            <w:r>
              <w:t>Allows the user to search for a pooled unit.</w:t>
            </w:r>
          </w:p>
        </w:tc>
      </w:tr>
      <w:tr w:rsidR="002A21AE" w14:paraId="0A66B1D5" w14:textId="77777777">
        <w:tc>
          <w:tcPr>
            <w:tcW w:w="3240" w:type="dxa"/>
            <w:tcBorders>
              <w:top w:val="single" w:sz="4" w:space="0" w:color="auto"/>
              <w:left w:val="single" w:sz="4" w:space="0" w:color="auto"/>
              <w:bottom w:val="single" w:sz="4" w:space="0" w:color="auto"/>
              <w:right w:val="single" w:sz="4" w:space="0" w:color="auto"/>
            </w:tcBorders>
          </w:tcPr>
          <w:p w14:paraId="763845B8" w14:textId="77777777" w:rsidR="002A21AE" w:rsidRDefault="002A21AE">
            <w:pPr>
              <w:pStyle w:val="TableTextNumbers"/>
            </w:pPr>
            <w:r>
              <w:t>Scan, enter, or select the ID and product code for a pooled unit.</w:t>
            </w:r>
          </w:p>
        </w:tc>
        <w:tc>
          <w:tcPr>
            <w:tcW w:w="6108" w:type="dxa"/>
            <w:tcBorders>
              <w:top w:val="single" w:sz="4" w:space="0" w:color="auto"/>
              <w:left w:val="single" w:sz="4" w:space="0" w:color="auto"/>
              <w:bottom w:val="single" w:sz="4" w:space="0" w:color="auto"/>
              <w:right w:val="single" w:sz="4" w:space="0" w:color="auto"/>
            </w:tcBorders>
          </w:tcPr>
          <w:p w14:paraId="67D7A7B7" w14:textId="77777777" w:rsidR="002A21AE" w:rsidRDefault="002A21AE">
            <w:pPr>
              <w:pStyle w:val="TableTextBullet"/>
              <w:tabs>
                <w:tab w:val="clear" w:pos="288"/>
                <w:tab w:val="num" w:pos="360"/>
              </w:tabs>
            </w:pPr>
            <w:r>
              <w:t>Displays current data for the selected unit.</w:t>
            </w:r>
          </w:p>
          <w:p w14:paraId="574A0BB1" w14:textId="77777777" w:rsidR="002A21AE" w:rsidRDefault="002A21AE">
            <w:pPr>
              <w:pStyle w:val="TableText"/>
            </w:pPr>
          </w:p>
          <w:p w14:paraId="4EAF7AF0" w14:textId="2F4B2F4B" w:rsidR="002A21AE" w:rsidRDefault="002A21AE">
            <w:pPr>
              <w:pStyle w:val="TableText"/>
              <w:rPr>
                <w:b/>
                <w:bCs/>
              </w:rPr>
            </w:pPr>
            <w:r>
              <w:rPr>
                <w:b/>
                <w:bCs/>
              </w:rPr>
              <w:t>NOTES</w:t>
            </w:r>
          </w:p>
          <w:p w14:paraId="3D0C29C5" w14:textId="77777777" w:rsidR="002A21AE" w:rsidRDefault="002A21AE">
            <w:pPr>
              <w:pStyle w:val="NotesText"/>
            </w:pPr>
          </w:p>
          <w:p w14:paraId="16AB4994" w14:textId="77777777" w:rsidR="002A21AE" w:rsidRDefault="002A21AE">
            <w:pPr>
              <w:pStyle w:val="NotesText"/>
            </w:pPr>
            <w:r>
              <w:rPr>
                <w:rFonts w:cs="Arial"/>
                <w:vanish/>
              </w:rPr>
              <w:t xml:space="preserve">BR_24.21 </w:t>
            </w:r>
            <w:r>
              <w:t>The user must select a unit that was previously pooled within the user’s division.</w:t>
            </w:r>
          </w:p>
          <w:p w14:paraId="44327288" w14:textId="77777777" w:rsidR="002A21AE" w:rsidRDefault="002A21AE">
            <w:pPr>
              <w:pStyle w:val="NotesText"/>
            </w:pPr>
          </w:p>
          <w:p w14:paraId="5E6094FC" w14:textId="77777777" w:rsidR="002A21AE" w:rsidRDefault="002A21AE">
            <w:pPr>
              <w:pStyle w:val="NotesText"/>
            </w:pPr>
            <w:r>
              <w:rPr>
                <w:rFonts w:cs="Arial"/>
                <w:vanish/>
              </w:rPr>
              <w:t xml:space="preserve">BR_24.30 </w:t>
            </w:r>
            <w:r>
              <w:t>The user may edit a pooled unit only once.</w:t>
            </w:r>
          </w:p>
          <w:p w14:paraId="3A406F9F" w14:textId="77777777" w:rsidR="002A21AE" w:rsidRDefault="002A21AE">
            <w:pPr>
              <w:pStyle w:val="NotesText"/>
            </w:pPr>
          </w:p>
          <w:p w14:paraId="55070C10" w14:textId="77777777" w:rsidR="002A21AE" w:rsidRDefault="00D51EEA">
            <w:pPr>
              <w:pStyle w:val="NotesText"/>
            </w:pPr>
            <w:r w:rsidRPr="00896F17">
              <w:rPr>
                <w:rStyle w:val="BullhornChar"/>
              </w:rPr>
              <w:t></w:t>
            </w:r>
            <w:r>
              <w:rPr>
                <w:color w:val="000000"/>
                <w:szCs w:val="18"/>
              </w:rPr>
              <w:t xml:space="preserve"> </w:t>
            </w:r>
            <w:r>
              <w:rPr>
                <w:rFonts w:cs="Arial"/>
                <w:vanish/>
              </w:rPr>
              <w:t xml:space="preserve">BR_70.06 </w:t>
            </w:r>
            <w:r>
              <w:t xml:space="preserve">VBECS does not list units (for selection) with a final status. When a user enters a unit with a final status, VBECS </w:t>
            </w:r>
            <w:r w:rsidR="007826D2">
              <w:t>alerts</w:t>
            </w:r>
            <w:r>
              <w:t xml:space="preserve"> the user and clears the screen. The user may select another unit.</w:t>
            </w:r>
          </w:p>
        </w:tc>
      </w:tr>
      <w:tr w:rsidR="002A21AE" w14:paraId="2915EB0B" w14:textId="77777777" w:rsidTr="004A7B44">
        <w:trPr>
          <w:cantSplit/>
        </w:trPr>
        <w:tc>
          <w:tcPr>
            <w:tcW w:w="3240" w:type="dxa"/>
            <w:tcBorders>
              <w:top w:val="single" w:sz="4" w:space="0" w:color="auto"/>
              <w:left w:val="single" w:sz="4" w:space="0" w:color="auto"/>
              <w:bottom w:val="single" w:sz="4" w:space="0" w:color="auto"/>
              <w:right w:val="single" w:sz="4" w:space="0" w:color="auto"/>
            </w:tcBorders>
          </w:tcPr>
          <w:p w14:paraId="20C10110" w14:textId="77777777" w:rsidR="002A21AE" w:rsidRDefault="002A21AE">
            <w:pPr>
              <w:pStyle w:val="TableTextNumbers"/>
            </w:pPr>
            <w:r>
              <w:t>Review the existing pooled unit data.</w:t>
            </w:r>
          </w:p>
          <w:p w14:paraId="27527DA2" w14:textId="77777777" w:rsidR="002A21AE" w:rsidRDefault="002A21AE">
            <w:pPr>
              <w:pStyle w:val="TableTextNumbersContinued"/>
            </w:pPr>
          </w:p>
          <w:p w14:paraId="22AA79E2" w14:textId="77777777" w:rsidR="002A21AE" w:rsidRDefault="00A31A8A">
            <w:pPr>
              <w:pStyle w:val="TableTextNumbersContinued"/>
            </w:pPr>
            <w:r>
              <w:t>Select one or more units to add to the pool</w:t>
            </w:r>
            <w:r w:rsidR="002A21AE">
              <w:t>.</w:t>
            </w:r>
          </w:p>
          <w:p w14:paraId="01129844" w14:textId="77777777" w:rsidR="00A31A8A" w:rsidRDefault="00A31A8A">
            <w:pPr>
              <w:pStyle w:val="TableTextNumbersContinued"/>
            </w:pPr>
          </w:p>
          <w:p w14:paraId="41680EEB" w14:textId="77777777" w:rsidR="002A21AE" w:rsidRDefault="00A31A8A">
            <w:pPr>
              <w:pStyle w:val="TableTextNumbersContinued"/>
            </w:pPr>
            <w:r>
              <w:t>Clear one or more check boxes to remove units from the pool.</w:t>
            </w:r>
          </w:p>
        </w:tc>
        <w:tc>
          <w:tcPr>
            <w:tcW w:w="6108" w:type="dxa"/>
            <w:tcBorders>
              <w:top w:val="single" w:sz="4" w:space="0" w:color="auto"/>
              <w:left w:val="single" w:sz="4" w:space="0" w:color="auto"/>
              <w:bottom w:val="single" w:sz="4" w:space="0" w:color="auto"/>
              <w:right w:val="single" w:sz="4" w:space="0" w:color="auto"/>
            </w:tcBorders>
          </w:tcPr>
          <w:p w14:paraId="50111946" w14:textId="77777777" w:rsidR="002A21AE" w:rsidRDefault="002A21AE">
            <w:pPr>
              <w:pStyle w:val="TableTextBullet"/>
              <w:tabs>
                <w:tab w:val="num" w:pos="360"/>
              </w:tabs>
            </w:pPr>
            <w:r>
              <w:t>Allows the user to select one or more units to add to or remove from the pool.</w:t>
            </w:r>
          </w:p>
          <w:p w14:paraId="3B0377CF" w14:textId="77777777" w:rsidR="002A21AE" w:rsidRDefault="002A21AE">
            <w:pPr>
              <w:pStyle w:val="TableText"/>
            </w:pPr>
          </w:p>
          <w:p w14:paraId="0F1810D3" w14:textId="72621D7F" w:rsidR="002A21AE" w:rsidRDefault="002A21AE">
            <w:pPr>
              <w:pStyle w:val="TableText"/>
              <w:rPr>
                <w:b/>
                <w:bCs/>
              </w:rPr>
            </w:pPr>
            <w:r>
              <w:rPr>
                <w:b/>
                <w:bCs/>
              </w:rPr>
              <w:t>NOTES</w:t>
            </w:r>
          </w:p>
          <w:p w14:paraId="294A3337" w14:textId="77777777" w:rsidR="002A21AE" w:rsidRDefault="002A21AE">
            <w:pPr>
              <w:pStyle w:val="NotesText"/>
            </w:pPr>
          </w:p>
          <w:p w14:paraId="1E9B802D" w14:textId="77777777" w:rsidR="002A21AE" w:rsidRDefault="002A21AE">
            <w:pPr>
              <w:pStyle w:val="NotesText"/>
            </w:pPr>
            <w:r>
              <w:rPr>
                <w:rFonts w:cs="Arial"/>
                <w:vanish/>
              </w:rPr>
              <w:t xml:space="preserve">BR_24.27 </w:t>
            </w:r>
            <w:r>
              <w:t>The user may not remove all of the original units.</w:t>
            </w:r>
          </w:p>
          <w:p w14:paraId="4E9104DB" w14:textId="77777777" w:rsidR="002A21AE" w:rsidRDefault="002A21AE">
            <w:pPr>
              <w:pStyle w:val="NotesText"/>
            </w:pPr>
          </w:p>
          <w:p w14:paraId="2C741C7A" w14:textId="77777777" w:rsidR="002A21AE" w:rsidRDefault="002A21AE">
            <w:pPr>
              <w:pStyle w:val="NotesText"/>
            </w:pPr>
            <w:r w:rsidRPr="009522A6">
              <w:rPr>
                <w:rFonts w:cs="Arial"/>
                <w:vanish/>
                <w:color w:val="0000FF"/>
              </w:rPr>
              <w:t>BR_24.28</w:t>
            </w:r>
            <w:r>
              <w:rPr>
                <w:rFonts w:cs="Arial"/>
                <w:vanish/>
              </w:rPr>
              <w:t xml:space="preserve"> </w:t>
            </w:r>
            <w:r>
              <w:t>The user may add only units with the same product and donation types as those of the previously pooled unit.</w:t>
            </w:r>
          </w:p>
          <w:p w14:paraId="7D7542C4" w14:textId="77777777" w:rsidR="0099483E" w:rsidRDefault="0099483E">
            <w:pPr>
              <w:pStyle w:val="NotesText"/>
            </w:pPr>
          </w:p>
          <w:p w14:paraId="168F603A" w14:textId="77777777" w:rsidR="0099483E" w:rsidRPr="0099483E" w:rsidRDefault="003133AE" w:rsidP="0099483E">
            <w:pPr>
              <w:pStyle w:val="NotesText"/>
            </w:pPr>
            <w:r w:rsidRPr="003133AE">
              <w:rPr>
                <w:vanish/>
              </w:rPr>
              <w:t xml:space="preserve">BR_24.28 </w:t>
            </w:r>
            <w:r w:rsidR="0099483E" w:rsidRPr="0099483E">
              <w:t>Properties that may be changed based on the edit of the target pool are:</w:t>
            </w:r>
          </w:p>
          <w:p w14:paraId="156B50D6" w14:textId="77777777" w:rsidR="0099483E" w:rsidRDefault="0099483E" w:rsidP="00925CAD">
            <w:pPr>
              <w:pStyle w:val="TableText"/>
              <w:numPr>
                <w:ilvl w:val="0"/>
                <w:numId w:val="67"/>
              </w:numPr>
              <w:ind w:left="1440"/>
              <w:rPr>
                <w:rFonts w:cs="Arial"/>
                <w:szCs w:val="18"/>
              </w:rPr>
            </w:pPr>
            <w:r>
              <w:rPr>
                <w:rFonts w:cs="Arial"/>
                <w:szCs w:val="18"/>
              </w:rPr>
              <w:t xml:space="preserve">Patient Assignment </w:t>
            </w:r>
          </w:p>
          <w:p w14:paraId="5108EB52" w14:textId="77777777" w:rsidR="0099483E" w:rsidRDefault="0099483E" w:rsidP="00925CAD">
            <w:pPr>
              <w:pStyle w:val="TableText"/>
              <w:numPr>
                <w:ilvl w:val="0"/>
                <w:numId w:val="67"/>
              </w:numPr>
              <w:ind w:left="1440"/>
              <w:rPr>
                <w:rFonts w:cs="Arial"/>
                <w:szCs w:val="18"/>
              </w:rPr>
            </w:pPr>
            <w:r>
              <w:rPr>
                <w:rFonts w:cs="Arial"/>
                <w:szCs w:val="18"/>
              </w:rPr>
              <w:t xml:space="preserve">ABO/RH </w:t>
            </w:r>
          </w:p>
          <w:p w14:paraId="5E3890DD" w14:textId="77777777" w:rsidR="0099483E" w:rsidRDefault="0099483E" w:rsidP="00925CAD">
            <w:pPr>
              <w:pStyle w:val="TableText"/>
              <w:numPr>
                <w:ilvl w:val="0"/>
                <w:numId w:val="67"/>
              </w:numPr>
              <w:ind w:left="1440"/>
              <w:rPr>
                <w:rFonts w:cs="Arial"/>
                <w:szCs w:val="18"/>
              </w:rPr>
            </w:pPr>
            <w:r>
              <w:rPr>
                <w:rFonts w:cs="Arial"/>
                <w:szCs w:val="18"/>
              </w:rPr>
              <w:t>Expiration date</w:t>
            </w:r>
          </w:p>
          <w:p w14:paraId="3B1A5397" w14:textId="77777777" w:rsidR="0099483E" w:rsidRDefault="0099483E" w:rsidP="00925CAD">
            <w:pPr>
              <w:pStyle w:val="TableText"/>
              <w:numPr>
                <w:ilvl w:val="0"/>
                <w:numId w:val="67"/>
              </w:numPr>
              <w:ind w:left="1440"/>
              <w:rPr>
                <w:rFonts w:cs="Arial"/>
                <w:szCs w:val="18"/>
              </w:rPr>
            </w:pPr>
            <w:r>
              <w:rPr>
                <w:rFonts w:cs="Arial"/>
                <w:szCs w:val="18"/>
              </w:rPr>
              <w:t xml:space="preserve">Volume </w:t>
            </w:r>
          </w:p>
          <w:p w14:paraId="7C059182" w14:textId="77777777" w:rsidR="0099483E" w:rsidRDefault="0099483E" w:rsidP="00925CAD">
            <w:pPr>
              <w:pStyle w:val="TableText"/>
              <w:numPr>
                <w:ilvl w:val="0"/>
                <w:numId w:val="67"/>
              </w:numPr>
              <w:ind w:left="1440"/>
              <w:rPr>
                <w:rFonts w:cs="Arial"/>
                <w:szCs w:val="18"/>
              </w:rPr>
            </w:pPr>
            <w:r>
              <w:rPr>
                <w:rFonts w:cs="Arial"/>
                <w:szCs w:val="18"/>
              </w:rPr>
              <w:t>CMV Negative indicator</w:t>
            </w:r>
          </w:p>
          <w:p w14:paraId="7CAC1744" w14:textId="77777777" w:rsidR="0099483E" w:rsidRDefault="0099483E" w:rsidP="00925CAD">
            <w:pPr>
              <w:pStyle w:val="TableText"/>
              <w:numPr>
                <w:ilvl w:val="0"/>
                <w:numId w:val="67"/>
              </w:numPr>
              <w:ind w:left="1440"/>
              <w:rPr>
                <w:rFonts w:cs="Arial"/>
                <w:szCs w:val="18"/>
              </w:rPr>
            </w:pPr>
            <w:r>
              <w:rPr>
                <w:rFonts w:cs="Arial"/>
                <w:szCs w:val="18"/>
              </w:rPr>
              <w:t>SC Negative indicator</w:t>
            </w:r>
          </w:p>
          <w:p w14:paraId="71059365" w14:textId="77777777" w:rsidR="0099483E" w:rsidRDefault="0099483E" w:rsidP="00925CAD">
            <w:pPr>
              <w:pStyle w:val="TableText"/>
              <w:numPr>
                <w:ilvl w:val="0"/>
                <w:numId w:val="67"/>
              </w:numPr>
              <w:ind w:left="1440"/>
              <w:rPr>
                <w:rFonts w:cs="Arial"/>
                <w:szCs w:val="18"/>
              </w:rPr>
            </w:pPr>
            <w:r>
              <w:rPr>
                <w:rFonts w:cs="Arial"/>
                <w:szCs w:val="18"/>
              </w:rPr>
              <w:t>Biohazardous indicator</w:t>
            </w:r>
          </w:p>
          <w:p w14:paraId="7DF48818" w14:textId="77777777" w:rsidR="0099483E" w:rsidRDefault="0099483E" w:rsidP="00C233B7">
            <w:pPr>
              <w:pStyle w:val="NotesText"/>
              <w:ind w:left="1440"/>
            </w:pPr>
            <w:r>
              <w:rPr>
                <w:rFonts w:cs="Arial"/>
                <w:szCs w:val="18"/>
              </w:rPr>
              <w:t>Required crossmatch if =</w:t>
            </w:r>
            <w:r w:rsidR="00C233B7">
              <w:rPr>
                <w:rFonts w:cs="Arial"/>
                <w:szCs w:val="18"/>
              </w:rPr>
              <w:t xml:space="preserve"> </w:t>
            </w:r>
            <w:r>
              <w:rPr>
                <w:rFonts w:cs="Arial"/>
                <w:szCs w:val="18"/>
              </w:rPr>
              <w:t>&gt; 2</w:t>
            </w:r>
            <w:r w:rsidR="00452A6C">
              <w:rPr>
                <w:rFonts w:cs="Arial"/>
                <w:szCs w:val="18"/>
              </w:rPr>
              <w:t xml:space="preserve"> </w:t>
            </w:r>
            <w:r w:rsidR="00C233B7">
              <w:rPr>
                <w:rFonts w:cs="Arial"/>
                <w:szCs w:val="18"/>
              </w:rPr>
              <w:t>mL</w:t>
            </w:r>
            <w:r>
              <w:rPr>
                <w:rFonts w:cs="Arial"/>
                <w:szCs w:val="18"/>
              </w:rPr>
              <w:t xml:space="preserve"> contamination changes</w:t>
            </w:r>
          </w:p>
        </w:tc>
      </w:tr>
      <w:tr w:rsidR="002A21AE" w14:paraId="1F6F5A8C" w14:textId="77777777">
        <w:tc>
          <w:tcPr>
            <w:tcW w:w="3240" w:type="dxa"/>
            <w:tcBorders>
              <w:top w:val="single" w:sz="4" w:space="0" w:color="auto"/>
              <w:left w:val="single" w:sz="4" w:space="0" w:color="auto"/>
              <w:bottom w:val="single" w:sz="4" w:space="0" w:color="auto"/>
              <w:right w:val="single" w:sz="4" w:space="0" w:color="auto"/>
            </w:tcBorders>
          </w:tcPr>
          <w:p w14:paraId="48E6D53E" w14:textId="532B154E" w:rsidR="002A21AE" w:rsidRDefault="002A21AE">
            <w:pPr>
              <w:pStyle w:val="TableTextNumbers"/>
            </w:pPr>
            <w:r>
              <w:t>Confirm to add the selected units to or remove them from the pool</w:t>
            </w:r>
            <w:r w:rsidR="007A0867">
              <w:t xml:space="preserve"> (</w:t>
            </w:r>
            <w:r w:rsidR="00EE455E">
              <w:t xml:space="preserve">Figure </w:t>
            </w:r>
            <w:r w:rsidR="00EE455E">
              <w:rPr>
                <w:noProof/>
              </w:rPr>
              <w:t>63</w:t>
            </w:r>
            <w:r w:rsidR="007A0867">
              <w:t>)</w:t>
            </w:r>
            <w:r>
              <w:t>.</w:t>
            </w:r>
          </w:p>
        </w:tc>
        <w:tc>
          <w:tcPr>
            <w:tcW w:w="6108" w:type="dxa"/>
            <w:tcBorders>
              <w:top w:val="single" w:sz="4" w:space="0" w:color="auto"/>
              <w:left w:val="single" w:sz="4" w:space="0" w:color="auto"/>
              <w:bottom w:val="single" w:sz="4" w:space="0" w:color="auto"/>
              <w:right w:val="single" w:sz="4" w:space="0" w:color="auto"/>
            </w:tcBorders>
          </w:tcPr>
          <w:p w14:paraId="5A8F99F7" w14:textId="77777777" w:rsidR="002A21AE" w:rsidRDefault="002A21AE">
            <w:pPr>
              <w:pStyle w:val="TableTextBullet"/>
              <w:tabs>
                <w:tab w:val="num" w:pos="360"/>
              </w:tabs>
            </w:pPr>
            <w:r>
              <w:t xml:space="preserve">Displays the updated pooled unit data. </w:t>
            </w:r>
          </w:p>
          <w:p w14:paraId="52128EE4" w14:textId="77777777" w:rsidR="002A21AE" w:rsidRDefault="002A21AE">
            <w:pPr>
              <w:pStyle w:val="TableTextBullet"/>
              <w:tabs>
                <w:tab w:val="num" w:pos="360"/>
              </w:tabs>
            </w:pPr>
            <w:r>
              <w:t xml:space="preserve">Requires the user to confirm to continue. </w:t>
            </w:r>
          </w:p>
          <w:p w14:paraId="2D00ABD4" w14:textId="77777777" w:rsidR="002A21AE" w:rsidRDefault="002A21AE">
            <w:pPr>
              <w:pStyle w:val="TableTextBullet"/>
              <w:tabs>
                <w:tab w:val="num" w:pos="360"/>
              </w:tabs>
            </w:pPr>
            <w:r>
              <w:t xml:space="preserve">Requires a comment. </w:t>
            </w:r>
          </w:p>
          <w:p w14:paraId="0DCCA62E" w14:textId="77777777" w:rsidR="002A21AE" w:rsidRDefault="002A21AE">
            <w:pPr>
              <w:pStyle w:val="TableText"/>
            </w:pPr>
          </w:p>
          <w:p w14:paraId="7F0FF518" w14:textId="39127564" w:rsidR="002A21AE" w:rsidRDefault="002A21AE">
            <w:pPr>
              <w:pStyle w:val="TableText"/>
              <w:rPr>
                <w:b/>
                <w:bCs/>
              </w:rPr>
            </w:pPr>
            <w:r>
              <w:rPr>
                <w:b/>
                <w:bCs/>
              </w:rPr>
              <w:t>NOTES</w:t>
            </w:r>
          </w:p>
          <w:p w14:paraId="223A9760" w14:textId="77777777" w:rsidR="002A21AE" w:rsidRDefault="002A21AE">
            <w:pPr>
              <w:pStyle w:val="NotesText"/>
            </w:pPr>
          </w:p>
          <w:p w14:paraId="3CCE08E1" w14:textId="77777777" w:rsidR="00552811" w:rsidRDefault="002A21AE" w:rsidP="00552811">
            <w:pPr>
              <w:pStyle w:val="NotesText"/>
              <w:rPr>
                <w:rFonts w:cs="Arial"/>
              </w:rPr>
            </w:pPr>
            <w:r w:rsidRPr="00552811">
              <w:rPr>
                <w:rFonts w:cs="Arial"/>
                <w:vanish/>
              </w:rPr>
              <w:t xml:space="preserve">BR_24.15 </w:t>
            </w:r>
            <w:r w:rsidRPr="00552811">
              <w:rPr>
                <w:rFonts w:cs="Arial"/>
              </w:rPr>
              <w:t xml:space="preserve">All units in a pool must be of the same </w:t>
            </w:r>
            <w:r w:rsidR="00552811" w:rsidRPr="00552811">
              <w:rPr>
                <w:rFonts w:cs="Arial"/>
              </w:rPr>
              <w:t>restriction</w:t>
            </w:r>
            <w:r w:rsidRPr="00552811">
              <w:rPr>
                <w:rFonts w:cs="Arial"/>
              </w:rPr>
              <w:t xml:space="preserve"> type (allogeneic, autologous, directed). </w:t>
            </w:r>
            <w:r w:rsidR="00552811" w:rsidRPr="00552811">
              <w:rPr>
                <w:rFonts w:cs="Arial"/>
              </w:rPr>
              <w:t>The specific donation type within the restriction type of the first unit selected for the pool is assigned to the target.</w:t>
            </w:r>
          </w:p>
          <w:p w14:paraId="473772C2" w14:textId="77777777" w:rsidR="00C45B80" w:rsidRPr="00552811" w:rsidRDefault="00C45B80" w:rsidP="00552811">
            <w:pPr>
              <w:pStyle w:val="NotesText"/>
              <w:rPr>
                <w:rFonts w:cs="Arial"/>
                <w:vanish/>
              </w:rPr>
            </w:pPr>
          </w:p>
          <w:p w14:paraId="353A6035" w14:textId="77777777" w:rsidR="002A21AE" w:rsidRDefault="002A21AE">
            <w:pPr>
              <w:pStyle w:val="NotesText"/>
            </w:pPr>
          </w:p>
          <w:p w14:paraId="1B89A207" w14:textId="77777777" w:rsidR="002A21AE" w:rsidRDefault="002A21AE">
            <w:pPr>
              <w:pStyle w:val="NotesText"/>
            </w:pPr>
            <w:r>
              <w:rPr>
                <w:rFonts w:cs="Arial"/>
                <w:vanish/>
              </w:rPr>
              <w:t xml:space="preserve">BR_24.24 </w:t>
            </w:r>
            <w:r>
              <w:t xml:space="preserve">For each individual unit removed from a pool, </w:t>
            </w:r>
            <w:r w:rsidR="00E93AC0">
              <w:t>the status is available</w:t>
            </w:r>
            <w:r>
              <w:t>.</w:t>
            </w:r>
          </w:p>
          <w:p w14:paraId="0A19B90B" w14:textId="77777777" w:rsidR="002A21AE" w:rsidRDefault="002A21AE">
            <w:pPr>
              <w:pStyle w:val="NotesText"/>
            </w:pPr>
          </w:p>
          <w:p w14:paraId="17DC8DF3" w14:textId="77777777" w:rsidR="002A21AE" w:rsidRDefault="002A21AE">
            <w:pPr>
              <w:pStyle w:val="NotesText"/>
            </w:pPr>
            <w:r>
              <w:t>When the unit</w:t>
            </w:r>
            <w:r w:rsidR="00FA7E65">
              <w:t>’</w:t>
            </w:r>
            <w:r>
              <w:t>s original expiration date and time is in the future, VBECS assigns units removed from the pool a status of “available.” When the unit</w:t>
            </w:r>
            <w:r w:rsidR="00FA7E65">
              <w:t>’</w:t>
            </w:r>
            <w:r>
              <w:t>s original expiration date and time is in the past, VBECS assigns units removed from the pool a status of “</w:t>
            </w:r>
            <w:r w:rsidR="0061366C">
              <w:t>available</w:t>
            </w:r>
            <w:r>
              <w:t>.”</w:t>
            </w:r>
          </w:p>
          <w:p w14:paraId="033E6A8A" w14:textId="77777777" w:rsidR="002A21AE" w:rsidRDefault="002A21AE">
            <w:pPr>
              <w:pStyle w:val="NotesText"/>
            </w:pPr>
          </w:p>
          <w:p w14:paraId="0C89D9A6" w14:textId="77777777" w:rsidR="002A21AE" w:rsidRDefault="002A21AE">
            <w:pPr>
              <w:pStyle w:val="NotesText"/>
            </w:pPr>
            <w:r w:rsidRPr="001051D0">
              <w:rPr>
                <w:rFonts w:cs="Arial"/>
                <w:vanish/>
                <w:color w:val="0000FF"/>
              </w:rPr>
              <w:t>BR_24.25</w:t>
            </w:r>
            <w:r>
              <w:rPr>
                <w:rFonts w:cs="Arial"/>
                <w:vanish/>
              </w:rPr>
              <w:t xml:space="preserve"> </w:t>
            </w:r>
            <w:r w:rsidR="00263B24" w:rsidRPr="00896F17">
              <w:rPr>
                <w:rStyle w:val="BullhornChar"/>
              </w:rPr>
              <w:t></w:t>
            </w:r>
            <w:r w:rsidR="00263B24">
              <w:rPr>
                <w:rFonts w:ascii="Webdings" w:hAnsi="Webdings"/>
              </w:rPr>
              <w:t></w:t>
            </w:r>
            <w:r w:rsidR="00263B24">
              <w:t>W</w:t>
            </w:r>
            <w:r>
              <w:t xml:space="preserve">hen </w:t>
            </w:r>
            <w:r w:rsidR="008553F6">
              <w:t xml:space="preserve">the user adds a unit to a pool and </w:t>
            </w:r>
            <w:r>
              <w:t xml:space="preserve">the </w:t>
            </w:r>
            <w:r w:rsidR="00991A9A">
              <w:t>unit expires before</w:t>
            </w:r>
            <w:r>
              <w:t xml:space="preserve"> the pool</w:t>
            </w:r>
            <w:r w:rsidR="00991A9A">
              <w:t xml:space="preserve"> expires</w:t>
            </w:r>
            <w:r>
              <w:t xml:space="preserve">, VBECS emits an audible alert, warns the user, and asks the user to continue or cancel. </w:t>
            </w:r>
            <w:r w:rsidR="00C26BE6">
              <w:rPr>
                <w:b/>
                <w:bCs/>
              </w:rPr>
              <w:t xml:space="preserve">Override </w:t>
            </w:r>
            <w:r>
              <w:t xml:space="preserve">requires a comment and VBECS captures details for inclusion in an Exception Report (exception type: expired unit modified). </w:t>
            </w:r>
            <w:r>
              <w:rPr>
                <w:b/>
                <w:bCs/>
              </w:rPr>
              <w:t>Cancel</w:t>
            </w:r>
            <w:r>
              <w:t xml:space="preserve"> clears the selected unit data and allows the user to select another unit to modify.</w:t>
            </w:r>
          </w:p>
        </w:tc>
      </w:tr>
      <w:tr w:rsidR="002A21AE" w14:paraId="78138C29" w14:textId="77777777">
        <w:tc>
          <w:tcPr>
            <w:tcW w:w="3240" w:type="dxa"/>
            <w:tcBorders>
              <w:top w:val="single" w:sz="4" w:space="0" w:color="auto"/>
              <w:left w:val="single" w:sz="4" w:space="0" w:color="auto"/>
              <w:bottom w:val="single" w:sz="4" w:space="0" w:color="auto"/>
              <w:right w:val="single" w:sz="4" w:space="0" w:color="auto"/>
            </w:tcBorders>
          </w:tcPr>
          <w:p w14:paraId="0DF181E6" w14:textId="77777777" w:rsidR="002A21AE" w:rsidRDefault="002A21AE">
            <w:pPr>
              <w:pStyle w:val="TableTextNumbers"/>
            </w:pPr>
            <w:r>
              <w:t>Review the entered data and save the updated pool record.</w:t>
            </w:r>
          </w:p>
        </w:tc>
        <w:tc>
          <w:tcPr>
            <w:tcW w:w="6108" w:type="dxa"/>
            <w:tcBorders>
              <w:top w:val="single" w:sz="4" w:space="0" w:color="auto"/>
              <w:left w:val="single" w:sz="4" w:space="0" w:color="auto"/>
              <w:bottom w:val="single" w:sz="4" w:space="0" w:color="auto"/>
              <w:right w:val="single" w:sz="4" w:space="0" w:color="auto"/>
            </w:tcBorders>
          </w:tcPr>
          <w:p w14:paraId="0510FF01" w14:textId="77777777" w:rsidR="002A21AE" w:rsidRDefault="002A21AE" w:rsidP="000C5C2A">
            <w:pPr>
              <w:pStyle w:val="TableTextBullet"/>
            </w:pPr>
            <w:r>
              <w:t xml:space="preserve">Saves the modified pooled unit. Updates the status of each added unit to “modified.” Updates the status of each removed unit. </w:t>
            </w:r>
            <w:r w:rsidR="000C5C2A">
              <w:t>Records the unit ID of the target unit on the record of the original unit.</w:t>
            </w:r>
            <w:r>
              <w:t xml:space="preserve"> </w:t>
            </w:r>
          </w:p>
        </w:tc>
      </w:tr>
      <w:tr w:rsidR="002A21AE" w14:paraId="43C60512" w14:textId="77777777">
        <w:tc>
          <w:tcPr>
            <w:tcW w:w="3240" w:type="dxa"/>
            <w:tcBorders>
              <w:top w:val="single" w:sz="4" w:space="0" w:color="auto"/>
              <w:left w:val="single" w:sz="4" w:space="0" w:color="auto"/>
              <w:bottom w:val="single" w:sz="4" w:space="0" w:color="auto"/>
              <w:right w:val="single" w:sz="4" w:space="0" w:color="auto"/>
            </w:tcBorders>
          </w:tcPr>
          <w:p w14:paraId="20F4EB55" w14:textId="00853C83" w:rsidR="002A21AE" w:rsidRDefault="002A21AE">
            <w:pPr>
              <w:pStyle w:val="TableTextNumbers"/>
            </w:pPr>
            <w:r>
              <w:t>Repeat Steps 1</w:t>
            </w:r>
            <w:r w:rsidR="004F5589">
              <w:t xml:space="preserve"> through </w:t>
            </w:r>
            <w:r>
              <w:t xml:space="preserve">6 to modify another unit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08" w:type="dxa"/>
            <w:tcBorders>
              <w:top w:val="single" w:sz="4" w:space="0" w:color="auto"/>
              <w:left w:val="single" w:sz="4" w:space="0" w:color="auto"/>
              <w:bottom w:val="single" w:sz="4" w:space="0" w:color="auto"/>
              <w:right w:val="single" w:sz="4" w:space="0" w:color="auto"/>
            </w:tcBorders>
          </w:tcPr>
          <w:p w14:paraId="6EF4E36F" w14:textId="77777777" w:rsidR="002A21AE" w:rsidRDefault="004547D5">
            <w:pPr>
              <w:pStyle w:val="TableTextBullet"/>
              <w:tabs>
                <w:tab w:val="num" w:pos="360"/>
              </w:tabs>
              <w:rPr>
                <w:color w:val="000000"/>
                <w:szCs w:val="20"/>
              </w:rPr>
            </w:pPr>
            <w:r>
              <w:rPr>
                <w:color w:val="000000"/>
                <w:szCs w:val="20"/>
              </w:rPr>
              <w:t>Allows the user</w:t>
            </w:r>
            <w:r w:rsidR="002A21AE">
              <w:rPr>
                <w:color w:val="000000"/>
                <w:szCs w:val="20"/>
              </w:rPr>
              <w:t xml:space="preserve"> to modify</w:t>
            </w:r>
            <w:r>
              <w:rPr>
                <w:color w:val="000000"/>
                <w:szCs w:val="20"/>
              </w:rPr>
              <w:t xml:space="preserve"> another unit</w:t>
            </w:r>
            <w:r w:rsidR="002A21AE">
              <w:rPr>
                <w:color w:val="000000"/>
                <w:szCs w:val="20"/>
              </w:rPr>
              <w:t>.</w:t>
            </w:r>
          </w:p>
        </w:tc>
      </w:tr>
    </w:tbl>
    <w:p w14:paraId="1EBD652C" w14:textId="77777777" w:rsidR="002A21AE" w:rsidRDefault="002A21AE">
      <w:pPr>
        <w:pStyle w:val="BodyText"/>
      </w:pPr>
    </w:p>
    <w:p w14:paraId="62DF1675" w14:textId="021259A4" w:rsidR="007A0867" w:rsidRDefault="007A0867" w:rsidP="007A0867">
      <w:pPr>
        <w:pStyle w:val="Caption"/>
      </w:pPr>
      <w:bookmarkStart w:id="331" w:name="_Ref12665155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63</w:t>
      </w:r>
      <w:r w:rsidR="004E20BD">
        <w:rPr>
          <w:noProof/>
        </w:rPr>
        <w:fldChar w:fldCharType="end"/>
      </w:r>
      <w:bookmarkEnd w:id="331"/>
      <w:r>
        <w:t>: Add/Remove Units from Pool</w:t>
      </w:r>
    </w:p>
    <w:p w14:paraId="236D7FAA" w14:textId="11C18AB4" w:rsidR="002A21AE" w:rsidRDefault="00F927FC" w:rsidP="007A0867">
      <w:pPr>
        <w:pStyle w:val="BodyText"/>
      </w:pPr>
      <w:r>
        <w:rPr>
          <w:noProof/>
        </w:rPr>
        <w:drawing>
          <wp:inline distT="0" distB="0" distL="0" distR="0" wp14:anchorId="3D5B7503" wp14:editId="5839E02A">
            <wp:extent cx="5943600" cy="4768215"/>
            <wp:effectExtent l="0" t="0" r="0" b="0"/>
            <wp:docPr id="176" name="Picture 176" descr="Example of Add/Remove Units from Pool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Example of Add/Remove Units from Pool screen captur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4768215"/>
                    </a:xfrm>
                    <a:prstGeom prst="rect">
                      <a:avLst/>
                    </a:prstGeom>
                    <a:noFill/>
                    <a:ln>
                      <a:noFill/>
                    </a:ln>
                  </pic:spPr>
                </pic:pic>
              </a:graphicData>
            </a:graphic>
          </wp:inline>
        </w:drawing>
      </w:r>
    </w:p>
    <w:p w14:paraId="3AC76B95" w14:textId="77777777" w:rsidR="002A21AE" w:rsidRDefault="009F1B54">
      <w:pPr>
        <w:pStyle w:val="Heading2"/>
      </w:pPr>
      <w:r>
        <w:br w:type="page"/>
      </w:r>
      <w:bookmarkStart w:id="332" w:name="_Toc149064129"/>
      <w:r w:rsidR="002A21AE">
        <w:t>Maintain Unit Records</w:t>
      </w:r>
      <w:bookmarkEnd w:id="299"/>
      <w:bookmarkEnd w:id="332"/>
      <w:r w:rsidR="002A21AE">
        <w:fldChar w:fldCharType="begin"/>
      </w:r>
      <w:r w:rsidR="002A21AE">
        <w:instrText xml:space="preserve"> XE </w:instrText>
      </w:r>
      <w:r w:rsidR="00FA7E65">
        <w:instrText>“</w:instrText>
      </w:r>
      <w:r w:rsidR="002A21AE">
        <w:instrText>Maintain Unit Records</w:instrText>
      </w:r>
      <w:r w:rsidR="00FA7E65">
        <w:instrText>”</w:instrText>
      </w:r>
      <w:r w:rsidR="002A21AE">
        <w:instrText xml:space="preserve"> </w:instrText>
      </w:r>
      <w:r w:rsidR="002A21AE">
        <w:fldChar w:fldCharType="end"/>
      </w:r>
    </w:p>
    <w:p w14:paraId="0F771045" w14:textId="77777777" w:rsidR="002A21AE" w:rsidRDefault="002A21AE">
      <w:pPr>
        <w:pStyle w:val="Heading3"/>
        <w:jc w:val="both"/>
      </w:pPr>
      <w:bookmarkStart w:id="333" w:name="_Toc149064130"/>
      <w:r>
        <w:t>Edit Unit Information</w:t>
      </w:r>
      <w:bookmarkEnd w:id="333"/>
      <w:r w:rsidRPr="007716F7">
        <w:rPr>
          <w:vanish/>
        </w:rPr>
        <w:fldChar w:fldCharType="begin"/>
      </w:r>
      <w:r w:rsidRPr="007716F7">
        <w:rPr>
          <w:vanish/>
        </w:rPr>
        <w:instrText xml:space="preserve"> XE </w:instrText>
      </w:r>
      <w:r w:rsidR="00FA7E65" w:rsidRPr="007716F7">
        <w:rPr>
          <w:vanish/>
        </w:rPr>
        <w:instrText>“</w:instrText>
      </w:r>
      <w:r w:rsidRPr="007716F7">
        <w:rPr>
          <w:vanish/>
        </w:rPr>
        <w:instrText>Edit Unit Information</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UC_70</w:t>
      </w:r>
    </w:p>
    <w:p w14:paraId="65B7D213" w14:textId="77777777" w:rsidR="002A21AE" w:rsidRDefault="002A21AE" w:rsidP="00FA7E65">
      <w:pPr>
        <w:pStyle w:val="BodyText"/>
      </w:pPr>
      <w:r>
        <w:t>The user may inactivate unit tests, correct a data entry error from login, and add information about the unit that was not recorded during login.</w:t>
      </w:r>
    </w:p>
    <w:p w14:paraId="580306C8" w14:textId="77777777" w:rsidR="002A21AE" w:rsidRDefault="002A21AE">
      <w:pPr>
        <w:pStyle w:val="Heading4"/>
      </w:pPr>
      <w:r>
        <w:t xml:space="preserve">Assumptions </w:t>
      </w:r>
    </w:p>
    <w:p w14:paraId="0728055F" w14:textId="77777777" w:rsidR="002A21AE" w:rsidRDefault="002A21AE">
      <w:pPr>
        <w:pStyle w:val="ListBullet"/>
      </w:pPr>
      <w:r>
        <w:t>The user is logged into the division that contains the unit record.</w:t>
      </w:r>
    </w:p>
    <w:p w14:paraId="2562B168" w14:textId="77777777" w:rsidR="002A21AE" w:rsidRDefault="002A21AE">
      <w:pPr>
        <w:pStyle w:val="ListBullet"/>
      </w:pPr>
      <w:r>
        <w:t xml:space="preserve">The connection to </w:t>
      </w:r>
      <w:r w:rsidR="00CA0045" w:rsidRPr="00CA0045">
        <w:rPr>
          <w:bCs/>
        </w:rPr>
        <w:t>VistA</w:t>
      </w:r>
      <w:r>
        <w:t xml:space="preserve"> is active.</w:t>
      </w:r>
    </w:p>
    <w:p w14:paraId="563C967B" w14:textId="77777777" w:rsidR="002A21AE" w:rsidRDefault="002A21AE">
      <w:pPr>
        <w:pStyle w:val="Heading4"/>
      </w:pPr>
      <w:r>
        <w:t xml:space="preserve">Outcome </w:t>
      </w:r>
    </w:p>
    <w:p w14:paraId="6D65D342" w14:textId="77777777" w:rsidR="002A21AE" w:rsidRDefault="002A21AE">
      <w:pPr>
        <w:pStyle w:val="ListBullet"/>
      </w:pPr>
      <w:r>
        <w:t>The unit’s new or changed information was saved with its record.</w:t>
      </w:r>
    </w:p>
    <w:p w14:paraId="76667E5D" w14:textId="77777777" w:rsidR="002A21AE" w:rsidRDefault="002A21AE">
      <w:pPr>
        <w:pStyle w:val="Heading4"/>
      </w:pPr>
      <w:r>
        <w:t>Limitations and Restrictions</w:t>
      </w:r>
    </w:p>
    <w:p w14:paraId="550AAB7F" w14:textId="77777777" w:rsidR="009129BC" w:rsidRDefault="009129BC">
      <w:pPr>
        <w:pStyle w:val="ListBullet"/>
      </w:pPr>
      <w:r>
        <w:t>VBECS does not limit the discarded plasma</w:t>
      </w:r>
      <w:r w:rsidR="0031442B">
        <w:t xml:space="preserve"> volume.</w:t>
      </w:r>
    </w:p>
    <w:p w14:paraId="15620EC4" w14:textId="77777777" w:rsidR="002A21AE" w:rsidRDefault="006F51AC" w:rsidP="006F51AC">
      <w:pPr>
        <w:pStyle w:val="ListBullet"/>
      </w:pPr>
      <w:r>
        <w:rPr>
          <w:rFonts w:eastAsia="Arial Unicode MS"/>
        </w:rPr>
        <w:t>If errors are found in the unit</w:t>
      </w:r>
      <w:r w:rsidR="00D20331">
        <w:rPr>
          <w:rFonts w:eastAsia="Arial Unicode MS"/>
        </w:rPr>
        <w:t>’s</w:t>
      </w:r>
      <w:r>
        <w:rPr>
          <w:rFonts w:eastAsia="Arial Unicode MS"/>
        </w:rPr>
        <w:t xml:space="preserve"> product code</w:t>
      </w:r>
      <w:r w:rsidR="002A21AE">
        <w:t xml:space="preserve">, division </w:t>
      </w:r>
      <w:r>
        <w:t xml:space="preserve">or </w:t>
      </w:r>
      <w:r w:rsidR="002A21AE">
        <w:t xml:space="preserve">blood type at login, </w:t>
      </w:r>
      <w:r>
        <w:rPr>
          <w:rFonts w:eastAsia="Arial Unicode MS"/>
        </w:rPr>
        <w:t>supplier, or donation type, the user must inactivate the unit and reenter it correctly</w:t>
      </w:r>
      <w:r w:rsidR="002A21AE">
        <w:t>.</w:t>
      </w:r>
    </w:p>
    <w:p w14:paraId="6DDD30B2" w14:textId="3F386350" w:rsidR="002A21AE" w:rsidRDefault="00DD3B4E">
      <w:pPr>
        <w:pStyle w:val="ListBullet"/>
      </w:pPr>
      <w:r>
        <w:t xml:space="preserve">When </w:t>
      </w:r>
      <w:r w:rsidR="000F05B1">
        <w:t xml:space="preserve">a </w:t>
      </w:r>
      <w:r w:rsidR="002A21AE">
        <w:t xml:space="preserve">unit does not have a patient association, editable fields are available to an </w:t>
      </w:r>
      <w:r w:rsidR="008C4A72" w:rsidRPr="00EC7489">
        <w:rPr>
          <w:rFonts w:ascii="Wingdings 3" w:hAnsi="Wingdings 3" w:cs="Wingdings"/>
        </w:rPr>
        <w:t></w:t>
      </w:r>
      <w:r w:rsidR="008C4A72" w:rsidRPr="00EC7489">
        <w:rPr>
          <w:rFonts w:ascii="Wingdings 3" w:hAnsi="Wingdings 3" w:cs="Wingdings"/>
        </w:rPr>
        <w:t></w:t>
      </w:r>
      <w:r w:rsidR="008C4A72" w:rsidRPr="00AA7C58">
        <w:t xml:space="preserve"> </w:t>
      </w:r>
      <w:r w:rsidR="002A21AE">
        <w:t>Enhanced Technologist.</w:t>
      </w:r>
    </w:p>
    <w:p w14:paraId="59A1FF0B" w14:textId="77777777" w:rsidR="00FE4FDB" w:rsidRDefault="00C45B80">
      <w:pPr>
        <w:pStyle w:val="ListBullet"/>
      </w:pPr>
      <w:r>
        <w:t>Only units in a Limited or A</w:t>
      </w:r>
      <w:r w:rsidR="00FE4FDB">
        <w:t>vailable status may be edited.</w:t>
      </w:r>
    </w:p>
    <w:p w14:paraId="36C235DE" w14:textId="14540487" w:rsidR="00FE4FDB" w:rsidRDefault="00FE4FDB">
      <w:pPr>
        <w:pStyle w:val="ListBullet"/>
      </w:pPr>
      <w:r>
        <w:t>Inactivation of the unit record is required when the user needs to change the unit’s information recorded at login: unit identifica</w:t>
      </w:r>
      <w:r w:rsidR="00C45B80">
        <w:t>tion number, blood type</w:t>
      </w:r>
      <w:r>
        <w:t>, product code, unit expiration date, unit don</w:t>
      </w:r>
      <w:r w:rsidR="00C45B80">
        <w:t>ation type, VA division</w:t>
      </w:r>
      <w:r>
        <w:t xml:space="preserve"> or supplier.</w:t>
      </w:r>
    </w:p>
    <w:p w14:paraId="763E7087" w14:textId="79CEE0D7" w:rsidR="009B0984" w:rsidRDefault="009B0984" w:rsidP="009B0984">
      <w:pPr>
        <w:pStyle w:val="ListBullet"/>
      </w:pPr>
      <w:r w:rsidRPr="004E2550">
        <w:t>VBECS supports the scanning of ISBT 128 special testing information barcodes by detecting the appropriate hidden identifiers.</w:t>
      </w:r>
      <w:r>
        <w:t xml:space="preserve"> </w:t>
      </w:r>
      <w:r w:rsidRPr="0030088C">
        <w:rPr>
          <w:rFonts w:cs="Arial"/>
        </w:rPr>
        <w:t xml:space="preserve">Once the hidden identifier is removed, the </w:t>
      </w:r>
      <w:r>
        <w:rPr>
          <w:rFonts w:cs="Arial"/>
        </w:rPr>
        <w:t>special testing code is a varying length of digits, depending on the type of special testing barcode scanned.</w:t>
      </w:r>
    </w:p>
    <w:p w14:paraId="53995C90" w14:textId="77777777" w:rsidR="002A21AE" w:rsidRDefault="002A21AE">
      <w:pPr>
        <w:pStyle w:val="Heading4"/>
      </w:pPr>
      <w:r>
        <w:t>Additional Information</w:t>
      </w:r>
      <w:r>
        <w:rPr>
          <w:rFonts w:ascii="Times New Roman" w:hAnsi="Times New Roman"/>
          <w:i/>
          <w:sz w:val="24"/>
        </w:rPr>
        <w:t xml:space="preserve"> </w:t>
      </w:r>
    </w:p>
    <w:p w14:paraId="3D80F520" w14:textId="67FDFB83" w:rsidR="002A21AE" w:rsidRDefault="00C45B80">
      <w:pPr>
        <w:pStyle w:val="ListBullet"/>
      </w:pPr>
      <w:r>
        <w:t>Units must be in “Limited” or “A</w:t>
      </w:r>
      <w:r w:rsidR="002A21AE">
        <w:t>vailable” status to have information inactivated regardless of historic patient associations.</w:t>
      </w:r>
    </w:p>
    <w:p w14:paraId="1748AD49" w14:textId="77777777" w:rsidR="002A21AE" w:rsidRDefault="002A21AE">
      <w:pPr>
        <w:pStyle w:val="ListBullet"/>
      </w:pPr>
      <w:r>
        <w:t>Crossmatches are considered a patient test and are inactivated in Invalidate Test Results.</w:t>
      </w:r>
    </w:p>
    <w:p w14:paraId="5A2C8922" w14:textId="77777777" w:rsidR="002A21AE" w:rsidRDefault="002A21AE">
      <w:pPr>
        <w:pStyle w:val="Heading4"/>
        <w:rPr>
          <w:b w:val="0"/>
        </w:rPr>
      </w:pPr>
      <w:r>
        <w:t>User Roles with Access to This Option</w:t>
      </w:r>
      <w:r>
        <w:rPr>
          <w:b w:val="0"/>
        </w:rPr>
        <w:t xml:space="preserve"> </w:t>
      </w:r>
    </w:p>
    <w:p w14:paraId="7995BF5B" w14:textId="77777777" w:rsidR="00DF36B1" w:rsidRDefault="00DF36B1" w:rsidP="00DF36B1">
      <w:pPr>
        <w:pStyle w:val="Roles"/>
        <w:rPr>
          <w:snapToGrid w:val="0"/>
        </w:rPr>
      </w:pPr>
      <w:r w:rsidRPr="00EC7489">
        <w:rPr>
          <w:rFonts w:ascii="Wingdings 3" w:hAnsi="Wingdings 3" w:cs="Wingdings"/>
        </w:rPr>
        <w:t></w:t>
      </w:r>
      <w:r w:rsidRPr="00EC7489">
        <w:rPr>
          <w:rFonts w:ascii="Wingdings 3" w:hAnsi="Wingdings 3" w:cs="Wingdings"/>
        </w:rPr>
        <w:t></w:t>
      </w:r>
      <w:r>
        <w:t xml:space="preserve"> Enhanced Technologist</w:t>
      </w:r>
      <w:r w:rsidR="002329E3">
        <w:t xml:space="preserve"> </w:t>
      </w:r>
      <w:r w:rsidR="002329E3" w:rsidRPr="002329E3">
        <w:rPr>
          <w:vanish/>
        </w:rPr>
        <w:t>DR 3,012</w:t>
      </w:r>
    </w:p>
    <w:p w14:paraId="00DAF661" w14:textId="77777777" w:rsidR="002A21AE" w:rsidRDefault="002A21AE">
      <w:pPr>
        <w:pStyle w:val="Heading4"/>
      </w:pPr>
      <w:r>
        <w:t>Edit Unit Information</w:t>
      </w:r>
    </w:p>
    <w:p w14:paraId="6B2AA580" w14:textId="49B3081A" w:rsidR="002A21AE" w:rsidRDefault="002A21AE" w:rsidP="00FA7E65">
      <w:pPr>
        <w:pStyle w:val="BodyText"/>
      </w:pPr>
      <w:r>
        <w:t xml:space="preserve">The user records additional unit information normally recorded during incoming shipment (login), i.e., CMV negative, sickle cell negative, </w:t>
      </w:r>
      <w:r w:rsidR="00B65FD0">
        <w:t xml:space="preserve">RBC Contamination of =&gt; 2 mL setting, </w:t>
      </w:r>
      <w:r>
        <w:t>antigen typing provided by the supplier</w:t>
      </w:r>
      <w:r w:rsidR="00B65FD0">
        <w:t>, and blood unit comment</w:t>
      </w:r>
      <w:r>
        <w:t>.</w:t>
      </w:r>
    </w:p>
    <w:p w14:paraId="5E1C1D87" w14:textId="77777777" w:rsidR="00DA53D3" w:rsidRPr="00DA53D3" w:rsidRDefault="00DA53D3" w:rsidP="00A87DA2">
      <w:pPr>
        <w:pStyle w:val="Caution"/>
      </w:pPr>
      <w:r>
        <w:t xml:space="preserve">To inactivate a unit, </w:t>
      </w:r>
      <w:r w:rsidR="00A87DA2">
        <w:t xml:space="preserve">remove the final status, return the unit from issue, and </w:t>
      </w:r>
      <w:r>
        <w:t>r</w:t>
      </w:r>
      <w:r w:rsidRPr="00DA53D3">
        <w:t xml:space="preserve">elease </w:t>
      </w:r>
      <w:r>
        <w:t>i</w:t>
      </w:r>
      <w:r w:rsidRPr="00DA53D3">
        <w:t xml:space="preserve">t from </w:t>
      </w:r>
      <w:r w:rsidR="00A87DA2">
        <w:t>previous assignment</w:t>
      </w:r>
      <w:r w:rsidRPr="00DA53D3">
        <w:t>.</w:t>
      </w:r>
      <w:r w:rsidR="00A87DA2">
        <w:t xml:space="preserve"> No changes may be made to units in a final status.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D91178D" w14:textId="77777777">
        <w:trPr>
          <w:tblHeader/>
        </w:trPr>
        <w:tc>
          <w:tcPr>
            <w:tcW w:w="3240" w:type="dxa"/>
            <w:shd w:val="pct30" w:color="auto" w:fill="FFFFFF"/>
            <w:vAlign w:val="bottom"/>
          </w:tcPr>
          <w:p w14:paraId="77A5BD59" w14:textId="77777777" w:rsidR="002A21AE" w:rsidRDefault="002A21AE">
            <w:pPr>
              <w:pStyle w:val="TableText"/>
              <w:rPr>
                <w:b/>
              </w:rPr>
            </w:pPr>
            <w:r>
              <w:rPr>
                <w:b/>
              </w:rPr>
              <w:t>User Action</w:t>
            </w:r>
          </w:p>
        </w:tc>
        <w:tc>
          <w:tcPr>
            <w:tcW w:w="6120" w:type="dxa"/>
            <w:shd w:val="pct30" w:color="auto" w:fill="FFFFFF"/>
            <w:vAlign w:val="bottom"/>
          </w:tcPr>
          <w:p w14:paraId="2C5E0275" w14:textId="77777777" w:rsidR="002A21AE" w:rsidRDefault="002A21AE">
            <w:pPr>
              <w:pStyle w:val="TableText"/>
              <w:rPr>
                <w:b/>
              </w:rPr>
            </w:pPr>
            <w:r>
              <w:rPr>
                <w:b/>
              </w:rPr>
              <w:t>VBECS</w:t>
            </w:r>
          </w:p>
        </w:tc>
      </w:tr>
      <w:tr w:rsidR="002A21AE" w14:paraId="1A8E42F5" w14:textId="77777777" w:rsidTr="006C058D">
        <w:trPr>
          <w:cantSplit/>
        </w:trPr>
        <w:tc>
          <w:tcPr>
            <w:tcW w:w="3240" w:type="dxa"/>
          </w:tcPr>
          <w:p w14:paraId="324135EB" w14:textId="77777777" w:rsidR="002A21AE" w:rsidRDefault="002A21AE">
            <w:pPr>
              <w:pStyle w:val="TableTextNumbers"/>
            </w:pPr>
            <w:r>
              <w:t xml:space="preserve">Select </w:t>
            </w:r>
            <w:r>
              <w:rPr>
                <w:b/>
              </w:rPr>
              <w:t>Blood Units</w:t>
            </w:r>
            <w:r>
              <w:t xml:space="preserve"> from the main menu. </w:t>
            </w:r>
          </w:p>
          <w:p w14:paraId="0ABE4CF8" w14:textId="77777777" w:rsidR="002A21AE" w:rsidRDefault="002A21AE">
            <w:pPr>
              <w:pStyle w:val="TableTextNumbersContinued"/>
            </w:pPr>
          </w:p>
          <w:p w14:paraId="419B7C58" w14:textId="77777777" w:rsidR="002A21AE" w:rsidRDefault="002A21AE">
            <w:pPr>
              <w:pStyle w:val="TableTextNumbersContinued"/>
            </w:pPr>
            <w:r>
              <w:t xml:space="preserve">Select </w:t>
            </w:r>
            <w:r>
              <w:rPr>
                <w:b/>
              </w:rPr>
              <w:t>Edit Unit Information</w:t>
            </w:r>
            <w:r>
              <w:t>.</w:t>
            </w:r>
          </w:p>
        </w:tc>
        <w:tc>
          <w:tcPr>
            <w:tcW w:w="6120" w:type="dxa"/>
          </w:tcPr>
          <w:p w14:paraId="04FE02EE" w14:textId="77777777" w:rsidR="002A21AE" w:rsidRDefault="002A21AE">
            <w:pPr>
              <w:pStyle w:val="TableTextBullet"/>
            </w:pPr>
            <w:r>
              <w:t>Displays options for processing blood units.</w:t>
            </w:r>
          </w:p>
          <w:p w14:paraId="1FC31877" w14:textId="77777777" w:rsidR="002A21AE" w:rsidRDefault="002A21AE">
            <w:pPr>
              <w:pStyle w:val="TableTextBullet"/>
            </w:pPr>
            <w:r>
              <w:t>Displays options for selecting and editing a unit.</w:t>
            </w:r>
          </w:p>
        </w:tc>
      </w:tr>
      <w:tr w:rsidR="002A21AE" w14:paraId="4AD2BF5E" w14:textId="77777777">
        <w:tc>
          <w:tcPr>
            <w:tcW w:w="3240" w:type="dxa"/>
          </w:tcPr>
          <w:p w14:paraId="5EAB6D8B" w14:textId="77777777" w:rsidR="002A21AE" w:rsidRDefault="002A21AE">
            <w:pPr>
              <w:pStyle w:val="TableTextNumbers"/>
            </w:pPr>
            <w:r>
              <w:t>Scan or enter a unit ID and product code. May cancel and select a different unit.</w:t>
            </w:r>
          </w:p>
          <w:p w14:paraId="719664B4" w14:textId="77777777" w:rsidR="00B100F7" w:rsidRDefault="00B100F7" w:rsidP="00B100F7">
            <w:pPr>
              <w:pStyle w:val="TableTextNumbersContinued"/>
            </w:pPr>
          </w:p>
          <w:p w14:paraId="31A24D38" w14:textId="77777777" w:rsidR="00B100F7" w:rsidRDefault="00B100F7" w:rsidP="00B100F7">
            <w:pPr>
              <w:pStyle w:val="TableTextNumbersContinued"/>
            </w:pPr>
            <w:r>
              <w:t xml:space="preserve">When the unit entered is in a final status, click </w:t>
            </w:r>
            <w:r w:rsidRPr="005B5E25">
              <w:rPr>
                <w:b/>
              </w:rPr>
              <w:t>Clear</w:t>
            </w:r>
            <w:r>
              <w:t xml:space="preserve"> to clear the </w:t>
            </w:r>
            <w:r w:rsidR="005B5E25">
              <w:t xml:space="preserve">Unit ID and Product </w:t>
            </w:r>
            <w:r>
              <w:t>field</w:t>
            </w:r>
            <w:r w:rsidR="005B5E25">
              <w:t>s</w:t>
            </w:r>
            <w:r>
              <w:t xml:space="preserve"> and enter </w:t>
            </w:r>
            <w:r w:rsidR="005B5E25">
              <w:t>another unit.</w:t>
            </w:r>
          </w:p>
        </w:tc>
        <w:tc>
          <w:tcPr>
            <w:tcW w:w="6120" w:type="dxa"/>
          </w:tcPr>
          <w:p w14:paraId="3A7932B0" w14:textId="77777777" w:rsidR="002A21AE" w:rsidRDefault="002A21AE">
            <w:pPr>
              <w:pStyle w:val="TableTextBullet"/>
            </w:pPr>
            <w:r>
              <w:t>Allows the user to scan or enter a unit ID and product code or select a unit.</w:t>
            </w:r>
          </w:p>
          <w:p w14:paraId="569A5F81" w14:textId="77777777" w:rsidR="002A21AE" w:rsidRDefault="002A21AE">
            <w:pPr>
              <w:pStyle w:val="TableTextBullet"/>
            </w:pPr>
            <w:r>
              <w:t>Displays the editable unit information based on the user‘s security level.</w:t>
            </w:r>
          </w:p>
          <w:p w14:paraId="7B4EC255" w14:textId="77777777" w:rsidR="002A21AE" w:rsidRDefault="002A21AE">
            <w:pPr>
              <w:pStyle w:val="TableText"/>
            </w:pPr>
          </w:p>
          <w:p w14:paraId="17823B5B" w14:textId="142E58AB" w:rsidR="002A21AE" w:rsidRDefault="002A21AE">
            <w:pPr>
              <w:pStyle w:val="TableText"/>
              <w:rPr>
                <w:b/>
                <w:bCs/>
                <w:szCs w:val="18"/>
              </w:rPr>
            </w:pPr>
            <w:r>
              <w:rPr>
                <w:b/>
                <w:bCs/>
                <w:szCs w:val="18"/>
              </w:rPr>
              <w:t>NOTES</w:t>
            </w:r>
          </w:p>
          <w:p w14:paraId="7A2BCAED" w14:textId="77777777" w:rsidR="002A21AE" w:rsidRDefault="002A21AE">
            <w:pPr>
              <w:pStyle w:val="NotesText"/>
            </w:pPr>
          </w:p>
          <w:p w14:paraId="7D14E120" w14:textId="77777777" w:rsidR="002A21AE" w:rsidRDefault="002A21AE">
            <w:pPr>
              <w:pStyle w:val="NotesText"/>
              <w:rPr>
                <w:rFonts w:cs="Arial"/>
              </w:rPr>
            </w:pPr>
            <w:r>
              <w:t>VBECS does not allow selection of a unit when</w:t>
            </w:r>
            <w:r>
              <w:rPr>
                <w:rFonts w:cs="Arial"/>
              </w:rPr>
              <w:t xml:space="preserve"> </w:t>
            </w:r>
            <w:r>
              <w:t>it:</w:t>
            </w:r>
          </w:p>
          <w:p w14:paraId="250D92B8" w14:textId="77777777" w:rsidR="002A21AE" w:rsidRDefault="002A21AE">
            <w:pPr>
              <w:pStyle w:val="NotesTextBullet"/>
            </w:pPr>
            <w:r>
              <w:rPr>
                <w:rFonts w:cs="Arial"/>
                <w:vanish/>
              </w:rPr>
              <w:t xml:space="preserve">BR_70.03 </w:t>
            </w:r>
            <w:r>
              <w:t>Is currently assigned to a patient.</w:t>
            </w:r>
          </w:p>
          <w:p w14:paraId="14C26DB2" w14:textId="77777777" w:rsidR="002A21AE" w:rsidRDefault="002A21AE">
            <w:pPr>
              <w:pStyle w:val="NotesTextBullet"/>
            </w:pPr>
            <w:r>
              <w:rPr>
                <w:rFonts w:cs="Arial"/>
                <w:vanish/>
              </w:rPr>
              <w:t xml:space="preserve">BR_70.06 </w:t>
            </w:r>
            <w:r>
              <w:t>Has a final unit status.</w:t>
            </w:r>
          </w:p>
          <w:p w14:paraId="01F6F8C5" w14:textId="77777777" w:rsidR="002A21AE" w:rsidRDefault="002A21AE">
            <w:pPr>
              <w:pStyle w:val="NotesTextBullet"/>
              <w:rPr>
                <w:rFonts w:cs="Arial"/>
              </w:rPr>
            </w:pPr>
            <w:r>
              <w:rPr>
                <w:rFonts w:cs="Arial"/>
                <w:vanish/>
              </w:rPr>
              <w:t xml:space="preserve">BR_70.07 </w:t>
            </w:r>
            <w:r>
              <w:t>Has a previous patient assignment record and the user is a Lead</w:t>
            </w:r>
            <w:r w:rsidR="00DF36B1">
              <w:t xml:space="preserve"> or </w:t>
            </w:r>
            <w:r w:rsidR="00BF0467">
              <w:t>Enhanced</w:t>
            </w:r>
            <w:r>
              <w:t xml:space="preserve"> Technologist.</w:t>
            </w:r>
            <w:r w:rsidR="002329E3">
              <w:t xml:space="preserve"> </w:t>
            </w:r>
            <w:r w:rsidR="002329E3" w:rsidRPr="002329E3">
              <w:rPr>
                <w:vanish/>
              </w:rPr>
              <w:t>DR 3,012</w:t>
            </w:r>
          </w:p>
          <w:p w14:paraId="7AB24C65" w14:textId="77777777" w:rsidR="002A21AE" w:rsidRDefault="002A21AE">
            <w:pPr>
              <w:pStyle w:val="NotesText"/>
            </w:pPr>
          </w:p>
          <w:p w14:paraId="2529ACB1" w14:textId="77777777" w:rsidR="00894624" w:rsidRPr="005104F5" w:rsidRDefault="002A21AE" w:rsidP="005104F5">
            <w:pPr>
              <w:pStyle w:val="NotesText"/>
            </w:pPr>
            <w:r>
              <w:t>There is no override. VBECS clears the screen and allows the user to select a new unit.</w:t>
            </w:r>
          </w:p>
        </w:tc>
      </w:tr>
      <w:tr w:rsidR="002A21AE" w14:paraId="76F38871" w14:textId="77777777">
        <w:tc>
          <w:tcPr>
            <w:tcW w:w="3240" w:type="dxa"/>
          </w:tcPr>
          <w:p w14:paraId="1204546A" w14:textId="3F56BDBB" w:rsidR="00152B83" w:rsidRDefault="002A21AE">
            <w:pPr>
              <w:pStyle w:val="TableTextNumbers"/>
            </w:pPr>
            <w:r>
              <w:t>Review and enter or edit the data</w:t>
            </w:r>
            <w:r w:rsidR="000A3D88">
              <w:t xml:space="preserve"> (</w:t>
            </w:r>
            <w:r w:rsidR="00EE455E">
              <w:t xml:space="preserve">Figure </w:t>
            </w:r>
            <w:r w:rsidR="00EE455E">
              <w:rPr>
                <w:noProof/>
              </w:rPr>
              <w:t>64</w:t>
            </w:r>
            <w:r w:rsidR="000A3D88">
              <w:t>)</w:t>
            </w:r>
            <w:r>
              <w:t xml:space="preserve">, </w:t>
            </w:r>
          </w:p>
          <w:p w14:paraId="4B272320" w14:textId="77777777" w:rsidR="00152B83" w:rsidRDefault="00152B83" w:rsidP="00152B83">
            <w:pPr>
              <w:pStyle w:val="TableTextNumbersContinued"/>
            </w:pPr>
          </w:p>
          <w:p w14:paraId="377B5A71" w14:textId="77777777" w:rsidR="002A21AE" w:rsidRDefault="002A21AE" w:rsidP="00152B83">
            <w:pPr>
              <w:pStyle w:val="TableTextNumbersContinued"/>
            </w:pPr>
            <w:r>
              <w:t>or</w:t>
            </w:r>
          </w:p>
          <w:p w14:paraId="12497666" w14:textId="77777777" w:rsidR="002A21AE" w:rsidRDefault="002A21AE" w:rsidP="00152B83">
            <w:pPr>
              <w:pStyle w:val="TableTextNumbersContinued"/>
            </w:pPr>
          </w:p>
          <w:p w14:paraId="274FD643" w14:textId="77777777" w:rsidR="002A21AE" w:rsidRDefault="009B557A">
            <w:pPr>
              <w:pStyle w:val="TableTextNumbersContinued"/>
            </w:pPr>
            <w:r>
              <w:t>Go to Inactivate</w:t>
            </w:r>
            <w:r w:rsidR="002A21AE">
              <w:t xml:space="preserve"> a Unit.</w:t>
            </w:r>
          </w:p>
        </w:tc>
        <w:tc>
          <w:tcPr>
            <w:tcW w:w="6120" w:type="dxa"/>
          </w:tcPr>
          <w:p w14:paraId="3CDB8C73" w14:textId="77777777" w:rsidR="002A21AE" w:rsidRDefault="002A21AE">
            <w:pPr>
              <w:pStyle w:val="TableTextBullet"/>
            </w:pPr>
            <w:r>
              <w:t xml:space="preserve">Displays tabs to select and edit: </w:t>
            </w:r>
          </w:p>
          <w:p w14:paraId="4DA7F5E3" w14:textId="77777777" w:rsidR="002A21AE" w:rsidRDefault="002A21AE">
            <w:pPr>
              <w:pStyle w:val="TableTextBullet1"/>
            </w:pPr>
            <w:r>
              <w:t xml:space="preserve">Unit information </w:t>
            </w:r>
          </w:p>
          <w:p w14:paraId="3F90E4B3" w14:textId="77777777" w:rsidR="002A21AE" w:rsidRDefault="002A21AE">
            <w:pPr>
              <w:pStyle w:val="TableTextBullet1"/>
            </w:pPr>
            <w:r>
              <w:t xml:space="preserve">Unit ABO/Rh confirmation </w:t>
            </w:r>
          </w:p>
          <w:p w14:paraId="34A27BB3" w14:textId="77777777" w:rsidR="002A21AE" w:rsidRDefault="002A21AE">
            <w:pPr>
              <w:pStyle w:val="TableTextBullet1"/>
            </w:pPr>
            <w:r>
              <w:t xml:space="preserve">Antigen typing </w:t>
            </w:r>
          </w:p>
          <w:p w14:paraId="58703F3E" w14:textId="77777777" w:rsidR="002A21AE" w:rsidRDefault="002A21AE">
            <w:pPr>
              <w:pStyle w:val="TableTextBullet"/>
            </w:pPr>
            <w:r>
              <w:t xml:space="preserve">Displays fields to add or inactivate unit information and an option to inactivate a unit based on the condition of the unit and the user’s security </w:t>
            </w:r>
            <w:r w:rsidR="00082F78">
              <w:t>level</w:t>
            </w:r>
            <w:r>
              <w:t>.</w:t>
            </w:r>
          </w:p>
          <w:p w14:paraId="653716B9" w14:textId="77777777" w:rsidR="002A21AE" w:rsidRDefault="002A21AE">
            <w:pPr>
              <w:pStyle w:val="TableText"/>
            </w:pPr>
          </w:p>
          <w:p w14:paraId="0D6F91F3" w14:textId="510C5BB5" w:rsidR="002A21AE" w:rsidRDefault="002A21AE">
            <w:pPr>
              <w:pStyle w:val="TableText"/>
              <w:rPr>
                <w:b/>
                <w:bCs/>
                <w:szCs w:val="18"/>
              </w:rPr>
            </w:pPr>
            <w:r>
              <w:rPr>
                <w:b/>
                <w:bCs/>
                <w:szCs w:val="18"/>
              </w:rPr>
              <w:t>NOTES</w:t>
            </w:r>
          </w:p>
          <w:p w14:paraId="0C3EC97C" w14:textId="77777777" w:rsidR="002A21AE" w:rsidRDefault="002A21AE">
            <w:pPr>
              <w:pStyle w:val="NotesText"/>
            </w:pPr>
          </w:p>
          <w:p w14:paraId="5FC441FB" w14:textId="54984BD1" w:rsidR="002A21AE" w:rsidRDefault="002A21AE">
            <w:pPr>
              <w:pStyle w:val="NotesText"/>
            </w:pPr>
            <w:r>
              <w:rPr>
                <w:rFonts w:cs="Arial"/>
                <w:vanish/>
              </w:rPr>
              <w:t xml:space="preserve">BR_70.20 </w:t>
            </w:r>
            <w:r>
              <w:t>The user may add data to a field with no previous entry.</w:t>
            </w:r>
            <w:r w:rsidR="00101EEF">
              <w:t xml:space="preserve"> </w:t>
            </w:r>
            <w:r w:rsidR="00101EEF" w:rsidRPr="00205737">
              <w:t xml:space="preserve">When the blood product code within the ICCBBA component classes is RED BLOOD CELLS, WHOLE BLOOD, the </w:t>
            </w:r>
            <w:r w:rsidR="00101EEF" w:rsidRPr="00205737">
              <w:rPr>
                <w:b/>
                <w:bCs/>
              </w:rPr>
              <w:t>Technologist</w:t>
            </w:r>
            <w:r w:rsidR="00101EEF" w:rsidRPr="00205737">
              <w:rPr>
                <w:bCs/>
              </w:rPr>
              <w:t xml:space="preserve"> and above</w:t>
            </w:r>
            <w:r w:rsidR="00101EEF">
              <w:t xml:space="preserve"> may add unit information:</w:t>
            </w:r>
            <w:r w:rsidR="00101EEF" w:rsidRPr="00205737">
              <w:t xml:space="preserve"> sickl</w:t>
            </w:r>
            <w:r w:rsidR="00A92813">
              <w:t>e cell negative, CMV negative, red blood c</w:t>
            </w:r>
            <w:r w:rsidR="00C233B7">
              <w:t>ell contamination of = &gt;</w:t>
            </w:r>
            <w:r w:rsidR="00101EEF" w:rsidRPr="00205737">
              <w:t xml:space="preserve"> 2 </w:t>
            </w:r>
            <w:r w:rsidR="003D3067" w:rsidRPr="00205737">
              <w:t>mL, and</w:t>
            </w:r>
            <w:r w:rsidR="00101EEF" w:rsidRPr="00205737">
              <w:t xml:space="preserve"> antigen typing to a unit when the unit has no patient assignment</w:t>
            </w:r>
            <w:r w:rsidR="00101EEF">
              <w:t>s.</w:t>
            </w:r>
          </w:p>
          <w:p w14:paraId="07243346" w14:textId="77777777" w:rsidR="002A21AE" w:rsidRDefault="002A21AE">
            <w:pPr>
              <w:pStyle w:val="NotesText"/>
            </w:pPr>
          </w:p>
          <w:p w14:paraId="12CFA5ED" w14:textId="52402692" w:rsidR="00EB5D2F" w:rsidRPr="00EB5D2F" w:rsidRDefault="00EB5D2F">
            <w:pPr>
              <w:pStyle w:val="NotesText"/>
              <w:rPr>
                <w:rFonts w:cs="Arial"/>
              </w:rPr>
            </w:pPr>
            <w:r w:rsidRPr="00EB5D2F">
              <w:rPr>
                <w:rFonts w:cs="Arial"/>
              </w:rPr>
              <w:t>Users may edit unit volume, add special testing and RBC antigens</w:t>
            </w:r>
            <w:r w:rsidR="002C0FA1">
              <w:rPr>
                <w:rFonts w:cs="Arial"/>
              </w:rPr>
              <w:t xml:space="preserve"> (manually or by scanning a special testing barcode)</w:t>
            </w:r>
            <w:r w:rsidRPr="00EB5D2F">
              <w:rPr>
                <w:rFonts w:cs="Arial"/>
              </w:rPr>
              <w:t>, mark a unit biohazardous, and change the patient restriction.</w:t>
            </w:r>
            <w:r>
              <w:rPr>
                <w:rFonts w:cs="Arial"/>
                <w:vanish/>
              </w:rPr>
              <w:t xml:space="preserve"> Task 1320</w:t>
            </w:r>
          </w:p>
          <w:p w14:paraId="431D2FFE" w14:textId="77777777" w:rsidR="00EB5D2F" w:rsidRPr="00EB5D2F" w:rsidRDefault="00EB5D2F">
            <w:pPr>
              <w:pStyle w:val="NotesText"/>
              <w:rPr>
                <w:rFonts w:cs="Arial"/>
              </w:rPr>
            </w:pPr>
          </w:p>
          <w:p w14:paraId="51C6F445" w14:textId="77777777" w:rsidR="002A21AE" w:rsidRDefault="002A21AE">
            <w:pPr>
              <w:pStyle w:val="NotesText"/>
            </w:pPr>
            <w:r>
              <w:rPr>
                <w:rFonts w:cs="Arial"/>
                <w:vanish/>
              </w:rPr>
              <w:t xml:space="preserve">BR_1.53 </w:t>
            </w:r>
            <w:r w:rsidR="00C153F2">
              <w:t>When a blood produ</w:t>
            </w:r>
            <w:r w:rsidR="00A92813">
              <w:t>ct code in the RED BLOOD CELLS or WHOLE BLOOD</w:t>
            </w:r>
            <w:r w:rsidR="00C153F2">
              <w:t xml:space="preserve"> component class is entered, VBECS enables data entry of sickle cell negative and antigen typing. The CMV negative data entry option is always enabled.</w:t>
            </w:r>
          </w:p>
          <w:p w14:paraId="5895E277" w14:textId="77777777" w:rsidR="002A21AE" w:rsidRDefault="002A21AE">
            <w:pPr>
              <w:pStyle w:val="NotesText"/>
            </w:pPr>
          </w:p>
          <w:p w14:paraId="091DE28C" w14:textId="5C17424B" w:rsidR="002A21AE" w:rsidRDefault="002A21AE">
            <w:pPr>
              <w:pStyle w:val="NotesText"/>
            </w:pPr>
            <w:r>
              <w:rPr>
                <w:rFonts w:cs="Arial"/>
                <w:vanish/>
              </w:rPr>
              <w:t xml:space="preserve">BR_1.45 </w:t>
            </w:r>
            <w:r>
              <w:t xml:space="preserve">An antigen type may be positive or negative for any antigen listed as a VBECS corresponding antigen in </w:t>
            </w:r>
            <w:r w:rsidR="00EE455E">
              <w:t xml:space="preserve">Appendix </w:t>
            </w:r>
            <w:r w:rsidR="00EE455E">
              <w:rPr>
                <w:noProof/>
              </w:rPr>
              <w:t>B</w:t>
            </w:r>
            <w:r>
              <w:t xml:space="preserve">: </w:t>
            </w:r>
            <w:r w:rsidR="00EE455E">
              <w:t xml:space="preserve">Table </w:t>
            </w:r>
            <w:r w:rsidR="00EE455E">
              <w:rPr>
                <w:noProof/>
              </w:rPr>
              <w:t>14</w:t>
            </w:r>
            <w:r w:rsidR="00EE455E">
              <w:t xml:space="preserve">: </w:t>
            </w:r>
            <w:r w:rsidR="00EE455E">
              <w:rPr>
                <w:vanish/>
              </w:rPr>
              <w:t xml:space="preserve">TT_23.01A </w:t>
            </w:r>
            <w:r w:rsidR="00EE455E">
              <w:t>Antibody and Antigen Table: Irregular Antibodies</w:t>
            </w:r>
            <w:r>
              <w:t>. An antigen may not be positive and negative for the same unit.</w:t>
            </w:r>
          </w:p>
          <w:p w14:paraId="5A88DD3D" w14:textId="77777777" w:rsidR="002A21AE" w:rsidRDefault="002A21AE">
            <w:pPr>
              <w:pStyle w:val="NotesText"/>
              <w:rPr>
                <w:rFonts w:cs="Arial"/>
              </w:rPr>
            </w:pPr>
          </w:p>
          <w:p w14:paraId="4F9C58D5" w14:textId="77777777" w:rsidR="002A21AE" w:rsidRDefault="002A21AE">
            <w:pPr>
              <w:pStyle w:val="NotesText"/>
              <w:rPr>
                <w:rFonts w:cs="Arial"/>
              </w:rPr>
            </w:pPr>
            <w:r>
              <w:rPr>
                <w:rFonts w:cs="Arial"/>
                <w:vanish/>
              </w:rPr>
              <w:t xml:space="preserve">BR_70.01 </w:t>
            </w:r>
            <w:r>
              <w:t>Only unit antigen type results originally entered through Incoming Shipment are avai</w:t>
            </w:r>
            <w:r w:rsidR="00F05C1D">
              <w:t>lable for invalidation. An Enhanced Technologist</w:t>
            </w:r>
            <w:r>
              <w:t xml:space="preserve"> must invalidate unit antigen type results originally entered through Unit Antigen Typing by selecting Inactivate Unit Testing.</w:t>
            </w:r>
          </w:p>
          <w:p w14:paraId="3C08BDE5" w14:textId="77777777" w:rsidR="002A21AE" w:rsidRDefault="002A21AE">
            <w:pPr>
              <w:pStyle w:val="NotesText"/>
            </w:pPr>
          </w:p>
          <w:p w14:paraId="3669BDDA" w14:textId="77777777" w:rsidR="002A21AE" w:rsidRDefault="002A21AE">
            <w:pPr>
              <w:pStyle w:val="NotesText"/>
              <w:rPr>
                <w:rFonts w:cs="Arial"/>
              </w:rPr>
            </w:pPr>
            <w:r>
              <w:rPr>
                <w:rFonts w:cs="Arial"/>
                <w:vanish/>
              </w:rPr>
              <w:t xml:space="preserve">BR_70.14 </w:t>
            </w:r>
            <w:r>
              <w:t xml:space="preserve">VBECS restricts the editing of disease marker testing to autologous units. </w:t>
            </w:r>
          </w:p>
          <w:p w14:paraId="11A52EDD" w14:textId="77777777" w:rsidR="002A21AE" w:rsidRDefault="002A21AE">
            <w:pPr>
              <w:pStyle w:val="NotesText"/>
              <w:rPr>
                <w:rFonts w:cs="Arial"/>
              </w:rPr>
            </w:pPr>
          </w:p>
          <w:p w14:paraId="09037F86" w14:textId="3FF5BBDC" w:rsidR="002A21AE" w:rsidRDefault="002A21AE">
            <w:pPr>
              <w:pStyle w:val="NotesText"/>
            </w:pPr>
            <w:r>
              <w:rPr>
                <w:rFonts w:cs="Arial"/>
                <w:vanish/>
              </w:rPr>
              <w:t xml:space="preserve">BR_70.16 </w:t>
            </w:r>
            <w:r>
              <w:t>When</w:t>
            </w:r>
            <w:r w:rsidR="00E27F2E">
              <w:t xml:space="preserve"> changing </w:t>
            </w:r>
            <w:r>
              <w:t xml:space="preserve">the disease marker testing </w:t>
            </w:r>
            <w:r w:rsidR="00E27F2E">
              <w:t>of an autologous unit from “NEG</w:t>
            </w:r>
            <w:r w:rsidR="00F90BBE">
              <w:t>”</w:t>
            </w:r>
            <w:r w:rsidR="00E27F2E">
              <w:t xml:space="preserve"> to “POS</w:t>
            </w:r>
            <w:r>
              <w:t>” or “NFT</w:t>
            </w:r>
            <w:r w:rsidR="002326F7">
              <w:t xml:space="preserve"> (not fully tested)</w:t>
            </w:r>
            <w:r w:rsidR="002A40BF">
              <w:t>”,</w:t>
            </w:r>
            <w:r>
              <w:t xml:space="preserve"> VBECS </w:t>
            </w:r>
            <w:r w:rsidR="00E27F2E">
              <w:t xml:space="preserve">automatically </w:t>
            </w:r>
            <w:r w:rsidR="00CB32C2">
              <w:t>enables</w:t>
            </w:r>
            <w:r>
              <w:t xml:space="preserve"> the biohazard indicator.</w:t>
            </w:r>
          </w:p>
          <w:p w14:paraId="663FE3BC" w14:textId="77777777" w:rsidR="002A21AE" w:rsidRDefault="002A21AE">
            <w:pPr>
              <w:pStyle w:val="NotesText"/>
            </w:pPr>
          </w:p>
          <w:p w14:paraId="3C109C02" w14:textId="77777777" w:rsidR="002A21AE" w:rsidRDefault="002A21AE">
            <w:pPr>
              <w:pStyle w:val="NotesText"/>
            </w:pPr>
            <w:r>
              <w:rPr>
                <w:rFonts w:cs="Arial"/>
                <w:vanish/>
              </w:rPr>
              <w:t xml:space="preserve">BR_12.13 </w:t>
            </w:r>
            <w:r>
              <w:t>The user may not clear the biohazard indicator for a unit when:</w:t>
            </w:r>
          </w:p>
          <w:p w14:paraId="643DC41A" w14:textId="77777777" w:rsidR="002A21AE" w:rsidRDefault="002A21AE">
            <w:pPr>
              <w:pStyle w:val="NotesTextBullet"/>
            </w:pPr>
            <w:r>
              <w:t>The disease marker testing is POS or NFT,</w:t>
            </w:r>
          </w:p>
          <w:p w14:paraId="30990F4F" w14:textId="77777777" w:rsidR="002A21AE" w:rsidRDefault="002A21AE">
            <w:pPr>
              <w:pStyle w:val="NotesTextBullet"/>
            </w:pPr>
            <w:r>
              <w:t xml:space="preserve">The ISBT 128 Donation Type codes are </w:t>
            </w:r>
            <w:r w:rsidR="00FA7E65">
              <w:t>“</w:t>
            </w:r>
            <w:r>
              <w:t>X, For Autologous Use Only, Biohazardous</w:t>
            </w:r>
            <w:r w:rsidR="00FA7E65">
              <w:t>”</w:t>
            </w:r>
            <w:r>
              <w:t xml:space="preserve"> or </w:t>
            </w:r>
            <w:r w:rsidR="00FA7E65">
              <w:t>“</w:t>
            </w:r>
            <w:r>
              <w:t>3, For Directed Donor Use Only, Biohazardous,</w:t>
            </w:r>
            <w:r w:rsidR="00FA7E65">
              <w:t>”</w:t>
            </w:r>
            <w:r>
              <w:t xml:space="preserve"> or</w:t>
            </w:r>
            <w:r w:rsidR="004F7C13">
              <w:t xml:space="preserve"> 6, Designated Donor Biohazardous”</w:t>
            </w:r>
          </w:p>
          <w:p w14:paraId="7AED18D2" w14:textId="77777777" w:rsidR="002A21AE" w:rsidRDefault="002A21AE">
            <w:pPr>
              <w:pStyle w:val="NotesTextBullet"/>
            </w:pPr>
            <w:r>
              <w:t>The unit is quarantined.</w:t>
            </w:r>
          </w:p>
          <w:p w14:paraId="74DE294C" w14:textId="77777777" w:rsidR="002A21AE" w:rsidRDefault="002A21AE">
            <w:pPr>
              <w:pStyle w:val="NotesText"/>
              <w:ind w:left="0"/>
              <w:rPr>
                <w:rFonts w:cs="Arial"/>
              </w:rPr>
            </w:pPr>
          </w:p>
          <w:p w14:paraId="09E32FF0" w14:textId="77777777" w:rsidR="002A21AE" w:rsidRDefault="002A21AE">
            <w:pPr>
              <w:pStyle w:val="NotesText"/>
              <w:rPr>
                <w:rFonts w:cs="Arial"/>
              </w:rPr>
            </w:pPr>
            <w:r>
              <w:rPr>
                <w:rFonts w:cs="Arial"/>
                <w:vanish/>
              </w:rPr>
              <w:t xml:space="preserve">BR_70.02 </w:t>
            </w:r>
            <w:r>
              <w:t>When editing the “restricted for” patient name for a unit, the user may change the name of a restricted patient but may not save the transaction without a new patient name for the restriction.</w:t>
            </w:r>
          </w:p>
          <w:p w14:paraId="6BB2D03E" w14:textId="77777777" w:rsidR="002A21AE" w:rsidRDefault="002A21AE">
            <w:pPr>
              <w:pStyle w:val="NotesText"/>
              <w:rPr>
                <w:rFonts w:cs="Arial"/>
              </w:rPr>
            </w:pPr>
          </w:p>
          <w:p w14:paraId="45EBD45B" w14:textId="77777777" w:rsidR="002A21AE" w:rsidRDefault="002A21AE">
            <w:pPr>
              <w:pStyle w:val="NotesText"/>
            </w:pPr>
            <w:r>
              <w:rPr>
                <w:rFonts w:cs="Arial"/>
                <w:vanish/>
              </w:rPr>
              <w:t xml:space="preserve">BR_70.10 </w:t>
            </w:r>
            <w:r>
              <w:t xml:space="preserve">When the user restricts a unit to a patient, the patient ID is the primary identifier of the intended recipient. When VBECS searches the </w:t>
            </w:r>
            <w:r w:rsidR="00CA0045" w:rsidRPr="00CA0045">
              <w:rPr>
                <w:bCs/>
              </w:rPr>
              <w:t>VistA</w:t>
            </w:r>
            <w:r>
              <w:t xml:space="preserve"> PATIENT File (#2) and finds a match, it populates the VBECS database with the selected patient name. When the intended recipient is not in the </w:t>
            </w:r>
            <w:r w:rsidR="00CA0045" w:rsidRPr="00CA0045">
              <w:rPr>
                <w:bCs/>
              </w:rPr>
              <w:t>VistA</w:t>
            </w:r>
            <w:r>
              <w:t xml:space="preserve"> database, VBECS </w:t>
            </w:r>
            <w:r w:rsidR="009E40D9">
              <w:t>warns</w:t>
            </w:r>
            <w:r>
              <w:t xml:space="preserve"> the user</w:t>
            </w:r>
            <w:r w:rsidR="009E40D9">
              <w:t>, clears the screen, and does not allow the unit to be further processed</w:t>
            </w:r>
            <w:r>
              <w:t xml:space="preserve">. </w:t>
            </w:r>
          </w:p>
          <w:p w14:paraId="033E8E64" w14:textId="77777777" w:rsidR="002A21AE" w:rsidRDefault="002A21AE">
            <w:pPr>
              <w:pStyle w:val="NotesText"/>
            </w:pPr>
          </w:p>
          <w:p w14:paraId="11E931F3" w14:textId="77777777" w:rsidR="002A21AE" w:rsidRDefault="002A21AE">
            <w:pPr>
              <w:pStyle w:val="NotesText"/>
            </w:pPr>
            <w:r>
              <w:rPr>
                <w:rFonts w:cs="Arial"/>
                <w:vanish/>
              </w:rPr>
              <w:t xml:space="preserve">BR_70.08 </w:t>
            </w:r>
            <w:r w:rsidRPr="00EC7489">
              <w:rPr>
                <w:rFonts w:ascii="Wingdings 3" w:hAnsi="Wingdings 3" w:cs="Wingdings"/>
              </w:rPr>
              <w:t></w:t>
            </w:r>
            <w:r w:rsidRPr="00EC7489">
              <w:rPr>
                <w:rFonts w:ascii="Wingdings 3" w:hAnsi="Wingdings 3" w:cs="Wingdings"/>
              </w:rPr>
              <w:t></w:t>
            </w:r>
            <w:r>
              <w:t xml:space="preserve"> The Enhanced Technologist may edit items associated with a unit and add the new data to the unit. VBECS displays only the latest entry for these fields to the Enhanced Technologist before the un</w:t>
            </w:r>
            <w:r w:rsidR="00264DEB">
              <w:t>it has any patient associations:</w:t>
            </w:r>
          </w:p>
          <w:p w14:paraId="3A2E03C8" w14:textId="77777777" w:rsidR="00264DEB" w:rsidRDefault="00264DEB" w:rsidP="00925CAD">
            <w:pPr>
              <w:pStyle w:val="StyleTableText9ptChar"/>
              <w:numPr>
                <w:ilvl w:val="0"/>
                <w:numId w:val="51"/>
              </w:numPr>
              <w:ind w:left="1440"/>
            </w:pPr>
            <w:r>
              <w:t>Restrictions</w:t>
            </w:r>
          </w:p>
          <w:p w14:paraId="1253EB99" w14:textId="77777777" w:rsidR="00264DEB" w:rsidRDefault="00264DEB" w:rsidP="00925CAD">
            <w:pPr>
              <w:pStyle w:val="StyleTableText9ptChar"/>
              <w:numPr>
                <w:ilvl w:val="0"/>
                <w:numId w:val="51"/>
              </w:numPr>
              <w:ind w:left="1440"/>
            </w:pPr>
            <w:r>
              <w:t xml:space="preserve">CMV negative </w:t>
            </w:r>
          </w:p>
          <w:p w14:paraId="3881FB30" w14:textId="77777777" w:rsidR="00264DEB" w:rsidRDefault="00264DEB" w:rsidP="00925CAD">
            <w:pPr>
              <w:pStyle w:val="StyleTableText9ptChar"/>
              <w:numPr>
                <w:ilvl w:val="0"/>
                <w:numId w:val="51"/>
              </w:numPr>
              <w:ind w:left="1440"/>
            </w:pPr>
            <w:r>
              <w:t>Sickle Cell negative</w:t>
            </w:r>
          </w:p>
          <w:p w14:paraId="6D8E3986" w14:textId="77777777" w:rsidR="00264DEB" w:rsidRDefault="00264DEB" w:rsidP="00925CAD">
            <w:pPr>
              <w:pStyle w:val="StyleTableText9ptChar"/>
              <w:numPr>
                <w:ilvl w:val="0"/>
                <w:numId w:val="51"/>
              </w:numPr>
              <w:ind w:left="1440"/>
            </w:pPr>
            <w:r>
              <w:t>Biohazard indicator</w:t>
            </w:r>
          </w:p>
          <w:p w14:paraId="0441C8C3" w14:textId="77777777" w:rsidR="00264DEB" w:rsidRDefault="00264DEB" w:rsidP="00925CAD">
            <w:pPr>
              <w:pStyle w:val="StyleTableText9ptChar"/>
              <w:numPr>
                <w:ilvl w:val="0"/>
                <w:numId w:val="51"/>
              </w:numPr>
              <w:ind w:left="1440"/>
            </w:pPr>
            <w:r>
              <w:t>Disease marker testing</w:t>
            </w:r>
          </w:p>
          <w:p w14:paraId="6ABF96B6" w14:textId="77777777" w:rsidR="00264DEB" w:rsidRDefault="00264DEB" w:rsidP="00925CAD">
            <w:pPr>
              <w:pStyle w:val="StyleTableText9ptChar"/>
              <w:numPr>
                <w:ilvl w:val="0"/>
                <w:numId w:val="51"/>
              </w:numPr>
              <w:ind w:left="1440"/>
            </w:pPr>
            <w:r>
              <w:t xml:space="preserve">Antigen typing entered at log-in </w:t>
            </w:r>
          </w:p>
          <w:p w14:paraId="5305B4F5" w14:textId="77777777" w:rsidR="00264DEB" w:rsidRDefault="00264DEB" w:rsidP="00925CAD">
            <w:pPr>
              <w:pStyle w:val="StyleTableText9ptChar"/>
              <w:numPr>
                <w:ilvl w:val="0"/>
                <w:numId w:val="51"/>
              </w:numPr>
              <w:ind w:left="1440"/>
            </w:pPr>
            <w:r>
              <w:t>Unit volume</w:t>
            </w:r>
          </w:p>
          <w:p w14:paraId="1CFC09FA" w14:textId="77777777" w:rsidR="00264DEB" w:rsidRDefault="002E5493" w:rsidP="00925CAD">
            <w:pPr>
              <w:pStyle w:val="TableText"/>
              <w:numPr>
                <w:ilvl w:val="0"/>
                <w:numId w:val="51"/>
              </w:numPr>
              <w:ind w:left="1440"/>
            </w:pPr>
            <w:r>
              <w:t>Discarded plasma volume, if one</w:t>
            </w:r>
          </w:p>
          <w:p w14:paraId="0C176FAD" w14:textId="0214885C" w:rsidR="00264DEB" w:rsidRDefault="00264DEB" w:rsidP="00925CAD">
            <w:pPr>
              <w:pStyle w:val="StyleTableText9ptChar"/>
              <w:numPr>
                <w:ilvl w:val="0"/>
                <w:numId w:val="51"/>
              </w:numPr>
              <w:ind w:left="1440"/>
            </w:pPr>
            <w:r w:rsidRPr="00205737">
              <w:t>R</w:t>
            </w:r>
            <w:r w:rsidR="00A92813">
              <w:t>ed blood c</w:t>
            </w:r>
            <w:r w:rsidR="00B06392">
              <w:t xml:space="preserve">ell contamination of </w:t>
            </w:r>
            <w:r w:rsidR="00A92813">
              <w:t xml:space="preserve">equal to or </w:t>
            </w:r>
            <w:r w:rsidR="00B06392">
              <w:t>g</w:t>
            </w:r>
            <w:r w:rsidRPr="00205737">
              <w:t>reater than (</w:t>
            </w:r>
            <w:r w:rsidR="00A92813">
              <w:t xml:space="preserve">= </w:t>
            </w:r>
            <w:r w:rsidRPr="00205737">
              <w:t>&gt;) 2 mL</w:t>
            </w:r>
            <w:r w:rsidR="00A92813">
              <w:t xml:space="preserve"> (non-RBC units)</w:t>
            </w:r>
          </w:p>
          <w:p w14:paraId="68BFD250" w14:textId="4A5C1E00" w:rsidR="002C0FA1" w:rsidRPr="00C8441F" w:rsidRDefault="002C0FA1" w:rsidP="00925CAD">
            <w:pPr>
              <w:pStyle w:val="StyleTableText9ptChar"/>
              <w:numPr>
                <w:ilvl w:val="0"/>
                <w:numId w:val="51"/>
              </w:numPr>
              <w:ind w:left="1440"/>
            </w:pPr>
            <w:r w:rsidRPr="00C8441F">
              <w:t xml:space="preserve">Blood </w:t>
            </w:r>
            <w:r w:rsidR="003C7340">
              <w:t>u</w:t>
            </w:r>
            <w:r w:rsidRPr="00C8441F">
              <w:t>nit</w:t>
            </w:r>
            <w:r w:rsidR="003C7340">
              <w:t xml:space="preserve"> comment</w:t>
            </w:r>
          </w:p>
          <w:p w14:paraId="7A23E7A2" w14:textId="77777777" w:rsidR="002A21AE" w:rsidRPr="00EC7489" w:rsidRDefault="002A21AE">
            <w:pPr>
              <w:pStyle w:val="NotesText"/>
              <w:rPr>
                <w:rFonts w:ascii="Wingdings 3" w:hAnsi="Wingdings 3" w:cs="Wingdings"/>
              </w:rPr>
            </w:pPr>
          </w:p>
          <w:p w14:paraId="1216276F" w14:textId="143A2CDA" w:rsidR="009D59DD" w:rsidRPr="00781303" w:rsidRDefault="002A21AE" w:rsidP="00781303">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The Traditional Supervisor may edit items associated with a unit and add the new data when the unit has a history of patient associations.</w:t>
            </w:r>
          </w:p>
        </w:tc>
      </w:tr>
      <w:tr w:rsidR="002A21AE" w14:paraId="43B3A00B" w14:textId="77777777" w:rsidTr="004A7B44">
        <w:trPr>
          <w:cantSplit/>
        </w:trPr>
        <w:tc>
          <w:tcPr>
            <w:tcW w:w="3240" w:type="dxa"/>
          </w:tcPr>
          <w:p w14:paraId="77C63CF3" w14:textId="5D3C10C9" w:rsidR="002A21AE" w:rsidRDefault="002A21AE">
            <w:pPr>
              <w:pStyle w:val="TableTextNumbers"/>
            </w:pPr>
            <w:r>
              <w:t>Select a test for inactivation</w:t>
            </w:r>
            <w:r w:rsidR="000A3D88">
              <w:t xml:space="preserve"> (</w:t>
            </w:r>
            <w:r w:rsidR="00EE455E">
              <w:t xml:space="preserve">Figure </w:t>
            </w:r>
            <w:r w:rsidR="00EE455E">
              <w:rPr>
                <w:noProof/>
              </w:rPr>
              <w:t>65</w:t>
            </w:r>
            <w:r w:rsidR="000A3D88">
              <w:t>)</w:t>
            </w:r>
            <w:r>
              <w:t>.</w:t>
            </w:r>
          </w:p>
        </w:tc>
        <w:tc>
          <w:tcPr>
            <w:tcW w:w="6120" w:type="dxa"/>
          </w:tcPr>
          <w:p w14:paraId="0B1D37AF" w14:textId="77777777" w:rsidR="002A21AE" w:rsidRDefault="002A21AE">
            <w:pPr>
              <w:pStyle w:val="TableTextBullet"/>
              <w:tabs>
                <w:tab w:val="num" w:pos="360"/>
              </w:tabs>
            </w:pPr>
            <w:r>
              <w:t>Displays the previously recorded results for the selected test.</w:t>
            </w:r>
          </w:p>
          <w:p w14:paraId="7AEDDC5C" w14:textId="77777777" w:rsidR="002A21AE" w:rsidRDefault="002A21AE">
            <w:pPr>
              <w:pStyle w:val="TableTextBullet"/>
              <w:tabs>
                <w:tab w:val="num" w:pos="360"/>
              </w:tabs>
            </w:pPr>
            <w:r>
              <w:t>Requires a comment to process the inactivation.</w:t>
            </w:r>
          </w:p>
          <w:p w14:paraId="122BA093" w14:textId="77777777" w:rsidR="002A21AE" w:rsidRDefault="002A21AE">
            <w:pPr>
              <w:pStyle w:val="TableText"/>
            </w:pPr>
          </w:p>
          <w:p w14:paraId="2EBBD14A" w14:textId="62270272" w:rsidR="002A21AE" w:rsidRDefault="002A21AE">
            <w:pPr>
              <w:pStyle w:val="TableText"/>
              <w:rPr>
                <w:b/>
                <w:bCs/>
                <w:szCs w:val="18"/>
              </w:rPr>
            </w:pPr>
            <w:r>
              <w:rPr>
                <w:b/>
                <w:bCs/>
                <w:szCs w:val="18"/>
              </w:rPr>
              <w:t>NOTES</w:t>
            </w:r>
          </w:p>
          <w:p w14:paraId="7658CBF6" w14:textId="77777777" w:rsidR="002A21AE" w:rsidRDefault="002A21AE">
            <w:pPr>
              <w:pStyle w:val="NotesText"/>
            </w:pPr>
          </w:p>
          <w:p w14:paraId="47959287" w14:textId="77777777" w:rsidR="002A21AE" w:rsidRDefault="002A21AE">
            <w:pPr>
              <w:pStyle w:val="NotesText"/>
            </w:pPr>
            <w:r>
              <w:rPr>
                <w:rFonts w:cs="Arial"/>
                <w:vanish/>
              </w:rPr>
              <w:t xml:space="preserve">BR_94.06 </w:t>
            </w:r>
            <w:r>
              <w:t>The user may view, not edit, previously entered serologic results and interpretations.</w:t>
            </w:r>
          </w:p>
          <w:p w14:paraId="5023301D" w14:textId="77777777" w:rsidR="002A21AE" w:rsidRDefault="002A21AE">
            <w:pPr>
              <w:pStyle w:val="NotesText"/>
              <w:rPr>
                <w:rFonts w:cs="Arial"/>
              </w:rPr>
            </w:pPr>
          </w:p>
          <w:p w14:paraId="70F9B807" w14:textId="77777777" w:rsidR="002A21AE" w:rsidRDefault="002A21AE">
            <w:pPr>
              <w:pStyle w:val="NotesText"/>
              <w:rPr>
                <w:rFonts w:cs="Arial"/>
              </w:rPr>
            </w:pPr>
            <w:r>
              <w:rPr>
                <w:rFonts w:cs="Arial"/>
                <w:vanish/>
              </w:rPr>
              <w:t xml:space="preserve">BR_70.04 </w:t>
            </w:r>
            <w:r>
              <w:t xml:space="preserve">When the user selects the unit antigen typing test, VBECS displays antigen typing reagent types and interpretations </w:t>
            </w:r>
            <w:r w:rsidR="00765FF5">
              <w:t>available for invalidation at the user’s division. Inherited testing is not available for invalidation</w:t>
            </w:r>
            <w:r>
              <w:t>.</w:t>
            </w:r>
          </w:p>
          <w:p w14:paraId="3715C92C" w14:textId="77777777" w:rsidR="002A21AE" w:rsidRDefault="002A21AE">
            <w:pPr>
              <w:pStyle w:val="NotesText"/>
              <w:rPr>
                <w:rFonts w:cs="Arial"/>
              </w:rPr>
            </w:pPr>
          </w:p>
          <w:p w14:paraId="59D374B9" w14:textId="77777777" w:rsidR="00C868B9" w:rsidRDefault="002A21AE" w:rsidP="00C868B9">
            <w:pPr>
              <w:pStyle w:val="NotesText"/>
            </w:pPr>
            <w:r>
              <w:rPr>
                <w:rFonts w:cs="Arial"/>
                <w:vanish/>
              </w:rPr>
              <w:t xml:space="preserve">BR_70.05 </w:t>
            </w:r>
            <w:r>
              <w:t xml:space="preserve">When the user selects the ABO/Rh confirmation test, VBECS displays the unit confirmation test </w:t>
            </w:r>
            <w:r w:rsidR="004C1CD0">
              <w:t xml:space="preserve">interpretations available for invalidation at the user’s division. </w:t>
            </w:r>
          </w:p>
          <w:p w14:paraId="2031D1F3" w14:textId="77777777" w:rsidR="002A21AE" w:rsidRDefault="002A21AE">
            <w:pPr>
              <w:pStyle w:val="NotesText"/>
            </w:pPr>
          </w:p>
          <w:p w14:paraId="32500A9B" w14:textId="77777777" w:rsidR="002A21AE" w:rsidRDefault="002A21AE">
            <w:pPr>
              <w:pStyle w:val="NotesText"/>
              <w:rPr>
                <w:rFonts w:cs="Arial"/>
              </w:rPr>
            </w:pPr>
            <w:r>
              <w:rPr>
                <w:rFonts w:cs="Arial"/>
                <w:vanish/>
              </w:rPr>
              <w:t xml:space="preserve">BR_70.21 </w:t>
            </w:r>
            <w:r w:rsidR="00C91E8D">
              <w:t>The system will check if the selected blood unit has current, valid ABO/Rh Confirmation or Antigen Typing associated with it. If the unit does have associated current, valid tests, the system does not allow the user to inactivate the unit and displays a warning message to the user: “Unit has current, valid tests, previous patient assignments, or crossmatches that must be invalidated before the unit can be inactivated." There is no override.</w:t>
            </w:r>
          </w:p>
        </w:tc>
      </w:tr>
      <w:tr w:rsidR="002A21AE" w14:paraId="2474C6FC" w14:textId="77777777">
        <w:tc>
          <w:tcPr>
            <w:tcW w:w="3240" w:type="dxa"/>
          </w:tcPr>
          <w:p w14:paraId="5D0FA7A0" w14:textId="77777777" w:rsidR="002A21AE" w:rsidRDefault="002A21AE">
            <w:pPr>
              <w:pStyle w:val="TableTextNumbers"/>
            </w:pPr>
            <w:r>
              <w:t xml:space="preserve">Verify the test to be inactivated and enter a comment. </w:t>
            </w:r>
          </w:p>
          <w:p w14:paraId="3C9E98F7" w14:textId="77777777" w:rsidR="002A21AE" w:rsidRDefault="002A21AE">
            <w:pPr>
              <w:pStyle w:val="TableTextNumbersContinued"/>
            </w:pPr>
          </w:p>
          <w:p w14:paraId="2B5F0E87" w14:textId="77777777" w:rsidR="002A21AE" w:rsidRDefault="002A21AE">
            <w:pPr>
              <w:pStyle w:val="TableTextNumbersContinued"/>
            </w:pPr>
            <w:r>
              <w:t xml:space="preserve">Click </w:t>
            </w:r>
            <w:r>
              <w:rPr>
                <w:b/>
              </w:rPr>
              <w:t>OK</w:t>
            </w:r>
            <w:r>
              <w:t xml:space="preserve"> to confirm and exit.</w:t>
            </w:r>
          </w:p>
        </w:tc>
        <w:tc>
          <w:tcPr>
            <w:tcW w:w="6120" w:type="dxa"/>
          </w:tcPr>
          <w:p w14:paraId="78BD1FDD" w14:textId="77777777" w:rsidR="002A21AE" w:rsidRDefault="002A21AE">
            <w:pPr>
              <w:pStyle w:val="TableTextBullet"/>
              <w:tabs>
                <w:tab w:val="num" w:pos="360"/>
              </w:tabs>
            </w:pPr>
            <w:r>
              <w:t>Displays “Test Result Invalidated” in the unit record for the selected test.</w:t>
            </w:r>
          </w:p>
          <w:p w14:paraId="0A7C64CA" w14:textId="77777777" w:rsidR="002A21AE" w:rsidRDefault="002A21AE">
            <w:pPr>
              <w:pStyle w:val="TableText"/>
            </w:pPr>
          </w:p>
          <w:p w14:paraId="61334477" w14:textId="0D95CB80" w:rsidR="002A21AE" w:rsidRDefault="002A21AE">
            <w:pPr>
              <w:pStyle w:val="TableText"/>
              <w:rPr>
                <w:b/>
                <w:bCs/>
                <w:szCs w:val="18"/>
              </w:rPr>
            </w:pPr>
            <w:r>
              <w:rPr>
                <w:b/>
                <w:bCs/>
                <w:szCs w:val="18"/>
              </w:rPr>
              <w:t>NOTES</w:t>
            </w:r>
          </w:p>
          <w:p w14:paraId="06D67415" w14:textId="77777777" w:rsidR="002A21AE" w:rsidRDefault="002A21AE">
            <w:pPr>
              <w:pStyle w:val="NotesText"/>
            </w:pPr>
          </w:p>
          <w:p w14:paraId="6C2FFDDA" w14:textId="77777777" w:rsidR="002A21AE" w:rsidRDefault="002A21AE">
            <w:pPr>
              <w:pStyle w:val="NotesText"/>
            </w:pPr>
            <w:r>
              <w:rPr>
                <w:rFonts w:cs="Arial"/>
                <w:vanish/>
              </w:rPr>
              <w:t xml:space="preserve">BR_70.25 </w:t>
            </w:r>
            <w:r>
              <w:t xml:space="preserve">When the last </w:t>
            </w:r>
            <w:r w:rsidR="00101EEF">
              <w:t xml:space="preserve">(or only) </w:t>
            </w:r>
            <w:r>
              <w:t>ABO/Rh confirmation testing is invalidated, VBECS returns the unit to a limited status and requires an ABO/Rh confirmation tes</w:t>
            </w:r>
            <w:r w:rsidR="00101EEF">
              <w:t xml:space="preserve">t for </w:t>
            </w:r>
            <w:r w:rsidR="00101EEF" w:rsidRPr="00205737">
              <w:rPr>
                <w:rFonts w:cs="Arial"/>
                <w:szCs w:val="18"/>
              </w:rPr>
              <w:t>R</w:t>
            </w:r>
            <w:r w:rsidR="00A92813">
              <w:rPr>
                <w:rFonts w:cs="Arial"/>
                <w:szCs w:val="18"/>
              </w:rPr>
              <w:t>ed Blood Cell contamination of equal to or g</w:t>
            </w:r>
            <w:r w:rsidR="00101EEF" w:rsidRPr="00205737">
              <w:rPr>
                <w:rFonts w:cs="Arial"/>
                <w:szCs w:val="18"/>
              </w:rPr>
              <w:t>reater than (</w:t>
            </w:r>
            <w:r w:rsidR="00A92813">
              <w:rPr>
                <w:rFonts w:cs="Arial"/>
                <w:szCs w:val="18"/>
              </w:rPr>
              <w:t xml:space="preserve">= </w:t>
            </w:r>
            <w:r w:rsidR="00101EEF" w:rsidRPr="00205737">
              <w:rPr>
                <w:rFonts w:cs="Arial"/>
                <w:szCs w:val="18"/>
              </w:rPr>
              <w:t>&gt;) 2 mL indicator</w:t>
            </w:r>
            <w:r w:rsidR="00C91E8D">
              <w:rPr>
                <w:rFonts w:cs="Arial"/>
                <w:szCs w:val="18"/>
              </w:rPr>
              <w:t>.</w:t>
            </w:r>
          </w:p>
          <w:p w14:paraId="082A8531" w14:textId="77777777" w:rsidR="002A21AE" w:rsidRDefault="002A21AE">
            <w:pPr>
              <w:pStyle w:val="TableText"/>
            </w:pPr>
          </w:p>
          <w:p w14:paraId="624458FA" w14:textId="77777777" w:rsidR="002A21AE" w:rsidRDefault="002A21AE">
            <w:pPr>
              <w:pStyle w:val="NotesText"/>
            </w:pPr>
            <w:r>
              <w:t>When a unit that requires ABO/Rh confirmation testing no longer has a valid test result in VBECS due to invalidation of previous unit tests, VBECS treats the unit as though no ABO/Rh confirmation testing was performed.</w:t>
            </w:r>
          </w:p>
          <w:p w14:paraId="73166727" w14:textId="77777777" w:rsidR="002A21AE" w:rsidRDefault="002A21AE">
            <w:pPr>
              <w:pStyle w:val="NotesText"/>
            </w:pPr>
          </w:p>
          <w:p w14:paraId="3D80386E" w14:textId="73E0977C" w:rsidR="002A21AE" w:rsidRDefault="002A21AE">
            <w:pPr>
              <w:pStyle w:val="NotesText"/>
            </w:pPr>
            <w:r>
              <w:rPr>
                <w:vanish/>
                <w:szCs w:val="18"/>
              </w:rPr>
              <w:t>BR_94.04</w:t>
            </w:r>
            <w:r w:rsidR="00CE3961">
              <w:rPr>
                <w:vanish/>
                <w:szCs w:val="18"/>
              </w:rPr>
              <w:t>,</w:t>
            </w:r>
            <w:r>
              <w:rPr>
                <w:vanish/>
                <w:szCs w:val="18"/>
              </w:rPr>
              <w:t xml:space="preserve"> BR_70.09 </w:t>
            </w:r>
            <w:r>
              <w:t xml:space="preserve">VBECS flags invalidated test results </w:t>
            </w:r>
            <w:r w:rsidR="001414E9">
              <w:t xml:space="preserve">with a message describing the reason for invalidation </w:t>
            </w:r>
            <w:r>
              <w:t>and captures details for inclusion in an Exception Report.</w:t>
            </w:r>
          </w:p>
          <w:p w14:paraId="7B01B823" w14:textId="77777777" w:rsidR="002A21AE" w:rsidRDefault="002A21AE">
            <w:pPr>
              <w:pStyle w:val="NotesText"/>
              <w:ind w:left="0"/>
            </w:pPr>
          </w:p>
          <w:p w14:paraId="0C02114D" w14:textId="77777777" w:rsidR="002A21AE" w:rsidRDefault="002A21AE">
            <w:pPr>
              <w:pStyle w:val="NotesText"/>
            </w:pPr>
            <w:r>
              <w:rPr>
                <w:rFonts w:cs="Arial"/>
                <w:vanish/>
              </w:rPr>
              <w:t xml:space="preserve">BR_70.12 </w:t>
            </w:r>
            <w:r>
              <w:t>VBECS does not inactivate workload associated with the invalidated test.</w:t>
            </w:r>
          </w:p>
          <w:p w14:paraId="465E70BE" w14:textId="77777777" w:rsidR="002A21AE" w:rsidRDefault="002A21AE">
            <w:pPr>
              <w:pStyle w:val="TableText"/>
              <w:rPr>
                <w:rFonts w:cs="Arial"/>
              </w:rPr>
            </w:pPr>
          </w:p>
          <w:p w14:paraId="30180496" w14:textId="77777777" w:rsidR="002A21AE" w:rsidRDefault="002A21AE">
            <w:pPr>
              <w:pStyle w:val="NotesText"/>
              <w:rPr>
                <w:rFonts w:cs="Arial"/>
              </w:rPr>
            </w:pPr>
            <w:r>
              <w:rPr>
                <w:rFonts w:cs="Arial"/>
              </w:rPr>
              <w:t>Replacement results are entered according to local policy.</w:t>
            </w:r>
          </w:p>
        </w:tc>
      </w:tr>
      <w:tr w:rsidR="002A21AE" w14:paraId="27A8E99D" w14:textId="77777777">
        <w:tc>
          <w:tcPr>
            <w:tcW w:w="3240" w:type="dxa"/>
          </w:tcPr>
          <w:p w14:paraId="2F0278E1" w14:textId="77777777" w:rsidR="002A21AE" w:rsidRDefault="002A21AE">
            <w:pPr>
              <w:pStyle w:val="TableTextNumbers"/>
            </w:pPr>
            <w:r>
              <w:t>Return to Step 1 to edit another unit.</w:t>
            </w:r>
          </w:p>
        </w:tc>
        <w:tc>
          <w:tcPr>
            <w:tcW w:w="6120" w:type="dxa"/>
          </w:tcPr>
          <w:p w14:paraId="0CE42695" w14:textId="77777777" w:rsidR="002A21AE" w:rsidRDefault="002A21AE" w:rsidP="00B100F7">
            <w:pPr>
              <w:pStyle w:val="TableText"/>
            </w:pPr>
          </w:p>
        </w:tc>
      </w:tr>
      <w:tr w:rsidR="002A21AE" w14:paraId="46B325C4" w14:textId="77777777">
        <w:tc>
          <w:tcPr>
            <w:tcW w:w="3240" w:type="dxa"/>
          </w:tcPr>
          <w:p w14:paraId="1616EA74" w14:textId="77777777" w:rsidR="002A21AE" w:rsidRDefault="002A21AE">
            <w:pPr>
              <w:pStyle w:val="TableTextNumbers"/>
            </w:pPr>
            <w:r>
              <w:t xml:space="preserve">Click </w:t>
            </w:r>
            <w:r>
              <w:rPr>
                <w:b/>
              </w:rPr>
              <w:t>OK</w:t>
            </w:r>
            <w:r>
              <w:t xml:space="preserve"> to save.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82D2362" w14:textId="77777777" w:rsidR="002A21AE" w:rsidRDefault="002A21AE">
            <w:pPr>
              <w:pStyle w:val="TableTextBullet"/>
              <w:tabs>
                <w:tab w:val="num" w:pos="360"/>
              </w:tabs>
            </w:pPr>
            <w:r>
              <w:t>Updates and saves the data.</w:t>
            </w:r>
          </w:p>
        </w:tc>
      </w:tr>
    </w:tbl>
    <w:p w14:paraId="61BCAEC3" w14:textId="2B1AB6AE" w:rsidR="000A3D88" w:rsidRDefault="000A3D88" w:rsidP="000A3D88">
      <w:pPr>
        <w:pStyle w:val="Caption"/>
      </w:pPr>
      <w:bookmarkStart w:id="334" w:name="_Ref126651737"/>
      <w:bookmarkStart w:id="335" w:name="_Toc9434931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64</w:t>
      </w:r>
      <w:r w:rsidR="004E20BD">
        <w:rPr>
          <w:noProof/>
        </w:rPr>
        <w:fldChar w:fldCharType="end"/>
      </w:r>
      <w:bookmarkEnd w:id="334"/>
      <w:r>
        <w:t>: Edit Unit Information</w:t>
      </w:r>
    </w:p>
    <w:p w14:paraId="1E895186" w14:textId="7F398D82" w:rsidR="000A3D88" w:rsidRDefault="000B176B" w:rsidP="000A3D88">
      <w:pPr>
        <w:pStyle w:val="BodyText"/>
      </w:pPr>
      <w:r>
        <w:rPr>
          <w:noProof/>
        </w:rPr>
        <w:drawing>
          <wp:inline distT="0" distB="0" distL="0" distR="0" wp14:anchorId="489B95C5" wp14:editId="73F4D93A">
            <wp:extent cx="5943600" cy="4956175"/>
            <wp:effectExtent l="0" t="0" r="0" b="0"/>
            <wp:docPr id="41" name="Picture 41" descr="Example of Edit Unit Inform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xample of Edit Unit Information screen captur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4956175"/>
                    </a:xfrm>
                    <a:prstGeom prst="rect">
                      <a:avLst/>
                    </a:prstGeom>
                    <a:noFill/>
                    <a:ln>
                      <a:noFill/>
                    </a:ln>
                  </pic:spPr>
                </pic:pic>
              </a:graphicData>
            </a:graphic>
          </wp:inline>
        </w:drawing>
      </w:r>
    </w:p>
    <w:p w14:paraId="15093DA0" w14:textId="29A69E1A" w:rsidR="000A3D88" w:rsidRDefault="000A3D88" w:rsidP="000A3D88">
      <w:pPr>
        <w:pStyle w:val="Caption"/>
      </w:pPr>
      <w:bookmarkStart w:id="336" w:name="_Ref12665191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65</w:t>
      </w:r>
      <w:r w:rsidR="004E20BD">
        <w:rPr>
          <w:noProof/>
        </w:rPr>
        <w:fldChar w:fldCharType="end"/>
      </w:r>
      <w:bookmarkEnd w:id="336"/>
      <w:r>
        <w:t>: Edit Unit Information Invalidate Test</w:t>
      </w:r>
    </w:p>
    <w:p w14:paraId="1E8DE297" w14:textId="5C2F0F7E" w:rsidR="000A3D88" w:rsidRDefault="000B176B" w:rsidP="000A3D88">
      <w:pPr>
        <w:pStyle w:val="BodyText"/>
      </w:pPr>
      <w:r>
        <w:rPr>
          <w:noProof/>
        </w:rPr>
        <w:drawing>
          <wp:inline distT="0" distB="0" distL="0" distR="0" wp14:anchorId="5BDF56DE" wp14:editId="28EB79F0">
            <wp:extent cx="5943600" cy="4960620"/>
            <wp:effectExtent l="0" t="0" r="0" b="0"/>
            <wp:docPr id="42" name="Picture 42" descr="Example of Edit Unit Information Invalidate Tes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xample of Edit Unit Information Invalidate Test screen captur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4960620"/>
                    </a:xfrm>
                    <a:prstGeom prst="rect">
                      <a:avLst/>
                    </a:prstGeom>
                    <a:noFill/>
                    <a:ln>
                      <a:noFill/>
                    </a:ln>
                  </pic:spPr>
                </pic:pic>
              </a:graphicData>
            </a:graphic>
          </wp:inline>
        </w:drawing>
      </w:r>
    </w:p>
    <w:p w14:paraId="443A8EED" w14:textId="77777777" w:rsidR="002A21AE" w:rsidRDefault="002A21AE">
      <w:pPr>
        <w:pStyle w:val="Heading4"/>
      </w:pPr>
      <w:r>
        <w:t>Inactivate a Unit</w:t>
      </w:r>
      <w:bookmarkEnd w:id="335"/>
      <w:r>
        <w:fldChar w:fldCharType="begin"/>
      </w:r>
      <w:r>
        <w:instrText xml:space="preserve"> XE </w:instrText>
      </w:r>
      <w:r w:rsidR="00FA7E65">
        <w:instrText>“</w:instrText>
      </w:r>
      <w:r>
        <w:instrText>Inactivate a Unit</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83F1376" w14:textId="77777777">
        <w:trPr>
          <w:tblHeader/>
        </w:trPr>
        <w:tc>
          <w:tcPr>
            <w:tcW w:w="3240" w:type="dxa"/>
            <w:shd w:val="pct30" w:color="auto" w:fill="FFFFFF"/>
            <w:vAlign w:val="bottom"/>
          </w:tcPr>
          <w:p w14:paraId="1589EC4C" w14:textId="77777777" w:rsidR="002A21AE" w:rsidRDefault="002A21AE">
            <w:pPr>
              <w:pStyle w:val="TableText"/>
              <w:rPr>
                <w:b/>
              </w:rPr>
            </w:pPr>
            <w:r>
              <w:rPr>
                <w:b/>
              </w:rPr>
              <w:t>User Action</w:t>
            </w:r>
          </w:p>
        </w:tc>
        <w:tc>
          <w:tcPr>
            <w:tcW w:w="6120" w:type="dxa"/>
            <w:shd w:val="pct30" w:color="auto" w:fill="FFFFFF"/>
            <w:vAlign w:val="bottom"/>
          </w:tcPr>
          <w:p w14:paraId="673ADD0C" w14:textId="77777777" w:rsidR="002A21AE" w:rsidRDefault="002A21AE">
            <w:pPr>
              <w:pStyle w:val="TableText"/>
              <w:rPr>
                <w:b/>
              </w:rPr>
            </w:pPr>
            <w:r>
              <w:rPr>
                <w:b/>
              </w:rPr>
              <w:t>VBECS</w:t>
            </w:r>
          </w:p>
        </w:tc>
      </w:tr>
      <w:tr w:rsidR="002326F7" w14:paraId="090C2A73" w14:textId="77777777">
        <w:tc>
          <w:tcPr>
            <w:tcW w:w="3240" w:type="dxa"/>
            <w:tcBorders>
              <w:top w:val="single" w:sz="4" w:space="0" w:color="auto"/>
              <w:left w:val="single" w:sz="4" w:space="0" w:color="auto"/>
              <w:bottom w:val="single" w:sz="4" w:space="0" w:color="auto"/>
              <w:right w:val="single" w:sz="4" w:space="0" w:color="auto"/>
            </w:tcBorders>
          </w:tcPr>
          <w:p w14:paraId="06DA8A9C" w14:textId="77777777" w:rsidR="002326F7" w:rsidRDefault="002326F7" w:rsidP="00FA7E65">
            <w:pPr>
              <w:pStyle w:val="TableTextNumbers"/>
            </w:pPr>
            <w:r>
              <w:t xml:space="preserve">Select </w:t>
            </w:r>
            <w:r w:rsidRPr="00D64EFA">
              <w:rPr>
                <w:b/>
              </w:rPr>
              <w:t>Blood Units</w:t>
            </w:r>
            <w:r>
              <w:t xml:space="preserve"> from the main menu. </w:t>
            </w:r>
          </w:p>
          <w:p w14:paraId="09043600" w14:textId="77777777" w:rsidR="002326F7" w:rsidRDefault="002326F7" w:rsidP="002326F7">
            <w:pPr>
              <w:pStyle w:val="TableTextNumbersContinued"/>
            </w:pPr>
          </w:p>
          <w:p w14:paraId="019861BD" w14:textId="77777777" w:rsidR="002326F7" w:rsidRDefault="002326F7" w:rsidP="002326F7">
            <w:pPr>
              <w:pStyle w:val="TableTextNumbersContinued"/>
            </w:pPr>
            <w:r>
              <w:t xml:space="preserve">Select </w:t>
            </w:r>
            <w:r w:rsidRPr="00D64EFA">
              <w:rPr>
                <w:b/>
              </w:rPr>
              <w:t>Edit Unit Information</w:t>
            </w:r>
            <w:r>
              <w:t>.</w:t>
            </w:r>
          </w:p>
        </w:tc>
        <w:tc>
          <w:tcPr>
            <w:tcW w:w="6120" w:type="dxa"/>
            <w:tcBorders>
              <w:top w:val="single" w:sz="4" w:space="0" w:color="auto"/>
              <w:left w:val="single" w:sz="4" w:space="0" w:color="auto"/>
              <w:bottom w:val="single" w:sz="4" w:space="0" w:color="auto"/>
              <w:right w:val="single" w:sz="4" w:space="0" w:color="auto"/>
            </w:tcBorders>
          </w:tcPr>
          <w:p w14:paraId="4DEA4AEE" w14:textId="77777777" w:rsidR="002326F7" w:rsidRDefault="002326F7" w:rsidP="00FA7E65">
            <w:pPr>
              <w:pStyle w:val="TableTextBullet"/>
            </w:pPr>
            <w:r>
              <w:t>Displays options for processing blood units.</w:t>
            </w:r>
          </w:p>
          <w:p w14:paraId="304959F0" w14:textId="77777777" w:rsidR="002326F7" w:rsidRDefault="002326F7" w:rsidP="00FA7E65">
            <w:pPr>
              <w:pStyle w:val="TableTextBullet"/>
            </w:pPr>
            <w:r>
              <w:t>Displays options for selecting and editing a unit.</w:t>
            </w:r>
          </w:p>
        </w:tc>
      </w:tr>
      <w:tr w:rsidR="002326F7" w14:paraId="54BEB6C0" w14:textId="77777777" w:rsidTr="006C058D">
        <w:trPr>
          <w:cantSplit/>
        </w:trPr>
        <w:tc>
          <w:tcPr>
            <w:tcW w:w="3240" w:type="dxa"/>
            <w:tcBorders>
              <w:top w:val="single" w:sz="4" w:space="0" w:color="auto"/>
              <w:left w:val="single" w:sz="4" w:space="0" w:color="auto"/>
              <w:bottom w:val="single" w:sz="4" w:space="0" w:color="auto"/>
              <w:right w:val="single" w:sz="4" w:space="0" w:color="auto"/>
            </w:tcBorders>
          </w:tcPr>
          <w:p w14:paraId="32C54496" w14:textId="77777777" w:rsidR="002326F7" w:rsidRDefault="002326F7" w:rsidP="00FA7E65">
            <w:pPr>
              <w:pStyle w:val="TableTextNumbers"/>
            </w:pPr>
            <w:r>
              <w:t>Scan or enter a unit ID and product code. May cancel and select a different unit.</w:t>
            </w:r>
          </w:p>
        </w:tc>
        <w:tc>
          <w:tcPr>
            <w:tcW w:w="6120" w:type="dxa"/>
            <w:tcBorders>
              <w:top w:val="single" w:sz="4" w:space="0" w:color="auto"/>
              <w:left w:val="single" w:sz="4" w:space="0" w:color="auto"/>
              <w:bottom w:val="single" w:sz="4" w:space="0" w:color="auto"/>
              <w:right w:val="single" w:sz="4" w:space="0" w:color="auto"/>
            </w:tcBorders>
          </w:tcPr>
          <w:p w14:paraId="54E4FAEB" w14:textId="77777777" w:rsidR="002326F7" w:rsidRDefault="002326F7" w:rsidP="00FA7E65">
            <w:pPr>
              <w:pStyle w:val="TableTextBullet"/>
            </w:pPr>
            <w:r>
              <w:t>Allows the user to scan or enter a unit ID and product code or select a unit.</w:t>
            </w:r>
          </w:p>
          <w:p w14:paraId="6F7AEDB3" w14:textId="77777777" w:rsidR="002326F7" w:rsidRDefault="002326F7" w:rsidP="00FA7E65">
            <w:pPr>
              <w:pStyle w:val="TableTextBullet"/>
            </w:pPr>
            <w:r>
              <w:t>Displays the editable unit information based on the user‘s security level.</w:t>
            </w:r>
          </w:p>
          <w:p w14:paraId="59FDCE2F" w14:textId="77777777" w:rsidR="00732AEE" w:rsidRDefault="00732AEE" w:rsidP="00732AEE">
            <w:pPr>
              <w:pStyle w:val="TableText"/>
            </w:pPr>
          </w:p>
          <w:p w14:paraId="78DBB91D" w14:textId="46AC992F" w:rsidR="00732AEE" w:rsidRDefault="00732AEE" w:rsidP="00732AEE">
            <w:pPr>
              <w:pStyle w:val="TableText"/>
              <w:rPr>
                <w:b/>
                <w:bCs/>
                <w:szCs w:val="18"/>
              </w:rPr>
            </w:pPr>
            <w:r>
              <w:rPr>
                <w:b/>
                <w:bCs/>
                <w:szCs w:val="18"/>
              </w:rPr>
              <w:t>NOTES</w:t>
            </w:r>
          </w:p>
          <w:p w14:paraId="205977C9" w14:textId="77777777" w:rsidR="00732AEE" w:rsidRDefault="00732AEE" w:rsidP="00732AEE">
            <w:pPr>
              <w:pStyle w:val="NotesText"/>
            </w:pPr>
          </w:p>
          <w:p w14:paraId="23552360" w14:textId="77777777" w:rsidR="002326F7" w:rsidRPr="002326F7" w:rsidRDefault="002326F7" w:rsidP="00732AEE">
            <w:pPr>
              <w:pStyle w:val="NotesText"/>
            </w:pPr>
            <w:r>
              <w:t>VBECS does not allow selection of a unit when</w:t>
            </w:r>
            <w:r w:rsidRPr="002326F7">
              <w:t xml:space="preserve"> </w:t>
            </w:r>
            <w:r>
              <w:t>it:</w:t>
            </w:r>
          </w:p>
          <w:p w14:paraId="143AED0C" w14:textId="77777777" w:rsidR="002326F7" w:rsidRDefault="002326F7" w:rsidP="00732AEE">
            <w:pPr>
              <w:pStyle w:val="NotesTextBullet"/>
            </w:pPr>
            <w:r w:rsidRPr="00B6138E">
              <w:rPr>
                <w:vanish/>
                <w:szCs w:val="18"/>
              </w:rPr>
              <w:t xml:space="preserve">BR_70.03 </w:t>
            </w:r>
            <w:r>
              <w:t>Is currently assigned to a patient.</w:t>
            </w:r>
          </w:p>
          <w:p w14:paraId="33A4B0AA" w14:textId="77777777" w:rsidR="002326F7" w:rsidRDefault="002326F7" w:rsidP="00732AEE">
            <w:pPr>
              <w:pStyle w:val="NotesTextBullet"/>
            </w:pPr>
            <w:r w:rsidRPr="00B6138E">
              <w:rPr>
                <w:vanish/>
                <w:szCs w:val="18"/>
              </w:rPr>
              <w:t xml:space="preserve">BR_70.06 </w:t>
            </w:r>
            <w:r>
              <w:t>Has a final unit status.</w:t>
            </w:r>
          </w:p>
          <w:p w14:paraId="501A324A" w14:textId="77777777" w:rsidR="002326F7" w:rsidRPr="002326F7" w:rsidRDefault="002326F7" w:rsidP="00732AEE">
            <w:pPr>
              <w:pStyle w:val="NotesTextBullet"/>
            </w:pPr>
            <w:r w:rsidRPr="00B6138E">
              <w:rPr>
                <w:vanish/>
                <w:szCs w:val="18"/>
              </w:rPr>
              <w:t xml:space="preserve">BR_70.07 </w:t>
            </w:r>
            <w:r w:rsidR="00BF0467">
              <w:t>Has a previous patient assignmen</w:t>
            </w:r>
            <w:r w:rsidR="00DF36B1">
              <w:t>t record and the user is a Lead</w:t>
            </w:r>
            <w:r w:rsidR="00BF0467">
              <w:t xml:space="preserve"> </w:t>
            </w:r>
            <w:r w:rsidR="00DF36B1">
              <w:t xml:space="preserve">or </w:t>
            </w:r>
            <w:r w:rsidR="00BF0467">
              <w:t>Enhanced Technologist.</w:t>
            </w:r>
            <w:r w:rsidR="002329E3">
              <w:t xml:space="preserve"> </w:t>
            </w:r>
            <w:r w:rsidR="002329E3" w:rsidRPr="002329E3">
              <w:rPr>
                <w:vanish/>
              </w:rPr>
              <w:t>DR 3,012</w:t>
            </w:r>
          </w:p>
          <w:p w14:paraId="18081422" w14:textId="77777777" w:rsidR="002326F7" w:rsidRDefault="002326F7" w:rsidP="00732AEE">
            <w:pPr>
              <w:pStyle w:val="NotesText"/>
            </w:pPr>
          </w:p>
          <w:p w14:paraId="08F90843" w14:textId="77777777" w:rsidR="002326F7" w:rsidRPr="002326F7" w:rsidRDefault="002326F7" w:rsidP="00732AEE">
            <w:pPr>
              <w:pStyle w:val="NotesText"/>
            </w:pPr>
            <w:r>
              <w:t>There is no override. VBECS clears the screen and allows the user to select a new unit.</w:t>
            </w:r>
          </w:p>
        </w:tc>
      </w:tr>
      <w:tr w:rsidR="002A21AE" w14:paraId="2FDDF552" w14:textId="77777777" w:rsidTr="001A459B">
        <w:trPr>
          <w:cantSplit/>
        </w:trPr>
        <w:tc>
          <w:tcPr>
            <w:tcW w:w="3240" w:type="dxa"/>
            <w:tcBorders>
              <w:top w:val="single" w:sz="4" w:space="0" w:color="auto"/>
              <w:left w:val="single" w:sz="4" w:space="0" w:color="auto"/>
              <w:bottom w:val="single" w:sz="4" w:space="0" w:color="auto"/>
              <w:right w:val="single" w:sz="4" w:space="0" w:color="auto"/>
            </w:tcBorders>
          </w:tcPr>
          <w:p w14:paraId="3375B75F" w14:textId="77777777" w:rsidR="002A21AE" w:rsidRDefault="002A21AE">
            <w:pPr>
              <w:pStyle w:val="TableTextNumbers"/>
            </w:pPr>
            <w:r>
              <w:t xml:space="preserve">Click </w:t>
            </w:r>
            <w:r>
              <w:rPr>
                <w:b/>
              </w:rPr>
              <w:t xml:space="preserve">Inactivate Unit, </w:t>
            </w:r>
            <w:r>
              <w:t>as desired.</w:t>
            </w:r>
          </w:p>
        </w:tc>
        <w:tc>
          <w:tcPr>
            <w:tcW w:w="6120" w:type="dxa"/>
            <w:tcBorders>
              <w:top w:val="single" w:sz="4" w:space="0" w:color="auto"/>
              <w:left w:val="single" w:sz="4" w:space="0" w:color="auto"/>
              <w:bottom w:val="single" w:sz="4" w:space="0" w:color="auto"/>
              <w:right w:val="single" w:sz="4" w:space="0" w:color="auto"/>
            </w:tcBorders>
          </w:tcPr>
          <w:p w14:paraId="46088643" w14:textId="77777777" w:rsidR="00D64EFA" w:rsidRDefault="00D64EFA">
            <w:pPr>
              <w:pStyle w:val="TableTextBullet"/>
            </w:pPr>
            <w:r>
              <w:t>Displays fields to add or inactivate unit information and an option to inactivate a unit, based on the condition of the unit and the user’s security level.</w:t>
            </w:r>
          </w:p>
          <w:p w14:paraId="50138E82" w14:textId="77777777" w:rsidR="002A21AE" w:rsidRDefault="002A21AE">
            <w:pPr>
              <w:pStyle w:val="TableTextBullet"/>
            </w:pPr>
            <w:r>
              <w:t>Displays unit data.</w:t>
            </w:r>
          </w:p>
          <w:p w14:paraId="194EE6B9" w14:textId="77777777" w:rsidR="002A21AE" w:rsidRDefault="002A21AE">
            <w:pPr>
              <w:pStyle w:val="TableTextBullet"/>
            </w:pPr>
            <w:r>
              <w:t>Requires a comment to process the unit inactivation.</w:t>
            </w:r>
          </w:p>
          <w:p w14:paraId="02F6045A" w14:textId="77777777" w:rsidR="002A21AE" w:rsidRDefault="002A21AE">
            <w:pPr>
              <w:pStyle w:val="TableText"/>
            </w:pPr>
          </w:p>
          <w:p w14:paraId="3311AC90" w14:textId="667D75F1" w:rsidR="002A21AE" w:rsidRDefault="002A21AE">
            <w:pPr>
              <w:pStyle w:val="TableText"/>
              <w:rPr>
                <w:b/>
                <w:bCs/>
                <w:szCs w:val="18"/>
              </w:rPr>
            </w:pPr>
            <w:r>
              <w:rPr>
                <w:b/>
                <w:bCs/>
                <w:szCs w:val="18"/>
              </w:rPr>
              <w:t>NOTES</w:t>
            </w:r>
          </w:p>
          <w:p w14:paraId="4815EF2D" w14:textId="77777777" w:rsidR="002A21AE" w:rsidRDefault="002A21AE">
            <w:pPr>
              <w:pStyle w:val="NotesText"/>
            </w:pPr>
          </w:p>
          <w:p w14:paraId="0C855A2E" w14:textId="77777777" w:rsidR="002A21AE" w:rsidRDefault="002A21AE">
            <w:pPr>
              <w:pStyle w:val="NotesText"/>
            </w:pPr>
            <w:r>
              <w:rPr>
                <w:rFonts w:cs="Arial"/>
                <w:vanish/>
              </w:rPr>
              <w:t xml:space="preserve">BR_12.03 </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Traditional Supervisor attempts to </w:t>
            </w:r>
            <w:r w:rsidR="00932948">
              <w:t>inactivate</w:t>
            </w:r>
            <w:r>
              <w:t xml:space="preserve"> a unit’s record, VBECS warns the user.</w:t>
            </w:r>
            <w:r w:rsidR="000A70BE">
              <w:t xml:space="preserve"> A blood unit’s record cannot be destroyed or removed from the database for any reason. The system displays a warning message with no override to all users: “Inactivated unit records cannot be destroyed.”</w:t>
            </w:r>
          </w:p>
          <w:p w14:paraId="72E15F77" w14:textId="77777777" w:rsidR="003E636E" w:rsidRDefault="003E636E">
            <w:pPr>
              <w:pStyle w:val="NotesText"/>
              <w:rPr>
                <w:rFonts w:cs="Arial"/>
                <w:vanish/>
              </w:rPr>
            </w:pPr>
          </w:p>
          <w:p w14:paraId="4B184061" w14:textId="77777777" w:rsidR="002A21AE" w:rsidRDefault="00A74496">
            <w:pPr>
              <w:pStyle w:val="NotesText"/>
            </w:pPr>
            <w:r w:rsidRPr="00A74496">
              <w:rPr>
                <w:rFonts w:cs="Arial"/>
                <w:vanish/>
                <w:szCs w:val="18"/>
              </w:rPr>
              <w:t xml:space="preserve">BR_12.05 </w:t>
            </w:r>
            <w:r w:rsidR="00CE16C3" w:rsidRPr="00200B6D">
              <w:t>An inactiv</w:t>
            </w:r>
            <w:r w:rsidR="00234375" w:rsidRPr="00200B6D">
              <w:t>at</w:t>
            </w:r>
            <w:r w:rsidR="00CE16C3" w:rsidRPr="00200B6D">
              <w:t>e</w:t>
            </w:r>
            <w:r w:rsidR="00234375" w:rsidRPr="00200B6D">
              <w:t>d</w:t>
            </w:r>
            <w:r w:rsidRPr="00200B6D">
              <w:t xml:space="preserve"> unit is no</w:t>
            </w:r>
            <w:r w:rsidR="00CE16C3" w:rsidRPr="00200B6D">
              <w:t>t</w:t>
            </w:r>
            <w:r w:rsidRPr="00200B6D">
              <w:t xml:space="preserve"> </w:t>
            </w:r>
            <w:r>
              <w:t xml:space="preserve">accessible. The record </w:t>
            </w:r>
            <w:r w:rsidR="000A6572">
              <w:t>is available</w:t>
            </w:r>
            <w:r w:rsidR="00660511">
              <w:t xml:space="preserve"> in</w:t>
            </w:r>
            <w:r>
              <w:t xml:space="preserve"> the </w:t>
            </w:r>
            <w:r w:rsidR="00CE16C3">
              <w:t>A</w:t>
            </w:r>
            <w:r>
              <w:t xml:space="preserve">udit </w:t>
            </w:r>
            <w:r w:rsidR="00234375">
              <w:t xml:space="preserve">Trail </w:t>
            </w:r>
            <w:r w:rsidR="003E636E">
              <w:t xml:space="preserve">and Unit History </w:t>
            </w:r>
            <w:r w:rsidR="00CE16C3">
              <w:t>R</w:t>
            </w:r>
            <w:r>
              <w:t>eport</w:t>
            </w:r>
            <w:r w:rsidR="003E636E">
              <w:t>s</w:t>
            </w:r>
            <w:r>
              <w:t xml:space="preserve"> and </w:t>
            </w:r>
            <w:r w:rsidR="00660511">
              <w:t>in</w:t>
            </w:r>
            <w:r>
              <w:t xml:space="preserve"> division statistical and informational </w:t>
            </w:r>
            <w:r w:rsidR="00A10483">
              <w:t>reports. When</w:t>
            </w:r>
            <w:r w:rsidR="002A21AE">
              <w:t xml:space="preserve"> VBECS inactivates a unit, it also inactivates costs previously associated with that unit.</w:t>
            </w:r>
          </w:p>
          <w:p w14:paraId="7C6AB5A8" w14:textId="77777777" w:rsidR="002A21AE" w:rsidRDefault="002A21AE">
            <w:pPr>
              <w:pStyle w:val="NotesText"/>
            </w:pPr>
          </w:p>
          <w:p w14:paraId="24C7E7DE" w14:textId="77777777" w:rsidR="002A21AE" w:rsidRDefault="002A21AE">
            <w:pPr>
              <w:pStyle w:val="NotesText"/>
            </w:pPr>
            <w:r>
              <w:rPr>
                <w:rFonts w:cs="Arial"/>
                <w:vanish/>
              </w:rPr>
              <w:t xml:space="preserve">BR_70.11 </w:t>
            </w:r>
            <w:r>
              <w:t xml:space="preserve">The user may </w:t>
            </w:r>
            <w:r w:rsidR="002326F7">
              <w:rPr>
                <w:rFonts w:cs="Arial"/>
                <w:szCs w:val="18"/>
              </w:rPr>
              <w:t>i</w:t>
            </w:r>
            <w:r>
              <w:rPr>
                <w:rFonts w:cs="Arial"/>
                <w:szCs w:val="18"/>
              </w:rPr>
              <w:t>nactivate the</w:t>
            </w:r>
            <w:r>
              <w:t xml:space="preserve"> unit with prior but no current patient </w:t>
            </w:r>
            <w:r w:rsidR="00D43534">
              <w:t>assignments</w:t>
            </w:r>
            <w:r>
              <w:t xml:space="preserve">. VBECS requires a comment to explain the inactivation. </w:t>
            </w:r>
          </w:p>
          <w:p w14:paraId="2416F09D" w14:textId="77777777" w:rsidR="002326F7" w:rsidRDefault="002326F7">
            <w:pPr>
              <w:pStyle w:val="NotesText"/>
            </w:pPr>
          </w:p>
          <w:p w14:paraId="1F197D05" w14:textId="77777777" w:rsidR="002326F7" w:rsidRDefault="002326F7" w:rsidP="002326F7">
            <w:pPr>
              <w:pStyle w:val="NotesText"/>
            </w:pPr>
            <w:r>
              <w:t>Unit inactivation appears on the Audit Trail Report.</w:t>
            </w:r>
          </w:p>
        </w:tc>
      </w:tr>
      <w:tr w:rsidR="002A21AE" w14:paraId="6AD63F1A" w14:textId="77777777">
        <w:tc>
          <w:tcPr>
            <w:tcW w:w="3240" w:type="dxa"/>
            <w:tcBorders>
              <w:top w:val="single" w:sz="4" w:space="0" w:color="auto"/>
              <w:left w:val="single" w:sz="4" w:space="0" w:color="auto"/>
              <w:bottom w:val="single" w:sz="4" w:space="0" w:color="auto"/>
              <w:right w:val="single" w:sz="4" w:space="0" w:color="auto"/>
            </w:tcBorders>
          </w:tcPr>
          <w:p w14:paraId="71190FB8" w14:textId="77777777" w:rsidR="002A21AE" w:rsidRDefault="002A21AE">
            <w:pPr>
              <w:pStyle w:val="TableTextNumbers"/>
            </w:pPr>
            <w:r>
              <w:t>Enter a comment.</w:t>
            </w:r>
          </w:p>
          <w:p w14:paraId="697D0A3D" w14:textId="77777777" w:rsidR="002A21AE" w:rsidRDefault="002A21AE">
            <w:pPr>
              <w:pStyle w:val="TableTextNumbersContinued"/>
            </w:pPr>
          </w:p>
          <w:p w14:paraId="7CFEC4DC" w14:textId="77777777" w:rsidR="002A21AE" w:rsidRDefault="002A21AE">
            <w:pPr>
              <w:pStyle w:val="TableTextNumbersContinued"/>
            </w:pPr>
            <w:r>
              <w:t xml:space="preserve">Click </w:t>
            </w:r>
            <w:r>
              <w:rPr>
                <w:b/>
              </w:rPr>
              <w:t>OK</w:t>
            </w:r>
            <w:r>
              <w:t xml:space="preserve"> to save. </w:t>
            </w:r>
            <w:r w:rsidR="00F41673">
              <w:rPr>
                <w:vanish/>
                <w:color w:val="FFFFFF"/>
                <w:szCs w:val="18"/>
              </w:rPr>
              <w:fldChar w:fldCharType="begin"/>
            </w:r>
            <w:r w:rsidR="00F41673">
              <w:rPr>
                <w:vanish/>
                <w:color w:val="FFFFFF"/>
                <w:szCs w:val="18"/>
              </w:rPr>
              <w:instrText xml:space="preserve"> LISTNUM \l 1 \s 0 </w:instrText>
            </w:r>
            <w:r w:rsidR="00F41673">
              <w:rP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4D3320B" w14:textId="77777777" w:rsidR="002A21AE" w:rsidRDefault="002A21AE">
            <w:pPr>
              <w:pStyle w:val="TableTextBullet"/>
            </w:pPr>
            <w:r>
              <w:t>Marks the selected unit record “inactive.”</w:t>
            </w:r>
          </w:p>
          <w:p w14:paraId="4533AF3B" w14:textId="77777777" w:rsidR="002A21AE" w:rsidRPr="00AE73C3" w:rsidRDefault="002A21AE" w:rsidP="00AE73C3">
            <w:pPr>
              <w:pStyle w:val="TableTextBullet"/>
            </w:pPr>
            <w:r>
              <w:t>Saves the record.</w:t>
            </w:r>
            <w:r w:rsidR="004840A0">
              <w:t xml:space="preserve"> </w:t>
            </w:r>
          </w:p>
        </w:tc>
      </w:tr>
    </w:tbl>
    <w:p w14:paraId="62E19919" w14:textId="77777777" w:rsidR="00DC3DA1" w:rsidRDefault="00DC3DA1">
      <w:pPr>
        <w:pStyle w:val="Heading3"/>
      </w:pPr>
    </w:p>
    <w:p w14:paraId="423BE19C" w14:textId="77777777" w:rsidR="00DC3DA1" w:rsidRDefault="00DC3DA1">
      <w:pPr>
        <w:rPr>
          <w:rFonts w:ascii="Arial" w:hAnsi="Arial" w:cs="Arial"/>
          <w:b/>
          <w:bCs/>
          <w:sz w:val="26"/>
          <w:szCs w:val="26"/>
        </w:rPr>
      </w:pPr>
      <w:r>
        <w:br w:type="page"/>
      </w:r>
    </w:p>
    <w:p w14:paraId="383FAC07" w14:textId="03BB4467" w:rsidR="002A21AE" w:rsidRDefault="002A21AE">
      <w:pPr>
        <w:pStyle w:val="Heading3"/>
      </w:pPr>
      <w:bookmarkStart w:id="337" w:name="_Toc149064131"/>
      <w:r>
        <w:t>Edit Financial Data</w:t>
      </w:r>
      <w:bookmarkEnd w:id="337"/>
      <w:r w:rsidRPr="007716F7">
        <w:rPr>
          <w:vanish/>
        </w:rPr>
        <w:fldChar w:fldCharType="begin"/>
      </w:r>
      <w:r w:rsidRPr="007716F7">
        <w:rPr>
          <w:vanish/>
        </w:rPr>
        <w:instrText xml:space="preserve"> XE </w:instrText>
      </w:r>
      <w:r w:rsidR="00FA7E65" w:rsidRPr="007716F7">
        <w:rPr>
          <w:vanish/>
        </w:rPr>
        <w:instrText>“</w:instrText>
      </w:r>
      <w:r w:rsidRPr="007716F7">
        <w:rPr>
          <w:vanish/>
        </w:rPr>
        <w:instrText>Edit Financial Data</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UC_14</w:t>
      </w:r>
    </w:p>
    <w:p w14:paraId="7DB74B73" w14:textId="77777777" w:rsidR="002A21AE" w:rsidRDefault="002A21AE" w:rsidP="00FA7E65">
      <w:pPr>
        <w:pStyle w:val="BodyText"/>
      </w:pPr>
      <w:r>
        <w:t>The user enters and/or edits charges associated with a unit after it is logged into inventory.</w:t>
      </w:r>
    </w:p>
    <w:p w14:paraId="7BD682D8" w14:textId="77777777" w:rsidR="002A21AE" w:rsidRDefault="002A21AE">
      <w:pPr>
        <w:pStyle w:val="Heading4"/>
      </w:pPr>
      <w:r>
        <w:t>Assumptions</w:t>
      </w:r>
      <w:r>
        <w:rPr>
          <w:b w:val="0"/>
        </w:rPr>
        <w:t xml:space="preserve"> </w:t>
      </w:r>
    </w:p>
    <w:p w14:paraId="6F669346" w14:textId="77777777" w:rsidR="002A21AE" w:rsidRDefault="002A21AE">
      <w:pPr>
        <w:pStyle w:val="ListBullet"/>
      </w:pPr>
      <w:r>
        <w:t>The user is logged into the division containing the unit to be edited.</w:t>
      </w:r>
    </w:p>
    <w:p w14:paraId="4D2CD98B" w14:textId="77777777" w:rsidR="002A21AE" w:rsidRDefault="002A21AE">
      <w:pPr>
        <w:pStyle w:val="Heading4"/>
      </w:pPr>
      <w:r>
        <w:t>Outcome</w:t>
      </w:r>
    </w:p>
    <w:p w14:paraId="4CA27FBD" w14:textId="77777777" w:rsidR="002A21AE" w:rsidRDefault="002A21AE">
      <w:pPr>
        <w:pStyle w:val="ListBullet"/>
      </w:pPr>
      <w:r>
        <w:t>Unit billing information was changed.</w:t>
      </w:r>
    </w:p>
    <w:p w14:paraId="110B5220" w14:textId="77777777" w:rsidR="002A21AE" w:rsidRDefault="002A21AE">
      <w:pPr>
        <w:pStyle w:val="Heading4"/>
        <w:rPr>
          <w:b w:val="0"/>
        </w:rPr>
      </w:pPr>
      <w:r>
        <w:t>Limitations and Restrictions</w:t>
      </w:r>
      <w:r>
        <w:rPr>
          <w:b w:val="0"/>
        </w:rPr>
        <w:t xml:space="preserve"> </w:t>
      </w:r>
    </w:p>
    <w:p w14:paraId="7A5A4EA4" w14:textId="19A55CDF" w:rsidR="002A21AE" w:rsidRPr="00657C98" w:rsidRDefault="00D4567F">
      <w:pPr>
        <w:pStyle w:val="ListBullet"/>
      </w:pPr>
      <w:r>
        <w:t>When a Technologist enters a unit ID and product code for a unit that is not in final status, VBECS does not enable the Special Test Cost field. An Enhanced Technologist or higher access can change the Special Test Cost field in the Edit Financial Data option.</w:t>
      </w:r>
      <w:r w:rsidR="00F8698E">
        <w:t xml:space="preserve"> </w:t>
      </w:r>
      <w:r w:rsidR="00F8698E" w:rsidRPr="00F8698E">
        <w:rPr>
          <w:vanish/>
        </w:rPr>
        <w:t>DR 5012</w:t>
      </w:r>
    </w:p>
    <w:p w14:paraId="77E8A90E" w14:textId="5C202829" w:rsidR="00657C98" w:rsidRDefault="00157ABC">
      <w:pPr>
        <w:pStyle w:val="ListBullet"/>
      </w:pPr>
      <w:r>
        <w:t xml:space="preserve">Base </w:t>
      </w:r>
      <w:r w:rsidR="00657C98">
        <w:t xml:space="preserve">Cost entry is capped at </w:t>
      </w:r>
      <w:r>
        <w:t>99,</w:t>
      </w:r>
      <w:r w:rsidR="00657C98">
        <w:t>999.</w:t>
      </w:r>
      <w:r>
        <w:t>00</w:t>
      </w:r>
    </w:p>
    <w:p w14:paraId="58B1987E" w14:textId="47B14824" w:rsidR="00157ABC" w:rsidRDefault="00157ABC">
      <w:pPr>
        <w:pStyle w:val="ListBullet"/>
      </w:pPr>
      <w:r>
        <w:t>Special Testing Cost is capped at 9,999.99</w:t>
      </w:r>
    </w:p>
    <w:p w14:paraId="77296A49" w14:textId="69B23825" w:rsidR="00157ABC" w:rsidRDefault="00157ABC">
      <w:pPr>
        <w:pStyle w:val="ListBullet"/>
      </w:pPr>
      <w:r>
        <w:t>Return Credit is capped at 99,999.00</w:t>
      </w:r>
    </w:p>
    <w:p w14:paraId="7587F28B" w14:textId="77777777" w:rsidR="002A21AE" w:rsidRDefault="002A21AE">
      <w:pPr>
        <w:pStyle w:val="Heading4"/>
      </w:pPr>
      <w:r>
        <w:t xml:space="preserve">Additional Information </w:t>
      </w:r>
    </w:p>
    <w:p w14:paraId="7B70C032" w14:textId="77777777" w:rsidR="002A21AE" w:rsidRDefault="002A21AE">
      <w:pPr>
        <w:pStyle w:val="ListBullet"/>
      </w:pPr>
      <w:r>
        <w:t>None</w:t>
      </w:r>
    </w:p>
    <w:p w14:paraId="2F8A2830" w14:textId="77777777" w:rsidR="002A21AE" w:rsidRDefault="002A21AE">
      <w:pPr>
        <w:pStyle w:val="Heading4"/>
        <w:rPr>
          <w:b w:val="0"/>
        </w:rPr>
      </w:pPr>
      <w:r>
        <w:t>User Roles with Access to This Option</w:t>
      </w:r>
      <w:r>
        <w:rPr>
          <w:b w:val="0"/>
        </w:rPr>
        <w:t xml:space="preserve"> </w:t>
      </w:r>
    </w:p>
    <w:p w14:paraId="6234942D" w14:textId="77777777" w:rsidR="00E01A40" w:rsidRDefault="00E01A40" w:rsidP="00E01A40">
      <w:pPr>
        <w:pStyle w:val="Roles"/>
        <w:rPr>
          <w:snapToGrid w:val="0"/>
        </w:rPr>
      </w:pPr>
      <w:r>
        <w:t>All users</w:t>
      </w:r>
      <w:r>
        <w:rPr>
          <w:snapToGrid w:val="0"/>
        </w:rPr>
        <w:t xml:space="preserve"> </w:t>
      </w:r>
    </w:p>
    <w:p w14:paraId="16255AEA" w14:textId="77777777" w:rsidR="002A21AE" w:rsidRDefault="00F8698E">
      <w:pPr>
        <w:pStyle w:val="Heading4"/>
      </w:pPr>
      <w:r>
        <w:br w:type="page"/>
      </w:r>
      <w:r w:rsidR="002A21AE">
        <w:t>Edit Financial Data</w:t>
      </w:r>
    </w:p>
    <w:p w14:paraId="321D914F" w14:textId="77777777" w:rsidR="002A21AE" w:rsidRDefault="002A21AE" w:rsidP="00FA7E65">
      <w:pPr>
        <w:pStyle w:val="BodyText"/>
      </w:pPr>
      <w:r>
        <w:t xml:space="preserve">The user adds and/or edits a unit charge. The user confirms the unit selection, enters the dollar amount of the charge, and reviews and accepts the charge entered.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A3D949C" w14:textId="77777777">
        <w:trPr>
          <w:cantSplit/>
          <w:tblHeader/>
        </w:trPr>
        <w:tc>
          <w:tcPr>
            <w:tcW w:w="3240" w:type="dxa"/>
            <w:shd w:val="pct30" w:color="auto" w:fill="FFFFFF"/>
            <w:vAlign w:val="bottom"/>
          </w:tcPr>
          <w:p w14:paraId="335C566C" w14:textId="77777777" w:rsidR="002A21AE" w:rsidRDefault="002A21AE">
            <w:pPr>
              <w:pStyle w:val="TableText"/>
              <w:rPr>
                <w:b/>
              </w:rPr>
            </w:pPr>
            <w:r>
              <w:rPr>
                <w:b/>
              </w:rPr>
              <w:t>User Action</w:t>
            </w:r>
          </w:p>
        </w:tc>
        <w:tc>
          <w:tcPr>
            <w:tcW w:w="6120" w:type="dxa"/>
            <w:shd w:val="pct30" w:color="auto" w:fill="FFFFFF"/>
            <w:vAlign w:val="bottom"/>
          </w:tcPr>
          <w:p w14:paraId="786C3516" w14:textId="77777777" w:rsidR="002A21AE" w:rsidRDefault="002A21AE">
            <w:pPr>
              <w:pStyle w:val="TableText"/>
              <w:rPr>
                <w:b/>
              </w:rPr>
            </w:pPr>
            <w:r>
              <w:rPr>
                <w:b/>
              </w:rPr>
              <w:t>VBECS</w:t>
            </w:r>
          </w:p>
        </w:tc>
      </w:tr>
      <w:tr w:rsidR="002A21AE" w14:paraId="6B5B473B" w14:textId="77777777">
        <w:tc>
          <w:tcPr>
            <w:tcW w:w="3240" w:type="dxa"/>
          </w:tcPr>
          <w:p w14:paraId="577B1C2E" w14:textId="77777777" w:rsidR="002A21AE" w:rsidRDefault="002A21AE">
            <w:pPr>
              <w:pStyle w:val="TableTextNumbers"/>
            </w:pPr>
            <w:r>
              <w:t xml:space="preserve">Select </w:t>
            </w:r>
            <w:r>
              <w:rPr>
                <w:b/>
              </w:rPr>
              <w:t>Blood Units</w:t>
            </w:r>
            <w:r>
              <w:t xml:space="preserve"> from the main menu. </w:t>
            </w:r>
          </w:p>
          <w:p w14:paraId="28F5060D" w14:textId="77777777" w:rsidR="002A21AE" w:rsidRDefault="002A21AE">
            <w:pPr>
              <w:pStyle w:val="TableTextNumbersContinued"/>
            </w:pPr>
          </w:p>
          <w:p w14:paraId="5AF5E56E" w14:textId="77777777" w:rsidR="002A21AE" w:rsidRDefault="002A21AE">
            <w:pPr>
              <w:pStyle w:val="TableTextNumbersContinued"/>
            </w:pPr>
            <w:r>
              <w:t xml:space="preserve">Select </w:t>
            </w:r>
            <w:r>
              <w:rPr>
                <w:b/>
                <w:bCs/>
              </w:rPr>
              <w:t>Edit Financial Data</w:t>
            </w:r>
            <w:r>
              <w:t>.</w:t>
            </w:r>
          </w:p>
        </w:tc>
        <w:tc>
          <w:tcPr>
            <w:tcW w:w="6120" w:type="dxa"/>
          </w:tcPr>
          <w:p w14:paraId="266F9C75" w14:textId="77777777" w:rsidR="002A21AE" w:rsidRDefault="002A21AE">
            <w:pPr>
              <w:pStyle w:val="TableTextBullet"/>
            </w:pPr>
            <w:r>
              <w:t>Displays options for processing blood units.</w:t>
            </w:r>
          </w:p>
          <w:p w14:paraId="22D1F2C5" w14:textId="77777777" w:rsidR="002A21AE" w:rsidRDefault="002A21AE">
            <w:pPr>
              <w:pStyle w:val="TableTextBullet"/>
            </w:pPr>
            <w:r>
              <w:t>Displays fields for selecting a unit and editing its financial data.</w:t>
            </w:r>
          </w:p>
        </w:tc>
      </w:tr>
      <w:tr w:rsidR="002A21AE" w14:paraId="4164B49F" w14:textId="77777777">
        <w:trPr>
          <w:tblHeader/>
        </w:trPr>
        <w:tc>
          <w:tcPr>
            <w:tcW w:w="3240" w:type="dxa"/>
          </w:tcPr>
          <w:p w14:paraId="27C89035" w14:textId="77777777" w:rsidR="002A21AE" w:rsidRDefault="002A21AE">
            <w:pPr>
              <w:pStyle w:val="TableTextNumbers"/>
            </w:pPr>
            <w:r>
              <w:t xml:space="preserve">Scan or enter a unit ID or product code, or click the </w:t>
            </w:r>
            <w:r w:rsidR="00A6373D">
              <w:rPr>
                <w:b/>
              </w:rPr>
              <w:t>find</w:t>
            </w:r>
            <w:r>
              <w:rPr>
                <w:b/>
              </w:rPr>
              <w:t xml:space="preserve"> </w:t>
            </w:r>
            <w:r w:rsidRPr="00D1100E">
              <w:t>button</w:t>
            </w:r>
            <w:r>
              <w:t xml:space="preserve"> to select a unit from the drop-down list.</w:t>
            </w:r>
          </w:p>
        </w:tc>
        <w:tc>
          <w:tcPr>
            <w:tcW w:w="6120" w:type="dxa"/>
          </w:tcPr>
          <w:p w14:paraId="5450F8C6" w14:textId="77777777" w:rsidR="002A21AE" w:rsidRDefault="002A21AE">
            <w:pPr>
              <w:pStyle w:val="TableTextBullet"/>
            </w:pPr>
            <w:r>
              <w:t>Displays unit data.</w:t>
            </w:r>
          </w:p>
        </w:tc>
      </w:tr>
      <w:tr w:rsidR="002A21AE" w14:paraId="6F86B85D" w14:textId="77777777">
        <w:tc>
          <w:tcPr>
            <w:tcW w:w="3240" w:type="dxa"/>
          </w:tcPr>
          <w:p w14:paraId="4F7218CB" w14:textId="2677F0BC" w:rsidR="002A21AE" w:rsidRDefault="002A21AE">
            <w:pPr>
              <w:pStyle w:val="TableTextNumbers"/>
            </w:pPr>
            <w:r>
              <w:t>Edit the Base Cost, Special Test Cost, and/or Return Credit fields</w:t>
            </w:r>
            <w:r w:rsidR="009A7383">
              <w:t xml:space="preserve"> (</w:t>
            </w:r>
            <w:r w:rsidR="00EE455E">
              <w:t xml:space="preserve">Figure </w:t>
            </w:r>
            <w:r w:rsidR="00EE455E">
              <w:rPr>
                <w:noProof/>
              </w:rPr>
              <w:t>66</w:t>
            </w:r>
            <w:r w:rsidR="009A7383">
              <w:t>)</w:t>
            </w:r>
            <w:r>
              <w:t>.</w:t>
            </w:r>
          </w:p>
        </w:tc>
        <w:tc>
          <w:tcPr>
            <w:tcW w:w="6120" w:type="dxa"/>
          </w:tcPr>
          <w:p w14:paraId="672E0633" w14:textId="77777777" w:rsidR="002A21AE" w:rsidRDefault="002A21AE">
            <w:pPr>
              <w:pStyle w:val="TableTextBullet"/>
            </w:pPr>
            <w:r>
              <w:t>Allows the user to edit the fields in the Financial Information area.</w:t>
            </w:r>
          </w:p>
          <w:p w14:paraId="6BB0C64A" w14:textId="77777777" w:rsidR="002A21AE" w:rsidRDefault="002A21AE">
            <w:pPr>
              <w:pStyle w:val="TableTextBullet"/>
            </w:pPr>
            <w:r>
              <w:t>Displays the edited data.</w:t>
            </w:r>
          </w:p>
          <w:p w14:paraId="77B3F712" w14:textId="77777777" w:rsidR="002A21AE" w:rsidRDefault="002A21AE">
            <w:pPr>
              <w:pStyle w:val="TableText"/>
            </w:pPr>
          </w:p>
          <w:p w14:paraId="4E1A66D9" w14:textId="76227E88" w:rsidR="002A21AE" w:rsidRDefault="002A21AE">
            <w:pPr>
              <w:pStyle w:val="TableText"/>
              <w:rPr>
                <w:b/>
                <w:bCs/>
                <w:szCs w:val="18"/>
              </w:rPr>
            </w:pPr>
            <w:r>
              <w:rPr>
                <w:b/>
                <w:bCs/>
                <w:szCs w:val="18"/>
              </w:rPr>
              <w:t>NOTES</w:t>
            </w:r>
          </w:p>
          <w:p w14:paraId="65E86FAB" w14:textId="77777777" w:rsidR="002A21AE" w:rsidRDefault="002A21AE">
            <w:pPr>
              <w:pStyle w:val="NotesText"/>
            </w:pPr>
          </w:p>
          <w:p w14:paraId="2110CEFC" w14:textId="77777777" w:rsidR="002A21AE" w:rsidRDefault="002A21AE">
            <w:pPr>
              <w:pStyle w:val="NotesText"/>
            </w:pPr>
            <w:r w:rsidRPr="00EC7489">
              <w:rPr>
                <w:rFonts w:ascii="Wingdings 3" w:hAnsi="Wingdings 3" w:cs="Wingdings"/>
              </w:rPr>
              <w:t></w:t>
            </w:r>
            <w:r w:rsidRPr="00EC7489">
              <w:rPr>
                <w:rFonts w:ascii="Wingdings 3" w:hAnsi="Wingdings 3" w:cs="Wingdings"/>
              </w:rPr>
              <w:t></w:t>
            </w:r>
            <w:r>
              <w:t xml:space="preserve"> The Enhanced Technologist may edit existing amounts.</w:t>
            </w:r>
          </w:p>
          <w:p w14:paraId="1CE1678D" w14:textId="77777777" w:rsidR="002A21AE" w:rsidRDefault="002A21AE">
            <w:pPr>
              <w:pStyle w:val="NotesText"/>
            </w:pPr>
          </w:p>
          <w:p w14:paraId="0E4E4313" w14:textId="16BCE3A9" w:rsidR="002A21AE" w:rsidRDefault="002A21AE">
            <w:pPr>
              <w:pStyle w:val="NotesText"/>
            </w:pPr>
            <w:r>
              <w:rPr>
                <w:rFonts w:cs="Arial"/>
                <w:vanish/>
              </w:rPr>
              <w:t xml:space="preserve">BR_1.46 </w:t>
            </w:r>
            <w:r>
              <w:t xml:space="preserve">VBECS allows the user to enter a single special </w:t>
            </w:r>
            <w:r w:rsidR="001C07FE">
              <w:t>testing</w:t>
            </w:r>
            <w:r>
              <w:t xml:space="preserve"> cost (the sum of charges from $</w:t>
            </w:r>
            <w:r w:rsidR="009E0A43">
              <w:t>0.00 to 9,999.99</w:t>
            </w:r>
            <w:r>
              <w:t xml:space="preserve">, other than the base unit cost, added to a unit by the shipper) to associate with a unit. </w:t>
            </w:r>
          </w:p>
          <w:p w14:paraId="6B6FE1E1" w14:textId="77777777" w:rsidR="002A21AE" w:rsidRDefault="002A21AE">
            <w:pPr>
              <w:pStyle w:val="NotesText"/>
            </w:pPr>
          </w:p>
          <w:p w14:paraId="3E39547F" w14:textId="77777777" w:rsidR="002A21AE" w:rsidRDefault="002A21AE">
            <w:pPr>
              <w:pStyle w:val="NotesText"/>
            </w:pPr>
            <w:r>
              <w:t>When no special typing costs are entered through Incoming Shipment, a user may enter them in this option until the unit is in a final status.</w:t>
            </w:r>
          </w:p>
          <w:p w14:paraId="386B6B5F" w14:textId="77777777" w:rsidR="002A21AE" w:rsidRDefault="002A21AE">
            <w:pPr>
              <w:pStyle w:val="NotesText"/>
            </w:pPr>
          </w:p>
          <w:p w14:paraId="0C02F02F" w14:textId="69DA2C04" w:rsidR="002A21AE" w:rsidRDefault="002A21AE">
            <w:pPr>
              <w:pStyle w:val="NotesText"/>
            </w:pPr>
            <w:r>
              <w:rPr>
                <w:rFonts w:cs="Arial"/>
                <w:vanish/>
              </w:rPr>
              <w:t xml:space="preserve">BR_14.02 </w:t>
            </w:r>
            <w:r w:rsidRPr="00EC7489">
              <w:rPr>
                <w:rFonts w:ascii="Wingdings 3" w:hAnsi="Wingdings 3" w:cs="Wingdings"/>
              </w:rPr>
              <w:t></w:t>
            </w:r>
            <w:r w:rsidRPr="00EC7489">
              <w:rPr>
                <w:rFonts w:ascii="Wingdings 3" w:hAnsi="Wingdings 3" w:cs="Wingdings"/>
              </w:rPr>
              <w:t></w:t>
            </w:r>
            <w:r>
              <w:t xml:space="preserve"> The Enhanced Technologist may </w:t>
            </w:r>
            <w:r w:rsidR="0080720F">
              <w:t>add/</w:t>
            </w:r>
            <w:r>
              <w:t>edit a previously entered unit cost (unit base cost, return credit or special testing cost).</w:t>
            </w:r>
          </w:p>
          <w:p w14:paraId="67C4F84A" w14:textId="77777777" w:rsidR="002A21AE" w:rsidRDefault="002A21AE">
            <w:pPr>
              <w:pStyle w:val="NotesText"/>
            </w:pPr>
          </w:p>
          <w:p w14:paraId="0A761816" w14:textId="77777777" w:rsidR="002A21AE" w:rsidRDefault="002A21AE">
            <w:pPr>
              <w:pStyle w:val="NotesText"/>
            </w:pPr>
            <w:r>
              <w:rPr>
                <w:rFonts w:cs="Arial"/>
                <w:vanish/>
              </w:rPr>
              <w:t xml:space="preserve">BR_14.01 </w:t>
            </w:r>
            <w:r>
              <w:t>VBECS displays a return credit in U.S. currency (defined by the return credit percentage multiplied by the base unit cost for the blood product type in Blood Products). A user may enter a return credit amount only when VBECS assigned the return credit percentage through Outgoing Shipment or Discard or Quarantine. Otherwise, VBECS disables the Return Credit field.</w:t>
            </w:r>
          </w:p>
        </w:tc>
      </w:tr>
      <w:tr w:rsidR="002A21AE" w14:paraId="78384BDF" w14:textId="77777777">
        <w:tc>
          <w:tcPr>
            <w:tcW w:w="3240" w:type="dxa"/>
          </w:tcPr>
          <w:p w14:paraId="1E5BC6B7" w14:textId="77777777" w:rsidR="002A21AE" w:rsidRDefault="002A21AE">
            <w:pPr>
              <w:pStyle w:val="TableTextNumbers"/>
            </w:pPr>
            <w:r>
              <w:t xml:space="preserve">Review the data, click </w:t>
            </w:r>
            <w:r>
              <w:rPr>
                <w:b/>
              </w:rPr>
              <w:t xml:space="preserve">OK </w:t>
            </w:r>
            <w:r>
              <w:t xml:space="preserve">to save, and click </w:t>
            </w:r>
            <w:r>
              <w:rPr>
                <w:b/>
              </w:rPr>
              <w:t>OK</w:t>
            </w:r>
            <w:r>
              <w:t xml:space="preserve"> again to confirm the save.</w:t>
            </w:r>
          </w:p>
        </w:tc>
        <w:tc>
          <w:tcPr>
            <w:tcW w:w="6120" w:type="dxa"/>
          </w:tcPr>
          <w:p w14:paraId="41E328EE" w14:textId="77777777" w:rsidR="002A21AE" w:rsidRDefault="002A21AE">
            <w:pPr>
              <w:pStyle w:val="TableTextBullet"/>
            </w:pPr>
            <w:r>
              <w:t>Requests confirmation to update the database.</w:t>
            </w:r>
          </w:p>
          <w:p w14:paraId="42A6131E" w14:textId="77777777" w:rsidR="002A21AE" w:rsidRDefault="002A21AE">
            <w:pPr>
              <w:pStyle w:val="TableTextBullet"/>
            </w:pPr>
            <w:r>
              <w:t>Saves and updates the unit record.</w:t>
            </w:r>
          </w:p>
        </w:tc>
      </w:tr>
      <w:tr w:rsidR="002A21AE" w14:paraId="1C23E324" w14:textId="77777777">
        <w:tc>
          <w:tcPr>
            <w:tcW w:w="3240" w:type="dxa"/>
          </w:tcPr>
          <w:p w14:paraId="22C3B262" w14:textId="071BC87F" w:rsidR="002A21AE" w:rsidRDefault="002A21AE">
            <w:pPr>
              <w:pStyle w:val="TableTextNumbers"/>
            </w:pPr>
            <w:r>
              <w:t>Repeat Steps 2</w:t>
            </w:r>
            <w:r w:rsidR="004F5589">
              <w:t xml:space="preserve"> through </w:t>
            </w:r>
            <w:r>
              <w:t>4, as needed, to update additional unit financial data.</w:t>
            </w:r>
          </w:p>
        </w:tc>
        <w:tc>
          <w:tcPr>
            <w:tcW w:w="6120" w:type="dxa"/>
          </w:tcPr>
          <w:p w14:paraId="489F238E" w14:textId="77777777" w:rsidR="002A21AE" w:rsidRDefault="002A21AE">
            <w:pPr>
              <w:pStyle w:val="TableText"/>
            </w:pPr>
          </w:p>
        </w:tc>
      </w:tr>
      <w:tr w:rsidR="002A21AE" w14:paraId="396D6ABA" w14:textId="77777777">
        <w:tc>
          <w:tcPr>
            <w:tcW w:w="3240" w:type="dxa"/>
          </w:tcPr>
          <w:p w14:paraId="27CDACC7" w14:textId="77777777" w:rsidR="002A21AE" w:rsidRDefault="002A21AE">
            <w:pPr>
              <w:pStyle w:val="TableTextNumbers"/>
            </w:pPr>
            <w:r>
              <w:t xml:space="preserve">Click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86A19D3" w14:textId="77777777" w:rsidR="002A21AE" w:rsidRDefault="002A21AE">
            <w:pPr>
              <w:pStyle w:val="TableText"/>
            </w:pPr>
          </w:p>
        </w:tc>
      </w:tr>
    </w:tbl>
    <w:p w14:paraId="35A42874" w14:textId="5BDC0D61" w:rsidR="009A7383" w:rsidRDefault="009A7383" w:rsidP="009A7383">
      <w:pPr>
        <w:pStyle w:val="Caption"/>
      </w:pPr>
      <w:bookmarkStart w:id="338" w:name="_Ref126652778"/>
      <w:bookmarkStart w:id="339" w:name="_Toc6368036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66</w:t>
      </w:r>
      <w:r w:rsidR="004E20BD">
        <w:rPr>
          <w:noProof/>
        </w:rPr>
        <w:fldChar w:fldCharType="end"/>
      </w:r>
      <w:bookmarkEnd w:id="338"/>
      <w:r>
        <w:t>: Edit Unit Financial Data</w:t>
      </w:r>
    </w:p>
    <w:p w14:paraId="75B0BD88" w14:textId="77777777" w:rsidR="009A7383" w:rsidRDefault="00057948" w:rsidP="009A7383">
      <w:pPr>
        <w:pStyle w:val="BodyText"/>
      </w:pPr>
      <w:r>
        <w:rPr>
          <w:noProof/>
        </w:rPr>
        <w:drawing>
          <wp:inline distT="0" distB="0" distL="0" distR="0" wp14:anchorId="11B17E45" wp14:editId="6E959FD3">
            <wp:extent cx="5523230" cy="3879215"/>
            <wp:effectExtent l="0" t="0" r="1270" b="6985"/>
            <wp:docPr id="182" name="Picture 182" descr="Example of Edit Unit Financial Data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Example of Edit Unit Financial Data screen capture"/>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23230" cy="3879215"/>
                    </a:xfrm>
                    <a:prstGeom prst="rect">
                      <a:avLst/>
                    </a:prstGeom>
                    <a:noFill/>
                    <a:ln>
                      <a:noFill/>
                    </a:ln>
                  </pic:spPr>
                </pic:pic>
              </a:graphicData>
            </a:graphic>
          </wp:inline>
        </w:drawing>
      </w:r>
    </w:p>
    <w:p w14:paraId="186410FB" w14:textId="77777777" w:rsidR="002A21AE" w:rsidRDefault="002A21AE">
      <w:pPr>
        <w:pStyle w:val="Heading3"/>
      </w:pPr>
      <w:bookmarkStart w:id="340" w:name="_Toc149064132"/>
      <w:r>
        <w:t>Free Directed Unit For Crossover</w:t>
      </w:r>
      <w:bookmarkEnd w:id="340"/>
      <w:r w:rsidRPr="007716F7">
        <w:rPr>
          <w:vanish/>
        </w:rPr>
        <w:fldChar w:fldCharType="begin"/>
      </w:r>
      <w:r w:rsidRPr="007716F7">
        <w:rPr>
          <w:vanish/>
        </w:rPr>
        <w:instrText xml:space="preserve"> XE </w:instrText>
      </w:r>
      <w:r w:rsidR="00FA7E65" w:rsidRPr="007716F7">
        <w:rPr>
          <w:vanish/>
        </w:rPr>
        <w:instrText>“</w:instrText>
      </w:r>
      <w:r w:rsidRPr="007716F7">
        <w:rPr>
          <w:vanish/>
        </w:rPr>
        <w:instrText>Free Directed Unit For Crossover</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UC_71</w:t>
      </w:r>
    </w:p>
    <w:p w14:paraId="51EC295A" w14:textId="77777777" w:rsidR="002A21AE" w:rsidRDefault="002A21AE" w:rsidP="00FA7E65">
      <w:pPr>
        <w:pStyle w:val="BodyText"/>
      </w:pPr>
      <w:r>
        <w:t xml:space="preserve">The user removes a patient restriction </w:t>
      </w:r>
      <w:r w:rsidR="00757A26">
        <w:t>from</w:t>
      </w:r>
      <w:r>
        <w:t xml:space="preserve"> a directed unit that is eligible for crossover, making that unit available for any patient, according to system rules. </w:t>
      </w:r>
    </w:p>
    <w:p w14:paraId="6BFB3610" w14:textId="77777777" w:rsidR="002A21AE" w:rsidRDefault="002A21AE">
      <w:pPr>
        <w:pStyle w:val="Heading4"/>
      </w:pPr>
      <w:r>
        <w:t>Assumptions</w:t>
      </w:r>
      <w:r>
        <w:rPr>
          <w:b w:val="0"/>
        </w:rPr>
        <w:t xml:space="preserve"> </w:t>
      </w:r>
    </w:p>
    <w:p w14:paraId="1F55F1E2" w14:textId="77777777" w:rsidR="00852AC1" w:rsidRDefault="00852AC1">
      <w:pPr>
        <w:pStyle w:val="ListBullet"/>
      </w:pPr>
      <w:r>
        <w:t>The division is “full service.”</w:t>
      </w:r>
    </w:p>
    <w:p w14:paraId="3F2D3E7F" w14:textId="77777777" w:rsidR="002A21AE" w:rsidRDefault="002A21AE">
      <w:pPr>
        <w:pStyle w:val="ListBullet"/>
      </w:pPr>
      <w:r>
        <w:t>The unit and the user are in a blood bank in the same division.</w:t>
      </w:r>
    </w:p>
    <w:p w14:paraId="45C36E58" w14:textId="77777777" w:rsidR="002A21AE" w:rsidRDefault="002A21AE">
      <w:pPr>
        <w:pStyle w:val="ListBullet"/>
      </w:pPr>
      <w:r>
        <w:t>The unit is restricted for a patient.</w:t>
      </w:r>
    </w:p>
    <w:p w14:paraId="756D087F" w14:textId="77777777" w:rsidR="002A21AE" w:rsidRDefault="002A21AE">
      <w:pPr>
        <w:pStyle w:val="ListBullet"/>
      </w:pPr>
      <w:r>
        <w:t xml:space="preserve">The unit is not autologous. </w:t>
      </w:r>
    </w:p>
    <w:p w14:paraId="72EBEADE" w14:textId="77777777" w:rsidR="002A21AE" w:rsidRDefault="002A21AE">
      <w:pPr>
        <w:pStyle w:val="ListBullet"/>
      </w:pPr>
      <w:r>
        <w:t>The unit is not in a final status.</w:t>
      </w:r>
    </w:p>
    <w:p w14:paraId="5F9E34DE" w14:textId="77777777" w:rsidR="002A21AE" w:rsidRDefault="002A21AE">
      <w:pPr>
        <w:pStyle w:val="Heading4"/>
      </w:pPr>
      <w:r>
        <w:t xml:space="preserve">Outcome </w:t>
      </w:r>
    </w:p>
    <w:p w14:paraId="535F09FB" w14:textId="77777777" w:rsidR="002A21AE" w:rsidRDefault="002A21AE">
      <w:pPr>
        <w:pStyle w:val="ListBullet"/>
      </w:pPr>
      <w:r>
        <w:t>The unit has no restrictions.</w:t>
      </w:r>
    </w:p>
    <w:p w14:paraId="000EBA27" w14:textId="77777777" w:rsidR="002A21AE" w:rsidRDefault="002A21AE">
      <w:pPr>
        <w:pStyle w:val="ListBullet"/>
      </w:pPr>
      <w:r>
        <w:t>VBECS documents the restriction and its removal in the unit record.</w:t>
      </w:r>
    </w:p>
    <w:p w14:paraId="50082716" w14:textId="77777777" w:rsidR="002A21AE" w:rsidRDefault="007A4F14">
      <w:pPr>
        <w:pStyle w:val="Heading4"/>
      </w:pPr>
      <w:r>
        <w:br w:type="page"/>
      </w:r>
      <w:r w:rsidR="002A21AE">
        <w:t>Limitations and Restrictions</w:t>
      </w:r>
      <w:r w:rsidR="002A21AE">
        <w:rPr>
          <w:b w:val="0"/>
        </w:rPr>
        <w:t xml:space="preserve"> </w:t>
      </w:r>
    </w:p>
    <w:p w14:paraId="63D04451" w14:textId="77777777" w:rsidR="002A21AE" w:rsidRDefault="002A21AE">
      <w:pPr>
        <w:pStyle w:val="ListBullet"/>
      </w:pPr>
      <w:r>
        <w:t xml:space="preserve">The unit must not be in a final status to release the restriction. </w:t>
      </w:r>
    </w:p>
    <w:p w14:paraId="47D9D049" w14:textId="77777777" w:rsidR="002A21AE" w:rsidRDefault="002A21AE">
      <w:pPr>
        <w:pStyle w:val="ListBullet"/>
      </w:pPr>
      <w:r>
        <w:t>This option does not allow the removal of patient restrictions for most of the ISBT donation types that are eligible for crossover</w:t>
      </w:r>
      <w:r w:rsidR="00651291">
        <w:t>.</w:t>
      </w:r>
    </w:p>
    <w:p w14:paraId="0A1859D6" w14:textId="77777777" w:rsidR="002A21AE" w:rsidRDefault="002A21AE">
      <w:pPr>
        <w:pStyle w:val="ListBullet"/>
      </w:pPr>
      <w:r>
        <w:t>This option cannot process multiple directed units simultaneously.</w:t>
      </w:r>
    </w:p>
    <w:p w14:paraId="633B2DFF" w14:textId="77777777" w:rsidR="002A21AE" w:rsidRDefault="002A21AE">
      <w:pPr>
        <w:pStyle w:val="Heading4"/>
      </w:pPr>
      <w:r>
        <w:t xml:space="preserve">Additional Information </w:t>
      </w:r>
    </w:p>
    <w:p w14:paraId="706085DF" w14:textId="77777777" w:rsidR="00852AC1" w:rsidRPr="00852AC1" w:rsidRDefault="00852AC1" w:rsidP="00852AC1">
      <w:pPr>
        <w:pStyle w:val="ListBullet"/>
      </w:pPr>
      <w:r w:rsidRPr="00852AC1">
        <w:rPr>
          <w:snapToGrid w:val="0"/>
          <w:vanish/>
        </w:rPr>
        <w:t>BR_41.32</w:t>
      </w:r>
      <w:r>
        <w:rPr>
          <w:snapToGrid w:val="0"/>
        </w:rPr>
        <w:t xml:space="preserve">This option is disabled for transfusion-only facilities. </w:t>
      </w:r>
    </w:p>
    <w:p w14:paraId="41FCADFA" w14:textId="77777777" w:rsidR="002A21AE" w:rsidRDefault="002A21AE">
      <w:pPr>
        <w:pStyle w:val="Heading4"/>
        <w:rPr>
          <w:b w:val="0"/>
        </w:rPr>
      </w:pPr>
      <w:r>
        <w:t>User Roles with Access to This Option</w:t>
      </w:r>
      <w:r>
        <w:rPr>
          <w:b w:val="0"/>
        </w:rPr>
        <w:t xml:space="preserve"> </w:t>
      </w:r>
    </w:p>
    <w:p w14:paraId="15AB344D" w14:textId="77777777" w:rsidR="002A21AE" w:rsidRDefault="00CD2BE3">
      <w:pPr>
        <w:pStyle w:val="Roles"/>
        <w:rPr>
          <w:snapToGrid w:val="0"/>
        </w:rPr>
      </w:pPr>
      <w:r w:rsidRPr="00EC7489">
        <w:rPr>
          <w:rFonts w:ascii="Wingdings 3" w:hAnsi="Wingdings 3" w:cs="Wingdings"/>
        </w:rPr>
        <w:t></w:t>
      </w:r>
      <w:r w:rsidRPr="00EC7489">
        <w:rPr>
          <w:rFonts w:ascii="Wingdings 3" w:hAnsi="Wingdings 3" w:cs="Wingdings"/>
        </w:rPr>
        <w:t></w:t>
      </w:r>
      <w:r>
        <w:t xml:space="preserve"> Enhanced Technologist</w:t>
      </w:r>
    </w:p>
    <w:p w14:paraId="640237B3" w14:textId="77777777" w:rsidR="002A21AE" w:rsidRDefault="002A21AE">
      <w:pPr>
        <w:pStyle w:val="Heading4"/>
      </w:pPr>
      <w:r>
        <w:t>Free Directed Unit For Crossover</w:t>
      </w:r>
    </w:p>
    <w:p w14:paraId="441FC40A" w14:textId="77777777" w:rsidR="002A21AE" w:rsidRDefault="002A21AE" w:rsidP="00FA7E65">
      <w:pPr>
        <w:pStyle w:val="BodyText"/>
      </w:pPr>
      <w:r>
        <w:t>The user releases the restriction on a directed donor unit to make the unit available in general inventory.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200BF2E" w14:textId="77777777">
        <w:trPr>
          <w:cantSplit/>
          <w:tblHeader/>
        </w:trPr>
        <w:tc>
          <w:tcPr>
            <w:tcW w:w="3240" w:type="dxa"/>
            <w:shd w:val="pct30" w:color="auto" w:fill="FFFFFF"/>
            <w:vAlign w:val="bottom"/>
          </w:tcPr>
          <w:p w14:paraId="11B090B2" w14:textId="77777777" w:rsidR="002A21AE" w:rsidRDefault="002A21AE">
            <w:pPr>
              <w:pStyle w:val="TableText"/>
              <w:rPr>
                <w:b/>
              </w:rPr>
            </w:pPr>
            <w:r>
              <w:rPr>
                <w:b/>
              </w:rPr>
              <w:t>User Action</w:t>
            </w:r>
          </w:p>
        </w:tc>
        <w:tc>
          <w:tcPr>
            <w:tcW w:w="6120" w:type="dxa"/>
            <w:shd w:val="pct30" w:color="auto" w:fill="FFFFFF"/>
            <w:vAlign w:val="bottom"/>
          </w:tcPr>
          <w:p w14:paraId="3DABC711" w14:textId="77777777" w:rsidR="002A21AE" w:rsidRDefault="002A21AE">
            <w:pPr>
              <w:pStyle w:val="TableText"/>
              <w:rPr>
                <w:b/>
              </w:rPr>
            </w:pPr>
            <w:r>
              <w:rPr>
                <w:b/>
              </w:rPr>
              <w:t>VBECS</w:t>
            </w:r>
          </w:p>
        </w:tc>
      </w:tr>
      <w:tr w:rsidR="002A21AE" w14:paraId="5937371E" w14:textId="77777777">
        <w:tc>
          <w:tcPr>
            <w:tcW w:w="3240" w:type="dxa"/>
          </w:tcPr>
          <w:p w14:paraId="71B2FFAE" w14:textId="77777777" w:rsidR="002A21AE" w:rsidRDefault="002A21AE">
            <w:pPr>
              <w:pStyle w:val="TableTextNumbers"/>
            </w:pPr>
            <w:r>
              <w:t xml:space="preserve">Select </w:t>
            </w:r>
            <w:r>
              <w:rPr>
                <w:b/>
              </w:rPr>
              <w:t xml:space="preserve">Blood Units </w:t>
            </w:r>
            <w:r>
              <w:t>from the main menu.</w:t>
            </w:r>
          </w:p>
          <w:p w14:paraId="7B07AA59" w14:textId="77777777" w:rsidR="002A21AE" w:rsidRDefault="002A21AE">
            <w:pPr>
              <w:pStyle w:val="TableTextNumbersContinued"/>
            </w:pPr>
          </w:p>
          <w:p w14:paraId="701F1E14" w14:textId="77777777" w:rsidR="002A21AE" w:rsidRDefault="002A21AE">
            <w:pPr>
              <w:pStyle w:val="TableTextNumbersContinued"/>
            </w:pPr>
            <w:r>
              <w:t xml:space="preserve">Select </w:t>
            </w:r>
            <w:r>
              <w:rPr>
                <w:b/>
              </w:rPr>
              <w:t xml:space="preserve">Free Directed Unit </w:t>
            </w:r>
            <w:r w:rsidR="008251CD">
              <w:rPr>
                <w:b/>
              </w:rPr>
              <w:t>F</w:t>
            </w:r>
            <w:r>
              <w:rPr>
                <w:b/>
              </w:rPr>
              <w:t>or Crossover</w:t>
            </w:r>
            <w:r>
              <w:t>.</w:t>
            </w:r>
          </w:p>
        </w:tc>
        <w:tc>
          <w:tcPr>
            <w:tcW w:w="6120" w:type="dxa"/>
          </w:tcPr>
          <w:p w14:paraId="74D1C7F1" w14:textId="77777777" w:rsidR="002A21AE" w:rsidRDefault="002A21AE">
            <w:pPr>
              <w:pStyle w:val="TableTextBullet"/>
            </w:pPr>
            <w:r>
              <w:t>Displays options for processing units.</w:t>
            </w:r>
          </w:p>
          <w:p w14:paraId="2EF0714C" w14:textId="77777777" w:rsidR="002A21AE" w:rsidRDefault="002A21AE">
            <w:pPr>
              <w:pStyle w:val="TableTextBullet"/>
            </w:pPr>
            <w:r>
              <w:t>Prompts the user to scan or enter the unit ID and product code.</w:t>
            </w:r>
          </w:p>
        </w:tc>
      </w:tr>
      <w:tr w:rsidR="002A21AE" w14:paraId="09017B1F" w14:textId="77777777">
        <w:tc>
          <w:tcPr>
            <w:tcW w:w="3240" w:type="dxa"/>
          </w:tcPr>
          <w:p w14:paraId="364A50D1" w14:textId="77777777" w:rsidR="002A21AE" w:rsidRDefault="002A21AE">
            <w:pPr>
              <w:pStyle w:val="TableTextNumbers"/>
            </w:pPr>
            <w:r>
              <w:t>Scan or enter the unit ID and product code for each unit.</w:t>
            </w:r>
          </w:p>
        </w:tc>
        <w:tc>
          <w:tcPr>
            <w:tcW w:w="6120" w:type="dxa"/>
          </w:tcPr>
          <w:p w14:paraId="5C0B3060" w14:textId="77777777" w:rsidR="002A21AE" w:rsidRDefault="002A21AE">
            <w:pPr>
              <w:pStyle w:val="TableTextBullet"/>
            </w:pPr>
            <w:r>
              <w:t>Displays the unit information.</w:t>
            </w:r>
          </w:p>
          <w:p w14:paraId="344BB389" w14:textId="77777777" w:rsidR="002A21AE" w:rsidRDefault="002A21AE">
            <w:pPr>
              <w:pStyle w:val="TableText"/>
            </w:pPr>
          </w:p>
          <w:p w14:paraId="57334E62" w14:textId="245D1B66" w:rsidR="002A21AE" w:rsidRDefault="002A21AE">
            <w:pPr>
              <w:pStyle w:val="TableText"/>
              <w:rPr>
                <w:b/>
                <w:bCs/>
                <w:szCs w:val="18"/>
              </w:rPr>
            </w:pPr>
            <w:r>
              <w:rPr>
                <w:b/>
                <w:bCs/>
                <w:szCs w:val="18"/>
              </w:rPr>
              <w:t>NOTES</w:t>
            </w:r>
          </w:p>
          <w:p w14:paraId="6652E79B" w14:textId="77777777" w:rsidR="002A21AE" w:rsidRDefault="002A21AE">
            <w:pPr>
              <w:pStyle w:val="NotesText"/>
            </w:pPr>
          </w:p>
          <w:p w14:paraId="158C15A1" w14:textId="77777777" w:rsidR="002A21AE" w:rsidRDefault="002A21AE">
            <w:pPr>
              <w:pStyle w:val="NotesText"/>
            </w:pPr>
            <w:r>
              <w:t>When a user adds a directed unit to an undirected pool, VBECS queries the user regarding releasing the unit’s restriction.</w:t>
            </w:r>
          </w:p>
          <w:p w14:paraId="3A267FAE" w14:textId="77777777" w:rsidR="002A21AE" w:rsidRDefault="002A21AE">
            <w:pPr>
              <w:pStyle w:val="NotesText"/>
            </w:pPr>
          </w:p>
          <w:p w14:paraId="1F74EA27" w14:textId="3FBA00E0" w:rsidR="00FD7E6B" w:rsidRDefault="002A21AE" w:rsidP="00FD7E6B">
            <w:pPr>
              <w:pStyle w:val="NotesText"/>
            </w:pPr>
            <w:r w:rsidRPr="00896F17">
              <w:rPr>
                <w:rStyle w:val="BullhornChar"/>
              </w:rPr>
              <w:t></w:t>
            </w:r>
            <w:r>
              <w:t xml:space="preserve"> </w:t>
            </w:r>
            <w:r>
              <w:rPr>
                <w:rFonts w:cs="Arial"/>
                <w:vanish/>
              </w:rPr>
              <w:t>BR_71.01</w:t>
            </w:r>
            <w:r w:rsidR="002D770B">
              <w:rPr>
                <w:rFonts w:cs="Arial"/>
                <w:vanish/>
              </w:rPr>
              <w:t xml:space="preserve"> </w:t>
            </w:r>
            <w:r>
              <w:t>The unit must have a donation type of</w:t>
            </w:r>
            <w:r w:rsidR="00FD7E6B">
              <w:t xml:space="preserve"> one of the following:</w:t>
            </w:r>
          </w:p>
          <w:p w14:paraId="73C5183E" w14:textId="634795E2" w:rsidR="00FD7E6B" w:rsidRDefault="002A21AE" w:rsidP="005E17F4">
            <w:pPr>
              <w:pStyle w:val="NotesText"/>
              <w:numPr>
                <w:ilvl w:val="0"/>
                <w:numId w:val="82"/>
              </w:numPr>
            </w:pPr>
            <w:r>
              <w:t>Volunteer Directed</w:t>
            </w:r>
            <w:r w:rsidR="00FD7E6B">
              <w:t>, Eligible for Crossover</w:t>
            </w:r>
          </w:p>
          <w:p w14:paraId="3D1ACD08" w14:textId="0832F438" w:rsidR="00FD7E6B" w:rsidRDefault="00D77462" w:rsidP="005E17F4">
            <w:pPr>
              <w:pStyle w:val="NotesText"/>
              <w:numPr>
                <w:ilvl w:val="0"/>
                <w:numId w:val="82"/>
              </w:numPr>
            </w:pPr>
            <w:r>
              <w:t>Dedicated/Designated</w:t>
            </w:r>
            <w:r w:rsidR="0078306A">
              <w:t>/</w:t>
            </w:r>
            <w:proofErr w:type="spellStart"/>
            <w:r w:rsidR="002A21AE">
              <w:t>E</w:t>
            </w:r>
            <w:r>
              <w:t>l</w:t>
            </w:r>
            <w:r w:rsidR="00345379">
              <w:t>g</w:t>
            </w:r>
            <w:r>
              <w:t>b</w:t>
            </w:r>
            <w:proofErr w:type="spellEnd"/>
            <w:r w:rsidR="002A21AE">
              <w:t xml:space="preserve"> for Crossover</w:t>
            </w:r>
          </w:p>
          <w:p w14:paraId="6A646B26" w14:textId="77777777" w:rsidR="00FD7E6B" w:rsidRDefault="002D770B" w:rsidP="005E17F4">
            <w:pPr>
              <w:pStyle w:val="NotesText"/>
              <w:numPr>
                <w:ilvl w:val="0"/>
                <w:numId w:val="82"/>
              </w:numPr>
            </w:pPr>
            <w:r>
              <w:t>Family Reserved</w:t>
            </w:r>
            <w:r w:rsidR="002A21AE">
              <w:t>.</w:t>
            </w:r>
          </w:p>
          <w:p w14:paraId="71FD06E8" w14:textId="31A38CFC" w:rsidR="002A21AE" w:rsidRDefault="002A21AE">
            <w:pPr>
              <w:pStyle w:val="NotesText"/>
            </w:pPr>
            <w:r>
              <w:t>If not, VBECS warns that the unit has an invalid donation type and is in a final status.</w:t>
            </w:r>
            <w:r w:rsidR="000A70BE">
              <w:t xml:space="preserve"> The unit must not be autologous.</w:t>
            </w:r>
            <w:r>
              <w:t xml:space="preserve">” </w:t>
            </w:r>
          </w:p>
          <w:p w14:paraId="12FEE42D" w14:textId="77777777" w:rsidR="002A21AE" w:rsidRDefault="002A21AE">
            <w:pPr>
              <w:pStyle w:val="NotesText"/>
            </w:pPr>
          </w:p>
          <w:p w14:paraId="5784496B" w14:textId="77777777" w:rsidR="002A21AE" w:rsidRDefault="002A21AE">
            <w:pPr>
              <w:pStyle w:val="NotesText"/>
            </w:pPr>
            <w:r w:rsidRPr="00896F17">
              <w:rPr>
                <w:rStyle w:val="BullhornChar"/>
              </w:rPr>
              <w:t></w:t>
            </w:r>
            <w:r>
              <w:rPr>
                <w:vanish/>
                <w:szCs w:val="18"/>
              </w:rPr>
              <w:t>BR_71.03</w:t>
            </w:r>
            <w:r>
              <w:t xml:space="preserve"> The unit must not be assigned to a patient to release the restriction. VBECS warns that the unit is currently assigned and that he must release the assignment before continuing.</w:t>
            </w:r>
          </w:p>
        </w:tc>
      </w:tr>
      <w:tr w:rsidR="002A21AE" w14:paraId="0F0FBACA" w14:textId="77777777">
        <w:tc>
          <w:tcPr>
            <w:tcW w:w="3240" w:type="dxa"/>
          </w:tcPr>
          <w:p w14:paraId="18DD014C" w14:textId="5276ACB7" w:rsidR="002A21AE" w:rsidRDefault="002A21AE">
            <w:pPr>
              <w:pStyle w:val="TableTextNumbers"/>
            </w:pPr>
            <w:r>
              <w:t>Enter a date and time and possibly a different user, or accept the defaults</w:t>
            </w:r>
            <w:r w:rsidR="000860BB">
              <w:t xml:space="preserve"> (</w:t>
            </w:r>
            <w:r w:rsidR="00EE455E">
              <w:t xml:space="preserve">Figure </w:t>
            </w:r>
            <w:r w:rsidR="00EE455E">
              <w:rPr>
                <w:noProof/>
              </w:rPr>
              <w:t>67</w:t>
            </w:r>
            <w:r w:rsidR="000860BB">
              <w:t>)</w:t>
            </w:r>
            <w:r>
              <w:t>.</w:t>
            </w:r>
          </w:p>
          <w:p w14:paraId="71877A74" w14:textId="77777777" w:rsidR="002A21AE" w:rsidRDefault="002A21AE">
            <w:pPr>
              <w:pStyle w:val="TableTextNumbersContinued"/>
            </w:pPr>
          </w:p>
          <w:p w14:paraId="757196AB" w14:textId="77777777" w:rsidR="002A21AE" w:rsidRDefault="002A21AE">
            <w:pPr>
              <w:pStyle w:val="TableTextNumbersContinued"/>
            </w:pPr>
            <w:r>
              <w:t>Enter the required comment.</w:t>
            </w:r>
          </w:p>
        </w:tc>
        <w:tc>
          <w:tcPr>
            <w:tcW w:w="6120" w:type="dxa"/>
          </w:tcPr>
          <w:p w14:paraId="21AE18EE" w14:textId="77777777" w:rsidR="002A21AE" w:rsidRDefault="002A21AE">
            <w:pPr>
              <w:pStyle w:val="TableTextBullet"/>
            </w:pPr>
            <w:r>
              <w:t>Displays the unit information.</w:t>
            </w:r>
          </w:p>
          <w:p w14:paraId="2EFF3136" w14:textId="14C388FE" w:rsidR="002A21AE" w:rsidRDefault="002A21AE">
            <w:pPr>
              <w:pStyle w:val="TableTextBullet"/>
            </w:pPr>
            <w:r>
              <w:rPr>
                <w:vanish/>
                <w:szCs w:val="18"/>
              </w:rPr>
              <w:t xml:space="preserve">BR_71.04 </w:t>
            </w:r>
            <w:r w:rsidR="00451640">
              <w:t>R</w:t>
            </w:r>
            <w:r w:rsidR="00523215">
              <w:t>equires</w:t>
            </w:r>
            <w:r>
              <w:t xml:space="preserve"> a comment, and captures details for inclusion in an Exception Report (exception type: released patient restriction). </w:t>
            </w:r>
          </w:p>
        </w:tc>
      </w:tr>
      <w:tr w:rsidR="00F9533F" w14:paraId="2BC064E8" w14:textId="77777777">
        <w:tc>
          <w:tcPr>
            <w:tcW w:w="3240" w:type="dxa"/>
          </w:tcPr>
          <w:p w14:paraId="697D8683" w14:textId="77777777" w:rsidR="00F9533F" w:rsidRDefault="00F9533F" w:rsidP="00FA7E65">
            <w:pPr>
              <w:pStyle w:val="TableTextNumbers"/>
            </w:pPr>
            <w:r>
              <w:t xml:space="preserve">Click </w:t>
            </w:r>
            <w:r>
              <w:rPr>
                <w:b/>
              </w:rPr>
              <w:t>OK</w:t>
            </w:r>
            <w:r>
              <w:t xml:space="preserve"> to process the unit and add it to available inventory.</w:t>
            </w:r>
          </w:p>
        </w:tc>
        <w:tc>
          <w:tcPr>
            <w:tcW w:w="6120" w:type="dxa"/>
          </w:tcPr>
          <w:p w14:paraId="0F9E3319" w14:textId="77777777" w:rsidR="00F9533F" w:rsidRDefault="00F9533F" w:rsidP="00FA7E65">
            <w:pPr>
              <w:pStyle w:val="TableTextBullet"/>
            </w:pPr>
            <w:r>
              <w:t xml:space="preserve">Displays the return time, the editable (past date and time) field (default: current date and time), and the list of users for selection. </w:t>
            </w:r>
          </w:p>
          <w:p w14:paraId="431B01F3" w14:textId="77777777" w:rsidR="00F9533F" w:rsidRDefault="00F9533F" w:rsidP="00F9533F">
            <w:pPr>
              <w:pStyle w:val="TableTextBullet"/>
            </w:pPr>
            <w:r>
              <w:t xml:space="preserve">Saves the information to the database. </w:t>
            </w:r>
          </w:p>
          <w:p w14:paraId="7E26A622" w14:textId="77777777" w:rsidR="00F9533F" w:rsidRDefault="00F9533F" w:rsidP="00F9533F">
            <w:pPr>
              <w:pStyle w:val="TableTextBullet"/>
            </w:pPr>
            <w:r>
              <w:t>Changes the donation type of the unit to “Voluntary Allogeneic” and removes the restriction associated with the unit.</w:t>
            </w:r>
          </w:p>
        </w:tc>
      </w:tr>
      <w:tr w:rsidR="002A21AE" w14:paraId="55CFB1CD" w14:textId="77777777">
        <w:tc>
          <w:tcPr>
            <w:tcW w:w="3240" w:type="dxa"/>
          </w:tcPr>
          <w:p w14:paraId="0EEBEA2E" w14:textId="77777777" w:rsidR="002A21AE" w:rsidRDefault="008251CD" w:rsidP="00F9533F">
            <w:pPr>
              <w:pStyle w:val="TableTextNumbers"/>
            </w:pPr>
            <w:r>
              <w:t xml:space="preserve">Click </w:t>
            </w:r>
            <w:r w:rsidRPr="008251CD">
              <w:rPr>
                <w:b/>
              </w:rPr>
              <w:t>Yes</w:t>
            </w:r>
            <w:r>
              <w:t xml:space="preserve"> to confirm</w:t>
            </w:r>
            <w:r w:rsidR="00F9533F">
              <w:t xml:space="preserve"> the save</w:t>
            </w:r>
            <w:r w:rsidR="002A21AE">
              <w:t xml:space="preserve">. </w:t>
            </w:r>
            <w:r w:rsidR="002A21AE">
              <w:rPr>
                <w:rStyle w:val="TableTextNumbersChar"/>
                <w:vanish/>
                <w:color w:val="FFFFFF"/>
                <w:szCs w:val="18"/>
              </w:rPr>
              <w:fldChar w:fldCharType="begin"/>
            </w:r>
            <w:r w:rsidR="002A21AE">
              <w:rPr>
                <w:rStyle w:val="TableTextNumbersChar"/>
                <w:vanish/>
                <w:color w:val="FFFFFF"/>
                <w:szCs w:val="18"/>
              </w:rPr>
              <w:instrText xml:space="preserve"> LISTNUM \l 1 \s 0 </w:instrText>
            </w:r>
            <w:r w:rsidR="002A21AE">
              <w:rPr>
                <w:rStyle w:val="TableTextNumbersChar"/>
                <w:vanish/>
                <w:color w:val="FFFFFF"/>
                <w:szCs w:val="18"/>
              </w:rPr>
              <w:fldChar w:fldCharType="end"/>
            </w:r>
          </w:p>
        </w:tc>
        <w:tc>
          <w:tcPr>
            <w:tcW w:w="6120" w:type="dxa"/>
          </w:tcPr>
          <w:p w14:paraId="0B83AEA5" w14:textId="77777777" w:rsidR="002A21AE" w:rsidRDefault="002A21AE" w:rsidP="00771DBD">
            <w:pPr>
              <w:pStyle w:val="TableText"/>
            </w:pPr>
          </w:p>
        </w:tc>
      </w:tr>
    </w:tbl>
    <w:p w14:paraId="1BE4F8B7" w14:textId="1D724123" w:rsidR="000860BB" w:rsidRDefault="000860BB" w:rsidP="000860BB">
      <w:pPr>
        <w:pStyle w:val="Caption"/>
      </w:pPr>
      <w:bookmarkStart w:id="341" w:name="_Ref12665333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67</w:t>
      </w:r>
      <w:r w:rsidR="004E20BD">
        <w:rPr>
          <w:noProof/>
        </w:rPr>
        <w:fldChar w:fldCharType="end"/>
      </w:r>
      <w:bookmarkEnd w:id="341"/>
      <w:r>
        <w:t xml:space="preserve">: Free Directed Unit </w:t>
      </w:r>
      <w:r w:rsidR="00F927FC">
        <w:t>F</w:t>
      </w:r>
      <w:r>
        <w:t>or Crossover</w:t>
      </w:r>
    </w:p>
    <w:p w14:paraId="3A2645E5" w14:textId="7D5D6157" w:rsidR="000860BB" w:rsidRDefault="00F927FC" w:rsidP="000860BB">
      <w:pPr>
        <w:pStyle w:val="BodyText"/>
      </w:pPr>
      <w:r>
        <w:rPr>
          <w:noProof/>
        </w:rPr>
        <w:drawing>
          <wp:inline distT="0" distB="0" distL="0" distR="0" wp14:anchorId="353E8F30" wp14:editId="3F599967">
            <wp:extent cx="5943600" cy="3772535"/>
            <wp:effectExtent l="0" t="0" r="0" b="0"/>
            <wp:docPr id="177" name="Picture 177" descr="Example of Free Directed Unit For Crossov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Example of Free Directed Unit For Crossover screen captur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3772535"/>
                    </a:xfrm>
                    <a:prstGeom prst="rect">
                      <a:avLst/>
                    </a:prstGeom>
                    <a:noFill/>
                    <a:ln>
                      <a:noFill/>
                    </a:ln>
                  </pic:spPr>
                </pic:pic>
              </a:graphicData>
            </a:graphic>
          </wp:inline>
        </w:drawing>
      </w:r>
    </w:p>
    <w:p w14:paraId="69542B9E" w14:textId="77777777" w:rsidR="002A21AE" w:rsidRDefault="002A21AE">
      <w:pPr>
        <w:pStyle w:val="Heading3"/>
      </w:pPr>
      <w:bookmarkStart w:id="342" w:name="_Toc149064133"/>
      <w:r>
        <w:t>Discard or Quarantine</w:t>
      </w:r>
      <w:bookmarkEnd w:id="342"/>
      <w:r w:rsidRPr="007716F7">
        <w:rPr>
          <w:vanish/>
        </w:rPr>
        <w:fldChar w:fldCharType="begin"/>
      </w:r>
      <w:r w:rsidRPr="007716F7">
        <w:rPr>
          <w:vanish/>
        </w:rPr>
        <w:instrText xml:space="preserve"> XE </w:instrText>
      </w:r>
      <w:r w:rsidR="00FA7E65" w:rsidRPr="007716F7">
        <w:rPr>
          <w:vanish/>
        </w:rPr>
        <w:instrText>“</w:instrText>
      </w:r>
      <w:r w:rsidRPr="007716F7">
        <w:rPr>
          <w:vanish/>
        </w:rPr>
        <w:instrText>Discard or Quarantine</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UC_27</w:t>
      </w:r>
    </w:p>
    <w:p w14:paraId="5D1A4CE6" w14:textId="77777777" w:rsidR="002A21AE" w:rsidRDefault="002A21AE" w:rsidP="00FA7E65">
      <w:pPr>
        <w:pStyle w:val="BodyText"/>
      </w:pPr>
      <w:r>
        <w:t>The user discards, quarantines, or releases from quarantine one or more units of blood.</w:t>
      </w:r>
    </w:p>
    <w:p w14:paraId="55050119" w14:textId="77777777" w:rsidR="002A21AE" w:rsidRDefault="002A21AE">
      <w:pPr>
        <w:pStyle w:val="Heading4"/>
      </w:pPr>
      <w:r>
        <w:t>Assumptions</w:t>
      </w:r>
      <w:r>
        <w:rPr>
          <w:b w:val="0"/>
        </w:rPr>
        <w:t xml:space="preserve"> </w:t>
      </w:r>
    </w:p>
    <w:p w14:paraId="3C080B5A" w14:textId="77777777" w:rsidR="002A21AE" w:rsidRDefault="002A21AE">
      <w:pPr>
        <w:pStyle w:val="ListBullet"/>
      </w:pPr>
      <w:r>
        <w:t>The unit of blood is in the same division as the user.</w:t>
      </w:r>
    </w:p>
    <w:p w14:paraId="1BA84B6C" w14:textId="77777777" w:rsidR="002A21AE" w:rsidRDefault="002A21AE">
      <w:pPr>
        <w:pStyle w:val="Heading4"/>
      </w:pPr>
      <w:r>
        <w:t xml:space="preserve">Outcome </w:t>
      </w:r>
    </w:p>
    <w:p w14:paraId="22622BE7" w14:textId="77777777" w:rsidR="002A21AE" w:rsidRDefault="00AE3CC7">
      <w:pPr>
        <w:pStyle w:val="ListBullet"/>
      </w:pPr>
      <w:r>
        <w:rPr>
          <w:noProof/>
        </w:rPr>
        <w:t>Discarded</w:t>
      </w:r>
      <w:r w:rsidR="002A21AE">
        <w:t xml:space="preserve"> units are not available.</w:t>
      </w:r>
    </w:p>
    <w:p w14:paraId="2B3B0334" w14:textId="77777777" w:rsidR="002A21AE" w:rsidRDefault="002A21AE">
      <w:pPr>
        <w:pStyle w:val="ListBullet"/>
      </w:pPr>
      <w:r>
        <w:t>Quarantined units are available for limited processing, not for patient assignment.</w:t>
      </w:r>
    </w:p>
    <w:p w14:paraId="11F6A3E8" w14:textId="77777777" w:rsidR="002A21AE" w:rsidRDefault="002A21AE">
      <w:pPr>
        <w:pStyle w:val="ListBullet"/>
      </w:pPr>
      <w:r>
        <w:t>Units release</w:t>
      </w:r>
      <w:r>
        <w:rPr>
          <w:noProof/>
        </w:rPr>
        <w:t>d from quarantine are available.</w:t>
      </w:r>
    </w:p>
    <w:p w14:paraId="3DFAAFBB" w14:textId="77777777" w:rsidR="002A21AE" w:rsidRDefault="002A21AE">
      <w:pPr>
        <w:pStyle w:val="Heading4"/>
        <w:rPr>
          <w:b w:val="0"/>
        </w:rPr>
      </w:pPr>
      <w:r>
        <w:t>Limitations and Restrictions</w:t>
      </w:r>
      <w:r>
        <w:rPr>
          <w:b w:val="0"/>
        </w:rPr>
        <w:t xml:space="preserve"> </w:t>
      </w:r>
    </w:p>
    <w:p w14:paraId="55347877" w14:textId="37972374" w:rsidR="002A21AE" w:rsidRDefault="00581FC8" w:rsidP="00581FC8">
      <w:pPr>
        <w:pStyle w:val="ListBullet"/>
      </w:pPr>
      <w:r>
        <w:t xml:space="preserve">When a user retroactively updates a unit status through this option, the Unit History Report displays the updated information, but does not display the date the change was made. </w:t>
      </w:r>
    </w:p>
    <w:p w14:paraId="3C37D802" w14:textId="43187321" w:rsidR="007E64EF" w:rsidRDefault="00E73D6B" w:rsidP="007E64EF">
      <w:pPr>
        <w:pStyle w:val="ListBullet"/>
      </w:pPr>
      <w:r>
        <w:t xml:space="preserve">The </w:t>
      </w:r>
      <w:r w:rsidR="007E64EF" w:rsidRPr="007E64EF">
        <w:t xml:space="preserve">option does not accommodate the entry of a second user for retrospective </w:t>
      </w:r>
      <w:r w:rsidR="00E36641">
        <w:t xml:space="preserve">data </w:t>
      </w:r>
      <w:r w:rsidR="007E64EF" w:rsidRPr="007E64EF">
        <w:t>entry.</w:t>
      </w:r>
      <w:r w:rsidR="00EF7C8A">
        <w:t xml:space="preserve"> </w:t>
      </w:r>
      <w:r w:rsidR="0063094B">
        <w:rPr>
          <w:vanish/>
        </w:rPr>
        <w:t>Defect</w:t>
      </w:r>
      <w:r w:rsidR="00EF7C8A" w:rsidRPr="00EF7C8A">
        <w:rPr>
          <w:vanish/>
        </w:rPr>
        <w:t xml:space="preserve"> 209008</w:t>
      </w:r>
    </w:p>
    <w:p w14:paraId="1C059A19" w14:textId="46B8A271" w:rsidR="00D141A2" w:rsidRDefault="00D141A2" w:rsidP="007E64EF">
      <w:pPr>
        <w:pStyle w:val="ListBullet"/>
      </w:pPr>
      <w:r>
        <w:t>Cost entry is capped at 999.</w:t>
      </w:r>
      <w:r w:rsidR="009E0A43">
        <w:t>00</w:t>
      </w:r>
      <w:r>
        <w:t xml:space="preserve">. </w:t>
      </w:r>
      <w:r w:rsidRPr="00D141A2">
        <w:rPr>
          <w:vanish/>
        </w:rPr>
        <w:t>Defect 942523</w:t>
      </w:r>
    </w:p>
    <w:p w14:paraId="58FE5DC6" w14:textId="77777777" w:rsidR="002A21AE" w:rsidRDefault="002A21AE">
      <w:pPr>
        <w:pStyle w:val="Heading4"/>
        <w:rPr>
          <w:b w:val="0"/>
        </w:rPr>
      </w:pPr>
      <w:r>
        <w:t>Additional Information</w:t>
      </w:r>
      <w:r>
        <w:rPr>
          <w:b w:val="0"/>
        </w:rPr>
        <w:t xml:space="preserve"> </w:t>
      </w:r>
    </w:p>
    <w:p w14:paraId="31604807" w14:textId="77777777" w:rsidR="002A21AE" w:rsidRDefault="002A21AE">
      <w:pPr>
        <w:pStyle w:val="ListBullet"/>
      </w:pPr>
      <w:r>
        <w:t xml:space="preserve">None </w:t>
      </w:r>
    </w:p>
    <w:p w14:paraId="55B7F8E0" w14:textId="77777777" w:rsidR="002A21AE" w:rsidRDefault="002A21AE">
      <w:pPr>
        <w:pStyle w:val="Heading4"/>
        <w:rPr>
          <w:snapToGrid w:val="0"/>
        </w:rPr>
      </w:pPr>
      <w:r>
        <w:rPr>
          <w:snapToGrid w:val="0"/>
        </w:rPr>
        <w:t>User Roles with Access to This Option</w:t>
      </w:r>
    </w:p>
    <w:p w14:paraId="0DD39C65" w14:textId="77777777" w:rsidR="00FC61FD" w:rsidRDefault="00FC61FD" w:rsidP="00FC61FD">
      <w:pPr>
        <w:pStyle w:val="Roles"/>
        <w:rPr>
          <w:snapToGrid w:val="0"/>
        </w:rPr>
      </w:pPr>
      <w:r>
        <w:rPr>
          <w:snapToGrid w:val="0"/>
        </w:rPr>
        <w:t>All users</w:t>
      </w:r>
    </w:p>
    <w:p w14:paraId="0A237B34" w14:textId="77777777" w:rsidR="008442AA" w:rsidRDefault="008442AA" w:rsidP="008442AA">
      <w:pPr>
        <w:pStyle w:val="Roles"/>
        <w:rPr>
          <w:rFonts w:ascii="Wingdings 3" w:hAnsi="Wingdings 3" w:cs="Wingdings"/>
        </w:rPr>
      </w:pPr>
      <w:r w:rsidRPr="00EC7489">
        <w:rPr>
          <w:rFonts w:ascii="Wingdings 3" w:hAnsi="Wingdings 3" w:cs="Wingdings"/>
        </w:rPr>
        <w:t></w:t>
      </w:r>
      <w:r w:rsidRPr="00EC7489">
        <w:rPr>
          <w:rFonts w:ascii="Wingdings 3" w:hAnsi="Wingdings 3" w:cs="Wingdings"/>
        </w:rPr>
        <w:t></w:t>
      </w:r>
      <w:r>
        <w:t xml:space="preserve"> Enhanced Technologist (release blood products from quarantine)</w:t>
      </w:r>
      <w:r>
        <w:rPr>
          <w:vanish/>
        </w:rPr>
        <w:t>BR_27.17</w:t>
      </w:r>
      <w:r>
        <w:t xml:space="preserve"> </w:t>
      </w:r>
    </w:p>
    <w:p w14:paraId="0E3A2953" w14:textId="77777777" w:rsidR="002A21AE" w:rsidRDefault="002A21AE">
      <w:pPr>
        <w:pStyle w:val="Heading4"/>
      </w:pPr>
      <w:r>
        <w:t>Discard or Quarantine</w:t>
      </w:r>
    </w:p>
    <w:p w14:paraId="685007CD" w14:textId="77777777" w:rsidR="002A21AE" w:rsidRDefault="002A21AE" w:rsidP="00FA7E65">
      <w:pPr>
        <w:pStyle w:val="BodyText"/>
      </w:pPr>
      <w:r>
        <w:t xml:space="preserve">The user changes the status (discard, quarantine, release from quarantine) of one or more units of blood. The user must indicate the ID and product code of the units to be updated. VBECS also allows batch data entry to process all units from an invoice. </w:t>
      </w:r>
    </w:p>
    <w:p w14:paraId="61483B95" w14:textId="77777777" w:rsidR="002A21AE" w:rsidRDefault="002A21AE" w:rsidP="00FA7E65">
      <w:pPr>
        <w:pStyle w:val="BodyText"/>
      </w:pPr>
      <w:r>
        <w:t xml:space="preserve">A quarantined unit has limited availability for continued processing. Under certain circumstances, VBECS assigns quarantine status automatically; otherwise, the user determines and enters the status. The user must </w:t>
      </w:r>
      <w:r w:rsidR="00D923F9">
        <w:t>specify</w:t>
      </w:r>
      <w:r>
        <w:t xml:space="preserve"> whether a discarded unit is for credit or for waste, which determines whether or not a return credit is assigned to the selected unit.</w:t>
      </w:r>
    </w:p>
    <w:p w14:paraId="2B22A37D" w14:textId="77777777" w:rsidR="007F12F1" w:rsidRDefault="007F12F1" w:rsidP="007F12F1">
      <w:pPr>
        <w:pStyle w:val="Heading4"/>
      </w:pPr>
      <w:r>
        <w:t>Discard or Quarantine Individual Units</w:t>
      </w:r>
      <w:r>
        <w:fldChar w:fldCharType="begin"/>
      </w:r>
      <w:r>
        <w:instrText xml:space="preserve"> XE "</w:instrText>
      </w:r>
      <w:r w:rsidRPr="00561E3F">
        <w:instrText>Discard or Quarantine Individual Units</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7D34E15" w14:textId="77777777">
        <w:trPr>
          <w:cantSplit/>
          <w:tblHeader/>
        </w:trPr>
        <w:tc>
          <w:tcPr>
            <w:tcW w:w="3240" w:type="dxa"/>
            <w:shd w:val="pct30" w:color="auto" w:fill="FFFFFF"/>
            <w:vAlign w:val="bottom"/>
          </w:tcPr>
          <w:p w14:paraId="6AE6BC83" w14:textId="77777777" w:rsidR="002A21AE" w:rsidRDefault="002A21AE">
            <w:pPr>
              <w:pStyle w:val="TableText"/>
              <w:rPr>
                <w:b/>
              </w:rPr>
            </w:pPr>
            <w:r>
              <w:rPr>
                <w:b/>
              </w:rPr>
              <w:t>User Action</w:t>
            </w:r>
          </w:p>
        </w:tc>
        <w:tc>
          <w:tcPr>
            <w:tcW w:w="6120" w:type="dxa"/>
            <w:shd w:val="pct30" w:color="auto" w:fill="FFFFFF"/>
            <w:vAlign w:val="bottom"/>
          </w:tcPr>
          <w:p w14:paraId="30DAE015" w14:textId="77777777" w:rsidR="002A21AE" w:rsidRDefault="002A21AE">
            <w:pPr>
              <w:pStyle w:val="TableText"/>
              <w:rPr>
                <w:b/>
              </w:rPr>
            </w:pPr>
            <w:r>
              <w:rPr>
                <w:b/>
              </w:rPr>
              <w:t>VBECS</w:t>
            </w:r>
          </w:p>
        </w:tc>
      </w:tr>
      <w:tr w:rsidR="002A21AE" w14:paraId="39FACC63" w14:textId="77777777">
        <w:tc>
          <w:tcPr>
            <w:tcW w:w="3240" w:type="dxa"/>
          </w:tcPr>
          <w:p w14:paraId="60676E44" w14:textId="77777777" w:rsidR="002A21AE" w:rsidRDefault="002A21AE">
            <w:pPr>
              <w:pStyle w:val="TableTextNumbers"/>
            </w:pPr>
            <w:r>
              <w:t xml:space="preserve">Select </w:t>
            </w:r>
            <w:r>
              <w:rPr>
                <w:b/>
              </w:rPr>
              <w:t>Blood Units</w:t>
            </w:r>
            <w:r>
              <w:t xml:space="preserve"> from the main menu.</w:t>
            </w:r>
          </w:p>
          <w:p w14:paraId="7AFE2375" w14:textId="77777777" w:rsidR="002A21AE" w:rsidRDefault="002A21AE">
            <w:pPr>
              <w:pStyle w:val="TableTextNumbersContinued"/>
            </w:pPr>
          </w:p>
          <w:p w14:paraId="02A329E8" w14:textId="77777777" w:rsidR="002A21AE" w:rsidRDefault="002A21AE">
            <w:pPr>
              <w:pStyle w:val="TableTextNumbersContinued"/>
            </w:pPr>
            <w:r>
              <w:t xml:space="preserve">Select </w:t>
            </w:r>
            <w:r>
              <w:rPr>
                <w:b/>
              </w:rPr>
              <w:t>Discard or Quarantine</w:t>
            </w:r>
            <w:r>
              <w:t>.</w:t>
            </w:r>
          </w:p>
        </w:tc>
        <w:tc>
          <w:tcPr>
            <w:tcW w:w="6120" w:type="dxa"/>
          </w:tcPr>
          <w:p w14:paraId="488B5A0F" w14:textId="77777777" w:rsidR="002A21AE" w:rsidRDefault="002A21AE">
            <w:pPr>
              <w:pStyle w:val="TableTextBullet"/>
            </w:pPr>
            <w:r>
              <w:t>Displays options for processing blood units.</w:t>
            </w:r>
          </w:p>
          <w:p w14:paraId="250AD4CF" w14:textId="77777777" w:rsidR="002A21AE" w:rsidRDefault="002A21AE">
            <w:pPr>
              <w:pStyle w:val="TableTextBullet"/>
            </w:pPr>
            <w:r>
              <w:t>Displays fields for entering unit information.</w:t>
            </w:r>
          </w:p>
          <w:p w14:paraId="2B92CE23" w14:textId="77777777" w:rsidR="002A21AE" w:rsidRDefault="002A21AE">
            <w:pPr>
              <w:pStyle w:val="TableTextBullet"/>
            </w:pPr>
            <w:r>
              <w:t xml:space="preserve">Allows </w:t>
            </w:r>
            <w:r w:rsidR="00CE0AAB">
              <w:t xml:space="preserve">the user to </w:t>
            </w:r>
            <w:r>
              <w:t>discard or quarantine</w:t>
            </w:r>
            <w:r w:rsidR="00CE0AAB">
              <w:t xml:space="preserve"> individual units</w:t>
            </w:r>
            <w:r>
              <w:t>.</w:t>
            </w:r>
          </w:p>
        </w:tc>
      </w:tr>
      <w:tr w:rsidR="002A21AE" w14:paraId="5C378C1E" w14:textId="77777777">
        <w:tc>
          <w:tcPr>
            <w:tcW w:w="3240" w:type="dxa"/>
          </w:tcPr>
          <w:p w14:paraId="657FCA3A" w14:textId="77777777" w:rsidR="002A21AE" w:rsidRDefault="002A21AE">
            <w:pPr>
              <w:pStyle w:val="TableTextNumbers"/>
            </w:pPr>
            <w:r>
              <w:t>Enter an ID and product code</w:t>
            </w:r>
            <w:r w:rsidR="009535FF">
              <w:t xml:space="preserve"> for a blood unit</w:t>
            </w:r>
            <w:r>
              <w:t>.</w:t>
            </w:r>
          </w:p>
        </w:tc>
        <w:tc>
          <w:tcPr>
            <w:tcW w:w="6120" w:type="dxa"/>
          </w:tcPr>
          <w:p w14:paraId="727E1239" w14:textId="77777777" w:rsidR="002A21AE" w:rsidRDefault="002A21AE">
            <w:pPr>
              <w:pStyle w:val="TableTextBullet"/>
            </w:pPr>
            <w:r>
              <w:t xml:space="preserve">When a unit is appropriate for processing, displays unit information, including the current status. </w:t>
            </w:r>
          </w:p>
          <w:p w14:paraId="698DF7E9" w14:textId="77777777" w:rsidR="002A21AE" w:rsidRDefault="002A21AE">
            <w:pPr>
              <w:pStyle w:val="TableText"/>
            </w:pPr>
          </w:p>
          <w:p w14:paraId="066C925F" w14:textId="22F0D26D" w:rsidR="002A21AE" w:rsidRDefault="002A21AE">
            <w:pPr>
              <w:pStyle w:val="TableText"/>
              <w:rPr>
                <w:b/>
                <w:bCs/>
                <w:szCs w:val="18"/>
              </w:rPr>
            </w:pPr>
            <w:r>
              <w:rPr>
                <w:b/>
                <w:bCs/>
                <w:szCs w:val="18"/>
              </w:rPr>
              <w:t>NOTES</w:t>
            </w:r>
          </w:p>
          <w:p w14:paraId="0E37E922" w14:textId="77777777" w:rsidR="002A21AE" w:rsidRDefault="002A21AE">
            <w:pPr>
              <w:pStyle w:val="NotesText"/>
            </w:pPr>
          </w:p>
          <w:p w14:paraId="11F76DAF" w14:textId="77777777" w:rsidR="002A21AE" w:rsidRDefault="002A21AE">
            <w:pPr>
              <w:pStyle w:val="NotesText"/>
            </w:pPr>
            <w:r>
              <w:t>The user may deselect units prior to editing.</w:t>
            </w:r>
          </w:p>
        </w:tc>
      </w:tr>
      <w:tr w:rsidR="009535FF" w14:paraId="27D96248" w14:textId="77777777">
        <w:tc>
          <w:tcPr>
            <w:tcW w:w="3240" w:type="dxa"/>
          </w:tcPr>
          <w:p w14:paraId="5A0747EB" w14:textId="77777777" w:rsidR="009535FF" w:rsidRDefault="009535FF">
            <w:pPr>
              <w:pStyle w:val="TableTextNumbers"/>
            </w:pPr>
            <w:r>
              <w:t xml:space="preserve">Click </w:t>
            </w:r>
            <w:r w:rsidRPr="009535FF">
              <w:rPr>
                <w:b/>
              </w:rPr>
              <w:t>Select</w:t>
            </w:r>
            <w:r>
              <w:t xml:space="preserve"> to add the selected unit to the worklist, or click </w:t>
            </w:r>
            <w:r w:rsidRPr="009535FF">
              <w:rPr>
                <w:b/>
              </w:rPr>
              <w:t>Clear</w:t>
            </w:r>
            <w:r>
              <w:t xml:space="preserve"> to select another unit.</w:t>
            </w:r>
          </w:p>
        </w:tc>
        <w:tc>
          <w:tcPr>
            <w:tcW w:w="6120" w:type="dxa"/>
          </w:tcPr>
          <w:p w14:paraId="645EE739" w14:textId="77777777" w:rsidR="009535FF" w:rsidRDefault="00CE0AAB">
            <w:pPr>
              <w:pStyle w:val="TableTextBullet"/>
            </w:pPr>
            <w:r>
              <w:t>Adds the unit to a temporary list of selected units.</w:t>
            </w:r>
          </w:p>
        </w:tc>
      </w:tr>
      <w:tr w:rsidR="002A21AE" w14:paraId="28FAC03A" w14:textId="77777777">
        <w:tc>
          <w:tcPr>
            <w:tcW w:w="3240" w:type="dxa"/>
          </w:tcPr>
          <w:p w14:paraId="599C1F33" w14:textId="77777777" w:rsidR="002A21AE" w:rsidRDefault="002A21AE">
            <w:pPr>
              <w:pStyle w:val="TableTextNumbers"/>
            </w:pPr>
            <w:r>
              <w:t>Repeat Step 3, as needed, to process multiple blood units as a single batch.</w:t>
            </w:r>
          </w:p>
          <w:p w14:paraId="5565C676" w14:textId="77777777" w:rsidR="009535FF" w:rsidRDefault="009535FF" w:rsidP="009535FF">
            <w:pPr>
              <w:pStyle w:val="TableTextNumbersContinued"/>
            </w:pPr>
          </w:p>
          <w:p w14:paraId="3C7B7C07" w14:textId="77777777" w:rsidR="009535FF" w:rsidRDefault="009535FF" w:rsidP="009535FF">
            <w:pPr>
              <w:pStyle w:val="TableTextNumbersContinued"/>
            </w:pPr>
            <w:r>
              <w:t xml:space="preserve">Click </w:t>
            </w:r>
            <w:r w:rsidRPr="009535FF">
              <w:rPr>
                <w:b/>
              </w:rPr>
              <w:t>OK</w:t>
            </w:r>
            <w:r>
              <w:t xml:space="preserve"> to continue.</w:t>
            </w:r>
          </w:p>
        </w:tc>
        <w:tc>
          <w:tcPr>
            <w:tcW w:w="6120" w:type="dxa"/>
          </w:tcPr>
          <w:p w14:paraId="6851E63E" w14:textId="77777777" w:rsidR="002A21AE" w:rsidRDefault="002A21AE">
            <w:pPr>
              <w:pStyle w:val="TableTextBullet"/>
            </w:pPr>
            <w:r>
              <w:t>Displays selected units.</w:t>
            </w:r>
          </w:p>
        </w:tc>
      </w:tr>
      <w:tr w:rsidR="002A21AE" w14:paraId="128BBACC" w14:textId="77777777">
        <w:tc>
          <w:tcPr>
            <w:tcW w:w="3240" w:type="dxa"/>
          </w:tcPr>
          <w:p w14:paraId="36AD3388" w14:textId="0D88D661" w:rsidR="002A21AE" w:rsidRDefault="009535FF">
            <w:pPr>
              <w:pStyle w:val="TableTextNumbers"/>
            </w:pPr>
            <w:r>
              <w:t xml:space="preserve">In the Activity area, click the </w:t>
            </w:r>
            <w:r w:rsidRPr="009535FF">
              <w:rPr>
                <w:b/>
              </w:rPr>
              <w:t>Discard</w:t>
            </w:r>
            <w:r>
              <w:t xml:space="preserve">, </w:t>
            </w:r>
            <w:r w:rsidRPr="009535FF">
              <w:rPr>
                <w:b/>
              </w:rPr>
              <w:t>Quarantine</w:t>
            </w:r>
            <w:r>
              <w:t xml:space="preserve">, or </w:t>
            </w:r>
            <w:r w:rsidRPr="009535FF">
              <w:rPr>
                <w:b/>
              </w:rPr>
              <w:t xml:space="preserve">Release from Quarantine </w:t>
            </w:r>
            <w:r w:rsidRPr="00BF2E41">
              <w:t>radio button</w:t>
            </w:r>
            <w:r w:rsidR="00550732">
              <w:rPr>
                <w:b/>
              </w:rPr>
              <w:t xml:space="preserve"> </w:t>
            </w:r>
            <w:r w:rsidR="00550732" w:rsidRPr="00550732">
              <w:t>(</w:t>
            </w:r>
            <w:r w:rsidR="00EE455E">
              <w:t xml:space="preserve">Figure </w:t>
            </w:r>
            <w:r w:rsidR="00EE455E">
              <w:rPr>
                <w:noProof/>
              </w:rPr>
              <w:t>68</w:t>
            </w:r>
            <w:r w:rsidR="00550732" w:rsidRPr="00550732">
              <w:t>)</w:t>
            </w:r>
            <w:r>
              <w:t>.</w:t>
            </w:r>
            <w:r w:rsidR="002A21AE">
              <w:t xml:space="preserve"> </w:t>
            </w:r>
          </w:p>
        </w:tc>
        <w:tc>
          <w:tcPr>
            <w:tcW w:w="6120" w:type="dxa"/>
          </w:tcPr>
          <w:p w14:paraId="2D9EC6AB" w14:textId="0BC5662F" w:rsidR="002A21AE" w:rsidRDefault="002A21AE">
            <w:pPr>
              <w:pStyle w:val="TableText"/>
              <w:rPr>
                <w:b/>
                <w:bCs/>
                <w:szCs w:val="18"/>
              </w:rPr>
            </w:pPr>
            <w:r>
              <w:rPr>
                <w:b/>
                <w:bCs/>
                <w:szCs w:val="18"/>
              </w:rPr>
              <w:t>NOTES</w:t>
            </w:r>
          </w:p>
          <w:p w14:paraId="3F3854EE" w14:textId="77777777" w:rsidR="002A21AE" w:rsidRDefault="002A21AE">
            <w:pPr>
              <w:pStyle w:val="NotesText"/>
            </w:pPr>
          </w:p>
          <w:p w14:paraId="6F1EFAE3" w14:textId="77777777" w:rsidR="002A21AE" w:rsidRDefault="004356BF">
            <w:pPr>
              <w:pStyle w:val="NotesText"/>
            </w:pPr>
            <w:r w:rsidRPr="00EC7489">
              <w:rPr>
                <w:rFonts w:ascii="Wingdings 3" w:hAnsi="Wingdings 3" w:cs="Wingdings"/>
              </w:rPr>
              <w:t></w:t>
            </w:r>
            <w:r w:rsidRPr="00EC7489">
              <w:rPr>
                <w:rFonts w:ascii="Wingdings 3" w:hAnsi="Wingdings 3" w:cs="Wingdings"/>
              </w:rPr>
              <w:t></w:t>
            </w:r>
            <w:r w:rsidRPr="004356BF">
              <w:t xml:space="preserve"> The Enhanced Technologist may release a unit from quarantine.</w:t>
            </w:r>
          </w:p>
        </w:tc>
      </w:tr>
      <w:tr w:rsidR="002A21AE" w14:paraId="0FBE1049" w14:textId="77777777">
        <w:tc>
          <w:tcPr>
            <w:tcW w:w="3240" w:type="dxa"/>
          </w:tcPr>
          <w:p w14:paraId="1589DFFB" w14:textId="77777777" w:rsidR="002A21AE" w:rsidRDefault="009535FF">
            <w:pPr>
              <w:pStyle w:val="TableTextNumbers"/>
            </w:pPr>
            <w:r>
              <w:t xml:space="preserve">Select or enter a comment in the Comment </w:t>
            </w:r>
            <w:r w:rsidR="00A41AE1">
              <w:t>field</w:t>
            </w:r>
            <w:r>
              <w:t xml:space="preserve"> to explain the change in status, when indicated</w:t>
            </w:r>
            <w:r w:rsidR="002A21AE">
              <w:t>.</w:t>
            </w:r>
            <w:r>
              <w:t xml:space="preserve"> Enter details, as needed.</w:t>
            </w:r>
          </w:p>
        </w:tc>
        <w:tc>
          <w:tcPr>
            <w:tcW w:w="6120" w:type="dxa"/>
          </w:tcPr>
          <w:p w14:paraId="656258AD" w14:textId="77777777" w:rsidR="002A21AE" w:rsidRDefault="002A21AE">
            <w:pPr>
              <w:pStyle w:val="TableTextBullet"/>
            </w:pPr>
            <w:r>
              <w:t>Displays entered data.</w:t>
            </w:r>
          </w:p>
          <w:p w14:paraId="08F0E368" w14:textId="77777777" w:rsidR="004356BF" w:rsidRDefault="004356BF" w:rsidP="004356BF">
            <w:pPr>
              <w:pStyle w:val="TableText"/>
            </w:pPr>
          </w:p>
          <w:p w14:paraId="1C50B83E" w14:textId="2EEDD099" w:rsidR="004356BF" w:rsidRDefault="004356BF" w:rsidP="004356BF">
            <w:pPr>
              <w:pStyle w:val="TableText"/>
              <w:rPr>
                <w:b/>
                <w:bCs/>
                <w:szCs w:val="18"/>
              </w:rPr>
            </w:pPr>
            <w:r>
              <w:rPr>
                <w:b/>
                <w:bCs/>
                <w:szCs w:val="18"/>
              </w:rPr>
              <w:t>NOTES</w:t>
            </w:r>
          </w:p>
          <w:p w14:paraId="5FB8E37C" w14:textId="77777777" w:rsidR="004356BF" w:rsidRDefault="004356BF" w:rsidP="004356BF">
            <w:pPr>
              <w:pStyle w:val="NotesText"/>
            </w:pPr>
          </w:p>
          <w:p w14:paraId="52FBF864" w14:textId="77777777" w:rsidR="004356BF" w:rsidRDefault="004356BF" w:rsidP="004356BF">
            <w:pPr>
              <w:pStyle w:val="NotesText"/>
            </w:pPr>
            <w:r>
              <w:rPr>
                <w:rFonts w:cs="Arial"/>
                <w:vanish/>
              </w:rPr>
              <w:t xml:space="preserve">BR_27.04 </w:t>
            </w:r>
            <w:r>
              <w:t>When a status of “Discard” is assigned to a unit, the user must enter a comment.</w:t>
            </w:r>
          </w:p>
          <w:p w14:paraId="27750732" w14:textId="77777777" w:rsidR="004356BF" w:rsidRDefault="004356BF" w:rsidP="004356BF">
            <w:pPr>
              <w:pStyle w:val="NotesText"/>
            </w:pPr>
          </w:p>
          <w:p w14:paraId="4FA1CE19" w14:textId="77777777" w:rsidR="004356BF" w:rsidRDefault="0097326A" w:rsidP="004356BF">
            <w:pPr>
              <w:pStyle w:val="NotesText"/>
            </w:pPr>
            <w:r w:rsidRPr="00896F17">
              <w:rPr>
                <w:rStyle w:val="BullhornChar"/>
              </w:rPr>
              <w:t></w:t>
            </w:r>
            <w:r>
              <w:rPr>
                <w:rFonts w:ascii="Webdings" w:hAnsi="Webdings"/>
              </w:rPr>
              <w:t></w:t>
            </w:r>
            <w:r w:rsidR="004356BF">
              <w:rPr>
                <w:vanish/>
                <w:szCs w:val="18"/>
              </w:rPr>
              <w:t>BR_27.08</w:t>
            </w:r>
            <w:r w:rsidR="00CE3961">
              <w:rPr>
                <w:vanish/>
                <w:szCs w:val="18"/>
              </w:rPr>
              <w:t>,</w:t>
            </w:r>
            <w:r w:rsidR="004356BF">
              <w:rPr>
                <w:vanish/>
                <w:szCs w:val="18"/>
              </w:rPr>
              <w:t xml:space="preserve"> BR_27.02</w:t>
            </w:r>
            <w:r w:rsidR="00263B24">
              <w:t>W</w:t>
            </w:r>
            <w:r w:rsidR="004356BF">
              <w:t>hen a blood unit is assigned an in</w:t>
            </w:r>
            <w:r w:rsidR="004356BF">
              <w:rPr>
                <w:noProof/>
              </w:rPr>
              <w:t>dicator of “quarantined,” VBECS emits an audible alert, requires a comment, and captures</w:t>
            </w:r>
            <w:r w:rsidR="00AE3CC7">
              <w:rPr>
                <w:noProof/>
              </w:rPr>
              <w:t xml:space="preserve"> details</w:t>
            </w:r>
            <w:r w:rsidR="004356BF">
              <w:t xml:space="preserve"> for inclusion in an Exception Report (exception type: Quarantine, Discard or Release from Quarantine, depending on the user action).</w:t>
            </w:r>
          </w:p>
          <w:p w14:paraId="0D6C731F" w14:textId="77777777" w:rsidR="004356BF" w:rsidRDefault="004356BF" w:rsidP="004356BF">
            <w:pPr>
              <w:pStyle w:val="NotesText"/>
            </w:pPr>
            <w:r>
              <w:rPr>
                <w:rFonts w:cs="Arial"/>
                <w:vanish/>
              </w:rPr>
              <w:t xml:space="preserve">BR_27.11 </w:t>
            </w:r>
            <w:r w:rsidR="00263B24" w:rsidRPr="00896F17">
              <w:rPr>
                <w:rStyle w:val="BullhornChar"/>
              </w:rPr>
              <w:t></w:t>
            </w:r>
            <w:r w:rsidR="00263B24">
              <w:rPr>
                <w:rFonts w:ascii="Webdings" w:hAnsi="Webdings"/>
              </w:rPr>
              <w:t></w:t>
            </w:r>
            <w:r w:rsidR="00263B24">
              <w:t>W</w:t>
            </w:r>
            <w:r>
              <w:t xml:space="preserve">hen a unit is released from quarantine, a new status must be assigned. VBECS assigns the previous status as the default status. When the unit expiration date is in the past, VBECS </w:t>
            </w:r>
            <w:r>
              <w:rPr>
                <w:noProof/>
              </w:rPr>
              <w:t xml:space="preserve">emits an audible alert, warns the user, and asks whether </w:t>
            </w:r>
            <w:r w:rsidR="00782487">
              <w:rPr>
                <w:noProof/>
              </w:rPr>
              <w:t>he</w:t>
            </w:r>
            <w:r>
              <w:rPr>
                <w:noProof/>
              </w:rPr>
              <w:t xml:space="preserve"> wishes to </w:t>
            </w:r>
            <w:r w:rsidR="00AE3CC7">
              <w:rPr>
                <w:noProof/>
              </w:rPr>
              <w:t>continue</w:t>
            </w:r>
            <w:r>
              <w:t>.</w:t>
            </w:r>
          </w:p>
          <w:p w14:paraId="14891E2B" w14:textId="77777777" w:rsidR="004356BF" w:rsidRDefault="004356BF" w:rsidP="004356BF">
            <w:pPr>
              <w:pStyle w:val="NotesText"/>
              <w:rPr>
                <w:b/>
              </w:rPr>
            </w:pPr>
          </w:p>
          <w:p w14:paraId="6B570A0C" w14:textId="77777777" w:rsidR="004356BF" w:rsidRDefault="004356BF" w:rsidP="004356BF">
            <w:pPr>
              <w:pStyle w:val="NotesText"/>
            </w:pPr>
            <w:r>
              <w:rPr>
                <w:b/>
              </w:rPr>
              <w:t>Yes</w:t>
            </w:r>
            <w:r>
              <w:t xml:space="preserve"> accepts the default status, requires a comment, and captures details for inclusion in an Exception Report (exception type: expired unit released from quarantine). </w:t>
            </w:r>
            <w:r>
              <w:rPr>
                <w:b/>
              </w:rPr>
              <w:t>No</w:t>
            </w:r>
            <w:r>
              <w:t xml:space="preserve"> stops the process; the unit remains marked as quarantined.</w:t>
            </w:r>
          </w:p>
          <w:p w14:paraId="05295191" w14:textId="77777777" w:rsidR="004356BF" w:rsidRDefault="004356BF" w:rsidP="004356BF">
            <w:pPr>
              <w:pStyle w:val="NotesText"/>
            </w:pPr>
          </w:p>
          <w:p w14:paraId="1D2AEE09" w14:textId="77777777" w:rsidR="004356BF" w:rsidRDefault="004356BF" w:rsidP="004356BF">
            <w:pPr>
              <w:pStyle w:val="NotesText"/>
            </w:pPr>
            <w:r>
              <w:rPr>
                <w:rFonts w:cs="Arial"/>
                <w:vanish/>
              </w:rPr>
              <w:t xml:space="preserve">BR_27.05 </w:t>
            </w:r>
            <w:r>
              <w:t>When the user assigns a status of “Discard,” he must indicate whether the discard is waste or credit.</w:t>
            </w:r>
          </w:p>
          <w:p w14:paraId="12FA9841" w14:textId="77777777" w:rsidR="004356BF" w:rsidRDefault="004356BF" w:rsidP="004356BF">
            <w:pPr>
              <w:pStyle w:val="NotesText"/>
            </w:pPr>
          </w:p>
          <w:p w14:paraId="32AFA5F1" w14:textId="77777777" w:rsidR="004356BF" w:rsidRDefault="004356BF" w:rsidP="004356BF">
            <w:pPr>
              <w:pStyle w:val="NotesText"/>
            </w:pPr>
            <w:r>
              <w:rPr>
                <w:rFonts w:cs="Arial"/>
                <w:vanish/>
              </w:rPr>
              <w:t xml:space="preserve">BR_27.06 </w:t>
            </w:r>
            <w:r>
              <w:t>When VBECS processes a unit as a discard that is waste, it does not apply a return credit to the discarded unit. (There is no refund of monies from the blood shipper.)</w:t>
            </w:r>
          </w:p>
          <w:p w14:paraId="177DEE76" w14:textId="77777777" w:rsidR="004356BF" w:rsidRDefault="004356BF" w:rsidP="004356BF">
            <w:pPr>
              <w:pStyle w:val="NotesText"/>
            </w:pPr>
          </w:p>
          <w:p w14:paraId="5531EB86" w14:textId="77777777" w:rsidR="004356BF" w:rsidRDefault="004356BF" w:rsidP="004356BF">
            <w:pPr>
              <w:pStyle w:val="NotesText"/>
            </w:pPr>
            <w:r>
              <w:rPr>
                <w:rFonts w:cs="Arial"/>
                <w:vanish/>
              </w:rPr>
              <w:t xml:space="preserve">BR_27.07 </w:t>
            </w:r>
            <w:r>
              <w:t>When VBECS saves a unit as “discard for credit,” it applies a default return credit. A user may edit the default return credit applied to the unit before updating the database.</w:t>
            </w:r>
          </w:p>
          <w:p w14:paraId="77255888" w14:textId="77777777" w:rsidR="004356BF" w:rsidRDefault="004356BF" w:rsidP="004356BF">
            <w:pPr>
              <w:pStyle w:val="NotesText"/>
            </w:pPr>
          </w:p>
          <w:p w14:paraId="6EC245FA" w14:textId="77777777" w:rsidR="004356BF" w:rsidRDefault="004356BF" w:rsidP="004356BF">
            <w:pPr>
              <w:pStyle w:val="NotesText"/>
            </w:pPr>
            <w:r>
              <w:rPr>
                <w:rFonts w:cs="Arial"/>
                <w:vanish/>
              </w:rPr>
              <w:t xml:space="preserve">BR_27.15 </w:t>
            </w:r>
            <w:r>
              <w:t xml:space="preserve">When a unit </w:t>
            </w:r>
            <w:r w:rsidR="00621E98">
              <w:t>has had a quarantine indicator</w:t>
            </w:r>
            <w:r>
              <w:t xml:space="preserve"> assigned, VBECS releases </w:t>
            </w:r>
            <w:r w:rsidR="00621E98">
              <w:t xml:space="preserve">any </w:t>
            </w:r>
            <w:r>
              <w:t>patient assignments. Patient restrictions associa</w:t>
            </w:r>
            <w:r w:rsidR="00621E98">
              <w:t>ted with the unit remain intact.</w:t>
            </w:r>
          </w:p>
          <w:p w14:paraId="2E03694E" w14:textId="77777777" w:rsidR="004356BF" w:rsidRDefault="004356BF" w:rsidP="004356BF">
            <w:pPr>
              <w:pStyle w:val="NotesText"/>
            </w:pPr>
          </w:p>
          <w:p w14:paraId="44BC672E" w14:textId="77777777" w:rsidR="004356BF" w:rsidRDefault="004356BF" w:rsidP="00782487">
            <w:pPr>
              <w:pStyle w:val="NotesText"/>
            </w:pPr>
            <w:r>
              <w:rPr>
                <w:rFonts w:cs="Arial"/>
                <w:vanish/>
              </w:rPr>
              <w:t xml:space="preserve">BR_27.16 </w:t>
            </w:r>
            <w:r>
              <w:t>When a user attempts to release a unit from quarantine and the unit was quarantined because of a data conflict, VBECS checks the inconsistency before allowing the unit to be released. VBECS warns the user. There is no override. The user must invalidate the incorrect information or test to resolve the data conflict.</w:t>
            </w:r>
          </w:p>
          <w:p w14:paraId="0ACF3A90" w14:textId="77777777" w:rsidR="00581D1A" w:rsidRDefault="00581D1A" w:rsidP="00581D1A">
            <w:pPr>
              <w:pStyle w:val="NotesText"/>
            </w:pPr>
          </w:p>
          <w:p w14:paraId="489BFAB8" w14:textId="65AE30C1" w:rsidR="00581D1A" w:rsidRDefault="00581D1A" w:rsidP="00581D1A">
            <w:pPr>
              <w:pStyle w:val="NotesText"/>
              <w:rPr>
                <w:rFonts w:cs="Arial"/>
                <w:vanish/>
              </w:rPr>
            </w:pPr>
            <w:r>
              <w:rPr>
                <w:rFonts w:cs="Arial"/>
                <w:vanish/>
              </w:rPr>
              <w:t>BR_27.20 A blood unit that is assigned or crossmatched may be Quarantined or Discarded.</w:t>
            </w:r>
          </w:p>
          <w:p w14:paraId="3C43B026" w14:textId="0BC96E16" w:rsidR="00581D1A" w:rsidRDefault="00581D1A" w:rsidP="00463A66">
            <w:pPr>
              <w:pStyle w:val="NotesText"/>
              <w:numPr>
                <w:ilvl w:val="0"/>
                <w:numId w:val="84"/>
              </w:numPr>
              <w:ind w:left="1051"/>
            </w:pPr>
            <w:r>
              <w:t>When quarantining an assigned or crossmatched unit, the system displays a message to the user before asking the user to confirm the save. “</w:t>
            </w:r>
            <w:r w:rsidRPr="0041003E">
              <w:t>The unit has been assigned/crossmatched, so if you quarantine it, then we will need to remove the assignment.</w:t>
            </w:r>
            <w:r>
              <w:t>” If the user confirms, the system will release the assignment.</w:t>
            </w:r>
          </w:p>
          <w:p w14:paraId="53EB94F3" w14:textId="7C894AB0" w:rsidR="00581D1A" w:rsidRDefault="00581D1A" w:rsidP="00463A66">
            <w:pPr>
              <w:pStyle w:val="NotesText"/>
              <w:numPr>
                <w:ilvl w:val="0"/>
                <w:numId w:val="84"/>
              </w:numPr>
              <w:ind w:left="1051"/>
            </w:pPr>
            <w:r>
              <w:t>When discarding an assigned or crossmatched unit, the system will leave the assignment in place.</w:t>
            </w:r>
          </w:p>
        </w:tc>
      </w:tr>
      <w:tr w:rsidR="002A21AE" w14:paraId="704A2DE7" w14:textId="77777777">
        <w:tc>
          <w:tcPr>
            <w:tcW w:w="3240" w:type="dxa"/>
          </w:tcPr>
          <w:p w14:paraId="09838A7A" w14:textId="77777777" w:rsidR="002A21AE" w:rsidRDefault="004724C0">
            <w:pPr>
              <w:pStyle w:val="TableTextNumbers"/>
            </w:pPr>
            <w:r>
              <w:t>E</w:t>
            </w:r>
            <w:r w:rsidR="00A41AE1">
              <w:t>nter</w:t>
            </w:r>
            <w:r w:rsidR="002A21AE">
              <w:t xml:space="preserve"> the date and time of the status update. </w:t>
            </w:r>
          </w:p>
          <w:p w14:paraId="16642883" w14:textId="77777777" w:rsidR="009535FF" w:rsidRDefault="009535FF" w:rsidP="009535FF">
            <w:pPr>
              <w:pStyle w:val="TableTextNumbersContinued"/>
            </w:pPr>
          </w:p>
          <w:p w14:paraId="1B72FA4A" w14:textId="77777777" w:rsidR="009535FF" w:rsidRDefault="009535FF" w:rsidP="009535FF">
            <w:pPr>
              <w:pStyle w:val="TableTextNumbersContinued"/>
            </w:pPr>
            <w:r>
              <w:t xml:space="preserve">Click the </w:t>
            </w:r>
            <w:r w:rsidRPr="009535FF">
              <w:rPr>
                <w:b/>
              </w:rPr>
              <w:t>Waste</w:t>
            </w:r>
            <w:r>
              <w:t xml:space="preserve"> or </w:t>
            </w:r>
            <w:r w:rsidRPr="009535FF">
              <w:rPr>
                <w:b/>
              </w:rPr>
              <w:t xml:space="preserve">Credit </w:t>
            </w:r>
            <w:r w:rsidRPr="00BF2E41">
              <w:t>radio button</w:t>
            </w:r>
            <w:r>
              <w:t>.</w:t>
            </w:r>
          </w:p>
        </w:tc>
        <w:tc>
          <w:tcPr>
            <w:tcW w:w="6120" w:type="dxa"/>
          </w:tcPr>
          <w:p w14:paraId="24F8B46A" w14:textId="77777777" w:rsidR="002A21AE" w:rsidRDefault="009D6D56">
            <w:pPr>
              <w:pStyle w:val="TableTextBullet"/>
            </w:pPr>
            <w:r>
              <w:rPr>
                <w:vanish/>
              </w:rPr>
              <w:t xml:space="preserve">DR 3241 </w:t>
            </w:r>
            <w:r>
              <w:t>VBECS defaults the date and time of the status update to the date and time the user opened the Discard or Quarantine option</w:t>
            </w:r>
          </w:p>
          <w:p w14:paraId="742DFD94" w14:textId="77777777" w:rsidR="002A21AE" w:rsidRDefault="002A21AE">
            <w:pPr>
              <w:pStyle w:val="TableTextBullet"/>
            </w:pPr>
            <w:r>
              <w:t>Displays entered data.</w:t>
            </w:r>
          </w:p>
          <w:p w14:paraId="23660403" w14:textId="77777777" w:rsidR="002A21AE" w:rsidRDefault="002A21AE">
            <w:pPr>
              <w:pStyle w:val="TableText"/>
            </w:pPr>
          </w:p>
          <w:p w14:paraId="1BB4BAA3" w14:textId="746847E8" w:rsidR="002A21AE" w:rsidRDefault="002A21AE">
            <w:pPr>
              <w:pStyle w:val="TableText"/>
              <w:rPr>
                <w:b/>
                <w:bCs/>
                <w:szCs w:val="18"/>
              </w:rPr>
            </w:pPr>
            <w:r>
              <w:rPr>
                <w:b/>
                <w:bCs/>
                <w:szCs w:val="18"/>
              </w:rPr>
              <w:t>NOTES</w:t>
            </w:r>
          </w:p>
          <w:p w14:paraId="7F68C6FE" w14:textId="77777777" w:rsidR="002A21AE" w:rsidRDefault="002A21AE">
            <w:pPr>
              <w:pStyle w:val="NotesText"/>
            </w:pPr>
          </w:p>
          <w:p w14:paraId="71A6FEEC" w14:textId="77777777" w:rsidR="002A21AE" w:rsidRDefault="002A21AE">
            <w:pPr>
              <w:pStyle w:val="NotesText"/>
            </w:pPr>
            <w:r>
              <w:t>The default date and time are the current date and time.</w:t>
            </w:r>
          </w:p>
          <w:p w14:paraId="2E8E9F4B" w14:textId="77777777" w:rsidR="002A21AE" w:rsidRDefault="002A21AE">
            <w:pPr>
              <w:pStyle w:val="NotesText"/>
            </w:pPr>
          </w:p>
          <w:p w14:paraId="3081C7F4" w14:textId="77777777" w:rsidR="002A21AE" w:rsidRDefault="002A21AE">
            <w:pPr>
              <w:pStyle w:val="NotesText"/>
            </w:pPr>
            <w:r>
              <w:rPr>
                <w:rFonts w:cs="Arial"/>
                <w:vanish/>
              </w:rPr>
              <w:t xml:space="preserve">BR_27.14 </w:t>
            </w:r>
            <w:r>
              <w:t>When the user updates the status of a unit and enters a date or time in the past, VBECS compares the retrospective date and time with the last record update for the unit. VBECS allows the user to update a unit record with a date and time between the last record update and the current date and time.</w:t>
            </w:r>
            <w:bookmarkStart w:id="343" w:name="one2511"/>
            <w:bookmarkEnd w:id="343"/>
          </w:p>
          <w:p w14:paraId="7DE0AEF5" w14:textId="77777777" w:rsidR="002A21AE" w:rsidRDefault="002A21AE">
            <w:pPr>
              <w:pStyle w:val="NotesText"/>
            </w:pPr>
          </w:p>
          <w:p w14:paraId="2FA4EC9C" w14:textId="77777777" w:rsidR="002A21AE" w:rsidRDefault="00263B24">
            <w:pPr>
              <w:pStyle w:val="NotesText"/>
            </w:pPr>
            <w:r w:rsidRPr="00896F17">
              <w:rPr>
                <w:rStyle w:val="BullhornChar"/>
              </w:rPr>
              <w:t></w:t>
            </w:r>
            <w:r w:rsidR="002A21AE" w:rsidRPr="00EC7489">
              <w:rPr>
                <w:rFonts w:ascii="Wingdings 3" w:hAnsi="Wingdings 3" w:cs="Wingdings"/>
              </w:rPr>
              <w:t></w:t>
            </w:r>
            <w:r w:rsidR="002A21AE" w:rsidRPr="00EC7489">
              <w:rPr>
                <w:rFonts w:ascii="Wingdings 3" w:hAnsi="Wingdings 3" w:cs="Wingdings"/>
              </w:rPr>
              <w:t></w:t>
            </w:r>
            <w:r w:rsidR="002A21AE">
              <w:t xml:space="preserve"> When the user attempts to update a unit record prior to the last record update, VBECS emits an audible alert, warns the Enhanced Technologist, and instructs him to check the date and time entered. There is no override.</w:t>
            </w:r>
          </w:p>
          <w:p w14:paraId="6515DD09" w14:textId="77777777" w:rsidR="002A21AE" w:rsidRDefault="002A21AE">
            <w:pPr>
              <w:pStyle w:val="NotesText"/>
            </w:pPr>
          </w:p>
          <w:p w14:paraId="12CD7D3C" w14:textId="77777777" w:rsidR="002A21AE" w:rsidRDefault="005C768D">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2A21AE">
              <w:t xml:space="preserve">When the user is a Lead Technologist, VBECS also requires a comment and asks whether the user wishes to continue. </w:t>
            </w:r>
            <w:r w:rsidR="002A21AE">
              <w:rPr>
                <w:b/>
              </w:rPr>
              <w:t>Yes</w:t>
            </w:r>
            <w:r w:rsidR="002A21AE">
              <w:t xml:space="preserve"> accepts the date and time entered, requires a comment, and captures details for inclusion in an Exception Report (exception type: retrospective update prior to last record update). </w:t>
            </w:r>
            <w:r w:rsidR="002A21AE">
              <w:rPr>
                <w:b/>
              </w:rPr>
              <w:t>No</w:t>
            </w:r>
            <w:r w:rsidR="002A21AE">
              <w:t xml:space="preserve"> allows the user to correct the entry.</w:t>
            </w:r>
          </w:p>
        </w:tc>
      </w:tr>
      <w:tr w:rsidR="002A21AE" w14:paraId="777E294B" w14:textId="77777777">
        <w:tc>
          <w:tcPr>
            <w:tcW w:w="3240" w:type="dxa"/>
          </w:tcPr>
          <w:p w14:paraId="68CFDF37" w14:textId="77777777" w:rsidR="002A21AE" w:rsidRDefault="002A21AE" w:rsidP="00A41AE1">
            <w:pPr>
              <w:pStyle w:val="TableTextNumbers"/>
            </w:pPr>
            <w:r>
              <w:t xml:space="preserve">Review the unit status update information and </w:t>
            </w:r>
            <w:r w:rsidR="009535FF">
              <w:t>c</w:t>
            </w:r>
            <w:r>
              <w:t xml:space="preserve">lick </w:t>
            </w:r>
            <w:r w:rsidR="005122E2">
              <w:rPr>
                <w:b/>
              </w:rPr>
              <w:t>Save</w:t>
            </w:r>
            <w:r w:rsidR="005122E2" w:rsidRPr="009535FF">
              <w:t xml:space="preserve"> </w:t>
            </w:r>
            <w:r w:rsidR="009535FF" w:rsidRPr="009535FF">
              <w:t>to save</w:t>
            </w:r>
            <w:r>
              <w:t>.</w:t>
            </w:r>
          </w:p>
        </w:tc>
        <w:tc>
          <w:tcPr>
            <w:tcW w:w="6120" w:type="dxa"/>
          </w:tcPr>
          <w:p w14:paraId="09B33B31" w14:textId="77777777" w:rsidR="002A21AE" w:rsidRDefault="002A21AE">
            <w:pPr>
              <w:pStyle w:val="TableTextBullet"/>
            </w:pPr>
            <w:r>
              <w:t xml:space="preserve">Evaluates the unit’s current status to determine whether it is eligible for the selected function. </w:t>
            </w:r>
          </w:p>
          <w:p w14:paraId="3BF28418" w14:textId="77777777" w:rsidR="002A21AE" w:rsidRDefault="002A21AE">
            <w:pPr>
              <w:pStyle w:val="TableTextBullet"/>
            </w:pPr>
            <w:r>
              <w:t>Displays appropriate error messages when the unit cannot be processed.</w:t>
            </w:r>
          </w:p>
          <w:p w14:paraId="61C25685" w14:textId="77777777" w:rsidR="002A21AE" w:rsidRDefault="002A21AE">
            <w:pPr>
              <w:pStyle w:val="TableTextBullet"/>
            </w:pPr>
            <w:r>
              <w:t>Prompts the user to confirm the save.</w:t>
            </w:r>
          </w:p>
        </w:tc>
      </w:tr>
      <w:tr w:rsidR="002A21AE" w14:paraId="534B1687" w14:textId="77777777">
        <w:tc>
          <w:tcPr>
            <w:tcW w:w="3240" w:type="dxa"/>
          </w:tcPr>
          <w:p w14:paraId="3E03218D" w14:textId="77777777" w:rsidR="002A21AE" w:rsidRDefault="009535FF">
            <w:pPr>
              <w:pStyle w:val="TableTextNumbers"/>
            </w:pPr>
            <w:r>
              <w:t xml:space="preserve">Click </w:t>
            </w:r>
            <w:r w:rsidRPr="009535FF">
              <w:rPr>
                <w:b/>
              </w:rPr>
              <w:t>Yes</w:t>
            </w:r>
            <w:r>
              <w:t xml:space="preserve"> to c</w:t>
            </w:r>
            <w:r w:rsidR="002A21AE">
              <w:t>onfirm the save.</w:t>
            </w:r>
            <w:r>
              <w:rPr>
                <w:vanish/>
                <w:color w:val="FFFFFF"/>
                <w:szCs w:val="18"/>
              </w:rPr>
              <w:t xml:space="preserve"> </w:t>
            </w:r>
            <w:r w:rsidRPr="009D2C1A">
              <w:rPr>
                <w:vanish/>
                <w:szCs w:val="18"/>
              </w:rPr>
              <w:fldChar w:fldCharType="begin"/>
            </w:r>
            <w:r w:rsidRPr="009D2C1A">
              <w:rPr>
                <w:vanish/>
                <w:szCs w:val="18"/>
              </w:rPr>
              <w:instrText xml:space="preserve"> LISTNUM \l 1 \s 0 </w:instrText>
            </w:r>
            <w:r w:rsidRPr="009D2C1A">
              <w:rPr>
                <w:vanish/>
                <w:szCs w:val="18"/>
              </w:rPr>
              <w:fldChar w:fldCharType="end"/>
            </w:r>
          </w:p>
        </w:tc>
        <w:tc>
          <w:tcPr>
            <w:tcW w:w="6120" w:type="dxa"/>
          </w:tcPr>
          <w:p w14:paraId="192AE914" w14:textId="77777777" w:rsidR="002A21AE" w:rsidRDefault="002A21AE">
            <w:pPr>
              <w:pStyle w:val="TableTextBullet"/>
            </w:pPr>
            <w:r>
              <w:t>Saves the data.</w:t>
            </w:r>
          </w:p>
          <w:p w14:paraId="1E3C695A" w14:textId="77777777" w:rsidR="002A21AE" w:rsidRDefault="002A21AE">
            <w:pPr>
              <w:pStyle w:val="TableText"/>
            </w:pPr>
          </w:p>
          <w:p w14:paraId="0EA2674F" w14:textId="5F9B96AD" w:rsidR="002A21AE" w:rsidRDefault="002A21AE">
            <w:pPr>
              <w:pStyle w:val="TableText"/>
              <w:rPr>
                <w:b/>
                <w:bCs/>
                <w:szCs w:val="18"/>
              </w:rPr>
            </w:pPr>
            <w:r>
              <w:rPr>
                <w:b/>
                <w:bCs/>
                <w:szCs w:val="18"/>
              </w:rPr>
              <w:t>NOTES</w:t>
            </w:r>
          </w:p>
          <w:p w14:paraId="0761EB5D" w14:textId="77777777" w:rsidR="002A21AE" w:rsidRDefault="002A21AE">
            <w:pPr>
              <w:pStyle w:val="NotesText"/>
            </w:pPr>
          </w:p>
          <w:p w14:paraId="528F01F6" w14:textId="77777777" w:rsidR="002A21AE" w:rsidRDefault="002A21AE">
            <w:pPr>
              <w:pStyle w:val="NotesText"/>
            </w:pPr>
            <w:r>
              <w:rPr>
                <w:rFonts w:cs="Arial"/>
                <w:vanish/>
              </w:rPr>
              <w:t xml:space="preserve">BR_27.01 </w:t>
            </w:r>
            <w:r>
              <w:t>During batch data entry of “Discard,” “Quarantine,” and “Release from Quarantine,” VBECS saves transaction details, including user-entered comments, to each blood unit included in the batch.</w:t>
            </w:r>
          </w:p>
        </w:tc>
      </w:tr>
    </w:tbl>
    <w:p w14:paraId="02AC22EC" w14:textId="15B66984" w:rsidR="00550732" w:rsidRDefault="00550732" w:rsidP="00550732">
      <w:pPr>
        <w:pStyle w:val="Caption"/>
      </w:pPr>
      <w:bookmarkStart w:id="344" w:name="_Select_Units"/>
      <w:bookmarkStart w:id="345" w:name="_Ref126653702"/>
      <w:bookmarkEnd w:id="34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68</w:t>
      </w:r>
      <w:r w:rsidR="004E20BD">
        <w:rPr>
          <w:noProof/>
        </w:rPr>
        <w:fldChar w:fldCharType="end"/>
      </w:r>
      <w:bookmarkEnd w:id="345"/>
      <w:r>
        <w:t>: Discard or Quarantine Units</w:t>
      </w:r>
    </w:p>
    <w:p w14:paraId="20C45E1A" w14:textId="22C5D0C9" w:rsidR="00550732" w:rsidRDefault="00F927FC" w:rsidP="00550732">
      <w:pPr>
        <w:pStyle w:val="BodyText"/>
      </w:pPr>
      <w:r>
        <w:rPr>
          <w:noProof/>
        </w:rPr>
        <w:drawing>
          <wp:inline distT="0" distB="0" distL="0" distR="0" wp14:anchorId="0DCE3A1F" wp14:editId="6B5EDEB4">
            <wp:extent cx="5943600" cy="3735070"/>
            <wp:effectExtent l="0" t="0" r="0" b="0"/>
            <wp:docPr id="178" name="Picture 178" descr="Example of Discard or Quarantine Uni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Example of Discard or Quarantine Units screen capture"/>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3735070"/>
                    </a:xfrm>
                    <a:prstGeom prst="rect">
                      <a:avLst/>
                    </a:prstGeom>
                    <a:noFill/>
                    <a:ln>
                      <a:noFill/>
                    </a:ln>
                  </pic:spPr>
                </pic:pic>
              </a:graphicData>
            </a:graphic>
          </wp:inline>
        </w:drawing>
      </w:r>
    </w:p>
    <w:p w14:paraId="285ABEED" w14:textId="77777777" w:rsidR="002A21AE" w:rsidRDefault="00375257" w:rsidP="00E653FE">
      <w:pPr>
        <w:pStyle w:val="Heading4"/>
      </w:pPr>
      <w:r>
        <w:br w:type="page"/>
      </w:r>
      <w:r w:rsidR="00E653FE">
        <w:t>Discard or Quarantine Units by Invoice</w:t>
      </w:r>
      <w:r w:rsidR="00561EA7">
        <w:fldChar w:fldCharType="begin"/>
      </w:r>
      <w:r w:rsidR="00561EA7">
        <w:instrText xml:space="preserve"> XE "</w:instrText>
      </w:r>
      <w:r w:rsidR="00561EA7" w:rsidRPr="008B7F3F">
        <w:instrText>Discard or Quarantine Units by Invoice</w:instrText>
      </w:r>
      <w:r w:rsidR="00561EA7">
        <w:instrText xml:space="preserve">" </w:instrText>
      </w:r>
      <w:r w:rsidR="00561EA7">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9535FF" w14:paraId="301052A5" w14:textId="77777777">
        <w:trPr>
          <w:cantSplit/>
          <w:tblHeader/>
        </w:trPr>
        <w:tc>
          <w:tcPr>
            <w:tcW w:w="3240" w:type="dxa"/>
            <w:shd w:val="pct30" w:color="auto" w:fill="FFFFFF"/>
            <w:vAlign w:val="bottom"/>
          </w:tcPr>
          <w:p w14:paraId="3C5B4C69" w14:textId="77777777" w:rsidR="009535FF" w:rsidRDefault="009535FF" w:rsidP="004356BF">
            <w:pPr>
              <w:pStyle w:val="TableText"/>
              <w:rPr>
                <w:b/>
              </w:rPr>
            </w:pPr>
            <w:r>
              <w:rPr>
                <w:b/>
              </w:rPr>
              <w:t>User Action</w:t>
            </w:r>
          </w:p>
        </w:tc>
        <w:tc>
          <w:tcPr>
            <w:tcW w:w="6120" w:type="dxa"/>
            <w:shd w:val="pct30" w:color="auto" w:fill="FFFFFF"/>
            <w:vAlign w:val="bottom"/>
          </w:tcPr>
          <w:p w14:paraId="158F2878" w14:textId="77777777" w:rsidR="009535FF" w:rsidRDefault="009535FF" w:rsidP="004356BF">
            <w:pPr>
              <w:pStyle w:val="TableText"/>
              <w:rPr>
                <w:b/>
              </w:rPr>
            </w:pPr>
            <w:r>
              <w:rPr>
                <w:b/>
              </w:rPr>
              <w:t>VBECS</w:t>
            </w:r>
          </w:p>
        </w:tc>
      </w:tr>
      <w:tr w:rsidR="009535FF" w14:paraId="77D10657" w14:textId="77777777">
        <w:tc>
          <w:tcPr>
            <w:tcW w:w="3240" w:type="dxa"/>
          </w:tcPr>
          <w:p w14:paraId="7D3F4F9E" w14:textId="77777777" w:rsidR="009535FF" w:rsidRDefault="009535FF" w:rsidP="006E12D3">
            <w:pPr>
              <w:pStyle w:val="TableTextNumbers"/>
            </w:pPr>
            <w:r>
              <w:t xml:space="preserve">Select </w:t>
            </w:r>
            <w:r>
              <w:rPr>
                <w:b/>
              </w:rPr>
              <w:t>Shipments</w:t>
            </w:r>
            <w:r>
              <w:t xml:space="preserve"> from the main menu.</w:t>
            </w:r>
          </w:p>
          <w:p w14:paraId="00DE4BC6" w14:textId="77777777" w:rsidR="009535FF" w:rsidRDefault="009535FF" w:rsidP="004356BF">
            <w:pPr>
              <w:pStyle w:val="TableTextNumbersContinued"/>
            </w:pPr>
          </w:p>
          <w:p w14:paraId="6B0DA9A4" w14:textId="77777777" w:rsidR="009535FF" w:rsidRDefault="009535FF" w:rsidP="004356BF">
            <w:pPr>
              <w:pStyle w:val="TableTextNumbersContinued"/>
            </w:pPr>
            <w:r>
              <w:t xml:space="preserve">Select </w:t>
            </w:r>
            <w:r>
              <w:rPr>
                <w:b/>
              </w:rPr>
              <w:t>Discard or Quarantine</w:t>
            </w:r>
            <w:r>
              <w:t>.</w:t>
            </w:r>
          </w:p>
          <w:p w14:paraId="0631FA0F" w14:textId="77777777" w:rsidR="009535FF" w:rsidRDefault="009535FF" w:rsidP="004356BF">
            <w:pPr>
              <w:pStyle w:val="TableTextNumbersContinued"/>
            </w:pPr>
          </w:p>
          <w:p w14:paraId="4652CBAB" w14:textId="77777777" w:rsidR="009535FF" w:rsidRDefault="009535FF" w:rsidP="004356BF">
            <w:pPr>
              <w:pStyle w:val="TableTextNumbersContinued"/>
            </w:pPr>
            <w:r>
              <w:t xml:space="preserve">Select an invoice and click </w:t>
            </w:r>
            <w:r>
              <w:rPr>
                <w:b/>
              </w:rPr>
              <w:t>OK</w:t>
            </w:r>
            <w:r>
              <w:t>.</w:t>
            </w:r>
          </w:p>
        </w:tc>
        <w:tc>
          <w:tcPr>
            <w:tcW w:w="6120" w:type="dxa"/>
          </w:tcPr>
          <w:p w14:paraId="715C3E21" w14:textId="77777777" w:rsidR="009535FF" w:rsidRDefault="009535FF" w:rsidP="004356BF">
            <w:pPr>
              <w:pStyle w:val="TableTextBullet"/>
            </w:pPr>
            <w:r>
              <w:t>Displays options for processing blood product shipments.</w:t>
            </w:r>
          </w:p>
          <w:p w14:paraId="7AC85E1D" w14:textId="77777777" w:rsidR="009535FF" w:rsidRDefault="009535FF" w:rsidP="004356BF">
            <w:pPr>
              <w:pStyle w:val="TableTextBullet"/>
            </w:pPr>
            <w:r>
              <w:t>Displays fields for entering shipment information.</w:t>
            </w:r>
          </w:p>
          <w:p w14:paraId="73CF6E8D" w14:textId="77777777" w:rsidR="009535FF" w:rsidRDefault="009535FF" w:rsidP="004356BF">
            <w:pPr>
              <w:pStyle w:val="TableTextBullet"/>
            </w:pPr>
            <w:r>
              <w:t xml:space="preserve">Allows </w:t>
            </w:r>
            <w:r w:rsidR="00E00A07">
              <w:t>the user to discard</w:t>
            </w:r>
            <w:r>
              <w:t xml:space="preserve"> or quarantine</w:t>
            </w:r>
            <w:r w:rsidR="00E00A07">
              <w:t xml:space="preserve"> units</w:t>
            </w:r>
            <w:r>
              <w:t xml:space="preserve"> by invoice.</w:t>
            </w:r>
          </w:p>
        </w:tc>
      </w:tr>
      <w:tr w:rsidR="009535FF" w14:paraId="62859EA8" w14:textId="77777777">
        <w:tc>
          <w:tcPr>
            <w:tcW w:w="3240" w:type="dxa"/>
          </w:tcPr>
          <w:p w14:paraId="28ED1FD5" w14:textId="77777777" w:rsidR="009535FF" w:rsidRDefault="006E12D3" w:rsidP="004356BF">
            <w:pPr>
              <w:pStyle w:val="TableTextNumbers"/>
            </w:pPr>
            <w:r>
              <w:t xml:space="preserve">Click </w:t>
            </w:r>
            <w:r w:rsidR="00E00A07">
              <w:t xml:space="preserve">(clear) </w:t>
            </w:r>
            <w:r>
              <w:t>one or more check boxes to remove units from the invoice.</w:t>
            </w:r>
          </w:p>
          <w:p w14:paraId="2BEAFB55" w14:textId="77777777" w:rsidR="006E12D3" w:rsidRDefault="006E12D3" w:rsidP="006E12D3">
            <w:pPr>
              <w:pStyle w:val="TableTextNumbersContinued"/>
            </w:pPr>
          </w:p>
          <w:p w14:paraId="70B8B442" w14:textId="77777777" w:rsidR="006E12D3" w:rsidRDefault="006E12D3" w:rsidP="006E12D3">
            <w:pPr>
              <w:pStyle w:val="TableTextNumbersContinued"/>
            </w:pPr>
            <w:r>
              <w:t xml:space="preserve">Click </w:t>
            </w:r>
            <w:r w:rsidRPr="006E12D3">
              <w:rPr>
                <w:b/>
              </w:rPr>
              <w:t>OK</w:t>
            </w:r>
            <w:r>
              <w:t>.</w:t>
            </w:r>
          </w:p>
        </w:tc>
        <w:tc>
          <w:tcPr>
            <w:tcW w:w="6120" w:type="dxa"/>
          </w:tcPr>
          <w:p w14:paraId="78E833A5" w14:textId="77777777" w:rsidR="003E1884" w:rsidRDefault="00EC1460" w:rsidP="003E1884">
            <w:pPr>
              <w:pStyle w:val="TableTextBullet"/>
            </w:pPr>
            <w:r>
              <w:t>Allows the user to select individual units.</w:t>
            </w:r>
          </w:p>
          <w:p w14:paraId="7F1241E4" w14:textId="77777777" w:rsidR="00EC1460" w:rsidRDefault="00EC1460" w:rsidP="003E1884">
            <w:pPr>
              <w:pStyle w:val="TableTextBullet"/>
            </w:pPr>
            <w:r>
              <w:t>Displays unit information, including the current status included in the invoice.</w:t>
            </w:r>
          </w:p>
          <w:p w14:paraId="7A76B8E4" w14:textId="77777777" w:rsidR="00EC1460" w:rsidRDefault="00EC1460" w:rsidP="003E1884">
            <w:pPr>
              <w:pStyle w:val="TableTextBullet"/>
            </w:pPr>
            <w:r>
              <w:t>Allows the user to deselect units from the batch prior to editing.</w:t>
            </w:r>
          </w:p>
          <w:p w14:paraId="37A006C7" w14:textId="77777777" w:rsidR="003E1884" w:rsidRDefault="003E1884" w:rsidP="004356BF">
            <w:pPr>
              <w:pStyle w:val="TableText"/>
              <w:rPr>
                <w:b/>
                <w:bCs/>
                <w:szCs w:val="18"/>
              </w:rPr>
            </w:pPr>
          </w:p>
          <w:p w14:paraId="1130D531" w14:textId="6EF04D60" w:rsidR="009535FF" w:rsidRDefault="009535FF" w:rsidP="004356BF">
            <w:pPr>
              <w:pStyle w:val="TableText"/>
              <w:rPr>
                <w:b/>
                <w:bCs/>
                <w:szCs w:val="18"/>
              </w:rPr>
            </w:pPr>
            <w:r>
              <w:rPr>
                <w:b/>
                <w:bCs/>
                <w:szCs w:val="18"/>
              </w:rPr>
              <w:t>NOTES</w:t>
            </w:r>
          </w:p>
          <w:p w14:paraId="196F6490" w14:textId="77777777" w:rsidR="009535FF" w:rsidRPr="00BE1A93" w:rsidRDefault="009535FF" w:rsidP="00BE1A93">
            <w:pPr>
              <w:pStyle w:val="NotesText"/>
            </w:pPr>
          </w:p>
          <w:p w14:paraId="61719EC9" w14:textId="77777777" w:rsidR="009535FF" w:rsidRDefault="00D1603E" w:rsidP="00BE1A93">
            <w:pPr>
              <w:pStyle w:val="NotesText"/>
            </w:pPr>
            <w:r w:rsidRPr="00D1603E">
              <w:rPr>
                <w:vanish/>
                <w:szCs w:val="18"/>
              </w:rPr>
              <w:t xml:space="preserve">BR_27.09 </w:t>
            </w:r>
            <w:r w:rsidR="00BE1A93" w:rsidRPr="00BE1A93">
              <w:t>For batch processing, the user may select incoming shipment invoic</w:t>
            </w:r>
            <w:r w:rsidR="00BE1A93">
              <w:t>es from t</w:t>
            </w:r>
            <w:r w:rsidR="00BE1A93" w:rsidRPr="00BE1A93">
              <w:t>h</w:t>
            </w:r>
            <w:r w:rsidR="00BE1A93">
              <w:t>e</w:t>
            </w:r>
            <w:r w:rsidR="00BE1A93" w:rsidRPr="00BE1A93">
              <w:t xml:space="preserve"> previous five days processed in the same division as the user.</w:t>
            </w:r>
          </w:p>
          <w:p w14:paraId="5EE560E1" w14:textId="77777777" w:rsidR="00D1603E" w:rsidRDefault="00D1603E" w:rsidP="00BE1A93">
            <w:pPr>
              <w:pStyle w:val="NotesText"/>
            </w:pPr>
          </w:p>
          <w:p w14:paraId="20C28C1B" w14:textId="77777777" w:rsidR="00D1603E" w:rsidRDefault="00D1603E" w:rsidP="00BE1A93">
            <w:pPr>
              <w:pStyle w:val="NotesText"/>
            </w:pPr>
            <w:r w:rsidRPr="00D1603E">
              <w:rPr>
                <w:vanish/>
                <w:szCs w:val="18"/>
              </w:rPr>
              <w:t xml:space="preserve">BR_27.12 </w:t>
            </w:r>
            <w:r>
              <w:t>Only incoming shipment invoices processed within the user’s division may be accessed for batch processing.</w:t>
            </w:r>
          </w:p>
        </w:tc>
      </w:tr>
      <w:tr w:rsidR="009544D4" w14:paraId="42E3B337" w14:textId="77777777">
        <w:tc>
          <w:tcPr>
            <w:tcW w:w="3240" w:type="dxa"/>
            <w:tcBorders>
              <w:top w:val="single" w:sz="4" w:space="0" w:color="auto"/>
              <w:left w:val="single" w:sz="4" w:space="0" w:color="auto"/>
              <w:bottom w:val="single" w:sz="4" w:space="0" w:color="auto"/>
              <w:right w:val="single" w:sz="4" w:space="0" w:color="auto"/>
            </w:tcBorders>
          </w:tcPr>
          <w:p w14:paraId="3B246B5F" w14:textId="77777777" w:rsidR="009544D4" w:rsidRDefault="009544D4" w:rsidP="00F90585">
            <w:pPr>
              <w:pStyle w:val="TableTextNumbers"/>
            </w:pPr>
            <w:r>
              <w:t xml:space="preserve">In the Activity area, click the </w:t>
            </w:r>
            <w:r w:rsidRPr="009544D4">
              <w:rPr>
                <w:b/>
              </w:rPr>
              <w:t>Discard</w:t>
            </w:r>
            <w:r>
              <w:t xml:space="preserve">, </w:t>
            </w:r>
            <w:r w:rsidRPr="009544D4">
              <w:rPr>
                <w:b/>
              </w:rPr>
              <w:t>Quarantine</w:t>
            </w:r>
            <w:r>
              <w:t xml:space="preserve">, or </w:t>
            </w:r>
            <w:r w:rsidRPr="009544D4">
              <w:rPr>
                <w:b/>
              </w:rPr>
              <w:t xml:space="preserve">Release from Quarantine </w:t>
            </w:r>
            <w:r w:rsidRPr="00BF2E41">
              <w:t>radio button</w:t>
            </w:r>
            <w:r>
              <w:t xml:space="preserve">. </w:t>
            </w:r>
          </w:p>
        </w:tc>
        <w:tc>
          <w:tcPr>
            <w:tcW w:w="6120" w:type="dxa"/>
            <w:tcBorders>
              <w:top w:val="single" w:sz="4" w:space="0" w:color="auto"/>
              <w:left w:val="single" w:sz="4" w:space="0" w:color="auto"/>
              <w:bottom w:val="single" w:sz="4" w:space="0" w:color="auto"/>
              <w:right w:val="single" w:sz="4" w:space="0" w:color="auto"/>
            </w:tcBorders>
          </w:tcPr>
          <w:p w14:paraId="7F37FB44" w14:textId="77777777" w:rsidR="00BE1A93" w:rsidRDefault="00BE1A93" w:rsidP="00BE1A93">
            <w:pPr>
              <w:pStyle w:val="TableText"/>
              <w:rPr>
                <w:b/>
                <w:bCs/>
                <w:szCs w:val="18"/>
              </w:rPr>
            </w:pPr>
          </w:p>
          <w:p w14:paraId="21AF6527" w14:textId="13D5569C" w:rsidR="00BE1A93" w:rsidRDefault="00BE1A93" w:rsidP="00BE1A93">
            <w:pPr>
              <w:pStyle w:val="TableText"/>
              <w:rPr>
                <w:b/>
                <w:bCs/>
                <w:szCs w:val="18"/>
              </w:rPr>
            </w:pPr>
            <w:r>
              <w:rPr>
                <w:b/>
                <w:bCs/>
                <w:szCs w:val="18"/>
              </w:rPr>
              <w:t>NOTES</w:t>
            </w:r>
          </w:p>
          <w:p w14:paraId="60C84FF9" w14:textId="77777777" w:rsidR="00BE1A93" w:rsidRDefault="00BE1A93" w:rsidP="00467E7D">
            <w:pPr>
              <w:pStyle w:val="NotesText"/>
            </w:pPr>
          </w:p>
          <w:p w14:paraId="7FB0F63E" w14:textId="77777777" w:rsidR="009544D4" w:rsidRDefault="00BE1A93" w:rsidP="00467E7D">
            <w:pPr>
              <w:pStyle w:val="NotesText"/>
            </w:pPr>
            <w:r w:rsidRPr="00EC7489">
              <w:rPr>
                <w:rFonts w:ascii="Wingdings 3" w:hAnsi="Wingdings 3" w:cs="Wingdings"/>
              </w:rPr>
              <w:t></w:t>
            </w:r>
            <w:r w:rsidRPr="00EC7489">
              <w:rPr>
                <w:rFonts w:ascii="Wingdings 3" w:hAnsi="Wingdings 3" w:cs="Wingdings"/>
              </w:rPr>
              <w:t></w:t>
            </w:r>
            <w:r>
              <w:t xml:space="preserve"> The</w:t>
            </w:r>
            <w:r w:rsidR="009544D4" w:rsidRPr="004356BF">
              <w:t xml:space="preserve"> Enhanced Technologist may release a unit from quarantine.</w:t>
            </w:r>
          </w:p>
        </w:tc>
      </w:tr>
      <w:tr w:rsidR="007E6BE0" w14:paraId="31581018" w14:textId="77777777">
        <w:tc>
          <w:tcPr>
            <w:tcW w:w="3240" w:type="dxa"/>
            <w:tcBorders>
              <w:top w:val="single" w:sz="4" w:space="0" w:color="auto"/>
              <w:left w:val="single" w:sz="4" w:space="0" w:color="auto"/>
              <w:bottom w:val="single" w:sz="4" w:space="0" w:color="auto"/>
              <w:right w:val="single" w:sz="4" w:space="0" w:color="auto"/>
            </w:tcBorders>
          </w:tcPr>
          <w:p w14:paraId="345F2736" w14:textId="77777777" w:rsidR="007E6BE0" w:rsidRDefault="007E6BE0" w:rsidP="00F90585">
            <w:pPr>
              <w:pStyle w:val="TableTextNumbers"/>
            </w:pPr>
            <w:r>
              <w:t>Select or enter a comment in the Comment field to explain the change in status, when indicated. Enter details, as needed.</w:t>
            </w:r>
          </w:p>
        </w:tc>
        <w:tc>
          <w:tcPr>
            <w:tcW w:w="6120" w:type="dxa"/>
            <w:tcBorders>
              <w:top w:val="single" w:sz="4" w:space="0" w:color="auto"/>
              <w:left w:val="single" w:sz="4" w:space="0" w:color="auto"/>
              <w:bottom w:val="single" w:sz="4" w:space="0" w:color="auto"/>
              <w:right w:val="single" w:sz="4" w:space="0" w:color="auto"/>
            </w:tcBorders>
          </w:tcPr>
          <w:p w14:paraId="4170217A" w14:textId="77777777" w:rsidR="007E6BE0" w:rsidRDefault="007E6BE0" w:rsidP="00F90585">
            <w:pPr>
              <w:pStyle w:val="TableTextBullet"/>
            </w:pPr>
            <w:r>
              <w:t>Displays entered data.</w:t>
            </w:r>
          </w:p>
          <w:p w14:paraId="05C11D84" w14:textId="77777777" w:rsidR="007E6BE0" w:rsidRDefault="007E6BE0" w:rsidP="00F90585">
            <w:pPr>
              <w:pStyle w:val="TableText"/>
            </w:pPr>
          </w:p>
          <w:p w14:paraId="5C95FC69" w14:textId="7A686686" w:rsidR="00D1603E" w:rsidRDefault="00D1603E" w:rsidP="00D1603E">
            <w:pPr>
              <w:pStyle w:val="TableText"/>
              <w:rPr>
                <w:b/>
                <w:bCs/>
                <w:szCs w:val="18"/>
              </w:rPr>
            </w:pPr>
            <w:r>
              <w:rPr>
                <w:b/>
                <w:bCs/>
                <w:szCs w:val="18"/>
              </w:rPr>
              <w:t>NOTES</w:t>
            </w:r>
          </w:p>
          <w:p w14:paraId="01012F7A" w14:textId="77777777" w:rsidR="00D1603E" w:rsidRDefault="00D1603E" w:rsidP="00D1603E">
            <w:pPr>
              <w:pStyle w:val="NotesText"/>
            </w:pPr>
          </w:p>
          <w:p w14:paraId="2586FAF1" w14:textId="77777777" w:rsidR="007E6BE0" w:rsidRDefault="007E6BE0" w:rsidP="00D1603E">
            <w:pPr>
              <w:pStyle w:val="NotesText"/>
            </w:pPr>
            <w:r w:rsidRPr="00D1603E">
              <w:rPr>
                <w:vanish/>
                <w:szCs w:val="18"/>
              </w:rPr>
              <w:t xml:space="preserve">BR_27.04 </w:t>
            </w:r>
            <w:r>
              <w:t>When a status of “Discard” is assigned to a unit, the user must enter a comment.</w:t>
            </w:r>
          </w:p>
          <w:p w14:paraId="4655BC0E" w14:textId="77777777" w:rsidR="007E6BE0" w:rsidRDefault="007E6BE0" w:rsidP="00D1603E">
            <w:pPr>
              <w:pStyle w:val="NotesText"/>
            </w:pPr>
          </w:p>
          <w:p w14:paraId="621C3585" w14:textId="77777777" w:rsidR="007E6BE0" w:rsidRDefault="007E6BE0" w:rsidP="00D1603E">
            <w:pPr>
              <w:pStyle w:val="NotesText"/>
            </w:pPr>
            <w:r w:rsidRPr="00D1603E">
              <w:rPr>
                <w:vanish/>
                <w:szCs w:val="18"/>
              </w:rPr>
              <w:t>BR_27.08</w:t>
            </w:r>
            <w:r w:rsidR="00CE3961">
              <w:rPr>
                <w:vanish/>
                <w:szCs w:val="18"/>
              </w:rPr>
              <w:t xml:space="preserve">, </w:t>
            </w:r>
            <w:r w:rsidRPr="00D1603E">
              <w:rPr>
                <w:vanish/>
                <w:szCs w:val="18"/>
              </w:rPr>
              <w:t>BR_27.02</w:t>
            </w:r>
            <w:r w:rsidR="00263B24" w:rsidRPr="00263B24">
              <w:t>W</w:t>
            </w:r>
            <w:r w:rsidRPr="00263B24">
              <w:t>h</w:t>
            </w:r>
            <w:r>
              <w:t>en a blood unit is assigned an indicator of “quarantined,” VBECS emits an audible alert, requires a comment, and captures details for inclusion in an Exception Report (exception type: Quarantine, Discard or Release from Quarantine, depending on the user action).</w:t>
            </w:r>
          </w:p>
          <w:p w14:paraId="6F3E1BF6" w14:textId="77777777" w:rsidR="00D1603E" w:rsidRDefault="00D1603E" w:rsidP="00D1603E">
            <w:pPr>
              <w:pStyle w:val="NotesText"/>
            </w:pPr>
          </w:p>
          <w:p w14:paraId="3CC394BE" w14:textId="77777777" w:rsidR="007E6BE0" w:rsidRDefault="007E6BE0" w:rsidP="00D1603E">
            <w:pPr>
              <w:pStyle w:val="NotesText"/>
            </w:pPr>
            <w:r w:rsidRPr="00D1603E">
              <w:rPr>
                <w:vanish/>
                <w:szCs w:val="18"/>
              </w:rPr>
              <w:t>BR_27.11</w:t>
            </w:r>
            <w:r w:rsidR="00263B24" w:rsidRPr="00896F17">
              <w:rPr>
                <w:rStyle w:val="BullhornChar"/>
              </w:rPr>
              <w:t></w:t>
            </w:r>
            <w:r w:rsidR="00263B24">
              <w:rPr>
                <w:rFonts w:ascii="Webdings" w:hAnsi="Webdings"/>
              </w:rPr>
              <w:t></w:t>
            </w:r>
            <w:r w:rsidR="00263B24" w:rsidRPr="00263B24">
              <w:t>Wh</w:t>
            </w:r>
            <w:r w:rsidR="00263B24">
              <w:t>en</w:t>
            </w:r>
            <w:r>
              <w:t xml:space="preserve"> a unit is released from quarantine, a new status must be assigned. VBECS assigns the previous status as the default status. When the unit expiration date is in the past, VBECS emits an audible alert, warns the user, and asks whether he wishes to continue.</w:t>
            </w:r>
          </w:p>
          <w:p w14:paraId="362E17EA" w14:textId="77777777" w:rsidR="007E6BE0" w:rsidRPr="007E6BE0" w:rsidRDefault="007E6BE0" w:rsidP="00D1603E">
            <w:pPr>
              <w:pStyle w:val="NotesText"/>
            </w:pPr>
          </w:p>
          <w:p w14:paraId="21582C26" w14:textId="77777777" w:rsidR="007E6BE0" w:rsidRDefault="007E6BE0" w:rsidP="00D1603E">
            <w:pPr>
              <w:pStyle w:val="NotesText"/>
            </w:pPr>
            <w:r w:rsidRPr="00D1603E">
              <w:rPr>
                <w:b/>
              </w:rPr>
              <w:t>Yes</w:t>
            </w:r>
            <w:r>
              <w:t xml:space="preserve"> accepts the default status, requires a comment, and captures details for inclusion in an Exception Report (exception type: expired unit released from quarantine). </w:t>
            </w:r>
            <w:r w:rsidRPr="00D1603E">
              <w:rPr>
                <w:b/>
              </w:rPr>
              <w:t>No</w:t>
            </w:r>
            <w:r>
              <w:t xml:space="preserve"> stops the process; the unit remains marked as quarantined.</w:t>
            </w:r>
          </w:p>
          <w:p w14:paraId="4EA273DD" w14:textId="77777777" w:rsidR="007E6BE0" w:rsidRDefault="007E6BE0" w:rsidP="00D1603E">
            <w:pPr>
              <w:pStyle w:val="NotesText"/>
            </w:pPr>
          </w:p>
          <w:p w14:paraId="4943B8C1" w14:textId="77777777" w:rsidR="007E6BE0" w:rsidRDefault="007E6BE0" w:rsidP="00D1603E">
            <w:pPr>
              <w:pStyle w:val="NotesText"/>
            </w:pPr>
            <w:r w:rsidRPr="00D1603E">
              <w:rPr>
                <w:vanish/>
                <w:szCs w:val="18"/>
              </w:rPr>
              <w:t xml:space="preserve">BR_27.05 </w:t>
            </w:r>
            <w:r>
              <w:t>When the user assigns a status of “Discard,” he must indicate whether the discard is waste or credit.</w:t>
            </w:r>
          </w:p>
          <w:p w14:paraId="4613AB4A" w14:textId="77777777" w:rsidR="007E6BE0" w:rsidRDefault="007E6BE0" w:rsidP="00D1603E">
            <w:pPr>
              <w:pStyle w:val="NotesText"/>
            </w:pPr>
          </w:p>
          <w:p w14:paraId="7B9F144A" w14:textId="77777777" w:rsidR="007E6BE0" w:rsidRDefault="007E6BE0" w:rsidP="00D1603E">
            <w:pPr>
              <w:pStyle w:val="NotesText"/>
            </w:pPr>
            <w:r w:rsidRPr="00D1603E">
              <w:rPr>
                <w:vanish/>
                <w:szCs w:val="18"/>
              </w:rPr>
              <w:t xml:space="preserve">BR_27.06 </w:t>
            </w:r>
            <w:r>
              <w:t>When VBECS processes a unit as a discard that is waste, it does not apply a return credit is not applied to the discarded unit. (There is no refund of monies from the blood shipper.)</w:t>
            </w:r>
          </w:p>
          <w:p w14:paraId="20DA55FE" w14:textId="77777777" w:rsidR="007E6BE0" w:rsidRDefault="007E6BE0" w:rsidP="00D1603E">
            <w:pPr>
              <w:pStyle w:val="NotesText"/>
            </w:pPr>
          </w:p>
          <w:p w14:paraId="7321B588" w14:textId="77777777" w:rsidR="007E6BE0" w:rsidRDefault="007E6BE0" w:rsidP="00D1603E">
            <w:pPr>
              <w:pStyle w:val="NotesText"/>
            </w:pPr>
            <w:r w:rsidRPr="00D1603E">
              <w:rPr>
                <w:vanish/>
                <w:szCs w:val="18"/>
              </w:rPr>
              <w:t xml:space="preserve">BR_27.07 </w:t>
            </w:r>
            <w:r>
              <w:t>When VBECS saves a unit as “discard for credit,” it applies a default return credit. A user may edit the default return credit applied to the unit before updating the database.</w:t>
            </w:r>
          </w:p>
          <w:p w14:paraId="6F3E0E73" w14:textId="77777777" w:rsidR="007E6BE0" w:rsidRDefault="007E6BE0" w:rsidP="00D1603E">
            <w:pPr>
              <w:pStyle w:val="NotesText"/>
            </w:pPr>
          </w:p>
          <w:p w14:paraId="3ABD4F48" w14:textId="77777777" w:rsidR="007E6BE0" w:rsidRDefault="007E6BE0" w:rsidP="00D1603E">
            <w:pPr>
              <w:pStyle w:val="NotesText"/>
            </w:pPr>
            <w:r w:rsidRPr="00D1603E">
              <w:rPr>
                <w:vanish/>
                <w:szCs w:val="18"/>
              </w:rPr>
              <w:t xml:space="preserve">BR_27.15 </w:t>
            </w:r>
            <w:r w:rsidR="00DC63E8">
              <w:t>When a unit has had a quarantine indicator assigned, VBECS releases any patient assignments. Patient restrictions associated with the unit remain intact.</w:t>
            </w:r>
          </w:p>
          <w:p w14:paraId="0B976097" w14:textId="77777777" w:rsidR="007E6BE0" w:rsidRDefault="007E6BE0" w:rsidP="00D1603E">
            <w:pPr>
              <w:pStyle w:val="NotesText"/>
            </w:pPr>
          </w:p>
          <w:p w14:paraId="496135C1" w14:textId="77777777" w:rsidR="007E6BE0" w:rsidRDefault="007E6BE0" w:rsidP="00D1603E">
            <w:pPr>
              <w:pStyle w:val="NotesText"/>
            </w:pPr>
            <w:r w:rsidRPr="00D1603E">
              <w:rPr>
                <w:vanish/>
                <w:szCs w:val="18"/>
              </w:rPr>
              <w:t xml:space="preserve">BR_27.16 </w:t>
            </w:r>
            <w:r>
              <w:t>When a user attempts to release a unit from quarantine and the unit was quarantined because of a data conflict, VBECS checks the inconsistency before allowing the unit to be released. VBECS warns the user. There is no override. The user must invalidate the incorrect information or test to resolve the data conflict.</w:t>
            </w:r>
          </w:p>
        </w:tc>
      </w:tr>
      <w:tr w:rsidR="007E6BE0" w14:paraId="06981A4C" w14:textId="77777777">
        <w:tc>
          <w:tcPr>
            <w:tcW w:w="3240" w:type="dxa"/>
            <w:tcBorders>
              <w:top w:val="single" w:sz="4" w:space="0" w:color="auto"/>
              <w:left w:val="single" w:sz="4" w:space="0" w:color="auto"/>
              <w:bottom w:val="single" w:sz="4" w:space="0" w:color="auto"/>
              <w:right w:val="single" w:sz="4" w:space="0" w:color="auto"/>
            </w:tcBorders>
          </w:tcPr>
          <w:p w14:paraId="1A6E408A" w14:textId="77777777" w:rsidR="007E6BE0" w:rsidRDefault="004724C0" w:rsidP="00F90585">
            <w:pPr>
              <w:pStyle w:val="TableTextNumbers"/>
            </w:pPr>
            <w:r>
              <w:t>E</w:t>
            </w:r>
            <w:r w:rsidR="007E6BE0">
              <w:t xml:space="preserve">nter the date and time of the status update. </w:t>
            </w:r>
          </w:p>
          <w:p w14:paraId="12AE9D1E" w14:textId="77777777" w:rsidR="007E6BE0" w:rsidRDefault="007E6BE0" w:rsidP="00E00A07">
            <w:pPr>
              <w:pStyle w:val="TableTextNumbersContinued"/>
            </w:pPr>
          </w:p>
          <w:p w14:paraId="4FCE371A" w14:textId="77777777" w:rsidR="007E6BE0" w:rsidRDefault="007E6BE0" w:rsidP="00E00A07">
            <w:pPr>
              <w:pStyle w:val="TableTextNumbersContinued"/>
            </w:pPr>
            <w:r>
              <w:t xml:space="preserve">Click the </w:t>
            </w:r>
            <w:r w:rsidRPr="00E00A07">
              <w:rPr>
                <w:b/>
              </w:rPr>
              <w:t>Waste</w:t>
            </w:r>
            <w:r>
              <w:t xml:space="preserve"> or </w:t>
            </w:r>
            <w:r w:rsidRPr="00E00A07">
              <w:rPr>
                <w:b/>
              </w:rPr>
              <w:t xml:space="preserve">Credit </w:t>
            </w:r>
            <w:r w:rsidRPr="00BF2E41">
              <w:t>radio button</w:t>
            </w:r>
            <w:r>
              <w:t>.</w:t>
            </w:r>
          </w:p>
        </w:tc>
        <w:tc>
          <w:tcPr>
            <w:tcW w:w="6120" w:type="dxa"/>
            <w:tcBorders>
              <w:top w:val="single" w:sz="4" w:space="0" w:color="auto"/>
              <w:left w:val="single" w:sz="4" w:space="0" w:color="auto"/>
              <w:bottom w:val="single" w:sz="4" w:space="0" w:color="auto"/>
              <w:right w:val="single" w:sz="4" w:space="0" w:color="auto"/>
            </w:tcBorders>
          </w:tcPr>
          <w:p w14:paraId="3524CAEB" w14:textId="77777777" w:rsidR="00E831C2" w:rsidRDefault="00E831C2" w:rsidP="00F90585">
            <w:pPr>
              <w:pStyle w:val="TableTextBullet"/>
            </w:pPr>
            <w:r>
              <w:rPr>
                <w:vanish/>
              </w:rPr>
              <w:t xml:space="preserve">DR 3241 </w:t>
            </w:r>
            <w:r>
              <w:t xml:space="preserve">VBECS defaults the date and time of the status update to the date and time the user opened the Discard or Quarantine option </w:t>
            </w:r>
          </w:p>
          <w:p w14:paraId="5F89777B" w14:textId="77777777" w:rsidR="007E6BE0" w:rsidRDefault="007E6BE0" w:rsidP="00F90585">
            <w:pPr>
              <w:pStyle w:val="TableTextBullet"/>
            </w:pPr>
            <w:r>
              <w:t>Displays entered data.</w:t>
            </w:r>
          </w:p>
          <w:p w14:paraId="37B988EB" w14:textId="77777777" w:rsidR="00596172" w:rsidRDefault="00596172" w:rsidP="00596172">
            <w:pPr>
              <w:pStyle w:val="TableText"/>
            </w:pPr>
          </w:p>
          <w:p w14:paraId="63C6740A" w14:textId="12322A4E" w:rsidR="00596172" w:rsidRDefault="00596172" w:rsidP="00596172">
            <w:pPr>
              <w:pStyle w:val="TableText"/>
              <w:rPr>
                <w:b/>
                <w:bCs/>
                <w:szCs w:val="18"/>
              </w:rPr>
            </w:pPr>
            <w:r>
              <w:rPr>
                <w:b/>
                <w:bCs/>
                <w:szCs w:val="18"/>
              </w:rPr>
              <w:t>NOTES</w:t>
            </w:r>
          </w:p>
          <w:p w14:paraId="4F5E8736" w14:textId="77777777" w:rsidR="00596172" w:rsidRDefault="00596172" w:rsidP="00596172">
            <w:pPr>
              <w:pStyle w:val="NotesText"/>
            </w:pPr>
          </w:p>
          <w:p w14:paraId="78760BD0" w14:textId="77777777" w:rsidR="007E6BE0" w:rsidRDefault="007E6BE0" w:rsidP="00596172">
            <w:pPr>
              <w:pStyle w:val="NotesText"/>
            </w:pPr>
            <w:r>
              <w:t>The default date and time are the current date and time.</w:t>
            </w:r>
          </w:p>
          <w:p w14:paraId="63B02BA9" w14:textId="77777777" w:rsidR="007E6BE0" w:rsidRDefault="007E6BE0" w:rsidP="00596172">
            <w:pPr>
              <w:pStyle w:val="NotesText"/>
            </w:pPr>
          </w:p>
          <w:p w14:paraId="7887F165" w14:textId="77777777" w:rsidR="007E6BE0" w:rsidRDefault="007E6BE0" w:rsidP="00596172">
            <w:pPr>
              <w:pStyle w:val="NotesText"/>
            </w:pPr>
            <w:r w:rsidRPr="00596172">
              <w:rPr>
                <w:vanish/>
                <w:szCs w:val="18"/>
              </w:rPr>
              <w:t xml:space="preserve">BR_27.14 </w:t>
            </w:r>
            <w:r>
              <w:t>When the user updates the status of a unit and enters a date or time in the past, VBECS compares the retrospective date and time with the last record update for the unit. VBECS allows the user to update a unit record with a date and time between the last record update and the current date and time.</w:t>
            </w:r>
            <w:bookmarkStart w:id="346" w:name="two2511"/>
            <w:bookmarkEnd w:id="346"/>
          </w:p>
          <w:p w14:paraId="1244AB54" w14:textId="77777777" w:rsidR="007E6BE0" w:rsidRDefault="007E6BE0" w:rsidP="00596172">
            <w:pPr>
              <w:pStyle w:val="NotesText"/>
            </w:pPr>
          </w:p>
          <w:p w14:paraId="6F6D5DE6" w14:textId="77777777" w:rsidR="007E6BE0" w:rsidRDefault="00263B24" w:rsidP="00596172">
            <w:pPr>
              <w:pStyle w:val="NotesText"/>
            </w:pPr>
            <w:r w:rsidRPr="00896F17">
              <w:rPr>
                <w:rStyle w:val="BullhornChar"/>
              </w:rPr>
              <w:t></w:t>
            </w:r>
            <w:r w:rsidR="00596172" w:rsidRPr="00EC7489">
              <w:rPr>
                <w:rFonts w:ascii="Wingdings 3" w:hAnsi="Wingdings 3" w:cs="Wingdings"/>
              </w:rPr>
              <w:t></w:t>
            </w:r>
            <w:r w:rsidR="00596172" w:rsidRPr="00EC7489">
              <w:rPr>
                <w:rFonts w:ascii="Wingdings 3" w:hAnsi="Wingdings 3" w:cs="Wingdings"/>
              </w:rPr>
              <w:t></w:t>
            </w:r>
            <w:r w:rsidR="00596172">
              <w:t xml:space="preserve"> When</w:t>
            </w:r>
            <w:r w:rsidR="007E6BE0">
              <w:t xml:space="preserve"> the user attempts to update a unit record prior to the last record update, VBECS emits an audible alert, warns the Enhanced Technologist, and instructs him to check the date and time entered. There is no override.</w:t>
            </w:r>
          </w:p>
          <w:p w14:paraId="51B83D16" w14:textId="77777777" w:rsidR="007E6BE0" w:rsidRDefault="007E6BE0" w:rsidP="00596172">
            <w:pPr>
              <w:pStyle w:val="NotesText"/>
            </w:pPr>
          </w:p>
          <w:p w14:paraId="240C4AA3" w14:textId="77777777" w:rsidR="007E6BE0" w:rsidRDefault="005C768D" w:rsidP="00596172">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7E6BE0">
              <w:t xml:space="preserve">When the user is a Lead Technologist, VBECS also requires a comment and asks whether the user wishes to continue. </w:t>
            </w:r>
            <w:r w:rsidR="007E6BE0" w:rsidRPr="00596172">
              <w:rPr>
                <w:b/>
              </w:rPr>
              <w:t>Yes</w:t>
            </w:r>
            <w:r w:rsidR="007E6BE0">
              <w:t xml:space="preserve"> accepts the date and time entered, requires a comment, and captures details for inclusion in an Exception Report (exception type: retrospective update prior to last record update). </w:t>
            </w:r>
            <w:r w:rsidR="007E6BE0" w:rsidRPr="00596172">
              <w:rPr>
                <w:b/>
              </w:rPr>
              <w:t>No</w:t>
            </w:r>
            <w:r w:rsidR="007E6BE0">
              <w:t xml:space="preserve"> allows the user to correct the entry.</w:t>
            </w:r>
          </w:p>
        </w:tc>
      </w:tr>
      <w:tr w:rsidR="007E6BE0" w14:paraId="7532C265" w14:textId="77777777">
        <w:tc>
          <w:tcPr>
            <w:tcW w:w="3240" w:type="dxa"/>
            <w:tcBorders>
              <w:top w:val="single" w:sz="4" w:space="0" w:color="auto"/>
              <w:left w:val="single" w:sz="4" w:space="0" w:color="auto"/>
              <w:bottom w:val="single" w:sz="4" w:space="0" w:color="auto"/>
              <w:right w:val="single" w:sz="4" w:space="0" w:color="auto"/>
            </w:tcBorders>
          </w:tcPr>
          <w:p w14:paraId="1435893D" w14:textId="77777777" w:rsidR="007E6BE0" w:rsidRDefault="007E6BE0" w:rsidP="00F90585">
            <w:pPr>
              <w:pStyle w:val="TableTextNumbers"/>
            </w:pPr>
            <w:r>
              <w:t xml:space="preserve">Review the unit status update information and click </w:t>
            </w:r>
            <w:r w:rsidR="005122E2">
              <w:rPr>
                <w:b/>
              </w:rPr>
              <w:t>Save</w:t>
            </w:r>
            <w:r w:rsidR="005122E2" w:rsidRPr="009535FF">
              <w:t xml:space="preserve"> </w:t>
            </w:r>
            <w:r w:rsidRPr="009535FF">
              <w:t>to save</w:t>
            </w:r>
            <w:r>
              <w:t>.</w:t>
            </w:r>
          </w:p>
        </w:tc>
        <w:tc>
          <w:tcPr>
            <w:tcW w:w="6120" w:type="dxa"/>
            <w:tcBorders>
              <w:top w:val="single" w:sz="4" w:space="0" w:color="auto"/>
              <w:left w:val="single" w:sz="4" w:space="0" w:color="auto"/>
              <w:bottom w:val="single" w:sz="4" w:space="0" w:color="auto"/>
              <w:right w:val="single" w:sz="4" w:space="0" w:color="auto"/>
            </w:tcBorders>
          </w:tcPr>
          <w:p w14:paraId="64DEA267" w14:textId="77777777" w:rsidR="007E6BE0" w:rsidRDefault="007E6BE0" w:rsidP="00F90585">
            <w:pPr>
              <w:pStyle w:val="TableTextBullet"/>
            </w:pPr>
            <w:r>
              <w:t xml:space="preserve">Evaluates the unit’s current status to determine whether it is eligible for the selected function. </w:t>
            </w:r>
          </w:p>
          <w:p w14:paraId="4C0940EE" w14:textId="77777777" w:rsidR="007E6BE0" w:rsidRDefault="007E6BE0" w:rsidP="00F90585">
            <w:pPr>
              <w:pStyle w:val="TableTextBullet"/>
            </w:pPr>
            <w:r>
              <w:t>Displays appropriate error messages when the unit cannot be processed.</w:t>
            </w:r>
          </w:p>
          <w:p w14:paraId="1A0CB970" w14:textId="77777777" w:rsidR="007E6BE0" w:rsidRDefault="007E6BE0" w:rsidP="00F90585">
            <w:pPr>
              <w:pStyle w:val="TableTextBullet"/>
            </w:pPr>
            <w:r>
              <w:t>Prompts the user to confirm the save.</w:t>
            </w:r>
          </w:p>
        </w:tc>
      </w:tr>
      <w:tr w:rsidR="007E6BE0" w14:paraId="5ADA082A" w14:textId="77777777">
        <w:tc>
          <w:tcPr>
            <w:tcW w:w="3240" w:type="dxa"/>
            <w:tcBorders>
              <w:top w:val="single" w:sz="4" w:space="0" w:color="auto"/>
              <w:left w:val="single" w:sz="4" w:space="0" w:color="auto"/>
              <w:bottom w:val="single" w:sz="4" w:space="0" w:color="auto"/>
              <w:right w:val="single" w:sz="4" w:space="0" w:color="auto"/>
            </w:tcBorders>
          </w:tcPr>
          <w:p w14:paraId="37588C30" w14:textId="77777777" w:rsidR="007E6BE0" w:rsidRDefault="007E6BE0" w:rsidP="00F90585">
            <w:pPr>
              <w:pStyle w:val="TableTextNumbers"/>
            </w:pPr>
            <w:r>
              <w:t xml:space="preserve">Click </w:t>
            </w:r>
            <w:r w:rsidRPr="00E00A07">
              <w:rPr>
                <w:b/>
              </w:rPr>
              <w:t>Yes</w:t>
            </w:r>
            <w:r>
              <w:t xml:space="preserve"> to confirm the save.</w:t>
            </w:r>
            <w:r w:rsidRPr="007E6BE0">
              <w:t xml:space="preserve"> </w:t>
            </w:r>
            <w:r w:rsidRPr="009D2C1A">
              <w:rPr>
                <w:vanish/>
                <w:szCs w:val="18"/>
              </w:rPr>
              <w:fldChar w:fldCharType="begin"/>
            </w:r>
            <w:r w:rsidRPr="009D2C1A">
              <w:rPr>
                <w:vanish/>
                <w:szCs w:val="18"/>
              </w:rPr>
              <w:instrText xml:space="preserve"> LISTNUM \l 1 \s 0 </w:instrText>
            </w:r>
            <w:r w:rsidRPr="009D2C1A">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B06CBB4" w14:textId="77777777" w:rsidR="007E6BE0" w:rsidRDefault="007E6BE0" w:rsidP="00F90585">
            <w:pPr>
              <w:pStyle w:val="TableTextBullet"/>
            </w:pPr>
            <w:r>
              <w:t>Saves the data.</w:t>
            </w:r>
          </w:p>
          <w:p w14:paraId="2EC1900F" w14:textId="77777777" w:rsidR="00596172" w:rsidRDefault="00596172" w:rsidP="00596172">
            <w:pPr>
              <w:pStyle w:val="TableText"/>
            </w:pPr>
          </w:p>
          <w:p w14:paraId="52C056DB" w14:textId="298D9D1F" w:rsidR="00596172" w:rsidRDefault="00596172" w:rsidP="00596172">
            <w:pPr>
              <w:pStyle w:val="TableText"/>
              <w:rPr>
                <w:b/>
                <w:bCs/>
                <w:szCs w:val="18"/>
              </w:rPr>
            </w:pPr>
            <w:r>
              <w:rPr>
                <w:b/>
                <w:bCs/>
                <w:szCs w:val="18"/>
              </w:rPr>
              <w:t>NOTES</w:t>
            </w:r>
          </w:p>
          <w:p w14:paraId="37D0ED5F" w14:textId="77777777" w:rsidR="00596172" w:rsidRDefault="00596172" w:rsidP="00596172">
            <w:pPr>
              <w:pStyle w:val="NotesText"/>
            </w:pPr>
          </w:p>
          <w:p w14:paraId="652F18DF" w14:textId="77777777" w:rsidR="007E6BE0" w:rsidRDefault="007E6BE0" w:rsidP="00596172">
            <w:pPr>
              <w:pStyle w:val="NotesText"/>
            </w:pPr>
            <w:r w:rsidRPr="00596172">
              <w:rPr>
                <w:vanish/>
                <w:szCs w:val="18"/>
              </w:rPr>
              <w:t xml:space="preserve">BR_27.01 </w:t>
            </w:r>
            <w:r>
              <w:t>During batch data entry of “Discard,” “Quarantine,” and “Release from Quarantine,” VBECS saves transaction details, including user-entered comments, to each blood unit included in the batch.</w:t>
            </w:r>
          </w:p>
        </w:tc>
      </w:tr>
    </w:tbl>
    <w:p w14:paraId="0ED77B88" w14:textId="77777777" w:rsidR="002A21AE" w:rsidRDefault="00C909C1">
      <w:pPr>
        <w:pStyle w:val="Heading2"/>
      </w:pPr>
      <w:bookmarkStart w:id="347" w:name="_Select_Units_1"/>
      <w:bookmarkEnd w:id="347"/>
      <w:r>
        <w:br w:type="page"/>
      </w:r>
      <w:bookmarkStart w:id="348" w:name="_Ref507079957"/>
      <w:bookmarkStart w:id="349" w:name="_Toc149064134"/>
      <w:r w:rsidR="002A21AE">
        <w:t>Select Units</w:t>
      </w:r>
      <w:bookmarkEnd w:id="348"/>
      <w:bookmarkEnd w:id="349"/>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Select Units</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UC_03</w:t>
      </w:r>
    </w:p>
    <w:p w14:paraId="7BAACA79" w14:textId="77777777" w:rsidR="002A21AE" w:rsidRDefault="002A21AE" w:rsidP="00FA7E65">
      <w:pPr>
        <w:pStyle w:val="BodyText"/>
      </w:pPr>
      <w:bookmarkStart w:id="350" w:name="_Toc77662463"/>
      <w:r>
        <w:t xml:space="preserve">A user selects a patient component order and assigns one or more products to a patient for possible transfusion. </w:t>
      </w:r>
    </w:p>
    <w:p w14:paraId="62267B64" w14:textId="77777777" w:rsidR="002A21AE" w:rsidRDefault="002A21AE">
      <w:pPr>
        <w:pStyle w:val="Heading4"/>
      </w:pPr>
      <w:r>
        <w:t>Assumptions</w:t>
      </w:r>
    </w:p>
    <w:p w14:paraId="795899D8" w14:textId="77777777" w:rsidR="002A21AE" w:rsidRDefault="002A21AE">
      <w:pPr>
        <w:pStyle w:val="ListBullet"/>
      </w:pPr>
      <w:r>
        <w:t xml:space="preserve">An appropriate current order was accepted through Accept Orders: Accept an Order. </w:t>
      </w:r>
    </w:p>
    <w:p w14:paraId="5712F099" w14:textId="77777777" w:rsidR="002A21AE" w:rsidRDefault="002A21AE">
      <w:pPr>
        <w:pStyle w:val="ListBullet"/>
      </w:pPr>
      <w:r>
        <w:rPr>
          <w:rFonts w:cs="Arial"/>
        </w:rPr>
        <w:t xml:space="preserve">The </w:t>
      </w:r>
      <w:r>
        <w:t>division</w:t>
      </w:r>
      <w:r>
        <w:rPr>
          <w:rFonts w:cs="Arial"/>
        </w:rPr>
        <w:t xml:space="preserve"> </w:t>
      </w:r>
      <w:r>
        <w:t xml:space="preserve">may or may not allow electronic crossmatch (eXM). </w:t>
      </w:r>
    </w:p>
    <w:p w14:paraId="0CA5049D" w14:textId="77777777" w:rsidR="002A21AE" w:rsidRDefault="002A21AE">
      <w:pPr>
        <w:pStyle w:val="ListBullet"/>
      </w:pPr>
      <w:r>
        <w:t>When a division is “transfusion only,” eXM is not available. The user must enter a serologic crossmatch (XM) interpretation.</w:t>
      </w:r>
    </w:p>
    <w:p w14:paraId="31AEA525" w14:textId="77777777" w:rsidR="006B0DD4" w:rsidRDefault="006B0DD4">
      <w:pPr>
        <w:pStyle w:val="ListBullet"/>
      </w:pPr>
      <w:r>
        <w:t>Current patient TAS specimen is required for (ABO/Rh and Antibody Screen) required tests for “WHOLE BLOOD” and “RED BLOOD CELLS” component classes and individual “PLATELET” and “OTHER” units that contain equal to or greater than (= &gt;) 2 mL of RBC contamination which requires crossmatch.</w:t>
      </w:r>
    </w:p>
    <w:p w14:paraId="1402596E" w14:textId="77777777" w:rsidR="002A21AE" w:rsidRDefault="002A21AE">
      <w:pPr>
        <w:pStyle w:val="Heading4"/>
      </w:pPr>
      <w:r>
        <w:t>Outcome</w:t>
      </w:r>
    </w:p>
    <w:p w14:paraId="392D9466" w14:textId="77777777" w:rsidR="002A21AE" w:rsidRDefault="002A21AE">
      <w:pPr>
        <w:pStyle w:val="ListBullet"/>
      </w:pPr>
      <w:r>
        <w:t>The status of the unit and the associated component order task status are updated.</w:t>
      </w:r>
    </w:p>
    <w:p w14:paraId="24A2D2D1" w14:textId="77777777" w:rsidR="002A21AE" w:rsidRDefault="002A21AE">
      <w:pPr>
        <w:pStyle w:val="ListBullet"/>
      </w:pPr>
      <w:r>
        <w:t>VBECS indicates that units are available for issue when units do not require XM or other additional testing.</w:t>
      </w:r>
    </w:p>
    <w:p w14:paraId="157E5387" w14:textId="77777777" w:rsidR="002A21AE" w:rsidRDefault="002A21AE">
      <w:pPr>
        <w:pStyle w:val="ListBullet"/>
      </w:pPr>
      <w:r>
        <w:t>VBECS allows the user to print a Blood Transfusion Record Form (BTRF) and a Caution Tag for available blood products.</w:t>
      </w:r>
    </w:p>
    <w:p w14:paraId="2A570CFB" w14:textId="77777777" w:rsidR="002B7882" w:rsidRDefault="002A21AE" w:rsidP="00B01176">
      <w:pPr>
        <w:pStyle w:val="ListBullet"/>
      </w:pPr>
      <w:r>
        <w:t>When serologic XM is required, VBECS automatically adds units to the XM data entry grid when Patient Testing: Record a Crossmatch is accessed.</w:t>
      </w:r>
    </w:p>
    <w:p w14:paraId="6899AFBB" w14:textId="5DCCCCA3" w:rsidR="00B01176" w:rsidRDefault="00B01176" w:rsidP="00B01176">
      <w:pPr>
        <w:pStyle w:val="ListBullet"/>
      </w:pPr>
      <w:r>
        <w:t xml:space="preserve">When eXM is enabled for the facility, the patient is eligible for eXM in accordance with system rules (see </w:t>
      </w:r>
      <w:r w:rsidR="00EE455E">
        <w:t xml:space="preserve">Table </w:t>
      </w:r>
      <w:r w:rsidR="00EE455E">
        <w:rPr>
          <w:noProof/>
        </w:rPr>
        <w:t>22</w:t>
      </w:r>
      <w:r w:rsidR="00EE455E">
        <w:t xml:space="preserve">: </w:t>
      </w:r>
      <w:r w:rsidR="00EE455E">
        <w:rPr>
          <w:vanish/>
        </w:rPr>
        <w:t xml:space="preserve">TT_3.05 </w:t>
      </w:r>
      <w:r w:rsidR="00EE455E">
        <w:t>Rules for Electronic and Serologic Crossmatch</w:t>
      </w:r>
      <w:r>
        <w:t xml:space="preserve">), and the user selects a unit, </w:t>
      </w:r>
      <w:r w:rsidR="002F6113">
        <w:t xml:space="preserve">and processes the eXM. </w:t>
      </w:r>
      <w:r>
        <w:t>VBECS assigns the unit to the patient without further testing.</w:t>
      </w:r>
    </w:p>
    <w:p w14:paraId="6AF77BC3" w14:textId="77777777" w:rsidR="002A21AE" w:rsidRDefault="002A21AE">
      <w:pPr>
        <w:pStyle w:val="Heading4"/>
      </w:pPr>
      <w:r>
        <w:t>Limitations and Restrictions</w:t>
      </w:r>
    </w:p>
    <w:p w14:paraId="3353D815" w14:textId="77777777" w:rsidR="002A21AE" w:rsidRPr="007A44E4" w:rsidRDefault="00320DAE">
      <w:pPr>
        <w:pStyle w:val="ListBullet"/>
        <w:rPr>
          <w:spacing w:val="0"/>
        </w:rPr>
      </w:pPr>
      <w:r>
        <w:rPr>
          <w:vanish/>
          <w:spacing w:val="0"/>
        </w:rPr>
        <w:t>Task 1,126</w:t>
      </w:r>
      <w:r w:rsidR="002F6113">
        <w:rPr>
          <w:vanish/>
          <w:spacing w:val="0"/>
        </w:rPr>
        <w:t xml:space="preserve"> </w:t>
      </w:r>
      <w:r>
        <w:rPr>
          <w:spacing w:val="0"/>
        </w:rPr>
        <w:t>When a u</w:t>
      </w:r>
      <w:r w:rsidRPr="00320DAE">
        <w:rPr>
          <w:spacing w:val="0"/>
        </w:rPr>
        <w:t>ser check</w:t>
      </w:r>
      <w:r>
        <w:rPr>
          <w:spacing w:val="0"/>
        </w:rPr>
        <w:t>s</w:t>
      </w:r>
      <w:r w:rsidRPr="00320DAE">
        <w:rPr>
          <w:spacing w:val="0"/>
        </w:rPr>
        <w:t xml:space="preserve"> the </w:t>
      </w:r>
      <w:r>
        <w:rPr>
          <w:spacing w:val="0"/>
        </w:rPr>
        <w:t>“</w:t>
      </w:r>
      <w:r w:rsidRPr="00320DAE">
        <w:rPr>
          <w:spacing w:val="0"/>
        </w:rPr>
        <w:t xml:space="preserve">D </w:t>
      </w:r>
      <w:r>
        <w:rPr>
          <w:spacing w:val="0"/>
        </w:rPr>
        <w:t>P</w:t>
      </w:r>
      <w:r w:rsidRPr="00320DAE">
        <w:rPr>
          <w:spacing w:val="0"/>
        </w:rPr>
        <w:t>os</w:t>
      </w:r>
      <w:r>
        <w:rPr>
          <w:spacing w:val="0"/>
        </w:rPr>
        <w:t>”</w:t>
      </w:r>
      <w:r w:rsidRPr="00320DAE">
        <w:rPr>
          <w:spacing w:val="0"/>
        </w:rPr>
        <w:t xml:space="preserve"> or </w:t>
      </w:r>
      <w:r>
        <w:rPr>
          <w:spacing w:val="0"/>
        </w:rPr>
        <w:t>“</w:t>
      </w:r>
      <w:r w:rsidRPr="00320DAE">
        <w:rPr>
          <w:spacing w:val="0"/>
        </w:rPr>
        <w:t xml:space="preserve">D </w:t>
      </w:r>
      <w:r>
        <w:rPr>
          <w:spacing w:val="0"/>
        </w:rPr>
        <w:t>N</w:t>
      </w:r>
      <w:r w:rsidRPr="00320DAE">
        <w:rPr>
          <w:spacing w:val="0"/>
        </w:rPr>
        <w:t>eg</w:t>
      </w:r>
      <w:r>
        <w:rPr>
          <w:spacing w:val="0"/>
        </w:rPr>
        <w:t>”</w:t>
      </w:r>
      <w:r w:rsidRPr="00320DAE">
        <w:rPr>
          <w:spacing w:val="0"/>
        </w:rPr>
        <w:t xml:space="preserve"> check box to modify a search for blood</w:t>
      </w:r>
      <w:r>
        <w:rPr>
          <w:spacing w:val="0"/>
        </w:rPr>
        <w:t>, VBECS returns no units, regardless of the availability of units</w:t>
      </w:r>
      <w:r w:rsidRPr="00320DAE">
        <w:rPr>
          <w:spacing w:val="0"/>
        </w:rPr>
        <w:t xml:space="preserve">. </w:t>
      </w:r>
    </w:p>
    <w:p w14:paraId="32957B5E" w14:textId="77777777" w:rsidR="004E4368" w:rsidRDefault="004E75A5" w:rsidP="004E75A5">
      <w:pPr>
        <w:pStyle w:val="ListBullet"/>
      </w:pPr>
      <w:r w:rsidRPr="0065187A">
        <w:rPr>
          <w:vanish/>
        </w:rPr>
        <w:t xml:space="preserve">DR 2,578 </w:t>
      </w:r>
      <w:r w:rsidR="004E4368" w:rsidRPr="0065187A">
        <w:rPr>
          <w:vanish/>
        </w:rPr>
        <w:t>DR 2,808</w:t>
      </w:r>
      <w:r w:rsidR="004E4368" w:rsidRPr="004E4368">
        <w:t>VBECS displays a</w:t>
      </w:r>
      <w:r w:rsidR="000E6B9F">
        <w:t xml:space="preserve"> compo</w:t>
      </w:r>
      <w:r w:rsidR="004E4368">
        <w:t>n</w:t>
      </w:r>
      <w:r w:rsidR="000E6B9F">
        <w:t>ent</w:t>
      </w:r>
      <w:r w:rsidR="004E4368" w:rsidRPr="004E4368">
        <w:t xml:space="preserve"> order </w:t>
      </w:r>
      <w:r w:rsidR="004E4368">
        <w:t xml:space="preserve">as </w:t>
      </w:r>
      <w:r w:rsidR="00955DA3">
        <w:t>“F</w:t>
      </w:r>
      <w:r w:rsidR="002316B0">
        <w:t xml:space="preserve">illed” </w:t>
      </w:r>
      <w:r w:rsidR="004E4368" w:rsidRPr="004E4368">
        <w:t xml:space="preserve">when the number of units </w:t>
      </w:r>
      <w:r w:rsidR="002316B0">
        <w:t>transfused</w:t>
      </w:r>
      <w:r w:rsidR="002316B0" w:rsidRPr="004E4368">
        <w:t xml:space="preserve"> </w:t>
      </w:r>
      <w:r w:rsidR="004E4368" w:rsidRPr="004E4368">
        <w:t>and the number of units ordered are the same</w:t>
      </w:r>
      <w:r w:rsidR="00955DA3">
        <w:t xml:space="preserve"> and continues to display the</w:t>
      </w:r>
      <w:r w:rsidR="000E6B9F">
        <w:t xml:space="preserve"> component </w:t>
      </w:r>
      <w:r w:rsidR="004E4368">
        <w:t xml:space="preserve">order </w:t>
      </w:r>
      <w:r w:rsidR="00955DA3">
        <w:t xml:space="preserve">until the order expires. CPRS displays a component order </w:t>
      </w:r>
      <w:r w:rsidR="004E4368">
        <w:t xml:space="preserve">as </w:t>
      </w:r>
      <w:r w:rsidR="00505F89">
        <w:t>“</w:t>
      </w:r>
      <w:r w:rsidR="00955DA3">
        <w:t>C</w:t>
      </w:r>
      <w:r w:rsidR="004E4368">
        <w:t>ompleted</w:t>
      </w:r>
      <w:r w:rsidR="00505F89">
        <w:t>”</w:t>
      </w:r>
      <w:r w:rsidR="004E4368">
        <w:t xml:space="preserve">. Therefore, CPRS displays the order as </w:t>
      </w:r>
      <w:r w:rsidR="00505F89">
        <w:t>“</w:t>
      </w:r>
      <w:r w:rsidR="00955DA3">
        <w:t>C</w:t>
      </w:r>
      <w:r w:rsidR="004E4368">
        <w:t>ompleted</w:t>
      </w:r>
      <w:r w:rsidR="00505F89">
        <w:t>”</w:t>
      </w:r>
      <w:r w:rsidR="004E4368">
        <w:t xml:space="preserve"> before VBECS </w:t>
      </w:r>
      <w:r w:rsidR="00955DA3">
        <w:t>displays the order as “F</w:t>
      </w:r>
      <w:r w:rsidR="002316B0">
        <w:t>illed</w:t>
      </w:r>
      <w:r w:rsidR="004E4368">
        <w:t>.</w:t>
      </w:r>
      <w:r w:rsidR="002316B0">
        <w:t>”</w:t>
      </w:r>
      <w:r w:rsidR="0065187A">
        <w:t xml:space="preserve"> The associated LAB orde</w:t>
      </w:r>
      <w:r w:rsidR="00955DA3">
        <w:t>r will then also be marked as “C</w:t>
      </w:r>
      <w:r w:rsidR="0065187A">
        <w:t>ompleted”.</w:t>
      </w:r>
    </w:p>
    <w:p w14:paraId="2BAA818B" w14:textId="77777777" w:rsidR="00C43E70" w:rsidRDefault="00C43E70" w:rsidP="004E75A5">
      <w:pPr>
        <w:pStyle w:val="ListBullet"/>
      </w:pPr>
      <w:r>
        <w:t>A Specimen UID must be accepted in</w:t>
      </w:r>
      <w:r w:rsidR="006C7D2B">
        <w:t xml:space="preserve"> </w:t>
      </w:r>
      <w:r>
        <w:t>VBECS to associate it with a component order. Any VBECS maintained TAS specimen UID may be associated with a component order by entering the number in the UID field.</w:t>
      </w:r>
      <w:r w:rsidRPr="00C43E70">
        <w:rPr>
          <w:vanish/>
        </w:rPr>
        <w:t xml:space="preserve"> Task 635428</w:t>
      </w:r>
    </w:p>
    <w:p w14:paraId="2E1BFB18" w14:textId="257CE2CC" w:rsidR="00A11CA3" w:rsidRDefault="00F17535" w:rsidP="006C5C75">
      <w:pPr>
        <w:pStyle w:val="ListBullet"/>
      </w:pPr>
      <w:r>
        <w:t>When associating a specimen with a patient in the “Select Unit for a Patient” window, the “Expires”</w:t>
      </w:r>
      <w:r w:rsidR="008F74B3">
        <w:t xml:space="preserve"> </w:t>
      </w:r>
      <w:r>
        <w:t xml:space="preserve">field within the “Associate with Specimen” panel displays the time in AM/PM format. VBECS normally displays date/time fields in “military” time format.  The workaround is to look in Maintain Specimen and check the expiration time military time format. </w:t>
      </w:r>
      <w:r w:rsidRPr="008F74B3">
        <w:rPr>
          <w:vanish/>
        </w:rPr>
        <w:t>Defect 209052</w:t>
      </w:r>
    </w:p>
    <w:p w14:paraId="4315728B" w14:textId="6597FC24" w:rsidR="002168B5" w:rsidRDefault="002168B5" w:rsidP="006C5C75">
      <w:pPr>
        <w:pStyle w:val="ListBullet"/>
      </w:pPr>
      <w:r>
        <w:t xml:space="preserve">When </w:t>
      </w:r>
      <w:r w:rsidR="00523215">
        <w:t>a</w:t>
      </w:r>
      <w:r w:rsidR="00D7366E">
        <w:t>n</w:t>
      </w:r>
      <w:r>
        <w:t xml:space="preserve"> Rh positive unit is selected for </w:t>
      </w:r>
      <w:r w:rsidR="00523215">
        <w:t>a</w:t>
      </w:r>
      <w:r w:rsidR="00D7366E">
        <w:t>n</w:t>
      </w:r>
      <w:r>
        <w:t xml:space="preserve"> Rh negative patient with an antigen negative requirement for D, the user receives a message about unit not satisfying patient negative requirements for D instead of a message about unit being positive for D. The proper</w:t>
      </w:r>
      <w:r w:rsidR="00C0050E">
        <w:t xml:space="preserve"> message is displayed</w:t>
      </w:r>
      <w:r w:rsidR="009B37AA">
        <w:t xml:space="preserve"> upon unit issue. </w:t>
      </w:r>
      <w:r w:rsidR="009B37AA" w:rsidRPr="009B37AA">
        <w:rPr>
          <w:vanish/>
        </w:rPr>
        <w:t>Defects 209338, 213537</w:t>
      </w:r>
    </w:p>
    <w:p w14:paraId="5BD69B7D" w14:textId="77777777" w:rsidR="006C5C75" w:rsidRDefault="006C5C75" w:rsidP="001E391F">
      <w:pPr>
        <w:pStyle w:val="ListBullet"/>
        <w:numPr>
          <w:ilvl w:val="0"/>
          <w:numId w:val="0"/>
        </w:numPr>
        <w:ind w:left="648" w:hanging="360"/>
      </w:pPr>
    </w:p>
    <w:p w14:paraId="5317DEDA" w14:textId="77777777" w:rsidR="002A21AE" w:rsidRDefault="002A21AE">
      <w:pPr>
        <w:pStyle w:val="Heading4"/>
      </w:pPr>
      <w:r>
        <w:t>Additional Information</w:t>
      </w:r>
    </w:p>
    <w:p w14:paraId="55CD463B" w14:textId="77777777" w:rsidR="00B71592" w:rsidRDefault="00B71592">
      <w:pPr>
        <w:pStyle w:val="ListBullet"/>
      </w:pPr>
      <w:r>
        <w:t>Under certain conditions in a blood bank, more than one user can select units for the same blood component order at the same time.</w:t>
      </w:r>
    </w:p>
    <w:p w14:paraId="3F0C3AFF" w14:textId="77777777" w:rsidR="00B71592" w:rsidRPr="00B71592" w:rsidRDefault="00B71592">
      <w:pPr>
        <w:pStyle w:val="ListBullet"/>
      </w:pPr>
      <w:r>
        <w:t>When a patient order is selected, the system must search for physically available (in limited, available, or crossmatched unit status and with a future expiration date) autologous and directed units within a multidivisional database regardless of the unit’s current division, display the unit information to the user, and allow assignment of the unit if it is in the same division as the user.</w:t>
      </w:r>
    </w:p>
    <w:p w14:paraId="5E6ED461" w14:textId="77777777" w:rsidR="002A21AE" w:rsidRDefault="002A21AE">
      <w:pPr>
        <w:pStyle w:val="ListBullet"/>
      </w:pPr>
      <w:r>
        <w:t>Multiple users may select units ass</w:t>
      </w:r>
      <w:r w:rsidR="0065187A">
        <w:t>ociated with a component order.</w:t>
      </w:r>
    </w:p>
    <w:p w14:paraId="5CD672FD" w14:textId="77777777" w:rsidR="0065187A" w:rsidRDefault="000D3C6E">
      <w:pPr>
        <w:pStyle w:val="ListBullet"/>
      </w:pPr>
      <w:r w:rsidRPr="000D3C6E">
        <w:rPr>
          <w:vanish/>
        </w:rPr>
        <w:t xml:space="preserve">BR_3.61 </w:t>
      </w:r>
      <w:r w:rsidR="0065187A">
        <w:t>Product codes associated with a component order are limited to those in that Component Class.</w:t>
      </w:r>
    </w:p>
    <w:p w14:paraId="2A064760" w14:textId="77777777" w:rsidR="002A21AE" w:rsidRDefault="002A21AE">
      <w:pPr>
        <w:pStyle w:val="ListBullet"/>
      </w:pPr>
      <w:r>
        <w:t>When a user selects a patient order</w:t>
      </w:r>
      <w:r w:rsidR="00534B75">
        <w:t xml:space="preserve"> within a multidivisional dat</w:t>
      </w:r>
      <w:r w:rsidR="0065187A">
        <w:t>abase</w:t>
      </w:r>
      <w:r>
        <w:t>, VBECS searches for available autologous and directed units regardless of the unit’s current division, displays the unit information, and allows the user to assign the unit when it is in the user’s division.</w:t>
      </w:r>
    </w:p>
    <w:p w14:paraId="4DED0431" w14:textId="77777777" w:rsidR="002A21AE" w:rsidRDefault="002A21AE">
      <w:pPr>
        <w:pStyle w:val="ListBullet"/>
      </w:pPr>
      <w:r>
        <w:t xml:space="preserve">A user may select units for only one </w:t>
      </w:r>
      <w:r w:rsidR="0065187A">
        <w:t>component order</w:t>
      </w:r>
      <w:r>
        <w:t xml:space="preserve"> at a time.</w:t>
      </w:r>
    </w:p>
    <w:p w14:paraId="18C6AF3C" w14:textId="77777777" w:rsidR="002A21AE" w:rsidRDefault="002A21AE">
      <w:pPr>
        <w:pStyle w:val="ListBullet"/>
      </w:pPr>
      <w:r>
        <w:t xml:space="preserve">An existing </w:t>
      </w:r>
      <w:r w:rsidR="00A9198B">
        <w:t>specimen and its associated component</w:t>
      </w:r>
      <w:r w:rsidR="00B71592">
        <w:t xml:space="preserve"> </w:t>
      </w:r>
      <w:r>
        <w:t>order</w:t>
      </w:r>
      <w:r w:rsidR="00A9198B">
        <w:t>(s)</w:t>
      </w:r>
      <w:r>
        <w:t xml:space="preserve"> remains available to select</w:t>
      </w:r>
      <w:r w:rsidR="00A9198B">
        <w:t xml:space="preserve"> </w:t>
      </w:r>
      <w:r w:rsidR="00B71592">
        <w:t>additional units</w:t>
      </w:r>
      <w:r w:rsidR="00A9198B">
        <w:t>, until</w:t>
      </w:r>
      <w:r w:rsidR="00B71592">
        <w:t xml:space="preserve"> its</w:t>
      </w:r>
      <w:r>
        <w:t xml:space="preserve"> expiration date. </w:t>
      </w:r>
    </w:p>
    <w:p w14:paraId="193D45B3" w14:textId="3586CDDD" w:rsidR="002A21AE" w:rsidRDefault="00B71592" w:rsidP="00B71592">
      <w:pPr>
        <w:pStyle w:val="ListBullet"/>
      </w:pPr>
      <w:r>
        <w:t>The selection of blood units completes a CPRS order when the number of units are selected that “fill” the order per the number requested.</w:t>
      </w:r>
    </w:p>
    <w:p w14:paraId="5EA7A0A5" w14:textId="77777777" w:rsidR="00B71592" w:rsidRDefault="00B71592" w:rsidP="00B71592">
      <w:pPr>
        <w:pStyle w:val="ListBullet"/>
      </w:pPr>
      <w:r>
        <w:t>Each component task is accepted or cancelled individually.</w:t>
      </w:r>
    </w:p>
    <w:p w14:paraId="5FCAB1C1" w14:textId="77777777" w:rsidR="00F1409F" w:rsidRDefault="00F1409F" w:rsidP="00B71592">
      <w:pPr>
        <w:pStyle w:val="ListBullet"/>
      </w:pPr>
      <w:r>
        <w:t>When a component order is cancelled or rejected, the order is no longer retrievable.</w:t>
      </w:r>
    </w:p>
    <w:p w14:paraId="7E1234D1" w14:textId="77777777" w:rsidR="00F1409F" w:rsidRDefault="00F1409F" w:rsidP="00B71592">
      <w:pPr>
        <w:pStyle w:val="ListBullet"/>
      </w:pPr>
      <w:r>
        <w:t>When a patient has only Component Requirements, the system does not prohibit the use of electronic crossmatch.</w:t>
      </w:r>
    </w:p>
    <w:p w14:paraId="1B8131DC" w14:textId="77777777" w:rsidR="002A21AE" w:rsidRDefault="002A21AE">
      <w:pPr>
        <w:pStyle w:val="ListBullet"/>
      </w:pPr>
      <w:r>
        <w:t xml:space="preserve">A user must accept or cancel each component task in its entirety. </w:t>
      </w:r>
    </w:p>
    <w:p w14:paraId="4662892E" w14:textId="77777777" w:rsidR="002A21AE" w:rsidRDefault="002A21AE">
      <w:pPr>
        <w:pStyle w:val="ListBullet"/>
      </w:pPr>
      <w:r>
        <w:rPr>
          <w:rFonts w:ascii="Arial" w:hAnsi="Arial" w:cs="Arial"/>
          <w:vanish/>
          <w:spacing w:val="0"/>
          <w:sz w:val="18"/>
        </w:rPr>
        <w:t xml:space="preserve">BR_3.38 </w:t>
      </w:r>
      <w:r>
        <w:t xml:space="preserve">The user reserves autologous and directed units and all units processed in a “transfusion-only” facility, regardless of donation type, for a specific patient. VBECS displays this information to all divisions in a multidivisional database and accommodates immediate selection of the unit for the patient when the user is in the same division. </w:t>
      </w:r>
    </w:p>
    <w:p w14:paraId="4D3595C2" w14:textId="77777777" w:rsidR="002A21AE" w:rsidRDefault="002A21AE">
      <w:pPr>
        <w:pStyle w:val="ListBullet"/>
      </w:pPr>
      <w:r>
        <w:rPr>
          <w:rFonts w:ascii="Arial" w:hAnsi="Arial" w:cs="Arial"/>
          <w:vanish/>
          <w:spacing w:val="0"/>
          <w:sz w:val="18"/>
        </w:rPr>
        <w:t xml:space="preserve">BR_3.42 </w:t>
      </w:r>
      <w:r>
        <w:t>When VBECS compares a patient’s current and previous ABO/Rh results, it does not evaluate previously recorded ABO/Rh results marked “Test Result Invalidated.”</w:t>
      </w:r>
    </w:p>
    <w:p w14:paraId="1BBF0A79" w14:textId="77777777" w:rsidR="00083F3A" w:rsidRDefault="00083F3A">
      <w:pPr>
        <w:pStyle w:val="ListBullet"/>
      </w:pPr>
      <w:r>
        <w:t>An ABO/Rh confirmation test interpretation</w:t>
      </w:r>
      <w:r w:rsidR="0044172D">
        <w:t xml:space="preserve"> is required</w:t>
      </w:r>
      <w:r w:rsidR="00A9198B">
        <w:t xml:space="preserve"> when a unit is indicated to contain = &gt; 2 mL of RBC contamination</w:t>
      </w:r>
      <w:r w:rsidR="0044172D">
        <w:t>. The confirmation</w:t>
      </w:r>
      <w:r w:rsidR="00A9198B">
        <w:t xml:space="preserve"> test</w:t>
      </w:r>
      <w:r w:rsidR="0044172D">
        <w:t xml:space="preserve"> must match the unit ABO/Rh at login and repeat tests, when repeat tests are not invalidated. The unit must have a satisfactory confirmation result before VBECS allows the unit to be available for selection for patient use.</w:t>
      </w:r>
    </w:p>
    <w:p w14:paraId="0B017304" w14:textId="0F947912" w:rsidR="00304D65" w:rsidRDefault="000D3C6E">
      <w:pPr>
        <w:pStyle w:val="ListBullet"/>
      </w:pPr>
      <w:r w:rsidRPr="000D3C6E">
        <w:rPr>
          <w:vanish/>
        </w:rPr>
        <w:t xml:space="preserve">BR_3.60 </w:t>
      </w:r>
      <w:r w:rsidR="00304D65">
        <w:t>When the CPRS order is WB or RBC, the user may select products from either product cl</w:t>
      </w:r>
      <w:r w:rsidR="00955DA3">
        <w:t>ass</w:t>
      </w:r>
      <w:r w:rsidR="005452C9">
        <w:t>, RBC or WB to fill the order</w:t>
      </w:r>
    </w:p>
    <w:p w14:paraId="51A616A0" w14:textId="77777777" w:rsidR="00304D65" w:rsidRDefault="000D3C6E">
      <w:pPr>
        <w:pStyle w:val="ListBullet"/>
      </w:pPr>
      <w:r w:rsidRPr="000D3C6E">
        <w:rPr>
          <w:vanish/>
        </w:rPr>
        <w:t xml:space="preserve">BR_3.62 </w:t>
      </w:r>
      <w:r w:rsidR="00304D65">
        <w:t xml:space="preserve">When Whole Blood is selected for a WB or RBC CPRS order and the unit is not ABO compatible for the selected patient, the system presents a message to the user stating that the unit is </w:t>
      </w:r>
      <w:r w:rsidR="0044172D">
        <w:t xml:space="preserve">not ABO compatible </w:t>
      </w:r>
      <w:r w:rsidR="00304D65">
        <w:t>and releases the unit from selection (assignment).</w:t>
      </w:r>
    </w:p>
    <w:p w14:paraId="6BBEDE7A" w14:textId="20B317A4" w:rsidR="006C5C75" w:rsidRDefault="00E359FB" w:rsidP="001E391F">
      <w:pPr>
        <w:pStyle w:val="ListBullet"/>
      </w:pPr>
      <w:r>
        <w:t>U</w:t>
      </w:r>
      <w:r w:rsidR="001E391F">
        <w:t>sers</w:t>
      </w:r>
      <w:r w:rsidR="001E391F" w:rsidRPr="001E391F">
        <w:t xml:space="preserve"> can view the Lab Order number using the Pending Order List or the Order History Report</w:t>
      </w:r>
      <w:r>
        <w:t>, if it is needed in areas where it is not already provided.</w:t>
      </w:r>
      <w:r w:rsidR="00730CAA">
        <w:t xml:space="preserve"> </w:t>
      </w:r>
      <w:r w:rsidR="00730CAA" w:rsidRPr="00730CAA">
        <w:rPr>
          <w:vanish/>
        </w:rPr>
        <w:t>Defect 209122</w:t>
      </w:r>
    </w:p>
    <w:p w14:paraId="1469CCCF" w14:textId="4A1CF532" w:rsidR="00936BD4" w:rsidRDefault="00936BD4" w:rsidP="00936BD4">
      <w:pPr>
        <w:pStyle w:val="ListBullet"/>
      </w:pPr>
      <w:r>
        <w:t>In a multi</w:t>
      </w:r>
      <w:r w:rsidRPr="00936BD4">
        <w:t xml:space="preserve">divisional database, restricted units residing in another division </w:t>
      </w:r>
      <w:r w:rsidR="004D0A70">
        <w:t>are</w:t>
      </w:r>
      <w:r w:rsidRPr="00936BD4">
        <w:t xml:space="preserve"> displayed but are not selectable. The tooltip (mouseover) message wording incorrectly states "Unit is not in division ###". The division shown will be the division where the unit IS located.</w:t>
      </w:r>
      <w:r w:rsidR="00730CAA">
        <w:t xml:space="preserve"> </w:t>
      </w:r>
      <w:r w:rsidR="00730CAA" w:rsidRPr="00730CAA">
        <w:rPr>
          <w:vanish/>
        </w:rPr>
        <w:t>Defect 209039</w:t>
      </w:r>
    </w:p>
    <w:p w14:paraId="39E2D6A0" w14:textId="5EDE7015" w:rsidR="00957008" w:rsidRDefault="00735C30" w:rsidP="00735C30">
      <w:pPr>
        <w:pStyle w:val="ListBullet"/>
      </w:pPr>
      <w:r w:rsidRPr="00735C30">
        <w:t>The "Success" message</w:t>
      </w:r>
      <w:r>
        <w:t xml:space="preserve"> received after electing to print caution tags is a message that the job</w:t>
      </w:r>
      <w:r w:rsidRPr="00735C30">
        <w:t xml:space="preserve"> has queued to the print queue, and does not verify</w:t>
      </w:r>
      <w:r w:rsidR="00E36641">
        <w:t xml:space="preserve"> that the printing has actually </w:t>
      </w:r>
      <w:r w:rsidRPr="00735C30">
        <w:t>occurre</w:t>
      </w:r>
      <w:r>
        <w:t>d.</w:t>
      </w:r>
      <w:r w:rsidR="00730CAA">
        <w:t xml:space="preserve"> </w:t>
      </w:r>
      <w:r w:rsidR="00730CAA" w:rsidRPr="00730CAA">
        <w:rPr>
          <w:vanish/>
        </w:rPr>
        <w:t>Defect 208991</w:t>
      </w:r>
    </w:p>
    <w:p w14:paraId="4E507F28" w14:textId="77777777" w:rsidR="002A21AE" w:rsidRDefault="002A21AE" w:rsidP="00174BD8">
      <w:pPr>
        <w:pStyle w:val="Heading4"/>
        <w:tabs>
          <w:tab w:val="left" w:pos="5490"/>
        </w:tabs>
      </w:pPr>
      <w:r>
        <w:t>User Roles with Access to This Option</w:t>
      </w:r>
      <w:r w:rsidR="00174BD8">
        <w:tab/>
      </w:r>
    </w:p>
    <w:p w14:paraId="012B02DE" w14:textId="77777777" w:rsidR="005C42D0" w:rsidRDefault="005C42D0" w:rsidP="005C42D0">
      <w:pPr>
        <w:pStyle w:val="Roles"/>
        <w:rPr>
          <w:snapToGrid w:val="0"/>
        </w:rPr>
      </w:pPr>
      <w:r>
        <w:t xml:space="preserve">All users </w:t>
      </w:r>
    </w:p>
    <w:bookmarkEnd w:id="350"/>
    <w:p w14:paraId="6A19B040" w14:textId="77777777" w:rsidR="002A21AE" w:rsidRDefault="00057948">
      <w:pPr>
        <w:pStyle w:val="Heading4"/>
      </w:pPr>
      <w:r>
        <w:rPr>
          <w:noProof/>
        </w:rPr>
        <w:drawing>
          <wp:inline distT="0" distB="0" distL="0" distR="0" wp14:anchorId="6D6211D1" wp14:editId="7869B582">
            <wp:extent cx="156845" cy="156845"/>
            <wp:effectExtent l="0" t="0" r="0" b="0"/>
            <wp:docPr id="185" name="Picture 185" descr="Select Uni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Select Units ico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Select Units</w:t>
      </w:r>
    </w:p>
    <w:p w14:paraId="768B6A87" w14:textId="77777777" w:rsidR="008A248A" w:rsidRDefault="002A21AE" w:rsidP="00FA7E65">
      <w:pPr>
        <w:pStyle w:val="BodyText"/>
      </w:pPr>
      <w:r>
        <w:t>A user selects a patient’s component order and assigns one or more products to a patient. The user may then enter individual units or select units from a list of selectable, potentially compatible units for each component order.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C5CBBBE" w14:textId="77777777">
        <w:trPr>
          <w:cantSplit/>
          <w:tblHeader/>
        </w:trPr>
        <w:tc>
          <w:tcPr>
            <w:tcW w:w="3240" w:type="dxa"/>
            <w:shd w:val="pct30" w:color="auto" w:fill="FFFFFF"/>
            <w:vAlign w:val="bottom"/>
          </w:tcPr>
          <w:p w14:paraId="5D82BC32" w14:textId="77777777" w:rsidR="002A21AE" w:rsidRDefault="002A21AE">
            <w:pPr>
              <w:pStyle w:val="TableText"/>
              <w:rPr>
                <w:b/>
              </w:rPr>
            </w:pPr>
            <w:r>
              <w:rPr>
                <w:b/>
              </w:rPr>
              <w:t>User Action</w:t>
            </w:r>
          </w:p>
        </w:tc>
        <w:tc>
          <w:tcPr>
            <w:tcW w:w="6120" w:type="dxa"/>
            <w:shd w:val="pct30" w:color="auto" w:fill="FFFFFF"/>
            <w:vAlign w:val="bottom"/>
          </w:tcPr>
          <w:p w14:paraId="7B7AAD71" w14:textId="77777777" w:rsidR="002A21AE" w:rsidRDefault="002A21AE">
            <w:pPr>
              <w:pStyle w:val="TableText"/>
              <w:rPr>
                <w:b/>
              </w:rPr>
            </w:pPr>
            <w:r>
              <w:rPr>
                <w:b/>
              </w:rPr>
              <w:t>VBECS</w:t>
            </w:r>
          </w:p>
        </w:tc>
      </w:tr>
      <w:tr w:rsidR="002A21AE" w14:paraId="756BAD34" w14:textId="77777777">
        <w:tc>
          <w:tcPr>
            <w:tcW w:w="3240" w:type="dxa"/>
          </w:tcPr>
          <w:p w14:paraId="7C9B2CE1" w14:textId="670E62F5" w:rsidR="002A21AE" w:rsidRDefault="003D3067">
            <w:pPr>
              <w:pStyle w:val="TableTextNumbers"/>
              <w:rPr>
                <w:b/>
              </w:rPr>
            </w:pPr>
            <w:r>
              <w:t>Select Patients</w:t>
            </w:r>
            <w:r w:rsidR="002A21AE">
              <w:t xml:space="preserve"> from the main menu and </w:t>
            </w:r>
            <w:r>
              <w:t>select Patient</w:t>
            </w:r>
            <w:r w:rsidR="002A21AE">
              <w:rPr>
                <w:b/>
              </w:rPr>
              <w:t xml:space="preserve"> Testing</w:t>
            </w:r>
            <w:r w:rsidR="002A21AE">
              <w:t>, or</w:t>
            </w:r>
          </w:p>
          <w:p w14:paraId="6815B12B" w14:textId="77777777" w:rsidR="002A21AE" w:rsidRDefault="002A21AE">
            <w:pPr>
              <w:pStyle w:val="TableTextNumbersContinued"/>
            </w:pPr>
          </w:p>
          <w:p w14:paraId="233A9B29" w14:textId="77777777" w:rsidR="002A21AE" w:rsidRDefault="00922AD8">
            <w:pPr>
              <w:pStyle w:val="TableTextNumbersContinued"/>
            </w:pPr>
            <w:r>
              <w:t xml:space="preserve">Select </w:t>
            </w:r>
            <w:r w:rsidRPr="005E0472">
              <w:rPr>
                <w:b/>
              </w:rPr>
              <w:t>Blood</w:t>
            </w:r>
            <w:r w:rsidR="002A21AE" w:rsidRPr="005E0472">
              <w:rPr>
                <w:b/>
              </w:rPr>
              <w:t xml:space="preserve"> Units</w:t>
            </w:r>
            <w:r w:rsidR="002A21AE">
              <w:t xml:space="preserve"> from the main menu and select </w:t>
            </w:r>
            <w:proofErr w:type="spellStart"/>
            <w:r w:rsidR="002A21AE">
              <w:rPr>
                <w:b/>
              </w:rPr>
              <w:t>Select</w:t>
            </w:r>
            <w:proofErr w:type="spellEnd"/>
            <w:r w:rsidR="002A21AE">
              <w:rPr>
                <w:b/>
              </w:rPr>
              <w:t xml:space="preserve"> Units</w:t>
            </w:r>
            <w:r w:rsidR="002A21AE">
              <w:t>.</w:t>
            </w:r>
          </w:p>
        </w:tc>
        <w:tc>
          <w:tcPr>
            <w:tcW w:w="6120" w:type="dxa"/>
          </w:tcPr>
          <w:p w14:paraId="1A5F33E3" w14:textId="77777777" w:rsidR="002A21AE" w:rsidRDefault="002A21AE">
            <w:pPr>
              <w:pStyle w:val="TableTextBullet"/>
            </w:pPr>
            <w:r>
              <w:t>Displays options for processing patient-related functions.</w:t>
            </w:r>
          </w:p>
          <w:p w14:paraId="51564396" w14:textId="77777777" w:rsidR="002A21AE" w:rsidRDefault="002A21AE">
            <w:pPr>
              <w:pStyle w:val="TableTextBullet"/>
            </w:pPr>
            <w:r>
              <w:t>Displays the Pending Task List (PTL) and PTL search parameters in the Diagnostic Tests tab or in the Component Orders tab.</w:t>
            </w:r>
          </w:p>
        </w:tc>
      </w:tr>
      <w:tr w:rsidR="002A21AE" w14:paraId="2CCBD4FD" w14:textId="77777777">
        <w:tc>
          <w:tcPr>
            <w:tcW w:w="3240" w:type="dxa"/>
          </w:tcPr>
          <w:p w14:paraId="3EE08A51" w14:textId="546B2E66" w:rsidR="002A21AE" w:rsidRDefault="002A21AE">
            <w:pPr>
              <w:pStyle w:val="TableTextNumbers"/>
            </w:pPr>
            <w:r>
              <w:t>Enter or select PTL search parameters, if appropriate</w:t>
            </w:r>
            <w:r w:rsidR="004728E4">
              <w:t xml:space="preserve"> (</w:t>
            </w:r>
            <w:r w:rsidR="00EE455E">
              <w:t xml:space="preserve">Figure </w:t>
            </w:r>
            <w:r w:rsidR="00EE455E">
              <w:rPr>
                <w:noProof/>
              </w:rPr>
              <w:t>69</w:t>
            </w:r>
            <w:r w:rsidR="004728E4">
              <w:t>)</w:t>
            </w:r>
            <w:r>
              <w:t xml:space="preserve">. </w:t>
            </w:r>
          </w:p>
          <w:p w14:paraId="47272AF4" w14:textId="77777777" w:rsidR="002A21AE" w:rsidRDefault="002A21AE">
            <w:pPr>
              <w:pStyle w:val="TableTextNumbersContinued"/>
            </w:pPr>
          </w:p>
          <w:p w14:paraId="44A7B133" w14:textId="77777777" w:rsidR="002A21AE" w:rsidRDefault="002A21AE">
            <w:pPr>
              <w:pStyle w:val="TableTextNumbersContinued"/>
            </w:pPr>
            <w:r>
              <w:t xml:space="preserve">Click the check boxes in the PTL to select </w:t>
            </w:r>
            <w:r w:rsidR="00810E0A">
              <w:t>one to four</w:t>
            </w:r>
            <w:r>
              <w:t xml:space="preserve"> component orders. </w:t>
            </w:r>
          </w:p>
          <w:p w14:paraId="7045D435" w14:textId="77777777" w:rsidR="002A21AE" w:rsidRDefault="002A21AE">
            <w:pPr>
              <w:pStyle w:val="TableTextNumbersContinued"/>
            </w:pPr>
          </w:p>
          <w:p w14:paraId="41EAD78F" w14:textId="6A5FC244" w:rsidR="002A21AE" w:rsidRDefault="002A21AE">
            <w:pPr>
              <w:pStyle w:val="TableTextNumbersContinued"/>
            </w:pPr>
            <w:r>
              <w:t xml:space="preserve">Click </w:t>
            </w:r>
            <w:r>
              <w:rPr>
                <w:b/>
              </w:rPr>
              <w:t>OK</w:t>
            </w:r>
            <w:r>
              <w:t xml:space="preserve"> to continue</w:t>
            </w:r>
            <w:r w:rsidR="008C6185">
              <w:t xml:space="preserve"> (</w:t>
            </w:r>
            <w:r w:rsidR="00EE455E">
              <w:t xml:space="preserve">Figure </w:t>
            </w:r>
            <w:r w:rsidR="00EE455E">
              <w:rPr>
                <w:noProof/>
              </w:rPr>
              <w:t>70</w:t>
            </w:r>
            <w:r w:rsidR="008C6185">
              <w:t>)</w:t>
            </w:r>
            <w:r>
              <w:t>.</w:t>
            </w:r>
          </w:p>
        </w:tc>
        <w:tc>
          <w:tcPr>
            <w:tcW w:w="6120" w:type="dxa"/>
          </w:tcPr>
          <w:p w14:paraId="695C6EC6" w14:textId="77777777" w:rsidR="002A21AE" w:rsidRDefault="002A21AE">
            <w:pPr>
              <w:pStyle w:val="TableTextBullet"/>
            </w:pPr>
            <w:r>
              <w:t>Displays information for each component order.</w:t>
            </w:r>
          </w:p>
          <w:p w14:paraId="1A129C5D" w14:textId="77777777" w:rsidR="00605241" w:rsidRDefault="000D3C6E">
            <w:pPr>
              <w:pStyle w:val="TableTextBullet"/>
            </w:pPr>
            <w:r w:rsidRPr="000D3C6E">
              <w:rPr>
                <w:vanish/>
              </w:rPr>
              <w:t xml:space="preserve">BR_3.58 </w:t>
            </w:r>
            <w:r w:rsidR="00605241">
              <w:t xml:space="preserve">When the user selects a blood unit to fill a component order or RED BLOOD CELLS, “PLATELETS” </w:t>
            </w:r>
            <w:r w:rsidR="00955DA3">
              <w:t>or “OTHER” and has = &gt;</w:t>
            </w:r>
            <w:r w:rsidR="00605241">
              <w:t xml:space="preserve"> 2 mL RBC contamination, and the unit is ABO compatible, VBECS requires a crossmatch test and must require the user to associate a TAS specimen UID to the order to proceed to crossmatch of the unit.</w:t>
            </w:r>
          </w:p>
          <w:p w14:paraId="57056DFB" w14:textId="77777777" w:rsidR="00931B15" w:rsidRDefault="00931B15">
            <w:pPr>
              <w:pStyle w:val="TableTextBullet"/>
            </w:pPr>
            <w:r w:rsidRPr="00931B15">
              <w:rPr>
                <w:vanish/>
              </w:rPr>
              <w:t xml:space="preserve">BR_3.58 </w:t>
            </w:r>
            <w:r>
              <w:t>Upon completion of the selection process, evaluates the unit for eXM when enabled at the site or added to the serologic crossmatch data grid as appropriate.</w:t>
            </w:r>
          </w:p>
          <w:p w14:paraId="065919FE" w14:textId="77777777" w:rsidR="002A21AE" w:rsidRDefault="000D3C6E" w:rsidP="00931B15">
            <w:pPr>
              <w:pStyle w:val="TableTextBullet"/>
            </w:pPr>
            <w:r w:rsidRPr="000D3C6E">
              <w:rPr>
                <w:vanish/>
              </w:rPr>
              <w:t xml:space="preserve">BR_3.59 </w:t>
            </w:r>
            <w:r w:rsidR="00605241">
              <w:t>When the user selects blood units to fill a component order of “PLATELETS” or “OTHER” and is indicated as having less than (&lt;) 2 mL RBC contamination, electronic or serologic crossmatch are not required.</w:t>
            </w:r>
          </w:p>
          <w:p w14:paraId="2346D6A7" w14:textId="77777777" w:rsidR="00931B15" w:rsidRDefault="00931B15" w:rsidP="00931B15">
            <w:pPr>
              <w:pStyle w:val="TableTextBullet"/>
              <w:numPr>
                <w:ilvl w:val="0"/>
                <w:numId w:val="0"/>
              </w:numPr>
              <w:ind w:left="288"/>
            </w:pPr>
          </w:p>
          <w:p w14:paraId="6FA5930A" w14:textId="38D17D3D" w:rsidR="002A21AE" w:rsidRDefault="002A21AE">
            <w:pPr>
              <w:pStyle w:val="TableText"/>
              <w:rPr>
                <w:b/>
                <w:bCs/>
                <w:szCs w:val="18"/>
              </w:rPr>
            </w:pPr>
            <w:r>
              <w:rPr>
                <w:b/>
                <w:bCs/>
                <w:szCs w:val="18"/>
              </w:rPr>
              <w:t>NOTES</w:t>
            </w:r>
          </w:p>
          <w:p w14:paraId="3E06E6B0" w14:textId="77777777" w:rsidR="002A21AE" w:rsidRDefault="002A21AE">
            <w:pPr>
              <w:pStyle w:val="NotesText"/>
            </w:pPr>
          </w:p>
          <w:p w14:paraId="29CCB1C0" w14:textId="7FAC6AF2" w:rsidR="002A21AE" w:rsidRDefault="002A21AE">
            <w:pPr>
              <w:pStyle w:val="NotesText"/>
            </w:pPr>
            <w:r w:rsidRPr="00896F17">
              <w:rPr>
                <w:rStyle w:val="BullhornChar"/>
              </w:rPr>
              <w:t></w:t>
            </w:r>
            <w:r w:rsidRPr="00C51C45">
              <w:rPr>
                <w:rFonts w:ascii="Webdings" w:hAnsi="Webdings"/>
                <w:szCs w:val="22"/>
              </w:rPr>
              <w:t></w:t>
            </w:r>
            <w:r>
              <w:rPr>
                <w:rFonts w:cs="Arial"/>
                <w:szCs w:val="22"/>
              </w:rPr>
              <w:t xml:space="preserve">See </w:t>
            </w:r>
            <w:r w:rsidR="00EE455E">
              <w:t xml:space="preserve">Table </w:t>
            </w:r>
            <w:r w:rsidR="00EE455E">
              <w:rPr>
                <w:noProof/>
              </w:rPr>
              <w:t>6</w:t>
            </w:r>
            <w:r>
              <w:rPr>
                <w:rFonts w:cs="Arial"/>
                <w:szCs w:val="22"/>
              </w:rPr>
              <w:t xml:space="preserve"> for alerts that may occur during this option.</w:t>
            </w:r>
          </w:p>
        </w:tc>
      </w:tr>
      <w:tr w:rsidR="004D6F51" w14:paraId="5D051C13" w14:textId="77777777">
        <w:trPr>
          <w:hidden/>
        </w:trPr>
        <w:tc>
          <w:tcPr>
            <w:tcW w:w="3240" w:type="dxa"/>
          </w:tcPr>
          <w:p w14:paraId="22B6B744" w14:textId="3412A8A3" w:rsidR="004D6F51" w:rsidRPr="002961EA" w:rsidRDefault="00EB00A3" w:rsidP="0020776C">
            <w:pPr>
              <w:pStyle w:val="TableTextNumbers"/>
              <w:rPr>
                <w:szCs w:val="18"/>
              </w:rPr>
            </w:pPr>
            <w:r w:rsidRPr="002961EA">
              <w:rPr>
                <w:vanish/>
                <w:szCs w:val="18"/>
              </w:rPr>
              <w:t>DR 4414</w:t>
            </w:r>
            <w:r w:rsidRPr="002961EA">
              <w:rPr>
                <w:b/>
                <w:vanish/>
                <w:szCs w:val="18"/>
              </w:rPr>
              <w:t xml:space="preserve"> </w:t>
            </w:r>
            <w:r w:rsidR="00234D60" w:rsidRPr="002961EA">
              <w:rPr>
                <w:b/>
                <w:szCs w:val="18"/>
              </w:rPr>
              <w:t>Steps 3 through 8 are optional. If a specimen is already associated with the order, skip to Step 9.</w:t>
            </w:r>
            <w:r w:rsidR="00234D60" w:rsidRPr="002961EA">
              <w:rPr>
                <w:szCs w:val="18"/>
              </w:rPr>
              <w:t xml:space="preserve"> </w:t>
            </w:r>
            <w:r w:rsidR="004D6F51" w:rsidRPr="002961EA">
              <w:rPr>
                <w:szCs w:val="18"/>
              </w:rPr>
              <w:t xml:space="preserve">To associate a specimen </w:t>
            </w:r>
            <w:r w:rsidR="00DC4386" w:rsidRPr="002961EA">
              <w:rPr>
                <w:szCs w:val="18"/>
              </w:rPr>
              <w:t>UID with a</w:t>
            </w:r>
            <w:r w:rsidR="004D6F51" w:rsidRPr="002961EA">
              <w:rPr>
                <w:szCs w:val="18"/>
              </w:rPr>
              <w:t xml:space="preserve"> unit requiring </w:t>
            </w:r>
            <w:r w:rsidR="00F92484" w:rsidRPr="002961EA">
              <w:rPr>
                <w:szCs w:val="18"/>
              </w:rPr>
              <w:t>XM</w:t>
            </w:r>
            <w:r w:rsidR="00DC4386" w:rsidRPr="002961EA">
              <w:rPr>
                <w:szCs w:val="18"/>
              </w:rPr>
              <w:t xml:space="preserve"> that was not previously associated with a specimen</w:t>
            </w:r>
            <w:r w:rsidR="004D6F51" w:rsidRPr="002961EA">
              <w:rPr>
                <w:szCs w:val="18"/>
              </w:rPr>
              <w:t>, select (highlight) an issued unit in the Order Group tree view in the left pane</w:t>
            </w:r>
            <w:r w:rsidR="009F0D10" w:rsidRPr="002961EA">
              <w:rPr>
                <w:szCs w:val="18"/>
              </w:rPr>
              <w:t xml:space="preserve"> (</w:t>
            </w:r>
            <w:r w:rsidR="00EE455E" w:rsidRPr="00EE455E">
              <w:rPr>
                <w:szCs w:val="18"/>
              </w:rPr>
              <w:t xml:space="preserve">Figure </w:t>
            </w:r>
            <w:r w:rsidR="00EE455E" w:rsidRPr="00EE455E">
              <w:rPr>
                <w:noProof/>
                <w:szCs w:val="18"/>
              </w:rPr>
              <w:t>71</w:t>
            </w:r>
            <w:r w:rsidR="009F0D10" w:rsidRPr="002961EA">
              <w:rPr>
                <w:szCs w:val="18"/>
              </w:rPr>
              <w:t>)</w:t>
            </w:r>
            <w:r w:rsidR="004D6F51" w:rsidRPr="002961EA">
              <w:rPr>
                <w:szCs w:val="18"/>
              </w:rPr>
              <w:t>.</w:t>
            </w:r>
          </w:p>
        </w:tc>
        <w:tc>
          <w:tcPr>
            <w:tcW w:w="6120" w:type="dxa"/>
          </w:tcPr>
          <w:p w14:paraId="56A17EDF" w14:textId="77777777" w:rsidR="004D6F51" w:rsidRDefault="004D6F51" w:rsidP="0020776C">
            <w:pPr>
              <w:pStyle w:val="TableTextBullet"/>
            </w:pPr>
            <w:r>
              <w:t>Enables the Associate Specimen check box.</w:t>
            </w:r>
          </w:p>
          <w:p w14:paraId="1D7835BE" w14:textId="405D2CA5" w:rsidR="000A2E5E" w:rsidRDefault="000A2E5E" w:rsidP="00673EF0">
            <w:pPr>
              <w:pStyle w:val="TableTextBullet"/>
            </w:pPr>
            <w:r>
              <w:t xml:space="preserve">When an order is accepted without a specimen, the user must associate the specimen prior to performing crossmatch testing. VBECS will not allow an expired specimen to be associated with the order unless the Unit </w:t>
            </w:r>
            <w:r w:rsidR="00931B15">
              <w:t>Assigned</w:t>
            </w:r>
            <w:r>
              <w:t xml:space="preserve"> Date is modified to be earlier than the Specimen Expiration Date (for retrospective data entry). See </w:t>
            </w:r>
            <w:r w:rsidR="00EE455E">
              <w:t xml:space="preserve">Figure </w:t>
            </w:r>
            <w:r w:rsidR="00EE455E">
              <w:rPr>
                <w:noProof/>
              </w:rPr>
              <w:t>71</w:t>
            </w:r>
            <w:r>
              <w:t>.</w:t>
            </w:r>
          </w:p>
          <w:p w14:paraId="27B28D45" w14:textId="77777777" w:rsidR="00F92484" w:rsidRDefault="00F92484" w:rsidP="00F92484">
            <w:pPr>
              <w:pStyle w:val="TableText"/>
            </w:pPr>
          </w:p>
          <w:p w14:paraId="07E26257" w14:textId="57BE51DE" w:rsidR="00F92484" w:rsidRDefault="00F92484" w:rsidP="00F92484">
            <w:pPr>
              <w:pStyle w:val="TableText"/>
              <w:rPr>
                <w:b/>
                <w:bCs/>
                <w:szCs w:val="18"/>
              </w:rPr>
            </w:pPr>
            <w:r>
              <w:rPr>
                <w:b/>
                <w:bCs/>
                <w:szCs w:val="18"/>
              </w:rPr>
              <w:t>NOTES</w:t>
            </w:r>
          </w:p>
          <w:p w14:paraId="12E36805" w14:textId="77777777" w:rsidR="00F92484" w:rsidRDefault="00F92484" w:rsidP="00F92484">
            <w:pPr>
              <w:pStyle w:val="NotesText"/>
            </w:pPr>
          </w:p>
          <w:p w14:paraId="391A3513" w14:textId="77777777" w:rsidR="00F92484" w:rsidRDefault="00F92484" w:rsidP="00F92484">
            <w:pPr>
              <w:pStyle w:val="NotesText"/>
              <w:rPr>
                <w:rFonts w:cs="Arial"/>
                <w:szCs w:val="22"/>
              </w:rPr>
            </w:pPr>
            <w:r>
              <w:rPr>
                <w:rFonts w:cs="Arial"/>
                <w:szCs w:val="22"/>
              </w:rPr>
              <w:t>If eXM is enabled, complete the TAS prior to associating the specimen UID with the emergency-issued units.</w:t>
            </w:r>
          </w:p>
          <w:p w14:paraId="3D72E8A7" w14:textId="77777777" w:rsidR="001F303C" w:rsidRDefault="001F303C" w:rsidP="00F92484">
            <w:pPr>
              <w:pStyle w:val="NotesText"/>
              <w:rPr>
                <w:rFonts w:cs="Arial"/>
                <w:szCs w:val="22"/>
              </w:rPr>
            </w:pPr>
          </w:p>
          <w:p w14:paraId="7C5424D5" w14:textId="2D5E309A" w:rsidR="001F303C" w:rsidRPr="00811AE6" w:rsidRDefault="001F303C" w:rsidP="001F303C">
            <w:pPr>
              <w:pStyle w:val="NotesText"/>
            </w:pPr>
            <w:r w:rsidRPr="00811AE6">
              <w:rPr>
                <w:vanish/>
                <w:szCs w:val="18"/>
              </w:rPr>
              <w:t xml:space="preserve">BR_3.17, BR_3.27 , BR_3.36 </w:t>
            </w:r>
            <w:r w:rsidRPr="00811AE6">
              <w:t>When eXM is enabled at the division and blood units require XM, VBECS determines whether the patient and units are eligible for eXM. When indicated, specific warning messages explaining the reason for the ineligibility are displayed. Users are given the opportunity to accept or reject the selected unit for selection</w:t>
            </w:r>
            <w:r w:rsidR="00931B15" w:rsidRPr="00811AE6">
              <w:t xml:space="preserve"> and may or may not process the eXM</w:t>
            </w:r>
            <w:r w:rsidRPr="00811AE6">
              <w:t xml:space="preserve">. All parameters listed in </w:t>
            </w:r>
            <w:r w:rsidR="00EE455E">
              <w:t xml:space="preserve">Appendix </w:t>
            </w:r>
            <w:r w:rsidR="00EE455E">
              <w:rPr>
                <w:noProof/>
              </w:rPr>
              <w:t>B</w:t>
            </w:r>
            <w:r w:rsidRPr="00811AE6">
              <w:t xml:space="preserve">: </w:t>
            </w:r>
            <w:r w:rsidR="00EE455E">
              <w:t xml:space="preserve">Table </w:t>
            </w:r>
            <w:r w:rsidR="00EE455E">
              <w:rPr>
                <w:noProof/>
              </w:rPr>
              <w:t>22</w:t>
            </w:r>
            <w:r w:rsidR="00EE455E">
              <w:t xml:space="preserve">: </w:t>
            </w:r>
            <w:r w:rsidR="00EE455E">
              <w:rPr>
                <w:vanish/>
              </w:rPr>
              <w:t xml:space="preserve">TT_3.05 </w:t>
            </w:r>
            <w:r w:rsidR="00EE455E">
              <w:t>Rules for Electronic and Serologic Crossmatch</w:t>
            </w:r>
            <w:r w:rsidRPr="00811AE6">
              <w:t xml:space="preserve"> must be met. Units not eligible for eXM must have serologic XM performed. </w:t>
            </w:r>
          </w:p>
          <w:p w14:paraId="4315FB3C" w14:textId="77777777" w:rsidR="001F303C" w:rsidRPr="00811AE6" w:rsidRDefault="001F303C" w:rsidP="001F303C">
            <w:pPr>
              <w:pStyle w:val="NotesText"/>
            </w:pPr>
          </w:p>
          <w:p w14:paraId="3D541061" w14:textId="77777777" w:rsidR="001F303C" w:rsidRDefault="001F303C" w:rsidP="001F303C">
            <w:pPr>
              <w:pStyle w:val="NotesText"/>
            </w:pPr>
            <w:r w:rsidRPr="00811AE6">
              <w:t>When eXM is not enabled, the user must enter serologic XM results for red blood cell classes or when the uni</w:t>
            </w:r>
            <w:r w:rsidR="00931B15" w:rsidRPr="00811AE6">
              <w:t>t has = &gt;</w:t>
            </w:r>
            <w:r w:rsidRPr="00811AE6">
              <w:t xml:space="preserve"> 2 mL RBC contamination. VBECS does not change the unit status to “crossmatched,” make units available for issue, or allow the Caution Tag or BTRF to be printed until a user enters a valid XM result, unless an emergency-issued unit is being processed.</w:t>
            </w:r>
          </w:p>
        </w:tc>
      </w:tr>
      <w:tr w:rsidR="004D6F51" w14:paraId="45A7921D" w14:textId="77777777">
        <w:tc>
          <w:tcPr>
            <w:tcW w:w="3240" w:type="dxa"/>
          </w:tcPr>
          <w:p w14:paraId="2812DFA4" w14:textId="77777777" w:rsidR="004D6F51" w:rsidRPr="001235FC" w:rsidRDefault="004D6F51" w:rsidP="0020776C">
            <w:pPr>
              <w:pStyle w:val="TableTextNumbers"/>
            </w:pPr>
            <w:r>
              <w:t xml:space="preserve">Click the </w:t>
            </w:r>
            <w:r>
              <w:rPr>
                <w:b/>
              </w:rPr>
              <w:t xml:space="preserve">Associate </w:t>
            </w:r>
            <w:r w:rsidR="00F92484">
              <w:rPr>
                <w:b/>
              </w:rPr>
              <w:t xml:space="preserve">with </w:t>
            </w:r>
            <w:r>
              <w:rPr>
                <w:b/>
              </w:rPr>
              <w:t xml:space="preserve">Specimen </w:t>
            </w:r>
            <w:r w:rsidRPr="00D1100E">
              <w:t>check box</w:t>
            </w:r>
            <w:r>
              <w:rPr>
                <w:b/>
              </w:rPr>
              <w:t>.</w:t>
            </w:r>
          </w:p>
          <w:p w14:paraId="771A6F24" w14:textId="77777777" w:rsidR="004D6F51" w:rsidRDefault="004D6F51" w:rsidP="0020776C">
            <w:pPr>
              <w:pStyle w:val="TableTextNumbers"/>
              <w:numPr>
                <w:ilvl w:val="0"/>
                <w:numId w:val="0"/>
              </w:numPr>
              <w:ind w:left="288" w:hanging="288"/>
              <w:rPr>
                <w:b/>
              </w:rPr>
            </w:pPr>
          </w:p>
          <w:p w14:paraId="4C26ACBE" w14:textId="17297993" w:rsidR="004D6F51" w:rsidRDefault="004D6F51" w:rsidP="0020776C">
            <w:pPr>
              <w:pStyle w:val="TableTextNumbersContinued"/>
            </w:pPr>
            <w:r>
              <w:t xml:space="preserve">Click the </w:t>
            </w:r>
            <w:r w:rsidR="00A6373D">
              <w:rPr>
                <w:b/>
              </w:rPr>
              <w:t>find</w:t>
            </w:r>
            <w:r w:rsidRPr="001235FC">
              <w:rPr>
                <w:b/>
              </w:rPr>
              <w:t xml:space="preserve"> </w:t>
            </w:r>
            <w:r w:rsidRPr="00D1100E">
              <w:t>button</w:t>
            </w:r>
            <w:r>
              <w:t xml:space="preserve"> to select</w:t>
            </w:r>
            <w:r w:rsidR="00F92484">
              <w:t xml:space="preserve"> a specimen</w:t>
            </w:r>
            <w:r>
              <w:t xml:space="preserve"> UID</w:t>
            </w:r>
            <w:r w:rsidR="009F0D10">
              <w:t xml:space="preserve"> (</w:t>
            </w:r>
            <w:r w:rsidR="00EE455E">
              <w:t xml:space="preserve">Figure </w:t>
            </w:r>
            <w:r w:rsidR="00EE455E">
              <w:rPr>
                <w:noProof/>
              </w:rPr>
              <w:t>71</w:t>
            </w:r>
            <w:r w:rsidR="009F0D10">
              <w:t>)</w:t>
            </w:r>
            <w:r>
              <w:t>.</w:t>
            </w:r>
          </w:p>
        </w:tc>
        <w:tc>
          <w:tcPr>
            <w:tcW w:w="6120" w:type="dxa"/>
          </w:tcPr>
          <w:p w14:paraId="02BDC7D3" w14:textId="77777777" w:rsidR="004D6F51" w:rsidRDefault="004D6F51" w:rsidP="0020776C">
            <w:pPr>
              <w:pStyle w:val="TableTextBullet"/>
            </w:pPr>
            <w:r>
              <w:t xml:space="preserve">Opens the </w:t>
            </w:r>
            <w:r w:rsidR="00F92484">
              <w:t>Select Patient Specimen window.</w:t>
            </w:r>
          </w:p>
        </w:tc>
      </w:tr>
      <w:tr w:rsidR="004D6F51" w14:paraId="52087FBC" w14:textId="77777777">
        <w:tc>
          <w:tcPr>
            <w:tcW w:w="3240" w:type="dxa"/>
          </w:tcPr>
          <w:p w14:paraId="489D3FAC" w14:textId="77777777" w:rsidR="004D6F51" w:rsidRDefault="004D6F51" w:rsidP="0020776C">
            <w:pPr>
              <w:pStyle w:val="TableTextNumbers"/>
            </w:pPr>
            <w:r>
              <w:t xml:space="preserve">Scan or enter the correct specimen UID and click </w:t>
            </w:r>
            <w:r>
              <w:rPr>
                <w:b/>
              </w:rPr>
              <w:t>Search</w:t>
            </w:r>
            <w:r>
              <w:t>.</w:t>
            </w:r>
          </w:p>
        </w:tc>
        <w:tc>
          <w:tcPr>
            <w:tcW w:w="6120" w:type="dxa"/>
          </w:tcPr>
          <w:p w14:paraId="53A091DC" w14:textId="77777777" w:rsidR="004D6F51" w:rsidRDefault="004D6F51" w:rsidP="0020776C">
            <w:pPr>
              <w:pStyle w:val="TableTextBullet"/>
            </w:pPr>
            <w:r>
              <w:t xml:space="preserve">Displays </w:t>
            </w:r>
            <w:r w:rsidR="00F92484">
              <w:t xml:space="preserve">the </w:t>
            </w:r>
            <w:r w:rsidR="00C3266A">
              <w:t>s</w:t>
            </w:r>
            <w:r w:rsidR="00F92484">
              <w:t xml:space="preserve">elected </w:t>
            </w:r>
            <w:r w:rsidR="00C3266A">
              <w:t>patient s</w:t>
            </w:r>
            <w:r w:rsidR="00F92484">
              <w:t xml:space="preserve">pecimen </w:t>
            </w:r>
            <w:r w:rsidR="00C3266A">
              <w:t>information</w:t>
            </w:r>
            <w:r w:rsidR="00F92484">
              <w:t>.</w:t>
            </w:r>
          </w:p>
        </w:tc>
      </w:tr>
      <w:tr w:rsidR="004D6F51" w14:paraId="5C4F30B2" w14:textId="77777777">
        <w:tc>
          <w:tcPr>
            <w:tcW w:w="3240" w:type="dxa"/>
          </w:tcPr>
          <w:p w14:paraId="2B192ED5" w14:textId="77777777" w:rsidR="004D6F51" w:rsidRDefault="004D6F51" w:rsidP="0020776C">
            <w:pPr>
              <w:pStyle w:val="TableTextNumbers"/>
            </w:pPr>
            <w:r>
              <w:t xml:space="preserve">Click </w:t>
            </w:r>
            <w:r w:rsidRPr="005457F3">
              <w:rPr>
                <w:b/>
              </w:rPr>
              <w:t>OK</w:t>
            </w:r>
            <w:r>
              <w:t>.</w:t>
            </w:r>
          </w:p>
        </w:tc>
        <w:tc>
          <w:tcPr>
            <w:tcW w:w="6120" w:type="dxa"/>
          </w:tcPr>
          <w:p w14:paraId="00266B90" w14:textId="77777777" w:rsidR="004D6F51" w:rsidRDefault="004D6F51" w:rsidP="0020776C">
            <w:pPr>
              <w:pStyle w:val="TableTextBullet"/>
            </w:pPr>
            <w:r>
              <w:t>Saves the specimen information and returns the user to the Select Units window.</w:t>
            </w:r>
          </w:p>
          <w:p w14:paraId="5CF9200B" w14:textId="77777777" w:rsidR="004D6F51" w:rsidRDefault="004D6F51" w:rsidP="0020776C">
            <w:pPr>
              <w:pStyle w:val="TableTextBullet"/>
            </w:pPr>
            <w:r>
              <w:t>Displays the associat</w:t>
            </w:r>
            <w:r w:rsidR="008D0654">
              <w:t>ed specimen UID in the Specimen</w:t>
            </w:r>
            <w:r>
              <w:t xml:space="preserve"> UID field.</w:t>
            </w:r>
          </w:p>
        </w:tc>
      </w:tr>
      <w:tr w:rsidR="004D6F51" w14:paraId="54DBF369" w14:textId="77777777">
        <w:tc>
          <w:tcPr>
            <w:tcW w:w="3240" w:type="dxa"/>
          </w:tcPr>
          <w:p w14:paraId="650BF7B3" w14:textId="77777777" w:rsidR="004D6F51" w:rsidRDefault="000A2E5E" w:rsidP="000A2E5E">
            <w:pPr>
              <w:pStyle w:val="TableTextNumbers"/>
            </w:pPr>
            <w:r>
              <w:t xml:space="preserve">Repeat Steps 3 through </w:t>
            </w:r>
            <w:r w:rsidR="004D6F51">
              <w:t xml:space="preserve">6 to associate the </w:t>
            </w:r>
            <w:r>
              <w:t>specimen UID</w:t>
            </w:r>
            <w:r w:rsidR="004D6F51">
              <w:t xml:space="preserve"> with other emergency-issued units, or click </w:t>
            </w:r>
            <w:r w:rsidR="004D6F51">
              <w:rPr>
                <w:b/>
              </w:rPr>
              <w:t>OK</w:t>
            </w:r>
            <w:r w:rsidR="004D6F51">
              <w:t xml:space="preserve"> to save.</w:t>
            </w:r>
          </w:p>
        </w:tc>
        <w:tc>
          <w:tcPr>
            <w:tcW w:w="6120" w:type="dxa"/>
          </w:tcPr>
          <w:p w14:paraId="172A8278" w14:textId="77777777" w:rsidR="004D6F51" w:rsidRDefault="008D0654" w:rsidP="0020776C">
            <w:pPr>
              <w:pStyle w:val="TableTextBullet"/>
            </w:pPr>
            <w:r>
              <w:t>When the user clicks OK, d</w:t>
            </w:r>
            <w:r w:rsidR="004D6F51">
              <w:t>isplays a message asking the user if he wishes to complete serologic crossmatch</w:t>
            </w:r>
            <w:r w:rsidR="003F629A">
              <w:t xml:space="preserve"> when at least one unit requires crossmatch</w:t>
            </w:r>
            <w:r w:rsidR="004D6F51">
              <w:t>.</w:t>
            </w:r>
          </w:p>
        </w:tc>
      </w:tr>
      <w:tr w:rsidR="004D6F51" w14:paraId="6F781AC0" w14:textId="77777777">
        <w:tc>
          <w:tcPr>
            <w:tcW w:w="3240" w:type="dxa"/>
          </w:tcPr>
          <w:p w14:paraId="1515D75E" w14:textId="77777777" w:rsidR="004D6F51" w:rsidRDefault="004D6F51" w:rsidP="0020776C">
            <w:pPr>
              <w:pStyle w:val="TableTextNumbers"/>
            </w:pPr>
            <w:r>
              <w:t xml:space="preserve">Click </w:t>
            </w:r>
            <w:r>
              <w:rPr>
                <w:b/>
              </w:rPr>
              <w:t>Yes</w:t>
            </w:r>
            <w:r>
              <w:t xml:space="preserve"> to complete the serologic crossmatch.</w:t>
            </w:r>
          </w:p>
          <w:p w14:paraId="01F3EAEC" w14:textId="77777777" w:rsidR="004D6F51" w:rsidRDefault="004D6F51" w:rsidP="0020776C">
            <w:pPr>
              <w:pStyle w:val="TableTextNumbers"/>
              <w:numPr>
                <w:ilvl w:val="0"/>
                <w:numId w:val="0"/>
              </w:numPr>
              <w:ind w:left="288" w:hanging="288"/>
            </w:pPr>
          </w:p>
          <w:p w14:paraId="058814F0" w14:textId="77777777" w:rsidR="004D6F51" w:rsidRPr="005457F3" w:rsidRDefault="004D6F51" w:rsidP="0020776C">
            <w:pPr>
              <w:pStyle w:val="TableTextNumbersContinued"/>
            </w:pPr>
            <w:r>
              <w:t xml:space="preserve">Click </w:t>
            </w:r>
            <w:r>
              <w:rPr>
                <w:b/>
              </w:rPr>
              <w:t>No</w:t>
            </w:r>
            <w:r>
              <w:t xml:space="preserve"> to return to the VBECS desktop.</w:t>
            </w:r>
          </w:p>
        </w:tc>
        <w:tc>
          <w:tcPr>
            <w:tcW w:w="6120" w:type="dxa"/>
          </w:tcPr>
          <w:p w14:paraId="5097ED51" w14:textId="77777777" w:rsidR="004D6F51" w:rsidRDefault="009B4224" w:rsidP="0020776C">
            <w:pPr>
              <w:pStyle w:val="TableTextBullet"/>
            </w:pPr>
            <w:r>
              <w:t>Allows the user to enter results in the Serologic Crossmatch (XM) cells in the patient testing grid.</w:t>
            </w:r>
          </w:p>
        </w:tc>
      </w:tr>
      <w:tr w:rsidR="002A21AE" w14:paraId="0D078998" w14:textId="77777777">
        <w:tc>
          <w:tcPr>
            <w:tcW w:w="3240" w:type="dxa"/>
          </w:tcPr>
          <w:p w14:paraId="6DA71C9A" w14:textId="77777777" w:rsidR="00772C9B" w:rsidRDefault="002A21AE" w:rsidP="008D18B9">
            <w:pPr>
              <w:pStyle w:val="TableTextNumbers"/>
            </w:pPr>
            <w:r>
              <w:t xml:space="preserve">Click </w:t>
            </w:r>
            <w:r>
              <w:rPr>
                <w:b/>
              </w:rPr>
              <w:t>Add Units</w:t>
            </w:r>
            <w:r>
              <w:t xml:space="preserve"> to add units to the component orders selected.</w:t>
            </w:r>
          </w:p>
        </w:tc>
        <w:tc>
          <w:tcPr>
            <w:tcW w:w="6120" w:type="dxa"/>
          </w:tcPr>
          <w:p w14:paraId="3F012CAB" w14:textId="77777777" w:rsidR="002A21AE" w:rsidRDefault="002A21AE">
            <w:pPr>
              <w:pStyle w:val="TableTextBullet"/>
            </w:pPr>
            <w:r>
              <w:t>Searches the database and displays available restricted autologous and directed units that the user must select before selecting allo</w:t>
            </w:r>
            <w:r w:rsidR="000A2E5E">
              <w:t xml:space="preserve">geneic units of the same </w:t>
            </w:r>
            <w:r>
              <w:t>component class.</w:t>
            </w:r>
          </w:p>
          <w:p w14:paraId="2B1B652E" w14:textId="77777777" w:rsidR="002A21AE" w:rsidRDefault="002A21AE">
            <w:pPr>
              <w:pStyle w:val="TableTextBullet"/>
            </w:pPr>
            <w:r>
              <w:t>Displays the unit ID, product type, unit ABO/Rh, unit expiration date, specimen UID, if applicable, of units assigned to the patient in the division’s blood bank on a different specimen or order. T</w:t>
            </w:r>
            <w:r w:rsidR="000A2E5E">
              <w:t>he user may add and remove</w:t>
            </w:r>
            <w:r>
              <w:t xml:space="preserve"> the units to the current order</w:t>
            </w:r>
            <w:r w:rsidR="00B41BC2">
              <w:t xml:space="preserve"> until saved</w:t>
            </w:r>
            <w:r>
              <w:t>.</w:t>
            </w:r>
          </w:p>
          <w:p w14:paraId="55054D02" w14:textId="77777777" w:rsidR="008D18B9" w:rsidRDefault="008D18B9">
            <w:pPr>
              <w:pStyle w:val="TableTextBullet"/>
            </w:pPr>
            <w:r>
              <w:t>When eXM was configured for the facility, displays the eXM status (eligible or not eligible) for the patient.</w:t>
            </w:r>
          </w:p>
          <w:p w14:paraId="47682183" w14:textId="77777777" w:rsidR="00931B15" w:rsidRDefault="00880CE3">
            <w:pPr>
              <w:pStyle w:val="TableTextBullet"/>
            </w:pPr>
            <w:r w:rsidRPr="00880CE3">
              <w:rPr>
                <w:vanish/>
              </w:rPr>
              <w:t xml:space="preserve">BR_3.63 </w:t>
            </w:r>
            <w:r w:rsidR="000A2E5E">
              <w:t>When the component order is for “PLATELETS” or “OTHER”, the</w:t>
            </w:r>
            <w:r w:rsidR="00931B15">
              <w:t xml:space="preserve"> units with = &gt;</w:t>
            </w:r>
            <w:r w:rsidR="000A2E5E">
              <w:t xml:space="preserve"> 2 mL of RBC contamination must be presented and will display </w:t>
            </w:r>
            <w:r w:rsidR="000A2E5E" w:rsidRPr="00B41BC2">
              <w:rPr>
                <w:i/>
              </w:rPr>
              <w:t>before</w:t>
            </w:r>
            <w:r w:rsidR="000A2E5E">
              <w:t xml:space="preserve"> products with less than (&lt;) 2 mL of RBC contamination. </w:t>
            </w:r>
          </w:p>
          <w:p w14:paraId="00DA8BFD" w14:textId="77777777" w:rsidR="000A2E5E" w:rsidRDefault="000A2E5E">
            <w:pPr>
              <w:pStyle w:val="TableTextBullet"/>
            </w:pPr>
            <w:r>
              <w:t>VBECS will present</w:t>
            </w:r>
            <w:r w:rsidR="00B41BC2">
              <w:t xml:space="preserve"> all available units when the Product Type is “PLATELETS” or “OTHER” non-plasma components that have less than (&lt;) 2 mL RBC contamination.</w:t>
            </w:r>
          </w:p>
          <w:p w14:paraId="5B3923E1" w14:textId="77777777" w:rsidR="002A21AE" w:rsidRDefault="002A21AE">
            <w:pPr>
              <w:pStyle w:val="TableText"/>
            </w:pPr>
          </w:p>
          <w:p w14:paraId="3A2246B5" w14:textId="3B57A124" w:rsidR="002A21AE" w:rsidRDefault="002A21AE">
            <w:pPr>
              <w:pStyle w:val="TableText"/>
              <w:rPr>
                <w:b/>
                <w:bCs/>
                <w:szCs w:val="18"/>
              </w:rPr>
            </w:pPr>
            <w:r>
              <w:rPr>
                <w:b/>
                <w:bCs/>
                <w:szCs w:val="18"/>
              </w:rPr>
              <w:t>NOTES</w:t>
            </w:r>
          </w:p>
          <w:p w14:paraId="4FFF5622" w14:textId="77777777" w:rsidR="002A21AE" w:rsidRDefault="002A21AE">
            <w:pPr>
              <w:pStyle w:val="NotesText"/>
            </w:pPr>
          </w:p>
          <w:p w14:paraId="11984207" w14:textId="40794C27"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EE455E">
              <w:t xml:space="preserve">Table </w:t>
            </w:r>
            <w:r w:rsidR="00EE455E">
              <w:rPr>
                <w:noProof/>
              </w:rPr>
              <w:t>6</w:t>
            </w:r>
            <w:r w:rsidR="006E22F3">
              <w:rPr>
                <w:rFonts w:cs="Arial"/>
                <w:szCs w:val="22"/>
              </w:rPr>
              <w:t xml:space="preserve"> f</w:t>
            </w:r>
            <w:r w:rsidR="002A21AE">
              <w:rPr>
                <w:rFonts w:cs="Arial"/>
                <w:szCs w:val="22"/>
              </w:rPr>
              <w:t>or alerts that may occur during this option.</w:t>
            </w:r>
          </w:p>
          <w:p w14:paraId="1929BAB2" w14:textId="77777777" w:rsidR="002A21AE" w:rsidRDefault="002A21AE">
            <w:pPr>
              <w:pStyle w:val="NotesText"/>
            </w:pPr>
          </w:p>
          <w:p w14:paraId="70EC0252" w14:textId="77777777" w:rsidR="007A3EAF" w:rsidRPr="007A3EAF" w:rsidRDefault="007A3EAF">
            <w:pPr>
              <w:pStyle w:val="NotesText"/>
            </w:pPr>
            <w:r>
              <w:t xml:space="preserve">Units that are selectable with an override do not appear on the list of available units and must be scanned or entered by the user. </w:t>
            </w:r>
            <w:r>
              <w:rPr>
                <w:vanish/>
              </w:rPr>
              <w:t>DR 2819</w:t>
            </w:r>
          </w:p>
          <w:p w14:paraId="292204D1" w14:textId="77777777" w:rsidR="007A3EAF" w:rsidRDefault="007A3EAF">
            <w:pPr>
              <w:pStyle w:val="NotesText"/>
            </w:pPr>
          </w:p>
          <w:p w14:paraId="191F97AD" w14:textId="77777777" w:rsidR="00B41BC2" w:rsidRPr="00B41BC2" w:rsidRDefault="00B41BC2" w:rsidP="00B41BC2">
            <w:pPr>
              <w:pStyle w:val="NotesText"/>
            </w:pPr>
            <w:r w:rsidRPr="00AD0810">
              <w:rPr>
                <w:vanish/>
              </w:rPr>
              <w:t xml:space="preserve">BR_3.05 </w:t>
            </w:r>
            <w:r>
              <w:t>A patient’s historical ABO/Rh is displayed, when present. When the current specimen is not yet tested, is normally not required, or must be saved as inconclusive, a unit of blood can be selected based on the patient’s historical ABO/Rh.</w:t>
            </w:r>
          </w:p>
          <w:p w14:paraId="6C0A81D7" w14:textId="77777777" w:rsidR="00B41BC2" w:rsidRDefault="00B41BC2" w:rsidP="00B41BC2">
            <w:pPr>
              <w:pStyle w:val="TableText"/>
            </w:pPr>
          </w:p>
          <w:p w14:paraId="6A240592" w14:textId="77777777" w:rsidR="00B41BC2" w:rsidRDefault="00973AD0" w:rsidP="00B41BC2">
            <w:pPr>
              <w:pStyle w:val="NotesText"/>
            </w:pPr>
            <w:r w:rsidRPr="00973AD0">
              <w:rPr>
                <w:vanish/>
              </w:rPr>
              <w:t xml:space="preserve">BR_3.05 </w:t>
            </w:r>
            <w:r w:rsidR="00B41BC2">
              <w:t xml:space="preserve">When the patient’s historic ABO/Rh is “NR,” “inconclusive”, from database conversion, or the current specimen has an “emergency issue” order indicator present and/or the required ABO/Rh specimen testing is incomplete, the user may select components as follows, including autologous units: </w:t>
            </w:r>
          </w:p>
          <w:p w14:paraId="02F6A49C" w14:textId="77777777" w:rsidR="00B41BC2" w:rsidRDefault="00B41BC2" w:rsidP="00B41BC2">
            <w:pPr>
              <w:pStyle w:val="TableText"/>
            </w:pPr>
          </w:p>
          <w:p w14:paraId="4B159DBB" w14:textId="77777777" w:rsidR="00B41BC2" w:rsidRDefault="00B41BC2" w:rsidP="008D6E9E">
            <w:pPr>
              <w:pStyle w:val="TableText"/>
              <w:ind w:left="720"/>
            </w:pPr>
            <w:r>
              <w:t xml:space="preserve">For RBC or WB order: </w:t>
            </w:r>
          </w:p>
          <w:p w14:paraId="1750FD75" w14:textId="77777777" w:rsidR="00B41BC2" w:rsidRDefault="00B41BC2" w:rsidP="00925CAD">
            <w:pPr>
              <w:pStyle w:val="TableText"/>
              <w:numPr>
                <w:ilvl w:val="0"/>
                <w:numId w:val="62"/>
              </w:numPr>
              <w:ind w:left="1440"/>
            </w:pPr>
            <w:r>
              <w:t>Group O, Rh positive or O Rh negative RBC</w:t>
            </w:r>
          </w:p>
          <w:p w14:paraId="191838EA" w14:textId="77777777" w:rsidR="00B41BC2" w:rsidRDefault="00B41BC2" w:rsidP="00925CAD">
            <w:pPr>
              <w:pStyle w:val="TableText"/>
              <w:numPr>
                <w:ilvl w:val="0"/>
                <w:numId w:val="62"/>
              </w:numPr>
              <w:ind w:left="1440"/>
            </w:pPr>
            <w:r>
              <w:t>WHOLE BLOOD is not selectable</w:t>
            </w:r>
          </w:p>
          <w:p w14:paraId="514C2074" w14:textId="64645694" w:rsidR="00B41BC2" w:rsidRDefault="00B41BC2" w:rsidP="008D6E9E">
            <w:pPr>
              <w:pStyle w:val="TableText"/>
              <w:ind w:left="720"/>
            </w:pPr>
            <w:r>
              <w:t>For FFP order:</w:t>
            </w:r>
            <w:r w:rsidR="00BE1E4F">
              <w:t xml:space="preserve"> </w:t>
            </w:r>
            <w:r w:rsidR="00BE1E4F" w:rsidRPr="00BE1E4F">
              <w:rPr>
                <w:vanish/>
              </w:rPr>
              <w:t>Task 78435</w:t>
            </w:r>
          </w:p>
          <w:p w14:paraId="7085EBDD" w14:textId="77777777" w:rsidR="00B41BC2" w:rsidRDefault="00B41BC2" w:rsidP="00925CAD">
            <w:pPr>
              <w:pStyle w:val="TableText"/>
              <w:numPr>
                <w:ilvl w:val="0"/>
                <w:numId w:val="63"/>
              </w:numPr>
              <w:ind w:left="1440"/>
            </w:pPr>
            <w:r>
              <w:t>Group AB, Rh positive, Rh negative, or not specified</w:t>
            </w:r>
          </w:p>
          <w:p w14:paraId="5CB66270" w14:textId="77777777" w:rsidR="00B41BC2" w:rsidRPr="001A5BC5" w:rsidRDefault="00B41BC2" w:rsidP="008D6E9E">
            <w:pPr>
              <w:pStyle w:val="TableText"/>
              <w:tabs>
                <w:tab w:val="left" w:pos="2655"/>
              </w:tabs>
              <w:ind w:left="720"/>
            </w:pPr>
            <w:r>
              <w:t>F</w:t>
            </w:r>
            <w:r w:rsidRPr="001A5BC5">
              <w:t>or PLT order:</w:t>
            </w:r>
          </w:p>
          <w:p w14:paraId="5BEB44EB" w14:textId="77777777" w:rsidR="00B41BC2" w:rsidRPr="001A5BC5" w:rsidRDefault="00B41BC2" w:rsidP="00925CAD">
            <w:pPr>
              <w:pStyle w:val="TableText"/>
              <w:numPr>
                <w:ilvl w:val="0"/>
                <w:numId w:val="64"/>
              </w:numPr>
              <w:tabs>
                <w:tab w:val="left" w:pos="696"/>
              </w:tabs>
              <w:ind w:left="1416"/>
            </w:pPr>
            <w:r w:rsidRPr="001A5BC5">
              <w:t>All units with &lt; 2 mL RBC contamination are available</w:t>
            </w:r>
          </w:p>
          <w:p w14:paraId="6BBFCA3A" w14:textId="04E72199" w:rsidR="00B41BC2" w:rsidRPr="001A5BC5" w:rsidRDefault="00B41BC2" w:rsidP="00925CAD">
            <w:pPr>
              <w:pStyle w:val="TableText"/>
              <w:numPr>
                <w:ilvl w:val="0"/>
                <w:numId w:val="64"/>
              </w:numPr>
              <w:tabs>
                <w:tab w:val="left" w:pos="696"/>
              </w:tabs>
              <w:ind w:left="1416"/>
            </w:pPr>
            <w:r w:rsidRPr="001A5BC5">
              <w:t xml:space="preserve">Units with </w:t>
            </w:r>
            <w:r w:rsidR="00570C93">
              <w:t xml:space="preserve">(= &gt;) </w:t>
            </w:r>
            <w:r w:rsidRPr="001A5BC5">
              <w:t>2 mL RBC contamination are not available</w:t>
            </w:r>
          </w:p>
          <w:p w14:paraId="37BE11A0" w14:textId="77777777" w:rsidR="00B41BC2" w:rsidRPr="001A5BC5" w:rsidRDefault="00B41BC2" w:rsidP="008D6E9E">
            <w:pPr>
              <w:pStyle w:val="TableText"/>
              <w:tabs>
                <w:tab w:val="left" w:pos="2655"/>
              </w:tabs>
              <w:ind w:left="720"/>
            </w:pPr>
            <w:r w:rsidRPr="001A5BC5">
              <w:t>For CRYO order:</w:t>
            </w:r>
            <w:r w:rsidRPr="001A5BC5">
              <w:tab/>
            </w:r>
          </w:p>
          <w:p w14:paraId="11B6F906" w14:textId="77777777" w:rsidR="00B41BC2" w:rsidRPr="001A5BC5" w:rsidRDefault="00B41BC2" w:rsidP="00925CAD">
            <w:pPr>
              <w:pStyle w:val="TableText"/>
              <w:numPr>
                <w:ilvl w:val="0"/>
                <w:numId w:val="64"/>
              </w:numPr>
              <w:tabs>
                <w:tab w:val="left" w:pos="696"/>
              </w:tabs>
              <w:ind w:left="1416"/>
            </w:pPr>
            <w:r w:rsidRPr="001A5BC5">
              <w:t>All available units are selectable.</w:t>
            </w:r>
          </w:p>
          <w:p w14:paraId="337C231D" w14:textId="77777777" w:rsidR="00B41BC2" w:rsidRPr="001A5BC5" w:rsidRDefault="00B41BC2" w:rsidP="008D6E9E">
            <w:pPr>
              <w:pStyle w:val="TableText"/>
              <w:tabs>
                <w:tab w:val="left" w:pos="2655"/>
              </w:tabs>
              <w:ind w:left="720"/>
            </w:pPr>
            <w:r w:rsidRPr="001A5BC5">
              <w:t>For OTHER order:</w:t>
            </w:r>
            <w:r w:rsidRPr="001A5BC5">
              <w:tab/>
            </w:r>
          </w:p>
          <w:p w14:paraId="3C5BD166" w14:textId="77777777" w:rsidR="00B41BC2" w:rsidRPr="001A5BC5" w:rsidRDefault="00B41BC2" w:rsidP="00925CAD">
            <w:pPr>
              <w:pStyle w:val="TableText"/>
              <w:numPr>
                <w:ilvl w:val="0"/>
                <w:numId w:val="64"/>
              </w:numPr>
              <w:tabs>
                <w:tab w:val="left" w:pos="696"/>
              </w:tabs>
              <w:ind w:left="1416"/>
            </w:pPr>
            <w:r w:rsidRPr="001A5BC5">
              <w:t>All units with &lt; 2 mL RBC contamination are available</w:t>
            </w:r>
          </w:p>
          <w:p w14:paraId="297D02EF" w14:textId="77777777" w:rsidR="00B41BC2" w:rsidRPr="001A5BC5" w:rsidRDefault="00B41BC2" w:rsidP="00925CAD">
            <w:pPr>
              <w:pStyle w:val="TableText"/>
              <w:numPr>
                <w:ilvl w:val="0"/>
                <w:numId w:val="64"/>
              </w:numPr>
              <w:tabs>
                <w:tab w:val="left" w:pos="696"/>
              </w:tabs>
              <w:ind w:left="1416"/>
            </w:pPr>
            <w:r w:rsidRPr="001A5BC5">
              <w:t xml:space="preserve">Units with </w:t>
            </w:r>
            <w:r w:rsidRPr="001A5BC5">
              <w:rPr>
                <w:u w:val="single"/>
              </w:rPr>
              <w:t>&gt;</w:t>
            </w:r>
            <w:r w:rsidRPr="001A5BC5">
              <w:t xml:space="preserve"> 2 mL RBC contamination are not available</w:t>
            </w:r>
          </w:p>
          <w:p w14:paraId="3BE64C3D" w14:textId="77777777" w:rsidR="002A21AE" w:rsidRDefault="002A21AE" w:rsidP="00B41BC2">
            <w:pPr>
              <w:pStyle w:val="NotesTextBullet"/>
              <w:numPr>
                <w:ilvl w:val="0"/>
                <w:numId w:val="0"/>
              </w:numPr>
            </w:pPr>
          </w:p>
        </w:tc>
      </w:tr>
      <w:tr w:rsidR="002A21AE" w14:paraId="041DFC04" w14:textId="77777777">
        <w:tc>
          <w:tcPr>
            <w:tcW w:w="3240" w:type="dxa"/>
          </w:tcPr>
          <w:p w14:paraId="75363FFE" w14:textId="77777777" w:rsidR="00234D60" w:rsidRDefault="002A21AE" w:rsidP="00234D60">
            <w:pPr>
              <w:pStyle w:val="TableTextNumbers"/>
            </w:pPr>
            <w:r>
              <w:t>Scan</w:t>
            </w:r>
            <w:r w:rsidR="00B97587">
              <w:t xml:space="preserve">, </w:t>
            </w:r>
            <w:r w:rsidR="00234D60">
              <w:t>enter</w:t>
            </w:r>
            <w:r>
              <w:t xml:space="preserve"> or </w:t>
            </w:r>
            <w:r w:rsidR="00234D60">
              <w:t xml:space="preserve">select </w:t>
            </w:r>
            <w:r w:rsidR="00B97587" w:rsidRPr="00905C47">
              <w:rPr>
                <w:b/>
              </w:rPr>
              <w:t>*</w:t>
            </w:r>
            <w:r>
              <w:t>allogeneic units</w:t>
            </w:r>
            <w:r w:rsidR="00234D60">
              <w:t xml:space="preserve">. Units may be selected from the </w:t>
            </w:r>
            <w:r>
              <w:t xml:space="preserve">Order Group </w:t>
            </w:r>
            <w:r w:rsidR="0006424F">
              <w:t xml:space="preserve">tree view </w:t>
            </w:r>
            <w:r w:rsidR="00D509C6">
              <w:t xml:space="preserve">or </w:t>
            </w:r>
            <w:r w:rsidR="00234D60">
              <w:t>by clicking</w:t>
            </w:r>
            <w:r w:rsidR="00D509C6">
              <w:t xml:space="preserve"> the </w:t>
            </w:r>
            <w:r w:rsidR="00A6373D">
              <w:rPr>
                <w:b/>
              </w:rPr>
              <w:t>find</w:t>
            </w:r>
            <w:r w:rsidR="00D509C6" w:rsidRPr="00D509C6">
              <w:rPr>
                <w:b/>
              </w:rPr>
              <w:t xml:space="preserve"> </w:t>
            </w:r>
            <w:r w:rsidR="00D509C6" w:rsidRPr="00D1100E">
              <w:t>button</w:t>
            </w:r>
            <w:r w:rsidR="0006424F">
              <w:t xml:space="preserve"> for a list of compatible units</w:t>
            </w:r>
            <w:r>
              <w:t>.</w:t>
            </w:r>
          </w:p>
          <w:p w14:paraId="3D41E0D2" w14:textId="77777777" w:rsidR="00234D60" w:rsidRDefault="00234D60">
            <w:pPr>
              <w:pStyle w:val="TableTextNumbersContinued"/>
              <w:rPr>
                <w:b/>
              </w:rPr>
            </w:pPr>
          </w:p>
          <w:p w14:paraId="235AA159" w14:textId="77777777" w:rsidR="002A21AE" w:rsidRDefault="00234D60">
            <w:pPr>
              <w:pStyle w:val="TableTextNumbersContinued"/>
            </w:pPr>
            <w:r w:rsidRPr="00905C47">
              <w:rPr>
                <w:b/>
              </w:rPr>
              <w:t>*</w:t>
            </w:r>
            <w:r w:rsidR="003A514F">
              <w:t xml:space="preserve"> when typing in a</w:t>
            </w:r>
            <w:r>
              <w:t xml:space="preserve"> unit ID and Product Code, use the tab key or </w:t>
            </w:r>
            <w:r w:rsidR="0006424F">
              <w:t>mouse to leave the field.</w:t>
            </w:r>
          </w:p>
          <w:p w14:paraId="66EC8AA1" w14:textId="77777777" w:rsidR="0006424F" w:rsidRDefault="0006424F">
            <w:pPr>
              <w:pStyle w:val="TableTextNumbersContinued"/>
            </w:pPr>
          </w:p>
          <w:p w14:paraId="1B8F1E47" w14:textId="77777777" w:rsidR="002A21AE" w:rsidRDefault="002A21AE">
            <w:pPr>
              <w:pStyle w:val="TableTextNumbersContinued"/>
            </w:pPr>
            <w:r>
              <w:t>Enter or select a date in the Selection Date field.</w:t>
            </w:r>
            <w:r w:rsidR="00731BFF">
              <w:t xml:space="preserve"> </w:t>
            </w:r>
            <w:r>
              <w:t>Each unit may have its own selection date and time.</w:t>
            </w:r>
          </w:p>
          <w:p w14:paraId="5C8950D3" w14:textId="77777777" w:rsidR="002A21AE" w:rsidRDefault="002A21AE">
            <w:pPr>
              <w:pStyle w:val="TableTextNumbersContinued"/>
            </w:pPr>
          </w:p>
          <w:p w14:paraId="1AEE8FFD" w14:textId="77777777" w:rsidR="002A21AE" w:rsidRDefault="002A21AE">
            <w:pPr>
              <w:pStyle w:val="TableTextNumbersContinued"/>
            </w:pPr>
            <w:r>
              <w:t xml:space="preserve">Click </w:t>
            </w:r>
            <w:r>
              <w:rPr>
                <w:b/>
              </w:rPr>
              <w:t>Add Units</w:t>
            </w:r>
            <w:r>
              <w:t xml:space="preserve"> to display the unit selection form.</w:t>
            </w:r>
          </w:p>
          <w:p w14:paraId="4D168E83" w14:textId="77777777" w:rsidR="00B97587" w:rsidRDefault="00B97587">
            <w:pPr>
              <w:pStyle w:val="TableTextNumbersContinued"/>
            </w:pPr>
          </w:p>
          <w:p w14:paraId="75661ADE" w14:textId="77777777" w:rsidR="00B97587" w:rsidRDefault="00B97587">
            <w:pPr>
              <w:pStyle w:val="TableTextNumbersContinued"/>
            </w:pPr>
          </w:p>
          <w:p w14:paraId="6921AA56" w14:textId="77777777" w:rsidR="00B97587" w:rsidRDefault="00EB00A3">
            <w:pPr>
              <w:pStyle w:val="TableTextNumbersContinued"/>
            </w:pPr>
            <w:r w:rsidRPr="00EB00A3">
              <w:rPr>
                <w:vanish/>
              </w:rPr>
              <w:t>DR 4414</w:t>
            </w:r>
          </w:p>
        </w:tc>
        <w:tc>
          <w:tcPr>
            <w:tcW w:w="6120" w:type="dxa"/>
          </w:tcPr>
          <w:p w14:paraId="4B909077" w14:textId="77777777" w:rsidR="002A21AE" w:rsidRPr="00710E7E" w:rsidRDefault="002A21AE" w:rsidP="007C4707">
            <w:pPr>
              <w:pStyle w:val="TableTextBullet"/>
            </w:pPr>
            <w:r w:rsidRPr="00710E7E">
              <w:t>Maintains a list of selected units. The user may deselect selected units.</w:t>
            </w:r>
          </w:p>
          <w:p w14:paraId="0402FC4D" w14:textId="77777777" w:rsidR="002A21AE" w:rsidRPr="00710E7E" w:rsidRDefault="002A21AE" w:rsidP="007C4707">
            <w:pPr>
              <w:pStyle w:val="TableTextBullet"/>
            </w:pPr>
            <w:r w:rsidRPr="00710E7E">
              <w:t>Evaluates the selected unit:</w:t>
            </w:r>
          </w:p>
          <w:p w14:paraId="0195CC00" w14:textId="77777777" w:rsidR="002A21AE" w:rsidRPr="007C4707" w:rsidRDefault="002A21AE" w:rsidP="007C4707">
            <w:pPr>
              <w:pStyle w:val="TableTextBullet1"/>
            </w:pPr>
            <w:r w:rsidRPr="007C4707">
              <w:t>For the ABO/Rh compatibility of each unit and warns the user.</w:t>
            </w:r>
          </w:p>
          <w:p w14:paraId="6ABFCE0D" w14:textId="77777777" w:rsidR="002A21AE" w:rsidRPr="007C4707" w:rsidRDefault="002A21AE" w:rsidP="007C4707">
            <w:pPr>
              <w:pStyle w:val="TableTextBullet1"/>
            </w:pPr>
            <w:r w:rsidRPr="007C4707">
              <w:t>Against patient Transfusion Requirements (TRs) and warns the user.</w:t>
            </w:r>
          </w:p>
          <w:p w14:paraId="5B50AF73" w14:textId="77777777" w:rsidR="002A21AE" w:rsidRPr="00710E7E" w:rsidRDefault="002A21AE" w:rsidP="007C4707">
            <w:pPr>
              <w:pStyle w:val="TableTextBullet1"/>
            </w:pPr>
            <w:r w:rsidRPr="007C4707">
              <w:t>For uni</w:t>
            </w:r>
            <w:r w:rsidRPr="00710E7E">
              <w:t>t antigen negative compatibility and warns the user.</w:t>
            </w:r>
          </w:p>
          <w:p w14:paraId="4167B534" w14:textId="77777777" w:rsidR="002A21AE" w:rsidRPr="00710E7E" w:rsidRDefault="002A21AE" w:rsidP="007C4707">
            <w:pPr>
              <w:pStyle w:val="TableTextBullet"/>
            </w:pPr>
            <w:r w:rsidRPr="00710E7E">
              <w:t>Performs additional checks that include days remaining until the unit’s expiration date, the current status, assignments to other patients, quarantine and biohazard indicators, when applied, and associated special testing.</w:t>
            </w:r>
          </w:p>
          <w:p w14:paraId="429F7158" w14:textId="77777777" w:rsidR="002A21AE" w:rsidRPr="00710E7E" w:rsidRDefault="002A21AE">
            <w:pPr>
              <w:pStyle w:val="TableText"/>
              <w:rPr>
                <w:i/>
              </w:rPr>
            </w:pPr>
          </w:p>
          <w:p w14:paraId="79CC148F" w14:textId="2BCDC6B5" w:rsidR="002A21AE" w:rsidRPr="00710E7E" w:rsidRDefault="002A21AE">
            <w:pPr>
              <w:pStyle w:val="TableText"/>
              <w:rPr>
                <w:b/>
                <w:bCs/>
                <w:i/>
                <w:szCs w:val="18"/>
              </w:rPr>
            </w:pPr>
            <w:r w:rsidRPr="00710E7E">
              <w:rPr>
                <w:b/>
                <w:bCs/>
                <w:i/>
                <w:szCs w:val="18"/>
              </w:rPr>
              <w:t>NOTES</w:t>
            </w:r>
          </w:p>
          <w:p w14:paraId="253D98C1" w14:textId="77777777" w:rsidR="002A21AE" w:rsidRPr="00710E7E" w:rsidRDefault="002A21AE">
            <w:pPr>
              <w:pStyle w:val="NotesText"/>
              <w:rPr>
                <w:i/>
              </w:rPr>
            </w:pPr>
          </w:p>
          <w:p w14:paraId="4719DFAE" w14:textId="5B2268AC" w:rsidR="002A21AE" w:rsidRPr="00710E7E" w:rsidRDefault="00896F17">
            <w:pPr>
              <w:pStyle w:val="NotesText"/>
              <w:rPr>
                <w:i/>
              </w:rPr>
            </w:pPr>
            <w:r w:rsidRPr="00D612C6">
              <w:rPr>
                <w:rStyle w:val="BullhornChar"/>
              </w:rPr>
              <w:t></w:t>
            </w:r>
            <w:r w:rsidRPr="00710E7E">
              <w:rPr>
                <w:rFonts w:ascii="Webdings" w:hAnsi="Webdings"/>
                <w:i/>
                <w:szCs w:val="22"/>
              </w:rPr>
              <w:t></w:t>
            </w:r>
            <w:r w:rsidRPr="007C4707">
              <w:t>See</w:t>
            </w:r>
            <w:r w:rsidR="002A21AE" w:rsidRPr="007C4707">
              <w:t xml:space="preserve"> </w:t>
            </w:r>
            <w:r w:rsidR="00EE455E">
              <w:t>Table 6</w:t>
            </w:r>
            <w:r w:rsidR="002A21AE" w:rsidRPr="007C4707">
              <w:t xml:space="preserve"> for alerts that may occur during this option.</w:t>
            </w:r>
          </w:p>
          <w:p w14:paraId="46A6FF8F" w14:textId="77777777" w:rsidR="002A21AE" w:rsidRPr="00710E7E" w:rsidRDefault="002A21AE">
            <w:pPr>
              <w:pStyle w:val="NotesText"/>
              <w:rPr>
                <w:i/>
              </w:rPr>
            </w:pPr>
          </w:p>
          <w:p w14:paraId="0FA6F9A1" w14:textId="77777777" w:rsidR="002A21AE" w:rsidRPr="00710E7E" w:rsidRDefault="00AC6F94">
            <w:pPr>
              <w:pStyle w:val="NotesText"/>
              <w:rPr>
                <w:i/>
              </w:rPr>
            </w:pPr>
            <w:r w:rsidRPr="00710E7E">
              <w:rPr>
                <w:i/>
              </w:rPr>
              <w:t>When the user selects a unit in the tree view, he</w:t>
            </w:r>
            <w:r w:rsidR="002A21AE" w:rsidRPr="00710E7E">
              <w:rPr>
                <w:i/>
              </w:rPr>
              <w:t xml:space="preserve"> may accept or edit the current date and time displayed; the date and time must be in the past. </w:t>
            </w:r>
          </w:p>
          <w:p w14:paraId="13C33F73" w14:textId="77777777" w:rsidR="002A21AE" w:rsidRPr="00710E7E" w:rsidRDefault="002A21AE">
            <w:pPr>
              <w:pStyle w:val="NotesText"/>
              <w:rPr>
                <w:i/>
              </w:rPr>
            </w:pPr>
          </w:p>
          <w:p w14:paraId="4465EDD4" w14:textId="77777777" w:rsidR="002A21AE" w:rsidRPr="007C4707" w:rsidRDefault="002A21AE">
            <w:pPr>
              <w:pStyle w:val="NotesText"/>
            </w:pPr>
            <w:r w:rsidRPr="007C4707">
              <w:rPr>
                <w:rFonts w:cs="Arial"/>
                <w:vanish/>
                <w:szCs w:val="18"/>
              </w:rPr>
              <w:t>BR_3.25</w:t>
            </w:r>
            <w:r w:rsidR="00CE3961" w:rsidRPr="007C4707">
              <w:rPr>
                <w:rFonts w:cs="Arial"/>
                <w:vanish/>
                <w:szCs w:val="18"/>
              </w:rPr>
              <w:t>,</w:t>
            </w:r>
            <w:r w:rsidRPr="007C4707">
              <w:rPr>
                <w:rFonts w:cs="Arial"/>
                <w:vanish/>
                <w:szCs w:val="18"/>
              </w:rPr>
              <w:t xml:space="preserve"> </w:t>
            </w:r>
            <w:r w:rsidRPr="007C4707">
              <w:rPr>
                <w:vanish/>
                <w:szCs w:val="18"/>
              </w:rPr>
              <w:t xml:space="preserve">BR_16.13 </w:t>
            </w:r>
            <w:r w:rsidRPr="007C4707">
              <w:t>Restricted (autologous or directed) unit selection eligibility criteria:</w:t>
            </w:r>
          </w:p>
          <w:p w14:paraId="1561A9B2" w14:textId="77777777" w:rsidR="002A21AE" w:rsidRPr="007C4707" w:rsidRDefault="002A21AE">
            <w:pPr>
              <w:pStyle w:val="NotesTextBullet"/>
            </w:pPr>
            <w:r w:rsidRPr="007C4707">
              <w:t>Restricted For Patient ID: must match</w:t>
            </w:r>
          </w:p>
          <w:p w14:paraId="5EB7D6AC" w14:textId="77777777" w:rsidR="002A21AE" w:rsidRPr="007C4707" w:rsidRDefault="002A21AE">
            <w:pPr>
              <w:pStyle w:val="NotesTextBullet"/>
            </w:pPr>
            <w:r w:rsidRPr="007C4707">
              <w:t>Restricted For Patient Name: must match</w:t>
            </w:r>
          </w:p>
          <w:p w14:paraId="4DB3697D" w14:textId="77777777" w:rsidR="002A21AE" w:rsidRPr="007C4707" w:rsidRDefault="002A21AE">
            <w:pPr>
              <w:pStyle w:val="NotesTextBullet"/>
            </w:pPr>
            <w:r w:rsidRPr="007C4707">
              <w:t xml:space="preserve">Unit expiration date must be in the future. </w:t>
            </w:r>
          </w:p>
          <w:p w14:paraId="76E2B48D" w14:textId="77777777" w:rsidR="002A21AE" w:rsidRPr="007C4707" w:rsidRDefault="002A21AE">
            <w:pPr>
              <w:pStyle w:val="NotesTextBullet"/>
            </w:pPr>
            <w:r w:rsidRPr="007C4707">
              <w:t>Component class (transfusion only requires restriction of all units)</w:t>
            </w:r>
          </w:p>
          <w:p w14:paraId="723584BF" w14:textId="77777777" w:rsidR="002A21AE" w:rsidRPr="007C4707" w:rsidRDefault="002A21AE">
            <w:pPr>
              <w:pStyle w:val="NotesTextBullet"/>
              <w:numPr>
                <w:ilvl w:val="0"/>
                <w:numId w:val="0"/>
              </w:numPr>
              <w:ind w:left="720"/>
            </w:pPr>
          </w:p>
          <w:p w14:paraId="0A329996" w14:textId="77777777" w:rsidR="002A21AE" w:rsidRPr="007C4707" w:rsidRDefault="002A21AE">
            <w:pPr>
              <w:pStyle w:val="NotesText"/>
            </w:pPr>
            <w:r w:rsidRPr="007C4707">
              <w:rPr>
                <w:rFonts w:cs="Arial"/>
                <w:vanish/>
              </w:rPr>
              <w:t xml:space="preserve">BR_3.19 </w:t>
            </w:r>
            <w:r w:rsidRPr="007C4707">
              <w:t>The criteria for selecting or including an individual unit in a pick list include evaluating a unit for:</w:t>
            </w:r>
          </w:p>
          <w:p w14:paraId="523ACF41" w14:textId="77777777" w:rsidR="002A21AE" w:rsidRPr="007C4707" w:rsidRDefault="002A21AE">
            <w:pPr>
              <w:pStyle w:val="NotesTextBullet"/>
            </w:pPr>
            <w:r w:rsidRPr="007C4707">
              <w:t>Considered substitutable for the order</w:t>
            </w:r>
          </w:p>
          <w:p w14:paraId="352DE08F" w14:textId="77777777" w:rsidR="002A21AE" w:rsidRPr="007C4707" w:rsidRDefault="002A21AE">
            <w:pPr>
              <w:pStyle w:val="NotesTextBullet"/>
            </w:pPr>
            <w:r w:rsidRPr="007C4707">
              <w:t>Same division as the user</w:t>
            </w:r>
          </w:p>
          <w:p w14:paraId="3C0C8FA9" w14:textId="77777777" w:rsidR="002A21AE" w:rsidRPr="007C4707" w:rsidRDefault="002A21AE">
            <w:pPr>
              <w:pStyle w:val="NotesTextBullet"/>
            </w:pPr>
            <w:r w:rsidRPr="007C4707">
              <w:t xml:space="preserve">Current location is in the blood bank </w:t>
            </w:r>
          </w:p>
          <w:p w14:paraId="40C93BAF" w14:textId="77777777" w:rsidR="002A21AE" w:rsidRPr="007C4707" w:rsidRDefault="002A21AE">
            <w:pPr>
              <w:pStyle w:val="NotesTextBullet"/>
            </w:pPr>
            <w:r w:rsidRPr="007C4707">
              <w:t>Is not already assigned or crossmatched to the patient</w:t>
            </w:r>
          </w:p>
          <w:p w14:paraId="03037142" w14:textId="77777777" w:rsidR="002A21AE" w:rsidRPr="007C4707" w:rsidRDefault="002A21AE">
            <w:pPr>
              <w:pStyle w:val="NotesTextBullet"/>
            </w:pPr>
            <w:r w:rsidRPr="007C4707">
              <w:t>Is not “restricted” for a different patient</w:t>
            </w:r>
          </w:p>
          <w:p w14:paraId="361CABCC" w14:textId="77777777" w:rsidR="002A21AE" w:rsidRPr="007C4707" w:rsidRDefault="002A21AE">
            <w:pPr>
              <w:pStyle w:val="NotesTextBullet"/>
            </w:pPr>
            <w:r w:rsidRPr="007C4707">
              <w:t xml:space="preserve">Meets ABO/Rh compatibility requirements specific to the component class </w:t>
            </w:r>
          </w:p>
          <w:p w14:paraId="04F77B25" w14:textId="77777777" w:rsidR="002A21AE" w:rsidRPr="007C4707" w:rsidRDefault="002A21AE">
            <w:pPr>
              <w:pStyle w:val="NotesTextBullet"/>
            </w:pPr>
            <w:r w:rsidRPr="007C4707">
              <w:t>Future expiration date</w:t>
            </w:r>
          </w:p>
          <w:p w14:paraId="253BF03E" w14:textId="77777777" w:rsidR="002A21AE" w:rsidRPr="007C4707" w:rsidRDefault="002A21AE">
            <w:pPr>
              <w:pStyle w:val="NotesText"/>
            </w:pPr>
          </w:p>
          <w:p w14:paraId="077C3E0A" w14:textId="77777777" w:rsidR="002A21AE" w:rsidRDefault="002A21AE">
            <w:pPr>
              <w:pStyle w:val="NotesText"/>
              <w:rPr>
                <w:vanish/>
              </w:rPr>
            </w:pPr>
            <w:r w:rsidRPr="007C4707">
              <w:rPr>
                <w:rFonts w:cs="Arial"/>
                <w:vanish/>
              </w:rPr>
              <w:t xml:space="preserve">BR_3.04 </w:t>
            </w:r>
            <w:r w:rsidR="00332E10">
              <w:t xml:space="preserve">VBECS lists only ABO and </w:t>
            </w:r>
            <w:r w:rsidRPr="007C4707">
              <w:t>Rh compatible units for selection.</w:t>
            </w:r>
            <w:r w:rsidR="00EB00A3">
              <w:t xml:space="preserve"> </w:t>
            </w:r>
            <w:r w:rsidR="00973AD0">
              <w:t xml:space="preserve">The “select units” utility creates a system-generated pick list that is sorted and displayed using the following criteria: first, ABO/Rh identical, then expiration date (oldest units first); then, ABO/Rh compatible. </w:t>
            </w:r>
            <w:r w:rsidR="00EB00A3" w:rsidRPr="00EB00A3">
              <w:rPr>
                <w:vanish/>
              </w:rPr>
              <w:t>DR 4414</w:t>
            </w:r>
          </w:p>
          <w:p w14:paraId="4464ABFF" w14:textId="77777777" w:rsidR="0068309D" w:rsidRDefault="0068309D">
            <w:pPr>
              <w:pStyle w:val="NotesText"/>
              <w:rPr>
                <w:i/>
              </w:rPr>
            </w:pPr>
          </w:p>
          <w:p w14:paraId="65272F79" w14:textId="77777777" w:rsidR="0068309D" w:rsidRDefault="0068309D">
            <w:pPr>
              <w:pStyle w:val="NotesText"/>
              <w:rPr>
                <w:i/>
              </w:rPr>
            </w:pPr>
          </w:p>
          <w:p w14:paraId="2B552CFE" w14:textId="77777777" w:rsidR="0068309D" w:rsidRDefault="000150E9">
            <w:pPr>
              <w:pStyle w:val="NotesText"/>
            </w:pPr>
            <w:r w:rsidRPr="000150E9">
              <w:rPr>
                <w:vanish/>
              </w:rPr>
              <w:t xml:space="preserve">BR_3.04 </w:t>
            </w:r>
            <w:r w:rsidR="0068309D" w:rsidRPr="0068309D">
              <w:t>Th</w:t>
            </w:r>
            <w:r w:rsidR="005246E0">
              <w:t>e p</w:t>
            </w:r>
            <w:r w:rsidR="0068309D" w:rsidRPr="0068309D">
              <w:t xml:space="preserve">ick list </w:t>
            </w:r>
            <w:r>
              <w:t>or individually selected unit field display includes:</w:t>
            </w:r>
          </w:p>
          <w:p w14:paraId="7DABE5A9" w14:textId="77777777" w:rsidR="0068309D" w:rsidRDefault="000A70BE" w:rsidP="0068309D">
            <w:pPr>
              <w:pStyle w:val="NotesTextBullet"/>
            </w:pPr>
            <w:r>
              <w:t>Unit ID</w:t>
            </w:r>
          </w:p>
          <w:p w14:paraId="469678FC" w14:textId="77777777" w:rsidR="000A70BE" w:rsidRDefault="000A70BE" w:rsidP="0068309D">
            <w:pPr>
              <w:pStyle w:val="NotesTextBullet"/>
            </w:pPr>
            <w:r>
              <w:t>Product Short Name</w:t>
            </w:r>
          </w:p>
          <w:p w14:paraId="15AC274D" w14:textId="77777777" w:rsidR="000A70BE" w:rsidRDefault="000A70BE" w:rsidP="0068309D">
            <w:pPr>
              <w:pStyle w:val="NotesTextBullet"/>
            </w:pPr>
            <w:r>
              <w:t>ABO/Rh</w:t>
            </w:r>
          </w:p>
          <w:p w14:paraId="086C80F4" w14:textId="77777777" w:rsidR="000A70BE" w:rsidRDefault="000A70BE" w:rsidP="0068309D">
            <w:pPr>
              <w:pStyle w:val="NotesTextBullet"/>
            </w:pPr>
            <w:r>
              <w:t>Expiration Date</w:t>
            </w:r>
          </w:p>
          <w:p w14:paraId="459BCB29" w14:textId="77777777" w:rsidR="000A70BE" w:rsidRDefault="000A70BE" w:rsidP="0068309D">
            <w:pPr>
              <w:pStyle w:val="NotesTextBullet"/>
            </w:pPr>
            <w:r>
              <w:t>Unit Status</w:t>
            </w:r>
          </w:p>
          <w:p w14:paraId="04CDB86B" w14:textId="77777777" w:rsidR="000A70BE" w:rsidRDefault="000A70BE" w:rsidP="0068309D">
            <w:pPr>
              <w:pStyle w:val="NotesTextBullet"/>
            </w:pPr>
            <w:r>
              <w:t>Donation Type</w:t>
            </w:r>
          </w:p>
          <w:p w14:paraId="63289026" w14:textId="77777777" w:rsidR="0068309D" w:rsidRDefault="0064284B" w:rsidP="0064284B">
            <w:pPr>
              <w:pStyle w:val="NotesTextBullet"/>
            </w:pPr>
            <w:r>
              <w:t>Restricted for Patient Name and ID</w:t>
            </w:r>
          </w:p>
          <w:p w14:paraId="262EF33F" w14:textId="77777777" w:rsidR="0064284B" w:rsidRDefault="0064284B" w:rsidP="0064284B">
            <w:pPr>
              <w:pStyle w:val="NotesTextBullet"/>
            </w:pPr>
            <w:r>
              <w:t>Patient Assigned (if unit assigned to other patient but with location of blood bank)</w:t>
            </w:r>
          </w:p>
          <w:p w14:paraId="723691DF" w14:textId="77777777" w:rsidR="0064284B" w:rsidRDefault="0064284B" w:rsidP="0064284B">
            <w:pPr>
              <w:pStyle w:val="NotesTextBullet"/>
            </w:pPr>
            <w:r>
              <w:t>Antigen Type Results (if available)</w:t>
            </w:r>
          </w:p>
          <w:p w14:paraId="32871DFC" w14:textId="77777777" w:rsidR="002A21AE" w:rsidRPr="00710E7E" w:rsidRDefault="002A21AE">
            <w:pPr>
              <w:pStyle w:val="NotesText"/>
              <w:rPr>
                <w:i/>
              </w:rPr>
            </w:pPr>
          </w:p>
          <w:p w14:paraId="04961DB3" w14:textId="77777777" w:rsidR="002A21AE" w:rsidRPr="007C4707" w:rsidRDefault="002A21AE">
            <w:pPr>
              <w:pStyle w:val="NotesText"/>
            </w:pPr>
            <w:r w:rsidRPr="00166C27">
              <w:rPr>
                <w:rFonts w:cs="Arial"/>
                <w:vanish/>
              </w:rPr>
              <w:t xml:space="preserve">BR_3.11 </w:t>
            </w:r>
            <w:r w:rsidRPr="00166C27">
              <w:t>When ABO/Rh results were not created for the specimen associated with the component order and the order is not designated</w:t>
            </w:r>
            <w:r w:rsidRPr="007C4707">
              <w:t xml:space="preserve"> “emergency issue,” VBECS allows the user to select units using historic records, and notifies the user that ABO/Rh testing must be performed at this division on this patient before any selected units can be issued.</w:t>
            </w:r>
          </w:p>
          <w:p w14:paraId="0DFE04A4" w14:textId="77777777" w:rsidR="002A21AE" w:rsidRPr="007C4707" w:rsidRDefault="002A21AE">
            <w:pPr>
              <w:pStyle w:val="NotesText"/>
            </w:pPr>
          </w:p>
          <w:p w14:paraId="6504CC49" w14:textId="77777777" w:rsidR="002A21AE" w:rsidRPr="00710E7E" w:rsidRDefault="002A21AE">
            <w:pPr>
              <w:pStyle w:val="NotesText"/>
              <w:rPr>
                <w:i/>
              </w:rPr>
            </w:pPr>
            <w:r w:rsidRPr="007C4707">
              <w:rPr>
                <w:rFonts w:cs="Arial"/>
                <w:vanish/>
              </w:rPr>
              <w:t xml:space="preserve">BR_3.55 </w:t>
            </w:r>
            <w:r w:rsidRPr="007C4707">
              <w:t>VBECS displays and allows the user to complete a pending XM associated with a patient order without a final unit status.</w:t>
            </w:r>
          </w:p>
        </w:tc>
      </w:tr>
      <w:tr w:rsidR="002A21AE" w14:paraId="112CADBC" w14:textId="77777777">
        <w:tc>
          <w:tcPr>
            <w:tcW w:w="3240" w:type="dxa"/>
          </w:tcPr>
          <w:p w14:paraId="0D59E3B9" w14:textId="77777777" w:rsidR="002A21AE" w:rsidRDefault="002A21AE" w:rsidP="001F6038">
            <w:pPr>
              <w:pStyle w:val="TableTextNumbers"/>
            </w:pPr>
            <w:r>
              <w:t xml:space="preserve">Repeat Step </w:t>
            </w:r>
            <w:r w:rsidR="001F6038">
              <w:t>10</w:t>
            </w:r>
            <w:r>
              <w:t xml:space="preserve"> until all units are selected.</w:t>
            </w:r>
            <w:r w:rsidR="00EB00A3">
              <w:t xml:space="preserve"> </w:t>
            </w:r>
            <w:r w:rsidR="00EB00A3" w:rsidRPr="00EB00A3">
              <w:rPr>
                <w:vanish/>
              </w:rPr>
              <w:t>DR 4414</w:t>
            </w:r>
          </w:p>
        </w:tc>
        <w:tc>
          <w:tcPr>
            <w:tcW w:w="6120" w:type="dxa"/>
          </w:tcPr>
          <w:p w14:paraId="4C81E182" w14:textId="77777777" w:rsidR="002A21AE" w:rsidRDefault="002A21AE">
            <w:pPr>
              <w:pStyle w:val="TableTextBullet"/>
            </w:pPr>
            <w:r>
              <w:t>Requests the user to confirm the list of selected blood units.</w:t>
            </w:r>
          </w:p>
          <w:p w14:paraId="2DB525FF" w14:textId="77777777" w:rsidR="002A21AE" w:rsidRDefault="002A21AE">
            <w:pPr>
              <w:pStyle w:val="TableText"/>
            </w:pPr>
          </w:p>
          <w:p w14:paraId="197F8573" w14:textId="104CE56C" w:rsidR="002A21AE" w:rsidRDefault="002A21AE">
            <w:pPr>
              <w:pStyle w:val="TableText"/>
              <w:rPr>
                <w:b/>
                <w:bCs/>
                <w:szCs w:val="18"/>
              </w:rPr>
            </w:pPr>
            <w:r>
              <w:rPr>
                <w:b/>
                <w:bCs/>
                <w:szCs w:val="18"/>
              </w:rPr>
              <w:t>NOTES</w:t>
            </w:r>
          </w:p>
          <w:p w14:paraId="4C2F5023" w14:textId="77777777" w:rsidR="002A21AE" w:rsidRDefault="002A21AE">
            <w:pPr>
              <w:pStyle w:val="NotesText"/>
            </w:pPr>
          </w:p>
          <w:p w14:paraId="4E2233DE" w14:textId="77777777" w:rsidR="002A21AE" w:rsidRDefault="002A21AE">
            <w:pPr>
              <w:pStyle w:val="NotesText"/>
            </w:pPr>
            <w:r>
              <w:t>The user may select or deselect additional units.</w:t>
            </w:r>
          </w:p>
        </w:tc>
      </w:tr>
      <w:tr w:rsidR="002A21AE" w14:paraId="5F5A8C1D" w14:textId="77777777" w:rsidTr="001A459B">
        <w:trPr>
          <w:cantSplit/>
        </w:trPr>
        <w:tc>
          <w:tcPr>
            <w:tcW w:w="3240" w:type="dxa"/>
          </w:tcPr>
          <w:p w14:paraId="7A11AFDA" w14:textId="77777777" w:rsidR="002A21AE" w:rsidRDefault="002A21AE">
            <w:pPr>
              <w:pStyle w:val="TableTextNumbers"/>
            </w:pPr>
            <w:r>
              <w:t xml:space="preserve">Click </w:t>
            </w:r>
            <w:r>
              <w:rPr>
                <w:b/>
              </w:rPr>
              <w:t>OK</w:t>
            </w:r>
            <w:r>
              <w:t xml:space="preserve"> to confirm the selection of units.</w:t>
            </w:r>
          </w:p>
        </w:tc>
        <w:tc>
          <w:tcPr>
            <w:tcW w:w="6120" w:type="dxa"/>
          </w:tcPr>
          <w:p w14:paraId="139444FF" w14:textId="77777777" w:rsidR="002A21AE" w:rsidRDefault="002A21AE">
            <w:pPr>
              <w:pStyle w:val="TableTextBullet"/>
            </w:pPr>
            <w:r>
              <w:t xml:space="preserve">Determines whether the units are available for issue or whether they require additional modification and/or testing based on the component class. </w:t>
            </w:r>
          </w:p>
          <w:p w14:paraId="3A27956C" w14:textId="77777777" w:rsidR="002A21AE" w:rsidRDefault="002A21AE">
            <w:pPr>
              <w:pStyle w:val="TableTextBullet"/>
            </w:pPr>
            <w:r>
              <w:t>Updates the database, as appropriate.</w:t>
            </w:r>
          </w:p>
          <w:p w14:paraId="1B9C1F36" w14:textId="77777777" w:rsidR="001A3140" w:rsidRDefault="001A3140" w:rsidP="001A3140">
            <w:pPr>
              <w:pStyle w:val="TableTextBullet"/>
            </w:pPr>
            <w:r>
              <w:rPr>
                <w:rFonts w:cs="Arial"/>
                <w:szCs w:val="18"/>
              </w:rPr>
              <w:t>S</w:t>
            </w:r>
            <w:r w:rsidRPr="00CA212C">
              <w:rPr>
                <w:rFonts w:cs="Arial"/>
                <w:szCs w:val="18"/>
              </w:rPr>
              <w:t>ends</w:t>
            </w:r>
            <w:r>
              <w:rPr>
                <w:rFonts w:cs="Arial"/>
                <w:szCs w:val="18"/>
              </w:rPr>
              <w:t xml:space="preserve"> </w:t>
            </w:r>
            <w:r w:rsidRPr="00CA212C">
              <w:rPr>
                <w:rFonts w:cs="Arial"/>
                <w:szCs w:val="18"/>
              </w:rPr>
              <w:t>selected blood unit</w:t>
            </w:r>
            <w:r>
              <w:rPr>
                <w:rFonts w:cs="Arial"/>
                <w:szCs w:val="18"/>
              </w:rPr>
              <w:t>s</w:t>
            </w:r>
            <w:r w:rsidRPr="00CA212C">
              <w:rPr>
                <w:rFonts w:cs="Arial"/>
                <w:szCs w:val="18"/>
              </w:rPr>
              <w:t xml:space="preserve"> with patient details to the BCE COTS system via an HL7 message</w:t>
            </w:r>
            <w:r w:rsidR="005246E0">
              <w:rPr>
                <w:rFonts w:cs="Arial"/>
                <w:szCs w:val="18"/>
              </w:rPr>
              <w:t xml:space="preserve"> when that BCE COTS is available</w:t>
            </w:r>
            <w:r>
              <w:rPr>
                <w:rFonts w:cs="Arial"/>
                <w:szCs w:val="18"/>
              </w:rPr>
              <w:t>.</w:t>
            </w:r>
          </w:p>
          <w:p w14:paraId="4F661F53" w14:textId="77777777" w:rsidR="002A21AE" w:rsidRDefault="002A21AE">
            <w:pPr>
              <w:pStyle w:val="TableText"/>
            </w:pPr>
          </w:p>
          <w:p w14:paraId="1BCCA2A6" w14:textId="710A27A3" w:rsidR="002A21AE" w:rsidRDefault="002A21AE">
            <w:pPr>
              <w:pStyle w:val="TableText"/>
              <w:rPr>
                <w:b/>
                <w:bCs/>
                <w:szCs w:val="18"/>
              </w:rPr>
            </w:pPr>
            <w:r>
              <w:rPr>
                <w:b/>
                <w:bCs/>
                <w:szCs w:val="18"/>
              </w:rPr>
              <w:t>NOTES</w:t>
            </w:r>
          </w:p>
          <w:p w14:paraId="14887893" w14:textId="5E2CA1C1" w:rsidR="002A21AE" w:rsidRPr="00F83540" w:rsidRDefault="00F83540" w:rsidP="00026F72">
            <w:pPr>
              <w:pStyle w:val="NotesText"/>
            </w:pPr>
            <w:r w:rsidRPr="00F83540">
              <w:rPr>
                <w:vanish/>
              </w:rPr>
              <w:t xml:space="preserve">BR_56.31 </w:t>
            </w:r>
            <w:r w:rsidRPr="00F83540">
              <w:t xml:space="preserve">When the </w:t>
            </w:r>
            <w:r>
              <w:t xml:space="preserve">total </w:t>
            </w:r>
            <w:r w:rsidRPr="00F83540">
              <w:t>number of blood units eligible for issue, issued</w:t>
            </w:r>
            <w:r>
              <w:t xml:space="preserve">, </w:t>
            </w:r>
            <w:r w:rsidRPr="00F83540">
              <w:t xml:space="preserve">or transfused </w:t>
            </w:r>
            <w:r>
              <w:t xml:space="preserve">is </w:t>
            </w:r>
            <w:r w:rsidRPr="00F83540">
              <w:t>greater or equal</w:t>
            </w:r>
            <w:r>
              <w:t xml:space="preserve"> to the number of ordered units, VBECS sends an order</w:t>
            </w:r>
            <w:r w:rsidRPr="00F83540">
              <w:t xml:space="preserve"> completion message to CPRS.</w:t>
            </w:r>
          </w:p>
          <w:p w14:paraId="528650B4" w14:textId="77777777" w:rsidR="00F83540" w:rsidRDefault="00F83540">
            <w:pPr>
              <w:pStyle w:val="NotesText"/>
            </w:pPr>
          </w:p>
          <w:p w14:paraId="05D2F72A" w14:textId="3C6BA7B2" w:rsidR="002A21AE" w:rsidRDefault="00896F17">
            <w:pPr>
              <w:pStyle w:val="NotesText"/>
              <w:rPr>
                <w:rFonts w:cs="Arial"/>
                <w:szCs w:val="22"/>
              </w:rPr>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EE455E">
              <w:t xml:space="preserve">Table </w:t>
            </w:r>
            <w:r w:rsidR="00EE455E">
              <w:rPr>
                <w:noProof/>
              </w:rPr>
              <w:t>6</w:t>
            </w:r>
            <w:r w:rsidR="002A21AE">
              <w:rPr>
                <w:rFonts w:cs="Arial"/>
                <w:szCs w:val="22"/>
              </w:rPr>
              <w:t xml:space="preserve"> for alerts that may occur during this option.</w:t>
            </w:r>
          </w:p>
          <w:p w14:paraId="0960BDB5" w14:textId="77777777" w:rsidR="002A21AE" w:rsidRDefault="002A21AE" w:rsidP="001F303C">
            <w:pPr>
              <w:pStyle w:val="NotesText"/>
              <w:ind w:left="0"/>
            </w:pPr>
          </w:p>
        </w:tc>
      </w:tr>
      <w:tr w:rsidR="002A21AE" w14:paraId="47D32BBD" w14:textId="77777777">
        <w:tc>
          <w:tcPr>
            <w:tcW w:w="3240" w:type="dxa"/>
          </w:tcPr>
          <w:p w14:paraId="2FBE19B1" w14:textId="77777777" w:rsidR="002A21AE" w:rsidRDefault="002A21AE">
            <w:pPr>
              <w:pStyle w:val="TableTextNumbers"/>
            </w:pPr>
            <w:r>
              <w:t xml:space="preserve">Select another component order to continue selecting units,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AEC5705" w14:textId="77777777" w:rsidR="002A21AE" w:rsidRDefault="002A21AE">
            <w:pPr>
              <w:pStyle w:val="TableTextBullet"/>
            </w:pPr>
            <w:r>
              <w:t>Displays orders for the next patient.</w:t>
            </w:r>
          </w:p>
        </w:tc>
      </w:tr>
    </w:tbl>
    <w:p w14:paraId="0B41D219" w14:textId="1A2F8196" w:rsidR="004728E4" w:rsidRDefault="004728E4" w:rsidP="004728E4">
      <w:pPr>
        <w:pStyle w:val="Caption"/>
      </w:pPr>
      <w:bookmarkStart w:id="351" w:name="_Ref126724671"/>
      <w:bookmarkStart w:id="352" w:name="_Ref12672145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69</w:t>
      </w:r>
      <w:r w:rsidR="004E20BD">
        <w:rPr>
          <w:noProof/>
        </w:rPr>
        <w:fldChar w:fldCharType="end"/>
      </w:r>
      <w:bookmarkEnd w:id="351"/>
      <w:r>
        <w:t>: Pending Task List Component Orders</w:t>
      </w:r>
      <w:bookmarkEnd w:id="352"/>
    </w:p>
    <w:p w14:paraId="7725B3CA" w14:textId="77777777" w:rsidR="00120C4C" w:rsidRPr="00120C4C" w:rsidRDefault="00057948" w:rsidP="00120C4C">
      <w:pPr>
        <w:pStyle w:val="BodyText"/>
      </w:pPr>
      <w:r>
        <w:rPr>
          <w:noProof/>
        </w:rPr>
        <w:drawing>
          <wp:inline distT="0" distB="0" distL="0" distR="0" wp14:anchorId="0AD58B36" wp14:editId="3855C09C">
            <wp:extent cx="5939155" cy="2503170"/>
            <wp:effectExtent l="0" t="0" r="4445" b="0"/>
            <wp:docPr id="186" name="Picture 186" descr="Example of Pending Task List Component Order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Example of Pending Task List Component Orders screen capture"/>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39155" cy="2503170"/>
                    </a:xfrm>
                    <a:prstGeom prst="rect">
                      <a:avLst/>
                    </a:prstGeom>
                    <a:noFill/>
                    <a:ln>
                      <a:noFill/>
                    </a:ln>
                  </pic:spPr>
                </pic:pic>
              </a:graphicData>
            </a:graphic>
          </wp:inline>
        </w:drawing>
      </w:r>
    </w:p>
    <w:p w14:paraId="7C6F3AC0" w14:textId="6854C10A" w:rsidR="008C6185" w:rsidRDefault="008C6185" w:rsidP="008C6185">
      <w:pPr>
        <w:pStyle w:val="Caption"/>
      </w:pPr>
      <w:bookmarkStart w:id="353" w:name="_Ref126724700"/>
      <w:bookmarkStart w:id="354" w:name="_Ref12672158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70</w:t>
      </w:r>
      <w:r w:rsidR="004E20BD">
        <w:rPr>
          <w:noProof/>
        </w:rPr>
        <w:fldChar w:fldCharType="end"/>
      </w:r>
      <w:bookmarkEnd w:id="353"/>
      <w:r>
        <w:t>: Select Units for a Patient</w:t>
      </w:r>
      <w:bookmarkEnd w:id="354"/>
    </w:p>
    <w:p w14:paraId="522DC705" w14:textId="565AD226" w:rsidR="008C6185" w:rsidRDefault="00570C93" w:rsidP="00DE69E1">
      <w:pPr>
        <w:pStyle w:val="BodyText"/>
      </w:pPr>
      <w:r>
        <w:rPr>
          <w:noProof/>
        </w:rPr>
        <w:drawing>
          <wp:inline distT="0" distB="0" distL="0" distR="0" wp14:anchorId="102FDE83" wp14:editId="7A7F7783">
            <wp:extent cx="5937250" cy="3479800"/>
            <wp:effectExtent l="0" t="0" r="6350" b="6350"/>
            <wp:docPr id="57" name="Picture 57" descr="Example of Select Units for a Patien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Example of Select Units for a Patient screen capture"/>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37250" cy="3479800"/>
                    </a:xfrm>
                    <a:prstGeom prst="rect">
                      <a:avLst/>
                    </a:prstGeom>
                    <a:noFill/>
                    <a:ln>
                      <a:noFill/>
                    </a:ln>
                  </pic:spPr>
                </pic:pic>
              </a:graphicData>
            </a:graphic>
          </wp:inline>
        </w:drawing>
      </w:r>
    </w:p>
    <w:p w14:paraId="4138DA9E" w14:textId="25233E37" w:rsidR="009F0D10" w:rsidRDefault="009F0D10" w:rsidP="009F0D10">
      <w:pPr>
        <w:pStyle w:val="Caption"/>
      </w:pPr>
      <w:bookmarkStart w:id="355" w:name="_Ref1695151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71</w:t>
      </w:r>
      <w:r w:rsidR="004E20BD">
        <w:rPr>
          <w:noProof/>
        </w:rPr>
        <w:fldChar w:fldCharType="end"/>
      </w:r>
      <w:bookmarkEnd w:id="355"/>
      <w:r>
        <w:t xml:space="preserve">: </w:t>
      </w:r>
      <w:r w:rsidR="00EE1017">
        <w:t>Associate a Specimen with an Emergency-Issued Unit</w:t>
      </w:r>
    </w:p>
    <w:p w14:paraId="3D27A409" w14:textId="1B1DCC6C" w:rsidR="00F3761C" w:rsidRPr="008C6185" w:rsidRDefault="00570C93" w:rsidP="00DE69E1">
      <w:pPr>
        <w:pStyle w:val="BodyText"/>
      </w:pPr>
      <w:r>
        <w:rPr>
          <w:noProof/>
        </w:rPr>
        <w:drawing>
          <wp:inline distT="0" distB="0" distL="0" distR="0" wp14:anchorId="09928942" wp14:editId="4EB264A8">
            <wp:extent cx="5943600" cy="3526790"/>
            <wp:effectExtent l="0" t="0" r="0" b="0"/>
            <wp:docPr id="228" name="Picture 228" descr="Example of Associate a Specimen with an Emergency-Issued Uni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Example of Associate a Specimen with an Emergency-Issued Unit screen captur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3526790"/>
                    </a:xfrm>
                    <a:prstGeom prst="rect">
                      <a:avLst/>
                    </a:prstGeom>
                    <a:noFill/>
                    <a:ln>
                      <a:noFill/>
                    </a:ln>
                  </pic:spPr>
                </pic:pic>
              </a:graphicData>
            </a:graphic>
          </wp:inline>
        </w:drawing>
      </w:r>
    </w:p>
    <w:p w14:paraId="34CCAF6F" w14:textId="77777777" w:rsidR="002A21AE" w:rsidRDefault="00263B24">
      <w:pPr>
        <w:pStyle w:val="Heading4"/>
      </w:pPr>
      <w:r w:rsidRPr="00896F17">
        <w:rPr>
          <w:rStyle w:val="BullhornChar"/>
        </w:rPr>
        <w:t></w:t>
      </w:r>
      <w:r>
        <w:rPr>
          <w:rFonts w:ascii="Webdings" w:hAnsi="Webdings"/>
        </w:rPr>
        <w:t></w:t>
      </w:r>
      <w:r w:rsidR="002A21AE">
        <w:t>Alerts</w:t>
      </w:r>
    </w:p>
    <w:p w14:paraId="2B72F7B6" w14:textId="7A75301C" w:rsidR="002A21AE" w:rsidRDefault="002A21AE">
      <w:pPr>
        <w:pStyle w:val="Caption"/>
      </w:pPr>
      <w:bookmarkStart w:id="356" w:name="_Ref126486057"/>
      <w:bookmarkStart w:id="357" w:name="_Toc97523618"/>
      <w:bookmarkStart w:id="358" w:name="_Toc9752758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6</w:t>
      </w:r>
      <w:r w:rsidR="004E20BD">
        <w:rPr>
          <w:noProof/>
        </w:rPr>
        <w:fldChar w:fldCharType="end"/>
      </w:r>
      <w:bookmarkEnd w:id="356"/>
      <w:r>
        <w:t>: Alerts That May Occur in Select Units</w:t>
      </w:r>
      <w:bookmarkEnd w:id="357"/>
      <w:bookmarkEnd w:id="358"/>
      <w:r>
        <w:fldChar w:fldCharType="begin"/>
      </w:r>
      <w:r>
        <w:instrText xml:space="preserve"> XE </w:instrText>
      </w:r>
      <w:r w:rsidR="00FA7E65">
        <w:instrText>“</w:instrText>
      </w:r>
      <w:r>
        <w:instrText>Tables:Alerts That May Occur in Select Units</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rsidRPr="000921F1" w14:paraId="029547F5" w14:textId="77777777">
        <w:trPr>
          <w:tblHeader/>
        </w:trPr>
        <w:tc>
          <w:tcPr>
            <w:tcW w:w="780" w:type="dxa"/>
            <w:shd w:val="clear" w:color="auto" w:fill="B3B3B3"/>
          </w:tcPr>
          <w:p w14:paraId="7495D868" w14:textId="77777777" w:rsidR="002A21AE" w:rsidRPr="000921F1" w:rsidRDefault="002A21AE">
            <w:pPr>
              <w:pStyle w:val="TableText"/>
              <w:rPr>
                <w:b/>
              </w:rPr>
            </w:pPr>
            <w:r w:rsidRPr="000921F1">
              <w:rPr>
                <w:b/>
              </w:rPr>
              <w:t>Step</w:t>
            </w:r>
          </w:p>
        </w:tc>
        <w:tc>
          <w:tcPr>
            <w:tcW w:w="8580" w:type="dxa"/>
            <w:shd w:val="clear" w:color="auto" w:fill="B3B3B3"/>
          </w:tcPr>
          <w:p w14:paraId="339BFF13" w14:textId="77777777" w:rsidR="002A21AE" w:rsidRPr="000921F1" w:rsidRDefault="002A21AE">
            <w:pPr>
              <w:pStyle w:val="TableText"/>
              <w:rPr>
                <w:b/>
              </w:rPr>
            </w:pPr>
            <w:r w:rsidRPr="000921F1">
              <w:rPr>
                <w:b/>
              </w:rPr>
              <w:t>Alerts</w:t>
            </w:r>
          </w:p>
        </w:tc>
      </w:tr>
      <w:tr w:rsidR="002A21AE" w:rsidRPr="000921F1" w14:paraId="42D4CA01" w14:textId="77777777">
        <w:tc>
          <w:tcPr>
            <w:tcW w:w="780" w:type="dxa"/>
          </w:tcPr>
          <w:p w14:paraId="33F6437E" w14:textId="77777777" w:rsidR="002A21AE" w:rsidRPr="000921F1" w:rsidRDefault="002A21AE">
            <w:pPr>
              <w:pStyle w:val="TableText"/>
            </w:pPr>
            <w:r w:rsidRPr="000921F1">
              <w:t>2</w:t>
            </w:r>
          </w:p>
        </w:tc>
        <w:tc>
          <w:tcPr>
            <w:tcW w:w="8580" w:type="dxa"/>
          </w:tcPr>
          <w:p w14:paraId="0988092D" w14:textId="77777777" w:rsidR="002A21AE" w:rsidRPr="000921F1" w:rsidRDefault="002A21AE">
            <w:pPr>
              <w:pStyle w:val="TableText"/>
            </w:pPr>
            <w:r w:rsidRPr="000921F1">
              <w:rPr>
                <w:rFonts w:cs="Arial"/>
                <w:vanish/>
              </w:rPr>
              <w:t xml:space="preserve">BR_16.01 </w:t>
            </w:r>
            <w:r w:rsidRPr="000921F1">
              <w:t xml:space="preserve">VBECS displays </w:t>
            </w:r>
            <w:r w:rsidR="00057948">
              <w:rPr>
                <w:noProof/>
              </w:rPr>
              <w:drawing>
                <wp:inline distT="0" distB="0" distL="0" distR="0" wp14:anchorId="60260406" wp14:editId="3FD261C5">
                  <wp:extent cx="156845" cy="156845"/>
                  <wp:effectExtent l="0" t="0" r="0" b="0"/>
                  <wp:docPr id="189" name="Picture 189"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0921F1">
              <w:t xml:space="preserve"> and emits an audible alert when there are Special Instructions (SIs) or TRs for the patient.</w:t>
            </w:r>
          </w:p>
        </w:tc>
      </w:tr>
      <w:tr w:rsidR="002A21AE" w:rsidRPr="000921F1" w14:paraId="3362D9B5" w14:textId="77777777">
        <w:tc>
          <w:tcPr>
            <w:tcW w:w="780" w:type="dxa"/>
          </w:tcPr>
          <w:p w14:paraId="78566D37" w14:textId="77777777" w:rsidR="002A21AE" w:rsidRPr="000921F1" w:rsidRDefault="002A21AE">
            <w:pPr>
              <w:pStyle w:val="TableText"/>
            </w:pPr>
            <w:r w:rsidRPr="000921F1">
              <w:t>2</w:t>
            </w:r>
          </w:p>
        </w:tc>
        <w:tc>
          <w:tcPr>
            <w:tcW w:w="8580" w:type="dxa"/>
          </w:tcPr>
          <w:p w14:paraId="26A8C38E" w14:textId="77777777" w:rsidR="002A21AE" w:rsidRPr="000921F1" w:rsidRDefault="002A21AE">
            <w:pPr>
              <w:pStyle w:val="TableText"/>
            </w:pPr>
            <w:r w:rsidRPr="000921F1">
              <w:rPr>
                <w:rFonts w:cs="Arial"/>
                <w:vanish/>
              </w:rPr>
              <w:t xml:space="preserve">BR_3.18 </w:t>
            </w:r>
            <w:r w:rsidRPr="000921F1">
              <w:t xml:space="preserve">When the user selects blood units that require XM, and eXM is enabled at the division but the current patient is not eligible for eXMs, VBECS displays a warning that includes the reason for the ineligibility. Selected units must have serologic XM performed. The user may not print the Caution Tag or the BTRF. VBECS does not change the unit status to “crossmatched” until the user enters a valid serologic XM result in Patient Testing: Record a Crossmatch. </w:t>
            </w:r>
          </w:p>
        </w:tc>
      </w:tr>
      <w:tr w:rsidR="00831141" w:rsidRPr="000921F1" w14:paraId="3ECFCAAC" w14:textId="77777777">
        <w:tc>
          <w:tcPr>
            <w:tcW w:w="780" w:type="dxa"/>
          </w:tcPr>
          <w:p w14:paraId="7246B44A" w14:textId="77777777" w:rsidR="00831141" w:rsidRPr="000921F1" w:rsidRDefault="00831141">
            <w:pPr>
              <w:pStyle w:val="TableText"/>
            </w:pPr>
            <w:r w:rsidRPr="000921F1">
              <w:t>2</w:t>
            </w:r>
          </w:p>
        </w:tc>
        <w:tc>
          <w:tcPr>
            <w:tcW w:w="8580" w:type="dxa"/>
          </w:tcPr>
          <w:p w14:paraId="1D7F7C49" w14:textId="77777777" w:rsidR="00831141" w:rsidRPr="000921F1" w:rsidRDefault="00831141">
            <w:pPr>
              <w:pStyle w:val="TableText"/>
              <w:rPr>
                <w:rFonts w:cs="Arial"/>
                <w:vanish/>
              </w:rPr>
            </w:pPr>
            <w:r w:rsidRPr="000921F1">
              <w:rPr>
                <w:vanish/>
                <w:szCs w:val="18"/>
              </w:rPr>
              <w:t>BR_3.57</w:t>
            </w:r>
            <w:r w:rsidRPr="000921F1">
              <w:t xml:space="preserve"> When the user clicked the Emergency Order check box during specimen acceptance and selects blood units requiring crossmatch, VBECS does not allow the user to perform an electronic or serologic crossmatch.</w:t>
            </w:r>
          </w:p>
        </w:tc>
      </w:tr>
      <w:tr w:rsidR="002A21AE" w:rsidRPr="000921F1" w14:paraId="6B076BC3" w14:textId="77777777">
        <w:tc>
          <w:tcPr>
            <w:tcW w:w="780" w:type="dxa"/>
          </w:tcPr>
          <w:p w14:paraId="449EED45" w14:textId="77777777" w:rsidR="002A21AE" w:rsidRPr="000921F1" w:rsidRDefault="0024117A">
            <w:pPr>
              <w:pStyle w:val="TableText"/>
            </w:pPr>
            <w:r>
              <w:t>9</w:t>
            </w:r>
          </w:p>
        </w:tc>
        <w:tc>
          <w:tcPr>
            <w:tcW w:w="8580" w:type="dxa"/>
          </w:tcPr>
          <w:p w14:paraId="2001402B" w14:textId="77777777" w:rsidR="002A21AE" w:rsidRPr="000921F1" w:rsidRDefault="002A21AE">
            <w:pPr>
              <w:pStyle w:val="TableText"/>
            </w:pPr>
            <w:r w:rsidRPr="000921F1">
              <w:rPr>
                <w:rFonts w:cs="Arial"/>
                <w:vanish/>
              </w:rPr>
              <w:t xml:space="preserve">BR_3.01 </w:t>
            </w:r>
            <w:r w:rsidRPr="000921F1">
              <w:t>When a current specimen is required for the selected component class based on Component Classes and one does not exist for the patient, the user may not select ABO type-specific blood products. VBECS notifies the user that he is selecting units using the emergency issue compatibility rules.</w:t>
            </w:r>
          </w:p>
        </w:tc>
      </w:tr>
      <w:tr w:rsidR="002A21AE" w:rsidRPr="000921F1" w14:paraId="59737F01" w14:textId="77777777">
        <w:tc>
          <w:tcPr>
            <w:tcW w:w="780" w:type="dxa"/>
          </w:tcPr>
          <w:p w14:paraId="16BE163F" w14:textId="77777777" w:rsidR="002A21AE" w:rsidRPr="000921F1" w:rsidRDefault="0024117A">
            <w:pPr>
              <w:pStyle w:val="TableText"/>
            </w:pPr>
            <w:r>
              <w:t>9</w:t>
            </w:r>
          </w:p>
        </w:tc>
        <w:tc>
          <w:tcPr>
            <w:tcW w:w="8580" w:type="dxa"/>
          </w:tcPr>
          <w:p w14:paraId="156832D9" w14:textId="77777777" w:rsidR="002A21AE" w:rsidRPr="000921F1" w:rsidRDefault="002A21AE">
            <w:pPr>
              <w:pStyle w:val="TableText"/>
            </w:pPr>
            <w:r w:rsidRPr="000921F1">
              <w:rPr>
                <w:rFonts w:cs="Arial"/>
                <w:vanish/>
              </w:rPr>
              <w:t xml:space="preserve">BR_3.24 </w:t>
            </w:r>
            <w:r w:rsidRPr="000921F1">
              <w:t>When the patient record is marked as having a previous ABO/Rh discrepancy that was justified, a current specimen is required. The user must select units based on the current specimen ABO/Rh. When the current specimen ABO/Rh was not performed, VBECS warns that the patient had a previous ABO/Rh discrepancy and instructs the user to perform ABO/Rh on the current specimen to continue using normal rules and policies or follow emergency issue rules and policies.</w:t>
            </w:r>
          </w:p>
        </w:tc>
      </w:tr>
      <w:tr w:rsidR="002A21AE" w:rsidRPr="000921F1" w14:paraId="6484DCCD" w14:textId="77777777" w:rsidTr="006C058D">
        <w:trPr>
          <w:cantSplit/>
        </w:trPr>
        <w:tc>
          <w:tcPr>
            <w:tcW w:w="780" w:type="dxa"/>
          </w:tcPr>
          <w:p w14:paraId="3EDC30D7" w14:textId="77777777" w:rsidR="002A21AE" w:rsidRPr="000921F1" w:rsidRDefault="0024117A">
            <w:pPr>
              <w:pStyle w:val="TableText"/>
            </w:pPr>
            <w:r>
              <w:t>9</w:t>
            </w:r>
          </w:p>
        </w:tc>
        <w:tc>
          <w:tcPr>
            <w:tcW w:w="8580" w:type="dxa"/>
          </w:tcPr>
          <w:p w14:paraId="204A7C07" w14:textId="77777777" w:rsidR="002A21AE" w:rsidRPr="000921F1" w:rsidRDefault="002A21AE">
            <w:pPr>
              <w:pStyle w:val="TableText"/>
            </w:pPr>
            <w:r w:rsidRPr="000921F1">
              <w:rPr>
                <w:rFonts w:cs="Arial"/>
                <w:vanish/>
              </w:rPr>
              <w:t xml:space="preserve">BR_3.30 </w:t>
            </w:r>
            <w:r w:rsidRPr="000921F1">
              <w:t xml:space="preserve">When there is a current specimen and ABO/Rh testing was performed, VBECS compares the ABO/Rh of the current specimen to the historical ABO/Rh. When there is a discrepancy, the ABO type is inconclusive, and there is no previous justification for the discrepancy on the patient record, VBECS notifies the user that the ABO/Rh on the current specimen does not agree with the historical ABO/Rh and instructs the user to resolve the discrepancy to continue using normal rules and policies, and recommends that the user release previously selected units or follow emergency issue rules and </w:t>
            </w:r>
            <w:r w:rsidR="00F347B1" w:rsidRPr="000921F1">
              <w:t xml:space="preserve">local </w:t>
            </w:r>
            <w:r w:rsidRPr="000921F1">
              <w:t>policies.</w:t>
            </w:r>
          </w:p>
        </w:tc>
      </w:tr>
      <w:tr w:rsidR="002A21AE" w:rsidRPr="000921F1" w14:paraId="530E4D1E" w14:textId="77777777">
        <w:tc>
          <w:tcPr>
            <w:tcW w:w="780" w:type="dxa"/>
          </w:tcPr>
          <w:p w14:paraId="58179085" w14:textId="77777777" w:rsidR="002A21AE" w:rsidRPr="000921F1" w:rsidRDefault="0024117A">
            <w:pPr>
              <w:pStyle w:val="TableText"/>
            </w:pPr>
            <w:r>
              <w:t>9</w:t>
            </w:r>
          </w:p>
        </w:tc>
        <w:tc>
          <w:tcPr>
            <w:tcW w:w="8580" w:type="dxa"/>
          </w:tcPr>
          <w:p w14:paraId="1B101550" w14:textId="77777777" w:rsidR="002A21AE" w:rsidRPr="000921F1" w:rsidRDefault="002A21AE" w:rsidP="00CE12EA">
            <w:pPr>
              <w:pStyle w:val="TableText"/>
            </w:pPr>
            <w:r w:rsidRPr="000921F1">
              <w:rPr>
                <w:rFonts w:cs="Arial"/>
                <w:vanish/>
              </w:rPr>
              <w:t xml:space="preserve">BR_3.40 </w:t>
            </w:r>
            <w:r w:rsidRPr="000921F1">
              <w:t>When a repeat ABO/Rh is performed on the patient specimen and the interpretation does not match the original ABO/Rh interpretation</w:t>
            </w:r>
            <w:r w:rsidR="00CE12EA">
              <w:t>.</w:t>
            </w:r>
            <w:r w:rsidRPr="000921F1">
              <w:t xml:space="preserve"> </w:t>
            </w:r>
          </w:p>
        </w:tc>
      </w:tr>
      <w:tr w:rsidR="00E316CA" w:rsidRPr="000921F1" w14:paraId="0F502756" w14:textId="77777777">
        <w:tc>
          <w:tcPr>
            <w:tcW w:w="780" w:type="dxa"/>
          </w:tcPr>
          <w:p w14:paraId="66B1546F" w14:textId="77777777" w:rsidR="00E316CA" w:rsidRPr="000921F1" w:rsidRDefault="0024117A">
            <w:pPr>
              <w:pStyle w:val="TableText"/>
            </w:pPr>
            <w:r>
              <w:t>9</w:t>
            </w:r>
          </w:p>
        </w:tc>
        <w:tc>
          <w:tcPr>
            <w:tcW w:w="8580" w:type="dxa"/>
          </w:tcPr>
          <w:p w14:paraId="3C010CAD" w14:textId="77777777" w:rsidR="00E316CA" w:rsidRPr="000921F1" w:rsidRDefault="00E316CA">
            <w:pPr>
              <w:pStyle w:val="TableText"/>
              <w:rPr>
                <w:rFonts w:cs="Arial"/>
                <w:vanish/>
              </w:rPr>
            </w:pPr>
            <w:r w:rsidRPr="000921F1">
              <w:rPr>
                <w:vanish/>
                <w:szCs w:val="18"/>
              </w:rPr>
              <w:t>BR_3.10</w:t>
            </w:r>
            <w:r w:rsidRPr="000921F1">
              <w:t xml:space="preserve"> When a user selects a blood unit that is evaluated as ABO incompatible (based on comparison of the patient's current ABO/Rh entered by the user with the ABO/Rh on record), VBECS emits an audible alert and warns the user that the unit is not ABO compatible for this patient and that the user may not select the unit. There is no override; VBECS clears the screen and allows the user to select another unit.</w:t>
            </w:r>
          </w:p>
        </w:tc>
      </w:tr>
      <w:tr w:rsidR="00657663" w:rsidRPr="000921F1" w14:paraId="6162D59C" w14:textId="77777777">
        <w:tc>
          <w:tcPr>
            <w:tcW w:w="780" w:type="dxa"/>
          </w:tcPr>
          <w:p w14:paraId="1101C398" w14:textId="77777777" w:rsidR="00657663" w:rsidRDefault="00657663">
            <w:pPr>
              <w:pStyle w:val="TableText"/>
            </w:pPr>
            <w:r>
              <w:t>9</w:t>
            </w:r>
          </w:p>
        </w:tc>
        <w:tc>
          <w:tcPr>
            <w:tcW w:w="8580" w:type="dxa"/>
          </w:tcPr>
          <w:p w14:paraId="0BB95E49" w14:textId="77777777" w:rsidR="00657663" w:rsidRPr="000921F1" w:rsidRDefault="00657663" w:rsidP="00657663">
            <w:pPr>
              <w:pStyle w:val="TableText"/>
              <w:rPr>
                <w:vanish/>
                <w:szCs w:val="18"/>
              </w:rPr>
            </w:pPr>
            <w:r w:rsidRPr="00657663">
              <w:rPr>
                <w:vanish/>
                <w:szCs w:val="18"/>
              </w:rPr>
              <w:t xml:space="preserve">BR_3.12 </w:t>
            </w:r>
            <w:r>
              <w:rPr>
                <w:szCs w:val="18"/>
              </w:rPr>
              <w:t>When a blood compone</w:t>
            </w:r>
            <w:r w:rsidR="00931B15">
              <w:rPr>
                <w:szCs w:val="18"/>
              </w:rPr>
              <w:t>nt belongs to a Product Type and is indicated as “</w:t>
            </w:r>
            <w:r>
              <w:rPr>
                <w:szCs w:val="18"/>
              </w:rPr>
              <w:t>Frozen” and is selected for a patient, VBECS emits an audible alert and displays a warning message: “Selected blood unit must be thawed and may require additional processing prior to issue”. There is no user response required and the blood unit is not eligible for issue. The status of the units is updated to “assigned” to the indicated patient.</w:t>
            </w:r>
          </w:p>
        </w:tc>
      </w:tr>
      <w:tr w:rsidR="002A21AE" w:rsidRPr="000921F1" w14:paraId="5B4BF502" w14:textId="77777777">
        <w:tc>
          <w:tcPr>
            <w:tcW w:w="780" w:type="dxa"/>
          </w:tcPr>
          <w:p w14:paraId="27A99944" w14:textId="77777777" w:rsidR="002A21AE" w:rsidRPr="000921F1" w:rsidRDefault="0024117A">
            <w:pPr>
              <w:pStyle w:val="TableText"/>
            </w:pPr>
            <w:r>
              <w:t>10</w:t>
            </w:r>
          </w:p>
        </w:tc>
        <w:tc>
          <w:tcPr>
            <w:tcW w:w="8580" w:type="dxa"/>
          </w:tcPr>
          <w:p w14:paraId="30698625" w14:textId="77777777" w:rsidR="002A21AE" w:rsidRPr="000921F1" w:rsidRDefault="002A21AE">
            <w:pPr>
              <w:pStyle w:val="TableText"/>
            </w:pPr>
            <w:r w:rsidRPr="000921F1">
              <w:rPr>
                <w:rFonts w:cs="Arial"/>
                <w:vanish/>
              </w:rPr>
              <w:t xml:space="preserve">BR_3.34 </w:t>
            </w:r>
            <w:r w:rsidRPr="000921F1">
              <w:t>The user may override the selection of restricted units. VBECS warns that more restricted units were not selected for the patient and asks whether the user wishes to continue. The override requires a comment and captures details for inclusion in an Exception Report (exception type: less restrictive unit issued).</w:t>
            </w:r>
          </w:p>
        </w:tc>
      </w:tr>
      <w:tr w:rsidR="002A21AE" w:rsidRPr="000921F1" w14:paraId="1C5E2368" w14:textId="77777777">
        <w:tc>
          <w:tcPr>
            <w:tcW w:w="780" w:type="dxa"/>
          </w:tcPr>
          <w:p w14:paraId="0C033714" w14:textId="77777777" w:rsidR="002A21AE" w:rsidRPr="000921F1" w:rsidRDefault="0024117A">
            <w:pPr>
              <w:pStyle w:val="TableText"/>
            </w:pPr>
            <w:r>
              <w:t>10</w:t>
            </w:r>
          </w:p>
        </w:tc>
        <w:tc>
          <w:tcPr>
            <w:tcW w:w="8580" w:type="dxa"/>
          </w:tcPr>
          <w:p w14:paraId="7264BC93" w14:textId="77777777" w:rsidR="002A21AE" w:rsidRDefault="002A21AE">
            <w:pPr>
              <w:pStyle w:val="TableText"/>
            </w:pPr>
            <w:r w:rsidRPr="000921F1">
              <w:rPr>
                <w:rFonts w:cs="Arial"/>
                <w:vanish/>
              </w:rPr>
              <w:t xml:space="preserve">BR_3.52 </w:t>
            </w:r>
            <w:r w:rsidRPr="000921F1">
              <w:t>VBECS warns the use</w:t>
            </w:r>
            <w:r w:rsidR="004E0FCD">
              <w:t xml:space="preserve">r when he selects </w:t>
            </w:r>
            <w:proofErr w:type="gramStart"/>
            <w:r w:rsidR="004E0FCD">
              <w:t>type-specific</w:t>
            </w:r>
            <w:proofErr w:type="gramEnd"/>
            <w:r w:rsidR="004E0FCD">
              <w:t xml:space="preserve"> FFP/PLASMA</w:t>
            </w:r>
            <w:r w:rsidR="00EA44F9" w:rsidRPr="000921F1">
              <w:t xml:space="preserve"> products</w:t>
            </w:r>
            <w:r w:rsidRPr="000921F1">
              <w:t xml:space="preserve"> that do not require a specimen, according to the division configuration of component classes, for a patient with a history of justified ABO/Rh change.</w:t>
            </w:r>
          </w:p>
          <w:p w14:paraId="1DA34A17" w14:textId="67C81BF4" w:rsidR="00657663" w:rsidRPr="000921F1" w:rsidRDefault="00CA65FE">
            <w:pPr>
              <w:pStyle w:val="TableText"/>
            </w:pPr>
            <w:r>
              <w:t>Note: VBECS does not enforce type-specific compatibility rules for produ</w:t>
            </w:r>
            <w:r w:rsidR="004E0FCD">
              <w:t>ct types in the CRYOPRECIPITATE</w:t>
            </w:r>
            <w:r w:rsidR="004E5EEE">
              <w:t xml:space="preserve"> </w:t>
            </w:r>
            <w:r>
              <w:t xml:space="preserve">and PLATELETS </w:t>
            </w:r>
            <w:r w:rsidR="004E0FCD">
              <w:t>[</w:t>
            </w:r>
            <w:r>
              <w:t>with less than (&lt;) 2 mL of RBC contamination</w:t>
            </w:r>
            <w:r w:rsidR="004E0FCD">
              <w:t>]</w:t>
            </w:r>
            <w:r>
              <w:t xml:space="preserve"> component classes.</w:t>
            </w:r>
          </w:p>
        </w:tc>
      </w:tr>
      <w:tr w:rsidR="002A21AE" w:rsidRPr="000921F1" w14:paraId="08641562" w14:textId="77777777">
        <w:tc>
          <w:tcPr>
            <w:tcW w:w="780" w:type="dxa"/>
          </w:tcPr>
          <w:p w14:paraId="62811875" w14:textId="77777777" w:rsidR="002A21AE" w:rsidRPr="000921F1" w:rsidRDefault="0024117A">
            <w:pPr>
              <w:pStyle w:val="TableText"/>
            </w:pPr>
            <w:r>
              <w:t>10</w:t>
            </w:r>
          </w:p>
        </w:tc>
        <w:tc>
          <w:tcPr>
            <w:tcW w:w="8580" w:type="dxa"/>
          </w:tcPr>
          <w:p w14:paraId="0D942BE1" w14:textId="77777777" w:rsidR="002A21AE" w:rsidRPr="000921F1" w:rsidRDefault="002A21AE">
            <w:pPr>
              <w:pStyle w:val="TableText"/>
            </w:pPr>
            <w:r w:rsidRPr="000921F1">
              <w:rPr>
                <w:rFonts w:cs="Arial"/>
                <w:vanish/>
              </w:rPr>
              <w:t xml:space="preserve">BR_3.49 </w:t>
            </w:r>
            <w:r w:rsidRPr="000921F1">
              <w:t>Once a valid XM interpretation is verified and the unit is compatible, VBECS does not allow a user to select that unit (ID and product code) for the same specimen. The user may select the unit for a XM with the same patient</w:t>
            </w:r>
            <w:r w:rsidR="00FA7E65" w:rsidRPr="000921F1">
              <w:t>’</w:t>
            </w:r>
            <w:r w:rsidRPr="000921F1">
              <w:t>s new specimen</w:t>
            </w:r>
            <w:r w:rsidR="00290EF8" w:rsidRPr="000921F1">
              <w:t xml:space="preserve"> after the unit is released from the current assignment</w:t>
            </w:r>
            <w:r w:rsidRPr="000921F1">
              <w:t>. VBECS warns that the unit has a valid current XM with this patient. The user clears the warning and may continue or enter a new unit number for selection.</w:t>
            </w:r>
          </w:p>
        </w:tc>
      </w:tr>
      <w:tr w:rsidR="002A21AE" w:rsidRPr="000921F1" w14:paraId="28D33748" w14:textId="77777777">
        <w:tc>
          <w:tcPr>
            <w:tcW w:w="780" w:type="dxa"/>
          </w:tcPr>
          <w:p w14:paraId="0294FE63" w14:textId="77777777" w:rsidR="002A21AE" w:rsidRPr="000921F1" w:rsidRDefault="0024117A">
            <w:pPr>
              <w:pStyle w:val="TableText"/>
            </w:pPr>
            <w:r>
              <w:t>10</w:t>
            </w:r>
          </w:p>
        </w:tc>
        <w:tc>
          <w:tcPr>
            <w:tcW w:w="8580" w:type="dxa"/>
          </w:tcPr>
          <w:p w14:paraId="28EFCEC5" w14:textId="77777777" w:rsidR="002A21AE" w:rsidRPr="000921F1" w:rsidRDefault="002A21AE">
            <w:pPr>
              <w:pStyle w:val="TableText"/>
            </w:pPr>
            <w:r w:rsidRPr="000921F1">
              <w:rPr>
                <w:rFonts w:cs="Arial"/>
                <w:vanish/>
              </w:rPr>
              <w:t xml:space="preserve">BR_3.28 </w:t>
            </w:r>
            <w:r w:rsidRPr="000921F1">
              <w:t>When a selected unit is currently assigned to another patient, VBECS warns the user and asks whether the user wishes to continue to select for this patient.</w:t>
            </w:r>
          </w:p>
          <w:p w14:paraId="12DC14E4" w14:textId="77777777" w:rsidR="002A21AE" w:rsidRPr="000921F1" w:rsidRDefault="002A21AE">
            <w:pPr>
              <w:pStyle w:val="TableText"/>
            </w:pPr>
          </w:p>
          <w:p w14:paraId="201A3796" w14:textId="77777777" w:rsidR="002A21AE" w:rsidRPr="000921F1" w:rsidRDefault="002A21AE">
            <w:pPr>
              <w:pStyle w:val="TableText"/>
            </w:pPr>
            <w:r w:rsidRPr="000921F1">
              <w:rPr>
                <w:b/>
                <w:bCs/>
              </w:rPr>
              <w:t>Yes</w:t>
            </w:r>
            <w:r w:rsidRPr="000921F1">
              <w:t xml:space="preserve"> allows the user to continue. </w:t>
            </w:r>
            <w:r w:rsidRPr="000921F1">
              <w:rPr>
                <w:b/>
                <w:bCs/>
              </w:rPr>
              <w:t>No</w:t>
            </w:r>
            <w:r w:rsidRPr="000921F1">
              <w:t xml:space="preserve"> clears the screen and allows the user to select a new unit.</w:t>
            </w:r>
          </w:p>
        </w:tc>
      </w:tr>
      <w:tr w:rsidR="002A21AE" w:rsidRPr="000921F1" w14:paraId="032BD029" w14:textId="77777777">
        <w:tc>
          <w:tcPr>
            <w:tcW w:w="780" w:type="dxa"/>
          </w:tcPr>
          <w:p w14:paraId="49FC8B10" w14:textId="77777777" w:rsidR="002A21AE" w:rsidRPr="000921F1" w:rsidRDefault="0024117A">
            <w:pPr>
              <w:pStyle w:val="TableText"/>
            </w:pPr>
            <w:r>
              <w:t>10</w:t>
            </w:r>
          </w:p>
        </w:tc>
        <w:tc>
          <w:tcPr>
            <w:tcW w:w="8580" w:type="dxa"/>
          </w:tcPr>
          <w:p w14:paraId="786FD0B5" w14:textId="77777777" w:rsidR="002A21AE" w:rsidRPr="000921F1" w:rsidRDefault="002A21AE">
            <w:pPr>
              <w:pStyle w:val="TableText"/>
            </w:pPr>
            <w:r w:rsidRPr="000921F1">
              <w:rPr>
                <w:rFonts w:cs="Arial"/>
                <w:vanish/>
              </w:rPr>
              <w:t xml:space="preserve">BR_3.19 </w:t>
            </w:r>
            <w:r w:rsidRPr="000921F1">
              <w:t xml:space="preserve">When a user </w:t>
            </w:r>
            <w:r w:rsidR="0073125C" w:rsidRPr="000921F1">
              <w:t xml:space="preserve">is a Technologist and </w:t>
            </w:r>
            <w:r w:rsidR="00602A93" w:rsidRPr="000921F1">
              <w:t>selects</w:t>
            </w:r>
            <w:r w:rsidRPr="000921F1">
              <w:t xml:space="preserve"> an expired unit, VBECS warns him. There is no override. </w:t>
            </w:r>
          </w:p>
          <w:p w14:paraId="74A69F2B" w14:textId="77777777" w:rsidR="002A21AE" w:rsidRPr="000921F1" w:rsidRDefault="002A21AE">
            <w:pPr>
              <w:pStyle w:val="TableText"/>
            </w:pPr>
          </w:p>
          <w:p w14:paraId="373538B8" w14:textId="77777777" w:rsidR="002A21AE" w:rsidRPr="000921F1" w:rsidRDefault="002A21AE">
            <w:pPr>
              <w:pStyle w:val="TableText"/>
            </w:pPr>
            <w:r w:rsidRPr="000921F1">
              <w:rPr>
                <w:rFonts w:ascii="Wingdings 3" w:hAnsi="Wingdings 3" w:cs="Wingdings"/>
              </w:rPr>
              <w:t></w:t>
            </w:r>
            <w:r w:rsidRPr="000921F1">
              <w:rPr>
                <w:rFonts w:ascii="Wingdings 3" w:hAnsi="Wingdings 3" w:cs="Wingdings"/>
              </w:rPr>
              <w:t></w:t>
            </w:r>
            <w:r w:rsidRPr="000921F1">
              <w:t xml:space="preserve"> When the user is an Enhanced Technologist or above, VBECS warns that the unit is expired and asks whether the user wishes to continue to select.</w:t>
            </w:r>
          </w:p>
          <w:p w14:paraId="0FCDCDAD" w14:textId="77777777" w:rsidR="002A21AE" w:rsidRPr="000921F1" w:rsidRDefault="002A21AE">
            <w:pPr>
              <w:pStyle w:val="TableText"/>
            </w:pPr>
          </w:p>
          <w:p w14:paraId="65582FBA" w14:textId="77777777" w:rsidR="002A21AE" w:rsidRPr="000921F1" w:rsidRDefault="002A21AE">
            <w:pPr>
              <w:pStyle w:val="TableText"/>
            </w:pPr>
            <w:r w:rsidRPr="000921F1">
              <w:rPr>
                <w:b/>
                <w:bCs/>
              </w:rPr>
              <w:t>No</w:t>
            </w:r>
            <w:r w:rsidRPr="000921F1">
              <w:t xml:space="preserve"> clears the screen. </w:t>
            </w:r>
            <w:r w:rsidRPr="000921F1">
              <w:rPr>
                <w:b/>
                <w:bCs/>
              </w:rPr>
              <w:t>Yes</w:t>
            </w:r>
            <w:r w:rsidRPr="000921F1">
              <w:t xml:space="preserve"> requires a comment and captures details for inclusion in an Exception Report (exception type: expired unit selected).</w:t>
            </w:r>
          </w:p>
        </w:tc>
      </w:tr>
      <w:tr w:rsidR="008852A5" w:rsidRPr="000921F1" w14:paraId="292D02CB" w14:textId="77777777">
        <w:tc>
          <w:tcPr>
            <w:tcW w:w="780" w:type="dxa"/>
          </w:tcPr>
          <w:p w14:paraId="42DD635A" w14:textId="77777777" w:rsidR="008852A5" w:rsidRPr="000921F1" w:rsidRDefault="0024117A" w:rsidP="00FF6514">
            <w:pPr>
              <w:pStyle w:val="TableText"/>
            </w:pPr>
            <w:r>
              <w:t>10</w:t>
            </w:r>
          </w:p>
        </w:tc>
        <w:tc>
          <w:tcPr>
            <w:tcW w:w="8580" w:type="dxa"/>
          </w:tcPr>
          <w:p w14:paraId="42393EDA" w14:textId="77777777" w:rsidR="008852A5" w:rsidRPr="000921F1" w:rsidRDefault="008852A5" w:rsidP="008852A5">
            <w:pPr>
              <w:pStyle w:val="TableTextBullet"/>
              <w:numPr>
                <w:ilvl w:val="0"/>
                <w:numId w:val="0"/>
              </w:numPr>
            </w:pPr>
            <w:r w:rsidRPr="000921F1">
              <w:rPr>
                <w:rFonts w:cs="Arial"/>
                <w:vanish/>
              </w:rPr>
              <w:t xml:space="preserve">BR_3.13 </w:t>
            </w:r>
            <w:r w:rsidRPr="000921F1">
              <w:t>When a unit is selected for a patient</w:t>
            </w:r>
            <w:r w:rsidRPr="000921F1">
              <w:rPr>
                <w:szCs w:val="18"/>
              </w:rPr>
              <w:t xml:space="preserve">, VBECS displays a tool tip stating that the unit may not be selected or removed. </w:t>
            </w:r>
          </w:p>
        </w:tc>
      </w:tr>
      <w:tr w:rsidR="002A21AE" w:rsidRPr="000921F1" w14:paraId="646DE111" w14:textId="77777777">
        <w:tc>
          <w:tcPr>
            <w:tcW w:w="780" w:type="dxa"/>
          </w:tcPr>
          <w:p w14:paraId="3ED0F82B" w14:textId="77777777" w:rsidR="002A21AE" w:rsidRPr="000921F1" w:rsidRDefault="0024117A">
            <w:pPr>
              <w:pStyle w:val="TableText"/>
            </w:pPr>
            <w:r>
              <w:t>10</w:t>
            </w:r>
          </w:p>
        </w:tc>
        <w:tc>
          <w:tcPr>
            <w:tcW w:w="8580" w:type="dxa"/>
          </w:tcPr>
          <w:p w14:paraId="71CD5BF7" w14:textId="77777777" w:rsidR="002A21AE" w:rsidRPr="000921F1" w:rsidRDefault="002A21AE">
            <w:pPr>
              <w:pStyle w:val="TableText"/>
              <w:rPr>
                <w:rStyle w:val="StyleTableTextBlackChar"/>
                <w:color w:val="auto"/>
              </w:rPr>
            </w:pPr>
            <w:r w:rsidRPr="000921F1">
              <w:t>When the user selects a</w:t>
            </w:r>
            <w:r w:rsidRPr="000921F1">
              <w:rPr>
                <w:rStyle w:val="StyleTableTextBlackChar"/>
                <w:color w:val="auto"/>
              </w:rPr>
              <w:t xml:space="preserve"> unit and these conditions exist, VBECS </w:t>
            </w:r>
            <w:r w:rsidR="008852A5" w:rsidRPr="000921F1">
              <w:rPr>
                <w:rStyle w:val="StyleTableTextBlackChar"/>
                <w:color w:val="auto"/>
              </w:rPr>
              <w:t>warns the user.</w:t>
            </w:r>
            <w:r w:rsidRPr="000921F1">
              <w:rPr>
                <w:rStyle w:val="StyleTableTextBlackChar"/>
                <w:color w:val="auto"/>
              </w:rPr>
              <w:t xml:space="preserve"> There is no override</w:t>
            </w:r>
            <w:r w:rsidRPr="000921F1">
              <w:t>. VBECS clears the screen and the user may select another unit</w:t>
            </w:r>
            <w:r w:rsidRPr="000921F1">
              <w:rPr>
                <w:rStyle w:val="StyleTableTextBlackChar"/>
                <w:color w:val="auto"/>
              </w:rPr>
              <w:t>:</w:t>
            </w:r>
          </w:p>
          <w:p w14:paraId="6E4E0478" w14:textId="77777777" w:rsidR="002A21AE" w:rsidRPr="000921F1" w:rsidRDefault="002A21AE">
            <w:pPr>
              <w:pStyle w:val="TableTextBullet"/>
            </w:pPr>
            <w:r w:rsidRPr="000921F1">
              <w:t>For XM for the same patient, VBECS warns that the unit was already selected for the patient.</w:t>
            </w:r>
          </w:p>
          <w:p w14:paraId="420E659B" w14:textId="77777777" w:rsidR="002A21AE" w:rsidRPr="000921F1" w:rsidRDefault="002A21AE">
            <w:pPr>
              <w:pStyle w:val="TableTextBullet"/>
            </w:pPr>
            <w:r w:rsidRPr="000921F1">
              <w:rPr>
                <w:rFonts w:cs="Arial"/>
                <w:vanish/>
              </w:rPr>
              <w:t xml:space="preserve">BR_3.33 </w:t>
            </w:r>
            <w:r w:rsidRPr="000921F1">
              <w:t>That is not substitutable for the order, VBECS warns that the selected unit is not valid for order.</w:t>
            </w:r>
          </w:p>
          <w:p w14:paraId="3D5CC872" w14:textId="77777777" w:rsidR="002A21AE" w:rsidRPr="000921F1" w:rsidRDefault="002A21AE">
            <w:pPr>
              <w:pStyle w:val="TableTextBullet"/>
            </w:pPr>
            <w:r w:rsidRPr="000921F1">
              <w:rPr>
                <w:rFonts w:cs="Arial"/>
                <w:vanish/>
              </w:rPr>
              <w:t xml:space="preserve">BR_3.43 </w:t>
            </w:r>
            <w:r w:rsidRPr="000921F1">
              <w:t>That is quarantined, VBECS warns that the unit is quarantined and may not be selected.</w:t>
            </w:r>
          </w:p>
          <w:p w14:paraId="2B828ECA" w14:textId="77777777" w:rsidR="002A21AE" w:rsidRPr="000921F1" w:rsidRDefault="002A21AE">
            <w:pPr>
              <w:pStyle w:val="TableTextBullet"/>
            </w:pPr>
            <w:r w:rsidRPr="000921F1">
              <w:rPr>
                <w:rFonts w:cs="Arial"/>
                <w:vanish/>
              </w:rPr>
              <w:t xml:space="preserve">BR_3.45 </w:t>
            </w:r>
            <w:r w:rsidRPr="000921F1">
              <w:t>That is on a pending outgoing shipment list, VBECS warns that the unit is currently included on a pending outgoing shipment invoice and must be removed from the shipment invoice before it can be selected.</w:t>
            </w:r>
          </w:p>
          <w:p w14:paraId="4AAC98E6" w14:textId="77777777" w:rsidR="002A21AE" w:rsidRPr="000921F1" w:rsidRDefault="002A21AE">
            <w:pPr>
              <w:pStyle w:val="TableTextBullet"/>
            </w:pPr>
            <w:r w:rsidRPr="000921F1">
              <w:rPr>
                <w:rFonts w:cs="Arial"/>
                <w:vanish/>
              </w:rPr>
              <w:t xml:space="preserve">BR_3.44 </w:t>
            </w:r>
            <w:r w:rsidRPr="000921F1">
              <w:t>That is not in the blood bank or is issued to another patient, VBECS warns that the unit is not in the blood bank and may not be selected.</w:t>
            </w:r>
          </w:p>
          <w:p w14:paraId="5A728E43" w14:textId="77777777" w:rsidR="002A21AE" w:rsidRPr="000921F1" w:rsidRDefault="002A21AE">
            <w:pPr>
              <w:pStyle w:val="TableTextBullet"/>
            </w:pPr>
            <w:r w:rsidRPr="000921F1">
              <w:rPr>
                <w:rFonts w:cs="Arial"/>
                <w:vanish/>
              </w:rPr>
              <w:t xml:space="preserve">BR_3.46 </w:t>
            </w:r>
            <w:r w:rsidRPr="000921F1">
              <w:t>That is restricted for a different patient, VBECS warns that the unit is restricted for a different patient and may not be selected.</w:t>
            </w:r>
          </w:p>
          <w:p w14:paraId="77C890F4" w14:textId="77777777" w:rsidR="002A21AE" w:rsidRPr="000921F1" w:rsidRDefault="002C0830">
            <w:pPr>
              <w:pStyle w:val="TableTextBullet"/>
            </w:pPr>
            <w:r w:rsidRPr="000921F1">
              <w:rPr>
                <w:vanish/>
                <w:szCs w:val="18"/>
              </w:rPr>
              <w:t xml:space="preserve">BR_3.16 </w:t>
            </w:r>
            <w:r w:rsidRPr="000921F1">
              <w:t>T</w:t>
            </w:r>
            <w:r w:rsidR="002A21AE" w:rsidRPr="000921F1">
              <w:t>he confirmation is not performed or is incomplete, VBECS emits an audible alert and warns that the unit ABO/Rh confirmation was not performed or is incomplete and that the unit may not be selected.</w:t>
            </w:r>
          </w:p>
        </w:tc>
      </w:tr>
      <w:tr w:rsidR="002A21AE" w:rsidRPr="000921F1" w14:paraId="7C752435" w14:textId="77777777">
        <w:tc>
          <w:tcPr>
            <w:tcW w:w="780" w:type="dxa"/>
          </w:tcPr>
          <w:p w14:paraId="66602FE7" w14:textId="77777777" w:rsidR="002A21AE" w:rsidRPr="000921F1" w:rsidRDefault="0024117A">
            <w:pPr>
              <w:pStyle w:val="TableText"/>
            </w:pPr>
            <w:r>
              <w:t>10</w:t>
            </w:r>
          </w:p>
        </w:tc>
        <w:tc>
          <w:tcPr>
            <w:tcW w:w="8580" w:type="dxa"/>
          </w:tcPr>
          <w:p w14:paraId="131A8BE2" w14:textId="77777777" w:rsidR="002A21AE" w:rsidRPr="000921F1" w:rsidRDefault="002A21AE">
            <w:pPr>
              <w:pStyle w:val="TableText"/>
            </w:pPr>
            <w:r w:rsidRPr="000921F1">
              <w:rPr>
                <w:rFonts w:cs="Arial"/>
                <w:vanish/>
              </w:rPr>
              <w:t xml:space="preserve">BR_3.23 </w:t>
            </w:r>
            <w:r w:rsidRPr="000921F1">
              <w:t xml:space="preserve">When the selected unit had an incompatible crossmatch result with the current patient in the past, VBECS warns the user. </w:t>
            </w:r>
            <w:r w:rsidR="00141E2B" w:rsidRPr="000921F1">
              <w:t>The user may continue with this unit and proceed with electronic or serologic crossmatch testing.</w:t>
            </w:r>
          </w:p>
        </w:tc>
      </w:tr>
      <w:tr w:rsidR="002A21AE" w:rsidRPr="000921F1" w14:paraId="3380439E" w14:textId="77777777">
        <w:tc>
          <w:tcPr>
            <w:tcW w:w="780" w:type="dxa"/>
          </w:tcPr>
          <w:p w14:paraId="34FAED8E" w14:textId="77777777" w:rsidR="002A21AE" w:rsidRPr="000921F1" w:rsidRDefault="0024117A">
            <w:pPr>
              <w:pStyle w:val="TableText"/>
            </w:pPr>
            <w:r>
              <w:t>10</w:t>
            </w:r>
          </w:p>
        </w:tc>
        <w:tc>
          <w:tcPr>
            <w:tcW w:w="8580" w:type="dxa"/>
          </w:tcPr>
          <w:p w14:paraId="1978346F" w14:textId="77777777" w:rsidR="002A21AE" w:rsidRPr="000921F1" w:rsidRDefault="002A21AE">
            <w:pPr>
              <w:pStyle w:val="TableText"/>
            </w:pPr>
            <w:r w:rsidRPr="000921F1">
              <w:rPr>
                <w:rFonts w:cs="Arial"/>
                <w:vanish/>
              </w:rPr>
              <w:t xml:space="preserve">BR_3.06 </w:t>
            </w:r>
            <w:r w:rsidRPr="000921F1">
              <w:t>When the user selects an antigen positive (or inconclusive for testing) unit and the patient has the corresponding antigen negative requirement, VBECS warns the user and requires action determined by the user’s security level.</w:t>
            </w:r>
          </w:p>
        </w:tc>
      </w:tr>
      <w:tr w:rsidR="002A21AE" w:rsidRPr="000921F1" w14:paraId="74DA8F2A" w14:textId="77777777">
        <w:tc>
          <w:tcPr>
            <w:tcW w:w="780" w:type="dxa"/>
          </w:tcPr>
          <w:p w14:paraId="5AAECE34" w14:textId="77777777" w:rsidR="002A21AE" w:rsidRPr="000921F1" w:rsidRDefault="0024117A">
            <w:pPr>
              <w:pStyle w:val="TableText"/>
            </w:pPr>
            <w:r>
              <w:t>10</w:t>
            </w:r>
          </w:p>
        </w:tc>
        <w:tc>
          <w:tcPr>
            <w:tcW w:w="8580" w:type="dxa"/>
          </w:tcPr>
          <w:p w14:paraId="7F297781" w14:textId="77777777" w:rsidR="002A21AE" w:rsidRPr="000921F1" w:rsidRDefault="002A21AE">
            <w:pPr>
              <w:pStyle w:val="TableText"/>
            </w:pPr>
            <w:r w:rsidRPr="000921F1">
              <w:t xml:space="preserve"> </w:t>
            </w:r>
            <w:r w:rsidRPr="000921F1">
              <w:rPr>
                <w:rFonts w:ascii="Wingdings 3" w:hAnsi="Wingdings 3" w:cs="Wingdings"/>
              </w:rPr>
              <w:t></w:t>
            </w:r>
            <w:r w:rsidRPr="000921F1">
              <w:rPr>
                <w:rFonts w:ascii="Wingdings 3" w:hAnsi="Wingdings 3" w:cs="Wingdings"/>
              </w:rPr>
              <w:t></w:t>
            </w:r>
            <w:r w:rsidRPr="000921F1">
              <w:t xml:space="preserve"> When the user is an Enhanced Technologist or below</w:t>
            </w:r>
            <w:r w:rsidRPr="000921F1">
              <w:rPr>
                <w:b/>
              </w:rPr>
              <w:t xml:space="preserve">, </w:t>
            </w:r>
            <w:r w:rsidRPr="000921F1">
              <w:t xml:space="preserve">VBECS emits an audible alert and warns that the patient has a history of an antibody, that the unit does not have a negative test for the corresponding antigen, and that the user </w:t>
            </w:r>
            <w:r w:rsidR="00082F78" w:rsidRPr="000921F1">
              <w:t>does not have the proper security level</w:t>
            </w:r>
            <w:r w:rsidRPr="000921F1">
              <w:t xml:space="preserve"> to select the unit. There is no override.</w:t>
            </w:r>
          </w:p>
        </w:tc>
      </w:tr>
      <w:tr w:rsidR="002A21AE" w:rsidRPr="000921F1" w14:paraId="5D763F54" w14:textId="77777777">
        <w:tc>
          <w:tcPr>
            <w:tcW w:w="780" w:type="dxa"/>
          </w:tcPr>
          <w:p w14:paraId="7FB32F79" w14:textId="77777777" w:rsidR="002A21AE" w:rsidRPr="000921F1" w:rsidRDefault="0024117A">
            <w:pPr>
              <w:pStyle w:val="TableText"/>
            </w:pPr>
            <w:r>
              <w:t>10</w:t>
            </w:r>
          </w:p>
        </w:tc>
        <w:tc>
          <w:tcPr>
            <w:tcW w:w="8580" w:type="dxa"/>
          </w:tcPr>
          <w:p w14:paraId="1831207B" w14:textId="77777777" w:rsidR="002A21AE" w:rsidRPr="000921F1" w:rsidRDefault="002A21AE">
            <w:pPr>
              <w:pStyle w:val="TableText"/>
            </w:pPr>
            <w:r w:rsidRPr="000921F1">
              <w:t xml:space="preserve"> </w:t>
            </w:r>
            <w:r w:rsidRPr="000921F1">
              <w:rPr>
                <w:rFonts w:ascii="Wingdings 3" w:hAnsi="Wingdings 3" w:cs="Wingdings"/>
              </w:rPr>
              <w:t></w:t>
            </w:r>
            <w:r w:rsidRPr="000921F1">
              <w:rPr>
                <w:rFonts w:ascii="Wingdings 3" w:hAnsi="Wingdings 3" w:cs="Wingdings"/>
              </w:rPr>
              <w:t></w:t>
            </w:r>
            <w:r w:rsidRPr="000921F1">
              <w:rPr>
                <w:rFonts w:ascii="Wingdings 3" w:hAnsi="Wingdings 3" w:cs="Wingdings"/>
              </w:rPr>
              <w:t></w:t>
            </w:r>
            <w:r w:rsidRPr="000921F1">
              <w:t xml:space="preserve"> When the user is a Lead Technologist or above, VBECS emits an audible alert, warns that the patient has a history of an antibody and that the unit is positive or inconclusive for the corresponding antigen, and asks whether the user wishes to continue to select the unit. </w:t>
            </w:r>
          </w:p>
          <w:p w14:paraId="2FB7DB56" w14:textId="77777777" w:rsidR="002A21AE" w:rsidRPr="000921F1" w:rsidRDefault="002A21AE">
            <w:pPr>
              <w:pStyle w:val="TableText"/>
            </w:pPr>
          </w:p>
          <w:p w14:paraId="3B66451D" w14:textId="77777777" w:rsidR="002A21AE" w:rsidRPr="000921F1" w:rsidRDefault="002A21AE">
            <w:pPr>
              <w:pStyle w:val="TableText"/>
            </w:pPr>
            <w:r w:rsidRPr="000921F1">
              <w:rPr>
                <w:b/>
              </w:rPr>
              <w:t>No</w:t>
            </w:r>
            <w:r w:rsidRPr="000921F1">
              <w:t xml:space="preserve"> allows the user to continue to select units for the patient. </w:t>
            </w:r>
            <w:r w:rsidRPr="000921F1">
              <w:rPr>
                <w:b/>
                <w:bCs/>
              </w:rPr>
              <w:t>Yes</w:t>
            </w:r>
            <w:r w:rsidRPr="000921F1">
              <w:t xml:space="preserve"> requires a comment and captures details for inclusion in an Exception Report (exception type</w:t>
            </w:r>
            <w:r w:rsidRPr="000921F1">
              <w:rPr>
                <w:rStyle w:val="StyleTableTextBlackChar"/>
                <w:color w:val="auto"/>
              </w:rPr>
              <w:t>: antigen positive units selected).</w:t>
            </w:r>
          </w:p>
        </w:tc>
      </w:tr>
      <w:tr w:rsidR="002A21AE" w:rsidRPr="000921F1" w14:paraId="3E1FDA6F" w14:textId="77777777">
        <w:tc>
          <w:tcPr>
            <w:tcW w:w="780" w:type="dxa"/>
          </w:tcPr>
          <w:p w14:paraId="1C685288" w14:textId="77777777" w:rsidR="002A21AE" w:rsidRPr="000921F1" w:rsidRDefault="0024117A">
            <w:pPr>
              <w:pStyle w:val="TableText"/>
            </w:pPr>
            <w:r>
              <w:t>10</w:t>
            </w:r>
          </w:p>
        </w:tc>
        <w:tc>
          <w:tcPr>
            <w:tcW w:w="8580" w:type="dxa"/>
          </w:tcPr>
          <w:p w14:paraId="6932FD27" w14:textId="77777777" w:rsidR="002A21AE" w:rsidRPr="000921F1" w:rsidRDefault="002A21AE">
            <w:pPr>
              <w:pStyle w:val="TableText"/>
            </w:pPr>
            <w:r w:rsidRPr="000921F1">
              <w:rPr>
                <w:rFonts w:cs="Arial"/>
                <w:vanish/>
              </w:rPr>
              <w:t xml:space="preserve">BR_3.15 </w:t>
            </w:r>
            <w:r w:rsidRPr="000921F1">
              <w:t>When a unit was not antigen typed for the corresponding antigen, VBECS emits an audible alert, warns that the unit must be typed and found negative to be available for this patient, and asks whether the user wishes to continue to select this unit. The user may continue to select units for the patient.</w:t>
            </w:r>
          </w:p>
          <w:p w14:paraId="6426A186" w14:textId="77777777" w:rsidR="002A21AE" w:rsidRPr="000921F1" w:rsidRDefault="002A21AE">
            <w:pPr>
              <w:pStyle w:val="TableText"/>
            </w:pPr>
          </w:p>
          <w:p w14:paraId="390F8226" w14:textId="77777777" w:rsidR="002A21AE" w:rsidRPr="000921F1" w:rsidRDefault="002A21AE">
            <w:pPr>
              <w:pStyle w:val="TableText"/>
              <w:rPr>
                <w:rStyle w:val="StyleTableTextBlackChar"/>
                <w:color w:val="auto"/>
              </w:rPr>
            </w:pPr>
            <w:r w:rsidRPr="000921F1">
              <w:rPr>
                <w:b/>
                <w:bCs/>
              </w:rPr>
              <w:t>Yes</w:t>
            </w:r>
            <w:r w:rsidRPr="000921F1">
              <w:t xml:space="preserve"> requires a comment and captures details for inclusion in an Exception Report (exception type</w:t>
            </w:r>
            <w:r w:rsidRPr="000921F1">
              <w:rPr>
                <w:rStyle w:val="StyleTableTextBlackChar"/>
                <w:color w:val="auto"/>
              </w:rPr>
              <w:t>: antigen positive units selected).</w:t>
            </w:r>
          </w:p>
          <w:p w14:paraId="2300B7EF" w14:textId="77777777" w:rsidR="002A21AE" w:rsidRPr="000921F1" w:rsidRDefault="002A21AE">
            <w:pPr>
              <w:pStyle w:val="TableText"/>
            </w:pPr>
          </w:p>
          <w:p w14:paraId="6D9D1447" w14:textId="55A33BB8" w:rsidR="002A21AE" w:rsidRPr="000921F1" w:rsidRDefault="002A21AE">
            <w:pPr>
              <w:pStyle w:val="TableText"/>
              <w:rPr>
                <w:szCs w:val="18"/>
              </w:rPr>
            </w:pPr>
            <w:r w:rsidRPr="000921F1">
              <w:t xml:space="preserve">See </w:t>
            </w:r>
            <w:r w:rsidR="00EE455E">
              <w:t xml:space="preserve">Appendix </w:t>
            </w:r>
            <w:r w:rsidR="00EE455E">
              <w:rPr>
                <w:noProof/>
              </w:rPr>
              <w:t>B</w:t>
            </w:r>
            <w:r w:rsidRPr="000921F1">
              <w:t xml:space="preserve">: </w:t>
            </w:r>
            <w:r w:rsidR="00EE455E">
              <w:t xml:space="preserve">Table </w:t>
            </w:r>
            <w:r w:rsidR="00EE455E">
              <w:rPr>
                <w:noProof/>
              </w:rPr>
              <w:t>14:</w:t>
            </w:r>
            <w:r w:rsidR="00EE455E">
              <w:t xml:space="preserve"> </w:t>
            </w:r>
            <w:r w:rsidR="00EE455E">
              <w:rPr>
                <w:vanish/>
              </w:rPr>
              <w:t xml:space="preserve">TT_23.01A </w:t>
            </w:r>
            <w:r w:rsidR="00EE455E">
              <w:t>Antibody and Antigen Table: Irregular Antibodies</w:t>
            </w:r>
            <w:r w:rsidRPr="000921F1">
              <w:t>.</w:t>
            </w:r>
          </w:p>
        </w:tc>
      </w:tr>
      <w:tr w:rsidR="002E1F2B" w:rsidRPr="000921F1" w14:paraId="5E3964BB" w14:textId="77777777">
        <w:tc>
          <w:tcPr>
            <w:tcW w:w="780" w:type="dxa"/>
          </w:tcPr>
          <w:p w14:paraId="2B9010E0" w14:textId="0242A5F3" w:rsidR="002E1F2B" w:rsidRDefault="002E1F2B" w:rsidP="002E1F2B">
            <w:pPr>
              <w:pStyle w:val="TableText"/>
            </w:pPr>
            <w:r>
              <w:t>10</w:t>
            </w:r>
          </w:p>
        </w:tc>
        <w:tc>
          <w:tcPr>
            <w:tcW w:w="8580" w:type="dxa"/>
          </w:tcPr>
          <w:p w14:paraId="63EA4E77" w14:textId="12B0DA81" w:rsidR="002E1F2B" w:rsidRPr="00772260" w:rsidRDefault="002E1F2B" w:rsidP="002E1F2B">
            <w:pPr>
              <w:pStyle w:val="TableText"/>
              <w:rPr>
                <w:rFonts w:cs="Arial"/>
                <w:szCs w:val="18"/>
              </w:rPr>
            </w:pPr>
            <w:r w:rsidRPr="00772260">
              <w:rPr>
                <w:rFonts w:cs="Arial"/>
                <w:vanish/>
                <w:szCs w:val="18"/>
              </w:rPr>
              <w:t xml:space="preserve">BR_3.08 </w:t>
            </w:r>
            <w:r w:rsidRPr="00772260">
              <w:rPr>
                <w:rFonts w:cs="Arial"/>
                <w:szCs w:val="18"/>
              </w:rPr>
              <w:t xml:space="preserve">When </w:t>
            </w:r>
            <w:r w:rsidR="00523215" w:rsidRPr="00772260">
              <w:rPr>
                <w:rFonts w:cs="Arial"/>
                <w:szCs w:val="18"/>
              </w:rPr>
              <w:t>a</w:t>
            </w:r>
            <w:r w:rsidR="00D7366E">
              <w:rPr>
                <w:rFonts w:cs="Arial"/>
                <w:szCs w:val="18"/>
              </w:rPr>
              <w:t>n</w:t>
            </w:r>
            <w:r w:rsidRPr="00772260">
              <w:rPr>
                <w:rFonts w:cs="Arial"/>
                <w:szCs w:val="18"/>
              </w:rPr>
              <w:t xml:space="preserve"> Rh negative patient has an active anti-D antibody </w:t>
            </w:r>
            <w:r w:rsidRPr="003B1AEA">
              <w:rPr>
                <w:rFonts w:cs="Arial"/>
                <w:szCs w:val="18"/>
              </w:rPr>
              <w:t>or a D antigen negative requirement set in Special Instructions and Transfusion Requirements,</w:t>
            </w:r>
            <w:r w:rsidRPr="00772260">
              <w:rPr>
                <w:rFonts w:cs="Arial"/>
                <w:szCs w:val="18"/>
              </w:rPr>
              <w:t xml:space="preserve"> VBECS verifies the presence or absence of the corresponding antigen based on the ABO/Rh of the selected blood unit. When a user selects an Rh positive blood unit for a patient with anti-D, VBECS warns the user and requires action based on the user’s security level.</w:t>
            </w:r>
          </w:p>
          <w:p w14:paraId="2ED1140E" w14:textId="77777777" w:rsidR="002E1F2B" w:rsidRPr="000921F1" w:rsidRDefault="002E1F2B" w:rsidP="002E1F2B">
            <w:pPr>
              <w:pStyle w:val="TableText"/>
            </w:pPr>
          </w:p>
          <w:p w14:paraId="50E437B1" w14:textId="25FB3B59" w:rsidR="002E1F2B" w:rsidRPr="000921F1" w:rsidRDefault="002E1F2B" w:rsidP="002E1F2B">
            <w:pPr>
              <w:pStyle w:val="TableText"/>
              <w:rPr>
                <w:rFonts w:cs="Arial"/>
                <w:vanish/>
              </w:rPr>
            </w:pPr>
            <w:r w:rsidRPr="000921F1">
              <w:t>The antigen negative requirement for anti-</w:t>
            </w:r>
            <w:r>
              <w:t>D is D, not AGwD. AGwD is</w:t>
            </w:r>
            <w:r w:rsidRPr="000921F1">
              <w:t xml:space="preserve"> not </w:t>
            </w:r>
            <w:r>
              <w:t xml:space="preserve">a </w:t>
            </w:r>
            <w:r w:rsidRPr="000921F1">
              <w:t>selectab</w:t>
            </w:r>
            <w:r>
              <w:t>le antigen negative requirement</w:t>
            </w:r>
            <w:r w:rsidRPr="000921F1">
              <w:t xml:space="preserve"> in Special Instructions &amp; Transfusion Requirements: </w:t>
            </w:r>
            <w:r>
              <w:t>Antigen Negative RBCs.</w:t>
            </w:r>
            <w:r w:rsidRPr="000921F1">
              <w:t xml:space="preserve"> </w:t>
            </w:r>
          </w:p>
        </w:tc>
      </w:tr>
      <w:tr w:rsidR="002E1F2B" w:rsidRPr="000921F1" w14:paraId="1CEFD56B" w14:textId="77777777">
        <w:tc>
          <w:tcPr>
            <w:tcW w:w="780" w:type="dxa"/>
          </w:tcPr>
          <w:p w14:paraId="700B8A14" w14:textId="77777777" w:rsidR="002E1F2B" w:rsidRPr="000921F1" w:rsidRDefault="002E1F2B" w:rsidP="002E1F2B">
            <w:pPr>
              <w:pStyle w:val="TableText"/>
            </w:pPr>
            <w:r>
              <w:t>10</w:t>
            </w:r>
          </w:p>
        </w:tc>
        <w:tc>
          <w:tcPr>
            <w:tcW w:w="8580" w:type="dxa"/>
          </w:tcPr>
          <w:p w14:paraId="05BD036D" w14:textId="77777777" w:rsidR="002E1F2B" w:rsidRPr="000921F1" w:rsidRDefault="002E1F2B" w:rsidP="002E1F2B">
            <w:pPr>
              <w:pStyle w:val="TableText"/>
            </w:pPr>
            <w:r w:rsidRPr="00DE022E">
              <w:rPr>
                <w:rFonts w:cs="Arial"/>
                <w:vanish/>
              </w:rPr>
              <w:t xml:space="preserve">BR_3.21 </w:t>
            </w:r>
            <w:r w:rsidRPr="00DE022E">
              <w:t>For an Rh negative, unknown, or inconclusive patient: when the selection of Rh positive or Rh pooled units from the WHOLE BLOOD, RED BLOOD CELLS, PLATELETS, and OTHER VBECS compo</w:t>
            </w:r>
            <w:r>
              <w:t>nent classes</w:t>
            </w:r>
            <w:r w:rsidRPr="00DE022E">
              <w:t xml:space="preserve"> are individually entered and confi</w:t>
            </w:r>
            <w:r>
              <w:t>r</w:t>
            </w:r>
            <w:r w:rsidRPr="00DE022E">
              <w:t xml:space="preserve">med </w:t>
            </w:r>
            <w:r>
              <w:t>as required</w:t>
            </w:r>
            <w:r w:rsidRPr="00DE022E">
              <w:t>, VBECS emits an audible alert, warns that the patient is Rh negative and the selected unit is Rh positive, instructs the user to check the patient sex and hospital policy before continuing, and asks whether the user wishes to continue to select the unit.</w:t>
            </w:r>
          </w:p>
          <w:p w14:paraId="3F391E47" w14:textId="77777777" w:rsidR="002E1F2B" w:rsidRPr="000921F1" w:rsidRDefault="002E1F2B" w:rsidP="002E1F2B">
            <w:pPr>
              <w:pStyle w:val="TableText"/>
            </w:pPr>
          </w:p>
          <w:p w14:paraId="0D4B4DAE" w14:textId="77777777" w:rsidR="002E1F2B" w:rsidRPr="000921F1" w:rsidRDefault="002E1F2B" w:rsidP="002E1F2B">
            <w:pPr>
              <w:pStyle w:val="TableText"/>
            </w:pPr>
            <w:r w:rsidRPr="000921F1">
              <w:rPr>
                <w:b/>
              </w:rPr>
              <w:t>No</w:t>
            </w:r>
            <w:r w:rsidRPr="000921F1">
              <w:t xml:space="preserve"> clears the unit data and allows the user to select a different unit. </w:t>
            </w:r>
            <w:r w:rsidRPr="000921F1">
              <w:rPr>
                <w:b/>
              </w:rPr>
              <w:t>Yes</w:t>
            </w:r>
            <w:r w:rsidRPr="000921F1">
              <w:t xml:space="preserve"> requires additional comment </w:t>
            </w:r>
            <w:r w:rsidRPr="003B1AEA">
              <w:t>(unit selection canned comment context)</w:t>
            </w:r>
            <w:r>
              <w:t xml:space="preserve"> </w:t>
            </w:r>
            <w:r w:rsidRPr="000921F1">
              <w:t>and captures details for inclusion in an Exception Report (exception type: Rh positive units selected).</w:t>
            </w:r>
          </w:p>
        </w:tc>
      </w:tr>
      <w:tr w:rsidR="002E1F2B" w:rsidRPr="000921F1" w14:paraId="2F2054D7" w14:textId="77777777">
        <w:tc>
          <w:tcPr>
            <w:tcW w:w="780" w:type="dxa"/>
          </w:tcPr>
          <w:p w14:paraId="37DB2F1B" w14:textId="77777777" w:rsidR="002E1F2B" w:rsidRPr="000921F1" w:rsidRDefault="002E1F2B" w:rsidP="002E1F2B">
            <w:pPr>
              <w:pStyle w:val="TableText"/>
            </w:pPr>
            <w:r>
              <w:t>10</w:t>
            </w:r>
          </w:p>
        </w:tc>
        <w:tc>
          <w:tcPr>
            <w:tcW w:w="8580" w:type="dxa"/>
          </w:tcPr>
          <w:p w14:paraId="6EAAF25A" w14:textId="77777777" w:rsidR="002E1F2B" w:rsidRPr="000921F1" w:rsidRDefault="002E1F2B" w:rsidP="002E1F2B">
            <w:pPr>
              <w:pStyle w:val="TableText"/>
            </w:pPr>
            <w:r w:rsidRPr="000921F1">
              <w:rPr>
                <w:rFonts w:cs="Arial"/>
                <w:vanish/>
              </w:rPr>
              <w:t xml:space="preserve">BR_3.09 </w:t>
            </w:r>
            <w:r w:rsidRPr="000921F1">
              <w:t xml:space="preserve">When </w:t>
            </w:r>
            <w:r>
              <w:t>the</w:t>
            </w:r>
            <w:r w:rsidRPr="000921F1">
              <w:t xml:space="preserve"> user selects </w:t>
            </w:r>
            <w:r>
              <w:t xml:space="preserve">a blood unit to fill a </w:t>
            </w:r>
            <w:r w:rsidRPr="000921F1">
              <w:t>component order</w:t>
            </w:r>
            <w:r>
              <w:t xml:space="preserve"> of RED BLOOD CELLS, “PLATELETS” or “OTHER” and has = &gt; 2 mL RBC contamination, the unit will be evaluated for ABO/Rh red cell compatibility. When the unit is not ABO compatible for the selected patient, VBECS presents a message to the user stating that the unit is and releases the unit from selection (assignment).</w:t>
            </w:r>
          </w:p>
        </w:tc>
      </w:tr>
      <w:tr w:rsidR="002E1F2B" w:rsidRPr="000921F1" w14:paraId="053CD239" w14:textId="77777777">
        <w:tc>
          <w:tcPr>
            <w:tcW w:w="780" w:type="dxa"/>
          </w:tcPr>
          <w:p w14:paraId="0663968C" w14:textId="77777777" w:rsidR="002E1F2B" w:rsidRPr="000921F1" w:rsidRDefault="002E1F2B" w:rsidP="002E1F2B">
            <w:pPr>
              <w:pStyle w:val="TableText"/>
            </w:pPr>
            <w:r>
              <w:t>10</w:t>
            </w:r>
          </w:p>
        </w:tc>
        <w:tc>
          <w:tcPr>
            <w:tcW w:w="8580" w:type="dxa"/>
          </w:tcPr>
          <w:p w14:paraId="3593358D" w14:textId="71425F55" w:rsidR="002E1F2B" w:rsidRPr="000921F1" w:rsidRDefault="002E1F2B" w:rsidP="002E1F2B">
            <w:pPr>
              <w:pStyle w:val="TableText"/>
            </w:pPr>
            <w:r w:rsidRPr="000921F1">
              <w:rPr>
                <w:vanish/>
                <w:szCs w:val="18"/>
              </w:rPr>
              <w:t xml:space="preserve">BR_3.14 </w:t>
            </w:r>
            <w:r w:rsidRPr="000921F1">
              <w:t>When a patient has TRs other than CMV negative</w:t>
            </w:r>
            <w:r>
              <w:t xml:space="preserve"> or Sickle Cell negative</w:t>
            </w:r>
            <w:r w:rsidRPr="000921F1">
              <w:t>, VBECS verifies whether the selected unit satisfies the requirement based on system rules</w:t>
            </w:r>
            <w:r w:rsidRPr="000921F1">
              <w:rPr>
                <w:szCs w:val="18"/>
              </w:rPr>
              <w:t xml:space="preserve"> Blood Unit Substitution and the Fulfillment of Transfusion Requirements</w:t>
            </w:r>
            <w:r w:rsidRPr="000921F1">
              <w:t xml:space="preserve">. When the TR is not satisfied, VBECS emits an audible alert, warns that the unit does not satisfy all of the patient’s TRs, and asks whether the user wishes to continue to select the unit. </w:t>
            </w:r>
          </w:p>
          <w:p w14:paraId="6B7A4101" w14:textId="77777777" w:rsidR="002E1F2B" w:rsidRPr="000921F1" w:rsidRDefault="002E1F2B" w:rsidP="002E1F2B">
            <w:pPr>
              <w:pStyle w:val="TableText"/>
            </w:pPr>
          </w:p>
          <w:p w14:paraId="4C1CBAF3" w14:textId="77777777" w:rsidR="002E1F2B" w:rsidRPr="000921F1" w:rsidRDefault="002E1F2B" w:rsidP="002E1F2B">
            <w:pPr>
              <w:pStyle w:val="TableText"/>
            </w:pPr>
            <w:r w:rsidRPr="000921F1">
              <w:rPr>
                <w:b/>
              </w:rPr>
              <w:t>No</w:t>
            </w:r>
            <w:r w:rsidRPr="000921F1">
              <w:t xml:space="preserve"> clears the screen. </w:t>
            </w:r>
            <w:r w:rsidRPr="000921F1">
              <w:rPr>
                <w:b/>
              </w:rPr>
              <w:t>Yes</w:t>
            </w:r>
            <w:r w:rsidRPr="000921F1">
              <w:t xml:space="preserve"> allows the user to continue without comment. </w:t>
            </w:r>
          </w:p>
        </w:tc>
      </w:tr>
      <w:tr w:rsidR="002E1F2B" w:rsidRPr="000921F1" w14:paraId="558A9FA4" w14:textId="77777777">
        <w:tc>
          <w:tcPr>
            <w:tcW w:w="780" w:type="dxa"/>
          </w:tcPr>
          <w:p w14:paraId="0959954D" w14:textId="77777777" w:rsidR="002E1F2B" w:rsidRPr="000921F1" w:rsidRDefault="002E1F2B" w:rsidP="002E1F2B">
            <w:pPr>
              <w:pStyle w:val="TableText"/>
            </w:pPr>
            <w:r>
              <w:t>10</w:t>
            </w:r>
          </w:p>
        </w:tc>
        <w:tc>
          <w:tcPr>
            <w:tcW w:w="8580" w:type="dxa"/>
          </w:tcPr>
          <w:p w14:paraId="4CC14E1D" w14:textId="77777777" w:rsidR="002E1F2B" w:rsidRPr="000921F1" w:rsidRDefault="002E1F2B" w:rsidP="002E1F2B">
            <w:pPr>
              <w:pStyle w:val="TableText"/>
              <w:rPr>
                <w:szCs w:val="18"/>
              </w:rPr>
            </w:pPr>
            <w:r w:rsidRPr="000921F1">
              <w:rPr>
                <w:rFonts w:cs="Arial"/>
                <w:vanish/>
              </w:rPr>
              <w:t xml:space="preserve">BR_3.32 </w:t>
            </w:r>
            <w:r>
              <w:rPr>
                <w:szCs w:val="18"/>
              </w:rPr>
              <w:t>When a patient has a TR of CMV n</w:t>
            </w:r>
            <w:r w:rsidRPr="000921F1">
              <w:rPr>
                <w:szCs w:val="18"/>
              </w:rPr>
              <w:t>egative</w:t>
            </w:r>
            <w:r>
              <w:rPr>
                <w:szCs w:val="18"/>
              </w:rPr>
              <w:t xml:space="preserve"> or Sickle Cell negative</w:t>
            </w:r>
            <w:r w:rsidRPr="000921F1">
              <w:rPr>
                <w:szCs w:val="18"/>
              </w:rPr>
              <w:t>, VBECS verifies the selected unit for compliance. When the selected unit does not fit the criteria, VBECS emits an audible alert and warns the user:</w:t>
            </w:r>
          </w:p>
          <w:p w14:paraId="2EDE8FA5" w14:textId="77777777" w:rsidR="002E1F2B" w:rsidRPr="000921F1" w:rsidRDefault="002E1F2B" w:rsidP="002E1F2B">
            <w:pPr>
              <w:pStyle w:val="TableTextBullet"/>
            </w:pPr>
            <w:r w:rsidRPr="000921F1">
              <w:rPr>
                <w:rFonts w:ascii="Wingdings 3" w:hAnsi="Wingdings 3" w:cs="Wingdings"/>
              </w:rPr>
              <w:t></w:t>
            </w:r>
            <w:r w:rsidRPr="000921F1">
              <w:rPr>
                <w:rFonts w:ascii="Wingdings 3" w:hAnsi="Wingdings 3" w:cs="Wingdings"/>
              </w:rPr>
              <w:t></w:t>
            </w:r>
            <w:r w:rsidRPr="000921F1">
              <w:t xml:space="preserve"> Enhanced Technologist or below: VBECS warns</w:t>
            </w:r>
            <w:r>
              <w:t xml:space="preserve"> that the patient requires CMV n</w:t>
            </w:r>
            <w:r w:rsidRPr="000921F1">
              <w:t xml:space="preserve">egative </w:t>
            </w:r>
            <w:r>
              <w:t xml:space="preserve">or Sickle Cell negative </w:t>
            </w:r>
            <w:r w:rsidRPr="000921F1">
              <w:t>blood, that the selected unit is not CMV negative</w:t>
            </w:r>
            <w:r>
              <w:t xml:space="preserve"> or Sickle Cell negative</w:t>
            </w:r>
            <w:r w:rsidRPr="000921F1">
              <w:t>, and that the user does not have the proper security level to select the unit. There is no override. VBECS clears the screen, and the user must select another unit.</w:t>
            </w:r>
          </w:p>
          <w:p w14:paraId="2B397001" w14:textId="77777777" w:rsidR="002E1F2B" w:rsidRPr="000921F1" w:rsidRDefault="002E1F2B" w:rsidP="002E1F2B">
            <w:pPr>
              <w:pStyle w:val="TableTextBullet"/>
            </w:pPr>
            <w:r w:rsidRPr="000921F1">
              <w:rPr>
                <w:rFonts w:ascii="Wingdings 3" w:hAnsi="Wingdings 3" w:cs="Wingdings"/>
              </w:rPr>
              <w:t></w:t>
            </w:r>
            <w:r w:rsidRPr="000921F1">
              <w:rPr>
                <w:rFonts w:ascii="Wingdings 3" w:hAnsi="Wingdings 3" w:cs="Wingdings"/>
              </w:rPr>
              <w:t></w:t>
            </w:r>
            <w:r w:rsidRPr="000921F1">
              <w:rPr>
                <w:rFonts w:ascii="Wingdings 3" w:hAnsi="Wingdings 3" w:cs="Wingdings"/>
              </w:rPr>
              <w:t></w:t>
            </w:r>
            <w:r w:rsidRPr="000921F1">
              <w:t xml:space="preserve"> Lead Technologist or above: VBECS warns that the patient requires CMV negative </w:t>
            </w:r>
            <w:r>
              <w:t xml:space="preserve">or Sickle Cell negative </w:t>
            </w:r>
            <w:r w:rsidRPr="000921F1">
              <w:t>blood, that the selected unit is not CMV negative</w:t>
            </w:r>
            <w:r>
              <w:t xml:space="preserve"> or Sickle Cell negative</w:t>
            </w:r>
            <w:r w:rsidRPr="000921F1">
              <w:t xml:space="preserve">, and asks whether the user wishes to continue to select. </w:t>
            </w:r>
            <w:r w:rsidRPr="000921F1">
              <w:rPr>
                <w:b/>
              </w:rPr>
              <w:t>No</w:t>
            </w:r>
            <w:r w:rsidRPr="000921F1">
              <w:t xml:space="preserve"> clears the screen and the user must select a new blood unit. </w:t>
            </w:r>
            <w:r w:rsidRPr="000921F1">
              <w:rPr>
                <w:b/>
              </w:rPr>
              <w:t>Yes</w:t>
            </w:r>
            <w:r w:rsidRPr="000921F1">
              <w:t xml:space="preserve"> requires a comment and captures details for inclusion in an Exception Report (exception type: Transfusion Requirement incompatible unit selected).</w:t>
            </w:r>
          </w:p>
        </w:tc>
      </w:tr>
      <w:tr w:rsidR="002E1F2B" w:rsidRPr="000921F1" w14:paraId="5F3782D2" w14:textId="77777777">
        <w:tc>
          <w:tcPr>
            <w:tcW w:w="780" w:type="dxa"/>
          </w:tcPr>
          <w:p w14:paraId="421B4925" w14:textId="77777777" w:rsidR="002E1F2B" w:rsidRPr="000921F1" w:rsidRDefault="002E1F2B" w:rsidP="002E1F2B">
            <w:pPr>
              <w:pStyle w:val="TableText"/>
            </w:pPr>
            <w:r>
              <w:t>10</w:t>
            </w:r>
          </w:p>
        </w:tc>
        <w:tc>
          <w:tcPr>
            <w:tcW w:w="8580" w:type="dxa"/>
          </w:tcPr>
          <w:p w14:paraId="2BD1DFDE" w14:textId="77777777" w:rsidR="002E1F2B" w:rsidRPr="000921F1" w:rsidRDefault="002E1F2B" w:rsidP="002E1F2B">
            <w:pPr>
              <w:pStyle w:val="TableText"/>
            </w:pPr>
            <w:r w:rsidRPr="000921F1">
              <w:rPr>
                <w:rFonts w:cs="Arial"/>
                <w:vanish/>
              </w:rPr>
              <w:t xml:space="preserve">BR_3.39 </w:t>
            </w:r>
            <w:r w:rsidRPr="000921F1">
              <w:t>When a user selects a unit with a biohazardous indicator for a patient, VBECS emits an audible alert, warns the user, and asks whether the user still wishes to select the unit.</w:t>
            </w:r>
          </w:p>
          <w:p w14:paraId="2D860FCE" w14:textId="77777777" w:rsidR="002E1F2B" w:rsidRPr="000921F1" w:rsidRDefault="002E1F2B" w:rsidP="002E1F2B">
            <w:pPr>
              <w:pStyle w:val="NotesText"/>
            </w:pPr>
          </w:p>
          <w:p w14:paraId="0B19289B" w14:textId="77777777" w:rsidR="002E1F2B" w:rsidRPr="000921F1" w:rsidRDefault="002E1F2B" w:rsidP="002E1F2B">
            <w:pPr>
              <w:pStyle w:val="TableText"/>
            </w:pPr>
            <w:r w:rsidRPr="000921F1">
              <w:rPr>
                <w:b/>
              </w:rPr>
              <w:t>No</w:t>
            </w:r>
            <w:r w:rsidRPr="000921F1">
              <w:t xml:space="preserve"> clears the entry and allows the user to select a new unit. </w:t>
            </w:r>
            <w:r w:rsidRPr="000921F1">
              <w:rPr>
                <w:b/>
              </w:rPr>
              <w:t>Yes</w:t>
            </w:r>
            <w:r w:rsidRPr="000921F1">
              <w:t xml:space="preserve"> requires a comment and captures details for inclusion in an Exception Report (exception type: biohazardous unit selected).</w:t>
            </w:r>
          </w:p>
        </w:tc>
      </w:tr>
      <w:tr w:rsidR="002E1F2B" w:rsidRPr="000921F1" w14:paraId="44D113E2" w14:textId="77777777">
        <w:tc>
          <w:tcPr>
            <w:tcW w:w="780" w:type="dxa"/>
          </w:tcPr>
          <w:p w14:paraId="6FA29B30" w14:textId="77777777" w:rsidR="002E1F2B" w:rsidRPr="000921F1" w:rsidRDefault="002E1F2B" w:rsidP="002E1F2B">
            <w:pPr>
              <w:pStyle w:val="TableText"/>
            </w:pPr>
            <w:r>
              <w:t>10</w:t>
            </w:r>
          </w:p>
        </w:tc>
        <w:tc>
          <w:tcPr>
            <w:tcW w:w="8580" w:type="dxa"/>
          </w:tcPr>
          <w:p w14:paraId="4C2865AA" w14:textId="77777777" w:rsidR="002E1F2B" w:rsidRPr="000921F1" w:rsidRDefault="002E1F2B" w:rsidP="002E1F2B">
            <w:pPr>
              <w:pStyle w:val="TableText"/>
            </w:pPr>
            <w:r w:rsidRPr="000921F1">
              <w:rPr>
                <w:rFonts w:cs="Arial"/>
                <w:vanish/>
              </w:rPr>
              <w:t xml:space="preserve">BR_3.12 </w:t>
            </w:r>
            <w:r w:rsidRPr="000921F1">
              <w:rPr>
                <w:szCs w:val="22"/>
              </w:rPr>
              <w:t></w:t>
            </w:r>
            <w:r w:rsidRPr="000921F1">
              <w:t>When the user selects blood components from the frozen product types for a patient, VBECS emits an audible alert and warns that the selected blood unit must be thawed and may require additional processing prior to issue</w:t>
            </w:r>
            <w:r>
              <w:t>.</w:t>
            </w:r>
            <w:r w:rsidRPr="000921F1">
              <w:t xml:space="preserve"> VBECS updates the blood unit status to “assigned” and the unit is no longer available for issue.</w:t>
            </w:r>
          </w:p>
        </w:tc>
      </w:tr>
      <w:tr w:rsidR="002E1F2B" w:rsidRPr="000921F1" w14:paraId="10C4C3F5" w14:textId="77777777">
        <w:tc>
          <w:tcPr>
            <w:tcW w:w="780" w:type="dxa"/>
          </w:tcPr>
          <w:p w14:paraId="23F498E0" w14:textId="77777777" w:rsidR="002E1F2B" w:rsidRPr="000921F1" w:rsidRDefault="002E1F2B" w:rsidP="002E1F2B">
            <w:pPr>
              <w:pStyle w:val="TableText"/>
            </w:pPr>
            <w:r>
              <w:t>10</w:t>
            </w:r>
          </w:p>
        </w:tc>
        <w:tc>
          <w:tcPr>
            <w:tcW w:w="8580" w:type="dxa"/>
          </w:tcPr>
          <w:p w14:paraId="79997FB2" w14:textId="615177A4" w:rsidR="002E1F2B" w:rsidRPr="000921F1" w:rsidRDefault="002E1F2B" w:rsidP="002E1F2B">
            <w:pPr>
              <w:pStyle w:val="TableText"/>
            </w:pPr>
            <w:r w:rsidRPr="00B01176">
              <w:rPr>
                <w:vanish/>
              </w:rPr>
              <w:t xml:space="preserve">BR_3.35 </w:t>
            </w:r>
            <w:r w:rsidRPr="000921F1">
              <w:t xml:space="preserve">When a user selects a unit requiring XM, eXM is enabled, and the patient is eligible, the selected unit ABO/Rh must be compatible with the patient ABO/Rh. VBECS displays a message based on </w:t>
            </w:r>
            <w:r w:rsidR="00EE455E">
              <w:t xml:space="preserve">Appendix </w:t>
            </w:r>
            <w:r w:rsidR="00EE455E">
              <w:rPr>
                <w:noProof/>
              </w:rPr>
              <w:t>B</w:t>
            </w:r>
            <w:r w:rsidRPr="000921F1">
              <w:t>:</w:t>
            </w:r>
            <w:r>
              <w:t xml:space="preserve"> </w:t>
            </w:r>
            <w:r w:rsidR="00EE455E">
              <w:t xml:space="preserve">Table </w:t>
            </w:r>
            <w:r w:rsidR="00EE455E">
              <w:rPr>
                <w:noProof/>
              </w:rPr>
              <w:t>22</w:t>
            </w:r>
            <w:r w:rsidR="00EE455E">
              <w:t xml:space="preserve">: </w:t>
            </w:r>
            <w:r w:rsidR="00EE455E">
              <w:rPr>
                <w:vanish/>
              </w:rPr>
              <w:t xml:space="preserve">TT_3.05 </w:t>
            </w:r>
            <w:r w:rsidR="00EE455E">
              <w:t>Rules for Electronic and Serologic Crossmatch</w:t>
            </w:r>
            <w:r w:rsidRPr="000921F1">
              <w:t>. If the user continues to select that unit in which VBECS requires a serologic XM, VBECS does not allow the Caution Tag or BTRF to be printed, and does not update the unit status to “crossmatched”’ under normal system rules and policies. When the selected unit is available for emergency issue to the patient, VBECS allows the Caution Tag and BTRF to be printed.</w:t>
            </w:r>
          </w:p>
        </w:tc>
      </w:tr>
      <w:tr w:rsidR="002E1F2B" w:rsidRPr="000921F1" w14:paraId="547E55D8" w14:textId="77777777">
        <w:tc>
          <w:tcPr>
            <w:tcW w:w="780" w:type="dxa"/>
          </w:tcPr>
          <w:p w14:paraId="679E3DE2" w14:textId="77777777" w:rsidR="002E1F2B" w:rsidRPr="000921F1" w:rsidRDefault="002E1F2B" w:rsidP="002E1F2B">
            <w:pPr>
              <w:pStyle w:val="TableText"/>
            </w:pPr>
            <w:r>
              <w:t>12</w:t>
            </w:r>
          </w:p>
        </w:tc>
        <w:tc>
          <w:tcPr>
            <w:tcW w:w="8580" w:type="dxa"/>
          </w:tcPr>
          <w:p w14:paraId="3CB8E390" w14:textId="77777777" w:rsidR="002E1F2B" w:rsidRPr="000921F1" w:rsidRDefault="002E1F2B" w:rsidP="002E1F2B">
            <w:pPr>
              <w:pStyle w:val="TableText"/>
            </w:pPr>
            <w:r w:rsidRPr="000921F1">
              <w:rPr>
                <w:rFonts w:cs="Arial"/>
                <w:vanish/>
              </w:rPr>
              <w:t xml:space="preserve">BR_3.29 </w:t>
            </w:r>
            <w:r w:rsidRPr="000921F1">
              <w:t>When eXM is enabled and the patient and selected units are eligible, VBECS notifies the user and asks whether he wishes to continue with eXM.</w:t>
            </w:r>
          </w:p>
          <w:p w14:paraId="1BFEEAB3" w14:textId="77777777" w:rsidR="002E1F2B" w:rsidRPr="000921F1" w:rsidRDefault="002E1F2B" w:rsidP="002E1F2B">
            <w:pPr>
              <w:pStyle w:val="TableText"/>
            </w:pPr>
          </w:p>
          <w:p w14:paraId="1D7E9146" w14:textId="77777777" w:rsidR="002E1F2B" w:rsidRPr="000921F1" w:rsidRDefault="002E1F2B" w:rsidP="002E1F2B">
            <w:pPr>
              <w:pStyle w:val="TableText"/>
            </w:pPr>
            <w:r w:rsidRPr="000921F1">
              <w:rPr>
                <w:b/>
              </w:rPr>
              <w:t>Yes</w:t>
            </w:r>
            <w:r w:rsidRPr="000921F1">
              <w:t xml:space="preserve"> assigns a XM result of “Compatible: Electronically Crossmatched.” VBECS updates the database with the XM result, date and time of XM, XM technologist, division, specimen UID, specimen phlebotomist, and specimen expiration date and time. VBECS allows a Caution Tag and BTRF to be printed and the unit is ready for issue and transfusion. VBECS changes the unit status to “crossmatched.”</w:t>
            </w:r>
          </w:p>
          <w:p w14:paraId="1B97DF68" w14:textId="77777777" w:rsidR="002E1F2B" w:rsidRPr="000921F1" w:rsidRDefault="002E1F2B" w:rsidP="002E1F2B">
            <w:pPr>
              <w:pStyle w:val="TableText"/>
            </w:pPr>
          </w:p>
          <w:p w14:paraId="2C625C5E" w14:textId="77777777" w:rsidR="002E1F2B" w:rsidRPr="000921F1" w:rsidRDefault="002E1F2B" w:rsidP="002E1F2B">
            <w:pPr>
              <w:pStyle w:val="TableText"/>
            </w:pPr>
            <w:r w:rsidRPr="000921F1">
              <w:rPr>
                <w:b/>
              </w:rPr>
              <w:t>No</w:t>
            </w:r>
            <w:r w:rsidRPr="000921F1">
              <w:t xml:space="preserve"> keeps the unit assigned to the patient and available for data entry of serologic XM. VBECS does not allow the Caution Tag or BTRF to be printed and does not change the unit status to “crossmatched.” When a division is “transfusion only,” the unit remains assigned to the patient and is available for the user to enter the serologic XM interpretation, VBECS does not allow the Caution Tag or BTRF to be printed, and the unit is not crossmatched.</w:t>
            </w:r>
          </w:p>
        </w:tc>
      </w:tr>
      <w:tr w:rsidR="002E1F2B" w:rsidRPr="000921F1" w14:paraId="74197BE5" w14:textId="77777777">
        <w:tc>
          <w:tcPr>
            <w:tcW w:w="780" w:type="dxa"/>
          </w:tcPr>
          <w:p w14:paraId="0DB01531" w14:textId="77777777" w:rsidR="002E1F2B" w:rsidRPr="000921F1" w:rsidRDefault="002E1F2B" w:rsidP="002E1F2B">
            <w:pPr>
              <w:pStyle w:val="TableText"/>
            </w:pPr>
            <w:r>
              <w:t>12</w:t>
            </w:r>
          </w:p>
        </w:tc>
        <w:tc>
          <w:tcPr>
            <w:tcW w:w="8580" w:type="dxa"/>
          </w:tcPr>
          <w:p w14:paraId="3729A47C" w14:textId="77777777" w:rsidR="002E1F2B" w:rsidRPr="000921F1" w:rsidRDefault="002E1F2B" w:rsidP="002E1F2B">
            <w:pPr>
              <w:pStyle w:val="TableText"/>
            </w:pPr>
            <w:r w:rsidRPr="000921F1">
              <w:rPr>
                <w:rFonts w:cs="Arial"/>
                <w:vanish/>
              </w:rPr>
              <w:t xml:space="preserve">BR_3.37 </w:t>
            </w:r>
            <w:r w:rsidRPr="000921F1">
              <w:t>When the user selects a unit requiring XM, the division is defined as “full service,” eXM is enabled, and the patient is not eligible for eXM, VBECS warns the user that the selected units require serologic XM and asks whether he wishes to continue.</w:t>
            </w:r>
          </w:p>
          <w:p w14:paraId="5397FEEA" w14:textId="77777777" w:rsidR="002E1F2B" w:rsidRPr="000921F1" w:rsidRDefault="002E1F2B" w:rsidP="002E1F2B">
            <w:pPr>
              <w:pStyle w:val="TableText"/>
            </w:pPr>
          </w:p>
          <w:p w14:paraId="091B36FF" w14:textId="77777777" w:rsidR="002E1F2B" w:rsidRPr="000921F1" w:rsidRDefault="002E1F2B" w:rsidP="002E1F2B">
            <w:pPr>
              <w:pStyle w:val="TableText"/>
            </w:pPr>
            <w:r w:rsidRPr="000921F1">
              <w:rPr>
                <w:b/>
              </w:rPr>
              <w:t>Yes</w:t>
            </w:r>
            <w:r w:rsidRPr="000921F1">
              <w:t xml:space="preserve"> adds the units to the XM data entry grid and transfers the user to Patient Testing: Record Patient Test Results to begin the XM process. </w:t>
            </w:r>
            <w:r w:rsidRPr="000921F1">
              <w:rPr>
                <w:b/>
              </w:rPr>
              <w:t>No</w:t>
            </w:r>
            <w:r w:rsidRPr="000921F1">
              <w:t xml:space="preserve"> records that a serologic XM test is needed. The user may not print a Caution Tag or Blood Transfusion Record Form; the unit status does not change to “crossmatched.”</w:t>
            </w:r>
          </w:p>
        </w:tc>
      </w:tr>
    </w:tbl>
    <w:p w14:paraId="10B3074A" w14:textId="77777777" w:rsidR="002118B0" w:rsidRDefault="002118B0" w:rsidP="00DD75E5">
      <w:pPr>
        <w:pStyle w:val="BodyText"/>
      </w:pPr>
    </w:p>
    <w:p w14:paraId="3F2B688A" w14:textId="77777777" w:rsidR="002A21AE" w:rsidRDefault="002A21AE" w:rsidP="00533A82">
      <w:pPr>
        <w:pStyle w:val="Heading2"/>
      </w:pPr>
      <w:r>
        <w:br w:type="page"/>
      </w:r>
      <w:bookmarkStart w:id="359" w:name="_Issue_Blood_Components"/>
      <w:bookmarkStart w:id="360" w:name="_Toc149064135"/>
      <w:bookmarkStart w:id="361" w:name="_Toc94349371"/>
      <w:bookmarkEnd w:id="359"/>
      <w:r>
        <w:t>Issue Blood Components</w:t>
      </w:r>
      <w:bookmarkEnd w:id="360"/>
      <w:r w:rsidRPr="007716F7">
        <w:fldChar w:fldCharType="begin"/>
      </w:r>
      <w:r w:rsidRPr="007716F7">
        <w:instrText xml:space="preserve"> XE </w:instrText>
      </w:r>
      <w:r w:rsidR="00FA7E65" w:rsidRPr="007716F7">
        <w:instrText>“</w:instrText>
      </w:r>
      <w:r w:rsidRPr="007716F7">
        <w:instrText>Issue Blood Components</w:instrText>
      </w:r>
      <w:r w:rsidR="00FA7E65" w:rsidRPr="007716F7">
        <w:instrText>”</w:instrText>
      </w:r>
      <w:r w:rsidRPr="007716F7">
        <w:instrText xml:space="preserve"> </w:instrText>
      </w:r>
      <w:r w:rsidRPr="007716F7">
        <w:fldChar w:fldCharType="end"/>
      </w:r>
      <w:r w:rsidRPr="007716F7">
        <w:t xml:space="preserve"> </w:t>
      </w:r>
      <w:r w:rsidRPr="00557A54">
        <w:rPr>
          <w:rFonts w:ascii="Arial Bold" w:hAnsi="Arial Bold"/>
          <w:vanish/>
        </w:rPr>
        <w:t>UC_73</w:t>
      </w:r>
      <w:bookmarkEnd w:id="361"/>
      <w:r>
        <w:t xml:space="preserve"> </w:t>
      </w:r>
    </w:p>
    <w:p w14:paraId="7F565AFC" w14:textId="77777777" w:rsidR="002A21AE" w:rsidRDefault="002A21AE" w:rsidP="00FA7E65">
      <w:pPr>
        <w:pStyle w:val="BodyText"/>
      </w:pPr>
      <w:bookmarkStart w:id="362" w:name="_Toc34537111"/>
      <w:bookmarkStart w:id="363" w:name="_Toc34635892"/>
      <w:bookmarkStart w:id="364" w:name="_Toc34720938"/>
      <w:bookmarkStart w:id="365" w:name="_Toc35743728"/>
      <w:bookmarkStart w:id="366" w:name="_Toc42940987"/>
      <w:bookmarkStart w:id="367" w:name="_Toc43285430"/>
      <w:bookmarkStart w:id="368" w:name="_Toc72829288"/>
      <w:r>
        <w:t>The user issues one or more patient-assigned blood units to a transporter for storage in a remote location or for possible transfusion</w:t>
      </w:r>
      <w:bookmarkStart w:id="369" w:name="warn"/>
      <w:bookmarkEnd w:id="369"/>
      <w:r w:rsidR="00BC58E2">
        <w:t>.</w:t>
      </w:r>
    </w:p>
    <w:p w14:paraId="2EED621F" w14:textId="77777777" w:rsidR="002A21AE" w:rsidRDefault="002A21AE">
      <w:pPr>
        <w:pStyle w:val="Heading4"/>
      </w:pPr>
      <w:bookmarkStart w:id="370" w:name="_Toc94349372"/>
      <w:r>
        <w:t>Assumptions</w:t>
      </w:r>
      <w:bookmarkEnd w:id="370"/>
    </w:p>
    <w:p w14:paraId="63D9FA61" w14:textId="77777777" w:rsidR="00DC673E" w:rsidRDefault="00DC673E">
      <w:pPr>
        <w:pStyle w:val="ListBullet"/>
      </w:pPr>
      <w:r>
        <w:t>The facility has a procedure for the emergency issue of blood products.</w:t>
      </w:r>
    </w:p>
    <w:p w14:paraId="3C674124" w14:textId="77777777" w:rsidR="002A21AE" w:rsidRDefault="002A21AE">
      <w:pPr>
        <w:pStyle w:val="ListBullet"/>
      </w:pPr>
      <w:r>
        <w:t>The unit and the user are in the same division.</w:t>
      </w:r>
    </w:p>
    <w:p w14:paraId="603ADD1D" w14:textId="77777777" w:rsidR="002A21AE" w:rsidRDefault="002A21AE">
      <w:pPr>
        <w:pStyle w:val="ListBullet"/>
      </w:pPr>
      <w:r>
        <w:t>The unit is assigned and/or crossmatched for the patient currently selected for issue.</w:t>
      </w:r>
    </w:p>
    <w:p w14:paraId="4D4195F9" w14:textId="77777777" w:rsidR="002A21AE" w:rsidRDefault="00CA0045">
      <w:pPr>
        <w:pStyle w:val="ListBullet"/>
      </w:pPr>
      <w:r w:rsidRPr="00CA0045">
        <w:rPr>
          <w:bCs/>
        </w:rPr>
        <w:t>VistA</w:t>
      </w:r>
      <w:r w:rsidR="002A21AE">
        <w:t xml:space="preserve"> is available for the user to choose a physician and valid hospital locations.</w:t>
      </w:r>
    </w:p>
    <w:p w14:paraId="682355A2" w14:textId="77777777" w:rsidR="000C22E7" w:rsidRDefault="000C22E7">
      <w:pPr>
        <w:pStyle w:val="ListBullet"/>
      </w:pPr>
      <w:r>
        <w:t>All issue-to locations must be valid entries in the VistA HOSPITAL LOCATION (</w:t>
      </w:r>
      <w:r w:rsidR="00FA65C4">
        <w:t>#44)</w:t>
      </w:r>
      <w:r>
        <w:t>.</w:t>
      </w:r>
    </w:p>
    <w:p w14:paraId="2E992270" w14:textId="77777777" w:rsidR="002A21AE" w:rsidRDefault="002A21AE">
      <w:pPr>
        <w:pStyle w:val="Heading4"/>
      </w:pPr>
      <w:bookmarkStart w:id="371" w:name="_Toc94349373"/>
      <w:r>
        <w:t>Outcome</w:t>
      </w:r>
      <w:bookmarkEnd w:id="371"/>
    </w:p>
    <w:p w14:paraId="43CADC75" w14:textId="77777777" w:rsidR="002A21AE" w:rsidRDefault="002A21AE">
      <w:pPr>
        <w:pStyle w:val="ListBullet"/>
      </w:pPr>
      <w:r>
        <w:t>The unit status was updated to “issued.”</w:t>
      </w:r>
    </w:p>
    <w:p w14:paraId="58785011" w14:textId="77777777" w:rsidR="002A21AE" w:rsidRDefault="002A21AE">
      <w:pPr>
        <w:pStyle w:val="ListBullet"/>
      </w:pPr>
      <w:r>
        <w:t>The unit’s current location was updated to the “issue-to” location.</w:t>
      </w:r>
    </w:p>
    <w:p w14:paraId="1AA474AB" w14:textId="77777777" w:rsidR="002A21AE" w:rsidRDefault="002A21AE">
      <w:pPr>
        <w:pStyle w:val="Heading4"/>
      </w:pPr>
      <w:bookmarkStart w:id="372" w:name="_Toc94349374"/>
      <w:r>
        <w:t>Limitations and Restrictions</w:t>
      </w:r>
      <w:bookmarkEnd w:id="372"/>
    </w:p>
    <w:p w14:paraId="321C8B74" w14:textId="77777777" w:rsidR="00F26B72" w:rsidRDefault="00F26B72">
      <w:pPr>
        <w:pStyle w:val="ListBullet"/>
      </w:pPr>
      <w:r>
        <w:t xml:space="preserve">VBECS does not check </w:t>
      </w:r>
      <w:r w:rsidRPr="00F26B72">
        <w:t xml:space="preserve">for </w:t>
      </w:r>
      <w:r w:rsidR="00654CF2">
        <w:t>restricted</w:t>
      </w:r>
      <w:r w:rsidRPr="00F26B72">
        <w:t xml:space="preserve"> units </w:t>
      </w:r>
      <w:r w:rsidR="006E2907">
        <w:t>(</w:t>
      </w:r>
      <w:r>
        <w:t>not</w:t>
      </w:r>
      <w:r w:rsidRPr="00F26B72">
        <w:t xml:space="preserve"> assigned to the patient</w:t>
      </w:r>
      <w:r w:rsidR="006E2907">
        <w:t>)</w:t>
      </w:r>
      <w:r w:rsidRPr="00F26B72">
        <w:t xml:space="preserve"> received </w:t>
      </w:r>
      <w:r>
        <w:t>between selection and issue.</w:t>
      </w:r>
    </w:p>
    <w:p w14:paraId="0C1EB7FC" w14:textId="4E0F34A9" w:rsidR="00414644" w:rsidRDefault="002A21AE">
      <w:pPr>
        <w:pStyle w:val="ListBullet"/>
      </w:pPr>
      <w:r>
        <w:t xml:space="preserve">All issue-to locations must be valid entries in the </w:t>
      </w:r>
      <w:r w:rsidR="00CA0045" w:rsidRPr="00CA0045">
        <w:rPr>
          <w:bCs/>
        </w:rPr>
        <w:t>VistA</w:t>
      </w:r>
      <w:r>
        <w:t xml:space="preserve"> </w:t>
      </w:r>
      <w:r w:rsidR="00C925FB">
        <w:t>HOSPITAL LOCATION (#44)</w:t>
      </w:r>
      <w:r w:rsidR="008F2DE4">
        <w:t>.</w:t>
      </w:r>
    </w:p>
    <w:p w14:paraId="11850608" w14:textId="77777777" w:rsidR="002A21AE" w:rsidRDefault="009C7B46" w:rsidP="00215DFC">
      <w:pPr>
        <w:pStyle w:val="ListBullet"/>
      </w:pPr>
      <w:r>
        <w:t xml:space="preserve">If VistA link is not available, </w:t>
      </w:r>
      <w:r w:rsidR="00414644">
        <w:t>the user may proceed with the issue process but the current issue-to hospital location is not recorded.</w:t>
      </w:r>
      <w:r w:rsidR="00215DFC">
        <w:t xml:space="preserve"> All of the associated report records display “VistALink Down” in the Issue To location field.</w:t>
      </w:r>
      <w:r>
        <w:t xml:space="preserve"> </w:t>
      </w:r>
      <w:r w:rsidRPr="00215DFC">
        <w:rPr>
          <w:vanish/>
        </w:rPr>
        <w:t>DR 5073</w:t>
      </w:r>
    </w:p>
    <w:p w14:paraId="37451F53" w14:textId="77777777" w:rsidR="00A25BC9" w:rsidRDefault="00A25BC9" w:rsidP="00A25BC9">
      <w:pPr>
        <w:pStyle w:val="ListBullet"/>
      </w:pPr>
      <w:r>
        <w:t>ISBT 128 tables include blood product codes labeled as not for manufacturing or transfusion. VBECS does not restrict such products from being entered, issued, or transferred (l</w:t>
      </w:r>
      <w:r w:rsidR="00011036">
        <w:t>ocal policy controls their use)</w:t>
      </w:r>
      <w:r>
        <w:t xml:space="preserve"> </w:t>
      </w:r>
      <w:r w:rsidR="00011036">
        <w:t>and</w:t>
      </w:r>
      <w:r>
        <w:t xml:space="preserve"> does not accommodate blood modification for these products.</w:t>
      </w:r>
    </w:p>
    <w:p w14:paraId="71CF7264" w14:textId="77777777" w:rsidR="007E1B6B" w:rsidRDefault="007E1B6B" w:rsidP="00A25BC9">
      <w:pPr>
        <w:pStyle w:val="ListBullet"/>
      </w:pPr>
      <w:r>
        <w:t>W</w:t>
      </w:r>
      <w:r w:rsidRPr="007E1B6B">
        <w:t xml:space="preserve">hen a site has configured </w:t>
      </w:r>
      <w:r w:rsidR="009174D5" w:rsidRPr="007E1B6B">
        <w:t>subservient</w:t>
      </w:r>
      <w:r w:rsidRPr="007E1B6B">
        <w:t xml:space="preserve"> VistA ins</w:t>
      </w:r>
      <w:r>
        <w:t xml:space="preserve">titutions to the VBECS division, users </w:t>
      </w:r>
      <w:r w:rsidRPr="007E1B6B">
        <w:t xml:space="preserve">can only issue </w:t>
      </w:r>
      <w:r>
        <w:t xml:space="preserve">units </w:t>
      </w:r>
      <w:r w:rsidRPr="007E1B6B">
        <w:t xml:space="preserve">to locations in the primary VistA. Sites may add locations to VistA to account for the relocations to the </w:t>
      </w:r>
      <w:r w:rsidR="009174D5" w:rsidRPr="007E1B6B">
        <w:t>subservient</w:t>
      </w:r>
      <w:r w:rsidRPr="007E1B6B">
        <w:t xml:space="preserve"> VistA institutions.</w:t>
      </w:r>
      <w:r w:rsidRPr="007E1B6B">
        <w:rPr>
          <w:vanish/>
        </w:rPr>
        <w:t>DR 2,880</w:t>
      </w:r>
    </w:p>
    <w:p w14:paraId="3E644BDB" w14:textId="77777777" w:rsidR="0064308B" w:rsidRDefault="0064308B" w:rsidP="00A25BC9">
      <w:pPr>
        <w:pStyle w:val="ListBullet"/>
      </w:pPr>
      <w:r w:rsidRPr="00C01E45">
        <w:t>BCE information applies ONLY when a BCE COTS product is available for communication and is configured.</w:t>
      </w:r>
    </w:p>
    <w:p w14:paraId="28BEEF32" w14:textId="0684490A" w:rsidR="00B65627" w:rsidRDefault="00B65627" w:rsidP="00B65627">
      <w:pPr>
        <w:pStyle w:val="ListBullet"/>
      </w:pPr>
      <w:bookmarkStart w:id="373" w:name="_Toc94349375"/>
      <w:r w:rsidRPr="00633316">
        <w:t>Changing a patient's</w:t>
      </w:r>
      <w:r w:rsidR="00432F57">
        <w:t xml:space="preserve"> transfusion requirements</w:t>
      </w:r>
      <w:r w:rsidRPr="00633316">
        <w:t xml:space="preserve"> </w:t>
      </w:r>
      <w:r w:rsidR="00432F57">
        <w:t xml:space="preserve">(component requirements, </w:t>
      </w:r>
      <w:r w:rsidRPr="00633316">
        <w:t>antigen negative requirement or antibody identified</w:t>
      </w:r>
      <w:r w:rsidR="00432F57">
        <w:t>)</w:t>
      </w:r>
      <w:r w:rsidRPr="00633316">
        <w:t xml:space="preserve">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p w14:paraId="1BF2B544" w14:textId="2731189C" w:rsidR="002F25DF" w:rsidRDefault="002F25DF" w:rsidP="00B65627">
      <w:pPr>
        <w:pStyle w:val="ListBullet"/>
      </w:pPr>
      <w:r>
        <w:t>VBECS asks for a comment when issuing a unit that is assigned to two different patients. Enter a comment to issue the unit or release one of the patient assignments before issuing. The comment will appear on the Unit History Report in the Issue section.</w:t>
      </w:r>
      <w:r w:rsidR="00512B62">
        <w:t xml:space="preserve"> </w:t>
      </w:r>
      <w:r w:rsidR="00512B62" w:rsidRPr="004F5DF6">
        <w:rPr>
          <w:vanish/>
        </w:rPr>
        <w:t xml:space="preserve">Defect </w:t>
      </w:r>
      <w:r w:rsidR="004F5DF6" w:rsidRPr="004F5DF6">
        <w:rPr>
          <w:vanish/>
        </w:rPr>
        <w:t>208730</w:t>
      </w:r>
    </w:p>
    <w:p w14:paraId="2189DF08" w14:textId="40B7688C" w:rsidR="00425F42" w:rsidRDefault="00425F42" w:rsidP="00B65627">
      <w:pPr>
        <w:pStyle w:val="ListBullet"/>
      </w:pPr>
      <w:r>
        <w:t xml:space="preserve">Users should issue units in a timely manner to avoid the units being released from patient assignment by another user prior to the issue unit process completion. </w:t>
      </w:r>
      <w:r w:rsidRPr="00425F42">
        <w:rPr>
          <w:vanish/>
        </w:rPr>
        <w:t>Defect 12772</w:t>
      </w:r>
      <w:r w:rsidR="005D2A5F">
        <w:rPr>
          <w:vanish/>
        </w:rPr>
        <w:t>0</w:t>
      </w:r>
    </w:p>
    <w:p w14:paraId="3FEB1473" w14:textId="77777777" w:rsidR="002A21AE" w:rsidRDefault="002A21AE">
      <w:pPr>
        <w:pStyle w:val="Heading4"/>
      </w:pPr>
      <w:r>
        <w:t>Additional Information</w:t>
      </w:r>
      <w:bookmarkEnd w:id="373"/>
    </w:p>
    <w:p w14:paraId="387C5DF7" w14:textId="77777777" w:rsidR="002A21AE" w:rsidRDefault="00710E7E">
      <w:pPr>
        <w:pStyle w:val="ListBullet"/>
      </w:pPr>
      <w:r>
        <w:t xml:space="preserve">When no VistA order is available, </w:t>
      </w:r>
      <w:r w:rsidR="002A21AE">
        <w:t xml:space="preserve">the user must process the request manually until </w:t>
      </w:r>
      <w:r w:rsidR="00CA0045" w:rsidRPr="00CA0045">
        <w:rPr>
          <w:bCs/>
        </w:rPr>
        <w:t>VistA</w:t>
      </w:r>
      <w:r w:rsidR="002A21AE">
        <w:t xml:space="preserve"> provides them to VBECS. The user must print blank Caution Tags and Blood Transfusion Record Forms (BTRFs) to accommodate this rare occurrence.</w:t>
      </w:r>
      <w:r w:rsidR="00AB4026">
        <w:t xml:space="preserve"> When </w:t>
      </w:r>
      <w:r w:rsidR="00AB4026" w:rsidRPr="00CA0045">
        <w:rPr>
          <w:bCs/>
        </w:rPr>
        <w:t>VistA</w:t>
      </w:r>
      <w:r w:rsidR="00AB4026">
        <w:t xml:space="preserve"> does not provide a pseudonym or associated pseudo-ID for the patient that allows placement of a VistA order, VBECS cannot create a patient order for emergency issue of blood.</w:t>
      </w:r>
    </w:p>
    <w:p w14:paraId="162D8C92" w14:textId="77777777" w:rsidR="002A21AE" w:rsidRDefault="002A21AE">
      <w:pPr>
        <w:pStyle w:val="ListBullet"/>
      </w:pPr>
      <w:r>
        <w:t xml:space="preserve">“Issue with Medical Director Approval” components must be approved prior to this option and do not require special handling by VBECS. </w:t>
      </w:r>
    </w:p>
    <w:p w14:paraId="6C768D96" w14:textId="77777777" w:rsidR="002A21AE" w:rsidRDefault="002A21AE">
      <w:pPr>
        <w:pStyle w:val="ListBullet"/>
      </w:pPr>
      <w:r>
        <w:t>Emergency issue processing accommodates the issue of blood to patients without completed specimen testing, as required.</w:t>
      </w:r>
    </w:p>
    <w:p w14:paraId="1B229773" w14:textId="77777777" w:rsidR="009605EB" w:rsidRDefault="009605EB">
      <w:pPr>
        <w:pStyle w:val="ListBullet"/>
      </w:pPr>
      <w:r>
        <w:t xml:space="preserve">Sites may enter the lot number of blood administration sets </w:t>
      </w:r>
      <w:r w:rsidR="00A07263">
        <w:t xml:space="preserve">and leukoreducing filters </w:t>
      </w:r>
      <w:r>
        <w:t>when they enter the name of the individual picking up the blood product. VBECS retains this information in the unit history record.</w:t>
      </w:r>
    </w:p>
    <w:p w14:paraId="1918D63F" w14:textId="77777777" w:rsidR="00D059AF" w:rsidRDefault="00D059AF">
      <w:pPr>
        <w:pStyle w:val="ListBullet"/>
      </w:pPr>
      <w:r>
        <w:t xml:space="preserve">User must date all signature lines on the BTRF dating of the signatures [i.e., Inspected and issued by, Issued to, First Identifier, Second Identifier, Transfusion Data section completed </w:t>
      </w:r>
      <w:proofErr w:type="gramStart"/>
      <w:r>
        <w:t>by,</w:t>
      </w:r>
      <w:proofErr w:type="gramEnd"/>
      <w:r>
        <w:t xml:space="preserve"> Transfusion Reaction Data section completed by (as needed)].</w:t>
      </w:r>
    </w:p>
    <w:p w14:paraId="68DFDC97" w14:textId="77777777" w:rsidR="002A21AE" w:rsidRDefault="002A21AE">
      <w:pPr>
        <w:pStyle w:val="Heading4"/>
      </w:pPr>
      <w:bookmarkStart w:id="374" w:name="_Toc94349376"/>
      <w:r>
        <w:t>User Roles with Access to This Option</w:t>
      </w:r>
      <w:bookmarkEnd w:id="374"/>
    </w:p>
    <w:p w14:paraId="6F1E856A" w14:textId="77777777" w:rsidR="005C42D0" w:rsidRDefault="005C42D0" w:rsidP="005C42D0">
      <w:pPr>
        <w:pStyle w:val="Roles"/>
        <w:rPr>
          <w:snapToGrid w:val="0"/>
        </w:rPr>
      </w:pPr>
      <w:r>
        <w:t>All users</w:t>
      </w:r>
      <w:r>
        <w:rPr>
          <w:rFonts w:cs="Arial"/>
          <w:szCs w:val="18"/>
        </w:rPr>
        <w:t xml:space="preserve"> </w:t>
      </w:r>
    </w:p>
    <w:p w14:paraId="00F11751" w14:textId="77777777" w:rsidR="001F1013" w:rsidRDefault="001F1013" w:rsidP="001F1013">
      <w:pPr>
        <w:pStyle w:val="Caution"/>
      </w:pPr>
      <w:bookmarkStart w:id="375" w:name="_Toc94349377"/>
      <w:bookmarkEnd w:id="362"/>
      <w:bookmarkEnd w:id="363"/>
      <w:bookmarkEnd w:id="364"/>
      <w:bookmarkEnd w:id="365"/>
      <w:bookmarkEnd w:id="366"/>
      <w:bookmarkEnd w:id="367"/>
      <w:bookmarkEnd w:id="368"/>
      <w:r>
        <w:t>To correct issue time and other errors, return the unit from issue and reissue it with the correct information.</w:t>
      </w:r>
    </w:p>
    <w:p w14:paraId="3C182FCE" w14:textId="77777777" w:rsidR="002A21AE" w:rsidRDefault="002A21AE">
      <w:pPr>
        <w:pStyle w:val="Heading4"/>
      </w:pPr>
      <w:r>
        <w:t>Issue Blood Components (Routine)</w:t>
      </w:r>
      <w:bookmarkEnd w:id="375"/>
      <w:r>
        <w:fldChar w:fldCharType="begin"/>
      </w:r>
      <w:r>
        <w:instrText xml:space="preserve"> XE </w:instrText>
      </w:r>
      <w:r w:rsidR="00FA7E65">
        <w:instrText>“</w:instrText>
      </w:r>
      <w:r>
        <w:instrText>Issue Blood Components (Routine)</w:instrText>
      </w:r>
      <w:r w:rsidR="00FA7E65">
        <w:instrText>”</w:instrText>
      </w:r>
      <w:r>
        <w:instrText xml:space="preserve"> </w:instrText>
      </w:r>
      <w:r>
        <w:fldChar w:fldCharType="end"/>
      </w:r>
    </w:p>
    <w:p w14:paraId="06EEC037" w14:textId="77777777" w:rsidR="002A21AE" w:rsidRDefault="002A21AE" w:rsidP="00FA7E65">
      <w:pPr>
        <w:pStyle w:val="BodyText"/>
      </w:pPr>
      <w:r>
        <w:t xml:space="preserve">The user issues assigned or crossmatched blood to a transporter for patient transfusion at valid inpatient and outpatient hospital locations, and records issue details, including the transporter’s name or identifier.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306B839" w14:textId="77777777">
        <w:trPr>
          <w:cantSplit/>
          <w:tblHeader/>
        </w:trPr>
        <w:tc>
          <w:tcPr>
            <w:tcW w:w="3240" w:type="dxa"/>
            <w:shd w:val="pct30" w:color="auto" w:fill="FFFFFF"/>
            <w:vAlign w:val="bottom"/>
          </w:tcPr>
          <w:p w14:paraId="1050BCC6" w14:textId="77777777" w:rsidR="002A21AE" w:rsidRDefault="002A21AE">
            <w:pPr>
              <w:pStyle w:val="TableText"/>
              <w:rPr>
                <w:b/>
              </w:rPr>
            </w:pPr>
            <w:r>
              <w:rPr>
                <w:b/>
              </w:rPr>
              <w:t>User Action</w:t>
            </w:r>
          </w:p>
        </w:tc>
        <w:tc>
          <w:tcPr>
            <w:tcW w:w="6120" w:type="dxa"/>
            <w:shd w:val="pct30" w:color="auto" w:fill="FFFFFF"/>
            <w:vAlign w:val="bottom"/>
          </w:tcPr>
          <w:p w14:paraId="0466B3A7" w14:textId="77777777" w:rsidR="002A21AE" w:rsidRDefault="002A21AE">
            <w:pPr>
              <w:pStyle w:val="TableText"/>
              <w:rPr>
                <w:b/>
              </w:rPr>
            </w:pPr>
            <w:r>
              <w:rPr>
                <w:b/>
              </w:rPr>
              <w:t>VBECS</w:t>
            </w:r>
          </w:p>
        </w:tc>
      </w:tr>
      <w:tr w:rsidR="002A21AE" w14:paraId="05685B88" w14:textId="77777777">
        <w:tc>
          <w:tcPr>
            <w:tcW w:w="3240" w:type="dxa"/>
            <w:tcBorders>
              <w:top w:val="single" w:sz="4" w:space="0" w:color="auto"/>
              <w:left w:val="single" w:sz="4" w:space="0" w:color="auto"/>
              <w:bottom w:val="single" w:sz="4" w:space="0" w:color="auto"/>
              <w:right w:val="single" w:sz="4" w:space="0" w:color="auto"/>
            </w:tcBorders>
          </w:tcPr>
          <w:p w14:paraId="63D66980" w14:textId="77777777" w:rsidR="002A21AE" w:rsidRDefault="002A21AE">
            <w:pPr>
              <w:pStyle w:val="TableTextNumbers"/>
            </w:pPr>
            <w:r>
              <w:t xml:space="preserve">Select </w:t>
            </w:r>
            <w:r>
              <w:rPr>
                <w:b/>
              </w:rPr>
              <w:t>Patients</w:t>
            </w:r>
            <w:r>
              <w:t xml:space="preserve"> from the main menu.</w:t>
            </w:r>
          </w:p>
          <w:p w14:paraId="339A4B03" w14:textId="77777777" w:rsidR="002A21AE" w:rsidRDefault="002A21AE">
            <w:pPr>
              <w:pStyle w:val="TableTextNumbersContinued"/>
            </w:pPr>
          </w:p>
          <w:p w14:paraId="413C8111" w14:textId="77777777" w:rsidR="002A21AE" w:rsidRDefault="002A21AE">
            <w:pPr>
              <w:pStyle w:val="TableTextNumbersContinued"/>
            </w:pPr>
            <w:r>
              <w:t xml:space="preserve">Select </w:t>
            </w:r>
            <w:r>
              <w:rPr>
                <w:b/>
              </w:rPr>
              <w:t>Issue Blood Components</w:t>
            </w:r>
            <w:r>
              <w:t>.</w:t>
            </w:r>
          </w:p>
        </w:tc>
        <w:tc>
          <w:tcPr>
            <w:tcW w:w="6120" w:type="dxa"/>
            <w:tcBorders>
              <w:top w:val="single" w:sz="4" w:space="0" w:color="auto"/>
              <w:left w:val="single" w:sz="4" w:space="0" w:color="auto"/>
              <w:bottom w:val="single" w:sz="4" w:space="0" w:color="auto"/>
              <w:right w:val="single" w:sz="4" w:space="0" w:color="auto"/>
            </w:tcBorders>
          </w:tcPr>
          <w:p w14:paraId="49302DE3" w14:textId="77777777" w:rsidR="002A21AE" w:rsidRDefault="002A21AE">
            <w:pPr>
              <w:pStyle w:val="TableTextBullet"/>
            </w:pPr>
            <w:r>
              <w:t>Displays options for processing patient-related functions.</w:t>
            </w:r>
          </w:p>
          <w:p w14:paraId="585D2698" w14:textId="77777777" w:rsidR="002A21AE" w:rsidRDefault="002A21AE">
            <w:pPr>
              <w:pStyle w:val="TableTextBullet"/>
            </w:pPr>
            <w:r>
              <w:t>Displays an option to scan the Caution Tag or enter a patient name or ID.</w:t>
            </w:r>
          </w:p>
          <w:p w14:paraId="089E79DA" w14:textId="77777777" w:rsidR="002A21AE" w:rsidRDefault="002A21AE">
            <w:pPr>
              <w:pStyle w:val="TableText"/>
            </w:pPr>
          </w:p>
          <w:p w14:paraId="42B55180" w14:textId="2D9F9C64" w:rsidR="002A21AE" w:rsidRDefault="002A21AE">
            <w:pPr>
              <w:pStyle w:val="TableText"/>
              <w:rPr>
                <w:b/>
                <w:bCs/>
                <w:szCs w:val="18"/>
              </w:rPr>
            </w:pPr>
            <w:r>
              <w:rPr>
                <w:b/>
                <w:bCs/>
                <w:szCs w:val="18"/>
              </w:rPr>
              <w:t>NOTES</w:t>
            </w:r>
          </w:p>
          <w:p w14:paraId="410462E8" w14:textId="77777777" w:rsidR="002A21AE" w:rsidRDefault="002A21AE">
            <w:pPr>
              <w:pStyle w:val="NotesText"/>
            </w:pPr>
          </w:p>
          <w:p w14:paraId="60533C17" w14:textId="77777777" w:rsidR="002A21AE" w:rsidRDefault="002A21AE">
            <w:pPr>
              <w:pStyle w:val="NotesText"/>
            </w:pPr>
            <w:r>
              <w:rPr>
                <w:rFonts w:cs="Arial"/>
                <w:vanish/>
              </w:rPr>
              <w:t xml:space="preserve">BR_73.22 </w:t>
            </w:r>
            <w:r>
              <w:t>The user must verify the correct patient selection</w:t>
            </w:r>
            <w:r w:rsidR="00F3010E">
              <w:t>.</w:t>
            </w:r>
            <w:r>
              <w:t xml:space="preserve"> </w:t>
            </w:r>
          </w:p>
          <w:p w14:paraId="74352814" w14:textId="77777777" w:rsidR="001E0858" w:rsidRDefault="001E0858" w:rsidP="00CA495D">
            <w:pPr>
              <w:pStyle w:val="NotesText"/>
            </w:pPr>
          </w:p>
          <w:p w14:paraId="364F6C6B" w14:textId="77777777" w:rsidR="001E0858" w:rsidRDefault="001E0858" w:rsidP="00CA495D">
            <w:pPr>
              <w:pStyle w:val="NotesText"/>
            </w:pPr>
            <w:r>
              <w:t xml:space="preserve">The </w:t>
            </w:r>
            <w:r w:rsidRPr="00EC7489">
              <w:rPr>
                <w:rFonts w:ascii="Wingdings 3" w:hAnsi="Wingdings 3"/>
              </w:rPr>
              <w:t></w:t>
            </w:r>
            <w:r w:rsidRPr="00EC7489">
              <w:rPr>
                <w:rFonts w:ascii="Wingdings 3" w:hAnsi="Wingdings 3"/>
              </w:rPr>
              <w:t></w:t>
            </w:r>
            <w:r>
              <w:t xml:space="preserve"> Enhanced Technologist </w:t>
            </w:r>
            <w:r w:rsidR="00915BD8">
              <w:t>or</w:t>
            </w:r>
            <w:r>
              <w:t xml:space="preserve"> above is authorized to issue expired blood products.</w:t>
            </w:r>
          </w:p>
          <w:p w14:paraId="1FFF271B" w14:textId="77777777" w:rsidR="001E0858" w:rsidRDefault="001E0858" w:rsidP="00CA495D">
            <w:pPr>
              <w:pStyle w:val="NotesText"/>
            </w:pPr>
          </w:p>
          <w:p w14:paraId="1A8BEF4F" w14:textId="77777777" w:rsidR="001E0858" w:rsidRPr="001E0858" w:rsidRDefault="001E0858" w:rsidP="00CA495D">
            <w:pPr>
              <w:pStyle w:val="NotesText"/>
              <w:rPr>
                <w:snapToGrid w:val="0"/>
              </w:rPr>
            </w:pPr>
            <w:r>
              <w:t xml:space="preserve">The </w:t>
            </w:r>
            <w:r w:rsidRPr="00EC7489">
              <w:rPr>
                <w:rFonts w:ascii="Wingdings 3" w:hAnsi="Wingdings 3"/>
              </w:rPr>
              <w:t></w:t>
            </w:r>
            <w:r w:rsidRPr="00EC7489">
              <w:rPr>
                <w:rFonts w:ascii="Wingdings 3" w:hAnsi="Wingdings 3"/>
              </w:rPr>
              <w:t></w:t>
            </w:r>
            <w:r w:rsidRPr="00EC7489">
              <w:rPr>
                <w:rFonts w:ascii="Wingdings 3" w:hAnsi="Wingdings 3"/>
              </w:rPr>
              <w:t></w:t>
            </w:r>
            <w:r>
              <w:t xml:space="preserve"> </w:t>
            </w:r>
            <w:r>
              <w:rPr>
                <w:rFonts w:cs="Arial"/>
              </w:rPr>
              <w:t>Lead Technologist</w:t>
            </w:r>
            <w:r>
              <w:rPr>
                <w:snapToGrid w:val="0"/>
              </w:rPr>
              <w:t xml:space="preserve"> </w:t>
            </w:r>
            <w:r w:rsidR="00915BD8">
              <w:rPr>
                <w:snapToGrid w:val="0"/>
              </w:rPr>
              <w:t>or</w:t>
            </w:r>
            <w:r>
              <w:rPr>
                <w:snapToGrid w:val="0"/>
              </w:rPr>
              <w:t xml:space="preserve"> above is authorized to issue antigen positive and untyped red blood cells.</w:t>
            </w:r>
          </w:p>
        </w:tc>
      </w:tr>
      <w:tr w:rsidR="002A21AE" w14:paraId="4431932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F8C1BDE" w14:textId="77777777" w:rsidR="002A21AE" w:rsidRDefault="002A21AE">
            <w:pPr>
              <w:pStyle w:val="TableTextNumbers"/>
            </w:pPr>
            <w:r>
              <w:t>Select a patient.</w:t>
            </w:r>
          </w:p>
        </w:tc>
        <w:tc>
          <w:tcPr>
            <w:tcW w:w="6120" w:type="dxa"/>
            <w:tcBorders>
              <w:top w:val="single" w:sz="6" w:space="0" w:color="auto"/>
              <w:left w:val="single" w:sz="6" w:space="0" w:color="auto"/>
              <w:bottom w:val="single" w:sz="6" w:space="0" w:color="auto"/>
              <w:right w:val="single" w:sz="6" w:space="0" w:color="auto"/>
            </w:tcBorders>
          </w:tcPr>
          <w:p w14:paraId="0D15D49D" w14:textId="77777777" w:rsidR="002A21AE" w:rsidRDefault="002A21AE">
            <w:pPr>
              <w:pStyle w:val="TableTextBullet"/>
            </w:pPr>
            <w:r>
              <w:t>Displays patient data, including entries that meet the entered patient criteria, and allows the user to select the correct patient.</w:t>
            </w:r>
          </w:p>
          <w:p w14:paraId="198A5105" w14:textId="77777777" w:rsidR="002A21AE" w:rsidRDefault="002A21AE">
            <w:pPr>
              <w:pStyle w:val="TableText"/>
            </w:pPr>
          </w:p>
          <w:p w14:paraId="6A52F951" w14:textId="5F3F6BB0" w:rsidR="002A21AE" w:rsidRDefault="002A21AE">
            <w:pPr>
              <w:pStyle w:val="TableText"/>
              <w:rPr>
                <w:b/>
                <w:bCs/>
                <w:szCs w:val="18"/>
              </w:rPr>
            </w:pPr>
            <w:r>
              <w:rPr>
                <w:b/>
                <w:bCs/>
                <w:szCs w:val="18"/>
              </w:rPr>
              <w:t>NOTES</w:t>
            </w:r>
          </w:p>
          <w:p w14:paraId="0C3383BA" w14:textId="77777777" w:rsidR="002A21AE" w:rsidRDefault="002A21AE">
            <w:pPr>
              <w:pStyle w:val="NotesText"/>
            </w:pPr>
          </w:p>
          <w:p w14:paraId="2F512E3E" w14:textId="150CC277"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EE455E">
              <w:t xml:space="preserve">Table </w:t>
            </w:r>
            <w:r w:rsidR="00EE455E">
              <w:rPr>
                <w:noProof/>
              </w:rPr>
              <w:t>7</w:t>
            </w:r>
            <w:r w:rsidR="002A21AE">
              <w:t xml:space="preserve"> for alerts that may occur during this option.</w:t>
            </w:r>
          </w:p>
          <w:p w14:paraId="5867D8CA" w14:textId="77777777" w:rsidR="006E1BB2" w:rsidRDefault="006E1BB2">
            <w:pPr>
              <w:pStyle w:val="TableText"/>
              <w:ind w:left="360"/>
            </w:pPr>
          </w:p>
          <w:p w14:paraId="22F4962D" w14:textId="77777777" w:rsidR="006E1BB2" w:rsidRDefault="006E1BB2" w:rsidP="006E1BB2">
            <w:pPr>
              <w:pStyle w:val="TableText"/>
              <w:ind w:left="720"/>
            </w:pPr>
            <w:r>
              <w:t xml:space="preserve">Not all possible error messages may display when multiple messages may apply to the unit/patient. Correction of any one of the patient/unit problems and </w:t>
            </w:r>
            <w:r w:rsidR="008C7599">
              <w:t xml:space="preserve">subsequent re-attempts </w:t>
            </w:r>
            <w:r>
              <w:t>to issue the unit to the patient will display another of the possible messages until all</w:t>
            </w:r>
            <w:r w:rsidR="008C7599">
              <w:t xml:space="preserve"> errors</w:t>
            </w:r>
            <w:r>
              <w:t xml:space="preserve"> are corrected. </w:t>
            </w:r>
            <w:r w:rsidRPr="006E1BB2">
              <w:rPr>
                <w:vanish/>
              </w:rPr>
              <w:t>DR 4808</w:t>
            </w:r>
          </w:p>
          <w:p w14:paraId="1C31F931" w14:textId="77777777" w:rsidR="006E1BB2" w:rsidRDefault="006E1BB2" w:rsidP="006E1BB2">
            <w:pPr>
              <w:pStyle w:val="TableText"/>
              <w:ind w:left="720"/>
            </w:pPr>
          </w:p>
        </w:tc>
      </w:tr>
      <w:tr w:rsidR="002A21AE" w14:paraId="250028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3CE754E0" w14:textId="77777777" w:rsidR="002A21AE" w:rsidRDefault="002A21AE">
            <w:pPr>
              <w:pStyle w:val="TableTextNumbers"/>
            </w:pPr>
            <w:r>
              <w:t xml:space="preserve">Click </w:t>
            </w:r>
            <w:r>
              <w:rPr>
                <w:b/>
              </w:rPr>
              <w:t>OK</w:t>
            </w:r>
            <w:r>
              <w:t xml:space="preserve"> to verify that the correct patient was selected.</w:t>
            </w:r>
          </w:p>
        </w:tc>
        <w:tc>
          <w:tcPr>
            <w:tcW w:w="6120" w:type="dxa"/>
            <w:tcBorders>
              <w:top w:val="single" w:sz="6" w:space="0" w:color="auto"/>
              <w:left w:val="single" w:sz="6" w:space="0" w:color="auto"/>
              <w:bottom w:val="single" w:sz="6" w:space="0" w:color="auto"/>
              <w:right w:val="single" w:sz="6" w:space="0" w:color="auto"/>
            </w:tcBorders>
          </w:tcPr>
          <w:p w14:paraId="11AFEC12" w14:textId="77777777" w:rsidR="002A21AE" w:rsidRDefault="002A21AE" w:rsidP="003B4820">
            <w:pPr>
              <w:pStyle w:val="TableTextBullet"/>
            </w:pPr>
            <w:r>
              <w:t>Displays fields for the user to enter data for the issue transaction.</w:t>
            </w:r>
          </w:p>
        </w:tc>
      </w:tr>
      <w:tr w:rsidR="002A21AE" w14:paraId="752A197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120E9AA7" w14:textId="33CCDABB" w:rsidR="002A21AE" w:rsidRDefault="002A21AE">
            <w:pPr>
              <w:pStyle w:val="TableTextNumbers"/>
            </w:pPr>
            <w:r>
              <w:t xml:space="preserve">Enter the required </w:t>
            </w:r>
            <w:r w:rsidR="003B4820">
              <w:t>data in the transporter name, issue-to location, and date and time fields</w:t>
            </w:r>
            <w:r w:rsidR="00A04663">
              <w:t xml:space="preserve"> </w:t>
            </w:r>
            <w:r w:rsidR="003767D2">
              <w:t>(</w:t>
            </w:r>
            <w:r w:rsidR="00EE455E">
              <w:t xml:space="preserve">Figure </w:t>
            </w:r>
            <w:r w:rsidR="00EE455E">
              <w:rPr>
                <w:noProof/>
              </w:rPr>
              <w:t>72</w:t>
            </w:r>
            <w:r w:rsidR="003767D2">
              <w:t>)</w:t>
            </w:r>
            <w:r>
              <w:t>.</w:t>
            </w:r>
          </w:p>
          <w:p w14:paraId="554FB728" w14:textId="77777777" w:rsidR="003B4820" w:rsidRDefault="003B4820" w:rsidP="003B4820">
            <w:pPr>
              <w:pStyle w:val="TableTextNumbersContinued"/>
            </w:pPr>
          </w:p>
          <w:p w14:paraId="6E32661A" w14:textId="77777777" w:rsidR="003B4820" w:rsidRPr="003B4820" w:rsidRDefault="003B4820" w:rsidP="003B4820">
            <w:pPr>
              <w:pStyle w:val="TableTextNumbersContinued"/>
            </w:pPr>
            <w:r>
              <w:t xml:space="preserve">Click </w:t>
            </w:r>
            <w:r>
              <w:rPr>
                <w:b/>
              </w:rPr>
              <w:t>OK</w:t>
            </w:r>
            <w:r w:rsidRPr="003B4820">
              <w:t>.</w:t>
            </w:r>
          </w:p>
        </w:tc>
        <w:tc>
          <w:tcPr>
            <w:tcW w:w="6120" w:type="dxa"/>
            <w:tcBorders>
              <w:top w:val="single" w:sz="6" w:space="0" w:color="auto"/>
              <w:left w:val="single" w:sz="6" w:space="0" w:color="auto"/>
              <w:bottom w:val="single" w:sz="6" w:space="0" w:color="auto"/>
              <w:right w:val="single" w:sz="6" w:space="0" w:color="auto"/>
            </w:tcBorders>
          </w:tcPr>
          <w:p w14:paraId="1E83D4DB" w14:textId="77777777" w:rsidR="003B4820" w:rsidRDefault="003B4820" w:rsidP="003B4820">
            <w:pPr>
              <w:pStyle w:val="TableText"/>
            </w:pPr>
          </w:p>
          <w:p w14:paraId="42898E21" w14:textId="1F132418" w:rsidR="003B4820" w:rsidRDefault="003B4820" w:rsidP="003B4820">
            <w:pPr>
              <w:pStyle w:val="TableText"/>
              <w:rPr>
                <w:b/>
                <w:bCs/>
                <w:szCs w:val="18"/>
              </w:rPr>
            </w:pPr>
            <w:r>
              <w:rPr>
                <w:b/>
                <w:bCs/>
                <w:szCs w:val="18"/>
              </w:rPr>
              <w:t>NOTES</w:t>
            </w:r>
          </w:p>
          <w:p w14:paraId="321E6726" w14:textId="77777777" w:rsidR="003B4820" w:rsidRDefault="003B4820" w:rsidP="003B4820">
            <w:pPr>
              <w:pStyle w:val="NotesText"/>
            </w:pPr>
          </w:p>
          <w:p w14:paraId="5367EA81" w14:textId="77777777" w:rsidR="003B4820" w:rsidRDefault="003B4820" w:rsidP="003B4820">
            <w:pPr>
              <w:pStyle w:val="NotesText"/>
            </w:pPr>
            <w:r>
              <w:rPr>
                <w:rFonts w:cs="Arial"/>
                <w:vanish/>
              </w:rPr>
              <w:t xml:space="preserve">BR_73.01 </w:t>
            </w:r>
            <w:r>
              <w:t>The user may edit the transfusion-ordering clinician, which does not change the blood-ordering clinician.</w:t>
            </w:r>
          </w:p>
          <w:p w14:paraId="549C3E90" w14:textId="77777777" w:rsidR="003B4820" w:rsidRDefault="003B4820" w:rsidP="003B4820">
            <w:pPr>
              <w:pStyle w:val="NotesText"/>
            </w:pPr>
          </w:p>
          <w:p w14:paraId="09190324" w14:textId="77777777" w:rsidR="003B4820" w:rsidRDefault="003B4820" w:rsidP="003B4820">
            <w:pPr>
              <w:pStyle w:val="NotesText"/>
            </w:pPr>
            <w:r>
              <w:rPr>
                <w:rFonts w:cs="Arial"/>
                <w:vanish/>
              </w:rPr>
              <w:t xml:space="preserve">BR_73.18 </w:t>
            </w:r>
            <w:r>
              <w:t xml:space="preserve">When the user updates the transfusion-ordering-clinician field, VistALink queries </w:t>
            </w:r>
            <w:r w:rsidRPr="00CA0045">
              <w:rPr>
                <w:bCs/>
              </w:rPr>
              <w:t>VistA</w:t>
            </w:r>
            <w:r>
              <w:t xml:space="preserve"> for valid providers only. The user may narrow the search by entering the provider’s name.</w:t>
            </w:r>
          </w:p>
          <w:p w14:paraId="1F9A33FA" w14:textId="77777777" w:rsidR="003B4820" w:rsidRDefault="003B4820" w:rsidP="003B4820">
            <w:pPr>
              <w:pStyle w:val="NotesText"/>
            </w:pPr>
          </w:p>
          <w:p w14:paraId="79C8C4A0" w14:textId="77777777" w:rsidR="003B4820" w:rsidRDefault="003B4820" w:rsidP="003B4820">
            <w:pPr>
              <w:pStyle w:val="NotesText"/>
            </w:pPr>
            <w:r>
              <w:rPr>
                <w:rFonts w:cs="Arial"/>
                <w:vanish/>
              </w:rPr>
              <w:t xml:space="preserve">BR_73.08 </w:t>
            </w:r>
            <w:r>
              <w:t>The user may edit the issue date and time (default: current date and time) to allow retrospective data entry; no future issue date or time is allowed. When the issue time is incorrect, the user must undo the issue and reissue the unit with the correct date and time.</w:t>
            </w:r>
          </w:p>
          <w:p w14:paraId="262C20EB" w14:textId="77777777" w:rsidR="003B4820" w:rsidRDefault="003B4820" w:rsidP="003B4820">
            <w:pPr>
              <w:pStyle w:val="NotesText"/>
            </w:pPr>
          </w:p>
          <w:p w14:paraId="05F79557" w14:textId="47A65B1C" w:rsidR="003B4820" w:rsidRDefault="003B4820" w:rsidP="00F11F45">
            <w:pPr>
              <w:pStyle w:val="NotesText"/>
            </w:pPr>
            <w:r w:rsidRPr="00F11F45">
              <w:rPr>
                <w:vanish/>
                <w:szCs w:val="18"/>
              </w:rPr>
              <w:t xml:space="preserve">BR_73.09, BR_30.02 </w:t>
            </w:r>
            <w:r w:rsidRPr="00F11F45">
              <w:t>A remote storage indicator is optional (default: No).</w:t>
            </w:r>
            <w:r w:rsidR="006549B7" w:rsidRPr="00F11F45">
              <w:t xml:space="preserve"> </w:t>
            </w:r>
            <w:r w:rsidRPr="00F11F45">
              <w:t xml:space="preserve">The transporter name field allows free text and does not display a selection list. </w:t>
            </w:r>
            <w:r w:rsidR="00F11F45" w:rsidRPr="00F11F45">
              <w:t xml:space="preserve">The issue-to location is a listing of current hospital locations, provided by VistALink when available. When VistALink is not available, the system indicates that an issue-to location is not available and disables the issue-to location field. </w:t>
            </w:r>
            <w:r w:rsidRPr="00F11F45">
              <w:t>This is related to billing reimbursement and is not an enabled field in the issue option.</w:t>
            </w:r>
          </w:p>
          <w:p w14:paraId="48180671" w14:textId="5CBBEC66" w:rsidR="00F11F45" w:rsidRDefault="00F11F45" w:rsidP="003B4820">
            <w:pPr>
              <w:pStyle w:val="NotesText"/>
            </w:pPr>
          </w:p>
          <w:p w14:paraId="6A1BAEF1" w14:textId="77777777" w:rsidR="00102607" w:rsidRDefault="00102607" w:rsidP="003B4820">
            <w:pPr>
              <w:pStyle w:val="NotesText"/>
            </w:pPr>
            <w:r>
              <w:t xml:space="preserve">A user could return the unit from issue and reissue it with a hospital location when VistALink is up again. </w:t>
            </w:r>
            <w:r w:rsidRPr="00102607">
              <w:rPr>
                <w:vanish/>
              </w:rPr>
              <w:t>DR 5073</w:t>
            </w:r>
          </w:p>
          <w:p w14:paraId="4313563A" w14:textId="77777777" w:rsidR="003B4820" w:rsidRDefault="003B4820" w:rsidP="003B4820">
            <w:pPr>
              <w:pStyle w:val="NotesText"/>
              <w:rPr>
                <w:rFonts w:cs="Arial"/>
              </w:rPr>
            </w:pPr>
          </w:p>
          <w:p w14:paraId="57DFC084" w14:textId="77777777" w:rsidR="003B4820" w:rsidRDefault="003B4820" w:rsidP="003B4820">
            <w:pPr>
              <w:pStyle w:val="NotesText"/>
            </w:pPr>
            <w:r>
              <w:rPr>
                <w:rFonts w:cs="Arial"/>
                <w:vanish/>
              </w:rPr>
              <w:t xml:space="preserve">BR_73.34 </w:t>
            </w:r>
            <w:r>
              <w:t>When a remote storage location indicator is checked, the user may select from a list of previously entered locations or enter a new, free-text location. Each location entered and saved is available for future selection as a remote location.</w:t>
            </w:r>
          </w:p>
          <w:p w14:paraId="3DE972CD" w14:textId="77777777" w:rsidR="00D43534" w:rsidRDefault="00D43534" w:rsidP="003B4820">
            <w:pPr>
              <w:pStyle w:val="NotesText"/>
            </w:pPr>
          </w:p>
          <w:p w14:paraId="3FE5FD10" w14:textId="77777777" w:rsidR="00D43534" w:rsidRDefault="00D43534" w:rsidP="003B4820">
            <w:pPr>
              <w:pStyle w:val="NotesText"/>
            </w:pPr>
            <w:r w:rsidRPr="00D43534">
              <w:rPr>
                <w:rFonts w:cs="Arial"/>
                <w:vanish/>
                <w:szCs w:val="18"/>
              </w:rPr>
              <w:t xml:space="preserve">BR_73.38 </w:t>
            </w:r>
            <w:r>
              <w:rPr>
                <w:rFonts w:cs="Arial"/>
                <w:szCs w:val="18"/>
              </w:rPr>
              <w:t>When the component order is for PLATE</w:t>
            </w:r>
            <w:r w:rsidR="00EF6C4B">
              <w:rPr>
                <w:rFonts w:cs="Arial"/>
                <w:szCs w:val="18"/>
              </w:rPr>
              <w:t>LETS or OTHER, the units with = &gt;</w:t>
            </w:r>
            <w:r>
              <w:rPr>
                <w:rFonts w:cs="Arial"/>
                <w:szCs w:val="18"/>
              </w:rPr>
              <w:t xml:space="preserve"> 2 mL of RBC contamination must be presented </w:t>
            </w:r>
            <w:r w:rsidRPr="005722FA">
              <w:rPr>
                <w:rFonts w:cs="Arial"/>
                <w:szCs w:val="18"/>
              </w:rPr>
              <w:t>and checke</w:t>
            </w:r>
            <w:r>
              <w:rPr>
                <w:rFonts w:cs="Arial"/>
                <w:szCs w:val="18"/>
              </w:rPr>
              <w:t>d for compatibility and will display before products with less than (&lt; ) 2 mL of RBC contamination. The system will present all available units when the Product Type is PLATELETS or OTHER non-plasma components that have &lt; 2 mL RBC contamination.</w:t>
            </w:r>
          </w:p>
        </w:tc>
      </w:tr>
      <w:tr w:rsidR="002A21AE" w14:paraId="6247BE4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6B1EDA97" w14:textId="0E44CDAF" w:rsidR="002A21AE" w:rsidRDefault="002A21AE" w:rsidP="003B7F11">
            <w:pPr>
              <w:pStyle w:val="TableTextNumbers"/>
            </w:pPr>
            <w:r>
              <w:t xml:space="preserve">Scan </w:t>
            </w:r>
            <w:r w:rsidR="00323155">
              <w:t xml:space="preserve">the unit ID and product code, </w:t>
            </w:r>
            <w:r>
              <w:t>or click one or more check boxes to select units for issue to the selected patient</w:t>
            </w:r>
            <w:r w:rsidR="003767D2">
              <w:t xml:space="preserve"> (</w:t>
            </w:r>
            <w:r w:rsidR="00EE455E">
              <w:t xml:space="preserve">Figure </w:t>
            </w:r>
            <w:r w:rsidR="00EE455E">
              <w:rPr>
                <w:noProof/>
              </w:rPr>
              <w:t>73</w:t>
            </w:r>
            <w:r w:rsidR="003767D2">
              <w:t>)</w:t>
            </w:r>
            <w:r>
              <w:t>.</w:t>
            </w:r>
          </w:p>
        </w:tc>
        <w:tc>
          <w:tcPr>
            <w:tcW w:w="6120" w:type="dxa"/>
            <w:tcBorders>
              <w:top w:val="single" w:sz="6" w:space="0" w:color="auto"/>
              <w:left w:val="single" w:sz="6" w:space="0" w:color="auto"/>
              <w:bottom w:val="single" w:sz="6" w:space="0" w:color="auto"/>
              <w:right w:val="single" w:sz="6" w:space="0" w:color="auto"/>
            </w:tcBorders>
          </w:tcPr>
          <w:p w14:paraId="19B4CB45" w14:textId="77777777" w:rsidR="005D4DA6" w:rsidRDefault="005D4DA6" w:rsidP="005D4DA6">
            <w:pPr>
              <w:pStyle w:val="TableTextBullet"/>
            </w:pPr>
            <w:r>
              <w:t xml:space="preserve">Displays the option to select units from the Assigned Units or Emergency Issue Units tabs. </w:t>
            </w:r>
          </w:p>
          <w:p w14:paraId="47E6C5A5" w14:textId="77777777" w:rsidR="002A21AE" w:rsidRDefault="002A21AE">
            <w:pPr>
              <w:pStyle w:val="TableTextBullet"/>
              <w:tabs>
                <w:tab w:val="num" w:pos="360"/>
              </w:tabs>
            </w:pPr>
            <w:r>
              <w:t xml:space="preserve">Lists the selected units, allows the user to select additional units or deselect units, and prompts the user to indicate that the selections are complete. </w:t>
            </w:r>
          </w:p>
          <w:p w14:paraId="7B3931E4" w14:textId="77777777" w:rsidR="006709A3" w:rsidRDefault="006709A3" w:rsidP="006709A3">
            <w:pPr>
              <w:pStyle w:val="TableTextBullet"/>
              <w:tabs>
                <w:tab w:val="num" w:pos="360"/>
              </w:tabs>
            </w:pPr>
            <w:r>
              <w:t>Allows the user to select the unsatisfactory unit and edit its issue selections.</w:t>
            </w:r>
          </w:p>
          <w:p w14:paraId="5C3BE7B2" w14:textId="77777777" w:rsidR="002A21AE" w:rsidRDefault="002A21AE">
            <w:pPr>
              <w:pStyle w:val="TableText"/>
            </w:pPr>
          </w:p>
          <w:p w14:paraId="013478DA" w14:textId="3C5C6870" w:rsidR="002A21AE" w:rsidRDefault="002A21AE">
            <w:pPr>
              <w:pStyle w:val="TableText"/>
              <w:rPr>
                <w:b/>
                <w:bCs/>
                <w:szCs w:val="18"/>
              </w:rPr>
            </w:pPr>
            <w:r>
              <w:rPr>
                <w:b/>
                <w:bCs/>
                <w:szCs w:val="18"/>
              </w:rPr>
              <w:t>NOTES</w:t>
            </w:r>
          </w:p>
          <w:p w14:paraId="550CE6DC" w14:textId="77777777" w:rsidR="002A21AE" w:rsidRDefault="002A21AE">
            <w:pPr>
              <w:pStyle w:val="NotesText"/>
            </w:pPr>
          </w:p>
          <w:p w14:paraId="6B017171" w14:textId="13294F7A"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t xml:space="preserve"> </w:t>
            </w:r>
            <w:r w:rsidR="00EE455E">
              <w:t xml:space="preserve">Table </w:t>
            </w:r>
            <w:r w:rsidR="00EE455E">
              <w:rPr>
                <w:noProof/>
              </w:rPr>
              <w:t>7</w:t>
            </w:r>
            <w:r w:rsidR="002A21AE">
              <w:t xml:space="preserve"> for alerts that may occur during this option.</w:t>
            </w:r>
          </w:p>
          <w:p w14:paraId="3169FA75" w14:textId="77777777" w:rsidR="00336F17" w:rsidRDefault="00336F17" w:rsidP="00336F17">
            <w:pPr>
              <w:pStyle w:val="NotesText"/>
            </w:pPr>
          </w:p>
          <w:p w14:paraId="49BA1E77" w14:textId="77777777" w:rsidR="00336F17" w:rsidRPr="004212C7" w:rsidRDefault="00336F17" w:rsidP="00336F17">
            <w:pPr>
              <w:pStyle w:val="NotesText"/>
              <w:rPr>
                <w:szCs w:val="18"/>
              </w:rPr>
            </w:pPr>
            <w:r w:rsidRPr="004212C7">
              <w:rPr>
                <w:vanish/>
                <w:szCs w:val="18"/>
              </w:rPr>
              <w:t xml:space="preserve">BR_73.35 </w:t>
            </w:r>
            <w:r w:rsidRPr="004212C7">
              <w:rPr>
                <w:szCs w:val="18"/>
              </w:rPr>
              <w:t>When the user attempts to issue a unit with an inconclusive crossmatch result, VBECS warns the user that the repeat crossmatch is required before the unit can be issued.</w:t>
            </w:r>
          </w:p>
          <w:p w14:paraId="042F8B68" w14:textId="77777777" w:rsidR="00336F17" w:rsidRPr="004212C7" w:rsidRDefault="00336F17" w:rsidP="00336F17">
            <w:pPr>
              <w:pStyle w:val="NotesText"/>
              <w:rPr>
                <w:szCs w:val="18"/>
              </w:rPr>
            </w:pPr>
          </w:p>
          <w:p w14:paraId="2F03D5E5" w14:textId="77777777" w:rsidR="00336F17" w:rsidRPr="004212C7" w:rsidRDefault="00336F17" w:rsidP="00336F17">
            <w:pPr>
              <w:pStyle w:val="NotesText"/>
              <w:rPr>
                <w:szCs w:val="18"/>
              </w:rPr>
            </w:pPr>
            <w:r w:rsidRPr="004212C7">
              <w:rPr>
                <w:vanish/>
                <w:szCs w:val="18"/>
              </w:rPr>
              <w:t xml:space="preserve">BR_73.13 </w:t>
            </w:r>
            <w:r w:rsidRPr="004212C7">
              <w:rPr>
                <w:szCs w:val="18"/>
              </w:rPr>
              <w:t>When the user attempts to issue a unit that is not assigned or crossmatched to the patient, VBECS warns the user that the unit is not assigned to the patient and allows the user to enter another unit number.</w:t>
            </w:r>
          </w:p>
          <w:p w14:paraId="4131861D" w14:textId="77777777" w:rsidR="00336F17" w:rsidRPr="004212C7" w:rsidRDefault="00336F17" w:rsidP="00336F17">
            <w:pPr>
              <w:pStyle w:val="NotesText"/>
              <w:rPr>
                <w:szCs w:val="18"/>
              </w:rPr>
            </w:pPr>
          </w:p>
          <w:p w14:paraId="23F2CACC" w14:textId="7C41572E" w:rsidR="004C49BF" w:rsidRPr="004C49BF" w:rsidRDefault="004C49BF" w:rsidP="004C49BF">
            <w:pPr>
              <w:pStyle w:val="NotesText"/>
              <w:rPr>
                <w:szCs w:val="18"/>
              </w:rPr>
            </w:pPr>
            <w:r w:rsidRPr="004C49BF">
              <w:rPr>
                <w:vanish/>
                <w:szCs w:val="18"/>
              </w:rPr>
              <w:t xml:space="preserve">BR_73.26 </w:t>
            </w:r>
            <w:r w:rsidRPr="004C49BF">
              <w:rPr>
                <w:szCs w:val="18"/>
              </w:rPr>
              <w:t xml:space="preserve">When the current division is configured as "full service" in Maintain VAMC Division, ABO confirmation is required for all blood units contained in the </w:t>
            </w:r>
            <w:r w:rsidRPr="008A3C45">
              <w:rPr>
                <w:szCs w:val="18"/>
              </w:rPr>
              <w:t xml:space="preserve">WB or RBC or </w:t>
            </w:r>
            <w:r w:rsidRPr="004C49BF">
              <w:rPr>
                <w:szCs w:val="18"/>
              </w:rPr>
              <w:t>PLT or OTHER units</w:t>
            </w:r>
            <w:r w:rsidR="00276485">
              <w:rPr>
                <w:szCs w:val="18"/>
              </w:rPr>
              <w:t xml:space="preserve"> with</w:t>
            </w:r>
            <w:r w:rsidRPr="004C49BF">
              <w:rPr>
                <w:szCs w:val="18"/>
              </w:rPr>
              <w:t xml:space="preserve"> = </w:t>
            </w:r>
            <w:r w:rsidR="00276485">
              <w:rPr>
                <w:szCs w:val="18"/>
              </w:rPr>
              <w:t xml:space="preserve">&gt; </w:t>
            </w:r>
            <w:r w:rsidRPr="004C49BF">
              <w:rPr>
                <w:szCs w:val="18"/>
              </w:rPr>
              <w:t>2 mL RBC contamination When performed, ABO confirmation must match unit ABO at log-in.</w:t>
            </w:r>
          </w:p>
          <w:p w14:paraId="345AB9CB" w14:textId="77777777" w:rsidR="004C49BF" w:rsidRPr="004C49BF" w:rsidRDefault="004C49BF" w:rsidP="004C49BF">
            <w:pPr>
              <w:pStyle w:val="NotesText"/>
              <w:rPr>
                <w:szCs w:val="18"/>
              </w:rPr>
            </w:pPr>
          </w:p>
          <w:p w14:paraId="179677BE" w14:textId="77777777" w:rsidR="004C49BF" w:rsidRPr="004C49BF" w:rsidRDefault="004C49BF" w:rsidP="004C49BF">
            <w:pPr>
              <w:pStyle w:val="NotesText"/>
              <w:rPr>
                <w:szCs w:val="18"/>
              </w:rPr>
            </w:pPr>
            <w:r w:rsidRPr="004C49BF">
              <w:rPr>
                <w:vanish/>
                <w:szCs w:val="18"/>
              </w:rPr>
              <w:t xml:space="preserve">BR_73.26 </w:t>
            </w:r>
            <w:r w:rsidRPr="004C49BF">
              <w:rPr>
                <w:szCs w:val="18"/>
              </w:rPr>
              <w:t xml:space="preserve">The unit must have a satisfactory confirmation result before it is considered available for issue and the Blood Transfusion Record Form and Unit Caution Tag may be generated. </w:t>
            </w:r>
          </w:p>
          <w:p w14:paraId="027C6315" w14:textId="77777777" w:rsidR="004C49BF" w:rsidRDefault="004C49BF" w:rsidP="004C49BF">
            <w:pPr>
              <w:pStyle w:val="TableText"/>
            </w:pPr>
          </w:p>
          <w:p w14:paraId="78F1D2CD" w14:textId="77777777" w:rsidR="002A21AE" w:rsidRPr="004212C7" w:rsidRDefault="004C49BF" w:rsidP="004C49BF">
            <w:pPr>
              <w:pStyle w:val="NotesText"/>
              <w:rPr>
                <w:szCs w:val="18"/>
              </w:rPr>
            </w:pPr>
            <w:r w:rsidRPr="004C49BF">
              <w:rPr>
                <w:vanish/>
              </w:rPr>
              <w:t xml:space="preserve">BR_73.26 </w:t>
            </w:r>
            <w:r>
              <w:t>Rh confirmation results are required on all blood units from the “WHOLE BLOOD”, “RED BLOOD CELLS” component classes or OTHER unit</w:t>
            </w:r>
            <w:r w:rsidR="00276485">
              <w:t>s with = &gt;</w:t>
            </w:r>
            <w:r>
              <w:t xml:space="preserve"> 2 mL RBC contamination labeled as Rh negative during shipment receipt. When performed, Rh confirmation must match Rh at log-in.</w:t>
            </w:r>
          </w:p>
          <w:p w14:paraId="7030E8D3" w14:textId="77777777" w:rsidR="00AE062E" w:rsidRPr="004212C7" w:rsidRDefault="002A21AE" w:rsidP="00102A03">
            <w:pPr>
              <w:pStyle w:val="NotesText"/>
              <w:rPr>
                <w:szCs w:val="18"/>
              </w:rPr>
            </w:pPr>
            <w:r w:rsidRPr="004212C7">
              <w:rPr>
                <w:rFonts w:cs="Arial"/>
                <w:vanish/>
                <w:szCs w:val="18"/>
              </w:rPr>
              <w:t xml:space="preserve">BR_3.42 </w:t>
            </w:r>
            <w:r w:rsidRPr="004212C7">
              <w:rPr>
                <w:szCs w:val="18"/>
              </w:rPr>
              <w:t>When a current specimen is required, VBECS compares the current and previous ABO/Rh results. It does not evaluate results marked “Test Result Invalidated.”</w:t>
            </w:r>
          </w:p>
          <w:p w14:paraId="1F60DC38" w14:textId="77777777" w:rsidR="00336F17" w:rsidRPr="004212C7" w:rsidRDefault="00336F17" w:rsidP="00336F17">
            <w:pPr>
              <w:pStyle w:val="NotesText"/>
              <w:rPr>
                <w:szCs w:val="18"/>
              </w:rPr>
            </w:pPr>
          </w:p>
          <w:p w14:paraId="61ED03AB" w14:textId="6817B34C" w:rsidR="00AB3D10" w:rsidRPr="004212C7" w:rsidRDefault="004212C7" w:rsidP="00336F17">
            <w:pPr>
              <w:pStyle w:val="NotesText"/>
              <w:rPr>
                <w:szCs w:val="18"/>
              </w:rPr>
            </w:pPr>
            <w:r w:rsidRPr="004212C7">
              <w:rPr>
                <w:vanish/>
                <w:szCs w:val="18"/>
              </w:rPr>
              <w:t>BR_73.23</w:t>
            </w:r>
            <w:r w:rsidRPr="004212C7">
              <w:rPr>
                <w:szCs w:val="18"/>
              </w:rPr>
              <w:t>When issuing blood components f</w:t>
            </w:r>
            <w:r w:rsidR="00276485">
              <w:rPr>
                <w:szCs w:val="18"/>
              </w:rPr>
              <w:t xml:space="preserve">rom the Any unit that </w:t>
            </w:r>
            <w:r w:rsidR="006549B7">
              <w:rPr>
                <w:szCs w:val="18"/>
              </w:rPr>
              <w:t>contains &gt;</w:t>
            </w:r>
            <w:r w:rsidR="00276485">
              <w:rPr>
                <w:szCs w:val="18"/>
              </w:rPr>
              <w:t xml:space="preserve"> = </w:t>
            </w:r>
            <w:r w:rsidRPr="004212C7">
              <w:rPr>
                <w:szCs w:val="18"/>
              </w:rPr>
              <w:t>2 mL of RBC contamination, the associated specimen’s TAS must be completed and the unit status must be crossmatched to the selected patient to routine issue. Optionally, the unit may be emergency issued.</w:t>
            </w:r>
          </w:p>
          <w:p w14:paraId="5CB2A138" w14:textId="77777777" w:rsidR="004212C7" w:rsidRPr="004212C7" w:rsidRDefault="004212C7" w:rsidP="00336F17">
            <w:pPr>
              <w:pStyle w:val="NotesText"/>
              <w:rPr>
                <w:szCs w:val="18"/>
              </w:rPr>
            </w:pPr>
          </w:p>
          <w:p w14:paraId="4BDFC2FA" w14:textId="77777777" w:rsidR="00AB3D10" w:rsidRPr="003A05F7" w:rsidRDefault="00AB3D10" w:rsidP="003A05F7">
            <w:pPr>
              <w:pStyle w:val="NotesText"/>
              <w:rPr>
                <w:sz w:val="16"/>
                <w:szCs w:val="16"/>
              </w:rPr>
            </w:pPr>
            <w:r w:rsidRPr="004212C7">
              <w:rPr>
                <w:szCs w:val="18"/>
              </w:rPr>
              <w:t xml:space="preserve">Whole blood is not allowed for </w:t>
            </w:r>
            <w:r w:rsidR="008C7599" w:rsidRPr="004212C7">
              <w:rPr>
                <w:szCs w:val="18"/>
              </w:rPr>
              <w:t xml:space="preserve">the </w:t>
            </w:r>
            <w:r w:rsidR="00FB3CC8" w:rsidRPr="004212C7">
              <w:rPr>
                <w:szCs w:val="18"/>
              </w:rPr>
              <w:t>emergency issue process. C</w:t>
            </w:r>
            <w:r w:rsidRPr="004212C7">
              <w:rPr>
                <w:szCs w:val="18"/>
              </w:rPr>
              <w:t xml:space="preserve">ompleted Type and Screen and compatible crossmatch </w:t>
            </w:r>
            <w:r w:rsidR="00FB3CC8" w:rsidRPr="004212C7">
              <w:rPr>
                <w:szCs w:val="18"/>
              </w:rPr>
              <w:t>tests are</w:t>
            </w:r>
            <w:r w:rsidRPr="004212C7">
              <w:rPr>
                <w:szCs w:val="18"/>
              </w:rPr>
              <w:t xml:space="preserve"> required for whole blood issuance. </w:t>
            </w:r>
            <w:r w:rsidRPr="003A05F7">
              <w:rPr>
                <w:vanish/>
                <w:sz w:val="16"/>
                <w:szCs w:val="16"/>
              </w:rPr>
              <w:t>DR 4811</w:t>
            </w:r>
            <w:r w:rsidR="003D719C" w:rsidRPr="003A05F7">
              <w:rPr>
                <w:vanish/>
                <w:sz w:val="16"/>
                <w:szCs w:val="16"/>
              </w:rPr>
              <w:t xml:space="preserve"> DR 4854</w:t>
            </w:r>
          </w:p>
        </w:tc>
      </w:tr>
      <w:tr w:rsidR="002A21AE" w14:paraId="19158F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755C3C67" w14:textId="77777777" w:rsidR="002A21AE" w:rsidRDefault="002A21AE">
            <w:pPr>
              <w:pStyle w:val="TableTextNumbers"/>
            </w:pPr>
            <w:r>
              <w:t xml:space="preserve">Click </w:t>
            </w:r>
            <w:r>
              <w:rPr>
                <w:b/>
              </w:rPr>
              <w:t>OK</w:t>
            </w:r>
            <w:r>
              <w:t xml:space="preserve"> </w:t>
            </w:r>
            <w:r w:rsidR="00A304AE">
              <w:t>to save and complete the unit issue</w:t>
            </w:r>
            <w:r>
              <w:t>.</w:t>
            </w:r>
          </w:p>
        </w:tc>
        <w:tc>
          <w:tcPr>
            <w:tcW w:w="6120" w:type="dxa"/>
            <w:tcBorders>
              <w:top w:val="single" w:sz="6" w:space="0" w:color="auto"/>
              <w:left w:val="single" w:sz="6" w:space="0" w:color="auto"/>
              <w:bottom w:val="single" w:sz="6" w:space="0" w:color="auto"/>
              <w:right w:val="single" w:sz="6" w:space="0" w:color="auto"/>
            </w:tcBorders>
          </w:tcPr>
          <w:p w14:paraId="6E86309A" w14:textId="77777777" w:rsidR="002A21AE" w:rsidRDefault="002A21AE">
            <w:pPr>
              <w:pStyle w:val="TableTextBullet"/>
              <w:tabs>
                <w:tab w:val="num" w:pos="360"/>
              </w:tabs>
            </w:pPr>
            <w:r>
              <w:t xml:space="preserve">Displays entries for review and editing. </w:t>
            </w:r>
          </w:p>
          <w:p w14:paraId="2D038772" w14:textId="77777777" w:rsidR="002A21AE" w:rsidRDefault="002A21AE">
            <w:pPr>
              <w:pStyle w:val="TableText"/>
            </w:pPr>
          </w:p>
          <w:p w14:paraId="7B6FF1DC" w14:textId="401F619C" w:rsidR="002A21AE" w:rsidRDefault="002A21AE">
            <w:pPr>
              <w:pStyle w:val="TableText"/>
              <w:rPr>
                <w:b/>
                <w:bCs/>
                <w:szCs w:val="18"/>
              </w:rPr>
            </w:pPr>
            <w:r>
              <w:rPr>
                <w:b/>
                <w:bCs/>
                <w:szCs w:val="18"/>
              </w:rPr>
              <w:t>NOTES</w:t>
            </w:r>
          </w:p>
          <w:p w14:paraId="109E6FC6" w14:textId="77777777" w:rsidR="002A21AE" w:rsidRDefault="002A21AE">
            <w:pPr>
              <w:pStyle w:val="NotesText"/>
            </w:pPr>
          </w:p>
          <w:p w14:paraId="7F5A3609" w14:textId="77777777" w:rsidR="002A21AE" w:rsidRDefault="002A21AE">
            <w:pPr>
              <w:pStyle w:val="NotesText"/>
            </w:pPr>
            <w:r>
              <w:rPr>
                <w:rFonts w:cs="Arial"/>
                <w:vanish/>
              </w:rPr>
              <w:t xml:space="preserve">BR_73.24 </w:t>
            </w:r>
            <w:r>
              <w:t>When the user selects multiple units for a patient and creates a batch for issue, all units in the batch are issued simultaneously to the same location. VBECS assigns the issue information to all units in the batch. The user may not enter different information, including any override comment, for an individual unit in the batch.</w:t>
            </w:r>
          </w:p>
          <w:p w14:paraId="1B202500" w14:textId="77777777" w:rsidR="0090203E" w:rsidRDefault="0090203E">
            <w:pPr>
              <w:pStyle w:val="NotesText"/>
            </w:pPr>
          </w:p>
          <w:p w14:paraId="2932B34E" w14:textId="615FCF55" w:rsidR="0090203E" w:rsidRDefault="0090203E">
            <w:pPr>
              <w:pStyle w:val="NotesText"/>
            </w:pPr>
            <w:r>
              <w:t>If</w:t>
            </w:r>
            <w:r w:rsidRPr="0090203E">
              <w:t xml:space="preserve"> the user clicks Cancel, VBECS closes without displaying a co</w:t>
            </w:r>
            <w:r>
              <w:t>nfirmation message that data will be</w:t>
            </w:r>
            <w:r w:rsidRPr="0090203E">
              <w:t xml:space="preserve"> lost.</w:t>
            </w:r>
            <w:r w:rsidR="00730CAA">
              <w:t xml:space="preserve"> </w:t>
            </w:r>
            <w:r w:rsidR="00730CAA" w:rsidRPr="00730CAA">
              <w:rPr>
                <w:vanish/>
              </w:rPr>
              <w:t>Defect 208530</w:t>
            </w:r>
          </w:p>
        </w:tc>
      </w:tr>
      <w:tr w:rsidR="002A21AE" w14:paraId="7010A05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6B3E5F37" w14:textId="77777777" w:rsidR="002A21AE" w:rsidRDefault="002A21AE">
            <w:pPr>
              <w:pStyle w:val="TableTextNumbers"/>
            </w:pPr>
            <w:r>
              <w:t xml:space="preserve">Click </w:t>
            </w:r>
            <w:r>
              <w:rPr>
                <w:b/>
              </w:rPr>
              <w:t>Yes</w:t>
            </w:r>
            <w:r>
              <w:t xml:space="preserve"> when the unit is satisfactory to save, or </w:t>
            </w:r>
            <w:r>
              <w:rPr>
                <w:b/>
              </w:rPr>
              <w:t>No</w:t>
            </w:r>
            <w:r>
              <w:t xml:space="preserve"> when the unit is unsatisfactory.</w:t>
            </w:r>
          </w:p>
          <w:p w14:paraId="52D7BA10" w14:textId="77777777" w:rsidR="002A21AE" w:rsidRDefault="002A21AE">
            <w:pPr>
              <w:pStyle w:val="TableTextNumbers"/>
              <w:numPr>
                <w:ilvl w:val="0"/>
                <w:numId w:val="0"/>
              </w:numPr>
            </w:pPr>
          </w:p>
        </w:tc>
        <w:tc>
          <w:tcPr>
            <w:tcW w:w="6120" w:type="dxa"/>
            <w:tcBorders>
              <w:top w:val="single" w:sz="6" w:space="0" w:color="auto"/>
              <w:left w:val="single" w:sz="6" w:space="0" w:color="auto"/>
              <w:bottom w:val="single" w:sz="6" w:space="0" w:color="auto"/>
              <w:right w:val="single" w:sz="6" w:space="0" w:color="auto"/>
            </w:tcBorders>
          </w:tcPr>
          <w:p w14:paraId="3909E608" w14:textId="77777777" w:rsidR="002A21AE" w:rsidRDefault="002A21AE">
            <w:pPr>
              <w:pStyle w:val="TableTextBullet"/>
              <w:tabs>
                <w:tab w:val="num" w:pos="360"/>
              </w:tabs>
            </w:pPr>
            <w:r>
              <w:t>Saves the data.</w:t>
            </w:r>
          </w:p>
          <w:p w14:paraId="4BCAA22A" w14:textId="77777777" w:rsidR="002A21AE" w:rsidRDefault="002A21AE" w:rsidP="006709A3">
            <w:pPr>
              <w:pStyle w:val="TableTextBullet"/>
              <w:tabs>
                <w:tab w:val="num" w:pos="360"/>
              </w:tabs>
            </w:pPr>
            <w:r>
              <w:t>Displays the unit inspection indicator (satisfactory or unsatisfactory) listing each selected unit.</w:t>
            </w:r>
          </w:p>
          <w:p w14:paraId="40E30304" w14:textId="77777777" w:rsidR="009F2DE7" w:rsidRPr="00B25E96" w:rsidRDefault="009F2DE7" w:rsidP="00750533">
            <w:pPr>
              <w:pStyle w:val="TableTextBullet"/>
              <w:tabs>
                <w:tab w:val="num" w:pos="360"/>
              </w:tabs>
            </w:pPr>
            <w:r w:rsidRPr="00B25E96">
              <w:rPr>
                <w:rFonts w:cs="Arial"/>
                <w:szCs w:val="18"/>
              </w:rPr>
              <w:t xml:space="preserve">Sends updated patient and blood unit information to the BCE COTS system via an HL7 message. The message contains the date time when VBECS creates the message and not the date time the user selects the unit for issue. </w:t>
            </w:r>
            <w:r w:rsidRPr="00B25E96">
              <w:rPr>
                <w:rFonts w:cs="Arial"/>
                <w:vanish/>
                <w:szCs w:val="18"/>
              </w:rPr>
              <w:t>DR 4334</w:t>
            </w:r>
          </w:p>
          <w:p w14:paraId="5FF77D67" w14:textId="77777777" w:rsidR="002A21AE" w:rsidRDefault="002A21AE">
            <w:pPr>
              <w:pStyle w:val="TableText"/>
            </w:pPr>
          </w:p>
          <w:p w14:paraId="3492C72A" w14:textId="0EF07E1C" w:rsidR="002A21AE" w:rsidRDefault="002A21AE">
            <w:pPr>
              <w:pStyle w:val="TableText"/>
              <w:rPr>
                <w:b/>
                <w:bCs/>
                <w:szCs w:val="18"/>
              </w:rPr>
            </w:pPr>
            <w:r>
              <w:rPr>
                <w:b/>
                <w:bCs/>
                <w:szCs w:val="18"/>
              </w:rPr>
              <w:t>NOTES</w:t>
            </w:r>
          </w:p>
          <w:p w14:paraId="7DEF5B90" w14:textId="77777777" w:rsidR="002A21AE" w:rsidRDefault="002A21AE">
            <w:pPr>
              <w:pStyle w:val="NotesText"/>
            </w:pPr>
          </w:p>
          <w:p w14:paraId="6298A430" w14:textId="70B72A76"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EE455E">
              <w:t xml:space="preserve">Table </w:t>
            </w:r>
            <w:r w:rsidR="00EE455E">
              <w:rPr>
                <w:noProof/>
              </w:rPr>
              <w:t>7</w:t>
            </w:r>
            <w:r w:rsidR="002A21AE">
              <w:t xml:space="preserve"> for alerts that may occur during this option.</w:t>
            </w:r>
          </w:p>
          <w:p w14:paraId="14DFAF77" w14:textId="77777777" w:rsidR="009F2DE7" w:rsidRDefault="009F2DE7">
            <w:pPr>
              <w:pStyle w:val="TableText"/>
              <w:ind w:left="360"/>
            </w:pPr>
          </w:p>
          <w:p w14:paraId="645B1C87" w14:textId="24631A63" w:rsidR="009F2DE7" w:rsidRDefault="009F2DE7">
            <w:pPr>
              <w:pStyle w:val="TableText"/>
              <w:ind w:left="360"/>
            </w:pPr>
            <w:r w:rsidRPr="00B25E96">
              <w:t>Sites using BCE COTS must issue blood components in real-time for BCE COTS to be able to perform transfusion verification.</w:t>
            </w:r>
            <w:r>
              <w:t xml:space="preserve"> </w:t>
            </w:r>
            <w:r w:rsidR="00BB7B66">
              <w:rPr>
                <w:vanish/>
              </w:rPr>
              <w:t>DR</w:t>
            </w:r>
            <w:r w:rsidR="00963554" w:rsidRPr="00963554">
              <w:rPr>
                <w:vanish/>
              </w:rPr>
              <w:t xml:space="preserve"> </w:t>
            </w:r>
            <w:r w:rsidR="00963554">
              <w:rPr>
                <w:vanish/>
              </w:rPr>
              <w:t>4334</w:t>
            </w:r>
          </w:p>
          <w:p w14:paraId="1A68DEFA" w14:textId="1C7E0EC0" w:rsidR="00FA3713" w:rsidRDefault="00FA3713">
            <w:pPr>
              <w:pStyle w:val="TableText"/>
              <w:ind w:left="360"/>
            </w:pPr>
          </w:p>
          <w:p w14:paraId="16625F02" w14:textId="5AF1996E" w:rsidR="009F2DE7" w:rsidRPr="00963554" w:rsidRDefault="00FA3713" w:rsidP="00963554">
            <w:pPr>
              <w:pStyle w:val="TableText"/>
              <w:ind w:left="360"/>
            </w:pPr>
            <w:r w:rsidRPr="00FA3713">
              <w:t>The area to mark a unit unsatisfactory for issue extends beyond the checkbox. A user that clicks in that area, but not the checkbox, could inadvertently mark a unit unsatisfactory for issue.</w:t>
            </w:r>
            <w:r>
              <w:t xml:space="preserve"> </w:t>
            </w:r>
            <w:r w:rsidRPr="00FA3713">
              <w:t>A VBECS Confirmation message window appears to verify the user wants to remove patient association and quarantine the unit.</w:t>
            </w:r>
            <w:r>
              <w:t xml:space="preserve"> The user must click No if he mistakenly indicated that the</w:t>
            </w:r>
            <w:r w:rsidRPr="00FA3713">
              <w:t xml:space="preserve"> unit was unsatisfactory for issue.</w:t>
            </w:r>
            <w:r w:rsidR="00730CAA">
              <w:t xml:space="preserve"> </w:t>
            </w:r>
            <w:r w:rsidR="00730CAA" w:rsidRPr="00730CAA">
              <w:rPr>
                <w:vanish/>
              </w:rPr>
              <w:t xml:space="preserve">Defect </w:t>
            </w:r>
            <w:r w:rsidR="008C2AAA">
              <w:rPr>
                <w:vanish/>
              </w:rPr>
              <w:t>959630</w:t>
            </w:r>
          </w:p>
          <w:p w14:paraId="56E37BC9" w14:textId="77777777" w:rsidR="009F2DE7" w:rsidRDefault="009F2DE7">
            <w:pPr>
              <w:pStyle w:val="TableText"/>
              <w:ind w:left="360"/>
            </w:pPr>
          </w:p>
        </w:tc>
      </w:tr>
      <w:tr w:rsidR="002A21AE" w14:paraId="20AF903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8E50187" w14:textId="77777777" w:rsidR="002A21AE" w:rsidRDefault="002A21AE">
            <w:pPr>
              <w:pStyle w:val="TableTextNumbersContinued"/>
            </w:pPr>
          </w:p>
          <w:p w14:paraId="147867B2"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6" w:space="0" w:color="auto"/>
              <w:left w:val="single" w:sz="6" w:space="0" w:color="auto"/>
              <w:bottom w:val="single" w:sz="6" w:space="0" w:color="auto"/>
              <w:right w:val="single" w:sz="6" w:space="0" w:color="auto"/>
            </w:tcBorders>
          </w:tcPr>
          <w:p w14:paraId="6A2ECE5C" w14:textId="77777777" w:rsidR="002A21AE" w:rsidRDefault="002A21AE">
            <w:pPr>
              <w:pStyle w:val="TableText"/>
            </w:pPr>
          </w:p>
        </w:tc>
      </w:tr>
    </w:tbl>
    <w:p w14:paraId="0A3B6971" w14:textId="6D708766" w:rsidR="00A04663" w:rsidRDefault="00A04663" w:rsidP="00A04663">
      <w:pPr>
        <w:pStyle w:val="Caption"/>
      </w:pPr>
      <w:bookmarkStart w:id="376" w:name="_Ref127093318"/>
      <w:bookmarkStart w:id="377" w:name="_Toc9434937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72</w:t>
      </w:r>
      <w:r w:rsidR="004E20BD">
        <w:rPr>
          <w:noProof/>
        </w:rPr>
        <w:fldChar w:fldCharType="end"/>
      </w:r>
      <w:bookmarkEnd w:id="376"/>
      <w:r>
        <w:t>: Issue Blood Components</w:t>
      </w:r>
      <w:r w:rsidR="005D4DA6">
        <w:t xml:space="preserve"> (1)</w:t>
      </w:r>
    </w:p>
    <w:p w14:paraId="2448CC06" w14:textId="77777777" w:rsidR="003B4820" w:rsidRDefault="00057948" w:rsidP="003B4820">
      <w:pPr>
        <w:pStyle w:val="BodyText"/>
      </w:pPr>
      <w:r>
        <w:rPr>
          <w:noProof/>
        </w:rPr>
        <w:drawing>
          <wp:inline distT="0" distB="0" distL="0" distR="0" wp14:anchorId="70CB0C8A" wp14:editId="2F93F0CD">
            <wp:extent cx="3722370" cy="2927985"/>
            <wp:effectExtent l="0" t="0" r="0" b="5715"/>
            <wp:docPr id="190" name="Picture 190" descr="Example of Issue Blood Components (1)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Example of Issue Blood Components (1) screen captur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722370" cy="2927985"/>
                    </a:xfrm>
                    <a:prstGeom prst="rect">
                      <a:avLst/>
                    </a:prstGeom>
                    <a:noFill/>
                    <a:ln>
                      <a:noFill/>
                    </a:ln>
                  </pic:spPr>
                </pic:pic>
              </a:graphicData>
            </a:graphic>
          </wp:inline>
        </w:drawing>
      </w:r>
    </w:p>
    <w:p w14:paraId="17C7CFF5" w14:textId="06D5B06B" w:rsidR="005D4DA6" w:rsidRDefault="005D4DA6" w:rsidP="005D4DA6">
      <w:pPr>
        <w:pStyle w:val="Caption"/>
      </w:pPr>
      <w:bookmarkStart w:id="378" w:name="_Ref12709356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73</w:t>
      </w:r>
      <w:r w:rsidR="004E20BD">
        <w:rPr>
          <w:noProof/>
        </w:rPr>
        <w:fldChar w:fldCharType="end"/>
      </w:r>
      <w:bookmarkEnd w:id="378"/>
      <w:r>
        <w:t>: Issue Blood Components (2)</w:t>
      </w:r>
    </w:p>
    <w:p w14:paraId="6781B24F" w14:textId="25609A3B" w:rsidR="005D4DA6" w:rsidRDefault="00F927FC" w:rsidP="003B4820">
      <w:pPr>
        <w:pStyle w:val="BodyText"/>
      </w:pPr>
      <w:r>
        <w:rPr>
          <w:noProof/>
        </w:rPr>
        <w:drawing>
          <wp:inline distT="0" distB="0" distL="0" distR="0" wp14:anchorId="5D83E92E" wp14:editId="31929AE0">
            <wp:extent cx="5943600" cy="4223385"/>
            <wp:effectExtent l="0" t="0" r="0" b="5715"/>
            <wp:docPr id="179" name="Picture 179" descr="Example of Issue Blood Components (2)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Example of Issue Blood Components (2) screen captur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3600" cy="4223385"/>
                    </a:xfrm>
                    <a:prstGeom prst="rect">
                      <a:avLst/>
                    </a:prstGeom>
                    <a:noFill/>
                    <a:ln>
                      <a:noFill/>
                    </a:ln>
                  </pic:spPr>
                </pic:pic>
              </a:graphicData>
            </a:graphic>
          </wp:inline>
        </w:drawing>
      </w:r>
    </w:p>
    <w:p w14:paraId="75A26566" w14:textId="77777777" w:rsidR="002A21AE" w:rsidRDefault="002A21AE">
      <w:pPr>
        <w:pStyle w:val="Heading4"/>
      </w:pPr>
      <w:r>
        <w:t>Issue Blood Components (Emergency)</w:t>
      </w:r>
      <w:bookmarkEnd w:id="377"/>
      <w:r>
        <w:fldChar w:fldCharType="begin"/>
      </w:r>
      <w:r>
        <w:instrText xml:space="preserve"> XE </w:instrText>
      </w:r>
      <w:r w:rsidR="00FA7E65">
        <w:instrText>“</w:instrText>
      </w:r>
      <w:r>
        <w:instrText>Issue Blood Components (Emergency)</w:instrText>
      </w:r>
      <w:r w:rsidR="00FA7E65">
        <w:instrText>”</w:instrText>
      </w:r>
      <w:r>
        <w:instrText xml:space="preserve"> </w:instrText>
      </w:r>
      <w:r>
        <w:fldChar w:fldCharType="end"/>
      </w:r>
    </w:p>
    <w:p w14:paraId="7218FF0D" w14:textId="77777777" w:rsidR="002A21AE" w:rsidRDefault="002A21AE" w:rsidP="00FA7E65">
      <w:pPr>
        <w:pStyle w:val="BodyText"/>
      </w:pPr>
      <w:r>
        <w:t xml:space="preserve">The user issues assigned or crossmatched blood to a transporter for patient transfusion that does not meet routine issue conditions at valid inpatient and outpatient hospital locations, and records issue details, including the transporter’s name or identifier.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F105A1" w14:textId="77777777">
        <w:trPr>
          <w:cantSplit/>
          <w:tblHeader/>
        </w:trPr>
        <w:tc>
          <w:tcPr>
            <w:tcW w:w="3240" w:type="dxa"/>
            <w:shd w:val="pct30" w:color="auto" w:fill="FFFFFF"/>
            <w:vAlign w:val="bottom"/>
          </w:tcPr>
          <w:p w14:paraId="43FD7F72" w14:textId="77777777" w:rsidR="002A21AE" w:rsidRDefault="002A21AE">
            <w:pPr>
              <w:pStyle w:val="TableText"/>
              <w:rPr>
                <w:b/>
              </w:rPr>
            </w:pPr>
            <w:r>
              <w:rPr>
                <w:b/>
              </w:rPr>
              <w:t>User Action</w:t>
            </w:r>
          </w:p>
        </w:tc>
        <w:tc>
          <w:tcPr>
            <w:tcW w:w="6120" w:type="dxa"/>
            <w:shd w:val="pct30" w:color="auto" w:fill="FFFFFF"/>
            <w:vAlign w:val="bottom"/>
          </w:tcPr>
          <w:p w14:paraId="6F0F1DA4" w14:textId="77777777" w:rsidR="002A21AE" w:rsidRDefault="002A21AE">
            <w:pPr>
              <w:pStyle w:val="TableText"/>
              <w:rPr>
                <w:b/>
              </w:rPr>
            </w:pPr>
            <w:r>
              <w:rPr>
                <w:b/>
              </w:rPr>
              <w:t>VBECS</w:t>
            </w:r>
          </w:p>
        </w:tc>
      </w:tr>
      <w:tr w:rsidR="002A21AE" w14:paraId="4869EDDD" w14:textId="77777777">
        <w:tc>
          <w:tcPr>
            <w:tcW w:w="3240" w:type="dxa"/>
            <w:tcBorders>
              <w:top w:val="single" w:sz="4" w:space="0" w:color="auto"/>
              <w:left w:val="single" w:sz="4" w:space="0" w:color="auto"/>
              <w:bottom w:val="single" w:sz="4" w:space="0" w:color="auto"/>
              <w:right w:val="single" w:sz="4" w:space="0" w:color="auto"/>
            </w:tcBorders>
          </w:tcPr>
          <w:p w14:paraId="0671BE72" w14:textId="77777777" w:rsidR="002A21AE" w:rsidRDefault="002A21AE">
            <w:pPr>
              <w:pStyle w:val="TableTextNumbers"/>
            </w:pPr>
            <w:r>
              <w:t xml:space="preserve">Select </w:t>
            </w:r>
            <w:r>
              <w:rPr>
                <w:b/>
              </w:rPr>
              <w:t>Patients</w:t>
            </w:r>
            <w:r>
              <w:t xml:space="preserve"> from the main menu.</w:t>
            </w:r>
          </w:p>
          <w:p w14:paraId="54A3BD6E" w14:textId="77777777" w:rsidR="002A21AE" w:rsidRDefault="002A21AE">
            <w:pPr>
              <w:pStyle w:val="TableTextNumbersContinued"/>
            </w:pPr>
          </w:p>
          <w:p w14:paraId="28A710A2" w14:textId="77777777" w:rsidR="002A21AE" w:rsidRDefault="002A21AE">
            <w:pPr>
              <w:pStyle w:val="TableTextNumbersContinued"/>
            </w:pPr>
            <w:r>
              <w:t xml:space="preserve">Select </w:t>
            </w:r>
            <w:r>
              <w:rPr>
                <w:b/>
              </w:rPr>
              <w:t>Issue Blood Components</w:t>
            </w:r>
            <w:r>
              <w:t>.</w:t>
            </w:r>
          </w:p>
        </w:tc>
        <w:tc>
          <w:tcPr>
            <w:tcW w:w="6120" w:type="dxa"/>
            <w:tcBorders>
              <w:top w:val="single" w:sz="4" w:space="0" w:color="auto"/>
              <w:left w:val="single" w:sz="4" w:space="0" w:color="auto"/>
              <w:bottom w:val="single" w:sz="4" w:space="0" w:color="auto"/>
              <w:right w:val="single" w:sz="4" w:space="0" w:color="auto"/>
            </w:tcBorders>
          </w:tcPr>
          <w:p w14:paraId="2C35F15E" w14:textId="77777777" w:rsidR="002A21AE" w:rsidRDefault="002A21AE">
            <w:pPr>
              <w:pStyle w:val="TableTextBullet"/>
            </w:pPr>
            <w:r>
              <w:t>Displays options for processing patient-related functions.</w:t>
            </w:r>
          </w:p>
          <w:p w14:paraId="2C7966CF" w14:textId="77777777" w:rsidR="002A21AE" w:rsidRDefault="002A21AE">
            <w:pPr>
              <w:pStyle w:val="TableTextBullet"/>
            </w:pPr>
            <w:r>
              <w:t>Displays an option to scan the Caution Tag or enter a patient name or ID.</w:t>
            </w:r>
          </w:p>
        </w:tc>
      </w:tr>
      <w:tr w:rsidR="002A21AE" w14:paraId="2FFFF75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22D708E2" w14:textId="77777777" w:rsidR="002A21AE" w:rsidRDefault="002A21AE">
            <w:pPr>
              <w:pStyle w:val="TableTextNumbers"/>
            </w:pPr>
            <w:r>
              <w:t>Select a patient.</w:t>
            </w:r>
          </w:p>
        </w:tc>
        <w:tc>
          <w:tcPr>
            <w:tcW w:w="6120" w:type="dxa"/>
            <w:tcBorders>
              <w:top w:val="single" w:sz="6" w:space="0" w:color="auto"/>
              <w:left w:val="single" w:sz="6" w:space="0" w:color="auto"/>
              <w:bottom w:val="single" w:sz="6" w:space="0" w:color="auto"/>
              <w:right w:val="single" w:sz="6" w:space="0" w:color="auto"/>
            </w:tcBorders>
          </w:tcPr>
          <w:p w14:paraId="2E7C9886" w14:textId="77777777" w:rsidR="002A21AE" w:rsidRDefault="002A21AE">
            <w:pPr>
              <w:pStyle w:val="TableTextBullet"/>
              <w:tabs>
                <w:tab w:val="num" w:pos="360"/>
              </w:tabs>
            </w:pPr>
            <w:r>
              <w:t>Displays patient data, including entries that meet the entered patient criteria, and allows the user to select the correct patient.</w:t>
            </w:r>
          </w:p>
          <w:p w14:paraId="7CF41F06" w14:textId="77777777" w:rsidR="002A21AE" w:rsidRDefault="002A21AE">
            <w:pPr>
              <w:pStyle w:val="TableText"/>
            </w:pPr>
          </w:p>
          <w:p w14:paraId="3C571AEC" w14:textId="3B22A2E2" w:rsidR="002A21AE" w:rsidRDefault="002A21AE">
            <w:pPr>
              <w:pStyle w:val="TableText"/>
              <w:rPr>
                <w:b/>
                <w:bCs/>
                <w:szCs w:val="18"/>
              </w:rPr>
            </w:pPr>
            <w:r>
              <w:rPr>
                <w:b/>
                <w:bCs/>
                <w:szCs w:val="18"/>
              </w:rPr>
              <w:t>NOTES</w:t>
            </w:r>
          </w:p>
          <w:p w14:paraId="74B09F61" w14:textId="77777777" w:rsidR="002A21AE" w:rsidRDefault="002A21AE">
            <w:pPr>
              <w:pStyle w:val="NotesText"/>
            </w:pPr>
          </w:p>
          <w:p w14:paraId="36DF4FAA" w14:textId="1A72136D" w:rsidR="002A21AE" w:rsidRDefault="00896F17">
            <w:pPr>
              <w:pStyle w:val="NotesText"/>
            </w:pPr>
            <w:r w:rsidRPr="00896F17">
              <w:rPr>
                <w:rStyle w:val="BullhornChar"/>
              </w:rPr>
              <w:t></w:t>
            </w:r>
            <w:r w:rsidRPr="00C51C45">
              <w:rPr>
                <w:rFonts w:ascii="Webdings" w:hAnsi="Webdings"/>
                <w:szCs w:val="22"/>
              </w:rPr>
              <w:t></w:t>
            </w:r>
            <w:r>
              <w:rPr>
                <w:rFonts w:cs="Arial"/>
                <w:szCs w:val="22"/>
              </w:rPr>
              <w:t>See</w:t>
            </w:r>
            <w:r w:rsidR="002A21AE">
              <w:t xml:space="preserve"> </w:t>
            </w:r>
            <w:r w:rsidR="00EE455E">
              <w:t xml:space="preserve">Table </w:t>
            </w:r>
            <w:r w:rsidR="00EE455E">
              <w:rPr>
                <w:noProof/>
              </w:rPr>
              <w:t>8</w:t>
            </w:r>
            <w:r w:rsidR="002A21AE">
              <w:t xml:space="preserve"> for alerts that may occur during this option.</w:t>
            </w:r>
          </w:p>
        </w:tc>
      </w:tr>
      <w:tr w:rsidR="002A21AE" w14:paraId="469FF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9BF87A4" w14:textId="77777777" w:rsidR="002A21AE" w:rsidRDefault="002A21AE">
            <w:pPr>
              <w:pStyle w:val="TableTextNumbers"/>
            </w:pPr>
            <w:r>
              <w:t xml:space="preserve">Click </w:t>
            </w:r>
            <w:r>
              <w:rPr>
                <w:b/>
              </w:rPr>
              <w:t>OK</w:t>
            </w:r>
            <w:r>
              <w:t xml:space="preserve"> to verify that the correct patient was selected.</w:t>
            </w:r>
          </w:p>
        </w:tc>
        <w:tc>
          <w:tcPr>
            <w:tcW w:w="6120" w:type="dxa"/>
            <w:tcBorders>
              <w:top w:val="single" w:sz="6" w:space="0" w:color="auto"/>
              <w:left w:val="single" w:sz="6" w:space="0" w:color="auto"/>
              <w:bottom w:val="single" w:sz="6" w:space="0" w:color="auto"/>
              <w:right w:val="single" w:sz="6" w:space="0" w:color="auto"/>
            </w:tcBorders>
          </w:tcPr>
          <w:p w14:paraId="13C34E4F" w14:textId="77777777" w:rsidR="002A21AE" w:rsidRDefault="002A21AE">
            <w:pPr>
              <w:pStyle w:val="TableTextBullet"/>
              <w:tabs>
                <w:tab w:val="clear" w:pos="288"/>
              </w:tabs>
            </w:pPr>
            <w:r>
              <w:t>Displays fields for the user to enter the data for the issue transaction.</w:t>
            </w:r>
          </w:p>
        </w:tc>
      </w:tr>
      <w:tr w:rsidR="002A21AE" w14:paraId="2623DDA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trPr>
        <w:tc>
          <w:tcPr>
            <w:tcW w:w="3240" w:type="dxa"/>
            <w:tcBorders>
              <w:top w:val="single" w:sz="6" w:space="0" w:color="auto"/>
              <w:left w:val="single" w:sz="6" w:space="0" w:color="auto"/>
              <w:bottom w:val="single" w:sz="6" w:space="0" w:color="auto"/>
              <w:right w:val="single" w:sz="6" w:space="0" w:color="auto"/>
            </w:tcBorders>
          </w:tcPr>
          <w:p w14:paraId="0275A156" w14:textId="77777777" w:rsidR="002A21AE" w:rsidRDefault="002A21AE">
            <w:pPr>
              <w:pStyle w:val="TableTextNumbers"/>
            </w:pPr>
            <w:r>
              <w:t>Enter the required data.</w:t>
            </w:r>
          </w:p>
        </w:tc>
        <w:tc>
          <w:tcPr>
            <w:tcW w:w="6120" w:type="dxa"/>
            <w:tcBorders>
              <w:top w:val="single" w:sz="6" w:space="0" w:color="auto"/>
              <w:left w:val="single" w:sz="6" w:space="0" w:color="auto"/>
              <w:bottom w:val="single" w:sz="6" w:space="0" w:color="auto"/>
              <w:right w:val="single" w:sz="6" w:space="0" w:color="auto"/>
            </w:tcBorders>
          </w:tcPr>
          <w:p w14:paraId="75BB1BBB" w14:textId="77777777" w:rsidR="002A21AE" w:rsidRDefault="002A21AE">
            <w:pPr>
              <w:pStyle w:val="TableTextBullet"/>
              <w:tabs>
                <w:tab w:val="num" w:pos="360"/>
              </w:tabs>
            </w:pPr>
            <w:r>
              <w:t>Displays the option to select units from the Assigned Units or Emergency Issue Units tabs.</w:t>
            </w:r>
          </w:p>
        </w:tc>
      </w:tr>
      <w:tr w:rsidR="002A21AE" w14:paraId="3DF28F4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8FC39A5" w14:textId="77777777" w:rsidR="002A21AE" w:rsidRDefault="002A21AE">
            <w:pPr>
              <w:pStyle w:val="TableTextNumbers"/>
            </w:pPr>
            <w:r>
              <w:t xml:space="preserve">Click the </w:t>
            </w:r>
            <w:r>
              <w:rPr>
                <w:b/>
              </w:rPr>
              <w:t>Emergency Issue Units tab</w:t>
            </w:r>
            <w:r>
              <w:t>.</w:t>
            </w:r>
          </w:p>
          <w:p w14:paraId="0F3C5C31" w14:textId="77777777" w:rsidR="002A21AE" w:rsidRDefault="002A21AE">
            <w:pPr>
              <w:pStyle w:val="TableTextNumbersContinued"/>
            </w:pPr>
          </w:p>
          <w:p w14:paraId="19A970D6" w14:textId="59A5DE92" w:rsidR="002A21AE" w:rsidRDefault="002A21AE">
            <w:pPr>
              <w:pStyle w:val="TableTextNumbersContinued"/>
            </w:pPr>
            <w:r>
              <w:t>Scan or click one or more check boxes to select units for issue to the selected patient</w:t>
            </w:r>
            <w:r w:rsidR="00FD6D00">
              <w:t xml:space="preserve"> (</w:t>
            </w:r>
            <w:r w:rsidR="00EE455E">
              <w:t xml:space="preserve">Figure </w:t>
            </w:r>
            <w:r w:rsidR="00EE455E">
              <w:rPr>
                <w:noProof/>
              </w:rPr>
              <w:t>74</w:t>
            </w:r>
            <w:r w:rsidR="00FD6D00">
              <w:t>)</w:t>
            </w:r>
            <w:r>
              <w:t>.</w:t>
            </w:r>
          </w:p>
          <w:p w14:paraId="145A7B97" w14:textId="77777777" w:rsidR="002A21AE" w:rsidRDefault="002A21AE">
            <w:pPr>
              <w:pStyle w:val="TableTextNumbersContinued"/>
            </w:pPr>
          </w:p>
          <w:p w14:paraId="6E440C05" w14:textId="77777777" w:rsidR="002A21AE" w:rsidRDefault="002A21AE">
            <w:pPr>
              <w:pStyle w:val="TableTextNumbersContinued"/>
            </w:pPr>
            <w:r>
              <w:t xml:space="preserve">Click </w:t>
            </w:r>
            <w:r>
              <w:rPr>
                <w:b/>
              </w:rPr>
              <w:t>OK</w:t>
            </w:r>
            <w:r>
              <w:t>.</w:t>
            </w:r>
          </w:p>
        </w:tc>
        <w:tc>
          <w:tcPr>
            <w:tcW w:w="6120" w:type="dxa"/>
            <w:tcBorders>
              <w:top w:val="single" w:sz="6" w:space="0" w:color="auto"/>
              <w:left w:val="single" w:sz="6" w:space="0" w:color="auto"/>
              <w:bottom w:val="single" w:sz="6" w:space="0" w:color="auto"/>
              <w:right w:val="single" w:sz="6" w:space="0" w:color="auto"/>
            </w:tcBorders>
          </w:tcPr>
          <w:p w14:paraId="438E168D" w14:textId="77777777" w:rsidR="002A21AE" w:rsidRDefault="002A21AE">
            <w:pPr>
              <w:pStyle w:val="TableTextBullet"/>
              <w:tabs>
                <w:tab w:val="num" w:pos="360"/>
              </w:tabs>
            </w:pPr>
            <w:r>
              <w:t>Lists the selected units, allows the user to select additional units or deselect units, and prompts the user to indicate th</w:t>
            </w:r>
            <w:r w:rsidR="006709A3">
              <w:t>at the selections are complete.</w:t>
            </w:r>
          </w:p>
          <w:p w14:paraId="3D03E714" w14:textId="77777777" w:rsidR="006709A3" w:rsidRDefault="006709A3" w:rsidP="006709A3">
            <w:pPr>
              <w:pStyle w:val="TableTextBullet"/>
              <w:tabs>
                <w:tab w:val="num" w:pos="360"/>
              </w:tabs>
            </w:pPr>
            <w:r>
              <w:t>Allows the user to select the unsatisfactory unit and edit its issue selections.</w:t>
            </w:r>
          </w:p>
          <w:p w14:paraId="59C4CB85" w14:textId="77777777" w:rsidR="002A21AE" w:rsidRDefault="002A21AE">
            <w:pPr>
              <w:pStyle w:val="TableText"/>
            </w:pPr>
          </w:p>
          <w:p w14:paraId="6DC0A4AD" w14:textId="3ACF801C" w:rsidR="002A21AE" w:rsidRDefault="002A21AE">
            <w:pPr>
              <w:pStyle w:val="TableText"/>
              <w:rPr>
                <w:b/>
                <w:bCs/>
                <w:szCs w:val="18"/>
              </w:rPr>
            </w:pPr>
            <w:r>
              <w:rPr>
                <w:b/>
                <w:bCs/>
                <w:szCs w:val="18"/>
              </w:rPr>
              <w:t>NOTES</w:t>
            </w:r>
          </w:p>
          <w:p w14:paraId="127A6840" w14:textId="77777777" w:rsidR="002A21AE" w:rsidRDefault="002A21AE">
            <w:pPr>
              <w:pStyle w:val="NotesText"/>
            </w:pPr>
          </w:p>
          <w:p w14:paraId="7CFE2C33" w14:textId="65B64C3C"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EE455E">
              <w:t xml:space="preserve">Table </w:t>
            </w:r>
            <w:r w:rsidR="00EE455E">
              <w:rPr>
                <w:noProof/>
              </w:rPr>
              <w:t>8</w:t>
            </w:r>
            <w:r w:rsidR="00016901">
              <w:t xml:space="preserve"> </w:t>
            </w:r>
            <w:r w:rsidR="002A21AE">
              <w:t>for alerts that may occur during this option.</w:t>
            </w:r>
          </w:p>
        </w:tc>
      </w:tr>
      <w:tr w:rsidR="002A21AE" w14:paraId="33B54BC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1D6F35E4" w14:textId="77777777" w:rsidR="002A21AE" w:rsidRDefault="002A21AE">
            <w:pPr>
              <w:pStyle w:val="TableTextNumbers"/>
            </w:pPr>
            <w:r>
              <w:t xml:space="preserve">Click </w:t>
            </w:r>
            <w:r>
              <w:rPr>
                <w:b/>
              </w:rPr>
              <w:t>OK</w:t>
            </w:r>
            <w:r>
              <w:t xml:space="preserve"> to accept the entries and complete the unit issue.</w:t>
            </w:r>
          </w:p>
        </w:tc>
        <w:tc>
          <w:tcPr>
            <w:tcW w:w="6120" w:type="dxa"/>
            <w:tcBorders>
              <w:top w:val="single" w:sz="6" w:space="0" w:color="auto"/>
              <w:left w:val="single" w:sz="6" w:space="0" w:color="auto"/>
              <w:bottom w:val="single" w:sz="6" w:space="0" w:color="auto"/>
              <w:right w:val="single" w:sz="6" w:space="0" w:color="auto"/>
            </w:tcBorders>
          </w:tcPr>
          <w:p w14:paraId="4E732DEA" w14:textId="77777777" w:rsidR="002A21AE" w:rsidRDefault="002A21AE">
            <w:pPr>
              <w:pStyle w:val="TableTextBullet"/>
              <w:tabs>
                <w:tab w:val="num" w:pos="360"/>
              </w:tabs>
            </w:pPr>
            <w:r>
              <w:t xml:space="preserve">Displays entries for review and editing. </w:t>
            </w:r>
          </w:p>
        </w:tc>
      </w:tr>
      <w:tr w:rsidR="002A21AE" w14:paraId="0B9FCF6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4D295FCB" w14:textId="77777777" w:rsidR="002A21AE" w:rsidRDefault="002A21AE">
            <w:pPr>
              <w:pStyle w:val="TableTextNumbers"/>
            </w:pPr>
            <w:r>
              <w:t xml:space="preserve">Click </w:t>
            </w:r>
            <w:r>
              <w:rPr>
                <w:b/>
              </w:rPr>
              <w:t>Yes</w:t>
            </w:r>
            <w:r>
              <w:t xml:space="preserve"> when the unit is satisfactory or </w:t>
            </w:r>
            <w:r>
              <w:rPr>
                <w:b/>
              </w:rPr>
              <w:t>No</w:t>
            </w:r>
            <w:r>
              <w:t xml:space="preserve"> when the unit is unsatisfactory.</w:t>
            </w:r>
          </w:p>
        </w:tc>
        <w:tc>
          <w:tcPr>
            <w:tcW w:w="6120" w:type="dxa"/>
            <w:tcBorders>
              <w:top w:val="single" w:sz="6" w:space="0" w:color="auto"/>
              <w:left w:val="single" w:sz="6" w:space="0" w:color="auto"/>
              <w:bottom w:val="single" w:sz="6" w:space="0" w:color="auto"/>
              <w:right w:val="single" w:sz="6" w:space="0" w:color="auto"/>
            </w:tcBorders>
          </w:tcPr>
          <w:p w14:paraId="474CDFAA" w14:textId="77777777" w:rsidR="002A21AE" w:rsidRDefault="002A21AE">
            <w:pPr>
              <w:pStyle w:val="TableTextBullet"/>
              <w:tabs>
                <w:tab w:val="num" w:pos="360"/>
              </w:tabs>
            </w:pPr>
            <w:r>
              <w:t>Saves the data.</w:t>
            </w:r>
          </w:p>
          <w:p w14:paraId="6B2D4C54" w14:textId="77777777" w:rsidR="002A21AE" w:rsidRDefault="002A21AE">
            <w:pPr>
              <w:pStyle w:val="TableTextBullet"/>
              <w:tabs>
                <w:tab w:val="num" w:pos="360"/>
              </w:tabs>
            </w:pPr>
            <w:r>
              <w:t>Displays the unit inspection indicator (satisfactory or unsatisfactory) listing each selected unit.</w:t>
            </w:r>
          </w:p>
          <w:p w14:paraId="43D62EF9" w14:textId="77777777" w:rsidR="00095D68" w:rsidRDefault="00095D68" w:rsidP="00095D68">
            <w:pPr>
              <w:pStyle w:val="TableTextBullet"/>
              <w:tabs>
                <w:tab w:val="num" w:pos="360"/>
              </w:tabs>
            </w:pPr>
            <w:r>
              <w:rPr>
                <w:rFonts w:cs="Arial"/>
                <w:szCs w:val="18"/>
              </w:rPr>
              <w:t>S</w:t>
            </w:r>
            <w:r w:rsidRPr="00B1287E">
              <w:rPr>
                <w:rFonts w:cs="Arial"/>
                <w:szCs w:val="18"/>
              </w:rPr>
              <w:t>ends</w:t>
            </w:r>
            <w:r>
              <w:rPr>
                <w:rFonts w:cs="Arial"/>
                <w:szCs w:val="18"/>
              </w:rPr>
              <w:t xml:space="preserve"> updated</w:t>
            </w:r>
            <w:r w:rsidRPr="00B1287E">
              <w:rPr>
                <w:rFonts w:cs="Arial"/>
                <w:szCs w:val="18"/>
              </w:rPr>
              <w:t xml:space="preserve"> patient and blood unit</w:t>
            </w:r>
            <w:r>
              <w:rPr>
                <w:rFonts w:cs="Arial"/>
                <w:szCs w:val="18"/>
              </w:rPr>
              <w:t xml:space="preserve"> information t</w:t>
            </w:r>
            <w:r w:rsidRPr="00B1287E">
              <w:rPr>
                <w:rFonts w:cs="Arial"/>
                <w:szCs w:val="18"/>
              </w:rPr>
              <w:t>o the BCE COTS system via an HL7 message.</w:t>
            </w:r>
          </w:p>
          <w:p w14:paraId="0AD4D50F" w14:textId="77777777" w:rsidR="002A21AE" w:rsidRDefault="002A21AE">
            <w:pPr>
              <w:pStyle w:val="TableText"/>
            </w:pPr>
          </w:p>
          <w:p w14:paraId="21FE68AF" w14:textId="45727B01" w:rsidR="002A21AE" w:rsidRDefault="002A21AE">
            <w:pPr>
              <w:pStyle w:val="TableText"/>
              <w:rPr>
                <w:b/>
                <w:bCs/>
                <w:szCs w:val="18"/>
              </w:rPr>
            </w:pPr>
            <w:r>
              <w:rPr>
                <w:b/>
                <w:bCs/>
                <w:szCs w:val="18"/>
              </w:rPr>
              <w:t>NOTES</w:t>
            </w:r>
          </w:p>
          <w:p w14:paraId="3802B8F2" w14:textId="77777777" w:rsidR="002A21AE" w:rsidRDefault="002A21AE">
            <w:pPr>
              <w:pStyle w:val="NotesText"/>
            </w:pPr>
          </w:p>
          <w:p w14:paraId="5B7DFEAB" w14:textId="4BF2E57A" w:rsidR="002A21AE" w:rsidRDefault="00896F17">
            <w:pPr>
              <w:pStyle w:val="TableText"/>
              <w:ind w:left="360"/>
            </w:pPr>
            <w:r w:rsidRPr="00896F17">
              <w:rPr>
                <w:rStyle w:val="BullhornChar"/>
              </w:rPr>
              <w:t></w:t>
            </w:r>
            <w:r w:rsidRPr="00C51C45">
              <w:rPr>
                <w:rFonts w:ascii="Webdings" w:hAnsi="Webdings"/>
                <w:szCs w:val="22"/>
              </w:rPr>
              <w:t></w:t>
            </w:r>
            <w:r>
              <w:rPr>
                <w:rFonts w:cs="Arial"/>
                <w:szCs w:val="22"/>
              </w:rPr>
              <w:t>See</w:t>
            </w:r>
            <w:r w:rsidR="002A21AE">
              <w:t xml:space="preserve"> </w:t>
            </w:r>
            <w:r w:rsidR="00EE455E">
              <w:t xml:space="preserve">Table </w:t>
            </w:r>
            <w:r w:rsidR="00EE455E">
              <w:rPr>
                <w:noProof/>
              </w:rPr>
              <w:t>8</w:t>
            </w:r>
            <w:r w:rsidR="002A21AE">
              <w:t xml:space="preserve"> for alerts that may occur during this option.</w:t>
            </w:r>
          </w:p>
        </w:tc>
      </w:tr>
      <w:tr w:rsidR="002A21AE" w14:paraId="456EB52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40" w:type="dxa"/>
            <w:tcBorders>
              <w:top w:val="single" w:sz="6" w:space="0" w:color="auto"/>
              <w:left w:val="single" w:sz="6" w:space="0" w:color="auto"/>
              <w:bottom w:val="single" w:sz="6" w:space="0" w:color="auto"/>
              <w:right w:val="single" w:sz="6" w:space="0" w:color="auto"/>
            </w:tcBorders>
          </w:tcPr>
          <w:p w14:paraId="0CE43767"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Borders>
              <w:top w:val="single" w:sz="6" w:space="0" w:color="auto"/>
              <w:left w:val="single" w:sz="6" w:space="0" w:color="auto"/>
              <w:bottom w:val="single" w:sz="6" w:space="0" w:color="auto"/>
              <w:right w:val="single" w:sz="6" w:space="0" w:color="auto"/>
            </w:tcBorders>
          </w:tcPr>
          <w:p w14:paraId="2A2E1880" w14:textId="77777777" w:rsidR="002A21AE" w:rsidRDefault="002A21AE">
            <w:pPr>
              <w:pStyle w:val="TableText"/>
            </w:pPr>
          </w:p>
        </w:tc>
      </w:tr>
    </w:tbl>
    <w:p w14:paraId="43294E8C" w14:textId="036AC5BF" w:rsidR="00FD6D00" w:rsidRDefault="00FD6D00" w:rsidP="00FD6D00">
      <w:pPr>
        <w:pStyle w:val="Caption"/>
      </w:pPr>
      <w:bookmarkStart w:id="379" w:name="_Ref127094243"/>
      <w:bookmarkStart w:id="380" w:name="_Toc9434937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74</w:t>
      </w:r>
      <w:r w:rsidR="004E20BD">
        <w:rPr>
          <w:noProof/>
        </w:rPr>
        <w:fldChar w:fldCharType="end"/>
      </w:r>
      <w:bookmarkEnd w:id="379"/>
      <w:r>
        <w:t>: Issue Blood Components Emergency Issue Units Tab</w:t>
      </w:r>
    </w:p>
    <w:p w14:paraId="22B72A7A" w14:textId="3ECAFCAC" w:rsidR="00FD6D00" w:rsidRDefault="00F927FC" w:rsidP="00FD6D00">
      <w:pPr>
        <w:pStyle w:val="BodyText"/>
      </w:pPr>
      <w:r>
        <w:rPr>
          <w:noProof/>
        </w:rPr>
        <w:drawing>
          <wp:inline distT="0" distB="0" distL="0" distR="0" wp14:anchorId="03EB2700" wp14:editId="604C4409">
            <wp:extent cx="5943600" cy="4224020"/>
            <wp:effectExtent l="0" t="0" r="0" b="5080"/>
            <wp:docPr id="180" name="Picture 180" descr="Example of Issue Blood Components Emergency Issue Units Tab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Example of Issue Blood Components Emergency Issue Units Tab screen capture"/>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3600" cy="4224020"/>
                    </a:xfrm>
                    <a:prstGeom prst="rect">
                      <a:avLst/>
                    </a:prstGeom>
                    <a:noFill/>
                    <a:ln>
                      <a:noFill/>
                    </a:ln>
                  </pic:spPr>
                </pic:pic>
              </a:graphicData>
            </a:graphic>
          </wp:inline>
        </w:drawing>
      </w:r>
    </w:p>
    <w:p w14:paraId="67E54716" w14:textId="77777777" w:rsidR="008803E6" w:rsidRDefault="008803E6" w:rsidP="00FD6D00">
      <w:pPr>
        <w:pStyle w:val="BodyText"/>
      </w:pPr>
    </w:p>
    <w:p w14:paraId="61E4FCBE" w14:textId="1DA48D3E" w:rsidR="008803E6" w:rsidRDefault="008803E6" w:rsidP="008803E6">
      <w:pPr>
        <w:pStyle w:val="Caption"/>
      </w:pPr>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75</w:t>
      </w:r>
      <w:r w:rsidR="004E20BD">
        <w:rPr>
          <w:noProof/>
        </w:rPr>
        <w:fldChar w:fldCharType="end"/>
      </w:r>
      <w:r>
        <w:t>: Emergency Issue</w:t>
      </w:r>
    </w:p>
    <w:p w14:paraId="28C0F87D" w14:textId="77FBB0AB" w:rsidR="008803E6" w:rsidRPr="00883DA7" w:rsidRDefault="001B42C7" w:rsidP="00FD6D00">
      <w:pPr>
        <w:pStyle w:val="BodyText"/>
      </w:pPr>
      <w:r>
        <w:object w:dxaOrig="9612" w:dyaOrig="9268" w14:anchorId="0A54CD12">
          <v:shape id="_x0000_i1029" type="#_x0000_t75" alt="Emergency Isssue Flowcharg" style="width:468pt;height:453.75pt" o:ole="">
            <v:imagedata r:id="rId166" o:title=""/>
          </v:shape>
          <o:OLEObject Type="Embed" ProgID="Visio.Drawing.11" ShapeID="_x0000_i1029" DrawAspect="Content" ObjectID="_1767790626" r:id="rId167"/>
        </w:object>
      </w:r>
    </w:p>
    <w:p w14:paraId="0E09A9BB" w14:textId="77777777" w:rsidR="002A21AE" w:rsidRDefault="00AC3860">
      <w:pPr>
        <w:pStyle w:val="Heading4"/>
      </w:pPr>
      <w:r>
        <w:rPr>
          <w:rStyle w:val="BullhornChar"/>
        </w:rPr>
        <w:br w:type="page"/>
      </w:r>
      <w:r w:rsidR="00F92F72" w:rsidRPr="00896F17">
        <w:rPr>
          <w:rStyle w:val="BullhornChar"/>
        </w:rPr>
        <w:t></w:t>
      </w:r>
      <w:r w:rsidR="00F92F72">
        <w:rPr>
          <w:rFonts w:ascii="Webdings" w:hAnsi="Webdings"/>
        </w:rPr>
        <w:t></w:t>
      </w:r>
      <w:r w:rsidR="002A21AE">
        <w:t>Alerts</w:t>
      </w:r>
      <w:bookmarkEnd w:id="380"/>
    </w:p>
    <w:p w14:paraId="23C12801" w14:textId="4C56BC00" w:rsidR="002A21AE" w:rsidRDefault="002A21AE">
      <w:pPr>
        <w:pStyle w:val="Caption"/>
      </w:pPr>
      <w:bookmarkStart w:id="381" w:name="_Ref126486291"/>
      <w:bookmarkStart w:id="382" w:name="_Toc97523619"/>
      <w:bookmarkStart w:id="383" w:name="_Toc9752758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7</w:t>
      </w:r>
      <w:r w:rsidR="004E20BD">
        <w:rPr>
          <w:noProof/>
        </w:rPr>
        <w:fldChar w:fldCharType="end"/>
      </w:r>
      <w:bookmarkEnd w:id="381"/>
      <w:r>
        <w:t>: Alerts That May Occur in Issue Blood Components</w:t>
      </w:r>
      <w:bookmarkEnd w:id="382"/>
      <w:bookmarkEnd w:id="383"/>
      <w:r w:rsidR="007122D4">
        <w:t xml:space="preserve"> (Routine) </w:t>
      </w:r>
      <w:r>
        <w:fldChar w:fldCharType="begin"/>
      </w:r>
      <w:r>
        <w:instrText xml:space="preserve"> XE </w:instrText>
      </w:r>
      <w:r w:rsidR="00FA7E65">
        <w:instrText>“</w:instrText>
      </w:r>
      <w:r>
        <w:instrText>Tables:Alerts That May Occur in Issue Blood Components</w:instrText>
      </w:r>
      <w:r w:rsidR="007122D4">
        <w:instrText xml:space="preserve"> (Routine)</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0B67F59C" w14:textId="77777777">
        <w:trPr>
          <w:tblHeader/>
        </w:trPr>
        <w:tc>
          <w:tcPr>
            <w:tcW w:w="780" w:type="dxa"/>
            <w:shd w:val="clear" w:color="auto" w:fill="B3B3B3"/>
          </w:tcPr>
          <w:p w14:paraId="44286343" w14:textId="77777777" w:rsidR="002A21AE" w:rsidRDefault="00DB3377">
            <w:pPr>
              <w:pStyle w:val="TableText"/>
              <w:rPr>
                <w:b/>
              </w:rPr>
            </w:pPr>
            <w:r>
              <w:rPr>
                <w:b/>
              </w:rPr>
              <w:t>User Action Step</w:t>
            </w:r>
          </w:p>
        </w:tc>
        <w:tc>
          <w:tcPr>
            <w:tcW w:w="8580" w:type="dxa"/>
            <w:shd w:val="clear" w:color="auto" w:fill="B3B3B3"/>
          </w:tcPr>
          <w:p w14:paraId="5C74E452" w14:textId="77777777" w:rsidR="002A21AE" w:rsidRDefault="002A21AE">
            <w:pPr>
              <w:pStyle w:val="TableText"/>
              <w:rPr>
                <w:b/>
              </w:rPr>
            </w:pPr>
            <w:r>
              <w:rPr>
                <w:b/>
              </w:rPr>
              <w:t>Alerts</w:t>
            </w:r>
          </w:p>
        </w:tc>
      </w:tr>
      <w:tr w:rsidR="002A21AE" w14:paraId="15516446" w14:textId="77777777">
        <w:tc>
          <w:tcPr>
            <w:tcW w:w="780" w:type="dxa"/>
          </w:tcPr>
          <w:p w14:paraId="2E4610A7" w14:textId="77777777" w:rsidR="002A21AE" w:rsidRDefault="002A21AE">
            <w:pPr>
              <w:pStyle w:val="TableText"/>
            </w:pPr>
            <w:r>
              <w:t>2</w:t>
            </w:r>
          </w:p>
        </w:tc>
        <w:tc>
          <w:tcPr>
            <w:tcW w:w="8580" w:type="dxa"/>
          </w:tcPr>
          <w:p w14:paraId="50F9AC3C" w14:textId="77777777" w:rsidR="002A21AE" w:rsidRDefault="002A21AE">
            <w:pPr>
              <w:pStyle w:val="TableText"/>
            </w:pPr>
            <w:r>
              <w:rPr>
                <w:rFonts w:cs="Arial"/>
                <w:vanish/>
                <w:szCs w:val="22"/>
              </w:rPr>
              <w:t xml:space="preserve">BR_16.01 </w:t>
            </w:r>
            <w:r>
              <w:t xml:space="preserve">VBECS displays </w:t>
            </w:r>
            <w:r w:rsidR="00057948">
              <w:rPr>
                <w:noProof/>
              </w:rPr>
              <w:drawing>
                <wp:inline distT="0" distB="0" distL="0" distR="0" wp14:anchorId="724BD74B" wp14:editId="184AB1AC">
                  <wp:extent cx="156845" cy="156845"/>
                  <wp:effectExtent l="0" t="0" r="0" b="0"/>
                  <wp:docPr id="194" name="Picture 194"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and emits an audible alert when there are Special Instructions (SIs) or Transfusion Requirements (TRs) for the patient.</w:t>
            </w:r>
          </w:p>
        </w:tc>
      </w:tr>
      <w:tr w:rsidR="002A21AE" w14:paraId="39A1C2E0" w14:textId="77777777">
        <w:tc>
          <w:tcPr>
            <w:tcW w:w="780" w:type="dxa"/>
          </w:tcPr>
          <w:p w14:paraId="6E80892C" w14:textId="77777777" w:rsidR="002A21AE" w:rsidRDefault="002A21AE">
            <w:pPr>
              <w:pStyle w:val="TableText"/>
            </w:pPr>
            <w:r>
              <w:t>2</w:t>
            </w:r>
          </w:p>
        </w:tc>
        <w:tc>
          <w:tcPr>
            <w:tcW w:w="8580" w:type="dxa"/>
          </w:tcPr>
          <w:p w14:paraId="541B6295" w14:textId="77777777" w:rsidR="002A21AE" w:rsidRDefault="002A21AE">
            <w:pPr>
              <w:pStyle w:val="TableText"/>
            </w:pPr>
            <w:r>
              <w:rPr>
                <w:rFonts w:cs="Arial"/>
                <w:vanish/>
              </w:rPr>
              <w:t xml:space="preserve">BR_73.21 </w:t>
            </w:r>
            <w:r>
              <w:t>When no patient is found, VBECS warns the user and does not allow the user to continue.</w:t>
            </w:r>
          </w:p>
        </w:tc>
      </w:tr>
      <w:tr w:rsidR="002A21AE" w14:paraId="6BB295A7" w14:textId="77777777">
        <w:tc>
          <w:tcPr>
            <w:tcW w:w="780" w:type="dxa"/>
          </w:tcPr>
          <w:p w14:paraId="0DBDCF90" w14:textId="77777777" w:rsidR="002A21AE" w:rsidRDefault="002A21AE">
            <w:pPr>
              <w:pStyle w:val="TableText"/>
            </w:pPr>
            <w:r>
              <w:t>2</w:t>
            </w:r>
          </w:p>
        </w:tc>
        <w:tc>
          <w:tcPr>
            <w:tcW w:w="8580" w:type="dxa"/>
          </w:tcPr>
          <w:p w14:paraId="45D08607" w14:textId="77777777" w:rsidR="002A21AE" w:rsidRDefault="002A21AE">
            <w:pPr>
              <w:pStyle w:val="TableText"/>
            </w:pPr>
            <w:r>
              <w:rPr>
                <w:rFonts w:cs="Arial"/>
                <w:vanish/>
              </w:rPr>
              <w:t xml:space="preserve">BR_73.20 </w:t>
            </w:r>
            <w:r>
              <w:t>When the patient has no</w:t>
            </w:r>
            <w:r>
              <w:rPr>
                <w:i/>
              </w:rPr>
              <w:t xml:space="preserve"> </w:t>
            </w:r>
            <w:r>
              <w:t>components available for issue, VBECS warns the user and does not allow the user to continue.</w:t>
            </w:r>
          </w:p>
        </w:tc>
      </w:tr>
      <w:tr w:rsidR="002A21AE" w14:paraId="455A0D58" w14:textId="77777777">
        <w:tc>
          <w:tcPr>
            <w:tcW w:w="780" w:type="dxa"/>
          </w:tcPr>
          <w:p w14:paraId="3D242313" w14:textId="77777777" w:rsidR="002A21AE" w:rsidRDefault="002A21AE">
            <w:pPr>
              <w:pStyle w:val="TableText"/>
            </w:pPr>
            <w:r>
              <w:t>2</w:t>
            </w:r>
          </w:p>
        </w:tc>
        <w:tc>
          <w:tcPr>
            <w:tcW w:w="8580" w:type="dxa"/>
          </w:tcPr>
          <w:p w14:paraId="2E627009" w14:textId="77777777" w:rsidR="00594F36" w:rsidRDefault="002A21AE" w:rsidP="00594F36">
            <w:pPr>
              <w:pStyle w:val="TableText"/>
            </w:pPr>
            <w:r>
              <w:rPr>
                <w:rFonts w:cs="Arial"/>
                <w:vanish/>
              </w:rPr>
              <w:t xml:space="preserve">BR_73.31 </w:t>
            </w:r>
            <w:r w:rsidR="00594F36">
              <w:t>When required testing is incomplete at issue, VBECS emits an audible alert, warns the user, and asks whether to emergency issue the unit in accordance with hospital policy.</w:t>
            </w:r>
          </w:p>
          <w:p w14:paraId="1170E4D6" w14:textId="77777777" w:rsidR="00594F36" w:rsidRDefault="00594F36" w:rsidP="00594F36">
            <w:pPr>
              <w:pStyle w:val="TableText"/>
            </w:pPr>
          </w:p>
          <w:p w14:paraId="330797DF" w14:textId="77777777" w:rsidR="002A21AE" w:rsidRDefault="00594F36" w:rsidP="00594F36">
            <w:pPr>
              <w:pStyle w:val="TableText"/>
            </w:pPr>
            <w:r w:rsidRPr="00924702">
              <w:rPr>
                <w:b/>
              </w:rPr>
              <w:t>No</w:t>
            </w:r>
            <w:r>
              <w:t xml:space="preserve"> stops the user from issuing the unit and requires selection of another unit. </w:t>
            </w:r>
            <w:r w:rsidRPr="00924702">
              <w:rPr>
                <w:b/>
              </w:rPr>
              <w:t>Yes</w:t>
            </w:r>
            <w:r>
              <w:t xml:space="preserve"> creates an Exception Report entry for the issue, indicates on the unit record that the unit was issued emergently, and asks whether the user wishes to print the Caution Tags and Blood Transfusion Record Forms.</w:t>
            </w:r>
            <w:r w:rsidRPr="00924702">
              <w:rPr>
                <w:b/>
              </w:rPr>
              <w:t xml:space="preserve"> No</w:t>
            </w:r>
            <w:r>
              <w:t xml:space="preserve"> allows the user to continue with the emergency issue. </w:t>
            </w:r>
            <w:r w:rsidRPr="00924702">
              <w:rPr>
                <w:b/>
              </w:rPr>
              <w:t>Yes</w:t>
            </w:r>
            <w:r>
              <w:t xml:space="preserve"> prints a Caution Tag and/or Blood Transfusion Record Form and proceeds with the issue.</w:t>
            </w:r>
          </w:p>
        </w:tc>
      </w:tr>
      <w:tr w:rsidR="00214B12" w14:paraId="63DEC8C6" w14:textId="77777777">
        <w:tc>
          <w:tcPr>
            <w:tcW w:w="780" w:type="dxa"/>
          </w:tcPr>
          <w:p w14:paraId="2ABEBFD0" w14:textId="77777777" w:rsidR="00214B12" w:rsidRDefault="00214B12">
            <w:pPr>
              <w:pStyle w:val="TableText"/>
            </w:pPr>
            <w:r>
              <w:t>5</w:t>
            </w:r>
          </w:p>
        </w:tc>
        <w:tc>
          <w:tcPr>
            <w:tcW w:w="8580" w:type="dxa"/>
          </w:tcPr>
          <w:p w14:paraId="72D1560B" w14:textId="77777777" w:rsidR="00214B12" w:rsidRPr="00170A14" w:rsidRDefault="00214B12" w:rsidP="00CE2473">
            <w:pPr>
              <w:pStyle w:val="TableText"/>
              <w:rPr>
                <w:vanish/>
                <w:szCs w:val="18"/>
              </w:rPr>
            </w:pPr>
            <w:r>
              <w:rPr>
                <w:vanish/>
                <w:szCs w:val="18"/>
              </w:rPr>
              <w:t xml:space="preserve">BR_73.17 </w:t>
            </w:r>
            <w:r w:rsidR="003309E7" w:rsidRPr="0065539A">
              <w:rPr>
                <w:szCs w:val="18"/>
              </w:rPr>
              <w:t>When th</w:t>
            </w:r>
            <w:r w:rsidR="003309E7">
              <w:t>e user attempts to</w:t>
            </w:r>
            <w:r>
              <w:t xml:space="preserve"> issue a unit located in a different division</w:t>
            </w:r>
            <w:r w:rsidR="002B0F51">
              <w:t>,</w:t>
            </w:r>
            <w:r w:rsidR="003309E7">
              <w:t xml:space="preserve"> VBECS warms him that the unit</w:t>
            </w:r>
            <w:r>
              <w:t xml:space="preserve"> cannot be issued</w:t>
            </w:r>
            <w:r w:rsidR="003309E7">
              <w:t xml:space="preserve"> and does not allow </w:t>
            </w:r>
            <w:r w:rsidR="002B0F51">
              <w:t>him</w:t>
            </w:r>
            <w:r w:rsidR="003309E7">
              <w:t xml:space="preserve"> to</w:t>
            </w:r>
            <w:r>
              <w:t xml:space="preserve"> continue.</w:t>
            </w:r>
          </w:p>
        </w:tc>
      </w:tr>
      <w:tr w:rsidR="00CE2473" w14:paraId="46BD736B" w14:textId="77777777">
        <w:tc>
          <w:tcPr>
            <w:tcW w:w="780" w:type="dxa"/>
          </w:tcPr>
          <w:p w14:paraId="74C9399B" w14:textId="77777777" w:rsidR="00CE2473" w:rsidRDefault="00CE2473">
            <w:pPr>
              <w:pStyle w:val="TableText"/>
            </w:pPr>
            <w:r>
              <w:t>5</w:t>
            </w:r>
          </w:p>
        </w:tc>
        <w:tc>
          <w:tcPr>
            <w:tcW w:w="8580" w:type="dxa"/>
          </w:tcPr>
          <w:p w14:paraId="66B3DBCD" w14:textId="77777777" w:rsidR="00CE2473" w:rsidRDefault="00170A14" w:rsidP="00CE2473">
            <w:pPr>
              <w:pStyle w:val="TableText"/>
            </w:pPr>
            <w:r w:rsidRPr="00170A14">
              <w:rPr>
                <w:vanish/>
                <w:szCs w:val="18"/>
              </w:rPr>
              <w:t xml:space="preserve">BR_73.25 </w:t>
            </w:r>
            <w:r w:rsidR="00CE2473">
              <w:t xml:space="preserve">When autologous or directed, or designated or dedicated blood units of the same component class </w:t>
            </w:r>
            <w:r w:rsidR="006C67E5">
              <w:t xml:space="preserve">are </w:t>
            </w:r>
            <w:r w:rsidR="00CE2473">
              <w:t xml:space="preserve">available in the same division as the </w:t>
            </w:r>
            <w:r w:rsidR="00967CF7">
              <w:t>user</w:t>
            </w:r>
            <w:r w:rsidR="00CE2473">
              <w:t xml:space="preserve">, </w:t>
            </w:r>
            <w:r w:rsidR="00967CF7">
              <w:t>VBECS</w:t>
            </w:r>
            <w:r w:rsidR="000014DD">
              <w:t xml:space="preserve"> </w:t>
            </w:r>
            <w:r w:rsidR="00CE2473">
              <w:t>require</w:t>
            </w:r>
            <w:r w:rsidR="00967CF7">
              <w:t>s</w:t>
            </w:r>
            <w:r w:rsidR="00CE2473">
              <w:t xml:space="preserve"> blood units </w:t>
            </w:r>
            <w:r w:rsidR="006C67E5">
              <w:t xml:space="preserve">to </w:t>
            </w:r>
            <w:r w:rsidR="00CE2473">
              <w:t xml:space="preserve">be issued in </w:t>
            </w:r>
            <w:r w:rsidR="00967CF7">
              <w:t>this</w:t>
            </w:r>
            <w:r w:rsidR="00CE2473">
              <w:t xml:space="preserve"> order:</w:t>
            </w:r>
          </w:p>
          <w:p w14:paraId="1D044847" w14:textId="77777777" w:rsidR="00EB5BD0" w:rsidRDefault="00CE2473" w:rsidP="002F6D7B">
            <w:pPr>
              <w:pStyle w:val="TableText"/>
              <w:numPr>
                <w:ilvl w:val="0"/>
                <w:numId w:val="14"/>
              </w:numPr>
            </w:pPr>
            <w:r>
              <w:t>Autologous units</w:t>
            </w:r>
          </w:p>
          <w:p w14:paraId="4855887C" w14:textId="77777777" w:rsidR="00EB5BD0" w:rsidRDefault="0065539A" w:rsidP="002F6D7B">
            <w:pPr>
              <w:pStyle w:val="TableText"/>
              <w:numPr>
                <w:ilvl w:val="0"/>
                <w:numId w:val="14"/>
              </w:numPr>
            </w:pPr>
            <w:r>
              <w:t>R</w:t>
            </w:r>
            <w:r w:rsidR="00CE2473">
              <w:t xml:space="preserve">estricted units </w:t>
            </w:r>
          </w:p>
          <w:p w14:paraId="1461DBD6" w14:textId="77777777" w:rsidR="00CE2473" w:rsidRDefault="00CE2473" w:rsidP="002F6D7B">
            <w:pPr>
              <w:pStyle w:val="TableText"/>
              <w:numPr>
                <w:ilvl w:val="0"/>
                <w:numId w:val="14"/>
              </w:numPr>
            </w:pPr>
            <w:r>
              <w:t>Voluntary allogeneic units</w:t>
            </w:r>
          </w:p>
          <w:p w14:paraId="093B4B9B" w14:textId="77777777" w:rsidR="00CE2473" w:rsidRDefault="00CE2473" w:rsidP="00CE2473">
            <w:pPr>
              <w:pStyle w:val="TableText"/>
            </w:pPr>
          </w:p>
          <w:p w14:paraId="42D028E3" w14:textId="77777777" w:rsidR="00CE2473" w:rsidRDefault="00967CF7" w:rsidP="00CE2473">
            <w:pPr>
              <w:pStyle w:val="TableText"/>
              <w:rPr>
                <w:rFonts w:cs="Arial"/>
                <w:vanish/>
              </w:rPr>
            </w:pPr>
            <w:r>
              <w:t>When</w:t>
            </w:r>
            <w:r w:rsidR="00AC5979">
              <w:t xml:space="preserve"> the user attempts to issue a unit out </w:t>
            </w:r>
            <w:r w:rsidR="0065539A">
              <w:t xml:space="preserve">of </w:t>
            </w:r>
            <w:r>
              <w:t xml:space="preserve">order, VBECS warns </w:t>
            </w:r>
            <w:r w:rsidR="009A51A9">
              <w:t>him</w:t>
            </w:r>
            <w:r>
              <w:t xml:space="preserve"> that m</w:t>
            </w:r>
            <w:r w:rsidR="00AC5979">
              <w:t>ore restrictive unit</w:t>
            </w:r>
            <w:r>
              <w:t>s</w:t>
            </w:r>
            <w:r w:rsidR="00AC5979">
              <w:t xml:space="preserve"> </w:t>
            </w:r>
            <w:r>
              <w:t xml:space="preserve">are </w:t>
            </w:r>
            <w:r w:rsidR="00AC5979">
              <w:t>available</w:t>
            </w:r>
            <w:r>
              <w:t xml:space="preserve"> </w:t>
            </w:r>
            <w:r w:rsidR="009A51A9">
              <w:t xml:space="preserve">for issue </w:t>
            </w:r>
            <w:r>
              <w:t>and asks whether he wishes to c</w:t>
            </w:r>
            <w:r w:rsidR="00AC5979">
              <w:t>ontinue</w:t>
            </w:r>
            <w:r>
              <w:t xml:space="preserve">. </w:t>
            </w:r>
            <w:r w:rsidRPr="00967CF7">
              <w:rPr>
                <w:b/>
              </w:rPr>
              <w:t>N</w:t>
            </w:r>
            <w:r w:rsidR="00AC5979" w:rsidRPr="00967CF7">
              <w:rPr>
                <w:b/>
              </w:rPr>
              <w:t>o</w:t>
            </w:r>
            <w:r w:rsidR="00AC5979">
              <w:t xml:space="preserve"> allows the user to enter a</w:t>
            </w:r>
            <w:r>
              <w:t>nother</w:t>
            </w:r>
            <w:r w:rsidR="00AC5979">
              <w:t xml:space="preserve"> unit number. </w:t>
            </w:r>
            <w:r w:rsidR="00AC5979" w:rsidRPr="00967CF7">
              <w:rPr>
                <w:b/>
              </w:rPr>
              <w:t>Yes</w:t>
            </w:r>
            <w:r w:rsidR="00AC5979">
              <w:t xml:space="preserve"> allows the user to continue and captures transaction details for inclusion in an </w:t>
            </w:r>
            <w:r>
              <w:t>E</w:t>
            </w:r>
            <w:r w:rsidR="00AC5979">
              <w:t xml:space="preserve">xception </w:t>
            </w:r>
            <w:r>
              <w:t>R</w:t>
            </w:r>
            <w:r w:rsidR="00AC5979">
              <w:t>eport</w:t>
            </w:r>
            <w:r>
              <w:t xml:space="preserve"> (exception type: less restrictive unit issued).</w:t>
            </w:r>
          </w:p>
        </w:tc>
      </w:tr>
      <w:tr w:rsidR="00214B12" w14:paraId="6B41FE9B" w14:textId="77777777">
        <w:tc>
          <w:tcPr>
            <w:tcW w:w="780" w:type="dxa"/>
          </w:tcPr>
          <w:p w14:paraId="6D019960" w14:textId="77777777" w:rsidR="00214B12" w:rsidRDefault="00214B12">
            <w:pPr>
              <w:pStyle w:val="TableText"/>
            </w:pPr>
            <w:r>
              <w:t>5</w:t>
            </w:r>
          </w:p>
        </w:tc>
        <w:tc>
          <w:tcPr>
            <w:tcW w:w="8580" w:type="dxa"/>
          </w:tcPr>
          <w:p w14:paraId="7165D8FB" w14:textId="77777777" w:rsidR="00214B12" w:rsidRPr="00214B12" w:rsidRDefault="00214B12">
            <w:pPr>
              <w:pStyle w:val="TableText"/>
              <w:rPr>
                <w:rFonts w:cs="Arial"/>
                <w:vanish/>
                <w:szCs w:val="18"/>
              </w:rPr>
            </w:pPr>
            <w:r w:rsidRPr="00214B12">
              <w:rPr>
                <w:rFonts w:cs="Arial"/>
                <w:vanish/>
                <w:szCs w:val="18"/>
              </w:rPr>
              <w:t xml:space="preserve">BR_73.19 </w:t>
            </w:r>
            <w:r>
              <w:t xml:space="preserve">When a user indicates that the </w:t>
            </w:r>
            <w:r w:rsidR="008E45C7">
              <w:t xml:space="preserve">inspected </w:t>
            </w:r>
            <w:r>
              <w:t xml:space="preserve">unit is unsatisfactory, </w:t>
            </w:r>
            <w:r w:rsidR="00C172A4">
              <w:t>VBECS does</w:t>
            </w:r>
            <w:r>
              <w:t xml:space="preserve"> not allow </w:t>
            </w:r>
            <w:r w:rsidR="00C172A4">
              <w:t xml:space="preserve">the </w:t>
            </w:r>
            <w:r>
              <w:t xml:space="preserve">unit </w:t>
            </w:r>
            <w:r w:rsidR="00C172A4">
              <w:t xml:space="preserve">to be issued, releases it </w:t>
            </w:r>
            <w:r>
              <w:t xml:space="preserve">from assignment, </w:t>
            </w:r>
            <w:r w:rsidR="00C172A4">
              <w:t>and warns the user that the u</w:t>
            </w:r>
            <w:r>
              <w:t xml:space="preserve">nit is unacceptable for transfusion. </w:t>
            </w:r>
            <w:r w:rsidR="00C172A4">
              <w:t>VBECS</w:t>
            </w:r>
            <w:r>
              <w:t xml:space="preserve"> allows </w:t>
            </w:r>
            <w:r w:rsidR="00C172A4">
              <w:t>the user to enter another</w:t>
            </w:r>
            <w:r>
              <w:t xml:space="preserve"> unit number.</w:t>
            </w:r>
          </w:p>
        </w:tc>
      </w:tr>
      <w:tr w:rsidR="002A21AE" w14:paraId="57700AA7" w14:textId="77777777">
        <w:tc>
          <w:tcPr>
            <w:tcW w:w="780" w:type="dxa"/>
          </w:tcPr>
          <w:p w14:paraId="5DD17006" w14:textId="77777777" w:rsidR="002A21AE" w:rsidRDefault="002A21AE">
            <w:pPr>
              <w:pStyle w:val="TableText"/>
            </w:pPr>
            <w:r>
              <w:t>5</w:t>
            </w:r>
          </w:p>
        </w:tc>
        <w:tc>
          <w:tcPr>
            <w:tcW w:w="8580" w:type="dxa"/>
          </w:tcPr>
          <w:p w14:paraId="46C38FCA" w14:textId="77777777" w:rsidR="002A21AE" w:rsidRDefault="002A21AE">
            <w:pPr>
              <w:pStyle w:val="TableText"/>
            </w:pPr>
            <w:r>
              <w:rPr>
                <w:rFonts w:cs="Arial"/>
                <w:vanish/>
              </w:rPr>
              <w:t xml:space="preserve">BR_73.27 </w:t>
            </w:r>
            <w:r>
              <w:rPr>
                <w:rFonts w:cs="Arial"/>
              </w:rPr>
              <w:t xml:space="preserve">When the user attempts to select frozen blood components, VBECS </w:t>
            </w:r>
            <w:r>
              <w:t xml:space="preserve">warns the user. Units selected in their frozen state must be thawed before issue. </w:t>
            </w:r>
          </w:p>
        </w:tc>
      </w:tr>
      <w:tr w:rsidR="004C2C6A" w14:paraId="6B0F1156" w14:textId="77777777">
        <w:tc>
          <w:tcPr>
            <w:tcW w:w="780" w:type="dxa"/>
          </w:tcPr>
          <w:p w14:paraId="00559372" w14:textId="77777777" w:rsidR="004C2C6A" w:rsidRDefault="00B11528">
            <w:pPr>
              <w:pStyle w:val="TableText"/>
            </w:pPr>
            <w:r>
              <w:t>5</w:t>
            </w:r>
          </w:p>
        </w:tc>
        <w:tc>
          <w:tcPr>
            <w:tcW w:w="8580" w:type="dxa"/>
          </w:tcPr>
          <w:p w14:paraId="6E0629AB" w14:textId="77777777" w:rsidR="00B11528" w:rsidRPr="00B11528" w:rsidRDefault="00B11528" w:rsidP="00B11528">
            <w:pPr>
              <w:pStyle w:val="TableText"/>
              <w:rPr>
                <w:rFonts w:eastAsia="Calibri"/>
                <w:szCs w:val="18"/>
              </w:rPr>
            </w:pPr>
            <w:r w:rsidRPr="00B11528">
              <w:t xml:space="preserve">When the patient has Component Requirements </w:t>
            </w:r>
            <w:r>
              <w:t xml:space="preserve">(CRs) </w:t>
            </w:r>
            <w:r w:rsidRPr="00B11528">
              <w:t>and Antigen Negative Requirements, the user attempts to issue (including emergency issue) red blood cells that do not satisfy the requirements, and the user is:</w:t>
            </w:r>
          </w:p>
          <w:p w14:paraId="7D797A3B" w14:textId="77777777" w:rsidR="00B11528" w:rsidRPr="00B11528" w:rsidRDefault="00B11528" w:rsidP="00B11528">
            <w:pPr>
              <w:pStyle w:val="TableTextBullet"/>
              <w:numPr>
                <w:ilvl w:val="0"/>
                <w:numId w:val="0"/>
              </w:numPr>
              <w:tabs>
                <w:tab w:val="left" w:pos="720"/>
              </w:tabs>
              <w:rPr>
                <w:sz w:val="20"/>
                <w:szCs w:val="20"/>
              </w:rPr>
            </w:pPr>
            <w:r w:rsidRPr="00B11528">
              <w:rPr>
                <w:rFonts w:ascii="Wingdings 3" w:hAnsi="Wingdings 3"/>
              </w:rPr>
              <w:t></w:t>
            </w:r>
            <w:r w:rsidRPr="00B11528">
              <w:rPr>
                <w:rFonts w:ascii="Wingdings 3" w:hAnsi="Wingdings 3"/>
              </w:rPr>
              <w:t></w:t>
            </w:r>
            <w:r w:rsidRPr="00B11528">
              <w:t xml:space="preserve"> An Enhanced Technologist or below, VBECS emits an audible alert and warns the user that the unit is not selectable and he is not authorized to issue the unit. The unsatisfied requirements are not detailed.</w:t>
            </w:r>
          </w:p>
          <w:p w14:paraId="3853346D" w14:textId="77777777" w:rsidR="004C2C6A" w:rsidRDefault="00B11528" w:rsidP="00B11528">
            <w:pPr>
              <w:pStyle w:val="TableText"/>
              <w:rPr>
                <w:rFonts w:cs="Arial"/>
                <w:vanish/>
              </w:rPr>
            </w:pPr>
            <w:r w:rsidRPr="00B11528">
              <w:t>VBECS does not allow an override.</w:t>
            </w:r>
          </w:p>
        </w:tc>
      </w:tr>
      <w:tr w:rsidR="002A21AE" w14:paraId="4E2082B7" w14:textId="77777777">
        <w:tc>
          <w:tcPr>
            <w:tcW w:w="780" w:type="dxa"/>
          </w:tcPr>
          <w:p w14:paraId="3C1904FB" w14:textId="77777777" w:rsidR="002A21AE" w:rsidRDefault="002A21AE">
            <w:pPr>
              <w:pStyle w:val="TableText"/>
            </w:pPr>
            <w:r>
              <w:t>5</w:t>
            </w:r>
          </w:p>
        </w:tc>
        <w:tc>
          <w:tcPr>
            <w:tcW w:w="8580" w:type="dxa"/>
          </w:tcPr>
          <w:p w14:paraId="26E0EB06" w14:textId="77777777" w:rsidR="002104CB" w:rsidRDefault="002A21AE">
            <w:pPr>
              <w:pStyle w:val="TableText"/>
            </w:pPr>
            <w:r>
              <w:rPr>
                <w:rFonts w:cs="Arial"/>
                <w:vanish/>
              </w:rPr>
              <w:t xml:space="preserve">BR_73.28 </w:t>
            </w:r>
            <w:r w:rsidR="004C2C6A">
              <w:t xml:space="preserve">When the patient has </w:t>
            </w:r>
            <w:r w:rsidR="00B11528">
              <w:t>Component Requirements</w:t>
            </w:r>
            <w:r w:rsidR="002104CB" w:rsidRPr="002104CB">
              <w:t xml:space="preserve">, the user attempts to issue (including emergency issue) red blood </w:t>
            </w:r>
            <w:r w:rsidR="004C2C6A">
              <w:t>cells that do not satisfy the requirement</w:t>
            </w:r>
            <w:r w:rsidR="002104CB" w:rsidRPr="002104CB">
              <w:t>,</w:t>
            </w:r>
            <w:r w:rsidR="002104CB">
              <w:t xml:space="preserve"> and the user is:</w:t>
            </w:r>
          </w:p>
          <w:p w14:paraId="1DA516DB" w14:textId="77777777" w:rsidR="006105C7" w:rsidRDefault="00910609" w:rsidP="002104CB">
            <w:pPr>
              <w:pStyle w:val="TableTextBullet"/>
            </w:pPr>
            <w:r w:rsidRPr="00EC7489">
              <w:rPr>
                <w:rFonts w:ascii="Wingdings 3" w:hAnsi="Wingdings 3" w:cs="Wingdings"/>
              </w:rPr>
              <w:t></w:t>
            </w:r>
            <w:r w:rsidRPr="00EC7489">
              <w:rPr>
                <w:rFonts w:ascii="Wingdings 3" w:hAnsi="Wingdings 3" w:cs="Wingdings"/>
              </w:rPr>
              <w:t></w:t>
            </w:r>
            <w:r>
              <w:t xml:space="preserve"> </w:t>
            </w:r>
            <w:r w:rsidR="002104CB">
              <w:t>A</w:t>
            </w:r>
            <w:r w:rsidR="006105C7">
              <w:t xml:space="preserve">n </w:t>
            </w:r>
            <w:r>
              <w:t xml:space="preserve">Enhanced Technologist or below, </w:t>
            </w:r>
            <w:r w:rsidR="00514F60">
              <w:t xml:space="preserve">VBECS emits an audible alert and warns the user that the patient's </w:t>
            </w:r>
            <w:r w:rsidR="004C2C6A">
              <w:t>component</w:t>
            </w:r>
            <w:r w:rsidR="00514F60">
              <w:t xml:space="preserve"> requirement is not satisfied and he is not authorized to issue the unit. VBECS does not allow an override.</w:t>
            </w:r>
          </w:p>
          <w:p w14:paraId="616A8295" w14:textId="77777777" w:rsidR="002A21AE" w:rsidRDefault="006105C7" w:rsidP="004C2C6A">
            <w:pPr>
              <w:pStyle w:val="TableTex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2104CB">
              <w:t>A</w:t>
            </w:r>
            <w:r>
              <w:t xml:space="preserve"> Lead Technologist or above, VBECS emits an audible alert and warns the </w:t>
            </w:r>
            <w:r w:rsidR="00514F60">
              <w:t xml:space="preserve">user that the patient's </w:t>
            </w:r>
            <w:r w:rsidR="004C2C6A">
              <w:t>component</w:t>
            </w:r>
            <w:r w:rsidR="00514F60">
              <w:t xml:space="preserve"> requirement is not satisfied and allows for an ove</w:t>
            </w:r>
            <w:r w:rsidR="00F94F44">
              <w:t>r</w:t>
            </w:r>
            <w:r w:rsidR="00514F60">
              <w:t>ride</w:t>
            </w:r>
            <w:r>
              <w:t>.</w:t>
            </w:r>
            <w:r>
              <w:rPr>
                <w:b/>
              </w:rPr>
              <w:t xml:space="preserve"> </w:t>
            </w:r>
            <w:r w:rsidR="00910609">
              <w:rPr>
                <w:b/>
              </w:rPr>
              <w:t>No</w:t>
            </w:r>
            <w:r w:rsidR="00910609">
              <w:t xml:space="preserve"> clears the screen. </w:t>
            </w:r>
            <w:r w:rsidR="00910609">
              <w:rPr>
                <w:b/>
              </w:rPr>
              <w:t>Yes</w:t>
            </w:r>
            <w:r w:rsidR="00910609">
              <w:t xml:space="preserve"> requires a comment and captures details for inclusion in an Exception Report (exception type: unit issued with unsatisfied TR).</w:t>
            </w:r>
            <w:r w:rsidR="002A21AE">
              <w:t xml:space="preserve"> </w:t>
            </w:r>
          </w:p>
        </w:tc>
      </w:tr>
      <w:tr w:rsidR="002A21AE" w14:paraId="18DCDBD6" w14:textId="77777777">
        <w:tc>
          <w:tcPr>
            <w:tcW w:w="780" w:type="dxa"/>
          </w:tcPr>
          <w:p w14:paraId="50439898" w14:textId="77777777" w:rsidR="002A21AE" w:rsidRDefault="002A21AE">
            <w:pPr>
              <w:pStyle w:val="TableText"/>
            </w:pPr>
            <w:r>
              <w:t>5</w:t>
            </w:r>
          </w:p>
        </w:tc>
        <w:tc>
          <w:tcPr>
            <w:tcW w:w="8580" w:type="dxa"/>
          </w:tcPr>
          <w:p w14:paraId="4C41F18F" w14:textId="77777777" w:rsidR="002A21AE" w:rsidRDefault="002A21AE">
            <w:pPr>
              <w:pStyle w:val="TableText"/>
            </w:pPr>
            <w:r>
              <w:rPr>
                <w:rFonts w:cs="Arial"/>
                <w:vanish/>
              </w:rPr>
              <w:t xml:space="preserve">BR_73.15 </w:t>
            </w:r>
            <w:r>
              <w:t xml:space="preserve">When a repeat ABO/Rh performed on the patient specimen does not match the original ABO/Rh interpretation and the unit doesn’t qualify for emergency issue, VBECS warns the user and instructs him to resolve the discrepancy before issuing the unit. There is no override. </w:t>
            </w:r>
            <w:r w:rsidR="00E44A2A">
              <w:t>Units that qualify for emergency issue may continue and VBECS will display a message that the ABO/Rh on the current specimen does not agree with the historic ABO/Rh.</w:t>
            </w:r>
          </w:p>
        </w:tc>
      </w:tr>
      <w:tr w:rsidR="002A21AE" w14:paraId="693EA6AE" w14:textId="77777777">
        <w:tc>
          <w:tcPr>
            <w:tcW w:w="780" w:type="dxa"/>
          </w:tcPr>
          <w:p w14:paraId="6BEA4EE5" w14:textId="77777777" w:rsidR="002A21AE" w:rsidRDefault="002A21AE">
            <w:pPr>
              <w:pStyle w:val="TableText"/>
            </w:pPr>
            <w:r>
              <w:t>5</w:t>
            </w:r>
          </w:p>
        </w:tc>
        <w:tc>
          <w:tcPr>
            <w:tcW w:w="8580" w:type="dxa"/>
          </w:tcPr>
          <w:p w14:paraId="16E1A333" w14:textId="77777777" w:rsidR="002A21AE" w:rsidRDefault="002A21AE">
            <w:pPr>
              <w:pStyle w:val="TableText"/>
            </w:pPr>
            <w:r>
              <w:rPr>
                <w:rFonts w:cs="Arial"/>
                <w:vanish/>
              </w:rPr>
              <w:t xml:space="preserve">BR_73.30 </w:t>
            </w:r>
            <w:r>
              <w:t xml:space="preserve">When a unit has a biohazard indicator, VBECS emits an audible alert, warns the user, and asks whether he still wishes to issue the unit. </w:t>
            </w:r>
            <w:r>
              <w:rPr>
                <w:b/>
              </w:rPr>
              <w:t>No</w:t>
            </w:r>
            <w:r>
              <w:t xml:space="preserve"> clears the entry and allows the user to select a new unit. </w:t>
            </w:r>
            <w:r>
              <w:rPr>
                <w:b/>
              </w:rPr>
              <w:t>Yes</w:t>
            </w:r>
            <w:r>
              <w:t xml:space="preserve"> requires a comment and captures details of the transaction for inclusion in an Exception Report (exception type: biohazardous unit issued). </w:t>
            </w:r>
          </w:p>
        </w:tc>
      </w:tr>
      <w:tr w:rsidR="002A21AE" w14:paraId="1B0CAB31" w14:textId="77777777">
        <w:tc>
          <w:tcPr>
            <w:tcW w:w="780" w:type="dxa"/>
          </w:tcPr>
          <w:p w14:paraId="238D422C" w14:textId="77777777" w:rsidR="002A21AE" w:rsidRDefault="002A21AE">
            <w:pPr>
              <w:pStyle w:val="TableText"/>
            </w:pPr>
            <w:r>
              <w:t>5</w:t>
            </w:r>
          </w:p>
        </w:tc>
        <w:tc>
          <w:tcPr>
            <w:tcW w:w="8580" w:type="dxa"/>
          </w:tcPr>
          <w:p w14:paraId="7D30471B" w14:textId="77777777" w:rsidR="002A21AE" w:rsidRDefault="002A21AE" w:rsidP="000B2F76">
            <w:pPr>
              <w:pStyle w:val="TableText"/>
            </w:pPr>
            <w:r>
              <w:rPr>
                <w:rFonts w:cs="Arial"/>
                <w:vanish/>
                <w:szCs w:val="22"/>
              </w:rPr>
              <w:t xml:space="preserve">BR_73.16 </w:t>
            </w:r>
            <w:r>
              <w:t xml:space="preserve">For an Rh negative, unknown, or inconclusive </w:t>
            </w:r>
            <w:r w:rsidR="000B2F76">
              <w:t xml:space="preserve">patient: </w:t>
            </w:r>
            <w:r>
              <w:t>the user may ent</w:t>
            </w:r>
            <w:r w:rsidR="005F5509">
              <w:t xml:space="preserve">er and confirm Rh positive or Rh pooled units </w:t>
            </w:r>
            <w:r>
              <w:t xml:space="preserve">from the WHOLE BLOOD, RED BLOOD CELLS, </w:t>
            </w:r>
            <w:r w:rsidR="00831235">
              <w:t xml:space="preserve">PLATELETS, </w:t>
            </w:r>
            <w:r>
              <w:t xml:space="preserve">and </w:t>
            </w:r>
            <w:r w:rsidR="00831235">
              <w:t>OTHER</w:t>
            </w:r>
            <w:r>
              <w:t xml:space="preserve"> </w:t>
            </w:r>
            <w:r w:rsidR="00B25AD0">
              <w:t xml:space="preserve">VBECS </w:t>
            </w:r>
            <w:r>
              <w:t xml:space="preserve">component classes. </w:t>
            </w:r>
            <w:r w:rsidR="000B2F76">
              <w:t xml:space="preserve">When VBECS component classes are individually entered and confirmed by the user, </w:t>
            </w:r>
            <w:r>
              <w:t xml:space="preserve">VBECS emits an audible alert, warns the user, and asks whether he wishes to issue the unit. </w:t>
            </w:r>
            <w:r>
              <w:rPr>
                <w:b/>
              </w:rPr>
              <w:t>No</w:t>
            </w:r>
            <w:r>
              <w:t xml:space="preserve"> clears the unit data and allows the user to select a different unit. </w:t>
            </w:r>
            <w:r>
              <w:rPr>
                <w:b/>
              </w:rPr>
              <w:t>Yes</w:t>
            </w:r>
            <w:r>
              <w:t xml:space="preserve"> requires additional comment and captures details for inclusion in an Exception Report (exception type: antigen positive/untested units issued).</w:t>
            </w:r>
          </w:p>
          <w:p w14:paraId="4024CEB2" w14:textId="77777777" w:rsidR="00685A5F" w:rsidRPr="00912031" w:rsidRDefault="00685A5F" w:rsidP="00685A5F">
            <w:pPr>
              <w:pStyle w:val="TableText"/>
              <w:rPr>
                <w:rFonts w:cs="Arial"/>
              </w:rPr>
            </w:pPr>
            <w:r w:rsidRPr="00912031">
              <w:rPr>
                <w:rFonts w:cs="Arial"/>
              </w:rPr>
              <w:t>Additional details to be included in the exception report when the user overrides this business rule:</w:t>
            </w:r>
          </w:p>
          <w:p w14:paraId="5F1A4E1E" w14:textId="0A54953A" w:rsidR="00685A5F" w:rsidRPr="00912031" w:rsidRDefault="00D77462" w:rsidP="00925CAD">
            <w:pPr>
              <w:pStyle w:val="TableText"/>
              <w:numPr>
                <w:ilvl w:val="0"/>
                <w:numId w:val="58"/>
              </w:numPr>
              <w:rPr>
                <w:rFonts w:cs="Arial"/>
              </w:rPr>
            </w:pPr>
            <w:r>
              <w:rPr>
                <w:rFonts w:cs="Arial"/>
              </w:rPr>
              <w:t>Exception</w:t>
            </w:r>
            <w:r w:rsidR="00685A5F" w:rsidRPr="00912031">
              <w:rPr>
                <w:rFonts w:cs="Arial"/>
              </w:rPr>
              <w:t xml:space="preserve"> Type: Antigen positive/untested units issued</w:t>
            </w:r>
          </w:p>
          <w:p w14:paraId="0F33AB5E" w14:textId="77777777" w:rsidR="00685A5F" w:rsidRPr="00912031" w:rsidRDefault="00685A5F" w:rsidP="00925CAD">
            <w:pPr>
              <w:pStyle w:val="TableText"/>
              <w:numPr>
                <w:ilvl w:val="0"/>
                <w:numId w:val="57"/>
              </w:numPr>
              <w:rPr>
                <w:rFonts w:cs="Arial"/>
              </w:rPr>
            </w:pPr>
            <w:r w:rsidRPr="00912031">
              <w:rPr>
                <w:rFonts w:cs="Arial"/>
              </w:rPr>
              <w:t>Patient Antibody Identified</w:t>
            </w:r>
          </w:p>
          <w:p w14:paraId="4C420027" w14:textId="77777777" w:rsidR="00685A5F" w:rsidRPr="00685A5F" w:rsidRDefault="00685A5F" w:rsidP="00925CAD">
            <w:pPr>
              <w:pStyle w:val="TableText"/>
              <w:numPr>
                <w:ilvl w:val="0"/>
                <w:numId w:val="57"/>
              </w:numPr>
              <w:rPr>
                <w:rFonts w:cs="Arial"/>
              </w:rPr>
            </w:pPr>
            <w:r w:rsidRPr="00912031">
              <w:rPr>
                <w:rFonts w:cs="Arial"/>
              </w:rPr>
              <w:t>Unit Antigen Phenotype Result</w:t>
            </w:r>
          </w:p>
        </w:tc>
      </w:tr>
      <w:tr w:rsidR="002A21AE" w14:paraId="2D95EAB6" w14:textId="77777777">
        <w:tc>
          <w:tcPr>
            <w:tcW w:w="780" w:type="dxa"/>
          </w:tcPr>
          <w:p w14:paraId="5010342B" w14:textId="77777777" w:rsidR="002A21AE" w:rsidRDefault="002A21AE">
            <w:pPr>
              <w:pStyle w:val="TableText"/>
            </w:pPr>
            <w:r>
              <w:t>5</w:t>
            </w:r>
          </w:p>
        </w:tc>
        <w:tc>
          <w:tcPr>
            <w:tcW w:w="8580" w:type="dxa"/>
          </w:tcPr>
          <w:p w14:paraId="18AE2666" w14:textId="77777777" w:rsidR="00F20D51" w:rsidRPr="00912031" w:rsidRDefault="00F20D51" w:rsidP="00F20D51">
            <w:pPr>
              <w:pStyle w:val="TableText"/>
              <w:rPr>
                <w:rFonts w:cs="Arial"/>
                <w:szCs w:val="18"/>
              </w:rPr>
            </w:pPr>
            <w:r w:rsidRPr="00F20D51">
              <w:rPr>
                <w:rFonts w:cs="Arial"/>
                <w:vanish/>
                <w:szCs w:val="18"/>
              </w:rPr>
              <w:t xml:space="preserve">BR_73.03 </w:t>
            </w:r>
            <w:r w:rsidRPr="00912031">
              <w:rPr>
                <w:rFonts w:cs="Arial"/>
                <w:szCs w:val="18"/>
              </w:rPr>
              <w:t xml:space="preserve">The system will not allow the issue of units assigned/crossmatched or that require an ABO/Rh associated with an expired specimen when compared to the issue date and time unless the user role is Enhanced Technologist, VBECS security levels 2 and above. </w:t>
            </w:r>
          </w:p>
          <w:p w14:paraId="6C03C32F" w14:textId="77777777" w:rsidR="00F20D51" w:rsidRPr="00912031" w:rsidRDefault="00F20D51" w:rsidP="00F20D51">
            <w:pPr>
              <w:pStyle w:val="TableText"/>
              <w:rPr>
                <w:rFonts w:cs="Arial"/>
                <w:szCs w:val="18"/>
              </w:rPr>
            </w:pPr>
          </w:p>
          <w:p w14:paraId="6763E1C0" w14:textId="77777777" w:rsidR="00F20D51" w:rsidRPr="00912031" w:rsidRDefault="00F20D51" w:rsidP="00F20D51">
            <w:pPr>
              <w:pStyle w:val="TableText"/>
              <w:rPr>
                <w:rFonts w:cs="Arial"/>
                <w:szCs w:val="18"/>
              </w:rPr>
            </w:pPr>
            <w:r w:rsidRPr="00912031">
              <w:rPr>
                <w:rFonts w:cs="Arial"/>
                <w:szCs w:val="18"/>
              </w:rPr>
              <w:t>When the user role is Technologist, VBECS security level 1, the system will display the warning message: Patient specimen is expired. You do not have the proper security to issue this unit. The system will not allow an override.</w:t>
            </w:r>
          </w:p>
          <w:p w14:paraId="7DD8705E" w14:textId="77777777" w:rsidR="00F20D51" w:rsidRPr="00912031" w:rsidRDefault="00F20D51" w:rsidP="00F20D51">
            <w:pPr>
              <w:pStyle w:val="TableText"/>
              <w:rPr>
                <w:rFonts w:cs="Arial"/>
                <w:szCs w:val="18"/>
              </w:rPr>
            </w:pPr>
          </w:p>
          <w:p w14:paraId="735BBC62" w14:textId="77777777" w:rsidR="00F20D51" w:rsidRPr="00912031" w:rsidRDefault="00F20D51" w:rsidP="00F20D51">
            <w:pPr>
              <w:pStyle w:val="TableText"/>
              <w:rPr>
                <w:rFonts w:cs="Arial"/>
                <w:szCs w:val="18"/>
              </w:rPr>
            </w:pPr>
            <w:r w:rsidRPr="00912031">
              <w:rPr>
                <w:rFonts w:cs="Arial"/>
                <w:szCs w:val="18"/>
              </w:rPr>
              <w:t>When the user role is Enhanced Technologist, VBECS security levels 2 and above, the system will provide an audible alert and display the warning message: Patient specimen is expired. Continue to issue? Yes/No. If the user responds “No” the system will clear the screen. If the user responds “Yes” the system will require a comment (free text or canned, “unit issue” context) and captures the transaction details for inclusion in an exception report entry for th</w:t>
            </w:r>
            <w:r>
              <w:rPr>
                <w:rFonts w:cs="Arial"/>
                <w:szCs w:val="18"/>
              </w:rPr>
              <w:t>e issue</w:t>
            </w:r>
            <w:r w:rsidRPr="00912031">
              <w:rPr>
                <w:rFonts w:cs="Arial"/>
                <w:szCs w:val="18"/>
              </w:rPr>
              <w:t xml:space="preserve">. </w:t>
            </w:r>
          </w:p>
          <w:p w14:paraId="2156EDB8" w14:textId="77777777" w:rsidR="00F20D51" w:rsidRPr="00912031" w:rsidRDefault="00F20D51" w:rsidP="00F20D51">
            <w:pPr>
              <w:pStyle w:val="TableText"/>
              <w:rPr>
                <w:rFonts w:cs="Arial"/>
                <w:szCs w:val="18"/>
              </w:rPr>
            </w:pPr>
          </w:p>
          <w:p w14:paraId="1EEA77E6" w14:textId="77777777" w:rsidR="00F20D51" w:rsidRPr="00912031" w:rsidRDefault="00F20D51" w:rsidP="00F20D51">
            <w:pPr>
              <w:pStyle w:val="TableText"/>
              <w:rPr>
                <w:rFonts w:cs="Arial"/>
                <w:szCs w:val="18"/>
              </w:rPr>
            </w:pPr>
            <w:r w:rsidRPr="00912031">
              <w:rPr>
                <w:rFonts w:cs="Arial"/>
                <w:szCs w:val="18"/>
              </w:rPr>
              <w:t>Additional details to be included in the exception report when the user overrides this business rule:</w:t>
            </w:r>
          </w:p>
          <w:p w14:paraId="269E9A65" w14:textId="06ADE44D" w:rsidR="002A21AE" w:rsidRPr="00C925FB" w:rsidRDefault="00D77462" w:rsidP="00C925FB">
            <w:pPr>
              <w:pStyle w:val="TableText"/>
              <w:numPr>
                <w:ilvl w:val="0"/>
                <w:numId w:val="56"/>
              </w:numPr>
              <w:rPr>
                <w:rFonts w:cs="Arial"/>
                <w:szCs w:val="18"/>
              </w:rPr>
            </w:pPr>
            <w:r>
              <w:rPr>
                <w:rFonts w:cs="Arial"/>
                <w:szCs w:val="18"/>
              </w:rPr>
              <w:t>Exception</w:t>
            </w:r>
            <w:r w:rsidR="00F20D51" w:rsidRPr="00912031">
              <w:rPr>
                <w:rFonts w:cs="Arial"/>
                <w:szCs w:val="18"/>
              </w:rPr>
              <w:t xml:space="preserve"> Type: Unit issued on expired specimen</w:t>
            </w:r>
          </w:p>
        </w:tc>
      </w:tr>
      <w:tr w:rsidR="002A21AE" w14:paraId="44F60856" w14:textId="77777777">
        <w:tc>
          <w:tcPr>
            <w:tcW w:w="780" w:type="dxa"/>
          </w:tcPr>
          <w:p w14:paraId="6B5A0FAC" w14:textId="77777777" w:rsidR="002A21AE" w:rsidRDefault="002A21AE">
            <w:pPr>
              <w:pStyle w:val="TableText"/>
            </w:pPr>
            <w:r>
              <w:t>5</w:t>
            </w:r>
          </w:p>
        </w:tc>
        <w:tc>
          <w:tcPr>
            <w:tcW w:w="8580" w:type="dxa"/>
          </w:tcPr>
          <w:p w14:paraId="7918253A" w14:textId="77777777" w:rsidR="002A21AE" w:rsidRDefault="002A21AE">
            <w:pPr>
              <w:pStyle w:val="TableText"/>
            </w:pPr>
            <w:r>
              <w:rPr>
                <w:rFonts w:cs="Arial"/>
                <w:vanish/>
              </w:rPr>
              <w:t xml:space="preserve">BR_73.04 </w:t>
            </w:r>
            <w:r>
              <w:t>When the user attempts to issue an expired unit, V</w:t>
            </w:r>
            <w:r w:rsidR="00D258CC">
              <w:t xml:space="preserve">BECS </w:t>
            </w:r>
            <w:r>
              <w:t>warns him. There is no override.</w:t>
            </w:r>
          </w:p>
          <w:p w14:paraId="2E592A11" w14:textId="77777777" w:rsidR="002A21AE" w:rsidRDefault="002A21AE">
            <w:pPr>
              <w:pStyle w:val="TableText"/>
            </w:pPr>
          </w:p>
          <w:p w14:paraId="2DAF9BBA"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(exception type: issued expired unit).</w:t>
            </w:r>
          </w:p>
        </w:tc>
      </w:tr>
      <w:tr w:rsidR="002A21AE" w14:paraId="3C54475C" w14:textId="77777777">
        <w:tc>
          <w:tcPr>
            <w:tcW w:w="780" w:type="dxa"/>
          </w:tcPr>
          <w:p w14:paraId="2DAA95F2" w14:textId="77777777" w:rsidR="002A21AE" w:rsidRDefault="002A21AE">
            <w:pPr>
              <w:pStyle w:val="TableText"/>
            </w:pPr>
            <w:r>
              <w:t>5</w:t>
            </w:r>
          </w:p>
        </w:tc>
        <w:tc>
          <w:tcPr>
            <w:tcW w:w="8580" w:type="dxa"/>
          </w:tcPr>
          <w:p w14:paraId="0447426E" w14:textId="77777777" w:rsidR="002A21AE" w:rsidRDefault="002A21AE">
            <w:pPr>
              <w:pStyle w:val="TableText"/>
            </w:pPr>
            <w:r>
              <w:rPr>
                <w:rFonts w:cs="Arial"/>
                <w:vanish/>
              </w:rPr>
              <w:t xml:space="preserve">BR_73.14 </w:t>
            </w:r>
            <w:r>
              <w:t>When the user sele</w:t>
            </w:r>
            <w:r w:rsidR="00A92813">
              <w:t>cts units from the WHOLE BLOOD or RED BLOOD CELLS</w:t>
            </w:r>
            <w:r>
              <w:t xml:space="preserve"> component classes, VBECS determines when the patient has a calculated or a persistent antigen negative requirement. This does not apply when selecting autologous (ISBT 128 units with an autologous donation type). When the selected unit was antigen typed and is positive for the corresponding antigen or is untested for the antigen, VBECS warns the user and requires action based on his security level.</w:t>
            </w:r>
          </w:p>
          <w:p w14:paraId="3CCC1D73" w14:textId="77777777" w:rsidR="002A21AE" w:rsidRDefault="002A21AE">
            <w:pPr>
              <w:pStyle w:val="TableText"/>
            </w:pPr>
          </w:p>
          <w:p w14:paraId="7D92940C"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below, V</w:t>
            </w:r>
            <w:r w:rsidR="00D258CC">
              <w:t xml:space="preserve">BECS </w:t>
            </w:r>
            <w:r>
              <w:t xml:space="preserve">warns that he </w:t>
            </w:r>
            <w:r w:rsidR="00082F78">
              <w:t>does not have the proper security level</w:t>
            </w:r>
            <w:r>
              <w:t xml:space="preserve"> to issue the unit. There is no override. </w:t>
            </w:r>
          </w:p>
          <w:p w14:paraId="7B46974D" w14:textId="77777777" w:rsidR="002A21AE" w:rsidRDefault="002A21AE">
            <w:pPr>
              <w:pStyle w:val="TableText"/>
            </w:pPr>
          </w:p>
          <w:p w14:paraId="5E276A6B" w14:textId="77777777" w:rsidR="002A21AE" w:rsidRDefault="002A21AE">
            <w:pPr>
              <w:pStyle w:val="Table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user is a Lead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entry (exception type: antigen-positive/untested units issued).</w:t>
            </w:r>
          </w:p>
          <w:p w14:paraId="292A780B" w14:textId="77777777" w:rsidR="00685A5F" w:rsidRDefault="00685A5F">
            <w:pPr>
              <w:pStyle w:val="TableText"/>
            </w:pPr>
          </w:p>
          <w:p w14:paraId="5D4C0A6C" w14:textId="77777777" w:rsidR="00685A5F" w:rsidRDefault="00685A5F" w:rsidP="00685A5F">
            <w:pPr>
              <w:pStyle w:val="TableText"/>
              <w:rPr>
                <w:szCs w:val="18"/>
              </w:rPr>
            </w:pPr>
            <w:r w:rsidRPr="00F14A86">
              <w:rPr>
                <w:szCs w:val="18"/>
              </w:rPr>
              <w:t>Additional details to be included in the exception report when the u</w:t>
            </w:r>
            <w:r>
              <w:rPr>
                <w:szCs w:val="18"/>
              </w:rPr>
              <w:t>ser overrides:</w:t>
            </w:r>
          </w:p>
          <w:p w14:paraId="4938B590" w14:textId="28A17F17" w:rsidR="00685A5F" w:rsidRPr="00FB5425" w:rsidRDefault="00D77462" w:rsidP="00925CAD">
            <w:pPr>
              <w:pStyle w:val="TableText"/>
              <w:numPr>
                <w:ilvl w:val="0"/>
                <w:numId w:val="59"/>
              </w:numPr>
              <w:tabs>
                <w:tab w:val="clear" w:pos="720"/>
                <w:tab w:val="num" w:pos="252"/>
              </w:tabs>
              <w:ind w:left="252" w:hanging="198"/>
              <w:rPr>
                <w:szCs w:val="18"/>
              </w:rPr>
            </w:pPr>
            <w:r>
              <w:rPr>
                <w:szCs w:val="18"/>
              </w:rPr>
              <w:t>Exception</w:t>
            </w:r>
            <w:r w:rsidR="00685A5F" w:rsidRPr="00FB5425">
              <w:rPr>
                <w:szCs w:val="18"/>
              </w:rPr>
              <w:t xml:space="preserve"> Type: Antigen-positive/untested units issued</w:t>
            </w:r>
          </w:p>
          <w:p w14:paraId="1F9A3779" w14:textId="77777777" w:rsidR="00685A5F" w:rsidRPr="008A3C45" w:rsidRDefault="00685A5F" w:rsidP="00925CAD">
            <w:pPr>
              <w:pStyle w:val="TableText"/>
              <w:numPr>
                <w:ilvl w:val="0"/>
                <w:numId w:val="59"/>
              </w:numPr>
              <w:tabs>
                <w:tab w:val="clear" w:pos="720"/>
                <w:tab w:val="num" w:pos="252"/>
              </w:tabs>
              <w:ind w:left="252" w:hanging="198"/>
              <w:rPr>
                <w:szCs w:val="18"/>
              </w:rPr>
            </w:pPr>
            <w:r w:rsidRPr="008A3C45">
              <w:rPr>
                <w:szCs w:val="18"/>
              </w:rPr>
              <w:t>Patient Antibody(</w:t>
            </w:r>
            <w:proofErr w:type="spellStart"/>
            <w:r w:rsidRPr="008A3C45">
              <w:rPr>
                <w:szCs w:val="18"/>
              </w:rPr>
              <w:t>ies</w:t>
            </w:r>
            <w:proofErr w:type="spellEnd"/>
            <w:r w:rsidRPr="008A3C45">
              <w:rPr>
                <w:szCs w:val="18"/>
              </w:rPr>
              <w:t>) Identified</w:t>
            </w:r>
          </w:p>
          <w:p w14:paraId="7A4ECE7B" w14:textId="77777777" w:rsidR="00685A5F" w:rsidRPr="00685A5F" w:rsidRDefault="00685A5F" w:rsidP="00925CAD">
            <w:pPr>
              <w:pStyle w:val="TableText"/>
              <w:numPr>
                <w:ilvl w:val="0"/>
                <w:numId w:val="59"/>
              </w:numPr>
              <w:tabs>
                <w:tab w:val="clear" w:pos="720"/>
                <w:tab w:val="num" w:pos="252"/>
              </w:tabs>
              <w:ind w:left="252" w:hanging="198"/>
              <w:rPr>
                <w:szCs w:val="18"/>
              </w:rPr>
            </w:pPr>
            <w:r w:rsidRPr="004A6FB8">
              <w:rPr>
                <w:szCs w:val="18"/>
              </w:rPr>
              <w:t>Unit Antigen Phenotype Result or “untested”</w:t>
            </w:r>
          </w:p>
        </w:tc>
      </w:tr>
      <w:tr w:rsidR="002A21AE" w14:paraId="319342BA" w14:textId="77777777">
        <w:tc>
          <w:tcPr>
            <w:tcW w:w="780" w:type="dxa"/>
          </w:tcPr>
          <w:p w14:paraId="084265DF" w14:textId="77777777" w:rsidR="002A21AE" w:rsidRDefault="002A21AE">
            <w:pPr>
              <w:pStyle w:val="TableText"/>
            </w:pPr>
            <w:r>
              <w:t>5</w:t>
            </w:r>
          </w:p>
        </w:tc>
        <w:tc>
          <w:tcPr>
            <w:tcW w:w="8580" w:type="dxa"/>
          </w:tcPr>
          <w:p w14:paraId="764AE07E" w14:textId="77777777" w:rsidR="002A21AE" w:rsidRDefault="002A21AE" w:rsidP="00E44A2A">
            <w:pPr>
              <w:pStyle w:val="TableText"/>
            </w:pPr>
            <w:r>
              <w:rPr>
                <w:rFonts w:cs="Arial"/>
                <w:vanish/>
              </w:rPr>
              <w:t xml:space="preserve">BR_73.05 </w:t>
            </w:r>
            <w:r>
              <w:t xml:space="preserve">VBECS compares the ABO/Rh of the current specimen </w:t>
            </w:r>
            <w:r w:rsidR="00E44A2A">
              <w:t xml:space="preserve">to the historic ABO/Rh. </w:t>
            </w:r>
            <w:r>
              <w:t xml:space="preserve">When there is a discrepancy, there is no previous justification for the discrepancy on the patient record, as described in Justify ABO/Rh Change, and the unit </w:t>
            </w:r>
            <w:r w:rsidR="00A10483">
              <w:t>does not</w:t>
            </w:r>
            <w:r>
              <w:t xml:space="preserve"> qualify for emergency issue, VBECS warns the user and instructs him to resolve the discrepancy before issuing the unit. There is no override. VBECS exits the option, clears the screen, and returns the user to the point of entry. </w:t>
            </w:r>
            <w:r w:rsidR="00E44A2A">
              <w:t>Units that qualify for emergency issue may continue and VBECS will display a message that the ABO/Rh on the current specimen does not agree with the historic ABO/Rh</w:t>
            </w:r>
            <w:r>
              <w:t>.</w:t>
            </w:r>
          </w:p>
        </w:tc>
      </w:tr>
      <w:tr w:rsidR="002A21AE" w14:paraId="5084B698" w14:textId="77777777">
        <w:tc>
          <w:tcPr>
            <w:tcW w:w="780" w:type="dxa"/>
          </w:tcPr>
          <w:p w14:paraId="7973A445" w14:textId="77777777" w:rsidR="00E44A2A" w:rsidRDefault="002A21AE">
            <w:pPr>
              <w:pStyle w:val="TableText"/>
            </w:pPr>
            <w:r>
              <w:t>5</w:t>
            </w:r>
          </w:p>
          <w:p w14:paraId="6471EEF0" w14:textId="77777777" w:rsidR="002A21AE" w:rsidRPr="00E44A2A" w:rsidRDefault="002A21AE" w:rsidP="00E44A2A"/>
        </w:tc>
        <w:tc>
          <w:tcPr>
            <w:tcW w:w="8580" w:type="dxa"/>
          </w:tcPr>
          <w:p w14:paraId="01E86168" w14:textId="77777777" w:rsidR="002A21AE" w:rsidRDefault="002A21AE">
            <w:pPr>
              <w:pStyle w:val="TableText"/>
            </w:pPr>
            <w:r w:rsidRPr="00ED5745">
              <w:rPr>
                <w:rFonts w:cs="Arial"/>
                <w:vanish/>
                <w:color w:val="0000FF"/>
              </w:rPr>
              <w:t>BR_3.05</w:t>
            </w:r>
            <w:r>
              <w:rPr>
                <w:rFonts w:cs="Arial"/>
                <w:vanish/>
              </w:rPr>
              <w:t xml:space="preserve"> </w:t>
            </w:r>
            <w:r>
              <w:t xml:space="preserve">When no valid ABO exists for the patient, the user may select components, including autologous units: </w:t>
            </w:r>
          </w:p>
          <w:p w14:paraId="4AED7BB1" w14:textId="77777777" w:rsidR="002A21AE" w:rsidRDefault="002A21AE">
            <w:pPr>
              <w:pStyle w:val="TableTextBullet"/>
              <w:tabs>
                <w:tab w:val="clear" w:pos="288"/>
              </w:tabs>
            </w:pPr>
            <w:r>
              <w:t xml:space="preserve">For RBC or WB order: </w:t>
            </w:r>
            <w:r w:rsidR="00093181">
              <w:t>group</w:t>
            </w:r>
            <w:r w:rsidR="000014DD">
              <w:t xml:space="preserve"> </w:t>
            </w:r>
            <w:r>
              <w:t>O, Rh positive or O Rh negative RBC. WHOLE BLOOD is not selectable.</w:t>
            </w:r>
          </w:p>
          <w:p w14:paraId="13AF15E4" w14:textId="77777777" w:rsidR="002A21AE" w:rsidRDefault="002A21AE">
            <w:pPr>
              <w:pStyle w:val="TableTextBullet"/>
              <w:tabs>
                <w:tab w:val="clear" w:pos="288"/>
              </w:tabs>
            </w:pPr>
            <w:r>
              <w:t>For FFP order only: group AB, Rh positive or Rh negative.</w:t>
            </w:r>
          </w:p>
          <w:p w14:paraId="3EE7751D" w14:textId="77777777" w:rsidR="002A21AE" w:rsidRDefault="00E31C5D">
            <w:pPr>
              <w:pStyle w:val="TableTextBullet"/>
              <w:tabs>
                <w:tab w:val="clear" w:pos="288"/>
              </w:tabs>
            </w:pPr>
            <w:r>
              <w:t>For PLT, CRYO, or OTHER order, all available units are selectable.</w:t>
            </w:r>
          </w:p>
        </w:tc>
      </w:tr>
      <w:tr w:rsidR="00102A03" w14:paraId="7AD93531" w14:textId="77777777">
        <w:tc>
          <w:tcPr>
            <w:tcW w:w="780" w:type="dxa"/>
          </w:tcPr>
          <w:p w14:paraId="0E5DD5FD" w14:textId="77777777" w:rsidR="00102A03" w:rsidRDefault="00102A03">
            <w:pPr>
              <w:pStyle w:val="TableText"/>
            </w:pPr>
            <w:r>
              <w:t>5</w:t>
            </w:r>
          </w:p>
        </w:tc>
        <w:tc>
          <w:tcPr>
            <w:tcW w:w="8580" w:type="dxa"/>
          </w:tcPr>
          <w:p w14:paraId="40E70C8C" w14:textId="77777777" w:rsidR="00102A03" w:rsidRDefault="00102A03" w:rsidP="00102A03">
            <w:pPr>
              <w:pStyle w:val="TableText"/>
              <w:rPr>
                <w:rFonts w:cs="Arial"/>
                <w:vanish/>
                <w:szCs w:val="22"/>
              </w:rPr>
            </w:pPr>
            <w:r w:rsidRPr="00AE062E">
              <w:rPr>
                <w:vanish/>
                <w:szCs w:val="18"/>
              </w:rPr>
              <w:t xml:space="preserve">BR_73.37 </w:t>
            </w:r>
            <w:r>
              <w:t>When the division is “transfusion only” and a blood unit is ABO incompatible at issue based on the interpretation of the current patient specimen’s ABO test, V</w:t>
            </w:r>
            <w:r w:rsidR="00D258CC">
              <w:t xml:space="preserve">BECS </w:t>
            </w:r>
            <w:r>
              <w:t>warns the user that the unit is not ABO compatible for the patient’s current specimen and may not be issued. The user must resolve pending ABO discrepancies before issuing the unit.</w:t>
            </w:r>
          </w:p>
        </w:tc>
      </w:tr>
      <w:tr w:rsidR="002A21AE" w14:paraId="37E89314" w14:textId="77777777">
        <w:tc>
          <w:tcPr>
            <w:tcW w:w="780" w:type="dxa"/>
          </w:tcPr>
          <w:p w14:paraId="79DA8CF0" w14:textId="77777777" w:rsidR="002A21AE" w:rsidRDefault="002A21AE">
            <w:pPr>
              <w:pStyle w:val="TableText"/>
            </w:pPr>
            <w:r>
              <w:t>7</w:t>
            </w:r>
          </w:p>
        </w:tc>
        <w:tc>
          <w:tcPr>
            <w:tcW w:w="8580" w:type="dxa"/>
          </w:tcPr>
          <w:p w14:paraId="505DC201" w14:textId="77777777" w:rsidR="002A21AE" w:rsidRDefault="002A21AE">
            <w:pPr>
              <w:pStyle w:val="TableText"/>
            </w:pPr>
            <w:r>
              <w:rPr>
                <w:rFonts w:cs="Arial"/>
                <w:vanish/>
                <w:szCs w:val="22"/>
              </w:rPr>
              <w:t xml:space="preserve">BR_73.33 </w:t>
            </w:r>
            <w:r w:rsidR="00FE49A2">
              <w:t xml:space="preserve">When the division is “full service” and a blood unit is ABO incompatible at issue based on the system interpretation of the current patient specimen’s ABO test result, VBECS emits an audible </w:t>
            </w:r>
            <w:r w:rsidR="00A10483">
              <w:t>alert, warns that the unit is not ABO compatible with the patient’s current specimen results,</w:t>
            </w:r>
            <w:r w:rsidR="00FE49A2">
              <w:t xml:space="preserve"> and asks whether he wishes to continue. </w:t>
            </w:r>
            <w:r w:rsidR="00FE49A2">
              <w:rPr>
                <w:b/>
              </w:rPr>
              <w:t>No</w:t>
            </w:r>
            <w:r w:rsidR="00FE49A2">
              <w:t xml:space="preserve"> clears the screen and allows the user to select another unit. </w:t>
            </w:r>
            <w:r w:rsidR="00FE49A2">
              <w:rPr>
                <w:b/>
              </w:rPr>
              <w:t>Yes</w:t>
            </w:r>
            <w:r w:rsidR="00FE49A2">
              <w:t xml:space="preserve"> requires a comment and </w:t>
            </w:r>
            <w:r w:rsidR="00FE49A2" w:rsidRPr="00014921">
              <w:t xml:space="preserve">captures details for inclusion in an Exception Report (exception type: </w:t>
            </w:r>
            <w:r w:rsidR="00FE49A2">
              <w:t>ABO discrepant unit issue</w:t>
            </w:r>
            <w:r w:rsidR="00FE49A2" w:rsidRPr="00014921">
              <w:t>).</w:t>
            </w:r>
          </w:p>
        </w:tc>
      </w:tr>
    </w:tbl>
    <w:p w14:paraId="705F43A0" w14:textId="6075A241" w:rsidR="007122D4" w:rsidRDefault="007122D4" w:rsidP="007122D4">
      <w:pPr>
        <w:pStyle w:val="Caption"/>
      </w:pPr>
      <w:bookmarkStart w:id="384" w:name="_Ref12648932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8</w:t>
      </w:r>
      <w:r w:rsidR="004E20BD">
        <w:rPr>
          <w:noProof/>
        </w:rPr>
        <w:fldChar w:fldCharType="end"/>
      </w:r>
      <w:bookmarkEnd w:id="384"/>
      <w:r>
        <w:t xml:space="preserve">: Alerts That May Occur in Issue Blood Components (Emergency) </w:t>
      </w:r>
      <w:r>
        <w:fldChar w:fldCharType="begin"/>
      </w:r>
      <w:r>
        <w:instrText xml:space="preserve"> XE “Tables:Alerts That May Occur in Issue Blood Components (Emergency)”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63F21" w14:paraId="27652D88" w14:textId="77777777" w:rsidTr="004A7B44">
        <w:trPr>
          <w:cantSplit/>
          <w:tblHeader/>
        </w:trPr>
        <w:tc>
          <w:tcPr>
            <w:tcW w:w="780" w:type="dxa"/>
            <w:shd w:val="clear" w:color="auto" w:fill="B3B3B3"/>
          </w:tcPr>
          <w:p w14:paraId="11B23768" w14:textId="77777777" w:rsidR="00263F21" w:rsidRDefault="00DB3377" w:rsidP="00BC3648">
            <w:pPr>
              <w:pStyle w:val="TableText"/>
              <w:rPr>
                <w:b/>
              </w:rPr>
            </w:pPr>
            <w:r>
              <w:rPr>
                <w:b/>
              </w:rPr>
              <w:t>User Action Step</w:t>
            </w:r>
          </w:p>
        </w:tc>
        <w:tc>
          <w:tcPr>
            <w:tcW w:w="8580" w:type="dxa"/>
            <w:shd w:val="clear" w:color="auto" w:fill="B3B3B3"/>
          </w:tcPr>
          <w:p w14:paraId="7D044201" w14:textId="77777777" w:rsidR="00263F21" w:rsidRDefault="00263F21" w:rsidP="00BC3648">
            <w:pPr>
              <w:pStyle w:val="TableText"/>
              <w:rPr>
                <w:b/>
              </w:rPr>
            </w:pPr>
            <w:r>
              <w:rPr>
                <w:b/>
              </w:rPr>
              <w:t>Alerts</w:t>
            </w:r>
          </w:p>
        </w:tc>
      </w:tr>
      <w:tr w:rsidR="00263F21" w14:paraId="7AAD59A8" w14:textId="77777777" w:rsidTr="004A7B44">
        <w:trPr>
          <w:cantSplit/>
        </w:trPr>
        <w:tc>
          <w:tcPr>
            <w:tcW w:w="780" w:type="dxa"/>
          </w:tcPr>
          <w:p w14:paraId="6F9075F9" w14:textId="77777777" w:rsidR="00263F21" w:rsidRDefault="00263F21" w:rsidP="00BC3648">
            <w:pPr>
              <w:pStyle w:val="TableText"/>
            </w:pPr>
            <w:r>
              <w:t>2</w:t>
            </w:r>
          </w:p>
        </w:tc>
        <w:tc>
          <w:tcPr>
            <w:tcW w:w="8580" w:type="dxa"/>
          </w:tcPr>
          <w:p w14:paraId="140ABACF" w14:textId="77777777" w:rsidR="00263F21" w:rsidRDefault="00263F21" w:rsidP="00BC3648">
            <w:pPr>
              <w:pStyle w:val="TableText"/>
            </w:pPr>
            <w:r>
              <w:rPr>
                <w:rFonts w:cs="Arial"/>
                <w:vanish/>
                <w:szCs w:val="22"/>
              </w:rPr>
              <w:t xml:space="preserve">BR_16.01 </w:t>
            </w:r>
            <w:r>
              <w:t xml:space="preserve">VBECS displays </w:t>
            </w:r>
            <w:r w:rsidR="00057948">
              <w:rPr>
                <w:noProof/>
              </w:rPr>
              <w:drawing>
                <wp:inline distT="0" distB="0" distL="0" distR="0" wp14:anchorId="30B4005A" wp14:editId="22B03B28">
                  <wp:extent cx="156845" cy="156845"/>
                  <wp:effectExtent l="0" t="0" r="0" b="0"/>
                  <wp:docPr id="195" name="Picture 195"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and emits an audible alert when there are Special Instructions (SIs) or Transfusion Requirements (TRs) for the patient.</w:t>
            </w:r>
          </w:p>
        </w:tc>
      </w:tr>
      <w:tr w:rsidR="00263F21" w14:paraId="5A224146" w14:textId="77777777" w:rsidTr="004A7B44">
        <w:trPr>
          <w:cantSplit/>
        </w:trPr>
        <w:tc>
          <w:tcPr>
            <w:tcW w:w="780" w:type="dxa"/>
          </w:tcPr>
          <w:p w14:paraId="675586A7" w14:textId="77777777" w:rsidR="00263F21" w:rsidRDefault="00263F21" w:rsidP="00BC3648">
            <w:pPr>
              <w:pStyle w:val="TableText"/>
            </w:pPr>
            <w:r>
              <w:t>2</w:t>
            </w:r>
          </w:p>
        </w:tc>
        <w:tc>
          <w:tcPr>
            <w:tcW w:w="8580" w:type="dxa"/>
          </w:tcPr>
          <w:p w14:paraId="571BA1FD" w14:textId="77777777" w:rsidR="00263F21" w:rsidRDefault="00263F21" w:rsidP="00BC3648">
            <w:pPr>
              <w:pStyle w:val="TableText"/>
            </w:pPr>
            <w:r>
              <w:rPr>
                <w:rFonts w:cs="Arial"/>
                <w:vanish/>
              </w:rPr>
              <w:t xml:space="preserve">BR_73.21 </w:t>
            </w:r>
            <w:r>
              <w:t>When no patient is found, VBECS warns the user and does not allow the user to continue.</w:t>
            </w:r>
          </w:p>
        </w:tc>
      </w:tr>
      <w:tr w:rsidR="00263F21" w14:paraId="50C4B0C5" w14:textId="77777777" w:rsidTr="004A7B44">
        <w:trPr>
          <w:cantSplit/>
        </w:trPr>
        <w:tc>
          <w:tcPr>
            <w:tcW w:w="780" w:type="dxa"/>
          </w:tcPr>
          <w:p w14:paraId="6F2EF684" w14:textId="77777777" w:rsidR="00263F21" w:rsidRDefault="00263F21" w:rsidP="00BC3648">
            <w:pPr>
              <w:pStyle w:val="TableText"/>
            </w:pPr>
            <w:r>
              <w:t>2</w:t>
            </w:r>
          </w:p>
        </w:tc>
        <w:tc>
          <w:tcPr>
            <w:tcW w:w="8580" w:type="dxa"/>
          </w:tcPr>
          <w:p w14:paraId="77B408DB" w14:textId="77777777" w:rsidR="00263F21" w:rsidRDefault="00263F21" w:rsidP="00BC3648">
            <w:pPr>
              <w:pStyle w:val="TableText"/>
            </w:pPr>
            <w:r>
              <w:rPr>
                <w:rFonts w:cs="Arial"/>
                <w:vanish/>
              </w:rPr>
              <w:t xml:space="preserve">BR_73.20 </w:t>
            </w:r>
            <w:r>
              <w:t>When the patient has no</w:t>
            </w:r>
            <w:r>
              <w:rPr>
                <w:i/>
              </w:rPr>
              <w:t xml:space="preserve"> </w:t>
            </w:r>
            <w:r>
              <w:t>components available for issue, VBECS warns the user and does not allow the user to continue.</w:t>
            </w:r>
          </w:p>
        </w:tc>
      </w:tr>
      <w:tr w:rsidR="00263F21" w14:paraId="78229D20" w14:textId="77777777" w:rsidTr="004A7B44">
        <w:trPr>
          <w:cantSplit/>
        </w:trPr>
        <w:tc>
          <w:tcPr>
            <w:tcW w:w="780" w:type="dxa"/>
          </w:tcPr>
          <w:p w14:paraId="24BE4F1C" w14:textId="77777777" w:rsidR="00263F21" w:rsidRDefault="00263F21" w:rsidP="00BC3648">
            <w:pPr>
              <w:pStyle w:val="TableText"/>
            </w:pPr>
            <w:r>
              <w:t>2</w:t>
            </w:r>
          </w:p>
        </w:tc>
        <w:tc>
          <w:tcPr>
            <w:tcW w:w="8580" w:type="dxa"/>
          </w:tcPr>
          <w:p w14:paraId="33ED9AF9" w14:textId="77777777" w:rsidR="00263F21" w:rsidRDefault="00263F21" w:rsidP="00BC3648">
            <w:pPr>
              <w:pStyle w:val="TableText"/>
            </w:pPr>
            <w:r>
              <w:rPr>
                <w:rFonts w:cs="Arial"/>
                <w:vanish/>
              </w:rPr>
              <w:t xml:space="preserve">BR_73.31 </w:t>
            </w:r>
            <w:r>
              <w:t>When required testing is incomplete at issue, VBECS emits an audible alert, warns the user, and asks whether to emergency issue the unit in accordance with hospital policy.</w:t>
            </w:r>
          </w:p>
          <w:p w14:paraId="3D5F05F8" w14:textId="77777777" w:rsidR="00263F21" w:rsidRDefault="00263F21" w:rsidP="00BC3648">
            <w:pPr>
              <w:pStyle w:val="TableText"/>
            </w:pPr>
          </w:p>
          <w:p w14:paraId="0174C7D3" w14:textId="77777777" w:rsidR="00263F21" w:rsidRDefault="00263F21" w:rsidP="00BC3648">
            <w:pPr>
              <w:pStyle w:val="TableText"/>
            </w:pPr>
            <w:r w:rsidRPr="00924702">
              <w:rPr>
                <w:b/>
              </w:rPr>
              <w:t>No</w:t>
            </w:r>
            <w:r>
              <w:t xml:space="preserve"> stops the user from issuing the unit and requires selection of another unit. </w:t>
            </w:r>
            <w:r w:rsidRPr="00924702">
              <w:rPr>
                <w:b/>
              </w:rPr>
              <w:t>Yes</w:t>
            </w:r>
            <w:r>
              <w:t xml:space="preserve"> creates an Exception Report entry for the issue, indicates on the unit record that the unit was issued emergently, and asks whether the user wishes to print the Caution Tags and Blood Transfusion Record Forms.</w:t>
            </w:r>
            <w:r w:rsidRPr="00924702">
              <w:rPr>
                <w:b/>
              </w:rPr>
              <w:t xml:space="preserve"> No</w:t>
            </w:r>
            <w:r>
              <w:t xml:space="preserve"> allows the user to continue with the emergency issue. </w:t>
            </w:r>
            <w:r w:rsidRPr="00924702">
              <w:rPr>
                <w:b/>
              </w:rPr>
              <w:t>Yes</w:t>
            </w:r>
            <w:r>
              <w:t xml:space="preserve"> prints a Caution Tag and/or Blood Transfusion Record Form and proceeds with the issue.</w:t>
            </w:r>
          </w:p>
        </w:tc>
      </w:tr>
      <w:tr w:rsidR="0065539A" w14:paraId="4989C154" w14:textId="77777777" w:rsidTr="004A7B44">
        <w:trPr>
          <w:cantSplit/>
        </w:trPr>
        <w:tc>
          <w:tcPr>
            <w:tcW w:w="780" w:type="dxa"/>
          </w:tcPr>
          <w:p w14:paraId="62F2CCA9" w14:textId="77777777" w:rsidR="0065539A" w:rsidRDefault="0065539A" w:rsidP="00BC3648">
            <w:pPr>
              <w:pStyle w:val="TableText"/>
            </w:pPr>
            <w:r>
              <w:t>5</w:t>
            </w:r>
          </w:p>
        </w:tc>
        <w:tc>
          <w:tcPr>
            <w:tcW w:w="8580" w:type="dxa"/>
          </w:tcPr>
          <w:p w14:paraId="17A25453" w14:textId="77777777" w:rsidR="0065539A" w:rsidRPr="00214B12" w:rsidRDefault="0065539A" w:rsidP="00BC3648">
            <w:pPr>
              <w:pStyle w:val="TableText"/>
              <w:rPr>
                <w:rFonts w:cs="Arial"/>
                <w:vanish/>
                <w:szCs w:val="18"/>
              </w:rPr>
            </w:pPr>
            <w:r w:rsidRPr="0065539A">
              <w:rPr>
                <w:vanish/>
                <w:szCs w:val="18"/>
              </w:rPr>
              <w:t xml:space="preserve">BR_73.17 </w:t>
            </w:r>
            <w:r w:rsidRPr="0065539A">
              <w:rPr>
                <w:szCs w:val="18"/>
              </w:rPr>
              <w:t>When the user atte</w:t>
            </w:r>
            <w:r>
              <w:t>mpts to issue a unit located in a different division, VBECS warms him that the unit cannot be issued and does not allow him to continue.</w:t>
            </w:r>
          </w:p>
        </w:tc>
      </w:tr>
      <w:tr w:rsidR="003306DB" w14:paraId="71C5BF4A" w14:textId="77777777" w:rsidTr="004A7B44">
        <w:trPr>
          <w:cantSplit/>
        </w:trPr>
        <w:tc>
          <w:tcPr>
            <w:tcW w:w="780" w:type="dxa"/>
          </w:tcPr>
          <w:p w14:paraId="44CA90CD" w14:textId="77777777" w:rsidR="003306DB" w:rsidRDefault="003306DB" w:rsidP="00BC3648">
            <w:pPr>
              <w:pStyle w:val="TableText"/>
            </w:pPr>
            <w:r>
              <w:t>5</w:t>
            </w:r>
          </w:p>
        </w:tc>
        <w:tc>
          <w:tcPr>
            <w:tcW w:w="8580" w:type="dxa"/>
          </w:tcPr>
          <w:p w14:paraId="2A21E7C8" w14:textId="77777777" w:rsidR="003306DB" w:rsidRDefault="003306DB" w:rsidP="00BC3648">
            <w:pPr>
              <w:pStyle w:val="TableText"/>
              <w:rPr>
                <w:rFonts w:cs="Arial"/>
                <w:vanish/>
              </w:rPr>
            </w:pPr>
            <w:r w:rsidRPr="00214B12">
              <w:rPr>
                <w:rFonts w:cs="Arial"/>
                <w:vanish/>
                <w:szCs w:val="18"/>
              </w:rPr>
              <w:t xml:space="preserve">BR_73.19 </w:t>
            </w:r>
            <w:r>
              <w:t>When a user indicates that the inspected unit is unsatisfactory, VBECS does not allow the unit to be issued, releases it from assignment, and warns the user that the unit is unacceptable for transfusion. VBECS allows the user to enter another unit number.</w:t>
            </w:r>
          </w:p>
        </w:tc>
      </w:tr>
      <w:tr w:rsidR="00263F21" w14:paraId="7DEF6BAF" w14:textId="77777777" w:rsidTr="004A7B44">
        <w:trPr>
          <w:cantSplit/>
        </w:trPr>
        <w:tc>
          <w:tcPr>
            <w:tcW w:w="780" w:type="dxa"/>
          </w:tcPr>
          <w:p w14:paraId="4A487FB4" w14:textId="77777777" w:rsidR="00263F21" w:rsidRDefault="00263F21" w:rsidP="00BC3648">
            <w:pPr>
              <w:pStyle w:val="TableText"/>
            </w:pPr>
            <w:r>
              <w:t>5</w:t>
            </w:r>
          </w:p>
        </w:tc>
        <w:tc>
          <w:tcPr>
            <w:tcW w:w="8580" w:type="dxa"/>
          </w:tcPr>
          <w:p w14:paraId="5A58061D" w14:textId="77777777" w:rsidR="00263F21" w:rsidRDefault="00263F21" w:rsidP="00BC3648">
            <w:pPr>
              <w:pStyle w:val="TableText"/>
            </w:pPr>
            <w:r>
              <w:rPr>
                <w:rFonts w:cs="Arial"/>
                <w:vanish/>
              </w:rPr>
              <w:t xml:space="preserve">BR_73.27 </w:t>
            </w:r>
            <w:r>
              <w:rPr>
                <w:rFonts w:cs="Arial"/>
              </w:rPr>
              <w:t xml:space="preserve">When the user attempts to select frozen blood components, VBECS </w:t>
            </w:r>
            <w:r>
              <w:t xml:space="preserve">emits an audible alert and warns the user. Units selected in their frozen state must be thawed before issue. </w:t>
            </w:r>
          </w:p>
        </w:tc>
      </w:tr>
      <w:tr w:rsidR="00B11528" w14:paraId="579C74F4" w14:textId="77777777" w:rsidTr="004A7B44">
        <w:trPr>
          <w:cantSplit/>
        </w:trPr>
        <w:tc>
          <w:tcPr>
            <w:tcW w:w="780" w:type="dxa"/>
          </w:tcPr>
          <w:p w14:paraId="65032104" w14:textId="77777777" w:rsidR="00B11528" w:rsidRDefault="00B11528" w:rsidP="00BC3648">
            <w:pPr>
              <w:pStyle w:val="TableText"/>
            </w:pPr>
            <w:r>
              <w:t>5</w:t>
            </w:r>
          </w:p>
        </w:tc>
        <w:tc>
          <w:tcPr>
            <w:tcW w:w="8580" w:type="dxa"/>
          </w:tcPr>
          <w:p w14:paraId="44168DD0" w14:textId="77777777" w:rsidR="00B11528" w:rsidRPr="00B11528" w:rsidRDefault="00B11528" w:rsidP="00B11528">
            <w:pPr>
              <w:pStyle w:val="TableText"/>
              <w:rPr>
                <w:rFonts w:eastAsia="Calibri"/>
                <w:szCs w:val="18"/>
              </w:rPr>
            </w:pPr>
            <w:r w:rsidRPr="00B11528">
              <w:t>When the patient has Component Requirements and Antigen Negative Requirements, the user attempts to issue (including emergency issue) red blood cells that do not satisfy the requirements, and the user is:</w:t>
            </w:r>
          </w:p>
          <w:p w14:paraId="304B4BF7" w14:textId="77777777" w:rsidR="00B11528" w:rsidRPr="00B11528" w:rsidRDefault="00B11528" w:rsidP="00B11528">
            <w:pPr>
              <w:pStyle w:val="TableTextBullet"/>
              <w:numPr>
                <w:ilvl w:val="0"/>
                <w:numId w:val="0"/>
              </w:numPr>
              <w:tabs>
                <w:tab w:val="left" w:pos="720"/>
              </w:tabs>
              <w:rPr>
                <w:sz w:val="20"/>
                <w:szCs w:val="20"/>
              </w:rPr>
            </w:pPr>
            <w:r w:rsidRPr="00B11528">
              <w:rPr>
                <w:rFonts w:ascii="Wingdings 3" w:hAnsi="Wingdings 3"/>
              </w:rPr>
              <w:t></w:t>
            </w:r>
            <w:r w:rsidRPr="00B11528">
              <w:rPr>
                <w:rFonts w:ascii="Wingdings 3" w:hAnsi="Wingdings 3"/>
              </w:rPr>
              <w:t></w:t>
            </w:r>
            <w:r w:rsidRPr="00B11528">
              <w:t xml:space="preserve"> An Enhanced Technologist or below, VBECS emits an audible alert and warns the user that the unit is not selectable and he is not authorized to issue the unit. The unsatisfied requirements are not detailed.</w:t>
            </w:r>
          </w:p>
          <w:p w14:paraId="53AE0FAE" w14:textId="77777777" w:rsidR="00B11528" w:rsidRDefault="00B11528" w:rsidP="00B11528">
            <w:pPr>
              <w:pStyle w:val="TableText"/>
              <w:rPr>
                <w:rFonts w:cs="Arial"/>
                <w:vanish/>
              </w:rPr>
            </w:pPr>
            <w:r w:rsidRPr="00B11528">
              <w:t>VBECS does not allow an override.</w:t>
            </w:r>
          </w:p>
        </w:tc>
      </w:tr>
      <w:tr w:rsidR="00263F21" w14:paraId="4CF357F0" w14:textId="77777777" w:rsidTr="004A7B44">
        <w:trPr>
          <w:cantSplit/>
        </w:trPr>
        <w:tc>
          <w:tcPr>
            <w:tcW w:w="780" w:type="dxa"/>
          </w:tcPr>
          <w:p w14:paraId="283FA050" w14:textId="77777777" w:rsidR="00263F21" w:rsidRDefault="00263F21" w:rsidP="00BC3648">
            <w:pPr>
              <w:pStyle w:val="TableText"/>
            </w:pPr>
            <w:r>
              <w:t>5</w:t>
            </w:r>
          </w:p>
        </w:tc>
        <w:tc>
          <w:tcPr>
            <w:tcW w:w="8580" w:type="dxa"/>
          </w:tcPr>
          <w:p w14:paraId="2BF5F794" w14:textId="77777777" w:rsidR="002104CB" w:rsidRDefault="002104CB" w:rsidP="002104CB">
            <w:pPr>
              <w:pStyle w:val="TableText"/>
            </w:pPr>
            <w:r>
              <w:rPr>
                <w:rFonts w:cs="Arial"/>
                <w:vanish/>
              </w:rPr>
              <w:t xml:space="preserve">BR_73.28 </w:t>
            </w:r>
            <w:r w:rsidR="00B11528">
              <w:t>When the patient has Component Requirements</w:t>
            </w:r>
            <w:r w:rsidRPr="002104CB">
              <w:t>, the user attempts to issue (including emergency issue) red blood cells that do not satisfy the TR,</w:t>
            </w:r>
            <w:r>
              <w:t xml:space="preserve"> and the user is:</w:t>
            </w:r>
          </w:p>
          <w:p w14:paraId="1627AC6E" w14:textId="77777777" w:rsidR="002104CB" w:rsidRDefault="002104CB" w:rsidP="002104CB">
            <w:pPr>
              <w:pStyle w:val="TableTextBullet"/>
            </w:pPr>
            <w:r w:rsidRPr="00EC7489">
              <w:rPr>
                <w:rFonts w:ascii="Wingdings 3" w:hAnsi="Wingdings 3" w:cs="Wingdings"/>
              </w:rPr>
              <w:t></w:t>
            </w:r>
            <w:r w:rsidRPr="00EC7489">
              <w:rPr>
                <w:rFonts w:ascii="Wingdings 3" w:hAnsi="Wingdings 3" w:cs="Wingdings"/>
              </w:rPr>
              <w:t></w:t>
            </w:r>
            <w:r>
              <w:t xml:space="preserve"> An Enhanced Technologist or below, V</w:t>
            </w:r>
            <w:r w:rsidR="00A13E40">
              <w:t xml:space="preserve">BECS </w:t>
            </w:r>
            <w:r>
              <w:t xml:space="preserve">warns the user that he is not authorized to issue untyped red blood cells (for the clinically significant antibodies in the table). VBECS does not allow an override. </w:t>
            </w:r>
          </w:p>
          <w:p w14:paraId="0B0EAC44" w14:textId="77777777" w:rsidR="00263F21" w:rsidRDefault="002104CB" w:rsidP="002104CB">
            <w:pPr>
              <w:pStyle w:val="TableTextBulle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 Lead Technologist or above, VBECS emits an audible alert and warns the user.</w:t>
            </w:r>
            <w:r>
              <w:rPr>
                <w:b/>
              </w:rPr>
              <w:t xml:space="preserve"> No</w:t>
            </w:r>
            <w:r>
              <w:t xml:space="preserve"> clears the screen. </w:t>
            </w:r>
            <w:r>
              <w:rPr>
                <w:b/>
              </w:rPr>
              <w:t>Yes</w:t>
            </w:r>
            <w:r>
              <w:t xml:space="preserve"> requires a comment and captures details for inclusion in an Exception Report (exception type: unit issued with unsatisfied TR).</w:t>
            </w:r>
          </w:p>
        </w:tc>
      </w:tr>
      <w:tr w:rsidR="00263F21" w14:paraId="7D319631" w14:textId="77777777" w:rsidTr="004A7B44">
        <w:trPr>
          <w:cantSplit/>
        </w:trPr>
        <w:tc>
          <w:tcPr>
            <w:tcW w:w="780" w:type="dxa"/>
          </w:tcPr>
          <w:p w14:paraId="2E81649C" w14:textId="77777777" w:rsidR="00263F21" w:rsidRDefault="00263F21" w:rsidP="00BC3648">
            <w:pPr>
              <w:pStyle w:val="TableText"/>
            </w:pPr>
            <w:r>
              <w:t>5</w:t>
            </w:r>
          </w:p>
        </w:tc>
        <w:tc>
          <w:tcPr>
            <w:tcW w:w="8580" w:type="dxa"/>
          </w:tcPr>
          <w:p w14:paraId="34FD8705" w14:textId="77777777" w:rsidR="00263F21" w:rsidRDefault="00263F21" w:rsidP="00BC3648">
            <w:pPr>
              <w:pStyle w:val="TableText"/>
            </w:pPr>
            <w:r>
              <w:rPr>
                <w:rFonts w:cs="Arial"/>
                <w:vanish/>
              </w:rPr>
              <w:t xml:space="preserve">BR_73.15 </w:t>
            </w:r>
            <w:r>
              <w:t xml:space="preserve">When a repeat ABO/Rh performed on the patient specimen does not match the original ABO/Rh interpretation and the unit </w:t>
            </w:r>
            <w:r w:rsidR="00A10483">
              <w:t>does not</w:t>
            </w:r>
            <w:r>
              <w:t xml:space="preserve"> qualify for emergency issue, VBECS warns the user and instructs him to resolve the discrepancy before issuing the unit. There is no override. Emergency issue may continue for qualifying units.</w:t>
            </w:r>
          </w:p>
        </w:tc>
      </w:tr>
      <w:tr w:rsidR="00263F21" w14:paraId="2ABB1BB2" w14:textId="77777777" w:rsidTr="004A7B44">
        <w:trPr>
          <w:cantSplit/>
        </w:trPr>
        <w:tc>
          <w:tcPr>
            <w:tcW w:w="780" w:type="dxa"/>
          </w:tcPr>
          <w:p w14:paraId="725BCBA9" w14:textId="77777777" w:rsidR="00263F21" w:rsidRDefault="00263F21" w:rsidP="00BC3648">
            <w:pPr>
              <w:pStyle w:val="TableText"/>
            </w:pPr>
            <w:r>
              <w:t>5</w:t>
            </w:r>
          </w:p>
        </w:tc>
        <w:tc>
          <w:tcPr>
            <w:tcW w:w="8580" w:type="dxa"/>
          </w:tcPr>
          <w:p w14:paraId="46A107F5" w14:textId="77777777" w:rsidR="00263F21" w:rsidRDefault="00263F21" w:rsidP="00BC3648">
            <w:pPr>
              <w:pStyle w:val="TableText"/>
            </w:pPr>
            <w:r>
              <w:rPr>
                <w:rFonts w:cs="Arial"/>
                <w:vanish/>
              </w:rPr>
              <w:t xml:space="preserve">BR_73.30 </w:t>
            </w:r>
            <w:r>
              <w:t xml:space="preserve">When a unit has a biohazard indicator, VBECS emits an audible alert, warns the user, and asks whether he still wishes to issue the unit. </w:t>
            </w:r>
            <w:r>
              <w:rPr>
                <w:b/>
              </w:rPr>
              <w:t>No</w:t>
            </w:r>
            <w:r>
              <w:t xml:space="preserve"> clears the entry and allows the user to select a new unit. </w:t>
            </w:r>
            <w:r>
              <w:rPr>
                <w:b/>
              </w:rPr>
              <w:t>Yes</w:t>
            </w:r>
            <w:r>
              <w:t xml:space="preserve"> requires a comment and captures details of the transaction for inclusion in an Exception Report (exception type: biohazardous unit issued). </w:t>
            </w:r>
          </w:p>
        </w:tc>
      </w:tr>
      <w:tr w:rsidR="00263F21" w14:paraId="6604E669" w14:textId="77777777" w:rsidTr="004A7B44">
        <w:trPr>
          <w:cantSplit/>
        </w:trPr>
        <w:tc>
          <w:tcPr>
            <w:tcW w:w="780" w:type="dxa"/>
          </w:tcPr>
          <w:p w14:paraId="67223F66" w14:textId="77777777" w:rsidR="00263F21" w:rsidRDefault="00263F21" w:rsidP="00BC3648">
            <w:pPr>
              <w:pStyle w:val="TableText"/>
            </w:pPr>
            <w:r>
              <w:t>5</w:t>
            </w:r>
          </w:p>
        </w:tc>
        <w:tc>
          <w:tcPr>
            <w:tcW w:w="8580" w:type="dxa"/>
          </w:tcPr>
          <w:p w14:paraId="27E70DB0" w14:textId="77777777" w:rsidR="00263F21" w:rsidRDefault="00263F21" w:rsidP="00BC3648">
            <w:pPr>
              <w:pStyle w:val="TableText"/>
            </w:pPr>
            <w:r>
              <w:rPr>
                <w:rFonts w:cs="Arial"/>
                <w:vanish/>
                <w:szCs w:val="22"/>
              </w:rPr>
              <w:t xml:space="preserve">BR_73.16 </w:t>
            </w:r>
            <w:r>
              <w:t xml:space="preserve">For an Rh negative, unknown, or inconclusive patient, the user may enter and confirm Rh positive </w:t>
            </w:r>
            <w:r w:rsidR="00BA5BE4">
              <w:t xml:space="preserve">and Rh pooled </w:t>
            </w:r>
            <w:r>
              <w:t xml:space="preserve">units from the WHOLE BLOOD, RED BLOOD CELLS, PLATELETS, and OTHER VBECS component classes. </w:t>
            </w:r>
            <w:r w:rsidR="001D0217" w:rsidRPr="000921F1">
              <w:t>VBECS emits an audible alert, warns that the patient is Rh negative and the selected unit is Rh positive, instructs the user to check the patient sex and hospital policy before continuing, and asks whether the user wishes to continue to select the unit.</w:t>
            </w:r>
            <w:r>
              <w:t xml:space="preserve"> </w:t>
            </w:r>
            <w:r>
              <w:rPr>
                <w:b/>
              </w:rPr>
              <w:t>No</w:t>
            </w:r>
            <w:r>
              <w:t xml:space="preserve"> clears the unit data and allows the user to select a different unit. </w:t>
            </w:r>
            <w:r>
              <w:rPr>
                <w:b/>
              </w:rPr>
              <w:t>Yes</w:t>
            </w:r>
            <w:r>
              <w:t xml:space="preserve"> requires additional comment and captures details for inclusion in an Exception Report (exception type: antigen positive/untested units issued).</w:t>
            </w:r>
            <w:r w:rsidR="001D0217" w:rsidRPr="001D0217">
              <w:rPr>
                <w:vanish/>
              </w:rPr>
              <w:t xml:space="preserve"> DR 4508</w:t>
            </w:r>
          </w:p>
        </w:tc>
      </w:tr>
      <w:tr w:rsidR="00263F21" w14:paraId="5293BBD2" w14:textId="77777777" w:rsidTr="004A7B44">
        <w:trPr>
          <w:cantSplit/>
        </w:trPr>
        <w:tc>
          <w:tcPr>
            <w:tcW w:w="780" w:type="dxa"/>
          </w:tcPr>
          <w:p w14:paraId="6508434D" w14:textId="77777777" w:rsidR="00263F21" w:rsidRDefault="00263F21" w:rsidP="00BC3648">
            <w:pPr>
              <w:pStyle w:val="TableText"/>
            </w:pPr>
            <w:r>
              <w:t>5</w:t>
            </w:r>
          </w:p>
        </w:tc>
        <w:tc>
          <w:tcPr>
            <w:tcW w:w="8580" w:type="dxa"/>
          </w:tcPr>
          <w:p w14:paraId="090AD62A" w14:textId="77777777" w:rsidR="00263F21" w:rsidRDefault="00263F21" w:rsidP="00BC3648">
            <w:pPr>
              <w:pStyle w:val="TableText"/>
            </w:pPr>
            <w:r>
              <w:rPr>
                <w:rFonts w:cs="Arial"/>
                <w:vanish/>
              </w:rPr>
              <w:t xml:space="preserve">BR_73.04 </w:t>
            </w:r>
            <w:r>
              <w:t>When the user attempts to issue an expired unit, VBECS emits an audible alert and warns him. There is no override.</w:t>
            </w:r>
          </w:p>
          <w:p w14:paraId="7FC6C007" w14:textId="77777777" w:rsidR="00263F21" w:rsidRDefault="00263F21" w:rsidP="00BC3648">
            <w:pPr>
              <w:pStyle w:val="TableText"/>
            </w:pPr>
          </w:p>
          <w:p w14:paraId="06C1C448" w14:textId="77777777" w:rsidR="00263F21" w:rsidRDefault="00263F21" w:rsidP="00BC3648">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(exception type: issued expired unit).</w:t>
            </w:r>
          </w:p>
        </w:tc>
      </w:tr>
      <w:tr w:rsidR="00263F21" w14:paraId="08030156" w14:textId="77777777" w:rsidTr="004A7B44">
        <w:trPr>
          <w:cantSplit/>
        </w:trPr>
        <w:tc>
          <w:tcPr>
            <w:tcW w:w="780" w:type="dxa"/>
          </w:tcPr>
          <w:p w14:paraId="089953F0" w14:textId="77777777" w:rsidR="00263F21" w:rsidRDefault="00263F21" w:rsidP="00BC3648">
            <w:pPr>
              <w:pStyle w:val="TableText"/>
            </w:pPr>
            <w:r>
              <w:t>5</w:t>
            </w:r>
          </w:p>
        </w:tc>
        <w:tc>
          <w:tcPr>
            <w:tcW w:w="8580" w:type="dxa"/>
          </w:tcPr>
          <w:p w14:paraId="7D35E032" w14:textId="77777777" w:rsidR="00263F21" w:rsidRDefault="00263F21" w:rsidP="00BC3648">
            <w:pPr>
              <w:pStyle w:val="TableText"/>
            </w:pPr>
            <w:r>
              <w:rPr>
                <w:rFonts w:cs="Arial"/>
                <w:vanish/>
              </w:rPr>
              <w:t xml:space="preserve">BR_73.14 </w:t>
            </w:r>
            <w:r>
              <w:t>When the user sele</w:t>
            </w:r>
            <w:r w:rsidR="00A92813">
              <w:t>cts units from the WHOLE BLOOD or RED BLOOD CELLS</w:t>
            </w:r>
            <w:r>
              <w:t xml:space="preserve"> component classes, VBECS determines when the patient has a calculated or a persistent antigen negative requirement. This does not apply when selecting autologous (ISBT 128 units with an autologous donation type). When the selected unit was antigen typed and is positive for the corresponding antigen or is untested for the antigen, VBECS warns the user and requires action based on his security level.</w:t>
            </w:r>
          </w:p>
          <w:p w14:paraId="16E6DF58" w14:textId="77777777" w:rsidR="00263F21" w:rsidRDefault="00263F21" w:rsidP="00BC3648">
            <w:pPr>
              <w:pStyle w:val="TableText"/>
            </w:pPr>
          </w:p>
          <w:p w14:paraId="3212EC24" w14:textId="77777777" w:rsidR="00263F21" w:rsidRDefault="00263F21" w:rsidP="00BC3648">
            <w:pPr>
              <w:pStyle w:val="TableText"/>
            </w:pPr>
            <w:r w:rsidRPr="00EC7489">
              <w:rPr>
                <w:rFonts w:ascii="Wingdings 3" w:hAnsi="Wingdings 3" w:cs="Wingdings"/>
              </w:rPr>
              <w:t></w:t>
            </w:r>
            <w:r w:rsidRPr="00EC7489">
              <w:rPr>
                <w:rFonts w:ascii="Wingdings 3" w:hAnsi="Wingdings 3" w:cs="Wingdings"/>
              </w:rPr>
              <w:t></w:t>
            </w:r>
            <w:r>
              <w:t xml:space="preserve"> When the user is an Enhanced Technologist or below, VBECS emits an audible alert and warns that he does not have the proper security level to issue the unit. There is no override. </w:t>
            </w:r>
          </w:p>
          <w:p w14:paraId="1AF9EB42" w14:textId="77777777" w:rsidR="00263F21" w:rsidRDefault="00263F21" w:rsidP="00BC3648">
            <w:pPr>
              <w:pStyle w:val="TableText"/>
            </w:pPr>
          </w:p>
          <w:p w14:paraId="00C31614" w14:textId="77777777" w:rsidR="00685A5F" w:rsidRDefault="00263F21" w:rsidP="00685A5F">
            <w:pPr>
              <w:pStyle w:val="TableText"/>
              <w:rPr>
                <w:szCs w:val="18"/>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When the user is a Lead Technologist or above, VBECS emits an audible alert, warns him, and asks whether he wishes to continue to issue. </w:t>
            </w:r>
            <w:r>
              <w:rPr>
                <w:b/>
              </w:rPr>
              <w:t>No</w:t>
            </w:r>
            <w:r>
              <w:t xml:space="preserve"> clears the screen. </w:t>
            </w:r>
            <w:r>
              <w:rPr>
                <w:b/>
              </w:rPr>
              <w:t>Yes</w:t>
            </w:r>
            <w:r>
              <w:t xml:space="preserve"> requires a comment and captures details for inclusion in an Exception Report entry (exception type: antigen-positive/untested units issued).</w:t>
            </w:r>
            <w:r w:rsidR="00685A5F" w:rsidRPr="00F14A86">
              <w:rPr>
                <w:szCs w:val="18"/>
              </w:rPr>
              <w:t xml:space="preserve"> Additional details to be included in the exception report when the u</w:t>
            </w:r>
            <w:r w:rsidR="00685A5F">
              <w:rPr>
                <w:szCs w:val="18"/>
              </w:rPr>
              <w:t>ser overrides:</w:t>
            </w:r>
          </w:p>
          <w:p w14:paraId="57329B3C" w14:textId="36CABF12" w:rsidR="00685A5F" w:rsidRPr="00FB5425" w:rsidRDefault="00D77462" w:rsidP="00925CAD">
            <w:pPr>
              <w:pStyle w:val="TableText"/>
              <w:numPr>
                <w:ilvl w:val="0"/>
                <w:numId w:val="59"/>
              </w:numPr>
              <w:tabs>
                <w:tab w:val="clear" w:pos="720"/>
                <w:tab w:val="num" w:pos="252"/>
              </w:tabs>
              <w:ind w:left="252" w:hanging="198"/>
              <w:rPr>
                <w:szCs w:val="18"/>
              </w:rPr>
            </w:pPr>
            <w:r>
              <w:rPr>
                <w:szCs w:val="18"/>
              </w:rPr>
              <w:t>Exception</w:t>
            </w:r>
            <w:r w:rsidR="00685A5F" w:rsidRPr="00FB5425">
              <w:rPr>
                <w:szCs w:val="18"/>
              </w:rPr>
              <w:t xml:space="preserve"> Type: Antigen-positive/untested units issued</w:t>
            </w:r>
          </w:p>
          <w:p w14:paraId="4B7A3FD0" w14:textId="77777777" w:rsidR="00685A5F" w:rsidRPr="008A3C45" w:rsidRDefault="00685A5F" w:rsidP="00925CAD">
            <w:pPr>
              <w:pStyle w:val="TableText"/>
              <w:numPr>
                <w:ilvl w:val="0"/>
                <w:numId w:val="59"/>
              </w:numPr>
              <w:tabs>
                <w:tab w:val="clear" w:pos="720"/>
                <w:tab w:val="num" w:pos="252"/>
              </w:tabs>
              <w:ind w:left="252" w:hanging="198"/>
              <w:rPr>
                <w:szCs w:val="18"/>
              </w:rPr>
            </w:pPr>
            <w:r w:rsidRPr="008A3C45">
              <w:rPr>
                <w:szCs w:val="18"/>
              </w:rPr>
              <w:t>Patient Antibody(</w:t>
            </w:r>
            <w:proofErr w:type="spellStart"/>
            <w:r w:rsidRPr="008A3C45">
              <w:rPr>
                <w:szCs w:val="18"/>
              </w:rPr>
              <w:t>ies</w:t>
            </w:r>
            <w:proofErr w:type="spellEnd"/>
            <w:r w:rsidRPr="008A3C45">
              <w:rPr>
                <w:szCs w:val="18"/>
              </w:rPr>
              <w:t>) Identified</w:t>
            </w:r>
          </w:p>
          <w:p w14:paraId="2BEEECE6" w14:textId="77777777" w:rsidR="00263F21" w:rsidRDefault="00685A5F" w:rsidP="00925CAD">
            <w:pPr>
              <w:pStyle w:val="TableText"/>
              <w:numPr>
                <w:ilvl w:val="0"/>
                <w:numId w:val="59"/>
              </w:numPr>
              <w:tabs>
                <w:tab w:val="clear" w:pos="720"/>
                <w:tab w:val="num" w:pos="252"/>
              </w:tabs>
              <w:ind w:left="252" w:hanging="198"/>
            </w:pPr>
            <w:r w:rsidRPr="004A6FB8">
              <w:rPr>
                <w:szCs w:val="18"/>
              </w:rPr>
              <w:t>Unit Antigen Phenotype Result or “untested”</w:t>
            </w:r>
          </w:p>
        </w:tc>
      </w:tr>
      <w:tr w:rsidR="00263F21" w14:paraId="13F3F5EE" w14:textId="77777777" w:rsidTr="004A7B44">
        <w:trPr>
          <w:cantSplit/>
        </w:trPr>
        <w:tc>
          <w:tcPr>
            <w:tcW w:w="780" w:type="dxa"/>
          </w:tcPr>
          <w:p w14:paraId="7656E22F" w14:textId="77777777" w:rsidR="00263F21" w:rsidRDefault="00263F21" w:rsidP="00BC3648">
            <w:pPr>
              <w:pStyle w:val="TableText"/>
            </w:pPr>
            <w:r>
              <w:t>5</w:t>
            </w:r>
          </w:p>
        </w:tc>
        <w:tc>
          <w:tcPr>
            <w:tcW w:w="8580" w:type="dxa"/>
          </w:tcPr>
          <w:p w14:paraId="7E3009C6" w14:textId="77777777" w:rsidR="00263F21" w:rsidRDefault="00263F21" w:rsidP="00BC3648">
            <w:pPr>
              <w:pStyle w:val="TableText"/>
            </w:pPr>
            <w:r>
              <w:rPr>
                <w:rFonts w:cs="Arial"/>
                <w:vanish/>
              </w:rPr>
              <w:t xml:space="preserve">BR_73.05 </w:t>
            </w:r>
            <w:r>
              <w:t xml:space="preserve">VBECS compares the ABO/Rh of the current specimen to the historic ABO/Rh. When the unit was electronically crossmatched, the current and historic ABO/Rh results must have been recorded in the login user’s division. When there is a discrepancy, there is no previous justification for the discrepancy on the patient record, as described in Justify ABO/Rh Change, and the unit </w:t>
            </w:r>
            <w:r w:rsidR="00A10483">
              <w:t>does not</w:t>
            </w:r>
            <w:r>
              <w:t xml:space="preserve"> qualify for emergency issue, VBECS warns the user and instructs him to resolve the discrepancy before issuing the unit. There is no override. VBECS exits the option, clears the screen, and returns the user to the point of entry. Emergency issue may continue for qualifying units.</w:t>
            </w:r>
          </w:p>
        </w:tc>
      </w:tr>
      <w:tr w:rsidR="00263F21" w14:paraId="3ED1815C" w14:textId="77777777" w:rsidTr="004A7B44">
        <w:trPr>
          <w:cantSplit/>
        </w:trPr>
        <w:tc>
          <w:tcPr>
            <w:tcW w:w="780" w:type="dxa"/>
          </w:tcPr>
          <w:p w14:paraId="112E6ED3" w14:textId="77777777" w:rsidR="00263F21" w:rsidRDefault="00263F21" w:rsidP="00BC3648">
            <w:pPr>
              <w:pStyle w:val="TableText"/>
            </w:pPr>
            <w:r>
              <w:t>5</w:t>
            </w:r>
          </w:p>
        </w:tc>
        <w:tc>
          <w:tcPr>
            <w:tcW w:w="8580" w:type="dxa"/>
          </w:tcPr>
          <w:p w14:paraId="3D5E5371" w14:textId="77777777" w:rsidR="00263F21" w:rsidRDefault="00263F21" w:rsidP="00BC3648">
            <w:pPr>
              <w:pStyle w:val="TableText"/>
            </w:pPr>
            <w:r w:rsidRPr="00ED5745">
              <w:rPr>
                <w:rFonts w:cs="Arial"/>
                <w:vanish/>
                <w:color w:val="0000FF"/>
              </w:rPr>
              <w:t>BR_3.05</w:t>
            </w:r>
            <w:r>
              <w:rPr>
                <w:rFonts w:cs="Arial"/>
                <w:vanish/>
              </w:rPr>
              <w:t xml:space="preserve"> </w:t>
            </w:r>
            <w:r>
              <w:t xml:space="preserve">When no valid ABO exists for the patient, the user may select components, including autologous units: </w:t>
            </w:r>
          </w:p>
          <w:p w14:paraId="66B3F821" w14:textId="77777777" w:rsidR="00263F21" w:rsidRDefault="00263F21" w:rsidP="00BC3648">
            <w:pPr>
              <w:pStyle w:val="TableTextBullet"/>
              <w:tabs>
                <w:tab w:val="clear" w:pos="288"/>
              </w:tabs>
            </w:pPr>
            <w:r>
              <w:t xml:space="preserve">For RBC or WB order: </w:t>
            </w:r>
            <w:r w:rsidR="00093181">
              <w:t>group</w:t>
            </w:r>
            <w:r w:rsidR="000014DD">
              <w:t xml:space="preserve"> </w:t>
            </w:r>
            <w:r>
              <w:t>O, Rh positive or O Rh negative RBC. WHOLE BLOOD is not selectable.</w:t>
            </w:r>
          </w:p>
          <w:p w14:paraId="21430147" w14:textId="77777777" w:rsidR="00263F21" w:rsidRDefault="00263F21" w:rsidP="00BC3648">
            <w:pPr>
              <w:pStyle w:val="TableTextBullet"/>
              <w:tabs>
                <w:tab w:val="clear" w:pos="288"/>
              </w:tabs>
            </w:pPr>
            <w:r>
              <w:t>For FFP order only: group AB, Rh positive or Rh negative.</w:t>
            </w:r>
          </w:p>
          <w:p w14:paraId="2294BADD" w14:textId="77777777" w:rsidR="00263F21" w:rsidRDefault="00263F21" w:rsidP="00BC3648">
            <w:pPr>
              <w:pStyle w:val="TableTextBullet"/>
              <w:tabs>
                <w:tab w:val="clear" w:pos="288"/>
              </w:tabs>
            </w:pPr>
            <w:r>
              <w:t>For PLT, CRYO, or OTHER order, all available units are selectable.</w:t>
            </w:r>
          </w:p>
        </w:tc>
      </w:tr>
      <w:tr w:rsidR="00113B6A" w14:paraId="1AAD4681" w14:textId="77777777" w:rsidTr="004A7B44">
        <w:trPr>
          <w:cantSplit/>
        </w:trPr>
        <w:tc>
          <w:tcPr>
            <w:tcW w:w="780" w:type="dxa"/>
          </w:tcPr>
          <w:p w14:paraId="065C6E6F" w14:textId="77777777" w:rsidR="00113B6A" w:rsidRDefault="00173BDA" w:rsidP="00303708">
            <w:pPr>
              <w:pStyle w:val="TableText"/>
            </w:pPr>
            <w:r>
              <w:t>5</w:t>
            </w:r>
          </w:p>
        </w:tc>
        <w:tc>
          <w:tcPr>
            <w:tcW w:w="8580" w:type="dxa"/>
          </w:tcPr>
          <w:p w14:paraId="23053ACB" w14:textId="77777777" w:rsidR="00113B6A" w:rsidRDefault="00113B6A" w:rsidP="00303708">
            <w:pPr>
              <w:pStyle w:val="TableText"/>
            </w:pPr>
            <w:r w:rsidRPr="00DC6BEF">
              <w:rPr>
                <w:rFonts w:cs="Arial"/>
                <w:vanish/>
                <w:color w:val="0000FF"/>
              </w:rPr>
              <w:t>BR_3.12</w:t>
            </w:r>
            <w:r>
              <w:rPr>
                <w:rFonts w:cs="Arial"/>
                <w:vanish/>
              </w:rPr>
              <w:t xml:space="preserve"> </w:t>
            </w:r>
            <w:r>
              <w:rPr>
                <w:szCs w:val="22"/>
              </w:rPr>
              <w:t></w:t>
            </w:r>
            <w:r>
              <w:t>When the user selects blood components from the frozen product types for a patient, VBECS emits an audible alert and warns that the selected blood unit must be thawed and may require addition</w:t>
            </w:r>
            <w:r w:rsidR="00CD635A">
              <w:t>al processing prior to issue.</w:t>
            </w:r>
            <w:r>
              <w:t xml:space="preserve"> VBECS updates the blood unit status to “assigned” and the unit is no longer available for issue.</w:t>
            </w:r>
          </w:p>
        </w:tc>
      </w:tr>
      <w:tr w:rsidR="00113B6A" w14:paraId="7CD02ACF" w14:textId="77777777" w:rsidTr="004A7B44">
        <w:trPr>
          <w:cantSplit/>
        </w:trPr>
        <w:tc>
          <w:tcPr>
            <w:tcW w:w="780" w:type="dxa"/>
            <w:tcBorders>
              <w:top w:val="single" w:sz="4" w:space="0" w:color="auto"/>
              <w:left w:val="single" w:sz="4" w:space="0" w:color="auto"/>
              <w:bottom w:val="single" w:sz="4" w:space="0" w:color="auto"/>
              <w:right w:val="single" w:sz="4" w:space="0" w:color="auto"/>
            </w:tcBorders>
          </w:tcPr>
          <w:p w14:paraId="047684A7" w14:textId="77777777" w:rsidR="00113B6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51CBC093" w14:textId="77777777" w:rsidR="00113B6A" w:rsidRDefault="00113B6A" w:rsidP="00173BDA">
            <w:pPr>
              <w:pStyle w:val="TableText"/>
            </w:pPr>
            <w:r>
              <w:rPr>
                <w:rFonts w:cs="Arial"/>
                <w:vanish/>
              </w:rPr>
              <w:t xml:space="preserve">BR_43.04 </w:t>
            </w:r>
            <w:r>
              <w:t xml:space="preserve">When a Caution Tag or BTRF is printed for an emergency-issued unit, “Emergency Issue” is included on the form. </w:t>
            </w:r>
          </w:p>
          <w:p w14:paraId="10A7B34D" w14:textId="77777777" w:rsidR="00113B6A" w:rsidRDefault="00113B6A" w:rsidP="00173BDA">
            <w:pPr>
              <w:pStyle w:val="TableText"/>
            </w:pPr>
          </w:p>
          <w:p w14:paraId="0C965A08" w14:textId="77777777" w:rsidR="00113B6A" w:rsidRDefault="00113B6A" w:rsidP="00173BDA">
            <w:pPr>
              <w:pStyle w:val="TableText"/>
            </w:pPr>
            <w:r>
              <w:t>The recipient ABO/Rh prints as “</w:t>
            </w:r>
            <w:proofErr w:type="spellStart"/>
            <w:r>
              <w:t>Unk</w:t>
            </w:r>
            <w:proofErr w:type="spellEnd"/>
            <w:r>
              <w:t xml:space="preserve">” or “Unknown” during emergency issue when no current specimen results are on file; VBECS may </w:t>
            </w:r>
            <w:r>
              <w:rPr>
                <w:iCs/>
              </w:rPr>
              <w:t>not</w:t>
            </w:r>
            <w:r>
              <w:t xml:space="preserve"> use a historic record blood type (from any source) for the typing printed on the tag/form.</w:t>
            </w:r>
          </w:p>
          <w:p w14:paraId="7F089C33" w14:textId="77777777" w:rsidR="00113B6A" w:rsidRDefault="00113B6A" w:rsidP="00173BDA">
            <w:pPr>
              <w:pStyle w:val="Tab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880"/>
            </w:tblGrid>
            <w:tr w:rsidR="00113B6A" w14:paraId="61619FB9" w14:textId="77777777">
              <w:trPr>
                <w:tblHeader/>
              </w:trPr>
              <w:tc>
                <w:tcPr>
                  <w:tcW w:w="2880" w:type="dxa"/>
                  <w:shd w:val="clear" w:color="auto" w:fill="B3B3B3"/>
                  <w:vAlign w:val="bottom"/>
                </w:tcPr>
                <w:p w14:paraId="085D52AE" w14:textId="77777777" w:rsidR="00113B6A" w:rsidRDefault="00113B6A" w:rsidP="00173BDA">
                  <w:pPr>
                    <w:pStyle w:val="TableText"/>
                    <w:rPr>
                      <w:b/>
                    </w:rPr>
                  </w:pPr>
                  <w:r>
                    <w:rPr>
                      <w:b/>
                    </w:rPr>
                    <w:t>Compatibility Interpretation</w:t>
                  </w:r>
                </w:p>
              </w:tc>
              <w:tc>
                <w:tcPr>
                  <w:tcW w:w="2880" w:type="dxa"/>
                  <w:shd w:val="clear" w:color="auto" w:fill="B3B3B3"/>
                  <w:vAlign w:val="bottom"/>
                </w:tcPr>
                <w:p w14:paraId="7F39A450" w14:textId="77777777" w:rsidR="00113B6A" w:rsidRDefault="00113B6A" w:rsidP="00173BDA">
                  <w:pPr>
                    <w:pStyle w:val="TableText"/>
                    <w:rPr>
                      <w:b/>
                    </w:rPr>
                  </w:pPr>
                  <w:r>
                    <w:rPr>
                      <w:b/>
                    </w:rPr>
                    <w:t>Text on BTRF</w:t>
                  </w:r>
                </w:p>
              </w:tc>
            </w:tr>
            <w:tr w:rsidR="00113B6A" w14:paraId="5E26A936" w14:textId="77777777">
              <w:tc>
                <w:tcPr>
                  <w:tcW w:w="2880" w:type="dxa"/>
                  <w:vAlign w:val="bottom"/>
                </w:tcPr>
                <w:p w14:paraId="79397669" w14:textId="77777777" w:rsidR="00113B6A" w:rsidRDefault="00113B6A" w:rsidP="00173BDA">
                  <w:pPr>
                    <w:pStyle w:val="TableText"/>
                  </w:pPr>
                  <w:r>
                    <w:t>Crossmatch</w:t>
                  </w:r>
                </w:p>
              </w:tc>
              <w:tc>
                <w:tcPr>
                  <w:tcW w:w="2880" w:type="dxa"/>
                  <w:vAlign w:val="bottom"/>
                </w:tcPr>
                <w:p w14:paraId="2C80A42A" w14:textId="77777777" w:rsidR="00113B6A" w:rsidRDefault="00113B6A" w:rsidP="00173BDA">
                  <w:pPr>
                    <w:pStyle w:val="TableText"/>
                  </w:pPr>
                  <w:r>
                    <w:t>TESTING INCOMPLETE</w:t>
                  </w:r>
                </w:p>
              </w:tc>
            </w:tr>
            <w:tr w:rsidR="00113B6A" w14:paraId="6DF2F619" w14:textId="77777777">
              <w:tc>
                <w:tcPr>
                  <w:tcW w:w="2880" w:type="dxa"/>
                  <w:vAlign w:val="bottom"/>
                </w:tcPr>
                <w:p w14:paraId="0C36612D" w14:textId="77777777" w:rsidR="00113B6A" w:rsidRDefault="00113B6A" w:rsidP="00173BDA">
                  <w:pPr>
                    <w:pStyle w:val="TableText"/>
                  </w:pPr>
                  <w:r>
                    <w:t>Crossmatch Not Required</w:t>
                  </w:r>
                </w:p>
              </w:tc>
              <w:tc>
                <w:tcPr>
                  <w:tcW w:w="2880" w:type="dxa"/>
                  <w:vAlign w:val="bottom"/>
                </w:tcPr>
                <w:p w14:paraId="1D3AA5AF" w14:textId="77777777" w:rsidR="00113B6A" w:rsidRDefault="00113B6A" w:rsidP="00173BDA">
                  <w:pPr>
                    <w:pStyle w:val="TableText"/>
                  </w:pPr>
                  <w:r>
                    <w:t>Not Required</w:t>
                  </w:r>
                </w:p>
              </w:tc>
            </w:tr>
          </w:tbl>
          <w:p w14:paraId="1CD820E2" w14:textId="77777777" w:rsidR="00113B6A" w:rsidRDefault="00113B6A" w:rsidP="00173BDA">
            <w:pPr>
              <w:pStyle w:val="TableText"/>
            </w:pPr>
          </w:p>
          <w:p w14:paraId="2A72450F" w14:textId="77777777" w:rsidR="00113B6A" w:rsidRPr="00113B6A" w:rsidRDefault="00113B6A" w:rsidP="00303708">
            <w:pPr>
              <w:pStyle w:val="TableText"/>
              <w:rPr>
                <w:rFonts w:cs="Arial"/>
                <w:vanish/>
                <w:color w:val="0000FF"/>
              </w:rPr>
            </w:pPr>
            <w:r>
              <w:t>VBECS prints “Emergency Issue” in the TR section of the form.</w:t>
            </w:r>
          </w:p>
        </w:tc>
      </w:tr>
      <w:tr w:rsidR="00173BDA" w14:paraId="4F85980F" w14:textId="77777777" w:rsidTr="004A7B44">
        <w:trPr>
          <w:cantSplit/>
        </w:trPr>
        <w:tc>
          <w:tcPr>
            <w:tcW w:w="780" w:type="dxa"/>
            <w:tcBorders>
              <w:top w:val="single" w:sz="4" w:space="0" w:color="auto"/>
              <w:left w:val="single" w:sz="4" w:space="0" w:color="auto"/>
              <w:bottom w:val="single" w:sz="4" w:space="0" w:color="auto"/>
              <w:right w:val="single" w:sz="4" w:space="0" w:color="auto"/>
            </w:tcBorders>
          </w:tcPr>
          <w:p w14:paraId="590749A6" w14:textId="77777777" w:rsidR="00173BD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07A1484A" w14:textId="77777777" w:rsidR="00173BDA" w:rsidRDefault="00173BDA" w:rsidP="00173BDA">
            <w:pPr>
              <w:pStyle w:val="TableText"/>
            </w:pPr>
            <w:r w:rsidRPr="00C82886">
              <w:rPr>
                <w:vanish/>
                <w:szCs w:val="18"/>
              </w:rPr>
              <w:t xml:space="preserve">BR_44.05 </w:t>
            </w:r>
            <w:r>
              <w:t>When blood products are emergency issued (</w:t>
            </w:r>
            <w:r w:rsidR="00C82886">
              <w:t xml:space="preserve">units has an </w:t>
            </w:r>
            <w:r w:rsidR="00CF2D0E">
              <w:t>emergency issue” order indicator</w:t>
            </w:r>
            <w:r w:rsidR="00C82886">
              <w:t xml:space="preserve">, </w:t>
            </w:r>
            <w:r>
              <w:t>or the testing is incomplete or inconclusive on the current specimen), the remarks section of the Blood Transfusion Record Form</w:t>
            </w:r>
            <w:r w:rsidR="00C82886">
              <w:t xml:space="preserve"> includes</w:t>
            </w:r>
            <w:r>
              <w:t xml:space="preserve"> “This unit is issued for transfusion BEFORE the completion of required compatibility testing. The blood bank staff will continue to test the compatibility of the unit using the current patient specimen. If you are alerted to a unit’s incompatibility by the blood bank, stop the transfusion immediately.”</w:t>
            </w:r>
          </w:p>
          <w:p w14:paraId="515EF056" w14:textId="77777777" w:rsidR="00173BDA" w:rsidRDefault="00173BDA" w:rsidP="00C82886">
            <w:pPr>
              <w:pStyle w:val="TableText"/>
            </w:pPr>
          </w:p>
          <w:p w14:paraId="4236E896" w14:textId="77777777" w:rsidR="00173BDA" w:rsidRDefault="00C82886" w:rsidP="00C82886">
            <w:pPr>
              <w:pStyle w:val="TableText"/>
              <w:rPr>
                <w:rFonts w:cs="Arial"/>
                <w:vanish/>
              </w:rPr>
            </w:pPr>
            <w:r>
              <w:t>When</w:t>
            </w:r>
            <w:r w:rsidR="00173BDA">
              <w:t xml:space="preserve"> “***” prints for the patient ABO/Rh and crossmatch, </w:t>
            </w:r>
            <w:r w:rsidR="002036D0">
              <w:t>the form includes</w:t>
            </w:r>
            <w:r w:rsidR="00173BDA">
              <w:t xml:space="preserve"> “Specimen testing incomplete at time of issue</w:t>
            </w:r>
            <w:r>
              <w:t>.</w:t>
            </w:r>
            <w:r w:rsidR="00173BDA">
              <w:t>”</w:t>
            </w:r>
          </w:p>
        </w:tc>
      </w:tr>
      <w:tr w:rsidR="00173BDA" w14:paraId="5FFCD5B3" w14:textId="77777777" w:rsidTr="004A7B44">
        <w:trPr>
          <w:cantSplit/>
        </w:trPr>
        <w:tc>
          <w:tcPr>
            <w:tcW w:w="780" w:type="dxa"/>
            <w:tcBorders>
              <w:top w:val="single" w:sz="4" w:space="0" w:color="auto"/>
              <w:left w:val="single" w:sz="4" w:space="0" w:color="auto"/>
              <w:bottom w:val="single" w:sz="4" w:space="0" w:color="auto"/>
              <w:right w:val="single" w:sz="4" w:space="0" w:color="auto"/>
            </w:tcBorders>
          </w:tcPr>
          <w:p w14:paraId="532761EC" w14:textId="77777777" w:rsidR="00173BDA" w:rsidRDefault="00173BDA" w:rsidP="00303708">
            <w:pPr>
              <w:pStyle w:val="TableText"/>
            </w:pPr>
            <w:r>
              <w:t>5</w:t>
            </w:r>
          </w:p>
        </w:tc>
        <w:tc>
          <w:tcPr>
            <w:tcW w:w="8580" w:type="dxa"/>
            <w:tcBorders>
              <w:top w:val="single" w:sz="4" w:space="0" w:color="auto"/>
              <w:left w:val="single" w:sz="4" w:space="0" w:color="auto"/>
              <w:bottom w:val="single" w:sz="4" w:space="0" w:color="auto"/>
              <w:right w:val="single" w:sz="4" w:space="0" w:color="auto"/>
            </w:tcBorders>
          </w:tcPr>
          <w:p w14:paraId="28E478D9" w14:textId="77777777" w:rsidR="00173BDA" w:rsidRPr="00173BDA" w:rsidRDefault="00173BDA" w:rsidP="00003BE9">
            <w:pPr>
              <w:pStyle w:val="TableText"/>
            </w:pPr>
            <w:r w:rsidRPr="00CF2D0E">
              <w:rPr>
                <w:vanish/>
                <w:szCs w:val="18"/>
              </w:rPr>
              <w:t xml:space="preserve">BR_56.29 </w:t>
            </w:r>
            <w:r w:rsidRPr="00173BDA">
              <w:t xml:space="preserve">When a unit was issued and a conflicting test result found that indicates a potential unit incompatibility with the patient, such as a patient ABO/Rh discrepancy, the unit XM is incompatible with the patient, the patient ABS is positive, the patient DAT is positive, or the unit is antigen positive where antigen negative is required on the tested specimen, VBECS warns the user and instructs him to notify the physician of this potential problem immediately, according to hospital policy. VBECS warns the user during the execution of the various tests related to the compatibility of a blood unit and captures details for inclusion in an Exception Report (exception type: unit issued, testing problem). </w:t>
            </w:r>
          </w:p>
        </w:tc>
      </w:tr>
      <w:tr w:rsidR="00173BDA" w14:paraId="0B6E93BF" w14:textId="77777777" w:rsidTr="004A7B44">
        <w:trPr>
          <w:cantSplit/>
        </w:trPr>
        <w:tc>
          <w:tcPr>
            <w:tcW w:w="780" w:type="dxa"/>
            <w:tcBorders>
              <w:top w:val="single" w:sz="4" w:space="0" w:color="auto"/>
              <w:left w:val="single" w:sz="4" w:space="0" w:color="auto"/>
              <w:bottom w:val="single" w:sz="4" w:space="0" w:color="auto"/>
              <w:right w:val="single" w:sz="4" w:space="0" w:color="auto"/>
            </w:tcBorders>
          </w:tcPr>
          <w:p w14:paraId="019F2F10" w14:textId="77777777" w:rsidR="00173BDA" w:rsidRDefault="00173BDA" w:rsidP="00303708">
            <w:pPr>
              <w:pStyle w:val="TableText"/>
            </w:pPr>
            <w:r>
              <w:t>7</w:t>
            </w:r>
          </w:p>
        </w:tc>
        <w:tc>
          <w:tcPr>
            <w:tcW w:w="8580" w:type="dxa"/>
            <w:tcBorders>
              <w:top w:val="single" w:sz="4" w:space="0" w:color="auto"/>
              <w:left w:val="single" w:sz="4" w:space="0" w:color="auto"/>
              <w:bottom w:val="single" w:sz="4" w:space="0" w:color="auto"/>
              <w:right w:val="single" w:sz="4" w:space="0" w:color="auto"/>
            </w:tcBorders>
          </w:tcPr>
          <w:p w14:paraId="52DD3607" w14:textId="77777777" w:rsidR="00173BDA" w:rsidRDefault="00173BDA" w:rsidP="00303708">
            <w:pPr>
              <w:pStyle w:val="TableText"/>
            </w:pPr>
            <w:r w:rsidRPr="00651291">
              <w:rPr>
                <w:vanish/>
                <w:szCs w:val="18"/>
              </w:rPr>
              <w:t xml:space="preserve">BR_73.33 </w:t>
            </w:r>
            <w:r>
              <w:t xml:space="preserve">When the division is “full service” and a blood unit is ABO incompatible at issue based on the system interpretation of the current patient specimen’s ABO test result, VBECS emits an audible alert and warns that the unit is not ABO compatible with the patient’s current specimen results and asks whether he wishes to continue. </w:t>
            </w:r>
            <w:r w:rsidRPr="00173BDA">
              <w:t>No</w:t>
            </w:r>
            <w:r>
              <w:t xml:space="preserve"> clears the screen and allows the user to select another unit. </w:t>
            </w:r>
            <w:r w:rsidRPr="00173BDA">
              <w:t>Yes</w:t>
            </w:r>
            <w:r>
              <w:t xml:space="preserve"> requires a comment and </w:t>
            </w:r>
            <w:r w:rsidRPr="00014921">
              <w:t xml:space="preserve">captures details for inclusion in an Exception Report (exception type: </w:t>
            </w:r>
            <w:r>
              <w:t>ABO discrepant unit issue</w:t>
            </w:r>
            <w:r w:rsidRPr="00014921">
              <w:t>).</w:t>
            </w:r>
          </w:p>
        </w:tc>
      </w:tr>
    </w:tbl>
    <w:p w14:paraId="2C26C63A" w14:textId="77777777" w:rsidR="007A4F14" w:rsidRDefault="007A4F14">
      <w:pPr>
        <w:pStyle w:val="Heading2"/>
      </w:pPr>
    </w:p>
    <w:p w14:paraId="668F6F9E" w14:textId="77777777" w:rsidR="002A21AE" w:rsidRDefault="007A4F14">
      <w:pPr>
        <w:pStyle w:val="Heading2"/>
      </w:pPr>
      <w:r>
        <w:br w:type="page"/>
      </w:r>
      <w:bookmarkStart w:id="385" w:name="_Toc149064136"/>
      <w:r w:rsidR="002A21AE">
        <w:t>Return Issued Units To Blood Bank</w:t>
      </w:r>
      <w:bookmarkEnd w:id="385"/>
      <w:r w:rsidR="002A21AE" w:rsidRPr="007716F7">
        <w:rPr>
          <w:vanish/>
        </w:rPr>
        <w:fldChar w:fldCharType="begin"/>
      </w:r>
      <w:r w:rsidR="002A21AE" w:rsidRPr="007716F7">
        <w:rPr>
          <w:vanish/>
        </w:rPr>
        <w:instrText xml:space="preserve"> XE </w:instrText>
      </w:r>
      <w:r w:rsidR="00FA7E65" w:rsidRPr="007716F7">
        <w:rPr>
          <w:vanish/>
        </w:rPr>
        <w:instrText>“</w:instrText>
      </w:r>
      <w:r w:rsidR="002A21AE" w:rsidRPr="007716F7">
        <w:rPr>
          <w:vanish/>
        </w:rPr>
        <w:instrText>Return Issued Units To Blood Bank</w:instrText>
      </w:r>
      <w:r w:rsidR="00FA7E65" w:rsidRPr="007716F7">
        <w:rPr>
          <w:vanish/>
        </w:rPr>
        <w:instrText>”</w:instrText>
      </w:r>
      <w:r w:rsidR="002A21AE" w:rsidRPr="007716F7">
        <w:rPr>
          <w:vanish/>
        </w:rPr>
        <w:instrText xml:space="preserve"> </w:instrText>
      </w:r>
      <w:r w:rsidR="002A21AE" w:rsidRPr="007716F7">
        <w:rPr>
          <w:vanish/>
        </w:rPr>
        <w:fldChar w:fldCharType="end"/>
      </w:r>
      <w:r w:rsidR="002A21AE" w:rsidRPr="007716F7">
        <w:rPr>
          <w:vanish/>
        </w:rPr>
        <w:t xml:space="preserve"> UC_59</w:t>
      </w:r>
    </w:p>
    <w:p w14:paraId="27B9E45B" w14:textId="6BA1296E" w:rsidR="002A21AE" w:rsidRDefault="00783596" w:rsidP="00FA7E65">
      <w:pPr>
        <w:pStyle w:val="BodyText"/>
      </w:pPr>
      <w:r>
        <w:t xml:space="preserve">An issued </w:t>
      </w:r>
      <w:r w:rsidR="00A30DD1">
        <w:t xml:space="preserve">unit </w:t>
      </w:r>
      <w:r>
        <w:t>was returned to the blood bank in satisfactory condition after issue to a valid hospital location.</w:t>
      </w:r>
    </w:p>
    <w:p w14:paraId="20BF4B96" w14:textId="57A94386" w:rsidR="006A2DFC" w:rsidRPr="006F799E" w:rsidRDefault="006A2DFC" w:rsidP="00FA7E65">
      <w:pPr>
        <w:pStyle w:val="BodyText"/>
        <w:rPr>
          <w:vanish/>
        </w:rPr>
      </w:pPr>
      <w:r>
        <w:t xml:space="preserve">The user may enter a comment in the ‘Unit Return' comment context and a free text comment. The comment will be displayed in the Unit History Report, Issue Information section and the Issued/Returned </w:t>
      </w:r>
      <w:proofErr w:type="spellStart"/>
      <w:r>
        <w:t>Report.</w:t>
      </w:r>
      <w:r w:rsidR="002D072F">
        <w:rPr>
          <w:vanish/>
        </w:rPr>
        <w:t xml:space="preserve"> BR_59.15</w:t>
      </w:r>
    </w:p>
    <w:p w14:paraId="217A3660" w14:textId="77777777" w:rsidR="002A21AE" w:rsidRDefault="002A21AE">
      <w:pPr>
        <w:pStyle w:val="Heading4"/>
      </w:pPr>
      <w:r>
        <w:t>Assumptions</w:t>
      </w:r>
      <w:proofErr w:type="spellEnd"/>
      <w:r>
        <w:rPr>
          <w:b w:val="0"/>
        </w:rPr>
        <w:t xml:space="preserve"> </w:t>
      </w:r>
    </w:p>
    <w:p w14:paraId="6884C701" w14:textId="77777777" w:rsidR="002A21AE" w:rsidRDefault="002A21AE">
      <w:pPr>
        <w:pStyle w:val="ListBullet"/>
      </w:pPr>
      <w:r>
        <w:t>The user is logged into the division that contains the unit.</w:t>
      </w:r>
    </w:p>
    <w:p w14:paraId="48D3722A" w14:textId="77777777" w:rsidR="002A21AE" w:rsidRDefault="002A21AE">
      <w:pPr>
        <w:pStyle w:val="ListBullet"/>
      </w:pPr>
      <w:r>
        <w:t>The blood unit is in the “issued” status.</w:t>
      </w:r>
    </w:p>
    <w:p w14:paraId="72CF984F" w14:textId="77777777" w:rsidR="002A21AE" w:rsidRDefault="002A21AE">
      <w:pPr>
        <w:pStyle w:val="ListBullet"/>
      </w:pPr>
      <w:r>
        <w:t xml:space="preserve">The connection to </w:t>
      </w:r>
      <w:r w:rsidR="00CA0045" w:rsidRPr="00CA0045">
        <w:rPr>
          <w:bCs/>
        </w:rPr>
        <w:t>VistA</w:t>
      </w:r>
      <w:r>
        <w:t xml:space="preserve"> is active.</w:t>
      </w:r>
    </w:p>
    <w:p w14:paraId="211313D9" w14:textId="77777777" w:rsidR="002A21AE" w:rsidRDefault="002A21AE">
      <w:pPr>
        <w:pStyle w:val="Heading4"/>
      </w:pPr>
      <w:r>
        <w:t xml:space="preserve">Outcome </w:t>
      </w:r>
    </w:p>
    <w:p w14:paraId="73ED3D20" w14:textId="77777777" w:rsidR="002A21AE" w:rsidRDefault="002A21AE">
      <w:pPr>
        <w:pStyle w:val="ListBullet"/>
      </w:pPr>
      <w:r>
        <w:t xml:space="preserve">The unit is returned to a hospital location of a blood bank. </w:t>
      </w:r>
    </w:p>
    <w:p w14:paraId="6F4EF7E6" w14:textId="77777777" w:rsidR="002A21AE" w:rsidRDefault="002A21AE">
      <w:pPr>
        <w:pStyle w:val="ListBullet"/>
      </w:pPr>
      <w:r>
        <w:t>The unit retains its patient assignment at the time of issue when returned in satisfactory condition.</w:t>
      </w:r>
    </w:p>
    <w:p w14:paraId="43891563" w14:textId="77777777" w:rsidR="002A21AE" w:rsidRDefault="002A21AE">
      <w:pPr>
        <w:pStyle w:val="ListBullet"/>
      </w:pPr>
      <w:r>
        <w:t>The user may mark the unit “unsatisfactory” and quarantine the unit to generate an Exception Report, if needed per hospital policy.</w:t>
      </w:r>
    </w:p>
    <w:p w14:paraId="7D0640EA" w14:textId="77777777" w:rsidR="002A21AE" w:rsidRDefault="002A21AE">
      <w:pPr>
        <w:pStyle w:val="Heading4"/>
        <w:rPr>
          <w:b w:val="0"/>
        </w:rPr>
      </w:pPr>
      <w:r>
        <w:t>Limitations and Restrictions</w:t>
      </w:r>
      <w:r>
        <w:rPr>
          <w:b w:val="0"/>
        </w:rPr>
        <w:t xml:space="preserve"> </w:t>
      </w:r>
    </w:p>
    <w:p w14:paraId="73F55BEC" w14:textId="77777777" w:rsidR="002A21AE" w:rsidRDefault="002A21AE">
      <w:pPr>
        <w:pStyle w:val="ListBullet"/>
      </w:pPr>
      <w:r>
        <w:t>None</w:t>
      </w:r>
    </w:p>
    <w:p w14:paraId="26D463F2" w14:textId="77777777" w:rsidR="002A21AE" w:rsidRDefault="002A21AE">
      <w:pPr>
        <w:pStyle w:val="Heading4"/>
      </w:pPr>
      <w:r>
        <w:t xml:space="preserve">Additional Information </w:t>
      </w:r>
    </w:p>
    <w:p w14:paraId="3D0B1474" w14:textId="77777777" w:rsidR="002A21AE" w:rsidRDefault="002A21AE">
      <w:pPr>
        <w:pStyle w:val="ListBullet"/>
      </w:pPr>
      <w:r>
        <w:t>None</w:t>
      </w:r>
    </w:p>
    <w:p w14:paraId="6D1C824D" w14:textId="77777777" w:rsidR="002A21AE" w:rsidRDefault="002A21AE">
      <w:pPr>
        <w:pStyle w:val="Heading4"/>
        <w:rPr>
          <w:b w:val="0"/>
        </w:rPr>
      </w:pPr>
      <w:r>
        <w:t>User Roles with Access to This Option</w:t>
      </w:r>
      <w:r>
        <w:rPr>
          <w:b w:val="0"/>
        </w:rPr>
        <w:t xml:space="preserve"> </w:t>
      </w:r>
    </w:p>
    <w:p w14:paraId="79BFADD8" w14:textId="77777777" w:rsidR="002A21AE" w:rsidRDefault="00CF29CE">
      <w:pPr>
        <w:pStyle w:val="Roles"/>
        <w:rPr>
          <w:snapToGrid w:val="0"/>
        </w:rPr>
      </w:pPr>
      <w:r>
        <w:rPr>
          <w:snapToGrid w:val="0"/>
        </w:rPr>
        <w:t>All users</w:t>
      </w:r>
    </w:p>
    <w:p w14:paraId="497D2AA2" w14:textId="03509E88" w:rsidR="002A21AE" w:rsidRDefault="002A21AE">
      <w:pPr>
        <w:pStyle w:val="Heading4"/>
      </w:pPr>
      <w:r>
        <w:t>Return Issued Units To Blood Bank</w:t>
      </w:r>
    </w:p>
    <w:p w14:paraId="61D969BB" w14:textId="77777777" w:rsidR="002A21AE" w:rsidRDefault="00C41CB0" w:rsidP="00FA7E65">
      <w:pPr>
        <w:pStyle w:val="BodyText"/>
      </w:pPr>
      <w:r>
        <w:t xml:space="preserve">An issued </w:t>
      </w:r>
      <w:r w:rsidR="00932948">
        <w:t xml:space="preserve">unit </w:t>
      </w:r>
      <w:r w:rsidR="002A21AE">
        <w:t xml:space="preserve">was returned to the blood bank </w:t>
      </w:r>
      <w:r>
        <w:t xml:space="preserve">in satisfactory condition </w:t>
      </w:r>
      <w:r w:rsidR="002A21AE">
        <w:t xml:space="preserve">after issue to a valid hospital location. The user </w:t>
      </w:r>
      <w:r>
        <w:t xml:space="preserve">updates </w:t>
      </w:r>
      <w:r w:rsidR="008E55B7">
        <w:t xml:space="preserve">VBECS </w:t>
      </w:r>
      <w:r>
        <w:t>to reflect the change in location</w:t>
      </w:r>
      <w:r w:rsidR="002A21AE">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E6EE431" w14:textId="77777777">
        <w:trPr>
          <w:cantSplit/>
          <w:tblHeader/>
        </w:trPr>
        <w:tc>
          <w:tcPr>
            <w:tcW w:w="3240" w:type="dxa"/>
            <w:shd w:val="pct30" w:color="auto" w:fill="FFFFFF"/>
            <w:vAlign w:val="bottom"/>
          </w:tcPr>
          <w:p w14:paraId="6CBA25D0" w14:textId="77777777" w:rsidR="002A21AE" w:rsidRDefault="002A21AE">
            <w:pPr>
              <w:pStyle w:val="TableText"/>
              <w:rPr>
                <w:b/>
              </w:rPr>
            </w:pPr>
            <w:r>
              <w:rPr>
                <w:b/>
              </w:rPr>
              <w:t>User Action</w:t>
            </w:r>
          </w:p>
        </w:tc>
        <w:tc>
          <w:tcPr>
            <w:tcW w:w="6120" w:type="dxa"/>
            <w:shd w:val="pct30" w:color="auto" w:fill="FFFFFF"/>
            <w:vAlign w:val="bottom"/>
          </w:tcPr>
          <w:p w14:paraId="3C499892" w14:textId="77777777" w:rsidR="002A21AE" w:rsidRDefault="002A21AE">
            <w:pPr>
              <w:pStyle w:val="TableText"/>
              <w:rPr>
                <w:b/>
              </w:rPr>
            </w:pPr>
            <w:r>
              <w:rPr>
                <w:b/>
              </w:rPr>
              <w:t>VBECS</w:t>
            </w:r>
          </w:p>
        </w:tc>
      </w:tr>
      <w:tr w:rsidR="002A21AE" w14:paraId="127657F8" w14:textId="77777777">
        <w:tc>
          <w:tcPr>
            <w:tcW w:w="3240" w:type="dxa"/>
          </w:tcPr>
          <w:p w14:paraId="2F350CC2" w14:textId="77777777" w:rsidR="002A21AE" w:rsidRDefault="002A21AE">
            <w:pPr>
              <w:pStyle w:val="TableTextNumbers"/>
            </w:pPr>
            <w:r>
              <w:t xml:space="preserve">Select </w:t>
            </w:r>
            <w:r>
              <w:rPr>
                <w:b/>
              </w:rPr>
              <w:t>Blood Units</w:t>
            </w:r>
            <w:r>
              <w:t xml:space="preserve"> or </w:t>
            </w:r>
            <w:r>
              <w:rPr>
                <w:b/>
              </w:rPr>
              <w:t>Patients</w:t>
            </w:r>
            <w:r>
              <w:t xml:space="preserve"> from the main menu. </w:t>
            </w:r>
          </w:p>
          <w:p w14:paraId="21374A1E" w14:textId="77777777" w:rsidR="002A21AE" w:rsidRDefault="002A21AE">
            <w:pPr>
              <w:pStyle w:val="TableTextNumbersContinued"/>
            </w:pPr>
          </w:p>
          <w:p w14:paraId="62AB720C" w14:textId="2E60CFB3" w:rsidR="002A21AE" w:rsidRDefault="002A21AE" w:rsidP="006F799E">
            <w:pPr>
              <w:pStyle w:val="TableTextNumbersContinued"/>
            </w:pPr>
            <w:r>
              <w:t xml:space="preserve">Select </w:t>
            </w:r>
            <w:r>
              <w:rPr>
                <w:b/>
              </w:rPr>
              <w:t>Return Issued Units To Blood Bank</w:t>
            </w:r>
            <w:r>
              <w:t>.</w:t>
            </w:r>
          </w:p>
        </w:tc>
        <w:tc>
          <w:tcPr>
            <w:tcW w:w="6120" w:type="dxa"/>
          </w:tcPr>
          <w:p w14:paraId="3568D9C0" w14:textId="106FDC3D" w:rsidR="002A21AE" w:rsidRDefault="002A21AE" w:rsidP="006F799E">
            <w:pPr>
              <w:pStyle w:val="TableTextBullet"/>
            </w:pPr>
            <w:r>
              <w:t>Displays options for processing blood units or for processing patient-related functions.</w:t>
            </w:r>
          </w:p>
        </w:tc>
      </w:tr>
      <w:tr w:rsidR="002A21AE" w14:paraId="53079801" w14:textId="77777777" w:rsidTr="006F799E">
        <w:trPr>
          <w:cantSplit/>
        </w:trPr>
        <w:tc>
          <w:tcPr>
            <w:tcW w:w="3240" w:type="dxa"/>
            <w:tcBorders>
              <w:top w:val="single" w:sz="4" w:space="0" w:color="auto"/>
              <w:left w:val="single" w:sz="4" w:space="0" w:color="auto"/>
              <w:bottom w:val="single" w:sz="4" w:space="0" w:color="auto"/>
              <w:right w:val="single" w:sz="4" w:space="0" w:color="auto"/>
            </w:tcBorders>
          </w:tcPr>
          <w:p w14:paraId="7E50E004" w14:textId="77777777" w:rsidR="002A21AE" w:rsidRDefault="002A21AE">
            <w:pPr>
              <w:pStyle w:val="TableTextNumbers"/>
            </w:pPr>
            <w:r>
              <w:t xml:space="preserve">Enter the patient data. </w:t>
            </w:r>
          </w:p>
        </w:tc>
        <w:tc>
          <w:tcPr>
            <w:tcW w:w="6120" w:type="dxa"/>
            <w:tcBorders>
              <w:top w:val="single" w:sz="4" w:space="0" w:color="auto"/>
              <w:left w:val="single" w:sz="4" w:space="0" w:color="auto"/>
              <w:bottom w:val="single" w:sz="4" w:space="0" w:color="auto"/>
              <w:right w:val="single" w:sz="4" w:space="0" w:color="auto"/>
            </w:tcBorders>
          </w:tcPr>
          <w:p w14:paraId="7FAEF29C" w14:textId="77777777" w:rsidR="002A21AE" w:rsidRDefault="002A21AE">
            <w:pPr>
              <w:pStyle w:val="TableTextBullet"/>
            </w:pPr>
            <w:r>
              <w:t>Prompts the user to enter the unit ID and product code or enter patient data to retrieve the records for the units issued.</w:t>
            </w:r>
          </w:p>
          <w:p w14:paraId="759E3FEF" w14:textId="77777777" w:rsidR="002A21AE" w:rsidRDefault="002A21AE">
            <w:pPr>
              <w:pStyle w:val="TableTextBullet"/>
              <w:rPr>
                <w:rFonts w:cs="Arial"/>
                <w:szCs w:val="18"/>
              </w:rPr>
            </w:pPr>
            <w:r>
              <w:t>Displays an option to search for or enter a patient or unit based on the original menu option selected.</w:t>
            </w:r>
          </w:p>
        </w:tc>
      </w:tr>
      <w:tr w:rsidR="002A21AE" w14:paraId="4C8775CB" w14:textId="77777777">
        <w:tc>
          <w:tcPr>
            <w:tcW w:w="3240" w:type="dxa"/>
            <w:tcBorders>
              <w:top w:val="single" w:sz="4" w:space="0" w:color="auto"/>
              <w:left w:val="single" w:sz="4" w:space="0" w:color="auto"/>
              <w:bottom w:val="single" w:sz="4" w:space="0" w:color="auto"/>
              <w:right w:val="single" w:sz="4" w:space="0" w:color="auto"/>
            </w:tcBorders>
          </w:tcPr>
          <w:p w14:paraId="655F32A8" w14:textId="77777777" w:rsidR="002A21AE" w:rsidRDefault="002A21AE">
            <w:pPr>
              <w:pStyle w:val="TableTextNumbers"/>
            </w:pPr>
            <w:r>
              <w:t>Select a patient or unit.</w:t>
            </w:r>
          </w:p>
        </w:tc>
        <w:tc>
          <w:tcPr>
            <w:tcW w:w="6120" w:type="dxa"/>
            <w:tcBorders>
              <w:top w:val="single" w:sz="4" w:space="0" w:color="auto"/>
              <w:left w:val="single" w:sz="4" w:space="0" w:color="auto"/>
              <w:bottom w:val="single" w:sz="4" w:space="0" w:color="auto"/>
              <w:right w:val="single" w:sz="4" w:space="0" w:color="auto"/>
            </w:tcBorders>
          </w:tcPr>
          <w:p w14:paraId="10273E23" w14:textId="77777777" w:rsidR="002A21AE" w:rsidRDefault="002A21AE">
            <w:pPr>
              <w:pStyle w:val="TableTextBullet"/>
              <w:rPr>
                <w:rFonts w:cs="Arial"/>
                <w:szCs w:val="18"/>
              </w:rPr>
            </w:pPr>
            <w:r>
              <w:t>Lists the units in “issued” status that are assigned to the patient.</w:t>
            </w:r>
          </w:p>
        </w:tc>
      </w:tr>
      <w:tr w:rsidR="003F62EC" w14:paraId="01E19BE1" w14:textId="77777777" w:rsidTr="006C058D">
        <w:trPr>
          <w:cantSplit/>
        </w:trPr>
        <w:tc>
          <w:tcPr>
            <w:tcW w:w="3240" w:type="dxa"/>
            <w:tcBorders>
              <w:top w:val="single" w:sz="4" w:space="0" w:color="auto"/>
              <w:left w:val="single" w:sz="4" w:space="0" w:color="auto"/>
              <w:bottom w:val="single" w:sz="4" w:space="0" w:color="auto"/>
              <w:right w:val="single" w:sz="4" w:space="0" w:color="auto"/>
            </w:tcBorders>
          </w:tcPr>
          <w:p w14:paraId="26CAA917" w14:textId="520099B8" w:rsidR="003F62EC" w:rsidRDefault="003F62EC">
            <w:pPr>
              <w:pStyle w:val="TableTextNumbers"/>
            </w:pPr>
            <w:r>
              <w:t>Enters a return date and time (or accepts the default) and selects a returned by user (or accepts the default).</w:t>
            </w:r>
          </w:p>
        </w:tc>
        <w:tc>
          <w:tcPr>
            <w:tcW w:w="6120" w:type="dxa"/>
            <w:tcBorders>
              <w:top w:val="single" w:sz="4" w:space="0" w:color="auto"/>
              <w:left w:val="single" w:sz="4" w:space="0" w:color="auto"/>
              <w:bottom w:val="single" w:sz="4" w:space="0" w:color="auto"/>
              <w:right w:val="single" w:sz="4" w:space="0" w:color="auto"/>
            </w:tcBorders>
          </w:tcPr>
          <w:p w14:paraId="2096B4C4" w14:textId="77777777" w:rsidR="003F62EC" w:rsidRDefault="003F62EC" w:rsidP="003F62EC">
            <w:pPr>
              <w:pStyle w:val="TableTextBullet"/>
            </w:pPr>
            <w:r>
              <w:t>Displays the return date and time and the name of the user who returned the issued unit.</w:t>
            </w:r>
          </w:p>
          <w:p w14:paraId="50A1787A" w14:textId="77777777" w:rsidR="003F62EC" w:rsidRDefault="003F62EC" w:rsidP="003F62EC">
            <w:pPr>
              <w:pStyle w:val="TableText"/>
            </w:pPr>
          </w:p>
          <w:p w14:paraId="5D97CB47" w14:textId="77777777" w:rsidR="003F62EC" w:rsidRDefault="003F62EC" w:rsidP="003F62EC">
            <w:pPr>
              <w:pStyle w:val="TableText"/>
              <w:rPr>
                <w:b/>
                <w:bCs/>
                <w:szCs w:val="18"/>
              </w:rPr>
            </w:pPr>
            <w:r>
              <w:rPr>
                <w:b/>
                <w:bCs/>
                <w:szCs w:val="18"/>
              </w:rPr>
              <w:t>NOTES</w:t>
            </w:r>
          </w:p>
          <w:p w14:paraId="235E5AFB" w14:textId="77777777" w:rsidR="003F62EC" w:rsidRDefault="003F62EC" w:rsidP="003F62EC">
            <w:pPr>
              <w:pStyle w:val="NotesText"/>
            </w:pPr>
          </w:p>
          <w:p w14:paraId="665563BA" w14:textId="77777777" w:rsidR="003F62EC" w:rsidRDefault="003F62EC" w:rsidP="003F62EC">
            <w:pPr>
              <w:pStyle w:val="NotesText"/>
            </w:pPr>
            <w:r>
              <w:t>The user may edit the return date and time (default: current date and time) to a past date and time.</w:t>
            </w:r>
          </w:p>
          <w:p w14:paraId="4A369BFD" w14:textId="77777777" w:rsidR="003F62EC" w:rsidRDefault="003F62EC" w:rsidP="003F62EC">
            <w:pPr>
              <w:pStyle w:val="NotesText"/>
            </w:pPr>
          </w:p>
          <w:p w14:paraId="47C59493" w14:textId="74DFD68C" w:rsidR="003F62EC" w:rsidRDefault="003F62EC" w:rsidP="006F799E">
            <w:pPr>
              <w:pStyle w:val="NotesText"/>
            </w:pPr>
            <w:r>
              <w:rPr>
                <w:rFonts w:cs="Arial"/>
                <w:vanish/>
              </w:rPr>
              <w:t xml:space="preserve">BR_59.01 </w:t>
            </w:r>
            <w:r>
              <w:t>VBECS assigns the same return date and time to all units processed in a batch.</w:t>
            </w:r>
          </w:p>
        </w:tc>
      </w:tr>
      <w:tr w:rsidR="002A21AE" w14:paraId="09F4DB35" w14:textId="77777777">
        <w:tc>
          <w:tcPr>
            <w:tcW w:w="3240" w:type="dxa"/>
          </w:tcPr>
          <w:p w14:paraId="7ECE39E4" w14:textId="085570D2" w:rsidR="00323155" w:rsidRDefault="005A68EB" w:rsidP="00323155">
            <w:pPr>
              <w:pStyle w:val="TableTextNumbers"/>
            </w:pPr>
            <w:r>
              <w:t>Select one or more units to return from issue.</w:t>
            </w:r>
            <w:r>
              <w:br/>
            </w:r>
            <w:r>
              <w:br/>
            </w:r>
            <w:r w:rsidR="00323155">
              <w:t>Scan the unit ID and product code, or click one or more check boxes to select units to return from issue.</w:t>
            </w:r>
          </w:p>
        </w:tc>
        <w:tc>
          <w:tcPr>
            <w:tcW w:w="6120" w:type="dxa"/>
          </w:tcPr>
          <w:p w14:paraId="1B8F9EE1" w14:textId="6FCEE42B" w:rsidR="005A68EB" w:rsidRPr="005A68EB" w:rsidRDefault="005A68EB">
            <w:pPr>
              <w:pStyle w:val="TableTextBullet"/>
              <w:rPr>
                <w:rFonts w:cs="Arial"/>
              </w:rPr>
            </w:pPr>
            <w:r>
              <w:t>Displays the units selected for return for review and allows the user to select or deselect additional units.</w:t>
            </w:r>
          </w:p>
          <w:p w14:paraId="488FD95D" w14:textId="3277088C" w:rsidR="002A21AE" w:rsidRDefault="002A21AE">
            <w:pPr>
              <w:pStyle w:val="TableTextBullet"/>
              <w:rPr>
                <w:rFonts w:cs="Arial"/>
              </w:rPr>
            </w:pPr>
            <w:r>
              <w:t>Displays the data entered and allows the user to enter additional units and indicate that he completed the entry for this transaction.</w:t>
            </w:r>
          </w:p>
          <w:p w14:paraId="5192903D" w14:textId="2F1C2D12" w:rsidR="002A21AE" w:rsidRDefault="002A21AE">
            <w:pPr>
              <w:pStyle w:val="TableTextBullet"/>
              <w:rPr>
                <w:rFonts w:cs="Arial"/>
              </w:rPr>
            </w:pPr>
            <w:r>
              <w:rPr>
                <w:rFonts w:cs="Arial"/>
              </w:rPr>
              <w:t>Displays data for each unit entered.</w:t>
            </w:r>
          </w:p>
          <w:p w14:paraId="66F9DC62" w14:textId="3075813A" w:rsidR="005A68EB" w:rsidRDefault="005A68EB">
            <w:pPr>
              <w:pStyle w:val="TableTextBullet"/>
              <w:rPr>
                <w:rFonts w:cs="Arial"/>
              </w:rPr>
            </w:pPr>
            <w:r>
              <w:rPr>
                <w:rFonts w:cs="Arial"/>
              </w:rPr>
              <w:t>Allows the user to enter a comment per unit.</w:t>
            </w:r>
          </w:p>
          <w:p w14:paraId="7EB44AA0" w14:textId="77777777" w:rsidR="002A21AE" w:rsidRDefault="002A21AE">
            <w:pPr>
              <w:pStyle w:val="TableText"/>
            </w:pPr>
          </w:p>
          <w:p w14:paraId="659FCD7D" w14:textId="2AEFCD0D" w:rsidR="002A21AE" w:rsidRDefault="002A21AE">
            <w:pPr>
              <w:pStyle w:val="TableText"/>
              <w:rPr>
                <w:b/>
                <w:bCs/>
                <w:szCs w:val="18"/>
              </w:rPr>
            </w:pPr>
            <w:r>
              <w:rPr>
                <w:b/>
                <w:bCs/>
                <w:szCs w:val="18"/>
              </w:rPr>
              <w:t>NOTES</w:t>
            </w:r>
          </w:p>
          <w:p w14:paraId="3E9B2DDF" w14:textId="77777777" w:rsidR="002A21AE" w:rsidRDefault="002A21AE">
            <w:pPr>
              <w:pStyle w:val="NotesText"/>
            </w:pPr>
          </w:p>
          <w:p w14:paraId="623B8858" w14:textId="77777777" w:rsidR="002A21AE" w:rsidRDefault="002A21AE">
            <w:pPr>
              <w:pStyle w:val="NotesText"/>
            </w:pPr>
            <w:r w:rsidRPr="0017641A">
              <w:rPr>
                <w:rFonts w:cs="Arial"/>
                <w:vanish/>
                <w:color w:val="0000FF"/>
              </w:rPr>
              <w:t>BR_59.03</w:t>
            </w:r>
            <w:r>
              <w:rPr>
                <w:rFonts w:cs="Arial"/>
                <w:vanish/>
              </w:rPr>
              <w:t xml:space="preserve"> </w:t>
            </w:r>
            <w:r>
              <w:t>When a selected unit is not in “issued” status, VBECS warns the user, clears the unit field, and allows the user to enter a different unit number.</w:t>
            </w:r>
          </w:p>
          <w:p w14:paraId="20EA8AFC" w14:textId="77777777" w:rsidR="002A21AE" w:rsidRDefault="002A21AE">
            <w:pPr>
              <w:pStyle w:val="NotesText"/>
            </w:pPr>
          </w:p>
          <w:p w14:paraId="60E2B86A" w14:textId="77777777" w:rsidR="002A21AE" w:rsidRDefault="002A21AE">
            <w:pPr>
              <w:pStyle w:val="NotesText"/>
            </w:pPr>
            <w:r>
              <w:rPr>
                <w:rFonts w:cs="Arial"/>
                <w:vanish/>
              </w:rPr>
              <w:t xml:space="preserve">BR_59.14 </w:t>
            </w:r>
            <w:r>
              <w:t>VBECS allows the user to select multiple units to create a worklist for simultaneous processing.</w:t>
            </w:r>
          </w:p>
          <w:p w14:paraId="74C9B6A9" w14:textId="77777777" w:rsidR="002A21AE" w:rsidRDefault="002A21AE">
            <w:pPr>
              <w:pStyle w:val="NotesText"/>
            </w:pPr>
          </w:p>
          <w:p w14:paraId="797170C5" w14:textId="77777777" w:rsidR="002A21AE" w:rsidRDefault="002A21AE">
            <w:pPr>
              <w:pStyle w:val="NotesText"/>
            </w:pPr>
            <w:r>
              <w:rPr>
                <w:rFonts w:cs="Arial"/>
                <w:vanish/>
              </w:rPr>
              <w:t xml:space="preserve">BR_59.06 </w:t>
            </w:r>
            <w:r>
              <w:t xml:space="preserve">VBECS requires the user to enter a “returned-from” location (default: “issue-to” location) and allows the user to change this location to a different valid hospital location. To do this, click the </w:t>
            </w:r>
            <w:r w:rsidR="00A6373D">
              <w:rPr>
                <w:b/>
              </w:rPr>
              <w:t>find</w:t>
            </w:r>
            <w:r>
              <w:rPr>
                <w:b/>
              </w:rPr>
              <w:t xml:space="preserve"> </w:t>
            </w:r>
            <w:r w:rsidRPr="00D1100E">
              <w:t>button</w:t>
            </w:r>
            <w:r>
              <w:t xml:space="preserve"> and select a hospital location.</w:t>
            </w:r>
          </w:p>
          <w:p w14:paraId="10002DAE" w14:textId="77777777" w:rsidR="00990103" w:rsidRDefault="00990103">
            <w:pPr>
              <w:pStyle w:val="NotesText"/>
              <w:rPr>
                <w:rFonts w:cs="Arial"/>
              </w:rPr>
            </w:pPr>
          </w:p>
          <w:p w14:paraId="71E52647" w14:textId="77777777" w:rsidR="00990103" w:rsidRPr="00990103" w:rsidRDefault="00990103" w:rsidP="00990103">
            <w:pPr>
              <w:pStyle w:val="NotesText"/>
            </w:pPr>
            <w:r w:rsidRPr="00990103">
              <w:rPr>
                <w:vanish/>
              </w:rPr>
              <w:t xml:space="preserve">BR_59.04 </w:t>
            </w:r>
            <w:r w:rsidRPr="00990103">
              <w:t xml:space="preserve">The system provides an audible alert and displays a warning message to the user for each unit returned after issue to a non-remote storage location: "Unit has been out of controlled storage. Check division policy for unit acceptability." The system will require the user to enter a comment regarding the return ("unit return" context). The system will create an exception report entry for the unit accepted from prolonged issue in uncontrolled storage. Exception report entry details include:  </w:t>
            </w:r>
          </w:p>
          <w:p w14:paraId="7EFA693A" w14:textId="0D86AAC0" w:rsidR="00990103" w:rsidRPr="001C1687" w:rsidRDefault="00D77462" w:rsidP="00925CAD">
            <w:pPr>
              <w:pStyle w:val="ListParagraph"/>
              <w:numPr>
                <w:ilvl w:val="0"/>
                <w:numId w:val="55"/>
              </w:numPr>
              <w:spacing w:after="0"/>
              <w:rPr>
                <w:rFonts w:ascii="Arial" w:hAnsi="Arial" w:cs="Arial"/>
                <w:sz w:val="18"/>
                <w:szCs w:val="18"/>
              </w:rPr>
            </w:pPr>
            <w:r>
              <w:rPr>
                <w:rFonts w:ascii="Arial" w:hAnsi="Arial" w:cs="Arial"/>
                <w:sz w:val="18"/>
                <w:szCs w:val="18"/>
              </w:rPr>
              <w:t>Exception</w:t>
            </w:r>
            <w:r w:rsidR="00990103" w:rsidRPr="001C1687">
              <w:rPr>
                <w:rFonts w:ascii="Arial" w:hAnsi="Arial" w:cs="Arial"/>
                <w:sz w:val="18"/>
                <w:szCs w:val="18"/>
              </w:rPr>
              <w:t xml:space="preserve"> Type: Unit out of controlled storage found acceptable</w:t>
            </w:r>
          </w:p>
          <w:p w14:paraId="67A3C496" w14:textId="530CE110"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Patient Name</w:t>
            </w:r>
          </w:p>
          <w:p w14:paraId="10B9ABB3" w14:textId="30231741" w:rsidR="00990103"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Patient ID</w:t>
            </w:r>
          </w:p>
          <w:p w14:paraId="3DFCB982" w14:textId="4D3FD66E"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Patient ABO/Rh</w:t>
            </w:r>
          </w:p>
          <w:p w14:paraId="23659502" w14:textId="25120E2F" w:rsidR="00990103"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Returned Unit ID</w:t>
            </w:r>
          </w:p>
          <w:p w14:paraId="0B122CF8" w14:textId="40B6DAD8"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Returned Unit Product Short Name</w:t>
            </w:r>
          </w:p>
          <w:p w14:paraId="5353E542" w14:textId="41F66C08"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Returned Unit ABO/Rh</w:t>
            </w:r>
          </w:p>
          <w:p w14:paraId="548EF389" w14:textId="259B4766"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Returned Unit Expiration Date</w:t>
            </w:r>
          </w:p>
          <w:p w14:paraId="0B21B174" w14:textId="510EDB63"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Issue-to Location</w:t>
            </w:r>
          </w:p>
          <w:p w14:paraId="26A16B16" w14:textId="42033BCF" w:rsidR="00990103" w:rsidRPr="00456819"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Visual Inspection Information</w:t>
            </w:r>
            <w:r w:rsidR="005B025F">
              <w:rPr>
                <w:rFonts w:ascii="Arial" w:hAnsi="Arial" w:cs="Arial"/>
                <w:sz w:val="18"/>
                <w:szCs w:val="18"/>
              </w:rPr>
              <w:t xml:space="preserve"> (Note that </w:t>
            </w:r>
            <w:r w:rsidR="00456819">
              <w:rPr>
                <w:rFonts w:ascii="Arial" w:hAnsi="Arial" w:cs="Arial"/>
                <w:sz w:val="18"/>
                <w:szCs w:val="18"/>
              </w:rPr>
              <w:t>although the exception type display on the report is “</w:t>
            </w:r>
            <w:r w:rsidR="00456819" w:rsidRPr="001C1687">
              <w:rPr>
                <w:rFonts w:ascii="Arial" w:hAnsi="Arial" w:cs="Arial"/>
                <w:sz w:val="18"/>
                <w:szCs w:val="18"/>
              </w:rPr>
              <w:t>Unit out of controlled storage found acceptable</w:t>
            </w:r>
            <w:r w:rsidR="00456819">
              <w:rPr>
                <w:rFonts w:ascii="Arial" w:hAnsi="Arial" w:cs="Arial"/>
                <w:sz w:val="18"/>
                <w:szCs w:val="18"/>
              </w:rPr>
              <w:t>”, the Visual Inspection Information will display “Unsatisfactory” if entered by the user in the comment field.</w:t>
            </w:r>
          </w:p>
          <w:p w14:paraId="1995EA76" w14:textId="111A3BAF"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Required Comment</w:t>
            </w:r>
          </w:p>
          <w:p w14:paraId="27505E93" w14:textId="367066FE"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Processing Tech Name</w:t>
            </w:r>
          </w:p>
          <w:p w14:paraId="5148FF99" w14:textId="112BDD84"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Log-in Tech Name</w:t>
            </w:r>
          </w:p>
          <w:p w14:paraId="78827462" w14:textId="5ADDD01E" w:rsidR="00990103" w:rsidRPr="001C1687" w:rsidRDefault="00990103" w:rsidP="00925CAD">
            <w:pPr>
              <w:pStyle w:val="ListParagraph"/>
              <w:numPr>
                <w:ilvl w:val="0"/>
                <w:numId w:val="55"/>
              </w:numPr>
              <w:spacing w:after="0"/>
              <w:rPr>
                <w:rFonts w:ascii="Arial" w:hAnsi="Arial" w:cs="Arial"/>
                <w:sz w:val="18"/>
                <w:szCs w:val="18"/>
              </w:rPr>
            </w:pPr>
            <w:r w:rsidRPr="001C1687">
              <w:rPr>
                <w:rFonts w:ascii="Arial" w:hAnsi="Arial" w:cs="Arial"/>
                <w:sz w:val="18"/>
                <w:szCs w:val="18"/>
              </w:rPr>
              <w:t xml:space="preserve">Division </w:t>
            </w:r>
          </w:p>
          <w:p w14:paraId="2E46669B" w14:textId="0A85ED76" w:rsidR="00990103" w:rsidRPr="006F799E" w:rsidRDefault="00990103" w:rsidP="00925CAD">
            <w:pPr>
              <w:pStyle w:val="ListParagraph"/>
              <w:numPr>
                <w:ilvl w:val="0"/>
                <w:numId w:val="55"/>
              </w:numPr>
              <w:spacing w:after="0"/>
              <w:rPr>
                <w:rFonts w:cs="Arial"/>
              </w:rPr>
            </w:pPr>
            <w:r w:rsidRPr="001C1687">
              <w:rPr>
                <w:rFonts w:ascii="Arial" w:hAnsi="Arial" w:cs="Arial"/>
                <w:sz w:val="18"/>
                <w:szCs w:val="18"/>
              </w:rPr>
              <w:t>Date/Time of Transaction</w:t>
            </w:r>
          </w:p>
          <w:p w14:paraId="1475FA5A" w14:textId="77777777" w:rsidR="005A68EB" w:rsidRDefault="005A68EB" w:rsidP="005A68EB">
            <w:pPr>
              <w:rPr>
                <w:rFonts w:cs="Arial"/>
              </w:rPr>
            </w:pPr>
          </w:p>
          <w:p w14:paraId="3FB7D1B5" w14:textId="59EAED40" w:rsidR="005A68EB" w:rsidRPr="005A68EB" w:rsidRDefault="005A68EB" w:rsidP="006F799E">
            <w:pPr>
              <w:pStyle w:val="NotesText"/>
              <w:rPr>
                <w:rFonts w:cs="Arial"/>
              </w:rPr>
            </w:pPr>
            <w:r>
              <w:rPr>
                <w:vanish/>
                <w:szCs w:val="18"/>
              </w:rPr>
              <w:t xml:space="preserve">BR_59.15 </w:t>
            </w:r>
            <w:r w:rsidRPr="0030088C">
              <w:rPr>
                <w:rFonts w:cs="Arial"/>
                <w:szCs w:val="18"/>
              </w:rPr>
              <w:t xml:space="preserve">The </w:t>
            </w:r>
            <w:r>
              <w:rPr>
                <w:rFonts w:cs="Arial"/>
                <w:szCs w:val="18"/>
              </w:rPr>
              <w:t>user may enter a comment in the "Unit Return" comment context and a free text comment</w:t>
            </w:r>
            <w:r w:rsidRPr="0030088C">
              <w:rPr>
                <w:rFonts w:cs="Arial"/>
                <w:szCs w:val="18"/>
              </w:rPr>
              <w:t>.</w:t>
            </w:r>
            <w:r>
              <w:rPr>
                <w:rFonts w:cs="Arial"/>
                <w:szCs w:val="18"/>
              </w:rPr>
              <w:t xml:space="preserve"> </w:t>
            </w:r>
            <w:r w:rsidRPr="006E30BA">
              <w:rPr>
                <w:rFonts w:cs="Arial"/>
                <w:szCs w:val="18"/>
              </w:rPr>
              <w:t xml:space="preserve">The comment will be </w:t>
            </w:r>
            <w:r w:rsidRPr="005A68EB">
              <w:t>displayed</w:t>
            </w:r>
            <w:r w:rsidRPr="006E30BA">
              <w:rPr>
                <w:rFonts w:cs="Arial"/>
                <w:szCs w:val="18"/>
              </w:rPr>
              <w:t xml:space="preserve"> in the Unit History Report, </w:t>
            </w:r>
            <w:r>
              <w:rPr>
                <w:rFonts w:cs="Arial"/>
                <w:szCs w:val="18"/>
              </w:rPr>
              <w:t>Issue Information</w:t>
            </w:r>
            <w:r w:rsidRPr="006E30BA">
              <w:rPr>
                <w:rFonts w:cs="Arial"/>
                <w:szCs w:val="18"/>
              </w:rPr>
              <w:t xml:space="preserve"> section and </w:t>
            </w:r>
            <w:r>
              <w:rPr>
                <w:rFonts w:cs="Arial"/>
                <w:szCs w:val="18"/>
              </w:rPr>
              <w:t>the Issued/Returned Report</w:t>
            </w:r>
            <w:r>
              <w:t>.</w:t>
            </w:r>
          </w:p>
        </w:tc>
      </w:tr>
      <w:tr w:rsidR="002A21AE" w14:paraId="3CD8DA06" w14:textId="77777777">
        <w:tc>
          <w:tcPr>
            <w:tcW w:w="3240" w:type="dxa"/>
          </w:tcPr>
          <w:p w14:paraId="118A3A8D" w14:textId="0C0C8B45" w:rsidR="002A21AE" w:rsidRDefault="00CF47D5">
            <w:pPr>
              <w:pStyle w:val="TableTextNumbers"/>
            </w:pPr>
            <w:r>
              <w:t>Respond to the warnings and messages</w:t>
            </w:r>
            <w:r w:rsidR="009F35E5">
              <w:t xml:space="preserve"> (</w:t>
            </w:r>
            <w:r w:rsidR="00EE455E">
              <w:t xml:space="preserve">Figure </w:t>
            </w:r>
            <w:r w:rsidR="00EE455E">
              <w:rPr>
                <w:noProof/>
              </w:rPr>
              <w:t>76</w:t>
            </w:r>
            <w:r w:rsidR="009F35E5">
              <w:t>)</w:t>
            </w:r>
            <w:r w:rsidR="002A21AE">
              <w:t>.</w:t>
            </w:r>
          </w:p>
        </w:tc>
        <w:tc>
          <w:tcPr>
            <w:tcW w:w="6120" w:type="dxa"/>
          </w:tcPr>
          <w:p w14:paraId="1614DDC0" w14:textId="6F22E161" w:rsidR="002A21AE" w:rsidRDefault="002A21AE" w:rsidP="006F799E">
            <w:pPr>
              <w:pStyle w:val="TableTextBullet"/>
            </w:pPr>
            <w:r>
              <w:t>Allows the user to indicate that each unit or batch of units was visually inspected and marked satisfactory or unsatisfactory.</w:t>
            </w:r>
          </w:p>
          <w:p w14:paraId="548DB016" w14:textId="77777777" w:rsidR="006F799E" w:rsidRDefault="006F799E">
            <w:pPr>
              <w:pStyle w:val="TableText"/>
              <w:rPr>
                <w:b/>
                <w:bCs/>
                <w:szCs w:val="18"/>
              </w:rPr>
            </w:pPr>
          </w:p>
          <w:p w14:paraId="398BD8B4" w14:textId="4748F28C" w:rsidR="002A21AE" w:rsidRDefault="002A21AE">
            <w:pPr>
              <w:pStyle w:val="TableText"/>
              <w:rPr>
                <w:b/>
                <w:bCs/>
                <w:szCs w:val="18"/>
              </w:rPr>
            </w:pPr>
            <w:r>
              <w:rPr>
                <w:b/>
                <w:bCs/>
                <w:szCs w:val="18"/>
              </w:rPr>
              <w:t>NOTES</w:t>
            </w:r>
          </w:p>
          <w:p w14:paraId="450555F2" w14:textId="77777777" w:rsidR="002A21AE" w:rsidRDefault="002A21AE">
            <w:pPr>
              <w:pStyle w:val="NotesText"/>
            </w:pPr>
          </w:p>
          <w:p w14:paraId="78BEF59C" w14:textId="77777777" w:rsidR="002A21AE" w:rsidRDefault="002A21AE">
            <w:pPr>
              <w:pStyle w:val="NotesText"/>
            </w:pPr>
            <w:r w:rsidRPr="00896F17">
              <w:rPr>
                <w:vanish/>
                <w:szCs w:val="18"/>
              </w:rPr>
              <w:t>BR_59.08</w:t>
            </w:r>
            <w:r w:rsidR="00F92F72" w:rsidRPr="00896F17">
              <w:rPr>
                <w:rStyle w:val="BullhornChar"/>
              </w:rPr>
              <w:t></w:t>
            </w:r>
            <w:r w:rsidR="00F92F72">
              <w:rPr>
                <w:rFonts w:ascii="Webdings" w:hAnsi="Webdings"/>
              </w:rPr>
              <w:t></w:t>
            </w:r>
            <w:r w:rsidR="00F92F72" w:rsidRPr="00263B24">
              <w:t>Wh</w:t>
            </w:r>
            <w:r w:rsidR="00F92F72">
              <w:t>en</w:t>
            </w:r>
            <w:r>
              <w:t xml:space="preserve"> the user indicates that the unit is unsatisfactory, VBECS emits an audible alert and quarantines the unit, relocates it to the hospital location of the blood bank, and captures details for inclusion in an Exception Report (exception type: unit unsatisfactory upon return from issue). Upon quarantining the unit, VBECS releases it from assignment and requires a comment regarding the return. </w:t>
            </w:r>
          </w:p>
          <w:p w14:paraId="50E15390" w14:textId="77777777" w:rsidR="002A21AE" w:rsidRDefault="002A21AE">
            <w:pPr>
              <w:pStyle w:val="NotesText"/>
            </w:pPr>
          </w:p>
          <w:p w14:paraId="6F4F98BF" w14:textId="77777777" w:rsidR="002A21AE" w:rsidRDefault="002A21AE">
            <w:pPr>
              <w:pStyle w:val="NotesText"/>
            </w:pPr>
            <w:r>
              <w:rPr>
                <w:rFonts w:cs="Arial"/>
                <w:vanish/>
              </w:rPr>
              <w:t xml:space="preserve">BR_27.15 </w:t>
            </w:r>
            <w:r w:rsidR="00DC63E8">
              <w:t>When a unit has had a quarantine indicator assigned, VBECS releases any patient assignments. Patient restrictions associated with the unit remain intact.</w:t>
            </w:r>
          </w:p>
          <w:p w14:paraId="5BA3C4A1" w14:textId="77777777" w:rsidR="00DC63E8" w:rsidRDefault="00DC63E8">
            <w:pPr>
              <w:pStyle w:val="NotesText"/>
            </w:pPr>
          </w:p>
          <w:p w14:paraId="34BB4E66" w14:textId="77777777" w:rsidR="002A21AE" w:rsidRDefault="002A21AE">
            <w:pPr>
              <w:pStyle w:val="NotesText"/>
            </w:pPr>
            <w:r>
              <w:rPr>
                <w:rFonts w:cs="Arial"/>
                <w:vanish/>
              </w:rPr>
              <w:t xml:space="preserve">BR_59.11 </w:t>
            </w:r>
            <w:r>
              <w:t>VBECS places units returned from issue to the blood bank in satisfactory condition in the status they had prior to issue.</w:t>
            </w:r>
          </w:p>
          <w:p w14:paraId="10BB66D7" w14:textId="77777777" w:rsidR="002A21AE" w:rsidRDefault="002A21AE">
            <w:pPr>
              <w:pStyle w:val="NotesText"/>
            </w:pPr>
          </w:p>
          <w:p w14:paraId="0064FA09" w14:textId="7AE93707" w:rsidR="002A21AE" w:rsidRDefault="002A21AE" w:rsidP="00EA3A1F">
            <w:pPr>
              <w:pStyle w:val="NotesText"/>
              <w:rPr>
                <w:rFonts w:cs="Arial"/>
              </w:rPr>
            </w:pPr>
            <w:r>
              <w:rPr>
                <w:vanish/>
                <w:szCs w:val="18"/>
              </w:rPr>
              <w:t>BR_59.12</w:t>
            </w:r>
            <w:r w:rsidR="00CE3961">
              <w:rPr>
                <w:vanish/>
                <w:szCs w:val="18"/>
              </w:rPr>
              <w:t>,</w:t>
            </w:r>
            <w:r>
              <w:rPr>
                <w:vanish/>
                <w:szCs w:val="18"/>
              </w:rPr>
              <w:t xml:space="preserve"> BR_59.13 </w:t>
            </w:r>
            <w:r>
              <w:t>When the unit returned and/or the specimen used for assignment or crossmatch is expired, VBECS warns the user.</w:t>
            </w:r>
          </w:p>
        </w:tc>
      </w:tr>
      <w:tr w:rsidR="002A21AE" w14:paraId="4289EC3B" w14:textId="77777777">
        <w:tc>
          <w:tcPr>
            <w:tcW w:w="3240" w:type="dxa"/>
          </w:tcPr>
          <w:p w14:paraId="6630FF35" w14:textId="77777777" w:rsidR="002A21AE" w:rsidRDefault="002A21AE">
            <w:pPr>
              <w:pStyle w:val="TableTextNumbers"/>
            </w:pPr>
            <w:r>
              <w:t xml:space="preserve">Click </w:t>
            </w:r>
            <w:r>
              <w:rPr>
                <w:b/>
              </w:rPr>
              <w:t xml:space="preserve">OK </w:t>
            </w:r>
            <w:r>
              <w:t xml:space="preserve">to accept the entries, and complete the unit return. </w:t>
            </w:r>
          </w:p>
          <w:p w14:paraId="00BB731E" w14:textId="77777777" w:rsidR="002A21AE" w:rsidRDefault="002A21AE">
            <w:pPr>
              <w:pStyle w:val="TableTextNumbersContinued"/>
            </w:pPr>
          </w:p>
          <w:p w14:paraId="323BF7BA" w14:textId="77777777" w:rsidR="002A21AE" w:rsidRDefault="002A21AE">
            <w:pPr>
              <w:pStyle w:val="TableTextNumbersContinued"/>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419B6C65" w14:textId="77777777" w:rsidR="001F6288" w:rsidRDefault="002A21AE" w:rsidP="001F6288">
            <w:pPr>
              <w:pStyle w:val="TableTextBullet"/>
            </w:pPr>
            <w:r>
              <w:t>Saves the data.</w:t>
            </w:r>
          </w:p>
          <w:p w14:paraId="029A2B29" w14:textId="77777777" w:rsidR="001F6288" w:rsidRDefault="001F6288" w:rsidP="001F6288">
            <w:pPr>
              <w:pStyle w:val="TableTextBullet"/>
            </w:pPr>
            <w:r w:rsidRPr="001F6288">
              <w:rPr>
                <w:rFonts w:cs="Arial"/>
                <w:vanish/>
                <w:szCs w:val="18"/>
              </w:rPr>
              <w:t xml:space="preserve">UC_109 </w:t>
            </w:r>
            <w:r w:rsidRPr="001F6288">
              <w:rPr>
                <w:rFonts w:cs="Arial"/>
                <w:szCs w:val="18"/>
              </w:rPr>
              <w:t>Sends update to the BCE COTS system via an HL7 message to remove the unit from the system</w:t>
            </w:r>
            <w:r>
              <w:rPr>
                <w:rFonts w:cs="Arial"/>
                <w:szCs w:val="18"/>
              </w:rPr>
              <w:t>.</w:t>
            </w:r>
          </w:p>
          <w:p w14:paraId="6F767233" w14:textId="77777777" w:rsidR="002A21AE" w:rsidRDefault="002A21AE">
            <w:pPr>
              <w:pStyle w:val="TableText"/>
            </w:pPr>
          </w:p>
          <w:p w14:paraId="2E07F21C" w14:textId="526ED962" w:rsidR="002A21AE" w:rsidRDefault="002A21AE">
            <w:pPr>
              <w:pStyle w:val="TableText"/>
              <w:rPr>
                <w:b/>
                <w:bCs/>
                <w:szCs w:val="18"/>
              </w:rPr>
            </w:pPr>
            <w:r>
              <w:rPr>
                <w:b/>
                <w:bCs/>
                <w:szCs w:val="18"/>
              </w:rPr>
              <w:t>NOTES</w:t>
            </w:r>
          </w:p>
          <w:p w14:paraId="01DFF604" w14:textId="77777777" w:rsidR="002A21AE" w:rsidRDefault="002A21AE">
            <w:pPr>
              <w:pStyle w:val="NotesText"/>
            </w:pPr>
          </w:p>
          <w:p w14:paraId="07EDA2C4" w14:textId="77777777" w:rsidR="002A21AE" w:rsidRDefault="002A21AE">
            <w:pPr>
              <w:pStyle w:val="NotesText"/>
            </w:pPr>
            <w:r>
              <w:rPr>
                <w:rFonts w:cs="Arial"/>
                <w:vanish/>
              </w:rPr>
              <w:t xml:space="preserve">BR_59.10 </w:t>
            </w:r>
            <w:r>
              <w:t>VBECS returns units to the blood bank location within the division.</w:t>
            </w:r>
          </w:p>
        </w:tc>
      </w:tr>
    </w:tbl>
    <w:p w14:paraId="403878A7" w14:textId="51FE155B" w:rsidR="009F35E5" w:rsidRDefault="009F35E5" w:rsidP="009F35E5">
      <w:pPr>
        <w:pStyle w:val="Caption"/>
      </w:pPr>
      <w:bookmarkStart w:id="386" w:name="_Ref12709445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76</w:t>
      </w:r>
      <w:r w:rsidR="004E20BD">
        <w:rPr>
          <w:noProof/>
        </w:rPr>
        <w:fldChar w:fldCharType="end"/>
      </w:r>
      <w:bookmarkEnd w:id="386"/>
      <w:r>
        <w:t>: Return Issued Units</w:t>
      </w:r>
    </w:p>
    <w:p w14:paraId="5179786E" w14:textId="086621B9" w:rsidR="00857A1A" w:rsidRDefault="00756E5A" w:rsidP="009F35E5">
      <w:pPr>
        <w:pStyle w:val="BodyText"/>
      </w:pPr>
      <w:r>
        <w:rPr>
          <w:noProof/>
        </w:rPr>
        <w:drawing>
          <wp:inline distT="0" distB="0" distL="0" distR="0" wp14:anchorId="51AEAD74" wp14:editId="0215DC61">
            <wp:extent cx="5943600" cy="4333240"/>
            <wp:effectExtent l="0" t="0" r="0" b="0"/>
            <wp:docPr id="46" name="Picture 46" descr="Example of Return Issued Uni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Example of Return Issued Units screen captur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3600" cy="4333240"/>
                    </a:xfrm>
                    <a:prstGeom prst="rect">
                      <a:avLst/>
                    </a:prstGeom>
                    <a:noFill/>
                    <a:ln>
                      <a:noFill/>
                    </a:ln>
                  </pic:spPr>
                </pic:pic>
              </a:graphicData>
            </a:graphic>
          </wp:inline>
        </w:drawing>
      </w:r>
    </w:p>
    <w:p w14:paraId="3C0E0507" w14:textId="77777777" w:rsidR="002A21AE" w:rsidRDefault="002A21AE" w:rsidP="00857A1A">
      <w:pPr>
        <w:pStyle w:val="Heading2"/>
      </w:pPr>
      <w:r>
        <w:br w:type="page"/>
      </w:r>
      <w:bookmarkStart w:id="387" w:name="_Toc149064137"/>
      <w:r>
        <w:t>Release Units From Patient Assignment</w:t>
      </w:r>
      <w:bookmarkEnd w:id="387"/>
      <w:r w:rsidRPr="00857A1A">
        <w:rPr>
          <w:rFonts w:ascii="Arial Bold" w:hAnsi="Arial Bold"/>
          <w:vanish/>
        </w:rPr>
        <w:fldChar w:fldCharType="begin"/>
      </w:r>
      <w:r w:rsidRPr="00857A1A">
        <w:rPr>
          <w:rFonts w:ascii="Arial Bold" w:hAnsi="Arial Bold"/>
          <w:vanish/>
        </w:rPr>
        <w:instrText xml:space="preserve"> XE </w:instrText>
      </w:r>
      <w:r w:rsidR="00FA7E65" w:rsidRPr="00857A1A">
        <w:rPr>
          <w:rFonts w:ascii="Arial Bold" w:hAnsi="Arial Bold"/>
          <w:vanish/>
        </w:rPr>
        <w:instrText>“</w:instrText>
      </w:r>
      <w:r w:rsidRPr="00857A1A">
        <w:rPr>
          <w:rFonts w:ascii="Arial Bold" w:hAnsi="Arial Bold"/>
          <w:vanish/>
        </w:rPr>
        <w:instrText>Release Units From Patient Assignment</w:instrText>
      </w:r>
      <w:r w:rsidR="00FA7E65" w:rsidRPr="00857A1A">
        <w:rPr>
          <w:rFonts w:ascii="Arial Bold" w:hAnsi="Arial Bold"/>
          <w:vanish/>
        </w:rPr>
        <w:instrText>”</w:instrText>
      </w:r>
      <w:r w:rsidRPr="00857A1A">
        <w:rPr>
          <w:rFonts w:ascii="Arial Bold" w:hAnsi="Arial Bold"/>
          <w:vanish/>
        </w:rPr>
        <w:instrText xml:space="preserve"> </w:instrText>
      </w:r>
      <w:r w:rsidRPr="00857A1A">
        <w:rPr>
          <w:rFonts w:ascii="Arial Bold" w:hAnsi="Arial Bold"/>
          <w:vanish/>
        </w:rPr>
        <w:fldChar w:fldCharType="end"/>
      </w:r>
      <w:r w:rsidRPr="00857A1A">
        <w:rPr>
          <w:rFonts w:ascii="Arial Bold" w:hAnsi="Arial Bold"/>
          <w:vanish/>
        </w:rPr>
        <w:t xml:space="preserve"> UC_47</w:t>
      </w:r>
    </w:p>
    <w:p w14:paraId="00E3BB0F" w14:textId="77777777" w:rsidR="002A21AE" w:rsidRDefault="002A21AE" w:rsidP="00FA7E65">
      <w:pPr>
        <w:pStyle w:val="BodyText"/>
        <w:rPr>
          <w:b/>
        </w:rPr>
      </w:pPr>
      <w:r>
        <w:t xml:space="preserve">The user releases crossmatched and assigned blood units not issued after a period determined by regulatory standards and by internal policy. </w:t>
      </w:r>
    </w:p>
    <w:p w14:paraId="3B8BD5F0" w14:textId="77777777" w:rsidR="002A21AE" w:rsidRDefault="002A21AE">
      <w:pPr>
        <w:pStyle w:val="Heading4"/>
      </w:pPr>
      <w:r>
        <w:t>Assumptions</w:t>
      </w:r>
      <w:r>
        <w:rPr>
          <w:b w:val="0"/>
        </w:rPr>
        <w:t xml:space="preserve"> </w:t>
      </w:r>
    </w:p>
    <w:p w14:paraId="7E9B2776" w14:textId="77777777" w:rsidR="002A21AE" w:rsidRDefault="002A21AE">
      <w:pPr>
        <w:pStyle w:val="ListBullet"/>
      </w:pPr>
      <w:r>
        <w:t xml:space="preserve">The blood unit is assigned or crossmatched to at least one patient. </w:t>
      </w:r>
    </w:p>
    <w:p w14:paraId="2145C5EA" w14:textId="77777777" w:rsidR="002A21AE" w:rsidRDefault="002A21AE">
      <w:pPr>
        <w:pStyle w:val="Heading4"/>
      </w:pPr>
      <w:r>
        <w:t>Outcome</w:t>
      </w:r>
    </w:p>
    <w:p w14:paraId="0CC67927" w14:textId="77777777" w:rsidR="002A21AE" w:rsidRDefault="002A21AE">
      <w:pPr>
        <w:pStyle w:val="ListBullet"/>
      </w:pPr>
      <w:r>
        <w:t>Patient restrictions still apply to a unit even after it is released from assignment and made available.</w:t>
      </w:r>
    </w:p>
    <w:p w14:paraId="35228A29" w14:textId="77777777" w:rsidR="002A21AE" w:rsidRDefault="002A21AE">
      <w:pPr>
        <w:pStyle w:val="Heading4"/>
      </w:pPr>
      <w:r>
        <w:t>Limitations and Restrictions</w:t>
      </w:r>
      <w:r>
        <w:rPr>
          <w:b w:val="0"/>
        </w:rPr>
        <w:t xml:space="preserve"> </w:t>
      </w:r>
    </w:p>
    <w:p w14:paraId="091B1B31" w14:textId="77777777" w:rsidR="002A21AE" w:rsidRDefault="002A21AE">
      <w:pPr>
        <w:pStyle w:val="ListBullet"/>
      </w:pPr>
      <w:r>
        <w:t>This option does not apply to the release of patient restrictions (autologous and directed).</w:t>
      </w:r>
    </w:p>
    <w:p w14:paraId="6FEEE789" w14:textId="606B88FF" w:rsidR="002A21AE" w:rsidRDefault="002A21AE">
      <w:pPr>
        <w:pStyle w:val="ListBullet"/>
      </w:pPr>
      <w:r>
        <w:t>When a patient, specimen</w:t>
      </w:r>
      <w:r w:rsidR="00112C24">
        <w:t>,</w:t>
      </w:r>
      <w:r w:rsidR="00D40FAE">
        <w:t xml:space="preserve"> </w:t>
      </w:r>
      <w:r>
        <w:t>or blood unit expires, VBECS does not automatically release an assigned blood unit: a user must release the unit.</w:t>
      </w:r>
    </w:p>
    <w:p w14:paraId="0C2C9059" w14:textId="0297C7EB" w:rsidR="002A21AE" w:rsidRDefault="002A21AE" w:rsidP="005B025F">
      <w:pPr>
        <w:pStyle w:val="Heading4"/>
      </w:pPr>
      <w:r>
        <w:t>Additional Information</w:t>
      </w:r>
    </w:p>
    <w:p w14:paraId="24AA4AC0" w14:textId="77777777" w:rsidR="000D6CA6" w:rsidRDefault="002A21AE" w:rsidP="000D6CA6">
      <w:pPr>
        <w:pStyle w:val="ListBullet"/>
      </w:pPr>
      <w:r>
        <w:t>A user may release units from assignment as a group or individually from a patient’s list of units.</w:t>
      </w:r>
    </w:p>
    <w:p w14:paraId="340265DE" w14:textId="77777777" w:rsidR="002A21AE" w:rsidRDefault="002A21AE">
      <w:pPr>
        <w:pStyle w:val="Heading4"/>
        <w:rPr>
          <w:b w:val="0"/>
        </w:rPr>
      </w:pPr>
      <w:r>
        <w:t>User Roles with Access to This Option</w:t>
      </w:r>
      <w:r>
        <w:rPr>
          <w:b w:val="0"/>
        </w:rPr>
        <w:t xml:space="preserve"> </w:t>
      </w:r>
    </w:p>
    <w:p w14:paraId="5B0ABF60" w14:textId="77777777" w:rsidR="002A21AE" w:rsidRDefault="00516048">
      <w:pPr>
        <w:pStyle w:val="Roles"/>
        <w:rPr>
          <w:snapToGrid w:val="0"/>
        </w:rPr>
      </w:pPr>
      <w:r>
        <w:t>All users</w:t>
      </w:r>
    </w:p>
    <w:p w14:paraId="465CBBE3" w14:textId="77777777" w:rsidR="002A21AE" w:rsidRDefault="002A21AE">
      <w:pPr>
        <w:pStyle w:val="Heading4"/>
      </w:pPr>
      <w:r>
        <w:t>Release Units From Patient Assignment</w:t>
      </w:r>
    </w:p>
    <w:p w14:paraId="6EA0D086" w14:textId="77777777" w:rsidR="002A21AE" w:rsidRDefault="002A21AE" w:rsidP="00FA7E65">
      <w:pPr>
        <w:pStyle w:val="BodyText"/>
      </w:pPr>
      <w:r>
        <w:t xml:space="preserve">A user may select one or more blood units for release from patient assignment and return to “available” status. A user may release one of multiple patient assignments without affecting other patient assignments on a unit.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CD486B7" w14:textId="77777777">
        <w:trPr>
          <w:cantSplit/>
          <w:tblHeader/>
        </w:trPr>
        <w:tc>
          <w:tcPr>
            <w:tcW w:w="3240" w:type="dxa"/>
            <w:shd w:val="pct30" w:color="auto" w:fill="FFFFFF"/>
            <w:vAlign w:val="bottom"/>
          </w:tcPr>
          <w:p w14:paraId="2A6C9573" w14:textId="77777777" w:rsidR="002A21AE" w:rsidRDefault="002A21AE">
            <w:pPr>
              <w:pStyle w:val="TableText"/>
              <w:rPr>
                <w:b/>
              </w:rPr>
            </w:pPr>
            <w:r>
              <w:rPr>
                <w:b/>
              </w:rPr>
              <w:t>User Action</w:t>
            </w:r>
          </w:p>
        </w:tc>
        <w:tc>
          <w:tcPr>
            <w:tcW w:w="6120" w:type="dxa"/>
            <w:shd w:val="pct30" w:color="auto" w:fill="FFFFFF"/>
            <w:vAlign w:val="bottom"/>
          </w:tcPr>
          <w:p w14:paraId="22AE1E7E" w14:textId="77777777" w:rsidR="002A21AE" w:rsidRDefault="002A21AE">
            <w:pPr>
              <w:pStyle w:val="TableText"/>
              <w:rPr>
                <w:b/>
              </w:rPr>
            </w:pPr>
            <w:r>
              <w:rPr>
                <w:b/>
              </w:rPr>
              <w:t>VBECS</w:t>
            </w:r>
          </w:p>
        </w:tc>
      </w:tr>
      <w:tr w:rsidR="002A21AE" w14:paraId="35C562E4" w14:textId="77777777">
        <w:trPr>
          <w:trHeight w:val="314"/>
        </w:trPr>
        <w:tc>
          <w:tcPr>
            <w:tcW w:w="3240" w:type="dxa"/>
          </w:tcPr>
          <w:p w14:paraId="5040E422" w14:textId="77777777" w:rsidR="002A21AE" w:rsidRDefault="002A21AE">
            <w:pPr>
              <w:pStyle w:val="TableTextNumbers"/>
            </w:pPr>
            <w:r>
              <w:t xml:space="preserve">To release units by patient, select </w:t>
            </w:r>
            <w:r>
              <w:rPr>
                <w:b/>
              </w:rPr>
              <w:t>Patients</w:t>
            </w:r>
            <w:r>
              <w:t xml:space="preserve"> from the main menu.</w:t>
            </w:r>
          </w:p>
          <w:p w14:paraId="647CDB65" w14:textId="77777777" w:rsidR="002A21AE" w:rsidRDefault="002A21AE">
            <w:pPr>
              <w:pStyle w:val="TableTextNumbersContinued"/>
            </w:pPr>
          </w:p>
          <w:p w14:paraId="24F992E0" w14:textId="77777777" w:rsidR="002A21AE" w:rsidRDefault="002A21AE">
            <w:pPr>
              <w:pStyle w:val="TableTextNumbersContinued"/>
            </w:pPr>
            <w:r>
              <w:t xml:space="preserve">To release units by unit, select </w:t>
            </w:r>
            <w:r>
              <w:rPr>
                <w:b/>
              </w:rPr>
              <w:t>Blood Units</w:t>
            </w:r>
            <w:r>
              <w:t xml:space="preserve"> from the main menu.</w:t>
            </w:r>
          </w:p>
          <w:p w14:paraId="15846568" w14:textId="77777777" w:rsidR="002A21AE" w:rsidRDefault="002A21AE">
            <w:pPr>
              <w:pStyle w:val="TableTextNumbersContinued"/>
            </w:pPr>
          </w:p>
          <w:p w14:paraId="13330BF1" w14:textId="77777777" w:rsidR="002A21AE" w:rsidRDefault="002A21AE">
            <w:pPr>
              <w:pStyle w:val="TableTextNumbersContinued"/>
            </w:pPr>
            <w:r>
              <w:t xml:space="preserve">Select </w:t>
            </w:r>
            <w:r>
              <w:rPr>
                <w:b/>
              </w:rPr>
              <w:t>Release Units From Patient Assignment</w:t>
            </w:r>
            <w:r>
              <w:t>.</w:t>
            </w:r>
          </w:p>
        </w:tc>
        <w:tc>
          <w:tcPr>
            <w:tcW w:w="6120" w:type="dxa"/>
          </w:tcPr>
          <w:p w14:paraId="285DE921" w14:textId="77777777" w:rsidR="002A21AE" w:rsidRDefault="002A21AE">
            <w:pPr>
              <w:pStyle w:val="TableTextBullet"/>
            </w:pPr>
            <w:r>
              <w:t>Displays options for processing patient-related functions or for processing units.</w:t>
            </w:r>
          </w:p>
        </w:tc>
      </w:tr>
      <w:tr w:rsidR="002A21AE" w14:paraId="27C02B96" w14:textId="77777777" w:rsidTr="001A459B">
        <w:trPr>
          <w:cantSplit/>
        </w:trPr>
        <w:tc>
          <w:tcPr>
            <w:tcW w:w="3240" w:type="dxa"/>
          </w:tcPr>
          <w:p w14:paraId="706F9EBD" w14:textId="77777777" w:rsidR="002A21AE" w:rsidRDefault="002A21AE">
            <w:pPr>
              <w:pStyle w:val="TableTextNumbers"/>
            </w:pPr>
            <w:r>
              <w:t>Scan or enter a unit ID or select a patient to release units from patient assignment and/or crossmatch (XM).</w:t>
            </w:r>
          </w:p>
        </w:tc>
        <w:tc>
          <w:tcPr>
            <w:tcW w:w="6120" w:type="dxa"/>
          </w:tcPr>
          <w:p w14:paraId="0529B7AB" w14:textId="77777777" w:rsidR="002A21AE" w:rsidRDefault="002A21AE">
            <w:pPr>
              <w:pStyle w:val="TableTextBullet"/>
            </w:pPr>
            <w:r>
              <w:t>Allows the user to edit the date and time and the user who released the units.</w:t>
            </w:r>
          </w:p>
          <w:p w14:paraId="2C77CA1A" w14:textId="77777777" w:rsidR="002A21AE" w:rsidRDefault="002A21AE">
            <w:pPr>
              <w:pStyle w:val="TableTextBullet"/>
            </w:pPr>
            <w:r>
              <w:t xml:space="preserve">Lists currently assigned units. </w:t>
            </w:r>
          </w:p>
          <w:p w14:paraId="0A911D04" w14:textId="77777777" w:rsidR="002A21AE" w:rsidRDefault="002A21AE">
            <w:pPr>
              <w:pStyle w:val="TableTextBullet"/>
            </w:pPr>
            <w:r>
              <w:t>Allows the user to list assigned units by patient, by unit ID, or by unit expiration date.</w:t>
            </w:r>
          </w:p>
          <w:p w14:paraId="7C12E68F" w14:textId="77777777" w:rsidR="002A21AE" w:rsidRDefault="002A21AE">
            <w:pPr>
              <w:pStyle w:val="TableText"/>
            </w:pPr>
          </w:p>
          <w:p w14:paraId="7C24006B" w14:textId="01967406" w:rsidR="002A21AE" w:rsidRDefault="002A21AE">
            <w:pPr>
              <w:pStyle w:val="TableText"/>
              <w:rPr>
                <w:b/>
                <w:bCs/>
                <w:szCs w:val="18"/>
              </w:rPr>
            </w:pPr>
            <w:r>
              <w:rPr>
                <w:b/>
                <w:bCs/>
                <w:szCs w:val="18"/>
              </w:rPr>
              <w:t>NOTES</w:t>
            </w:r>
          </w:p>
          <w:p w14:paraId="0C310E79" w14:textId="77777777" w:rsidR="002A21AE" w:rsidRDefault="002A21AE">
            <w:pPr>
              <w:pStyle w:val="NotesText"/>
            </w:pPr>
          </w:p>
          <w:p w14:paraId="5104E656" w14:textId="77777777" w:rsidR="002A21AE" w:rsidRDefault="002A21AE">
            <w:pPr>
              <w:pStyle w:val="NotesText"/>
            </w:pPr>
            <w:r>
              <w:rPr>
                <w:rFonts w:cs="Arial"/>
                <w:vanish/>
              </w:rPr>
              <w:t xml:space="preserve">BR_47.03 </w:t>
            </w:r>
            <w:r>
              <w:t>VBECS indicates which specimens and units are expired.</w:t>
            </w:r>
          </w:p>
          <w:p w14:paraId="44055BCA" w14:textId="77777777" w:rsidR="002A21AE" w:rsidRDefault="002A21AE">
            <w:pPr>
              <w:pStyle w:val="NotesText"/>
            </w:pPr>
          </w:p>
          <w:p w14:paraId="1C9F3977" w14:textId="77777777" w:rsidR="002A21AE" w:rsidRDefault="002A21AE">
            <w:pPr>
              <w:pStyle w:val="NotesText"/>
            </w:pPr>
            <w:r>
              <w:rPr>
                <w:rFonts w:cs="Arial"/>
                <w:vanish/>
              </w:rPr>
              <w:t xml:space="preserve">BR_47.04 </w:t>
            </w:r>
            <w:r>
              <w:t>VBECS displays a unit’s donation type only when it is restricted.</w:t>
            </w:r>
          </w:p>
          <w:p w14:paraId="236C3EFB" w14:textId="77777777" w:rsidR="002A21AE" w:rsidRDefault="002A21AE">
            <w:pPr>
              <w:pStyle w:val="NotesText"/>
            </w:pPr>
          </w:p>
          <w:p w14:paraId="0AB8F83B" w14:textId="77777777" w:rsidR="002A21AE" w:rsidRDefault="002A21AE">
            <w:pPr>
              <w:pStyle w:val="NotesText"/>
            </w:pPr>
            <w:r>
              <w:rPr>
                <w:rFonts w:cs="Arial"/>
                <w:vanish/>
              </w:rPr>
              <w:t xml:space="preserve">BR_47.01 </w:t>
            </w:r>
            <w:r>
              <w:t>VBECS displays all currently assigned/crossmatched units located in the blood bank. When the user enters a unit ID that is not currently in the blood bank location, VBECS warns the user, clears the unit ID entry, and allows the user to enter another unit or patient.</w:t>
            </w:r>
          </w:p>
          <w:p w14:paraId="7517A920" w14:textId="77777777" w:rsidR="000D6CA6" w:rsidRDefault="000D6CA6" w:rsidP="00410012">
            <w:pPr>
              <w:pStyle w:val="NotesText"/>
            </w:pPr>
          </w:p>
        </w:tc>
      </w:tr>
      <w:tr w:rsidR="002A21AE" w14:paraId="52ADE71F" w14:textId="77777777">
        <w:tc>
          <w:tcPr>
            <w:tcW w:w="3240" w:type="dxa"/>
          </w:tcPr>
          <w:p w14:paraId="1254CFD1" w14:textId="77777777" w:rsidR="002A21AE" w:rsidRDefault="002A21AE">
            <w:pPr>
              <w:pStyle w:val="TableTextNumbers"/>
            </w:pPr>
            <w:r>
              <w:t>Indicate which units to release.</w:t>
            </w:r>
          </w:p>
          <w:p w14:paraId="5AB552DA" w14:textId="77777777" w:rsidR="005E1395" w:rsidRDefault="005E1395" w:rsidP="005E1395">
            <w:pPr>
              <w:pStyle w:val="TableTextNumbers"/>
              <w:numPr>
                <w:ilvl w:val="0"/>
                <w:numId w:val="0"/>
              </w:numPr>
              <w:ind w:left="288" w:hanging="288"/>
            </w:pPr>
          </w:p>
          <w:p w14:paraId="79384B6F" w14:textId="77777777" w:rsidR="005E1395" w:rsidRDefault="005E1395" w:rsidP="005E1395">
            <w:pPr>
              <w:pStyle w:val="TableTextNumbersContinued"/>
            </w:pPr>
            <w:r>
              <w:t xml:space="preserve">Click </w:t>
            </w:r>
            <w:r w:rsidRPr="005E1395">
              <w:rPr>
                <w:b/>
              </w:rPr>
              <w:t>OK</w:t>
            </w:r>
            <w:r>
              <w:t>.</w:t>
            </w:r>
          </w:p>
          <w:p w14:paraId="7FB2E425" w14:textId="77777777" w:rsidR="002A21AE" w:rsidRDefault="002A21AE">
            <w:pPr>
              <w:pStyle w:val="TableTextNumbersContinued"/>
            </w:pPr>
          </w:p>
          <w:p w14:paraId="0CE76557" w14:textId="4686642D" w:rsidR="002A21AE" w:rsidRDefault="002A21AE">
            <w:pPr>
              <w:pStyle w:val="TableTextNumbersContinued"/>
            </w:pPr>
            <w:r>
              <w:t>Indicate a reason for release of units</w:t>
            </w:r>
            <w:r w:rsidR="005E1395">
              <w:t xml:space="preserve"> (</w:t>
            </w:r>
            <w:r w:rsidR="00EE455E">
              <w:t xml:space="preserve">Figure </w:t>
            </w:r>
            <w:r w:rsidR="00EE455E">
              <w:rPr>
                <w:noProof/>
              </w:rPr>
              <w:t>77</w:t>
            </w:r>
            <w:r w:rsidR="005E1395">
              <w:t>)</w:t>
            </w:r>
            <w:r>
              <w:t>.</w:t>
            </w:r>
          </w:p>
        </w:tc>
        <w:tc>
          <w:tcPr>
            <w:tcW w:w="6120" w:type="dxa"/>
          </w:tcPr>
          <w:p w14:paraId="242784DD" w14:textId="77777777" w:rsidR="002A21AE" w:rsidRDefault="002A21AE">
            <w:pPr>
              <w:pStyle w:val="TableTextBullet"/>
            </w:pPr>
            <w:r>
              <w:t>Allows the user to enter a reason for releasing for an individual unit.</w:t>
            </w:r>
          </w:p>
          <w:p w14:paraId="1B20C5FD" w14:textId="77777777" w:rsidR="002A21AE" w:rsidRDefault="002A21AE">
            <w:pPr>
              <w:pStyle w:val="TableTextBullet"/>
            </w:pPr>
            <w:r>
              <w:t>Allows the user to review the selections, select additional units, and deselect units before saving.</w:t>
            </w:r>
          </w:p>
          <w:p w14:paraId="53583B1F" w14:textId="77777777" w:rsidR="002A21AE" w:rsidRDefault="002A21AE">
            <w:pPr>
              <w:pStyle w:val="TableText"/>
            </w:pPr>
          </w:p>
          <w:p w14:paraId="7AE107A6" w14:textId="03EDC17B" w:rsidR="002A21AE" w:rsidRDefault="002A21AE">
            <w:pPr>
              <w:pStyle w:val="TableText"/>
              <w:rPr>
                <w:b/>
                <w:bCs/>
                <w:szCs w:val="18"/>
              </w:rPr>
            </w:pPr>
            <w:r>
              <w:rPr>
                <w:b/>
                <w:bCs/>
                <w:szCs w:val="18"/>
              </w:rPr>
              <w:t>NOTES</w:t>
            </w:r>
          </w:p>
          <w:p w14:paraId="25EF6105" w14:textId="77777777" w:rsidR="002A21AE" w:rsidRDefault="002A21AE">
            <w:pPr>
              <w:pStyle w:val="NotesText"/>
            </w:pPr>
          </w:p>
          <w:p w14:paraId="6B69BE14" w14:textId="77777777" w:rsidR="002A21AE" w:rsidRDefault="002A21AE">
            <w:pPr>
              <w:pStyle w:val="NotesText"/>
            </w:pPr>
            <w:r>
              <w:rPr>
                <w:rFonts w:cs="Arial"/>
                <w:vanish/>
              </w:rPr>
              <w:t xml:space="preserve">BR_47.06 </w:t>
            </w:r>
            <w:r>
              <w:t>VBECS allows the user to select no units or one or more units for each patient on the list.</w:t>
            </w:r>
          </w:p>
        </w:tc>
      </w:tr>
      <w:tr w:rsidR="002A21AE" w14:paraId="7542C03B" w14:textId="77777777">
        <w:tc>
          <w:tcPr>
            <w:tcW w:w="3240" w:type="dxa"/>
          </w:tcPr>
          <w:p w14:paraId="748872CA" w14:textId="77777777" w:rsidR="002A21AE" w:rsidRDefault="002A21AE">
            <w:pPr>
              <w:pStyle w:val="TableTextNumbers"/>
            </w:pPr>
            <w:r>
              <w:t xml:space="preserve">Review the entered information and click </w:t>
            </w:r>
            <w:r>
              <w:rPr>
                <w:b/>
              </w:rPr>
              <w:t>OK</w:t>
            </w:r>
            <w:r>
              <w:t xml:space="preserve"> to save.</w:t>
            </w:r>
          </w:p>
          <w:p w14:paraId="31A8AA1E" w14:textId="77777777" w:rsidR="002A21AE" w:rsidRDefault="002A21AE">
            <w:pPr>
              <w:pStyle w:val="TableTextNumbersContinued"/>
            </w:pPr>
          </w:p>
          <w:p w14:paraId="2E9308C2" w14:textId="77777777" w:rsidR="002A21AE" w:rsidRDefault="002A21AE">
            <w:pPr>
              <w:pStyle w:val="TableTextNumbersContinued"/>
            </w:pPr>
            <w:r>
              <w:t xml:space="preserve">Click </w:t>
            </w:r>
            <w:r>
              <w:rPr>
                <w:b/>
              </w:rPr>
              <w:t>OK</w:t>
            </w:r>
            <w:r>
              <w:t xml:space="preserve"> to 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59C3B55E" w14:textId="77777777" w:rsidR="002A21AE" w:rsidRDefault="002A21AE">
            <w:pPr>
              <w:pStyle w:val="TableTextBullet"/>
            </w:pPr>
            <w:r>
              <w:t>Updates the patient record, the unit record, and the status.</w:t>
            </w:r>
          </w:p>
          <w:p w14:paraId="4411CE82" w14:textId="77777777" w:rsidR="009434C7" w:rsidRDefault="009434C7" w:rsidP="009434C7">
            <w:pPr>
              <w:pStyle w:val="TableTextBullet"/>
            </w:pPr>
            <w:r w:rsidRPr="009434C7">
              <w:rPr>
                <w:rFonts w:cs="Arial"/>
                <w:vanish/>
                <w:szCs w:val="18"/>
              </w:rPr>
              <w:t xml:space="preserve">UC_109 </w:t>
            </w:r>
            <w:r w:rsidRPr="009434C7">
              <w:rPr>
                <w:rFonts w:cs="Arial"/>
                <w:szCs w:val="18"/>
              </w:rPr>
              <w:t>Sends</w:t>
            </w:r>
            <w:r w:rsidRPr="001F6288">
              <w:rPr>
                <w:rFonts w:cs="Arial"/>
                <w:szCs w:val="18"/>
              </w:rPr>
              <w:t xml:space="preserve"> update to the BCE COTS system via an HL7 message to remove the unit from the system</w:t>
            </w:r>
            <w:r>
              <w:rPr>
                <w:rFonts w:cs="Arial"/>
                <w:szCs w:val="18"/>
              </w:rPr>
              <w:t>.</w:t>
            </w:r>
          </w:p>
          <w:p w14:paraId="7A2C38A0" w14:textId="77777777" w:rsidR="002A21AE" w:rsidRDefault="002A21AE">
            <w:pPr>
              <w:pStyle w:val="TableText"/>
            </w:pPr>
          </w:p>
          <w:p w14:paraId="0D854571" w14:textId="5324411C" w:rsidR="002A21AE" w:rsidRDefault="002A21AE">
            <w:pPr>
              <w:pStyle w:val="TableText"/>
              <w:rPr>
                <w:b/>
                <w:bCs/>
                <w:szCs w:val="18"/>
              </w:rPr>
            </w:pPr>
            <w:r>
              <w:rPr>
                <w:b/>
                <w:bCs/>
                <w:szCs w:val="18"/>
              </w:rPr>
              <w:t>NOTES</w:t>
            </w:r>
          </w:p>
          <w:p w14:paraId="4CC5C882" w14:textId="77777777" w:rsidR="002A21AE" w:rsidRDefault="002A21AE">
            <w:pPr>
              <w:pStyle w:val="NotesText"/>
            </w:pPr>
          </w:p>
          <w:p w14:paraId="5AA9EF81" w14:textId="77777777" w:rsidR="002A21AE" w:rsidRDefault="002A21AE">
            <w:pPr>
              <w:pStyle w:val="NotesText"/>
            </w:pPr>
            <w:r>
              <w:rPr>
                <w:rFonts w:cs="Arial"/>
                <w:vanish/>
              </w:rPr>
              <w:t xml:space="preserve">BR_47.07 </w:t>
            </w:r>
            <w:r>
              <w:t>When a unit has a future expiration date and holds no other assignments, VBECS updates the unit to “available” status. When a unit is assigned to a different patient, it remains assigned to that patient.</w:t>
            </w:r>
          </w:p>
          <w:p w14:paraId="4455FE41" w14:textId="77777777" w:rsidR="002A21AE" w:rsidRDefault="002A21AE">
            <w:pPr>
              <w:pStyle w:val="NotesText"/>
            </w:pPr>
          </w:p>
          <w:p w14:paraId="3207EE03" w14:textId="77777777" w:rsidR="002A21AE" w:rsidRDefault="002A21AE" w:rsidP="00DA7212">
            <w:pPr>
              <w:pStyle w:val="NotesText"/>
            </w:pPr>
            <w:r>
              <w:t>VBECS alerts the user when the unit is expired and reminds him to remove additional patient assignments and the unit from the available inventory according to local policies. VBECS instructs the user to release the unit from all assignments and remove it from the available inventory</w:t>
            </w:r>
            <w:r w:rsidR="00DA7212">
              <w:t xml:space="preserve"> per hospital policy.</w:t>
            </w:r>
          </w:p>
        </w:tc>
      </w:tr>
    </w:tbl>
    <w:p w14:paraId="1CD57ACA" w14:textId="187179C7" w:rsidR="005E1395" w:rsidRDefault="005E1395" w:rsidP="005E1395">
      <w:pPr>
        <w:pStyle w:val="Caption"/>
      </w:pPr>
      <w:bookmarkStart w:id="388" w:name="_Ref12715907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77</w:t>
      </w:r>
      <w:r w:rsidR="004E20BD">
        <w:rPr>
          <w:noProof/>
        </w:rPr>
        <w:fldChar w:fldCharType="end"/>
      </w:r>
      <w:bookmarkEnd w:id="388"/>
      <w:r>
        <w:t>: Confirm Release</w:t>
      </w:r>
    </w:p>
    <w:p w14:paraId="44D46BD4" w14:textId="32900A7F" w:rsidR="005E1395" w:rsidRDefault="009227D1">
      <w:pPr>
        <w:pStyle w:val="BodyText"/>
      </w:pPr>
      <w:r>
        <w:rPr>
          <w:noProof/>
        </w:rPr>
        <w:drawing>
          <wp:inline distT="0" distB="0" distL="0" distR="0" wp14:anchorId="21CB87B9" wp14:editId="68DB041B">
            <wp:extent cx="5943600" cy="4650105"/>
            <wp:effectExtent l="0" t="0" r="0" b="0"/>
            <wp:docPr id="184" name="Picture 184" descr="Example of Confirm Releas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Example of Confirm Release screen captur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3600" cy="4650105"/>
                    </a:xfrm>
                    <a:prstGeom prst="rect">
                      <a:avLst/>
                    </a:prstGeom>
                    <a:noFill/>
                    <a:ln>
                      <a:noFill/>
                    </a:ln>
                  </pic:spPr>
                </pic:pic>
              </a:graphicData>
            </a:graphic>
          </wp:inline>
        </w:drawing>
      </w:r>
    </w:p>
    <w:p w14:paraId="243972B1" w14:textId="77777777" w:rsidR="002A21AE" w:rsidRDefault="002A21AE">
      <w:pPr>
        <w:pStyle w:val="Heading2"/>
      </w:pPr>
      <w:r>
        <w:br w:type="page"/>
      </w:r>
      <w:bookmarkStart w:id="389" w:name="_Toc149064138"/>
      <w:r>
        <w:t>Print Unit Caution Tag &amp; Transfusion Record Form</w:t>
      </w:r>
      <w:bookmarkEnd w:id="389"/>
      <w:r w:rsidRPr="007716F7">
        <w:rPr>
          <w:vanish/>
        </w:rPr>
        <w:fldChar w:fldCharType="begin"/>
      </w:r>
      <w:r w:rsidRPr="007716F7">
        <w:rPr>
          <w:vanish/>
        </w:rPr>
        <w:instrText xml:space="preserve"> XE </w:instrText>
      </w:r>
      <w:r w:rsidR="00FA7E65" w:rsidRPr="007716F7">
        <w:rPr>
          <w:vanish/>
        </w:rPr>
        <w:instrText>“</w:instrText>
      </w:r>
      <w:r w:rsidRPr="007716F7">
        <w:rPr>
          <w:vanish/>
        </w:rPr>
        <w:instrText>Print Unit Caution Tag &amp; Transfusion Record Form</w:instrText>
      </w:r>
      <w:r w:rsidR="00FA7E65" w:rsidRPr="007716F7">
        <w:rPr>
          <w:vanish/>
        </w:rPr>
        <w:instrText>”</w:instrText>
      </w:r>
      <w:r w:rsidRPr="007716F7">
        <w:rPr>
          <w:vanish/>
        </w:rPr>
        <w:instrText xml:space="preserve"> </w:instrText>
      </w:r>
      <w:r w:rsidRPr="007716F7">
        <w:rPr>
          <w:vanish/>
        </w:rPr>
        <w:fldChar w:fldCharType="end"/>
      </w:r>
      <w:r w:rsidRPr="007716F7">
        <w:rPr>
          <w:vanish/>
        </w:rPr>
        <w:t xml:space="preserve"> UC_43, UC_44</w:t>
      </w:r>
    </w:p>
    <w:p w14:paraId="4AF1BF80" w14:textId="77777777" w:rsidR="00AD5827" w:rsidRDefault="002A21AE" w:rsidP="00FA7E65">
      <w:pPr>
        <w:pStyle w:val="BodyText"/>
      </w:pPr>
      <w:r>
        <w:t>The user may print a Caution Tag and/or a Blood Transfusion Record Form (BTRF) when crossmatch compatibility, assignment, or emergency issue are completed or as an independent action.</w:t>
      </w:r>
    </w:p>
    <w:p w14:paraId="374C6B1D" w14:textId="77777777" w:rsidR="002A21AE" w:rsidRDefault="002A21AE">
      <w:pPr>
        <w:pStyle w:val="Heading4"/>
      </w:pPr>
      <w:r>
        <w:t>Assumptions</w:t>
      </w:r>
      <w:r>
        <w:rPr>
          <w:b w:val="0"/>
        </w:rPr>
        <w:t xml:space="preserve"> </w:t>
      </w:r>
    </w:p>
    <w:p w14:paraId="09B61AAB" w14:textId="77777777" w:rsidR="002A21AE" w:rsidRDefault="002A21AE">
      <w:pPr>
        <w:pStyle w:val="ListBullet"/>
      </w:pPr>
      <w:r>
        <w:t>The blood unit, patient order, and user are in the same division.</w:t>
      </w:r>
    </w:p>
    <w:p w14:paraId="2A29D183" w14:textId="77777777" w:rsidR="002A21AE" w:rsidRDefault="002A21AE">
      <w:pPr>
        <w:pStyle w:val="ListBullet"/>
      </w:pPr>
      <w:r>
        <w:t>There is a current component class or emergency issue order for the patient, and the blood unit printed on the Caution Tag fulfills the patient order requirements.</w:t>
      </w:r>
    </w:p>
    <w:p w14:paraId="21575BB1" w14:textId="77777777" w:rsidR="002A21AE" w:rsidRDefault="002A21AE">
      <w:pPr>
        <w:pStyle w:val="ListBullet"/>
      </w:pPr>
      <w:r>
        <w:t>When the blood unit belongs to a component class that does not require crossmatch, it has a status of “assigned” (non-emergency issue only).</w:t>
      </w:r>
    </w:p>
    <w:p w14:paraId="2F656B9F" w14:textId="77777777" w:rsidR="002A21AE" w:rsidRDefault="002A21AE">
      <w:pPr>
        <w:pStyle w:val="ListBullet"/>
      </w:pPr>
      <w:r>
        <w:t>For non-emergency issue, the blood unit meets all patient Transfusion Requirements (TRs).</w:t>
      </w:r>
    </w:p>
    <w:p w14:paraId="60DE6FD4" w14:textId="77777777" w:rsidR="002A21AE" w:rsidRDefault="002A21AE">
      <w:pPr>
        <w:pStyle w:val="Heading4"/>
      </w:pPr>
      <w:r>
        <w:t>Outcome</w:t>
      </w:r>
    </w:p>
    <w:p w14:paraId="5074F347" w14:textId="77777777" w:rsidR="002A21AE" w:rsidRDefault="002A21AE">
      <w:pPr>
        <w:pStyle w:val="ListBullet"/>
      </w:pPr>
      <w:r>
        <w:t xml:space="preserve">The barcode generated on the Caution Tag </w:t>
      </w:r>
      <w:r w:rsidR="005C6950">
        <w:t>may</w:t>
      </w:r>
      <w:r>
        <w:t xml:space="preserve"> be used in bedside verification procedures</w:t>
      </w:r>
      <w:r w:rsidR="005C6950">
        <w:t>, in accordance with local policy and procedures</w:t>
      </w:r>
      <w:r>
        <w:t>.</w:t>
      </w:r>
    </w:p>
    <w:p w14:paraId="31A5CDC6" w14:textId="77777777" w:rsidR="002A21AE" w:rsidRDefault="002A21AE">
      <w:pPr>
        <w:pStyle w:val="ListBullet"/>
      </w:pPr>
      <w:r>
        <w:t>A user may reprint a BTRF and Caution Tag.</w:t>
      </w:r>
    </w:p>
    <w:p w14:paraId="40D3FCBF" w14:textId="77777777" w:rsidR="002A21AE" w:rsidRDefault="002A21AE">
      <w:pPr>
        <w:pStyle w:val="Heading4"/>
      </w:pPr>
      <w:r>
        <w:t>Limitations and Restrictions</w:t>
      </w:r>
      <w:r>
        <w:rPr>
          <w:b w:val="0"/>
        </w:rPr>
        <w:t xml:space="preserve"> </w:t>
      </w:r>
    </w:p>
    <w:p w14:paraId="1F9400BB" w14:textId="77777777" w:rsidR="002A21AE" w:rsidRDefault="002A21AE">
      <w:pPr>
        <w:pStyle w:val="ListBullet"/>
      </w:pPr>
      <w:bookmarkStart w:id="390" w:name="OLE_LINK23"/>
      <w:r>
        <w:t xml:space="preserve">VBECS cannot reprint a Caution Tag on an expired unit or </w:t>
      </w:r>
      <w:r w:rsidR="00FE1BEB">
        <w:t xml:space="preserve">expired </w:t>
      </w:r>
      <w:r>
        <w:t>patient order.</w:t>
      </w:r>
    </w:p>
    <w:p w14:paraId="0BECDB81" w14:textId="12B33EE4" w:rsidR="003226D0" w:rsidRDefault="003226D0" w:rsidP="003226D0">
      <w:pPr>
        <w:pStyle w:val="ListBullet"/>
      </w:pPr>
      <w:r>
        <w:t xml:space="preserve">VBECS does not print a unit’s </w:t>
      </w:r>
      <w:r w:rsidRPr="00D47D4A">
        <w:t>biohazardous</w:t>
      </w:r>
      <w:r>
        <w:t xml:space="preserve"> status on the BTRF or Caution Tag</w:t>
      </w:r>
      <w:r w:rsidRPr="00D47D4A">
        <w:t xml:space="preserve">. </w:t>
      </w:r>
    </w:p>
    <w:p w14:paraId="018072C5" w14:textId="3BED1957" w:rsidR="007114A4" w:rsidRDefault="009556B9" w:rsidP="003226D0">
      <w:pPr>
        <w:pStyle w:val="ListBullet"/>
      </w:pPr>
      <w:r>
        <w:t xml:space="preserve">If a unit has been crossmatched by two different technologists, the Compatibility Interpretation section of the BTRF displays the technologist that performed the earlier XM testing. </w:t>
      </w:r>
      <w:r w:rsidR="002B29EA">
        <w:t>Handwrite the missing current</w:t>
      </w:r>
      <w:r w:rsidR="00F34EA6">
        <w:t xml:space="preserve"> technologist initials on the printed BTRF. </w:t>
      </w:r>
      <w:r w:rsidRPr="00F34EA6">
        <w:rPr>
          <w:vanish/>
        </w:rPr>
        <w:t>Defect 210195</w:t>
      </w:r>
    </w:p>
    <w:bookmarkEnd w:id="390"/>
    <w:p w14:paraId="18ADA7FA" w14:textId="77777777" w:rsidR="002A21AE" w:rsidRDefault="002A21AE">
      <w:pPr>
        <w:pStyle w:val="Heading4"/>
      </w:pPr>
      <w:r>
        <w:t>Additional Information</w:t>
      </w:r>
    </w:p>
    <w:p w14:paraId="5911D991" w14:textId="77777777" w:rsidR="002A21AE" w:rsidRDefault="002A21AE">
      <w:pPr>
        <w:pStyle w:val="ListBullet"/>
      </w:pPr>
      <w:r>
        <w:rPr>
          <w:rFonts w:ascii="Arial" w:hAnsi="Arial" w:cs="Arial"/>
          <w:vanish/>
          <w:spacing w:val="0"/>
          <w:sz w:val="18"/>
        </w:rPr>
        <w:t xml:space="preserve">BR_43.10 </w:t>
      </w:r>
      <w:r>
        <w:t>The informational barcode printed on the Caution Tag includes only the patient and unit IDs and the unit product code.</w:t>
      </w:r>
    </w:p>
    <w:p w14:paraId="1CD46EEA" w14:textId="77777777" w:rsidR="002A21AE" w:rsidRDefault="002A21AE">
      <w:pPr>
        <w:pStyle w:val="ListBullet"/>
      </w:pPr>
      <w:r>
        <w:t>A user may print multiple Caution Tags and BTRFs for a blood unit when it is assigned to multiple patients.</w:t>
      </w:r>
    </w:p>
    <w:p w14:paraId="1CAFB551" w14:textId="77777777" w:rsidR="002A21AE" w:rsidRDefault="00FE1BEB">
      <w:pPr>
        <w:pStyle w:val="ListBullet"/>
      </w:pPr>
      <w:r>
        <w:t>A</w:t>
      </w:r>
      <w:r w:rsidR="002A21AE">
        <w:t>ttach the Caution Tag</w:t>
      </w:r>
      <w:r>
        <w:t xml:space="preserve"> labels to blood bags in accordance with local policy and procedures</w:t>
      </w:r>
      <w:r w:rsidR="002A21AE">
        <w:t>.</w:t>
      </w:r>
    </w:p>
    <w:p w14:paraId="1BCBA1A5" w14:textId="77777777" w:rsidR="002A21AE" w:rsidRDefault="002A21AE">
      <w:pPr>
        <w:pStyle w:val="Heading4"/>
        <w:rPr>
          <w:b w:val="0"/>
        </w:rPr>
      </w:pPr>
      <w:r>
        <w:t>User Roles with Access to This Option</w:t>
      </w:r>
      <w:r>
        <w:rPr>
          <w:b w:val="0"/>
        </w:rPr>
        <w:t xml:space="preserve"> </w:t>
      </w:r>
    </w:p>
    <w:p w14:paraId="6E04F9C6" w14:textId="77777777" w:rsidR="00396D65" w:rsidRDefault="00396D65" w:rsidP="00396D65">
      <w:pPr>
        <w:pStyle w:val="Roles"/>
        <w:rPr>
          <w:snapToGrid w:val="0"/>
        </w:rPr>
      </w:pPr>
      <w:r>
        <w:t>All users</w:t>
      </w:r>
      <w:r>
        <w:rPr>
          <w:snapToGrid w:val="0"/>
        </w:rPr>
        <w:t xml:space="preserve"> </w:t>
      </w:r>
    </w:p>
    <w:p w14:paraId="4FEF2208" w14:textId="77777777" w:rsidR="002A21AE" w:rsidRDefault="002A21AE">
      <w:pPr>
        <w:pStyle w:val="Heading4"/>
      </w:pPr>
      <w:r>
        <w:t xml:space="preserve">Print </w:t>
      </w:r>
      <w:r w:rsidR="004B2F32">
        <w:t>Backup</w:t>
      </w:r>
      <w:r>
        <w:t xml:space="preserve"> Caution Tags and Blood Transfusion Record Forms</w:t>
      </w:r>
      <w:r>
        <w:fldChar w:fldCharType="begin"/>
      </w:r>
      <w:r>
        <w:instrText xml:space="preserve"> XE </w:instrText>
      </w:r>
      <w:r w:rsidR="00FA7E65">
        <w:instrText>“</w:instrText>
      </w:r>
      <w:r>
        <w:instrText xml:space="preserve">Print </w:instrText>
      </w:r>
      <w:r w:rsidR="004B2F32">
        <w:instrText>Backup</w:instrText>
      </w:r>
      <w:r>
        <w:instrText xml:space="preserve"> Caution Tags and Blood Transfusion Record Forms</w:instrText>
      </w:r>
      <w:r w:rsidR="00FA7E65">
        <w:instrText>”</w:instrText>
      </w:r>
      <w:r>
        <w:instrText xml:space="preserve"> </w:instrText>
      </w:r>
      <w:r>
        <w:fldChar w:fldCharType="end"/>
      </w:r>
      <w:r>
        <w:t xml:space="preserve"> </w:t>
      </w:r>
    </w:p>
    <w:p w14:paraId="23F9658C" w14:textId="77777777" w:rsidR="002A21AE" w:rsidRDefault="002A21AE" w:rsidP="00FA7E65">
      <w:pPr>
        <w:pStyle w:val="BodyText"/>
      </w:pPr>
      <w:r>
        <w:t>It is recommend</w:t>
      </w:r>
      <w:r w:rsidR="00164C0F">
        <w:t>ed</w:t>
      </w:r>
      <w:r>
        <w:t xml:space="preserve"> that </w:t>
      </w:r>
      <w:r w:rsidR="004B2F32">
        <w:t>b</w:t>
      </w:r>
      <w:r>
        <w:t>lank Caution Tags and BTRFs be kept on hand in case the system or printer is not available to generate them.</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0F97216" w14:textId="77777777">
        <w:trPr>
          <w:cantSplit/>
          <w:tblHeader/>
        </w:trPr>
        <w:tc>
          <w:tcPr>
            <w:tcW w:w="3240" w:type="dxa"/>
            <w:shd w:val="pct30" w:color="auto" w:fill="FFFFFF"/>
            <w:vAlign w:val="bottom"/>
          </w:tcPr>
          <w:p w14:paraId="31B98121" w14:textId="77777777" w:rsidR="002A21AE" w:rsidRDefault="002A21AE">
            <w:pPr>
              <w:pStyle w:val="TableText"/>
              <w:rPr>
                <w:b/>
              </w:rPr>
            </w:pPr>
            <w:bookmarkStart w:id="391" w:name="_Toc48708314"/>
            <w:bookmarkStart w:id="392" w:name="_Toc48708326"/>
            <w:bookmarkStart w:id="393" w:name="_Toc77663248"/>
            <w:r>
              <w:rPr>
                <w:b/>
              </w:rPr>
              <w:t>User Action</w:t>
            </w:r>
          </w:p>
        </w:tc>
        <w:tc>
          <w:tcPr>
            <w:tcW w:w="6120" w:type="dxa"/>
            <w:shd w:val="pct30" w:color="auto" w:fill="FFFFFF"/>
            <w:vAlign w:val="bottom"/>
          </w:tcPr>
          <w:p w14:paraId="349B9D97" w14:textId="77777777" w:rsidR="002A21AE" w:rsidRDefault="002A21AE">
            <w:pPr>
              <w:pStyle w:val="TableText"/>
              <w:rPr>
                <w:b/>
              </w:rPr>
            </w:pPr>
            <w:r>
              <w:rPr>
                <w:b/>
              </w:rPr>
              <w:t>VBECS</w:t>
            </w:r>
          </w:p>
        </w:tc>
      </w:tr>
      <w:tr w:rsidR="002A21AE" w14:paraId="27913D74" w14:textId="77777777">
        <w:tc>
          <w:tcPr>
            <w:tcW w:w="3240" w:type="dxa"/>
          </w:tcPr>
          <w:p w14:paraId="0C9A93BB" w14:textId="77777777" w:rsidR="002A21AE" w:rsidRDefault="002A21AE">
            <w:pPr>
              <w:pStyle w:val="TableTextNumbers"/>
            </w:pPr>
            <w:r>
              <w:t xml:space="preserve">Select </w:t>
            </w:r>
            <w:r>
              <w:rPr>
                <w:b/>
              </w:rPr>
              <w:t>Tools</w:t>
            </w:r>
            <w:r>
              <w:t xml:space="preserve"> from the main menu.</w:t>
            </w:r>
          </w:p>
          <w:p w14:paraId="21222954" w14:textId="77777777" w:rsidR="002A21AE" w:rsidRDefault="002A21AE">
            <w:pPr>
              <w:pStyle w:val="TableTextNumbersContinued"/>
              <w:rPr>
                <w:b/>
                <w:bCs/>
              </w:rPr>
            </w:pPr>
          </w:p>
          <w:p w14:paraId="36983E6D" w14:textId="77777777" w:rsidR="002A21AE" w:rsidRDefault="002A21AE">
            <w:pPr>
              <w:pStyle w:val="TableTextNumbersContinued"/>
            </w:pPr>
            <w:r>
              <w:t xml:space="preserve">Select </w:t>
            </w:r>
            <w:r>
              <w:rPr>
                <w:b/>
              </w:rPr>
              <w:t>Print Backup Forms</w:t>
            </w:r>
            <w:r>
              <w:t>.</w:t>
            </w:r>
          </w:p>
          <w:p w14:paraId="099FBD4F" w14:textId="77777777" w:rsidR="002A21AE" w:rsidRDefault="002A21AE">
            <w:pPr>
              <w:pStyle w:val="TableTextNumbersContinued"/>
            </w:pPr>
          </w:p>
          <w:p w14:paraId="502E2DC8" w14:textId="26B0E71B" w:rsidR="002A21AE" w:rsidRDefault="002A21AE">
            <w:pPr>
              <w:pStyle w:val="TableTextNumbersContinued"/>
            </w:pPr>
            <w:r>
              <w:t>Enter or select the number of blank tags or forms to print</w:t>
            </w:r>
            <w:r w:rsidR="009B102E">
              <w:t xml:space="preserve"> (</w:t>
            </w:r>
            <w:r w:rsidR="00EE455E">
              <w:t xml:space="preserve">Figure </w:t>
            </w:r>
            <w:r w:rsidR="00EE455E">
              <w:rPr>
                <w:noProof/>
              </w:rPr>
              <w:t>78</w:t>
            </w:r>
            <w:r w:rsidR="009B102E">
              <w:t>)</w:t>
            </w:r>
            <w:r>
              <w:t>.</w:t>
            </w:r>
          </w:p>
          <w:p w14:paraId="169F2055" w14:textId="77777777" w:rsidR="002A21AE" w:rsidRDefault="002A21AE">
            <w:pPr>
              <w:pStyle w:val="TableTextNumbersContinued"/>
            </w:pPr>
          </w:p>
          <w:p w14:paraId="71A82C13" w14:textId="77777777" w:rsidR="002A21AE" w:rsidRDefault="002A21AE">
            <w:pPr>
              <w:pStyle w:val="TableTextNumbersContinued"/>
            </w:pPr>
            <w:r>
              <w:t xml:space="preserve">Click </w:t>
            </w:r>
            <w:r>
              <w:rPr>
                <w:b/>
              </w:rPr>
              <w:t>OK</w:t>
            </w:r>
            <w:r>
              <w:t xml:space="preserve"> to print and 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5BAFD4E1" w14:textId="77777777" w:rsidR="002A21AE" w:rsidRDefault="002A21AE">
            <w:pPr>
              <w:pStyle w:val="TableTextBullet"/>
              <w:ind w:left="0" w:firstLine="0"/>
            </w:pPr>
            <w:r>
              <w:t>Displays options for processing administrative functions.</w:t>
            </w:r>
          </w:p>
          <w:p w14:paraId="03869EDF" w14:textId="77777777" w:rsidR="002A21AE" w:rsidRDefault="002A21AE">
            <w:pPr>
              <w:pStyle w:val="TableTextBullet"/>
              <w:ind w:left="0" w:firstLine="0"/>
            </w:pPr>
            <w:r>
              <w:t>Prompts the user to enter the number of Caution Tags to be printed.</w:t>
            </w:r>
          </w:p>
          <w:p w14:paraId="5E899066" w14:textId="77777777" w:rsidR="002A21AE" w:rsidRDefault="002A21AE">
            <w:pPr>
              <w:pStyle w:val="TableTextBullet"/>
              <w:ind w:left="0" w:firstLine="0"/>
            </w:pPr>
            <w:r>
              <w:t>Prints the blank Caution Tags.</w:t>
            </w:r>
          </w:p>
          <w:p w14:paraId="5E758C85" w14:textId="77777777" w:rsidR="002A21AE" w:rsidRDefault="002A21AE">
            <w:pPr>
              <w:pStyle w:val="TableText"/>
              <w:rPr>
                <w:b/>
                <w:bCs/>
                <w:szCs w:val="18"/>
              </w:rPr>
            </w:pPr>
          </w:p>
          <w:p w14:paraId="5E9CA0A2" w14:textId="30E2A1B4" w:rsidR="002A21AE" w:rsidRDefault="002A21AE">
            <w:pPr>
              <w:pStyle w:val="TableText"/>
              <w:rPr>
                <w:b/>
                <w:bCs/>
                <w:szCs w:val="18"/>
              </w:rPr>
            </w:pPr>
            <w:r>
              <w:rPr>
                <w:b/>
                <w:bCs/>
                <w:szCs w:val="18"/>
              </w:rPr>
              <w:t>NOTES</w:t>
            </w:r>
          </w:p>
          <w:p w14:paraId="39CB4A48" w14:textId="77777777" w:rsidR="002A21AE" w:rsidRDefault="002A21AE">
            <w:pPr>
              <w:pStyle w:val="NotesText"/>
            </w:pPr>
          </w:p>
          <w:p w14:paraId="46ED876B" w14:textId="77777777" w:rsidR="002A21AE" w:rsidRDefault="002A21AE">
            <w:pPr>
              <w:pStyle w:val="NotesText"/>
            </w:pPr>
            <w:r>
              <w:rPr>
                <w:rFonts w:cs="Arial"/>
                <w:vanish/>
              </w:rPr>
              <w:t xml:space="preserve">BR_43.22 </w:t>
            </w:r>
            <w:r>
              <w:t>VBECS displays an option to print a Caution Tag or a BTRF when the user selects a unit or a patient.</w:t>
            </w:r>
          </w:p>
          <w:p w14:paraId="2170F6DB" w14:textId="77777777" w:rsidR="002A21AE" w:rsidRDefault="002A21AE">
            <w:pPr>
              <w:pStyle w:val="NotesText"/>
            </w:pPr>
          </w:p>
          <w:p w14:paraId="05BAE104" w14:textId="77777777" w:rsidR="002A21AE" w:rsidRDefault="002A21AE">
            <w:pPr>
              <w:pStyle w:val="NotesText"/>
            </w:pPr>
            <w:r>
              <w:rPr>
                <w:rFonts w:cs="Arial"/>
                <w:vanish/>
                <w:szCs w:val="18"/>
              </w:rPr>
              <w:t>BR_43.15</w:t>
            </w:r>
            <w:r w:rsidR="00CE3961">
              <w:rPr>
                <w:rFonts w:cs="Arial"/>
                <w:vanish/>
                <w:szCs w:val="18"/>
              </w:rPr>
              <w:t>,</w:t>
            </w:r>
            <w:r>
              <w:rPr>
                <w:rFonts w:cs="Arial"/>
                <w:vanish/>
                <w:szCs w:val="18"/>
              </w:rPr>
              <w:t xml:space="preserve"> </w:t>
            </w:r>
            <w:r>
              <w:rPr>
                <w:vanish/>
                <w:szCs w:val="18"/>
              </w:rPr>
              <w:t xml:space="preserve">BR_43.11 </w:t>
            </w:r>
            <w:r w:rsidR="00A90257">
              <w:t xml:space="preserve">The user may print </w:t>
            </w:r>
            <w:r>
              <w:t>blank Caution Tags and BT</w:t>
            </w:r>
            <w:r w:rsidR="004F7C13">
              <w:t>RFs</w:t>
            </w:r>
            <w:r w:rsidR="00A72710">
              <w:t xml:space="preserve"> </w:t>
            </w:r>
            <w:r w:rsidR="00AB6515">
              <w:t>to use in case of downtime.</w:t>
            </w:r>
            <w:r w:rsidR="00AB6515" w:rsidRPr="00812458">
              <w:rPr>
                <w:vanish/>
              </w:rPr>
              <w:t xml:space="preserve"> Task 440471</w:t>
            </w:r>
          </w:p>
          <w:p w14:paraId="6D57056E" w14:textId="77777777" w:rsidR="002A21AE" w:rsidRDefault="002A21AE">
            <w:pPr>
              <w:pStyle w:val="TableText"/>
            </w:pPr>
          </w:p>
          <w:p w14:paraId="3E7848E5" w14:textId="77777777" w:rsidR="002A21AE" w:rsidRDefault="002A21AE">
            <w:pPr>
              <w:pStyle w:val="NotesText"/>
            </w:pPr>
            <w:r>
              <w:rPr>
                <w:rFonts w:cs="Arial"/>
                <w:vanish/>
              </w:rPr>
              <w:t xml:space="preserve">BR_43.12 </w:t>
            </w:r>
            <w:r>
              <w:t>VBECS interrupts or cancels a print job to accommodate the printing of an emergency issue tag. VBECS notifies the user of the number of tags printed and instructs the user to enter a new request to print more tags.</w:t>
            </w:r>
          </w:p>
        </w:tc>
      </w:tr>
    </w:tbl>
    <w:p w14:paraId="09EF50D4" w14:textId="04A41B5F" w:rsidR="009B102E" w:rsidRDefault="009B102E" w:rsidP="009B102E">
      <w:pPr>
        <w:pStyle w:val="Caption"/>
      </w:pPr>
      <w:bookmarkStart w:id="394" w:name="_Ref127005506"/>
      <w:bookmarkEnd w:id="391"/>
      <w:bookmarkEnd w:id="392"/>
      <w:bookmarkEnd w:id="39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78</w:t>
      </w:r>
      <w:r w:rsidR="004E20BD">
        <w:rPr>
          <w:noProof/>
        </w:rPr>
        <w:fldChar w:fldCharType="end"/>
      </w:r>
      <w:bookmarkEnd w:id="394"/>
      <w:r>
        <w:t>: Print Backup Forms</w:t>
      </w:r>
    </w:p>
    <w:p w14:paraId="3CFC85A5" w14:textId="77777777" w:rsidR="009B102E" w:rsidRPr="009B102E" w:rsidRDefault="00057948" w:rsidP="009B102E">
      <w:pPr>
        <w:pStyle w:val="BodyText"/>
      </w:pPr>
      <w:r>
        <w:rPr>
          <w:noProof/>
        </w:rPr>
        <w:drawing>
          <wp:inline distT="0" distB="0" distL="0" distR="0" wp14:anchorId="6E52F909" wp14:editId="6F5DF677">
            <wp:extent cx="3546475" cy="2133600"/>
            <wp:effectExtent l="0" t="0" r="0" b="0"/>
            <wp:docPr id="198" name="Picture 198" descr="Example of Print Backup Form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Example of Print Backup Forms screen capture"/>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546475" cy="2133600"/>
                    </a:xfrm>
                    <a:prstGeom prst="rect">
                      <a:avLst/>
                    </a:prstGeom>
                    <a:noFill/>
                    <a:ln>
                      <a:noFill/>
                    </a:ln>
                  </pic:spPr>
                </pic:pic>
              </a:graphicData>
            </a:graphic>
          </wp:inline>
        </w:drawing>
      </w:r>
    </w:p>
    <w:p w14:paraId="3E9FE05C" w14:textId="77777777" w:rsidR="002A21AE" w:rsidRDefault="002A21AE">
      <w:pPr>
        <w:pStyle w:val="Heading4"/>
      </w:pPr>
      <w:r>
        <w:t>Print Unit Caution Tag &amp; Transfusion Record Form</w:t>
      </w:r>
    </w:p>
    <w:p w14:paraId="166F05F6" w14:textId="77777777" w:rsidR="002A21AE" w:rsidRDefault="002A21AE" w:rsidP="00FA7E65">
      <w:pPr>
        <w:pStyle w:val="BodyText"/>
      </w:pPr>
      <w:r>
        <w:t xml:space="preserve">The user may need to generate Caution Tags when they were not printed immediately after unit selection and crossmatch data entry, emergency issue, or when there is a problem with the printed Caution Tag. According to local </w:t>
      </w:r>
      <w:r w:rsidR="00A10483">
        <w:t>policy,</w:t>
      </w:r>
      <w:r>
        <w:t xml:space="preserve"> the user selects a current patient order and one or more units to print from the VBECS-generated list of units eligible for immediate transfusion. </w:t>
      </w:r>
    </w:p>
    <w:p w14:paraId="3C446E5B" w14:textId="77777777" w:rsidR="002A21AE" w:rsidRDefault="002A21AE" w:rsidP="00FA7E65">
      <w:pPr>
        <w:pStyle w:val="BodyText"/>
      </w:pPr>
      <w:r>
        <w:t>VBECS does not allow a user to print a Caution Tag unless the unit is satisfactory for immediate issue.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BC436AE" w14:textId="77777777">
        <w:trPr>
          <w:cantSplit/>
          <w:tblHeader/>
        </w:trPr>
        <w:tc>
          <w:tcPr>
            <w:tcW w:w="3240" w:type="dxa"/>
            <w:shd w:val="pct30" w:color="auto" w:fill="FFFFFF"/>
            <w:vAlign w:val="bottom"/>
          </w:tcPr>
          <w:p w14:paraId="284A778C" w14:textId="77777777" w:rsidR="002A21AE" w:rsidRDefault="002A21AE">
            <w:pPr>
              <w:pStyle w:val="TableText"/>
              <w:rPr>
                <w:b/>
              </w:rPr>
            </w:pPr>
            <w:r>
              <w:rPr>
                <w:b/>
              </w:rPr>
              <w:t>User Action</w:t>
            </w:r>
          </w:p>
        </w:tc>
        <w:tc>
          <w:tcPr>
            <w:tcW w:w="6120" w:type="dxa"/>
            <w:shd w:val="pct30" w:color="auto" w:fill="FFFFFF"/>
            <w:vAlign w:val="bottom"/>
          </w:tcPr>
          <w:p w14:paraId="4BD8EB35" w14:textId="77777777" w:rsidR="002A21AE" w:rsidRDefault="002A21AE">
            <w:pPr>
              <w:pStyle w:val="TableText"/>
              <w:rPr>
                <w:b/>
              </w:rPr>
            </w:pPr>
            <w:r>
              <w:rPr>
                <w:b/>
              </w:rPr>
              <w:t>VBECS</w:t>
            </w:r>
          </w:p>
        </w:tc>
      </w:tr>
      <w:tr w:rsidR="002A21AE" w14:paraId="13FFBFB7" w14:textId="77777777">
        <w:tc>
          <w:tcPr>
            <w:tcW w:w="3240" w:type="dxa"/>
          </w:tcPr>
          <w:p w14:paraId="117296AB" w14:textId="77777777" w:rsidR="002A21AE" w:rsidRDefault="002A21AE">
            <w:pPr>
              <w:pStyle w:val="TableTextNumbers"/>
            </w:pPr>
            <w:r>
              <w:t xml:space="preserve">Select </w:t>
            </w:r>
            <w:r>
              <w:rPr>
                <w:b/>
              </w:rPr>
              <w:t>Patients</w:t>
            </w:r>
            <w:r>
              <w:t xml:space="preserve"> or </w:t>
            </w:r>
            <w:r>
              <w:rPr>
                <w:b/>
                <w:bCs/>
              </w:rPr>
              <w:t>Blood Units</w:t>
            </w:r>
            <w:r>
              <w:t xml:space="preserve"> from the main menu.</w:t>
            </w:r>
          </w:p>
          <w:p w14:paraId="740ACF59" w14:textId="77777777" w:rsidR="002A21AE" w:rsidRDefault="002A21AE">
            <w:pPr>
              <w:pStyle w:val="TableTextNumbersContinued"/>
            </w:pPr>
          </w:p>
          <w:p w14:paraId="5DC17022" w14:textId="77777777" w:rsidR="002A21AE" w:rsidRDefault="002A21AE">
            <w:pPr>
              <w:pStyle w:val="TableTextNumbersContinued"/>
              <w:rPr>
                <w:b/>
                <w:bCs/>
              </w:rPr>
            </w:pPr>
            <w:r>
              <w:t xml:space="preserve">Select </w:t>
            </w:r>
            <w:r>
              <w:rPr>
                <w:b/>
              </w:rPr>
              <w:t>Print Unit Caution Tag &amp; Transfusion Record Form</w:t>
            </w:r>
            <w:r>
              <w:t>.</w:t>
            </w:r>
          </w:p>
        </w:tc>
        <w:tc>
          <w:tcPr>
            <w:tcW w:w="6120" w:type="dxa"/>
          </w:tcPr>
          <w:p w14:paraId="60F7AA48" w14:textId="77777777" w:rsidR="002A21AE" w:rsidRDefault="002A21AE">
            <w:pPr>
              <w:pStyle w:val="TableTextBullet"/>
            </w:pPr>
            <w:r>
              <w:t>Displays options for processing patient-related functions or for processing units.</w:t>
            </w:r>
          </w:p>
          <w:p w14:paraId="184C7582" w14:textId="77777777" w:rsidR="002A21AE" w:rsidRDefault="002A21AE">
            <w:pPr>
              <w:pStyle w:val="TableTextBullet"/>
            </w:pPr>
            <w:r>
              <w:t>Displays the option to select a patient, if one is not already selected.</w:t>
            </w:r>
          </w:p>
          <w:p w14:paraId="4844BE8A" w14:textId="77777777" w:rsidR="002A21AE" w:rsidRDefault="002A21AE">
            <w:pPr>
              <w:pStyle w:val="TableTextNumbersContinued"/>
            </w:pPr>
          </w:p>
          <w:p w14:paraId="104E8476" w14:textId="01623868" w:rsidR="002F53E0" w:rsidRDefault="002F53E0" w:rsidP="002F53E0">
            <w:pPr>
              <w:pStyle w:val="TableText"/>
              <w:rPr>
                <w:b/>
                <w:bCs/>
                <w:szCs w:val="18"/>
              </w:rPr>
            </w:pPr>
            <w:r>
              <w:rPr>
                <w:b/>
                <w:bCs/>
                <w:szCs w:val="18"/>
              </w:rPr>
              <w:t>NOTES</w:t>
            </w:r>
          </w:p>
          <w:p w14:paraId="2F3C4B8E" w14:textId="77777777" w:rsidR="002F53E0" w:rsidRDefault="002F53E0" w:rsidP="002F53E0">
            <w:pPr>
              <w:pStyle w:val="NotesText"/>
            </w:pPr>
          </w:p>
          <w:p w14:paraId="372B5244" w14:textId="77777777" w:rsidR="002F53E0" w:rsidRDefault="002F53E0">
            <w:pPr>
              <w:pStyle w:val="TableTextNumbersContinued"/>
            </w:pPr>
            <w:r w:rsidRPr="002F53E0">
              <w:rPr>
                <w:vanish/>
              </w:rPr>
              <w:t xml:space="preserve">BR_43.23 </w:t>
            </w:r>
            <w:r w:rsidRPr="007246D5">
              <w:t xml:space="preserve">For </w:t>
            </w:r>
            <w:r>
              <w:t xml:space="preserve">patient with </w:t>
            </w:r>
            <w:r w:rsidRPr="007246D5">
              <w:t>an Rh</w:t>
            </w:r>
            <w:r>
              <w:t xml:space="preserve"> that is</w:t>
            </w:r>
            <w:r w:rsidRPr="007246D5">
              <w:t xml:space="preserve"> </w:t>
            </w:r>
            <w:r>
              <w:t>not Positive (</w:t>
            </w:r>
            <w:r w:rsidRPr="007246D5">
              <w:t>neg</w:t>
            </w:r>
            <w:r>
              <w:t>ative, unknown, or inconclusive): W</w:t>
            </w:r>
            <w:r w:rsidRPr="00C26359">
              <w:t>hen</w:t>
            </w:r>
            <w:r w:rsidRPr="00C26359">
              <w:rPr>
                <w:b/>
              </w:rPr>
              <w:t xml:space="preserve"> Rh “Positive” or Rh “Pooled”</w:t>
            </w:r>
            <w:r>
              <w:rPr>
                <w:b/>
              </w:rPr>
              <w:t xml:space="preserve"> </w:t>
            </w:r>
            <w:r w:rsidRPr="00912031">
              <w:rPr>
                <w:rFonts w:cs="Arial"/>
              </w:rPr>
              <w:t xml:space="preserve">units from the WHOLE BLOOD, RED BLOOD CELLS, PLATELETS, and OTHER VBECS component classes are individually entered and confirmed by the user, the system provides an audible alert </w:t>
            </w:r>
            <w:r w:rsidRPr="0019397F">
              <w:t>and displays the alert: "Patient is an Rh negative and the selected unit is Rh positive. Check patient sex and hospital policy before continuing. Proceed?" The user will click OK to continue.</w:t>
            </w:r>
          </w:p>
        </w:tc>
      </w:tr>
      <w:tr w:rsidR="002A21AE" w14:paraId="2EF7DAC9" w14:textId="77777777" w:rsidTr="001A459B">
        <w:trPr>
          <w:cantSplit/>
        </w:trPr>
        <w:tc>
          <w:tcPr>
            <w:tcW w:w="3240" w:type="dxa"/>
          </w:tcPr>
          <w:p w14:paraId="556A8E1F" w14:textId="77777777" w:rsidR="002A21AE" w:rsidRDefault="002A21AE">
            <w:pPr>
              <w:pStyle w:val="TableTextNumbers"/>
            </w:pPr>
            <w:r>
              <w:t xml:space="preserve">Enter the patient name or ID and click </w:t>
            </w:r>
            <w:r>
              <w:rPr>
                <w:b/>
                <w:bCs/>
              </w:rPr>
              <w:t xml:space="preserve">Search </w:t>
            </w:r>
            <w:r>
              <w:t xml:space="preserve">to select a patient, or </w:t>
            </w:r>
          </w:p>
          <w:p w14:paraId="73DB0F67" w14:textId="77777777" w:rsidR="002A21AE" w:rsidRDefault="002A21AE">
            <w:pPr>
              <w:pStyle w:val="TableTextNumbersContinued"/>
            </w:pPr>
          </w:p>
          <w:p w14:paraId="35EAE1F2" w14:textId="07FD4BA0" w:rsidR="002A21AE" w:rsidRDefault="002A21AE">
            <w:pPr>
              <w:pStyle w:val="TableTextNumbersContinued"/>
            </w:pPr>
            <w:r>
              <w:t xml:space="preserve">Click </w:t>
            </w:r>
            <w:r>
              <w:rPr>
                <w:b/>
              </w:rPr>
              <w:t>Search by Unit</w:t>
            </w:r>
            <w:r w:rsidR="00EB7F52">
              <w:rPr>
                <w:b/>
              </w:rPr>
              <w:t xml:space="preserve"> </w:t>
            </w:r>
            <w:r w:rsidR="00CD3C64" w:rsidRPr="00CD3C64">
              <w:t>(</w:t>
            </w:r>
            <w:r w:rsidR="00EE455E">
              <w:t xml:space="preserve">Figure </w:t>
            </w:r>
            <w:r w:rsidR="00EE455E">
              <w:rPr>
                <w:noProof/>
              </w:rPr>
              <w:t>79</w:t>
            </w:r>
            <w:r w:rsidR="00CD3C64" w:rsidRPr="00CD3C64">
              <w:t>)</w:t>
            </w:r>
            <w:r>
              <w:t>.</w:t>
            </w:r>
          </w:p>
          <w:p w14:paraId="0EEAE0C0" w14:textId="77777777" w:rsidR="002A21AE" w:rsidRDefault="002A21AE">
            <w:pPr>
              <w:pStyle w:val="TableTextNumbersContinued"/>
            </w:pPr>
          </w:p>
          <w:p w14:paraId="63BCE570" w14:textId="77777777" w:rsidR="002A21AE" w:rsidRDefault="002A21AE">
            <w:pPr>
              <w:pStyle w:val="TableTextNumbersContinued"/>
            </w:pPr>
            <w:r>
              <w:t>Enter the unit ID and/or product.</w:t>
            </w:r>
          </w:p>
        </w:tc>
        <w:tc>
          <w:tcPr>
            <w:tcW w:w="6120" w:type="dxa"/>
          </w:tcPr>
          <w:p w14:paraId="60BAE2A9" w14:textId="77777777" w:rsidR="002A21AE" w:rsidRDefault="002A21AE">
            <w:pPr>
              <w:pStyle w:val="TableTextBullet"/>
            </w:pPr>
            <w:r>
              <w:t>Requests that the user select a Caution Tag and/or a BTRF to print by unit ID or by patient.</w:t>
            </w:r>
          </w:p>
          <w:p w14:paraId="7C965996" w14:textId="77777777" w:rsidR="002A21AE" w:rsidRDefault="002A21AE">
            <w:pPr>
              <w:pStyle w:val="TableTextBullet"/>
            </w:pPr>
            <w:r>
              <w:t>Displays an informational message, when appropriate.</w:t>
            </w:r>
          </w:p>
        </w:tc>
      </w:tr>
      <w:tr w:rsidR="002A21AE" w14:paraId="5634CFA0" w14:textId="77777777">
        <w:tc>
          <w:tcPr>
            <w:tcW w:w="3240" w:type="dxa"/>
            <w:tcBorders>
              <w:top w:val="single" w:sz="4" w:space="0" w:color="auto"/>
              <w:left w:val="single" w:sz="4" w:space="0" w:color="auto"/>
              <w:bottom w:val="single" w:sz="4" w:space="0" w:color="auto"/>
              <w:right w:val="single" w:sz="4" w:space="0" w:color="auto"/>
            </w:tcBorders>
          </w:tcPr>
          <w:p w14:paraId="75911E45" w14:textId="77777777" w:rsidR="002A21AE" w:rsidRDefault="002A21AE">
            <w:pPr>
              <w:pStyle w:val="TableTextNumbers"/>
            </w:pPr>
            <w:r>
              <w:t>Select a patient, or</w:t>
            </w:r>
          </w:p>
          <w:p w14:paraId="5B432152" w14:textId="77777777" w:rsidR="002A21AE" w:rsidRDefault="002A21AE">
            <w:pPr>
              <w:pStyle w:val="TableTextNumbersContinued"/>
            </w:pPr>
          </w:p>
          <w:p w14:paraId="39622221" w14:textId="77777777" w:rsidR="002A21AE" w:rsidRDefault="002A21AE">
            <w:pPr>
              <w:pStyle w:val="TableTextNumbersContinued"/>
            </w:pPr>
            <w:r>
              <w:t>Select or scan a blood unit.</w:t>
            </w:r>
          </w:p>
        </w:tc>
        <w:tc>
          <w:tcPr>
            <w:tcW w:w="6120" w:type="dxa"/>
            <w:tcBorders>
              <w:top w:val="single" w:sz="4" w:space="0" w:color="auto"/>
              <w:left w:val="single" w:sz="4" w:space="0" w:color="auto"/>
              <w:bottom w:val="single" w:sz="4" w:space="0" w:color="auto"/>
              <w:right w:val="single" w:sz="4" w:space="0" w:color="auto"/>
            </w:tcBorders>
          </w:tcPr>
          <w:p w14:paraId="04C40F94" w14:textId="77777777" w:rsidR="002A21AE" w:rsidRDefault="002A21AE">
            <w:pPr>
              <w:pStyle w:val="TableTextBullet"/>
            </w:pPr>
            <w:r>
              <w:t>Compiles and displays the information associated with the user’s selection.</w:t>
            </w:r>
          </w:p>
          <w:p w14:paraId="70964E18" w14:textId="77777777" w:rsidR="002A21AE" w:rsidRDefault="002A21AE">
            <w:pPr>
              <w:pStyle w:val="TableTextBullet"/>
            </w:pPr>
            <w:r>
              <w:t>Displays the patient’s name, ID, date of birth, the unit ID, and the long product name of units to appear on the Caution Tags.</w:t>
            </w:r>
          </w:p>
          <w:p w14:paraId="513EEACD" w14:textId="77777777" w:rsidR="002A21AE" w:rsidRDefault="002A21AE">
            <w:pPr>
              <w:pStyle w:val="TableTextBullet"/>
            </w:pPr>
            <w:r>
              <w:t xml:space="preserve">Prompts the user to select the units when selecting by patient. </w:t>
            </w:r>
          </w:p>
          <w:p w14:paraId="75C28C84" w14:textId="77777777" w:rsidR="002A21AE" w:rsidRDefault="002A21AE">
            <w:pPr>
              <w:pStyle w:val="TableTextBullet"/>
            </w:pPr>
            <w:r>
              <w:t>Allows the user to select and deselect blood units to print.</w:t>
            </w:r>
          </w:p>
          <w:p w14:paraId="4395A02F" w14:textId="07A76C87" w:rsidR="002A21AE" w:rsidRDefault="00896F17">
            <w:pPr>
              <w:pStyle w:val="TableTextBullet"/>
              <w:ind w:left="0" w:firstLine="0"/>
            </w:pPr>
            <w:r w:rsidRPr="00896F17">
              <w:rPr>
                <w:rStyle w:val="BullhornChar"/>
              </w:rPr>
              <w:t></w:t>
            </w:r>
            <w:r w:rsidRPr="00C51C45">
              <w:rPr>
                <w:rFonts w:ascii="Webdings" w:hAnsi="Webdings"/>
                <w:szCs w:val="22"/>
              </w:rPr>
              <w:t></w:t>
            </w:r>
            <w:r>
              <w:rPr>
                <w:rFonts w:cs="Arial"/>
                <w:szCs w:val="22"/>
              </w:rPr>
              <w:t>See</w:t>
            </w:r>
            <w:r w:rsidR="002A21AE">
              <w:rPr>
                <w:rFonts w:cs="Arial"/>
                <w:szCs w:val="22"/>
              </w:rPr>
              <w:t xml:space="preserve"> </w:t>
            </w:r>
            <w:r w:rsidR="00EE455E">
              <w:t xml:space="preserve">Table </w:t>
            </w:r>
            <w:r w:rsidR="00EE455E">
              <w:rPr>
                <w:noProof/>
              </w:rPr>
              <w:t>9</w:t>
            </w:r>
            <w:r w:rsidR="002A21AE">
              <w:rPr>
                <w:rFonts w:cs="Arial"/>
                <w:szCs w:val="22"/>
              </w:rPr>
              <w:t xml:space="preserve"> for alerts that may occur during this option.</w:t>
            </w:r>
          </w:p>
          <w:p w14:paraId="5E2F0B35" w14:textId="77777777" w:rsidR="002A21AE" w:rsidRDefault="002A21AE">
            <w:pPr>
              <w:pStyle w:val="TableText"/>
              <w:rPr>
                <w:b/>
                <w:bCs/>
                <w:szCs w:val="18"/>
              </w:rPr>
            </w:pPr>
          </w:p>
          <w:p w14:paraId="4DCDCBD1" w14:textId="301AA23B" w:rsidR="002A21AE" w:rsidRDefault="002A21AE">
            <w:pPr>
              <w:pStyle w:val="TableText"/>
              <w:rPr>
                <w:b/>
                <w:bCs/>
                <w:szCs w:val="18"/>
              </w:rPr>
            </w:pPr>
            <w:r>
              <w:rPr>
                <w:b/>
                <w:bCs/>
                <w:szCs w:val="18"/>
              </w:rPr>
              <w:t>NOTES</w:t>
            </w:r>
          </w:p>
          <w:p w14:paraId="6B10E96A" w14:textId="77777777" w:rsidR="002A21AE" w:rsidRDefault="002A21AE">
            <w:pPr>
              <w:pStyle w:val="NotesText"/>
            </w:pPr>
          </w:p>
          <w:p w14:paraId="02D77535" w14:textId="77777777" w:rsidR="001710A2" w:rsidRDefault="001710A2" w:rsidP="001710A2">
            <w:pPr>
              <w:pStyle w:val="NotesText"/>
            </w:pPr>
            <w:r>
              <w:rPr>
                <w:rFonts w:cs="Arial"/>
                <w:vanish/>
              </w:rPr>
              <w:t xml:space="preserve">BR_43.21 </w:t>
            </w:r>
            <w:r>
              <w:t>VBECS retrieves the most recent crossmatch result (original or repeat) to determine unit availability and compatibility status to allow printing the Caution Tag and/or BTRF and to allow the unit to be issued.</w:t>
            </w:r>
          </w:p>
          <w:p w14:paraId="1EB822BC" w14:textId="77777777" w:rsidR="001710A2" w:rsidRDefault="001710A2" w:rsidP="001710A2">
            <w:pPr>
              <w:pStyle w:val="NotesText"/>
            </w:pPr>
          </w:p>
          <w:p w14:paraId="19194DC9" w14:textId="77777777" w:rsidR="00AE36CC" w:rsidRDefault="00AE36CC" w:rsidP="00AE36CC">
            <w:pPr>
              <w:pStyle w:val="NotesText"/>
              <w:rPr>
                <w:szCs w:val="18"/>
              </w:rPr>
            </w:pPr>
            <w:r w:rsidRPr="00496E08">
              <w:rPr>
                <w:rFonts w:cs="Arial"/>
                <w:vanish/>
                <w:szCs w:val="18"/>
              </w:rPr>
              <w:t>BR_43.20</w:t>
            </w:r>
            <w:r w:rsidRPr="00496E08">
              <w:rPr>
                <w:vanish/>
                <w:szCs w:val="18"/>
              </w:rPr>
              <w:t xml:space="preserve"> </w:t>
            </w:r>
            <w:r w:rsidRPr="00496E08">
              <w:rPr>
                <w:szCs w:val="18"/>
              </w:rPr>
              <w:t xml:space="preserve">When </w:t>
            </w:r>
            <w:r w:rsidR="002249B4">
              <w:rPr>
                <w:szCs w:val="18"/>
              </w:rPr>
              <w:t>the “Emergency Issue” indicator is present and/or the required ABO/Rh specimen testing is incomplete or inconclusive, enforce the following:</w:t>
            </w:r>
          </w:p>
          <w:p w14:paraId="7AC9C712" w14:textId="77777777" w:rsidR="002249B4" w:rsidRDefault="002249B4" w:rsidP="002249B4">
            <w:pPr>
              <w:pStyle w:val="NotesTextBullet"/>
            </w:pPr>
            <w:r>
              <w:t xml:space="preserve">For RBC or WB order: </w:t>
            </w:r>
          </w:p>
          <w:p w14:paraId="29E70071" w14:textId="77777777" w:rsidR="002249B4" w:rsidRDefault="002249B4" w:rsidP="002249B4">
            <w:pPr>
              <w:pStyle w:val="NotesTextBullet1"/>
            </w:pPr>
            <w:r>
              <w:t>Group O, Rh positive or O Rh negative RBC</w:t>
            </w:r>
          </w:p>
          <w:p w14:paraId="1E08AF1E" w14:textId="77777777" w:rsidR="002249B4" w:rsidRDefault="002249B4" w:rsidP="002249B4">
            <w:pPr>
              <w:pStyle w:val="NotesTextBullet1"/>
            </w:pPr>
            <w:r>
              <w:t>WHOLE BLOOD is not selectable</w:t>
            </w:r>
          </w:p>
          <w:p w14:paraId="4E32D0FD" w14:textId="77777777" w:rsidR="002249B4" w:rsidRDefault="002249B4" w:rsidP="002249B4">
            <w:pPr>
              <w:pStyle w:val="NotesTextBullet"/>
            </w:pPr>
            <w:r>
              <w:t>For FFP order:</w:t>
            </w:r>
          </w:p>
          <w:p w14:paraId="0E885181" w14:textId="77777777" w:rsidR="002249B4" w:rsidRDefault="002249B4" w:rsidP="002249B4">
            <w:pPr>
              <w:pStyle w:val="NotesTextBullet1"/>
            </w:pPr>
            <w:r>
              <w:t>Group AB, Rh positive or Rh negative, or not specified.</w:t>
            </w:r>
          </w:p>
          <w:p w14:paraId="1EAB824E" w14:textId="77777777" w:rsidR="002249B4" w:rsidRDefault="002249B4" w:rsidP="002249B4">
            <w:pPr>
              <w:pStyle w:val="NotesTextBullet"/>
            </w:pPr>
            <w:r>
              <w:t>For PLT order:</w:t>
            </w:r>
          </w:p>
          <w:p w14:paraId="34B2A5E8" w14:textId="77777777" w:rsidR="002249B4" w:rsidRDefault="002249B4" w:rsidP="002249B4">
            <w:pPr>
              <w:pStyle w:val="NotesTextBullet1"/>
            </w:pPr>
            <w:r>
              <w:t>All units with &lt; 2 ML RBC containment are available</w:t>
            </w:r>
          </w:p>
          <w:p w14:paraId="44937844" w14:textId="77777777" w:rsidR="002249B4" w:rsidRDefault="002249B4" w:rsidP="002249B4">
            <w:pPr>
              <w:pStyle w:val="NotesTextBullet1"/>
            </w:pPr>
            <w:r>
              <w:t>Units</w:t>
            </w:r>
            <w:r w:rsidRPr="001A5BC5">
              <w:t xml:space="preserve"> with </w:t>
            </w:r>
            <w:r w:rsidRPr="001A5BC5">
              <w:rPr>
                <w:u w:val="single"/>
              </w:rPr>
              <w:t>&gt;</w:t>
            </w:r>
            <w:r w:rsidRPr="001A5BC5">
              <w:t xml:space="preserve"> 2 mL RBC contamination are not available</w:t>
            </w:r>
          </w:p>
          <w:p w14:paraId="6879B160" w14:textId="77777777" w:rsidR="002249B4" w:rsidRDefault="002249B4" w:rsidP="002249B4">
            <w:pPr>
              <w:pStyle w:val="NotesTextBullet"/>
            </w:pPr>
            <w:r>
              <w:t>For CRYO order:</w:t>
            </w:r>
          </w:p>
          <w:p w14:paraId="1F96A690" w14:textId="77777777" w:rsidR="002249B4" w:rsidRDefault="002249B4" w:rsidP="002249B4">
            <w:pPr>
              <w:pStyle w:val="NotesTextBullet1"/>
            </w:pPr>
            <w:r>
              <w:t>All available units are selectable</w:t>
            </w:r>
          </w:p>
          <w:p w14:paraId="7180B15C" w14:textId="77777777" w:rsidR="002249B4" w:rsidRDefault="002249B4" w:rsidP="002249B4">
            <w:pPr>
              <w:pStyle w:val="NotesTextBullet1"/>
              <w:numPr>
                <w:ilvl w:val="0"/>
                <w:numId w:val="0"/>
              </w:numPr>
              <w:ind w:left="1296" w:hanging="288"/>
            </w:pPr>
            <w:r>
              <w:t>For OTHER order:</w:t>
            </w:r>
          </w:p>
          <w:p w14:paraId="71210876" w14:textId="77777777" w:rsidR="002249B4" w:rsidRDefault="002249B4" w:rsidP="002249B4">
            <w:pPr>
              <w:pStyle w:val="NotesTextBullet1"/>
            </w:pPr>
            <w:r>
              <w:t>All units with &lt; 2 mL contamination are available</w:t>
            </w:r>
          </w:p>
          <w:p w14:paraId="1B4E8264" w14:textId="77777777" w:rsidR="002249B4" w:rsidRDefault="002249B4" w:rsidP="002249B4">
            <w:pPr>
              <w:pStyle w:val="NotesTextBullet1"/>
              <w:rPr>
                <w:szCs w:val="18"/>
              </w:rPr>
            </w:pPr>
            <w:r>
              <w:t xml:space="preserve">Units with </w:t>
            </w:r>
            <w:r w:rsidRPr="001A5BC5">
              <w:rPr>
                <w:u w:val="single"/>
              </w:rPr>
              <w:t>&gt;</w:t>
            </w:r>
            <w:r w:rsidRPr="001A5BC5">
              <w:t xml:space="preserve"> 2 mL RBC contamination are not available</w:t>
            </w:r>
          </w:p>
          <w:p w14:paraId="2DED02FB" w14:textId="77777777" w:rsidR="002249B4" w:rsidRPr="00496E08" w:rsidRDefault="002249B4" w:rsidP="00AE36CC">
            <w:pPr>
              <w:pStyle w:val="NotesText"/>
              <w:rPr>
                <w:szCs w:val="18"/>
              </w:rPr>
            </w:pPr>
          </w:p>
          <w:p w14:paraId="78982A0D" w14:textId="77777777" w:rsidR="001710A2" w:rsidRPr="00496E08" w:rsidRDefault="00496E08" w:rsidP="001710A2">
            <w:pPr>
              <w:pStyle w:val="NotesText"/>
              <w:rPr>
                <w:szCs w:val="18"/>
              </w:rPr>
            </w:pPr>
            <w:r w:rsidRPr="00496E08">
              <w:rPr>
                <w:vanish/>
                <w:szCs w:val="18"/>
              </w:rPr>
              <w:t xml:space="preserve">BR_43.13 </w:t>
            </w:r>
            <w:r w:rsidRPr="00496E08">
              <w:rPr>
                <w:szCs w:val="18"/>
              </w:rPr>
              <w:t xml:space="preserve">When a user selects a Caution Tag and/or BTRF from the Blood Unit Menu and the units are assigned or </w:t>
            </w:r>
            <w:r w:rsidR="00A2206D">
              <w:rPr>
                <w:szCs w:val="18"/>
              </w:rPr>
              <w:t xml:space="preserve">have been assigned and/or </w:t>
            </w:r>
            <w:r w:rsidRPr="00496E08">
              <w:rPr>
                <w:szCs w:val="18"/>
              </w:rPr>
              <w:t>crossmatched to multiple patients, the selected form may be printed for only one patient during that session. The message will display that the form cannot be printed again for another assigned patient. VBECS must be closed and re-opened to print a tag for one of the other patients. If you need to print tags on the same unit for multiple assigned patients, access the option from the Patient Menu.</w:t>
            </w:r>
            <w:r w:rsidR="00A2206D">
              <w:rPr>
                <w:szCs w:val="18"/>
              </w:rPr>
              <w:t xml:space="preserve"> </w:t>
            </w:r>
            <w:r w:rsidR="00A2206D" w:rsidRPr="00A2206D">
              <w:rPr>
                <w:vanish/>
                <w:szCs w:val="18"/>
              </w:rPr>
              <w:t>INC000000997296</w:t>
            </w:r>
          </w:p>
          <w:p w14:paraId="009230E2" w14:textId="77777777" w:rsidR="00496E08" w:rsidRDefault="00496E08" w:rsidP="001710A2">
            <w:pPr>
              <w:pStyle w:val="NotesText"/>
            </w:pPr>
          </w:p>
          <w:p w14:paraId="036A00D5" w14:textId="77777777" w:rsidR="001710A2" w:rsidRDefault="001710A2" w:rsidP="001710A2">
            <w:pPr>
              <w:pStyle w:val="NotesText"/>
            </w:pPr>
            <w:r>
              <w:rPr>
                <w:rFonts w:cs="Arial"/>
                <w:vanish/>
              </w:rPr>
              <w:t xml:space="preserve">BR_43.01 </w:t>
            </w:r>
            <w:r>
              <w:t>When VBECS searches for units available for a patient name, it makes available for printing only units considered available for issue (standard processing or emergency issue).</w:t>
            </w:r>
          </w:p>
          <w:p w14:paraId="14AE9DBC" w14:textId="77777777" w:rsidR="001710A2" w:rsidRDefault="001710A2" w:rsidP="001710A2">
            <w:pPr>
              <w:pStyle w:val="NotesText"/>
            </w:pPr>
          </w:p>
          <w:p w14:paraId="09E5F6AC" w14:textId="7F0BC190" w:rsidR="002A21AE" w:rsidRDefault="001710A2" w:rsidP="001710A2">
            <w:pPr>
              <w:pStyle w:val="NotesText"/>
            </w:pPr>
            <w:r>
              <w:t xml:space="preserve">See </w:t>
            </w:r>
            <w:r w:rsidR="00EE455E">
              <w:t xml:space="preserve">Appendix </w:t>
            </w:r>
            <w:r w:rsidR="00EE455E">
              <w:rPr>
                <w:noProof/>
              </w:rPr>
              <w:t>B</w:t>
            </w:r>
            <w:r>
              <w:t xml:space="preserve">: </w:t>
            </w:r>
            <w:r w:rsidR="00EE455E">
              <w:t xml:space="preserve">Table </w:t>
            </w:r>
            <w:r w:rsidR="00EE455E">
              <w:rPr>
                <w:noProof/>
              </w:rPr>
              <w:t>22</w:t>
            </w:r>
            <w:r w:rsidR="00EE455E">
              <w:t xml:space="preserve">: </w:t>
            </w:r>
            <w:r w:rsidR="00EE455E">
              <w:rPr>
                <w:vanish/>
              </w:rPr>
              <w:t xml:space="preserve">TT_3.05 </w:t>
            </w:r>
            <w:r w:rsidR="00EE455E">
              <w:t>Rules for Electronic and Serologic Crossmatch</w:t>
            </w:r>
            <w:r w:rsidR="004E5EEE">
              <w:t xml:space="preserve"> </w:t>
            </w:r>
            <w:r>
              <w:rPr>
                <w:vanish/>
              </w:rPr>
              <w:t>and BR_5.03</w:t>
            </w:r>
            <w:r>
              <w:t xml:space="preserve">. The user may select only active units and those not in an inactive or final status. See </w:t>
            </w:r>
            <w:r w:rsidR="00EE455E">
              <w:t xml:space="preserve">Appendix </w:t>
            </w:r>
            <w:r w:rsidR="00EE455E">
              <w:rPr>
                <w:noProof/>
              </w:rPr>
              <w:t>B</w:t>
            </w:r>
            <w:r>
              <w:t xml:space="preserve">: </w:t>
            </w:r>
            <w:r w:rsidR="00EE455E">
              <w:t xml:space="preserve">Figure </w:t>
            </w:r>
            <w:r w:rsidR="00EE455E">
              <w:rPr>
                <w:noProof/>
              </w:rPr>
              <w:t>118</w:t>
            </w:r>
            <w:r>
              <w:t xml:space="preserve">: </w:t>
            </w:r>
            <w:r>
              <w:rPr>
                <w:vanish/>
                <w:szCs w:val="18"/>
              </w:rPr>
              <w:t xml:space="preserve">TT_27.01 </w:t>
            </w:r>
            <w:r>
              <w:t>Unit Status Flowchart.</w:t>
            </w:r>
          </w:p>
        </w:tc>
      </w:tr>
      <w:tr w:rsidR="002A21AE" w14:paraId="64892D3C" w14:textId="77777777">
        <w:tc>
          <w:tcPr>
            <w:tcW w:w="3240" w:type="dxa"/>
          </w:tcPr>
          <w:p w14:paraId="430E006D" w14:textId="77777777" w:rsidR="002A21AE" w:rsidRDefault="002A21AE">
            <w:pPr>
              <w:pStyle w:val="TableTextNumbers"/>
            </w:pPr>
            <w:r>
              <w:t>Acknowledge the selected patient and blood units for printing.</w:t>
            </w:r>
          </w:p>
          <w:p w14:paraId="0B3336B5" w14:textId="77777777" w:rsidR="002A21AE" w:rsidRDefault="002A21AE">
            <w:pPr>
              <w:pStyle w:val="TableTextNumbersContinued"/>
              <w:rPr>
                <w:b/>
                <w:bCs/>
              </w:rPr>
            </w:pPr>
          </w:p>
          <w:p w14:paraId="46C680D1" w14:textId="77777777" w:rsidR="002A21AE" w:rsidRDefault="002A21AE">
            <w:pPr>
              <w:pStyle w:val="TableTextNumbersContinued"/>
            </w:pPr>
            <w:r>
              <w:t xml:space="preserve">Click </w:t>
            </w:r>
            <w:r>
              <w:rPr>
                <w:b/>
              </w:rPr>
              <w:t>Print Unit Caution Tag</w:t>
            </w:r>
            <w:r>
              <w:t xml:space="preserve">, </w:t>
            </w:r>
            <w:r>
              <w:rPr>
                <w:b/>
              </w:rPr>
              <w:t>Print Transfusion Record Form</w:t>
            </w:r>
            <w:r>
              <w:t xml:space="preserve">, or </w:t>
            </w:r>
            <w:r>
              <w:rPr>
                <w:b/>
              </w:rPr>
              <w:t>Print Both</w:t>
            </w:r>
            <w:r>
              <w:t>.</w:t>
            </w:r>
          </w:p>
          <w:p w14:paraId="48489B35" w14:textId="77777777" w:rsidR="002A21AE" w:rsidRDefault="002A21AE">
            <w:pPr>
              <w:pStyle w:val="TableTextNumbersContinued"/>
            </w:pPr>
          </w:p>
          <w:p w14:paraId="24770C75" w14:textId="77777777" w:rsidR="002A21AE" w:rsidRDefault="002A21AE">
            <w:pPr>
              <w:pStyle w:val="TableTextNumbersContinued"/>
            </w:pPr>
            <w:r>
              <w:t xml:space="preserve">Click </w:t>
            </w:r>
            <w:r>
              <w:rPr>
                <w:b/>
              </w:rPr>
              <w:t>OK</w:t>
            </w:r>
            <w:r>
              <w:t xml:space="preserve"> to confirm and exit.</w:t>
            </w:r>
          </w:p>
        </w:tc>
        <w:tc>
          <w:tcPr>
            <w:tcW w:w="6120" w:type="dxa"/>
          </w:tcPr>
          <w:p w14:paraId="0625B3EF" w14:textId="77777777" w:rsidR="002A21AE" w:rsidRDefault="002A21AE">
            <w:pPr>
              <w:pStyle w:val="TableTextBullet"/>
            </w:pPr>
            <w:r>
              <w:t>Displays an option to print the Caution Tag and BTRF for units with a patient assignment.</w:t>
            </w:r>
          </w:p>
          <w:p w14:paraId="6F74799D" w14:textId="77777777" w:rsidR="002A21AE" w:rsidRDefault="002A21AE">
            <w:pPr>
              <w:pStyle w:val="TableTextBullet"/>
            </w:pPr>
            <w:r>
              <w:rPr>
                <w:rFonts w:cs="Arial"/>
                <w:vanish/>
              </w:rPr>
              <w:t xml:space="preserve">BR_43.05 </w:t>
            </w:r>
            <w:r>
              <w:t xml:space="preserve">Generates a separate Caution Tag and BTRF for each blood unit. </w:t>
            </w:r>
          </w:p>
          <w:p w14:paraId="626A792A" w14:textId="77777777" w:rsidR="002A21AE" w:rsidRDefault="002A21AE">
            <w:pPr>
              <w:pStyle w:val="TableText"/>
            </w:pPr>
          </w:p>
          <w:p w14:paraId="29B72749" w14:textId="08CE90F9" w:rsidR="002A21AE" w:rsidRDefault="002A21AE">
            <w:pPr>
              <w:pStyle w:val="TableText"/>
              <w:rPr>
                <w:b/>
                <w:bCs/>
                <w:szCs w:val="18"/>
              </w:rPr>
            </w:pPr>
            <w:r>
              <w:rPr>
                <w:b/>
                <w:bCs/>
                <w:szCs w:val="18"/>
              </w:rPr>
              <w:t>NOTES</w:t>
            </w:r>
          </w:p>
          <w:p w14:paraId="726AEBFD" w14:textId="5EB6C388" w:rsidR="002A21AE" w:rsidRPr="002B3455" w:rsidRDefault="006911FF" w:rsidP="00202A1E">
            <w:pPr>
              <w:pStyle w:val="NotesText"/>
            </w:pPr>
            <w:r w:rsidRPr="00737DBB">
              <w:t xml:space="preserve">If a VBECS system error occurs when a Caution Tag is requested, the printer may not be correctly configured. Configure the printer as detailed in the </w:t>
            </w:r>
            <w:r w:rsidR="00B03BDD" w:rsidRPr="00B03BDD">
              <w:rPr>
                <w:i/>
              </w:rPr>
              <w:t>VBECS 2.3.</w:t>
            </w:r>
            <w:r w:rsidR="00656AFE">
              <w:rPr>
                <w:i/>
              </w:rPr>
              <w:t>4</w:t>
            </w:r>
            <w:r w:rsidR="00392837" w:rsidRPr="00B03BDD">
              <w:rPr>
                <w:i/>
              </w:rPr>
              <w:t xml:space="preserve"> Technical Manual-Security Guide</w:t>
            </w:r>
            <w:r w:rsidR="00E36641">
              <w:t>,</w:t>
            </w:r>
            <w:r w:rsidR="00392837" w:rsidRPr="002B3455">
              <w:t xml:space="preserve"> </w:t>
            </w:r>
            <w:r w:rsidRPr="002B3455">
              <w:t>with subsequent</w:t>
            </w:r>
            <w:r w:rsidR="00392837" w:rsidRPr="002B3455">
              <w:t xml:space="preserve"> testing</w:t>
            </w:r>
            <w:r w:rsidRPr="002B3455">
              <w:t>.</w:t>
            </w:r>
            <w:r w:rsidR="00730CAA">
              <w:t xml:space="preserve"> </w:t>
            </w:r>
            <w:r w:rsidR="00730CAA" w:rsidRPr="00730CAA">
              <w:rPr>
                <w:vanish/>
              </w:rPr>
              <w:t>Defect 208592</w:t>
            </w:r>
          </w:p>
          <w:p w14:paraId="0AEC4C43" w14:textId="77777777" w:rsidR="00392837" w:rsidRDefault="00392837">
            <w:pPr>
              <w:pStyle w:val="NotesText"/>
            </w:pPr>
          </w:p>
          <w:p w14:paraId="263669DA" w14:textId="77777777" w:rsidR="002A21AE" w:rsidRDefault="002A21AE">
            <w:pPr>
              <w:pStyle w:val="NotesText"/>
            </w:pPr>
            <w:r>
              <w:rPr>
                <w:rFonts w:cs="Arial"/>
                <w:vanish/>
              </w:rPr>
              <w:t xml:space="preserve">BR_43.04 </w:t>
            </w:r>
            <w:r>
              <w:t xml:space="preserve">When a Caution Tag or BTRF is printed for an emergency-issued unit, “Emergency Issue” is included on the form. </w:t>
            </w:r>
          </w:p>
          <w:p w14:paraId="10879CED" w14:textId="77777777" w:rsidR="002A21AE" w:rsidRDefault="002A21AE">
            <w:pPr>
              <w:pStyle w:val="NotesText"/>
            </w:pPr>
          </w:p>
          <w:p w14:paraId="3D9BE393" w14:textId="77777777" w:rsidR="002A21AE" w:rsidRDefault="002A21AE">
            <w:pPr>
              <w:pStyle w:val="NotesText"/>
            </w:pPr>
            <w:r>
              <w:t>The recipient ABO/Rh prints as “</w:t>
            </w:r>
            <w:proofErr w:type="spellStart"/>
            <w:r w:rsidR="00F81F1E">
              <w:t>Unk</w:t>
            </w:r>
            <w:proofErr w:type="spellEnd"/>
            <w:r>
              <w:t>”</w:t>
            </w:r>
            <w:r w:rsidR="00F81F1E">
              <w:t xml:space="preserve"> or “Unknown”</w:t>
            </w:r>
            <w:r>
              <w:t xml:space="preserve"> during emergency issue when no current specimen results are on file; VBECS may </w:t>
            </w:r>
            <w:r>
              <w:rPr>
                <w:iCs/>
              </w:rPr>
              <w:t>not</w:t>
            </w:r>
            <w:r>
              <w:t xml:space="preserve"> use a historic record blood type (from any source) for the typing printed on the tag/form.</w:t>
            </w:r>
          </w:p>
          <w:p w14:paraId="20765014" w14:textId="77777777" w:rsidR="002A21AE" w:rsidRDefault="002A21AE">
            <w:pPr>
              <w:pStyle w:val="NotesText"/>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2705"/>
            </w:tblGrid>
            <w:tr w:rsidR="002A21AE" w14:paraId="29093EB6" w14:textId="77777777">
              <w:trPr>
                <w:tblHeader/>
              </w:trPr>
              <w:tc>
                <w:tcPr>
                  <w:tcW w:w="2335" w:type="dxa"/>
                  <w:shd w:val="clear" w:color="auto" w:fill="B3B3B3"/>
                  <w:vAlign w:val="bottom"/>
                </w:tcPr>
                <w:p w14:paraId="75EAC24A" w14:textId="77777777" w:rsidR="002A21AE" w:rsidRDefault="002A21AE">
                  <w:pPr>
                    <w:pStyle w:val="TableText"/>
                    <w:jc w:val="center"/>
                    <w:rPr>
                      <w:b/>
                    </w:rPr>
                  </w:pPr>
                  <w:r>
                    <w:rPr>
                      <w:b/>
                    </w:rPr>
                    <w:t>Compatibility Interpretation</w:t>
                  </w:r>
                </w:p>
              </w:tc>
              <w:tc>
                <w:tcPr>
                  <w:tcW w:w="2705" w:type="dxa"/>
                  <w:shd w:val="clear" w:color="auto" w:fill="B3B3B3"/>
                  <w:vAlign w:val="bottom"/>
                </w:tcPr>
                <w:p w14:paraId="4A2C8579" w14:textId="77777777" w:rsidR="002A21AE" w:rsidRDefault="002A21AE">
                  <w:pPr>
                    <w:pStyle w:val="TableText"/>
                    <w:jc w:val="center"/>
                    <w:rPr>
                      <w:b/>
                    </w:rPr>
                  </w:pPr>
                  <w:r>
                    <w:rPr>
                      <w:b/>
                    </w:rPr>
                    <w:t>Text on BTRF</w:t>
                  </w:r>
                </w:p>
              </w:tc>
            </w:tr>
            <w:tr w:rsidR="002A21AE" w14:paraId="57743577" w14:textId="77777777">
              <w:tc>
                <w:tcPr>
                  <w:tcW w:w="2335" w:type="dxa"/>
                  <w:vAlign w:val="bottom"/>
                </w:tcPr>
                <w:p w14:paraId="62B79818" w14:textId="77777777" w:rsidR="002A21AE" w:rsidRDefault="002A21AE">
                  <w:pPr>
                    <w:pStyle w:val="TableText"/>
                  </w:pPr>
                  <w:r>
                    <w:t>Crossmatch</w:t>
                  </w:r>
                </w:p>
              </w:tc>
              <w:tc>
                <w:tcPr>
                  <w:tcW w:w="2705" w:type="dxa"/>
                  <w:vAlign w:val="bottom"/>
                </w:tcPr>
                <w:p w14:paraId="3852B19A" w14:textId="77777777" w:rsidR="002A21AE" w:rsidRDefault="000664AE">
                  <w:pPr>
                    <w:pStyle w:val="TableText"/>
                  </w:pPr>
                  <w:r>
                    <w:t>TESTING INCOMPLETE</w:t>
                  </w:r>
                </w:p>
              </w:tc>
            </w:tr>
            <w:tr w:rsidR="002A21AE" w14:paraId="4EE02B21" w14:textId="77777777">
              <w:tc>
                <w:tcPr>
                  <w:tcW w:w="2335" w:type="dxa"/>
                  <w:vAlign w:val="bottom"/>
                </w:tcPr>
                <w:p w14:paraId="2033EBE0" w14:textId="77777777" w:rsidR="002A21AE" w:rsidRDefault="002A21AE">
                  <w:pPr>
                    <w:pStyle w:val="TableText"/>
                  </w:pPr>
                  <w:r>
                    <w:t>Crossmatch Not Required</w:t>
                  </w:r>
                </w:p>
              </w:tc>
              <w:tc>
                <w:tcPr>
                  <w:tcW w:w="2705" w:type="dxa"/>
                  <w:vAlign w:val="bottom"/>
                </w:tcPr>
                <w:p w14:paraId="02ECBB75" w14:textId="77777777" w:rsidR="002A21AE" w:rsidRDefault="002A21AE">
                  <w:pPr>
                    <w:pStyle w:val="TableText"/>
                  </w:pPr>
                  <w:r>
                    <w:t>Not Required</w:t>
                  </w:r>
                </w:p>
              </w:tc>
            </w:tr>
          </w:tbl>
          <w:p w14:paraId="08E3709A" w14:textId="77777777" w:rsidR="002A21AE" w:rsidRDefault="002A21AE">
            <w:pPr>
              <w:pStyle w:val="NotesText"/>
            </w:pPr>
          </w:p>
          <w:p w14:paraId="186385BC" w14:textId="77777777" w:rsidR="002A21AE" w:rsidRDefault="002A21AE">
            <w:pPr>
              <w:pStyle w:val="NotesText"/>
            </w:pPr>
            <w:r>
              <w:t>VBECS prints “Emergency Issue” in the TR section of the form.</w:t>
            </w:r>
          </w:p>
          <w:p w14:paraId="3D0E4335" w14:textId="77777777" w:rsidR="002A21AE" w:rsidRDefault="002A21AE">
            <w:pPr>
              <w:pStyle w:val="NotesText"/>
              <w:ind w:left="0"/>
            </w:pPr>
          </w:p>
          <w:p w14:paraId="67350DC9" w14:textId="77777777" w:rsidR="002A21AE" w:rsidRDefault="002A21AE">
            <w:pPr>
              <w:pStyle w:val="NotesText"/>
            </w:pPr>
            <w:r>
              <w:rPr>
                <w:rFonts w:cs="Arial"/>
                <w:vanish/>
              </w:rPr>
              <w:t xml:space="preserve">BR_43.03 </w:t>
            </w:r>
            <w:r>
              <w:t>The text that appears in the compatibility section is based on the crossmatch interpretation applied.</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5"/>
              <w:gridCol w:w="2705"/>
            </w:tblGrid>
            <w:tr w:rsidR="00B752FE" w14:paraId="18D8BF46" w14:textId="77777777" w:rsidTr="00DD6A38">
              <w:trPr>
                <w:tblHeader/>
              </w:trPr>
              <w:tc>
                <w:tcPr>
                  <w:tcW w:w="2335" w:type="dxa"/>
                  <w:shd w:val="clear" w:color="auto" w:fill="B3B3B3"/>
                  <w:vAlign w:val="bottom"/>
                </w:tcPr>
                <w:p w14:paraId="795EC76F" w14:textId="77777777" w:rsidR="00B752FE" w:rsidRDefault="00B752FE" w:rsidP="00DD6A38">
                  <w:pPr>
                    <w:pStyle w:val="TableText"/>
                    <w:jc w:val="center"/>
                    <w:rPr>
                      <w:b/>
                    </w:rPr>
                  </w:pPr>
                  <w:r>
                    <w:rPr>
                      <w:b/>
                    </w:rPr>
                    <w:t>Compatibility Interpretation</w:t>
                  </w:r>
                </w:p>
              </w:tc>
              <w:tc>
                <w:tcPr>
                  <w:tcW w:w="2705" w:type="dxa"/>
                  <w:shd w:val="clear" w:color="auto" w:fill="B3B3B3"/>
                  <w:vAlign w:val="bottom"/>
                </w:tcPr>
                <w:p w14:paraId="4415F159" w14:textId="77777777" w:rsidR="00B752FE" w:rsidRDefault="00B752FE" w:rsidP="00DD6A38">
                  <w:pPr>
                    <w:pStyle w:val="TableText"/>
                    <w:jc w:val="center"/>
                    <w:rPr>
                      <w:b/>
                    </w:rPr>
                  </w:pPr>
                  <w:r>
                    <w:rPr>
                      <w:b/>
                    </w:rPr>
                    <w:t>Text on BTRF</w:t>
                  </w:r>
                </w:p>
              </w:tc>
            </w:tr>
            <w:tr w:rsidR="00B752FE" w14:paraId="7DD01322" w14:textId="77777777" w:rsidTr="00DD6A38">
              <w:tc>
                <w:tcPr>
                  <w:tcW w:w="2335" w:type="dxa"/>
                  <w:vAlign w:val="bottom"/>
                </w:tcPr>
                <w:p w14:paraId="4E2E8F09" w14:textId="77777777" w:rsidR="00B752FE" w:rsidRDefault="00B752FE" w:rsidP="00DD6A38">
                  <w:pPr>
                    <w:pStyle w:val="TableText"/>
                  </w:pPr>
                  <w:r>
                    <w:t>Crossmatch Compatible</w:t>
                  </w:r>
                </w:p>
              </w:tc>
              <w:tc>
                <w:tcPr>
                  <w:tcW w:w="2705" w:type="dxa"/>
                  <w:vAlign w:val="bottom"/>
                </w:tcPr>
                <w:p w14:paraId="6B32255B" w14:textId="77777777" w:rsidR="00B752FE" w:rsidRDefault="00B752FE" w:rsidP="00DD6A38">
                  <w:pPr>
                    <w:pStyle w:val="TableText"/>
                  </w:pPr>
                  <w:r>
                    <w:t>Compatible</w:t>
                  </w:r>
                </w:p>
              </w:tc>
            </w:tr>
            <w:tr w:rsidR="00B752FE" w14:paraId="00D525BE" w14:textId="77777777" w:rsidTr="00DD6A38">
              <w:tc>
                <w:tcPr>
                  <w:tcW w:w="2335" w:type="dxa"/>
                  <w:vAlign w:val="bottom"/>
                </w:tcPr>
                <w:p w14:paraId="327B01F4" w14:textId="77777777" w:rsidR="00B752FE" w:rsidRDefault="00B752FE" w:rsidP="00DD6A38">
                  <w:pPr>
                    <w:pStyle w:val="TableText"/>
                  </w:pPr>
                  <w:r>
                    <w:t>Compatible: Electronically Crossmatched</w:t>
                  </w:r>
                </w:p>
              </w:tc>
              <w:tc>
                <w:tcPr>
                  <w:tcW w:w="2705" w:type="dxa"/>
                  <w:vAlign w:val="bottom"/>
                </w:tcPr>
                <w:p w14:paraId="3406B832" w14:textId="77777777" w:rsidR="00B752FE" w:rsidRDefault="00B752FE" w:rsidP="00DD6A38">
                  <w:pPr>
                    <w:pStyle w:val="TableText"/>
                  </w:pPr>
                  <w:r>
                    <w:t>Compatible</w:t>
                  </w:r>
                </w:p>
              </w:tc>
            </w:tr>
            <w:tr w:rsidR="00B752FE" w14:paraId="40D41358" w14:textId="77777777" w:rsidTr="00DD6A38">
              <w:tc>
                <w:tcPr>
                  <w:tcW w:w="2335" w:type="dxa"/>
                  <w:vAlign w:val="bottom"/>
                </w:tcPr>
                <w:p w14:paraId="0C1599C2" w14:textId="77777777" w:rsidR="00B752FE" w:rsidRDefault="00B752FE" w:rsidP="00DD6A38">
                  <w:pPr>
                    <w:pStyle w:val="TableText"/>
                  </w:pPr>
                  <w:r>
                    <w:t>Crossmatch Not Required</w:t>
                  </w:r>
                </w:p>
              </w:tc>
              <w:tc>
                <w:tcPr>
                  <w:tcW w:w="2705" w:type="dxa"/>
                  <w:vAlign w:val="bottom"/>
                </w:tcPr>
                <w:p w14:paraId="33B84FA4" w14:textId="77777777" w:rsidR="00B752FE" w:rsidRDefault="00B752FE" w:rsidP="00DD6A38">
                  <w:pPr>
                    <w:pStyle w:val="TableText"/>
                  </w:pPr>
                  <w:r>
                    <w:t>Not Applicable</w:t>
                  </w:r>
                </w:p>
              </w:tc>
            </w:tr>
            <w:tr w:rsidR="00B752FE" w14:paraId="10505A60" w14:textId="77777777" w:rsidTr="00DD6A38">
              <w:tc>
                <w:tcPr>
                  <w:tcW w:w="2335" w:type="dxa"/>
                  <w:vAlign w:val="bottom"/>
                </w:tcPr>
                <w:p w14:paraId="22F6E11D" w14:textId="77777777" w:rsidR="00B752FE" w:rsidRDefault="00B752FE" w:rsidP="00DD6A38">
                  <w:pPr>
                    <w:pStyle w:val="TableText"/>
                  </w:pPr>
                  <w:r>
                    <w:t>Crossmatch Incompatible: Give only with Medical Director Approval</w:t>
                  </w:r>
                </w:p>
              </w:tc>
              <w:tc>
                <w:tcPr>
                  <w:tcW w:w="2705" w:type="dxa"/>
                  <w:vAlign w:val="bottom"/>
                </w:tcPr>
                <w:p w14:paraId="7426D1ED" w14:textId="77777777" w:rsidR="00B752FE" w:rsidRDefault="00B752FE" w:rsidP="00DD6A38">
                  <w:pPr>
                    <w:pStyle w:val="TableText"/>
                  </w:pPr>
                  <w:r>
                    <w:t>Incompatible: Given with Medical Director Approval</w:t>
                  </w:r>
                </w:p>
              </w:tc>
            </w:tr>
          </w:tbl>
          <w:p w14:paraId="75A7D04A" w14:textId="77777777" w:rsidR="00B752FE" w:rsidRDefault="00B752FE">
            <w:pPr>
              <w:pStyle w:val="NotesText"/>
            </w:pPr>
          </w:p>
          <w:p w14:paraId="41EEA8A9" w14:textId="77777777" w:rsidR="00B752FE" w:rsidRDefault="00B752FE" w:rsidP="00B752FE">
            <w:pPr>
              <w:pStyle w:val="NotesText"/>
            </w:pPr>
            <w:r w:rsidRPr="00B752FE">
              <w:rPr>
                <w:vanish/>
              </w:rPr>
              <w:t xml:space="preserve">BR_44.01 </w:t>
            </w:r>
            <w:r>
              <w:t xml:space="preserve">The printed form has two general areas, one for patient and unit identification, and another to document the transfusion. </w:t>
            </w:r>
          </w:p>
          <w:p w14:paraId="7BC925F2" w14:textId="77777777" w:rsidR="00B752FE" w:rsidRDefault="00B752FE" w:rsidP="00B752FE">
            <w:pPr>
              <w:pStyle w:val="NotesText"/>
            </w:pPr>
          </w:p>
          <w:p w14:paraId="6EC1AAD9" w14:textId="77777777" w:rsidR="00B752FE" w:rsidRDefault="00B752FE" w:rsidP="00B752FE">
            <w:pPr>
              <w:pStyle w:val="NotesText"/>
            </w:pPr>
            <w:r w:rsidRPr="00B752FE">
              <w:rPr>
                <w:vanish/>
              </w:rPr>
              <w:t xml:space="preserve">BR_44.01 </w:t>
            </w:r>
            <w:r>
              <w:t>Information that appears on the form follows. All information is provided by VBECS unless stated. Information matching the caution tag will be printed to look alike for the users on both forms.</w:t>
            </w:r>
          </w:p>
          <w:p w14:paraId="16C44371" w14:textId="77777777" w:rsidR="00B752FE" w:rsidRPr="00152053" w:rsidRDefault="00B752FE" w:rsidP="00925CAD">
            <w:pPr>
              <w:pStyle w:val="TableText"/>
              <w:numPr>
                <w:ilvl w:val="0"/>
                <w:numId w:val="53"/>
              </w:numPr>
              <w:rPr>
                <w:szCs w:val="18"/>
              </w:rPr>
            </w:pPr>
            <w:r w:rsidRPr="00152053">
              <w:rPr>
                <w:szCs w:val="18"/>
              </w:rPr>
              <w:t>Transfusion Division Name, City, State</w:t>
            </w:r>
          </w:p>
          <w:p w14:paraId="025BFC3A" w14:textId="78B7F3F6" w:rsidR="00B752FE" w:rsidRPr="00152053" w:rsidRDefault="00B752FE" w:rsidP="00925CAD">
            <w:pPr>
              <w:pStyle w:val="TableText"/>
              <w:numPr>
                <w:ilvl w:val="0"/>
                <w:numId w:val="53"/>
              </w:numPr>
              <w:rPr>
                <w:szCs w:val="18"/>
              </w:rPr>
            </w:pPr>
            <w:r w:rsidRPr="00152053">
              <w:rPr>
                <w:szCs w:val="18"/>
              </w:rPr>
              <w:t xml:space="preserve">Patient ID </w:t>
            </w:r>
          </w:p>
          <w:p w14:paraId="1DE7FD10" w14:textId="77777777" w:rsidR="00B752FE" w:rsidRPr="00152053" w:rsidRDefault="00B752FE" w:rsidP="00925CAD">
            <w:pPr>
              <w:pStyle w:val="TableText"/>
              <w:numPr>
                <w:ilvl w:val="0"/>
                <w:numId w:val="53"/>
              </w:numPr>
              <w:rPr>
                <w:szCs w:val="18"/>
              </w:rPr>
            </w:pPr>
            <w:r w:rsidRPr="00152053">
              <w:rPr>
                <w:szCs w:val="18"/>
              </w:rPr>
              <w:t>Patient Name (Last, First MI)</w:t>
            </w:r>
          </w:p>
          <w:p w14:paraId="67E406EF" w14:textId="77777777" w:rsidR="00B752FE" w:rsidRPr="00152053" w:rsidRDefault="00B752FE" w:rsidP="00925CAD">
            <w:pPr>
              <w:pStyle w:val="TableText"/>
              <w:numPr>
                <w:ilvl w:val="0"/>
                <w:numId w:val="53"/>
              </w:numPr>
              <w:rPr>
                <w:szCs w:val="18"/>
              </w:rPr>
            </w:pPr>
            <w:r w:rsidRPr="00152053">
              <w:rPr>
                <w:szCs w:val="18"/>
              </w:rPr>
              <w:t>Patient DOB</w:t>
            </w:r>
          </w:p>
          <w:p w14:paraId="31EAF18A" w14:textId="77777777" w:rsidR="00B752FE" w:rsidRPr="00152053" w:rsidRDefault="00B752FE" w:rsidP="00925CAD">
            <w:pPr>
              <w:pStyle w:val="TableText"/>
              <w:numPr>
                <w:ilvl w:val="0"/>
                <w:numId w:val="53"/>
              </w:numPr>
              <w:rPr>
                <w:szCs w:val="18"/>
              </w:rPr>
            </w:pPr>
            <w:r w:rsidRPr="00152053">
              <w:rPr>
                <w:szCs w:val="18"/>
              </w:rPr>
              <w:t>Unit/Pool ID</w:t>
            </w:r>
          </w:p>
          <w:p w14:paraId="1D41187F" w14:textId="77777777" w:rsidR="00B752FE" w:rsidRPr="00152053" w:rsidRDefault="007A7D97" w:rsidP="00925CAD">
            <w:pPr>
              <w:pStyle w:val="TableText"/>
              <w:numPr>
                <w:ilvl w:val="0"/>
                <w:numId w:val="53"/>
              </w:numPr>
              <w:rPr>
                <w:szCs w:val="18"/>
              </w:rPr>
            </w:pPr>
            <w:r>
              <w:rPr>
                <w:szCs w:val="18"/>
              </w:rPr>
              <w:t>Recipient (Patient) Blood Type</w:t>
            </w:r>
          </w:p>
          <w:p w14:paraId="6555800C" w14:textId="77777777" w:rsidR="00B752FE" w:rsidRDefault="00B752FE" w:rsidP="00925CAD">
            <w:pPr>
              <w:pStyle w:val="TableText"/>
              <w:numPr>
                <w:ilvl w:val="0"/>
                <w:numId w:val="53"/>
              </w:numPr>
            </w:pPr>
            <w:r>
              <w:t xml:space="preserve">Unit Blood Type </w:t>
            </w:r>
          </w:p>
          <w:p w14:paraId="1C1E4A3E" w14:textId="77777777" w:rsidR="00B752FE" w:rsidRDefault="00B752FE" w:rsidP="00925CAD">
            <w:pPr>
              <w:pStyle w:val="TableText"/>
              <w:numPr>
                <w:ilvl w:val="0"/>
                <w:numId w:val="53"/>
              </w:numPr>
            </w:pPr>
            <w:r>
              <w:t xml:space="preserve">Compatibility Interpretation, Tech name, Date/time </w:t>
            </w:r>
          </w:p>
          <w:p w14:paraId="5112E5FE" w14:textId="77777777" w:rsidR="00B752FE" w:rsidRDefault="00B752FE" w:rsidP="00925CAD">
            <w:pPr>
              <w:pStyle w:val="TableText"/>
              <w:numPr>
                <w:ilvl w:val="0"/>
                <w:numId w:val="53"/>
              </w:numPr>
            </w:pPr>
            <w:r>
              <w:t>Assigned Date/Time</w:t>
            </w:r>
          </w:p>
          <w:p w14:paraId="5D0E2753" w14:textId="46B4C8DB" w:rsidR="00B752FE" w:rsidRDefault="00B752FE" w:rsidP="00925CAD">
            <w:pPr>
              <w:pStyle w:val="TableText"/>
              <w:numPr>
                <w:ilvl w:val="0"/>
                <w:numId w:val="53"/>
              </w:numPr>
            </w:pPr>
            <w:r>
              <w:t>Technologist Initials (This is the Assigning/Crossmatching Blood Bank Technologist Name.)</w:t>
            </w:r>
          </w:p>
          <w:p w14:paraId="208A4F21" w14:textId="4FD80301" w:rsidR="00504EBA" w:rsidRDefault="00504EBA" w:rsidP="00925CAD">
            <w:pPr>
              <w:pStyle w:val="TableText"/>
              <w:numPr>
                <w:ilvl w:val="0"/>
                <w:numId w:val="53"/>
              </w:numPr>
            </w:pPr>
            <w:r>
              <w:t>Transfusion Requirements</w:t>
            </w:r>
          </w:p>
          <w:p w14:paraId="2CF82EE2" w14:textId="39F0D17F" w:rsidR="00504EBA" w:rsidRDefault="00504EBA" w:rsidP="00925CAD">
            <w:pPr>
              <w:pStyle w:val="TableText"/>
              <w:numPr>
                <w:ilvl w:val="0"/>
                <w:numId w:val="53"/>
              </w:numPr>
            </w:pPr>
            <w:r>
              <w:t>Blood Product Component Class</w:t>
            </w:r>
          </w:p>
          <w:p w14:paraId="03078422" w14:textId="77777777" w:rsidR="00B752FE" w:rsidRDefault="00B752FE" w:rsidP="00925CAD">
            <w:pPr>
              <w:pStyle w:val="TableText"/>
              <w:numPr>
                <w:ilvl w:val="0"/>
                <w:numId w:val="53"/>
              </w:numPr>
            </w:pPr>
            <w:r>
              <w:t>Blood Component selected (the unit’s blood product long name)</w:t>
            </w:r>
          </w:p>
          <w:p w14:paraId="5264ABD2" w14:textId="77777777" w:rsidR="00B752FE" w:rsidRDefault="00B752FE" w:rsidP="00925CAD">
            <w:pPr>
              <w:pStyle w:val="TableText"/>
              <w:numPr>
                <w:ilvl w:val="0"/>
                <w:numId w:val="53"/>
              </w:numPr>
            </w:pPr>
            <w:r>
              <w:t>Product Code (Full, Eye-readable)</w:t>
            </w:r>
          </w:p>
          <w:p w14:paraId="7B207C37" w14:textId="77777777" w:rsidR="00B752FE" w:rsidRDefault="00B752FE" w:rsidP="00925CAD">
            <w:pPr>
              <w:pStyle w:val="TableText"/>
              <w:numPr>
                <w:ilvl w:val="0"/>
                <w:numId w:val="53"/>
              </w:numPr>
            </w:pPr>
            <w:r>
              <w:t>Donation type</w:t>
            </w:r>
          </w:p>
          <w:p w14:paraId="284A5486" w14:textId="77777777" w:rsidR="00B752FE" w:rsidRDefault="00B752FE" w:rsidP="00925CAD">
            <w:pPr>
              <w:pStyle w:val="TableText"/>
              <w:numPr>
                <w:ilvl w:val="0"/>
                <w:numId w:val="53"/>
              </w:numPr>
            </w:pPr>
            <w:r>
              <w:t xml:space="preserve">Unit Expiration Date/Time </w:t>
            </w:r>
          </w:p>
          <w:p w14:paraId="46996CF9" w14:textId="77777777" w:rsidR="00B752FE" w:rsidRDefault="00B752FE" w:rsidP="00925CAD">
            <w:pPr>
              <w:pStyle w:val="TableText"/>
              <w:numPr>
                <w:ilvl w:val="0"/>
                <w:numId w:val="53"/>
              </w:numPr>
            </w:pPr>
            <w:r>
              <w:t>Number of Units in Pool</w:t>
            </w:r>
          </w:p>
          <w:p w14:paraId="06F67390" w14:textId="77777777" w:rsidR="00B752FE" w:rsidRDefault="00B752FE" w:rsidP="00925CAD">
            <w:pPr>
              <w:pStyle w:val="TableText"/>
              <w:numPr>
                <w:ilvl w:val="0"/>
                <w:numId w:val="53"/>
              </w:numPr>
            </w:pPr>
            <w:r>
              <w:t xml:space="preserve">Specimen UID Number, </w:t>
            </w:r>
            <w:r w:rsidRPr="00EE4FB5">
              <w:t>expiration date and time</w:t>
            </w:r>
            <w:r>
              <w:t xml:space="preserve"> </w:t>
            </w:r>
          </w:p>
          <w:p w14:paraId="37BC0C64" w14:textId="1582A3F1" w:rsidR="00B752FE" w:rsidRPr="00830A63" w:rsidRDefault="00504EBA" w:rsidP="00925CAD">
            <w:pPr>
              <w:pStyle w:val="TableText"/>
              <w:numPr>
                <w:ilvl w:val="0"/>
                <w:numId w:val="53"/>
              </w:numPr>
            </w:pPr>
            <w:r>
              <w:t xml:space="preserve">Order </w:t>
            </w:r>
            <w:r w:rsidR="00B752FE">
              <w:t>Location</w:t>
            </w:r>
          </w:p>
          <w:p w14:paraId="44343131" w14:textId="77777777" w:rsidR="00B752FE" w:rsidRDefault="00B752FE" w:rsidP="00B752FE">
            <w:pPr>
              <w:pStyle w:val="TableText"/>
            </w:pPr>
          </w:p>
          <w:p w14:paraId="21500EFA" w14:textId="77777777" w:rsidR="00B752FE" w:rsidRDefault="00B752FE" w:rsidP="00B752FE">
            <w:pPr>
              <w:pStyle w:val="NotesText"/>
            </w:pPr>
            <w:r w:rsidRPr="00B752FE">
              <w:rPr>
                <w:vanish/>
              </w:rPr>
              <w:t xml:space="preserve">BR_44.01 </w:t>
            </w:r>
            <w:r>
              <w:t>Transfusion documentation section: This section of the form provides prompts/placeholders for information to be entered at the bedside during the transfusion. Each listed item must provide adequate room for a transfusionist to manually record the appropriate, required information:</w:t>
            </w:r>
          </w:p>
          <w:p w14:paraId="175B4F0F" w14:textId="77777777" w:rsidR="00B752FE" w:rsidRDefault="00B752FE" w:rsidP="00925CAD">
            <w:pPr>
              <w:pStyle w:val="TableText"/>
              <w:numPr>
                <w:ilvl w:val="0"/>
                <w:numId w:val="54"/>
              </w:numPr>
              <w:ind w:left="1440"/>
            </w:pPr>
            <w:r>
              <w:t>First identifier (signature)</w:t>
            </w:r>
          </w:p>
          <w:p w14:paraId="24F4BBCE" w14:textId="77777777" w:rsidR="00B752FE" w:rsidRDefault="00B752FE" w:rsidP="00925CAD">
            <w:pPr>
              <w:pStyle w:val="TableText"/>
              <w:numPr>
                <w:ilvl w:val="0"/>
                <w:numId w:val="54"/>
              </w:numPr>
              <w:ind w:left="1440"/>
            </w:pPr>
            <w:r>
              <w:t>Second identifier (signature)</w:t>
            </w:r>
          </w:p>
          <w:p w14:paraId="5BD5A101" w14:textId="77777777" w:rsidR="00B752FE" w:rsidRDefault="00B752FE" w:rsidP="00925CAD">
            <w:pPr>
              <w:pStyle w:val="TableText"/>
              <w:numPr>
                <w:ilvl w:val="0"/>
                <w:numId w:val="54"/>
              </w:numPr>
              <w:ind w:left="1440"/>
            </w:pPr>
            <w:r>
              <w:t xml:space="preserve">Date/time transfusion was started </w:t>
            </w:r>
          </w:p>
          <w:p w14:paraId="2D8E9508" w14:textId="77777777" w:rsidR="00B752FE" w:rsidRDefault="00B752FE" w:rsidP="00925CAD">
            <w:pPr>
              <w:pStyle w:val="TableText"/>
              <w:numPr>
                <w:ilvl w:val="0"/>
                <w:numId w:val="54"/>
              </w:numPr>
              <w:ind w:left="1440"/>
            </w:pPr>
            <w:r>
              <w:t>Respiration</w:t>
            </w:r>
          </w:p>
          <w:p w14:paraId="51F81C70" w14:textId="77777777" w:rsidR="00B752FE" w:rsidRDefault="00B752FE" w:rsidP="00925CAD">
            <w:pPr>
              <w:pStyle w:val="TableText"/>
              <w:numPr>
                <w:ilvl w:val="0"/>
                <w:numId w:val="54"/>
              </w:numPr>
              <w:ind w:left="1440"/>
            </w:pPr>
            <w:r>
              <w:t>Pretransfusion temperature</w:t>
            </w:r>
          </w:p>
          <w:p w14:paraId="3667C7EF" w14:textId="77777777" w:rsidR="00B752FE" w:rsidRDefault="00B752FE" w:rsidP="00925CAD">
            <w:pPr>
              <w:pStyle w:val="TableText"/>
              <w:numPr>
                <w:ilvl w:val="0"/>
                <w:numId w:val="54"/>
              </w:numPr>
              <w:ind w:left="1440"/>
            </w:pPr>
            <w:r>
              <w:t>Pretransfusion pulse</w:t>
            </w:r>
          </w:p>
          <w:p w14:paraId="466DEE18" w14:textId="77777777" w:rsidR="00B752FE" w:rsidRDefault="00B752FE" w:rsidP="00925CAD">
            <w:pPr>
              <w:pStyle w:val="TableText"/>
              <w:numPr>
                <w:ilvl w:val="0"/>
                <w:numId w:val="54"/>
              </w:numPr>
              <w:ind w:left="1440"/>
            </w:pPr>
            <w:r>
              <w:t>Pretransfusion blood pressure</w:t>
            </w:r>
          </w:p>
          <w:p w14:paraId="0253F97F" w14:textId="77777777" w:rsidR="00B752FE" w:rsidRDefault="00B752FE" w:rsidP="00925CAD">
            <w:pPr>
              <w:pStyle w:val="TableText"/>
              <w:numPr>
                <w:ilvl w:val="0"/>
                <w:numId w:val="54"/>
              </w:numPr>
              <w:ind w:left="1440"/>
            </w:pPr>
            <w:r>
              <w:t>15-minute temperature</w:t>
            </w:r>
          </w:p>
          <w:p w14:paraId="6A972A64" w14:textId="77777777" w:rsidR="00B752FE" w:rsidRDefault="00B752FE" w:rsidP="00925CAD">
            <w:pPr>
              <w:pStyle w:val="TableText"/>
              <w:numPr>
                <w:ilvl w:val="0"/>
                <w:numId w:val="54"/>
              </w:numPr>
              <w:ind w:left="1440"/>
            </w:pPr>
            <w:r>
              <w:t>15-minute pulse</w:t>
            </w:r>
          </w:p>
          <w:p w14:paraId="44423372" w14:textId="77777777" w:rsidR="00B752FE" w:rsidRDefault="00B752FE" w:rsidP="00925CAD">
            <w:pPr>
              <w:pStyle w:val="TableText"/>
              <w:numPr>
                <w:ilvl w:val="0"/>
                <w:numId w:val="54"/>
              </w:numPr>
              <w:ind w:left="1440"/>
            </w:pPr>
            <w:r>
              <w:t>15-minute blood pressure</w:t>
            </w:r>
          </w:p>
          <w:p w14:paraId="3ABC6339" w14:textId="77777777" w:rsidR="00B752FE" w:rsidRDefault="00B752FE" w:rsidP="00925CAD">
            <w:pPr>
              <w:pStyle w:val="TableText"/>
              <w:numPr>
                <w:ilvl w:val="0"/>
                <w:numId w:val="54"/>
              </w:numPr>
              <w:ind w:left="1440"/>
            </w:pPr>
            <w:r>
              <w:t>Mid-transfusion temperature</w:t>
            </w:r>
          </w:p>
          <w:p w14:paraId="68374E22" w14:textId="77777777" w:rsidR="00B752FE" w:rsidRDefault="00B752FE" w:rsidP="00925CAD">
            <w:pPr>
              <w:pStyle w:val="TableText"/>
              <w:numPr>
                <w:ilvl w:val="0"/>
                <w:numId w:val="54"/>
              </w:numPr>
              <w:ind w:left="1440"/>
            </w:pPr>
            <w:r>
              <w:t>Mid-transfusion pulse</w:t>
            </w:r>
          </w:p>
          <w:p w14:paraId="2CBD52AF" w14:textId="77777777" w:rsidR="00B752FE" w:rsidRDefault="00B752FE" w:rsidP="00925CAD">
            <w:pPr>
              <w:pStyle w:val="TableText"/>
              <w:numPr>
                <w:ilvl w:val="0"/>
                <w:numId w:val="54"/>
              </w:numPr>
              <w:ind w:left="1440"/>
            </w:pPr>
            <w:r>
              <w:t>Mid-transfusion blood pressure</w:t>
            </w:r>
          </w:p>
          <w:p w14:paraId="7619BF5D" w14:textId="77777777" w:rsidR="00B752FE" w:rsidRDefault="00B752FE" w:rsidP="00925CAD">
            <w:pPr>
              <w:pStyle w:val="TableText"/>
              <w:numPr>
                <w:ilvl w:val="0"/>
                <w:numId w:val="54"/>
              </w:numPr>
              <w:ind w:left="1440"/>
            </w:pPr>
            <w:r>
              <w:t>Post-transfusion temp</w:t>
            </w:r>
          </w:p>
          <w:p w14:paraId="54CF510A" w14:textId="77777777" w:rsidR="00B752FE" w:rsidRDefault="00B752FE" w:rsidP="00925CAD">
            <w:pPr>
              <w:pStyle w:val="TableText"/>
              <w:numPr>
                <w:ilvl w:val="0"/>
                <w:numId w:val="54"/>
              </w:numPr>
              <w:ind w:left="1440"/>
            </w:pPr>
            <w:r>
              <w:t>Post-transfusion pulse</w:t>
            </w:r>
          </w:p>
          <w:p w14:paraId="3064C905" w14:textId="77777777" w:rsidR="00B752FE" w:rsidRDefault="00B752FE" w:rsidP="00925CAD">
            <w:pPr>
              <w:pStyle w:val="TableText"/>
              <w:numPr>
                <w:ilvl w:val="0"/>
                <w:numId w:val="54"/>
              </w:numPr>
              <w:ind w:left="1440"/>
            </w:pPr>
            <w:r>
              <w:t>Post-transfusion blood pressure</w:t>
            </w:r>
          </w:p>
          <w:p w14:paraId="25809D3C" w14:textId="77777777" w:rsidR="00B752FE" w:rsidRDefault="00B752FE" w:rsidP="00925CAD">
            <w:pPr>
              <w:pStyle w:val="TableText"/>
              <w:numPr>
                <w:ilvl w:val="0"/>
                <w:numId w:val="54"/>
              </w:numPr>
              <w:ind w:left="1440"/>
            </w:pPr>
            <w:r>
              <w:t>Amount given (mL)</w:t>
            </w:r>
          </w:p>
          <w:p w14:paraId="521CC729" w14:textId="77777777" w:rsidR="00B752FE" w:rsidRDefault="00B752FE" w:rsidP="00925CAD">
            <w:pPr>
              <w:pStyle w:val="TableText"/>
              <w:numPr>
                <w:ilvl w:val="0"/>
                <w:numId w:val="54"/>
              </w:numPr>
              <w:ind w:left="1440"/>
            </w:pPr>
            <w:r>
              <w:t>Date/time transfusion was completed or interrupted</w:t>
            </w:r>
          </w:p>
          <w:p w14:paraId="35114ADC" w14:textId="77777777" w:rsidR="00B752FE" w:rsidRDefault="00B752FE" w:rsidP="00925CAD">
            <w:pPr>
              <w:pStyle w:val="TableText"/>
              <w:numPr>
                <w:ilvl w:val="0"/>
                <w:numId w:val="54"/>
              </w:numPr>
              <w:ind w:left="1440"/>
            </w:pPr>
            <w:r>
              <w:t>Completing transfusionist (place for wet signature)</w:t>
            </w:r>
          </w:p>
          <w:p w14:paraId="7371A107" w14:textId="77777777" w:rsidR="00B752FE" w:rsidRDefault="00B752FE" w:rsidP="00925CAD">
            <w:pPr>
              <w:pStyle w:val="TableText"/>
              <w:numPr>
                <w:ilvl w:val="0"/>
                <w:numId w:val="54"/>
              </w:numPr>
              <w:ind w:left="1440"/>
            </w:pPr>
            <w:r>
              <w:t>Reverification of patient area</w:t>
            </w:r>
          </w:p>
          <w:p w14:paraId="693B71D7" w14:textId="77777777" w:rsidR="00B752FE" w:rsidRDefault="00B752FE" w:rsidP="00925CAD">
            <w:pPr>
              <w:pStyle w:val="TableText"/>
              <w:numPr>
                <w:ilvl w:val="0"/>
                <w:numId w:val="54"/>
              </w:numPr>
              <w:ind w:left="1440"/>
            </w:pPr>
            <w:r>
              <w:t>Transfusion reaction indicator (No reaction/Reaction suspected)</w:t>
            </w:r>
          </w:p>
          <w:p w14:paraId="288B3F51" w14:textId="77777777" w:rsidR="00B752FE" w:rsidRDefault="00B752FE" w:rsidP="00925CAD">
            <w:pPr>
              <w:pStyle w:val="TableText"/>
              <w:numPr>
                <w:ilvl w:val="0"/>
                <w:numId w:val="54"/>
              </w:numPr>
              <w:ind w:left="1440"/>
            </w:pPr>
            <w:r>
              <w:t>Description of Reaction (includes Urticaria, Chill, Pain, Fever, Dyspnea, Other)</w:t>
            </w:r>
          </w:p>
          <w:p w14:paraId="0108C3B9" w14:textId="77777777" w:rsidR="00B752FE" w:rsidRDefault="00B752FE" w:rsidP="00925CAD">
            <w:pPr>
              <w:pStyle w:val="TableText"/>
              <w:numPr>
                <w:ilvl w:val="0"/>
                <w:numId w:val="54"/>
              </w:numPr>
              <w:ind w:left="1440"/>
            </w:pPr>
            <w:r>
              <w:t>Other difficulties</w:t>
            </w:r>
          </w:p>
          <w:p w14:paraId="484933A6" w14:textId="77777777" w:rsidR="00B752FE" w:rsidRDefault="00B752FE" w:rsidP="00925CAD">
            <w:pPr>
              <w:pStyle w:val="TableText"/>
              <w:numPr>
                <w:ilvl w:val="0"/>
                <w:numId w:val="54"/>
              </w:numPr>
              <w:ind w:left="1440"/>
            </w:pPr>
            <w:r>
              <w:t>Signature of person noting the transfusion reaction</w:t>
            </w:r>
          </w:p>
          <w:p w14:paraId="3B4F3DEC" w14:textId="77777777" w:rsidR="00B752FE" w:rsidRDefault="00B752FE" w:rsidP="00925CAD">
            <w:pPr>
              <w:pStyle w:val="TableText"/>
              <w:numPr>
                <w:ilvl w:val="0"/>
                <w:numId w:val="54"/>
              </w:numPr>
              <w:ind w:left="1440"/>
            </w:pPr>
            <w:r>
              <w:t>Instructions for suspected transfusion reaction immediate response (see sample form for text)</w:t>
            </w:r>
          </w:p>
          <w:p w14:paraId="6A076B23" w14:textId="77777777" w:rsidR="00B752FE" w:rsidRDefault="00B752FE" w:rsidP="00B752FE">
            <w:pPr>
              <w:pStyle w:val="NotesText"/>
              <w:ind w:left="1440"/>
            </w:pPr>
            <w:r>
              <w:t>Bedside verification statement (see sample form for text)</w:t>
            </w:r>
          </w:p>
          <w:p w14:paraId="39A606D7" w14:textId="77777777" w:rsidR="00292F47" w:rsidRDefault="00292F47">
            <w:pPr>
              <w:pStyle w:val="NotesText"/>
            </w:pPr>
          </w:p>
          <w:p w14:paraId="316139E0" w14:textId="77777777" w:rsidR="002A21AE" w:rsidRDefault="00292F47">
            <w:pPr>
              <w:pStyle w:val="NotesText"/>
            </w:pPr>
            <w:r w:rsidRPr="00292F47">
              <w:rPr>
                <w:vanish/>
              </w:rPr>
              <w:t xml:space="preserve">BR_44.02 </w:t>
            </w:r>
            <w:r>
              <w:t>Facility Name is the name and address of the compatibility testing facility. If a full-service facility, “Facility Name” is the user’s current division. If a transfusion-only facility, “Facility Name” is the testing facility entered. For a transfusion-only facility, both the testing facility and the current division must appear on the form.</w:t>
            </w:r>
          </w:p>
          <w:p w14:paraId="79F6230F" w14:textId="77777777" w:rsidR="00292F47" w:rsidRDefault="00292F47">
            <w:pPr>
              <w:pStyle w:val="NotesText"/>
            </w:pPr>
          </w:p>
          <w:p w14:paraId="72ABEABC" w14:textId="77777777" w:rsidR="00292F47" w:rsidRDefault="00292F47">
            <w:pPr>
              <w:pStyle w:val="NotesText"/>
            </w:pPr>
            <w:r w:rsidRPr="00292F47">
              <w:rPr>
                <w:vanish/>
              </w:rPr>
              <w:t xml:space="preserve">BR_44.03 </w:t>
            </w:r>
            <w:r>
              <w:t>Patient Special Instructions and patient Transfusion Requirements do not print on the Blood Transfusion Record Form when the requirement isn’t appropriate (listed as “NA”) for the blood product.</w:t>
            </w:r>
          </w:p>
          <w:p w14:paraId="48592AE7" w14:textId="77777777" w:rsidR="00292F47" w:rsidRDefault="00292F47">
            <w:pPr>
              <w:pStyle w:val="NotesText"/>
            </w:pPr>
          </w:p>
          <w:p w14:paraId="1FCFBC75" w14:textId="77777777" w:rsidR="00292F47" w:rsidRDefault="00292F47" w:rsidP="00292F47">
            <w:pPr>
              <w:pStyle w:val="NotesText"/>
            </w:pPr>
            <w:r w:rsidRPr="00292F47">
              <w:rPr>
                <w:vanish/>
              </w:rPr>
              <w:t xml:space="preserve">BR_44.05 </w:t>
            </w:r>
            <w:r>
              <w:t>When blood products are emergency issued (indicator or the testing is incomplete or inconclusive on the current specimen), print in the remarks section of the Blood Transfusion Record Form: “This unit is issued for transfusion BEFORE the completion of required compatibility testing. The blood bank staff will continue to test the compatibility of the unit using the current patient specimen. If you are alerted to a unit’s incompatibility by the blood bank, stop the transfusion immediately.”</w:t>
            </w:r>
          </w:p>
          <w:p w14:paraId="7F7D947D" w14:textId="77777777" w:rsidR="00292F47" w:rsidRDefault="00292F47" w:rsidP="00292F47">
            <w:pPr>
              <w:pStyle w:val="TableText"/>
            </w:pPr>
          </w:p>
          <w:p w14:paraId="0FB68443" w14:textId="77777777" w:rsidR="00292F47" w:rsidRDefault="00276485" w:rsidP="00292F47">
            <w:pPr>
              <w:pStyle w:val="NotesText"/>
            </w:pPr>
            <w:r>
              <w:t>When</w:t>
            </w:r>
            <w:r w:rsidR="00292F47" w:rsidRPr="00292F47">
              <w:rPr>
                <w:vanish/>
              </w:rPr>
              <w:t xml:space="preserve">BR_44.05 </w:t>
            </w:r>
            <w:r>
              <w:rPr>
                <w:vanish/>
              </w:rPr>
              <w:t>When</w:t>
            </w:r>
            <w:r w:rsidR="00292F47">
              <w:t xml:space="preserve"> “***” prints for the patient ABO/Rh and crossmatch, include “Specimen testing incomplete at time of issue” in the printout.</w:t>
            </w:r>
          </w:p>
          <w:p w14:paraId="67FCB3C3" w14:textId="77777777" w:rsidR="002A21AE" w:rsidRDefault="002A21AE">
            <w:pPr>
              <w:pStyle w:val="NotesText"/>
              <w:tabs>
                <w:tab w:val="left" w:pos="4140"/>
              </w:tabs>
              <w:ind w:left="0"/>
            </w:pPr>
          </w:p>
        </w:tc>
      </w:tr>
      <w:tr w:rsidR="002A21AE" w14:paraId="18227113" w14:textId="77777777">
        <w:tc>
          <w:tcPr>
            <w:tcW w:w="3240" w:type="dxa"/>
          </w:tcPr>
          <w:p w14:paraId="7D993820" w14:textId="77777777" w:rsidR="002A21AE" w:rsidRDefault="002A21AE">
            <w:pPr>
              <w:pStyle w:val="TableTextNumbers"/>
            </w:pPr>
            <w:r>
              <w:t xml:space="preserve">Print and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A0B21F3" w14:textId="77777777" w:rsidR="002A21AE" w:rsidRDefault="002A21AE">
            <w:pPr>
              <w:pStyle w:val="TableText"/>
            </w:pPr>
          </w:p>
        </w:tc>
      </w:tr>
    </w:tbl>
    <w:p w14:paraId="7C589AE0" w14:textId="4666EF80" w:rsidR="00CD3C64" w:rsidRDefault="00CD3C64" w:rsidP="00CD3C64">
      <w:pPr>
        <w:pStyle w:val="Caption"/>
      </w:pPr>
      <w:bookmarkStart w:id="395" w:name="_Ref12700608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79</w:t>
      </w:r>
      <w:r w:rsidR="004E20BD">
        <w:rPr>
          <w:noProof/>
        </w:rPr>
        <w:fldChar w:fldCharType="end"/>
      </w:r>
      <w:bookmarkEnd w:id="395"/>
      <w:r>
        <w:t>: Print Unit Caution Tag and Transfusion Record Form</w:t>
      </w:r>
    </w:p>
    <w:p w14:paraId="6E3A6D52" w14:textId="77777777" w:rsidR="00CF47D5" w:rsidRDefault="00057948" w:rsidP="00936CE0">
      <w:pPr>
        <w:pStyle w:val="BodyText"/>
        <w:rPr>
          <w:rStyle w:val="BullhornChar"/>
        </w:rPr>
      </w:pPr>
      <w:r>
        <w:rPr>
          <w:rFonts w:ascii="Webdings" w:hAnsi="Webdings"/>
          <w:noProof/>
          <w:sz w:val="40"/>
          <w:szCs w:val="24"/>
        </w:rPr>
        <w:drawing>
          <wp:inline distT="0" distB="0" distL="0" distR="0" wp14:anchorId="6174C32B" wp14:editId="19DE3E8E">
            <wp:extent cx="3657600" cy="2706370"/>
            <wp:effectExtent l="0" t="0" r="0" b="0"/>
            <wp:docPr id="199" name="Picture 199" descr="Example of Print Unit Caution Tag and Transfusion Record Form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Example of Print Unit Caution Tag and Transfusion Record Form screen captur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657600" cy="2706370"/>
                    </a:xfrm>
                    <a:prstGeom prst="rect">
                      <a:avLst/>
                    </a:prstGeom>
                    <a:noFill/>
                    <a:ln>
                      <a:noFill/>
                    </a:ln>
                  </pic:spPr>
                </pic:pic>
              </a:graphicData>
            </a:graphic>
          </wp:inline>
        </w:drawing>
      </w:r>
    </w:p>
    <w:p w14:paraId="5280DCFF" w14:textId="77777777" w:rsidR="002A21AE" w:rsidRDefault="00CF47D5" w:rsidP="00CD3C64">
      <w:pPr>
        <w:pStyle w:val="BodyText"/>
      </w:pPr>
      <w:r>
        <w:rPr>
          <w:rStyle w:val="BullhornChar"/>
        </w:rPr>
        <w:br w:type="page"/>
      </w:r>
      <w:r w:rsidR="00896F17" w:rsidRPr="00896F17">
        <w:rPr>
          <w:rStyle w:val="BullhornChar"/>
        </w:rPr>
        <w:t></w:t>
      </w:r>
      <w:r w:rsidR="00896F17" w:rsidRPr="00896F17">
        <w:rPr>
          <w:rStyle w:val="Heading4Char"/>
        </w:rPr>
        <w:t xml:space="preserve"> </w:t>
      </w:r>
      <w:r w:rsidR="002A21AE" w:rsidRPr="00896F17">
        <w:rPr>
          <w:rStyle w:val="Heading4Char"/>
        </w:rPr>
        <w:t>Alerts</w:t>
      </w:r>
    </w:p>
    <w:p w14:paraId="34AB065E" w14:textId="2582F4BE" w:rsidR="002A21AE" w:rsidRDefault="002A21AE">
      <w:pPr>
        <w:pStyle w:val="Caption"/>
      </w:pPr>
      <w:bookmarkStart w:id="396" w:name="_Ref126504208"/>
      <w:bookmarkStart w:id="397" w:name="_Toc97523620"/>
      <w:bookmarkStart w:id="398" w:name="_Toc97527590"/>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9</w:t>
      </w:r>
      <w:r w:rsidR="004E20BD">
        <w:rPr>
          <w:noProof/>
        </w:rPr>
        <w:fldChar w:fldCharType="end"/>
      </w:r>
      <w:bookmarkEnd w:id="396"/>
      <w:r>
        <w:t xml:space="preserve">: Alerts That May Occur in </w:t>
      </w:r>
      <w:r w:rsidR="005D42CA">
        <w:t>Print Unit Caution Tag &amp; Transfusion Record Form</w:t>
      </w:r>
      <w:r>
        <w:t xml:space="preserve"> (Step 3)</w:t>
      </w:r>
      <w:bookmarkEnd w:id="397"/>
      <w:bookmarkEnd w:id="398"/>
      <w:r>
        <w:fldChar w:fldCharType="begin"/>
      </w:r>
      <w:r>
        <w:instrText xml:space="preserve"> XE </w:instrText>
      </w:r>
      <w:r w:rsidR="00FA7E65">
        <w:instrText>“</w:instrText>
      </w:r>
      <w:r>
        <w:instrText xml:space="preserve">Tables:Alerts That May Occur in </w:instrText>
      </w:r>
      <w:r w:rsidR="005D42CA">
        <w:instrText>Print Unit Caution Tag &amp; Transfusion Record Form</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4"/>
        <w:gridCol w:w="3818"/>
        <w:gridCol w:w="1588"/>
      </w:tblGrid>
      <w:tr w:rsidR="00F77995" w14:paraId="12B09103" w14:textId="77777777">
        <w:trPr>
          <w:tblHeader/>
        </w:trPr>
        <w:tc>
          <w:tcPr>
            <w:tcW w:w="5311" w:type="dxa"/>
            <w:shd w:val="clear" w:color="auto" w:fill="B3B3B3"/>
            <w:vAlign w:val="bottom"/>
          </w:tcPr>
          <w:p w14:paraId="202014EC" w14:textId="77777777" w:rsidR="000B56AE" w:rsidRDefault="000B56AE">
            <w:pPr>
              <w:pStyle w:val="TableText"/>
              <w:rPr>
                <w:b/>
              </w:rPr>
            </w:pPr>
            <w:r>
              <w:rPr>
                <w:b/>
              </w:rPr>
              <w:t>User Action Step 3: When This Condition Exists …</w:t>
            </w:r>
          </w:p>
        </w:tc>
        <w:tc>
          <w:tcPr>
            <w:tcW w:w="5253" w:type="dxa"/>
            <w:shd w:val="clear" w:color="auto" w:fill="B3B3B3"/>
            <w:vAlign w:val="bottom"/>
          </w:tcPr>
          <w:p w14:paraId="09CF743C" w14:textId="77777777" w:rsidR="000B56AE" w:rsidRDefault="000B56AE">
            <w:pPr>
              <w:pStyle w:val="TableText"/>
              <w:rPr>
                <w:b/>
              </w:rPr>
            </w:pPr>
            <w:r>
              <w:rPr>
                <w:b/>
              </w:rPr>
              <w:t xml:space="preserve">… </w:t>
            </w:r>
            <w:r w:rsidRPr="00896F17">
              <w:rPr>
                <w:rStyle w:val="BullhornChar"/>
              </w:rPr>
              <w:t></w:t>
            </w:r>
            <w:r>
              <w:rPr>
                <w:rFonts w:ascii="Webdings" w:hAnsi="Webdings"/>
              </w:rPr>
              <w:t></w:t>
            </w:r>
            <w:r>
              <w:rPr>
                <w:b/>
              </w:rPr>
              <w:t>VBECS Emits</w:t>
            </w:r>
            <w:r>
              <w:rPr>
                <w:b/>
                <w:noProof/>
              </w:rPr>
              <w:t xml:space="preserve"> an Audible Alert </w:t>
            </w:r>
            <w:r>
              <w:rPr>
                <w:b/>
              </w:rPr>
              <w:t>and Warns the User:</w:t>
            </w:r>
          </w:p>
        </w:tc>
        <w:tc>
          <w:tcPr>
            <w:tcW w:w="1793" w:type="dxa"/>
            <w:shd w:val="clear" w:color="auto" w:fill="B3B3B3"/>
            <w:vAlign w:val="bottom"/>
          </w:tcPr>
          <w:p w14:paraId="76AAD4BF" w14:textId="77777777" w:rsidR="000B56AE" w:rsidRDefault="000B56AE">
            <w:pPr>
              <w:pStyle w:val="TableText"/>
              <w:rPr>
                <w:b/>
              </w:rPr>
            </w:pPr>
            <w:r>
              <w:rPr>
                <w:b/>
              </w:rPr>
              <w:t>User Role</w:t>
            </w:r>
          </w:p>
        </w:tc>
      </w:tr>
      <w:tr w:rsidR="00F77995" w14:paraId="72374AAA" w14:textId="77777777">
        <w:trPr>
          <w:hidden/>
        </w:trPr>
        <w:tc>
          <w:tcPr>
            <w:tcW w:w="5311" w:type="dxa"/>
            <w:vMerge w:val="restart"/>
            <w:vAlign w:val="center"/>
          </w:tcPr>
          <w:p w14:paraId="1AB7C9AD" w14:textId="77777777" w:rsidR="000B56AE" w:rsidRDefault="000B56AE">
            <w:pPr>
              <w:pStyle w:val="TableText"/>
            </w:pPr>
            <w:r>
              <w:rPr>
                <w:rFonts w:cs="Arial"/>
                <w:vanish/>
              </w:rPr>
              <w:t xml:space="preserve">BR_43.18 </w:t>
            </w:r>
            <w:r>
              <w:t xml:space="preserve">VBECS determines whether the patient has a calculated or persistent antigen negative requirement (except when selecting autologous units). The selected unit was antigen typed and is positive for the corresponding antigen or is untested for the antigen. </w:t>
            </w:r>
          </w:p>
        </w:tc>
        <w:tc>
          <w:tcPr>
            <w:tcW w:w="5253" w:type="dxa"/>
            <w:vAlign w:val="bottom"/>
          </w:tcPr>
          <w:p w14:paraId="17C0C46C" w14:textId="77777777" w:rsidR="000B56AE" w:rsidRDefault="000B56AE">
            <w:pPr>
              <w:pStyle w:val="TableText"/>
            </w:pPr>
            <w:r>
              <w:t>The patient has a history of a clinically significant antibody, the unit is positive or untested for the corresponding antigen, the user does not have the proper security level. There is no override.</w:t>
            </w:r>
          </w:p>
        </w:tc>
        <w:tc>
          <w:tcPr>
            <w:tcW w:w="1793" w:type="dxa"/>
            <w:vAlign w:val="bottom"/>
          </w:tcPr>
          <w:p w14:paraId="593C1D27" w14:textId="77777777" w:rsidR="000B56AE" w:rsidRDefault="000B56AE">
            <w:pPr>
              <w:pStyle w:val="TableText"/>
            </w:pPr>
            <w:r>
              <w:t>Enhanced Technologist or below</w:t>
            </w:r>
          </w:p>
        </w:tc>
      </w:tr>
      <w:tr w:rsidR="00F77995" w14:paraId="00FF8758" w14:textId="77777777">
        <w:tc>
          <w:tcPr>
            <w:tcW w:w="5311" w:type="dxa"/>
            <w:vMerge/>
            <w:vAlign w:val="center"/>
          </w:tcPr>
          <w:p w14:paraId="4E38525E" w14:textId="77777777" w:rsidR="000B56AE" w:rsidRDefault="000B56AE">
            <w:pPr>
              <w:pStyle w:val="TableText"/>
            </w:pPr>
          </w:p>
        </w:tc>
        <w:tc>
          <w:tcPr>
            <w:tcW w:w="5253" w:type="dxa"/>
            <w:vAlign w:val="bottom"/>
          </w:tcPr>
          <w:p w14:paraId="61BCCEAA" w14:textId="77777777" w:rsidR="000B56AE" w:rsidRDefault="000B56AE">
            <w:pPr>
              <w:pStyle w:val="TableText"/>
              <w:rPr>
                <w:noProof/>
              </w:rPr>
            </w:pPr>
            <w:r>
              <w:t xml:space="preserve">The patient has a history of an antibody(s) and the unit ID is positive or untested for the corresponding antigen(s). Continue to print Caution Tag or BTRF? </w:t>
            </w:r>
            <w:r>
              <w:rPr>
                <w:b/>
                <w:bCs/>
              </w:rPr>
              <w:t>No</w:t>
            </w:r>
            <w:r>
              <w:t xml:space="preserve"> clears the screen. </w:t>
            </w:r>
            <w:r>
              <w:rPr>
                <w:b/>
                <w:bCs/>
              </w:rPr>
              <w:t>Yes</w:t>
            </w:r>
            <w:r>
              <w:t xml:space="preserve"> requires a comment and captures details for inclusion in an Exception Report (exception type: Caution Tag or BTRF printed for antigen positive or untested unit).</w:t>
            </w:r>
          </w:p>
        </w:tc>
        <w:tc>
          <w:tcPr>
            <w:tcW w:w="1793" w:type="dxa"/>
            <w:vAlign w:val="bottom"/>
          </w:tcPr>
          <w:p w14:paraId="23514CE4" w14:textId="77777777" w:rsidR="000B56AE" w:rsidRDefault="000B56AE">
            <w:pPr>
              <w:pStyle w:val="TableText"/>
            </w:pPr>
            <w:r>
              <w:t xml:space="preserve">Lead Technologist </w:t>
            </w:r>
          </w:p>
        </w:tc>
      </w:tr>
      <w:tr w:rsidR="00F77995" w14:paraId="7EE6B8DE" w14:textId="77777777">
        <w:trPr>
          <w:hidden/>
        </w:trPr>
        <w:tc>
          <w:tcPr>
            <w:tcW w:w="5311" w:type="dxa"/>
            <w:vMerge w:val="restart"/>
            <w:vAlign w:val="center"/>
          </w:tcPr>
          <w:p w14:paraId="65F7FD81" w14:textId="77777777" w:rsidR="000B56AE" w:rsidRDefault="000B56AE">
            <w:pPr>
              <w:pStyle w:val="TableText"/>
            </w:pPr>
            <w:r>
              <w:rPr>
                <w:rFonts w:cs="Arial"/>
                <w:vanish/>
              </w:rPr>
              <w:t xml:space="preserve">BR_43.19 </w:t>
            </w:r>
            <w:r>
              <w:t>When the patient has TRs, VBECS evaluates the selected unit to see whether a TR was satisfied based on system rules</w:t>
            </w:r>
            <w:r>
              <w:rPr>
                <w:vanish/>
                <w:szCs w:val="18"/>
              </w:rPr>
              <w:t>TT_3.04</w:t>
            </w:r>
            <w:r>
              <w:t xml:space="preserve">, including emergency issue. </w:t>
            </w:r>
          </w:p>
        </w:tc>
        <w:tc>
          <w:tcPr>
            <w:tcW w:w="5253" w:type="dxa"/>
            <w:vAlign w:val="bottom"/>
          </w:tcPr>
          <w:p w14:paraId="75C52317" w14:textId="77777777" w:rsidR="000B56AE" w:rsidRDefault="000B56AE">
            <w:pPr>
              <w:pStyle w:val="TableText"/>
            </w:pPr>
            <w:r>
              <w:t>The patient has</w:t>
            </w:r>
            <w:r>
              <w:rPr>
                <w:noProof/>
              </w:rPr>
              <w:t xml:space="preserve"> </w:t>
            </w:r>
            <w:r>
              <w:t xml:space="preserve">at least one </w:t>
            </w:r>
            <w:r>
              <w:rPr>
                <w:noProof/>
              </w:rPr>
              <w:t xml:space="preserve">TR that is not satisfied, the user does </w:t>
            </w:r>
            <w:r>
              <w:t>not have the proper security level to print the Caution Tag or BTRF for this unit. Further processing is needed and must be documented in VBECS. There is no override.</w:t>
            </w:r>
          </w:p>
        </w:tc>
        <w:tc>
          <w:tcPr>
            <w:tcW w:w="1793" w:type="dxa"/>
            <w:vAlign w:val="bottom"/>
          </w:tcPr>
          <w:p w14:paraId="26E01DDF" w14:textId="77777777" w:rsidR="000B56AE" w:rsidRDefault="000B56AE">
            <w:pPr>
              <w:pStyle w:val="TableText"/>
            </w:pPr>
            <w:r>
              <w:t>Enhanced Technologist or below</w:t>
            </w:r>
          </w:p>
        </w:tc>
      </w:tr>
      <w:tr w:rsidR="00F77995" w14:paraId="4C793802" w14:textId="77777777">
        <w:tc>
          <w:tcPr>
            <w:tcW w:w="5311" w:type="dxa"/>
            <w:vMerge/>
            <w:vAlign w:val="center"/>
          </w:tcPr>
          <w:p w14:paraId="744F1A13" w14:textId="77777777" w:rsidR="000B56AE" w:rsidRDefault="000B56AE">
            <w:pPr>
              <w:pStyle w:val="TableText"/>
            </w:pPr>
          </w:p>
        </w:tc>
        <w:tc>
          <w:tcPr>
            <w:tcW w:w="5253" w:type="dxa"/>
            <w:vAlign w:val="bottom"/>
          </w:tcPr>
          <w:p w14:paraId="19A84DCE" w14:textId="77777777" w:rsidR="000B56AE" w:rsidRDefault="000B56AE">
            <w:pPr>
              <w:pStyle w:val="TableText"/>
            </w:pPr>
            <w:r>
              <w:t xml:space="preserve">The patient has at least one </w:t>
            </w:r>
            <w:r>
              <w:rPr>
                <w:noProof/>
              </w:rPr>
              <w:t>TR that is not satisfied</w:t>
            </w:r>
            <w:r>
              <w:t xml:space="preserve">. Continue to print Caution Tag or BTRF? </w:t>
            </w:r>
            <w:r>
              <w:rPr>
                <w:b/>
                <w:bCs/>
              </w:rPr>
              <w:t>No</w:t>
            </w:r>
            <w:r>
              <w:t xml:space="preserve"> clears the screen. </w:t>
            </w:r>
            <w:r>
              <w:rPr>
                <w:b/>
                <w:bCs/>
              </w:rPr>
              <w:t>Yes</w:t>
            </w:r>
            <w:r>
              <w:t xml:space="preserve"> requires a comment and captures details for inclusion in an Exception Report (exception type: Caution Tag printed with unsatisfied TR).</w:t>
            </w:r>
          </w:p>
        </w:tc>
        <w:tc>
          <w:tcPr>
            <w:tcW w:w="1793" w:type="dxa"/>
            <w:vAlign w:val="bottom"/>
          </w:tcPr>
          <w:p w14:paraId="68BD97E6" w14:textId="77777777" w:rsidR="000B56AE" w:rsidRDefault="000B56AE">
            <w:pPr>
              <w:pStyle w:val="TableText"/>
            </w:pPr>
            <w:r>
              <w:t xml:space="preserve">Lead Technologist </w:t>
            </w:r>
          </w:p>
        </w:tc>
      </w:tr>
      <w:tr w:rsidR="00F77995" w14:paraId="0AA0965A" w14:textId="77777777">
        <w:trPr>
          <w:hidden/>
        </w:trPr>
        <w:tc>
          <w:tcPr>
            <w:tcW w:w="5311" w:type="dxa"/>
            <w:vMerge w:val="restart"/>
            <w:vAlign w:val="center"/>
          </w:tcPr>
          <w:p w14:paraId="61667C51" w14:textId="77777777" w:rsidR="000B56AE" w:rsidRDefault="000B56AE">
            <w:pPr>
              <w:pStyle w:val="TableText"/>
            </w:pPr>
            <w:r>
              <w:rPr>
                <w:rFonts w:cs="Arial"/>
                <w:vanish/>
              </w:rPr>
              <w:t xml:space="preserve">BR_43.16 </w:t>
            </w:r>
            <w:r>
              <w:t>The patient specimen is expired.</w:t>
            </w:r>
          </w:p>
        </w:tc>
        <w:tc>
          <w:tcPr>
            <w:tcW w:w="5253" w:type="dxa"/>
            <w:vAlign w:val="bottom"/>
          </w:tcPr>
          <w:p w14:paraId="33BC163A" w14:textId="77777777" w:rsidR="000B56AE" w:rsidRDefault="000B56AE">
            <w:pPr>
              <w:pStyle w:val="TableText"/>
            </w:pPr>
            <w:r>
              <w:t>The patient specimen is expired. There is no override.</w:t>
            </w:r>
          </w:p>
        </w:tc>
        <w:tc>
          <w:tcPr>
            <w:tcW w:w="1793" w:type="dxa"/>
            <w:vAlign w:val="bottom"/>
          </w:tcPr>
          <w:p w14:paraId="51AD9100" w14:textId="77777777" w:rsidR="000B56AE" w:rsidRDefault="000B56AE">
            <w:pPr>
              <w:pStyle w:val="TableText"/>
            </w:pPr>
            <w:r>
              <w:t>Technologist</w:t>
            </w:r>
          </w:p>
        </w:tc>
      </w:tr>
      <w:tr w:rsidR="00F77995" w14:paraId="2E110A9C" w14:textId="77777777">
        <w:tc>
          <w:tcPr>
            <w:tcW w:w="5311" w:type="dxa"/>
            <w:vMerge/>
            <w:vAlign w:val="center"/>
          </w:tcPr>
          <w:p w14:paraId="4DB4BD02" w14:textId="77777777" w:rsidR="000B56AE" w:rsidRDefault="000B56AE">
            <w:pPr>
              <w:pStyle w:val="TableText"/>
            </w:pPr>
          </w:p>
        </w:tc>
        <w:tc>
          <w:tcPr>
            <w:tcW w:w="5253" w:type="dxa"/>
            <w:vAlign w:val="bottom"/>
          </w:tcPr>
          <w:p w14:paraId="29C3C60D" w14:textId="77777777" w:rsidR="000B56AE" w:rsidRDefault="000B56AE">
            <w:pPr>
              <w:pStyle w:val="TableText"/>
            </w:pPr>
            <w:r>
              <w:t xml:space="preserve">The patient specimen is expired. Continue to print the Caution Tag and/or the BTRF? </w:t>
            </w:r>
            <w:r>
              <w:rPr>
                <w:b/>
                <w:bCs/>
              </w:rPr>
              <w:t>No</w:t>
            </w:r>
            <w:r>
              <w:t xml:space="preserve"> clears the screen. </w:t>
            </w:r>
            <w:r>
              <w:rPr>
                <w:b/>
                <w:bCs/>
              </w:rPr>
              <w:t>Yes</w:t>
            </w:r>
            <w:r>
              <w:t xml:space="preserve"> requires a comment and captures details for inclusion in an Exception Report (exception type: Caution Tag printed on expired specimen).</w:t>
            </w:r>
          </w:p>
        </w:tc>
        <w:tc>
          <w:tcPr>
            <w:tcW w:w="1793" w:type="dxa"/>
            <w:vAlign w:val="bottom"/>
          </w:tcPr>
          <w:p w14:paraId="5691AFC5" w14:textId="77777777" w:rsidR="000B56AE" w:rsidRDefault="000B56AE">
            <w:pPr>
              <w:pStyle w:val="TableText"/>
            </w:pPr>
            <w:r>
              <w:t xml:space="preserve">Enhanced Technologist </w:t>
            </w:r>
          </w:p>
        </w:tc>
      </w:tr>
      <w:tr w:rsidR="00F77995" w14:paraId="59530D7D" w14:textId="77777777">
        <w:trPr>
          <w:hidden/>
        </w:trPr>
        <w:tc>
          <w:tcPr>
            <w:tcW w:w="5311" w:type="dxa"/>
            <w:vAlign w:val="center"/>
          </w:tcPr>
          <w:p w14:paraId="5ED0C7AE" w14:textId="77777777" w:rsidR="00F77995" w:rsidRDefault="00C3145B">
            <w:pPr>
              <w:pStyle w:val="TableText"/>
              <w:rPr>
                <w:szCs w:val="18"/>
              </w:rPr>
            </w:pPr>
            <w:r w:rsidRPr="00693D9B">
              <w:rPr>
                <w:vanish/>
                <w:szCs w:val="18"/>
              </w:rPr>
              <w:t>BR_3.05</w:t>
            </w:r>
            <w:r>
              <w:rPr>
                <w:vanish/>
                <w:szCs w:val="18"/>
              </w:rPr>
              <w:t xml:space="preserve"> </w:t>
            </w:r>
            <w:r w:rsidR="00F77995">
              <w:rPr>
                <w:szCs w:val="18"/>
              </w:rPr>
              <w:t>The user attempts to print Caution Tags for emergency issue and:</w:t>
            </w:r>
          </w:p>
          <w:p w14:paraId="0A894338" w14:textId="77777777" w:rsidR="00F77995" w:rsidRDefault="00C3145B" w:rsidP="00F77995">
            <w:pPr>
              <w:pStyle w:val="TableTextBullet"/>
            </w:pPr>
            <w:r>
              <w:rPr>
                <w:szCs w:val="18"/>
              </w:rPr>
              <w:t>The c</w:t>
            </w:r>
            <w:r w:rsidR="00F77995">
              <w:t xml:space="preserve">urrent specimen has an </w:t>
            </w:r>
            <w:r w:rsidR="000B56AE">
              <w:t>“Emergency Issue” order</w:t>
            </w:r>
            <w:r>
              <w:t>.</w:t>
            </w:r>
          </w:p>
          <w:p w14:paraId="4EE46920" w14:textId="77777777" w:rsidR="00C3145B" w:rsidRDefault="00C3145B" w:rsidP="00F77995">
            <w:pPr>
              <w:pStyle w:val="TableTextBullet"/>
            </w:pPr>
            <w:r>
              <w:t>The patient has no record of ABO/Rh typing.</w:t>
            </w:r>
          </w:p>
          <w:p w14:paraId="2BA1C9CB" w14:textId="77777777" w:rsidR="00C3145B" w:rsidRDefault="00C3145B" w:rsidP="00C3145B">
            <w:pPr>
              <w:pStyle w:val="TableTextBullet"/>
            </w:pPr>
            <w:r>
              <w:t>The r</w:t>
            </w:r>
            <w:r w:rsidR="000B56AE">
              <w:t>equired ABO/Rh specimen testing</w:t>
            </w:r>
            <w:r w:rsidR="000B56AE">
              <w:rPr>
                <w:color w:val="000000"/>
              </w:rPr>
              <w:t xml:space="preserve"> is</w:t>
            </w:r>
            <w:r w:rsidR="000B56AE">
              <w:t xml:space="preserve"> incomplete</w:t>
            </w:r>
            <w:r>
              <w:t>.</w:t>
            </w:r>
          </w:p>
          <w:p w14:paraId="78C72A10" w14:textId="77777777" w:rsidR="00C3145B" w:rsidRDefault="00C3145B" w:rsidP="00C3145B">
            <w:pPr>
              <w:pStyle w:val="TableText"/>
            </w:pPr>
          </w:p>
          <w:p w14:paraId="0BA5A64C" w14:textId="77777777" w:rsidR="00F77995" w:rsidRDefault="00C3145B" w:rsidP="00C3145B">
            <w:pPr>
              <w:pStyle w:val="TableText"/>
            </w:pPr>
            <w:r>
              <w:t>The u</w:t>
            </w:r>
            <w:r w:rsidR="00F77995">
              <w:t>ser may select:</w:t>
            </w:r>
          </w:p>
          <w:p w14:paraId="6CE95619" w14:textId="77777777" w:rsidR="00F77995" w:rsidRDefault="00F77995" w:rsidP="00C3145B">
            <w:pPr>
              <w:pStyle w:val="TableTextBullet"/>
            </w:pPr>
            <w:r>
              <w:t xml:space="preserve">For WB or RBC order only: </w:t>
            </w:r>
            <w:r w:rsidR="00093181">
              <w:t>group</w:t>
            </w:r>
            <w:r w:rsidR="000014DD">
              <w:t xml:space="preserve"> </w:t>
            </w:r>
            <w:r>
              <w:t xml:space="preserve">O, Rh positive or O Rh negative </w:t>
            </w:r>
            <w:r w:rsidR="00C3145B">
              <w:t>(</w:t>
            </w:r>
            <w:r w:rsidR="000B56AE">
              <w:t>WHOLE BLOOD is not available</w:t>
            </w:r>
            <w:r w:rsidR="00C3145B">
              <w:t>).</w:t>
            </w:r>
          </w:p>
          <w:p w14:paraId="4E98E887" w14:textId="77777777" w:rsidR="00F77995" w:rsidRDefault="00626C6A" w:rsidP="00C3145B">
            <w:pPr>
              <w:pStyle w:val="TableTextBullet"/>
            </w:pPr>
            <w:r>
              <w:t>F</w:t>
            </w:r>
            <w:r w:rsidR="000B56AE">
              <w:t>or FFP order only:</w:t>
            </w:r>
            <w:r w:rsidR="00D5161F">
              <w:t xml:space="preserve"> g</w:t>
            </w:r>
            <w:r w:rsidR="000B56AE">
              <w:t>roup AB, Rh positive or Rh negative</w:t>
            </w:r>
            <w:r>
              <w:t>.</w:t>
            </w:r>
          </w:p>
          <w:p w14:paraId="5B1D6F2A" w14:textId="77777777" w:rsidR="000B56AE" w:rsidRDefault="000B56AE" w:rsidP="00C3145B">
            <w:pPr>
              <w:pStyle w:val="TableTextBullet"/>
            </w:pPr>
            <w:r>
              <w:t>For PLT order:</w:t>
            </w:r>
            <w:r w:rsidR="00D5161F">
              <w:t xml:space="preserve"> a</w:t>
            </w:r>
            <w:r>
              <w:t>ll available units are issuable.</w:t>
            </w:r>
          </w:p>
        </w:tc>
        <w:tc>
          <w:tcPr>
            <w:tcW w:w="5253" w:type="dxa"/>
            <w:vAlign w:val="bottom"/>
          </w:tcPr>
          <w:p w14:paraId="133E7C39" w14:textId="77777777" w:rsidR="000B56AE" w:rsidRDefault="000B56AE">
            <w:pPr>
              <w:pStyle w:val="TableText"/>
            </w:pPr>
            <w:r>
              <w:t>The unit does not meet these requirements. Testing is incomplete and this unit is not eligible for emergency issue. The Caution Tag cannot be printed. There is no override.</w:t>
            </w:r>
          </w:p>
        </w:tc>
        <w:tc>
          <w:tcPr>
            <w:tcW w:w="1793" w:type="dxa"/>
            <w:vAlign w:val="bottom"/>
          </w:tcPr>
          <w:p w14:paraId="5F3041A4" w14:textId="77777777" w:rsidR="000B56AE" w:rsidRDefault="000B56AE">
            <w:pPr>
              <w:pStyle w:val="TableText"/>
            </w:pPr>
            <w:r>
              <w:t>All users</w:t>
            </w:r>
          </w:p>
        </w:tc>
      </w:tr>
      <w:tr w:rsidR="00F77995" w14:paraId="217CDBFA" w14:textId="77777777">
        <w:trPr>
          <w:hidden/>
        </w:trPr>
        <w:tc>
          <w:tcPr>
            <w:tcW w:w="5311" w:type="dxa"/>
            <w:vAlign w:val="center"/>
          </w:tcPr>
          <w:p w14:paraId="6239573D" w14:textId="77777777" w:rsidR="000B56AE" w:rsidRDefault="000B56AE">
            <w:pPr>
              <w:pStyle w:val="TableText"/>
            </w:pPr>
            <w:r>
              <w:rPr>
                <w:rFonts w:cs="Arial"/>
                <w:vanish/>
              </w:rPr>
              <w:t xml:space="preserve">BR_43.02 </w:t>
            </w:r>
            <w:r>
              <w:t>VBECS determines whether a blood unit that does require crossmatch (electronic or serologic) is ready for issue based on the following rules:</w:t>
            </w:r>
          </w:p>
          <w:p w14:paraId="4CD4AF67" w14:textId="77777777" w:rsidR="000B56AE" w:rsidRDefault="000B56AE" w:rsidP="00BE2D19">
            <w:pPr>
              <w:pStyle w:val="TableTextBullet"/>
            </w:pPr>
            <w:r>
              <w:t xml:space="preserve">Unit is not in a frozen state. </w:t>
            </w:r>
          </w:p>
          <w:p w14:paraId="1659E002" w14:textId="77777777" w:rsidR="000B56AE" w:rsidRDefault="000B56AE" w:rsidP="00BE2D19">
            <w:pPr>
              <w:pStyle w:val="TableTextBullet"/>
            </w:pPr>
            <w:r>
              <w:t>The unit is crossmatched to the patient (eXM, or serologic XM).</w:t>
            </w:r>
          </w:p>
          <w:p w14:paraId="10F35B2F" w14:textId="77777777" w:rsidR="000B56AE" w:rsidRDefault="000B56AE" w:rsidP="00BE2D19">
            <w:pPr>
              <w:pStyle w:val="TableTextBullet"/>
            </w:pPr>
            <w:r>
              <w:t xml:space="preserve">TAS Specimen testing is complete and valid (ABO/Rh and </w:t>
            </w:r>
            <w:r w:rsidR="004E2F2D">
              <w:t>ABS</w:t>
            </w:r>
            <w:r>
              <w:t xml:space="preserve"> results are entered).</w:t>
            </w:r>
          </w:p>
          <w:p w14:paraId="62FDE53A" w14:textId="77777777" w:rsidR="000B56AE" w:rsidRDefault="000B56AE">
            <w:pPr>
              <w:pStyle w:val="TableText"/>
            </w:pPr>
            <w:r>
              <w:t>One of these crossmatch interpretations was entered:</w:t>
            </w:r>
          </w:p>
          <w:p w14:paraId="414FC307" w14:textId="77777777" w:rsidR="000B56AE" w:rsidRDefault="000B56AE" w:rsidP="00BE2D19">
            <w:pPr>
              <w:pStyle w:val="TableTextBullet"/>
            </w:pPr>
            <w:r>
              <w:t xml:space="preserve">Crossmatch Compatible </w:t>
            </w:r>
          </w:p>
          <w:p w14:paraId="2BF9BF08" w14:textId="77777777" w:rsidR="000B56AE" w:rsidRDefault="000B56AE" w:rsidP="00BE2D19">
            <w:pPr>
              <w:pStyle w:val="TableTextBullet"/>
            </w:pPr>
            <w:r>
              <w:t>Compatible: Electronically crossmatched</w:t>
            </w:r>
          </w:p>
          <w:p w14:paraId="2722676E" w14:textId="77777777" w:rsidR="000B56AE" w:rsidRDefault="000B56AE" w:rsidP="00BE2D19">
            <w:pPr>
              <w:pStyle w:val="TableTextBullet"/>
            </w:pPr>
            <w:r>
              <w:t>Crossmatch Incompatible: Give only with Medical Director approval</w:t>
            </w:r>
          </w:p>
        </w:tc>
        <w:tc>
          <w:tcPr>
            <w:tcW w:w="5253" w:type="dxa"/>
            <w:vAlign w:val="bottom"/>
          </w:tcPr>
          <w:p w14:paraId="6DE6B269" w14:textId="77777777" w:rsidR="000B56AE" w:rsidRDefault="000B56AE">
            <w:pPr>
              <w:pStyle w:val="TableText"/>
            </w:pPr>
            <w:r>
              <w:t xml:space="preserve">All of the conditions for the unit are met but an emergency issue order indicator is in place or the testing is incomplete or inconclusive on the current specimen and units were selected. Do you want to print emergency issue tags/forms for the unit/patient? </w:t>
            </w:r>
            <w:r>
              <w:rPr>
                <w:b/>
                <w:bCs/>
              </w:rPr>
              <w:t>Yes</w:t>
            </w:r>
            <w:r>
              <w:t xml:space="preserve"> prints the emergency issue tags and forms. </w:t>
            </w:r>
            <w:r>
              <w:rPr>
                <w:b/>
                <w:bCs/>
              </w:rPr>
              <w:t>No</w:t>
            </w:r>
            <w:r>
              <w:t xml:space="preserve"> does not allow the user to continue.</w:t>
            </w:r>
          </w:p>
        </w:tc>
        <w:tc>
          <w:tcPr>
            <w:tcW w:w="1793" w:type="dxa"/>
            <w:vAlign w:val="bottom"/>
          </w:tcPr>
          <w:p w14:paraId="465762FA" w14:textId="77777777" w:rsidR="000B56AE" w:rsidRDefault="000B56AE">
            <w:pPr>
              <w:pStyle w:val="TableText"/>
            </w:pPr>
            <w:r>
              <w:t>All users</w:t>
            </w:r>
          </w:p>
        </w:tc>
      </w:tr>
      <w:tr w:rsidR="00F77995" w14:paraId="2834FD59" w14:textId="77777777">
        <w:trPr>
          <w:hidden/>
        </w:trPr>
        <w:tc>
          <w:tcPr>
            <w:tcW w:w="5311" w:type="dxa"/>
            <w:tcBorders>
              <w:bottom w:val="single" w:sz="4" w:space="0" w:color="auto"/>
            </w:tcBorders>
            <w:vAlign w:val="center"/>
          </w:tcPr>
          <w:p w14:paraId="4E0FC06A" w14:textId="77777777" w:rsidR="000B56AE" w:rsidRDefault="000B56AE" w:rsidP="00AC7151">
            <w:pPr>
              <w:pStyle w:val="TableText"/>
            </w:pPr>
            <w:r>
              <w:rPr>
                <w:rFonts w:cs="Arial"/>
                <w:vanish/>
              </w:rPr>
              <w:t xml:space="preserve">BR_43.07 </w:t>
            </w:r>
            <w:r>
              <w:t xml:space="preserve">For blood units that </w:t>
            </w:r>
            <w:r>
              <w:rPr>
                <w:iCs/>
              </w:rPr>
              <w:t>do not require crossmatch</w:t>
            </w:r>
            <w:r>
              <w:t xml:space="preserve"> when the unit is assigned to the patient and is not in a frozen state, VBECS determines when a blood unit is ready for issue. </w:t>
            </w:r>
          </w:p>
        </w:tc>
        <w:tc>
          <w:tcPr>
            <w:tcW w:w="5253" w:type="dxa"/>
            <w:tcBorders>
              <w:bottom w:val="single" w:sz="4" w:space="0" w:color="auto"/>
            </w:tcBorders>
            <w:vAlign w:val="bottom"/>
          </w:tcPr>
          <w:p w14:paraId="4D557DFF" w14:textId="77777777" w:rsidR="000B56AE" w:rsidRDefault="000B56AE">
            <w:pPr>
              <w:pStyle w:val="TableText"/>
            </w:pPr>
            <w:r>
              <w:t>All of the conditions for the unit are</w:t>
            </w:r>
            <w:r>
              <w:rPr>
                <w:i/>
              </w:rPr>
              <w:t xml:space="preserve"> </w:t>
            </w:r>
            <w:r>
              <w:rPr>
                <w:iCs/>
              </w:rPr>
              <w:t>not</w:t>
            </w:r>
            <w:r>
              <w:t xml:space="preserve"> met. The Caution Tag and/or the BTRF cannot be printed at this time and the reason they </w:t>
            </w:r>
            <w:r w:rsidR="00A10483">
              <w:t>cannot</w:t>
            </w:r>
            <w:r>
              <w:t xml:space="preserve"> be printed. Additional patient testing or unit processing must be performed.</w:t>
            </w:r>
          </w:p>
        </w:tc>
        <w:tc>
          <w:tcPr>
            <w:tcW w:w="1793" w:type="dxa"/>
            <w:tcBorders>
              <w:bottom w:val="single" w:sz="4" w:space="0" w:color="auto"/>
            </w:tcBorders>
            <w:vAlign w:val="bottom"/>
          </w:tcPr>
          <w:p w14:paraId="63CF7128" w14:textId="77777777" w:rsidR="000B56AE" w:rsidRDefault="000B56AE">
            <w:pPr>
              <w:pStyle w:val="TableText"/>
            </w:pPr>
            <w:r>
              <w:t>All users</w:t>
            </w:r>
          </w:p>
        </w:tc>
      </w:tr>
    </w:tbl>
    <w:p w14:paraId="13E815CD" w14:textId="5138D987" w:rsidR="002A21AE" w:rsidRDefault="002A21AE">
      <w:pPr>
        <w:pStyle w:val="Caption"/>
      </w:pPr>
      <w:bookmarkStart w:id="399" w:name="_Toc97523621"/>
      <w:bookmarkStart w:id="400" w:name="_Toc9752759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80</w:t>
      </w:r>
      <w:r w:rsidR="004E20BD">
        <w:rPr>
          <w:noProof/>
        </w:rPr>
        <w:fldChar w:fldCharType="end"/>
      </w:r>
      <w:r>
        <w:t>: Caution Tag</w:t>
      </w:r>
      <w:bookmarkEnd w:id="399"/>
      <w:bookmarkEnd w:id="400"/>
      <w:r w:rsidR="00CC006F">
        <w:t xml:space="preserve"> </w:t>
      </w:r>
      <w:r w:rsidR="00CC006F" w:rsidRPr="00CC006F">
        <w:rPr>
          <w:vanish/>
        </w:rPr>
        <w:t>DR 4848</w:t>
      </w:r>
      <w:r>
        <w:fldChar w:fldCharType="begin"/>
      </w:r>
      <w:r>
        <w:instrText xml:space="preserve"> XE </w:instrText>
      </w:r>
      <w:r w:rsidR="00FA7E65">
        <w:instrText>“</w:instrText>
      </w:r>
      <w:r>
        <w:instrText>Figures:Caution Tag</w:instrText>
      </w:r>
      <w:r w:rsidR="00FA7E65">
        <w:instrText>”</w:instrText>
      </w:r>
      <w:r>
        <w:instrText xml:space="preserve"> </w:instrText>
      </w:r>
      <w:r>
        <w:fldChar w:fldCharType="end"/>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080"/>
        <w:gridCol w:w="1800"/>
      </w:tblGrid>
      <w:tr w:rsidR="002A21AE" w14:paraId="4BA5CFF3" w14:textId="77777777" w:rsidTr="00FD28CB">
        <w:trPr>
          <w:cantSplit/>
          <w:trHeight w:val="350"/>
        </w:trPr>
        <w:tc>
          <w:tcPr>
            <w:tcW w:w="5760" w:type="dxa"/>
            <w:gridSpan w:val="3"/>
            <w:vMerge w:val="restart"/>
          </w:tcPr>
          <w:p w14:paraId="4999247A" w14:textId="77777777" w:rsidR="002A21AE" w:rsidRPr="0071550C" w:rsidRDefault="0071550C">
            <w:pPr>
              <w:rPr>
                <w:rFonts w:ascii="Arial" w:hAnsi="Arial"/>
                <w:sz w:val="18"/>
                <w:szCs w:val="18"/>
              </w:rPr>
            </w:pPr>
            <w:r w:rsidRPr="0071550C">
              <w:rPr>
                <w:rFonts w:ascii="Arial" w:hAnsi="Arial"/>
                <w:sz w:val="18"/>
                <w:szCs w:val="18"/>
              </w:rPr>
              <w:t>Product Code                                            2D Barcode</w:t>
            </w:r>
          </w:p>
          <w:p w14:paraId="13192F58" w14:textId="77777777" w:rsidR="0071550C" w:rsidRPr="0071550C" w:rsidRDefault="0071550C">
            <w:pPr>
              <w:rPr>
                <w:rFonts w:ascii="Arial" w:hAnsi="Arial"/>
                <w:sz w:val="18"/>
                <w:szCs w:val="18"/>
              </w:rPr>
            </w:pPr>
          </w:p>
          <w:p w14:paraId="483A0056" w14:textId="77777777" w:rsidR="0071550C" w:rsidRPr="0071550C" w:rsidRDefault="002A21AE">
            <w:pPr>
              <w:rPr>
                <w:rFonts w:ascii="Arial" w:hAnsi="Arial"/>
                <w:sz w:val="18"/>
                <w:szCs w:val="18"/>
              </w:rPr>
            </w:pPr>
            <w:r w:rsidRPr="0071550C">
              <w:rPr>
                <w:rFonts w:ascii="Arial" w:hAnsi="Arial"/>
                <w:sz w:val="18"/>
                <w:szCs w:val="18"/>
              </w:rPr>
              <w:t>Division Name</w:t>
            </w:r>
          </w:p>
          <w:p w14:paraId="742BB403" w14:textId="77777777" w:rsidR="002A21AE" w:rsidRDefault="002A21AE">
            <w:pPr>
              <w:rPr>
                <w:rFonts w:ascii="Arial" w:hAnsi="Arial"/>
                <w:sz w:val="20"/>
              </w:rPr>
            </w:pPr>
            <w:r w:rsidRPr="0071550C">
              <w:rPr>
                <w:rFonts w:ascii="Arial" w:hAnsi="Arial"/>
                <w:sz w:val="18"/>
                <w:szCs w:val="18"/>
              </w:rPr>
              <w:t>City, State</w:t>
            </w:r>
          </w:p>
        </w:tc>
      </w:tr>
      <w:tr w:rsidR="002A21AE" w14:paraId="0C004C5A" w14:textId="77777777" w:rsidTr="00FD28CB">
        <w:trPr>
          <w:cantSplit/>
          <w:trHeight w:val="230"/>
        </w:trPr>
        <w:tc>
          <w:tcPr>
            <w:tcW w:w="5760" w:type="dxa"/>
            <w:gridSpan w:val="3"/>
            <w:vMerge/>
          </w:tcPr>
          <w:p w14:paraId="332776AB" w14:textId="77777777" w:rsidR="002A21AE" w:rsidRDefault="002A21AE">
            <w:pPr>
              <w:rPr>
                <w:rFonts w:ascii="Arial" w:hAnsi="Arial"/>
                <w:sz w:val="20"/>
              </w:rPr>
            </w:pPr>
          </w:p>
        </w:tc>
      </w:tr>
      <w:tr w:rsidR="002A21AE" w14:paraId="5F7493FA" w14:textId="77777777" w:rsidTr="00FD28CB">
        <w:trPr>
          <w:cantSplit/>
        </w:trPr>
        <w:tc>
          <w:tcPr>
            <w:tcW w:w="5760" w:type="dxa"/>
            <w:gridSpan w:val="3"/>
          </w:tcPr>
          <w:p w14:paraId="027DBE17" w14:textId="77777777" w:rsidR="002A21AE" w:rsidRPr="0071550C" w:rsidRDefault="002A21AE" w:rsidP="0071550C">
            <w:pPr>
              <w:rPr>
                <w:rFonts w:ascii="Arial" w:hAnsi="Arial"/>
                <w:sz w:val="20"/>
                <w:vertAlign w:val="superscript"/>
              </w:rPr>
            </w:pPr>
            <w:r w:rsidRPr="0071550C">
              <w:rPr>
                <w:rFonts w:ascii="Arial" w:hAnsi="Arial"/>
                <w:sz w:val="20"/>
                <w:vertAlign w:val="superscript"/>
              </w:rPr>
              <w:t xml:space="preserve">Patient </w:t>
            </w:r>
            <w:r w:rsidR="0071550C" w:rsidRPr="0071550C">
              <w:rPr>
                <w:rFonts w:ascii="Arial" w:hAnsi="Arial"/>
                <w:sz w:val="20"/>
                <w:vertAlign w:val="superscript"/>
              </w:rPr>
              <w:t>Name</w:t>
            </w:r>
            <w:r w:rsidRPr="0071550C">
              <w:rPr>
                <w:rFonts w:ascii="Arial" w:hAnsi="Arial"/>
                <w:sz w:val="20"/>
                <w:vertAlign w:val="superscript"/>
              </w:rPr>
              <w:t>:</w:t>
            </w:r>
          </w:p>
          <w:p w14:paraId="2CF21DF9" w14:textId="77777777" w:rsidR="002A21AE" w:rsidRDefault="002A21AE">
            <w:pPr>
              <w:rPr>
                <w:rFonts w:ascii="Arial" w:hAnsi="Arial"/>
                <w:sz w:val="20"/>
                <w:vertAlign w:val="superscript"/>
              </w:rPr>
            </w:pPr>
          </w:p>
        </w:tc>
      </w:tr>
      <w:tr w:rsidR="002A21AE" w14:paraId="55A2C9C1" w14:textId="77777777" w:rsidTr="00FD28CB">
        <w:trPr>
          <w:cantSplit/>
        </w:trPr>
        <w:tc>
          <w:tcPr>
            <w:tcW w:w="3960" w:type="dxa"/>
            <w:gridSpan w:val="2"/>
            <w:tcBorders>
              <w:bottom w:val="single" w:sz="4" w:space="0" w:color="auto"/>
            </w:tcBorders>
          </w:tcPr>
          <w:p w14:paraId="165DC958" w14:textId="77777777" w:rsidR="002A21AE" w:rsidRDefault="002A21AE">
            <w:pPr>
              <w:rPr>
                <w:rFonts w:ascii="Arial" w:hAnsi="Arial"/>
                <w:b/>
                <w:sz w:val="20"/>
                <w:vertAlign w:val="superscript"/>
              </w:rPr>
            </w:pPr>
            <w:r>
              <w:rPr>
                <w:rFonts w:ascii="Arial" w:hAnsi="Arial"/>
                <w:sz w:val="20"/>
                <w:vertAlign w:val="superscript"/>
              </w:rPr>
              <w:t xml:space="preserve">Patient </w:t>
            </w:r>
            <w:r w:rsidR="0071550C">
              <w:rPr>
                <w:rFonts w:ascii="Arial" w:hAnsi="Arial"/>
                <w:sz w:val="20"/>
                <w:vertAlign w:val="superscript"/>
              </w:rPr>
              <w:t>ID</w:t>
            </w:r>
            <w:r>
              <w:rPr>
                <w:rFonts w:ascii="Arial" w:hAnsi="Arial"/>
                <w:sz w:val="20"/>
                <w:vertAlign w:val="superscript"/>
              </w:rPr>
              <w:t>:</w:t>
            </w:r>
          </w:p>
          <w:p w14:paraId="2702018C" w14:textId="77777777" w:rsidR="002A21AE" w:rsidRDefault="002A21AE">
            <w:pPr>
              <w:rPr>
                <w:rFonts w:ascii="Arial" w:hAnsi="Arial"/>
                <w:sz w:val="20"/>
                <w:vertAlign w:val="superscript"/>
              </w:rPr>
            </w:pPr>
          </w:p>
        </w:tc>
        <w:tc>
          <w:tcPr>
            <w:tcW w:w="1800" w:type="dxa"/>
            <w:tcBorders>
              <w:bottom w:val="single" w:sz="4" w:space="0" w:color="auto"/>
            </w:tcBorders>
          </w:tcPr>
          <w:p w14:paraId="130223C4" w14:textId="77777777" w:rsidR="002A21AE" w:rsidRDefault="002A21AE">
            <w:pPr>
              <w:rPr>
                <w:rFonts w:ascii="Arial" w:hAnsi="Arial"/>
                <w:sz w:val="20"/>
                <w:vertAlign w:val="superscript"/>
              </w:rPr>
            </w:pPr>
            <w:r>
              <w:rPr>
                <w:rFonts w:ascii="Arial" w:hAnsi="Arial"/>
                <w:sz w:val="20"/>
                <w:vertAlign w:val="superscript"/>
              </w:rPr>
              <w:t>Recipient Blood Type:</w:t>
            </w:r>
          </w:p>
          <w:p w14:paraId="5422C9C1" w14:textId="77777777" w:rsidR="002A21AE" w:rsidRDefault="002A21AE">
            <w:pPr>
              <w:pStyle w:val="Heading4"/>
              <w:rPr>
                <w:sz w:val="20"/>
                <w:vertAlign w:val="superscript"/>
              </w:rPr>
            </w:pPr>
          </w:p>
        </w:tc>
      </w:tr>
      <w:tr w:rsidR="002A21AE" w14:paraId="5856B5FF" w14:textId="77777777" w:rsidTr="00FD28CB">
        <w:trPr>
          <w:cantSplit/>
          <w:trHeight w:val="230"/>
        </w:trPr>
        <w:tc>
          <w:tcPr>
            <w:tcW w:w="3960" w:type="dxa"/>
            <w:gridSpan w:val="2"/>
            <w:vMerge w:val="restart"/>
          </w:tcPr>
          <w:p w14:paraId="6122C661" w14:textId="77777777" w:rsidR="002A21AE" w:rsidRDefault="002A21AE">
            <w:pPr>
              <w:rPr>
                <w:rFonts w:ascii="Arial" w:hAnsi="Arial"/>
                <w:sz w:val="20"/>
                <w:vertAlign w:val="superscript"/>
              </w:rPr>
            </w:pPr>
            <w:r>
              <w:rPr>
                <w:rFonts w:ascii="Arial" w:hAnsi="Arial"/>
                <w:sz w:val="20"/>
                <w:vertAlign w:val="superscript"/>
              </w:rPr>
              <w:t>Unit/Pool ID:</w:t>
            </w:r>
          </w:p>
        </w:tc>
        <w:tc>
          <w:tcPr>
            <w:tcW w:w="1800" w:type="dxa"/>
            <w:vMerge w:val="restart"/>
          </w:tcPr>
          <w:p w14:paraId="0E216C34" w14:textId="77777777" w:rsidR="002A21AE" w:rsidRDefault="002A21AE">
            <w:pPr>
              <w:rPr>
                <w:rFonts w:ascii="Arial" w:hAnsi="Arial"/>
                <w:sz w:val="20"/>
                <w:vertAlign w:val="superscript"/>
              </w:rPr>
            </w:pPr>
            <w:r>
              <w:rPr>
                <w:rFonts w:ascii="Arial" w:hAnsi="Arial"/>
                <w:sz w:val="20"/>
                <w:vertAlign w:val="superscript"/>
              </w:rPr>
              <w:t>Donor Blood Type:</w:t>
            </w:r>
          </w:p>
          <w:p w14:paraId="3340CF1F" w14:textId="77777777" w:rsidR="002A21AE" w:rsidRDefault="002A21AE">
            <w:pPr>
              <w:rPr>
                <w:rFonts w:ascii="Arial" w:hAnsi="Arial"/>
                <w:sz w:val="20"/>
                <w:vertAlign w:val="superscript"/>
              </w:rPr>
            </w:pPr>
          </w:p>
        </w:tc>
      </w:tr>
      <w:tr w:rsidR="002A21AE" w14:paraId="79F150A6" w14:textId="77777777" w:rsidTr="00FD28CB">
        <w:trPr>
          <w:cantSplit/>
          <w:trHeight w:val="230"/>
        </w:trPr>
        <w:tc>
          <w:tcPr>
            <w:tcW w:w="3960" w:type="dxa"/>
            <w:gridSpan w:val="2"/>
            <w:vMerge/>
          </w:tcPr>
          <w:p w14:paraId="1190DA65" w14:textId="77777777" w:rsidR="002A21AE" w:rsidRDefault="002A21AE">
            <w:pPr>
              <w:rPr>
                <w:rFonts w:ascii="Arial" w:hAnsi="Arial"/>
                <w:sz w:val="20"/>
                <w:vertAlign w:val="superscript"/>
              </w:rPr>
            </w:pPr>
          </w:p>
        </w:tc>
        <w:tc>
          <w:tcPr>
            <w:tcW w:w="1800" w:type="dxa"/>
            <w:vMerge/>
          </w:tcPr>
          <w:p w14:paraId="7D171799" w14:textId="77777777" w:rsidR="002A21AE" w:rsidRDefault="002A21AE">
            <w:pPr>
              <w:rPr>
                <w:rFonts w:ascii="Arial" w:hAnsi="Arial"/>
                <w:sz w:val="20"/>
                <w:vertAlign w:val="superscript"/>
              </w:rPr>
            </w:pPr>
          </w:p>
        </w:tc>
      </w:tr>
      <w:tr w:rsidR="002A21AE" w14:paraId="7CBB74AF" w14:textId="77777777" w:rsidTr="00FD28CB">
        <w:trPr>
          <w:cantSplit/>
        </w:trPr>
        <w:tc>
          <w:tcPr>
            <w:tcW w:w="5760" w:type="dxa"/>
            <w:gridSpan w:val="3"/>
            <w:tcBorders>
              <w:bottom w:val="single" w:sz="4" w:space="0" w:color="auto"/>
            </w:tcBorders>
          </w:tcPr>
          <w:p w14:paraId="39AFEB1D" w14:textId="77777777" w:rsidR="002A21AE" w:rsidRPr="0071550C" w:rsidRDefault="002A21AE">
            <w:pPr>
              <w:rPr>
                <w:rFonts w:ascii="Arial" w:hAnsi="Arial"/>
                <w:sz w:val="20"/>
                <w:vertAlign w:val="superscript"/>
              </w:rPr>
            </w:pPr>
            <w:r w:rsidRPr="0071550C">
              <w:rPr>
                <w:rFonts w:ascii="Arial" w:hAnsi="Arial"/>
                <w:sz w:val="20"/>
                <w:vertAlign w:val="superscript"/>
              </w:rPr>
              <w:t>Compatibility Interpretation:</w:t>
            </w:r>
          </w:p>
          <w:p w14:paraId="2CDB8649" w14:textId="77777777" w:rsidR="002A21AE" w:rsidRDefault="002A21AE">
            <w:pPr>
              <w:rPr>
                <w:vertAlign w:val="superscript"/>
              </w:rPr>
            </w:pPr>
          </w:p>
        </w:tc>
      </w:tr>
      <w:tr w:rsidR="002A21AE" w14:paraId="2A0BB48B" w14:textId="77777777" w:rsidTr="00FD28CB">
        <w:trPr>
          <w:cantSplit/>
          <w:trHeight w:val="276"/>
        </w:trPr>
        <w:tc>
          <w:tcPr>
            <w:tcW w:w="5760" w:type="dxa"/>
            <w:gridSpan w:val="3"/>
            <w:vMerge w:val="restart"/>
          </w:tcPr>
          <w:p w14:paraId="3E78596E" w14:textId="77777777" w:rsidR="002A21AE" w:rsidRDefault="002A21AE">
            <w:pPr>
              <w:rPr>
                <w:rFonts w:ascii="Arial" w:hAnsi="Arial"/>
                <w:sz w:val="18"/>
              </w:rPr>
            </w:pPr>
            <w:r>
              <w:rPr>
                <w:rFonts w:ascii="Arial" w:hAnsi="Arial"/>
                <w:b/>
                <w:snapToGrid w:val="0"/>
                <w:sz w:val="18"/>
              </w:rPr>
              <w:t>CAUTION:</w:t>
            </w:r>
            <w:r>
              <w:rPr>
                <w:rFonts w:ascii="Arial" w:hAnsi="Arial"/>
                <w:snapToGrid w:val="0"/>
                <w:sz w:val="18"/>
              </w:rPr>
              <w:t xml:space="preserve"> </w:t>
            </w:r>
            <w:r>
              <w:rPr>
                <w:rFonts w:ascii="Arial" w:hAnsi="Arial"/>
                <w:b/>
                <w:snapToGrid w:val="0"/>
                <w:sz w:val="18"/>
              </w:rPr>
              <w:t>Before transfusing this blood component, perform bedside verification of the patient</w:t>
            </w:r>
            <w:r w:rsidR="00FA7E65">
              <w:rPr>
                <w:rFonts w:ascii="Arial" w:hAnsi="Arial"/>
                <w:b/>
                <w:snapToGrid w:val="0"/>
                <w:sz w:val="18"/>
              </w:rPr>
              <w:t>’</w:t>
            </w:r>
            <w:r>
              <w:rPr>
                <w:rFonts w:ascii="Arial" w:hAnsi="Arial"/>
                <w:b/>
                <w:snapToGrid w:val="0"/>
                <w:sz w:val="18"/>
              </w:rPr>
              <w:t xml:space="preserve">s identity </w:t>
            </w:r>
            <w:r>
              <w:rPr>
                <w:rFonts w:ascii="Arial" w:hAnsi="Arial"/>
                <w:snapToGrid w:val="0"/>
                <w:sz w:val="18"/>
              </w:rPr>
              <w:t>by matching the patient identification on this tag with the patient wristband and the Blood Transfusion Record Form.</w:t>
            </w:r>
          </w:p>
        </w:tc>
      </w:tr>
      <w:tr w:rsidR="002A21AE" w14:paraId="65CBC69D" w14:textId="77777777" w:rsidTr="00FD28CB">
        <w:trPr>
          <w:cantSplit/>
          <w:trHeight w:val="276"/>
        </w:trPr>
        <w:tc>
          <w:tcPr>
            <w:tcW w:w="5760" w:type="dxa"/>
            <w:gridSpan w:val="3"/>
            <w:vMerge/>
          </w:tcPr>
          <w:p w14:paraId="1E19FB56" w14:textId="77777777" w:rsidR="002A21AE" w:rsidRDefault="002A21AE">
            <w:pPr>
              <w:rPr>
                <w:rFonts w:ascii="Arial" w:hAnsi="Arial"/>
                <w:sz w:val="18"/>
              </w:rPr>
            </w:pPr>
          </w:p>
        </w:tc>
      </w:tr>
      <w:tr w:rsidR="002A21AE" w14:paraId="7B609907" w14:textId="77777777" w:rsidTr="00FD28CB">
        <w:trPr>
          <w:cantSplit/>
          <w:trHeight w:val="207"/>
        </w:trPr>
        <w:tc>
          <w:tcPr>
            <w:tcW w:w="5760" w:type="dxa"/>
            <w:gridSpan w:val="3"/>
            <w:vMerge/>
            <w:tcBorders>
              <w:bottom w:val="single" w:sz="4" w:space="0" w:color="auto"/>
            </w:tcBorders>
          </w:tcPr>
          <w:p w14:paraId="558F73F6" w14:textId="77777777" w:rsidR="002A21AE" w:rsidRDefault="002A21AE">
            <w:pPr>
              <w:rPr>
                <w:rFonts w:ascii="Arial" w:hAnsi="Arial"/>
                <w:sz w:val="18"/>
              </w:rPr>
            </w:pPr>
          </w:p>
        </w:tc>
      </w:tr>
      <w:tr w:rsidR="002A21AE" w14:paraId="6E674893" w14:textId="77777777" w:rsidTr="00FD28CB">
        <w:trPr>
          <w:cantSplit/>
        </w:trPr>
        <w:tc>
          <w:tcPr>
            <w:tcW w:w="2880" w:type="dxa"/>
          </w:tcPr>
          <w:p w14:paraId="43DB9AA1" w14:textId="77777777" w:rsidR="002A21AE" w:rsidRDefault="002A21AE">
            <w:pPr>
              <w:rPr>
                <w:rFonts w:ascii="Arial" w:hAnsi="Arial"/>
                <w:sz w:val="18"/>
                <w:vertAlign w:val="superscript"/>
              </w:rPr>
            </w:pPr>
            <w:r>
              <w:rPr>
                <w:rFonts w:ascii="Arial" w:hAnsi="Arial"/>
                <w:sz w:val="18"/>
                <w:vertAlign w:val="superscript"/>
              </w:rPr>
              <w:t>Assigned Date/Time:</w:t>
            </w:r>
          </w:p>
          <w:p w14:paraId="5AC7DA58" w14:textId="77777777" w:rsidR="002A21AE" w:rsidRDefault="002A21AE">
            <w:pPr>
              <w:rPr>
                <w:rFonts w:ascii="Arial" w:hAnsi="Arial"/>
                <w:sz w:val="20"/>
              </w:rPr>
            </w:pPr>
          </w:p>
        </w:tc>
        <w:tc>
          <w:tcPr>
            <w:tcW w:w="2880" w:type="dxa"/>
            <w:gridSpan w:val="2"/>
          </w:tcPr>
          <w:p w14:paraId="4010433A" w14:textId="77777777" w:rsidR="002A21AE" w:rsidRDefault="00CC006F">
            <w:pPr>
              <w:rPr>
                <w:rFonts w:ascii="Arial" w:hAnsi="Arial"/>
                <w:sz w:val="20"/>
                <w:vertAlign w:val="superscript"/>
              </w:rPr>
            </w:pPr>
            <w:r>
              <w:rPr>
                <w:rFonts w:ascii="Arial" w:hAnsi="Arial"/>
                <w:sz w:val="20"/>
                <w:vertAlign w:val="superscript"/>
              </w:rPr>
              <w:t>Assigning Tech/ Crossmatch Tech:</w:t>
            </w:r>
          </w:p>
          <w:p w14:paraId="4AEFD911" w14:textId="77777777" w:rsidR="002A21AE" w:rsidRDefault="002A21AE">
            <w:pPr>
              <w:rPr>
                <w:rFonts w:ascii="Arial" w:hAnsi="Arial"/>
              </w:rPr>
            </w:pPr>
          </w:p>
        </w:tc>
      </w:tr>
    </w:tbl>
    <w:p w14:paraId="4F38B54C" w14:textId="050F0F4E" w:rsidR="002A21AE" w:rsidRDefault="002A21AE">
      <w:pPr>
        <w:pStyle w:val="Caption"/>
      </w:pPr>
      <w:r>
        <w:br w:type="page"/>
      </w:r>
      <w:bookmarkStart w:id="401" w:name="_Toc97523622"/>
      <w:bookmarkStart w:id="402" w:name="_Toc9752759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81</w:t>
      </w:r>
      <w:r w:rsidR="004E20BD">
        <w:rPr>
          <w:noProof/>
        </w:rPr>
        <w:fldChar w:fldCharType="end"/>
      </w:r>
      <w:r>
        <w:t>: Blood Transfusion Record Form</w:t>
      </w:r>
      <w:bookmarkEnd w:id="401"/>
      <w:bookmarkEnd w:id="402"/>
      <w:r>
        <w:fldChar w:fldCharType="begin"/>
      </w:r>
      <w:r>
        <w:instrText xml:space="preserve"> XE </w:instrText>
      </w:r>
      <w:r w:rsidR="00FA7E65">
        <w:instrText>“</w:instrText>
      </w:r>
      <w:r>
        <w:instrText>Figures:Blood Transfusion Record Form</w:instrText>
      </w:r>
      <w:r w:rsidR="00FA7E65">
        <w:instrText>”</w:instrText>
      </w:r>
      <w:r>
        <w:instrText xml:space="preserve"> </w:instrText>
      </w:r>
      <w:r>
        <w:fldChar w:fldCharType="end"/>
      </w:r>
    </w:p>
    <w:p w14:paraId="2BD8C8A5" w14:textId="7C1D5E7B" w:rsidR="00A00904" w:rsidRDefault="00405F70" w:rsidP="00716890">
      <w:pPr>
        <w:pStyle w:val="TableText"/>
        <w:tabs>
          <w:tab w:val="left" w:leader="underscore" w:pos="2880"/>
          <w:tab w:val="left" w:leader="underscore" w:pos="5040"/>
          <w:tab w:val="left" w:leader="underscore" w:pos="7200"/>
        </w:tabs>
        <w:rPr>
          <w:color w:val="1F497D"/>
        </w:rPr>
      </w:pPr>
      <w:r>
        <w:rPr>
          <w:noProof/>
        </w:rPr>
        <w:drawing>
          <wp:inline distT="0" distB="0" distL="0" distR="0" wp14:anchorId="1E443647" wp14:editId="40A3949B">
            <wp:extent cx="5943600" cy="4635500"/>
            <wp:effectExtent l="0" t="0" r="0" b="0"/>
            <wp:docPr id="164" name="Picture 164" descr="Example of Blood Transfusion Record Form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Example of Blood Transfusion Record Form screen capture"/>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3600" cy="4635500"/>
                    </a:xfrm>
                    <a:prstGeom prst="rect">
                      <a:avLst/>
                    </a:prstGeom>
                    <a:noFill/>
                    <a:ln>
                      <a:noFill/>
                    </a:ln>
                  </pic:spPr>
                </pic:pic>
              </a:graphicData>
            </a:graphic>
          </wp:inline>
        </w:drawing>
      </w:r>
    </w:p>
    <w:p w14:paraId="4FCB57DF" w14:textId="77777777" w:rsidR="00A00904" w:rsidRDefault="00A00904" w:rsidP="00716890">
      <w:pPr>
        <w:pStyle w:val="TableText"/>
        <w:tabs>
          <w:tab w:val="left" w:leader="underscore" w:pos="2880"/>
          <w:tab w:val="left" w:leader="underscore" w:pos="5040"/>
          <w:tab w:val="left" w:leader="underscore" w:pos="7200"/>
        </w:tabs>
      </w:pPr>
    </w:p>
    <w:p w14:paraId="6ABB9E46" w14:textId="77777777" w:rsidR="00405F70" w:rsidRDefault="00405F70" w:rsidP="00716890">
      <w:pPr>
        <w:pStyle w:val="TableText"/>
        <w:tabs>
          <w:tab w:val="left" w:leader="underscore" w:pos="2880"/>
          <w:tab w:val="left" w:leader="underscore" w:pos="5040"/>
          <w:tab w:val="left" w:leader="underscore" w:pos="7200"/>
        </w:tabs>
      </w:pPr>
    </w:p>
    <w:p w14:paraId="369625FA" w14:textId="639CDE98" w:rsidR="00405F70" w:rsidRDefault="00405F70" w:rsidP="00716890">
      <w:pPr>
        <w:pStyle w:val="TableText"/>
        <w:tabs>
          <w:tab w:val="left" w:leader="underscore" w:pos="2880"/>
          <w:tab w:val="left" w:leader="underscore" w:pos="5040"/>
          <w:tab w:val="left" w:leader="underscore" w:pos="7200"/>
        </w:tabs>
        <w:sectPr w:rsidR="00405F70" w:rsidSect="00EE771C">
          <w:headerReference w:type="default" r:id="rId173"/>
          <w:pgSz w:w="12240" w:h="15840" w:code="1"/>
          <w:pgMar w:top="1440" w:right="1440" w:bottom="1440" w:left="1440" w:header="720" w:footer="720" w:gutter="0"/>
          <w:cols w:space="720"/>
          <w:docGrid w:linePitch="360"/>
        </w:sectPr>
      </w:pPr>
      <w:r>
        <w:rPr>
          <w:noProof/>
        </w:rPr>
        <w:drawing>
          <wp:inline distT="0" distB="0" distL="0" distR="0" wp14:anchorId="14144A48" wp14:editId="4223E3A0">
            <wp:extent cx="5943600" cy="3687445"/>
            <wp:effectExtent l="19050" t="19050" r="19050" b="27305"/>
            <wp:docPr id="160" name="Picture 160" descr="Example of Transfusion Data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Example of Transfusion Data screen capture"/>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3600" cy="3687445"/>
                    </a:xfrm>
                    <a:prstGeom prst="rect">
                      <a:avLst/>
                    </a:prstGeom>
                    <a:noFill/>
                    <a:ln w="6350" cmpd="sng">
                      <a:solidFill>
                        <a:srgbClr val="000000"/>
                      </a:solidFill>
                      <a:miter lim="800000"/>
                      <a:headEnd/>
                      <a:tailEnd/>
                    </a:ln>
                    <a:effectLst/>
                  </pic:spPr>
                </pic:pic>
              </a:graphicData>
            </a:graphic>
          </wp:inline>
        </w:drawing>
      </w:r>
    </w:p>
    <w:p w14:paraId="393BBEF6" w14:textId="77777777" w:rsidR="002A21AE" w:rsidRDefault="002A21AE">
      <w:pPr>
        <w:pStyle w:val="Heading2"/>
      </w:pPr>
      <w:bookmarkStart w:id="403" w:name="_Toc149064139"/>
      <w:r>
        <w:t>Invalidate Test Results</w:t>
      </w:r>
      <w:bookmarkEnd w:id="403"/>
      <w:r>
        <w:rPr>
          <w:rFonts w:ascii="Geneva" w:hAnsi="Geneva"/>
          <w:vanish/>
        </w:rPr>
        <w:fldChar w:fldCharType="begin"/>
      </w:r>
      <w:r>
        <w:rPr>
          <w:rFonts w:ascii="Geneva" w:hAnsi="Geneva"/>
          <w:vanish/>
        </w:rPr>
        <w:instrText xml:space="preserve"> XE </w:instrText>
      </w:r>
      <w:r w:rsidR="00FA7E65">
        <w:rPr>
          <w:rFonts w:ascii="Geneva" w:hAnsi="Geneva"/>
          <w:vanish/>
        </w:rPr>
        <w:instrText>“</w:instrText>
      </w:r>
      <w:r>
        <w:rPr>
          <w:rFonts w:ascii="Geneva" w:hAnsi="Geneva"/>
          <w:vanish/>
        </w:rPr>
        <w:instrText>Invalidate Test Results</w:instrText>
      </w:r>
      <w:r w:rsidR="00FA7E65">
        <w:rPr>
          <w:rFonts w:ascii="Geneva" w:hAnsi="Geneva"/>
          <w:vanish/>
        </w:rPr>
        <w:instrText>”</w:instrText>
      </w:r>
      <w:r>
        <w:rPr>
          <w:rFonts w:ascii="Geneva" w:hAnsi="Geneva"/>
          <w:vanish/>
        </w:rPr>
        <w:instrText xml:space="preserve"> </w:instrText>
      </w:r>
      <w:r>
        <w:rPr>
          <w:rFonts w:ascii="Geneva" w:hAnsi="Geneva"/>
          <w:vanish/>
        </w:rPr>
        <w:fldChar w:fldCharType="end"/>
      </w:r>
      <w:r>
        <w:rPr>
          <w:rFonts w:ascii="Geneva" w:hAnsi="Geneva"/>
          <w:vanish/>
        </w:rPr>
        <w:t xml:space="preserve"> UC_94</w:t>
      </w:r>
    </w:p>
    <w:p w14:paraId="4419C6B9" w14:textId="77777777" w:rsidR="002A21AE" w:rsidRDefault="002A21AE" w:rsidP="00FA7E65">
      <w:pPr>
        <w:pStyle w:val="BodyText"/>
      </w:pPr>
      <w:r>
        <w:t>The user invalidates incorrectly entered patient test results and reenters correct patient test results and interpretations.</w:t>
      </w:r>
    </w:p>
    <w:p w14:paraId="2BE97B81" w14:textId="77777777" w:rsidR="002A21AE" w:rsidRDefault="002A21AE">
      <w:pPr>
        <w:pStyle w:val="Heading4"/>
      </w:pPr>
      <w:r>
        <w:t>Assumptions</w:t>
      </w:r>
      <w:r>
        <w:rPr>
          <w:b w:val="0"/>
        </w:rPr>
        <w:t xml:space="preserve"> </w:t>
      </w:r>
    </w:p>
    <w:p w14:paraId="3733C49A" w14:textId="77777777" w:rsidR="002A21AE" w:rsidRDefault="002A21AE">
      <w:pPr>
        <w:pStyle w:val="ListBullet"/>
      </w:pPr>
      <w:r>
        <w:t>A completed patient order exists in VBECS.</w:t>
      </w:r>
    </w:p>
    <w:p w14:paraId="580A1F63" w14:textId="77777777" w:rsidR="002A21AE" w:rsidRDefault="002A21AE">
      <w:pPr>
        <w:pStyle w:val="Heading4"/>
      </w:pPr>
      <w:r>
        <w:t xml:space="preserve">Outcome </w:t>
      </w:r>
    </w:p>
    <w:p w14:paraId="1762F1D5" w14:textId="77777777" w:rsidR="002A21AE" w:rsidRDefault="002A21AE">
      <w:pPr>
        <w:pStyle w:val="ListBullet"/>
      </w:pPr>
      <w:r>
        <w:t>Test results are invalidated.</w:t>
      </w:r>
    </w:p>
    <w:p w14:paraId="49E43C30" w14:textId="77777777" w:rsidR="002A21AE" w:rsidRDefault="002A21AE">
      <w:pPr>
        <w:pStyle w:val="ListBullet"/>
      </w:pPr>
      <w:r>
        <w:t xml:space="preserve">VBECS may assign “correction” status to a task to allow the user to repeat a test and add it to the Pending Task List (PTL). </w:t>
      </w:r>
    </w:p>
    <w:p w14:paraId="53E5E609" w14:textId="77777777" w:rsidR="002A21AE" w:rsidRDefault="002A21AE">
      <w:pPr>
        <w:pStyle w:val="Heading4"/>
      </w:pPr>
      <w:r>
        <w:t>Limitations and Restrictions</w:t>
      </w:r>
      <w:r>
        <w:rPr>
          <w:b w:val="0"/>
        </w:rPr>
        <w:t xml:space="preserve"> </w:t>
      </w:r>
    </w:p>
    <w:p w14:paraId="35B6D6FD" w14:textId="77777777" w:rsidR="002A21AE" w:rsidRDefault="002A21AE">
      <w:pPr>
        <w:pStyle w:val="ListBullet"/>
      </w:pPr>
      <w:r>
        <w:t>A user may not inactivate a component task in this option.</w:t>
      </w:r>
    </w:p>
    <w:p w14:paraId="42627B15" w14:textId="77777777" w:rsidR="002A21AE" w:rsidRDefault="002A21AE">
      <w:pPr>
        <w:pStyle w:val="ListBullet"/>
      </w:pPr>
      <w:r>
        <w:t>This option does not release units from patient assignment. The user must release “assigned” units before invalidating the test results.</w:t>
      </w:r>
    </w:p>
    <w:p w14:paraId="57189FEE" w14:textId="77777777" w:rsidR="001B2013" w:rsidRDefault="001B2013" w:rsidP="001B2013">
      <w:pPr>
        <w:pStyle w:val="ListBullet"/>
      </w:pPr>
      <w:r>
        <w:t>T</w:t>
      </w:r>
      <w:r w:rsidRPr="001B2013">
        <w:t xml:space="preserve">o </w:t>
      </w:r>
      <w:r>
        <w:t>maintain</w:t>
      </w:r>
      <w:r w:rsidRPr="001B2013">
        <w:t xml:space="preserve"> a clear record</w:t>
      </w:r>
      <w:r>
        <w:t xml:space="preserve"> and system checks, the user must invalidate both original and repeat ABO/Rh tests</w:t>
      </w:r>
      <w:r w:rsidR="00C17389">
        <w:t>.</w:t>
      </w:r>
    </w:p>
    <w:p w14:paraId="66BC5C5A" w14:textId="77777777" w:rsidR="00C17389" w:rsidRPr="001B2013" w:rsidRDefault="00AB786F" w:rsidP="001B2013">
      <w:pPr>
        <w:pStyle w:val="ListBullet"/>
      </w:pPr>
      <w:r>
        <w:t>Do not invalidate part of the configured test. Doing this will put</w:t>
      </w:r>
      <w:r w:rsidR="003D719C">
        <w:t xml:space="preserve"> the specimen into a </w:t>
      </w:r>
      <w:r w:rsidR="00E037D2">
        <w:t>state where it cannot be processed</w:t>
      </w:r>
      <w:r w:rsidR="0055788D">
        <w:t>. I</w:t>
      </w:r>
      <w:r w:rsidR="00C17389">
        <w:t xml:space="preserve">nvalidate </w:t>
      </w:r>
      <w:r w:rsidR="00A87E0D">
        <w:t>all tests configured as</w:t>
      </w:r>
      <w:r w:rsidR="00C17389">
        <w:t xml:space="preserve"> part of the TAS </w:t>
      </w:r>
      <w:r w:rsidR="00A87E0D">
        <w:t>regardless of which sub test (</w:t>
      </w:r>
      <w:r w:rsidR="00C17389">
        <w:t>ABO/Rh</w:t>
      </w:r>
      <w:r w:rsidR="00E037D2">
        <w:t>, ABS or DAT) is the</w:t>
      </w:r>
      <w:r w:rsidR="00A87E0D">
        <w:t xml:space="preserve"> </w:t>
      </w:r>
      <w:r w:rsidR="00942363">
        <w:t>problem</w:t>
      </w:r>
      <w:r w:rsidR="00C17389">
        <w:t xml:space="preserve">. </w:t>
      </w:r>
      <w:r w:rsidR="00C17389" w:rsidRPr="00C17389">
        <w:rPr>
          <w:vanish/>
        </w:rPr>
        <w:t>DR 4685</w:t>
      </w:r>
      <w:r w:rsidR="00942363">
        <w:rPr>
          <w:vanish/>
        </w:rPr>
        <w:t xml:space="preserve"> DR 4854</w:t>
      </w:r>
    </w:p>
    <w:p w14:paraId="632FE24D" w14:textId="77777777" w:rsidR="002A21AE" w:rsidRDefault="002A21AE">
      <w:pPr>
        <w:pStyle w:val="Heading4"/>
      </w:pPr>
      <w:r>
        <w:t xml:space="preserve">Additional Information </w:t>
      </w:r>
    </w:p>
    <w:p w14:paraId="3F099C9C" w14:textId="77777777" w:rsidR="002A21AE" w:rsidRDefault="002A21AE">
      <w:pPr>
        <w:pStyle w:val="ListBullet"/>
      </w:pPr>
      <w:r>
        <w:t>VBECS invalidates the entire test group during this option. The user must reenter results to replace the invalidated results.</w:t>
      </w:r>
    </w:p>
    <w:p w14:paraId="6EC9D114" w14:textId="77777777" w:rsidR="002A21AE" w:rsidRDefault="002A21AE">
      <w:pPr>
        <w:pStyle w:val="ListBullet"/>
      </w:pPr>
      <w:r>
        <w:t>Workload and billing are inactivated or rescinded from the inactivated testing.</w:t>
      </w:r>
    </w:p>
    <w:p w14:paraId="4F66E640" w14:textId="77777777" w:rsidR="002A21AE" w:rsidRDefault="002A21AE">
      <w:pPr>
        <w:pStyle w:val="ListBullet"/>
      </w:pPr>
      <w:r>
        <w:rPr>
          <w:rFonts w:ascii="Arial" w:hAnsi="Arial" w:cs="Arial"/>
          <w:vanish/>
          <w:spacing w:val="0"/>
          <w:sz w:val="18"/>
        </w:rPr>
        <w:t xml:space="preserve">BR_94.09 </w:t>
      </w:r>
      <w:r>
        <w:t>VBECS invali</w:t>
      </w:r>
      <w:r w:rsidR="00113E2C">
        <w:t>dates t</w:t>
      </w:r>
      <w:r>
        <w:t xml:space="preserve">ransfusion </w:t>
      </w:r>
      <w:r w:rsidR="00113E2C">
        <w:t>r</w:t>
      </w:r>
      <w:r>
        <w:t xml:space="preserve">eaction </w:t>
      </w:r>
      <w:r w:rsidR="00113E2C">
        <w:t>w</w:t>
      </w:r>
      <w:r>
        <w:t>orkups (TRWs) in total and crossmatches (XMs) by unit.</w:t>
      </w:r>
    </w:p>
    <w:p w14:paraId="399BF400" w14:textId="77777777" w:rsidR="002A21AE" w:rsidRDefault="002A21AE">
      <w:pPr>
        <w:pStyle w:val="ListBullet"/>
      </w:pPr>
      <w:r>
        <w:rPr>
          <w:rFonts w:ascii="Arial" w:hAnsi="Arial" w:cs="Arial"/>
          <w:vanish/>
          <w:spacing w:val="0"/>
          <w:sz w:val="18"/>
        </w:rPr>
        <w:t xml:space="preserve">BR_94.10 </w:t>
      </w:r>
      <w:r>
        <w:t>Invalidation of an antibody identification (ABID) task invalidates all antibody spec</w:t>
      </w:r>
      <w:r w:rsidR="006E3236">
        <w:t>ificities entered in that task.</w:t>
      </w:r>
    </w:p>
    <w:p w14:paraId="2EEC7A2B" w14:textId="77777777" w:rsidR="002A21AE" w:rsidRDefault="002A21AE">
      <w:pPr>
        <w:pStyle w:val="ListBullet"/>
      </w:pPr>
      <w:r>
        <w:t>VBECS displays results and interpretations of the tests but not any QC performed with the tests.</w:t>
      </w:r>
    </w:p>
    <w:p w14:paraId="4117991D" w14:textId="7508FDEF" w:rsidR="002A21AE" w:rsidRDefault="002A21AE">
      <w:pPr>
        <w:pStyle w:val="ListBullet"/>
      </w:pPr>
      <w:r>
        <w:rPr>
          <w:rFonts w:ascii="Arial" w:hAnsi="Arial" w:cs="Arial"/>
          <w:vanish/>
          <w:spacing w:val="0"/>
          <w:sz w:val="18"/>
        </w:rPr>
        <w:t xml:space="preserve">BR_94.04 </w:t>
      </w:r>
      <w:r>
        <w:t xml:space="preserve">VBECS </w:t>
      </w:r>
      <w:r w:rsidR="00202A1E">
        <w:t>flags invalidated results with a message describing the reason for invalidation</w:t>
      </w:r>
      <w:r>
        <w:t>.</w:t>
      </w:r>
    </w:p>
    <w:p w14:paraId="4159D10A" w14:textId="77777777" w:rsidR="002A21AE" w:rsidRDefault="002A21AE">
      <w:pPr>
        <w:pStyle w:val="Heading4"/>
        <w:rPr>
          <w:b w:val="0"/>
        </w:rPr>
      </w:pPr>
      <w:r>
        <w:t>User Roles with Access to This Option</w:t>
      </w:r>
      <w:r>
        <w:rPr>
          <w:b w:val="0"/>
        </w:rPr>
        <w:t xml:space="preserve"> </w:t>
      </w:r>
    </w:p>
    <w:p w14:paraId="2DB54EDE" w14:textId="77777777" w:rsidR="002A21AE" w:rsidRDefault="000F12D4">
      <w:pPr>
        <w:pStyle w:val="Roles"/>
      </w:pPr>
      <w:r w:rsidRPr="00EC7489">
        <w:rPr>
          <w:rFonts w:ascii="Wingdings 3" w:hAnsi="Wingdings 3" w:cs="Wingdings"/>
        </w:rPr>
        <w:t></w:t>
      </w:r>
      <w:r w:rsidRPr="00EC7489">
        <w:rPr>
          <w:rFonts w:ascii="Wingdings 3" w:hAnsi="Wingdings 3" w:cs="Wingdings"/>
        </w:rPr>
        <w:t></w:t>
      </w:r>
      <w:r>
        <w:t xml:space="preserve"> Enhanced Technologist</w:t>
      </w:r>
    </w:p>
    <w:p w14:paraId="1F9F5326" w14:textId="77777777" w:rsidR="002A21AE" w:rsidRDefault="002A21AE">
      <w:pPr>
        <w:pStyle w:val="Heading4"/>
      </w:pPr>
      <w:r>
        <w:t>Invalidate Test Results</w:t>
      </w:r>
    </w:p>
    <w:p w14:paraId="3E458AA2" w14:textId="77777777" w:rsidR="002A21AE" w:rsidRPr="009660C3" w:rsidRDefault="002A21AE" w:rsidP="00FA7E65">
      <w:pPr>
        <w:pStyle w:val="BodyText"/>
        <w:rPr>
          <w:color w:val="FFFFFF"/>
        </w:rPr>
      </w:pPr>
      <w:r>
        <w:t>The use</w:t>
      </w:r>
      <w:r w:rsidR="00CF47D5">
        <w:t xml:space="preserve">r </w:t>
      </w:r>
      <w:r>
        <w:t>may invalidate one or more previously entered test results and replace them with corrected results.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9EA548C" w14:textId="77777777">
        <w:trPr>
          <w:cantSplit/>
          <w:tblHeader/>
        </w:trPr>
        <w:tc>
          <w:tcPr>
            <w:tcW w:w="3240" w:type="dxa"/>
            <w:shd w:val="pct30" w:color="auto" w:fill="FFFFFF"/>
            <w:vAlign w:val="bottom"/>
          </w:tcPr>
          <w:p w14:paraId="0CE43AAD" w14:textId="77777777" w:rsidR="002A21AE" w:rsidRPr="00B75AA9" w:rsidRDefault="002A21AE" w:rsidP="00B75AA9">
            <w:pPr>
              <w:pStyle w:val="TableText"/>
              <w:tabs>
                <w:tab w:val="left" w:leader="underscore" w:pos="2880"/>
                <w:tab w:val="left" w:leader="underscore" w:pos="5040"/>
                <w:tab w:val="left" w:leader="underscore" w:pos="7200"/>
              </w:tabs>
            </w:pPr>
            <w:r>
              <w:rPr>
                <w:b/>
              </w:rPr>
              <w:t>User Action</w:t>
            </w:r>
            <w:r w:rsidR="00B75AA9">
              <w:rPr>
                <w:b/>
              </w:rPr>
              <w:t xml:space="preserve"> </w:t>
            </w:r>
          </w:p>
        </w:tc>
        <w:tc>
          <w:tcPr>
            <w:tcW w:w="6120" w:type="dxa"/>
            <w:shd w:val="pct30" w:color="auto" w:fill="FFFFFF"/>
            <w:vAlign w:val="bottom"/>
          </w:tcPr>
          <w:p w14:paraId="2AABBFD0" w14:textId="77777777" w:rsidR="002A21AE" w:rsidRDefault="002A21AE">
            <w:pPr>
              <w:pStyle w:val="TableText"/>
              <w:rPr>
                <w:b/>
              </w:rPr>
            </w:pPr>
            <w:r>
              <w:rPr>
                <w:b/>
              </w:rPr>
              <w:t>VBECS</w:t>
            </w:r>
          </w:p>
        </w:tc>
      </w:tr>
      <w:tr w:rsidR="002A21AE" w14:paraId="6CC0C721" w14:textId="77777777">
        <w:tc>
          <w:tcPr>
            <w:tcW w:w="3240" w:type="dxa"/>
            <w:tcBorders>
              <w:top w:val="single" w:sz="4" w:space="0" w:color="auto"/>
              <w:left w:val="single" w:sz="4" w:space="0" w:color="auto"/>
              <w:bottom w:val="single" w:sz="4" w:space="0" w:color="auto"/>
              <w:right w:val="single" w:sz="4" w:space="0" w:color="auto"/>
            </w:tcBorders>
          </w:tcPr>
          <w:p w14:paraId="4DBA4B5C" w14:textId="77777777" w:rsidR="002A21AE" w:rsidRDefault="002A21AE" w:rsidP="00B75AA9">
            <w:pPr>
              <w:pStyle w:val="TableTextNumbers"/>
            </w:pPr>
            <w:r>
              <w:t xml:space="preserve">Select </w:t>
            </w:r>
            <w:r>
              <w:rPr>
                <w:b/>
              </w:rPr>
              <w:t>Patients</w:t>
            </w:r>
            <w:r>
              <w:t xml:space="preserve"> from the main menu.</w:t>
            </w:r>
          </w:p>
          <w:p w14:paraId="7EE9F3B7" w14:textId="77777777" w:rsidR="002A21AE" w:rsidRDefault="002A21AE">
            <w:pPr>
              <w:pStyle w:val="TableTextNumbersContinued"/>
            </w:pPr>
          </w:p>
          <w:p w14:paraId="7037B7E0" w14:textId="77777777" w:rsidR="002A21AE" w:rsidRDefault="002A21AE">
            <w:pPr>
              <w:pStyle w:val="TableTextNumbersContinued"/>
            </w:pPr>
            <w:r>
              <w:t xml:space="preserve">Select </w:t>
            </w:r>
            <w:r>
              <w:rPr>
                <w:b/>
              </w:rPr>
              <w:t>Invalidate Test Results</w:t>
            </w:r>
            <w:r>
              <w:t>.</w:t>
            </w:r>
          </w:p>
        </w:tc>
        <w:tc>
          <w:tcPr>
            <w:tcW w:w="6120" w:type="dxa"/>
            <w:tcBorders>
              <w:top w:val="single" w:sz="4" w:space="0" w:color="auto"/>
              <w:left w:val="single" w:sz="4" w:space="0" w:color="auto"/>
              <w:bottom w:val="single" w:sz="4" w:space="0" w:color="auto"/>
              <w:right w:val="single" w:sz="4" w:space="0" w:color="auto"/>
            </w:tcBorders>
          </w:tcPr>
          <w:p w14:paraId="24960B15" w14:textId="77777777" w:rsidR="002A21AE" w:rsidRDefault="002A21AE">
            <w:pPr>
              <w:pStyle w:val="TableTextBullet"/>
            </w:pPr>
            <w:r>
              <w:t>Displays options for processing patient-related functions.</w:t>
            </w:r>
          </w:p>
          <w:p w14:paraId="2B33DE1A" w14:textId="77777777" w:rsidR="002A21AE" w:rsidRDefault="002A21AE">
            <w:pPr>
              <w:pStyle w:val="NotesText"/>
            </w:pPr>
          </w:p>
          <w:p w14:paraId="7FDC4B21" w14:textId="779C4FC5" w:rsidR="002A21AE" w:rsidRDefault="002A21AE">
            <w:pPr>
              <w:pStyle w:val="TableText"/>
              <w:rPr>
                <w:b/>
                <w:bCs/>
                <w:szCs w:val="18"/>
              </w:rPr>
            </w:pPr>
            <w:r>
              <w:rPr>
                <w:b/>
                <w:bCs/>
                <w:szCs w:val="18"/>
              </w:rPr>
              <w:t>NOTES</w:t>
            </w:r>
          </w:p>
          <w:p w14:paraId="413B4054" w14:textId="77777777" w:rsidR="002A21AE" w:rsidRDefault="002A21AE">
            <w:pPr>
              <w:pStyle w:val="NotesText"/>
            </w:pPr>
          </w:p>
          <w:p w14:paraId="191F9C6D" w14:textId="77777777" w:rsidR="002A21AE" w:rsidRDefault="002A21AE">
            <w:pPr>
              <w:pStyle w:val="NotesText"/>
            </w:pPr>
            <w:r>
              <w:t xml:space="preserve">Click the </w:t>
            </w:r>
            <w:r>
              <w:rPr>
                <w:b/>
              </w:rPr>
              <w:t xml:space="preserve">Component Orders </w:t>
            </w:r>
            <w:r w:rsidRPr="00CC3C89">
              <w:t xml:space="preserve">tab </w:t>
            </w:r>
            <w:r>
              <w:t>to view its PTL.</w:t>
            </w:r>
          </w:p>
        </w:tc>
      </w:tr>
      <w:tr w:rsidR="002A21AE" w14:paraId="1728C2F5" w14:textId="77777777">
        <w:tc>
          <w:tcPr>
            <w:tcW w:w="3240" w:type="dxa"/>
          </w:tcPr>
          <w:p w14:paraId="3AA42C68" w14:textId="77777777" w:rsidR="002A21AE" w:rsidRDefault="002A21AE">
            <w:pPr>
              <w:pStyle w:val="TableTextNumbers"/>
            </w:pPr>
            <w:r>
              <w:t>Enter the patient name and/or specimen UID.</w:t>
            </w:r>
          </w:p>
          <w:p w14:paraId="47486F84" w14:textId="77777777" w:rsidR="002A21AE" w:rsidRDefault="002A21AE">
            <w:pPr>
              <w:pStyle w:val="TableTextNumbersContinued"/>
            </w:pPr>
          </w:p>
          <w:p w14:paraId="40EAFDB5" w14:textId="77777777" w:rsidR="002A21AE" w:rsidRDefault="002A21AE">
            <w:pPr>
              <w:pStyle w:val="TableTextNumbersContinued"/>
            </w:pPr>
            <w:r>
              <w:t xml:space="preserve">Edit the “expires after” date, if required. </w:t>
            </w:r>
          </w:p>
          <w:p w14:paraId="1213F208" w14:textId="77777777" w:rsidR="002A21AE" w:rsidRDefault="002A21AE">
            <w:pPr>
              <w:pStyle w:val="TableTextNumbersContinued"/>
            </w:pPr>
          </w:p>
          <w:p w14:paraId="2238D840" w14:textId="77777777" w:rsidR="002A21AE" w:rsidRDefault="002A21AE">
            <w:pPr>
              <w:pStyle w:val="TableTextNumbersContinued"/>
            </w:pPr>
            <w:r>
              <w:t xml:space="preserve">Click </w:t>
            </w:r>
            <w:r>
              <w:rPr>
                <w:b/>
              </w:rPr>
              <w:t>Search</w:t>
            </w:r>
            <w:r>
              <w:t>, if needed.</w:t>
            </w:r>
          </w:p>
        </w:tc>
        <w:tc>
          <w:tcPr>
            <w:tcW w:w="6120" w:type="dxa"/>
          </w:tcPr>
          <w:p w14:paraId="79CCE3B1" w14:textId="77777777" w:rsidR="002A21AE" w:rsidRDefault="002A21AE">
            <w:pPr>
              <w:pStyle w:val="TableTextBullet"/>
            </w:pPr>
            <w:r>
              <w:rPr>
                <w:rFonts w:cs="Arial"/>
                <w:vanish/>
              </w:rPr>
              <w:t xml:space="preserve">BR_94.01 </w:t>
            </w:r>
            <w:r>
              <w:t>Displays an option to enter a specimen UID or a patient for a specific date or for a range of dates.</w:t>
            </w:r>
          </w:p>
          <w:p w14:paraId="4447F257" w14:textId="77777777" w:rsidR="002A21AE" w:rsidRDefault="002A21AE">
            <w:pPr>
              <w:pStyle w:val="TableTextBullet"/>
            </w:pPr>
            <w:r>
              <w:rPr>
                <w:rFonts w:cs="Arial"/>
                <w:vanish/>
              </w:rPr>
              <w:t xml:space="preserve">BR_94.02 </w:t>
            </w:r>
            <w:r>
              <w:t xml:space="preserve">Displays the complete diagnostic tests associated with the entry. </w:t>
            </w:r>
          </w:p>
        </w:tc>
      </w:tr>
      <w:tr w:rsidR="002A21AE" w14:paraId="244AB07F" w14:textId="77777777">
        <w:tc>
          <w:tcPr>
            <w:tcW w:w="3240" w:type="dxa"/>
          </w:tcPr>
          <w:p w14:paraId="11CBF232" w14:textId="77777777" w:rsidR="002A21AE" w:rsidRDefault="002A21AE">
            <w:pPr>
              <w:pStyle w:val="TableTextNumbers"/>
            </w:pPr>
            <w:r>
              <w:t>Select a test result from the Specimen Test Results list.</w:t>
            </w:r>
          </w:p>
        </w:tc>
        <w:tc>
          <w:tcPr>
            <w:tcW w:w="6120" w:type="dxa"/>
          </w:tcPr>
          <w:p w14:paraId="58171CB0" w14:textId="77777777" w:rsidR="002A21AE" w:rsidRDefault="002A21AE">
            <w:pPr>
              <w:pStyle w:val="TableTextBullet"/>
            </w:pPr>
            <w:r>
              <w:t>Displays the original results for the user to review.</w:t>
            </w:r>
            <w:r>
              <w:rPr>
                <w:vanish/>
                <w:szCs w:val="18"/>
              </w:rPr>
              <w:t xml:space="preserve"> BR_94.06</w:t>
            </w:r>
          </w:p>
          <w:p w14:paraId="09B47271" w14:textId="77777777" w:rsidR="002A21AE" w:rsidRDefault="002A21AE">
            <w:pPr>
              <w:pStyle w:val="TableText"/>
            </w:pPr>
          </w:p>
          <w:p w14:paraId="6A971F1B" w14:textId="42AD40AC" w:rsidR="002A21AE" w:rsidRDefault="002A21AE">
            <w:pPr>
              <w:pStyle w:val="TableText"/>
              <w:rPr>
                <w:b/>
                <w:bCs/>
                <w:szCs w:val="18"/>
              </w:rPr>
            </w:pPr>
            <w:r>
              <w:rPr>
                <w:b/>
                <w:bCs/>
                <w:szCs w:val="18"/>
              </w:rPr>
              <w:t>NOTES</w:t>
            </w:r>
          </w:p>
          <w:p w14:paraId="429148A4" w14:textId="77777777" w:rsidR="002A21AE" w:rsidRDefault="002A21AE">
            <w:pPr>
              <w:pStyle w:val="NotesText"/>
            </w:pPr>
          </w:p>
          <w:p w14:paraId="5A9CA2C1" w14:textId="77777777" w:rsidR="002A21AE" w:rsidRDefault="002A21AE">
            <w:pPr>
              <w:pStyle w:val="NotesText"/>
            </w:pPr>
            <w:r>
              <w:rPr>
                <w:rFonts w:cs="Arial"/>
                <w:vanish/>
              </w:rPr>
              <w:t xml:space="preserve">BR_94.10 </w:t>
            </w:r>
            <w:r>
              <w:t>When the user chooses to invalidate an ABID, VBECS warns that the invalidation of the antibody specificity also invalidates the corresponding calculated antigen negative requirements. No user action is required.</w:t>
            </w:r>
          </w:p>
          <w:p w14:paraId="461CA486" w14:textId="77777777" w:rsidR="002A21AE" w:rsidRDefault="002A21AE">
            <w:pPr>
              <w:pStyle w:val="NotesText"/>
            </w:pPr>
          </w:p>
          <w:p w14:paraId="53E07D6C" w14:textId="77777777" w:rsidR="002A21AE" w:rsidRDefault="002A21AE">
            <w:pPr>
              <w:pStyle w:val="NotesText"/>
            </w:pPr>
            <w:r>
              <w:rPr>
                <w:rFonts w:cs="Arial"/>
                <w:vanish/>
              </w:rPr>
              <w:t xml:space="preserve">BR_94.12 </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t xml:space="preserve"> </w:t>
            </w:r>
            <w:r>
              <w:t xml:space="preserve">When the user is a Traditional Supervisor and the selected specimen is the most recent specimen tested for the selected patient, the user may invalidate a previously justified ABO/Rh test result. When the specimen ABO/Rh test associated with a justification is invalidated, VBECS removes the justification information from the patient record. </w:t>
            </w:r>
          </w:p>
          <w:p w14:paraId="663882C8" w14:textId="77777777" w:rsidR="002A21AE" w:rsidRDefault="002A21AE" w:rsidP="0055373D">
            <w:pPr>
              <w:pStyle w:val="NotesText"/>
            </w:pPr>
          </w:p>
          <w:p w14:paraId="20FE17BD" w14:textId="77777777" w:rsidR="0055373D" w:rsidRDefault="002A21AE" w:rsidP="0055373D">
            <w:pPr>
              <w:pStyle w:val="NotesText"/>
            </w:pPr>
            <w:r>
              <w:rPr>
                <w:rFonts w:cs="Arial"/>
                <w:vanish/>
              </w:rPr>
              <w:t xml:space="preserve">BR_94.03 </w:t>
            </w:r>
            <w:r w:rsidR="0055373D">
              <w:t>When the user attempts to invalidate a non-</w:t>
            </w:r>
            <w:r w:rsidR="00A76142">
              <w:t>XM</w:t>
            </w:r>
            <w:r w:rsidR="0055373D">
              <w:t xml:space="preserve"> test for a patient specimen and blood units are currently associated with the specimen (assigned, electronically or serologically crossmatched, issued or transfused), </w:t>
            </w:r>
            <w:r w:rsidR="00B80F86">
              <w:t>VBECS warns that b</w:t>
            </w:r>
            <w:r w:rsidR="0055373D">
              <w:t>lood components are associated to this specimen</w:t>
            </w:r>
            <w:r w:rsidR="00B80F86">
              <w:t xml:space="preserve"> and that the associated unit</w:t>
            </w:r>
            <w:r w:rsidR="0055373D">
              <w:t>s must be removed before testing can be invalidated. The user may not continue to invalidate the test.</w:t>
            </w:r>
          </w:p>
          <w:p w14:paraId="4EE16269" w14:textId="77777777" w:rsidR="0055373D" w:rsidRDefault="0055373D" w:rsidP="0055373D">
            <w:pPr>
              <w:pStyle w:val="NotesText"/>
            </w:pPr>
          </w:p>
          <w:p w14:paraId="37892B30" w14:textId="77777777" w:rsidR="002A21AE" w:rsidRDefault="0055373D" w:rsidP="0055373D">
            <w:pPr>
              <w:pStyle w:val="NotesText"/>
            </w:pPr>
            <w:r>
              <w:t xml:space="preserve">When the user attempts to invalidate a </w:t>
            </w:r>
            <w:r w:rsidR="00A76142">
              <w:t>XM</w:t>
            </w:r>
            <w:r>
              <w:t xml:space="preserve"> test for a patient specimen and the associated blood unit</w:t>
            </w:r>
            <w:r w:rsidR="00A76142">
              <w:t>s are</w:t>
            </w:r>
            <w:r>
              <w:t xml:space="preserve"> currently issued or transfused, </w:t>
            </w:r>
            <w:r w:rsidR="00A76142">
              <w:t>VBECS warns the user that t</w:t>
            </w:r>
            <w:r>
              <w:t xml:space="preserve">he selected test cannot be invalidated because the unit </w:t>
            </w:r>
            <w:r w:rsidR="00A76142">
              <w:t>was</w:t>
            </w:r>
            <w:r>
              <w:t xml:space="preserve"> issued based on the </w:t>
            </w:r>
            <w:r w:rsidR="00A76142">
              <w:t>XM</w:t>
            </w:r>
            <w:r>
              <w:t xml:space="preserve"> result. The user may not continue to invalidate the </w:t>
            </w:r>
            <w:r w:rsidR="00A76142">
              <w:t>XM</w:t>
            </w:r>
            <w:r>
              <w:t xml:space="preserve"> test.</w:t>
            </w:r>
          </w:p>
        </w:tc>
      </w:tr>
      <w:tr w:rsidR="002A21AE" w14:paraId="7279444B" w14:textId="77777777">
        <w:tc>
          <w:tcPr>
            <w:tcW w:w="3240" w:type="dxa"/>
          </w:tcPr>
          <w:p w14:paraId="6061CCBB" w14:textId="37DC2F88" w:rsidR="002A21AE" w:rsidRDefault="002A21AE">
            <w:pPr>
              <w:pStyle w:val="TableTextNumbers"/>
            </w:pPr>
            <w:r>
              <w:t>Verify the accuracy of the selected patient specimen and patient information</w:t>
            </w:r>
            <w:r w:rsidR="004C67AB">
              <w:t xml:space="preserve"> (</w:t>
            </w:r>
            <w:r w:rsidR="00EE455E">
              <w:t xml:space="preserve">Figure </w:t>
            </w:r>
            <w:r w:rsidR="00EE455E">
              <w:rPr>
                <w:noProof/>
              </w:rPr>
              <w:t>82</w:t>
            </w:r>
            <w:r w:rsidR="004C67AB">
              <w:t>)</w:t>
            </w:r>
            <w:r>
              <w:t>.</w:t>
            </w:r>
          </w:p>
          <w:p w14:paraId="22F7FE8C" w14:textId="77777777" w:rsidR="002A21AE" w:rsidRDefault="002A21AE">
            <w:pPr>
              <w:pStyle w:val="TableTextNumbersContinued"/>
            </w:pPr>
          </w:p>
          <w:p w14:paraId="1EED07D2" w14:textId="77777777" w:rsidR="002A21AE" w:rsidRDefault="002A21AE">
            <w:pPr>
              <w:pStyle w:val="TableTextNumbersContinued"/>
            </w:pPr>
            <w:r>
              <w:t xml:space="preserve">Click </w:t>
            </w:r>
            <w:r>
              <w:rPr>
                <w:b/>
              </w:rPr>
              <w:t>OK</w:t>
            </w:r>
            <w:r>
              <w:t xml:space="preserve"> to accept the results.</w:t>
            </w:r>
          </w:p>
        </w:tc>
        <w:tc>
          <w:tcPr>
            <w:tcW w:w="6120" w:type="dxa"/>
          </w:tcPr>
          <w:p w14:paraId="0651B74B" w14:textId="77777777" w:rsidR="002A21AE" w:rsidRDefault="002A21AE">
            <w:pPr>
              <w:pStyle w:val="TableTextBullet"/>
            </w:pPr>
            <w:r>
              <w:t>Marks these test results as “invalid” and asks the user whether he needs to replace the invalidated results with new test results.</w:t>
            </w:r>
          </w:p>
          <w:p w14:paraId="07F16DF9" w14:textId="77777777" w:rsidR="002A21AE" w:rsidRDefault="002A21AE">
            <w:pPr>
              <w:pStyle w:val="TableTextBullet1"/>
            </w:pPr>
            <w:r>
              <w:rPr>
                <w:b/>
              </w:rPr>
              <w:t>Yes</w:t>
            </w:r>
            <w:r>
              <w:t xml:space="preserve"> (test result replacement is needed) changes the task status to “correction” to return the task to the PTL for completion.</w:t>
            </w:r>
          </w:p>
          <w:p w14:paraId="5414A600" w14:textId="77777777" w:rsidR="002A21AE" w:rsidRDefault="002A21AE">
            <w:pPr>
              <w:pStyle w:val="TableTextBullet1"/>
            </w:pPr>
            <w:r>
              <w:rPr>
                <w:b/>
              </w:rPr>
              <w:t>No</w:t>
            </w:r>
            <w:r>
              <w:t xml:space="preserve"> (test replacement is not needed) marks the erroneous test results as “Test Result Invalidated”; the task status does not change.</w:t>
            </w:r>
          </w:p>
          <w:p w14:paraId="37311ED9" w14:textId="77777777" w:rsidR="002A21AE" w:rsidRDefault="002A21AE" w:rsidP="002277BE">
            <w:pPr>
              <w:pStyle w:val="TableTextBullet"/>
            </w:pPr>
            <w:r>
              <w:t>When the user selects all the diagnostic tests associated with a specimen, displays an option to mark the specimen unacceptable and invalidate the tests.</w:t>
            </w:r>
          </w:p>
        </w:tc>
      </w:tr>
      <w:tr w:rsidR="002A21AE" w14:paraId="48448C6F" w14:textId="77777777" w:rsidTr="006C058D">
        <w:trPr>
          <w:cantSplit/>
        </w:trPr>
        <w:tc>
          <w:tcPr>
            <w:tcW w:w="3240" w:type="dxa"/>
          </w:tcPr>
          <w:p w14:paraId="313DECCE" w14:textId="77777777" w:rsidR="002A21AE" w:rsidRDefault="002A21AE">
            <w:pPr>
              <w:pStyle w:val="TableTextNumbers"/>
            </w:pPr>
            <w:r>
              <w:t>Select the test to invalidate from the Patient Test Results list.</w:t>
            </w:r>
          </w:p>
          <w:p w14:paraId="2FB2628B" w14:textId="77777777" w:rsidR="002A21AE" w:rsidRDefault="002A21AE">
            <w:pPr>
              <w:pStyle w:val="TableTextNumbersContinued"/>
            </w:pPr>
          </w:p>
          <w:p w14:paraId="697B41D0" w14:textId="32F448EC" w:rsidR="002A21AE" w:rsidRDefault="002A21AE">
            <w:pPr>
              <w:pStyle w:val="TableTextNumbersContinued"/>
            </w:pPr>
            <w:r>
              <w:t xml:space="preserve">Click </w:t>
            </w:r>
            <w:r>
              <w:rPr>
                <w:b/>
              </w:rPr>
              <w:t>Invalidate Results</w:t>
            </w:r>
            <w:r w:rsidR="004C67AB" w:rsidRPr="004C67AB">
              <w:t xml:space="preserve"> (</w:t>
            </w:r>
            <w:r w:rsidR="00EE455E">
              <w:t xml:space="preserve">Figure </w:t>
            </w:r>
            <w:r w:rsidR="00EE455E">
              <w:rPr>
                <w:noProof/>
              </w:rPr>
              <w:t>83</w:t>
            </w:r>
            <w:r w:rsidR="004C67AB" w:rsidRPr="004C67AB">
              <w:t>)</w:t>
            </w:r>
            <w:r>
              <w:t>.</w:t>
            </w:r>
          </w:p>
          <w:p w14:paraId="3898C82B" w14:textId="77777777" w:rsidR="002A21AE" w:rsidRDefault="002A21AE">
            <w:pPr>
              <w:pStyle w:val="TableTextNumbersContinued"/>
            </w:pPr>
          </w:p>
          <w:p w14:paraId="5843D9E9" w14:textId="77777777" w:rsidR="002A21AE" w:rsidRDefault="002A21AE">
            <w:pPr>
              <w:pStyle w:val="TableTextNumbersContinued"/>
            </w:pPr>
            <w:r>
              <w:t>Enter a comment.</w:t>
            </w:r>
          </w:p>
          <w:p w14:paraId="3E0B93A4" w14:textId="77777777" w:rsidR="002A21AE" w:rsidRDefault="002A21AE">
            <w:pPr>
              <w:pStyle w:val="TableTextNumbersContinued"/>
            </w:pPr>
          </w:p>
          <w:p w14:paraId="5D2BC5CE" w14:textId="77777777" w:rsidR="002A21AE" w:rsidRDefault="002A21AE">
            <w:pPr>
              <w:pStyle w:val="TableTextNumbersContinued"/>
            </w:pPr>
            <w:r>
              <w:t xml:space="preserve">Click the </w:t>
            </w:r>
            <w:r>
              <w:rPr>
                <w:b/>
              </w:rPr>
              <w:t xml:space="preserve">Add test to the Pending Task List to allow for replacement results </w:t>
            </w:r>
            <w:r w:rsidRPr="00D1100E">
              <w:t>check box</w:t>
            </w:r>
            <w:r>
              <w:t>, if appropriate.</w:t>
            </w:r>
          </w:p>
          <w:p w14:paraId="735057C2" w14:textId="77777777" w:rsidR="002A21AE" w:rsidRDefault="002A21AE">
            <w:pPr>
              <w:pStyle w:val="TableTextNumbersContinued"/>
            </w:pPr>
          </w:p>
          <w:p w14:paraId="6C43AB34" w14:textId="77777777" w:rsidR="002A21AE" w:rsidRDefault="002A21AE">
            <w:pPr>
              <w:pStyle w:val="TableTextNumbersContinued"/>
            </w:pPr>
            <w:r>
              <w:t xml:space="preserve">Click </w:t>
            </w:r>
            <w:r w:rsidRPr="003B3B94">
              <w:rPr>
                <w:b/>
              </w:rPr>
              <w:t>OK</w:t>
            </w:r>
            <w:r>
              <w:t>.</w:t>
            </w:r>
          </w:p>
        </w:tc>
        <w:tc>
          <w:tcPr>
            <w:tcW w:w="6120" w:type="dxa"/>
          </w:tcPr>
          <w:p w14:paraId="7B0BE24C" w14:textId="77777777" w:rsidR="002A21AE" w:rsidRDefault="002A21AE">
            <w:pPr>
              <w:pStyle w:val="TableTextBullet"/>
            </w:pPr>
            <w:r>
              <w:t>Asks the user whether he wishes to change the specimen status to “unacceptable.”</w:t>
            </w:r>
          </w:p>
          <w:p w14:paraId="11F579EB" w14:textId="77777777" w:rsidR="002A21AE" w:rsidRDefault="002A21AE">
            <w:pPr>
              <w:pStyle w:val="TableText"/>
            </w:pPr>
          </w:p>
          <w:p w14:paraId="1152ED0A" w14:textId="0B96F1B6" w:rsidR="002A21AE" w:rsidRDefault="002A21AE">
            <w:pPr>
              <w:pStyle w:val="TableText"/>
              <w:rPr>
                <w:b/>
                <w:bCs/>
                <w:szCs w:val="18"/>
              </w:rPr>
            </w:pPr>
            <w:r>
              <w:rPr>
                <w:b/>
                <w:bCs/>
                <w:szCs w:val="18"/>
              </w:rPr>
              <w:t>NOTES</w:t>
            </w:r>
          </w:p>
          <w:p w14:paraId="355C42BE" w14:textId="77777777" w:rsidR="002A21AE" w:rsidRDefault="002A21AE">
            <w:pPr>
              <w:pStyle w:val="NotesText"/>
            </w:pPr>
          </w:p>
          <w:p w14:paraId="2F795003" w14:textId="77777777" w:rsidR="001B2013" w:rsidRPr="001B2013" w:rsidRDefault="001B2013">
            <w:pPr>
              <w:pStyle w:val="NotesText"/>
              <w:rPr>
                <w:rFonts w:cs="Arial"/>
              </w:rPr>
            </w:pPr>
            <w:r>
              <w:rPr>
                <w:rFonts w:cs="Arial"/>
              </w:rPr>
              <w:t>T</w:t>
            </w:r>
            <w:r w:rsidRPr="001B2013">
              <w:rPr>
                <w:rFonts w:cs="Arial"/>
              </w:rPr>
              <w:t xml:space="preserve">o </w:t>
            </w:r>
            <w:r>
              <w:rPr>
                <w:rFonts w:cs="Arial"/>
              </w:rPr>
              <w:t>maintain</w:t>
            </w:r>
            <w:r w:rsidRPr="001B2013">
              <w:rPr>
                <w:rFonts w:cs="Arial"/>
              </w:rPr>
              <w:t xml:space="preserve"> a clear record</w:t>
            </w:r>
            <w:r>
              <w:rPr>
                <w:rFonts w:cs="Arial"/>
              </w:rPr>
              <w:t xml:space="preserve"> and system checks, invalidate both original and repeat ABO/Rh tests</w:t>
            </w:r>
            <w:r w:rsidRPr="001B2013">
              <w:rPr>
                <w:rFonts w:cs="Arial"/>
              </w:rPr>
              <w:t xml:space="preserve">. </w:t>
            </w:r>
          </w:p>
          <w:p w14:paraId="5BFF4686" w14:textId="77777777" w:rsidR="001B2013" w:rsidRDefault="001B2013">
            <w:pPr>
              <w:pStyle w:val="NotesText"/>
              <w:rPr>
                <w:rFonts w:cs="Arial"/>
              </w:rPr>
            </w:pPr>
          </w:p>
          <w:p w14:paraId="6B416ECD" w14:textId="705C98F3" w:rsidR="002A21AE" w:rsidRDefault="002A21AE">
            <w:pPr>
              <w:pStyle w:val="NotesText"/>
            </w:pPr>
            <w:r>
              <w:rPr>
                <w:rFonts w:cs="Arial"/>
                <w:vanish/>
              </w:rPr>
              <w:t xml:space="preserve">BR_94.05 </w:t>
            </w:r>
            <w:r>
              <w:t xml:space="preserve">When the user invalidated all of the diagnostic tests associated with a given specimen, VBECS asks whether the user wishes to change the specimen to “unacceptable.” </w:t>
            </w:r>
            <w:r>
              <w:rPr>
                <w:b/>
              </w:rPr>
              <w:t>No</w:t>
            </w:r>
            <w:r>
              <w:t xml:space="preserve"> allows the user to invalidate the test results without making the specimen unacceptable. </w:t>
            </w:r>
            <w:r>
              <w:rPr>
                <w:b/>
              </w:rPr>
              <w:t>Yes</w:t>
            </w:r>
            <w:r>
              <w:t xml:space="preserve"> changes the specimen to “unacceptable” and requires a comment.</w:t>
            </w:r>
          </w:p>
        </w:tc>
      </w:tr>
      <w:tr w:rsidR="002A21AE" w14:paraId="75E47418" w14:textId="77777777">
        <w:tc>
          <w:tcPr>
            <w:tcW w:w="3240" w:type="dxa"/>
          </w:tcPr>
          <w:p w14:paraId="08CC4FC6"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211D236B" w14:textId="77777777" w:rsidR="002A21AE" w:rsidRDefault="002A21AE">
            <w:pPr>
              <w:pStyle w:val="NotesText"/>
            </w:pPr>
          </w:p>
        </w:tc>
      </w:tr>
    </w:tbl>
    <w:p w14:paraId="5846ADB6" w14:textId="20209FE0" w:rsidR="004C67AB" w:rsidRDefault="004C67AB" w:rsidP="004C67AB">
      <w:pPr>
        <w:pStyle w:val="Caption"/>
      </w:pPr>
      <w:bookmarkStart w:id="404" w:name="_Ref12715955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82</w:t>
      </w:r>
      <w:r w:rsidR="004E20BD">
        <w:rPr>
          <w:noProof/>
        </w:rPr>
        <w:fldChar w:fldCharType="end"/>
      </w:r>
      <w:bookmarkEnd w:id="404"/>
      <w:r>
        <w:t>: Invalidate Patient Test Results</w:t>
      </w:r>
    </w:p>
    <w:p w14:paraId="2A82F5A9" w14:textId="77777777" w:rsidR="004C67AB" w:rsidRDefault="00057948" w:rsidP="004C67AB">
      <w:pPr>
        <w:pStyle w:val="BodyText"/>
      </w:pPr>
      <w:r>
        <w:rPr>
          <w:noProof/>
        </w:rPr>
        <w:drawing>
          <wp:inline distT="0" distB="0" distL="0" distR="0" wp14:anchorId="1891CACF" wp14:editId="39EE6D2B">
            <wp:extent cx="5948045" cy="3537585"/>
            <wp:effectExtent l="0" t="0" r="0" b="5715"/>
            <wp:docPr id="202" name="Picture 202" descr="Example of Invalidate Patient Test Resul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Example of Invalidate Patient Test Results screen capture"/>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8045" cy="3537585"/>
                    </a:xfrm>
                    <a:prstGeom prst="rect">
                      <a:avLst/>
                    </a:prstGeom>
                    <a:noFill/>
                    <a:ln>
                      <a:noFill/>
                    </a:ln>
                  </pic:spPr>
                </pic:pic>
              </a:graphicData>
            </a:graphic>
          </wp:inline>
        </w:drawing>
      </w:r>
    </w:p>
    <w:p w14:paraId="7C27B30B" w14:textId="7BB40DB2" w:rsidR="004C67AB" w:rsidRDefault="004C67AB" w:rsidP="004C67AB">
      <w:pPr>
        <w:pStyle w:val="Caption"/>
      </w:pPr>
      <w:bookmarkStart w:id="405" w:name="_Ref12715986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83</w:t>
      </w:r>
      <w:r w:rsidR="004E20BD">
        <w:rPr>
          <w:noProof/>
        </w:rPr>
        <w:fldChar w:fldCharType="end"/>
      </w:r>
      <w:bookmarkEnd w:id="405"/>
      <w:r>
        <w:t>: Confirm Invalidation</w:t>
      </w:r>
    </w:p>
    <w:p w14:paraId="1A0CB78B" w14:textId="77777777" w:rsidR="004C67AB" w:rsidRDefault="00057948" w:rsidP="004C67AB">
      <w:pPr>
        <w:pStyle w:val="BodyText"/>
      </w:pPr>
      <w:r>
        <w:rPr>
          <w:noProof/>
        </w:rPr>
        <w:drawing>
          <wp:inline distT="0" distB="0" distL="0" distR="0" wp14:anchorId="1BDDBA68" wp14:editId="5D963E05">
            <wp:extent cx="5939155" cy="3759200"/>
            <wp:effectExtent l="0" t="0" r="4445" b="0"/>
            <wp:docPr id="203" name="Picture 203" descr="Example of Confirm Invalid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Example of Confirm Invalidation screen captur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39155" cy="3759200"/>
                    </a:xfrm>
                    <a:prstGeom prst="rect">
                      <a:avLst/>
                    </a:prstGeom>
                    <a:noFill/>
                    <a:ln>
                      <a:noFill/>
                    </a:ln>
                  </pic:spPr>
                </pic:pic>
              </a:graphicData>
            </a:graphic>
          </wp:inline>
        </w:drawing>
      </w:r>
    </w:p>
    <w:p w14:paraId="74E9FD6D" w14:textId="77777777" w:rsidR="002A21AE" w:rsidRDefault="002A21AE" w:rsidP="004C67AB">
      <w:pPr>
        <w:pStyle w:val="Heading2"/>
      </w:pPr>
      <w:r>
        <w:br w:type="page"/>
      </w:r>
      <w:bookmarkStart w:id="406" w:name="_Toc149064140"/>
      <w:r>
        <w:t>Remove Final Status</w:t>
      </w:r>
      <w:bookmarkEnd w:id="406"/>
      <w:r w:rsidRPr="007B1B11">
        <w:rPr>
          <w:rFonts w:ascii="Arial Bold" w:hAnsi="Arial Bold"/>
          <w:vanish/>
        </w:rPr>
        <w:fldChar w:fldCharType="begin"/>
      </w:r>
      <w:r w:rsidRPr="007B1B11">
        <w:rPr>
          <w:rFonts w:ascii="Arial Bold" w:hAnsi="Arial Bold"/>
          <w:vanish/>
        </w:rPr>
        <w:instrText xml:space="preserve"> XE </w:instrText>
      </w:r>
      <w:r w:rsidR="00FA7E65" w:rsidRPr="007B1B11">
        <w:rPr>
          <w:rFonts w:ascii="Arial Bold" w:hAnsi="Arial Bold"/>
          <w:vanish/>
        </w:rPr>
        <w:instrText>“</w:instrText>
      </w:r>
      <w:r w:rsidRPr="007B1B11">
        <w:rPr>
          <w:rFonts w:ascii="Arial Bold" w:hAnsi="Arial Bold"/>
          <w:vanish/>
        </w:rPr>
        <w:instrText>Remove Final Status</w:instrText>
      </w:r>
      <w:r w:rsidR="00FA7E65" w:rsidRPr="007B1B11">
        <w:rPr>
          <w:rFonts w:ascii="Arial Bold" w:hAnsi="Arial Bold"/>
          <w:vanish/>
        </w:rPr>
        <w:instrText>”</w:instrText>
      </w:r>
      <w:r w:rsidRPr="007B1B11">
        <w:rPr>
          <w:rFonts w:ascii="Arial Bold" w:hAnsi="Arial Bold"/>
          <w:vanish/>
        </w:rPr>
        <w:instrText xml:space="preserve"> </w:instrText>
      </w:r>
      <w:r w:rsidRPr="007B1B11">
        <w:rPr>
          <w:rFonts w:ascii="Arial Bold" w:hAnsi="Arial Bold"/>
          <w:vanish/>
        </w:rPr>
        <w:fldChar w:fldCharType="end"/>
      </w:r>
      <w:r w:rsidRPr="007B1B11">
        <w:rPr>
          <w:rFonts w:ascii="Arial Bold" w:hAnsi="Arial Bold"/>
          <w:vanish/>
        </w:rPr>
        <w:t xml:space="preserve"> UC_13</w:t>
      </w:r>
    </w:p>
    <w:p w14:paraId="4FAC25B3" w14:textId="77777777" w:rsidR="002A21AE" w:rsidRDefault="002A21AE" w:rsidP="00FA7E65">
      <w:pPr>
        <w:pStyle w:val="BodyText"/>
      </w:pPr>
      <w:r>
        <w:t xml:space="preserve">The user removes a final status from a unit. All other statuses are manipulated through normal system rules and practices. </w:t>
      </w:r>
    </w:p>
    <w:p w14:paraId="1A2F1B79" w14:textId="77777777" w:rsidR="002A21AE" w:rsidRDefault="002A21AE">
      <w:pPr>
        <w:pStyle w:val="Heading4"/>
      </w:pPr>
      <w:r>
        <w:t>Assumptions</w:t>
      </w:r>
      <w:r>
        <w:rPr>
          <w:b w:val="0"/>
        </w:rPr>
        <w:t xml:space="preserve"> </w:t>
      </w:r>
    </w:p>
    <w:p w14:paraId="1C3DA376" w14:textId="77777777" w:rsidR="002A21AE" w:rsidRDefault="002A21AE">
      <w:pPr>
        <w:pStyle w:val="ListBullet"/>
      </w:pPr>
      <w:r>
        <w:t>The user is logged into the division containing the unit record.</w:t>
      </w:r>
    </w:p>
    <w:p w14:paraId="03B4A9AE" w14:textId="77777777" w:rsidR="002A21AE" w:rsidRDefault="002A21AE">
      <w:pPr>
        <w:pStyle w:val="ListBullet"/>
      </w:pPr>
      <w:r>
        <w:t>The unit is in a final (transfused, transferred, modified, discarded) status.</w:t>
      </w:r>
    </w:p>
    <w:p w14:paraId="44DE3A73" w14:textId="77777777" w:rsidR="002A21AE" w:rsidRDefault="002A21AE">
      <w:pPr>
        <w:pStyle w:val="ListBullet"/>
      </w:pPr>
      <w:r>
        <w:t xml:space="preserve">The user must invalidate the modification status of the split </w:t>
      </w:r>
      <w:r w:rsidR="0071792D">
        <w:t xml:space="preserve">or pooled </w:t>
      </w:r>
      <w:r>
        <w:t xml:space="preserve">units, and then the original unit or pool. </w:t>
      </w:r>
    </w:p>
    <w:p w14:paraId="1C751722" w14:textId="77777777" w:rsidR="002A21AE" w:rsidRDefault="002A21AE">
      <w:pPr>
        <w:pStyle w:val="Heading4"/>
      </w:pPr>
      <w:r>
        <w:t>Outcome</w:t>
      </w:r>
    </w:p>
    <w:p w14:paraId="53054685" w14:textId="77777777" w:rsidR="002A21AE" w:rsidRDefault="002A21AE">
      <w:pPr>
        <w:pStyle w:val="ListBullet"/>
      </w:pPr>
      <w:r>
        <w:t xml:space="preserve">The new information was saved with the unit’s </w:t>
      </w:r>
      <w:r w:rsidR="0051757B">
        <w:t>historic</w:t>
      </w:r>
      <w:r>
        <w:t xml:space="preserve"> record.</w:t>
      </w:r>
    </w:p>
    <w:p w14:paraId="0C6F4DFC" w14:textId="77777777" w:rsidR="002A21AE" w:rsidRDefault="002A21AE">
      <w:pPr>
        <w:pStyle w:val="ListBullet"/>
      </w:pPr>
      <w:r>
        <w:t xml:space="preserve">The unit is in the status immediately prior to the final status. </w:t>
      </w:r>
    </w:p>
    <w:p w14:paraId="250F8514" w14:textId="77777777" w:rsidR="002A21AE" w:rsidRDefault="002A21AE">
      <w:pPr>
        <w:pStyle w:val="Heading4"/>
      </w:pPr>
      <w:r>
        <w:t>Limitations and Restrictions</w:t>
      </w:r>
      <w:r>
        <w:rPr>
          <w:b w:val="0"/>
        </w:rPr>
        <w:t xml:space="preserve"> </w:t>
      </w:r>
    </w:p>
    <w:p w14:paraId="5F712382" w14:textId="77777777" w:rsidR="002A21AE" w:rsidRDefault="002A21AE">
      <w:pPr>
        <w:pStyle w:val="ListBullet"/>
      </w:pPr>
      <w:r>
        <w:t>This option applies only to the release of units in final statuses.</w:t>
      </w:r>
    </w:p>
    <w:p w14:paraId="126C2ADD" w14:textId="77777777" w:rsidR="002A21AE" w:rsidRDefault="002A21AE">
      <w:pPr>
        <w:pStyle w:val="Heading4"/>
      </w:pPr>
      <w:r>
        <w:t>Additional Information</w:t>
      </w:r>
      <w:r>
        <w:rPr>
          <w:rFonts w:ascii="Times New Roman" w:hAnsi="Times New Roman"/>
          <w:i/>
          <w:sz w:val="24"/>
        </w:rPr>
        <w:t xml:space="preserve"> </w:t>
      </w:r>
    </w:p>
    <w:p w14:paraId="5AB524B2" w14:textId="77777777" w:rsidR="002A21AE" w:rsidRDefault="002A21AE">
      <w:pPr>
        <w:pStyle w:val="ListBullet"/>
      </w:pPr>
      <w:r>
        <w:t>This option allows a user to restore a unit to inventory from a final status. It may be used to begin undoing a transfusion episode (step by step in reverse order) or correct a unit modification record.</w:t>
      </w:r>
    </w:p>
    <w:p w14:paraId="724D9448" w14:textId="77777777" w:rsidR="002A21AE" w:rsidRDefault="002A21AE">
      <w:pPr>
        <w:pStyle w:val="ListBullet"/>
      </w:pPr>
      <w:r>
        <w:t>“Issued” is not a final unit status.</w:t>
      </w:r>
    </w:p>
    <w:p w14:paraId="253E8345" w14:textId="77777777" w:rsidR="002A21AE" w:rsidRDefault="002A21AE">
      <w:pPr>
        <w:pStyle w:val="ListBullet"/>
      </w:pPr>
      <w:r>
        <w:t xml:space="preserve">This option is not used to add units to or remove them from a pool. </w:t>
      </w:r>
    </w:p>
    <w:p w14:paraId="6A3EC44E" w14:textId="77777777" w:rsidR="002A21AE" w:rsidRDefault="002A21AE">
      <w:pPr>
        <w:pStyle w:val="Heading4"/>
        <w:rPr>
          <w:b w:val="0"/>
        </w:rPr>
      </w:pPr>
      <w:r>
        <w:t>User Roles with Access to This Option</w:t>
      </w:r>
      <w:r>
        <w:rPr>
          <w:b w:val="0"/>
        </w:rPr>
        <w:t xml:space="preserve"> </w:t>
      </w:r>
    </w:p>
    <w:p w14:paraId="04FDE72A" w14:textId="77777777" w:rsidR="002A21AE" w:rsidRDefault="002A21AE" w:rsidP="00EE665E">
      <w:pPr>
        <w:pStyle w:val="BodyText"/>
      </w:pPr>
      <w:r w:rsidRPr="000F12D4">
        <w:rPr>
          <w:rStyle w:val="RolesChar1"/>
          <w:rFonts w:ascii="Wingdings 3" w:hAnsi="Wingdings 3"/>
        </w:rPr>
        <w:t></w:t>
      </w:r>
      <w:r w:rsidRPr="000F12D4">
        <w:rPr>
          <w:rStyle w:val="RolesChar1"/>
          <w:rFonts w:ascii="Wingdings 3" w:hAnsi="Wingdings 3"/>
        </w:rPr>
        <w:t></w:t>
      </w:r>
      <w:r w:rsidRPr="000F12D4">
        <w:rPr>
          <w:rStyle w:val="RolesChar1"/>
          <w:rFonts w:ascii="Wingdings 3" w:hAnsi="Wingdings 3"/>
        </w:rPr>
        <w:t></w:t>
      </w:r>
      <w:r w:rsidRPr="000F12D4">
        <w:rPr>
          <w:rStyle w:val="RolesChar1"/>
          <w:rFonts w:ascii="Wingdings 3" w:hAnsi="Wingdings 3"/>
        </w:rPr>
        <w:t></w:t>
      </w:r>
      <w:r>
        <w:t xml:space="preserve"> </w:t>
      </w:r>
      <w:r w:rsidRPr="00EE665E">
        <w:t>Traditional Supervisor</w:t>
      </w:r>
      <w:r>
        <w:t xml:space="preserve"> </w:t>
      </w:r>
    </w:p>
    <w:p w14:paraId="1B99EF48" w14:textId="77777777" w:rsidR="002A21AE" w:rsidRDefault="002A21AE">
      <w:pPr>
        <w:pStyle w:val="Heading4"/>
      </w:pPr>
      <w:r>
        <w:t>Remove Final Status</w:t>
      </w:r>
    </w:p>
    <w:p w14:paraId="7B7D5965" w14:textId="77777777" w:rsidR="00B25F6C" w:rsidRDefault="002A21AE" w:rsidP="00FA7E65">
      <w:pPr>
        <w:pStyle w:val="BodyText"/>
      </w:pPr>
      <w:r>
        <w:t>The user corrects a clerical error: a unit was processed and moved to a final status in the computer incorrectly.</w:t>
      </w:r>
    </w:p>
    <w:p w14:paraId="12DB7965" w14:textId="77777777" w:rsidR="00B25F6C" w:rsidRPr="00D93651" w:rsidRDefault="002A21AE" w:rsidP="00B25F6C">
      <w:pPr>
        <w:pStyle w:val="Caution"/>
        <w:ind w:right="180"/>
      </w:pPr>
      <w:r>
        <w:t xml:space="preserve"> </w:t>
      </w:r>
      <w:r w:rsidR="00057948">
        <w:rPr>
          <w:noProof/>
        </w:rPr>
        <w:drawing>
          <wp:inline distT="0" distB="0" distL="0" distR="0" wp14:anchorId="042B7BA8" wp14:editId="5FDD1853">
            <wp:extent cx="267970" cy="221615"/>
            <wp:effectExtent l="0" t="0" r="0" b="6985"/>
            <wp:docPr id="204" name="Picture 20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B25F6C">
        <w:t>Removing final status of a unit reported as transfused by the Transfusion Verification application will create a discrepancy between the systems. Changes or updates to a transfusion record must be made in the Transfusion Verification application first.</w:t>
      </w:r>
      <w:r w:rsidR="00B25F6C">
        <w:rPr>
          <w:vanish/>
        </w:rPr>
        <w:t xml:space="preserve"> DR 4134</w:t>
      </w:r>
      <w:r w:rsidR="00B25F6C">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81D2904" w14:textId="77777777">
        <w:trPr>
          <w:cantSplit/>
          <w:tblHeader/>
        </w:trPr>
        <w:tc>
          <w:tcPr>
            <w:tcW w:w="3240" w:type="dxa"/>
            <w:shd w:val="pct30" w:color="auto" w:fill="FFFFFF"/>
            <w:vAlign w:val="bottom"/>
          </w:tcPr>
          <w:p w14:paraId="08CCDB5B" w14:textId="77777777" w:rsidR="002A21AE" w:rsidRDefault="002A21AE">
            <w:pPr>
              <w:pStyle w:val="TableText"/>
              <w:rPr>
                <w:b/>
              </w:rPr>
            </w:pPr>
            <w:r>
              <w:rPr>
                <w:b/>
              </w:rPr>
              <w:t>User Action</w:t>
            </w:r>
          </w:p>
        </w:tc>
        <w:tc>
          <w:tcPr>
            <w:tcW w:w="6120" w:type="dxa"/>
            <w:shd w:val="pct30" w:color="auto" w:fill="FFFFFF"/>
            <w:vAlign w:val="bottom"/>
          </w:tcPr>
          <w:p w14:paraId="3607E65C" w14:textId="77777777" w:rsidR="002A21AE" w:rsidRDefault="002A21AE">
            <w:pPr>
              <w:pStyle w:val="TableText"/>
              <w:rPr>
                <w:b/>
              </w:rPr>
            </w:pPr>
            <w:r>
              <w:rPr>
                <w:b/>
              </w:rPr>
              <w:t>VBECS</w:t>
            </w:r>
          </w:p>
        </w:tc>
      </w:tr>
      <w:tr w:rsidR="002A21AE" w14:paraId="2797C24D" w14:textId="77777777">
        <w:tc>
          <w:tcPr>
            <w:tcW w:w="3240" w:type="dxa"/>
          </w:tcPr>
          <w:p w14:paraId="41BB773D" w14:textId="77777777" w:rsidR="002A21AE" w:rsidRDefault="002A21AE">
            <w:pPr>
              <w:pStyle w:val="TableTextNumbers"/>
            </w:pPr>
            <w:r>
              <w:t xml:space="preserve">Select </w:t>
            </w:r>
            <w:r>
              <w:rPr>
                <w:b/>
              </w:rPr>
              <w:t>Supervisor</w:t>
            </w:r>
            <w:r>
              <w:t xml:space="preserve"> from the main menu. </w:t>
            </w:r>
          </w:p>
          <w:p w14:paraId="4FDA3181" w14:textId="77777777" w:rsidR="002A21AE" w:rsidRDefault="002A21AE">
            <w:pPr>
              <w:pStyle w:val="TableTextNumbersContinued"/>
            </w:pPr>
          </w:p>
          <w:p w14:paraId="00AA139C" w14:textId="77777777" w:rsidR="002A21AE" w:rsidRDefault="002A21AE">
            <w:pPr>
              <w:pStyle w:val="TableTextNumbersContinued"/>
            </w:pPr>
            <w:r>
              <w:t xml:space="preserve">Select </w:t>
            </w:r>
            <w:r>
              <w:rPr>
                <w:b/>
              </w:rPr>
              <w:t>Remove Final Status</w:t>
            </w:r>
            <w:r>
              <w:t>.</w:t>
            </w:r>
          </w:p>
        </w:tc>
        <w:tc>
          <w:tcPr>
            <w:tcW w:w="6120" w:type="dxa"/>
          </w:tcPr>
          <w:p w14:paraId="17BEF0CF" w14:textId="77777777" w:rsidR="002A21AE" w:rsidRDefault="002A21AE">
            <w:pPr>
              <w:pStyle w:val="TableTextBullet"/>
            </w:pPr>
            <w:r>
              <w:t>Displays options available to supervisors</w:t>
            </w:r>
            <w:r w:rsidR="00922AD8">
              <w:t>.</w:t>
            </w:r>
          </w:p>
          <w:p w14:paraId="13290454" w14:textId="77777777" w:rsidR="002A21AE" w:rsidRDefault="002A21AE">
            <w:pPr>
              <w:pStyle w:val="TableTextBullet"/>
            </w:pPr>
            <w:r>
              <w:t>Displays fields for selecting a unit and removing its final status.</w:t>
            </w:r>
          </w:p>
        </w:tc>
      </w:tr>
      <w:tr w:rsidR="002A21AE" w14:paraId="0F9E0FD2" w14:textId="77777777" w:rsidTr="00774B1B">
        <w:trPr>
          <w:cantSplit/>
          <w:tblHeader/>
        </w:trPr>
        <w:tc>
          <w:tcPr>
            <w:tcW w:w="3240" w:type="dxa"/>
          </w:tcPr>
          <w:p w14:paraId="0405D383" w14:textId="77777777" w:rsidR="002A21AE" w:rsidRDefault="002A21AE">
            <w:pPr>
              <w:pStyle w:val="TableTextNumbers"/>
            </w:pPr>
            <w:r>
              <w:t xml:space="preserve">Scan or enter a unit ID or product code, or click the </w:t>
            </w:r>
            <w:r w:rsidR="00A6373D">
              <w:rPr>
                <w:b/>
              </w:rPr>
              <w:t>find</w:t>
            </w:r>
            <w:r>
              <w:rPr>
                <w:b/>
              </w:rPr>
              <w:t xml:space="preserve"> </w:t>
            </w:r>
            <w:r w:rsidRPr="00D1100E">
              <w:t>button</w:t>
            </w:r>
            <w:r>
              <w:t xml:space="preserve"> to select a unit from the drop-down list.</w:t>
            </w:r>
          </w:p>
        </w:tc>
        <w:tc>
          <w:tcPr>
            <w:tcW w:w="6120" w:type="dxa"/>
          </w:tcPr>
          <w:p w14:paraId="6E900804" w14:textId="77777777" w:rsidR="002A21AE" w:rsidRDefault="002A21AE">
            <w:pPr>
              <w:pStyle w:val="TableTextBullet"/>
            </w:pPr>
            <w:r>
              <w:t>Displays unit data,</w:t>
            </w:r>
            <w:r>
              <w:rPr>
                <w:rFonts w:cs="Arial"/>
              </w:rPr>
              <w:t xml:space="preserve"> including the previous and current unit statuses.</w:t>
            </w:r>
          </w:p>
          <w:p w14:paraId="26906539" w14:textId="77777777" w:rsidR="002A21AE" w:rsidRDefault="00123ED4">
            <w:pPr>
              <w:pStyle w:val="TableTextBullet"/>
            </w:pPr>
            <w:r w:rsidRPr="00123ED4">
              <w:rPr>
                <w:vanish/>
                <w:szCs w:val="18"/>
              </w:rPr>
              <w:t>BR_13.01</w:t>
            </w:r>
            <w:r w:rsidR="008F079B">
              <w:rPr>
                <w:vanish/>
                <w:szCs w:val="18"/>
              </w:rPr>
              <w:t xml:space="preserve"> </w:t>
            </w:r>
            <w:r w:rsidR="002A21AE">
              <w:t>Warns the user to proceed with caution.</w:t>
            </w:r>
          </w:p>
          <w:p w14:paraId="0C87FCD3" w14:textId="77777777" w:rsidR="002A21AE" w:rsidRDefault="002A21AE">
            <w:pPr>
              <w:pStyle w:val="TableText"/>
            </w:pPr>
          </w:p>
          <w:p w14:paraId="57FAD835" w14:textId="38C383D2" w:rsidR="002A21AE" w:rsidRDefault="002A21AE">
            <w:pPr>
              <w:pStyle w:val="TableText"/>
              <w:rPr>
                <w:b/>
                <w:bCs/>
                <w:szCs w:val="18"/>
              </w:rPr>
            </w:pPr>
            <w:r>
              <w:rPr>
                <w:b/>
                <w:bCs/>
                <w:szCs w:val="18"/>
              </w:rPr>
              <w:t>NOTES</w:t>
            </w:r>
          </w:p>
          <w:p w14:paraId="4D4553E0" w14:textId="77777777" w:rsidR="002A21AE" w:rsidRDefault="002A21AE">
            <w:pPr>
              <w:pStyle w:val="NotesText"/>
            </w:pPr>
          </w:p>
          <w:p w14:paraId="77AFA46B" w14:textId="77777777" w:rsidR="002A21AE" w:rsidRDefault="002A21AE">
            <w:pPr>
              <w:pStyle w:val="NotesText"/>
              <w:rPr>
                <w:rFonts w:cs="Arial"/>
              </w:rPr>
            </w:pPr>
            <w:r>
              <w:rPr>
                <w:rFonts w:cs="Arial"/>
                <w:vanish/>
              </w:rPr>
              <w:t xml:space="preserve">BR_13.04 </w:t>
            </w:r>
            <w:r>
              <w:t>VBECS warns the user</w:t>
            </w:r>
            <w:r>
              <w:rPr>
                <w:rFonts w:cs="Arial"/>
              </w:rPr>
              <w:t xml:space="preserve"> when the unit does not have a final status</w:t>
            </w:r>
            <w:r w:rsidR="002E2AAE">
              <w:rPr>
                <w:rFonts w:cs="Arial"/>
              </w:rPr>
              <w:t xml:space="preserve"> or was not modified</w:t>
            </w:r>
            <w:r w:rsidR="00295AB3">
              <w:rPr>
                <w:rFonts w:cs="Arial"/>
              </w:rPr>
              <w:t xml:space="preserve"> (other than pool, thaw/pool, and split)</w:t>
            </w:r>
            <w:r>
              <w:t>. The user may select another unit.</w:t>
            </w:r>
          </w:p>
          <w:p w14:paraId="28439A3A" w14:textId="77777777" w:rsidR="002A21AE" w:rsidRDefault="002A21AE">
            <w:pPr>
              <w:pStyle w:val="NotesText"/>
              <w:rPr>
                <w:rFonts w:cs="Arial"/>
              </w:rPr>
            </w:pPr>
          </w:p>
          <w:p w14:paraId="44807890" w14:textId="77777777" w:rsidR="002A21AE" w:rsidRDefault="002A21AE">
            <w:pPr>
              <w:pStyle w:val="NotesText"/>
            </w:pPr>
            <w:r>
              <w:rPr>
                <w:rFonts w:cs="Arial"/>
                <w:vanish/>
              </w:rPr>
              <w:t xml:space="preserve">BR_13.05 </w:t>
            </w:r>
            <w:r>
              <w:t>When the final status is “modified” (</w:t>
            </w:r>
            <w:r w:rsidR="00690E42">
              <w:rPr>
                <w:rFonts w:cs="Arial"/>
              </w:rPr>
              <w:t>pooled, thaw/pooled, or split</w:t>
            </w:r>
            <w:r>
              <w:t>), VBECS verifies that the target unit is invalidated. When the target unit was not invalidated, the user may not continue.</w:t>
            </w:r>
          </w:p>
        </w:tc>
      </w:tr>
      <w:tr w:rsidR="002A21AE" w14:paraId="11A72B07" w14:textId="77777777">
        <w:trPr>
          <w:cantSplit/>
        </w:trPr>
        <w:tc>
          <w:tcPr>
            <w:tcW w:w="3240" w:type="dxa"/>
          </w:tcPr>
          <w:p w14:paraId="3DD1A728" w14:textId="77777777" w:rsidR="002A21AE" w:rsidRDefault="002A21AE">
            <w:pPr>
              <w:pStyle w:val="TableTextNumbers"/>
            </w:pPr>
            <w:r>
              <w:t>Verify that the unit selected is the desired unit.</w:t>
            </w:r>
          </w:p>
          <w:p w14:paraId="2F068864" w14:textId="77777777" w:rsidR="000B79B3" w:rsidRDefault="000B79B3" w:rsidP="000B79B3">
            <w:pPr>
              <w:pStyle w:val="TableTextNumbersContinued"/>
            </w:pPr>
          </w:p>
          <w:p w14:paraId="28AB3C85" w14:textId="77777777" w:rsidR="000B79B3" w:rsidRDefault="000B79B3" w:rsidP="000B79B3">
            <w:pPr>
              <w:pStyle w:val="TableTextNumbersContinued"/>
            </w:pPr>
            <w:r>
              <w:t xml:space="preserve">Click </w:t>
            </w:r>
            <w:r w:rsidRPr="000B79B3">
              <w:rPr>
                <w:b/>
              </w:rPr>
              <w:t>OK</w:t>
            </w:r>
            <w:r>
              <w:t>.</w:t>
            </w:r>
          </w:p>
          <w:p w14:paraId="4C3D8C23" w14:textId="77777777" w:rsidR="002A21AE" w:rsidRDefault="002A21AE" w:rsidP="000B79B3">
            <w:pPr>
              <w:pStyle w:val="TableTextNumbersContinued"/>
            </w:pPr>
          </w:p>
          <w:p w14:paraId="7036020A" w14:textId="34923210" w:rsidR="002A21AE" w:rsidRDefault="002A21AE">
            <w:pPr>
              <w:pStyle w:val="TableTextNumbersContinued"/>
            </w:pPr>
            <w:r>
              <w:t>Enter a comment</w:t>
            </w:r>
            <w:r w:rsidR="007F4644">
              <w:t xml:space="preserve"> (</w:t>
            </w:r>
            <w:r w:rsidR="00EE455E">
              <w:t xml:space="preserve">Figure </w:t>
            </w:r>
            <w:r w:rsidR="00EE455E">
              <w:rPr>
                <w:noProof/>
              </w:rPr>
              <w:t>84</w:t>
            </w:r>
            <w:r w:rsidR="007F4644">
              <w:t>)</w:t>
            </w:r>
            <w:r>
              <w:t>.</w:t>
            </w:r>
          </w:p>
        </w:tc>
        <w:tc>
          <w:tcPr>
            <w:tcW w:w="6120" w:type="dxa"/>
          </w:tcPr>
          <w:p w14:paraId="62F925FA" w14:textId="77777777" w:rsidR="002A21AE" w:rsidRDefault="002A21AE">
            <w:pPr>
              <w:pStyle w:val="TableTextBullet"/>
            </w:pPr>
            <w:r>
              <w:t>Asks the user if he would like to remove the final status.</w:t>
            </w:r>
          </w:p>
          <w:p w14:paraId="0B32DAD7" w14:textId="77777777" w:rsidR="002A21AE" w:rsidRDefault="002A21AE">
            <w:pPr>
              <w:pStyle w:val="TableTextBullet"/>
            </w:pPr>
            <w:r>
              <w:rPr>
                <w:rFonts w:cs="Arial"/>
                <w:vanish/>
              </w:rPr>
              <w:t xml:space="preserve">BR_13.02 </w:t>
            </w:r>
            <w:r>
              <w:t>Requires the user to enter an explanatory comment.</w:t>
            </w:r>
          </w:p>
          <w:p w14:paraId="3902169D" w14:textId="77777777" w:rsidR="002A21AE" w:rsidRDefault="002A21AE">
            <w:pPr>
              <w:pStyle w:val="TableText"/>
            </w:pPr>
          </w:p>
          <w:p w14:paraId="202A5AD5" w14:textId="3FA4EBAD" w:rsidR="002A21AE" w:rsidRDefault="002A21AE">
            <w:pPr>
              <w:pStyle w:val="TableText"/>
              <w:rPr>
                <w:b/>
                <w:bCs/>
                <w:szCs w:val="18"/>
              </w:rPr>
            </w:pPr>
            <w:r>
              <w:rPr>
                <w:b/>
                <w:bCs/>
                <w:szCs w:val="18"/>
              </w:rPr>
              <w:t>NOTES</w:t>
            </w:r>
          </w:p>
          <w:p w14:paraId="13EB5009" w14:textId="77777777" w:rsidR="002A21AE" w:rsidRDefault="002A21AE">
            <w:pPr>
              <w:pStyle w:val="NotesText"/>
            </w:pPr>
          </w:p>
          <w:p w14:paraId="456A14A7" w14:textId="77777777" w:rsidR="002A21AE" w:rsidRDefault="002A21AE">
            <w:pPr>
              <w:pStyle w:val="NotesText"/>
              <w:rPr>
                <w:rFonts w:cs="Arial"/>
              </w:rPr>
            </w:pPr>
            <w:r>
              <w:rPr>
                <w:rFonts w:cs="Arial"/>
                <w:vanish/>
              </w:rPr>
              <w:t xml:space="preserve">BR_13.03 </w:t>
            </w:r>
            <w:r>
              <w:rPr>
                <w:color w:val="000000"/>
                <w:szCs w:val="18"/>
              </w:rPr>
              <w:t>VBECS updates the unit status to the previous status and maintains restrictions on the original unit.</w:t>
            </w:r>
          </w:p>
        </w:tc>
      </w:tr>
      <w:tr w:rsidR="002A21AE" w14:paraId="1F30D5AA" w14:textId="77777777">
        <w:trPr>
          <w:cantSplit/>
        </w:trPr>
        <w:tc>
          <w:tcPr>
            <w:tcW w:w="3240" w:type="dxa"/>
          </w:tcPr>
          <w:p w14:paraId="552A75A5" w14:textId="77777777" w:rsidR="002A21AE" w:rsidRDefault="007F4644" w:rsidP="007F4644">
            <w:pPr>
              <w:pStyle w:val="TableTextNumbers"/>
            </w:pPr>
            <w:r>
              <w:t xml:space="preserve">Review the data, click </w:t>
            </w:r>
            <w:r>
              <w:rPr>
                <w:b/>
              </w:rPr>
              <w:t xml:space="preserve">OK </w:t>
            </w:r>
            <w:r>
              <w:t xml:space="preserve">to save, and click </w:t>
            </w:r>
            <w:r>
              <w:rPr>
                <w:b/>
              </w:rPr>
              <w:t>OK</w:t>
            </w:r>
            <w:r>
              <w:t xml:space="preserve"> again to confirm the save.</w:t>
            </w:r>
            <w:r w:rsidR="00602AD7">
              <w:rPr>
                <w:vanish/>
                <w:color w:val="FFFFFF"/>
                <w:szCs w:val="18"/>
              </w:rPr>
              <w:t xml:space="preserve"> </w:t>
            </w:r>
            <w:r w:rsidR="00602AD7">
              <w:rPr>
                <w:vanish/>
                <w:color w:val="FFFFFF"/>
                <w:szCs w:val="18"/>
              </w:rPr>
              <w:fldChar w:fldCharType="begin"/>
            </w:r>
            <w:r w:rsidR="00602AD7">
              <w:rPr>
                <w:vanish/>
                <w:color w:val="FFFFFF"/>
                <w:szCs w:val="18"/>
              </w:rPr>
              <w:instrText xml:space="preserve"> LISTNUM \l 1 \s 0 </w:instrText>
            </w:r>
            <w:r w:rsidR="00602AD7">
              <w:rPr>
                <w:vanish/>
                <w:color w:val="FFFFFF"/>
                <w:szCs w:val="18"/>
              </w:rPr>
              <w:fldChar w:fldCharType="end"/>
            </w:r>
          </w:p>
        </w:tc>
        <w:tc>
          <w:tcPr>
            <w:tcW w:w="6120" w:type="dxa"/>
          </w:tcPr>
          <w:p w14:paraId="58F02D6E" w14:textId="77777777" w:rsidR="002A21AE" w:rsidRDefault="002A21AE">
            <w:pPr>
              <w:pStyle w:val="TableTextBullet"/>
            </w:pPr>
            <w:r>
              <w:t>Displays the unit data and asks the</w:t>
            </w:r>
            <w:r w:rsidR="008614C5">
              <w:t xml:space="preserve"> user to</w:t>
            </w:r>
            <w:r>
              <w:t xml:space="preserve"> verify the return to the previous status. </w:t>
            </w:r>
          </w:p>
          <w:p w14:paraId="110BC3C8" w14:textId="77777777" w:rsidR="002A21AE" w:rsidRDefault="002A21AE">
            <w:pPr>
              <w:pStyle w:val="TableTextBullet"/>
            </w:pPr>
            <w:r>
              <w:t>Allows the user to review his entries and choices and save the correction to the unit record or exit without saving.</w:t>
            </w:r>
          </w:p>
          <w:p w14:paraId="0B629BF0" w14:textId="77777777" w:rsidR="007F4644" w:rsidRDefault="007F4644" w:rsidP="007F4644">
            <w:pPr>
              <w:pStyle w:val="TableTextBullet"/>
            </w:pPr>
            <w:r>
              <w:t>Updates the unit record.</w:t>
            </w:r>
          </w:p>
          <w:p w14:paraId="6104F637" w14:textId="77777777" w:rsidR="007F4644" w:rsidRDefault="007F4644" w:rsidP="007F4644">
            <w:pPr>
              <w:pStyle w:val="TableText"/>
            </w:pPr>
          </w:p>
          <w:p w14:paraId="16668662" w14:textId="34F22444" w:rsidR="007F4644" w:rsidRDefault="007F4644" w:rsidP="007F4644">
            <w:pPr>
              <w:pStyle w:val="TableText"/>
              <w:rPr>
                <w:b/>
                <w:bCs/>
                <w:szCs w:val="18"/>
              </w:rPr>
            </w:pPr>
            <w:r>
              <w:rPr>
                <w:b/>
                <w:bCs/>
                <w:szCs w:val="18"/>
              </w:rPr>
              <w:t>NOTES</w:t>
            </w:r>
          </w:p>
          <w:p w14:paraId="763E0E60" w14:textId="77777777" w:rsidR="007F4644" w:rsidRDefault="007F4644" w:rsidP="007F4644">
            <w:pPr>
              <w:pStyle w:val="NotesText"/>
            </w:pPr>
          </w:p>
          <w:p w14:paraId="45BA8298" w14:textId="77777777" w:rsidR="007F4644" w:rsidRDefault="007F4644" w:rsidP="007F4644">
            <w:pPr>
              <w:pStyle w:val="NotesText"/>
            </w:pPr>
            <w:r>
              <w:rPr>
                <w:rFonts w:cs="Arial"/>
                <w:vanish/>
              </w:rPr>
              <w:t xml:space="preserve">BR_13.06 </w:t>
            </w:r>
            <w:r>
              <w:t>When VBECS removes a final status of “discard” or “transfer,” it also removes return credits previously assigned to the unit.</w:t>
            </w:r>
          </w:p>
        </w:tc>
      </w:tr>
    </w:tbl>
    <w:p w14:paraId="2F81A96F" w14:textId="7E5C1FBA" w:rsidR="00772DD7" w:rsidRDefault="00772DD7" w:rsidP="00772DD7">
      <w:pPr>
        <w:pStyle w:val="Caption"/>
      </w:pPr>
      <w:bookmarkStart w:id="407" w:name="_Ref128468634"/>
      <w:bookmarkStart w:id="408" w:name="_Ref12846860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84</w:t>
      </w:r>
      <w:r w:rsidR="004E20BD">
        <w:rPr>
          <w:noProof/>
        </w:rPr>
        <w:fldChar w:fldCharType="end"/>
      </w:r>
      <w:bookmarkEnd w:id="407"/>
      <w:r>
        <w:t>:</w:t>
      </w:r>
      <w:r w:rsidR="007F4644">
        <w:t xml:space="preserve"> Remove Final Unit Status</w:t>
      </w:r>
      <w:bookmarkEnd w:id="408"/>
    </w:p>
    <w:p w14:paraId="1C4DD687" w14:textId="77777777" w:rsidR="00E661A1" w:rsidRDefault="00057948" w:rsidP="00772DD7">
      <w:pPr>
        <w:pStyle w:val="BodyText"/>
      </w:pPr>
      <w:r>
        <w:rPr>
          <w:noProof/>
        </w:rPr>
        <w:drawing>
          <wp:inline distT="0" distB="0" distL="0" distR="0" wp14:anchorId="18FB9A64" wp14:editId="5533CCE2">
            <wp:extent cx="5939155" cy="4415155"/>
            <wp:effectExtent l="0" t="0" r="4445" b="4445"/>
            <wp:docPr id="205" name="Picture 205" descr="Example of Remove Final Unit Statu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Example of Remove Final Unit Status screen captur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39155" cy="4415155"/>
                    </a:xfrm>
                    <a:prstGeom prst="rect">
                      <a:avLst/>
                    </a:prstGeom>
                    <a:noFill/>
                    <a:ln>
                      <a:noFill/>
                    </a:ln>
                  </pic:spPr>
                </pic:pic>
              </a:graphicData>
            </a:graphic>
          </wp:inline>
        </w:drawing>
      </w:r>
    </w:p>
    <w:p w14:paraId="53DC9C95" w14:textId="5F3220C7" w:rsidR="00A84E55" w:rsidRDefault="00A84E55">
      <w:bookmarkStart w:id="409" w:name="_Toc63680365"/>
      <w:bookmarkStart w:id="410" w:name="_Toc79560666"/>
      <w:bookmarkStart w:id="411" w:name="OLE_LINK20"/>
      <w:bookmarkStart w:id="412" w:name="_Toc75225469"/>
      <w:r>
        <w:br w:type="page"/>
      </w:r>
    </w:p>
    <w:p w14:paraId="337D9C61" w14:textId="4100DC4F" w:rsidR="00E659AB" w:rsidRDefault="00E659AB" w:rsidP="00ED6B65">
      <w:pPr>
        <w:pStyle w:val="Heading1"/>
      </w:pPr>
      <w:bookmarkStart w:id="413" w:name="_Toc149064141"/>
      <w:r>
        <w:t>P</w:t>
      </w:r>
      <w:r w:rsidR="004675B3">
        <w:t>rocessing Orders</w:t>
      </w:r>
      <w:bookmarkEnd w:id="413"/>
      <w:r w:rsidR="004675B3">
        <w:fldChar w:fldCharType="begin"/>
      </w:r>
      <w:r w:rsidR="004675B3">
        <w:instrText xml:space="preserve"> XE “Processing Orders” </w:instrText>
      </w:r>
      <w:r w:rsidR="004675B3">
        <w:fldChar w:fldCharType="end"/>
      </w:r>
    </w:p>
    <w:p w14:paraId="74E4F4B3" w14:textId="77777777" w:rsidR="002A21AE" w:rsidRDefault="002A21AE">
      <w:pPr>
        <w:pStyle w:val="Heading2"/>
      </w:pPr>
      <w:bookmarkStart w:id="414" w:name="_Toc149064142"/>
      <w:r>
        <w:t>Accept Orders: Accept an Order</w:t>
      </w:r>
      <w:bookmarkEnd w:id="409"/>
      <w:bookmarkEnd w:id="410"/>
      <w:bookmarkEnd w:id="411"/>
      <w:bookmarkEnd w:id="414"/>
      <w:r>
        <w:fldChar w:fldCharType="begin"/>
      </w:r>
      <w:r>
        <w:instrText xml:space="preserve"> XE </w:instrText>
      </w:r>
      <w:r w:rsidR="00FA7E65">
        <w:instrText>“</w:instrText>
      </w:r>
      <w:r>
        <w:instrText>Accept Orders\: Accept an Order</w:instrText>
      </w:r>
      <w:r w:rsidR="00FA7E65">
        <w:instrText>”</w:instrText>
      </w:r>
      <w:r>
        <w:instrText xml:space="preserve"> </w:instrText>
      </w:r>
      <w:r>
        <w:fldChar w:fldCharType="end"/>
      </w:r>
      <w:r>
        <w:t xml:space="preserve"> </w:t>
      </w:r>
      <w:r>
        <w:rPr>
          <w:rFonts w:ascii="Geneva" w:hAnsi="Geneva"/>
          <w:vanish/>
        </w:rPr>
        <w:t>UC_16</w:t>
      </w:r>
    </w:p>
    <w:p w14:paraId="0E8C7177" w14:textId="77777777" w:rsidR="002A21AE" w:rsidRDefault="002A21AE" w:rsidP="00FA7E65">
      <w:pPr>
        <w:pStyle w:val="BodyText"/>
      </w:pPr>
      <w:r>
        <w:t>The user accepts the receipt of an order.</w:t>
      </w:r>
    </w:p>
    <w:p w14:paraId="3CE98E37" w14:textId="77777777" w:rsidR="002A21AE" w:rsidRDefault="002A21AE">
      <w:pPr>
        <w:pStyle w:val="Heading4"/>
      </w:pPr>
      <w:r>
        <w:t>Assumptions</w:t>
      </w:r>
    </w:p>
    <w:p w14:paraId="67019F5B" w14:textId="77777777" w:rsidR="002A21AE" w:rsidRDefault="00A36582">
      <w:pPr>
        <w:pStyle w:val="ListBullet"/>
      </w:pPr>
      <w:r>
        <w:t>Orders were placed in CPRS for a patient and a</w:t>
      </w:r>
      <w:r w:rsidR="002A21AE">
        <w:t xml:space="preserve"> VBECS order number was generated. </w:t>
      </w:r>
    </w:p>
    <w:p w14:paraId="444B5BEC" w14:textId="77777777" w:rsidR="002A21AE" w:rsidRDefault="002A21AE">
      <w:pPr>
        <w:pStyle w:val="ListBullet"/>
      </w:pPr>
      <w:r>
        <w:t>When a specimen is required, the user located it.</w:t>
      </w:r>
    </w:p>
    <w:p w14:paraId="1A123BDC" w14:textId="77777777" w:rsidR="002A21AE" w:rsidRDefault="002A21AE">
      <w:pPr>
        <w:pStyle w:val="ListBullet"/>
      </w:pPr>
      <w:r>
        <w:t>Inappropriate Transfusion Request parameters are defined for orderable component classes.</w:t>
      </w:r>
    </w:p>
    <w:p w14:paraId="488F3991" w14:textId="77777777" w:rsidR="002A21AE" w:rsidRDefault="002A21AE" w:rsidP="00A36582">
      <w:pPr>
        <w:pStyle w:val="ListBullet"/>
      </w:pPr>
      <w:r>
        <w:t xml:space="preserve">The connection to </w:t>
      </w:r>
      <w:r w:rsidR="00CA0045" w:rsidRPr="00CA0045">
        <w:rPr>
          <w:bCs/>
        </w:rPr>
        <w:t>VistA</w:t>
      </w:r>
      <w:r>
        <w:t xml:space="preserve"> is active.</w:t>
      </w:r>
    </w:p>
    <w:p w14:paraId="39A056ED" w14:textId="77777777" w:rsidR="002A21AE" w:rsidRDefault="002A21AE">
      <w:pPr>
        <w:pStyle w:val="Heading4"/>
      </w:pPr>
      <w:r>
        <w:t>Outcome</w:t>
      </w:r>
    </w:p>
    <w:p w14:paraId="5733A779" w14:textId="77777777" w:rsidR="002A21AE" w:rsidRDefault="002A21AE">
      <w:pPr>
        <w:pStyle w:val="ListBullet"/>
      </w:pPr>
      <w:r>
        <w:t xml:space="preserve">Ordered tests may be </w:t>
      </w:r>
      <w:r w:rsidRPr="00BC4AB6">
        <w:t xml:space="preserve">processed and are </w:t>
      </w:r>
      <w:r>
        <w:t>available to various worklists.</w:t>
      </w:r>
    </w:p>
    <w:p w14:paraId="73ACC3F1" w14:textId="77777777" w:rsidR="002A21AE" w:rsidRDefault="002A21AE">
      <w:pPr>
        <w:pStyle w:val="Heading4"/>
      </w:pPr>
      <w:r>
        <w:t xml:space="preserve">Limitations and Restrictions </w:t>
      </w:r>
    </w:p>
    <w:p w14:paraId="45E5DF79" w14:textId="77777777" w:rsidR="00A87E0D" w:rsidRPr="00BF73DF" w:rsidRDefault="00A87E0D" w:rsidP="00A87E0D">
      <w:pPr>
        <w:pStyle w:val="ListBullet"/>
        <w:rPr>
          <w:u w:val="single"/>
        </w:rPr>
      </w:pPr>
      <w:r>
        <w:t>An order for TAS must be accepted before the component order if the user wants to include the component request to the Inappropriate Transfusion Re</w:t>
      </w:r>
      <w:r w:rsidR="00E037D2">
        <w:t xml:space="preserve">quest Report. Accepting the TAS after the component order is marked inappropriate and accepted </w:t>
      </w:r>
      <w:r>
        <w:t>clears</w:t>
      </w:r>
      <w:r w:rsidR="006C34C0">
        <w:t xml:space="preserve"> the user’s </w:t>
      </w:r>
      <w:r w:rsidR="009F6F64">
        <w:t>indication that this is an inappropriate request</w:t>
      </w:r>
      <w:r w:rsidR="00B348B5">
        <w:t>.</w:t>
      </w:r>
      <w:r w:rsidR="00E46422">
        <w:rPr>
          <w:vanish/>
        </w:rPr>
        <w:t xml:space="preserve"> </w:t>
      </w:r>
      <w:r w:rsidR="00E46422" w:rsidRPr="00E46422">
        <w:rPr>
          <w:vanish/>
        </w:rPr>
        <w:t>DR 4854</w:t>
      </w:r>
    </w:p>
    <w:p w14:paraId="1EBB0697" w14:textId="5EC94A3D" w:rsidR="002A21AE" w:rsidRPr="00282037" w:rsidRDefault="002A21AE" w:rsidP="0057063D">
      <w:pPr>
        <w:pStyle w:val="ListBullet"/>
      </w:pPr>
      <w:r w:rsidRPr="00282037">
        <w:t xml:space="preserve">When no CPRS order exists, the user processes the </w:t>
      </w:r>
      <w:r w:rsidR="00AC406E" w:rsidRPr="00282037">
        <w:t>specimen</w:t>
      </w:r>
      <w:r w:rsidRPr="00282037">
        <w:t xml:space="preserve"> offline.</w:t>
      </w:r>
      <w:r w:rsidR="00730CAA" w:rsidRPr="00282037">
        <w:t xml:space="preserve"> </w:t>
      </w:r>
      <w:r w:rsidR="0057063D" w:rsidRPr="00282037">
        <w:t>The emergency order check box is not enabled unless there is a CPRS order and a patient specimen accessioned in VistA. If necessary, process the emergency issue of units manually, per local policy, until the specimen is received and accessioned</w:t>
      </w:r>
      <w:r w:rsidR="00E36641" w:rsidRPr="00282037">
        <w:t>.</w:t>
      </w:r>
      <w:r w:rsidR="00730CAA" w:rsidRPr="00282037">
        <w:t xml:space="preserve"> </w:t>
      </w:r>
      <w:r w:rsidR="00730CAA" w:rsidRPr="00282037">
        <w:rPr>
          <w:vanish/>
        </w:rPr>
        <w:t>Defect 2</w:t>
      </w:r>
      <w:r w:rsidR="005D686E">
        <w:rPr>
          <w:vanish/>
        </w:rPr>
        <w:t>13679</w:t>
      </w:r>
    </w:p>
    <w:p w14:paraId="07F89C56" w14:textId="77777777" w:rsidR="00A67B62" w:rsidRDefault="009E2EF4" w:rsidP="00A67B62">
      <w:pPr>
        <w:pStyle w:val="ListBullet"/>
      </w:pPr>
      <w:r w:rsidRPr="009E2EF4">
        <w:rPr>
          <w:vanish/>
        </w:rPr>
        <w:t>DR 2,811</w:t>
      </w:r>
      <w:r w:rsidR="00A67B62">
        <w:t>The user must accept the Type &amp; Screen (TAS) before he accepts other diagnostic tests or component orders.</w:t>
      </w:r>
    </w:p>
    <w:p w14:paraId="67923BAC" w14:textId="77777777" w:rsidR="00B26E41" w:rsidRDefault="00B2513B">
      <w:pPr>
        <w:pStyle w:val="ListBullet"/>
      </w:pPr>
      <w:r>
        <w:t>T</w:t>
      </w:r>
      <w:r w:rsidR="00B26E41" w:rsidRPr="00AB4ABB">
        <w:t>he</w:t>
      </w:r>
      <w:r w:rsidR="003254B7">
        <w:t xml:space="preserve"> user cannot click </w:t>
      </w:r>
      <w:r w:rsidR="00057948">
        <w:rPr>
          <w:noProof/>
        </w:rPr>
        <w:drawing>
          <wp:inline distT="0" distB="0" distL="0" distR="0" wp14:anchorId="5782EA33" wp14:editId="648505B3">
            <wp:extent cx="156845" cy="156845"/>
            <wp:effectExtent l="0" t="0" r="0" b="0"/>
            <wp:docPr id="206" name="Picture 206" descr="Restricted or Assigned Uni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Restricted or Assigned Units ico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3254B7">
        <w:t xml:space="preserve"> </w:t>
      </w:r>
      <w:r w:rsidR="00B82472">
        <w:t xml:space="preserve">(Restricted or Assigned Units) </w:t>
      </w:r>
      <w:r w:rsidR="003254B7">
        <w:t>to access information on autologous or directed units that may be restricted to a patient</w:t>
      </w:r>
      <w:r>
        <w:t>.</w:t>
      </w:r>
    </w:p>
    <w:p w14:paraId="70082AAB" w14:textId="77777777" w:rsidR="008B0C9A" w:rsidRDefault="0055788D" w:rsidP="00A87E0D">
      <w:pPr>
        <w:pStyle w:val="ListBullet"/>
      </w:pPr>
      <w:r>
        <w:t>Orders placed for patient</w:t>
      </w:r>
      <w:r w:rsidR="009412D6">
        <w:t>s with names that exceed the database standard for File #2 (30 characters) or do not have a last name in VistA are rejected</w:t>
      </w:r>
      <w:r w:rsidR="00551EF1">
        <w:t xml:space="preserve"> and do not appear in VBECS</w:t>
      </w:r>
      <w:r w:rsidR="009412D6">
        <w:t>. The VBECS System Administrator is notified of each rejection via an email to the address entered in VBECS Administrator “</w:t>
      </w:r>
      <w:r w:rsidR="00276DAA">
        <w:t>Email Alerts</w:t>
      </w:r>
      <w:r w:rsidR="009412D6">
        <w:t>” field.</w:t>
      </w:r>
    </w:p>
    <w:p w14:paraId="07CAD636" w14:textId="77777777" w:rsidR="002A21AE" w:rsidRDefault="002A21AE">
      <w:pPr>
        <w:pStyle w:val="Heading4"/>
      </w:pPr>
      <w:r>
        <w:t>Additional Information</w:t>
      </w:r>
    </w:p>
    <w:p w14:paraId="0B889A1B" w14:textId="77777777" w:rsidR="002A21AE" w:rsidRDefault="002A21AE">
      <w:pPr>
        <w:pStyle w:val="ListBullet"/>
      </w:pPr>
      <w:r>
        <w:t xml:space="preserve">VBECS automatically cancels </w:t>
      </w:r>
      <w:r w:rsidR="000318FD">
        <w:t xml:space="preserve">previously accepted </w:t>
      </w:r>
      <w:r>
        <w:t>orders the day after they expire.</w:t>
      </w:r>
      <w:r w:rsidR="000318FD" w:rsidRPr="000318FD">
        <w:rPr>
          <w:vanish/>
        </w:rPr>
        <w:t xml:space="preserve"> DR 4519</w:t>
      </w:r>
    </w:p>
    <w:p w14:paraId="128CB209" w14:textId="77777777" w:rsidR="000318FD" w:rsidRDefault="000318FD">
      <w:pPr>
        <w:pStyle w:val="ListBullet"/>
      </w:pPr>
      <w:r>
        <w:t>To maintain a specimen with a TAS and diagnostic test orders, the TAS must be processed first, before any diagnostic test order (see Maintain Specimen).</w:t>
      </w:r>
      <w:r w:rsidRPr="000318FD">
        <w:rPr>
          <w:vanish/>
        </w:rPr>
        <w:t xml:space="preserve"> DR 4519</w:t>
      </w:r>
    </w:p>
    <w:p w14:paraId="3A96CDE6" w14:textId="77777777" w:rsidR="00CE51B0" w:rsidRDefault="002A21AE" w:rsidP="00CE51B0">
      <w:pPr>
        <w:pStyle w:val="ListBullet"/>
      </w:pPr>
      <w:r>
        <w:t xml:space="preserve">The user </w:t>
      </w:r>
      <w:r w:rsidR="000850E3">
        <w:t>may investigate</w:t>
      </w:r>
      <w:r>
        <w:t xml:space="preserve"> patient clinical information using </w:t>
      </w:r>
      <w:r w:rsidR="00CA0045" w:rsidRPr="00CA0045">
        <w:rPr>
          <w:bCs/>
        </w:rPr>
        <w:t>VistA</w:t>
      </w:r>
      <w:r>
        <w:t xml:space="preserve"> and CPRS. </w:t>
      </w:r>
    </w:p>
    <w:p w14:paraId="4665C719" w14:textId="77777777" w:rsidR="00D905FE" w:rsidRDefault="00D905FE" w:rsidP="00CE51B0">
      <w:pPr>
        <w:pStyle w:val="ListBullet"/>
      </w:pPr>
      <w:r w:rsidRPr="00D905FE">
        <w:t>A facility may capture the phlebotomist's signature</w:t>
      </w:r>
      <w:r w:rsidR="00B97078">
        <w:t xml:space="preserve"> and the date </w:t>
      </w:r>
      <w:r w:rsidRPr="00D905FE">
        <w:t xml:space="preserve">and time of specimen collection on a </w:t>
      </w:r>
      <w:r w:rsidR="00B97078">
        <w:t>printed</w:t>
      </w:r>
      <w:r w:rsidRPr="00D905FE">
        <w:t xml:space="preserve"> order from CPRS. </w:t>
      </w:r>
      <w:r w:rsidR="006F1B1A">
        <w:t>[</w:t>
      </w:r>
      <w:r w:rsidRPr="00D905FE">
        <w:t xml:space="preserve">Local IRM personnel </w:t>
      </w:r>
      <w:r w:rsidR="00FB1DC1">
        <w:t>may</w:t>
      </w:r>
      <w:r w:rsidRPr="00D905FE">
        <w:t xml:space="preserve"> configure CPRS to </w:t>
      </w:r>
      <w:r>
        <w:t xml:space="preserve">print </w:t>
      </w:r>
      <w:r w:rsidR="00B97078">
        <w:t xml:space="preserve">the </w:t>
      </w:r>
      <w:r>
        <w:t>b</w:t>
      </w:r>
      <w:r w:rsidRPr="00D905FE">
        <w:t xml:space="preserve">lood </w:t>
      </w:r>
      <w:r>
        <w:t>bank order</w:t>
      </w:r>
      <w:r w:rsidR="006F1B1A">
        <w:t>: r</w:t>
      </w:r>
      <w:r w:rsidRPr="00D905FE">
        <w:t xml:space="preserve">efer </w:t>
      </w:r>
      <w:r w:rsidR="00BC4AB6">
        <w:t xml:space="preserve">to </w:t>
      </w:r>
      <w:r w:rsidR="00BC4AB6" w:rsidRPr="00BC4AB6">
        <w:rPr>
          <w:i/>
        </w:rPr>
        <w:t>Setup Guide</w:t>
      </w:r>
      <w:r w:rsidR="00BC4AB6" w:rsidRPr="00BC4AB6">
        <w:t xml:space="preserve"> (August 2000) </w:t>
      </w:r>
      <w:r w:rsidR="005C0559">
        <w:t xml:space="preserve">in </w:t>
      </w:r>
      <w:r w:rsidRPr="00D905FE">
        <w:t>VistA Document Library</w:t>
      </w:r>
      <w:r w:rsidR="00B97078">
        <w:t>,</w:t>
      </w:r>
      <w:r w:rsidR="00B97078" w:rsidRPr="00B97078">
        <w:t xml:space="preserve"> </w:t>
      </w:r>
      <w:r w:rsidR="00B97078">
        <w:t>Computerized Patient Record System (CPRS)</w:t>
      </w:r>
      <w:r w:rsidR="006F1B1A">
        <w:t>]</w:t>
      </w:r>
      <w:r w:rsidRPr="00D905FE">
        <w:t>.</w:t>
      </w:r>
    </w:p>
    <w:p w14:paraId="4993DC0E" w14:textId="77777777" w:rsidR="002A21AE" w:rsidRDefault="002A21AE">
      <w:pPr>
        <w:pStyle w:val="Heading4"/>
      </w:pPr>
      <w:r>
        <w:t>User Roles with Access to This Option</w:t>
      </w:r>
    </w:p>
    <w:p w14:paraId="486DD3FC" w14:textId="77777777" w:rsidR="002A21AE" w:rsidRDefault="000F12D4">
      <w:pPr>
        <w:pStyle w:val="Roles"/>
        <w:rPr>
          <w:snapToGrid w:val="0"/>
        </w:rPr>
      </w:pPr>
      <w:r>
        <w:t>All users</w:t>
      </w:r>
    </w:p>
    <w:bookmarkEnd w:id="412"/>
    <w:p w14:paraId="386A4EA7" w14:textId="77777777" w:rsidR="002A21AE" w:rsidRDefault="002A21AE">
      <w:pPr>
        <w:pStyle w:val="Heading4"/>
      </w:pPr>
      <w:r>
        <w:t>Accept Orders: Accept an Order</w:t>
      </w:r>
    </w:p>
    <w:p w14:paraId="3B1DD550" w14:textId="4D02F836" w:rsidR="002A21AE" w:rsidRDefault="002A21AE" w:rsidP="00FA7E65">
      <w:pPr>
        <w:pStyle w:val="BodyText"/>
      </w:pPr>
      <w:r>
        <w:t>The user reviews the list of pending orders and the specimen, determines that local policy requirements are satisfied, and accepts all or part of a routine order. The user accepts the VBECS order and associates the Laboratory generated specimen UID number with the order.</w:t>
      </w:r>
    </w:p>
    <w:p w14:paraId="028D3A14" w14:textId="600423FA" w:rsidR="00FE7547" w:rsidRPr="006F5EC8" w:rsidRDefault="00057948" w:rsidP="00FE7547">
      <w:pPr>
        <w:pStyle w:val="Caution"/>
      </w:pPr>
      <w:r>
        <w:rPr>
          <w:i w:val="0"/>
          <w:noProof/>
        </w:rPr>
        <w:drawing>
          <wp:inline distT="0" distB="0" distL="0" distR="0" wp14:anchorId="729ADBFA" wp14:editId="1DFDC2A0">
            <wp:extent cx="267970" cy="221615"/>
            <wp:effectExtent l="0" t="0" r="0" b="6985"/>
            <wp:docPr id="207" name="Picture 207"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161247">
        <w:t xml:space="preserve">Changes made in the VBECS Administrator option </w:t>
      </w:r>
      <w:r w:rsidR="009602CB">
        <w:t>mapping</w:t>
      </w:r>
      <w:r w:rsidR="00161247">
        <w:t xml:space="preserve"> orders to anoth</w:t>
      </w:r>
      <w:r w:rsidR="00CD6D3C">
        <w:t>er VBECS division do not a</w:t>
      </w:r>
      <w:r w:rsidR="009602CB">
        <w:t>ffect</w:t>
      </w:r>
      <w:r w:rsidR="00161247">
        <w:t xml:space="preserve"> delivered</w:t>
      </w:r>
      <w:r w:rsidR="009602CB">
        <w:t xml:space="preserve"> orders</w:t>
      </w:r>
      <w:r w:rsidR="00161247">
        <w:t xml:space="preserve">. </w:t>
      </w:r>
      <w:r w:rsidR="009602CB">
        <w:t>O</w:t>
      </w:r>
      <w:r w:rsidR="00161247">
        <w:t>rders delivered to a</w:t>
      </w:r>
      <w:r w:rsidR="009602CB">
        <w:t xml:space="preserve"> </w:t>
      </w:r>
      <w:r w:rsidR="00161247">
        <w:t>VBECS division must be completed, rejected, or cance</w:t>
      </w:r>
      <w:r w:rsidR="002F7E19">
        <w:t>l</w:t>
      </w:r>
      <w:r w:rsidR="00161247">
        <w:t>led in that division. Resubmit orders after</w:t>
      </w:r>
      <w:r w:rsidR="009602CB">
        <w:t xml:space="preserve"> mapping is completed to send an order to another VBECS division.</w:t>
      </w:r>
      <w:r w:rsidR="009602CB" w:rsidRPr="009602CB">
        <w:rPr>
          <w:vanish/>
        </w:rPr>
        <w:t>DR 2,896</w:t>
      </w:r>
    </w:p>
    <w:p w14:paraId="7EF9C6D6" w14:textId="77777777" w:rsidR="00FE7547" w:rsidRDefault="00FE7547" w:rsidP="00FA7E65">
      <w:pPr>
        <w:pStyle w:val="BodyText"/>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32AA128" w14:textId="77777777">
        <w:trPr>
          <w:cantSplit/>
          <w:tblHeader/>
        </w:trPr>
        <w:tc>
          <w:tcPr>
            <w:tcW w:w="3240" w:type="dxa"/>
            <w:shd w:val="pct30" w:color="auto" w:fill="FFFFFF"/>
            <w:vAlign w:val="bottom"/>
          </w:tcPr>
          <w:p w14:paraId="4F4DFB13" w14:textId="77777777" w:rsidR="002A21AE" w:rsidRDefault="002A21AE">
            <w:pPr>
              <w:pStyle w:val="TableText"/>
              <w:rPr>
                <w:b/>
              </w:rPr>
            </w:pPr>
            <w:bookmarkStart w:id="415" w:name="_Toc34528152"/>
            <w:bookmarkStart w:id="416" w:name="_Toc34721750"/>
            <w:bookmarkEnd w:id="415"/>
            <w:bookmarkEnd w:id="416"/>
            <w:r>
              <w:rPr>
                <w:b/>
              </w:rPr>
              <w:t>User Action</w:t>
            </w:r>
          </w:p>
        </w:tc>
        <w:tc>
          <w:tcPr>
            <w:tcW w:w="6120" w:type="dxa"/>
            <w:shd w:val="pct30" w:color="auto" w:fill="FFFFFF"/>
            <w:vAlign w:val="bottom"/>
          </w:tcPr>
          <w:p w14:paraId="7DA5F811" w14:textId="77777777" w:rsidR="002A21AE" w:rsidRDefault="002A21AE">
            <w:pPr>
              <w:pStyle w:val="TableText"/>
              <w:rPr>
                <w:b/>
              </w:rPr>
            </w:pPr>
            <w:r>
              <w:rPr>
                <w:b/>
              </w:rPr>
              <w:t>VBECS</w:t>
            </w:r>
          </w:p>
        </w:tc>
      </w:tr>
      <w:tr w:rsidR="002A21AE" w14:paraId="0D0D3F8F" w14:textId="77777777">
        <w:tc>
          <w:tcPr>
            <w:tcW w:w="3240" w:type="dxa"/>
          </w:tcPr>
          <w:p w14:paraId="75755478" w14:textId="77777777" w:rsidR="002A21AE" w:rsidRDefault="002A21AE">
            <w:pPr>
              <w:pStyle w:val="TableTextNumbers"/>
            </w:pPr>
            <w:r>
              <w:t xml:space="preserve">Select </w:t>
            </w:r>
            <w:r>
              <w:rPr>
                <w:b/>
              </w:rPr>
              <w:t>Orders</w:t>
            </w:r>
            <w:r>
              <w:t xml:space="preserve"> from the main menu.</w:t>
            </w:r>
          </w:p>
          <w:p w14:paraId="313670BD" w14:textId="77777777" w:rsidR="002A21AE" w:rsidRDefault="002A21AE">
            <w:pPr>
              <w:pStyle w:val="TableTextNumbersContinued"/>
            </w:pPr>
          </w:p>
          <w:p w14:paraId="108FC0EE" w14:textId="77777777" w:rsidR="002A21AE" w:rsidRDefault="002A21AE">
            <w:pPr>
              <w:pStyle w:val="TableTextNumbersContinued"/>
            </w:pPr>
            <w:r>
              <w:t xml:space="preserve">Select </w:t>
            </w:r>
            <w:r>
              <w:rPr>
                <w:b/>
              </w:rPr>
              <w:t>Accept Orders</w:t>
            </w:r>
            <w:r>
              <w:t>.</w:t>
            </w:r>
          </w:p>
        </w:tc>
        <w:tc>
          <w:tcPr>
            <w:tcW w:w="6120" w:type="dxa"/>
          </w:tcPr>
          <w:p w14:paraId="75E91BC3" w14:textId="77777777" w:rsidR="002A21AE" w:rsidRDefault="002A21AE">
            <w:pPr>
              <w:pStyle w:val="TableTextBullet"/>
            </w:pPr>
            <w:r>
              <w:t>Displays options for processing orders.</w:t>
            </w:r>
          </w:p>
          <w:p w14:paraId="0ADAF59D" w14:textId="77777777" w:rsidR="002A21AE" w:rsidRDefault="002A21AE">
            <w:pPr>
              <w:pStyle w:val="TableTextBullet"/>
            </w:pPr>
            <w:r>
              <w:t>Displays the POL and POL search criteria.</w:t>
            </w:r>
          </w:p>
        </w:tc>
      </w:tr>
      <w:tr w:rsidR="002A21AE" w14:paraId="3F9D9158" w14:textId="77777777">
        <w:tc>
          <w:tcPr>
            <w:tcW w:w="3240" w:type="dxa"/>
          </w:tcPr>
          <w:p w14:paraId="504C1B47" w14:textId="5C04C1A0" w:rsidR="002A21AE" w:rsidRDefault="002A21AE">
            <w:pPr>
              <w:pStyle w:val="TableTextNumbers"/>
            </w:pPr>
            <w:r>
              <w:t>Select an order to accept from the POL</w:t>
            </w:r>
            <w:r w:rsidR="00F3761C">
              <w:t xml:space="preserve"> (</w:t>
            </w:r>
            <w:r w:rsidR="00EE455E">
              <w:t xml:space="preserve">Figure </w:t>
            </w:r>
            <w:r w:rsidR="00EE455E">
              <w:rPr>
                <w:noProof/>
              </w:rPr>
              <w:t>85</w:t>
            </w:r>
            <w:r w:rsidR="00F3761C">
              <w:t>)</w:t>
            </w:r>
            <w:r>
              <w:t xml:space="preserve">, or </w:t>
            </w:r>
          </w:p>
          <w:p w14:paraId="12BF53D4" w14:textId="77777777" w:rsidR="002A21AE" w:rsidRDefault="002A21AE">
            <w:pPr>
              <w:pStyle w:val="TableTextNumbersContinued"/>
            </w:pPr>
          </w:p>
          <w:p w14:paraId="50FFA81B" w14:textId="77777777" w:rsidR="002A21AE" w:rsidRDefault="002A21AE">
            <w:pPr>
              <w:pStyle w:val="TableTextNumbersContinued"/>
            </w:pPr>
            <w:r>
              <w:t xml:space="preserve">In the Pending Order List Search Criteria area, enter the known </w:t>
            </w:r>
            <w:r w:rsidR="00C47144">
              <w:t>data, including the date wanted.</w:t>
            </w:r>
          </w:p>
          <w:p w14:paraId="7AE10792" w14:textId="77777777" w:rsidR="002A21AE" w:rsidRDefault="002A21AE">
            <w:pPr>
              <w:pStyle w:val="TableTextNumbersContinued"/>
            </w:pPr>
          </w:p>
          <w:p w14:paraId="25EC5E3B" w14:textId="77777777" w:rsidR="002A21AE" w:rsidRDefault="002A21AE">
            <w:pPr>
              <w:pStyle w:val="TableTextNumbersContinued"/>
            </w:pPr>
            <w:r>
              <w:t xml:space="preserve">Click </w:t>
            </w:r>
            <w:r>
              <w:rPr>
                <w:b/>
              </w:rPr>
              <w:t>Search</w:t>
            </w:r>
            <w:r>
              <w:t xml:space="preserve"> to find an order.</w:t>
            </w:r>
          </w:p>
        </w:tc>
        <w:tc>
          <w:tcPr>
            <w:tcW w:w="6120" w:type="dxa"/>
          </w:tcPr>
          <w:p w14:paraId="77E7D060" w14:textId="77777777" w:rsidR="002A21AE" w:rsidRDefault="002A21AE">
            <w:pPr>
              <w:pStyle w:val="TableTextBullet"/>
            </w:pPr>
            <w:r>
              <w:t>Displays options for selecting, reviewing, and processing patient data and pending orders.</w:t>
            </w:r>
          </w:p>
          <w:p w14:paraId="1331F601" w14:textId="77777777" w:rsidR="002A21AE" w:rsidRDefault="002A21AE">
            <w:pPr>
              <w:pStyle w:val="TableTextBullet"/>
            </w:pPr>
            <w:r>
              <w:t>Allows the user to associate a specimen with an order.</w:t>
            </w:r>
          </w:p>
          <w:p w14:paraId="7EB7330A" w14:textId="77777777" w:rsidR="002A21AE" w:rsidRDefault="002A21AE" w:rsidP="00DE0F15">
            <w:pPr>
              <w:pStyle w:val="TableTextBullet"/>
            </w:pPr>
            <w:r>
              <w:t>Displays the Patient Information Toolbar that allows the user to review.</w:t>
            </w:r>
          </w:p>
          <w:p w14:paraId="552E0D0E" w14:textId="77777777" w:rsidR="002A21AE" w:rsidRDefault="002A21AE">
            <w:pPr>
              <w:pStyle w:val="TableText"/>
            </w:pPr>
          </w:p>
          <w:p w14:paraId="62B7A6D4" w14:textId="48660511" w:rsidR="002A21AE" w:rsidRDefault="002A21AE">
            <w:pPr>
              <w:pStyle w:val="TableText"/>
              <w:rPr>
                <w:b/>
                <w:bCs/>
                <w:szCs w:val="18"/>
              </w:rPr>
            </w:pPr>
            <w:r>
              <w:rPr>
                <w:b/>
                <w:bCs/>
                <w:szCs w:val="18"/>
              </w:rPr>
              <w:t>NOTES</w:t>
            </w:r>
          </w:p>
          <w:p w14:paraId="3A87FD90" w14:textId="77777777" w:rsidR="002A21AE" w:rsidRPr="00C2360C" w:rsidRDefault="002A21AE" w:rsidP="00C2360C">
            <w:pPr>
              <w:pStyle w:val="NotesText"/>
            </w:pPr>
          </w:p>
          <w:p w14:paraId="0E176265" w14:textId="77777777" w:rsidR="00C2360C" w:rsidRDefault="00C2360C" w:rsidP="00C2360C">
            <w:pPr>
              <w:pStyle w:val="NotesText"/>
              <w:rPr>
                <w:szCs w:val="18"/>
              </w:rPr>
            </w:pPr>
            <w:r w:rsidRPr="00C2360C">
              <w:rPr>
                <w:szCs w:val="18"/>
              </w:rPr>
              <w:t>S</w:t>
            </w:r>
            <w:r w:rsidRPr="00C2360C">
              <w:t>elect an order</w:t>
            </w:r>
            <w:r w:rsidR="0023261D">
              <w:t xml:space="preserve"> </w:t>
            </w:r>
            <w:r w:rsidRPr="00C2360C">
              <w:t>for TAS before selecting a cor</w:t>
            </w:r>
            <w:r w:rsidRPr="00C2360C">
              <w:rPr>
                <w:szCs w:val="18"/>
              </w:rPr>
              <w:t xml:space="preserve">responding order for </w:t>
            </w:r>
            <w:r w:rsidR="006361BC">
              <w:rPr>
                <w:szCs w:val="18"/>
              </w:rPr>
              <w:t xml:space="preserve">diagnostic tests or </w:t>
            </w:r>
            <w:r w:rsidRPr="00C2360C">
              <w:rPr>
                <w:szCs w:val="18"/>
              </w:rPr>
              <w:t>components.</w:t>
            </w:r>
          </w:p>
          <w:p w14:paraId="32267171" w14:textId="77777777" w:rsidR="00090B78" w:rsidRPr="00C2360C" w:rsidRDefault="00090B78" w:rsidP="00C2360C">
            <w:pPr>
              <w:pStyle w:val="NotesText"/>
              <w:rPr>
                <w:szCs w:val="18"/>
              </w:rPr>
            </w:pPr>
          </w:p>
          <w:p w14:paraId="07DAD119" w14:textId="77777777" w:rsidR="002A21AE" w:rsidRDefault="002A21AE">
            <w:pPr>
              <w:pStyle w:val="NotesText"/>
            </w:pPr>
            <w:r w:rsidRPr="00896F17">
              <w:rPr>
                <w:vanish/>
                <w:szCs w:val="18"/>
              </w:rPr>
              <w:t>BR_16.01</w:t>
            </w:r>
            <w:r w:rsidR="00ED1076" w:rsidRPr="00896F17">
              <w:rPr>
                <w:rStyle w:val="BullhornChar"/>
              </w:rPr>
              <w:t></w:t>
            </w:r>
            <w:r w:rsidR="00ED1076">
              <w:rPr>
                <w:rFonts w:ascii="Webdings" w:hAnsi="Webdings"/>
              </w:rPr>
              <w:t></w:t>
            </w:r>
            <w:r>
              <w:t>VBECS emits an audible alert when there are patient Special Instructions or Transfusion Requirements.</w:t>
            </w:r>
          </w:p>
          <w:p w14:paraId="709465C6" w14:textId="77777777" w:rsidR="00DE0F15" w:rsidRDefault="00DE0F15">
            <w:pPr>
              <w:pStyle w:val="NotesText"/>
            </w:pPr>
          </w:p>
          <w:p w14:paraId="081157E4" w14:textId="77777777" w:rsidR="000568BA" w:rsidRDefault="000568BA">
            <w:pPr>
              <w:pStyle w:val="NotesText"/>
              <w:rPr>
                <w:vanish/>
                <w:szCs w:val="18"/>
              </w:rPr>
            </w:pPr>
            <w:r>
              <w:rPr>
                <w:vanish/>
                <w:szCs w:val="18"/>
              </w:rPr>
              <w:t xml:space="preserve">BR_16.02, BR_88.06 </w:t>
            </w:r>
            <w:r w:rsidRPr="000568BA">
              <w:rPr>
                <w:szCs w:val="18"/>
              </w:rPr>
              <w:t>VBECS alert</w:t>
            </w:r>
            <w:r w:rsidR="00B93577">
              <w:rPr>
                <w:szCs w:val="18"/>
              </w:rPr>
              <w:t>s the user</w:t>
            </w:r>
            <w:r>
              <w:t xml:space="preserve"> when the component class ordered requires a specimen. The status may be REQ (specimen required)</w:t>
            </w:r>
            <w:r w:rsidR="00E14736">
              <w:t xml:space="preserve"> or</w:t>
            </w:r>
            <w:r>
              <w:t xml:space="preserve"> NRQ (no specimen required). The user may not continue until specimen information is added. </w:t>
            </w:r>
          </w:p>
          <w:p w14:paraId="1C657C27" w14:textId="77777777" w:rsidR="000568BA" w:rsidRDefault="000568BA">
            <w:pPr>
              <w:pStyle w:val="NotesText"/>
              <w:rPr>
                <w:vanish/>
                <w:szCs w:val="18"/>
              </w:rPr>
            </w:pPr>
          </w:p>
          <w:p w14:paraId="7C58B217" w14:textId="77777777" w:rsidR="00DE0F15" w:rsidRDefault="00DE0F15">
            <w:pPr>
              <w:pStyle w:val="NotesText"/>
            </w:pPr>
            <w:r w:rsidRPr="00DE0F15">
              <w:rPr>
                <w:vanish/>
                <w:szCs w:val="18"/>
              </w:rPr>
              <w:t xml:space="preserve">BR_16.21 </w:t>
            </w:r>
            <w:r w:rsidRPr="00896F17">
              <w:rPr>
                <w:rStyle w:val="BullhornChar"/>
              </w:rPr>
              <w:t></w:t>
            </w:r>
            <w:r>
              <w:rPr>
                <w:rFonts w:ascii="Webdings" w:hAnsi="Webdings"/>
              </w:rPr>
              <w:t></w:t>
            </w:r>
            <w:r>
              <w:t>When modifiers are included in the physician's component order, VBECS provides visual and audible alerts to remind the user to evaluate the request. VBECS does not monitor subsequent action.</w:t>
            </w:r>
          </w:p>
          <w:p w14:paraId="71B518F5" w14:textId="77777777" w:rsidR="002A21AE" w:rsidRDefault="002A21AE">
            <w:pPr>
              <w:pStyle w:val="NotesText"/>
            </w:pPr>
          </w:p>
          <w:p w14:paraId="4B8B71E7" w14:textId="77777777" w:rsidR="002A21AE" w:rsidRDefault="002A21AE">
            <w:pPr>
              <w:pStyle w:val="NotesText"/>
            </w:pPr>
            <w:r>
              <w:rPr>
                <w:rFonts w:cs="Arial"/>
                <w:vanish/>
              </w:rPr>
              <w:t xml:space="preserve">BR_16.03 </w:t>
            </w:r>
            <w:r>
              <w:t>VBECS alerts the user when units</w:t>
            </w:r>
            <w:r w:rsidR="009A7994">
              <w:t xml:space="preserve"> (autologous, directed, or assigned/crossmatched)</w:t>
            </w:r>
            <w:r>
              <w:t xml:space="preserve"> with a future expiration date are associated with the patient in any division in the database.</w:t>
            </w:r>
          </w:p>
        </w:tc>
      </w:tr>
      <w:tr w:rsidR="002A21AE" w14:paraId="534AF894" w14:textId="77777777">
        <w:tc>
          <w:tcPr>
            <w:tcW w:w="3240" w:type="dxa"/>
          </w:tcPr>
          <w:p w14:paraId="1ADDC26D" w14:textId="6C6904C3" w:rsidR="002A21AE" w:rsidRDefault="00AE3C64" w:rsidP="00F51906">
            <w:pPr>
              <w:pStyle w:val="TableTextNumbers"/>
            </w:pPr>
            <w:r>
              <w:t>Scan or enter the specimen UID</w:t>
            </w:r>
            <w:r w:rsidR="00AA6C54">
              <w:t xml:space="preserve"> </w:t>
            </w:r>
            <w:r>
              <w:t>in the Specimen UID field.</w:t>
            </w:r>
            <w:r w:rsidR="007A68B6">
              <w:t xml:space="preserve"> (See Maintain Specimen.)</w:t>
            </w:r>
            <w:r w:rsidR="0057318C">
              <w:t xml:space="preserve"> (</w:t>
            </w:r>
            <w:r w:rsidR="00EE455E">
              <w:t xml:space="preserve">Figure </w:t>
            </w:r>
            <w:r w:rsidR="00EE455E">
              <w:rPr>
                <w:noProof/>
              </w:rPr>
              <w:t>86</w:t>
            </w:r>
            <w:r w:rsidR="0057318C">
              <w:t>)</w:t>
            </w:r>
          </w:p>
          <w:p w14:paraId="487880D3" w14:textId="77777777" w:rsidR="00F51906" w:rsidRDefault="00F51906" w:rsidP="00F51906">
            <w:pPr>
              <w:pStyle w:val="TableTextNumbersContinued"/>
            </w:pPr>
          </w:p>
          <w:p w14:paraId="51F30574" w14:textId="77777777" w:rsidR="008E5063" w:rsidRDefault="00F35EF5" w:rsidP="00F51906">
            <w:pPr>
              <w:pStyle w:val="TableTextNumbersContinued"/>
            </w:pPr>
            <w:r>
              <w:rPr>
                <w:rFonts w:cs="Arial"/>
                <w:vanish/>
              </w:rPr>
              <w:t xml:space="preserve">BR_16.23 </w:t>
            </w:r>
            <w:r w:rsidR="00F51906">
              <w:t xml:space="preserve">When the component requires a current specimen and a valid sample is not available, click the </w:t>
            </w:r>
            <w:r w:rsidR="00F51906" w:rsidRPr="00F51906">
              <w:rPr>
                <w:b/>
              </w:rPr>
              <w:t xml:space="preserve">Emergency Order </w:t>
            </w:r>
            <w:r w:rsidR="00F51906" w:rsidRPr="00D1100E">
              <w:t>check box</w:t>
            </w:r>
            <w:r w:rsidR="008E5063" w:rsidRPr="008E5063">
              <w:t>.</w:t>
            </w:r>
            <w:r w:rsidR="00F51906">
              <w:t xml:space="preserve"> </w:t>
            </w:r>
          </w:p>
          <w:p w14:paraId="73251512" w14:textId="77777777" w:rsidR="008E5063" w:rsidRDefault="008E5063" w:rsidP="00F51906">
            <w:pPr>
              <w:pStyle w:val="TableTextNumbersContinued"/>
            </w:pPr>
          </w:p>
          <w:p w14:paraId="70A63CE3" w14:textId="77777777" w:rsidR="00F51906" w:rsidRDefault="008E5063" w:rsidP="00F51906">
            <w:pPr>
              <w:pStyle w:val="TableTextNumbersContinued"/>
            </w:pPr>
            <w:r>
              <w:t xml:space="preserve">Click </w:t>
            </w:r>
            <w:r w:rsidRPr="008E5063">
              <w:rPr>
                <w:b/>
              </w:rPr>
              <w:t>Accept</w:t>
            </w:r>
            <w:r>
              <w:t xml:space="preserve"> </w:t>
            </w:r>
            <w:r w:rsidR="00F51906">
              <w:t>to accept the order without an associated specimen.</w:t>
            </w:r>
          </w:p>
        </w:tc>
        <w:tc>
          <w:tcPr>
            <w:tcW w:w="6120" w:type="dxa"/>
          </w:tcPr>
          <w:p w14:paraId="347AB94A" w14:textId="77777777" w:rsidR="002A21AE" w:rsidRDefault="002A21AE">
            <w:pPr>
              <w:pStyle w:val="TableTextBullet"/>
            </w:pPr>
            <w:r>
              <w:t>Allows the user to enter new specimen information or correct problems with an existing specimen with the current VBECS order.</w:t>
            </w:r>
          </w:p>
          <w:p w14:paraId="63232A37" w14:textId="77777777" w:rsidR="00BD6594" w:rsidRDefault="00BD6594">
            <w:pPr>
              <w:pStyle w:val="TableTextBullet"/>
            </w:pPr>
            <w:r>
              <w:t>Allows the user to process an order without an associated specimen for emergency issue and retroactively associate a specimen with the order.</w:t>
            </w:r>
          </w:p>
          <w:p w14:paraId="5717741E" w14:textId="77777777" w:rsidR="002A21AE" w:rsidRDefault="002A21AE">
            <w:pPr>
              <w:pStyle w:val="TableText"/>
            </w:pPr>
          </w:p>
          <w:p w14:paraId="39CE9191" w14:textId="0CDD3824" w:rsidR="002A21AE" w:rsidRDefault="002A21AE">
            <w:pPr>
              <w:pStyle w:val="TableText"/>
              <w:rPr>
                <w:b/>
                <w:bCs/>
                <w:szCs w:val="18"/>
              </w:rPr>
            </w:pPr>
            <w:r>
              <w:rPr>
                <w:b/>
                <w:bCs/>
                <w:szCs w:val="18"/>
              </w:rPr>
              <w:t>NOTES</w:t>
            </w:r>
          </w:p>
          <w:p w14:paraId="44B34C61" w14:textId="77777777" w:rsidR="002A21AE" w:rsidRDefault="002A21AE">
            <w:pPr>
              <w:pStyle w:val="NotesText"/>
            </w:pPr>
          </w:p>
          <w:p w14:paraId="2D8603E0" w14:textId="77777777" w:rsidR="00513A28" w:rsidRDefault="00513A28">
            <w:pPr>
              <w:pStyle w:val="NotesText"/>
              <w:rPr>
                <w:rFonts w:cs="Arial"/>
              </w:rPr>
            </w:pPr>
            <w:r>
              <w:rPr>
                <w:rFonts w:cs="Arial"/>
              </w:rPr>
              <w:t>Alphabetical characters in specimen UIDs must be capitalized: VBECS recognizes only uppercase letters.</w:t>
            </w:r>
          </w:p>
          <w:p w14:paraId="094F6BAA" w14:textId="77777777" w:rsidR="00055FD7" w:rsidRDefault="00055FD7">
            <w:pPr>
              <w:pStyle w:val="NotesText"/>
              <w:rPr>
                <w:rFonts w:cs="Arial"/>
              </w:rPr>
            </w:pPr>
          </w:p>
          <w:p w14:paraId="46E21094" w14:textId="77777777" w:rsidR="00055FD7" w:rsidRDefault="00055FD7">
            <w:pPr>
              <w:pStyle w:val="NotesText"/>
              <w:rPr>
                <w:rFonts w:cs="Arial"/>
              </w:rPr>
            </w:pPr>
            <w:r>
              <w:rPr>
                <w:rFonts w:cs="Arial"/>
              </w:rPr>
              <w:t>A specimen must be processed in Maintain Specimen prior to selecting for a component order.</w:t>
            </w:r>
          </w:p>
          <w:p w14:paraId="69A2E3F7" w14:textId="77777777" w:rsidR="00CA7E0B" w:rsidRDefault="00CA7E0B">
            <w:pPr>
              <w:pStyle w:val="NotesText"/>
              <w:rPr>
                <w:rFonts w:cs="Arial"/>
              </w:rPr>
            </w:pPr>
          </w:p>
          <w:p w14:paraId="291071A5" w14:textId="77777777" w:rsidR="00CA7E0B" w:rsidRDefault="00C50F88">
            <w:pPr>
              <w:pStyle w:val="NotesText"/>
              <w:rPr>
                <w:rFonts w:cs="Arial"/>
              </w:rPr>
            </w:pPr>
            <w:r w:rsidRPr="00C50F88">
              <w:rPr>
                <w:rFonts w:cs="Arial"/>
                <w:vanish/>
              </w:rPr>
              <w:t xml:space="preserve">BR_16.20 </w:t>
            </w:r>
            <w:r w:rsidR="00CA7E0B">
              <w:rPr>
                <w:rFonts w:cs="Arial"/>
              </w:rPr>
              <w:t xml:space="preserve">When the order status is “In </w:t>
            </w:r>
            <w:proofErr w:type="spellStart"/>
            <w:r w:rsidR="00CA7E0B">
              <w:rPr>
                <w:rFonts w:cs="Arial"/>
              </w:rPr>
              <w:t>BloodBank</w:t>
            </w:r>
            <w:proofErr w:type="spellEnd"/>
            <w:r w:rsidR="00CA7E0B">
              <w:rPr>
                <w:rFonts w:cs="Arial"/>
              </w:rPr>
              <w:t>”, a specimen was associated with the order; when the status is “Specimen Required”, the user must identify a specimen by its UID and enter specimen details according to Maintain Specimen.</w:t>
            </w:r>
          </w:p>
          <w:p w14:paraId="76E48488" w14:textId="77777777" w:rsidR="00513A28" w:rsidRDefault="00513A28">
            <w:pPr>
              <w:pStyle w:val="NotesText"/>
              <w:rPr>
                <w:rFonts w:cs="Arial"/>
              </w:rPr>
            </w:pPr>
          </w:p>
          <w:p w14:paraId="37BD3B16" w14:textId="77777777" w:rsidR="002A21AE" w:rsidRDefault="002A21AE">
            <w:pPr>
              <w:pStyle w:val="NotesText"/>
            </w:pPr>
            <w:r>
              <w:rPr>
                <w:rFonts w:cs="Arial"/>
                <w:vanish/>
              </w:rPr>
              <w:t xml:space="preserve">BR_35.04 </w:t>
            </w:r>
            <w:r>
              <w:t>Specimens collected for diagnostic tests only are to be used for performing the specifically ordered tests and are not available for pro</w:t>
            </w:r>
            <w:r w:rsidR="00900A79">
              <w:t>cessing blood component orders.</w:t>
            </w:r>
          </w:p>
          <w:p w14:paraId="71908133" w14:textId="77777777" w:rsidR="00900A79" w:rsidRDefault="00900A79">
            <w:pPr>
              <w:pStyle w:val="NotesText"/>
            </w:pPr>
          </w:p>
          <w:p w14:paraId="4FB962EF" w14:textId="77777777" w:rsidR="00900A79" w:rsidRDefault="00C50F88">
            <w:pPr>
              <w:pStyle w:val="NotesText"/>
            </w:pPr>
            <w:r w:rsidRPr="00C50F88">
              <w:rPr>
                <w:vanish/>
              </w:rPr>
              <w:t xml:space="preserve">BR_35.19 </w:t>
            </w:r>
            <w:r w:rsidR="00900A79">
              <w:t>Within an order group containing orders for blood components and the Type &amp; Screen (TAS) test, the specimen associated with the TAS test applies to the TAS test and to all blood component orders contained in the order group.</w:t>
            </w:r>
          </w:p>
          <w:p w14:paraId="161549C3" w14:textId="77777777" w:rsidR="002A21AE" w:rsidRDefault="002A21AE">
            <w:pPr>
              <w:pStyle w:val="NotesText"/>
            </w:pPr>
          </w:p>
          <w:p w14:paraId="49BB76A3" w14:textId="77777777" w:rsidR="002A21AE" w:rsidRDefault="002A21AE">
            <w:pPr>
              <w:pStyle w:val="NotesText"/>
            </w:pPr>
            <w:r>
              <w:rPr>
                <w:rFonts w:cs="Arial"/>
                <w:vanish/>
              </w:rPr>
              <w:t xml:space="preserve">BR_16.19 </w:t>
            </w:r>
            <w:r>
              <w:t>For all orders requiring a specimen, VBECS queries VistALink to verify that the lab order numbers are consistent with the specimen. If they are not consistent, VBECS notifies the user that the specimen</w:t>
            </w:r>
            <w:r w:rsidR="00FA7E65">
              <w:t>’</w:t>
            </w:r>
            <w:r>
              <w:t xml:space="preserve">s lab number </w:t>
            </w:r>
            <w:r w:rsidR="00A10483">
              <w:t>does not</w:t>
            </w:r>
            <w:r>
              <w:t xml:space="preserve"> match the number associated with the order. VBECS does not accept the order until the user identifies a specimen with a matching lab order number.</w:t>
            </w:r>
          </w:p>
          <w:p w14:paraId="37C318EB" w14:textId="77777777" w:rsidR="002A21AE" w:rsidRDefault="002A21AE">
            <w:pPr>
              <w:pStyle w:val="NotesText"/>
            </w:pPr>
          </w:p>
          <w:p w14:paraId="529FB0B5" w14:textId="77777777" w:rsidR="002A21AE" w:rsidRDefault="002A21AE" w:rsidP="00C50F88">
            <w:pPr>
              <w:pStyle w:val="NotesText"/>
            </w:pPr>
            <w:r>
              <w:rPr>
                <w:rFonts w:cs="Arial"/>
                <w:vanish/>
              </w:rPr>
              <w:t>BR_16.0</w:t>
            </w:r>
            <w:r w:rsidRPr="00FF6514">
              <w:rPr>
                <w:vanish/>
                <w:szCs w:val="18"/>
              </w:rPr>
              <w:t>6</w:t>
            </w:r>
            <w:r w:rsidR="00ED1076" w:rsidRPr="00263B24">
              <w:t>Wh</w:t>
            </w:r>
            <w:r w:rsidR="00ED1076">
              <w:t xml:space="preserve">en </w:t>
            </w:r>
            <w:r>
              <w:t xml:space="preserve">an order for a component class requires a specimen (WHOLE BLOOD and RED BLOOD CELLS component classes, and, optionally, based on Setting Component Classes) the user must select this function and replace the existing specimen with a new one. However, when VBECS displays the “emergency issue” order indicator, the user may continue without identifying an associated specimen. VBECS captures details for inclusion in an Exception Report [exception type: Emergency </w:t>
            </w:r>
            <w:r w:rsidR="00445B34">
              <w:t>order accepted</w:t>
            </w:r>
            <w:r>
              <w:t xml:space="preserve"> (no specimen)]. </w:t>
            </w:r>
          </w:p>
        </w:tc>
      </w:tr>
      <w:tr w:rsidR="002A21AE" w14:paraId="39093433" w14:textId="77777777">
        <w:tc>
          <w:tcPr>
            <w:tcW w:w="3240" w:type="dxa"/>
          </w:tcPr>
          <w:p w14:paraId="7E2F2406" w14:textId="77777777" w:rsidR="002A21AE" w:rsidRDefault="00844381">
            <w:pPr>
              <w:pStyle w:val="TableTextNumbers"/>
            </w:pPr>
            <w:r>
              <w:t xml:space="preserve">Click </w:t>
            </w:r>
            <w:r w:rsidR="00057948">
              <w:rPr>
                <w:noProof/>
              </w:rPr>
              <w:drawing>
                <wp:inline distT="0" distB="0" distL="0" distR="0" wp14:anchorId="6124B40C" wp14:editId="581C1D01">
                  <wp:extent cx="156845" cy="156845"/>
                  <wp:effectExtent l="0" t="0" r="0" b="0"/>
                  <wp:docPr id="208" name="Picture 208" descr="small_view_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small_view_orde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6A0A4A">
              <w:t xml:space="preserve"> </w:t>
            </w:r>
            <w:r>
              <w:t>to r</w:t>
            </w:r>
            <w:r w:rsidR="002A21AE">
              <w:t>eview order details.</w:t>
            </w:r>
          </w:p>
        </w:tc>
        <w:tc>
          <w:tcPr>
            <w:tcW w:w="6120" w:type="dxa"/>
          </w:tcPr>
          <w:p w14:paraId="7185E759" w14:textId="77777777" w:rsidR="002A21AE" w:rsidRDefault="002A21AE" w:rsidP="0083673C">
            <w:pPr>
              <w:pStyle w:val="TableTextBullet"/>
            </w:pPr>
            <w:r>
              <w:t>Displays order details that may not be edited</w:t>
            </w:r>
            <w:r w:rsidR="0083673C">
              <w:t>.</w:t>
            </w:r>
            <w:r>
              <w:t xml:space="preserve"> </w:t>
            </w:r>
          </w:p>
        </w:tc>
      </w:tr>
      <w:tr w:rsidR="002A21AE" w14:paraId="45242069" w14:textId="77777777">
        <w:tc>
          <w:tcPr>
            <w:tcW w:w="3240" w:type="dxa"/>
          </w:tcPr>
          <w:p w14:paraId="31244D8A" w14:textId="77777777" w:rsidR="002A21AE" w:rsidRDefault="002A21AE">
            <w:pPr>
              <w:pStyle w:val="TableTextNumbers"/>
            </w:pPr>
            <w:r>
              <w:t xml:space="preserve"> When the</w:t>
            </w:r>
            <w:r w:rsidR="007A68B6">
              <w:t xml:space="preserve"> urgency is “P</w:t>
            </w:r>
            <w:r>
              <w:t>re-</w:t>
            </w:r>
            <w:r w:rsidR="007A68B6">
              <w:t>O</w:t>
            </w:r>
            <w:r>
              <w:t>p</w:t>
            </w:r>
            <w:r w:rsidR="007A68B6">
              <w:t>,”</w:t>
            </w:r>
            <w:r w:rsidR="00AA6C54">
              <w:t xml:space="preserve"> </w:t>
            </w:r>
            <w:r w:rsidR="0032011A">
              <w:t xml:space="preserve">click </w:t>
            </w:r>
            <w:r w:rsidR="00057948">
              <w:rPr>
                <w:noProof/>
              </w:rPr>
              <w:drawing>
                <wp:inline distT="0" distB="0" distL="0" distR="0" wp14:anchorId="499197BD" wp14:editId="71770878">
                  <wp:extent cx="156845" cy="156845"/>
                  <wp:effectExtent l="0" t="0" r="0" b="0"/>
                  <wp:docPr id="209" name="Picture 209" descr="small_ms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small_msbos"/>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32011A">
              <w:t xml:space="preserve"> </w:t>
            </w:r>
            <w:r w:rsidR="006C4777">
              <w:t xml:space="preserve">in the Patient Information Toolbar </w:t>
            </w:r>
            <w:r w:rsidR="0032011A">
              <w:t xml:space="preserve">to </w:t>
            </w:r>
            <w:r w:rsidR="007A68B6">
              <w:t>r</w:t>
            </w:r>
            <w:r>
              <w:t>eview the MSBOS information for the division.</w:t>
            </w:r>
          </w:p>
          <w:p w14:paraId="58BF65C6" w14:textId="77777777" w:rsidR="002A21AE" w:rsidRDefault="002A21AE">
            <w:pPr>
              <w:pStyle w:val="TableTextNumbersContinued"/>
            </w:pPr>
          </w:p>
          <w:p w14:paraId="41B03113" w14:textId="77777777" w:rsidR="002A21AE" w:rsidRDefault="002A21AE">
            <w:pPr>
              <w:pStyle w:val="TableTextNumbersContinued"/>
            </w:pPr>
            <w:r>
              <w:t>View and/or search entries in the MSBOS for possible matches with the patient surgery.</w:t>
            </w:r>
          </w:p>
        </w:tc>
        <w:tc>
          <w:tcPr>
            <w:tcW w:w="6120" w:type="dxa"/>
          </w:tcPr>
          <w:p w14:paraId="1F577F12" w14:textId="77777777" w:rsidR="002A21AE" w:rsidRDefault="002A21AE">
            <w:pPr>
              <w:pStyle w:val="TableTextBullet"/>
            </w:pPr>
            <w:r>
              <w:t>Allows the user to review current MSBOS settings.</w:t>
            </w:r>
          </w:p>
          <w:p w14:paraId="7AB28EDB" w14:textId="77777777" w:rsidR="002A21AE" w:rsidRDefault="002A21AE">
            <w:pPr>
              <w:pStyle w:val="TableTextBullet"/>
            </w:pPr>
            <w:r>
              <w:t>Lists the current MSBOS site parameters, based on generic surgery types.</w:t>
            </w:r>
          </w:p>
          <w:p w14:paraId="2F1F660A" w14:textId="77777777" w:rsidR="002A21AE" w:rsidRDefault="002A21AE">
            <w:pPr>
              <w:pStyle w:val="TableText"/>
            </w:pPr>
          </w:p>
          <w:p w14:paraId="629A587C" w14:textId="1DBF8430" w:rsidR="002A21AE" w:rsidRDefault="002A21AE">
            <w:pPr>
              <w:pStyle w:val="TableText"/>
              <w:rPr>
                <w:b/>
                <w:bCs/>
                <w:szCs w:val="18"/>
              </w:rPr>
            </w:pPr>
            <w:r>
              <w:rPr>
                <w:b/>
                <w:bCs/>
                <w:szCs w:val="18"/>
              </w:rPr>
              <w:t>NOTES</w:t>
            </w:r>
          </w:p>
          <w:p w14:paraId="5641787E" w14:textId="77777777" w:rsidR="002A21AE" w:rsidRDefault="002A21AE">
            <w:pPr>
              <w:pStyle w:val="NotesText"/>
            </w:pPr>
          </w:p>
          <w:p w14:paraId="28B865BF" w14:textId="48AB5BF2" w:rsidR="002A21AE" w:rsidRDefault="002A21AE" w:rsidP="003D73A0">
            <w:pPr>
              <w:pStyle w:val="NotesText"/>
            </w:pPr>
            <w:r>
              <w:rPr>
                <w:rFonts w:cs="Arial"/>
                <w:vanish/>
              </w:rPr>
              <w:t xml:space="preserve">BR_16.11 </w:t>
            </w:r>
            <w:r>
              <w:t xml:space="preserve">When the pre-op indicator is “Yes,” the user may access the MSBOS to determine whether to include details of the </w:t>
            </w:r>
            <w:r w:rsidR="008C69A0">
              <w:t xml:space="preserve">component </w:t>
            </w:r>
            <w:r>
              <w:t>order in the Inappropriate Request Report.</w:t>
            </w:r>
          </w:p>
        </w:tc>
      </w:tr>
      <w:tr w:rsidR="002A21AE" w14:paraId="7660A096" w14:textId="77777777" w:rsidTr="003362FE">
        <w:trPr>
          <w:cantSplit/>
        </w:trPr>
        <w:tc>
          <w:tcPr>
            <w:tcW w:w="3240" w:type="dxa"/>
            <w:tcBorders>
              <w:top w:val="single" w:sz="4" w:space="0" w:color="auto"/>
              <w:left w:val="single" w:sz="4" w:space="0" w:color="auto"/>
              <w:bottom w:val="single" w:sz="4" w:space="0" w:color="auto"/>
              <w:right w:val="single" w:sz="4" w:space="0" w:color="auto"/>
            </w:tcBorders>
          </w:tcPr>
          <w:p w14:paraId="15FC35B0" w14:textId="77777777" w:rsidR="002A21AE" w:rsidRDefault="002A21AE">
            <w:pPr>
              <w:pStyle w:val="TableTextNumbers"/>
            </w:pPr>
            <w:r>
              <w:t xml:space="preserve">Based on the review of the MSBOS parameter associated with the surgery type and the details of the current order, click the </w:t>
            </w:r>
            <w:r>
              <w:rPr>
                <w:b/>
              </w:rPr>
              <w:t>Include In Inappropriate Transfusion Request Report</w:t>
            </w:r>
            <w:r>
              <w:t xml:space="preserve"> check box, according to local policy.</w:t>
            </w:r>
          </w:p>
        </w:tc>
        <w:tc>
          <w:tcPr>
            <w:tcW w:w="6120" w:type="dxa"/>
            <w:tcBorders>
              <w:top w:val="single" w:sz="4" w:space="0" w:color="auto"/>
              <w:left w:val="single" w:sz="4" w:space="0" w:color="auto"/>
              <w:bottom w:val="single" w:sz="4" w:space="0" w:color="auto"/>
              <w:right w:val="single" w:sz="4" w:space="0" w:color="auto"/>
            </w:tcBorders>
          </w:tcPr>
          <w:p w14:paraId="07A456BD" w14:textId="77777777" w:rsidR="002A21AE" w:rsidRDefault="002A21AE">
            <w:pPr>
              <w:pStyle w:val="TableTextBullet"/>
            </w:pPr>
            <w:r>
              <w:t>Adds the details of the order to the Inappropriate Transfusion Request Report when the user completes Accept Orders: Accept an Order.</w:t>
            </w:r>
          </w:p>
          <w:p w14:paraId="46A0542C" w14:textId="77777777" w:rsidR="00FF6514" w:rsidRDefault="00FF6514" w:rsidP="00FF6514">
            <w:pPr>
              <w:pStyle w:val="TableText"/>
            </w:pPr>
          </w:p>
          <w:p w14:paraId="0FC9E8B7" w14:textId="573EE760" w:rsidR="00FF6514" w:rsidRDefault="00FF6514" w:rsidP="00FF6514">
            <w:pPr>
              <w:pStyle w:val="TableText"/>
              <w:rPr>
                <w:b/>
                <w:bCs/>
                <w:szCs w:val="18"/>
              </w:rPr>
            </w:pPr>
            <w:r>
              <w:rPr>
                <w:b/>
                <w:bCs/>
                <w:szCs w:val="18"/>
              </w:rPr>
              <w:t>NOTES</w:t>
            </w:r>
          </w:p>
          <w:p w14:paraId="4FF167F5" w14:textId="77777777" w:rsidR="00FF6514" w:rsidRPr="00000CF1" w:rsidRDefault="00FF6514" w:rsidP="00FF6514">
            <w:pPr>
              <w:pStyle w:val="NotesText"/>
            </w:pPr>
          </w:p>
          <w:p w14:paraId="7B2DF3AC" w14:textId="77777777" w:rsidR="00FF6514" w:rsidRDefault="00FF6514" w:rsidP="00FF6514">
            <w:pPr>
              <w:pStyle w:val="NotesText"/>
            </w:pPr>
            <w:r>
              <w:t xml:space="preserve">To display a list of available autologous and/or directed units in the system for the selected patient, see </w:t>
            </w:r>
            <w:r w:rsidRPr="00FF6514">
              <w:t>Blood Availability</w:t>
            </w:r>
            <w:r>
              <w:t>.</w:t>
            </w:r>
          </w:p>
          <w:p w14:paraId="2CEA0D3D" w14:textId="77777777" w:rsidR="008B0C9A" w:rsidRDefault="008B0C9A" w:rsidP="00FF6514">
            <w:pPr>
              <w:pStyle w:val="NotesText"/>
            </w:pPr>
          </w:p>
          <w:p w14:paraId="2A0AAB76" w14:textId="77777777" w:rsidR="008B0C9A" w:rsidRDefault="008B0C9A" w:rsidP="00FF6514">
            <w:pPr>
              <w:pStyle w:val="NotesText"/>
            </w:pPr>
            <w:r>
              <w:t>A user must accept the corresponding TAS order before including a component order in Inappropriate Transfusion Request Report.</w:t>
            </w:r>
          </w:p>
        </w:tc>
      </w:tr>
      <w:tr w:rsidR="002A21AE" w14:paraId="75A6098D" w14:textId="77777777">
        <w:tc>
          <w:tcPr>
            <w:tcW w:w="3240" w:type="dxa"/>
          </w:tcPr>
          <w:p w14:paraId="73FD88B5" w14:textId="77777777" w:rsidR="002A21AE" w:rsidRDefault="002A21AE">
            <w:pPr>
              <w:pStyle w:val="TableTextNumbers"/>
            </w:pPr>
            <w:r>
              <w:t xml:space="preserve">Click </w:t>
            </w:r>
            <w:r w:rsidR="00057948">
              <w:rPr>
                <w:noProof/>
              </w:rPr>
              <w:drawing>
                <wp:inline distT="0" distB="0" distL="0" distR="0" wp14:anchorId="09D6E642" wp14:editId="2D1B99F1">
                  <wp:extent cx="156845" cy="156845"/>
                  <wp:effectExtent l="0" t="0" r="0" b="0"/>
                  <wp:docPr id="210" name="Picture 210"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to review patient data</w:t>
            </w:r>
            <w:r w:rsidR="006C4777">
              <w:t>,</w:t>
            </w:r>
            <w:r>
              <w:t xml:space="preserve"> Transfusion Requirements and Special Instructions. </w:t>
            </w:r>
          </w:p>
        </w:tc>
        <w:tc>
          <w:tcPr>
            <w:tcW w:w="6120" w:type="dxa"/>
          </w:tcPr>
          <w:p w14:paraId="60728F73" w14:textId="77777777" w:rsidR="002A21AE" w:rsidRDefault="002A21AE">
            <w:pPr>
              <w:pStyle w:val="TableTextBullet"/>
            </w:pPr>
            <w:r>
              <w:t xml:space="preserve">Displays read-only </w:t>
            </w:r>
            <w:r w:rsidR="00F01B32">
              <w:t xml:space="preserve">TR and SI </w:t>
            </w:r>
            <w:r>
              <w:t>patient VBECS data.</w:t>
            </w:r>
          </w:p>
          <w:p w14:paraId="25F606D2" w14:textId="77777777" w:rsidR="002A21AE" w:rsidRDefault="002A21AE">
            <w:pPr>
              <w:pStyle w:val="TableText"/>
            </w:pPr>
          </w:p>
          <w:p w14:paraId="6A706A2C" w14:textId="77777777" w:rsidR="002A21AE" w:rsidRDefault="002A21AE">
            <w:pPr>
              <w:pStyle w:val="NotesText"/>
            </w:pPr>
          </w:p>
        </w:tc>
      </w:tr>
      <w:tr w:rsidR="002A21AE" w14:paraId="37F35091" w14:textId="77777777">
        <w:tc>
          <w:tcPr>
            <w:tcW w:w="3240" w:type="dxa"/>
          </w:tcPr>
          <w:p w14:paraId="7DC951D1" w14:textId="77777777" w:rsidR="002A21AE" w:rsidRDefault="002A21AE">
            <w:pPr>
              <w:pStyle w:val="TableTextNumbers"/>
            </w:pPr>
            <w:r>
              <w:t xml:space="preserve">Click </w:t>
            </w:r>
            <w:r>
              <w:rPr>
                <w:b/>
              </w:rPr>
              <w:t>Accept</w:t>
            </w:r>
            <w:r>
              <w:t xml:space="preserve"> or </w:t>
            </w:r>
            <w:r>
              <w:rPr>
                <w:b/>
              </w:rPr>
              <w:t>Reject</w:t>
            </w:r>
            <w:r>
              <w:t xml:space="preserve"> for each order. </w:t>
            </w:r>
          </w:p>
        </w:tc>
        <w:tc>
          <w:tcPr>
            <w:tcW w:w="6120" w:type="dxa"/>
          </w:tcPr>
          <w:p w14:paraId="2F54B8D6" w14:textId="77777777" w:rsidR="002A21AE" w:rsidRDefault="002A21AE">
            <w:pPr>
              <w:pStyle w:val="TableTextBullet"/>
            </w:pPr>
            <w:r>
              <w:t>For each order accepted, updates the:</w:t>
            </w:r>
          </w:p>
          <w:p w14:paraId="6043B199" w14:textId="77777777" w:rsidR="002A21AE" w:rsidRDefault="002A21AE">
            <w:pPr>
              <w:pStyle w:val="TableTextBullet1"/>
            </w:pPr>
            <w:r>
              <w:t xml:space="preserve">Status to “accepted” and adds it to the PTL for further processing. </w:t>
            </w:r>
          </w:p>
          <w:p w14:paraId="20011BD7" w14:textId="77777777" w:rsidR="002A21AE" w:rsidRDefault="002A21AE">
            <w:pPr>
              <w:pStyle w:val="TableTextBullet1"/>
            </w:pPr>
            <w:r>
              <w:t>Existing lab accession number to collect data associated with every order.</w:t>
            </w:r>
          </w:p>
          <w:p w14:paraId="6595D81A" w14:textId="77777777" w:rsidR="002A21AE" w:rsidRDefault="002A21AE">
            <w:pPr>
              <w:pStyle w:val="TableText"/>
            </w:pPr>
          </w:p>
          <w:p w14:paraId="409044D9" w14:textId="233F21B9" w:rsidR="002A21AE" w:rsidRDefault="002A21AE">
            <w:pPr>
              <w:pStyle w:val="TableText"/>
              <w:rPr>
                <w:b/>
                <w:bCs/>
                <w:szCs w:val="18"/>
              </w:rPr>
            </w:pPr>
            <w:r>
              <w:rPr>
                <w:b/>
                <w:bCs/>
                <w:szCs w:val="18"/>
              </w:rPr>
              <w:t>NOTES</w:t>
            </w:r>
          </w:p>
          <w:p w14:paraId="79AE05C8" w14:textId="77777777" w:rsidR="002A21AE" w:rsidRDefault="002A21AE">
            <w:pPr>
              <w:pStyle w:val="NotesText"/>
            </w:pPr>
          </w:p>
          <w:p w14:paraId="2420B867" w14:textId="77777777" w:rsidR="002A21AE" w:rsidRDefault="002A21AE">
            <w:pPr>
              <w:pStyle w:val="NotesText"/>
            </w:pPr>
            <w:r>
              <w:t xml:space="preserve">When a user rejects an order, VBECS acknowledges the order and cancels it through Accept Orders: Cancel a Pending Order. </w:t>
            </w:r>
          </w:p>
          <w:p w14:paraId="164F0CE1" w14:textId="77777777" w:rsidR="002A21AE" w:rsidRDefault="002A21AE">
            <w:pPr>
              <w:pStyle w:val="TableText"/>
            </w:pPr>
          </w:p>
          <w:p w14:paraId="71ADD5D3" w14:textId="1F2A481D" w:rsidR="002A21AE" w:rsidRDefault="002A21AE">
            <w:pPr>
              <w:pStyle w:val="NotesText"/>
            </w:pPr>
            <w:r>
              <w:rPr>
                <w:rFonts w:cs="Arial"/>
                <w:vanish/>
              </w:rPr>
              <w:t xml:space="preserve">BR_16.16 </w:t>
            </w:r>
            <w:r w:rsidR="0060312C">
              <w:t>When there is</w:t>
            </w:r>
            <w:r w:rsidR="0060312C" w:rsidRPr="00374A4B">
              <w:t xml:space="preserve"> no specimen required for the component order, an order expiration date is assigned to ten days in the future, with the date the component order </w:t>
            </w:r>
            <w:r w:rsidR="0060312C">
              <w:t>as</w:t>
            </w:r>
            <w:r w:rsidR="0060312C" w:rsidRPr="00374A4B">
              <w:t xml:space="preserve"> accepted and moved to the Pending Task List being day 0. If a specimen is required, the order expiration date is the same as the associated specimen. The system needs to automatically expire the associated component order when the specimen is expired.</w:t>
            </w:r>
          </w:p>
          <w:p w14:paraId="34F0E16F" w14:textId="77777777" w:rsidR="002A21AE" w:rsidRDefault="002A21AE">
            <w:pPr>
              <w:pStyle w:val="NotesText"/>
            </w:pPr>
          </w:p>
          <w:p w14:paraId="18053AD0" w14:textId="3522A0C5" w:rsidR="002A21AE" w:rsidRDefault="002A21AE">
            <w:pPr>
              <w:pStyle w:val="NotesText"/>
            </w:pPr>
            <w:r>
              <w:t xml:space="preserve">When a specimen is required, the order expiration date is the same as the associated specimen. VBECS automatically expires the associated component order when the specimen is expired. </w:t>
            </w:r>
            <w:r w:rsidR="00AF5D80">
              <w:t xml:space="preserve">(See </w:t>
            </w:r>
            <w:r w:rsidR="00EE455E">
              <w:t xml:space="preserve">Appendix </w:t>
            </w:r>
            <w:r w:rsidR="00EE455E">
              <w:rPr>
                <w:noProof/>
              </w:rPr>
              <w:t>B</w:t>
            </w:r>
            <w:r w:rsidR="00AF5D80">
              <w:t>:</w:t>
            </w:r>
            <w:r w:rsidR="00A4315F">
              <w:t xml:space="preserve"> </w:t>
            </w:r>
            <w:r w:rsidR="00EE455E">
              <w:t xml:space="preserve">Figure </w:t>
            </w:r>
            <w:r w:rsidR="00EE455E">
              <w:rPr>
                <w:noProof/>
              </w:rPr>
              <w:t>117:</w:t>
            </w:r>
            <w:r w:rsidR="00EE455E">
              <w:t xml:space="preserve"> </w:t>
            </w:r>
            <w:r w:rsidR="00EE455E">
              <w:rPr>
                <w:vanish/>
              </w:rPr>
              <w:t xml:space="preserve">TT_92.01 </w:t>
            </w:r>
            <w:r w:rsidR="00EE455E" w:rsidRPr="00EE455E">
              <w:t>Order</w:t>
            </w:r>
            <w:r w:rsidR="00EE455E">
              <w:t xml:space="preserve"> Status Flowchart</w:t>
            </w:r>
            <w:r>
              <w:t>.)</w:t>
            </w:r>
          </w:p>
          <w:p w14:paraId="1BAE0F16" w14:textId="77777777" w:rsidR="002A21AE" w:rsidRDefault="002A21AE">
            <w:pPr>
              <w:pStyle w:val="NotesText"/>
            </w:pPr>
          </w:p>
          <w:p w14:paraId="7F858A71" w14:textId="77777777" w:rsidR="002A21AE" w:rsidRDefault="002A21AE">
            <w:pPr>
              <w:pStyle w:val="NotesText"/>
            </w:pPr>
            <w:r>
              <w:rPr>
                <w:rFonts w:cs="Arial"/>
                <w:vanish/>
              </w:rPr>
              <w:t xml:space="preserve">BR_16.14 </w:t>
            </w:r>
            <w:r>
              <w:t>The user evaluates each diagnostic test and component order separately.</w:t>
            </w:r>
          </w:p>
          <w:p w14:paraId="411D0DE2" w14:textId="77777777" w:rsidR="002A21AE" w:rsidRDefault="002A21AE">
            <w:pPr>
              <w:pStyle w:val="NotesText"/>
            </w:pPr>
          </w:p>
          <w:p w14:paraId="12AA6242" w14:textId="77777777" w:rsidR="002A21AE" w:rsidRDefault="002A21AE">
            <w:pPr>
              <w:pStyle w:val="NotesText"/>
            </w:pPr>
            <w:r>
              <w:rPr>
                <w:rFonts w:cs="Arial"/>
                <w:vanish/>
              </w:rPr>
              <w:t xml:space="preserve">BR_16.04 </w:t>
            </w:r>
            <w:r>
              <w:t xml:space="preserve">When the pre-op indicator is “No,” VBECS compares the Laboratory test values included in the order message from CPRS to the threshold values defined for the ordered component class requirements in Configure ICCBBA Component Classes Inappropriate Request Parameters setting (see Component Classes). When the threshold values were exceeded for one or more ordered component classes, VBECS notifies the user that the Laboratory test value exceeds site parameters for the component class orders and asks whether to add the order to the Inappropriate Transfusion Request report. </w:t>
            </w:r>
            <w:r>
              <w:rPr>
                <w:b/>
              </w:rPr>
              <w:t>Yes</w:t>
            </w:r>
            <w:r>
              <w:t xml:space="preserve"> adds the details of the order to the Inappropriate Request Report. </w:t>
            </w:r>
            <w:r>
              <w:rPr>
                <w:b/>
              </w:rPr>
              <w:t>No</w:t>
            </w:r>
            <w:r>
              <w:t xml:space="preserve"> requires a comment to be associated with the order.</w:t>
            </w:r>
          </w:p>
          <w:p w14:paraId="2D883892" w14:textId="77777777" w:rsidR="002A21AE" w:rsidRDefault="002A21AE">
            <w:pPr>
              <w:pStyle w:val="NotesText"/>
            </w:pPr>
          </w:p>
          <w:p w14:paraId="2F8C5768" w14:textId="77777777" w:rsidR="00F358AF" w:rsidRDefault="002A21AE" w:rsidP="00F358AF">
            <w:pPr>
              <w:pStyle w:val="NotesText"/>
            </w:pPr>
            <w:r>
              <w:t xml:space="preserve">The user may cancel one or more components of an order through Accept Orders: Cancel a Pending Order to cancel while working in Accept Orders: Accept an Order. When this occurs, VBECS sends a message to CPRS and notifies the </w:t>
            </w:r>
            <w:r w:rsidR="00E71B91">
              <w:t xml:space="preserve">VistA </w:t>
            </w:r>
            <w:r>
              <w:t>Laboratory</w:t>
            </w:r>
            <w:r w:rsidR="00E71B91">
              <w:t xml:space="preserve"> </w:t>
            </w:r>
            <w:r w:rsidR="004654F5">
              <w:t>application</w:t>
            </w:r>
            <w:r>
              <w:t xml:space="preserve"> that the order was cancel</w:t>
            </w:r>
            <w:r w:rsidR="002F7E19">
              <w:t>l</w:t>
            </w:r>
            <w:r>
              <w:t>ed.</w:t>
            </w:r>
          </w:p>
          <w:p w14:paraId="3601FBC9" w14:textId="77777777" w:rsidR="00F358AF" w:rsidRDefault="00F358AF" w:rsidP="00F358AF">
            <w:pPr>
              <w:pStyle w:val="NotesText"/>
            </w:pPr>
          </w:p>
          <w:p w14:paraId="5DEF1486" w14:textId="717D9A51" w:rsidR="002A21AE" w:rsidRDefault="00F358AF" w:rsidP="00F358AF">
            <w:pPr>
              <w:pStyle w:val="NotesText"/>
            </w:pPr>
            <w:r>
              <w:rPr>
                <w:rFonts w:cs="Arial"/>
                <w:vanish/>
              </w:rPr>
              <w:t xml:space="preserve">BR_16.24 </w:t>
            </w:r>
            <w:r w:rsidRPr="00F358AF">
              <w:t>The confirmation message presented when accepting an order states: “Are you sure you want to accept this order, by clicking Yes, you acknowledge that you performed a patient historical data check.”</w:t>
            </w:r>
            <w:r>
              <w:t xml:space="preserve"> </w:t>
            </w:r>
            <w:r w:rsidRPr="00F358AF">
              <w:t>When the user clicks yes, the order is accepted. The HL7 order acceptance message is sent to CPRS. When the user clicks no, the order remains pending. The patient historical data check indicator will be displayed in the Order History Report (single and multiple) and the Patient History Report</w:t>
            </w:r>
            <w:r>
              <w:t xml:space="preserve"> .</w:t>
            </w:r>
          </w:p>
        </w:tc>
      </w:tr>
      <w:tr w:rsidR="002A21AE" w14:paraId="778DC181" w14:textId="77777777">
        <w:tc>
          <w:tcPr>
            <w:tcW w:w="3240" w:type="dxa"/>
          </w:tcPr>
          <w:p w14:paraId="0C669622" w14:textId="77777777" w:rsidR="002A21AE" w:rsidRDefault="009644D4">
            <w:pPr>
              <w:pStyle w:val="TableTextNumbers"/>
            </w:pPr>
            <w:r>
              <w:t>Repeat Steps 2</w:t>
            </w:r>
            <w:r w:rsidR="00694B70">
              <w:t xml:space="preserve"> through 8</w:t>
            </w:r>
            <w:r w:rsidR="002A21AE">
              <w:t xml:space="preserve"> to accept another order, or click </w:t>
            </w:r>
            <w:r w:rsidR="002A21AE">
              <w:rPr>
                <w:b/>
              </w:rPr>
              <w:t>Close</w:t>
            </w:r>
            <w:r w:rsidR="002A21AE">
              <w:t xml:space="preserve"> to exit.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569A4674" w14:textId="77777777" w:rsidR="002A21AE" w:rsidRDefault="002A21AE">
            <w:pPr>
              <w:pStyle w:val="TableText"/>
            </w:pPr>
          </w:p>
        </w:tc>
      </w:tr>
    </w:tbl>
    <w:p w14:paraId="14456B40" w14:textId="79C0454F" w:rsidR="002A21AE" w:rsidRDefault="002118B0" w:rsidP="002118B0">
      <w:pPr>
        <w:pStyle w:val="Caption"/>
      </w:pPr>
      <w:bookmarkStart w:id="417" w:name="_Ref126723121"/>
      <w:bookmarkStart w:id="418" w:name="_Ref12672235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85</w:t>
      </w:r>
      <w:r w:rsidR="004E20BD">
        <w:rPr>
          <w:noProof/>
        </w:rPr>
        <w:fldChar w:fldCharType="end"/>
      </w:r>
      <w:bookmarkEnd w:id="417"/>
      <w:r>
        <w:t xml:space="preserve">: </w:t>
      </w:r>
      <w:r w:rsidR="00050BB7">
        <w:t>Accept Orders</w:t>
      </w:r>
      <w:bookmarkEnd w:id="418"/>
    </w:p>
    <w:p w14:paraId="4630339E" w14:textId="6DCB2BC6" w:rsidR="00050BB7" w:rsidRPr="00050BB7" w:rsidRDefault="00570C93" w:rsidP="007810A1">
      <w:pPr>
        <w:pStyle w:val="BodyText"/>
      </w:pPr>
      <w:r>
        <w:rPr>
          <w:noProof/>
        </w:rPr>
        <w:drawing>
          <wp:inline distT="0" distB="0" distL="0" distR="0" wp14:anchorId="72D3D8BD" wp14:editId="50C8D58E">
            <wp:extent cx="5937250" cy="3054350"/>
            <wp:effectExtent l="0" t="0" r="6350" b="0"/>
            <wp:docPr id="73" name="Picture 73" descr="Example of Accept Order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Example of Accept Orders screen capture"/>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37250" cy="3054350"/>
                    </a:xfrm>
                    <a:prstGeom prst="rect">
                      <a:avLst/>
                    </a:prstGeom>
                    <a:noFill/>
                    <a:ln>
                      <a:noFill/>
                    </a:ln>
                  </pic:spPr>
                </pic:pic>
              </a:graphicData>
            </a:graphic>
          </wp:inline>
        </w:drawing>
      </w:r>
    </w:p>
    <w:p w14:paraId="4239052C" w14:textId="726DDF0E" w:rsidR="0057318C" w:rsidRDefault="0057318C" w:rsidP="0057318C">
      <w:pPr>
        <w:pStyle w:val="Caption"/>
      </w:pPr>
      <w:bookmarkStart w:id="419" w:name="_Ref126722649"/>
      <w:bookmarkStart w:id="420" w:name="_Ref12672260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86</w:t>
      </w:r>
      <w:r w:rsidR="004E20BD">
        <w:rPr>
          <w:noProof/>
        </w:rPr>
        <w:fldChar w:fldCharType="end"/>
      </w:r>
      <w:bookmarkEnd w:id="419"/>
      <w:r>
        <w:t>: Maintain Specimen</w:t>
      </w:r>
      <w:bookmarkEnd w:id="420"/>
    </w:p>
    <w:p w14:paraId="20883B7C" w14:textId="77777777" w:rsidR="007810A1" w:rsidRDefault="00057948" w:rsidP="007810A1">
      <w:pPr>
        <w:pStyle w:val="BodyText"/>
      </w:pPr>
      <w:r>
        <w:rPr>
          <w:noProof/>
        </w:rPr>
        <w:drawing>
          <wp:inline distT="0" distB="0" distL="0" distR="0" wp14:anchorId="404E292C" wp14:editId="1BA3035F">
            <wp:extent cx="5597525" cy="3676015"/>
            <wp:effectExtent l="0" t="0" r="3175" b="635"/>
            <wp:docPr id="212" name="Picture 212" descr="Example of Maintain Specime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Example of Maintain Specimen screen captur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597525" cy="3676015"/>
                    </a:xfrm>
                    <a:prstGeom prst="rect">
                      <a:avLst/>
                    </a:prstGeom>
                    <a:noFill/>
                    <a:ln>
                      <a:noFill/>
                    </a:ln>
                  </pic:spPr>
                </pic:pic>
              </a:graphicData>
            </a:graphic>
          </wp:inline>
        </w:drawing>
      </w:r>
    </w:p>
    <w:p w14:paraId="255EB700" w14:textId="77777777" w:rsidR="002A21AE" w:rsidRDefault="002A21AE">
      <w:pPr>
        <w:pStyle w:val="Heading3"/>
      </w:pPr>
      <w:r>
        <w:br w:type="page"/>
      </w:r>
      <w:bookmarkStart w:id="421" w:name="_Toc149064143"/>
      <w:r>
        <w:t>Accept Orders: Pending Order List</w:t>
      </w:r>
      <w:bookmarkEnd w:id="421"/>
      <w:r>
        <w:rPr>
          <w:rFonts w:ascii="Geneva" w:hAnsi="Geneva"/>
          <w:vanish/>
        </w:rPr>
        <w:fldChar w:fldCharType="begin"/>
      </w:r>
      <w:r>
        <w:rPr>
          <w:rFonts w:ascii="Geneva" w:hAnsi="Geneva"/>
          <w:vanish/>
        </w:rPr>
        <w:instrText xml:space="preserve"> XE </w:instrText>
      </w:r>
      <w:r w:rsidR="00FA7E65">
        <w:rPr>
          <w:rFonts w:ascii="Geneva" w:hAnsi="Geneva"/>
          <w:vanish/>
        </w:rPr>
        <w:instrText>“</w:instrText>
      </w:r>
      <w:r>
        <w:rPr>
          <w:rFonts w:ascii="Geneva" w:hAnsi="Geneva"/>
          <w:vanish/>
        </w:rPr>
        <w:instrText>Accept Orders\: Pending Order List</w:instrText>
      </w:r>
      <w:r w:rsidR="00FA7E65">
        <w:rPr>
          <w:rFonts w:ascii="Geneva" w:hAnsi="Geneva"/>
          <w:vanish/>
        </w:rPr>
        <w:instrText>”</w:instrText>
      </w:r>
      <w:r>
        <w:rPr>
          <w:rFonts w:ascii="Geneva" w:hAnsi="Geneva"/>
          <w:vanish/>
        </w:rPr>
        <w:instrText xml:space="preserve"> </w:instrText>
      </w:r>
      <w:r>
        <w:rPr>
          <w:rFonts w:ascii="Geneva" w:hAnsi="Geneva"/>
          <w:vanish/>
        </w:rPr>
        <w:fldChar w:fldCharType="end"/>
      </w:r>
      <w:r>
        <w:rPr>
          <w:rFonts w:ascii="Geneva" w:hAnsi="Geneva"/>
          <w:vanish/>
        </w:rPr>
        <w:t xml:space="preserve"> UC_88</w:t>
      </w:r>
    </w:p>
    <w:p w14:paraId="3D9F4242" w14:textId="77777777" w:rsidR="002A21AE" w:rsidRDefault="002A21AE" w:rsidP="00FA7E65">
      <w:pPr>
        <w:pStyle w:val="BodyText"/>
      </w:pPr>
      <w:bookmarkStart w:id="422" w:name="_Toc74835890"/>
      <w:r>
        <w:t>The Pending Order List (POL) lists pending blood bank orders.</w:t>
      </w:r>
    </w:p>
    <w:p w14:paraId="21BDADDA" w14:textId="77777777" w:rsidR="002A21AE" w:rsidRDefault="002A21AE">
      <w:pPr>
        <w:pStyle w:val="Heading4"/>
      </w:pPr>
      <w:r>
        <w:t>Assumptions</w:t>
      </w:r>
    </w:p>
    <w:p w14:paraId="04C34FCD" w14:textId="77777777" w:rsidR="002A21AE" w:rsidRDefault="002A21AE">
      <w:pPr>
        <w:pStyle w:val="ListBullet"/>
      </w:pPr>
      <w:r>
        <w:t>A CPRS order is acknowledged by VBECS.</w:t>
      </w:r>
    </w:p>
    <w:p w14:paraId="53D92983" w14:textId="77777777" w:rsidR="002A21AE" w:rsidRDefault="002A21AE">
      <w:pPr>
        <w:pStyle w:val="ListBullet"/>
      </w:pPr>
      <w:r>
        <w:t xml:space="preserve">An order is printed or an alert is issued per site parameters. </w:t>
      </w:r>
    </w:p>
    <w:p w14:paraId="4D1A6FB7" w14:textId="77777777" w:rsidR="002A21AE" w:rsidRDefault="002A21AE">
      <w:pPr>
        <w:pStyle w:val="ListBullet"/>
      </w:pPr>
      <w:r>
        <w:t xml:space="preserve">The connection to </w:t>
      </w:r>
      <w:r w:rsidR="00CA0045" w:rsidRPr="00CA0045">
        <w:rPr>
          <w:bCs/>
        </w:rPr>
        <w:t>VistA</w:t>
      </w:r>
      <w:r>
        <w:t xml:space="preserve"> is active.</w:t>
      </w:r>
    </w:p>
    <w:p w14:paraId="0A3C9341" w14:textId="77777777" w:rsidR="002A21AE" w:rsidRDefault="002A21AE">
      <w:pPr>
        <w:pStyle w:val="Heading4"/>
      </w:pPr>
      <w:r>
        <w:t>Outcome</w:t>
      </w:r>
    </w:p>
    <w:p w14:paraId="50E9DAF0" w14:textId="77777777" w:rsidR="002A21AE" w:rsidRDefault="002A21AE">
      <w:pPr>
        <w:pStyle w:val="ListBullet"/>
      </w:pPr>
      <w:r>
        <w:t>A list of pending</w:t>
      </w:r>
      <w:r w:rsidR="00E46E21">
        <w:t xml:space="preserve"> orders displays and may be sorted and searched.</w:t>
      </w:r>
    </w:p>
    <w:p w14:paraId="3680F71D" w14:textId="77777777" w:rsidR="00E46E21" w:rsidRDefault="00E46E21">
      <w:pPr>
        <w:pStyle w:val="ListBullet"/>
      </w:pPr>
      <w:r>
        <w:t>A list of pending orders may be printed in the default sort presentation.</w:t>
      </w:r>
    </w:p>
    <w:p w14:paraId="0C94E9C8" w14:textId="77777777" w:rsidR="002A21AE" w:rsidRDefault="002A21AE">
      <w:pPr>
        <w:pStyle w:val="Heading4"/>
      </w:pPr>
      <w:r>
        <w:t>Limitations and Restrictions</w:t>
      </w:r>
    </w:p>
    <w:p w14:paraId="47D953C1" w14:textId="77777777" w:rsidR="00DD022C" w:rsidRDefault="00DD022C" w:rsidP="00DD022C">
      <w:pPr>
        <w:pStyle w:val="ListBullet"/>
      </w:pPr>
      <w:r>
        <w:t xml:space="preserve">Orders placed for </w:t>
      </w:r>
      <w:r w:rsidR="00922AD8">
        <w:t>patients</w:t>
      </w:r>
      <w:r>
        <w:t xml:space="preserve">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t>” field.</w:t>
      </w:r>
    </w:p>
    <w:p w14:paraId="776EF27E" w14:textId="77777777" w:rsidR="00C50F88" w:rsidRDefault="00C50F88" w:rsidP="00DD022C">
      <w:pPr>
        <w:pStyle w:val="ListBullet"/>
      </w:pPr>
      <w:r>
        <w:t>TAS must be accepted prior to any diagnostic test associated with the same specimen UID to allow the specimen to be used for the TAS.</w:t>
      </w:r>
    </w:p>
    <w:p w14:paraId="7659D4BD" w14:textId="77777777" w:rsidR="002A21AE" w:rsidRDefault="002A21AE">
      <w:pPr>
        <w:pStyle w:val="Heading4"/>
      </w:pPr>
      <w:r>
        <w:t>Additional Information</w:t>
      </w:r>
    </w:p>
    <w:p w14:paraId="6F43585C" w14:textId="77777777" w:rsidR="00E079D4" w:rsidRDefault="00E079D4">
      <w:pPr>
        <w:pStyle w:val="ListBullet"/>
      </w:pPr>
      <w:r>
        <w:t>This option is used for diagnostic and blood component test orders.</w:t>
      </w:r>
    </w:p>
    <w:p w14:paraId="05A1AB73" w14:textId="77777777" w:rsidR="00C50F88" w:rsidRDefault="00C50F88">
      <w:pPr>
        <w:pStyle w:val="ListBullet"/>
      </w:pPr>
      <w:r>
        <w:t>Blood derivatives, for example: Octoplas, are processed using CPRS FFP order.</w:t>
      </w:r>
    </w:p>
    <w:p w14:paraId="263B0F27" w14:textId="77777777" w:rsidR="002A21AE" w:rsidRDefault="002A21AE">
      <w:pPr>
        <w:pStyle w:val="Heading4"/>
      </w:pPr>
      <w:r>
        <w:t>User Roles with Access to This Option</w:t>
      </w:r>
    </w:p>
    <w:p w14:paraId="42C123BC" w14:textId="77777777" w:rsidR="002A21AE" w:rsidRDefault="000F12D4">
      <w:pPr>
        <w:pStyle w:val="Roles"/>
        <w:rPr>
          <w:snapToGrid w:val="0"/>
        </w:rPr>
      </w:pPr>
      <w:r>
        <w:t>All users</w:t>
      </w:r>
    </w:p>
    <w:bookmarkEnd w:id="422"/>
    <w:p w14:paraId="0684B19A" w14:textId="77777777" w:rsidR="002A21AE" w:rsidRDefault="002A21AE">
      <w:pPr>
        <w:pStyle w:val="Heading4"/>
      </w:pPr>
      <w:r>
        <w:t>Accept Orders: Pending Order List</w:t>
      </w:r>
    </w:p>
    <w:p w14:paraId="2B9E0D4E" w14:textId="77777777" w:rsidR="002A21AE" w:rsidRDefault="002A21AE" w:rsidP="00FA7E65">
      <w:pPr>
        <w:pStyle w:val="BodyText"/>
      </w:pPr>
      <w:r>
        <w:t>VBECS displays the POL with search criteria, which allows the user to limit the number of viewable items. The user may review details of an order without taking action on 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BEA3E72" w14:textId="77777777" w:rsidTr="003362FE">
        <w:trPr>
          <w:cantSplit/>
          <w:tblHeader/>
        </w:trPr>
        <w:tc>
          <w:tcPr>
            <w:tcW w:w="3240" w:type="dxa"/>
            <w:shd w:val="pct30" w:color="auto" w:fill="FFFFFF"/>
            <w:vAlign w:val="bottom"/>
          </w:tcPr>
          <w:p w14:paraId="69713131" w14:textId="77777777" w:rsidR="002A21AE" w:rsidRDefault="002A21AE">
            <w:pPr>
              <w:pStyle w:val="TableText"/>
              <w:rPr>
                <w:b/>
              </w:rPr>
            </w:pPr>
            <w:r>
              <w:rPr>
                <w:b/>
              </w:rPr>
              <w:t>User Action</w:t>
            </w:r>
          </w:p>
        </w:tc>
        <w:tc>
          <w:tcPr>
            <w:tcW w:w="6120" w:type="dxa"/>
            <w:shd w:val="pct30" w:color="auto" w:fill="FFFFFF"/>
            <w:vAlign w:val="bottom"/>
          </w:tcPr>
          <w:p w14:paraId="3679060F" w14:textId="77777777" w:rsidR="002A21AE" w:rsidRDefault="002A21AE">
            <w:pPr>
              <w:pStyle w:val="TableText"/>
              <w:rPr>
                <w:b/>
              </w:rPr>
            </w:pPr>
            <w:r>
              <w:rPr>
                <w:b/>
              </w:rPr>
              <w:t>VBECS</w:t>
            </w:r>
          </w:p>
        </w:tc>
      </w:tr>
      <w:tr w:rsidR="002A21AE" w14:paraId="7F8028FF" w14:textId="77777777" w:rsidTr="003362FE">
        <w:trPr>
          <w:cantSplit/>
        </w:trPr>
        <w:tc>
          <w:tcPr>
            <w:tcW w:w="3240" w:type="dxa"/>
          </w:tcPr>
          <w:p w14:paraId="446A82D1" w14:textId="77777777" w:rsidR="002A21AE" w:rsidRDefault="002A21AE">
            <w:pPr>
              <w:pStyle w:val="TableTextNumbers"/>
            </w:pPr>
            <w:r>
              <w:t xml:space="preserve">Select </w:t>
            </w:r>
            <w:r>
              <w:rPr>
                <w:b/>
              </w:rPr>
              <w:t>Orders</w:t>
            </w:r>
            <w:r>
              <w:t xml:space="preserve"> from the main menu.</w:t>
            </w:r>
          </w:p>
          <w:p w14:paraId="452958E1" w14:textId="77777777" w:rsidR="002A21AE" w:rsidRDefault="002A21AE">
            <w:pPr>
              <w:pStyle w:val="TableTextNumbersContinued"/>
            </w:pPr>
          </w:p>
          <w:p w14:paraId="5E43781E" w14:textId="77777777" w:rsidR="002A21AE" w:rsidRDefault="002A21AE">
            <w:pPr>
              <w:pStyle w:val="TableTextNumbersContinued"/>
            </w:pPr>
            <w:r>
              <w:t xml:space="preserve">Select </w:t>
            </w:r>
            <w:r>
              <w:rPr>
                <w:b/>
              </w:rPr>
              <w:t>Accept Orders</w:t>
            </w:r>
            <w:r>
              <w:t>, or</w:t>
            </w:r>
          </w:p>
          <w:p w14:paraId="5D640292" w14:textId="77777777" w:rsidR="002A21AE" w:rsidRDefault="002A21AE">
            <w:pPr>
              <w:pStyle w:val="TableTextNumbersContinued"/>
            </w:pPr>
          </w:p>
          <w:p w14:paraId="60C3758D" w14:textId="5A9F6342" w:rsidR="002A21AE" w:rsidRDefault="002A21AE">
            <w:pPr>
              <w:pStyle w:val="TableTextNumbersContinued"/>
            </w:pPr>
            <w:r>
              <w:t xml:space="preserve">Click the </w:t>
            </w:r>
            <w:r>
              <w:rPr>
                <w:b/>
              </w:rPr>
              <w:t>Pending Orders alert icon</w:t>
            </w:r>
            <w:r>
              <w:t>, if available, in the status bar at the bottom of the screen</w:t>
            </w:r>
            <w:r w:rsidR="007B4959">
              <w:t xml:space="preserve"> (</w:t>
            </w:r>
            <w:r w:rsidR="00EE455E">
              <w:t xml:space="preserve">Figure </w:t>
            </w:r>
            <w:r w:rsidR="00EE455E">
              <w:rPr>
                <w:noProof/>
              </w:rPr>
              <w:t>85</w:t>
            </w:r>
            <w:r w:rsidR="007B4959">
              <w:t>)</w:t>
            </w:r>
            <w:r>
              <w:t>.</w:t>
            </w:r>
          </w:p>
        </w:tc>
        <w:tc>
          <w:tcPr>
            <w:tcW w:w="6120" w:type="dxa"/>
          </w:tcPr>
          <w:p w14:paraId="45818C3F" w14:textId="77777777" w:rsidR="002A21AE" w:rsidRDefault="002A21AE">
            <w:pPr>
              <w:pStyle w:val="TableTextBullet"/>
            </w:pPr>
            <w:r>
              <w:t>Displays options for processing orders.</w:t>
            </w:r>
          </w:p>
          <w:p w14:paraId="15EE278E" w14:textId="77777777" w:rsidR="002A21AE" w:rsidRDefault="002A21AE">
            <w:pPr>
              <w:pStyle w:val="TableTextBullet"/>
            </w:pPr>
            <w:r>
              <w:t>Displays the Pending Order List and Pending Order List search criteria.</w:t>
            </w:r>
          </w:p>
          <w:p w14:paraId="6C701DD1" w14:textId="77777777" w:rsidR="002A21AE" w:rsidRDefault="002A21AE">
            <w:pPr>
              <w:pStyle w:val="TableTextBullet"/>
            </w:pPr>
            <w:r>
              <w:t xml:space="preserve">Allows the user to search for specific orders. </w:t>
            </w:r>
          </w:p>
          <w:p w14:paraId="2434D3B6" w14:textId="77777777" w:rsidR="002A21AE" w:rsidRDefault="002A21AE">
            <w:pPr>
              <w:pStyle w:val="TableTextBullet"/>
            </w:pPr>
            <w:r>
              <w:t xml:space="preserve">Provides the criteria to limit the search and subsequent presentation and processing. </w:t>
            </w:r>
          </w:p>
          <w:p w14:paraId="19AABF77" w14:textId="77777777" w:rsidR="002A21AE" w:rsidRDefault="002A21AE">
            <w:pPr>
              <w:pStyle w:val="TableTextBullet"/>
            </w:pPr>
            <w:r>
              <w:t>Allows acceptance of an order.</w:t>
            </w:r>
          </w:p>
          <w:p w14:paraId="4680039C" w14:textId="77777777" w:rsidR="002A21AE" w:rsidRDefault="002A21AE">
            <w:pPr>
              <w:pStyle w:val="TableText"/>
            </w:pPr>
          </w:p>
          <w:p w14:paraId="3817472C" w14:textId="47FD7380" w:rsidR="002A21AE" w:rsidRDefault="002A21AE">
            <w:pPr>
              <w:pStyle w:val="TableText"/>
              <w:rPr>
                <w:b/>
                <w:bCs/>
                <w:szCs w:val="18"/>
              </w:rPr>
            </w:pPr>
            <w:r>
              <w:rPr>
                <w:b/>
                <w:bCs/>
                <w:szCs w:val="18"/>
              </w:rPr>
              <w:t>NOTES</w:t>
            </w:r>
          </w:p>
          <w:p w14:paraId="7012321B" w14:textId="77777777" w:rsidR="002A21AE" w:rsidRDefault="00E21E67">
            <w:pPr>
              <w:pStyle w:val="NotesText"/>
            </w:pPr>
            <w:r w:rsidRPr="00424EF8">
              <w:rPr>
                <w:vanish/>
              </w:rPr>
              <w:t xml:space="preserve">BR_88.10 </w:t>
            </w:r>
            <w:r w:rsidRPr="00274F6D">
              <w:t xml:space="preserve">VBECS </w:t>
            </w:r>
            <w:r>
              <w:t xml:space="preserve">displays orders directed to the division by </w:t>
            </w:r>
            <w:r w:rsidR="00424EF8">
              <w:t>a</w:t>
            </w:r>
            <w:r>
              <w:t xml:space="preserve"> user during system configuration.</w:t>
            </w:r>
            <w:r w:rsidR="00892C58" w:rsidRPr="00892C58">
              <w:rPr>
                <w:vanish/>
              </w:rPr>
              <w:t>DR 2,889</w:t>
            </w:r>
          </w:p>
          <w:p w14:paraId="05192ED2" w14:textId="77777777" w:rsidR="00E21E67" w:rsidRDefault="00E21E67">
            <w:pPr>
              <w:pStyle w:val="NotesText"/>
            </w:pPr>
          </w:p>
          <w:p w14:paraId="3225EF41" w14:textId="622DCAF1" w:rsidR="002A21AE" w:rsidRDefault="002A21AE">
            <w:pPr>
              <w:pStyle w:val="NotesText"/>
            </w:pPr>
            <w:r w:rsidRPr="00A4315F">
              <w:t xml:space="preserve">See </w:t>
            </w:r>
            <w:r w:rsidR="00EE455E">
              <w:t xml:space="preserve">Appendix </w:t>
            </w:r>
            <w:r w:rsidR="00EE455E">
              <w:rPr>
                <w:noProof/>
              </w:rPr>
              <w:t>B</w:t>
            </w:r>
            <w:r w:rsidRPr="00A4315F">
              <w:t>:</w:t>
            </w:r>
            <w:r w:rsidR="00A4315F" w:rsidRPr="00A4315F">
              <w:t xml:space="preserve"> </w:t>
            </w:r>
            <w:r w:rsidR="00EE455E">
              <w:t xml:space="preserve">Figure 117: </w:t>
            </w:r>
            <w:r w:rsidR="00EE455E" w:rsidRPr="00EE455E">
              <w:rPr>
                <w:vanish/>
                <w:szCs w:val="18"/>
              </w:rPr>
              <w:t xml:space="preserve">TT_92.01 </w:t>
            </w:r>
            <w:r w:rsidR="00EE455E" w:rsidRPr="00EE455E">
              <w:t>Order</w:t>
            </w:r>
            <w:r w:rsidR="00EE455E">
              <w:t xml:space="preserve"> Status Flowchart</w:t>
            </w:r>
            <w:r>
              <w:t>.</w:t>
            </w:r>
          </w:p>
          <w:p w14:paraId="74585698" w14:textId="77777777" w:rsidR="002A21AE" w:rsidRDefault="002A21AE">
            <w:pPr>
              <w:pStyle w:val="NotesText"/>
            </w:pPr>
          </w:p>
          <w:p w14:paraId="7BFEF815" w14:textId="77777777" w:rsidR="002A21AE" w:rsidRDefault="002A21AE" w:rsidP="008941EC">
            <w:pPr>
              <w:pStyle w:val="NotesText"/>
            </w:pPr>
            <w:r>
              <w:rPr>
                <w:rFonts w:cs="Arial"/>
                <w:vanish/>
              </w:rPr>
              <w:t xml:space="preserve">BR_88.04 </w:t>
            </w:r>
            <w:r>
              <w:t xml:space="preserve">When searching for pending orders based on patient name, the system displays all pending and current accepted orders for the patient. A current order is a previously accepted order with a future order/specimen expiration date. </w:t>
            </w:r>
          </w:p>
        </w:tc>
      </w:tr>
      <w:tr w:rsidR="002A21AE" w14:paraId="7CE17BCF" w14:textId="77777777" w:rsidTr="003362FE">
        <w:trPr>
          <w:cantSplit/>
          <w:trHeight w:val="575"/>
        </w:trPr>
        <w:tc>
          <w:tcPr>
            <w:tcW w:w="3240" w:type="dxa"/>
          </w:tcPr>
          <w:p w14:paraId="72B1CA13" w14:textId="77777777" w:rsidR="002A21AE" w:rsidRDefault="002A21AE">
            <w:pPr>
              <w:pStyle w:val="TableTextNumbers"/>
            </w:pPr>
            <w:r>
              <w:t>Change the selection criteria, as needed, to prepare the list or to accept the default presentation.</w:t>
            </w:r>
          </w:p>
        </w:tc>
        <w:tc>
          <w:tcPr>
            <w:tcW w:w="6120" w:type="dxa"/>
          </w:tcPr>
          <w:p w14:paraId="29A23C74" w14:textId="77777777" w:rsidR="002A21AE" w:rsidRDefault="002A21AE">
            <w:pPr>
              <w:pStyle w:val="TableTextBullet"/>
            </w:pPr>
            <w:r>
              <w:t xml:space="preserve">Displays the POL requested by user’s selection(s). </w:t>
            </w:r>
          </w:p>
          <w:p w14:paraId="4FF60A3A" w14:textId="77777777" w:rsidR="002A21AE" w:rsidRDefault="002A21AE">
            <w:pPr>
              <w:pStyle w:val="TableText"/>
            </w:pPr>
          </w:p>
          <w:p w14:paraId="2CF335FA" w14:textId="6144BF4D" w:rsidR="002A21AE" w:rsidRDefault="002A21AE">
            <w:pPr>
              <w:pStyle w:val="TableText"/>
              <w:rPr>
                <w:b/>
                <w:bCs/>
                <w:szCs w:val="18"/>
              </w:rPr>
            </w:pPr>
            <w:r>
              <w:rPr>
                <w:b/>
                <w:bCs/>
                <w:szCs w:val="18"/>
              </w:rPr>
              <w:t>NOTES</w:t>
            </w:r>
          </w:p>
          <w:p w14:paraId="096A88AC" w14:textId="77777777" w:rsidR="002A21AE" w:rsidRDefault="002A21AE">
            <w:pPr>
              <w:pStyle w:val="TableText"/>
            </w:pPr>
          </w:p>
          <w:p w14:paraId="5709E196" w14:textId="77777777" w:rsidR="002A21AE" w:rsidRDefault="002A21AE">
            <w:pPr>
              <w:pStyle w:val="NotesText"/>
            </w:pPr>
            <w:r>
              <w:rPr>
                <w:rFonts w:cs="Arial"/>
                <w:vanish/>
              </w:rPr>
              <w:t xml:space="preserve">BR_88.09 </w:t>
            </w:r>
            <w:r>
              <w:t>The POL can be sorted by Patient, Procedure, Urgency, Date/time received or date/time wanted.</w:t>
            </w:r>
          </w:p>
          <w:p w14:paraId="31200CB0" w14:textId="77777777" w:rsidR="002A21AE" w:rsidRDefault="002A21AE">
            <w:pPr>
              <w:pStyle w:val="NotesText"/>
            </w:pPr>
          </w:p>
          <w:p w14:paraId="35938392" w14:textId="77777777" w:rsidR="002A21AE" w:rsidRDefault="002A21AE">
            <w:pPr>
              <w:pStyle w:val="NotesText"/>
            </w:pPr>
            <w:r>
              <w:rPr>
                <w:rFonts w:cs="Arial"/>
                <w:vanish/>
              </w:rPr>
              <w:t xml:space="preserve">BR_88.07 </w:t>
            </w:r>
            <w:r>
              <w:t>The user may select an entry on the POL to view additional details for the order, including:</w:t>
            </w:r>
          </w:p>
          <w:p w14:paraId="772B4463" w14:textId="77777777" w:rsidR="002A21AE" w:rsidRDefault="002A21AE">
            <w:pPr>
              <w:pStyle w:val="NotesTextBullet"/>
            </w:pPr>
            <w:r>
              <w:t>Patient Name</w:t>
            </w:r>
          </w:p>
          <w:p w14:paraId="51EB8DB0" w14:textId="77777777" w:rsidR="002A21AE" w:rsidRDefault="002A21AE">
            <w:pPr>
              <w:pStyle w:val="NotesTextBullet"/>
            </w:pPr>
            <w:r>
              <w:t>Patient ID</w:t>
            </w:r>
          </w:p>
          <w:p w14:paraId="54A77F5D" w14:textId="77777777" w:rsidR="002A21AE" w:rsidRDefault="002A21AE">
            <w:pPr>
              <w:pStyle w:val="NotesTextBullet"/>
            </w:pPr>
            <w:r>
              <w:t xml:space="preserve">Additional component class or diagnostic tests included in the same order group as the selected order. (These are displayed whether they are </w:t>
            </w:r>
            <w:r w:rsidR="00191CFE">
              <w:t>“</w:t>
            </w:r>
            <w:r>
              <w:t>in progress</w:t>
            </w:r>
            <w:r w:rsidR="00191CFE">
              <w:t>”</w:t>
            </w:r>
            <w:r>
              <w:t xml:space="preserve"> or still on the POL. There should be some indication to distinguish those that are already in progress.)</w:t>
            </w:r>
          </w:p>
          <w:p w14:paraId="38CDF83D" w14:textId="77777777" w:rsidR="002A21AE" w:rsidRDefault="002A21AE">
            <w:pPr>
              <w:pStyle w:val="NotesTextBullet"/>
            </w:pPr>
            <w:r>
              <w:t>Order comments (additional requirements from CPRS)</w:t>
            </w:r>
          </w:p>
          <w:p w14:paraId="50B913C0" w14:textId="77777777" w:rsidR="002A21AE" w:rsidRDefault="002A21AE">
            <w:pPr>
              <w:pStyle w:val="NotesTextBullet"/>
            </w:pPr>
            <w:r>
              <w:t>Quantity (component class orders only)</w:t>
            </w:r>
          </w:p>
          <w:p w14:paraId="6737938D" w14:textId="77777777" w:rsidR="002A21AE" w:rsidRDefault="002A21AE">
            <w:pPr>
              <w:pStyle w:val="NotesTextBullet"/>
            </w:pPr>
            <w:r>
              <w:t>Patient hospital location</w:t>
            </w:r>
          </w:p>
          <w:p w14:paraId="5A246A27" w14:textId="77777777" w:rsidR="002A21AE" w:rsidRDefault="002A21AE">
            <w:pPr>
              <w:pStyle w:val="NotesTextBullet"/>
            </w:pPr>
            <w:r>
              <w:t>Lab order #</w:t>
            </w:r>
          </w:p>
          <w:p w14:paraId="42094384" w14:textId="77777777" w:rsidR="002A21AE" w:rsidRDefault="002A21AE">
            <w:pPr>
              <w:pStyle w:val="NotesTextBullet"/>
            </w:pPr>
            <w:r>
              <w:t>Patient ABO/Rh (if known)</w:t>
            </w:r>
          </w:p>
          <w:p w14:paraId="787007A0" w14:textId="77777777" w:rsidR="000F29F3" w:rsidRDefault="0070432F" w:rsidP="00735422">
            <w:pPr>
              <w:pStyle w:val="NotesTextBullet"/>
            </w:pPr>
            <w:r>
              <w:t xml:space="preserve">The </w:t>
            </w:r>
            <w:r w:rsidR="00F83BC3">
              <w:t>CPRS Order ID</w:t>
            </w:r>
            <w:r w:rsidR="00735422">
              <w:t>, Group Order ID for all diagnostic tests and component orders placed in one CPRS</w:t>
            </w:r>
            <w:r>
              <w:t xml:space="preserve"> </w:t>
            </w:r>
            <w:r w:rsidR="00E33ACF">
              <w:t xml:space="preserve">order </w:t>
            </w:r>
            <w:r w:rsidR="005B6F39">
              <w:t xml:space="preserve">is </w:t>
            </w:r>
            <w:r w:rsidR="00E33ACF">
              <w:t xml:space="preserve">the CPRS Order ID </w:t>
            </w:r>
            <w:r>
              <w:t xml:space="preserve">used by VBECS on the Order History Report and the Pending Task Lists. </w:t>
            </w:r>
            <w:r w:rsidR="00F83BC3" w:rsidRPr="00F83BC3">
              <w:rPr>
                <w:vanish/>
              </w:rPr>
              <w:t>DR 4938</w:t>
            </w:r>
          </w:p>
        </w:tc>
      </w:tr>
      <w:tr w:rsidR="002A21AE" w14:paraId="60D55A56" w14:textId="77777777" w:rsidTr="003362FE">
        <w:trPr>
          <w:cantSplit/>
        </w:trPr>
        <w:tc>
          <w:tcPr>
            <w:tcW w:w="3240" w:type="dxa"/>
          </w:tcPr>
          <w:p w14:paraId="7157A99C" w14:textId="77777777" w:rsidR="002A21AE" w:rsidRDefault="002A21AE">
            <w:pPr>
              <w:pStyle w:val="TableTextNumbers"/>
            </w:pPr>
            <w:r>
              <w:t xml:space="preserve">To continue processing the POL, review the displayed list, print the list, or go to Accept Orders: Accept an Order. </w:t>
            </w:r>
          </w:p>
        </w:tc>
        <w:tc>
          <w:tcPr>
            <w:tcW w:w="6120" w:type="dxa"/>
          </w:tcPr>
          <w:p w14:paraId="4B12B7CA" w14:textId="77777777" w:rsidR="002A21AE" w:rsidRDefault="002A21AE">
            <w:pPr>
              <w:pStyle w:val="TableTextBullet"/>
            </w:pPr>
            <w:r>
              <w:t xml:space="preserve">Allows the user to return to Step 1 to change the presentation of the list, review details of pending orders, print the list, or select an order or proceed to Accept Orders: Accept an Order. </w:t>
            </w:r>
          </w:p>
          <w:p w14:paraId="28218C70" w14:textId="77777777" w:rsidR="002A21AE" w:rsidRDefault="002A21AE">
            <w:pPr>
              <w:pStyle w:val="TableText"/>
            </w:pPr>
          </w:p>
          <w:p w14:paraId="2A15662D" w14:textId="256BE9F4" w:rsidR="002A21AE" w:rsidRDefault="002A21AE">
            <w:pPr>
              <w:pStyle w:val="TableText"/>
              <w:rPr>
                <w:b/>
                <w:bCs/>
                <w:szCs w:val="18"/>
              </w:rPr>
            </w:pPr>
            <w:r>
              <w:rPr>
                <w:b/>
                <w:bCs/>
                <w:szCs w:val="18"/>
              </w:rPr>
              <w:t>NOTES</w:t>
            </w:r>
          </w:p>
          <w:p w14:paraId="11FD9CC0" w14:textId="77777777" w:rsidR="002A21AE" w:rsidRDefault="002A21AE">
            <w:pPr>
              <w:pStyle w:val="NotesText"/>
            </w:pPr>
          </w:p>
          <w:p w14:paraId="49732167" w14:textId="77777777" w:rsidR="002A21AE" w:rsidRDefault="002A21AE">
            <w:pPr>
              <w:pStyle w:val="NotesText"/>
            </w:pPr>
            <w:r>
              <w:rPr>
                <w:rFonts w:cs="Arial"/>
                <w:vanish/>
              </w:rPr>
              <w:t xml:space="preserve">BR_92.07 </w:t>
            </w:r>
            <w:r>
              <w:t>When a user requests a POL report and VBECS does not find any information, VBECS notifies the user and asks whether he wishes to continue to print. The user may cancel or print the report, which will include “No pending orders found.”</w:t>
            </w:r>
          </w:p>
        </w:tc>
      </w:tr>
      <w:tr w:rsidR="002A21AE" w14:paraId="4D85214E" w14:textId="77777777" w:rsidTr="003362FE">
        <w:trPr>
          <w:cantSplit/>
        </w:trPr>
        <w:tc>
          <w:tcPr>
            <w:tcW w:w="3240" w:type="dxa"/>
          </w:tcPr>
          <w:p w14:paraId="73F780FC" w14:textId="77777777" w:rsidR="002A21AE" w:rsidRDefault="002A21AE">
            <w:pPr>
              <w:pStyle w:val="TableTextNumbers"/>
            </w:pPr>
            <w:r>
              <w:t>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91C4B64" w14:textId="77777777" w:rsidR="002A21AE" w:rsidRDefault="002A21AE">
            <w:pPr>
              <w:pStyle w:val="TableText"/>
            </w:pPr>
          </w:p>
        </w:tc>
      </w:tr>
    </w:tbl>
    <w:p w14:paraId="075B8F6C" w14:textId="77777777" w:rsidR="002A21AE" w:rsidRDefault="0072673B" w:rsidP="008A3222">
      <w:pPr>
        <w:pStyle w:val="Heading3"/>
      </w:pPr>
      <w:r>
        <w:br w:type="page"/>
      </w:r>
      <w:bookmarkStart w:id="423" w:name="_Toc149064144"/>
      <w:r w:rsidR="00057948">
        <w:rPr>
          <w:noProof/>
        </w:rPr>
        <w:drawing>
          <wp:inline distT="0" distB="0" distL="0" distR="0" wp14:anchorId="58F7FD67" wp14:editId="04D401B9">
            <wp:extent cx="156845" cy="156845"/>
            <wp:effectExtent l="0" t="0" r="0" b="0"/>
            <wp:docPr id="213" name="Picture 213" descr="Order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Order Alert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w:t>
      </w:r>
      <w:r w:rsidR="002A21AE" w:rsidRPr="008A3222">
        <w:t>Display Order Alerts</w:t>
      </w:r>
      <w:bookmarkEnd w:id="423"/>
      <w:r w:rsidR="002A21AE" w:rsidRPr="008A3222">
        <w:fldChar w:fldCharType="begin"/>
      </w:r>
      <w:r w:rsidR="002A21AE" w:rsidRPr="008A3222">
        <w:instrText xml:space="preserve"> XE </w:instrText>
      </w:r>
      <w:r w:rsidR="00FA7E65" w:rsidRPr="008A3222">
        <w:instrText>“</w:instrText>
      </w:r>
      <w:r w:rsidR="002A21AE" w:rsidRPr="008A3222">
        <w:instrText>Display Order Alerts</w:instrText>
      </w:r>
      <w:r w:rsidR="00FA7E65" w:rsidRPr="008A3222">
        <w:instrText>”</w:instrText>
      </w:r>
      <w:r w:rsidR="002A21AE" w:rsidRPr="008A3222">
        <w:instrText xml:space="preserve"> </w:instrText>
      </w:r>
      <w:r w:rsidR="002A21AE" w:rsidRPr="008A3222">
        <w:fldChar w:fldCharType="end"/>
      </w:r>
      <w:r w:rsidR="002A21AE">
        <w:t xml:space="preserve"> </w:t>
      </w:r>
      <w:r w:rsidR="002A21AE">
        <w:rPr>
          <w:vanish/>
          <w:sz w:val="22"/>
        </w:rPr>
        <w:t>UC_84</w:t>
      </w:r>
    </w:p>
    <w:p w14:paraId="5E99CCCB" w14:textId="77777777" w:rsidR="002A21AE" w:rsidRDefault="002A21AE" w:rsidP="00FA7E65">
      <w:pPr>
        <w:pStyle w:val="BodyText"/>
      </w:pPr>
      <w:r>
        <w:t>VBECS notifies the user of new and updated patient orders.</w:t>
      </w:r>
    </w:p>
    <w:p w14:paraId="4D52682E" w14:textId="77777777" w:rsidR="002A21AE" w:rsidRDefault="002A21AE">
      <w:pPr>
        <w:pStyle w:val="Heading4"/>
      </w:pPr>
      <w:r>
        <w:t>Assumptions</w:t>
      </w:r>
      <w:r>
        <w:rPr>
          <w:b w:val="0"/>
        </w:rPr>
        <w:t xml:space="preserve"> </w:t>
      </w:r>
    </w:p>
    <w:p w14:paraId="6D737DC8" w14:textId="77777777" w:rsidR="002A21AE" w:rsidRDefault="002A21AE">
      <w:pPr>
        <w:pStyle w:val="ListBullet"/>
      </w:pPr>
      <w:r>
        <w:t xml:space="preserve">VBECS receives a new order or an order update message from </w:t>
      </w:r>
      <w:r w:rsidR="00CA0045" w:rsidRPr="00CA0045">
        <w:rPr>
          <w:bCs/>
        </w:rPr>
        <w:t>VistA</w:t>
      </w:r>
      <w:r>
        <w:t xml:space="preserve"> for the user’s division.</w:t>
      </w:r>
    </w:p>
    <w:p w14:paraId="02AD5008" w14:textId="77777777" w:rsidR="002A21AE" w:rsidRDefault="002A21AE">
      <w:pPr>
        <w:pStyle w:val="Heading4"/>
      </w:pPr>
      <w:r>
        <w:t xml:space="preserve">Outcome </w:t>
      </w:r>
    </w:p>
    <w:p w14:paraId="4DE3E573" w14:textId="77777777" w:rsidR="002A21AE" w:rsidRPr="000975BF" w:rsidRDefault="002A21AE">
      <w:pPr>
        <w:pStyle w:val="ListBullet"/>
        <w:rPr>
          <w:strike/>
        </w:rPr>
      </w:pPr>
      <w:r>
        <w:t>VBECS displays notification icons only to users logged into VBECS.</w:t>
      </w:r>
    </w:p>
    <w:p w14:paraId="3AE63C81" w14:textId="77777777" w:rsidR="002A21AE" w:rsidRDefault="002A21AE">
      <w:pPr>
        <w:pStyle w:val="Heading4"/>
      </w:pPr>
      <w:r>
        <w:t>Limitations and Restrictions</w:t>
      </w:r>
      <w:r>
        <w:rPr>
          <w:b w:val="0"/>
        </w:rPr>
        <w:t xml:space="preserve"> </w:t>
      </w:r>
    </w:p>
    <w:p w14:paraId="2DABF589" w14:textId="77777777" w:rsidR="00325067" w:rsidRPr="00543DAF" w:rsidRDefault="002A21AE" w:rsidP="00971715">
      <w:pPr>
        <w:pStyle w:val="ListBullet"/>
      </w:pPr>
      <w:r>
        <w:t xml:space="preserve">VBECS </w:t>
      </w:r>
      <w:r w:rsidR="005B2BDB">
        <w:t>issues</w:t>
      </w:r>
      <w:r>
        <w:t xml:space="preserve"> no notifications </w:t>
      </w:r>
      <w:r w:rsidR="00B306AF">
        <w:t>for</w:t>
      </w:r>
      <w:r>
        <w:t xml:space="preserve"> order cancellations.</w:t>
      </w:r>
    </w:p>
    <w:p w14:paraId="38F745FD" w14:textId="77777777" w:rsidR="002A21AE" w:rsidRDefault="002A21AE">
      <w:pPr>
        <w:pStyle w:val="Heading4"/>
      </w:pPr>
      <w:r>
        <w:t xml:space="preserve">Additional Information </w:t>
      </w:r>
    </w:p>
    <w:p w14:paraId="0144BDC0" w14:textId="77777777" w:rsidR="002A21AE" w:rsidRDefault="002A21AE">
      <w:pPr>
        <w:pStyle w:val="ListBullet"/>
      </w:pPr>
      <w:r>
        <w:rPr>
          <w:rFonts w:ascii="Arial" w:hAnsi="Arial" w:cs="Arial"/>
          <w:vanish/>
          <w:spacing w:val="0"/>
          <w:sz w:val="18"/>
        </w:rPr>
        <w:t xml:space="preserve">BR_84.12 </w:t>
      </w:r>
      <w:r>
        <w:t xml:space="preserve">The user may set VBECS to automatically print an order alert </w:t>
      </w:r>
      <w:r w:rsidR="00BC62B7">
        <w:t xml:space="preserve">with limited information </w:t>
      </w:r>
      <w:r>
        <w:t>on the designated printer when VBECS acknowledges the order.</w:t>
      </w:r>
    </w:p>
    <w:p w14:paraId="45302320" w14:textId="0F6D7995" w:rsidR="00DA5187" w:rsidRPr="008E2778" w:rsidRDefault="00DA5187">
      <w:pPr>
        <w:pStyle w:val="ListBullet"/>
      </w:pPr>
      <w:r w:rsidRPr="00971715">
        <w:rPr>
          <w:spacing w:val="0"/>
        </w:rPr>
        <w:t xml:space="preserve">The alert displays the individual test’s </w:t>
      </w:r>
      <w:r w:rsidR="00D059AF">
        <w:rPr>
          <w:spacing w:val="0"/>
        </w:rPr>
        <w:t xml:space="preserve">(child) </w:t>
      </w:r>
      <w:r w:rsidRPr="00971715">
        <w:rPr>
          <w:spacing w:val="0"/>
        </w:rPr>
        <w:t xml:space="preserve">CPRS </w:t>
      </w:r>
      <w:r w:rsidR="00177E10">
        <w:rPr>
          <w:spacing w:val="0"/>
        </w:rPr>
        <w:t xml:space="preserve">ID. The </w:t>
      </w:r>
      <w:r w:rsidR="004D735A">
        <w:rPr>
          <w:spacing w:val="0"/>
        </w:rPr>
        <w:t>individual test’s (</w:t>
      </w:r>
      <w:r w:rsidR="008C69E2">
        <w:rPr>
          <w:spacing w:val="0"/>
        </w:rPr>
        <w:t>child</w:t>
      </w:r>
      <w:r w:rsidR="004D735A">
        <w:rPr>
          <w:spacing w:val="0"/>
        </w:rPr>
        <w:t>)</w:t>
      </w:r>
      <w:r w:rsidR="008C69E2">
        <w:rPr>
          <w:spacing w:val="0"/>
        </w:rPr>
        <w:t xml:space="preserve"> </w:t>
      </w:r>
      <w:r w:rsidR="00177E10">
        <w:rPr>
          <w:spacing w:val="0"/>
        </w:rPr>
        <w:t xml:space="preserve">CPRS ID is not displayed </w:t>
      </w:r>
      <w:r w:rsidR="004D735A">
        <w:rPr>
          <w:spacing w:val="0"/>
        </w:rPr>
        <w:t xml:space="preserve">on the Pending Order List, </w:t>
      </w:r>
      <w:r w:rsidR="00177E10">
        <w:rPr>
          <w:spacing w:val="0"/>
        </w:rPr>
        <w:t>elsewhere in VBECS or on reports and is not usable in search functions</w:t>
      </w:r>
      <w:r w:rsidRPr="00971715">
        <w:rPr>
          <w:spacing w:val="0"/>
        </w:rPr>
        <w:t xml:space="preserve">. </w:t>
      </w:r>
      <w:r w:rsidRPr="00971715">
        <w:rPr>
          <w:vanish/>
          <w:spacing w:val="0"/>
        </w:rPr>
        <w:t>DR 4938</w:t>
      </w:r>
      <w:r w:rsidR="00282037">
        <w:rPr>
          <w:vanish/>
          <w:spacing w:val="0"/>
        </w:rPr>
        <w:t xml:space="preserve"> </w:t>
      </w:r>
      <w:r w:rsidR="00282037">
        <w:rPr>
          <w:spacing w:val="0"/>
        </w:rPr>
        <w:t>(See FAQ CPRS VBECS Order Details)</w:t>
      </w:r>
    </w:p>
    <w:p w14:paraId="62C05B31" w14:textId="77777777" w:rsidR="002A21AE" w:rsidRDefault="002A21AE">
      <w:pPr>
        <w:pStyle w:val="Heading4"/>
        <w:rPr>
          <w:b w:val="0"/>
        </w:rPr>
      </w:pPr>
      <w:r>
        <w:t>User Roles with Access to This Option</w:t>
      </w:r>
      <w:r>
        <w:rPr>
          <w:b w:val="0"/>
        </w:rPr>
        <w:t xml:space="preserve"> </w:t>
      </w:r>
    </w:p>
    <w:p w14:paraId="08774092" w14:textId="77777777" w:rsidR="002A21AE" w:rsidRDefault="000F12D4">
      <w:pPr>
        <w:pStyle w:val="Roles"/>
        <w:rPr>
          <w:snapToGrid w:val="0"/>
        </w:rPr>
      </w:pPr>
      <w:r>
        <w:t>All users</w:t>
      </w:r>
    </w:p>
    <w:p w14:paraId="61F4C561" w14:textId="77777777" w:rsidR="002A21AE" w:rsidRDefault="002A21AE">
      <w:pPr>
        <w:pStyle w:val="Heading4"/>
      </w:pPr>
      <w:r>
        <w:t>Display Order Alerts</w:t>
      </w:r>
    </w:p>
    <w:p w14:paraId="0644F7C1" w14:textId="77777777" w:rsidR="002A21AE" w:rsidRDefault="002A21AE" w:rsidP="00FA7E65">
      <w:pPr>
        <w:pStyle w:val="BodyText"/>
      </w:pPr>
      <w:r>
        <w:t>VBECS notifies the user that order updates occurred and allows him to accept the new orders.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4CF9EE" w14:textId="77777777" w:rsidTr="003362FE">
        <w:trPr>
          <w:cantSplit/>
          <w:tblHeader/>
        </w:trPr>
        <w:tc>
          <w:tcPr>
            <w:tcW w:w="3240" w:type="dxa"/>
            <w:shd w:val="pct30" w:color="auto" w:fill="FFFFFF"/>
            <w:vAlign w:val="bottom"/>
          </w:tcPr>
          <w:p w14:paraId="1EE14E9A" w14:textId="77777777" w:rsidR="002A21AE" w:rsidRDefault="002A21AE">
            <w:pPr>
              <w:pStyle w:val="TableText"/>
              <w:rPr>
                <w:b/>
              </w:rPr>
            </w:pPr>
            <w:r>
              <w:rPr>
                <w:b/>
              </w:rPr>
              <w:t>User Action</w:t>
            </w:r>
          </w:p>
        </w:tc>
        <w:tc>
          <w:tcPr>
            <w:tcW w:w="6120" w:type="dxa"/>
            <w:shd w:val="pct30" w:color="auto" w:fill="FFFFFF"/>
            <w:vAlign w:val="bottom"/>
          </w:tcPr>
          <w:p w14:paraId="44913938" w14:textId="77777777" w:rsidR="002A21AE" w:rsidRDefault="002A21AE">
            <w:pPr>
              <w:pStyle w:val="TableText"/>
              <w:rPr>
                <w:b/>
              </w:rPr>
            </w:pPr>
            <w:r>
              <w:rPr>
                <w:b/>
              </w:rPr>
              <w:t>VBECS</w:t>
            </w:r>
          </w:p>
        </w:tc>
      </w:tr>
      <w:tr w:rsidR="002A21AE" w14:paraId="5183E467" w14:textId="77777777" w:rsidTr="003362FE">
        <w:trPr>
          <w:cantSplit/>
          <w:trHeight w:val="403"/>
        </w:trPr>
        <w:tc>
          <w:tcPr>
            <w:tcW w:w="3240" w:type="dxa"/>
          </w:tcPr>
          <w:p w14:paraId="2E1CD81C" w14:textId="77777777" w:rsidR="002A21AE" w:rsidRDefault="002A21AE">
            <w:pPr>
              <w:pStyle w:val="TableTextNumbers"/>
            </w:pPr>
            <w:r>
              <w:t xml:space="preserve">Hold the </w:t>
            </w:r>
            <w:r w:rsidRPr="003F3122">
              <w:rPr>
                <w:szCs w:val="18"/>
              </w:rPr>
              <w:t>mouse</w:t>
            </w:r>
            <w:r>
              <w:t xml:space="preserve"> over the </w:t>
            </w:r>
            <w:r w:rsidR="00DB3E37">
              <w:t>i</w:t>
            </w:r>
            <w:r>
              <w:t xml:space="preserve">con to view a tool tip, or </w:t>
            </w:r>
          </w:p>
          <w:p w14:paraId="239B69F0" w14:textId="77777777" w:rsidR="002A21AE" w:rsidRDefault="002A21AE">
            <w:pPr>
              <w:pStyle w:val="TableTextNumbersContinued"/>
            </w:pPr>
          </w:p>
          <w:p w14:paraId="1C3BE5C5" w14:textId="77777777" w:rsidR="002A21AE" w:rsidRDefault="002A21AE">
            <w:pPr>
              <w:pStyle w:val="TableTextNumbersContinued"/>
            </w:pPr>
            <w:r>
              <w:t xml:space="preserve">Click </w:t>
            </w:r>
            <w:r w:rsidR="00057948">
              <w:rPr>
                <w:noProof/>
              </w:rPr>
              <w:drawing>
                <wp:inline distT="0" distB="0" distL="0" distR="0" wp14:anchorId="5F46AAE2" wp14:editId="055E03C7">
                  <wp:extent cx="156845" cy="156845"/>
                  <wp:effectExtent l="0" t="0" r="0" b="0"/>
                  <wp:docPr id="214" name="Picture 214" descr="Order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Order Alert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view a panel showing new or updated orders and hide the icon. </w:t>
            </w:r>
          </w:p>
          <w:p w14:paraId="40EA7847" w14:textId="77777777" w:rsidR="002A21AE" w:rsidRDefault="002A21AE">
            <w:pPr>
              <w:pStyle w:val="TableTextNumbersContinued"/>
            </w:pPr>
          </w:p>
          <w:p w14:paraId="7E152118" w14:textId="77777777" w:rsidR="002A21AE" w:rsidRDefault="002A21AE">
            <w:pPr>
              <w:pStyle w:val="TableTextNumbersContinued"/>
            </w:pPr>
            <w:r>
              <w:t xml:space="preserve">Click </w:t>
            </w:r>
            <w:r w:rsidR="00057948">
              <w:rPr>
                <w:noProof/>
              </w:rPr>
              <w:drawing>
                <wp:inline distT="0" distB="0" distL="0" distR="0" wp14:anchorId="3B3C999E" wp14:editId="26959567">
                  <wp:extent cx="156845" cy="156845"/>
                  <wp:effectExtent l="0" t="0" r="0" b="0"/>
                  <wp:docPr id="215" name="Picture 215" descr="Order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Order Alert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again to hide the panel.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BA385BD" w14:textId="77777777" w:rsidR="002A21AE" w:rsidRDefault="002A21AE">
            <w:pPr>
              <w:pStyle w:val="TableTextBullet"/>
            </w:pPr>
            <w:r>
              <w:t>Acknowledges a new or updated patient order.</w:t>
            </w:r>
          </w:p>
          <w:p w14:paraId="1B4E6C6B" w14:textId="77777777" w:rsidR="002A21AE" w:rsidRDefault="002A21AE">
            <w:pPr>
              <w:pStyle w:val="TableTextBullet"/>
            </w:pPr>
            <w:r>
              <w:t xml:space="preserve">Displays </w:t>
            </w:r>
            <w:r w:rsidR="00922AD8">
              <w:t>an</w:t>
            </w:r>
            <w:r>
              <w:t xml:space="preserve"> order notification icon in the status bar when new orders are received, according to local settings.</w:t>
            </w:r>
          </w:p>
          <w:p w14:paraId="2AA206A9" w14:textId="77777777" w:rsidR="002A21AE" w:rsidRDefault="002A21AE">
            <w:pPr>
              <w:pStyle w:val="TableTextBullet"/>
            </w:pPr>
            <w:r>
              <w:t>Displays information regarding new orders and order updates and allows the user to accept them.</w:t>
            </w:r>
          </w:p>
          <w:p w14:paraId="24E6474E" w14:textId="77777777" w:rsidR="002A21AE" w:rsidRDefault="002A21AE">
            <w:pPr>
              <w:pStyle w:val="TableText"/>
            </w:pPr>
          </w:p>
          <w:p w14:paraId="314A40DF" w14:textId="37FB0E95" w:rsidR="002A21AE" w:rsidRDefault="002A21AE">
            <w:pPr>
              <w:pStyle w:val="TableText"/>
              <w:rPr>
                <w:b/>
                <w:bCs/>
                <w:szCs w:val="18"/>
              </w:rPr>
            </w:pPr>
            <w:r>
              <w:rPr>
                <w:b/>
                <w:bCs/>
                <w:szCs w:val="18"/>
              </w:rPr>
              <w:t>NOTES</w:t>
            </w:r>
          </w:p>
          <w:p w14:paraId="08A77412" w14:textId="77777777" w:rsidR="002A21AE" w:rsidRDefault="002A21AE">
            <w:pPr>
              <w:pStyle w:val="NotesText"/>
            </w:pPr>
          </w:p>
          <w:p w14:paraId="1B1C8DD7" w14:textId="77777777" w:rsidR="002A21AE" w:rsidRDefault="002A21AE">
            <w:pPr>
              <w:pStyle w:val="NotesText"/>
            </w:pPr>
            <w:r>
              <w:rPr>
                <w:rFonts w:cs="Arial"/>
                <w:vanish/>
                <w:szCs w:val="18"/>
              </w:rPr>
              <w:t>BR_84.01</w:t>
            </w:r>
            <w:r w:rsidR="00CE3961">
              <w:rPr>
                <w:rFonts w:cs="Arial"/>
                <w:vanish/>
                <w:szCs w:val="18"/>
              </w:rPr>
              <w:t>,</w:t>
            </w:r>
            <w:r>
              <w:rPr>
                <w:rFonts w:cs="Arial"/>
                <w:vanish/>
                <w:szCs w:val="18"/>
              </w:rPr>
              <w:t xml:space="preserve"> </w:t>
            </w:r>
            <w:r>
              <w:rPr>
                <w:vanish/>
                <w:szCs w:val="18"/>
              </w:rPr>
              <w:t xml:space="preserve">BR_84.02 </w:t>
            </w:r>
            <w:r>
              <w:t>When the division is configured to alert the user of orders received by VBECS, VBECS notifies the user of ordered components or ordered tests that were:</w:t>
            </w:r>
          </w:p>
          <w:p w14:paraId="317A2688" w14:textId="77777777" w:rsidR="002A21AE" w:rsidRDefault="002A21AE">
            <w:pPr>
              <w:pStyle w:val="NotesTextBullet"/>
              <w:tabs>
                <w:tab w:val="clear" w:pos="1008"/>
                <w:tab w:val="num" w:pos="288"/>
              </w:tabs>
            </w:pPr>
            <w:r>
              <w:t>Directed to the user’s division.</w:t>
            </w:r>
          </w:p>
          <w:p w14:paraId="3624F670" w14:textId="77777777" w:rsidR="002A21AE" w:rsidRDefault="002A21AE">
            <w:pPr>
              <w:pStyle w:val="NotesTextBullet"/>
              <w:tabs>
                <w:tab w:val="clear" w:pos="1008"/>
                <w:tab w:val="num" w:pos="288"/>
              </w:tabs>
            </w:pPr>
            <w:r>
              <w:t xml:space="preserve">Added or updated in </w:t>
            </w:r>
            <w:r w:rsidR="00CA0045" w:rsidRPr="00CA0045">
              <w:rPr>
                <w:bCs/>
              </w:rPr>
              <w:t>VistA</w:t>
            </w:r>
            <w:r w:rsidR="001F3AD5">
              <w:rPr>
                <w:bCs/>
              </w:rPr>
              <w:t xml:space="preserve"> since the system last checked</w:t>
            </w:r>
            <w:r>
              <w:t>.</w:t>
            </w:r>
          </w:p>
          <w:p w14:paraId="430F0805" w14:textId="77777777" w:rsidR="002A21AE" w:rsidRDefault="002A21AE">
            <w:pPr>
              <w:pStyle w:val="NotesText"/>
            </w:pPr>
          </w:p>
          <w:p w14:paraId="32B37FC9" w14:textId="77777777" w:rsidR="002A21AE" w:rsidRDefault="002A21AE">
            <w:pPr>
              <w:pStyle w:val="NotesText"/>
            </w:pPr>
            <w:r>
              <w:t xml:space="preserve">When the division is configured to alert the user of orders needed in the next </w:t>
            </w:r>
            <w:r w:rsidR="00D923F9">
              <w:t>specified</w:t>
            </w:r>
            <w:r>
              <w:t xml:space="preserve"> number of hours, VBECS also notifies the user of ordered components or ordered tests with a required time less than a </w:t>
            </w:r>
            <w:r w:rsidR="00D923F9">
              <w:t xml:space="preserve">specified </w:t>
            </w:r>
            <w:r>
              <w:t>number of hours in the future.</w:t>
            </w:r>
          </w:p>
          <w:p w14:paraId="2B39FEF0" w14:textId="77777777" w:rsidR="00B46D6D" w:rsidRDefault="00B46D6D">
            <w:pPr>
              <w:pStyle w:val="NotesText"/>
            </w:pPr>
          </w:p>
          <w:p w14:paraId="6AF60A83" w14:textId="77777777" w:rsidR="00B46D6D" w:rsidRDefault="00B46D6D" w:rsidP="00B46D6D">
            <w:pPr>
              <w:pStyle w:val="TableText"/>
              <w:ind w:left="720"/>
            </w:pPr>
            <w:r w:rsidRPr="00B46D6D">
              <w:rPr>
                <w:vanish/>
              </w:rPr>
              <w:t>BR_84.04</w:t>
            </w:r>
            <w:r w:rsidR="00EA5FF4">
              <w:rPr>
                <w:vanish/>
              </w:rPr>
              <w:t xml:space="preserve"> </w:t>
            </w:r>
            <w:r>
              <w:t>The system displays the following information for each entry in the summary:</w:t>
            </w:r>
          </w:p>
          <w:p w14:paraId="7BFE2ECF" w14:textId="77777777" w:rsidR="00B46D6D" w:rsidRDefault="00B46D6D" w:rsidP="00925CAD">
            <w:pPr>
              <w:pStyle w:val="TableText"/>
              <w:numPr>
                <w:ilvl w:val="0"/>
                <w:numId w:val="52"/>
              </w:numPr>
              <w:ind w:left="1440"/>
            </w:pPr>
            <w:r>
              <w:t>Urgency</w:t>
            </w:r>
          </w:p>
          <w:p w14:paraId="6156B8B4" w14:textId="77777777" w:rsidR="00B46D6D" w:rsidRDefault="00B46D6D" w:rsidP="00925CAD">
            <w:pPr>
              <w:pStyle w:val="TableText"/>
              <w:numPr>
                <w:ilvl w:val="0"/>
                <w:numId w:val="52"/>
              </w:numPr>
              <w:ind w:left="1440"/>
            </w:pPr>
            <w:r>
              <w:t>Patient Name</w:t>
            </w:r>
          </w:p>
          <w:p w14:paraId="56F8B4D2" w14:textId="77777777" w:rsidR="00B46D6D" w:rsidRDefault="00B46D6D" w:rsidP="00925CAD">
            <w:pPr>
              <w:pStyle w:val="TableText"/>
              <w:numPr>
                <w:ilvl w:val="0"/>
                <w:numId w:val="52"/>
              </w:numPr>
              <w:ind w:left="1440"/>
            </w:pPr>
            <w:r>
              <w:t>Patient ID</w:t>
            </w:r>
          </w:p>
          <w:p w14:paraId="1E3DB78E" w14:textId="77777777" w:rsidR="00B46D6D" w:rsidRDefault="00B46D6D" w:rsidP="00925CAD">
            <w:pPr>
              <w:pStyle w:val="TableText"/>
              <w:numPr>
                <w:ilvl w:val="0"/>
                <w:numId w:val="52"/>
              </w:numPr>
              <w:ind w:left="1440"/>
            </w:pPr>
            <w:r>
              <w:t>Ordered Item</w:t>
            </w:r>
          </w:p>
          <w:p w14:paraId="40B77F34" w14:textId="77777777" w:rsidR="00B46D6D" w:rsidRDefault="00B46D6D" w:rsidP="00925CAD">
            <w:pPr>
              <w:pStyle w:val="TableText"/>
              <w:numPr>
                <w:ilvl w:val="0"/>
                <w:numId w:val="52"/>
              </w:numPr>
              <w:ind w:left="1440"/>
            </w:pPr>
            <w:r>
              <w:t>Wanted Date</w:t>
            </w:r>
          </w:p>
          <w:p w14:paraId="5A97C5B5" w14:textId="77777777" w:rsidR="00B46D6D" w:rsidRDefault="00B46D6D" w:rsidP="00925CAD">
            <w:pPr>
              <w:pStyle w:val="TableText"/>
              <w:numPr>
                <w:ilvl w:val="0"/>
                <w:numId w:val="52"/>
              </w:numPr>
              <w:ind w:left="1440"/>
            </w:pPr>
            <w:r>
              <w:t>Lab Order ID</w:t>
            </w:r>
          </w:p>
          <w:p w14:paraId="0B88861A" w14:textId="77777777" w:rsidR="00B46D6D" w:rsidRDefault="00B46D6D" w:rsidP="00925CAD">
            <w:pPr>
              <w:pStyle w:val="TableText"/>
              <w:numPr>
                <w:ilvl w:val="0"/>
                <w:numId w:val="52"/>
              </w:numPr>
              <w:ind w:left="1440"/>
            </w:pPr>
            <w:r>
              <w:t>CPRS Order ID</w:t>
            </w:r>
          </w:p>
          <w:p w14:paraId="0F8D42A7" w14:textId="77777777" w:rsidR="00B46D6D" w:rsidRDefault="00B46D6D" w:rsidP="00B46D6D">
            <w:pPr>
              <w:pStyle w:val="NotesText"/>
            </w:pPr>
          </w:p>
          <w:p w14:paraId="3942C4C7" w14:textId="77777777" w:rsidR="00B46D6D" w:rsidRDefault="00B46D6D" w:rsidP="00B46D6D">
            <w:pPr>
              <w:pStyle w:val="NotesText"/>
            </w:pPr>
            <w:r w:rsidRPr="00B46D6D">
              <w:rPr>
                <w:vanish/>
              </w:rPr>
              <w:t>BR_84.05</w:t>
            </w:r>
            <w:r w:rsidR="00EA5FF4">
              <w:rPr>
                <w:vanish/>
              </w:rPr>
              <w:t xml:space="preserve"> </w:t>
            </w:r>
            <w:r>
              <w:t>If the notification icon was already visible, the system appends new notification information to the summary. If it was not visible, the system displays only the new notification information in the summary.</w:t>
            </w:r>
          </w:p>
        </w:tc>
      </w:tr>
    </w:tbl>
    <w:p w14:paraId="6082CB31" w14:textId="77777777" w:rsidR="00A47414" w:rsidRDefault="00A47414" w:rsidP="0072673B">
      <w:pPr>
        <w:pStyle w:val="Heading3"/>
      </w:pPr>
    </w:p>
    <w:p w14:paraId="3E7C5C4A" w14:textId="77777777" w:rsidR="00A47414" w:rsidRDefault="00A47414">
      <w:pPr>
        <w:rPr>
          <w:rFonts w:ascii="Arial" w:hAnsi="Arial" w:cs="Arial"/>
          <w:b/>
          <w:bCs/>
          <w:sz w:val="26"/>
          <w:szCs w:val="26"/>
        </w:rPr>
      </w:pPr>
      <w:r>
        <w:br w:type="page"/>
      </w:r>
    </w:p>
    <w:p w14:paraId="6CDA990F" w14:textId="19312039" w:rsidR="00A47414" w:rsidRDefault="00A47414" w:rsidP="00A47414">
      <w:pPr>
        <w:pStyle w:val="Heading3"/>
      </w:pPr>
      <w:bookmarkStart w:id="424" w:name="_Toc149064145"/>
      <w:r w:rsidRPr="00A47414">
        <w:t>CPRS Order Status Alert</w:t>
      </w:r>
      <w:bookmarkEnd w:id="424"/>
      <w:r w:rsidRPr="00A47414">
        <w:fldChar w:fldCharType="begin"/>
      </w:r>
      <w:r w:rsidRPr="00A47414">
        <w:instrText xml:space="preserve"> XE “</w:instrText>
      </w:r>
      <w:r>
        <w:instrText>CPRS</w:instrText>
      </w:r>
      <w:r w:rsidRPr="00A47414">
        <w:instrText xml:space="preserve"> Order </w:instrText>
      </w:r>
      <w:r>
        <w:instrText xml:space="preserve">Status </w:instrText>
      </w:r>
      <w:r w:rsidRPr="00A47414">
        <w:instrText xml:space="preserve">Alert” </w:instrText>
      </w:r>
      <w:r w:rsidRPr="00A47414">
        <w:fldChar w:fldCharType="end"/>
      </w:r>
      <w:r w:rsidR="00CD5A0C">
        <w:t xml:space="preserve"> </w:t>
      </w:r>
      <w:r w:rsidR="00CD5A0C" w:rsidRPr="00CD5A0C">
        <w:rPr>
          <w:rFonts w:ascii="Arial Bold" w:hAnsi="Arial Bold"/>
          <w:vanish/>
        </w:rPr>
        <w:t>UC_84</w:t>
      </w:r>
    </w:p>
    <w:p w14:paraId="192EB795" w14:textId="2D871563" w:rsidR="00A47414" w:rsidRDefault="00A47414" w:rsidP="00A47414">
      <w:pPr>
        <w:pStyle w:val="BodyText"/>
      </w:pPr>
      <w:r>
        <w:t>An order’s status changes when it is a</w:t>
      </w:r>
      <w:r w:rsidRPr="0096379E">
        <w:t>ccepted, completed or cance</w:t>
      </w:r>
      <w:r w:rsidR="002F7E19">
        <w:t>l</w:t>
      </w:r>
      <w:r w:rsidRPr="0096379E">
        <w:t>led</w:t>
      </w:r>
      <w:r>
        <w:t xml:space="preserve">. </w:t>
      </w:r>
      <w:r w:rsidRPr="0096379E">
        <w:t xml:space="preserve">VBECS </w:t>
      </w:r>
      <w:r>
        <w:t xml:space="preserve">transmits these status changes to CPRS using a message queueing system so that CPRS reflects the same order status as VBECS. If the status transmission is successful, that message is removed from the queue, otherwise it stays for additional attempts. The </w:t>
      </w:r>
      <w:r w:rsidRPr="00796543">
        <w:rPr>
          <w:i/>
        </w:rPr>
        <w:t>CPRS Order Status Alert</w:t>
      </w:r>
      <w:r w:rsidRPr="00796543">
        <w:t xml:space="preserve"> (</w:t>
      </w:r>
      <w:r w:rsidR="00EE455E">
        <w:t xml:space="preserve">Figure </w:t>
      </w:r>
      <w:r w:rsidR="00EE455E">
        <w:rPr>
          <w:noProof/>
        </w:rPr>
        <w:t>87</w:t>
      </w:r>
      <w:r w:rsidRPr="00796543">
        <w:t>)</w:t>
      </w:r>
      <w:r>
        <w:t xml:space="preserve"> indicates the current transmission status by displaying one of the following icons:</w:t>
      </w:r>
    </w:p>
    <w:p w14:paraId="30458E98" w14:textId="77777777" w:rsidR="00A47414" w:rsidRDefault="00A47414" w:rsidP="00A47414">
      <w:pPr>
        <w:pStyle w:val="BodyText"/>
      </w:pPr>
      <w:r w:rsidRPr="00CE404D">
        <w:rPr>
          <w:b/>
          <w:noProof/>
        </w:rPr>
        <w:drawing>
          <wp:inline distT="0" distB="0" distL="0" distR="0" wp14:anchorId="1B5A36B3" wp14:editId="16F86638">
            <wp:extent cx="161925" cy="161925"/>
            <wp:effectExtent l="0" t="0" r="9525" b="9525"/>
            <wp:docPr id="22" name="Picture 3" descr="CPRS Communication Err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CPRS Communication Error ic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E404D">
        <w:rPr>
          <w:b/>
        </w:rPr>
        <w:t xml:space="preserve"> </w:t>
      </w:r>
      <w:r>
        <w:rPr>
          <w:b/>
        </w:rPr>
        <w:t>CPRS Communications Error</w:t>
      </w:r>
      <w:r w:rsidRPr="00C81B15">
        <w:t>.</w:t>
      </w:r>
      <w:r>
        <w:t xml:space="preserve"> Some orders in CPRS will not reflect the same status as VBECS. Contact Customer Support to have the issue investigated and resolved. Most problems can typically be resolved by restarting the VBECS-OERR HL7 link in VistA.</w:t>
      </w:r>
    </w:p>
    <w:p w14:paraId="777C3149" w14:textId="40B305D3" w:rsidR="00A47414" w:rsidRDefault="00A47414" w:rsidP="00A47414">
      <w:pPr>
        <w:pStyle w:val="BodyText"/>
      </w:pPr>
      <w:r w:rsidRPr="00CE404D">
        <w:rPr>
          <w:b/>
          <w:noProof/>
        </w:rPr>
        <w:drawing>
          <wp:inline distT="0" distB="0" distL="0" distR="0" wp14:anchorId="36066409" wp14:editId="0AF20113">
            <wp:extent cx="152400" cy="152400"/>
            <wp:effectExtent l="0" t="0" r="0" b="0"/>
            <wp:docPr id="34" name="Picture 34" descr="CPRS Communication Goo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PRS Communication Good ic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E404D">
        <w:rPr>
          <w:b/>
        </w:rPr>
        <w:t xml:space="preserve"> </w:t>
      </w:r>
      <w:r>
        <w:rPr>
          <w:b/>
        </w:rPr>
        <w:t>CPRS Communications Good</w:t>
      </w:r>
      <w:r w:rsidRPr="00CE404D">
        <w:t>.</w:t>
      </w:r>
      <w:r>
        <w:rPr>
          <w:b/>
        </w:rPr>
        <w:t xml:space="preserve"> </w:t>
      </w:r>
      <w:r w:rsidRPr="00CE404D">
        <w:t>All VBECS order</w:t>
      </w:r>
      <w:r>
        <w:t xml:space="preserve"> status message</w:t>
      </w:r>
      <w:r w:rsidR="00C96CC3">
        <w:t>s</w:t>
      </w:r>
      <w:r>
        <w:t xml:space="preserve"> have been sent to CPRS.</w:t>
      </w:r>
    </w:p>
    <w:p w14:paraId="0F050126" w14:textId="667DCF9B" w:rsidR="00A47414" w:rsidRDefault="00A47414" w:rsidP="00A47414">
      <w:pPr>
        <w:pStyle w:val="Caption"/>
      </w:pPr>
      <w:bookmarkStart w:id="425" w:name="_Ref18050663"/>
      <w:r>
        <w:t xml:space="preserve">Figure </w:t>
      </w:r>
      <w:r>
        <w:rPr>
          <w:noProof/>
        </w:rPr>
        <w:fldChar w:fldCharType="begin"/>
      </w:r>
      <w:r>
        <w:rPr>
          <w:noProof/>
        </w:rPr>
        <w:instrText xml:space="preserve"> SEQ Figure \* ARABIC </w:instrText>
      </w:r>
      <w:r>
        <w:rPr>
          <w:noProof/>
        </w:rPr>
        <w:fldChar w:fldCharType="separate"/>
      </w:r>
      <w:r w:rsidR="00ED2D38">
        <w:rPr>
          <w:noProof/>
        </w:rPr>
        <w:t>87</w:t>
      </w:r>
      <w:r>
        <w:rPr>
          <w:noProof/>
        </w:rPr>
        <w:fldChar w:fldCharType="end"/>
      </w:r>
      <w:bookmarkEnd w:id="425"/>
      <w:r>
        <w:t>: Example of the CPRS Order Status Alert</w:t>
      </w:r>
    </w:p>
    <w:p w14:paraId="4E09C73A" w14:textId="77777777" w:rsidR="00A47414" w:rsidRDefault="00A47414" w:rsidP="00A47414">
      <w:pPr>
        <w:pStyle w:val="BodyText"/>
      </w:pPr>
      <w:r>
        <w:rPr>
          <w:noProof/>
        </w:rPr>
        <w:drawing>
          <wp:inline distT="0" distB="0" distL="0" distR="0" wp14:anchorId="45993D67" wp14:editId="733FC2EA">
            <wp:extent cx="5943600" cy="1752600"/>
            <wp:effectExtent l="0" t="0" r="0" b="0"/>
            <wp:docPr id="36" name="Picture 36" descr="Example of CPRS Order Status Ale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xample of CPRS Order Status Alert screen captur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19CC8C31" w14:textId="77777777" w:rsidR="00A47414" w:rsidRDefault="00A47414" w:rsidP="00A47414">
      <w:pPr>
        <w:pStyle w:val="Heading4"/>
      </w:pPr>
      <w:r>
        <w:t xml:space="preserve">Additional Information </w:t>
      </w:r>
    </w:p>
    <w:p w14:paraId="572AF463" w14:textId="77777777" w:rsidR="00A47414" w:rsidRPr="00341658" w:rsidRDefault="00A47414" w:rsidP="00A47414">
      <w:pPr>
        <w:pStyle w:val="ListBullet"/>
      </w:pPr>
      <w:r>
        <w:rPr>
          <w:rFonts w:ascii="Arial" w:hAnsi="Arial" w:cs="Arial"/>
          <w:vanish/>
          <w:spacing w:val="0"/>
          <w:sz w:val="18"/>
        </w:rPr>
        <w:t xml:space="preserve">BR_84.12 </w:t>
      </w:r>
      <w:r w:rsidRPr="00341658">
        <w:rPr>
          <w:spacing w:val="0"/>
        </w:rPr>
        <w:t xml:space="preserve">The </w:t>
      </w:r>
      <w:r w:rsidRPr="00796543">
        <w:rPr>
          <w:i/>
          <w:spacing w:val="0"/>
        </w:rPr>
        <w:t>CPRS Order Status Alert</w:t>
      </w:r>
      <w:r w:rsidRPr="00341658">
        <w:rPr>
          <w:spacing w:val="0"/>
        </w:rPr>
        <w:t xml:space="preserve"> checks for pending transmission messages when VBECS is started and </w:t>
      </w:r>
      <w:r>
        <w:rPr>
          <w:spacing w:val="0"/>
        </w:rPr>
        <w:t>will then refresh/recheck e</w:t>
      </w:r>
      <w:r w:rsidRPr="00341658">
        <w:rPr>
          <w:spacing w:val="0"/>
        </w:rPr>
        <w:t xml:space="preserve">very 10 minutes. The </w:t>
      </w:r>
      <w:r>
        <w:rPr>
          <w:spacing w:val="0"/>
        </w:rPr>
        <w:t xml:space="preserve">10-minute </w:t>
      </w:r>
      <w:r w:rsidRPr="00341658">
        <w:rPr>
          <w:spacing w:val="0"/>
        </w:rPr>
        <w:t>refresh interval is not configurable.</w:t>
      </w:r>
    </w:p>
    <w:p w14:paraId="25EE69D6" w14:textId="77777777" w:rsidR="00A47414" w:rsidRPr="00341658" w:rsidRDefault="00A47414" w:rsidP="00A47414">
      <w:pPr>
        <w:pStyle w:val="ListBullet"/>
      </w:pPr>
      <w:r>
        <w:t xml:space="preserve">Hovering over the alert icon will display a tooltip indicating </w:t>
      </w:r>
      <w:r w:rsidRPr="00341658">
        <w:t xml:space="preserve">how many messages (if any) </w:t>
      </w:r>
      <w:r>
        <w:t>were pending at the time of the last refresh,</w:t>
      </w:r>
      <w:r w:rsidRPr="00341658">
        <w:t xml:space="preserve"> as well as the </w:t>
      </w:r>
      <w:r>
        <w:t>time of the n</w:t>
      </w:r>
      <w:r w:rsidRPr="00341658">
        <w:t xml:space="preserve">ext </w:t>
      </w:r>
      <w:r>
        <w:t>refresh.</w:t>
      </w:r>
    </w:p>
    <w:p w14:paraId="465EF17C" w14:textId="77777777" w:rsidR="00A47414" w:rsidRPr="00341658" w:rsidRDefault="00A47414" w:rsidP="00A47414">
      <w:pPr>
        <w:pStyle w:val="ListBullet"/>
      </w:pPr>
      <w:r w:rsidRPr="00341658">
        <w:rPr>
          <w:vanish/>
          <w:spacing w:val="0"/>
        </w:rPr>
        <w:t>HoHover</w:t>
      </w:r>
      <w:r w:rsidRPr="00341658">
        <w:t>Order status messages are processed by the following service</w:t>
      </w:r>
      <w:r>
        <w:t>s:</w:t>
      </w:r>
    </w:p>
    <w:p w14:paraId="43630B79" w14:textId="77777777" w:rsidR="00A47414" w:rsidRPr="00341658" w:rsidRDefault="00A47414" w:rsidP="00A47414">
      <w:pPr>
        <w:pStyle w:val="ListBullet"/>
        <w:numPr>
          <w:ilvl w:val="1"/>
          <w:numId w:val="15"/>
        </w:numPr>
      </w:pPr>
      <w:r w:rsidRPr="00341658">
        <w:rPr>
          <w:vanish/>
          <w:spacing w:val="0"/>
        </w:rPr>
        <w:t>Se</w:t>
      </w:r>
      <w:r w:rsidRPr="00341658">
        <w:rPr>
          <w:b/>
          <w:spacing w:val="0"/>
        </w:rPr>
        <w:t>Sender</w:t>
      </w:r>
      <w:r w:rsidRPr="00341658">
        <w:rPr>
          <w:spacing w:val="0"/>
        </w:rPr>
        <w:t>: CPRS HL7 OERR (VBECS Interface</w:t>
      </w:r>
      <w:r>
        <w:rPr>
          <w:spacing w:val="0"/>
        </w:rPr>
        <w:t xml:space="preserve"> / Windows Service</w:t>
      </w:r>
      <w:r w:rsidRPr="00341658">
        <w:rPr>
          <w:spacing w:val="0"/>
        </w:rPr>
        <w:t>)</w:t>
      </w:r>
    </w:p>
    <w:p w14:paraId="49BBEA3D" w14:textId="77777777" w:rsidR="00A47414" w:rsidRDefault="00A47414" w:rsidP="00A47414">
      <w:pPr>
        <w:pStyle w:val="ListBullet"/>
        <w:numPr>
          <w:ilvl w:val="1"/>
          <w:numId w:val="15"/>
        </w:numPr>
      </w:pPr>
      <w:r w:rsidRPr="00341658">
        <w:rPr>
          <w:b/>
        </w:rPr>
        <w:t>Listener</w:t>
      </w:r>
      <w:r w:rsidRPr="00341658">
        <w:t>: VBECS-OERR (VistA HL7 Logical Link)</w:t>
      </w:r>
    </w:p>
    <w:p w14:paraId="4915F25D" w14:textId="77777777" w:rsidR="00A47414" w:rsidRPr="00341658" w:rsidRDefault="00A47414" w:rsidP="00A47414">
      <w:pPr>
        <w:pStyle w:val="ListBullet"/>
        <w:numPr>
          <w:ilvl w:val="0"/>
          <w:numId w:val="0"/>
        </w:numPr>
        <w:ind w:left="648" w:hanging="360"/>
      </w:pPr>
      <w:r>
        <w:t xml:space="preserve">Refer to the </w:t>
      </w:r>
      <w:r w:rsidRPr="00CE404D">
        <w:rPr>
          <w:i/>
        </w:rPr>
        <w:t>VBECS Administrator User Guide</w:t>
      </w:r>
      <w:r>
        <w:t xml:space="preserve"> for additional information on VBECS interfaces.</w:t>
      </w:r>
    </w:p>
    <w:p w14:paraId="69FFA935" w14:textId="77777777" w:rsidR="00A47414" w:rsidRDefault="00A47414" w:rsidP="00A47414">
      <w:pPr>
        <w:pStyle w:val="Heading4"/>
        <w:rPr>
          <w:b w:val="0"/>
        </w:rPr>
      </w:pPr>
      <w:r>
        <w:t>User Roles with Access to This Option</w:t>
      </w:r>
      <w:r>
        <w:rPr>
          <w:b w:val="0"/>
        </w:rPr>
        <w:t xml:space="preserve"> </w:t>
      </w:r>
    </w:p>
    <w:p w14:paraId="100B44C7" w14:textId="77777777" w:rsidR="00A47414" w:rsidRDefault="00A47414" w:rsidP="00A47414">
      <w:pPr>
        <w:pStyle w:val="Roles"/>
        <w:rPr>
          <w:snapToGrid w:val="0"/>
        </w:rPr>
      </w:pPr>
      <w:r>
        <w:t>All users</w:t>
      </w:r>
    </w:p>
    <w:p w14:paraId="4BDE22A7" w14:textId="14B9FF1B" w:rsidR="002A21AE" w:rsidRDefault="0072673B" w:rsidP="0072673B">
      <w:pPr>
        <w:pStyle w:val="Heading3"/>
      </w:pPr>
      <w:r>
        <w:br w:type="page"/>
      </w:r>
      <w:bookmarkStart w:id="426" w:name="_Toc149064146"/>
      <w:r w:rsidR="00057948">
        <w:rPr>
          <w:noProof/>
        </w:rPr>
        <w:drawing>
          <wp:inline distT="0" distB="0" distL="0" distR="0" wp14:anchorId="48474372" wp14:editId="2E536154">
            <wp:extent cx="166370" cy="156845"/>
            <wp:effectExtent l="0" t="0" r="5080" b="0"/>
            <wp:docPr id="216" name="Picture 216"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2A21AE">
        <w:t xml:space="preserve"> Display Patient Update Alerts</w:t>
      </w:r>
      <w:bookmarkEnd w:id="426"/>
      <w:r w:rsidR="002A21AE">
        <w:fldChar w:fldCharType="begin"/>
      </w:r>
      <w:r w:rsidR="002A21AE">
        <w:instrText xml:space="preserve"> XE </w:instrText>
      </w:r>
      <w:r w:rsidR="00FA7E65">
        <w:instrText>“</w:instrText>
      </w:r>
      <w:r w:rsidR="002A21AE">
        <w:instrText>Display Patient Update Alerts</w:instrText>
      </w:r>
      <w:r w:rsidR="00FA7E65">
        <w:instrText>”</w:instrText>
      </w:r>
      <w:r w:rsidR="002A21AE">
        <w:instrText xml:space="preserve"> </w:instrText>
      </w:r>
      <w:r w:rsidR="002A21AE">
        <w:fldChar w:fldCharType="end"/>
      </w:r>
      <w:r w:rsidR="002A21AE">
        <w:t xml:space="preserve"> </w:t>
      </w:r>
      <w:r w:rsidR="002A21AE">
        <w:rPr>
          <w:vanish/>
          <w:sz w:val="22"/>
        </w:rPr>
        <w:t>UC_84</w:t>
      </w:r>
    </w:p>
    <w:p w14:paraId="23E43557" w14:textId="77777777" w:rsidR="002A21AE" w:rsidRDefault="002A21AE" w:rsidP="00FA7E65">
      <w:pPr>
        <w:pStyle w:val="BodyText"/>
      </w:pPr>
      <w:r>
        <w:t xml:space="preserve">VBECS notifies the user of patient update, death, and merge events. </w:t>
      </w:r>
    </w:p>
    <w:p w14:paraId="04DF07D3" w14:textId="77777777" w:rsidR="002A21AE" w:rsidRDefault="002A21AE">
      <w:pPr>
        <w:pStyle w:val="Heading4"/>
      </w:pPr>
      <w:r>
        <w:t>Assumptions</w:t>
      </w:r>
      <w:r>
        <w:rPr>
          <w:b w:val="0"/>
        </w:rPr>
        <w:t xml:space="preserve"> </w:t>
      </w:r>
    </w:p>
    <w:p w14:paraId="7B3BEC7C" w14:textId="77777777" w:rsidR="002A21AE" w:rsidRDefault="002A21AE">
      <w:pPr>
        <w:pStyle w:val="ListBullet"/>
      </w:pPr>
      <w:r>
        <w:t xml:space="preserve">A patient demographic update is received from </w:t>
      </w:r>
      <w:r w:rsidR="00CA0045" w:rsidRPr="00CA0045">
        <w:rPr>
          <w:bCs/>
        </w:rPr>
        <w:t>VistA</w:t>
      </w:r>
      <w:r>
        <w:t xml:space="preserve"> for the user’s division for a VBECS patient with an active order.</w:t>
      </w:r>
    </w:p>
    <w:p w14:paraId="44EC5226" w14:textId="77777777" w:rsidR="002A21AE" w:rsidRDefault="002A21AE">
      <w:pPr>
        <w:pStyle w:val="Heading4"/>
      </w:pPr>
      <w:r>
        <w:t xml:space="preserve">Outcome </w:t>
      </w:r>
    </w:p>
    <w:p w14:paraId="39185472" w14:textId="77777777" w:rsidR="002A21AE" w:rsidRDefault="002A21AE">
      <w:pPr>
        <w:pStyle w:val="ListBullet"/>
      </w:pPr>
      <w:r>
        <w:t>The patient demographics are updated in VBECS.</w:t>
      </w:r>
    </w:p>
    <w:p w14:paraId="756C6EAE" w14:textId="77777777" w:rsidR="002A21AE" w:rsidRDefault="002A21AE">
      <w:pPr>
        <w:pStyle w:val="Heading4"/>
        <w:rPr>
          <w:b w:val="0"/>
        </w:rPr>
      </w:pPr>
      <w:r>
        <w:t>Limitations and Restrictions</w:t>
      </w:r>
      <w:r>
        <w:rPr>
          <w:b w:val="0"/>
        </w:rPr>
        <w:t xml:space="preserve"> </w:t>
      </w:r>
    </w:p>
    <w:p w14:paraId="5BDEFE2C" w14:textId="77777777" w:rsidR="00425BC3" w:rsidRDefault="00425BC3" w:rsidP="00425BC3">
      <w:pPr>
        <w:pStyle w:val="ListBulle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p w14:paraId="14C9CCA8" w14:textId="77777777" w:rsidR="00562E66" w:rsidRDefault="00562E66" w:rsidP="00562E66">
      <w:pPr>
        <w:pStyle w:val="ListBullet"/>
      </w:pPr>
      <w:r>
        <w:t>Patient updates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rsidRPr="00DD022C">
        <w:t>” field.</w:t>
      </w:r>
    </w:p>
    <w:p w14:paraId="1CBD0760" w14:textId="77777777" w:rsidR="001C13FD" w:rsidRPr="003A360F" w:rsidRDefault="001C13FD" w:rsidP="00562E66">
      <w:pPr>
        <w:pStyle w:val="ListBullet"/>
      </w:pPr>
      <w:r w:rsidRPr="003A360F">
        <w:t xml:space="preserve">Patient update alerts only display when </w:t>
      </w:r>
      <w:r w:rsidR="001F1E91">
        <w:t xml:space="preserve">active </w:t>
      </w:r>
      <w:r w:rsidRPr="003A360F">
        <w:t xml:space="preserve">component </w:t>
      </w:r>
      <w:r w:rsidR="001F1E91">
        <w:t xml:space="preserve">or diagnostic test </w:t>
      </w:r>
      <w:r w:rsidRPr="003A360F">
        <w:t xml:space="preserve">orders are </w:t>
      </w:r>
      <w:r w:rsidR="00802EE9">
        <w:t xml:space="preserve">pending or </w:t>
      </w:r>
      <w:r w:rsidRPr="003A360F">
        <w:t>active</w:t>
      </w:r>
      <w:r w:rsidR="00F60A24">
        <w:rPr>
          <w:rStyle w:val="FootnoteReference"/>
        </w:rPr>
        <w:footnoteReference w:id="3"/>
      </w:r>
      <w:r w:rsidRPr="003A360F">
        <w:t xml:space="preserve"> at the time the update occurs.</w:t>
      </w:r>
      <w:r w:rsidR="00F15743" w:rsidRPr="003A360F">
        <w:t xml:space="preserve"> </w:t>
      </w:r>
      <w:r w:rsidR="00F15743" w:rsidRPr="003A360F">
        <w:rPr>
          <w:vanish/>
        </w:rPr>
        <w:t>DR 4323</w:t>
      </w:r>
      <w:r w:rsidR="001F1E91">
        <w:rPr>
          <w:vanish/>
        </w:rPr>
        <w:t xml:space="preserve"> BR_68.02</w:t>
      </w:r>
    </w:p>
    <w:p w14:paraId="1AD0A626" w14:textId="77777777" w:rsidR="002A21AE" w:rsidRDefault="002A21AE">
      <w:pPr>
        <w:pStyle w:val="Heading4"/>
      </w:pPr>
      <w:r>
        <w:t xml:space="preserve">Additional Information </w:t>
      </w:r>
    </w:p>
    <w:p w14:paraId="5182C317" w14:textId="77777777" w:rsidR="002A21AE" w:rsidRDefault="002A21AE">
      <w:pPr>
        <w:pStyle w:val="ListBullet"/>
      </w:pPr>
      <w:r>
        <w:t>None</w:t>
      </w:r>
    </w:p>
    <w:p w14:paraId="2083278B" w14:textId="77777777" w:rsidR="002A21AE" w:rsidRDefault="002A21AE">
      <w:pPr>
        <w:pStyle w:val="Heading4"/>
        <w:rPr>
          <w:b w:val="0"/>
        </w:rPr>
      </w:pPr>
      <w:r>
        <w:t>User Roles with Access to This Option</w:t>
      </w:r>
      <w:r>
        <w:rPr>
          <w:b w:val="0"/>
        </w:rPr>
        <w:t xml:space="preserve"> </w:t>
      </w:r>
    </w:p>
    <w:p w14:paraId="6290BF55" w14:textId="77777777" w:rsidR="002A21AE" w:rsidRDefault="00DF031C">
      <w:pPr>
        <w:pStyle w:val="Roles"/>
        <w:rPr>
          <w:snapToGrid w:val="0"/>
        </w:rPr>
      </w:pPr>
      <w:r>
        <w:t>All users</w:t>
      </w:r>
    </w:p>
    <w:p w14:paraId="660916CA" w14:textId="3AC294DF" w:rsidR="002A21AE" w:rsidRDefault="002A21AE">
      <w:pPr>
        <w:pStyle w:val="Heading4"/>
      </w:pPr>
      <w:r>
        <w:t>Display Patient Update Alerts</w:t>
      </w:r>
    </w:p>
    <w:p w14:paraId="05BC2757" w14:textId="77777777" w:rsidR="002A21AE" w:rsidRDefault="002A21AE" w:rsidP="00FA7E65">
      <w:pPr>
        <w:pStyle w:val="BodyText"/>
      </w:pPr>
      <w:r>
        <w:t xml:space="preserve">VBECS notifies the user that patient updates occurred and allows him to view additional details.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8E7A116" w14:textId="77777777">
        <w:trPr>
          <w:cantSplit/>
          <w:tblHeader/>
        </w:trPr>
        <w:tc>
          <w:tcPr>
            <w:tcW w:w="3240" w:type="dxa"/>
            <w:shd w:val="pct30" w:color="auto" w:fill="FFFFFF"/>
            <w:vAlign w:val="bottom"/>
          </w:tcPr>
          <w:p w14:paraId="1E3DF3EC" w14:textId="77777777" w:rsidR="002A21AE" w:rsidRDefault="002A21AE">
            <w:pPr>
              <w:pStyle w:val="TableText"/>
              <w:rPr>
                <w:b/>
              </w:rPr>
            </w:pPr>
            <w:r>
              <w:rPr>
                <w:b/>
              </w:rPr>
              <w:t>User Action</w:t>
            </w:r>
          </w:p>
        </w:tc>
        <w:tc>
          <w:tcPr>
            <w:tcW w:w="6120" w:type="dxa"/>
            <w:shd w:val="pct30" w:color="auto" w:fill="FFFFFF"/>
            <w:vAlign w:val="bottom"/>
          </w:tcPr>
          <w:p w14:paraId="49C36ADE" w14:textId="77777777" w:rsidR="002A21AE" w:rsidRDefault="002A21AE">
            <w:pPr>
              <w:pStyle w:val="TableText"/>
              <w:rPr>
                <w:b/>
              </w:rPr>
            </w:pPr>
            <w:r>
              <w:rPr>
                <w:b/>
              </w:rPr>
              <w:t>VBECS</w:t>
            </w:r>
          </w:p>
        </w:tc>
      </w:tr>
      <w:tr w:rsidR="002A21AE" w14:paraId="572FD4A9" w14:textId="77777777">
        <w:trPr>
          <w:trHeight w:val="403"/>
        </w:trPr>
        <w:tc>
          <w:tcPr>
            <w:tcW w:w="3240" w:type="dxa"/>
          </w:tcPr>
          <w:p w14:paraId="191BAC0D" w14:textId="77777777" w:rsidR="002A21AE" w:rsidRDefault="002A21AE">
            <w:pPr>
              <w:pStyle w:val="TableTextNumbers"/>
            </w:pPr>
            <w:r>
              <w:t xml:space="preserve">Hold the mouse over the </w:t>
            </w:r>
            <w:r w:rsidR="00D57F25">
              <w:t>Patient Alert icon</w:t>
            </w:r>
            <w:r>
              <w:t xml:space="preserve"> to view a tool tip, or </w:t>
            </w:r>
          </w:p>
          <w:p w14:paraId="55A42725" w14:textId="77777777" w:rsidR="002A21AE" w:rsidRDefault="002A21AE">
            <w:pPr>
              <w:pStyle w:val="TableTextNumbersContinued"/>
            </w:pPr>
          </w:p>
          <w:p w14:paraId="157E87AB" w14:textId="77777777" w:rsidR="002A21AE" w:rsidRDefault="002A21AE">
            <w:pPr>
              <w:pStyle w:val="TableTextNumbersContinued"/>
            </w:pPr>
            <w:r>
              <w:rPr>
                <w:rFonts w:cs="Arial"/>
                <w:vanish/>
              </w:rPr>
              <w:t xml:space="preserve">BR_84.08 </w:t>
            </w:r>
            <w:r>
              <w:t xml:space="preserve">Click </w:t>
            </w:r>
            <w:r w:rsidR="00057948">
              <w:rPr>
                <w:noProof/>
              </w:rPr>
              <w:drawing>
                <wp:inline distT="0" distB="0" distL="0" distR="0" wp14:anchorId="40EEF0DF" wp14:editId="079367A8">
                  <wp:extent cx="166370" cy="156845"/>
                  <wp:effectExtent l="0" t="0" r="5080" b="0"/>
                  <wp:docPr id="217" name="Picture 217"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to view a menu and select </w:t>
            </w:r>
            <w:r>
              <w:rPr>
                <w:b/>
              </w:rPr>
              <w:t>Updated Patients</w:t>
            </w:r>
            <w:r>
              <w:t xml:space="preserve">, </w:t>
            </w:r>
            <w:r>
              <w:rPr>
                <w:b/>
              </w:rPr>
              <w:t>Deceased Patients</w:t>
            </w:r>
            <w:r>
              <w:t xml:space="preserve">, or </w:t>
            </w:r>
            <w:r>
              <w:rPr>
                <w:b/>
              </w:rPr>
              <w:t xml:space="preserve">Patient Merge </w:t>
            </w:r>
            <w:r>
              <w:t xml:space="preserve">to view the updates. </w:t>
            </w:r>
          </w:p>
          <w:p w14:paraId="32275AB4" w14:textId="77777777" w:rsidR="002A21AE" w:rsidRDefault="002A21AE">
            <w:pPr>
              <w:pStyle w:val="TableTextNumbersContinued"/>
            </w:pPr>
          </w:p>
          <w:p w14:paraId="2ACF6BFB" w14:textId="77777777" w:rsidR="002A21AE" w:rsidRDefault="002A21AE">
            <w:pPr>
              <w:pStyle w:val="TableTextNumbersContinued"/>
            </w:pPr>
            <w:r>
              <w:t xml:space="preserve">Click </w:t>
            </w:r>
            <w:r w:rsidR="00057948">
              <w:rPr>
                <w:noProof/>
              </w:rPr>
              <w:drawing>
                <wp:inline distT="0" distB="0" distL="0" distR="0" wp14:anchorId="4A073614" wp14:editId="35906FE9">
                  <wp:extent cx="166370" cy="156845"/>
                  <wp:effectExtent l="0" t="0" r="5080" b="0"/>
                  <wp:docPr id="218" name="Picture 218"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again to hide the menu.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26E45AF" w14:textId="77777777" w:rsidR="002A21AE" w:rsidRDefault="002A21AE">
            <w:pPr>
              <w:pStyle w:val="TableTextBullet"/>
            </w:pPr>
            <w:r>
              <w:rPr>
                <w:rFonts w:cs="Arial"/>
                <w:vanish/>
              </w:rPr>
              <w:t xml:space="preserve">BR_84.06 </w:t>
            </w:r>
            <w:r>
              <w:t xml:space="preserve">Displays a </w:t>
            </w:r>
            <w:r w:rsidR="00D57F25">
              <w:t>Patient Alert icon</w:t>
            </w:r>
            <w:r>
              <w:t xml:space="preserve"> in the status bar when it receives a patient update</w:t>
            </w:r>
            <w:r w:rsidR="008D6720">
              <w:t xml:space="preserve"> or </w:t>
            </w:r>
            <w:r>
              <w:t>death</w:t>
            </w:r>
            <w:r w:rsidR="008D6720">
              <w:t xml:space="preserve"> event message</w:t>
            </w:r>
            <w:r>
              <w:rPr>
                <w:b/>
                <w:bCs/>
              </w:rPr>
              <w:t xml:space="preserve"> </w:t>
            </w:r>
            <w:r>
              <w:t>and the patient has active or pending orders in the user’s VBECS division.</w:t>
            </w:r>
          </w:p>
          <w:p w14:paraId="0B74520C" w14:textId="77777777" w:rsidR="008B7F48" w:rsidRPr="00B46D6D" w:rsidRDefault="008B7F48">
            <w:pPr>
              <w:pStyle w:val="TableTextBullet"/>
            </w:pPr>
            <w:r>
              <w:rPr>
                <w:rFonts w:cs="Arial"/>
              </w:rPr>
              <w:t xml:space="preserve">Displays a </w:t>
            </w:r>
            <w:r w:rsidR="00D57F25">
              <w:rPr>
                <w:rFonts w:cs="Arial"/>
              </w:rPr>
              <w:t>Patient Alert icon</w:t>
            </w:r>
            <w:r>
              <w:rPr>
                <w:rFonts w:cs="Arial"/>
              </w:rPr>
              <w:t xml:space="preserve"> in the status bar when it receives a merge event message from VistA.</w:t>
            </w:r>
          </w:p>
          <w:p w14:paraId="087C596D" w14:textId="77777777" w:rsidR="00B46D6D" w:rsidRDefault="00B46D6D">
            <w:pPr>
              <w:pStyle w:val="TableTextBullet"/>
            </w:pPr>
            <w:r w:rsidRPr="00B46D6D">
              <w:rPr>
                <w:vanish/>
              </w:rPr>
              <w:t>BR_84.10</w:t>
            </w:r>
            <w:r>
              <w:t>The system displays a patient update or merge icon alert to all users until all merge events are cleared and all updates, including death notices are viewed.</w:t>
            </w:r>
          </w:p>
          <w:p w14:paraId="257F4D84" w14:textId="77777777" w:rsidR="002A21AE" w:rsidRDefault="002A21AE" w:rsidP="005E431D">
            <w:pPr>
              <w:pStyle w:val="TableText"/>
            </w:pPr>
          </w:p>
          <w:p w14:paraId="1FCD8D28" w14:textId="356B34E9" w:rsidR="002A21AE" w:rsidRDefault="002A21AE">
            <w:pPr>
              <w:pStyle w:val="TableText"/>
              <w:rPr>
                <w:b/>
                <w:bCs/>
                <w:szCs w:val="18"/>
              </w:rPr>
            </w:pPr>
            <w:r>
              <w:rPr>
                <w:b/>
                <w:bCs/>
                <w:szCs w:val="18"/>
              </w:rPr>
              <w:t>NOTES</w:t>
            </w:r>
          </w:p>
          <w:p w14:paraId="2BAD06F5" w14:textId="77777777" w:rsidR="002A21AE" w:rsidRDefault="002A21AE">
            <w:pPr>
              <w:pStyle w:val="NotesText"/>
            </w:pPr>
          </w:p>
          <w:p w14:paraId="27F0AD29" w14:textId="77777777" w:rsidR="002A21AE" w:rsidRDefault="002A21AE">
            <w:pPr>
              <w:pStyle w:val="NotesText"/>
            </w:pPr>
            <w:r>
              <w:t xml:space="preserve">The user may also select </w:t>
            </w:r>
            <w:r>
              <w:rPr>
                <w:b/>
              </w:rPr>
              <w:t>Patients</w:t>
            </w:r>
            <w:r>
              <w:t xml:space="preserve"> from the main menu, </w:t>
            </w:r>
            <w:r>
              <w:rPr>
                <w:b/>
              </w:rPr>
              <w:t>Patient Updates</w:t>
            </w:r>
            <w:r>
              <w:t xml:space="preserve">, and </w:t>
            </w:r>
            <w:r>
              <w:rPr>
                <w:b/>
              </w:rPr>
              <w:t>Updated Patients</w:t>
            </w:r>
            <w:r>
              <w:t xml:space="preserve">, </w:t>
            </w:r>
            <w:r>
              <w:rPr>
                <w:b/>
              </w:rPr>
              <w:t>Deceased Patients</w:t>
            </w:r>
            <w:r>
              <w:t xml:space="preserve">, or </w:t>
            </w:r>
            <w:r>
              <w:rPr>
                <w:b/>
              </w:rPr>
              <w:t xml:space="preserve">Patient Merge </w:t>
            </w:r>
            <w:r>
              <w:t>to view the updates.</w:t>
            </w:r>
          </w:p>
        </w:tc>
      </w:tr>
    </w:tbl>
    <w:p w14:paraId="60FE3E45" w14:textId="77777777" w:rsidR="002A21AE" w:rsidRDefault="0072673B" w:rsidP="0072673B">
      <w:pPr>
        <w:pStyle w:val="Heading3"/>
      </w:pPr>
      <w:r>
        <w:br w:type="page"/>
      </w:r>
      <w:bookmarkStart w:id="427" w:name="_Toc149064147"/>
      <w:r w:rsidR="00057948">
        <w:rPr>
          <w:noProof/>
        </w:rPr>
        <w:drawing>
          <wp:inline distT="0" distB="0" distL="0" distR="0" wp14:anchorId="70C05E2A" wp14:editId="10F72750">
            <wp:extent cx="166370" cy="156845"/>
            <wp:effectExtent l="0" t="0" r="5080" b="0"/>
            <wp:docPr id="219" name="Picture 219"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rsidR="002A21AE">
        <w:t xml:space="preserve"> </w:t>
      </w:r>
      <w:bookmarkStart w:id="428" w:name="there"/>
      <w:bookmarkEnd w:id="428"/>
      <w:r w:rsidR="002A21AE">
        <w:t>Display Patient Merge Alerts</w:t>
      </w:r>
      <w:bookmarkEnd w:id="427"/>
      <w:r w:rsidR="002A21AE">
        <w:fldChar w:fldCharType="begin"/>
      </w:r>
      <w:r w:rsidR="002A21AE">
        <w:instrText xml:space="preserve"> XE </w:instrText>
      </w:r>
      <w:r w:rsidR="00FA7E65">
        <w:instrText>“</w:instrText>
      </w:r>
      <w:r w:rsidR="002A21AE">
        <w:instrText>Display Patient Merge Alerts</w:instrText>
      </w:r>
      <w:r w:rsidR="00FA7E65">
        <w:instrText>”</w:instrText>
      </w:r>
      <w:r w:rsidR="002A21AE">
        <w:instrText xml:space="preserve"> </w:instrText>
      </w:r>
      <w:r w:rsidR="002A21AE">
        <w:fldChar w:fldCharType="end"/>
      </w:r>
      <w:r w:rsidR="002A21AE">
        <w:t xml:space="preserve"> </w:t>
      </w:r>
      <w:r w:rsidR="002A21AE">
        <w:rPr>
          <w:vanish/>
          <w:sz w:val="22"/>
        </w:rPr>
        <w:t>UC_84</w:t>
      </w:r>
    </w:p>
    <w:p w14:paraId="14A7C5F8" w14:textId="77777777" w:rsidR="002A21AE" w:rsidRDefault="002A21AE" w:rsidP="00FA7E65">
      <w:pPr>
        <w:pStyle w:val="BodyText"/>
      </w:pPr>
      <w:r>
        <w:t xml:space="preserve">VBECS notifies the user of </w:t>
      </w:r>
      <w:r w:rsidR="003549BA">
        <w:t xml:space="preserve">VistA </w:t>
      </w:r>
      <w:r>
        <w:t>patient merges.</w:t>
      </w:r>
    </w:p>
    <w:p w14:paraId="036279F6" w14:textId="77777777" w:rsidR="002A21AE" w:rsidRDefault="002A21AE">
      <w:pPr>
        <w:pStyle w:val="Heading4"/>
      </w:pPr>
      <w:r>
        <w:t>Assumptions</w:t>
      </w:r>
      <w:r>
        <w:rPr>
          <w:b w:val="0"/>
        </w:rPr>
        <w:t xml:space="preserve"> </w:t>
      </w:r>
    </w:p>
    <w:p w14:paraId="73ED950D" w14:textId="77777777" w:rsidR="002A21AE" w:rsidRDefault="002A21AE">
      <w:pPr>
        <w:pStyle w:val="ListBullet"/>
      </w:pPr>
      <w:r>
        <w:t xml:space="preserve">A patient demographic merge alert is received from </w:t>
      </w:r>
      <w:r w:rsidR="00CA0045" w:rsidRPr="00CA0045">
        <w:rPr>
          <w:bCs/>
        </w:rPr>
        <w:t>VistA</w:t>
      </w:r>
      <w:r>
        <w:t xml:space="preserve"> for the user’s division for a VBECS patient.</w:t>
      </w:r>
    </w:p>
    <w:p w14:paraId="7C7C06E2" w14:textId="77777777" w:rsidR="002A21AE" w:rsidRDefault="002A21AE">
      <w:pPr>
        <w:pStyle w:val="Heading4"/>
      </w:pPr>
      <w:r>
        <w:t xml:space="preserve">Outcome </w:t>
      </w:r>
    </w:p>
    <w:p w14:paraId="3D211359" w14:textId="77777777" w:rsidR="002A21AE" w:rsidRDefault="008A1BFD">
      <w:pPr>
        <w:pStyle w:val="ListBullet"/>
      </w:pPr>
      <w:r>
        <w:t>VBECS notified the user that</w:t>
      </w:r>
      <w:r w:rsidR="00BF053B">
        <w:t xml:space="preserve"> </w:t>
      </w:r>
      <w:r w:rsidR="002A21AE">
        <w:t xml:space="preserve">patient </w:t>
      </w:r>
      <w:r>
        <w:t>records were</w:t>
      </w:r>
      <w:r w:rsidR="002A21AE">
        <w:t xml:space="preserve"> merged in </w:t>
      </w:r>
      <w:r>
        <w:t xml:space="preserve">VistA and that </w:t>
      </w:r>
      <w:r w:rsidR="008D6720">
        <w:t>the user must take action</w:t>
      </w:r>
      <w:r>
        <w:t xml:space="preserve"> to match the records in VBECS</w:t>
      </w:r>
      <w:r w:rsidR="002A21AE">
        <w:t>.</w:t>
      </w:r>
    </w:p>
    <w:p w14:paraId="38F011ED" w14:textId="77777777" w:rsidR="002A21AE" w:rsidRDefault="002A21AE">
      <w:pPr>
        <w:pStyle w:val="Heading4"/>
        <w:rPr>
          <w:b w:val="0"/>
        </w:rPr>
      </w:pPr>
      <w:r>
        <w:t>Limitations and Restrictions</w:t>
      </w:r>
      <w:r>
        <w:rPr>
          <w:b w:val="0"/>
        </w:rPr>
        <w:t xml:space="preserve"> </w:t>
      </w:r>
    </w:p>
    <w:p w14:paraId="6CEC8DB5" w14:textId="77777777" w:rsidR="00132178" w:rsidRDefault="00F10EB3" w:rsidP="00132178">
      <w:pPr>
        <w:pStyle w:val="ListBullet"/>
      </w:pPr>
      <w:r>
        <w:t xml:space="preserve">VBECS does not notify users of additional VistA patient updates or merges while the icon is displayed. </w:t>
      </w:r>
      <w:r w:rsidR="00132178">
        <w:rPr>
          <w:rFonts w:cs="Arial"/>
          <w:vanish/>
        </w:rPr>
        <w:t xml:space="preserve">DR 2,525 </w:t>
      </w:r>
      <w:r w:rsidR="00132178">
        <w:t>When a user views an update and there is a</w:t>
      </w:r>
      <w:r w:rsidR="008B31EE">
        <w:t>n unprocessed VistA</w:t>
      </w:r>
      <w:r w:rsidR="00132178">
        <w:t xml:space="preserve"> patient merge, the </w:t>
      </w:r>
      <w:r w:rsidR="00D57F25">
        <w:t>Patient Alert icon</w:t>
      </w:r>
      <w:r w:rsidR="00132178">
        <w:t xml:space="preserve"> remains on the screen until the Traditional Supervisor </w:t>
      </w:r>
      <w:r w:rsidR="008B31EE">
        <w:t>updates the patient records</w:t>
      </w:r>
      <w:r w:rsidR="00132178">
        <w:t xml:space="preserve"> and clears the icon. </w:t>
      </w:r>
    </w:p>
    <w:p w14:paraId="4A054613" w14:textId="77777777" w:rsidR="002A21AE" w:rsidRDefault="002A21AE">
      <w:pPr>
        <w:pStyle w:val="Heading4"/>
      </w:pPr>
      <w:r>
        <w:t xml:space="preserve">Additional Information </w:t>
      </w:r>
    </w:p>
    <w:p w14:paraId="475E2157" w14:textId="77777777" w:rsidR="002A21AE" w:rsidRDefault="00B473F5">
      <w:pPr>
        <w:pStyle w:val="ListBullet"/>
      </w:pPr>
      <w:r w:rsidRPr="00B473F5">
        <w:rPr>
          <w:vanish/>
        </w:rPr>
        <w:t xml:space="preserve">DR 2,527 </w:t>
      </w:r>
      <w:r>
        <w:t xml:space="preserve">VBECS notifies users of </w:t>
      </w:r>
      <w:r w:rsidR="000319CE">
        <w:t xml:space="preserve">VistA </w:t>
      </w:r>
      <w:r>
        <w:t xml:space="preserve">patient merges until a Traditional Supervisor clears the </w:t>
      </w:r>
      <w:r w:rsidR="000319CE">
        <w:t>Patient Alert icon</w:t>
      </w:r>
      <w:r>
        <w:t xml:space="preserve">. </w:t>
      </w:r>
      <w:r w:rsidR="008D12CC">
        <w:t>See Patient Merge for instructions.</w:t>
      </w:r>
    </w:p>
    <w:p w14:paraId="0131E9AA" w14:textId="77777777" w:rsidR="00BA4D88" w:rsidRDefault="00BA4D88">
      <w:pPr>
        <w:pStyle w:val="ListBullet"/>
      </w:pPr>
      <w:r>
        <w:rPr>
          <w:vanish/>
        </w:rPr>
        <w:t xml:space="preserve">BR_84.07 </w:t>
      </w:r>
      <w:r>
        <w:t>VBECS displays an alert to users for a VistA patient merge event if either the merge-from or merge-to patient exists in the VBECS system when the merge message is received.</w:t>
      </w:r>
    </w:p>
    <w:p w14:paraId="72DDD72D" w14:textId="77777777" w:rsidR="002A21AE" w:rsidRDefault="002A21AE">
      <w:pPr>
        <w:pStyle w:val="Heading4"/>
        <w:rPr>
          <w:b w:val="0"/>
        </w:rPr>
      </w:pPr>
      <w:r>
        <w:t>User Roles with Access to This Option</w:t>
      </w:r>
      <w:r>
        <w:rPr>
          <w:b w:val="0"/>
        </w:rPr>
        <w:t xml:space="preserve"> </w:t>
      </w:r>
    </w:p>
    <w:p w14:paraId="4394D0EF" w14:textId="77777777" w:rsidR="002A21AE" w:rsidRDefault="005E431D">
      <w:pPr>
        <w:pStyle w:val="Roles"/>
        <w:rPr>
          <w:snapToGrid w:val="0"/>
        </w:rPr>
      </w:pPr>
      <w:r>
        <w:t>All users</w:t>
      </w:r>
    </w:p>
    <w:p w14:paraId="3F20424E" w14:textId="77777777" w:rsidR="002A21AE" w:rsidRDefault="002A21AE">
      <w:pPr>
        <w:pStyle w:val="Heading4"/>
      </w:pPr>
      <w:r>
        <w:t>Display Patient Merge Alerts</w:t>
      </w:r>
    </w:p>
    <w:p w14:paraId="539C903D" w14:textId="77777777" w:rsidR="002A21AE" w:rsidRDefault="002A21AE" w:rsidP="00FA7E65">
      <w:pPr>
        <w:pStyle w:val="BodyText"/>
      </w:pPr>
      <w:r>
        <w:t xml:space="preserve">VBECS notifies the user that patient merges occurred in </w:t>
      </w:r>
      <w:r w:rsidR="00CA0045" w:rsidRPr="00CA0045">
        <w:rPr>
          <w:bCs/>
        </w:rPr>
        <w:t>VistA</w:t>
      </w:r>
      <w:r>
        <w:t xml:space="preserve"> and allows him to view additional update details.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94691F" w14:textId="77777777">
        <w:trPr>
          <w:cantSplit/>
          <w:tblHeader/>
        </w:trPr>
        <w:tc>
          <w:tcPr>
            <w:tcW w:w="3240" w:type="dxa"/>
            <w:shd w:val="pct30" w:color="auto" w:fill="FFFFFF"/>
            <w:vAlign w:val="bottom"/>
          </w:tcPr>
          <w:p w14:paraId="38564F33" w14:textId="77777777" w:rsidR="002A21AE" w:rsidRDefault="002A21AE">
            <w:pPr>
              <w:pStyle w:val="TableText"/>
              <w:rPr>
                <w:b/>
              </w:rPr>
            </w:pPr>
            <w:r>
              <w:rPr>
                <w:b/>
              </w:rPr>
              <w:t>User Action</w:t>
            </w:r>
          </w:p>
        </w:tc>
        <w:tc>
          <w:tcPr>
            <w:tcW w:w="6120" w:type="dxa"/>
            <w:shd w:val="pct30" w:color="auto" w:fill="FFFFFF"/>
            <w:vAlign w:val="bottom"/>
          </w:tcPr>
          <w:p w14:paraId="6229259A" w14:textId="77777777" w:rsidR="002A21AE" w:rsidRDefault="002A21AE">
            <w:pPr>
              <w:pStyle w:val="TableText"/>
              <w:rPr>
                <w:b/>
              </w:rPr>
            </w:pPr>
            <w:r>
              <w:rPr>
                <w:b/>
              </w:rPr>
              <w:t>VBECS</w:t>
            </w:r>
          </w:p>
        </w:tc>
      </w:tr>
      <w:tr w:rsidR="002A21AE" w14:paraId="1901820C" w14:textId="77777777">
        <w:trPr>
          <w:trHeight w:val="403"/>
        </w:trPr>
        <w:tc>
          <w:tcPr>
            <w:tcW w:w="3240" w:type="dxa"/>
          </w:tcPr>
          <w:p w14:paraId="5B91C4D8" w14:textId="77777777" w:rsidR="002A21AE" w:rsidRDefault="002A21AE">
            <w:pPr>
              <w:pStyle w:val="TableTextNumbers"/>
            </w:pPr>
            <w:r>
              <w:t xml:space="preserve">Hold the mouse over the </w:t>
            </w:r>
            <w:r w:rsidR="00D57F25">
              <w:t>Patient Alert icon</w:t>
            </w:r>
            <w:r>
              <w:t xml:space="preserve"> to view a tool tip, or </w:t>
            </w:r>
          </w:p>
          <w:p w14:paraId="0239729B" w14:textId="77777777" w:rsidR="002A21AE" w:rsidRDefault="002A21AE">
            <w:pPr>
              <w:pStyle w:val="TableTextNumbersContinued"/>
            </w:pPr>
          </w:p>
          <w:p w14:paraId="70EE5981" w14:textId="77777777" w:rsidR="002A21AE" w:rsidRDefault="002A21AE">
            <w:pPr>
              <w:pStyle w:val="TableTextNumbersContinued"/>
            </w:pPr>
            <w:r>
              <w:rPr>
                <w:rFonts w:cs="Arial"/>
                <w:vanish/>
              </w:rPr>
              <w:t xml:space="preserve">BR_84.08 </w:t>
            </w:r>
            <w:r>
              <w:t xml:space="preserve">Click </w:t>
            </w:r>
            <w:r w:rsidR="00057948">
              <w:rPr>
                <w:noProof/>
              </w:rPr>
              <w:drawing>
                <wp:inline distT="0" distB="0" distL="0" distR="0" wp14:anchorId="7DB541F9" wp14:editId="09BDD027">
                  <wp:extent cx="166370" cy="156845"/>
                  <wp:effectExtent l="0" t="0" r="5080" b="0"/>
                  <wp:docPr id="220" name="Picture 220"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to view a menu and select </w:t>
            </w:r>
            <w:r>
              <w:rPr>
                <w:b/>
              </w:rPr>
              <w:t>Updated Patients</w:t>
            </w:r>
            <w:r>
              <w:t xml:space="preserve">, </w:t>
            </w:r>
            <w:r>
              <w:rPr>
                <w:b/>
              </w:rPr>
              <w:t>Deceased Patients</w:t>
            </w:r>
            <w:r>
              <w:t xml:space="preserve">, or </w:t>
            </w:r>
            <w:r>
              <w:rPr>
                <w:b/>
              </w:rPr>
              <w:t xml:space="preserve">Patient Merge </w:t>
            </w:r>
            <w:r>
              <w:t xml:space="preserve">to view the updates. </w:t>
            </w:r>
          </w:p>
          <w:p w14:paraId="02ECA8B9" w14:textId="77777777" w:rsidR="002A21AE" w:rsidRDefault="002A21AE">
            <w:pPr>
              <w:pStyle w:val="TableTextNumbersContinued"/>
            </w:pPr>
          </w:p>
          <w:p w14:paraId="4C11792E" w14:textId="77777777" w:rsidR="002A21AE" w:rsidRDefault="002A21AE">
            <w:pPr>
              <w:pStyle w:val="TableTextNumbersContinued"/>
            </w:pPr>
            <w:r>
              <w:t xml:space="preserve">Click </w:t>
            </w:r>
            <w:r w:rsidR="00057948">
              <w:rPr>
                <w:noProof/>
              </w:rPr>
              <w:drawing>
                <wp:inline distT="0" distB="0" distL="0" distR="0" wp14:anchorId="74BD3F0B" wp14:editId="27A9B6CF">
                  <wp:extent cx="166370" cy="156845"/>
                  <wp:effectExtent l="0" t="0" r="5080" b="0"/>
                  <wp:docPr id="221" name="Picture 221"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again to hide the menu.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562A77D" w14:textId="77777777" w:rsidR="002A21AE" w:rsidRDefault="002A21AE">
            <w:pPr>
              <w:pStyle w:val="TableTextBullet"/>
            </w:pPr>
            <w:r>
              <w:rPr>
                <w:rFonts w:cs="Arial"/>
                <w:vanish/>
              </w:rPr>
              <w:t xml:space="preserve">BR_84.06 </w:t>
            </w:r>
            <w:r>
              <w:t>When it receives a patient update</w:t>
            </w:r>
            <w:r w:rsidR="008D6720">
              <w:t xml:space="preserve"> or</w:t>
            </w:r>
            <w:r>
              <w:t xml:space="preserve"> death</w:t>
            </w:r>
            <w:r w:rsidR="008D6720">
              <w:t xml:space="preserve"> event message</w:t>
            </w:r>
            <w:r>
              <w:t xml:space="preserve"> </w:t>
            </w:r>
            <w:r w:rsidR="008A1BFD">
              <w:t xml:space="preserve">and the patient has active or pending orders in the user’s VBECS division, </w:t>
            </w:r>
            <w:r>
              <w:t xml:space="preserve">displays a </w:t>
            </w:r>
            <w:r w:rsidR="00D57F25">
              <w:t>Patient Alert icon</w:t>
            </w:r>
            <w:r>
              <w:t xml:space="preserve"> in the status bar.</w:t>
            </w:r>
          </w:p>
          <w:p w14:paraId="44C045B8" w14:textId="77777777" w:rsidR="008A1BFD" w:rsidRDefault="008A1BFD">
            <w:pPr>
              <w:pStyle w:val="TableTextBullet"/>
            </w:pPr>
            <w:r>
              <w:t xml:space="preserve">When it receives a merge event message from VistA, displays a </w:t>
            </w:r>
            <w:r w:rsidR="00D57F25">
              <w:t>Patient Alert icon</w:t>
            </w:r>
            <w:r>
              <w:t xml:space="preserve"> in the status bar.</w:t>
            </w:r>
          </w:p>
          <w:p w14:paraId="1F3F7F7C" w14:textId="77777777" w:rsidR="002A21AE" w:rsidRDefault="002A21AE" w:rsidP="002232A3">
            <w:pPr>
              <w:pStyle w:val="TableText"/>
            </w:pPr>
          </w:p>
          <w:p w14:paraId="620A7124" w14:textId="6CD98CC2" w:rsidR="002A21AE" w:rsidRDefault="002A21AE">
            <w:pPr>
              <w:pStyle w:val="TableText"/>
              <w:rPr>
                <w:b/>
                <w:bCs/>
                <w:szCs w:val="18"/>
              </w:rPr>
            </w:pPr>
            <w:r>
              <w:rPr>
                <w:b/>
                <w:bCs/>
                <w:szCs w:val="18"/>
              </w:rPr>
              <w:t>NOTES</w:t>
            </w:r>
          </w:p>
          <w:p w14:paraId="45A35BA7" w14:textId="77777777" w:rsidR="002A21AE" w:rsidRDefault="002A21AE">
            <w:pPr>
              <w:pStyle w:val="NotesText"/>
            </w:pPr>
          </w:p>
          <w:p w14:paraId="26FFECE3" w14:textId="77777777" w:rsidR="002A21AE" w:rsidRDefault="002A21AE">
            <w:pPr>
              <w:pStyle w:val="NotesText"/>
            </w:pPr>
            <w:r>
              <w:t xml:space="preserve">The user may also select </w:t>
            </w:r>
            <w:r>
              <w:rPr>
                <w:b/>
              </w:rPr>
              <w:t>Patients</w:t>
            </w:r>
            <w:r>
              <w:t xml:space="preserve"> from the main menu, </w:t>
            </w:r>
            <w:r>
              <w:rPr>
                <w:b/>
              </w:rPr>
              <w:t>Patient Updates</w:t>
            </w:r>
            <w:r>
              <w:t xml:space="preserve">, and </w:t>
            </w:r>
            <w:r>
              <w:rPr>
                <w:b/>
              </w:rPr>
              <w:t xml:space="preserve">Patient Merge </w:t>
            </w:r>
            <w:r>
              <w:t>to view the updates.</w:t>
            </w:r>
          </w:p>
          <w:p w14:paraId="432F846D" w14:textId="77777777" w:rsidR="002A21AE" w:rsidRDefault="002A21AE">
            <w:pPr>
              <w:pStyle w:val="NotesText"/>
            </w:pPr>
          </w:p>
          <w:p w14:paraId="10F819C6" w14:textId="77777777" w:rsidR="004B557B" w:rsidRDefault="002A21AE" w:rsidP="001E72D4">
            <w:pPr>
              <w:pStyle w:val="NotesText"/>
            </w:pPr>
            <w:r>
              <w:rPr>
                <w:rFonts w:cs="Arial"/>
                <w:vanish/>
              </w:rPr>
              <w:t xml:space="preserve">BR_84.10 </w:t>
            </w:r>
            <w:r>
              <w:t xml:space="preserve">VBECS displays a </w:t>
            </w:r>
            <w:r w:rsidR="004B557B">
              <w:t>patient update or merge icon a</w:t>
            </w:r>
            <w:r w:rsidR="00D57F25">
              <w:t xml:space="preserve">lert </w:t>
            </w:r>
            <w:r w:rsidR="004B557B">
              <w:t>to all users until all merge events are cleared and all updates, including death notices are viewed.</w:t>
            </w:r>
            <w:r w:rsidR="006B6C5C" w:rsidRPr="006B6C5C">
              <w:rPr>
                <w:vanish/>
              </w:rPr>
              <w:t>DR 2,525</w:t>
            </w:r>
          </w:p>
        </w:tc>
      </w:tr>
    </w:tbl>
    <w:p w14:paraId="18C18E5D" w14:textId="77777777" w:rsidR="008A3222" w:rsidRDefault="008A3222" w:rsidP="00834667">
      <w:pPr>
        <w:pStyle w:val="Heading2"/>
        <w:rPr>
          <w:i w:val="0"/>
          <w:iCs w:val="0"/>
          <w:sz w:val="26"/>
          <w:szCs w:val="26"/>
        </w:rPr>
      </w:pPr>
    </w:p>
    <w:p w14:paraId="3325CA16" w14:textId="77777777" w:rsidR="008A3222" w:rsidRDefault="008A3222">
      <w:pPr>
        <w:rPr>
          <w:rFonts w:ascii="Arial" w:hAnsi="Arial" w:cs="Arial"/>
          <w:b/>
          <w:bCs/>
          <w:sz w:val="26"/>
          <w:szCs w:val="26"/>
        </w:rPr>
      </w:pPr>
      <w:r>
        <w:rPr>
          <w:i/>
          <w:iCs/>
          <w:sz w:val="26"/>
          <w:szCs w:val="26"/>
        </w:rPr>
        <w:br w:type="page"/>
      </w:r>
    </w:p>
    <w:p w14:paraId="529102A1" w14:textId="547F4FD0" w:rsidR="00834667" w:rsidRPr="008818F2" w:rsidRDefault="00411372" w:rsidP="00834667">
      <w:pPr>
        <w:pStyle w:val="Heading2"/>
        <w:rPr>
          <w:i w:val="0"/>
          <w:iCs w:val="0"/>
          <w:sz w:val="26"/>
          <w:szCs w:val="26"/>
        </w:rPr>
      </w:pPr>
      <w:bookmarkStart w:id="429" w:name="_Toc149064148"/>
      <w:r>
        <w:rPr>
          <w:i w:val="0"/>
          <w:iCs w:val="0"/>
          <w:sz w:val="26"/>
          <w:szCs w:val="26"/>
        </w:rPr>
        <w:t xml:space="preserve">Emergency </w:t>
      </w:r>
      <w:r w:rsidR="00834667" w:rsidRPr="008818F2">
        <w:rPr>
          <w:i w:val="0"/>
          <w:iCs w:val="0"/>
          <w:sz w:val="26"/>
          <w:szCs w:val="26"/>
        </w:rPr>
        <w:t>Transfusion Order</w:t>
      </w:r>
      <w:r>
        <w:rPr>
          <w:i w:val="0"/>
          <w:iCs w:val="0"/>
          <w:sz w:val="26"/>
          <w:szCs w:val="26"/>
        </w:rPr>
        <w:t xml:space="preserve"> Processing</w:t>
      </w:r>
      <w:bookmarkEnd w:id="429"/>
      <w:r w:rsidR="00834667" w:rsidRPr="008818F2">
        <w:rPr>
          <w:i w:val="0"/>
          <w:iCs w:val="0"/>
          <w:sz w:val="26"/>
          <w:szCs w:val="26"/>
        </w:rPr>
        <w:fldChar w:fldCharType="begin"/>
      </w:r>
      <w:r w:rsidR="00834667" w:rsidRPr="008818F2">
        <w:rPr>
          <w:i w:val="0"/>
          <w:iCs w:val="0"/>
          <w:sz w:val="26"/>
          <w:szCs w:val="26"/>
        </w:rPr>
        <w:instrText xml:space="preserve"> XE “Processing an Emergency Transfusion Order” </w:instrText>
      </w:r>
      <w:r w:rsidR="00834667" w:rsidRPr="008818F2">
        <w:rPr>
          <w:i w:val="0"/>
          <w:iCs w:val="0"/>
          <w:sz w:val="26"/>
          <w:szCs w:val="26"/>
        </w:rPr>
        <w:fldChar w:fldCharType="end"/>
      </w:r>
    </w:p>
    <w:p w14:paraId="201EC68A" w14:textId="77777777" w:rsidR="008818F2" w:rsidRPr="008818F2" w:rsidRDefault="008818F2" w:rsidP="008818F2">
      <w:pPr>
        <w:rPr>
          <w:sz w:val="22"/>
          <w:szCs w:val="22"/>
        </w:rPr>
      </w:pPr>
      <w:r>
        <w:rPr>
          <w:b/>
          <w:sz w:val="22"/>
          <w:szCs w:val="22"/>
        </w:rPr>
        <w:t>Question</w:t>
      </w:r>
      <w:r w:rsidRPr="008818F2">
        <w:rPr>
          <w:b/>
          <w:sz w:val="22"/>
          <w:szCs w:val="22"/>
        </w:rPr>
        <w:t>:</w:t>
      </w:r>
      <w:r w:rsidRPr="008818F2">
        <w:rPr>
          <w:sz w:val="22"/>
          <w:szCs w:val="22"/>
        </w:rPr>
        <w:t xml:space="preserve">  How do I Process an Emergency Transfusion Order for red blood cells when no specimen is collected?</w:t>
      </w:r>
    </w:p>
    <w:p w14:paraId="57B34CC3" w14:textId="77777777" w:rsidR="008818F2" w:rsidRPr="008818F2" w:rsidRDefault="008818F2" w:rsidP="008818F2">
      <w:pPr>
        <w:rPr>
          <w:sz w:val="22"/>
          <w:szCs w:val="22"/>
        </w:rPr>
      </w:pPr>
      <w:r w:rsidRPr="008818F2">
        <w:rPr>
          <w:b/>
          <w:sz w:val="22"/>
          <w:szCs w:val="22"/>
        </w:rPr>
        <w:t>Important Note:</w:t>
      </w:r>
      <w:r w:rsidRPr="008818F2">
        <w:rPr>
          <w:sz w:val="22"/>
          <w:szCs w:val="22"/>
        </w:rPr>
        <w:t xml:space="preserve"> If </w:t>
      </w:r>
      <w:r w:rsidR="009E6385">
        <w:rPr>
          <w:sz w:val="22"/>
          <w:szCs w:val="22"/>
        </w:rPr>
        <w:t>the patient is not found in Vist</w:t>
      </w:r>
      <w:r w:rsidRPr="008818F2">
        <w:rPr>
          <w:sz w:val="22"/>
          <w:szCs w:val="22"/>
        </w:rPr>
        <w:t>A, you must process the request manually. When the patient’s CPRS order is placed, enter your testing results and unit processing information with correct dates and times recreating the record as retrospective data entry.</w:t>
      </w:r>
    </w:p>
    <w:p w14:paraId="1494AA43" w14:textId="77777777" w:rsidR="008818F2" w:rsidRPr="008818F2" w:rsidRDefault="008818F2" w:rsidP="008818F2">
      <w:pPr>
        <w:rPr>
          <w:sz w:val="22"/>
          <w:szCs w:val="22"/>
        </w:rPr>
      </w:pPr>
      <w:r w:rsidRPr="008818F2">
        <w:rPr>
          <w:b/>
          <w:sz w:val="22"/>
          <w:szCs w:val="22"/>
        </w:rPr>
        <w:t xml:space="preserve">Answer: No Specimen Available: </w:t>
      </w:r>
      <w:r w:rsidRPr="008818F2">
        <w:rPr>
          <w:sz w:val="22"/>
          <w:szCs w:val="22"/>
        </w:rPr>
        <w:t>Below are the steps for processing a component order when no specimen is available but required. This example is for a Red Blood Cell order.</w:t>
      </w:r>
    </w:p>
    <w:p w14:paraId="26548284" w14:textId="26822B97" w:rsidR="008818F2" w:rsidRPr="008818F2" w:rsidRDefault="008818F2" w:rsidP="001055DF">
      <w:pPr>
        <w:numPr>
          <w:ilvl w:val="0"/>
          <w:numId w:val="70"/>
        </w:numPr>
        <w:spacing w:before="60" w:after="120"/>
        <w:ind w:left="360"/>
        <w:rPr>
          <w:sz w:val="22"/>
          <w:szCs w:val="22"/>
        </w:rPr>
      </w:pPr>
      <w:r w:rsidRPr="008818F2">
        <w:rPr>
          <w:sz w:val="22"/>
          <w:szCs w:val="22"/>
        </w:rPr>
        <w:t>A CPRS order for a TAS and RBC must be placed to process the order in VBECS.</w:t>
      </w:r>
    </w:p>
    <w:p w14:paraId="131FC1F2" w14:textId="48259365" w:rsidR="008818F2" w:rsidRDefault="008818F2" w:rsidP="001055DF">
      <w:pPr>
        <w:numPr>
          <w:ilvl w:val="0"/>
          <w:numId w:val="70"/>
        </w:numPr>
        <w:spacing w:before="60" w:after="120"/>
        <w:ind w:left="360"/>
        <w:rPr>
          <w:sz w:val="22"/>
          <w:szCs w:val="22"/>
        </w:rPr>
      </w:pPr>
      <w:r w:rsidRPr="008818F2">
        <w:rPr>
          <w:sz w:val="22"/>
          <w:szCs w:val="22"/>
        </w:rPr>
        <w:t>Accession</w:t>
      </w:r>
      <w:r w:rsidRPr="008818F2">
        <w:rPr>
          <w:sz w:val="22"/>
          <w:szCs w:val="22"/>
          <w:u w:val="single"/>
        </w:rPr>
        <w:t xml:space="preserve"> only</w:t>
      </w:r>
      <w:r w:rsidRPr="008818F2">
        <w:rPr>
          <w:sz w:val="22"/>
          <w:szCs w:val="22"/>
        </w:rPr>
        <w:t xml:space="preserve"> the RBC order in the VistA LAB package</w:t>
      </w:r>
      <w:r w:rsidRPr="008818F2">
        <w:rPr>
          <w:noProof/>
          <w:sz w:val="22"/>
          <w:szCs w:val="22"/>
        </w:rPr>
        <w:t>. If the TAS is accessioned but not physically available, it will no</w:t>
      </w:r>
      <w:r w:rsidR="00910216">
        <w:rPr>
          <w:noProof/>
          <w:sz w:val="22"/>
          <w:szCs w:val="22"/>
        </w:rPr>
        <w:t>t interfere with the next ste</w:t>
      </w:r>
      <w:r w:rsidR="00910216" w:rsidRPr="00910216">
        <w:rPr>
          <w:noProof/>
          <w:sz w:val="22"/>
          <w:szCs w:val="22"/>
        </w:rPr>
        <w:t>p (</w:t>
      </w:r>
      <w:r w:rsidR="00EE455E" w:rsidRPr="00EE455E">
        <w:rPr>
          <w:sz w:val="22"/>
          <w:szCs w:val="22"/>
        </w:rPr>
        <w:t xml:space="preserve">Figure </w:t>
      </w:r>
      <w:r w:rsidR="00EE455E" w:rsidRPr="00EE455E">
        <w:rPr>
          <w:noProof/>
          <w:sz w:val="22"/>
          <w:szCs w:val="22"/>
        </w:rPr>
        <w:t>88</w:t>
      </w:r>
      <w:r w:rsidR="00910216" w:rsidRPr="00910216">
        <w:rPr>
          <w:noProof/>
          <w:sz w:val="22"/>
          <w:szCs w:val="22"/>
        </w:rPr>
        <w:t>).</w:t>
      </w:r>
    </w:p>
    <w:p w14:paraId="44601909" w14:textId="61A7E2D8" w:rsidR="00910216" w:rsidRPr="008818F2" w:rsidRDefault="00910216" w:rsidP="00910216">
      <w:pPr>
        <w:pStyle w:val="Caption"/>
      </w:pPr>
      <w:bookmarkStart w:id="430" w:name="_Ref50707958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88</w:t>
      </w:r>
      <w:r w:rsidR="004E20BD">
        <w:rPr>
          <w:noProof/>
        </w:rPr>
        <w:fldChar w:fldCharType="end"/>
      </w:r>
      <w:bookmarkEnd w:id="430"/>
      <w:r>
        <w:t>: Example of Red Blood Cells Accession</w:t>
      </w:r>
    </w:p>
    <w:p w14:paraId="35AD49FC" w14:textId="77777777" w:rsidR="008818F2" w:rsidRDefault="00057948" w:rsidP="000026FF">
      <w:pPr>
        <w:pStyle w:val="BodyText"/>
      </w:pPr>
      <w:r>
        <w:rPr>
          <w:noProof/>
        </w:rPr>
        <mc:AlternateContent>
          <mc:Choice Requires="wps">
            <w:drawing>
              <wp:anchor distT="0" distB="0" distL="114300" distR="114300" simplePos="0" relativeHeight="252087808" behindDoc="0" locked="0" layoutInCell="1" allowOverlap="1" wp14:anchorId="493E4540" wp14:editId="666AB022">
                <wp:simplePos x="0" y="0"/>
                <wp:positionH relativeFrom="column">
                  <wp:posOffset>38100</wp:posOffset>
                </wp:positionH>
                <wp:positionV relativeFrom="paragraph">
                  <wp:posOffset>2461260</wp:posOffset>
                </wp:positionV>
                <wp:extent cx="5419725" cy="438150"/>
                <wp:effectExtent l="19050" t="13335" r="19050" b="15240"/>
                <wp:wrapNone/>
                <wp:docPr id="403" name="Rectangle 1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4381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667AD" id="Rectangle 1313" o:spid="_x0000_s1026" alt="&quot;&quot;" style="position:absolute;margin-left:3pt;margin-top:193.8pt;width:426.75pt;height:34.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" filled="f" strokecolor="red" strokeweight="2pt"/>
            </w:pict>
          </mc:Fallback>
        </mc:AlternateContent>
      </w:r>
      <w:r>
        <w:rPr>
          <w:noProof/>
        </w:rPr>
        <w:drawing>
          <wp:inline distT="0" distB="0" distL="0" distR="0" wp14:anchorId="3D7C1666" wp14:editId="3551A299">
            <wp:extent cx="7278370" cy="4673600"/>
            <wp:effectExtent l="0" t="0" r="0" b="0"/>
            <wp:docPr id="222" name="Picture 222" descr="Example of Red Blood Cells Access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Example of Red Blood Cells Accession screen captur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278370" cy="4673600"/>
                    </a:xfrm>
                    <a:prstGeom prst="rect">
                      <a:avLst/>
                    </a:prstGeom>
                    <a:noFill/>
                    <a:ln>
                      <a:noFill/>
                    </a:ln>
                  </pic:spPr>
                </pic:pic>
              </a:graphicData>
            </a:graphic>
          </wp:inline>
        </w:drawing>
      </w:r>
    </w:p>
    <w:p w14:paraId="53FC089C" w14:textId="30EC33E3" w:rsidR="008818F2" w:rsidRDefault="00910216" w:rsidP="001055DF">
      <w:pPr>
        <w:numPr>
          <w:ilvl w:val="0"/>
          <w:numId w:val="70"/>
        </w:numPr>
        <w:spacing w:before="60" w:after="120"/>
        <w:ind w:left="360"/>
        <w:rPr>
          <w:sz w:val="22"/>
          <w:szCs w:val="22"/>
        </w:rPr>
      </w:pPr>
      <w:r>
        <w:rPr>
          <w:sz w:val="22"/>
          <w:szCs w:val="22"/>
        </w:rPr>
        <w:br w:type="page"/>
      </w:r>
      <w:r w:rsidR="008818F2" w:rsidRPr="000026FF">
        <w:rPr>
          <w:sz w:val="22"/>
          <w:szCs w:val="22"/>
        </w:rPr>
        <w:t>Accept the RB</w:t>
      </w:r>
      <w:r w:rsidR="008818F2" w:rsidRPr="00910216">
        <w:rPr>
          <w:sz w:val="22"/>
          <w:szCs w:val="22"/>
        </w:rPr>
        <w:t>C order in VBECS b</w:t>
      </w:r>
      <w:r w:rsidR="00070C25" w:rsidRPr="00910216">
        <w:rPr>
          <w:sz w:val="22"/>
          <w:szCs w:val="22"/>
        </w:rPr>
        <w:t>y checking the Emergency Order checkbox</w:t>
      </w:r>
      <w:r w:rsidR="008818F2" w:rsidRPr="00910216">
        <w:rPr>
          <w:sz w:val="22"/>
          <w:szCs w:val="22"/>
        </w:rPr>
        <w:t xml:space="preserve"> </w:t>
      </w:r>
      <w:r w:rsidRPr="00910216">
        <w:rPr>
          <w:sz w:val="22"/>
          <w:szCs w:val="22"/>
        </w:rPr>
        <w:t>[</w:t>
      </w:r>
      <w:r w:rsidR="008818F2" w:rsidRPr="00910216">
        <w:rPr>
          <w:b/>
          <w:sz w:val="22"/>
          <w:szCs w:val="22"/>
        </w:rPr>
        <w:t>Orders</w:t>
      </w:r>
      <w:r w:rsidR="008818F2" w:rsidRPr="00910216">
        <w:rPr>
          <w:sz w:val="22"/>
          <w:szCs w:val="22"/>
        </w:rPr>
        <w:t xml:space="preserve">, </w:t>
      </w:r>
      <w:r w:rsidR="008818F2" w:rsidRPr="00910216">
        <w:rPr>
          <w:b/>
          <w:sz w:val="22"/>
          <w:szCs w:val="22"/>
        </w:rPr>
        <w:t>Accept Orders</w:t>
      </w:r>
      <w:r w:rsidRPr="00910216">
        <w:rPr>
          <w:sz w:val="22"/>
          <w:szCs w:val="22"/>
        </w:rPr>
        <w:t xml:space="preserve"> (</w:t>
      </w:r>
      <w:r w:rsidR="00EE455E" w:rsidRPr="00EE455E">
        <w:rPr>
          <w:sz w:val="22"/>
          <w:szCs w:val="22"/>
        </w:rPr>
        <w:t xml:space="preserve">Figure </w:t>
      </w:r>
      <w:r w:rsidR="00EE455E" w:rsidRPr="00EE455E">
        <w:rPr>
          <w:noProof/>
          <w:sz w:val="22"/>
          <w:szCs w:val="22"/>
        </w:rPr>
        <w:t>89</w:t>
      </w:r>
      <w:r w:rsidRPr="00910216">
        <w:rPr>
          <w:sz w:val="22"/>
          <w:szCs w:val="22"/>
        </w:rPr>
        <w:t>)]</w:t>
      </w:r>
      <w:r w:rsidR="008818F2" w:rsidRPr="00910216">
        <w:rPr>
          <w:sz w:val="22"/>
          <w:szCs w:val="22"/>
        </w:rPr>
        <w:t xml:space="preserve">. </w:t>
      </w:r>
    </w:p>
    <w:p w14:paraId="06E32E21" w14:textId="6B725B9A" w:rsidR="00910216" w:rsidRPr="000026FF" w:rsidRDefault="00910216" w:rsidP="00910216">
      <w:pPr>
        <w:pStyle w:val="Caption"/>
      </w:pPr>
      <w:bookmarkStart w:id="431" w:name="_Ref50707962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89</w:t>
      </w:r>
      <w:r w:rsidR="004E20BD">
        <w:rPr>
          <w:noProof/>
        </w:rPr>
        <w:fldChar w:fldCharType="end"/>
      </w:r>
      <w:bookmarkEnd w:id="431"/>
      <w:r>
        <w:t>: Example of Emergency Order checkbox</w:t>
      </w:r>
    </w:p>
    <w:p w14:paraId="546D5937" w14:textId="48A29154" w:rsidR="008818F2" w:rsidRDefault="00C84A5E" w:rsidP="000026FF">
      <w:pPr>
        <w:pStyle w:val="BodyText"/>
      </w:pPr>
      <w:r>
        <w:rPr>
          <w:noProof/>
        </w:rPr>
        <mc:AlternateContent>
          <mc:Choice Requires="wps">
            <w:drawing>
              <wp:anchor distT="0" distB="0" distL="114300" distR="114300" simplePos="0" relativeHeight="252093952" behindDoc="0" locked="0" layoutInCell="1" allowOverlap="1" wp14:anchorId="6C1F19E2" wp14:editId="25F40269">
                <wp:simplePos x="0" y="0"/>
                <wp:positionH relativeFrom="column">
                  <wp:posOffset>2000250</wp:posOffset>
                </wp:positionH>
                <wp:positionV relativeFrom="paragraph">
                  <wp:posOffset>2533650</wp:posOffset>
                </wp:positionV>
                <wp:extent cx="1209675" cy="190500"/>
                <wp:effectExtent l="38100" t="19050" r="9525" b="38100"/>
                <wp:wrapNone/>
                <wp:docPr id="402" name="AutoShape 1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90500"/>
                        </a:xfrm>
                        <a:prstGeom prst="leftArrow">
                          <a:avLst>
                            <a:gd name="adj1" fmla="val 50000"/>
                            <a:gd name="adj2" fmla="val 1587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F0EA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16" o:spid="_x0000_s1026" type="#_x0000_t66" alt="&quot;&quot;" style="position:absolute;margin-left:157.5pt;margin-top:199.5pt;width:95.25pt;height:1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" fillcolor="red"/>
            </w:pict>
          </mc:Fallback>
        </mc:AlternateContent>
      </w:r>
      <w:r w:rsidR="00570C93">
        <w:rPr>
          <w:noProof/>
        </w:rPr>
        <mc:AlternateContent>
          <mc:Choice Requires="wps">
            <w:drawing>
              <wp:anchor distT="0" distB="0" distL="114300" distR="114300" simplePos="0" relativeHeight="252090880" behindDoc="0" locked="0" layoutInCell="1" allowOverlap="1" wp14:anchorId="6BD4040E" wp14:editId="1D0D4BDD">
                <wp:simplePos x="0" y="0"/>
                <wp:positionH relativeFrom="column">
                  <wp:posOffset>1104900</wp:posOffset>
                </wp:positionH>
                <wp:positionV relativeFrom="paragraph">
                  <wp:posOffset>2533650</wp:posOffset>
                </wp:positionV>
                <wp:extent cx="838200" cy="190500"/>
                <wp:effectExtent l="0" t="0" r="19050" b="19050"/>
                <wp:wrapNone/>
                <wp:docPr id="401" name="Rectangl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C0EC9" id="Rectangle 1315" o:spid="_x0000_s1026" alt="&quot;&quot;" style="position:absolute;margin-left:87pt;margin-top:199.5pt;width:66pt;height:1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" filled="f" strokecolor="red" strokeweight="2pt"/>
            </w:pict>
          </mc:Fallback>
        </mc:AlternateContent>
      </w:r>
      <w:r w:rsidR="00570C93">
        <w:rPr>
          <w:noProof/>
        </w:rPr>
        <w:drawing>
          <wp:inline distT="0" distB="0" distL="0" distR="0" wp14:anchorId="31F0D70D" wp14:editId="0014734B">
            <wp:extent cx="5943600" cy="3004185"/>
            <wp:effectExtent l="0" t="0" r="0" b="5715"/>
            <wp:docPr id="95" name="Picture 95" descr="Example of Emergency Order checkbox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Example of Emergency Order checkbox screen captur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3600" cy="3004185"/>
                    </a:xfrm>
                    <a:prstGeom prst="rect">
                      <a:avLst/>
                    </a:prstGeom>
                    <a:noFill/>
                    <a:ln>
                      <a:noFill/>
                    </a:ln>
                  </pic:spPr>
                </pic:pic>
              </a:graphicData>
            </a:graphic>
          </wp:inline>
        </w:drawing>
      </w:r>
    </w:p>
    <w:p w14:paraId="020479C9" w14:textId="77777777" w:rsidR="008818F2" w:rsidRPr="000026FF" w:rsidRDefault="008818F2" w:rsidP="001055DF">
      <w:pPr>
        <w:numPr>
          <w:ilvl w:val="0"/>
          <w:numId w:val="70"/>
        </w:numPr>
        <w:spacing w:before="60" w:after="120"/>
        <w:ind w:left="360"/>
        <w:rPr>
          <w:sz w:val="22"/>
          <w:szCs w:val="22"/>
        </w:rPr>
      </w:pPr>
      <w:r w:rsidRPr="000026FF">
        <w:rPr>
          <w:sz w:val="22"/>
          <w:szCs w:val="22"/>
        </w:rPr>
        <w:t>Select Units and issue from the Emergency Issue tab until a specimen is received.</w:t>
      </w:r>
    </w:p>
    <w:p w14:paraId="00C0CF97" w14:textId="228EB29F" w:rsidR="00910216" w:rsidRDefault="00910216" w:rsidP="001055DF">
      <w:pPr>
        <w:numPr>
          <w:ilvl w:val="0"/>
          <w:numId w:val="70"/>
        </w:numPr>
        <w:spacing w:before="60" w:after="120"/>
        <w:ind w:left="360"/>
        <w:rPr>
          <w:sz w:val="22"/>
          <w:szCs w:val="22"/>
        </w:rPr>
      </w:pPr>
      <w:r>
        <w:rPr>
          <w:sz w:val="22"/>
          <w:szCs w:val="22"/>
        </w:rPr>
        <w:br w:type="page"/>
      </w:r>
      <w:r w:rsidR="008818F2" w:rsidRPr="000026FF">
        <w:rPr>
          <w:sz w:val="22"/>
          <w:szCs w:val="22"/>
        </w:rPr>
        <w:t xml:space="preserve">Associate the specimen with the RBC order in Select Units by selecting one of the ISSUED units to perform retrospective crossmatch testing. Click the </w:t>
      </w:r>
      <w:r w:rsidR="004D44ED">
        <w:rPr>
          <w:sz w:val="22"/>
          <w:szCs w:val="22"/>
        </w:rPr>
        <w:t>Find</w:t>
      </w:r>
      <w:r w:rsidR="008818F2" w:rsidRPr="000026FF">
        <w:rPr>
          <w:sz w:val="22"/>
          <w:szCs w:val="22"/>
        </w:rPr>
        <w:t xml:space="preserve"> button to search for </w:t>
      </w:r>
      <w:r w:rsidR="00070C25">
        <w:rPr>
          <w:sz w:val="22"/>
          <w:szCs w:val="22"/>
        </w:rPr>
        <w:t xml:space="preserve">an </w:t>
      </w:r>
      <w:r w:rsidR="008818F2" w:rsidRPr="000026FF">
        <w:rPr>
          <w:sz w:val="22"/>
          <w:szCs w:val="22"/>
        </w:rPr>
        <w:t>available specimen UID</w:t>
      </w:r>
      <w:r w:rsidR="009219F9">
        <w:rPr>
          <w:sz w:val="22"/>
          <w:szCs w:val="22"/>
        </w:rPr>
        <w:t xml:space="preserve"> (</w:t>
      </w:r>
      <w:r w:rsidR="00EE455E" w:rsidRPr="00EE455E">
        <w:rPr>
          <w:sz w:val="22"/>
          <w:szCs w:val="22"/>
        </w:rPr>
        <w:t xml:space="preserve">Figure </w:t>
      </w:r>
      <w:r w:rsidR="00EE455E" w:rsidRPr="00EE455E">
        <w:rPr>
          <w:noProof/>
          <w:sz w:val="22"/>
          <w:szCs w:val="22"/>
        </w:rPr>
        <w:t>90</w:t>
      </w:r>
      <w:r w:rsidR="009219F9" w:rsidRPr="009219F9">
        <w:rPr>
          <w:sz w:val="22"/>
          <w:szCs w:val="22"/>
        </w:rPr>
        <w:t>)</w:t>
      </w:r>
      <w:r w:rsidR="008818F2" w:rsidRPr="009219F9">
        <w:rPr>
          <w:sz w:val="22"/>
          <w:szCs w:val="22"/>
        </w:rPr>
        <w:t xml:space="preserve">. See the </w:t>
      </w:r>
      <w:r w:rsidR="00EE455E">
        <w:t>Select Units</w:t>
      </w:r>
      <w:r w:rsidR="009219F9">
        <w:rPr>
          <w:sz w:val="22"/>
          <w:szCs w:val="22"/>
        </w:rPr>
        <w:t xml:space="preserve"> section</w:t>
      </w:r>
      <w:r w:rsidR="008818F2" w:rsidRPr="000026FF">
        <w:rPr>
          <w:sz w:val="22"/>
          <w:szCs w:val="22"/>
        </w:rPr>
        <w:t xml:space="preserve"> for </w:t>
      </w:r>
      <w:r w:rsidR="00E90A01">
        <w:rPr>
          <w:sz w:val="22"/>
          <w:szCs w:val="22"/>
        </w:rPr>
        <w:t>additional</w:t>
      </w:r>
      <w:r w:rsidR="008818F2" w:rsidRPr="000026FF">
        <w:rPr>
          <w:sz w:val="22"/>
          <w:szCs w:val="22"/>
        </w:rPr>
        <w:t xml:space="preserve"> information.</w:t>
      </w:r>
    </w:p>
    <w:p w14:paraId="7FE896D7" w14:textId="7E19229F" w:rsidR="008818F2" w:rsidRPr="000026FF" w:rsidRDefault="00910216" w:rsidP="00910216">
      <w:pPr>
        <w:pStyle w:val="Caption"/>
      </w:pPr>
      <w:bookmarkStart w:id="432" w:name="_Ref50707987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90</w:t>
      </w:r>
      <w:r w:rsidR="004E20BD">
        <w:rPr>
          <w:noProof/>
        </w:rPr>
        <w:fldChar w:fldCharType="end"/>
      </w:r>
      <w:bookmarkEnd w:id="432"/>
      <w:r>
        <w:t>: Example of Specimen UID</w:t>
      </w:r>
    </w:p>
    <w:p w14:paraId="18EFB5C8" w14:textId="29070385" w:rsidR="008818F2" w:rsidRDefault="00057948" w:rsidP="000026FF">
      <w:pPr>
        <w:pStyle w:val="BodyText"/>
      </w:pPr>
      <w:r>
        <w:rPr>
          <w:noProof/>
        </w:rPr>
        <mc:AlternateContent>
          <mc:Choice Requires="wps">
            <w:drawing>
              <wp:anchor distT="0" distB="0" distL="114300" distR="114300" simplePos="0" relativeHeight="252097024" behindDoc="0" locked="0" layoutInCell="1" allowOverlap="1" wp14:anchorId="6FA79141" wp14:editId="22242F55">
                <wp:simplePos x="0" y="0"/>
                <wp:positionH relativeFrom="column">
                  <wp:posOffset>4305300</wp:posOffset>
                </wp:positionH>
                <wp:positionV relativeFrom="paragraph">
                  <wp:posOffset>2019935</wp:posOffset>
                </wp:positionV>
                <wp:extent cx="1209675" cy="190500"/>
                <wp:effectExtent l="28575" t="19685" r="9525" b="8890"/>
                <wp:wrapNone/>
                <wp:docPr id="400" name="AutoShape 1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90500"/>
                        </a:xfrm>
                        <a:prstGeom prst="leftArrow">
                          <a:avLst>
                            <a:gd name="adj1" fmla="val 50000"/>
                            <a:gd name="adj2" fmla="val 1587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495B" id="AutoShape 1317" o:spid="_x0000_s1026" type="#_x0000_t66" alt="&quot;&quot;" style="position:absolute;margin-left:339pt;margin-top:159.05pt;width:95.25pt;height:1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" fillcolor="red"/>
            </w:pict>
          </mc:Fallback>
        </mc:AlternateContent>
      </w:r>
      <w:r w:rsidR="000D602C">
        <w:rPr>
          <w:noProof/>
        </w:rPr>
        <w:drawing>
          <wp:inline distT="0" distB="0" distL="0" distR="0" wp14:anchorId="52DA02C1" wp14:editId="57A5A8AD">
            <wp:extent cx="5943600" cy="3526790"/>
            <wp:effectExtent l="0" t="0" r="0" b="0"/>
            <wp:docPr id="153" name="Picture 153" descr="Example of Specimen UID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Example of Specimen UID screen capture"/>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3526790"/>
                    </a:xfrm>
                    <a:prstGeom prst="rect">
                      <a:avLst/>
                    </a:prstGeom>
                    <a:noFill/>
                    <a:ln>
                      <a:noFill/>
                    </a:ln>
                  </pic:spPr>
                </pic:pic>
              </a:graphicData>
            </a:graphic>
          </wp:inline>
        </w:drawing>
      </w:r>
    </w:p>
    <w:p w14:paraId="3F1D6DE2" w14:textId="77777777" w:rsidR="0073493B" w:rsidRDefault="00AC2D9E" w:rsidP="0073493B">
      <w:pPr>
        <w:pStyle w:val="Heading2"/>
      </w:pPr>
      <w:r>
        <w:br w:type="page"/>
      </w:r>
      <w:bookmarkStart w:id="433" w:name="_Toc149064149"/>
      <w:r w:rsidR="0073493B">
        <w:t>Maintain Specimen</w:t>
      </w:r>
      <w:bookmarkEnd w:id="433"/>
      <w:r w:rsidR="0073493B">
        <w:fldChar w:fldCharType="begin"/>
      </w:r>
      <w:r w:rsidR="0073493B">
        <w:instrText xml:space="preserve"> XE “Maintain Specimen” </w:instrText>
      </w:r>
      <w:r w:rsidR="0073493B">
        <w:fldChar w:fldCharType="end"/>
      </w:r>
      <w:r w:rsidR="0073493B">
        <w:t xml:space="preserve"> </w:t>
      </w:r>
      <w:r w:rsidR="0073493B">
        <w:rPr>
          <w:rFonts w:ascii="Times New Roman" w:hAnsi="Times New Roman" w:cs="Times New Roman"/>
          <w:b w:val="0"/>
          <w:i w:val="0"/>
          <w:vanish/>
          <w:sz w:val="22"/>
        </w:rPr>
        <w:t>UC_35</w:t>
      </w:r>
    </w:p>
    <w:p w14:paraId="670D41BA" w14:textId="77777777" w:rsidR="0073493B" w:rsidRDefault="0073493B" w:rsidP="0073493B">
      <w:pPr>
        <w:pStyle w:val="BodyText"/>
      </w:pPr>
      <w:r>
        <w:t xml:space="preserve">A specimen for testing is received in the blood bank and is processed as part of initial order acceptance, as described in Accept Orders: Accept an Order. </w:t>
      </w:r>
    </w:p>
    <w:p w14:paraId="029F797B" w14:textId="77777777" w:rsidR="0073493B" w:rsidRDefault="0073493B" w:rsidP="0073493B">
      <w:pPr>
        <w:pStyle w:val="Heading4"/>
      </w:pPr>
      <w:r>
        <w:t>Assumptions</w:t>
      </w:r>
      <w:r>
        <w:rPr>
          <w:b w:val="0"/>
        </w:rPr>
        <w:t xml:space="preserve"> </w:t>
      </w:r>
    </w:p>
    <w:p w14:paraId="3B040F4B" w14:textId="77777777" w:rsidR="0073493B" w:rsidRDefault="0073493B" w:rsidP="0073493B">
      <w:pPr>
        <w:pStyle w:val="ListBullet"/>
      </w:pPr>
      <w:r>
        <w:t>Pending CPRS orders and active orders require an acceptable specimen.</w:t>
      </w:r>
    </w:p>
    <w:p w14:paraId="25CB7F26" w14:textId="77777777" w:rsidR="0073493B" w:rsidRDefault="0073493B" w:rsidP="0073493B">
      <w:pPr>
        <w:pStyle w:val="ListBullet"/>
      </w:pPr>
      <w:r>
        <w:t xml:space="preserve">A specimen was collected and previously accessioned in the </w:t>
      </w:r>
      <w:r w:rsidRPr="00CA6E27">
        <w:rPr>
          <w:bCs/>
        </w:rPr>
        <w:t>VistA</w:t>
      </w:r>
      <w:r>
        <w:rPr>
          <w:b/>
          <w:bCs/>
        </w:rPr>
        <w:t xml:space="preserve"> </w:t>
      </w:r>
      <w:r>
        <w:rPr>
          <w:bCs/>
        </w:rPr>
        <w:t>Laboratory system, which generated</w:t>
      </w:r>
      <w:r>
        <w:t xml:space="preserve"> the specimen’s universal ID (UID). </w:t>
      </w:r>
    </w:p>
    <w:p w14:paraId="0AD9A98D" w14:textId="77777777" w:rsidR="0073493B" w:rsidRDefault="0073493B" w:rsidP="0073493B">
      <w:pPr>
        <w:pStyle w:val="Heading4"/>
      </w:pPr>
      <w:r>
        <w:t xml:space="preserve">Outcome </w:t>
      </w:r>
    </w:p>
    <w:p w14:paraId="5B4A4A68" w14:textId="77777777" w:rsidR="0073493B" w:rsidRDefault="0073493B" w:rsidP="0073493B">
      <w:pPr>
        <w:pStyle w:val="ListBullet"/>
      </w:pPr>
      <w:r>
        <w:t>The user accepted or rejected a specimen.</w:t>
      </w:r>
    </w:p>
    <w:p w14:paraId="4C155CDC" w14:textId="77777777" w:rsidR="0073493B" w:rsidRDefault="0073493B" w:rsidP="0073493B">
      <w:pPr>
        <w:pStyle w:val="Heading4"/>
      </w:pPr>
      <w:r>
        <w:t>Limitations and Restrictions</w:t>
      </w:r>
      <w:r>
        <w:rPr>
          <w:b w:val="0"/>
        </w:rPr>
        <w:t xml:space="preserve"> </w:t>
      </w:r>
    </w:p>
    <w:p w14:paraId="6A983F08" w14:textId="77777777" w:rsidR="00597E97" w:rsidRDefault="00597E97" w:rsidP="0073493B">
      <w:pPr>
        <w:pStyle w:val="ListBullet"/>
      </w:pPr>
      <w:r>
        <w:t>When a search by UID causes VBECS to time out, repeat the search by UID and patient name or by patient name only.</w:t>
      </w:r>
      <w:r w:rsidR="009303DE">
        <w:t xml:space="preserve"> </w:t>
      </w:r>
      <w:r w:rsidR="009303DE" w:rsidRPr="009303DE">
        <w:rPr>
          <w:vanish/>
        </w:rPr>
        <w:t>(UserDoc Tasks 1089 and 1090)</w:t>
      </w:r>
    </w:p>
    <w:p w14:paraId="6DB71150" w14:textId="77777777" w:rsidR="0073493B" w:rsidRDefault="0073493B" w:rsidP="0073493B">
      <w:pPr>
        <w:pStyle w:val="ListBullet"/>
      </w:pPr>
      <w:r>
        <w:t>Specimen recollection requests must be made offline.</w:t>
      </w:r>
    </w:p>
    <w:p w14:paraId="23200A1F" w14:textId="77777777" w:rsidR="008F0300" w:rsidRDefault="008F0300" w:rsidP="0073493B">
      <w:pPr>
        <w:pStyle w:val="ListBullet"/>
      </w:pPr>
      <w:bookmarkStart w:id="434" w:name="OLE_LINK5"/>
      <w:bookmarkStart w:id="435" w:name="OLE_LINK6"/>
      <w:r>
        <w:t>Designating a specimen as “unacceptable” after accepting a CPRS order closes that order and requires a new CPRS order and sample.</w:t>
      </w:r>
    </w:p>
    <w:bookmarkEnd w:id="434"/>
    <w:bookmarkEnd w:id="435"/>
    <w:p w14:paraId="1F311C02" w14:textId="77777777" w:rsidR="0073493B" w:rsidRDefault="0073493B" w:rsidP="0073493B">
      <w:pPr>
        <w:pStyle w:val="Heading4"/>
      </w:pPr>
      <w:r>
        <w:t xml:space="preserve">Additional Information </w:t>
      </w:r>
    </w:p>
    <w:p w14:paraId="3A0C3CE9" w14:textId="58A97DEB" w:rsidR="0073493B" w:rsidRDefault="0073493B" w:rsidP="0073493B">
      <w:pPr>
        <w:pStyle w:val="ListBullet"/>
      </w:pPr>
      <w:r>
        <w:t>A specimen may be marked unsuitable for use after its acceptance.</w:t>
      </w:r>
      <w:r w:rsidR="00963554">
        <w:t xml:space="preserve"> </w:t>
      </w:r>
      <w:r w:rsidR="00963554" w:rsidRPr="00963554">
        <w:rPr>
          <w:vanish/>
        </w:rPr>
        <w:t>Defect 213368</w:t>
      </w:r>
    </w:p>
    <w:p w14:paraId="02899BBA" w14:textId="77777777" w:rsidR="0073493B" w:rsidRDefault="0073493B" w:rsidP="0073493B">
      <w:pPr>
        <w:pStyle w:val="ListBullet"/>
      </w:pPr>
      <w:r>
        <w:t>A specimen expiration date may be edited after acceptance.</w:t>
      </w:r>
    </w:p>
    <w:p w14:paraId="7427E351" w14:textId="77777777" w:rsidR="0073493B" w:rsidRDefault="0073493B" w:rsidP="0073493B">
      <w:pPr>
        <w:pStyle w:val="ListBullet"/>
      </w:pPr>
      <w:r>
        <w:t>A specimen may be recollected without</w:t>
      </w:r>
      <w:r w:rsidR="008F0300">
        <w:t xml:space="preserve"> canceling or reordering</w:t>
      </w:r>
      <w:r>
        <w:t xml:space="preserve"> the </w:t>
      </w:r>
      <w:r w:rsidRPr="00CA6E27">
        <w:rPr>
          <w:bCs/>
        </w:rPr>
        <w:t>VistA</w:t>
      </w:r>
      <w:r>
        <w:t xml:space="preserve"> order. This practice is dictated by local policy and procedures.</w:t>
      </w:r>
    </w:p>
    <w:p w14:paraId="394895D6" w14:textId="77777777" w:rsidR="0073493B" w:rsidRDefault="0073493B" w:rsidP="0073493B">
      <w:pPr>
        <w:pStyle w:val="ListBullet"/>
      </w:pPr>
      <w:r>
        <w:t>Specimens marked as originally associated with diagnostic tests only or unacceptable are not considered available specimens when CPRS is queried for specimen availability.</w:t>
      </w:r>
    </w:p>
    <w:p w14:paraId="30A90371" w14:textId="77777777" w:rsidR="0073493B" w:rsidRDefault="0073493B" w:rsidP="0073493B">
      <w:pPr>
        <w:pStyle w:val="Heading4"/>
        <w:rPr>
          <w:b w:val="0"/>
        </w:rPr>
      </w:pPr>
      <w:r>
        <w:t>User Roles with Access to This Option</w:t>
      </w:r>
    </w:p>
    <w:p w14:paraId="5EF5D194" w14:textId="77777777" w:rsidR="0073493B" w:rsidRDefault="0073493B" w:rsidP="0073493B">
      <w:pPr>
        <w:pStyle w:val="Roles"/>
        <w:rPr>
          <w:snapToGrid w:val="0"/>
        </w:rPr>
      </w:pPr>
      <w:r>
        <w:t>All users</w:t>
      </w:r>
    </w:p>
    <w:p w14:paraId="1775F834" w14:textId="77777777" w:rsidR="0073493B" w:rsidRDefault="0073493B" w:rsidP="0073493B">
      <w:pPr>
        <w:pStyle w:val="Heading4"/>
      </w:pPr>
      <w:r>
        <w:t>Maintain Specimen</w:t>
      </w:r>
    </w:p>
    <w:p w14:paraId="23BFA9C6" w14:textId="77777777" w:rsidR="0073493B" w:rsidRDefault="0073493B" w:rsidP="0073493B">
      <w:pPr>
        <w:pStyle w:val="BodyText"/>
      </w:pPr>
      <w:r>
        <w:t xml:space="preserve">A specimen for testing is received in the blood bank and is processed as part of initial order acceptance, as described in Accept Orders: Accept an Order. </w:t>
      </w:r>
    </w:p>
    <w:p w14:paraId="0AE0E454" w14:textId="77777777" w:rsidR="0073493B" w:rsidRDefault="0073493B" w:rsidP="0073493B">
      <w:pPr>
        <w:pStyle w:val="BodyText"/>
      </w:pPr>
      <w:r>
        <w:t>Information about a previously accepted specimen may be updated. The user may verify whether an active specimen is currently in the blood bank or update the information concerning a previously accepted specimen. After the user checks the physician’s order against the specimen requirement, the user verifies the specimen’s condition, labeling, and accompanying paperwork, according to local policy. The user verifies the specimen information and acceptability and prepares the specimen for testing.</w:t>
      </w:r>
    </w:p>
    <w:p w14:paraId="70A4245C" w14:textId="77777777" w:rsidR="0073493B" w:rsidRDefault="0073493B" w:rsidP="0073493B">
      <w:pPr>
        <w:pStyle w:val="BodyText"/>
      </w:pPr>
      <w:r>
        <w:t xml:space="preserve">The user may edit specimen information, such as extending the expiration time according to local policy, and marking a specimen as unsatisfactory or expired so that future orders require that a new specimen be collected. </w:t>
      </w:r>
    </w:p>
    <w:p w14:paraId="6413BFF3" w14:textId="77777777" w:rsidR="00E661A1" w:rsidRDefault="0073493B" w:rsidP="0073493B">
      <w:pPr>
        <w:pStyle w:val="BodyText"/>
      </w:pPr>
      <w:r>
        <w:t>When a specimen is required, the user must find that specimen before acknowledging that order, as described in Accept Orders: Accept an Order.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3493B" w14:paraId="1936C87B" w14:textId="77777777">
        <w:trPr>
          <w:cantSplit/>
          <w:tblHeader/>
        </w:trPr>
        <w:tc>
          <w:tcPr>
            <w:tcW w:w="3240" w:type="dxa"/>
            <w:shd w:val="pct30" w:color="auto" w:fill="FFFFFF"/>
            <w:vAlign w:val="bottom"/>
          </w:tcPr>
          <w:p w14:paraId="7983C2AA" w14:textId="14F49460" w:rsidR="0073493B" w:rsidRDefault="00E661A1" w:rsidP="00141448">
            <w:pPr>
              <w:pStyle w:val="TableText"/>
              <w:rPr>
                <w:b/>
              </w:rPr>
            </w:pPr>
            <w:r>
              <w:br w:type="page"/>
            </w:r>
            <w:r w:rsidR="0073493B">
              <w:rPr>
                <w:b/>
              </w:rPr>
              <w:t>User Action</w:t>
            </w:r>
          </w:p>
        </w:tc>
        <w:tc>
          <w:tcPr>
            <w:tcW w:w="6120" w:type="dxa"/>
            <w:shd w:val="pct30" w:color="auto" w:fill="FFFFFF"/>
            <w:vAlign w:val="bottom"/>
          </w:tcPr>
          <w:p w14:paraId="4ECFE952" w14:textId="77777777" w:rsidR="0073493B" w:rsidRDefault="0073493B" w:rsidP="00141448">
            <w:pPr>
              <w:pStyle w:val="TableText"/>
              <w:rPr>
                <w:b/>
              </w:rPr>
            </w:pPr>
            <w:r>
              <w:rPr>
                <w:b/>
              </w:rPr>
              <w:t>VBECS</w:t>
            </w:r>
          </w:p>
        </w:tc>
      </w:tr>
      <w:tr w:rsidR="0073493B" w14:paraId="36AB06AA" w14:textId="77777777">
        <w:tc>
          <w:tcPr>
            <w:tcW w:w="3240" w:type="dxa"/>
          </w:tcPr>
          <w:p w14:paraId="65B5DA6B" w14:textId="77777777" w:rsidR="0073493B" w:rsidRDefault="0073493B" w:rsidP="00141448">
            <w:pPr>
              <w:pStyle w:val="TableTextNumbers"/>
            </w:pPr>
            <w:r>
              <w:t xml:space="preserve">Select </w:t>
            </w:r>
            <w:r>
              <w:rPr>
                <w:b/>
              </w:rPr>
              <w:t>Orders</w:t>
            </w:r>
            <w:r>
              <w:t xml:space="preserve"> from the main menu.</w:t>
            </w:r>
          </w:p>
          <w:p w14:paraId="0C891C82" w14:textId="77777777" w:rsidR="0073493B" w:rsidRDefault="0073493B" w:rsidP="00141448">
            <w:pPr>
              <w:pStyle w:val="TableTextNumbersContinued"/>
            </w:pPr>
          </w:p>
          <w:p w14:paraId="03174E58" w14:textId="77777777" w:rsidR="0073493B" w:rsidRDefault="0073493B" w:rsidP="00141448">
            <w:pPr>
              <w:pStyle w:val="TableTextNumbersContinued"/>
            </w:pPr>
            <w:r>
              <w:t xml:space="preserve">Select </w:t>
            </w:r>
            <w:r>
              <w:rPr>
                <w:b/>
              </w:rPr>
              <w:t>Maintain Specimen</w:t>
            </w:r>
            <w:r>
              <w:t>.</w:t>
            </w:r>
          </w:p>
        </w:tc>
        <w:tc>
          <w:tcPr>
            <w:tcW w:w="6120" w:type="dxa"/>
          </w:tcPr>
          <w:p w14:paraId="30253267" w14:textId="77777777" w:rsidR="0073493B" w:rsidRDefault="0073493B" w:rsidP="00141448">
            <w:pPr>
              <w:pStyle w:val="TableTextBullet"/>
            </w:pPr>
            <w:r>
              <w:t>Displays options for processing orders.</w:t>
            </w:r>
          </w:p>
          <w:p w14:paraId="1E0B683F" w14:textId="77777777" w:rsidR="0073493B" w:rsidRDefault="0073493B" w:rsidP="00141448">
            <w:pPr>
              <w:pStyle w:val="TableTextBullet"/>
            </w:pPr>
            <w:r>
              <w:t>Displays fields for entering patient specimen information.</w:t>
            </w:r>
          </w:p>
        </w:tc>
      </w:tr>
      <w:tr w:rsidR="0073493B" w14:paraId="54DD1152" w14:textId="77777777">
        <w:tc>
          <w:tcPr>
            <w:tcW w:w="3240" w:type="dxa"/>
          </w:tcPr>
          <w:p w14:paraId="5A2B7010" w14:textId="77777777" w:rsidR="0073493B" w:rsidRDefault="0073493B" w:rsidP="00141448">
            <w:pPr>
              <w:pStyle w:val="TableTextNumbers"/>
            </w:pPr>
            <w:r>
              <w:t>Scan or enter the specimen’s UID.</w:t>
            </w:r>
          </w:p>
        </w:tc>
        <w:tc>
          <w:tcPr>
            <w:tcW w:w="6120" w:type="dxa"/>
          </w:tcPr>
          <w:p w14:paraId="4F76FA84" w14:textId="77777777" w:rsidR="0073493B" w:rsidRDefault="0073493B" w:rsidP="00141448">
            <w:pPr>
              <w:pStyle w:val="TableTextBullet"/>
            </w:pPr>
            <w:r>
              <w:t xml:space="preserve">Displays a field to enter the specimen UID and allows the user to search for existing specimens. </w:t>
            </w:r>
          </w:p>
          <w:p w14:paraId="22757897" w14:textId="77777777" w:rsidR="0073493B" w:rsidRDefault="0073493B" w:rsidP="00141448">
            <w:pPr>
              <w:pStyle w:val="TableTextBullet"/>
            </w:pPr>
            <w:r>
              <w:t>Displays previously entered information for the specimen and accommodates data entry of new specimen information.</w:t>
            </w:r>
          </w:p>
          <w:p w14:paraId="0F9FFC25" w14:textId="77777777" w:rsidR="0073493B" w:rsidRDefault="0073493B" w:rsidP="00141448">
            <w:pPr>
              <w:pStyle w:val="TableText"/>
            </w:pPr>
          </w:p>
          <w:p w14:paraId="0798CF44" w14:textId="70F9DE91" w:rsidR="0073493B" w:rsidRDefault="0073493B" w:rsidP="00141448">
            <w:pPr>
              <w:pStyle w:val="TableText"/>
              <w:rPr>
                <w:b/>
                <w:bCs/>
                <w:szCs w:val="18"/>
              </w:rPr>
            </w:pPr>
            <w:r>
              <w:rPr>
                <w:b/>
                <w:bCs/>
                <w:szCs w:val="18"/>
              </w:rPr>
              <w:t>NOTES</w:t>
            </w:r>
          </w:p>
          <w:p w14:paraId="0C54238C" w14:textId="77777777" w:rsidR="0073493B" w:rsidRDefault="0073493B" w:rsidP="00141448">
            <w:pPr>
              <w:pStyle w:val="NotesText"/>
            </w:pPr>
          </w:p>
          <w:p w14:paraId="12E45C0C" w14:textId="77777777" w:rsidR="0073493B" w:rsidRDefault="0073493B" w:rsidP="00141448">
            <w:pPr>
              <w:pStyle w:val="NotesText"/>
            </w:pPr>
            <w:r>
              <w:t xml:space="preserve">The user may: </w:t>
            </w:r>
          </w:p>
          <w:p w14:paraId="5DABF5F3" w14:textId="77777777" w:rsidR="0073493B" w:rsidRDefault="0073493B" w:rsidP="00141448">
            <w:pPr>
              <w:pStyle w:val="NotesTextBullet"/>
            </w:pPr>
            <w:r>
              <w:t>Create and/or maintain a specimen associated with an order from Accept Orders: Accept an Order.</w:t>
            </w:r>
          </w:p>
          <w:p w14:paraId="290750F5" w14:textId="77777777" w:rsidR="0073493B" w:rsidRDefault="0073493B" w:rsidP="00141448">
            <w:pPr>
              <w:pStyle w:val="NotesTextBullet"/>
            </w:pPr>
            <w:r>
              <w:t>Update specimen information from a previously received specimen.</w:t>
            </w:r>
          </w:p>
          <w:p w14:paraId="18B98D24" w14:textId="77777777" w:rsidR="0073493B" w:rsidRDefault="0073493B" w:rsidP="00141448">
            <w:pPr>
              <w:pStyle w:val="NotesText"/>
            </w:pPr>
          </w:p>
          <w:p w14:paraId="21685228" w14:textId="77777777" w:rsidR="0073493B" w:rsidRDefault="0073493B" w:rsidP="00141448">
            <w:pPr>
              <w:pStyle w:val="NotesText"/>
            </w:pPr>
            <w:r>
              <w:rPr>
                <w:rFonts w:cs="Arial"/>
                <w:vanish/>
              </w:rPr>
              <w:t xml:space="preserve">BR_35.04 </w:t>
            </w:r>
            <w:r>
              <w:t xml:space="preserve">Specimens associated with blood bank diagnostic tests are not available in Maintain Specimen. </w:t>
            </w:r>
            <w:r w:rsidR="00113E2C">
              <w:t>Specimens collected for diagnostic tests only are to be used for performing the specifically ordered tests and are not available for processing blood component orders.</w:t>
            </w:r>
            <w:r w:rsidR="00A4315F">
              <w:t xml:space="preserve"> </w:t>
            </w:r>
          </w:p>
          <w:p w14:paraId="3A248539" w14:textId="77777777" w:rsidR="0073493B" w:rsidRDefault="0073493B" w:rsidP="00141448">
            <w:pPr>
              <w:pStyle w:val="NotesText"/>
            </w:pPr>
          </w:p>
          <w:p w14:paraId="2617BA7E" w14:textId="44C4C61C" w:rsidR="0073493B" w:rsidRDefault="0078306A" w:rsidP="00141448">
            <w:pPr>
              <w:pStyle w:val="NotesText"/>
            </w:pPr>
            <w:r>
              <w:t xml:space="preserve">See </w:t>
            </w:r>
            <w:r w:rsidR="00EE455E" w:rsidRPr="008000E5">
              <w:t>Configure Division</w:t>
            </w:r>
            <w:r>
              <w:t xml:space="preserve"> for how long t</w:t>
            </w:r>
            <w:r w:rsidR="0073493B">
              <w:t xml:space="preserve">he orders and associated specimens </w:t>
            </w:r>
            <w:r>
              <w:t>can be</w:t>
            </w:r>
            <w:r w:rsidR="0073493B">
              <w:t xml:space="preserve"> maintained before th</w:t>
            </w:r>
            <w:r>
              <w:t xml:space="preserve">ey </w:t>
            </w:r>
            <w:r w:rsidR="0073493B">
              <w:t>expire: Type &amp; Screen (TAS), component orders (RBC, FFP, CRYO, PLT, WB, OTHER).</w:t>
            </w:r>
          </w:p>
          <w:p w14:paraId="775A44FE" w14:textId="77777777" w:rsidR="0073493B" w:rsidRDefault="0073493B" w:rsidP="00141448">
            <w:pPr>
              <w:pStyle w:val="NotesText"/>
            </w:pPr>
          </w:p>
          <w:p w14:paraId="5D15C094" w14:textId="77777777" w:rsidR="0073493B" w:rsidRDefault="0073493B" w:rsidP="00141448">
            <w:pPr>
              <w:pStyle w:val="NotesText"/>
            </w:pPr>
            <w:r>
              <w:t>The list of orderable and reflex tests below may be added to a specimen maintained for a component order, but may not have a component order added to them: they do not have maintained specimens.</w:t>
            </w:r>
          </w:p>
          <w:p w14:paraId="2689D4CB" w14:textId="77777777" w:rsidR="0073493B" w:rsidRDefault="0073493B" w:rsidP="00141448">
            <w:pPr>
              <w:pStyle w:val="NotesText"/>
            </w:pPr>
          </w:p>
          <w:p w14:paraId="10B54039" w14:textId="77777777" w:rsidR="0073493B" w:rsidRDefault="0073493B" w:rsidP="00141448">
            <w:pPr>
              <w:pStyle w:val="NotesText"/>
            </w:pPr>
            <w:r>
              <w:t>The</w:t>
            </w:r>
            <w:r w:rsidR="00C53077">
              <w:t>se test</w:t>
            </w:r>
            <w:r>
              <w:t xml:space="preserve">s have a specimen drawn and used for their ordered test. The specimens are not maintained for component preparation: </w:t>
            </w:r>
          </w:p>
          <w:p w14:paraId="146D8155" w14:textId="77777777" w:rsidR="0073493B" w:rsidRDefault="0073493B" w:rsidP="00141448">
            <w:pPr>
              <w:pStyle w:val="NotesTextBullet"/>
            </w:pPr>
            <w:r>
              <w:t>DAT</w:t>
            </w:r>
          </w:p>
          <w:p w14:paraId="48075D50" w14:textId="77777777" w:rsidR="0073493B" w:rsidRDefault="0073493B" w:rsidP="00141448">
            <w:pPr>
              <w:pStyle w:val="NotesTextBullet"/>
            </w:pPr>
            <w:r>
              <w:t>ABS</w:t>
            </w:r>
          </w:p>
          <w:p w14:paraId="5D93B22F" w14:textId="77777777" w:rsidR="0073493B" w:rsidRDefault="0073493B" w:rsidP="00141448">
            <w:pPr>
              <w:pStyle w:val="NotesTextBullet"/>
            </w:pPr>
            <w:r>
              <w:t>ABO/Rh</w:t>
            </w:r>
          </w:p>
          <w:p w14:paraId="0627930A" w14:textId="77777777" w:rsidR="0073493B" w:rsidRDefault="00A10483" w:rsidP="00141448">
            <w:pPr>
              <w:pStyle w:val="NotesTextBullet"/>
            </w:pPr>
            <w:r>
              <w:t>Transfusion</w:t>
            </w:r>
            <w:r w:rsidR="00113E2C">
              <w:t xml:space="preserve"> </w:t>
            </w:r>
            <w:r w:rsidR="0073493B">
              <w:t>R</w:t>
            </w:r>
            <w:r w:rsidR="00113E2C">
              <w:t xml:space="preserve">eaction </w:t>
            </w:r>
            <w:r w:rsidR="0073493B">
              <w:t>W</w:t>
            </w:r>
            <w:r w:rsidR="00113E2C">
              <w:t>orkup (TRW)</w:t>
            </w:r>
          </w:p>
          <w:p w14:paraId="37409191" w14:textId="77777777" w:rsidR="0073493B" w:rsidRDefault="0073493B" w:rsidP="00141448">
            <w:pPr>
              <w:pStyle w:val="NotesText"/>
            </w:pPr>
          </w:p>
          <w:p w14:paraId="431D4496" w14:textId="77777777" w:rsidR="0073493B" w:rsidRDefault="0073493B" w:rsidP="00564CD2">
            <w:pPr>
              <w:pStyle w:val="NotesText"/>
            </w:pPr>
            <w:r>
              <w:rPr>
                <w:rFonts w:cs="Arial"/>
                <w:vanish/>
              </w:rPr>
              <w:t xml:space="preserve">BR_35.22 </w:t>
            </w:r>
            <w:r>
              <w:t>VBECS allows the user to search all existing patient specimens associated with a specific patient. The user may enter the patient name or a specimen UID to access the list.</w:t>
            </w:r>
          </w:p>
        </w:tc>
      </w:tr>
      <w:tr w:rsidR="0073493B" w14:paraId="62CED686" w14:textId="77777777">
        <w:tc>
          <w:tcPr>
            <w:tcW w:w="3240" w:type="dxa"/>
          </w:tcPr>
          <w:p w14:paraId="3FEE6708" w14:textId="2A9E2305" w:rsidR="0073493B" w:rsidRDefault="0073493B" w:rsidP="00141448">
            <w:pPr>
              <w:pStyle w:val="TableTextNumbers"/>
            </w:pPr>
            <w:r>
              <w:t>Enter new specimen information or edit previously entered information</w:t>
            </w:r>
            <w:r w:rsidR="00833047">
              <w:t xml:space="preserve"> (</w:t>
            </w:r>
            <w:r w:rsidR="00EE455E">
              <w:t xml:space="preserve">Figure </w:t>
            </w:r>
            <w:r w:rsidR="00EE455E">
              <w:rPr>
                <w:noProof/>
              </w:rPr>
              <w:t>86</w:t>
            </w:r>
            <w:r w:rsidR="00833047">
              <w:t>)</w:t>
            </w:r>
            <w:r>
              <w:t>.</w:t>
            </w:r>
          </w:p>
        </w:tc>
        <w:tc>
          <w:tcPr>
            <w:tcW w:w="6120" w:type="dxa"/>
          </w:tcPr>
          <w:p w14:paraId="37F37B7E" w14:textId="77777777" w:rsidR="0073493B" w:rsidRPr="00BF10B2" w:rsidRDefault="0073493B" w:rsidP="00141448">
            <w:pPr>
              <w:pStyle w:val="TableTextBullet"/>
            </w:pPr>
            <w:r w:rsidRPr="00BF10B2">
              <w:t xml:space="preserve">Displays uneditable patient demographic information. </w:t>
            </w:r>
          </w:p>
          <w:p w14:paraId="12D56598" w14:textId="77777777" w:rsidR="0073493B" w:rsidRPr="00BF10B2" w:rsidRDefault="0073493B" w:rsidP="00141448">
            <w:pPr>
              <w:pStyle w:val="TableTextBullet"/>
            </w:pPr>
            <w:r w:rsidRPr="00BF10B2">
              <w:t>Displays an option to edit.</w:t>
            </w:r>
          </w:p>
          <w:p w14:paraId="1FA74360" w14:textId="77777777" w:rsidR="0073493B" w:rsidRPr="00BF10B2" w:rsidRDefault="0073493B" w:rsidP="00141448">
            <w:pPr>
              <w:pStyle w:val="TableText"/>
            </w:pPr>
          </w:p>
          <w:p w14:paraId="6ED07477" w14:textId="3CDC56B0" w:rsidR="0073493B" w:rsidRDefault="0073493B" w:rsidP="00141448">
            <w:pPr>
              <w:pStyle w:val="TableText"/>
              <w:rPr>
                <w:b/>
                <w:bCs/>
                <w:szCs w:val="18"/>
              </w:rPr>
            </w:pPr>
            <w:r>
              <w:rPr>
                <w:b/>
                <w:bCs/>
                <w:szCs w:val="18"/>
              </w:rPr>
              <w:t>NOTES</w:t>
            </w:r>
          </w:p>
          <w:p w14:paraId="4E10FB15" w14:textId="77777777" w:rsidR="0073493B" w:rsidRDefault="0073493B" w:rsidP="00141448">
            <w:pPr>
              <w:pStyle w:val="NotesText"/>
            </w:pPr>
          </w:p>
          <w:p w14:paraId="7C7D2639" w14:textId="40F724AC" w:rsidR="0073493B" w:rsidRDefault="0073493B" w:rsidP="00141448">
            <w:pPr>
              <w:pStyle w:val="NotesText"/>
            </w:pPr>
            <w:r>
              <w:rPr>
                <w:rFonts w:cs="Arial"/>
                <w:vanish/>
              </w:rPr>
              <w:t xml:space="preserve">BR_35.01 </w:t>
            </w:r>
            <w:r>
              <w:t>When the user extends the specimen expiration date and time, VBECS calculates the number of days by which the specimen was extended (based on the originally calculated expiration date) and the newly entered expiration date. VBECS compares the difference to the site parameter for the maximum number of extension days allowed for a specimen. When the entered expiration date exceeds the parameter, VBECS warns the user. There is no override.</w:t>
            </w:r>
          </w:p>
          <w:p w14:paraId="6446B2F9" w14:textId="0D70C745" w:rsidR="0071742A" w:rsidRDefault="0071742A" w:rsidP="00141448">
            <w:pPr>
              <w:pStyle w:val="NotesText"/>
            </w:pPr>
          </w:p>
          <w:p w14:paraId="3A995970" w14:textId="44E9E33A" w:rsidR="0071742A" w:rsidRDefault="000A7EFC" w:rsidP="00A96612">
            <w:pPr>
              <w:pStyle w:val="NotesText"/>
            </w:pPr>
            <w:r>
              <w:t>W</w:t>
            </w:r>
            <w:r w:rsidRPr="000A7EFC">
              <w:t>hen a sp</w:t>
            </w:r>
            <w:r>
              <w:t>ecimen expiration date is exten</w:t>
            </w:r>
            <w:r w:rsidRPr="000A7EFC">
              <w:t>ded</w:t>
            </w:r>
            <w:r>
              <w:t xml:space="preserve"> on patients with t</w:t>
            </w:r>
            <w:r w:rsidRPr="000A7EFC">
              <w:t>ransfusions greater than 3 months in the pa</w:t>
            </w:r>
            <w:r>
              <w:t>st</w:t>
            </w:r>
            <w:r w:rsidR="00737DBB">
              <w:t>,</w:t>
            </w:r>
            <w:r>
              <w:t xml:space="preserve"> it will trigger the warning that patient has been transfused in the past 3 months.</w:t>
            </w:r>
            <w:r w:rsidR="00730CAA">
              <w:t xml:space="preserve"> </w:t>
            </w:r>
            <w:r>
              <w:t>Users should c</w:t>
            </w:r>
            <w:r w:rsidRPr="000A7EFC">
              <w:t>omplete the override as requested to proceed per local policy and procedure.</w:t>
            </w:r>
          </w:p>
          <w:p w14:paraId="6830517D" w14:textId="77777777" w:rsidR="0073493B" w:rsidRDefault="0073493B" w:rsidP="00141448">
            <w:pPr>
              <w:pStyle w:val="NotesText"/>
            </w:pPr>
          </w:p>
          <w:p w14:paraId="20B3211F" w14:textId="743D7CA4" w:rsidR="0073493B" w:rsidRDefault="0073493B" w:rsidP="00141448">
            <w:pPr>
              <w:pStyle w:val="NotesText"/>
            </w:pPr>
            <w:r>
              <w:rPr>
                <w:rFonts w:cs="Arial"/>
                <w:vanish/>
              </w:rPr>
              <w:t xml:space="preserve">BR_35.02 </w:t>
            </w:r>
            <w:r>
              <w:t>The default expiration date is calculated as three days in the future with the day of the original specimen collection as “0.” For example, a specimen collected on September 16, 200</w:t>
            </w:r>
            <w:r w:rsidR="00E33504">
              <w:t>7</w:t>
            </w:r>
            <w:r>
              <w:t xml:space="preserve"> (regardless of the time), is day “0” and the calculated expiration date and time are September 19, 200</w:t>
            </w:r>
            <w:r w:rsidR="00E33504">
              <w:t>7</w:t>
            </w:r>
            <w:r>
              <w:t xml:space="preserve"> @ 23:59.</w:t>
            </w:r>
          </w:p>
          <w:p w14:paraId="130A6DA5" w14:textId="77777777" w:rsidR="0073493B" w:rsidRDefault="0073493B" w:rsidP="00141448">
            <w:pPr>
              <w:pStyle w:val="NotesText"/>
            </w:pPr>
          </w:p>
          <w:p w14:paraId="121CFC15" w14:textId="77777777" w:rsidR="0073493B" w:rsidRDefault="0073493B" w:rsidP="00141448">
            <w:pPr>
              <w:pStyle w:val="NotesText"/>
            </w:pPr>
            <w:r>
              <w:rPr>
                <w:rFonts w:cs="Arial"/>
                <w:vanish/>
              </w:rPr>
              <w:t xml:space="preserve">BR_35.20 </w:t>
            </w:r>
            <w:r>
              <w:t>When a new or existing specimen is being associated with a pending component order during Accept Orders: Accept an Order, the specimen must be acceptable.</w:t>
            </w:r>
          </w:p>
          <w:p w14:paraId="7CFF5A63" w14:textId="77777777" w:rsidR="0073493B" w:rsidRDefault="0073493B" w:rsidP="00141448">
            <w:pPr>
              <w:pStyle w:val="NotesText"/>
            </w:pPr>
          </w:p>
          <w:p w14:paraId="6B3B80F9" w14:textId="77777777" w:rsidR="0073493B" w:rsidRDefault="0073493B" w:rsidP="00141448">
            <w:pPr>
              <w:pStyle w:val="NotesText"/>
            </w:pPr>
            <w:r>
              <w:rPr>
                <w:rFonts w:cs="Arial"/>
                <w:vanish/>
              </w:rPr>
              <w:t xml:space="preserve">BR_16.14 </w:t>
            </w:r>
            <w:r>
              <w:t>When there is a specimen requirement for orders, each order must be evaluated for a valid specimen before it can be accepted.</w:t>
            </w:r>
          </w:p>
          <w:p w14:paraId="64CFB7C8" w14:textId="77777777" w:rsidR="0073493B" w:rsidRDefault="0073493B" w:rsidP="00141448">
            <w:pPr>
              <w:pStyle w:val="NotesText"/>
            </w:pPr>
          </w:p>
          <w:p w14:paraId="0FCA6015" w14:textId="77777777" w:rsidR="0073493B" w:rsidRDefault="0073493B" w:rsidP="00141448">
            <w:pPr>
              <w:pStyle w:val="NotesText"/>
            </w:pPr>
            <w:r>
              <w:rPr>
                <w:rFonts w:cs="Arial"/>
                <w:vanish/>
              </w:rPr>
              <w:t xml:space="preserve">BR_35.21 </w:t>
            </w:r>
            <w:r>
              <w:t>VBECS displays specimen UIDs for selection by CPRS-associated maintainable specimen and then by acceptable and unexpired maintainable specimens, in reverse chronological order.</w:t>
            </w:r>
          </w:p>
          <w:p w14:paraId="61D4B2BC" w14:textId="77777777" w:rsidR="0073493B" w:rsidRDefault="0073493B" w:rsidP="00141448">
            <w:pPr>
              <w:pStyle w:val="NotesText"/>
            </w:pPr>
          </w:p>
          <w:p w14:paraId="37D9BD79" w14:textId="77777777" w:rsidR="0073493B" w:rsidRDefault="0073493B" w:rsidP="00141448">
            <w:pPr>
              <w:pStyle w:val="NotesText"/>
            </w:pPr>
            <w:r>
              <w:t>VBECS allows</w:t>
            </w:r>
            <w:r>
              <w:rPr>
                <w:color w:val="000000"/>
              </w:rPr>
              <w:t xml:space="preserve"> the user to include expired and unacceptable specimens</w:t>
            </w:r>
            <w:r>
              <w:t>.</w:t>
            </w:r>
          </w:p>
          <w:p w14:paraId="3746A95E" w14:textId="77777777" w:rsidR="0073493B" w:rsidRDefault="0073493B" w:rsidP="00141448">
            <w:pPr>
              <w:pStyle w:val="NotesText"/>
            </w:pPr>
          </w:p>
          <w:p w14:paraId="2CDC4FE5" w14:textId="40DF9182" w:rsidR="0073493B" w:rsidRDefault="0073493B" w:rsidP="00141448">
            <w:pPr>
              <w:pStyle w:val="NotesText"/>
            </w:pPr>
            <w:r>
              <w:rPr>
                <w:rFonts w:cs="Arial"/>
                <w:vanish/>
              </w:rPr>
              <w:t>BR_35.05</w:t>
            </w:r>
            <w:r w:rsidRPr="00323744">
              <w:rPr>
                <w:rStyle w:val="BullhornChar"/>
              </w:rPr>
              <w:t></w:t>
            </w:r>
            <w:r>
              <w:rPr>
                <w:rFonts w:ascii="Webdings" w:hAnsi="Webdings"/>
              </w:rPr>
              <w:t></w:t>
            </w:r>
            <w:r w:rsidRPr="00263B24">
              <w:t>Wh</w:t>
            </w:r>
            <w:r>
              <w:t xml:space="preserve">en the user attempts to save an expiration date past the default of three days, VBECS checks the patient’s record for evidence of transfusion within the previous three months and the history of antibody identification, regardless of the division. If either is found, VBECS emits an audible alert, warns that the patient has evidence of transfusion within previous three months and/or antibody formation, and instructs the user to enter a comment to extend the specimen expiration date beyond three days. The user must enter a canned comment (with the specimen extension) and/or free-text comment to continue. VBECS captures details for inclusion in an Exception Report (exception type: </w:t>
            </w:r>
            <w:r w:rsidR="00DF7355">
              <w:t xml:space="preserve">Specimen </w:t>
            </w:r>
            <w:r>
              <w:t>expiration date extended).</w:t>
            </w:r>
          </w:p>
          <w:p w14:paraId="1AF1C861" w14:textId="77777777" w:rsidR="0073493B" w:rsidRDefault="0073493B" w:rsidP="00141448">
            <w:pPr>
              <w:pStyle w:val="NotesText"/>
            </w:pPr>
          </w:p>
          <w:p w14:paraId="48A0EFF4" w14:textId="77777777" w:rsidR="0073493B" w:rsidRDefault="0073493B" w:rsidP="00141448">
            <w:pPr>
              <w:pStyle w:val="NotesText"/>
            </w:pPr>
            <w:r>
              <w:rPr>
                <w:rFonts w:cs="Arial"/>
                <w:vanish/>
              </w:rPr>
              <w:t xml:space="preserve">BR_35.07 </w:t>
            </w:r>
            <w:r>
              <w:t>When the specimen is deemed unacceptable, the status of the orders associated with the specimen remains “pending” or “active.”</w:t>
            </w:r>
          </w:p>
          <w:p w14:paraId="61223EC0" w14:textId="77777777" w:rsidR="0073493B" w:rsidRDefault="0073493B" w:rsidP="00141448">
            <w:pPr>
              <w:pStyle w:val="NotesText"/>
            </w:pPr>
          </w:p>
          <w:p w14:paraId="79CE4727" w14:textId="77777777" w:rsidR="0073493B" w:rsidRDefault="0073493B" w:rsidP="00141448">
            <w:pPr>
              <w:pStyle w:val="NotesText"/>
            </w:pPr>
            <w:r>
              <w:rPr>
                <w:vanish/>
                <w:szCs w:val="18"/>
              </w:rPr>
              <w:t>BR_35.10</w:t>
            </w:r>
            <w:r w:rsidRPr="00323744">
              <w:rPr>
                <w:rStyle w:val="BullhornChar"/>
              </w:rPr>
              <w:t></w:t>
            </w:r>
            <w:r>
              <w:rPr>
                <w:rFonts w:ascii="Webdings" w:hAnsi="Webdings"/>
              </w:rPr>
              <w:t></w:t>
            </w:r>
            <w:r w:rsidRPr="00263B24">
              <w:t>Wh</w:t>
            </w:r>
            <w:r>
              <w:t>en a user attempts to reactivate a previously expired or unacceptable specimen, VBECS emits an audible alert, warns that this is a previously expired or unacceptable specimen, and instructs the user to enter a comment to make it available. A comment is required to continue. VBECS captures details for inclusion in an Exception Report (exception type: unacceptable/expired specimen used).</w:t>
            </w:r>
          </w:p>
          <w:p w14:paraId="798CA996" w14:textId="77777777" w:rsidR="0073493B" w:rsidRDefault="0073493B" w:rsidP="00141448">
            <w:pPr>
              <w:pStyle w:val="NotesText"/>
            </w:pPr>
          </w:p>
          <w:p w14:paraId="2452DA9A" w14:textId="77777777" w:rsidR="0073493B" w:rsidRDefault="0073493B" w:rsidP="00141448">
            <w:pPr>
              <w:pStyle w:val="NotesText"/>
            </w:pPr>
            <w:r>
              <w:rPr>
                <w:rFonts w:cs="Arial"/>
                <w:vanish/>
              </w:rPr>
              <w:t xml:space="preserve">BR_35.12 </w:t>
            </w:r>
            <w:r>
              <w:t>VBECS requires the date and time a specimen was collected and the phlebotomist ID.</w:t>
            </w:r>
          </w:p>
          <w:p w14:paraId="19990A35" w14:textId="77777777" w:rsidR="0073493B" w:rsidRDefault="0073493B" w:rsidP="00141448">
            <w:pPr>
              <w:pStyle w:val="NotesText"/>
            </w:pPr>
          </w:p>
          <w:p w14:paraId="1F2958F1" w14:textId="77777777" w:rsidR="0073493B" w:rsidRDefault="0073493B" w:rsidP="00141448">
            <w:pPr>
              <w:pStyle w:val="NotesText"/>
            </w:pPr>
            <w:r>
              <w:rPr>
                <w:rFonts w:cs="Arial"/>
                <w:vanish/>
              </w:rPr>
              <w:t xml:space="preserve">BR_35.14 </w:t>
            </w:r>
            <w:r>
              <w:t>When a specimen is process</w:t>
            </w:r>
            <w:r w:rsidR="00874D0E">
              <w:t>ed</w:t>
            </w:r>
            <w:r>
              <w:t xml:space="preserve">, VBECS displays the details of associated orders (read only). </w:t>
            </w:r>
          </w:p>
          <w:p w14:paraId="1045C62F" w14:textId="77777777" w:rsidR="0073493B" w:rsidRDefault="0073493B" w:rsidP="00141448">
            <w:pPr>
              <w:pStyle w:val="NotesText"/>
            </w:pPr>
          </w:p>
          <w:p w14:paraId="5FD0A821" w14:textId="77777777" w:rsidR="0073493B" w:rsidRDefault="0073493B" w:rsidP="00141448">
            <w:pPr>
              <w:pStyle w:val="NotesText"/>
            </w:pPr>
            <w:r>
              <w:rPr>
                <w:rFonts w:cs="Arial"/>
                <w:vanish/>
              </w:rPr>
              <w:t xml:space="preserve">BR_35.17 </w:t>
            </w:r>
            <w:r>
              <w:t xml:space="preserve">The user must enter a comment when marking a specimen as unacceptable. </w:t>
            </w:r>
          </w:p>
        </w:tc>
      </w:tr>
      <w:tr w:rsidR="0073493B" w14:paraId="582C460A" w14:textId="77777777">
        <w:tc>
          <w:tcPr>
            <w:tcW w:w="3240" w:type="dxa"/>
          </w:tcPr>
          <w:p w14:paraId="3408B908" w14:textId="77777777" w:rsidR="0073493B" w:rsidRDefault="0073493B" w:rsidP="00141448">
            <w:pPr>
              <w:pStyle w:val="TableTextNumbers"/>
            </w:pPr>
            <w:r>
              <w:t>Enter or verify specimen-related information from Step 3.</w:t>
            </w:r>
          </w:p>
        </w:tc>
        <w:tc>
          <w:tcPr>
            <w:tcW w:w="6120" w:type="dxa"/>
          </w:tcPr>
          <w:p w14:paraId="4DAF4664" w14:textId="77777777" w:rsidR="0073493B" w:rsidRDefault="0073493B" w:rsidP="00141448">
            <w:pPr>
              <w:pStyle w:val="TableTextBullet"/>
            </w:pPr>
            <w:r>
              <w:t>Allows the user to review and edit previously entered information.</w:t>
            </w:r>
          </w:p>
        </w:tc>
      </w:tr>
      <w:tr w:rsidR="0073493B" w14:paraId="5F82AFB3" w14:textId="77777777">
        <w:tc>
          <w:tcPr>
            <w:tcW w:w="3240" w:type="dxa"/>
          </w:tcPr>
          <w:p w14:paraId="3587D410" w14:textId="77777777" w:rsidR="0073493B" w:rsidRDefault="0073493B" w:rsidP="00141448">
            <w:pPr>
              <w:pStyle w:val="TableTextNumbers"/>
            </w:pPr>
            <w:r>
              <w:t xml:space="preserve">Review the entered information and click </w:t>
            </w:r>
            <w:r>
              <w:rPr>
                <w:b/>
              </w:rPr>
              <w:t>OK</w:t>
            </w:r>
            <w:r>
              <w:t xml:space="preserve"> to save.</w:t>
            </w:r>
          </w:p>
        </w:tc>
        <w:tc>
          <w:tcPr>
            <w:tcW w:w="6120" w:type="dxa"/>
          </w:tcPr>
          <w:p w14:paraId="36DF28E7" w14:textId="77777777" w:rsidR="0073493B" w:rsidRDefault="0073493B" w:rsidP="00141448">
            <w:pPr>
              <w:pStyle w:val="TableTextBullet"/>
            </w:pPr>
            <w:r>
              <w:t>Saves the data for use in further specimen order processing and subsequent retrieval.</w:t>
            </w:r>
          </w:p>
          <w:p w14:paraId="2A30FD83" w14:textId="77777777" w:rsidR="005218E2" w:rsidRDefault="005218E2" w:rsidP="005218E2">
            <w:pPr>
              <w:pStyle w:val="TableText"/>
            </w:pPr>
          </w:p>
          <w:p w14:paraId="347A4B07" w14:textId="6BF67B12" w:rsidR="005218E2" w:rsidRDefault="005218E2" w:rsidP="005218E2">
            <w:pPr>
              <w:pStyle w:val="TableText"/>
              <w:rPr>
                <w:b/>
                <w:bCs/>
                <w:szCs w:val="18"/>
              </w:rPr>
            </w:pPr>
            <w:r>
              <w:rPr>
                <w:b/>
                <w:bCs/>
                <w:szCs w:val="18"/>
              </w:rPr>
              <w:t>NOTES</w:t>
            </w:r>
          </w:p>
          <w:p w14:paraId="529D2D79" w14:textId="77777777" w:rsidR="005218E2" w:rsidRDefault="005218E2" w:rsidP="005218E2">
            <w:pPr>
              <w:pStyle w:val="NotesText"/>
            </w:pPr>
          </w:p>
          <w:p w14:paraId="72E6644E" w14:textId="77777777" w:rsidR="0073493B" w:rsidRDefault="0073493B" w:rsidP="00141448">
            <w:pPr>
              <w:pStyle w:val="NotesText"/>
            </w:pPr>
            <w:r>
              <w:rPr>
                <w:rFonts w:cs="Arial"/>
                <w:vanish/>
              </w:rPr>
              <w:t xml:space="preserve">BR_35.23 </w:t>
            </w:r>
            <w:r>
              <w:t xml:space="preserve">When saving or updating an expired specimen, VBECS warns the user and asks whether he wishes to continue. The user may continue without </w:t>
            </w:r>
            <w:r w:rsidR="00C90418">
              <w:t xml:space="preserve">entering </w:t>
            </w:r>
            <w:r>
              <w:t>a comment.</w:t>
            </w:r>
          </w:p>
          <w:p w14:paraId="0BA2ED04" w14:textId="77777777" w:rsidR="0073493B" w:rsidRDefault="0073493B" w:rsidP="00141448">
            <w:pPr>
              <w:pStyle w:val="NotesText"/>
            </w:pPr>
          </w:p>
          <w:p w14:paraId="046B5C7E" w14:textId="77777777" w:rsidR="0073493B" w:rsidRDefault="0073493B" w:rsidP="00141448">
            <w:pPr>
              <w:pStyle w:val="NotesText"/>
            </w:pPr>
            <w:r>
              <w:rPr>
                <w:vanish/>
                <w:szCs w:val="18"/>
              </w:rPr>
              <w:t>BR_35.11</w:t>
            </w:r>
            <w:r w:rsidR="00CE3961">
              <w:rPr>
                <w:vanish/>
                <w:szCs w:val="18"/>
              </w:rPr>
              <w:t>,</w:t>
            </w:r>
            <w:r>
              <w:rPr>
                <w:vanish/>
                <w:szCs w:val="18"/>
              </w:rPr>
              <w:t xml:space="preserve"> BR_35.15 </w:t>
            </w:r>
            <w:r>
              <w:t xml:space="preserve">The UID initially used to identify the specimen becomes the VBECS specimen number, which VBECS retains and uses to process subsequent orders during the life of the specimen, including CPRS, VBECS, and Laboratory orders, and UIDs associated with the specimen. A historical record lists changes made to the specimen and is available for review. </w:t>
            </w:r>
          </w:p>
          <w:p w14:paraId="25C7FD6E" w14:textId="77777777" w:rsidR="0073493B" w:rsidRDefault="0073493B" w:rsidP="00141448">
            <w:pPr>
              <w:pStyle w:val="NotesText"/>
            </w:pPr>
          </w:p>
          <w:p w14:paraId="04522C85" w14:textId="77777777" w:rsidR="0073493B" w:rsidRDefault="0073493B" w:rsidP="00141448">
            <w:pPr>
              <w:pStyle w:val="NotesText"/>
            </w:pPr>
            <w:r>
              <w:rPr>
                <w:rFonts w:cs="Arial"/>
                <w:vanish/>
              </w:rPr>
              <w:t xml:space="preserve">BR_35.06 </w:t>
            </w:r>
            <w:r>
              <w:t>A permanent link remains between an exhausted or unacceptable specimen UID and its order, which allows the user to document the recollection of a new specimen, according to local policy.</w:t>
            </w:r>
          </w:p>
        </w:tc>
      </w:tr>
      <w:tr w:rsidR="0073493B" w14:paraId="6590C906" w14:textId="77777777">
        <w:tc>
          <w:tcPr>
            <w:tcW w:w="3240" w:type="dxa"/>
          </w:tcPr>
          <w:p w14:paraId="339B4783" w14:textId="77777777" w:rsidR="0073493B" w:rsidRDefault="0073493B" w:rsidP="00141448">
            <w:pPr>
              <w:pStyle w:val="TableTextNumbers"/>
            </w:pPr>
            <w:r>
              <w:t xml:space="preserve">Click </w:t>
            </w:r>
            <w:r>
              <w:rPr>
                <w:b/>
              </w:rPr>
              <w:t>OK</w:t>
            </w:r>
            <w:r>
              <w:t xml:space="preserve"> to 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7132C21" w14:textId="77777777" w:rsidR="0073493B" w:rsidRDefault="0073493B" w:rsidP="00141448">
            <w:pPr>
              <w:pStyle w:val="TableText"/>
            </w:pPr>
          </w:p>
        </w:tc>
      </w:tr>
    </w:tbl>
    <w:p w14:paraId="7E7CDF9D" w14:textId="77777777" w:rsidR="002A21AE" w:rsidRDefault="0073493B" w:rsidP="0073493B">
      <w:pPr>
        <w:pStyle w:val="Heading2"/>
      </w:pPr>
      <w:r>
        <w:br w:type="page"/>
      </w:r>
      <w:bookmarkStart w:id="436" w:name="_Toc149064150"/>
      <w:r w:rsidR="002A21AE">
        <w:t>Patient Testing: Cancel an Active Order</w:t>
      </w:r>
      <w:bookmarkEnd w:id="436"/>
      <w:r w:rsidR="002A21AE">
        <w:fldChar w:fldCharType="begin"/>
      </w:r>
      <w:r w:rsidR="002A21AE">
        <w:instrText xml:space="preserve"> XE </w:instrText>
      </w:r>
      <w:r w:rsidR="00FA7E65">
        <w:instrText>“</w:instrText>
      </w:r>
      <w:r w:rsidR="002A21AE">
        <w:instrText>Patient Testing\: Cancel an Active Order</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UC_72</w:t>
      </w:r>
    </w:p>
    <w:p w14:paraId="179B9495" w14:textId="77777777" w:rsidR="002A21AE" w:rsidRDefault="002A21AE" w:rsidP="00FA7E65">
      <w:pPr>
        <w:pStyle w:val="BodyText"/>
      </w:pPr>
      <w:r>
        <w:t xml:space="preserve">The user cancels an accepted order on the Pending Task List (PTL) and adds a comment to justify the cancellation. </w:t>
      </w:r>
    </w:p>
    <w:p w14:paraId="469FC60F" w14:textId="77777777" w:rsidR="002A21AE" w:rsidRDefault="002A21AE">
      <w:pPr>
        <w:pStyle w:val="Heading4"/>
      </w:pPr>
      <w:r>
        <w:t>Assumptions</w:t>
      </w:r>
      <w:r>
        <w:rPr>
          <w:b w:val="0"/>
        </w:rPr>
        <w:t xml:space="preserve"> </w:t>
      </w:r>
    </w:p>
    <w:p w14:paraId="7A7E148C" w14:textId="77777777" w:rsidR="002A21AE" w:rsidRDefault="002A21AE">
      <w:pPr>
        <w:pStyle w:val="ListBullet"/>
      </w:pPr>
      <w:r>
        <w:t>The order and the user are in the same division.</w:t>
      </w:r>
    </w:p>
    <w:p w14:paraId="51E73CAA" w14:textId="77777777" w:rsidR="002A21AE" w:rsidRDefault="002A21AE">
      <w:pPr>
        <w:pStyle w:val="ListBullet"/>
      </w:pPr>
      <w:r>
        <w:t>A user accepted an order that originated in CPRS through Accept Orders: Accept an Order, or created a reflex test order through Order Reflex Tests.</w:t>
      </w:r>
    </w:p>
    <w:p w14:paraId="2F0F1EB3" w14:textId="77777777" w:rsidR="002A21AE" w:rsidRDefault="002A21AE">
      <w:pPr>
        <w:pStyle w:val="ListBullet"/>
      </w:pPr>
      <w:r>
        <w:t xml:space="preserve">The connection to </w:t>
      </w:r>
      <w:r w:rsidR="00CA0045" w:rsidRPr="00CA0045">
        <w:rPr>
          <w:bCs/>
        </w:rPr>
        <w:t>VistA</w:t>
      </w:r>
      <w:r>
        <w:t xml:space="preserve"> is active.</w:t>
      </w:r>
    </w:p>
    <w:p w14:paraId="721983CE" w14:textId="77777777" w:rsidR="002A21AE" w:rsidRDefault="002A21AE">
      <w:pPr>
        <w:pStyle w:val="Heading4"/>
      </w:pPr>
      <w:r>
        <w:t xml:space="preserve">Outcome </w:t>
      </w:r>
    </w:p>
    <w:p w14:paraId="57E25A50" w14:textId="77777777" w:rsidR="002A21AE" w:rsidRDefault="002A21AE">
      <w:pPr>
        <w:pStyle w:val="ListBullet"/>
      </w:pPr>
      <w:r>
        <w:t>The order was removed from the PTL.</w:t>
      </w:r>
    </w:p>
    <w:p w14:paraId="21AF9F3B" w14:textId="77777777" w:rsidR="002A21AE" w:rsidRDefault="002A21AE">
      <w:pPr>
        <w:pStyle w:val="ListBullet"/>
      </w:pPr>
      <w:r>
        <w:t>An order update message was sent to CPRS.</w:t>
      </w:r>
    </w:p>
    <w:p w14:paraId="697C710C" w14:textId="77777777" w:rsidR="002A21AE" w:rsidRDefault="002A21AE">
      <w:pPr>
        <w:pStyle w:val="Heading4"/>
      </w:pPr>
      <w:r>
        <w:t>Limitations and Restrictions</w:t>
      </w:r>
      <w:r>
        <w:rPr>
          <w:b w:val="0"/>
        </w:rPr>
        <w:t xml:space="preserve"> </w:t>
      </w:r>
    </w:p>
    <w:p w14:paraId="6609D8A9" w14:textId="77777777" w:rsidR="002A21AE" w:rsidRDefault="002A21AE">
      <w:pPr>
        <w:pStyle w:val="ListBullet"/>
      </w:pPr>
      <w:r>
        <w:t>Cancellation of one order does not affect other orders placed with it.</w:t>
      </w:r>
    </w:p>
    <w:p w14:paraId="22C9BC8A" w14:textId="77777777" w:rsidR="002A21AE" w:rsidRDefault="002A21AE">
      <w:pPr>
        <w:pStyle w:val="ListBullet"/>
      </w:pPr>
      <w:r>
        <w:t>Before a user may cancel a partially completed task, he must invalidate the results for that task</w:t>
      </w:r>
      <w:r w:rsidR="00921485">
        <w:t>, thereby</w:t>
      </w:r>
      <w:r>
        <w:t xml:space="preserve"> changing its status to “not started.”</w:t>
      </w:r>
    </w:p>
    <w:p w14:paraId="3052B840" w14:textId="77777777" w:rsidR="002A21AE" w:rsidRDefault="002A21AE">
      <w:pPr>
        <w:pStyle w:val="Heading4"/>
      </w:pPr>
      <w:r>
        <w:t xml:space="preserve">Additional Information </w:t>
      </w:r>
    </w:p>
    <w:p w14:paraId="707338FA" w14:textId="77777777" w:rsidR="002A21AE" w:rsidRDefault="002A21AE">
      <w:pPr>
        <w:pStyle w:val="ListBullet"/>
      </w:pPr>
      <w:r>
        <w:t>None</w:t>
      </w:r>
    </w:p>
    <w:p w14:paraId="0F5DC4D6" w14:textId="77777777" w:rsidR="002A21AE" w:rsidRDefault="002A21AE">
      <w:pPr>
        <w:pStyle w:val="Heading4"/>
        <w:rPr>
          <w:b w:val="0"/>
        </w:rPr>
      </w:pPr>
      <w:r>
        <w:rPr>
          <w:rStyle w:val="RolesChar"/>
        </w:rPr>
        <w:t>User Roles with</w:t>
      </w:r>
      <w:r>
        <w:t xml:space="preserve"> Access to This Option</w:t>
      </w:r>
      <w:r>
        <w:rPr>
          <w:b w:val="0"/>
        </w:rPr>
        <w:t xml:space="preserve"> </w:t>
      </w:r>
    </w:p>
    <w:p w14:paraId="1B54FC84" w14:textId="77777777" w:rsidR="002A21AE" w:rsidRDefault="002232A3">
      <w:pPr>
        <w:pStyle w:val="Roles"/>
        <w:rPr>
          <w:snapToGrid w:val="0"/>
        </w:rPr>
      </w:pPr>
      <w:r>
        <w:t>All users</w:t>
      </w:r>
    </w:p>
    <w:p w14:paraId="26682554" w14:textId="77777777" w:rsidR="002A21AE" w:rsidRDefault="002A21AE">
      <w:pPr>
        <w:pStyle w:val="Heading4"/>
      </w:pPr>
      <w:r>
        <w:t xml:space="preserve">Patient Testing: Cancel an Active Order </w:t>
      </w:r>
    </w:p>
    <w:p w14:paraId="046CC509" w14:textId="77777777" w:rsidR="002A21AE" w:rsidRDefault="002A21AE" w:rsidP="00FA7E65">
      <w:pPr>
        <w:pStyle w:val="BodyText"/>
      </w:pPr>
      <w:r>
        <w:t>The user selects one or more tasks to cancel from the PTL, cancels the accepted order from within VBECS, and adds a comment regarding the cancellation.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FAF4DBC" w14:textId="77777777">
        <w:trPr>
          <w:cantSplit/>
          <w:tblHeader/>
        </w:trPr>
        <w:tc>
          <w:tcPr>
            <w:tcW w:w="3240" w:type="dxa"/>
            <w:shd w:val="pct30" w:color="auto" w:fill="FFFFFF"/>
            <w:vAlign w:val="bottom"/>
          </w:tcPr>
          <w:p w14:paraId="5BCFA29D" w14:textId="77777777" w:rsidR="002A21AE" w:rsidRDefault="002A21AE">
            <w:pPr>
              <w:pStyle w:val="TableText"/>
              <w:rPr>
                <w:b/>
              </w:rPr>
            </w:pPr>
            <w:r>
              <w:rPr>
                <w:b/>
              </w:rPr>
              <w:t>User Action</w:t>
            </w:r>
          </w:p>
        </w:tc>
        <w:tc>
          <w:tcPr>
            <w:tcW w:w="6120" w:type="dxa"/>
            <w:shd w:val="pct30" w:color="auto" w:fill="FFFFFF"/>
            <w:vAlign w:val="bottom"/>
          </w:tcPr>
          <w:p w14:paraId="479E51A7" w14:textId="77777777" w:rsidR="002A21AE" w:rsidRDefault="002A21AE">
            <w:pPr>
              <w:pStyle w:val="TableText"/>
              <w:rPr>
                <w:b/>
              </w:rPr>
            </w:pPr>
            <w:r>
              <w:rPr>
                <w:b/>
              </w:rPr>
              <w:t>VBECS</w:t>
            </w:r>
          </w:p>
        </w:tc>
      </w:tr>
      <w:tr w:rsidR="002A21AE" w14:paraId="4403789B" w14:textId="77777777">
        <w:tc>
          <w:tcPr>
            <w:tcW w:w="3240" w:type="dxa"/>
            <w:tcBorders>
              <w:top w:val="single" w:sz="4" w:space="0" w:color="auto"/>
              <w:left w:val="single" w:sz="4" w:space="0" w:color="auto"/>
              <w:bottom w:val="single" w:sz="4" w:space="0" w:color="auto"/>
              <w:right w:val="single" w:sz="4" w:space="0" w:color="auto"/>
            </w:tcBorders>
          </w:tcPr>
          <w:p w14:paraId="2345E583" w14:textId="77777777" w:rsidR="002A21AE" w:rsidRDefault="002A21AE">
            <w:pPr>
              <w:pStyle w:val="TableTextNumbers"/>
            </w:pPr>
            <w:r>
              <w:t xml:space="preserve">Select </w:t>
            </w:r>
            <w:r>
              <w:rPr>
                <w:b/>
              </w:rPr>
              <w:t>Patients</w:t>
            </w:r>
            <w:r>
              <w:t xml:space="preserve"> from the main menu.</w:t>
            </w:r>
          </w:p>
          <w:p w14:paraId="4B829F9E" w14:textId="77777777" w:rsidR="002A21AE" w:rsidRDefault="002A21AE">
            <w:pPr>
              <w:pStyle w:val="TableTextNumbersContinued"/>
            </w:pPr>
          </w:p>
          <w:p w14:paraId="6D323FBF" w14:textId="77777777" w:rsidR="002A21AE" w:rsidRDefault="002A21AE">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3BC469F0" w14:textId="77777777" w:rsidR="002A21AE" w:rsidRDefault="002A21AE">
            <w:pPr>
              <w:pStyle w:val="TableTextBullet"/>
            </w:pPr>
            <w:r>
              <w:t>Displays options for processing patient-related functions.</w:t>
            </w:r>
          </w:p>
          <w:p w14:paraId="7920F739" w14:textId="77777777" w:rsidR="002A21AE" w:rsidRDefault="002A21AE">
            <w:pPr>
              <w:pStyle w:val="TableTextBullet"/>
            </w:pPr>
            <w:r>
              <w:t>Displays the Pending Task List in the Diagnostic Tests tab.</w:t>
            </w:r>
          </w:p>
          <w:p w14:paraId="00B93A26" w14:textId="77777777" w:rsidR="002A21AE" w:rsidRDefault="002A21AE">
            <w:pPr>
              <w:pStyle w:val="NotesText"/>
            </w:pPr>
          </w:p>
          <w:p w14:paraId="5CF881C5" w14:textId="69DC5946" w:rsidR="002A21AE" w:rsidRDefault="002A21AE">
            <w:pPr>
              <w:pStyle w:val="TableText"/>
              <w:rPr>
                <w:b/>
                <w:bCs/>
                <w:szCs w:val="18"/>
              </w:rPr>
            </w:pPr>
            <w:r>
              <w:rPr>
                <w:b/>
                <w:bCs/>
                <w:szCs w:val="18"/>
              </w:rPr>
              <w:t>NOTES</w:t>
            </w:r>
          </w:p>
          <w:p w14:paraId="449744B9" w14:textId="77777777" w:rsidR="002A21AE" w:rsidRDefault="002A21AE">
            <w:pPr>
              <w:pStyle w:val="TableText"/>
            </w:pPr>
          </w:p>
          <w:p w14:paraId="7A34508F" w14:textId="77777777" w:rsidR="002A21AE" w:rsidRDefault="002A21AE">
            <w:pPr>
              <w:pStyle w:val="NotesText"/>
            </w:pPr>
            <w:r>
              <w:t xml:space="preserve">Click the </w:t>
            </w:r>
            <w:r>
              <w:rPr>
                <w:b/>
              </w:rPr>
              <w:t xml:space="preserve">Component Orders </w:t>
            </w:r>
            <w:r w:rsidRPr="00CC3C89">
              <w:t xml:space="preserve">tab </w:t>
            </w:r>
            <w:r>
              <w:t>to view its PTL.</w:t>
            </w:r>
          </w:p>
        </w:tc>
      </w:tr>
      <w:tr w:rsidR="002A21AE" w14:paraId="690D071F" w14:textId="77777777" w:rsidTr="00A94A90">
        <w:trPr>
          <w:cantSplit/>
          <w:hidden/>
        </w:trPr>
        <w:tc>
          <w:tcPr>
            <w:tcW w:w="3240" w:type="dxa"/>
          </w:tcPr>
          <w:p w14:paraId="5436B97C" w14:textId="7257B57A" w:rsidR="002A21AE" w:rsidRDefault="002A21AE">
            <w:pPr>
              <w:pStyle w:val="TableTextNumbers"/>
            </w:pPr>
            <w:r>
              <w:rPr>
                <w:rFonts w:cs="Arial"/>
                <w:vanish/>
              </w:rPr>
              <w:t xml:space="preserve">BR_72.01 </w:t>
            </w:r>
            <w:r>
              <w:t>Click one to four check boxes in the PTL in the Diagnostic Tests tab or the Component Orders tab to select tasks</w:t>
            </w:r>
            <w:r w:rsidR="000A6348">
              <w:t xml:space="preserve"> (</w:t>
            </w:r>
            <w:r w:rsidR="00EE455E">
              <w:t xml:space="preserve">Figure </w:t>
            </w:r>
            <w:r w:rsidR="00EE455E">
              <w:rPr>
                <w:noProof/>
              </w:rPr>
              <w:t>91</w:t>
            </w:r>
            <w:r w:rsidR="000A6348">
              <w:t>)</w:t>
            </w:r>
            <w:r>
              <w:t>.</w:t>
            </w:r>
          </w:p>
          <w:p w14:paraId="5276A875" w14:textId="77777777" w:rsidR="002A21AE" w:rsidRDefault="002A21AE">
            <w:pPr>
              <w:pStyle w:val="TableTextNumbersContinued"/>
            </w:pPr>
          </w:p>
          <w:p w14:paraId="2D296540" w14:textId="77777777" w:rsidR="002A21AE" w:rsidRDefault="002A21AE">
            <w:pPr>
              <w:pStyle w:val="TableTextNumbersContinued"/>
            </w:pPr>
            <w:r>
              <w:t xml:space="preserve">Click </w:t>
            </w:r>
            <w:r>
              <w:rPr>
                <w:b/>
              </w:rPr>
              <w:t>OK</w:t>
            </w:r>
            <w:r>
              <w:t xml:space="preserve"> to continue, or click </w:t>
            </w:r>
            <w:r>
              <w:rPr>
                <w:b/>
              </w:rPr>
              <w:t>Cancel Order(s)</w:t>
            </w:r>
            <w:r>
              <w:t xml:space="preserve"> to cancel the selected tasks.</w:t>
            </w:r>
          </w:p>
          <w:p w14:paraId="281E0C70" w14:textId="77777777" w:rsidR="002A21AE" w:rsidRDefault="002A21AE">
            <w:pPr>
              <w:pStyle w:val="TableTextNumbersContinued"/>
            </w:pPr>
          </w:p>
          <w:p w14:paraId="23CFE368" w14:textId="77777777" w:rsidR="002A21AE" w:rsidRDefault="002A21AE">
            <w:pPr>
              <w:pStyle w:val="TableTextNumbersContinued"/>
            </w:pPr>
            <w:r>
              <w:t>Select or enter a comment.</w:t>
            </w:r>
          </w:p>
          <w:p w14:paraId="7953C187" w14:textId="77777777" w:rsidR="002A21AE" w:rsidRDefault="002A21AE">
            <w:pPr>
              <w:pStyle w:val="TableTextNumbersContinued"/>
            </w:pPr>
          </w:p>
          <w:p w14:paraId="1D345374" w14:textId="77777777" w:rsidR="002A21AE" w:rsidRDefault="002A21AE">
            <w:pPr>
              <w:pStyle w:val="TableTextNumbersContinued"/>
            </w:pPr>
            <w:r>
              <w:t xml:space="preserve">Click </w:t>
            </w:r>
            <w:r>
              <w:rPr>
                <w:b/>
              </w:rPr>
              <w:t>OK</w:t>
            </w:r>
            <w:r>
              <w:t xml:space="preserve"> to confirm the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7B7242E8" w14:textId="77777777" w:rsidR="002A21AE" w:rsidRDefault="002A21AE">
            <w:pPr>
              <w:pStyle w:val="TableTextBullet"/>
            </w:pPr>
            <w:r>
              <w:rPr>
                <w:vanish/>
                <w:szCs w:val="18"/>
              </w:rPr>
              <w:t xml:space="preserve">BR_61.01, BR_61.03, </w:t>
            </w:r>
            <w:r>
              <w:rPr>
                <w:rFonts w:cs="Arial"/>
                <w:vanish/>
              </w:rPr>
              <w:t xml:space="preserve">BR_61.04 </w:t>
            </w:r>
            <w:r>
              <w:t>Deletes the selected tasks from the PTL and sends a message to CPRS with an order status update.</w:t>
            </w:r>
          </w:p>
          <w:p w14:paraId="697DC034" w14:textId="77777777" w:rsidR="002A21AE" w:rsidRDefault="002A21AE">
            <w:pPr>
              <w:pStyle w:val="TableText"/>
            </w:pPr>
          </w:p>
          <w:p w14:paraId="184389E6" w14:textId="4559B675" w:rsidR="002A21AE" w:rsidRDefault="002A21AE">
            <w:pPr>
              <w:pStyle w:val="TableText"/>
              <w:rPr>
                <w:b/>
                <w:bCs/>
                <w:szCs w:val="18"/>
              </w:rPr>
            </w:pPr>
            <w:r>
              <w:rPr>
                <w:b/>
                <w:bCs/>
                <w:szCs w:val="18"/>
              </w:rPr>
              <w:t>NOTES</w:t>
            </w:r>
          </w:p>
          <w:p w14:paraId="720DEB75" w14:textId="77777777" w:rsidR="002A21AE" w:rsidRDefault="002A21AE">
            <w:pPr>
              <w:pStyle w:val="NotesText"/>
            </w:pPr>
          </w:p>
          <w:p w14:paraId="1B0EDC78" w14:textId="77777777" w:rsidR="002A21AE" w:rsidRDefault="002A21AE">
            <w:pPr>
              <w:pStyle w:val="NotesText"/>
            </w:pPr>
            <w:r>
              <w:rPr>
                <w:rFonts w:cs="Arial"/>
                <w:vanish/>
              </w:rPr>
              <w:t xml:space="preserve">BR_61.02 </w:t>
            </w:r>
            <w:r>
              <w:t>Select a canned comment and/or free-text comment</w:t>
            </w:r>
          </w:p>
          <w:p w14:paraId="242CAFE7" w14:textId="77777777" w:rsidR="002A21AE" w:rsidRDefault="002A21AE">
            <w:pPr>
              <w:pStyle w:val="NotesText"/>
            </w:pPr>
          </w:p>
          <w:p w14:paraId="6164EF42" w14:textId="77777777" w:rsidR="002A21AE" w:rsidRDefault="002A21AE">
            <w:pPr>
              <w:pStyle w:val="NotesText"/>
            </w:pPr>
            <w:r>
              <w:rPr>
                <w:rFonts w:cs="Arial"/>
                <w:vanish/>
              </w:rPr>
              <w:t xml:space="preserve">BR_72.02 </w:t>
            </w:r>
            <w:r>
              <w:t>VBECS allows a user to cancel only tasks that are not started.</w:t>
            </w:r>
          </w:p>
          <w:p w14:paraId="783B959C" w14:textId="77777777" w:rsidR="002A21AE" w:rsidRDefault="002A21AE">
            <w:pPr>
              <w:pStyle w:val="NotesText"/>
            </w:pPr>
          </w:p>
          <w:p w14:paraId="20E76B53" w14:textId="55479C54" w:rsidR="002A21AE" w:rsidRDefault="002A21AE">
            <w:pPr>
              <w:pStyle w:val="NotesText"/>
            </w:pPr>
            <w:r>
              <w:t xml:space="preserve">See </w:t>
            </w:r>
            <w:r w:rsidR="00EE455E">
              <w:t xml:space="preserve">Appendix </w:t>
            </w:r>
            <w:r w:rsidR="00EE455E">
              <w:rPr>
                <w:noProof/>
              </w:rPr>
              <w:t>B</w:t>
            </w:r>
            <w:r>
              <w:t>:</w:t>
            </w:r>
            <w:r w:rsidR="00D327A3">
              <w:t xml:space="preserve"> </w:t>
            </w:r>
            <w:r w:rsidR="00EE455E">
              <w:t xml:space="preserve">Figure </w:t>
            </w:r>
            <w:r w:rsidR="00EE455E">
              <w:rPr>
                <w:noProof/>
              </w:rPr>
              <w:t>117:</w:t>
            </w:r>
            <w:r w:rsidR="00EE455E">
              <w:t xml:space="preserve"> </w:t>
            </w:r>
            <w:r w:rsidR="00EE455E" w:rsidRPr="00EE455E">
              <w:rPr>
                <w:vanish/>
                <w:szCs w:val="18"/>
              </w:rPr>
              <w:t xml:space="preserve">TT_92.01 </w:t>
            </w:r>
            <w:r w:rsidR="00EE455E" w:rsidRPr="00EE455E">
              <w:t>Order</w:t>
            </w:r>
            <w:r w:rsidR="00EE455E">
              <w:t xml:space="preserve"> Status Flowchart</w:t>
            </w:r>
            <w:r>
              <w:t>.</w:t>
            </w:r>
          </w:p>
        </w:tc>
      </w:tr>
    </w:tbl>
    <w:p w14:paraId="33D72467" w14:textId="63A9B726" w:rsidR="000A6348" w:rsidRDefault="000A6348" w:rsidP="000A6348">
      <w:pPr>
        <w:pStyle w:val="Caption"/>
      </w:pPr>
      <w:bookmarkStart w:id="437" w:name="_Ref12672419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91</w:t>
      </w:r>
      <w:r w:rsidR="004E20BD">
        <w:rPr>
          <w:noProof/>
        </w:rPr>
        <w:fldChar w:fldCharType="end"/>
      </w:r>
      <w:bookmarkEnd w:id="437"/>
      <w:r>
        <w:t>: Pending Task List Diagnostic Tests</w:t>
      </w:r>
    </w:p>
    <w:p w14:paraId="5F9C4BB9" w14:textId="77777777" w:rsidR="000A6348" w:rsidRDefault="00057948" w:rsidP="000A6348">
      <w:pPr>
        <w:pStyle w:val="BodyText"/>
      </w:pPr>
      <w:r>
        <w:rPr>
          <w:noProof/>
        </w:rPr>
        <w:drawing>
          <wp:inline distT="0" distB="0" distL="0" distR="0" wp14:anchorId="4178B400" wp14:editId="1CD63EEB">
            <wp:extent cx="5939155" cy="2540000"/>
            <wp:effectExtent l="0" t="0" r="4445" b="0"/>
            <wp:docPr id="225" name="Picture 225" descr="Example of Pending Task List Diagnostic Tes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Example of Pending Task List Diagnostic Tests screen captur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39155" cy="2540000"/>
                    </a:xfrm>
                    <a:prstGeom prst="rect">
                      <a:avLst/>
                    </a:prstGeom>
                    <a:noFill/>
                    <a:ln>
                      <a:noFill/>
                    </a:ln>
                  </pic:spPr>
                </pic:pic>
              </a:graphicData>
            </a:graphic>
          </wp:inline>
        </w:drawing>
      </w:r>
    </w:p>
    <w:p w14:paraId="0A11DCEA" w14:textId="77777777" w:rsidR="002A21AE" w:rsidRDefault="00AC2D9E">
      <w:pPr>
        <w:pStyle w:val="Heading2"/>
      </w:pPr>
      <w:r>
        <w:br w:type="page"/>
      </w:r>
      <w:bookmarkStart w:id="438" w:name="_Toc149064151"/>
      <w:r w:rsidR="002A21AE">
        <w:t>Patient Testing: Pending Task List</w:t>
      </w:r>
      <w:bookmarkEnd w:id="438"/>
      <w:r w:rsidR="002A21AE">
        <w:fldChar w:fldCharType="begin"/>
      </w:r>
      <w:r w:rsidR="002A21AE">
        <w:instrText xml:space="preserve"> XE </w:instrText>
      </w:r>
      <w:r w:rsidR="00FA7E65">
        <w:instrText>“</w:instrText>
      </w:r>
      <w:r w:rsidR="002A21AE">
        <w:instrText>Patient Testing\: Pending Task List</w:instrText>
      </w:r>
      <w:r w:rsidR="00FA7E65">
        <w:instrText>”</w:instrText>
      </w:r>
      <w:r w:rsidR="002A21AE">
        <w:instrText xml:space="preserve"> </w:instrText>
      </w:r>
      <w:r w:rsidR="002A21AE">
        <w:fldChar w:fldCharType="end"/>
      </w:r>
      <w:r w:rsidR="002A21AE" w:rsidRPr="00B46CB0">
        <w:rPr>
          <w:rFonts w:ascii="Arial Bold" w:hAnsi="Arial Bold"/>
          <w:vanish/>
        </w:rPr>
        <w:t xml:space="preserve"> UC_92</w:t>
      </w:r>
    </w:p>
    <w:p w14:paraId="6A54B547" w14:textId="77777777" w:rsidR="002A21AE" w:rsidRDefault="002A21AE" w:rsidP="00FA7E65">
      <w:pPr>
        <w:pStyle w:val="BodyText"/>
      </w:pPr>
      <w:bookmarkStart w:id="439" w:name="_Toc72830361"/>
      <w:r>
        <w:t xml:space="preserve">The user accesses a Pending Task List (PTL) to select tasks (accepted orders), organize a batch of tests to be performed in a session, process patient component requests, and view and/or print a list of outstanding blood bank tasks. </w:t>
      </w:r>
    </w:p>
    <w:p w14:paraId="4EBB4E71" w14:textId="77777777" w:rsidR="002A21AE" w:rsidRDefault="002A21AE">
      <w:pPr>
        <w:pStyle w:val="Heading4"/>
      </w:pPr>
      <w:r>
        <w:t>Assumptions</w:t>
      </w:r>
    </w:p>
    <w:p w14:paraId="02BD233D" w14:textId="77777777" w:rsidR="002A21AE" w:rsidRDefault="002A21AE" w:rsidP="009D2266">
      <w:pPr>
        <w:pStyle w:val="ListBullet"/>
        <w:numPr>
          <w:ilvl w:val="0"/>
          <w:numId w:val="2"/>
        </w:numPr>
        <w:tabs>
          <w:tab w:val="num" w:pos="720"/>
        </w:tabs>
        <w:ind w:left="720"/>
      </w:pPr>
      <w:r>
        <w:t>CPRS orders were accepted or a reflex order was placed within the VBECS division.</w:t>
      </w:r>
    </w:p>
    <w:p w14:paraId="2CFD9B00" w14:textId="77777777" w:rsidR="002A21AE" w:rsidRDefault="002A21AE">
      <w:pPr>
        <w:pStyle w:val="Heading4"/>
      </w:pPr>
      <w:r>
        <w:t>Outcome</w:t>
      </w:r>
    </w:p>
    <w:p w14:paraId="18301F8E" w14:textId="77777777" w:rsidR="002A21AE" w:rsidRDefault="002A21AE" w:rsidP="009D2266">
      <w:pPr>
        <w:pStyle w:val="ListBullet"/>
        <w:numPr>
          <w:ilvl w:val="0"/>
          <w:numId w:val="2"/>
        </w:numPr>
        <w:tabs>
          <w:tab w:val="num" w:pos="720"/>
        </w:tabs>
        <w:ind w:left="720"/>
      </w:pPr>
      <w:r>
        <w:t>The task is available for further processing.</w:t>
      </w:r>
    </w:p>
    <w:p w14:paraId="093738D2" w14:textId="77777777" w:rsidR="002A21AE" w:rsidRDefault="002A21AE">
      <w:pPr>
        <w:pStyle w:val="Heading4"/>
      </w:pPr>
      <w:r>
        <w:t>Limitations and Restrictions</w:t>
      </w:r>
    </w:p>
    <w:p w14:paraId="268B868A" w14:textId="77777777" w:rsidR="002A21AE" w:rsidRDefault="002A21AE" w:rsidP="009D2266">
      <w:pPr>
        <w:pStyle w:val="ListBullet"/>
        <w:numPr>
          <w:ilvl w:val="0"/>
          <w:numId w:val="2"/>
        </w:numPr>
        <w:tabs>
          <w:tab w:val="num" w:pos="720"/>
        </w:tabs>
        <w:ind w:left="720"/>
      </w:pPr>
      <w:r>
        <w:t>This option is for diagnostic, blood component, and reflex test orders placed in or directed to the user’s division.</w:t>
      </w:r>
    </w:p>
    <w:p w14:paraId="51B52317" w14:textId="77777777" w:rsidR="002A21AE" w:rsidRDefault="002A21AE" w:rsidP="009D2266">
      <w:pPr>
        <w:pStyle w:val="ListBullet"/>
        <w:numPr>
          <w:ilvl w:val="0"/>
          <w:numId w:val="2"/>
        </w:numPr>
        <w:tabs>
          <w:tab w:val="num" w:pos="720"/>
        </w:tabs>
        <w:ind w:left="720"/>
      </w:pPr>
      <w:r>
        <w:t>The PTL does not include daily quality control, equipment maintenance schedules, or pending ABO/Rh confirmation and auxiliary tests on red blood c</w:t>
      </w:r>
      <w:bookmarkStart w:id="440" w:name="here"/>
      <w:bookmarkEnd w:id="440"/>
      <w:r>
        <w:t>ell units.</w:t>
      </w:r>
    </w:p>
    <w:p w14:paraId="2D1003B8" w14:textId="77777777" w:rsidR="00B16403" w:rsidRDefault="00B16403" w:rsidP="009D2266">
      <w:pPr>
        <w:pStyle w:val="ListBullet"/>
        <w:numPr>
          <w:ilvl w:val="0"/>
          <w:numId w:val="2"/>
        </w:numPr>
        <w:tabs>
          <w:tab w:val="num" w:pos="720"/>
        </w:tabs>
        <w:ind w:left="720"/>
      </w:pPr>
      <w:r w:rsidRPr="00696FA6">
        <w:t xml:space="preserve">Users may perform testing for no more than four patients in one </w:t>
      </w:r>
      <w:r>
        <w:t>VBECS</w:t>
      </w:r>
      <w:r w:rsidRPr="00696FA6">
        <w:t xml:space="preserve"> session.</w:t>
      </w:r>
    </w:p>
    <w:p w14:paraId="5A6B85EE" w14:textId="77777777" w:rsidR="002A21AE" w:rsidRDefault="002A21AE">
      <w:pPr>
        <w:pStyle w:val="Heading4"/>
      </w:pPr>
      <w:r>
        <w:t>Additional Information</w:t>
      </w:r>
    </w:p>
    <w:p w14:paraId="69FDDE5D" w14:textId="77777777" w:rsidR="002A21AE" w:rsidRDefault="002A21AE" w:rsidP="009D2266">
      <w:pPr>
        <w:pStyle w:val="ListBullet"/>
        <w:numPr>
          <w:ilvl w:val="0"/>
          <w:numId w:val="2"/>
        </w:numPr>
        <w:tabs>
          <w:tab w:val="num" w:pos="720"/>
        </w:tabs>
        <w:ind w:left="720"/>
      </w:pPr>
      <w:r>
        <w:t>This is the main entry point for other testing options.</w:t>
      </w:r>
    </w:p>
    <w:p w14:paraId="4B488CFF" w14:textId="18771493" w:rsidR="002A21AE" w:rsidRDefault="002A21AE" w:rsidP="009D2266">
      <w:pPr>
        <w:pStyle w:val="ListBullet"/>
        <w:numPr>
          <w:ilvl w:val="0"/>
          <w:numId w:val="2"/>
        </w:numPr>
        <w:tabs>
          <w:tab w:val="num" w:pos="720"/>
        </w:tabs>
        <w:ind w:left="720"/>
      </w:pPr>
      <w:r>
        <w:t>The PTL does not display completed diagnostic tests.</w:t>
      </w:r>
      <w:r w:rsidR="007878A0">
        <w:t xml:space="preserve"> (See FAQ Retrieving an Expired Order)</w:t>
      </w:r>
    </w:p>
    <w:p w14:paraId="3955EC1A" w14:textId="77777777" w:rsidR="00C5671A" w:rsidRDefault="00C5671A" w:rsidP="009D2266">
      <w:pPr>
        <w:pStyle w:val="ListBullet"/>
        <w:numPr>
          <w:ilvl w:val="0"/>
          <w:numId w:val="2"/>
        </w:numPr>
        <w:tabs>
          <w:tab w:val="num" w:pos="720"/>
        </w:tabs>
        <w:ind w:left="720"/>
      </w:pPr>
      <w:r>
        <w:t xml:space="preserve">When a specimen </w:t>
      </w:r>
      <w:r w:rsidRPr="00C5671A">
        <w:rPr>
          <w:u w:val="single"/>
        </w:rPr>
        <w:t>is not</w:t>
      </w:r>
      <w:r>
        <w:t xml:space="preserve"> associated wit</w:t>
      </w:r>
      <w:r w:rsidR="00A03A28">
        <w:t>h a component</w:t>
      </w:r>
      <w:r>
        <w:t xml:space="preserve"> order, partially completed and </w:t>
      </w:r>
      <w:r w:rsidR="00A03A28">
        <w:t>filled</w:t>
      </w:r>
      <w:r>
        <w:t xml:space="preserve"> component orders remain on the Pending Task List for 10 days from date of order acceptance.</w:t>
      </w:r>
      <w:r>
        <w:rPr>
          <w:vanish/>
        </w:rPr>
        <w:t xml:space="preserve"> Task 1323</w:t>
      </w:r>
      <w:r w:rsidR="00BC58B1">
        <w:rPr>
          <w:vanish/>
        </w:rPr>
        <w:t xml:space="preserve"> and DR 3604</w:t>
      </w:r>
    </w:p>
    <w:p w14:paraId="304F76A4" w14:textId="77777777" w:rsidR="00C5671A" w:rsidRDefault="00C5671A" w:rsidP="00C5671A">
      <w:pPr>
        <w:pStyle w:val="ListBullet"/>
        <w:numPr>
          <w:ilvl w:val="0"/>
          <w:numId w:val="2"/>
        </w:numPr>
        <w:tabs>
          <w:tab w:val="num" w:pos="720"/>
        </w:tabs>
        <w:ind w:left="720"/>
      </w:pPr>
      <w:r>
        <w:t xml:space="preserve">When a specimen </w:t>
      </w:r>
      <w:r w:rsidRPr="00C5671A">
        <w:rPr>
          <w:u w:val="single"/>
        </w:rPr>
        <w:t>is</w:t>
      </w:r>
      <w:r w:rsidR="00A03A28">
        <w:t xml:space="preserve"> associated with a diagnostic test or component </w:t>
      </w:r>
      <w:r>
        <w:t xml:space="preserve">order, partially completed diagnostic tests and </w:t>
      </w:r>
      <w:r w:rsidR="00A03A28">
        <w:t>filled</w:t>
      </w:r>
      <w:r>
        <w:t xml:space="preserve"> component orders remain on the Pending Task List until the specimen expires.</w:t>
      </w:r>
      <w:r w:rsidRPr="00C5671A">
        <w:rPr>
          <w:vanish/>
        </w:rPr>
        <w:t xml:space="preserve"> </w:t>
      </w:r>
      <w:r>
        <w:rPr>
          <w:vanish/>
        </w:rPr>
        <w:t>Task 1323</w:t>
      </w:r>
      <w:r w:rsidR="00BC58B1">
        <w:rPr>
          <w:vanish/>
        </w:rPr>
        <w:t xml:space="preserve"> and DR 3604</w:t>
      </w:r>
    </w:p>
    <w:p w14:paraId="73873935" w14:textId="77777777" w:rsidR="00DF7D1A" w:rsidRDefault="00DF7D1A" w:rsidP="009D2266">
      <w:pPr>
        <w:pStyle w:val="ListBullet"/>
        <w:numPr>
          <w:ilvl w:val="0"/>
          <w:numId w:val="2"/>
        </w:numPr>
        <w:tabs>
          <w:tab w:val="num" w:pos="720"/>
        </w:tabs>
        <w:ind w:left="720"/>
      </w:pPr>
      <w:r>
        <w:t>VBECS cancels accepted orders (tasks) the day after they expire.</w:t>
      </w:r>
    </w:p>
    <w:p w14:paraId="25AA98F9" w14:textId="77777777" w:rsidR="002A21AE" w:rsidRDefault="002A21AE" w:rsidP="009D2266">
      <w:pPr>
        <w:pStyle w:val="ListBullet"/>
        <w:numPr>
          <w:ilvl w:val="0"/>
          <w:numId w:val="2"/>
        </w:numPr>
        <w:tabs>
          <w:tab w:val="num" w:pos="720"/>
        </w:tabs>
        <w:ind w:left="720"/>
      </w:pPr>
      <w:r>
        <w:t>Multiple users are prohibited from performing the same task on the same unit of blood for the same patient.</w:t>
      </w:r>
    </w:p>
    <w:p w14:paraId="1CBB3F88" w14:textId="77777777" w:rsidR="002A21AE" w:rsidRDefault="002A21AE" w:rsidP="009D2266">
      <w:pPr>
        <w:pStyle w:val="ListBullet"/>
        <w:numPr>
          <w:ilvl w:val="0"/>
          <w:numId w:val="2"/>
        </w:numPr>
        <w:tabs>
          <w:tab w:val="num" w:pos="720"/>
        </w:tabs>
        <w:ind w:left="720"/>
      </w:pPr>
      <w:r>
        <w:t>The task may be selected and assigned to a technologist, preventing duplicate selection by another technologist.</w:t>
      </w:r>
    </w:p>
    <w:p w14:paraId="56810B4A" w14:textId="77777777" w:rsidR="002A21AE" w:rsidRDefault="002A21AE">
      <w:pPr>
        <w:pStyle w:val="Heading4"/>
      </w:pPr>
      <w:r>
        <w:t>User Roles with Access to This Option</w:t>
      </w:r>
    </w:p>
    <w:p w14:paraId="2F9AE948" w14:textId="77777777" w:rsidR="002A21AE" w:rsidRDefault="002232A3">
      <w:pPr>
        <w:pStyle w:val="Roles"/>
        <w:rPr>
          <w:snapToGrid w:val="0"/>
        </w:rPr>
      </w:pPr>
      <w:r>
        <w:t>All users</w:t>
      </w:r>
    </w:p>
    <w:bookmarkEnd w:id="439"/>
    <w:p w14:paraId="49421B69" w14:textId="77777777" w:rsidR="006C058D" w:rsidRDefault="006C058D">
      <w:pPr>
        <w:rPr>
          <w:rFonts w:ascii="Arial" w:hAnsi="Arial"/>
          <w:b/>
          <w:sz w:val="22"/>
        </w:rPr>
      </w:pPr>
      <w:r>
        <w:br w:type="page"/>
      </w:r>
    </w:p>
    <w:p w14:paraId="64F42900" w14:textId="1FC4501D" w:rsidR="002A21AE" w:rsidRDefault="002A21AE">
      <w:pPr>
        <w:pStyle w:val="Heading4"/>
      </w:pPr>
      <w:r>
        <w:t>Patient Testing: Pending Task List</w:t>
      </w:r>
    </w:p>
    <w:p w14:paraId="05D5C789" w14:textId="77777777" w:rsidR="002A21AE" w:rsidRDefault="002A21AE" w:rsidP="00FA7E65">
      <w:pPr>
        <w:pStyle w:val="BodyText"/>
      </w:pPr>
      <w:r>
        <w:t>The user accesses a list of pending tasks. VBECS displays the PTL with search criteria to allow the user to limit the number of items viewed.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E3B4565" w14:textId="77777777">
        <w:trPr>
          <w:tblHeader/>
        </w:trPr>
        <w:tc>
          <w:tcPr>
            <w:tcW w:w="3240" w:type="dxa"/>
            <w:shd w:val="pct30" w:color="auto" w:fill="FFFFFF"/>
            <w:vAlign w:val="bottom"/>
          </w:tcPr>
          <w:p w14:paraId="755480C6" w14:textId="77777777" w:rsidR="002A21AE" w:rsidRDefault="002A21AE">
            <w:pPr>
              <w:pStyle w:val="TableText"/>
              <w:rPr>
                <w:b/>
              </w:rPr>
            </w:pPr>
            <w:r>
              <w:rPr>
                <w:b/>
              </w:rPr>
              <w:t>User Action</w:t>
            </w:r>
          </w:p>
        </w:tc>
        <w:tc>
          <w:tcPr>
            <w:tcW w:w="6120" w:type="dxa"/>
            <w:shd w:val="pct30" w:color="auto" w:fill="FFFFFF"/>
            <w:vAlign w:val="bottom"/>
          </w:tcPr>
          <w:p w14:paraId="45DD1A00" w14:textId="77777777" w:rsidR="002A21AE" w:rsidRDefault="002A21AE">
            <w:pPr>
              <w:pStyle w:val="TableText"/>
              <w:rPr>
                <w:b/>
              </w:rPr>
            </w:pPr>
            <w:r>
              <w:rPr>
                <w:b/>
              </w:rPr>
              <w:t>VBECS</w:t>
            </w:r>
          </w:p>
        </w:tc>
      </w:tr>
      <w:tr w:rsidR="002A21AE" w14:paraId="5EF692F5" w14:textId="77777777" w:rsidTr="006C058D">
        <w:trPr>
          <w:cantSplit/>
        </w:trPr>
        <w:tc>
          <w:tcPr>
            <w:tcW w:w="3240" w:type="dxa"/>
          </w:tcPr>
          <w:p w14:paraId="52E213E6" w14:textId="77777777" w:rsidR="002A21AE" w:rsidRDefault="002A21AE">
            <w:pPr>
              <w:pStyle w:val="TableTextNumbers"/>
            </w:pPr>
            <w:r>
              <w:t xml:space="preserve">Select </w:t>
            </w:r>
            <w:r>
              <w:rPr>
                <w:b/>
              </w:rPr>
              <w:t>Patients</w:t>
            </w:r>
            <w:r>
              <w:t xml:space="preserve"> from the main menu.</w:t>
            </w:r>
          </w:p>
          <w:p w14:paraId="46224116" w14:textId="77777777" w:rsidR="002A21AE" w:rsidRDefault="002A21AE">
            <w:pPr>
              <w:pStyle w:val="TableTextNumbersContinued"/>
            </w:pPr>
          </w:p>
          <w:p w14:paraId="2B27BD5D" w14:textId="5A3CE19A" w:rsidR="002A21AE" w:rsidRDefault="002A21AE">
            <w:pPr>
              <w:pStyle w:val="TableTextNumbersContinued"/>
            </w:pPr>
            <w:r>
              <w:t xml:space="preserve">Select </w:t>
            </w:r>
            <w:r>
              <w:rPr>
                <w:b/>
              </w:rPr>
              <w:t>Patient Testing</w:t>
            </w:r>
            <w:r w:rsidR="0071094D">
              <w:rPr>
                <w:b/>
              </w:rPr>
              <w:t xml:space="preserve"> </w:t>
            </w:r>
            <w:r w:rsidR="0071094D" w:rsidRPr="0071094D">
              <w:t>(</w:t>
            </w:r>
            <w:r w:rsidR="00EE455E">
              <w:t xml:space="preserve">Figure </w:t>
            </w:r>
            <w:r w:rsidR="00EE455E">
              <w:rPr>
                <w:noProof/>
              </w:rPr>
              <w:t>91</w:t>
            </w:r>
            <w:r w:rsidR="0071094D" w:rsidRPr="0071094D">
              <w:t>)</w:t>
            </w:r>
            <w:r>
              <w:t>.</w:t>
            </w:r>
          </w:p>
        </w:tc>
        <w:tc>
          <w:tcPr>
            <w:tcW w:w="6120" w:type="dxa"/>
          </w:tcPr>
          <w:p w14:paraId="2E98607E" w14:textId="77777777" w:rsidR="002A21AE" w:rsidRDefault="002A21AE">
            <w:pPr>
              <w:pStyle w:val="TableTextBullet"/>
            </w:pPr>
            <w:r>
              <w:t>Displays options for processing patient-related functions.</w:t>
            </w:r>
          </w:p>
          <w:p w14:paraId="346E2DAD" w14:textId="77777777" w:rsidR="0055131E" w:rsidRDefault="002A21AE" w:rsidP="007B4A40">
            <w:pPr>
              <w:pStyle w:val="TableTextBullet"/>
            </w:pPr>
            <w:r>
              <w:t>Displays the PTL and PTL search parameters in the Diagnostic Tests tab or in the Component Orders tab.</w:t>
            </w:r>
          </w:p>
          <w:p w14:paraId="03E9965B" w14:textId="77777777" w:rsidR="008F0849" w:rsidRDefault="008F0849" w:rsidP="008F0849">
            <w:pPr>
              <w:pStyle w:val="TableTextBullet"/>
              <w:numPr>
                <w:ilvl w:val="0"/>
                <w:numId w:val="0"/>
              </w:numPr>
              <w:ind w:left="288" w:hanging="288"/>
            </w:pPr>
          </w:p>
          <w:p w14:paraId="4DB57F6D" w14:textId="1DB99327" w:rsidR="008F0849" w:rsidRDefault="008F0849" w:rsidP="008F0849">
            <w:pPr>
              <w:pStyle w:val="TableText"/>
              <w:rPr>
                <w:b/>
                <w:bCs/>
                <w:szCs w:val="18"/>
              </w:rPr>
            </w:pPr>
            <w:r>
              <w:rPr>
                <w:b/>
                <w:bCs/>
                <w:szCs w:val="18"/>
              </w:rPr>
              <w:t>NOTES</w:t>
            </w:r>
          </w:p>
          <w:p w14:paraId="026A9CFE" w14:textId="64EEABBF" w:rsidR="008F0849" w:rsidRPr="008F0849" w:rsidRDefault="008F0849" w:rsidP="008F0849">
            <w:pPr>
              <w:pStyle w:val="NotesText"/>
              <w:rPr>
                <w:szCs w:val="18"/>
              </w:rPr>
            </w:pPr>
            <w:r w:rsidRPr="008F0849">
              <w:rPr>
                <w:szCs w:val="18"/>
              </w:rPr>
              <w:t>Entering a random string consisting of letters and digits into the Patient search field returns the full pending task list. The correct combinations (full SSN, last 4 digits of SSN, first letter of last name + last 4 digits of SSN) will return a patient list.</w:t>
            </w:r>
            <w:r>
              <w:rPr>
                <w:szCs w:val="18"/>
              </w:rPr>
              <w:t xml:space="preserve"> </w:t>
            </w:r>
            <w:r w:rsidRPr="008F0849">
              <w:rPr>
                <w:vanish/>
                <w:szCs w:val="18"/>
              </w:rPr>
              <w:t>Task 208823</w:t>
            </w:r>
          </w:p>
          <w:p w14:paraId="22AD8934" w14:textId="77777777" w:rsidR="008F0849" w:rsidRDefault="008F0849" w:rsidP="008F0849">
            <w:pPr>
              <w:pStyle w:val="TableTextBullet"/>
              <w:numPr>
                <w:ilvl w:val="0"/>
                <w:numId w:val="0"/>
              </w:numPr>
              <w:ind w:left="288" w:hanging="288"/>
            </w:pPr>
          </w:p>
          <w:p w14:paraId="26BA9518" w14:textId="47BFC320" w:rsidR="008F0849" w:rsidRDefault="008F0849" w:rsidP="008F0849">
            <w:pPr>
              <w:pStyle w:val="TableTextBullet"/>
              <w:numPr>
                <w:ilvl w:val="0"/>
                <w:numId w:val="0"/>
              </w:numPr>
              <w:ind w:left="288" w:hanging="288"/>
            </w:pPr>
          </w:p>
        </w:tc>
      </w:tr>
      <w:tr w:rsidR="002A21AE" w14:paraId="7596CBA1" w14:textId="77777777">
        <w:tc>
          <w:tcPr>
            <w:tcW w:w="3240" w:type="dxa"/>
          </w:tcPr>
          <w:p w14:paraId="3470A7A8" w14:textId="77777777" w:rsidR="002A21AE" w:rsidRDefault="002A21AE">
            <w:pPr>
              <w:pStyle w:val="TableTextNumbers"/>
            </w:pPr>
            <w:r>
              <w:t>Click the check boxes in the PTL to select one</w:t>
            </w:r>
            <w:r w:rsidR="007A0E65">
              <w:t xml:space="preserve"> to four</w:t>
            </w:r>
            <w:r>
              <w:t xml:space="preserve"> tasks for processing and click </w:t>
            </w:r>
            <w:r>
              <w:rPr>
                <w:b/>
              </w:rPr>
              <w:t>OK</w:t>
            </w:r>
            <w:r>
              <w:t>, or</w:t>
            </w:r>
          </w:p>
          <w:p w14:paraId="60DCAC06" w14:textId="77777777" w:rsidR="002A21AE" w:rsidRDefault="002A21AE">
            <w:pPr>
              <w:pStyle w:val="TableTextNumbersContinued"/>
            </w:pPr>
          </w:p>
          <w:p w14:paraId="0CC053C6" w14:textId="77777777" w:rsidR="002A21AE" w:rsidRDefault="002A21AE">
            <w:pPr>
              <w:pStyle w:val="TableTextNumbersContinued"/>
            </w:pPr>
            <w:r>
              <w:t>Click</w:t>
            </w:r>
            <w:r>
              <w:rPr>
                <w:b/>
              </w:rPr>
              <w:t xml:space="preserve"> Print</w:t>
            </w:r>
            <w:r>
              <w:t xml:space="preserve"> to print the list.</w:t>
            </w:r>
          </w:p>
        </w:tc>
        <w:tc>
          <w:tcPr>
            <w:tcW w:w="6120" w:type="dxa"/>
          </w:tcPr>
          <w:p w14:paraId="495A947E" w14:textId="77777777" w:rsidR="002A21AE" w:rsidRDefault="002A21AE">
            <w:pPr>
              <w:pStyle w:val="TableTextBullet"/>
            </w:pPr>
            <w:r>
              <w:t xml:space="preserve">Allows the user to limit the search and display. </w:t>
            </w:r>
          </w:p>
          <w:p w14:paraId="32FF7D24" w14:textId="77777777" w:rsidR="002A21AE" w:rsidRDefault="002A21AE">
            <w:pPr>
              <w:pStyle w:val="TableTextBullet"/>
            </w:pPr>
            <w:r>
              <w:t>Prompts the user to select a task for continued processing, print a task list, or return to Step 1 to change the display of the list.</w:t>
            </w:r>
          </w:p>
          <w:p w14:paraId="0E709FFA" w14:textId="77777777" w:rsidR="002A21AE" w:rsidRDefault="002A21AE">
            <w:pPr>
              <w:pStyle w:val="TableText"/>
            </w:pPr>
          </w:p>
          <w:p w14:paraId="11B601C1" w14:textId="734F012D" w:rsidR="002A21AE" w:rsidRDefault="002A21AE">
            <w:pPr>
              <w:pStyle w:val="TableText"/>
              <w:rPr>
                <w:b/>
                <w:bCs/>
                <w:szCs w:val="18"/>
              </w:rPr>
            </w:pPr>
            <w:r>
              <w:rPr>
                <w:b/>
                <w:bCs/>
                <w:szCs w:val="18"/>
              </w:rPr>
              <w:t>NOTES</w:t>
            </w:r>
          </w:p>
          <w:p w14:paraId="0E6E0AFB" w14:textId="77777777" w:rsidR="002A21AE" w:rsidRPr="00623E7F" w:rsidRDefault="002A21AE">
            <w:pPr>
              <w:pStyle w:val="NotesText"/>
              <w:rPr>
                <w:vanish/>
                <w:szCs w:val="18"/>
              </w:rPr>
            </w:pPr>
          </w:p>
          <w:p w14:paraId="2EA7E5B3" w14:textId="71969D85" w:rsidR="003D7CE8" w:rsidRPr="00623E7F" w:rsidRDefault="005129F7" w:rsidP="00623E7F">
            <w:pPr>
              <w:pStyle w:val="NotesText"/>
              <w:rPr>
                <w:szCs w:val="18"/>
              </w:rPr>
            </w:pPr>
            <w:r w:rsidRPr="00623E7F">
              <w:rPr>
                <w:szCs w:val="18"/>
              </w:rPr>
              <w:t>Additional information is available in</w:t>
            </w:r>
            <w:r w:rsidR="00623E7F" w:rsidRPr="00623E7F">
              <w:rPr>
                <w:szCs w:val="18"/>
              </w:rPr>
              <w:t xml:space="preserve"> </w:t>
            </w:r>
            <w:r w:rsidR="00EE455E" w:rsidRPr="00EE455E">
              <w:rPr>
                <w:szCs w:val="18"/>
              </w:rPr>
              <w:t>Appendix H: Frequently Asked Questions</w:t>
            </w:r>
            <w:r w:rsidRPr="00623E7F">
              <w:rPr>
                <w:szCs w:val="18"/>
              </w:rPr>
              <w:t>.</w:t>
            </w:r>
            <w:r w:rsidRPr="00623E7F">
              <w:rPr>
                <w:vanish/>
                <w:szCs w:val="18"/>
              </w:rPr>
              <w:t xml:space="preserve"> DR 3971</w:t>
            </w:r>
          </w:p>
          <w:p w14:paraId="7A23C570" w14:textId="77777777" w:rsidR="003D7CE8" w:rsidRPr="00623E7F" w:rsidRDefault="003D7CE8">
            <w:pPr>
              <w:pStyle w:val="NotesText"/>
            </w:pPr>
          </w:p>
          <w:p w14:paraId="495A497B" w14:textId="77777777" w:rsidR="002A21AE" w:rsidRDefault="002A21AE">
            <w:pPr>
              <w:pStyle w:val="NotesText"/>
            </w:pPr>
            <w:r>
              <w:t xml:space="preserve">The user may click </w:t>
            </w:r>
            <w:r>
              <w:rPr>
                <w:b/>
              </w:rPr>
              <w:t>Cancel Order(s)</w:t>
            </w:r>
            <w:r>
              <w:t xml:space="preserve">, select a comment, and click </w:t>
            </w:r>
            <w:r>
              <w:rPr>
                <w:b/>
              </w:rPr>
              <w:t xml:space="preserve">OK </w:t>
            </w:r>
            <w:r>
              <w:t>to exit.</w:t>
            </w:r>
          </w:p>
          <w:p w14:paraId="27C1CDD3" w14:textId="77777777" w:rsidR="002A21AE" w:rsidRDefault="002A21AE">
            <w:pPr>
              <w:pStyle w:val="NotesText"/>
            </w:pPr>
          </w:p>
          <w:p w14:paraId="5101DED5" w14:textId="77777777" w:rsidR="002A21AE" w:rsidRDefault="002A21AE">
            <w:pPr>
              <w:pStyle w:val="NotesText"/>
            </w:pPr>
            <w:r>
              <w:rPr>
                <w:vanish/>
                <w:szCs w:val="18"/>
              </w:rPr>
              <w:t>BR_92.03</w:t>
            </w:r>
            <w:r w:rsidR="00CE3961">
              <w:rPr>
                <w:vanish/>
                <w:szCs w:val="18"/>
              </w:rPr>
              <w:t>,</w:t>
            </w:r>
            <w:r>
              <w:rPr>
                <w:vanish/>
                <w:szCs w:val="18"/>
              </w:rPr>
              <w:t xml:space="preserve"> BR_92.05 </w:t>
            </w:r>
            <w:r>
              <w:t xml:space="preserve">The user may select </w:t>
            </w:r>
            <w:r w:rsidR="00810E0A">
              <w:t>one to four</w:t>
            </w:r>
            <w:r>
              <w:t xml:space="preserve"> tasks for testing at a time. The tasks may be component class order tasks, diagnostic test tasks, or a combination of both.</w:t>
            </w:r>
          </w:p>
          <w:p w14:paraId="4FCE80A6" w14:textId="77777777" w:rsidR="00D3124A" w:rsidRDefault="00D3124A">
            <w:pPr>
              <w:pStyle w:val="NotesText"/>
            </w:pPr>
          </w:p>
          <w:p w14:paraId="402A3007" w14:textId="77777777" w:rsidR="002A21AE" w:rsidRDefault="002A21AE">
            <w:pPr>
              <w:pStyle w:val="NotesText"/>
            </w:pPr>
            <w:r>
              <w:t>VBECS displays “NRQ” (not required) when the task does not require a specimen for processing.</w:t>
            </w:r>
          </w:p>
          <w:p w14:paraId="2D816093" w14:textId="77777777" w:rsidR="00DF7D1A" w:rsidRDefault="00DF7D1A">
            <w:pPr>
              <w:pStyle w:val="NotesText"/>
              <w:rPr>
                <w:rFonts w:cs="Arial"/>
              </w:rPr>
            </w:pPr>
          </w:p>
          <w:p w14:paraId="29552BCF" w14:textId="2ADF4D64" w:rsidR="009A6B43" w:rsidRDefault="002A21AE">
            <w:pPr>
              <w:pStyle w:val="NotesText"/>
            </w:pPr>
            <w:r>
              <w:rPr>
                <w:rFonts w:cs="Arial"/>
                <w:vanish/>
              </w:rPr>
              <w:t xml:space="preserve">BR_92.01 </w:t>
            </w:r>
            <w:r>
              <w:t xml:space="preserve">For each order, VBECS displays the specific diagnostic test or component order. The default searches for the current date’s tasks, then yesterday’s tasks, and so on until the task status is “completed.” The display includes the task’s status and a </w:t>
            </w:r>
            <w:r w:rsidR="009A6B43">
              <w:t>username</w:t>
            </w:r>
            <w:r>
              <w:t>, when applicable.</w:t>
            </w:r>
          </w:p>
          <w:p w14:paraId="437E751F" w14:textId="77777777" w:rsidR="009A6B43" w:rsidRDefault="009A6B43" w:rsidP="009A6B43">
            <w:pPr>
              <w:pStyle w:val="TableText"/>
              <w:ind w:left="720"/>
            </w:pPr>
            <w:r>
              <w:t>The Pending Task List (PTL) and its report display the following:</w:t>
            </w:r>
          </w:p>
          <w:p w14:paraId="656006B1" w14:textId="77777777" w:rsidR="009A6B43" w:rsidRDefault="009A6B43" w:rsidP="00925CAD">
            <w:pPr>
              <w:pStyle w:val="TableText"/>
              <w:numPr>
                <w:ilvl w:val="0"/>
                <w:numId w:val="77"/>
              </w:numPr>
              <w:ind w:left="1080"/>
            </w:pPr>
            <w:r>
              <w:t>Diagnostic Tests tab includes only unexpired diagnostic tests that are not completed.</w:t>
            </w:r>
          </w:p>
          <w:p w14:paraId="2FEDABBD" w14:textId="77777777" w:rsidR="009A6B43" w:rsidRDefault="009A6B43" w:rsidP="00925CAD">
            <w:pPr>
              <w:pStyle w:val="TableText"/>
              <w:numPr>
                <w:ilvl w:val="0"/>
                <w:numId w:val="77"/>
              </w:numPr>
              <w:ind w:left="1080"/>
            </w:pPr>
            <w:r>
              <w:t>Component Orders tab includes only unexpired component orders (Filled orders are included).</w:t>
            </w:r>
          </w:p>
          <w:p w14:paraId="4BE239AA" w14:textId="77777777" w:rsidR="009A6B43" w:rsidRPr="00287DC2" w:rsidRDefault="009A6B43" w:rsidP="00925CAD">
            <w:pPr>
              <w:pStyle w:val="TableText"/>
              <w:numPr>
                <w:ilvl w:val="0"/>
                <w:numId w:val="77"/>
              </w:numPr>
              <w:ind w:left="1080"/>
            </w:pPr>
            <w:r>
              <w:t>Report</w:t>
            </w:r>
            <w:r w:rsidRPr="00287DC2">
              <w:t xml:space="preserve"> contain both unexpired component orders (Filled orders are included) and unexpired diagnostic tests that are not completed.</w:t>
            </w:r>
          </w:p>
          <w:p w14:paraId="40CB1DF4" w14:textId="77777777" w:rsidR="009A6B43" w:rsidRDefault="009A6B43" w:rsidP="009A6B43">
            <w:pPr>
              <w:pStyle w:val="TableText"/>
              <w:ind w:left="720"/>
            </w:pPr>
            <w:r>
              <w:t>The following data are included:</w:t>
            </w:r>
          </w:p>
          <w:p w14:paraId="4B48E265" w14:textId="77777777" w:rsidR="009A6B43" w:rsidRPr="00830728" w:rsidRDefault="009A6B43" w:rsidP="00925CAD">
            <w:pPr>
              <w:pStyle w:val="TableText"/>
              <w:numPr>
                <w:ilvl w:val="0"/>
                <w:numId w:val="78"/>
              </w:numPr>
              <w:ind w:left="1080"/>
            </w:pPr>
            <w:r w:rsidRPr="00830728">
              <w:t>Patient Location (report only)</w:t>
            </w:r>
          </w:p>
          <w:p w14:paraId="462224D7" w14:textId="77777777" w:rsidR="009A6B43" w:rsidRPr="00830728" w:rsidRDefault="009A6B43" w:rsidP="00925CAD">
            <w:pPr>
              <w:pStyle w:val="TableText"/>
              <w:numPr>
                <w:ilvl w:val="0"/>
                <w:numId w:val="78"/>
              </w:numPr>
              <w:ind w:left="1080"/>
            </w:pPr>
            <w:r w:rsidRPr="00830728">
              <w:t>Priority</w:t>
            </w:r>
          </w:p>
          <w:p w14:paraId="26EC3861" w14:textId="77777777" w:rsidR="009A6B43" w:rsidRPr="00830728" w:rsidRDefault="009A6B43" w:rsidP="00925CAD">
            <w:pPr>
              <w:pStyle w:val="TableText"/>
              <w:numPr>
                <w:ilvl w:val="0"/>
                <w:numId w:val="78"/>
              </w:numPr>
              <w:ind w:left="1080"/>
            </w:pPr>
            <w:r w:rsidRPr="00830728">
              <w:t>Patient Name</w:t>
            </w:r>
          </w:p>
          <w:p w14:paraId="4F3BA6C5" w14:textId="77777777" w:rsidR="009A6B43" w:rsidRPr="00830728" w:rsidRDefault="009A6B43" w:rsidP="00925CAD">
            <w:pPr>
              <w:pStyle w:val="TableText"/>
              <w:numPr>
                <w:ilvl w:val="0"/>
                <w:numId w:val="78"/>
              </w:numPr>
              <w:ind w:left="1080"/>
            </w:pPr>
            <w:r w:rsidRPr="00830728">
              <w:t>Patient ID</w:t>
            </w:r>
          </w:p>
          <w:p w14:paraId="3E79C2FC" w14:textId="77777777" w:rsidR="009A6B43" w:rsidRPr="00830728" w:rsidRDefault="009A6B43" w:rsidP="00925CAD">
            <w:pPr>
              <w:pStyle w:val="TableText"/>
              <w:numPr>
                <w:ilvl w:val="0"/>
                <w:numId w:val="78"/>
              </w:numPr>
              <w:ind w:left="1080"/>
            </w:pPr>
            <w:r w:rsidRPr="00830728">
              <w:t>Specimen UID</w:t>
            </w:r>
          </w:p>
          <w:p w14:paraId="603A1B35" w14:textId="77777777" w:rsidR="009A6B43" w:rsidRPr="00830728" w:rsidRDefault="009A6B43" w:rsidP="00925CAD">
            <w:pPr>
              <w:pStyle w:val="TableText"/>
              <w:numPr>
                <w:ilvl w:val="0"/>
                <w:numId w:val="78"/>
              </w:numPr>
              <w:ind w:left="1080"/>
            </w:pPr>
            <w:r w:rsidRPr="00830728">
              <w:t>CPRS Order ID (PTL only)</w:t>
            </w:r>
          </w:p>
          <w:p w14:paraId="30329C0B" w14:textId="77777777" w:rsidR="009A6B43" w:rsidRPr="00830728" w:rsidRDefault="009A6B43" w:rsidP="00925CAD">
            <w:pPr>
              <w:pStyle w:val="TableText"/>
              <w:numPr>
                <w:ilvl w:val="0"/>
                <w:numId w:val="78"/>
              </w:numPr>
              <w:ind w:left="1080"/>
            </w:pPr>
            <w:r w:rsidRPr="00830728">
              <w:t>Order (Diagnostic Test or Component)</w:t>
            </w:r>
          </w:p>
          <w:p w14:paraId="20991908" w14:textId="77777777" w:rsidR="009A6B43" w:rsidRPr="00830728" w:rsidRDefault="009A6B43" w:rsidP="00925CAD">
            <w:pPr>
              <w:pStyle w:val="TableText"/>
              <w:numPr>
                <w:ilvl w:val="0"/>
                <w:numId w:val="78"/>
              </w:numPr>
              <w:ind w:left="1080"/>
            </w:pPr>
            <w:r w:rsidRPr="00830728">
              <w:t>Quantity (Component order only)</w:t>
            </w:r>
          </w:p>
          <w:p w14:paraId="2C6202E0" w14:textId="77777777" w:rsidR="009A6B43" w:rsidRPr="00830728" w:rsidRDefault="009A6B43" w:rsidP="00925CAD">
            <w:pPr>
              <w:pStyle w:val="TableText"/>
              <w:numPr>
                <w:ilvl w:val="0"/>
                <w:numId w:val="78"/>
              </w:numPr>
              <w:ind w:left="1080"/>
            </w:pPr>
            <w:r w:rsidRPr="00830728">
              <w:t>Ordering Physician (report only)</w:t>
            </w:r>
          </w:p>
          <w:p w14:paraId="47152357" w14:textId="77777777" w:rsidR="009A6B43" w:rsidRPr="00830728" w:rsidRDefault="009A6B43" w:rsidP="00925CAD">
            <w:pPr>
              <w:pStyle w:val="TableText"/>
              <w:numPr>
                <w:ilvl w:val="0"/>
                <w:numId w:val="78"/>
              </w:numPr>
              <w:ind w:left="1080"/>
            </w:pPr>
            <w:r w:rsidRPr="00830728">
              <w:t>Order Comments</w:t>
            </w:r>
          </w:p>
          <w:p w14:paraId="10F9A3E3" w14:textId="77777777" w:rsidR="009A6B43" w:rsidRPr="00830728" w:rsidRDefault="009A6B43" w:rsidP="00925CAD">
            <w:pPr>
              <w:pStyle w:val="TableText"/>
              <w:numPr>
                <w:ilvl w:val="0"/>
                <w:numId w:val="78"/>
              </w:numPr>
              <w:ind w:left="1080"/>
            </w:pPr>
            <w:r w:rsidRPr="00830728">
              <w:t>Date Ordered (report only)</w:t>
            </w:r>
          </w:p>
          <w:p w14:paraId="541108CA" w14:textId="77777777" w:rsidR="009A6B43" w:rsidRPr="00830728" w:rsidRDefault="009A6B43" w:rsidP="00925CAD">
            <w:pPr>
              <w:pStyle w:val="TableText"/>
              <w:numPr>
                <w:ilvl w:val="0"/>
                <w:numId w:val="78"/>
              </w:numPr>
              <w:ind w:left="1080"/>
            </w:pPr>
            <w:r w:rsidRPr="00830728">
              <w:t>Date Wanted</w:t>
            </w:r>
          </w:p>
          <w:p w14:paraId="5762ADAF" w14:textId="12305315" w:rsidR="002A21AE" w:rsidRDefault="009A6B43" w:rsidP="00925CAD">
            <w:pPr>
              <w:pStyle w:val="TableText"/>
              <w:numPr>
                <w:ilvl w:val="0"/>
                <w:numId w:val="78"/>
              </w:numPr>
              <w:ind w:left="1080"/>
            </w:pPr>
            <w:r w:rsidRPr="00830728">
              <w:t>Task Status</w:t>
            </w:r>
          </w:p>
          <w:p w14:paraId="7FADFAF2" w14:textId="77777777" w:rsidR="002A21AE" w:rsidRDefault="002A21AE">
            <w:pPr>
              <w:pStyle w:val="NotesText"/>
            </w:pPr>
          </w:p>
          <w:p w14:paraId="50811717" w14:textId="77777777" w:rsidR="002A21AE" w:rsidRDefault="002A21AE">
            <w:pPr>
              <w:pStyle w:val="NotesText"/>
            </w:pPr>
            <w:r>
              <w:rPr>
                <w:rFonts w:cs="Arial"/>
                <w:vanish/>
              </w:rPr>
              <w:t xml:space="preserve">BR_92.10 </w:t>
            </w:r>
            <w:r>
              <w:rPr>
                <w:szCs w:val="20"/>
              </w:rPr>
              <w:t>VBECS alerts the user when he attempts to select multiple tasks of the same type for a patient, and does not allow the selection of two or more tasks of the same type ordered for a patient during a testing session. Tasks are considered to be of the same type when they need to accommodate the use of the same testing grid in Patient Testing: Record Patient Test Results. For example, a user may not select a TAS task and one of its subtests that is ordered in a testing session. VBECS provides for one testing grid display per patient per test, not per specimen UID. If the user selected a TAS and an ABS, VBECS displays only the first one selected for result entry.</w:t>
            </w:r>
          </w:p>
          <w:p w14:paraId="035FACE5" w14:textId="77777777" w:rsidR="002A21AE" w:rsidRDefault="002A21AE">
            <w:pPr>
              <w:pStyle w:val="NotesText"/>
            </w:pPr>
          </w:p>
          <w:p w14:paraId="08787103" w14:textId="77777777" w:rsidR="002A21AE" w:rsidRDefault="002A21AE">
            <w:pPr>
              <w:pStyle w:val="NotesText"/>
              <w:rPr>
                <w:b/>
              </w:rPr>
            </w:pPr>
            <w:r>
              <w:rPr>
                <w:vanish/>
                <w:szCs w:val="18"/>
              </w:rPr>
              <w:t xml:space="preserve">BR_92.02 </w:t>
            </w:r>
            <w:r>
              <w:t>Task and order statuses and functions that are displayed on the PTL:</w:t>
            </w:r>
          </w:p>
          <w:p w14:paraId="0F942CD3" w14:textId="77777777" w:rsidR="002A21AE" w:rsidRDefault="002A21AE">
            <w:pPr>
              <w:pStyle w:val="NotesTextBullet"/>
            </w:pPr>
            <w:r>
              <w:rPr>
                <w:b/>
              </w:rPr>
              <w:t>Not Started:</w:t>
            </w:r>
            <w:r>
              <w:t xml:space="preserve"> </w:t>
            </w:r>
            <w:r w:rsidR="00D06D15">
              <w:t>the order was not selected</w:t>
            </w:r>
            <w:r>
              <w:t>.</w:t>
            </w:r>
          </w:p>
          <w:p w14:paraId="42885EFD" w14:textId="77777777" w:rsidR="002A21AE" w:rsidRDefault="002A21AE">
            <w:pPr>
              <w:pStyle w:val="NotesTextBullet"/>
            </w:pPr>
            <w:r>
              <w:rPr>
                <w:b/>
              </w:rPr>
              <w:t>Partially Completed &lt;user ID&gt;:</w:t>
            </w:r>
            <w:r>
              <w:t xml:space="preserve"> allows selection by another user for a diagnostic test to complete</w:t>
            </w:r>
            <w:r w:rsidR="00430883">
              <w:t>,</w:t>
            </w:r>
            <w:r>
              <w:t xml:space="preserve"> invalidate</w:t>
            </w:r>
            <w:r w:rsidR="00430883">
              <w:t>, or delete</w:t>
            </w:r>
            <w:r>
              <w:t xml:space="preserve"> the work </w:t>
            </w:r>
            <w:r w:rsidR="00430883">
              <w:t>on this specimen</w:t>
            </w:r>
            <w:r>
              <w:t xml:space="preserve">. </w:t>
            </w:r>
            <w:r>
              <w:rPr>
                <w:i/>
              </w:rPr>
              <w:t>Component orders remain in this status until the specimen and order expire</w:t>
            </w:r>
            <w:r w:rsidRPr="00543DAF">
              <w:rPr>
                <w:i/>
              </w:rPr>
              <w:t>.</w:t>
            </w:r>
          </w:p>
          <w:p w14:paraId="04B0DC91" w14:textId="77777777" w:rsidR="002A21AE" w:rsidRDefault="002A21AE">
            <w:pPr>
              <w:pStyle w:val="NotesTextBullet"/>
            </w:pPr>
            <w:r>
              <w:rPr>
                <w:b/>
              </w:rPr>
              <w:t>Filled:</w:t>
            </w:r>
            <w:r>
              <w:t xml:space="preserve"> This order status is assigned when the total number of units ordered is </w:t>
            </w:r>
            <w:r w:rsidR="00C2698E">
              <w:t>updated to a unit status of “issued” or “transfused.”</w:t>
            </w:r>
            <w:r>
              <w:t xml:space="preserve"> </w:t>
            </w:r>
            <w:r w:rsidR="006B6C5C" w:rsidRPr="006B6C5C">
              <w:rPr>
                <w:vanish/>
              </w:rPr>
              <w:t>DR 2,597</w:t>
            </w:r>
          </w:p>
          <w:p w14:paraId="100A5330" w14:textId="77777777" w:rsidR="002A21AE" w:rsidRDefault="002A21AE">
            <w:pPr>
              <w:pStyle w:val="NotesTextBullet"/>
            </w:pPr>
            <w:r>
              <w:rPr>
                <w:b/>
              </w:rPr>
              <w:t xml:space="preserve">Correction: </w:t>
            </w:r>
            <w:r>
              <w:t>previous results were invalidated; a corrected entry is required.</w:t>
            </w:r>
          </w:p>
          <w:p w14:paraId="772607DD" w14:textId="77777777" w:rsidR="00493CA8" w:rsidRDefault="002E3B5D">
            <w:pPr>
              <w:pStyle w:val="NotesTextBullet"/>
            </w:pPr>
            <w:r w:rsidRPr="005E27C3">
              <w:rPr>
                <w:b/>
              </w:rPr>
              <w:t>Instrument Results Pending R</w:t>
            </w:r>
            <w:r w:rsidR="00493CA8" w:rsidRPr="005E27C3">
              <w:rPr>
                <w:b/>
              </w:rPr>
              <w:t>eview</w:t>
            </w:r>
            <w:r w:rsidRPr="005E27C3">
              <w:rPr>
                <w:b/>
              </w:rPr>
              <w:t>:</w:t>
            </w:r>
            <w:r>
              <w:t xml:space="preserve"> </w:t>
            </w:r>
            <w:r w:rsidR="005E27C3">
              <w:t xml:space="preserve">displayed on the </w:t>
            </w:r>
            <w:r w:rsidR="005E27C3">
              <w:rPr>
                <w:rFonts w:cs="Arial"/>
                <w:szCs w:val="18"/>
              </w:rPr>
              <w:t xml:space="preserve">Pending Task List: Diagnostic tests: does not allow the selection by another user for manual testing. </w:t>
            </w:r>
            <w:r w:rsidR="005E27C3" w:rsidRPr="005E27C3">
              <w:rPr>
                <w:rFonts w:cs="Arial"/>
                <w:vanish/>
                <w:szCs w:val="18"/>
              </w:rPr>
              <w:t>BR_92.02</w:t>
            </w:r>
          </w:p>
          <w:p w14:paraId="0908A8AB" w14:textId="77777777" w:rsidR="002A21AE" w:rsidRDefault="002A21AE">
            <w:pPr>
              <w:pStyle w:val="NotesText"/>
            </w:pPr>
          </w:p>
          <w:p w14:paraId="2C3B5382" w14:textId="77777777" w:rsidR="002A21AE" w:rsidRDefault="002A21AE">
            <w:pPr>
              <w:pStyle w:val="NotesText"/>
            </w:pPr>
            <w:r>
              <w:t>Task and order statuses that are not displayed for selection on the PTL:</w:t>
            </w:r>
          </w:p>
          <w:p w14:paraId="7AFF5C38" w14:textId="77777777" w:rsidR="002A21AE" w:rsidRDefault="002A21AE">
            <w:pPr>
              <w:pStyle w:val="NotesTextBullet"/>
            </w:pPr>
            <w:r>
              <w:rPr>
                <w:b/>
              </w:rPr>
              <w:t>Completed:</w:t>
            </w:r>
            <w:r>
              <w:t xml:space="preserve"> applies to diagnostic tests </w:t>
            </w:r>
          </w:p>
          <w:p w14:paraId="3181C0D0" w14:textId="77777777" w:rsidR="002A21AE" w:rsidRDefault="002A21AE">
            <w:pPr>
              <w:pStyle w:val="NotesTextBullet"/>
            </w:pPr>
            <w:r>
              <w:rPr>
                <w:b/>
              </w:rPr>
              <w:t>Expired:</w:t>
            </w:r>
            <w:r>
              <w:t xml:space="preserve"> applies to component orders at expiration of</w:t>
            </w:r>
            <w:r w:rsidR="00AA6C54">
              <w:t xml:space="preserve"> </w:t>
            </w:r>
            <w:r>
              <w:t>the associated specimen.</w:t>
            </w:r>
          </w:p>
          <w:p w14:paraId="59CEB7C3" w14:textId="77777777" w:rsidR="002A21AE" w:rsidRDefault="002A21AE">
            <w:pPr>
              <w:pStyle w:val="NotesText"/>
            </w:pPr>
          </w:p>
          <w:p w14:paraId="6A6CA9A0" w14:textId="2152E16B" w:rsidR="002A21AE" w:rsidRDefault="002A21AE" w:rsidP="00D327A3">
            <w:pPr>
              <w:pStyle w:val="NotesText"/>
            </w:pPr>
            <w:r>
              <w:t xml:space="preserve">See </w:t>
            </w:r>
            <w:r w:rsidR="00EE455E">
              <w:t xml:space="preserve">Appendix </w:t>
            </w:r>
            <w:r w:rsidR="00EE455E">
              <w:rPr>
                <w:noProof/>
              </w:rPr>
              <w:t>B</w:t>
            </w:r>
            <w:r>
              <w:t>:</w:t>
            </w:r>
            <w:r w:rsidR="00D327A3">
              <w:t xml:space="preserve"> </w:t>
            </w:r>
            <w:r w:rsidR="00EE455E">
              <w:t xml:space="preserve">Figure </w:t>
            </w:r>
            <w:r w:rsidR="00EE455E">
              <w:rPr>
                <w:noProof/>
              </w:rPr>
              <w:t>117:</w:t>
            </w:r>
            <w:r w:rsidR="00EE455E">
              <w:t xml:space="preserve"> </w:t>
            </w:r>
            <w:r w:rsidR="00EE455E">
              <w:rPr>
                <w:vanish/>
              </w:rPr>
              <w:t xml:space="preserve">TT_92.01 </w:t>
            </w:r>
            <w:r w:rsidR="00EE455E" w:rsidRPr="00EE455E">
              <w:t>Order</w:t>
            </w:r>
            <w:r w:rsidR="00EE455E">
              <w:t xml:space="preserve"> Status Flowchart</w:t>
            </w:r>
            <w:r w:rsidR="00BC74A8">
              <w:t xml:space="preserve"> </w:t>
            </w:r>
            <w:r w:rsidR="00BC74A8" w:rsidRPr="00BC74A8">
              <w:t xml:space="preserve">for the </w:t>
            </w:r>
            <w:r w:rsidR="003A0F91">
              <w:t>transmission</w:t>
            </w:r>
            <w:r w:rsidR="00BC74A8" w:rsidRPr="00BC74A8">
              <w:t xml:space="preserve"> of orders between CPRS and VBECS</w:t>
            </w:r>
            <w:r>
              <w:t>.</w:t>
            </w:r>
          </w:p>
          <w:p w14:paraId="65B44DA4" w14:textId="77777777" w:rsidR="00430883" w:rsidRPr="00BC74A8" w:rsidRDefault="00430883" w:rsidP="00BC74A8">
            <w:pPr>
              <w:pStyle w:val="NotesText"/>
            </w:pPr>
          </w:p>
          <w:p w14:paraId="511389B5" w14:textId="77777777" w:rsidR="00E84F5F" w:rsidRDefault="00E84F5F" w:rsidP="00E84F5F">
            <w:pPr>
              <w:pStyle w:val="NotesText"/>
            </w:pPr>
            <w:r w:rsidRPr="00574F77">
              <w:rPr>
                <w:vanish/>
                <w:szCs w:val="18"/>
              </w:rPr>
              <w:t xml:space="preserve">BR_92.07 </w:t>
            </w:r>
            <w:r w:rsidRPr="00574F77">
              <w:t>When a user prints a PTL and no pending tasks are found, VBECS asks whether the user wishes to continue to print. The user may cancel or print the report, which states that no pending orders were found.</w:t>
            </w:r>
          </w:p>
        </w:tc>
      </w:tr>
      <w:tr w:rsidR="002A21AE" w14:paraId="5C2C37D9" w14:textId="77777777">
        <w:tc>
          <w:tcPr>
            <w:tcW w:w="3240" w:type="dxa"/>
          </w:tcPr>
          <w:p w14:paraId="350EC864" w14:textId="77777777" w:rsidR="002A21AE" w:rsidRDefault="002A21AE">
            <w:pPr>
              <w:pStyle w:val="TableTextNumbers"/>
            </w:pPr>
            <w:r>
              <w:t xml:space="preserve">Click </w:t>
            </w:r>
            <w:r>
              <w:rPr>
                <w:b/>
              </w:rPr>
              <w:t>OK</w:t>
            </w:r>
            <w:r>
              <w:t xml:space="preserve"> or </w:t>
            </w:r>
            <w:r>
              <w:rPr>
                <w:b/>
              </w:rPr>
              <w:t>Cancel</w:t>
            </w:r>
            <w:r>
              <w:t xml:space="preserve"> 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132A6332" w14:textId="77777777" w:rsidR="002A21AE" w:rsidRDefault="002A21AE">
            <w:pPr>
              <w:pStyle w:val="NotesText"/>
            </w:pPr>
          </w:p>
        </w:tc>
      </w:tr>
    </w:tbl>
    <w:p w14:paraId="00B266BE" w14:textId="77777777" w:rsidR="006C058D" w:rsidRDefault="006C058D">
      <w:pPr>
        <w:pStyle w:val="Heading3"/>
      </w:pPr>
    </w:p>
    <w:p w14:paraId="72B4DE62" w14:textId="77777777" w:rsidR="006C058D" w:rsidRDefault="006C058D">
      <w:pPr>
        <w:rPr>
          <w:rFonts w:ascii="Arial" w:hAnsi="Arial" w:cs="Arial"/>
          <w:b/>
          <w:bCs/>
          <w:sz w:val="26"/>
          <w:szCs w:val="26"/>
        </w:rPr>
      </w:pPr>
      <w:r>
        <w:br w:type="page"/>
      </w:r>
    </w:p>
    <w:p w14:paraId="27677300" w14:textId="571C45F6" w:rsidR="002A21AE" w:rsidRDefault="002A21AE">
      <w:pPr>
        <w:pStyle w:val="Heading3"/>
      </w:pPr>
      <w:bookmarkStart w:id="441" w:name="_Toc149064152"/>
      <w:r>
        <w:t>Accept Orders: Cancel a Pending Order</w:t>
      </w:r>
      <w:bookmarkEnd w:id="441"/>
      <w:r w:rsidRPr="00B91603">
        <w:rPr>
          <w:rFonts w:ascii="Arial Bold" w:hAnsi="Arial Bold"/>
          <w:vanish/>
        </w:rPr>
        <w:fldChar w:fldCharType="begin"/>
      </w:r>
      <w:r w:rsidRPr="00B91603">
        <w:rPr>
          <w:rFonts w:ascii="Arial Bold" w:hAnsi="Arial Bold"/>
          <w:vanish/>
        </w:rPr>
        <w:instrText xml:space="preserve"> XE </w:instrText>
      </w:r>
      <w:r w:rsidR="00FA7E65" w:rsidRPr="00B91603">
        <w:rPr>
          <w:rFonts w:ascii="Arial Bold" w:hAnsi="Arial Bold"/>
          <w:vanish/>
        </w:rPr>
        <w:instrText>“</w:instrText>
      </w:r>
      <w:r w:rsidRPr="00B91603">
        <w:rPr>
          <w:rFonts w:ascii="Arial Bold" w:hAnsi="Arial Bold"/>
          <w:vanish/>
        </w:rPr>
        <w:instrText>Accept Orders\: Cancel an Order</w:instrText>
      </w:r>
      <w:r w:rsidR="00FA7E65" w:rsidRPr="00B91603">
        <w:rPr>
          <w:rFonts w:ascii="Arial Bold" w:hAnsi="Arial Bold"/>
          <w:vanish/>
        </w:rPr>
        <w:instrText>”</w:instrText>
      </w:r>
      <w:r w:rsidRPr="00B91603">
        <w:rPr>
          <w:rFonts w:ascii="Arial Bold" w:hAnsi="Arial Bold"/>
          <w:vanish/>
        </w:rPr>
        <w:instrText xml:space="preserve"> </w:instrText>
      </w:r>
      <w:r w:rsidRPr="00B91603">
        <w:rPr>
          <w:rFonts w:ascii="Arial Bold" w:hAnsi="Arial Bold"/>
          <w:vanish/>
        </w:rPr>
        <w:fldChar w:fldCharType="end"/>
      </w:r>
      <w:r w:rsidRPr="00B91603">
        <w:rPr>
          <w:rFonts w:ascii="Arial Bold" w:hAnsi="Arial Bold"/>
          <w:vanish/>
        </w:rPr>
        <w:t xml:space="preserve"> UC_61</w:t>
      </w:r>
    </w:p>
    <w:p w14:paraId="46B38172" w14:textId="77777777" w:rsidR="002A21AE" w:rsidRDefault="002A21AE" w:rsidP="00FA7E65">
      <w:pPr>
        <w:pStyle w:val="BodyText"/>
      </w:pPr>
      <w:bookmarkStart w:id="442" w:name="_Toc79560668"/>
      <w:bookmarkStart w:id="443" w:name="_Toc75227779"/>
      <w:r>
        <w:t>The user cancels an unaccepted order on the Pending Order List (POL).</w:t>
      </w:r>
    </w:p>
    <w:p w14:paraId="6F79BFF6" w14:textId="77777777" w:rsidR="002A21AE" w:rsidRDefault="002A21AE">
      <w:pPr>
        <w:pStyle w:val="Heading4"/>
      </w:pPr>
      <w:r>
        <w:t>Assumptions</w:t>
      </w:r>
    </w:p>
    <w:p w14:paraId="2CC6407F" w14:textId="77777777" w:rsidR="002A21AE" w:rsidRDefault="002A21AE">
      <w:pPr>
        <w:pStyle w:val="ListBullet"/>
      </w:pPr>
      <w:r>
        <w:t>An order was not accepted by a user.</w:t>
      </w:r>
    </w:p>
    <w:p w14:paraId="4CA512FD" w14:textId="77777777" w:rsidR="002A21AE" w:rsidRDefault="002A21AE">
      <w:pPr>
        <w:pStyle w:val="ListBullet"/>
      </w:pPr>
      <w:r>
        <w:t xml:space="preserve">The connection to </w:t>
      </w:r>
      <w:r w:rsidR="00CA0045" w:rsidRPr="00CA0045">
        <w:rPr>
          <w:bCs/>
        </w:rPr>
        <w:t>VistA</w:t>
      </w:r>
      <w:r>
        <w:t xml:space="preserve"> is active.</w:t>
      </w:r>
    </w:p>
    <w:p w14:paraId="73D65F5B" w14:textId="77777777" w:rsidR="002A21AE" w:rsidRDefault="002A21AE">
      <w:pPr>
        <w:pStyle w:val="Heading4"/>
      </w:pPr>
      <w:r>
        <w:t xml:space="preserve">Outcome </w:t>
      </w:r>
    </w:p>
    <w:p w14:paraId="02151209" w14:textId="77777777" w:rsidR="002A21AE" w:rsidRDefault="002A21AE">
      <w:pPr>
        <w:pStyle w:val="ListBullet"/>
      </w:pPr>
      <w:r>
        <w:t>An order update message was sent to CPRS.</w:t>
      </w:r>
    </w:p>
    <w:p w14:paraId="7D618D00" w14:textId="77777777" w:rsidR="002A21AE" w:rsidRDefault="002A21AE">
      <w:pPr>
        <w:pStyle w:val="ListBullet"/>
      </w:pPr>
      <w:r>
        <w:t>The order was removed from the POL.</w:t>
      </w:r>
    </w:p>
    <w:p w14:paraId="226B3FE0" w14:textId="77777777" w:rsidR="002A21AE" w:rsidRDefault="002A21AE">
      <w:pPr>
        <w:pStyle w:val="Heading4"/>
      </w:pPr>
      <w:r>
        <w:t>Limitations and Restrictions</w:t>
      </w:r>
      <w:r>
        <w:rPr>
          <w:b w:val="0"/>
        </w:rPr>
        <w:t xml:space="preserve"> </w:t>
      </w:r>
    </w:p>
    <w:p w14:paraId="077E3D22" w14:textId="77777777" w:rsidR="002A21AE" w:rsidRDefault="002A21AE">
      <w:pPr>
        <w:pStyle w:val="ListBullet"/>
      </w:pPr>
      <w:r>
        <w:t>Cancellation of one order does not affect other orders placed with it.</w:t>
      </w:r>
    </w:p>
    <w:p w14:paraId="10FC0324" w14:textId="77777777" w:rsidR="002A21AE" w:rsidRDefault="002A21AE">
      <w:pPr>
        <w:pStyle w:val="Heading4"/>
      </w:pPr>
      <w:r>
        <w:t xml:space="preserve">Additional Information </w:t>
      </w:r>
    </w:p>
    <w:p w14:paraId="2F1141FD" w14:textId="77777777" w:rsidR="002A21AE" w:rsidRDefault="002A21AE">
      <w:pPr>
        <w:pStyle w:val="ListBullet"/>
      </w:pPr>
      <w:r>
        <w:t>Each pending order is managed individually.</w:t>
      </w:r>
    </w:p>
    <w:p w14:paraId="441D4C72" w14:textId="77777777" w:rsidR="00C5671A" w:rsidRDefault="001E56DE">
      <w:pPr>
        <w:pStyle w:val="ListBullet"/>
      </w:pPr>
      <w:r>
        <w:t xml:space="preserve">VBECS does not automatically clear or cancel pending </w:t>
      </w:r>
      <w:r w:rsidR="00BB3E6D">
        <w:t xml:space="preserve">or unaccepted </w:t>
      </w:r>
      <w:r>
        <w:t>orders</w:t>
      </w:r>
      <w:r w:rsidR="00BB3E6D">
        <w:t xml:space="preserve"> from the POL</w:t>
      </w:r>
      <w:r>
        <w:t>.</w:t>
      </w:r>
      <w:r>
        <w:rPr>
          <w:vanish/>
        </w:rPr>
        <w:t xml:space="preserve"> Task 1323</w:t>
      </w:r>
    </w:p>
    <w:p w14:paraId="330A7A78" w14:textId="77777777" w:rsidR="002A21AE" w:rsidRDefault="002A21AE">
      <w:pPr>
        <w:pStyle w:val="Heading4"/>
        <w:rPr>
          <w:b w:val="0"/>
        </w:rPr>
      </w:pPr>
      <w:r>
        <w:t>User Roles with Access to This Option</w:t>
      </w:r>
      <w:r>
        <w:rPr>
          <w:b w:val="0"/>
        </w:rPr>
        <w:t xml:space="preserve"> </w:t>
      </w:r>
    </w:p>
    <w:p w14:paraId="34092B41" w14:textId="77777777" w:rsidR="002A21AE" w:rsidRDefault="002232A3">
      <w:pPr>
        <w:pStyle w:val="Roles"/>
        <w:rPr>
          <w:snapToGrid w:val="0"/>
        </w:rPr>
      </w:pPr>
      <w:r>
        <w:t>All users</w:t>
      </w:r>
    </w:p>
    <w:p w14:paraId="5ECD3866" w14:textId="77777777" w:rsidR="002A21AE" w:rsidRDefault="002A21AE">
      <w:pPr>
        <w:pStyle w:val="Heading4"/>
      </w:pPr>
      <w:r>
        <w:t>Accept Orders: Cancel a Pending Order</w:t>
      </w:r>
    </w:p>
    <w:p w14:paraId="01F98E74" w14:textId="77777777" w:rsidR="002A21AE" w:rsidRDefault="002A21AE" w:rsidP="00FA7E65">
      <w:pPr>
        <w:pStyle w:val="BodyText"/>
      </w:pPr>
      <w:r>
        <w:t>The user selects an unaccepted order for cancellation.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B9C6600" w14:textId="77777777">
        <w:trPr>
          <w:cantSplit/>
          <w:tblHeader/>
        </w:trPr>
        <w:tc>
          <w:tcPr>
            <w:tcW w:w="3240" w:type="dxa"/>
            <w:shd w:val="pct30" w:color="auto" w:fill="FFFFFF"/>
            <w:vAlign w:val="bottom"/>
          </w:tcPr>
          <w:p w14:paraId="5DDAB31C" w14:textId="77777777" w:rsidR="002A21AE" w:rsidRDefault="002A21AE">
            <w:pPr>
              <w:pStyle w:val="TableText"/>
              <w:rPr>
                <w:b/>
              </w:rPr>
            </w:pPr>
            <w:r>
              <w:rPr>
                <w:b/>
              </w:rPr>
              <w:t>User Action</w:t>
            </w:r>
          </w:p>
        </w:tc>
        <w:tc>
          <w:tcPr>
            <w:tcW w:w="6120" w:type="dxa"/>
            <w:shd w:val="pct30" w:color="auto" w:fill="FFFFFF"/>
            <w:vAlign w:val="bottom"/>
          </w:tcPr>
          <w:p w14:paraId="2A161124" w14:textId="77777777" w:rsidR="002A21AE" w:rsidRDefault="002A21AE">
            <w:pPr>
              <w:pStyle w:val="TableText"/>
              <w:rPr>
                <w:b/>
              </w:rPr>
            </w:pPr>
            <w:r>
              <w:rPr>
                <w:b/>
              </w:rPr>
              <w:t>VBECS</w:t>
            </w:r>
          </w:p>
        </w:tc>
      </w:tr>
      <w:tr w:rsidR="002A21AE" w14:paraId="5F7835FE" w14:textId="77777777">
        <w:tc>
          <w:tcPr>
            <w:tcW w:w="3240" w:type="dxa"/>
          </w:tcPr>
          <w:p w14:paraId="2A01D243" w14:textId="77777777" w:rsidR="002A21AE" w:rsidRDefault="002A21AE">
            <w:pPr>
              <w:pStyle w:val="TableTextNumbers"/>
            </w:pPr>
            <w:r>
              <w:t xml:space="preserve">Select </w:t>
            </w:r>
            <w:r>
              <w:rPr>
                <w:b/>
              </w:rPr>
              <w:t>Orders</w:t>
            </w:r>
            <w:r>
              <w:t xml:space="preserve"> from the main menu.</w:t>
            </w:r>
          </w:p>
          <w:p w14:paraId="22EC1A06" w14:textId="77777777" w:rsidR="002A21AE" w:rsidRDefault="002A21AE">
            <w:pPr>
              <w:pStyle w:val="TableTextNumbersContinued"/>
            </w:pPr>
          </w:p>
          <w:p w14:paraId="56AF2F2C" w14:textId="77777777" w:rsidR="002A21AE" w:rsidRDefault="002A21AE">
            <w:pPr>
              <w:pStyle w:val="TableTextNumbersContinued"/>
            </w:pPr>
            <w:r>
              <w:t xml:space="preserve">Select </w:t>
            </w:r>
            <w:r>
              <w:rPr>
                <w:b/>
              </w:rPr>
              <w:t>Accept Orders</w:t>
            </w:r>
            <w:r>
              <w:t>.</w:t>
            </w:r>
          </w:p>
        </w:tc>
        <w:tc>
          <w:tcPr>
            <w:tcW w:w="6120" w:type="dxa"/>
          </w:tcPr>
          <w:p w14:paraId="19B18068" w14:textId="77777777" w:rsidR="002A21AE" w:rsidRDefault="002A21AE">
            <w:pPr>
              <w:pStyle w:val="TableTextBullet"/>
            </w:pPr>
            <w:r>
              <w:t>Displays options for processing orders.</w:t>
            </w:r>
          </w:p>
          <w:p w14:paraId="4997CBF4" w14:textId="77777777" w:rsidR="002A21AE" w:rsidRDefault="002A21AE">
            <w:pPr>
              <w:pStyle w:val="TableTextBullet"/>
            </w:pPr>
            <w:r>
              <w:t>Displays the Pending Order List and Pending Order List search criteria.</w:t>
            </w:r>
          </w:p>
        </w:tc>
      </w:tr>
      <w:tr w:rsidR="002A21AE" w14:paraId="7BB35F0C" w14:textId="77777777" w:rsidTr="00A94A90">
        <w:trPr>
          <w:cantSplit/>
        </w:trPr>
        <w:tc>
          <w:tcPr>
            <w:tcW w:w="3240" w:type="dxa"/>
          </w:tcPr>
          <w:p w14:paraId="21BC2FC3" w14:textId="0A25A4EA" w:rsidR="002A21AE" w:rsidRDefault="002A21AE">
            <w:pPr>
              <w:pStyle w:val="TableTextNumbers"/>
            </w:pPr>
            <w:r>
              <w:t>Select an order to cancel from the Pending Order List</w:t>
            </w:r>
            <w:r w:rsidR="0051565D">
              <w:t xml:space="preserve"> (</w:t>
            </w:r>
            <w:r w:rsidR="00EE455E">
              <w:t xml:space="preserve">Figure </w:t>
            </w:r>
            <w:r w:rsidR="00EE455E">
              <w:rPr>
                <w:noProof/>
              </w:rPr>
              <w:t>92</w:t>
            </w:r>
            <w:r w:rsidR="0051565D">
              <w:t>)</w:t>
            </w:r>
            <w:r>
              <w:t>.</w:t>
            </w:r>
          </w:p>
          <w:p w14:paraId="4B810130" w14:textId="77777777" w:rsidR="002A21AE" w:rsidRDefault="002A21AE">
            <w:pPr>
              <w:pStyle w:val="TableTextNumbersContinued"/>
            </w:pPr>
          </w:p>
          <w:p w14:paraId="2F1774DE" w14:textId="77777777" w:rsidR="002A21AE" w:rsidRDefault="002A21AE">
            <w:pPr>
              <w:pStyle w:val="TableTextNumbersContinued"/>
            </w:pPr>
            <w:r>
              <w:t xml:space="preserve">Click </w:t>
            </w:r>
            <w:r>
              <w:rPr>
                <w:b/>
              </w:rPr>
              <w:t>Reject</w:t>
            </w:r>
            <w:r>
              <w:t>.</w:t>
            </w:r>
          </w:p>
        </w:tc>
        <w:tc>
          <w:tcPr>
            <w:tcW w:w="6120" w:type="dxa"/>
          </w:tcPr>
          <w:p w14:paraId="31EB27BD" w14:textId="77777777" w:rsidR="002A21AE" w:rsidRDefault="002A21AE">
            <w:pPr>
              <w:pStyle w:val="TableTextBullet"/>
            </w:pPr>
            <w:r>
              <w:t>Requires the user to enter a comment.</w:t>
            </w:r>
          </w:p>
          <w:p w14:paraId="25605541" w14:textId="77777777" w:rsidR="002A21AE" w:rsidRDefault="002A21AE">
            <w:pPr>
              <w:pStyle w:val="TableTextBullet"/>
            </w:pPr>
            <w:r>
              <w:t>Requires the user to confirm the cancellation of the pending order.</w:t>
            </w:r>
          </w:p>
        </w:tc>
      </w:tr>
      <w:tr w:rsidR="002A21AE" w14:paraId="1DF0F60A" w14:textId="77777777">
        <w:tc>
          <w:tcPr>
            <w:tcW w:w="3240" w:type="dxa"/>
          </w:tcPr>
          <w:p w14:paraId="2B5257A8" w14:textId="77777777" w:rsidR="002A21AE" w:rsidRDefault="002A21AE">
            <w:pPr>
              <w:pStyle w:val="TableTextNumbers"/>
            </w:pPr>
            <w:r>
              <w:t>Enter or select a comment in the Comment field.</w:t>
            </w:r>
          </w:p>
          <w:p w14:paraId="10F98B18" w14:textId="77777777" w:rsidR="002A21AE" w:rsidRDefault="002A21AE">
            <w:pPr>
              <w:pStyle w:val="TableTextNumbersContinued"/>
            </w:pPr>
          </w:p>
          <w:p w14:paraId="5059E0FF" w14:textId="77777777" w:rsidR="002A21AE" w:rsidRDefault="002A21AE">
            <w:pPr>
              <w:pStyle w:val="TableTextNumbersContinued"/>
            </w:pPr>
            <w:r>
              <w:t>Enter details in the Details field, if desired.</w:t>
            </w:r>
          </w:p>
          <w:p w14:paraId="23198934" w14:textId="77777777" w:rsidR="002A21AE" w:rsidRDefault="002A21AE">
            <w:pPr>
              <w:pStyle w:val="TableTextNumbersContinued"/>
            </w:pPr>
          </w:p>
          <w:p w14:paraId="25B15F51" w14:textId="77777777" w:rsidR="002A21AE" w:rsidRDefault="002A21AE">
            <w:pPr>
              <w:pStyle w:val="TableTextNumbersContinued"/>
            </w:pPr>
            <w:r>
              <w:t xml:space="preserve">Click </w:t>
            </w:r>
            <w:r>
              <w:rPr>
                <w:b/>
              </w:rPr>
              <w:t>OK</w:t>
            </w:r>
            <w:r>
              <w:t xml:space="preserve"> and </w:t>
            </w:r>
            <w:r>
              <w:rPr>
                <w:b/>
              </w:rPr>
              <w:t>Close</w:t>
            </w:r>
            <w:r>
              <w:t xml:space="preserve"> to confirm the order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20A26E95" w14:textId="77777777" w:rsidR="00BB3E6D" w:rsidRDefault="002A21AE" w:rsidP="00BB3E6D">
            <w:pPr>
              <w:pStyle w:val="TableTextBullet"/>
            </w:pPr>
            <w:r>
              <w:t>Removes the order from the Pending Order List and sends a message to CPRS with an order status update.</w:t>
            </w:r>
          </w:p>
          <w:p w14:paraId="127920E6" w14:textId="77777777" w:rsidR="00BB3E6D" w:rsidRDefault="00BB3E6D" w:rsidP="00BB3E6D">
            <w:pPr>
              <w:pStyle w:val="TableTextBullet"/>
              <w:numPr>
                <w:ilvl w:val="0"/>
                <w:numId w:val="0"/>
              </w:numPr>
            </w:pPr>
          </w:p>
          <w:p w14:paraId="4BEFD811" w14:textId="38ED1C86" w:rsidR="00BB3E6D" w:rsidRDefault="00BB3E6D" w:rsidP="00BB3E6D">
            <w:pPr>
              <w:pStyle w:val="TableText"/>
              <w:rPr>
                <w:b/>
                <w:bCs/>
                <w:szCs w:val="18"/>
              </w:rPr>
            </w:pPr>
            <w:r>
              <w:rPr>
                <w:b/>
                <w:bCs/>
                <w:szCs w:val="18"/>
              </w:rPr>
              <w:t>NOTES</w:t>
            </w:r>
          </w:p>
          <w:p w14:paraId="4B40ED13" w14:textId="77777777" w:rsidR="00BB3E6D" w:rsidRDefault="00BB3E6D" w:rsidP="00BB3E6D">
            <w:pPr>
              <w:pStyle w:val="NotesText"/>
            </w:pPr>
          </w:p>
          <w:p w14:paraId="14D3D722" w14:textId="77777777" w:rsidR="00BB3E6D" w:rsidRDefault="00BB3E6D" w:rsidP="004641B8">
            <w:pPr>
              <w:pStyle w:val="NotesText"/>
            </w:pPr>
            <w:r>
              <w:t>VBECS does not cancel a lab order if the lab order has already been accessioned</w:t>
            </w:r>
            <w:r w:rsidR="004641B8">
              <w:t>.</w:t>
            </w:r>
          </w:p>
        </w:tc>
      </w:tr>
    </w:tbl>
    <w:p w14:paraId="401BAA6F" w14:textId="33C56FE7" w:rsidR="00FA0E50" w:rsidRDefault="00FA0E50" w:rsidP="00FA0E50">
      <w:pPr>
        <w:pStyle w:val="Caption"/>
      </w:pPr>
      <w:bookmarkStart w:id="444" w:name="_Ref1267253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92</w:t>
      </w:r>
      <w:r w:rsidR="004E20BD">
        <w:rPr>
          <w:noProof/>
        </w:rPr>
        <w:fldChar w:fldCharType="end"/>
      </w:r>
      <w:bookmarkEnd w:id="444"/>
      <w:r>
        <w:t>: Accept Orders: Reject an Order</w:t>
      </w:r>
    </w:p>
    <w:p w14:paraId="00664523" w14:textId="7D42CED1" w:rsidR="00FA0E50" w:rsidRDefault="00C84A5E" w:rsidP="00FA0E50">
      <w:pPr>
        <w:pStyle w:val="BodyText"/>
      </w:pPr>
      <w:r>
        <w:rPr>
          <w:noProof/>
        </w:rPr>
        <w:drawing>
          <wp:inline distT="0" distB="0" distL="0" distR="0" wp14:anchorId="47BBBEB4" wp14:editId="4C3C8F8F">
            <wp:extent cx="5943600" cy="3028950"/>
            <wp:effectExtent l="0" t="0" r="0" b="0"/>
            <wp:docPr id="193" name="Picture 193" descr="Example of Accept Orders: Accept an Orde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Example of Accept Orders: Accept an Order screen captur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3600" cy="3028950"/>
                    </a:xfrm>
                    <a:prstGeom prst="rect">
                      <a:avLst/>
                    </a:prstGeom>
                    <a:noFill/>
                    <a:ln>
                      <a:noFill/>
                    </a:ln>
                  </pic:spPr>
                </pic:pic>
              </a:graphicData>
            </a:graphic>
          </wp:inline>
        </w:drawing>
      </w:r>
    </w:p>
    <w:p w14:paraId="6E76F6E6" w14:textId="77777777" w:rsidR="002A21AE" w:rsidRDefault="002A21AE">
      <w:pPr>
        <w:pStyle w:val="Heading2"/>
      </w:pPr>
      <w:r>
        <w:br w:type="page"/>
      </w:r>
      <w:bookmarkStart w:id="445" w:name="_Toc149064153"/>
      <w:r>
        <w:t>Order Reflex Tests</w:t>
      </w:r>
      <w:bookmarkEnd w:id="442"/>
      <w:bookmarkEnd w:id="445"/>
      <w:r>
        <w:fldChar w:fldCharType="begin"/>
      </w:r>
      <w:r>
        <w:instrText xml:space="preserve"> XE </w:instrText>
      </w:r>
      <w:r w:rsidR="00FA7E65">
        <w:instrText>“</w:instrText>
      </w:r>
      <w:r>
        <w:instrText>Order Reflex Tests</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UC_45</w:t>
      </w:r>
    </w:p>
    <w:p w14:paraId="64EAD5AE" w14:textId="77777777" w:rsidR="002A21AE" w:rsidRDefault="002A21AE" w:rsidP="00FA7E65">
      <w:pPr>
        <w:pStyle w:val="BodyText"/>
      </w:pPr>
      <w:r>
        <w:t>The user may order additional blood bank tests for a complete or incomplete accepted patient specimen to add to the Pending Task List (PTL). The ordered test or test group limits the type of reflex and repeat test order that may be associated with a specimen.</w:t>
      </w:r>
    </w:p>
    <w:p w14:paraId="201473AB" w14:textId="77777777" w:rsidR="002A21AE" w:rsidRDefault="002A21AE">
      <w:pPr>
        <w:pStyle w:val="Heading4"/>
      </w:pPr>
      <w:r>
        <w:t>Assumptions</w:t>
      </w:r>
    </w:p>
    <w:p w14:paraId="4BA61979" w14:textId="77777777" w:rsidR="002A21AE" w:rsidRDefault="002A21AE">
      <w:pPr>
        <w:pStyle w:val="ListBullet"/>
      </w:pPr>
      <w:r>
        <w:t>A patient’s test result requires further investigation or repetition of a diagnostic test.</w:t>
      </w:r>
    </w:p>
    <w:p w14:paraId="3E2C1332" w14:textId="77777777" w:rsidR="002A21AE" w:rsidRDefault="002A21AE">
      <w:pPr>
        <w:pStyle w:val="Heading4"/>
      </w:pPr>
      <w:r>
        <w:t>Outcome</w:t>
      </w:r>
    </w:p>
    <w:p w14:paraId="3BE92FA5" w14:textId="77777777" w:rsidR="002A21AE" w:rsidRDefault="002A21AE">
      <w:pPr>
        <w:pStyle w:val="ListBullet"/>
      </w:pPr>
      <w:r>
        <w:rPr>
          <w:rFonts w:ascii="Arial" w:hAnsi="Arial" w:cs="Arial"/>
          <w:vanish/>
          <w:spacing w:val="0"/>
          <w:sz w:val="18"/>
        </w:rPr>
        <w:t xml:space="preserve">BR_45.05 </w:t>
      </w:r>
      <w:r>
        <w:t>One or more reflex orders are in the PTL with a “routine” urgency.</w:t>
      </w:r>
    </w:p>
    <w:p w14:paraId="7BD5958B" w14:textId="77777777" w:rsidR="002A21AE" w:rsidRDefault="002A21AE">
      <w:pPr>
        <w:pStyle w:val="Heading4"/>
      </w:pPr>
      <w:r>
        <w:t>Limitations and Restrictions</w:t>
      </w:r>
    </w:p>
    <w:p w14:paraId="4BD6F613" w14:textId="77777777" w:rsidR="002A21AE" w:rsidRDefault="002A21AE">
      <w:pPr>
        <w:pStyle w:val="ListBullet"/>
      </w:pPr>
      <w:r w:rsidRPr="00FE7547">
        <w:rPr>
          <w:rFonts w:ascii="Arial" w:hAnsi="Arial" w:cs="Arial"/>
          <w:vanish/>
          <w:spacing w:val="0"/>
          <w:sz w:val="18"/>
        </w:rPr>
        <w:t>BR_45.10</w:t>
      </w:r>
      <w:r>
        <w:rPr>
          <w:rFonts w:ascii="Arial" w:hAnsi="Arial" w:cs="Arial"/>
          <w:vanish/>
          <w:spacing w:val="0"/>
          <w:sz w:val="18"/>
        </w:rPr>
        <w:t xml:space="preserve"> </w:t>
      </w:r>
      <w:r>
        <w:t xml:space="preserve">A crossmatch (XM) and a repeat </w:t>
      </w:r>
      <w:r w:rsidR="004D7585">
        <w:t>XM</w:t>
      </w:r>
      <w:r>
        <w:t xml:space="preserve"> cannot be ordered unless they are associated with a specimen with a future expiration date and a phlebotomist is associated with that specimen.</w:t>
      </w:r>
    </w:p>
    <w:p w14:paraId="10AB050E" w14:textId="420AE545" w:rsidR="002A21AE" w:rsidRDefault="002A21AE">
      <w:pPr>
        <w:pStyle w:val="ListBullet"/>
      </w:pPr>
      <w:r>
        <w:rPr>
          <w:rFonts w:ascii="Arial" w:hAnsi="Arial" w:cs="Arial"/>
          <w:vanish/>
          <w:spacing w:val="0"/>
          <w:sz w:val="18"/>
        </w:rPr>
        <w:t xml:space="preserve">BR_98.02 </w:t>
      </w:r>
      <w:r>
        <w:t>When a user selects weak D for the antigen typing test and the selected patient is Rh positive, VBECS warns that weak D testing cannot be performed</w:t>
      </w:r>
      <w:r w:rsidR="00501F92">
        <w:t xml:space="preserve"> (See</w:t>
      </w:r>
      <w:r w:rsidR="009913C5">
        <w:t xml:space="preserve"> FAQ Weak D Policy)</w:t>
      </w:r>
      <w:r>
        <w:t>. There is no override and VBECS does not add the test.</w:t>
      </w:r>
    </w:p>
    <w:p w14:paraId="0BEDAEE0" w14:textId="77777777" w:rsidR="002A21AE" w:rsidRDefault="002A21AE">
      <w:pPr>
        <w:pStyle w:val="Heading4"/>
      </w:pPr>
      <w:r>
        <w:t>Additional Information</w:t>
      </w:r>
    </w:p>
    <w:p w14:paraId="385A711C" w14:textId="77777777" w:rsidR="002A21AE" w:rsidRDefault="002A21AE">
      <w:pPr>
        <w:pStyle w:val="ListBullet"/>
      </w:pPr>
      <w:r>
        <w:t>Unlimited repeat tests may be ordered and completed, but are not available to CPRS or to billing.</w:t>
      </w:r>
    </w:p>
    <w:p w14:paraId="00B21FAF" w14:textId="77777777" w:rsidR="002A21AE" w:rsidRDefault="002A21AE">
      <w:pPr>
        <w:pStyle w:val="Heading4"/>
      </w:pPr>
      <w:r>
        <w:t>User Roles with Access to This Option</w:t>
      </w:r>
    </w:p>
    <w:p w14:paraId="4C762E40" w14:textId="77777777" w:rsidR="002A21AE" w:rsidRDefault="006E4031">
      <w:pPr>
        <w:pStyle w:val="Roles"/>
        <w:rPr>
          <w:snapToGrid w:val="0"/>
        </w:rPr>
      </w:pPr>
      <w:r>
        <w:t>All users</w:t>
      </w:r>
    </w:p>
    <w:bookmarkEnd w:id="443"/>
    <w:p w14:paraId="6CD9377F" w14:textId="77777777" w:rsidR="002A21AE" w:rsidRDefault="002A21AE">
      <w:pPr>
        <w:pStyle w:val="Heading4"/>
      </w:pPr>
      <w:r>
        <w:t>Order Reflex Tests</w:t>
      </w:r>
    </w:p>
    <w:p w14:paraId="6432FE2B" w14:textId="77777777" w:rsidR="002A21AE" w:rsidRDefault="002A21AE" w:rsidP="00FA7E65">
      <w:pPr>
        <w:pStyle w:val="BodyText"/>
      </w:pPr>
      <w:r>
        <w:t xml:space="preserve">The user orders additional blood bank tests for a patient specimen that was already accepted and that may or may not be completed. The ordered reflex test(s) are added to the PTL.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3787A16" w14:textId="77777777">
        <w:trPr>
          <w:tblHeader/>
        </w:trPr>
        <w:tc>
          <w:tcPr>
            <w:tcW w:w="3240" w:type="dxa"/>
            <w:shd w:val="pct30" w:color="auto" w:fill="FFFFFF"/>
            <w:vAlign w:val="bottom"/>
          </w:tcPr>
          <w:p w14:paraId="134D9B5B" w14:textId="77777777" w:rsidR="002A21AE" w:rsidRDefault="002A21AE">
            <w:pPr>
              <w:pStyle w:val="TableText"/>
              <w:rPr>
                <w:b/>
              </w:rPr>
            </w:pPr>
            <w:r>
              <w:rPr>
                <w:b/>
              </w:rPr>
              <w:t>User Action</w:t>
            </w:r>
          </w:p>
        </w:tc>
        <w:tc>
          <w:tcPr>
            <w:tcW w:w="6120" w:type="dxa"/>
            <w:shd w:val="pct30" w:color="auto" w:fill="FFFFFF"/>
            <w:vAlign w:val="bottom"/>
          </w:tcPr>
          <w:p w14:paraId="234D9C78" w14:textId="77777777" w:rsidR="002A21AE" w:rsidRDefault="002A21AE">
            <w:pPr>
              <w:pStyle w:val="TableText"/>
              <w:rPr>
                <w:b/>
              </w:rPr>
            </w:pPr>
            <w:r>
              <w:rPr>
                <w:b/>
              </w:rPr>
              <w:t>VBECS</w:t>
            </w:r>
          </w:p>
        </w:tc>
      </w:tr>
      <w:tr w:rsidR="002A21AE" w14:paraId="135118D8" w14:textId="77777777">
        <w:tc>
          <w:tcPr>
            <w:tcW w:w="3240" w:type="dxa"/>
          </w:tcPr>
          <w:p w14:paraId="6FF09DAB" w14:textId="77777777" w:rsidR="002A21AE" w:rsidRDefault="002A21AE">
            <w:pPr>
              <w:pStyle w:val="TableTextNumbers"/>
            </w:pPr>
            <w:r>
              <w:t xml:space="preserve">Select </w:t>
            </w:r>
            <w:r>
              <w:rPr>
                <w:b/>
              </w:rPr>
              <w:t>Orders</w:t>
            </w:r>
            <w:r>
              <w:t xml:space="preserve"> from the main menu.</w:t>
            </w:r>
          </w:p>
          <w:p w14:paraId="7CDD96BD" w14:textId="77777777" w:rsidR="002A21AE" w:rsidRDefault="002A21AE">
            <w:pPr>
              <w:pStyle w:val="TableTextNumbersContinued"/>
            </w:pPr>
          </w:p>
          <w:p w14:paraId="5BECC6F8" w14:textId="77777777" w:rsidR="002A21AE" w:rsidRDefault="002A21AE">
            <w:pPr>
              <w:pStyle w:val="TableTextNumbersContinued"/>
            </w:pPr>
            <w:r>
              <w:t xml:space="preserve">Select </w:t>
            </w:r>
            <w:r>
              <w:rPr>
                <w:b/>
              </w:rPr>
              <w:t>Order Reflex Tests</w:t>
            </w:r>
            <w:r>
              <w:t>.</w:t>
            </w:r>
          </w:p>
        </w:tc>
        <w:tc>
          <w:tcPr>
            <w:tcW w:w="6120" w:type="dxa"/>
          </w:tcPr>
          <w:p w14:paraId="259A111B" w14:textId="77777777" w:rsidR="002A21AE" w:rsidRDefault="002A21AE">
            <w:pPr>
              <w:pStyle w:val="TableTextBullet"/>
            </w:pPr>
            <w:r>
              <w:t>Displays options for processing orders.</w:t>
            </w:r>
          </w:p>
          <w:p w14:paraId="228EF9B3" w14:textId="77777777" w:rsidR="002A21AE" w:rsidRDefault="002A21AE">
            <w:pPr>
              <w:pStyle w:val="TableTextBullet"/>
            </w:pPr>
            <w:r>
              <w:t>Displays specimen search criteria and search results.</w:t>
            </w:r>
          </w:p>
          <w:p w14:paraId="620E070A" w14:textId="77777777" w:rsidR="002A21AE" w:rsidRDefault="002A21AE">
            <w:pPr>
              <w:pStyle w:val="TableText"/>
            </w:pPr>
          </w:p>
          <w:p w14:paraId="4F31019E" w14:textId="7B6C2036" w:rsidR="002A21AE" w:rsidRDefault="002A21AE">
            <w:pPr>
              <w:pStyle w:val="TableText"/>
              <w:rPr>
                <w:b/>
                <w:bCs/>
                <w:szCs w:val="18"/>
              </w:rPr>
            </w:pPr>
            <w:r>
              <w:rPr>
                <w:b/>
                <w:bCs/>
                <w:szCs w:val="18"/>
              </w:rPr>
              <w:t>NOTES</w:t>
            </w:r>
          </w:p>
          <w:p w14:paraId="2617F553" w14:textId="77777777" w:rsidR="002A21AE" w:rsidRDefault="002A21AE">
            <w:pPr>
              <w:pStyle w:val="NotesText"/>
            </w:pPr>
          </w:p>
          <w:p w14:paraId="002B2C5A" w14:textId="77777777" w:rsidR="002A21AE" w:rsidRDefault="002A21AE">
            <w:pPr>
              <w:pStyle w:val="NotesText"/>
            </w:pPr>
            <w:r>
              <w:t xml:space="preserve">The user may also access Order Reflex Tests by clicking </w:t>
            </w:r>
            <w:r>
              <w:rPr>
                <w:b/>
                <w:bCs/>
              </w:rPr>
              <w:t>Order Reflex Tests</w:t>
            </w:r>
            <w:r>
              <w:t xml:space="preserve"> when executing Patient Testing or by </w:t>
            </w:r>
            <w:proofErr w:type="gramStart"/>
            <w:r>
              <w:t>right-clicking</w:t>
            </w:r>
            <w:proofErr w:type="gramEnd"/>
            <w:r>
              <w:t xml:space="preserve"> the testing grid that generates the reflexive order.</w:t>
            </w:r>
          </w:p>
        </w:tc>
      </w:tr>
      <w:tr w:rsidR="002A21AE" w14:paraId="35ED929A" w14:textId="77777777">
        <w:trPr>
          <w:trHeight w:val="512"/>
        </w:trPr>
        <w:tc>
          <w:tcPr>
            <w:tcW w:w="3240" w:type="dxa"/>
          </w:tcPr>
          <w:p w14:paraId="2932C707" w14:textId="77777777" w:rsidR="002A21AE" w:rsidRDefault="002A21AE">
            <w:pPr>
              <w:pStyle w:val="TableTextNumbers"/>
            </w:pPr>
            <w:r>
              <w:t>Enter the patient name and/or the specimen UID.</w:t>
            </w:r>
          </w:p>
          <w:p w14:paraId="1C0A0E00" w14:textId="77777777" w:rsidR="002A21AE" w:rsidRDefault="002A21AE">
            <w:pPr>
              <w:pStyle w:val="TableTextNumbersContinued"/>
            </w:pPr>
          </w:p>
          <w:p w14:paraId="48C7D35E" w14:textId="77777777" w:rsidR="002A21AE" w:rsidRDefault="002A21AE">
            <w:pPr>
              <w:pStyle w:val="TableTextNumbersContinued"/>
            </w:pPr>
            <w:r>
              <w:t xml:space="preserve">Click </w:t>
            </w:r>
            <w:r>
              <w:rPr>
                <w:b/>
              </w:rPr>
              <w:t>Search</w:t>
            </w:r>
            <w:r>
              <w:t>, if necessary.</w:t>
            </w:r>
          </w:p>
        </w:tc>
        <w:tc>
          <w:tcPr>
            <w:tcW w:w="6120" w:type="dxa"/>
          </w:tcPr>
          <w:p w14:paraId="35048DEC" w14:textId="77777777" w:rsidR="002A21AE" w:rsidRDefault="002A21AE">
            <w:pPr>
              <w:pStyle w:val="TableText"/>
            </w:pPr>
          </w:p>
          <w:p w14:paraId="0AC5693C" w14:textId="7E1CA828" w:rsidR="002A21AE" w:rsidRDefault="002A21AE">
            <w:pPr>
              <w:pStyle w:val="TableText"/>
              <w:rPr>
                <w:b/>
                <w:bCs/>
                <w:szCs w:val="18"/>
              </w:rPr>
            </w:pPr>
            <w:r>
              <w:rPr>
                <w:b/>
                <w:bCs/>
                <w:szCs w:val="18"/>
              </w:rPr>
              <w:t>NOTES</w:t>
            </w:r>
          </w:p>
          <w:p w14:paraId="5262D5BF" w14:textId="77777777" w:rsidR="002A21AE" w:rsidRDefault="002A21AE">
            <w:pPr>
              <w:pStyle w:val="NotesText"/>
            </w:pPr>
          </w:p>
          <w:p w14:paraId="34AEEE02" w14:textId="77777777" w:rsidR="002A21AE" w:rsidRDefault="002A21AE">
            <w:pPr>
              <w:pStyle w:val="NotesText"/>
            </w:pPr>
            <w:r>
              <w:rPr>
                <w:rFonts w:cs="Arial"/>
                <w:vanish/>
              </w:rPr>
              <w:t xml:space="preserve">BR_45.08 </w:t>
            </w:r>
            <w:r>
              <w:t>The user may identify specific specimen for reflex test ordering by scanning or by manual data entry of the UID on the specimen.</w:t>
            </w:r>
          </w:p>
        </w:tc>
      </w:tr>
      <w:tr w:rsidR="002A21AE" w14:paraId="6C0C74DA" w14:textId="77777777" w:rsidTr="00A94A90">
        <w:trPr>
          <w:cantSplit/>
        </w:trPr>
        <w:tc>
          <w:tcPr>
            <w:tcW w:w="3240" w:type="dxa"/>
          </w:tcPr>
          <w:p w14:paraId="761DE98C" w14:textId="77777777" w:rsidR="002A21AE" w:rsidRDefault="002A21AE">
            <w:pPr>
              <w:pStyle w:val="TableTextNumbers"/>
            </w:pPr>
            <w:r>
              <w:t xml:space="preserve">Select an item from Specimen Search Results. </w:t>
            </w:r>
          </w:p>
          <w:p w14:paraId="74958443" w14:textId="77777777" w:rsidR="002A21AE" w:rsidRDefault="002A21AE">
            <w:pPr>
              <w:pStyle w:val="TableTextNumbersContinued"/>
            </w:pPr>
          </w:p>
          <w:p w14:paraId="26FFE777" w14:textId="13E58FAF" w:rsidR="002A21AE" w:rsidRDefault="002A21AE">
            <w:pPr>
              <w:pStyle w:val="TableTextNumbersContinued"/>
            </w:pPr>
            <w:r>
              <w:t>Review the information in the Selected Patient Specimen area and in the Patient Details and Order Details tabs</w:t>
            </w:r>
            <w:r w:rsidR="00096F7A">
              <w:t xml:space="preserve"> (</w:t>
            </w:r>
            <w:r w:rsidR="00EE455E">
              <w:t xml:space="preserve">Figure </w:t>
            </w:r>
            <w:r w:rsidR="00EE455E">
              <w:rPr>
                <w:noProof/>
              </w:rPr>
              <w:t>93</w:t>
            </w:r>
            <w:r w:rsidR="00096F7A">
              <w:t>)</w:t>
            </w:r>
            <w:r>
              <w:t>.</w:t>
            </w:r>
          </w:p>
          <w:p w14:paraId="425F9413" w14:textId="77777777" w:rsidR="002A21AE" w:rsidRDefault="002A21AE">
            <w:pPr>
              <w:pStyle w:val="TableTextNumbersContinued"/>
            </w:pPr>
          </w:p>
          <w:p w14:paraId="67C0808E" w14:textId="77777777" w:rsidR="002A21AE" w:rsidRDefault="002A21AE">
            <w:pPr>
              <w:pStyle w:val="TableTextNumbersContinued"/>
            </w:pPr>
            <w:r>
              <w:t xml:space="preserve">Click </w:t>
            </w:r>
            <w:r>
              <w:rPr>
                <w:b/>
              </w:rPr>
              <w:t>OK</w:t>
            </w:r>
            <w:r>
              <w:t xml:space="preserve"> to accept the order.</w:t>
            </w:r>
          </w:p>
          <w:p w14:paraId="5F10B7C1" w14:textId="77777777" w:rsidR="002A21AE" w:rsidRDefault="002A21AE">
            <w:pPr>
              <w:pStyle w:val="TableTextNumbersContinued"/>
            </w:pPr>
          </w:p>
          <w:p w14:paraId="1F663DBC" w14:textId="77777777" w:rsidR="002A21AE" w:rsidRDefault="002A21AE">
            <w:pPr>
              <w:pStyle w:val="TableTextNumbersContinued"/>
            </w:pPr>
            <w:r>
              <w:t>Respond to messages, as required.</w:t>
            </w:r>
          </w:p>
        </w:tc>
        <w:tc>
          <w:tcPr>
            <w:tcW w:w="6120" w:type="dxa"/>
          </w:tcPr>
          <w:p w14:paraId="305B07E0" w14:textId="77777777" w:rsidR="002A21AE" w:rsidRDefault="002A21AE">
            <w:pPr>
              <w:pStyle w:val="TableTextBullet"/>
            </w:pPr>
            <w:r>
              <w:t xml:space="preserve">Displays an option to search for specimens currently available (in-date) for a patient by standard patient search conventions. </w:t>
            </w:r>
          </w:p>
          <w:p w14:paraId="2F49E728" w14:textId="77777777" w:rsidR="002A21AE" w:rsidRDefault="002A21AE">
            <w:pPr>
              <w:pStyle w:val="TableTextBullet"/>
            </w:pPr>
            <w:r>
              <w:t>Accommodates direct selection of a specimen by scanning or by entering a specimen UID.</w:t>
            </w:r>
          </w:p>
          <w:p w14:paraId="4135A7A6" w14:textId="77777777" w:rsidR="002A21AE" w:rsidRDefault="002A21AE">
            <w:pPr>
              <w:pStyle w:val="TableTextBullet"/>
            </w:pPr>
            <w:r>
              <w:rPr>
                <w:rFonts w:cs="Arial"/>
                <w:vanish/>
              </w:rPr>
              <w:t xml:space="preserve">BR_45.02 </w:t>
            </w:r>
            <w:r>
              <w:t>Displays available (in-date) patient specimens or orders in reverse chronological order within a date range defined by the site parameter. Only one patient specimen may have reflex tests added in one session. The expired and unacceptable specimens will follow.</w:t>
            </w:r>
          </w:p>
          <w:p w14:paraId="426D5509" w14:textId="77777777" w:rsidR="002A21AE" w:rsidRDefault="002A21AE">
            <w:pPr>
              <w:pStyle w:val="TableTextBullet"/>
            </w:pPr>
            <w:r>
              <w:t>Displays a message directing the user to complete Patient Testing when the selected test is not completed. User returns to Patient Testing.</w:t>
            </w:r>
          </w:p>
          <w:p w14:paraId="776409EA" w14:textId="77777777" w:rsidR="002A21AE" w:rsidRDefault="002A21AE">
            <w:pPr>
              <w:pStyle w:val="TableTextBullet"/>
            </w:pPr>
            <w:r>
              <w:t xml:space="preserve">Displays a message when </w:t>
            </w:r>
            <w:r w:rsidR="00E97883">
              <w:t xml:space="preserve">a </w:t>
            </w:r>
            <w:r>
              <w:t xml:space="preserve">specimen is expired or unacceptable. User may click </w:t>
            </w:r>
            <w:r>
              <w:rPr>
                <w:b/>
              </w:rPr>
              <w:t>Yes</w:t>
            </w:r>
            <w:r>
              <w:t xml:space="preserve"> to continue with the order or </w:t>
            </w:r>
            <w:r>
              <w:rPr>
                <w:b/>
              </w:rPr>
              <w:t>No</w:t>
            </w:r>
            <w:r>
              <w:t xml:space="preserve"> to </w:t>
            </w:r>
            <w:r w:rsidR="00E97883">
              <w:t>select or request another specimen, as appropriate</w:t>
            </w:r>
            <w:r>
              <w:t>.</w:t>
            </w:r>
          </w:p>
          <w:p w14:paraId="53DD596E" w14:textId="77777777" w:rsidR="002A21AE" w:rsidRDefault="002A21AE">
            <w:pPr>
              <w:pStyle w:val="TableTextBullet"/>
            </w:pPr>
            <w:r>
              <w:rPr>
                <w:rFonts w:cs="Arial"/>
                <w:vanish/>
              </w:rPr>
              <w:t xml:space="preserve">BR_45.03 </w:t>
            </w:r>
            <w:r>
              <w:t>Displays the date/time/division of the specimen collection when selecting a specimen for ordering reflex tests.</w:t>
            </w:r>
          </w:p>
          <w:p w14:paraId="6DBCC1E0" w14:textId="77777777" w:rsidR="002A21AE" w:rsidRDefault="002A21AE">
            <w:pPr>
              <w:pStyle w:val="TableText"/>
            </w:pPr>
          </w:p>
          <w:p w14:paraId="7D66A44F" w14:textId="2C6C0024" w:rsidR="002A21AE" w:rsidRDefault="002A21AE">
            <w:pPr>
              <w:pStyle w:val="TableText"/>
              <w:rPr>
                <w:b/>
                <w:bCs/>
                <w:szCs w:val="18"/>
              </w:rPr>
            </w:pPr>
            <w:r>
              <w:rPr>
                <w:b/>
                <w:bCs/>
                <w:szCs w:val="18"/>
              </w:rPr>
              <w:t>NOTES</w:t>
            </w:r>
          </w:p>
          <w:p w14:paraId="65BA674E" w14:textId="77777777" w:rsidR="002A21AE" w:rsidRDefault="002A21AE">
            <w:pPr>
              <w:pStyle w:val="NotesText"/>
            </w:pPr>
          </w:p>
          <w:p w14:paraId="3B19F7DF" w14:textId="77777777" w:rsidR="002A21AE" w:rsidRDefault="002A21AE">
            <w:pPr>
              <w:pStyle w:val="NotesText"/>
              <w:rPr>
                <w:vanish/>
                <w:szCs w:val="18"/>
              </w:rPr>
            </w:pPr>
            <w:r>
              <w:rPr>
                <w:rFonts w:cs="Arial"/>
                <w:vanish/>
              </w:rPr>
              <w:t>BR_45.04</w:t>
            </w:r>
            <w:r w:rsidR="004D3195" w:rsidRPr="002C3287">
              <w:rPr>
                <w:rStyle w:val="BullhornChar"/>
              </w:rPr>
              <w:t></w:t>
            </w:r>
            <w:r w:rsidR="004D3195">
              <w:rPr>
                <w:rFonts w:ascii="Webdings" w:hAnsi="Webdings"/>
              </w:rPr>
              <w:t></w:t>
            </w:r>
            <w:r>
              <w:t xml:space="preserve">VBECS emits an audible alert, warns that the specimen is expired, and instructs the user to enter </w:t>
            </w:r>
            <w:r w:rsidR="005C7E5F">
              <w:t xml:space="preserve">a </w:t>
            </w:r>
            <w:r>
              <w:t xml:space="preserve">comment to continue. When a user enters or scans an expired specimen. VBECS requires a comment and captures details for inclusion in an Exception Report (exception type: reflex test ordered on an expired specimen). </w:t>
            </w:r>
          </w:p>
          <w:p w14:paraId="6E470C5C" w14:textId="77777777" w:rsidR="002A21AE" w:rsidRDefault="002A21AE">
            <w:pPr>
              <w:pStyle w:val="NotesText"/>
              <w:ind w:left="0"/>
              <w:rPr>
                <w:vanish/>
                <w:szCs w:val="18"/>
              </w:rPr>
            </w:pPr>
          </w:p>
          <w:p w14:paraId="36B22A45" w14:textId="77777777" w:rsidR="002A21AE" w:rsidRDefault="002A21AE">
            <w:pPr>
              <w:pStyle w:val="NotesText"/>
            </w:pPr>
            <w:r>
              <w:rPr>
                <w:vanish/>
                <w:szCs w:val="18"/>
              </w:rPr>
              <w:t>PT_45.01 Orderable Reflex Tests</w:t>
            </w:r>
          </w:p>
        </w:tc>
      </w:tr>
      <w:tr w:rsidR="002A21AE" w14:paraId="690A44EA" w14:textId="77777777">
        <w:tc>
          <w:tcPr>
            <w:tcW w:w="3240" w:type="dxa"/>
          </w:tcPr>
          <w:p w14:paraId="34EBBC97" w14:textId="77777777" w:rsidR="002A21AE" w:rsidRDefault="002A21AE">
            <w:pPr>
              <w:pStyle w:val="TableTextNumbers"/>
            </w:pPr>
            <w:r>
              <w:t>When a specimen is already selected, go to Step 5.</w:t>
            </w:r>
          </w:p>
          <w:p w14:paraId="52AECE30" w14:textId="77777777" w:rsidR="002A21AE" w:rsidRDefault="002A21AE">
            <w:pPr>
              <w:pStyle w:val="TableTextNumbersContinued"/>
            </w:pPr>
          </w:p>
          <w:p w14:paraId="1728DF68" w14:textId="77777777" w:rsidR="002A21AE" w:rsidRDefault="002A21AE">
            <w:pPr>
              <w:pStyle w:val="TableTextNumbersContinued"/>
            </w:pPr>
            <w:r>
              <w:t xml:space="preserve">Select or enter a patient specimen that requires the additional test. </w:t>
            </w:r>
          </w:p>
        </w:tc>
        <w:tc>
          <w:tcPr>
            <w:tcW w:w="6120" w:type="dxa"/>
          </w:tcPr>
          <w:p w14:paraId="160F55B3" w14:textId="77777777" w:rsidR="002A21AE" w:rsidRDefault="002A21AE">
            <w:pPr>
              <w:pStyle w:val="TableTextBullet"/>
            </w:pPr>
            <w:r>
              <w:t xml:space="preserve">Displays all orders associated with a specimen that can be used to request reflex tests for an existing diagnostic test order within an order group. </w:t>
            </w:r>
          </w:p>
          <w:p w14:paraId="6557815A" w14:textId="77777777" w:rsidR="002A21AE" w:rsidRDefault="002A21AE">
            <w:pPr>
              <w:pStyle w:val="TableTextBullet"/>
            </w:pPr>
            <w:r>
              <w:t xml:space="preserve">Automatically associates the reflex test with the order when there is only one order associated with the specimen. </w:t>
            </w:r>
          </w:p>
        </w:tc>
      </w:tr>
      <w:tr w:rsidR="002A21AE" w14:paraId="0BC7AE28" w14:textId="77777777">
        <w:tc>
          <w:tcPr>
            <w:tcW w:w="3240" w:type="dxa"/>
          </w:tcPr>
          <w:p w14:paraId="4A02C270" w14:textId="77777777" w:rsidR="002A21AE" w:rsidRDefault="002A21AE">
            <w:pPr>
              <w:pStyle w:val="TableTextNumbers"/>
            </w:pPr>
            <w:r>
              <w:t>Click one or more check boxes to select reflex tests from the Order Reflex Test(s) list.</w:t>
            </w:r>
          </w:p>
        </w:tc>
        <w:tc>
          <w:tcPr>
            <w:tcW w:w="6120" w:type="dxa"/>
          </w:tcPr>
          <w:p w14:paraId="66EA1F12" w14:textId="77777777" w:rsidR="002A21AE" w:rsidRDefault="002A21AE">
            <w:pPr>
              <w:pStyle w:val="TableTextBullet"/>
            </w:pPr>
            <w:r>
              <w:t>Displays the selected tests for review.</w:t>
            </w:r>
          </w:p>
          <w:p w14:paraId="3EB6F451" w14:textId="77777777" w:rsidR="002A21AE" w:rsidRDefault="002A21AE">
            <w:pPr>
              <w:pStyle w:val="TableTextBullet"/>
            </w:pPr>
            <w:r>
              <w:t xml:space="preserve">Allows the user to select or to deselect reflex tests. </w:t>
            </w:r>
          </w:p>
        </w:tc>
      </w:tr>
      <w:tr w:rsidR="002A21AE" w14:paraId="609C92C2" w14:textId="77777777">
        <w:tc>
          <w:tcPr>
            <w:tcW w:w="3240" w:type="dxa"/>
          </w:tcPr>
          <w:p w14:paraId="0670E922" w14:textId="77777777" w:rsidR="002A21AE" w:rsidRDefault="002A21AE">
            <w:pPr>
              <w:pStyle w:val="TableTextNumbers"/>
            </w:pPr>
            <w:r>
              <w:t xml:space="preserve">Click </w:t>
            </w:r>
            <w:r>
              <w:rPr>
                <w:b/>
              </w:rPr>
              <w:t>OK</w:t>
            </w:r>
            <w:r>
              <w:t xml:space="preserve"> to save and exit.</w:t>
            </w:r>
          </w:p>
          <w:p w14:paraId="34AC8476" w14:textId="77777777" w:rsidR="002A21AE" w:rsidRDefault="002A21AE">
            <w:pPr>
              <w:pStyle w:val="TableTextNumbersContinued"/>
            </w:pPr>
          </w:p>
          <w:p w14:paraId="596264CE" w14:textId="77777777" w:rsidR="002A21AE" w:rsidRDefault="002A21AE">
            <w:pPr>
              <w:pStyle w:val="TableTextNumbersContinued"/>
            </w:pPr>
            <w:r>
              <w:t xml:space="preserve">Enter a comment, if required. cancellation.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2EC206AF" w14:textId="77777777" w:rsidR="002A21AE" w:rsidRDefault="002A21AE">
            <w:pPr>
              <w:pStyle w:val="TableTextBullet"/>
            </w:pPr>
            <w:r>
              <w:t>Adds the ordered patient reflex tests to the PTL.</w:t>
            </w:r>
          </w:p>
          <w:p w14:paraId="648724DD" w14:textId="77777777" w:rsidR="002A21AE" w:rsidRDefault="002A21AE">
            <w:pPr>
              <w:pStyle w:val="TableText"/>
            </w:pPr>
          </w:p>
          <w:p w14:paraId="2F9E2274" w14:textId="77777777" w:rsidR="002A21AE" w:rsidRDefault="002A21AE">
            <w:pPr>
              <w:pStyle w:val="TableText"/>
            </w:pPr>
          </w:p>
        </w:tc>
      </w:tr>
    </w:tbl>
    <w:p w14:paraId="71B6F56A" w14:textId="14095E7B" w:rsidR="00096F7A" w:rsidRDefault="00096F7A" w:rsidP="00096F7A">
      <w:pPr>
        <w:pStyle w:val="Caption"/>
      </w:pPr>
      <w:bookmarkStart w:id="446" w:name="_Ref126725596"/>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93</w:t>
      </w:r>
      <w:r w:rsidR="004E20BD">
        <w:rPr>
          <w:noProof/>
        </w:rPr>
        <w:fldChar w:fldCharType="end"/>
      </w:r>
      <w:bookmarkEnd w:id="446"/>
      <w:r>
        <w:t>: Order Reflex Test(s)</w:t>
      </w:r>
    </w:p>
    <w:p w14:paraId="12F1D4A7" w14:textId="77777777" w:rsidR="00C70194" w:rsidRDefault="00057948" w:rsidP="00096F7A">
      <w:pPr>
        <w:pStyle w:val="BodyText"/>
      </w:pPr>
      <w:r>
        <w:rPr>
          <w:noProof/>
        </w:rPr>
        <w:drawing>
          <wp:inline distT="0" distB="0" distL="0" distR="0" wp14:anchorId="0C68FE9A" wp14:editId="5057B1A8">
            <wp:extent cx="5939155" cy="4331970"/>
            <wp:effectExtent l="0" t="0" r="4445" b="0"/>
            <wp:docPr id="227" name="Picture 227" descr="Example of Order Reflex Tes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Example of Order Reflex Test(s) screen captur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39155" cy="4331970"/>
                    </a:xfrm>
                    <a:prstGeom prst="rect">
                      <a:avLst/>
                    </a:prstGeom>
                    <a:noFill/>
                    <a:ln>
                      <a:noFill/>
                    </a:ln>
                  </pic:spPr>
                </pic:pic>
              </a:graphicData>
            </a:graphic>
          </wp:inline>
        </w:drawing>
      </w:r>
    </w:p>
    <w:p w14:paraId="2864507E" w14:textId="77777777" w:rsidR="002A21AE" w:rsidRPr="00701E2A" w:rsidRDefault="00701E2A" w:rsidP="00701E2A">
      <w:pPr>
        <w:pStyle w:val="Heading1"/>
      </w:pPr>
      <w:r>
        <w:br w:type="page"/>
      </w:r>
      <w:bookmarkStart w:id="447" w:name="_Toc149064154"/>
      <w:r w:rsidR="002A21AE" w:rsidRPr="00701E2A">
        <w:t>Patient Services</w:t>
      </w:r>
      <w:bookmarkEnd w:id="447"/>
      <w:r w:rsidR="002A21AE" w:rsidRPr="00701E2A">
        <w:fldChar w:fldCharType="begin"/>
      </w:r>
      <w:r w:rsidR="002A21AE" w:rsidRPr="00701E2A">
        <w:instrText xml:space="preserve"> XE </w:instrText>
      </w:r>
      <w:r w:rsidR="00FA7E65" w:rsidRPr="00701E2A">
        <w:instrText>“</w:instrText>
      </w:r>
      <w:r w:rsidR="002A21AE" w:rsidRPr="00701E2A">
        <w:instrText>Patient Services</w:instrText>
      </w:r>
      <w:r w:rsidR="00FA7E65" w:rsidRPr="00701E2A">
        <w:instrText>”</w:instrText>
      </w:r>
      <w:r w:rsidR="002A21AE" w:rsidRPr="00701E2A">
        <w:instrText xml:space="preserve"> </w:instrText>
      </w:r>
      <w:r w:rsidR="002A21AE" w:rsidRPr="00701E2A">
        <w:fldChar w:fldCharType="end"/>
      </w:r>
    </w:p>
    <w:p w14:paraId="2B70B92F" w14:textId="77777777" w:rsidR="002A21AE" w:rsidRPr="00E309DC" w:rsidRDefault="002A21AE" w:rsidP="00AE23F9">
      <w:pPr>
        <w:pStyle w:val="Heading2"/>
        <w:rPr>
          <w:b w:val="0"/>
          <w:bCs w:val="0"/>
          <w:i w:val="0"/>
          <w:iCs w:val="0"/>
          <w:sz w:val="20"/>
        </w:rPr>
      </w:pPr>
      <w:bookmarkStart w:id="448" w:name="_Toc149064155"/>
      <w:r w:rsidRPr="00AE23F9">
        <w:t xml:space="preserve">Patient </w:t>
      </w:r>
      <w:r w:rsidR="00045ED7" w:rsidRPr="00AE23F9">
        <w:t>Search Screen</w:t>
      </w:r>
      <w:bookmarkEnd w:id="448"/>
      <w:r>
        <w:fldChar w:fldCharType="begin"/>
      </w:r>
      <w:r>
        <w:instrText xml:space="preserve"> XE </w:instrText>
      </w:r>
      <w:r w:rsidR="00FA7E65">
        <w:instrText>“</w:instrText>
      </w:r>
      <w:r>
        <w:instrText>Patient Se</w:instrText>
      </w:r>
      <w:r w:rsidR="00045ED7">
        <w:instrText>arch Screen</w:instrText>
      </w:r>
      <w:r w:rsidR="00FA7E65">
        <w:instrText>”</w:instrText>
      </w:r>
      <w:r>
        <w:instrText xml:space="preserve"> </w:instrText>
      </w:r>
      <w:r>
        <w:fldChar w:fldCharType="end"/>
      </w:r>
      <w:r w:rsidR="00AE23F9">
        <w:t xml:space="preserve"> </w:t>
      </w:r>
      <w:r w:rsidR="00AE23F9" w:rsidRPr="00AE23F9">
        <w:rPr>
          <w:rFonts w:ascii="Times New Roman" w:hAnsi="Times New Roman" w:cs="Times New Roman"/>
          <w:b w:val="0"/>
          <w:i w:val="0"/>
          <w:vanish/>
          <w:sz w:val="22"/>
        </w:rPr>
        <w:t>UC_113</w:t>
      </w:r>
    </w:p>
    <w:p w14:paraId="1E7CF786" w14:textId="77777777" w:rsidR="007D7738" w:rsidRDefault="007D7738" w:rsidP="007D7738">
      <w:pPr>
        <w:pStyle w:val="BodyText"/>
      </w:pPr>
      <w:r>
        <w:t>VBECS display</w:t>
      </w:r>
      <w:r w:rsidR="00F6243D">
        <w:t xml:space="preserve">s the Patient Search screen to search for a specific patient </w:t>
      </w:r>
      <w:r w:rsidR="000D4240">
        <w:t>in</w:t>
      </w:r>
      <w:r w:rsidR="00F6243D">
        <w:t xml:space="preserve"> VBECS</w:t>
      </w:r>
      <w:r>
        <w:t>.</w:t>
      </w:r>
      <w:r w:rsidR="00A537E6">
        <w:t xml:space="preserve"> </w:t>
      </w:r>
    </w:p>
    <w:p w14:paraId="3B30930A" w14:textId="77777777" w:rsidR="00AE23F9" w:rsidRDefault="00AE23F9" w:rsidP="00AE23F9">
      <w:pPr>
        <w:pStyle w:val="Heading4"/>
      </w:pPr>
      <w:r>
        <w:t>Assumptions</w:t>
      </w:r>
    </w:p>
    <w:p w14:paraId="5185CBC9" w14:textId="77777777" w:rsidR="00AE23F9" w:rsidRDefault="00B44B37" w:rsidP="00AE23F9">
      <w:pPr>
        <w:pStyle w:val="ListBullet"/>
      </w:pPr>
      <w:r>
        <w:t>The patient record exists in VBECS with the exception of specific searches that return patient information from VistA.</w:t>
      </w:r>
      <w:r w:rsidR="00E309DC">
        <w:t xml:space="preserve"> For the Edit Unit Information, Incoming Shipment, and Document ABO Incompatible Transfusion options, VBECS searches VistA.</w:t>
      </w:r>
    </w:p>
    <w:p w14:paraId="14E7C01B" w14:textId="77777777" w:rsidR="00AE23F9" w:rsidRDefault="00AE23F9" w:rsidP="00AE23F9">
      <w:pPr>
        <w:pStyle w:val="Heading4"/>
      </w:pPr>
      <w:r>
        <w:t>Outcome</w:t>
      </w:r>
    </w:p>
    <w:p w14:paraId="19C1765F" w14:textId="77777777" w:rsidR="00AE23F9" w:rsidRDefault="00B44B37" w:rsidP="00AE23F9">
      <w:pPr>
        <w:pStyle w:val="ListBullet"/>
      </w:pPr>
      <w:r>
        <w:t>VBECS presents the user with a list of patients for selection based on their search input.</w:t>
      </w:r>
    </w:p>
    <w:p w14:paraId="2DE6D495" w14:textId="77777777" w:rsidR="00AE23F9" w:rsidRDefault="00AE23F9" w:rsidP="00AE23F9">
      <w:pPr>
        <w:pStyle w:val="Heading4"/>
      </w:pPr>
      <w:r>
        <w:t>Limitations and Restrictions</w:t>
      </w:r>
    </w:p>
    <w:p w14:paraId="0B762934" w14:textId="4E95F36A" w:rsidR="00AE23F9" w:rsidRDefault="00092DC9" w:rsidP="00AE23F9">
      <w:pPr>
        <w:pStyle w:val="ListBullet"/>
      </w:pPr>
      <w:r>
        <w:t>VBECS updates information from VistA File #2, not VistA File #20. Name changes made in VistA File #20 will not appear in VBECS. Align File #2 with those changes to update VBECS</w:t>
      </w:r>
      <w:r w:rsidR="00AE23F9" w:rsidRPr="00AE23F9">
        <w:t>.</w:t>
      </w:r>
      <w:r w:rsidR="00555EA2" w:rsidRPr="00555EA2">
        <w:rPr>
          <w:vanish/>
        </w:rPr>
        <w:t xml:space="preserve"> Task 585891</w:t>
      </w:r>
    </w:p>
    <w:p w14:paraId="0DB50EFD" w14:textId="1D88C63F" w:rsidR="00485C85" w:rsidRDefault="001E4C3C" w:rsidP="00AE23F9">
      <w:pPr>
        <w:pStyle w:val="ListBullet"/>
      </w:pPr>
      <w:r>
        <w:t xml:space="preserve">Searching for non-alphanumeric characters (e.g., hyphens, etc.) </w:t>
      </w:r>
      <w:r w:rsidR="00511276">
        <w:t>is not supported</w:t>
      </w:r>
      <w:r>
        <w:t>.</w:t>
      </w:r>
      <w:r w:rsidR="00797183">
        <w:t xml:space="preserve"> </w:t>
      </w:r>
      <w:r w:rsidR="00797183" w:rsidRPr="00797183">
        <w:rPr>
          <w:vanish/>
        </w:rPr>
        <w:t>Defect 209859</w:t>
      </w:r>
    </w:p>
    <w:p w14:paraId="3941FC3E" w14:textId="05E25B48" w:rsidR="00485C85" w:rsidRPr="00696FA6" w:rsidRDefault="00485C85" w:rsidP="00485C85">
      <w:pPr>
        <w:pStyle w:val="ListBullet"/>
      </w:pPr>
      <w:r w:rsidRPr="00696FA6">
        <w:t xml:space="preserve">Data retrieval from VBECS is </w:t>
      </w:r>
      <w:r>
        <w:t xml:space="preserve">only </w:t>
      </w:r>
      <w:r w:rsidRPr="00696FA6">
        <w:t xml:space="preserve">available </w:t>
      </w:r>
      <w:r>
        <w:t>with project approval.</w:t>
      </w:r>
      <w:r w:rsidR="00797183">
        <w:t xml:space="preserve"> </w:t>
      </w:r>
      <w:r w:rsidR="00797183" w:rsidRPr="00797183">
        <w:rPr>
          <w:vanish/>
        </w:rPr>
        <w:t>Task 190402</w:t>
      </w:r>
    </w:p>
    <w:p w14:paraId="4F1777E5" w14:textId="77777777" w:rsidR="00AE23F9" w:rsidRDefault="00AE23F9" w:rsidP="00AE23F9">
      <w:pPr>
        <w:pStyle w:val="Heading4"/>
      </w:pPr>
      <w:r>
        <w:t>Additional Information</w:t>
      </w:r>
    </w:p>
    <w:p w14:paraId="525F7B62" w14:textId="77777777" w:rsidR="00AE23F9" w:rsidRDefault="009A78E5" w:rsidP="00AE23F9">
      <w:pPr>
        <w:pStyle w:val="ListBullet"/>
      </w:pPr>
      <w:r>
        <w:t>The Patient Search Screen is used by options throughout VBECS to select patients.</w:t>
      </w:r>
    </w:p>
    <w:p w14:paraId="7D6B73FE" w14:textId="77777777" w:rsidR="00AE23F9" w:rsidRDefault="00AE23F9" w:rsidP="00AE23F9">
      <w:pPr>
        <w:pStyle w:val="Heading4"/>
      </w:pPr>
      <w:r>
        <w:t>User Roles with Access to This Option</w:t>
      </w:r>
    </w:p>
    <w:p w14:paraId="1E4DC38C" w14:textId="77777777" w:rsidR="00AE23F9" w:rsidRDefault="00AE23F9" w:rsidP="00AE23F9">
      <w:pPr>
        <w:pStyle w:val="Roles"/>
      </w:pPr>
      <w:r>
        <w:t>All users</w:t>
      </w:r>
    </w:p>
    <w:p w14:paraId="28539778" w14:textId="77777777" w:rsidR="00AE23F9" w:rsidRDefault="00B173E0" w:rsidP="00AE23F9">
      <w:pPr>
        <w:pStyle w:val="Heading4"/>
      </w:pPr>
      <w:r>
        <w:t>Patient Search Screen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C664F" w14:paraId="6BFFD759" w14:textId="77777777">
        <w:trPr>
          <w:cantSplit/>
          <w:tblHeader/>
        </w:trPr>
        <w:tc>
          <w:tcPr>
            <w:tcW w:w="3240" w:type="dxa"/>
            <w:shd w:val="pct30" w:color="auto" w:fill="FFFFFF"/>
            <w:vAlign w:val="bottom"/>
          </w:tcPr>
          <w:p w14:paraId="29E6A69E" w14:textId="77777777" w:rsidR="00BC664F" w:rsidRDefault="00BC664F" w:rsidP="00601F55">
            <w:pPr>
              <w:pStyle w:val="TableText"/>
              <w:rPr>
                <w:b/>
              </w:rPr>
            </w:pPr>
            <w:r>
              <w:rPr>
                <w:b/>
              </w:rPr>
              <w:t>User Action</w:t>
            </w:r>
          </w:p>
        </w:tc>
        <w:tc>
          <w:tcPr>
            <w:tcW w:w="6120" w:type="dxa"/>
            <w:shd w:val="pct30" w:color="auto" w:fill="FFFFFF"/>
            <w:vAlign w:val="bottom"/>
          </w:tcPr>
          <w:p w14:paraId="1092D4F1" w14:textId="77777777" w:rsidR="00BC664F" w:rsidRDefault="00BC664F" w:rsidP="00601F55">
            <w:pPr>
              <w:pStyle w:val="TableText"/>
              <w:rPr>
                <w:b/>
              </w:rPr>
            </w:pPr>
            <w:r>
              <w:rPr>
                <w:b/>
              </w:rPr>
              <w:t>VBECS</w:t>
            </w:r>
          </w:p>
        </w:tc>
      </w:tr>
      <w:tr w:rsidR="006178E5" w14:paraId="2736E030" w14:textId="77777777">
        <w:tc>
          <w:tcPr>
            <w:tcW w:w="3240" w:type="dxa"/>
            <w:tcBorders>
              <w:top w:val="single" w:sz="4" w:space="0" w:color="auto"/>
              <w:left w:val="single" w:sz="4" w:space="0" w:color="auto"/>
              <w:bottom w:val="single" w:sz="4" w:space="0" w:color="auto"/>
              <w:right w:val="single" w:sz="4" w:space="0" w:color="auto"/>
            </w:tcBorders>
          </w:tcPr>
          <w:p w14:paraId="50F55B34" w14:textId="5244AC1B" w:rsidR="00323F55" w:rsidRDefault="00323F55" w:rsidP="008E012C">
            <w:pPr>
              <w:pStyle w:val="TableTextNumbers"/>
            </w:pPr>
            <w:r>
              <w:t xml:space="preserve">To </w:t>
            </w:r>
            <w:r w:rsidR="006129D0">
              <w:t>access the Patient Search screen, open on</w:t>
            </w:r>
            <w:r w:rsidR="00F26575">
              <w:t>e</w:t>
            </w:r>
            <w:r w:rsidR="006129D0">
              <w:t xml:space="preserve"> of the options listed in Notes. To </w:t>
            </w:r>
            <w:r w:rsidR="007554C5">
              <w:t>search for</w:t>
            </w:r>
            <w:r>
              <w:t xml:space="preserve"> a patient</w:t>
            </w:r>
            <w:r w:rsidR="008E012C">
              <w:t>, e</w:t>
            </w:r>
            <w:r>
              <w:t>nter the p</w:t>
            </w:r>
            <w:r w:rsidR="00DD4445">
              <w:t xml:space="preserve">atient’s </w:t>
            </w:r>
            <w:r w:rsidR="009310A7">
              <w:t xml:space="preserve">full </w:t>
            </w:r>
            <w:r w:rsidR="006178E5">
              <w:t>name</w:t>
            </w:r>
            <w:r w:rsidR="006C1277">
              <w:t xml:space="preserve"> (last name first) </w:t>
            </w:r>
            <w:r w:rsidR="006178E5">
              <w:t>or ID</w:t>
            </w:r>
            <w:r w:rsidR="00EE7A38">
              <w:t xml:space="preserve"> (</w:t>
            </w:r>
            <w:r w:rsidR="00EE455E">
              <w:t xml:space="preserve">Figure </w:t>
            </w:r>
            <w:r w:rsidR="00EE455E">
              <w:rPr>
                <w:noProof/>
              </w:rPr>
              <w:t>94</w:t>
            </w:r>
            <w:r w:rsidR="00EE7A38">
              <w:t>)</w:t>
            </w:r>
            <w:r>
              <w:t>,</w:t>
            </w:r>
            <w:r w:rsidR="00DD4445">
              <w:t xml:space="preserve"> </w:t>
            </w:r>
            <w:r w:rsidR="00D67ABB">
              <w:t>or</w:t>
            </w:r>
          </w:p>
          <w:p w14:paraId="6FB8CD0E" w14:textId="77777777" w:rsidR="008E012C" w:rsidRDefault="008E012C" w:rsidP="008E012C">
            <w:pPr>
              <w:pStyle w:val="TableTextNumbersContinued"/>
            </w:pPr>
          </w:p>
          <w:p w14:paraId="1F9F72E5" w14:textId="77777777" w:rsidR="007554C5" w:rsidRDefault="00323F55" w:rsidP="008E012C">
            <w:pPr>
              <w:pStyle w:val="TableTextNumbersContinued"/>
            </w:pPr>
            <w:r>
              <w:t>Enter the last four digits of the ID</w:t>
            </w:r>
            <w:r w:rsidR="00E133A1">
              <w:t xml:space="preserve">, </w:t>
            </w:r>
            <w:r w:rsidR="00D67ABB">
              <w:t xml:space="preserve">or </w:t>
            </w:r>
            <w:r>
              <w:t>the initial of the last name and the last four digits of the ID,</w:t>
            </w:r>
            <w:r w:rsidR="000A4886">
              <w:t xml:space="preserve"> </w:t>
            </w:r>
            <w:r w:rsidR="00D67ABB">
              <w:t>and c</w:t>
            </w:r>
            <w:r w:rsidR="000A4886">
              <w:t xml:space="preserve">lick </w:t>
            </w:r>
            <w:r w:rsidR="000A4886" w:rsidRPr="000A4886">
              <w:rPr>
                <w:b/>
              </w:rPr>
              <w:t>Search</w:t>
            </w:r>
            <w:r w:rsidR="000A4886">
              <w:t>.</w:t>
            </w:r>
          </w:p>
        </w:tc>
        <w:tc>
          <w:tcPr>
            <w:tcW w:w="6120" w:type="dxa"/>
            <w:tcBorders>
              <w:top w:val="single" w:sz="4" w:space="0" w:color="auto"/>
              <w:left w:val="single" w:sz="4" w:space="0" w:color="auto"/>
              <w:bottom w:val="single" w:sz="4" w:space="0" w:color="auto"/>
              <w:right w:val="single" w:sz="4" w:space="0" w:color="auto"/>
            </w:tcBorders>
          </w:tcPr>
          <w:p w14:paraId="430788BE" w14:textId="77777777" w:rsidR="006129D0" w:rsidRDefault="006129D0" w:rsidP="006178E5">
            <w:pPr>
              <w:pStyle w:val="TableTextBullet"/>
            </w:pPr>
            <w:r>
              <w:t>Displays the Patient Search screen.</w:t>
            </w:r>
          </w:p>
          <w:p w14:paraId="1315BACA" w14:textId="77777777" w:rsidR="006178E5" w:rsidRDefault="007554C5" w:rsidP="006178E5">
            <w:pPr>
              <w:pStyle w:val="TableTextBullet"/>
            </w:pPr>
            <w:r>
              <w:t>Lists patients that meet the search criteria.</w:t>
            </w:r>
          </w:p>
          <w:p w14:paraId="43ABA216" w14:textId="77777777" w:rsidR="006129D0" w:rsidRDefault="006129D0" w:rsidP="006129D0">
            <w:pPr>
              <w:pStyle w:val="TableText"/>
            </w:pPr>
          </w:p>
          <w:p w14:paraId="2A760381" w14:textId="464E376D" w:rsidR="006129D0" w:rsidRDefault="006129D0" w:rsidP="006129D0">
            <w:pPr>
              <w:pStyle w:val="TableText"/>
              <w:rPr>
                <w:b/>
                <w:bCs/>
                <w:szCs w:val="18"/>
              </w:rPr>
            </w:pPr>
            <w:r>
              <w:rPr>
                <w:b/>
                <w:bCs/>
                <w:szCs w:val="18"/>
              </w:rPr>
              <w:t>NOTES</w:t>
            </w:r>
          </w:p>
          <w:p w14:paraId="0C7139B8" w14:textId="77777777" w:rsidR="006129D0" w:rsidRDefault="006129D0" w:rsidP="006129D0">
            <w:pPr>
              <w:pStyle w:val="NotesText"/>
            </w:pPr>
          </w:p>
          <w:p w14:paraId="6EBFF0C1" w14:textId="77777777" w:rsidR="006129D0" w:rsidRPr="006129D0" w:rsidRDefault="006129D0" w:rsidP="006129D0">
            <w:pPr>
              <w:pStyle w:val="NotesText"/>
            </w:pPr>
            <w:r>
              <w:t xml:space="preserve">Options that allow the user to search for a patient: </w:t>
            </w:r>
          </w:p>
          <w:p w14:paraId="5483FCB2" w14:textId="77777777" w:rsidR="005125FD" w:rsidRDefault="006129D0" w:rsidP="005125FD">
            <w:pPr>
              <w:pStyle w:val="NotesTextBullet"/>
            </w:pPr>
            <w:r>
              <w:rPr>
                <w:b/>
              </w:rPr>
              <w:t xml:space="preserve">Blood Units </w:t>
            </w:r>
            <w:r w:rsidRPr="00AC51A5">
              <w:t xml:space="preserve">from the main menu. Select </w:t>
            </w:r>
            <w:r>
              <w:rPr>
                <w:b/>
              </w:rPr>
              <w:t xml:space="preserve">Edit Unit Information </w:t>
            </w:r>
            <w:r>
              <w:t>(for restricted units only)</w:t>
            </w:r>
            <w:r w:rsidRPr="00AC51A5">
              <w:t>.</w:t>
            </w:r>
          </w:p>
          <w:p w14:paraId="668217BF" w14:textId="77777777" w:rsidR="006129D0" w:rsidRDefault="006129D0" w:rsidP="005125FD">
            <w:pPr>
              <w:pStyle w:val="NotesTextBullet"/>
            </w:pPr>
            <w:r w:rsidRPr="00214097">
              <w:rPr>
                <w:b/>
              </w:rPr>
              <w:t>Patients</w:t>
            </w:r>
            <w:r>
              <w:t xml:space="preserve"> from the main menu. Select:</w:t>
            </w:r>
          </w:p>
          <w:p w14:paraId="27D5E77C" w14:textId="77777777" w:rsidR="006129D0" w:rsidRPr="00214097" w:rsidRDefault="006129D0" w:rsidP="00DE6289">
            <w:pPr>
              <w:pStyle w:val="NotesTextBullet1"/>
            </w:pPr>
            <w:r w:rsidRPr="00214097">
              <w:t>Recent Orders</w:t>
            </w:r>
          </w:p>
          <w:p w14:paraId="541E4581" w14:textId="77777777" w:rsidR="006129D0" w:rsidRPr="00214097" w:rsidRDefault="006129D0" w:rsidP="00DE6289">
            <w:pPr>
              <w:pStyle w:val="NotesTextBullet1"/>
            </w:pPr>
            <w:r w:rsidRPr="00214097">
              <w:t>Blood Availability</w:t>
            </w:r>
          </w:p>
          <w:p w14:paraId="285D4E51" w14:textId="77777777" w:rsidR="006129D0" w:rsidRDefault="006129D0" w:rsidP="00DE6289">
            <w:pPr>
              <w:pStyle w:val="NotesTextBullet1"/>
            </w:pPr>
            <w:r w:rsidRPr="00214097">
              <w:t xml:space="preserve">Recent Transfusions/Issued Units </w:t>
            </w:r>
          </w:p>
          <w:p w14:paraId="1E9234D9" w14:textId="77777777" w:rsidR="006129D0" w:rsidRDefault="006129D0" w:rsidP="00DE6289">
            <w:pPr>
              <w:pStyle w:val="NotesTextBullet1"/>
            </w:pPr>
            <w:r w:rsidRPr="00214097">
              <w:t>Patient Testing Worklist Report</w:t>
            </w:r>
          </w:p>
          <w:p w14:paraId="6A021DE1" w14:textId="77777777" w:rsidR="006129D0" w:rsidRPr="00214097" w:rsidRDefault="006129D0" w:rsidP="00DE6289">
            <w:pPr>
              <w:pStyle w:val="NotesTextBullet1"/>
            </w:pPr>
            <w:r w:rsidRPr="00214097">
              <w:t>Print Unit Caution Tag &amp; Transfusion Record Form</w:t>
            </w:r>
          </w:p>
          <w:p w14:paraId="6E4131A7" w14:textId="77777777" w:rsidR="006129D0" w:rsidRDefault="006129D0" w:rsidP="00DE6289">
            <w:pPr>
              <w:pStyle w:val="NotesTextBullet1"/>
            </w:pPr>
            <w:r>
              <w:t>Issue Blood Components</w:t>
            </w:r>
          </w:p>
          <w:p w14:paraId="561AC99B" w14:textId="77777777" w:rsidR="006129D0" w:rsidRDefault="006129D0" w:rsidP="00DE6289">
            <w:pPr>
              <w:pStyle w:val="NotesTextBullet1"/>
            </w:pPr>
            <w:r w:rsidRPr="00214097">
              <w:t>Post-Transfusion Information</w:t>
            </w:r>
          </w:p>
          <w:p w14:paraId="5CB5158D" w14:textId="0B285EF4" w:rsidR="006129D0" w:rsidRPr="00214097" w:rsidRDefault="006129D0" w:rsidP="00DE6289">
            <w:pPr>
              <w:pStyle w:val="NotesTextBullet1"/>
            </w:pPr>
            <w:r w:rsidRPr="00214097">
              <w:t>Return Issued Units To Blood Bank</w:t>
            </w:r>
            <w:r>
              <w:t>.</w:t>
            </w:r>
          </w:p>
          <w:p w14:paraId="2A089EB0" w14:textId="77777777" w:rsidR="006129D0" w:rsidRPr="00214097" w:rsidRDefault="006129D0" w:rsidP="00DE6289">
            <w:pPr>
              <w:pStyle w:val="NotesTextBullet1"/>
            </w:pPr>
            <w:r w:rsidRPr="00214097">
              <w:t xml:space="preserve">Special Instructions &amp; Transfusion Requirements </w:t>
            </w:r>
          </w:p>
          <w:p w14:paraId="27BC7EF6" w14:textId="77777777" w:rsidR="006129D0" w:rsidRPr="00214097" w:rsidRDefault="006129D0" w:rsidP="00DE6289">
            <w:pPr>
              <w:pStyle w:val="NotesTextBullet1"/>
            </w:pPr>
            <w:r>
              <w:t>Transfusion Reaction History</w:t>
            </w:r>
          </w:p>
          <w:p w14:paraId="055F5F9D" w14:textId="77777777" w:rsidR="006129D0" w:rsidRPr="00214097" w:rsidRDefault="006129D0" w:rsidP="00DE6289">
            <w:pPr>
              <w:pStyle w:val="NotesTextBullet1"/>
            </w:pPr>
            <w:r w:rsidRPr="00214097">
              <w:t>Patient History Report</w:t>
            </w:r>
          </w:p>
          <w:p w14:paraId="36E3BF03" w14:textId="77777777" w:rsidR="006129D0" w:rsidRDefault="006129D0" w:rsidP="005125FD">
            <w:pPr>
              <w:pStyle w:val="NotesTextBullet"/>
            </w:pPr>
            <w:r w:rsidRPr="00214097">
              <w:rPr>
                <w:b/>
              </w:rPr>
              <w:t>Shipments</w:t>
            </w:r>
            <w:r>
              <w:t xml:space="preserve"> from the main menu. Select </w:t>
            </w:r>
            <w:r w:rsidRPr="00214097">
              <w:rPr>
                <w:b/>
              </w:rPr>
              <w:t>Incoming Shipment</w:t>
            </w:r>
            <w:r>
              <w:t xml:space="preserve"> (for restricted units only).</w:t>
            </w:r>
          </w:p>
          <w:p w14:paraId="5A2399AD" w14:textId="77777777" w:rsidR="006129D0" w:rsidRPr="00214097" w:rsidRDefault="006129D0" w:rsidP="005125FD">
            <w:pPr>
              <w:pStyle w:val="NotesTextBullet"/>
            </w:pPr>
            <w:r w:rsidRPr="00A60522">
              <w:rPr>
                <w:b/>
              </w:rPr>
              <w:t>Orders</w:t>
            </w:r>
            <w:r>
              <w:t xml:space="preserve"> from the main menu. Select </w:t>
            </w:r>
            <w:r w:rsidRPr="00A60522">
              <w:rPr>
                <w:b/>
              </w:rPr>
              <w:t>Recent Patient Orders</w:t>
            </w:r>
            <w:r>
              <w:t>.</w:t>
            </w:r>
          </w:p>
          <w:p w14:paraId="22CB558B" w14:textId="77777777" w:rsidR="006129D0" w:rsidRDefault="006129D0" w:rsidP="005125FD">
            <w:pPr>
              <w:pStyle w:val="NotesTextBullet"/>
            </w:pPr>
            <w:r w:rsidRPr="00214097">
              <w:rPr>
                <w:b/>
              </w:rPr>
              <w:t>Reports</w:t>
            </w:r>
            <w:r>
              <w:t xml:space="preserve"> from the main menu. Select:</w:t>
            </w:r>
          </w:p>
          <w:p w14:paraId="6D9D8B36" w14:textId="77777777" w:rsidR="006129D0" w:rsidRDefault="006129D0" w:rsidP="00DE6289">
            <w:pPr>
              <w:pStyle w:val="NotesTextBullet1"/>
              <w:rPr>
                <w:b/>
              </w:rPr>
            </w:pPr>
            <w:r>
              <w:rPr>
                <w:b/>
              </w:rPr>
              <w:t>Blood Availability</w:t>
            </w:r>
            <w:r>
              <w:t xml:space="preserve"> (for individual patient only)</w:t>
            </w:r>
          </w:p>
          <w:p w14:paraId="4FF28F07" w14:textId="77777777" w:rsidR="006129D0" w:rsidRPr="00214097" w:rsidRDefault="006129D0" w:rsidP="00DE6289">
            <w:pPr>
              <w:pStyle w:val="NotesTextBullet1"/>
              <w:rPr>
                <w:b/>
              </w:rPr>
            </w:pPr>
            <w:r w:rsidRPr="00214097">
              <w:rPr>
                <w:b/>
              </w:rPr>
              <w:t>Medication Profile</w:t>
            </w:r>
          </w:p>
          <w:p w14:paraId="2765D57D" w14:textId="77777777" w:rsidR="006129D0" w:rsidRPr="00214097" w:rsidRDefault="006129D0" w:rsidP="00DE6289">
            <w:pPr>
              <w:pStyle w:val="NotesTextBullet1"/>
              <w:rPr>
                <w:b/>
              </w:rPr>
            </w:pPr>
            <w:r w:rsidRPr="00214097">
              <w:rPr>
                <w:b/>
              </w:rPr>
              <w:t>Patient History Report</w:t>
            </w:r>
          </w:p>
          <w:p w14:paraId="08BBDD01" w14:textId="77777777" w:rsidR="006129D0" w:rsidRDefault="006129D0" w:rsidP="00DE6289">
            <w:pPr>
              <w:pStyle w:val="NotesTextBullet1"/>
            </w:pPr>
            <w:r w:rsidRPr="00214097">
              <w:rPr>
                <w:b/>
              </w:rPr>
              <w:t>Transfusion Effectiveness Report</w:t>
            </w:r>
            <w:r>
              <w:t xml:space="preserve"> (for individual patient report only)</w:t>
            </w:r>
          </w:p>
          <w:p w14:paraId="2A1A1282" w14:textId="77777777" w:rsidR="006129D0" w:rsidRDefault="006129D0" w:rsidP="005125FD">
            <w:pPr>
              <w:pStyle w:val="NotesTextBullet"/>
            </w:pPr>
            <w:r w:rsidRPr="00214097">
              <w:rPr>
                <w:b/>
              </w:rPr>
              <w:t>Supervisor</w:t>
            </w:r>
            <w:r>
              <w:t xml:space="preserve"> from the main menu. Select:</w:t>
            </w:r>
          </w:p>
          <w:p w14:paraId="4544BFF8" w14:textId="77777777" w:rsidR="006129D0" w:rsidRPr="0095508A" w:rsidRDefault="006129D0" w:rsidP="00DE6289">
            <w:pPr>
              <w:pStyle w:val="NotesTextBullet1"/>
            </w:pPr>
            <w:r w:rsidRPr="0095508A">
              <w:t>Document ABO Incompatible Transfusion</w:t>
            </w:r>
          </w:p>
          <w:p w14:paraId="79857684" w14:textId="77777777" w:rsidR="006129D0" w:rsidRDefault="006129D0" w:rsidP="00A4517B">
            <w:pPr>
              <w:pStyle w:val="NotesTextBullet1"/>
            </w:pPr>
            <w:r w:rsidRPr="005125FD">
              <w:t>Justify</w:t>
            </w:r>
            <w:r w:rsidRPr="0095508A">
              <w:t xml:space="preserve"> ABO/Rh Change</w:t>
            </w:r>
          </w:p>
          <w:p w14:paraId="10209599" w14:textId="77777777" w:rsidR="00F95EB8" w:rsidRDefault="00F95EB8" w:rsidP="00F95EB8">
            <w:pPr>
              <w:pStyle w:val="NotesTextBullet1"/>
              <w:numPr>
                <w:ilvl w:val="0"/>
                <w:numId w:val="0"/>
              </w:numPr>
              <w:ind w:left="1296" w:hanging="288"/>
            </w:pPr>
          </w:p>
          <w:p w14:paraId="4D17DAEF" w14:textId="12BC38C6" w:rsidR="00F95EB8" w:rsidRDefault="00F95EB8" w:rsidP="00954C98">
            <w:pPr>
              <w:pStyle w:val="NotesText"/>
            </w:pPr>
            <w:r w:rsidRPr="00F95EB8">
              <w:t xml:space="preserve">Selecting a patient </w:t>
            </w:r>
            <w:r w:rsidR="00954C98">
              <w:t xml:space="preserve">record </w:t>
            </w:r>
            <w:r w:rsidRPr="00F95EB8">
              <w:t xml:space="preserve">that is </w:t>
            </w:r>
            <w:r w:rsidR="00954C98">
              <w:t xml:space="preserve">not </w:t>
            </w:r>
            <w:r w:rsidRPr="00F95EB8">
              <w:t xml:space="preserve">found in </w:t>
            </w:r>
            <w:r w:rsidR="00954C98">
              <w:t>the</w:t>
            </w:r>
            <w:r w:rsidRPr="00F95EB8">
              <w:t xml:space="preserve"> VBECS </w:t>
            </w:r>
            <w:r w:rsidR="00954C98">
              <w:t>database will insert a new patient</w:t>
            </w:r>
            <w:r w:rsidRPr="00F95EB8">
              <w:t xml:space="preserve"> record </w:t>
            </w:r>
            <w:r w:rsidR="00954C98">
              <w:t xml:space="preserve">from </w:t>
            </w:r>
            <w:r w:rsidR="006549B7">
              <w:t>VistA.</w:t>
            </w:r>
            <w:r>
              <w:t xml:space="preserve"> </w:t>
            </w:r>
            <w:r w:rsidRPr="00F95EB8">
              <w:rPr>
                <w:vanish/>
              </w:rPr>
              <w:t>BR_1</w:t>
            </w:r>
            <w:r w:rsidR="00DF7355">
              <w:rPr>
                <w:vanish/>
              </w:rPr>
              <w:t>.60</w:t>
            </w:r>
            <w:r w:rsidR="00555EA2">
              <w:rPr>
                <w:vanish/>
              </w:rPr>
              <w:t xml:space="preserve"> Task 675267</w:t>
            </w:r>
          </w:p>
        </w:tc>
      </w:tr>
      <w:tr w:rsidR="000A4886" w14:paraId="51158E07" w14:textId="77777777">
        <w:tc>
          <w:tcPr>
            <w:tcW w:w="3240" w:type="dxa"/>
            <w:tcBorders>
              <w:top w:val="single" w:sz="4" w:space="0" w:color="auto"/>
              <w:left w:val="single" w:sz="4" w:space="0" w:color="auto"/>
              <w:bottom w:val="single" w:sz="4" w:space="0" w:color="auto"/>
              <w:right w:val="single" w:sz="4" w:space="0" w:color="auto"/>
            </w:tcBorders>
          </w:tcPr>
          <w:p w14:paraId="7F435159" w14:textId="77777777" w:rsidR="000A4886" w:rsidRDefault="007554C5" w:rsidP="00214097">
            <w:pPr>
              <w:pStyle w:val="TableTextNumbers"/>
            </w:pPr>
            <w:r>
              <w:t>Select a patient from the list</w:t>
            </w:r>
            <w:r w:rsidR="00250CF9">
              <w:t xml:space="preserve">. </w:t>
            </w:r>
            <w:r w:rsidR="00250CF9">
              <w:rPr>
                <w:rStyle w:val="TableTextNumbersChar"/>
                <w:vanish/>
                <w:color w:val="FFFFFF"/>
                <w:szCs w:val="18"/>
              </w:rPr>
              <w:fldChar w:fldCharType="begin"/>
            </w:r>
            <w:r w:rsidR="00250CF9">
              <w:rPr>
                <w:rStyle w:val="TableTextNumbersChar"/>
                <w:vanish/>
                <w:color w:val="FFFFFF"/>
                <w:szCs w:val="18"/>
              </w:rPr>
              <w:instrText xml:space="preserve"> LISTNUM \l 1 \s 0 </w:instrText>
            </w:r>
            <w:r w:rsidR="00250CF9">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494C136" w14:textId="77777777" w:rsidR="000A4886" w:rsidRDefault="007554C5" w:rsidP="006178E5">
            <w:pPr>
              <w:pStyle w:val="TableTextBullet"/>
            </w:pPr>
            <w:r>
              <w:t>Displays patient-associated data.</w:t>
            </w:r>
          </w:p>
          <w:p w14:paraId="69C51473" w14:textId="77777777" w:rsidR="007554C5" w:rsidRDefault="007554C5" w:rsidP="006178E5">
            <w:pPr>
              <w:pStyle w:val="TableTextBullet"/>
            </w:pPr>
            <w:r>
              <w:t>Displays the Patient Information Toolbar.</w:t>
            </w:r>
          </w:p>
          <w:p w14:paraId="48AE65D4" w14:textId="77777777" w:rsidR="00D1493E" w:rsidRDefault="00797BC0" w:rsidP="00D1493E">
            <w:pPr>
              <w:pStyle w:val="TableTextBullet"/>
            </w:pPr>
            <w:r>
              <w:t>Displays Special Instructions (SIs) and Transfusion Requirements (TRs)</w:t>
            </w:r>
            <w:r w:rsidR="00BC2C05">
              <w:t>, when appropriate.</w:t>
            </w:r>
            <w:r w:rsidR="00D1493E">
              <w:t xml:space="preserve"> </w:t>
            </w:r>
          </w:p>
          <w:p w14:paraId="65855EFD" w14:textId="77777777" w:rsidR="00D1493E" w:rsidRDefault="00D1493E" w:rsidP="00D1493E">
            <w:pPr>
              <w:pStyle w:val="TableText"/>
            </w:pPr>
          </w:p>
          <w:p w14:paraId="4899FC1B" w14:textId="41B11BFA" w:rsidR="00D1493E" w:rsidRDefault="00D1493E" w:rsidP="00D1493E">
            <w:pPr>
              <w:pStyle w:val="TableText"/>
              <w:rPr>
                <w:b/>
                <w:bCs/>
                <w:szCs w:val="18"/>
              </w:rPr>
            </w:pPr>
            <w:r>
              <w:rPr>
                <w:b/>
                <w:bCs/>
                <w:szCs w:val="18"/>
              </w:rPr>
              <w:t>NOTES</w:t>
            </w:r>
          </w:p>
          <w:p w14:paraId="56697CBC" w14:textId="77777777" w:rsidR="00797BC0" w:rsidRDefault="00797BC0" w:rsidP="00D1493E">
            <w:pPr>
              <w:pStyle w:val="TableTextBullet"/>
              <w:numPr>
                <w:ilvl w:val="0"/>
                <w:numId w:val="0"/>
              </w:numPr>
              <w:ind w:left="720"/>
            </w:pPr>
          </w:p>
          <w:p w14:paraId="27E32BD7" w14:textId="77777777" w:rsidR="00D1493E" w:rsidRPr="000F37DC" w:rsidRDefault="00D1493E" w:rsidP="00D1493E">
            <w:pPr>
              <w:pStyle w:val="TableTextBullet"/>
              <w:numPr>
                <w:ilvl w:val="0"/>
                <w:numId w:val="0"/>
              </w:numPr>
              <w:ind w:left="720"/>
              <w:rPr>
                <w:vanish/>
              </w:rPr>
            </w:pPr>
            <w:r>
              <w:rPr>
                <w:rFonts w:cs="Arial"/>
              </w:rPr>
              <w:t>Displays a message when the user selects a patient with a blank first or last name, or the name is too long. The user is instructed to contact the VBECS Administrator for assistance.</w:t>
            </w:r>
            <w:r w:rsidR="000F37DC">
              <w:rPr>
                <w:rFonts w:cs="Arial"/>
              </w:rPr>
              <w:t xml:space="preserve"> </w:t>
            </w:r>
            <w:r w:rsidR="000F37DC" w:rsidRPr="00AB3B2D">
              <w:rPr>
                <w:rFonts w:cs="Arial"/>
                <w:vanish/>
              </w:rPr>
              <w:t>DR 3444</w:t>
            </w:r>
          </w:p>
        </w:tc>
      </w:tr>
    </w:tbl>
    <w:p w14:paraId="42F681DA" w14:textId="2E00651A" w:rsidR="00102700" w:rsidRDefault="00102700" w:rsidP="00102700">
      <w:pPr>
        <w:pStyle w:val="Caption"/>
      </w:pPr>
      <w:bookmarkStart w:id="449" w:name="_Ref12672605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94</w:t>
      </w:r>
      <w:r w:rsidR="004E20BD">
        <w:rPr>
          <w:noProof/>
        </w:rPr>
        <w:fldChar w:fldCharType="end"/>
      </w:r>
      <w:bookmarkEnd w:id="449"/>
      <w:r w:rsidR="00EE7A38">
        <w:t>: Patient Search</w:t>
      </w:r>
    </w:p>
    <w:p w14:paraId="2AC80F24" w14:textId="57F99691" w:rsidR="00242335" w:rsidRPr="00242335" w:rsidRDefault="00242335" w:rsidP="00242335">
      <w:pPr>
        <w:pStyle w:val="BodyText"/>
      </w:pPr>
      <w:r>
        <w:rPr>
          <w:noProof/>
        </w:rPr>
        <w:drawing>
          <wp:inline distT="0" distB="0" distL="0" distR="0" wp14:anchorId="1D122540" wp14:editId="310982CB">
            <wp:extent cx="5939155" cy="4331970"/>
            <wp:effectExtent l="0" t="0" r="4445" b="0"/>
            <wp:docPr id="211" name="Picture 211" descr="Example of Patient Search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Example of Patient Search screen captur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39155" cy="4331970"/>
                    </a:xfrm>
                    <a:prstGeom prst="rect">
                      <a:avLst/>
                    </a:prstGeom>
                    <a:noFill/>
                    <a:ln>
                      <a:noFill/>
                    </a:ln>
                  </pic:spPr>
                </pic:pic>
              </a:graphicData>
            </a:graphic>
          </wp:inline>
        </w:drawing>
      </w:r>
    </w:p>
    <w:p w14:paraId="0C62C1D7" w14:textId="77777777" w:rsidR="00170060" w:rsidRDefault="0072673B" w:rsidP="00170060">
      <w:pPr>
        <w:pStyle w:val="Heading3"/>
      </w:pPr>
      <w:r>
        <w:br w:type="page"/>
      </w:r>
      <w:bookmarkStart w:id="450" w:name="_Toc149064156"/>
      <w:r w:rsidR="00170060">
        <w:t>Patient Merge</w:t>
      </w:r>
      <w:bookmarkEnd w:id="450"/>
      <w:r w:rsidR="00170060">
        <w:fldChar w:fldCharType="begin"/>
      </w:r>
      <w:r w:rsidR="00170060">
        <w:instrText xml:space="preserve"> XE “Patient Merge” </w:instrText>
      </w:r>
      <w:r w:rsidR="00170060">
        <w:fldChar w:fldCharType="end"/>
      </w:r>
      <w:r w:rsidR="00170060">
        <w:t xml:space="preserve"> </w:t>
      </w:r>
      <w:r w:rsidR="00170060">
        <w:rPr>
          <w:rFonts w:ascii="Times New Roman" w:hAnsi="Times New Roman" w:cs="Times New Roman"/>
          <w:b w:val="0"/>
          <w:vanish/>
          <w:sz w:val="22"/>
        </w:rPr>
        <w:t>UC_68</w:t>
      </w:r>
    </w:p>
    <w:p w14:paraId="43B31851" w14:textId="77777777" w:rsidR="00170060" w:rsidRDefault="000075A9" w:rsidP="00170060">
      <w:pPr>
        <w:pStyle w:val="BodyText"/>
      </w:pPr>
      <w:r>
        <w:t xml:space="preserve">VBECS notifies the user of VistA patient merges and displays details for </w:t>
      </w:r>
      <w:r w:rsidR="004437ED">
        <w:t>his</w:t>
      </w:r>
      <w:r>
        <w:t xml:space="preserve"> review.</w:t>
      </w:r>
    </w:p>
    <w:p w14:paraId="48B8B2A4" w14:textId="77777777" w:rsidR="00170060" w:rsidRDefault="00170060" w:rsidP="00170060">
      <w:pPr>
        <w:pStyle w:val="Heading4"/>
      </w:pPr>
      <w:r>
        <w:t>Assumptions</w:t>
      </w:r>
      <w:r>
        <w:rPr>
          <w:b w:val="0"/>
        </w:rPr>
        <w:t xml:space="preserve"> </w:t>
      </w:r>
    </w:p>
    <w:p w14:paraId="70AA27E6" w14:textId="77777777" w:rsidR="00170060" w:rsidRDefault="00170060" w:rsidP="00170060">
      <w:pPr>
        <w:pStyle w:val="ListBullet"/>
      </w:pPr>
      <w:r>
        <w:t xml:space="preserve">The connection to </w:t>
      </w:r>
      <w:r w:rsidRPr="00CA0045">
        <w:rPr>
          <w:bCs/>
        </w:rPr>
        <w:t>VistA</w:t>
      </w:r>
      <w:r>
        <w:t xml:space="preserve"> is active.</w:t>
      </w:r>
    </w:p>
    <w:p w14:paraId="4AC99917" w14:textId="77777777" w:rsidR="00170060" w:rsidRDefault="00170060" w:rsidP="00170060">
      <w:pPr>
        <w:pStyle w:val="ListBullet"/>
      </w:pPr>
      <w:r>
        <w:t xml:space="preserve">VBECS received the message about a </w:t>
      </w:r>
      <w:r w:rsidR="00E8242F">
        <w:t xml:space="preserve">VistA </w:t>
      </w:r>
      <w:r>
        <w:t>patient merge.</w:t>
      </w:r>
    </w:p>
    <w:p w14:paraId="3302EEFB" w14:textId="77777777" w:rsidR="00170060" w:rsidRDefault="00825A62" w:rsidP="00170060">
      <w:pPr>
        <w:pStyle w:val="ListBullet"/>
      </w:pPr>
      <w:r>
        <w:t>VBECS accepts merge messages when either or both the merge from or merge to patients exist in VBECS.</w:t>
      </w:r>
    </w:p>
    <w:p w14:paraId="1296F50B" w14:textId="77777777" w:rsidR="00170060" w:rsidRDefault="00170060" w:rsidP="00170060">
      <w:pPr>
        <w:pStyle w:val="Heading4"/>
      </w:pPr>
      <w:r>
        <w:t xml:space="preserve">Outcome </w:t>
      </w:r>
    </w:p>
    <w:p w14:paraId="44436304" w14:textId="77777777" w:rsidR="00170060" w:rsidRDefault="00170060" w:rsidP="00170060">
      <w:pPr>
        <w:pStyle w:val="ListBullet"/>
      </w:pPr>
      <w:r>
        <w:t>VBECS notified the user that patient records were merged in VistA.</w:t>
      </w:r>
    </w:p>
    <w:p w14:paraId="683A56E2" w14:textId="77777777" w:rsidR="00170060" w:rsidRDefault="00170060" w:rsidP="00170060">
      <w:pPr>
        <w:pStyle w:val="Heading4"/>
      </w:pPr>
      <w:r>
        <w:t>Limitations and Restrictions</w:t>
      </w:r>
      <w:r>
        <w:rPr>
          <w:b w:val="0"/>
        </w:rPr>
        <w:t xml:space="preserve"> </w:t>
      </w:r>
    </w:p>
    <w:p w14:paraId="2124126A" w14:textId="77777777" w:rsidR="00170060" w:rsidRDefault="00D62E7A" w:rsidP="00170060">
      <w:pPr>
        <w:pStyle w:val="ListBullet"/>
      </w:pPr>
      <w:r w:rsidRPr="00D62E7A">
        <w:rPr>
          <w:vanish/>
        </w:rPr>
        <w:t>DR 2,527</w:t>
      </w:r>
      <w:r>
        <w:rPr>
          <w:vanish/>
        </w:rPr>
        <w:t xml:space="preserve"> </w:t>
      </w:r>
      <w:r w:rsidR="008E7C49">
        <w:t>T</w:t>
      </w:r>
      <w:r w:rsidR="00170060">
        <w:t xml:space="preserve">he </w:t>
      </w:r>
      <w:r w:rsidR="008D32F7">
        <w:t xml:space="preserve">Traditional Supervisor or above </w:t>
      </w:r>
      <w:r w:rsidR="00170060">
        <w:t xml:space="preserve">must </w:t>
      </w:r>
      <w:r w:rsidR="00E8242F">
        <w:t>update patient records</w:t>
      </w:r>
      <w:r w:rsidR="00170060">
        <w:t xml:space="preserve"> manually.</w:t>
      </w:r>
    </w:p>
    <w:p w14:paraId="7FE33F13" w14:textId="5A908F42" w:rsidR="008D32F7" w:rsidRDefault="00E8242F" w:rsidP="00170060">
      <w:pPr>
        <w:pStyle w:val="ListBullet"/>
      </w:pPr>
      <w:r>
        <w:t xml:space="preserve">VBECS does not notify users of additional VistA patient updates or merges while the icon is displayed. </w:t>
      </w:r>
      <w:r w:rsidR="008D32F7">
        <w:t xml:space="preserve">When a user views an update and there is </w:t>
      </w:r>
      <w:r>
        <w:t>an unprocessed</w:t>
      </w:r>
      <w:r w:rsidR="008D32F7">
        <w:t xml:space="preserve"> patient merge, the </w:t>
      </w:r>
      <w:r w:rsidR="00D57F25">
        <w:t>Patient Alert icon</w:t>
      </w:r>
      <w:r w:rsidR="008D32F7">
        <w:t xml:space="preserve"> remains on the screen until the Traditional Supervisor completes the </w:t>
      </w:r>
      <w:r>
        <w:t xml:space="preserve">update </w:t>
      </w:r>
      <w:r w:rsidR="008D32F7">
        <w:t xml:space="preserve">and clears the icon. </w:t>
      </w:r>
      <w:r w:rsidR="00FF7FFA" w:rsidRPr="00FF7FFA">
        <w:rPr>
          <w:vanish/>
        </w:rPr>
        <w:t>Defect 209990</w:t>
      </w:r>
    </w:p>
    <w:p w14:paraId="4BF7C28C" w14:textId="166BE046" w:rsidR="005F578B" w:rsidRDefault="005F578B" w:rsidP="00170060">
      <w:pPr>
        <w:pStyle w:val="ListBullet"/>
      </w:pPr>
      <w:r>
        <w:t>Patient merges involving</w:t>
      </w:r>
      <w:r w:rsidRPr="00DD022C">
        <w:t xml:space="preserve"> </w:t>
      </w:r>
      <w:r w:rsidR="00FF7FFA" w:rsidRPr="00DD022C">
        <w:t>patients</w:t>
      </w:r>
      <w:r w:rsidRPr="00DD022C">
        <w:t xml:space="preserve">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276DAA">
        <w:t>Email Alerts</w:t>
      </w:r>
      <w:r w:rsidRPr="00DD022C">
        <w:t>” field.</w:t>
      </w:r>
    </w:p>
    <w:p w14:paraId="43878D29" w14:textId="463E36F4" w:rsidR="007E05D6" w:rsidRDefault="007E05D6" w:rsidP="00170060">
      <w:pPr>
        <w:pStyle w:val="ListBullet"/>
      </w:pPr>
      <w:r>
        <w:t xml:space="preserve">VBECS displays duplicate merge events to the user for merge. Users can process one of the merge events manually and clear both merge alerts. The Master Veteran Index team is working on a patch to discontinue sending a duplicate message. </w:t>
      </w:r>
      <w:r w:rsidRPr="007E05D6">
        <w:rPr>
          <w:vanish/>
        </w:rPr>
        <w:t>Defect 210029</w:t>
      </w:r>
    </w:p>
    <w:p w14:paraId="7AEF5E6E" w14:textId="77777777" w:rsidR="00170060" w:rsidRDefault="00170060" w:rsidP="00170060">
      <w:pPr>
        <w:pStyle w:val="Heading4"/>
      </w:pPr>
      <w:r>
        <w:t xml:space="preserve">Additional Information </w:t>
      </w:r>
    </w:p>
    <w:p w14:paraId="4C069F8A" w14:textId="77777777" w:rsidR="00170060" w:rsidRDefault="00170060" w:rsidP="00170060">
      <w:pPr>
        <w:pStyle w:val="ListBullet"/>
      </w:pPr>
      <w:r>
        <w:t>If more than two records are merged in VistA, VBECS will receive a corresponding number of merge messages.</w:t>
      </w:r>
    </w:p>
    <w:p w14:paraId="35235B75" w14:textId="77777777" w:rsidR="00170060" w:rsidRDefault="00170060" w:rsidP="00170060">
      <w:pPr>
        <w:pStyle w:val="Heading4"/>
        <w:rPr>
          <w:b w:val="0"/>
        </w:rPr>
      </w:pPr>
      <w:r>
        <w:t>User Roles with Access to This Option</w:t>
      </w:r>
      <w:r>
        <w:rPr>
          <w:b w:val="0"/>
        </w:rPr>
        <w:t xml:space="preserve"> </w:t>
      </w:r>
    </w:p>
    <w:p w14:paraId="287867AE" w14:textId="77777777" w:rsidR="008E2767" w:rsidRPr="008E2767" w:rsidRDefault="008E2767" w:rsidP="00A40D01">
      <w:pPr>
        <w:pStyle w:val="Roles"/>
      </w:pPr>
      <w:r>
        <w:t>All users</w:t>
      </w:r>
    </w:p>
    <w:p w14:paraId="2E2E3F53" w14:textId="2B51825D" w:rsidR="00170060" w:rsidRDefault="00170060" w:rsidP="00170060">
      <w:pPr>
        <w:pStyle w:val="Heading4"/>
      </w:pPr>
      <w:r>
        <w:t>Patient Merge</w:t>
      </w:r>
    </w:p>
    <w:p w14:paraId="3F402713" w14:textId="77777777" w:rsidR="002A21AE" w:rsidRDefault="00170060" w:rsidP="00170060">
      <w:pPr>
        <w:pStyle w:val="BodyText"/>
      </w:pPr>
      <w:r>
        <w:t xml:space="preserve">The VBECS user examines records that were merged in VistA and decides whether to </w:t>
      </w:r>
      <w:r w:rsidR="00A415D8">
        <w:t xml:space="preserve">update </w:t>
      </w:r>
      <w:r>
        <w:t>them.</w:t>
      </w:r>
    </w:p>
    <w:p w14:paraId="1B27C82A" w14:textId="77777777" w:rsidR="00F002ED" w:rsidRPr="006F5EC8" w:rsidRDefault="00057948" w:rsidP="00F002ED">
      <w:pPr>
        <w:pStyle w:val="Caution"/>
      </w:pPr>
      <w:r>
        <w:rPr>
          <w:i w:val="0"/>
          <w:noProof/>
        </w:rPr>
        <w:drawing>
          <wp:inline distT="0" distB="0" distL="0" distR="0" wp14:anchorId="40C9BAD9" wp14:editId="1ADD64D5">
            <wp:extent cx="267970" cy="221615"/>
            <wp:effectExtent l="0" t="0" r="0" b="6985"/>
            <wp:docPr id="229" name="Picture 229"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F002ED" w:rsidRPr="00413345">
        <w:rPr>
          <w:i w:val="0"/>
        </w:rPr>
        <w:t xml:space="preserve"> </w:t>
      </w:r>
      <w:r w:rsidR="00F002ED" w:rsidRPr="006F5EC8">
        <w:t xml:space="preserve">VBECS </w:t>
      </w:r>
      <w:r w:rsidR="00F002ED">
        <w:t xml:space="preserve">does </w:t>
      </w:r>
      <w:r w:rsidR="00F002ED" w:rsidRPr="006F5EC8">
        <w:t>not create link</w:t>
      </w:r>
      <w:r w:rsidR="00F002ED">
        <w:t>s</w:t>
      </w:r>
      <w:r w:rsidR="00F002ED" w:rsidRPr="006F5EC8">
        <w:t xml:space="preserve"> </w:t>
      </w:r>
      <w:r w:rsidR="00F002ED">
        <w:t>for</w:t>
      </w:r>
      <w:r w:rsidR="00F002ED" w:rsidRPr="006F5EC8">
        <w:t xml:space="preserve"> </w:t>
      </w:r>
      <w:r w:rsidR="00F002ED">
        <w:t>merged</w:t>
      </w:r>
      <w:r w:rsidR="00F002ED" w:rsidRPr="006F5EC8">
        <w:t xml:space="preserve"> records.</w:t>
      </w:r>
      <w:r w:rsidR="00F002ED">
        <w:t xml:space="preserve"> Users must update patient information and Special Instructions to show the merged-patient relationship.</w:t>
      </w:r>
    </w:p>
    <w:p w14:paraId="6036B8F1" w14:textId="1DAD0EB8" w:rsidR="001431F4" w:rsidRDefault="001431F4">
      <w:pPr>
        <w:rPr>
          <w:sz w:val="4"/>
          <w:szCs w:val="4"/>
        </w:rPr>
      </w:pPr>
      <w:r>
        <w:rPr>
          <w:sz w:val="4"/>
          <w:szCs w:val="4"/>
        </w:rPr>
        <w:br w:type="page"/>
      </w:r>
    </w:p>
    <w:p w14:paraId="131A7C2B" w14:textId="77777777" w:rsidR="00B33CCA" w:rsidRPr="00B33CCA" w:rsidRDefault="00B33CCA" w:rsidP="00170060">
      <w:pPr>
        <w:pStyle w:val="BodyText"/>
        <w:rPr>
          <w:sz w:val="4"/>
          <w:szCs w:val="4"/>
        </w:rPr>
      </w:pPr>
    </w:p>
    <w:p w14:paraId="2E61CC8B" w14:textId="77777777" w:rsidR="00B33CCA" w:rsidRPr="00E661A1" w:rsidRDefault="00057948" w:rsidP="00B33CCA">
      <w:pPr>
        <w:pStyle w:val="Caution"/>
        <w:rPr>
          <w:i w:val="0"/>
        </w:rPr>
      </w:pPr>
      <w:r>
        <w:rPr>
          <w:i w:val="0"/>
          <w:noProof/>
        </w:rPr>
        <w:drawing>
          <wp:inline distT="0" distB="0" distL="0" distR="0" wp14:anchorId="4B4A7C9A" wp14:editId="40EEA830">
            <wp:extent cx="267970" cy="221615"/>
            <wp:effectExtent l="0" t="0" r="0" b="6985"/>
            <wp:docPr id="230" name="Picture 230"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B33CCA" w:rsidRPr="00413345">
        <w:rPr>
          <w:i w:val="0"/>
        </w:rPr>
        <w:t xml:space="preserve"> </w:t>
      </w:r>
      <w:r w:rsidR="00B33CCA" w:rsidRPr="00E661A1">
        <w:t>Patient merges that do not change the patient name o</w:t>
      </w:r>
      <w:r w:rsidR="00E309DC" w:rsidRPr="00E661A1">
        <w:t>r</w:t>
      </w:r>
      <w:r w:rsidR="00B33CCA" w:rsidRPr="00E661A1">
        <w:t xml:space="preserve"> social security number (e.g. patient record moved to a new DFN) are displayed to the VBECS user. However, the records displayed in the Merge window will not appear to have any differences. Users are advised to contact </w:t>
      </w:r>
      <w:r w:rsidR="00A2613A" w:rsidRPr="00E661A1">
        <w:t>customer</w:t>
      </w:r>
      <w:r w:rsidR="00B33CCA" w:rsidRPr="00E661A1">
        <w:t xml:space="preserve"> support if a record merge of this type occurs.</w:t>
      </w:r>
      <w:r w:rsidR="00B33CCA" w:rsidRPr="00E661A1">
        <w:rPr>
          <w:i w:val="0"/>
        </w:rPr>
        <w:t xml:space="preserve"> </w:t>
      </w:r>
      <w:r w:rsidR="00B33CCA" w:rsidRPr="00E661A1">
        <w:rPr>
          <w:i w:val="0"/>
          <w:vanish/>
        </w:rPr>
        <w:t>DR 4178</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A00DE" w14:paraId="5B42C330" w14:textId="77777777">
        <w:trPr>
          <w:cantSplit/>
          <w:tblHeader/>
        </w:trPr>
        <w:tc>
          <w:tcPr>
            <w:tcW w:w="3240" w:type="dxa"/>
            <w:shd w:val="pct30" w:color="auto" w:fill="FFFFFF"/>
            <w:vAlign w:val="bottom"/>
          </w:tcPr>
          <w:p w14:paraId="47E57E8B" w14:textId="1E0E6269" w:rsidR="007A00DE" w:rsidRDefault="00EE4091" w:rsidP="007A00DE">
            <w:pPr>
              <w:pStyle w:val="TableText"/>
              <w:rPr>
                <w:b/>
              </w:rPr>
            </w:pPr>
            <w:r>
              <w:br w:type="page"/>
            </w:r>
            <w:r w:rsidR="00B33CCA" w:rsidRPr="00E661A1">
              <w:rPr>
                <w:i/>
              </w:rPr>
              <w:br w:type="page"/>
            </w:r>
            <w:bookmarkStart w:id="451" w:name="_Ref126726239"/>
            <w:r w:rsidR="007A00DE">
              <w:rPr>
                <w:b/>
              </w:rPr>
              <w:t>User Action</w:t>
            </w:r>
          </w:p>
        </w:tc>
        <w:tc>
          <w:tcPr>
            <w:tcW w:w="6120" w:type="dxa"/>
            <w:shd w:val="pct30" w:color="auto" w:fill="FFFFFF"/>
            <w:vAlign w:val="bottom"/>
          </w:tcPr>
          <w:p w14:paraId="4A3480EC" w14:textId="77777777" w:rsidR="007A00DE" w:rsidRDefault="007A00DE" w:rsidP="007A00DE">
            <w:pPr>
              <w:pStyle w:val="TableText"/>
              <w:rPr>
                <w:b/>
              </w:rPr>
            </w:pPr>
            <w:r>
              <w:rPr>
                <w:b/>
              </w:rPr>
              <w:t>VBECS</w:t>
            </w:r>
          </w:p>
        </w:tc>
      </w:tr>
      <w:tr w:rsidR="007A00DE" w14:paraId="2477095D" w14:textId="77777777">
        <w:tc>
          <w:tcPr>
            <w:tcW w:w="3240" w:type="dxa"/>
            <w:tcBorders>
              <w:top w:val="single" w:sz="4" w:space="0" w:color="auto"/>
              <w:left w:val="single" w:sz="4" w:space="0" w:color="auto"/>
              <w:bottom w:val="single" w:sz="4" w:space="0" w:color="auto"/>
              <w:right w:val="single" w:sz="4" w:space="0" w:color="auto"/>
            </w:tcBorders>
          </w:tcPr>
          <w:p w14:paraId="2B46E008" w14:textId="77777777" w:rsidR="007A00DE" w:rsidRDefault="007A00DE" w:rsidP="007A00DE">
            <w:pPr>
              <w:pStyle w:val="TableTextNumbers"/>
            </w:pPr>
            <w:r>
              <w:t xml:space="preserve">Select </w:t>
            </w:r>
            <w:r>
              <w:rPr>
                <w:b/>
              </w:rPr>
              <w:t>Patients</w:t>
            </w:r>
            <w:r>
              <w:t xml:space="preserve"> from the main menu.</w:t>
            </w:r>
          </w:p>
          <w:p w14:paraId="590D5358" w14:textId="77777777" w:rsidR="007A00DE" w:rsidRDefault="007A00DE" w:rsidP="007A00DE">
            <w:pPr>
              <w:pStyle w:val="TableTextNumbersContinued"/>
            </w:pPr>
          </w:p>
          <w:p w14:paraId="6F4338E6" w14:textId="77777777" w:rsidR="007A00DE" w:rsidRDefault="007A00DE" w:rsidP="007A00DE">
            <w:pPr>
              <w:pStyle w:val="TableTextNumbersContinued"/>
            </w:pPr>
            <w:r>
              <w:t xml:space="preserve">Select </w:t>
            </w:r>
            <w:r>
              <w:rPr>
                <w:b/>
              </w:rPr>
              <w:t>Patient Updates</w:t>
            </w:r>
            <w:r>
              <w:t>.</w:t>
            </w:r>
          </w:p>
          <w:p w14:paraId="00EAB8E8" w14:textId="77777777" w:rsidR="007A00DE" w:rsidRDefault="007A00DE" w:rsidP="007A00DE">
            <w:pPr>
              <w:pStyle w:val="TableTextNumbersContinued"/>
            </w:pPr>
          </w:p>
          <w:p w14:paraId="47C45EBE" w14:textId="77777777" w:rsidR="007A00DE" w:rsidRDefault="007A00DE" w:rsidP="007A00DE">
            <w:pPr>
              <w:pStyle w:val="TableTextNumbersContinued"/>
            </w:pPr>
            <w:r>
              <w:t xml:space="preserve">Select </w:t>
            </w:r>
            <w:r>
              <w:rPr>
                <w:b/>
              </w:rPr>
              <w:t>Patient Merge</w:t>
            </w:r>
            <w:r>
              <w:t>, or</w:t>
            </w:r>
          </w:p>
          <w:p w14:paraId="53737D49" w14:textId="77777777" w:rsidR="007A00DE" w:rsidRDefault="007A00DE" w:rsidP="007A00DE">
            <w:pPr>
              <w:pStyle w:val="TableTextNumbersContinued"/>
            </w:pPr>
          </w:p>
          <w:p w14:paraId="109A2BCB" w14:textId="77777777" w:rsidR="007A00DE" w:rsidRDefault="007A00DE" w:rsidP="007A00DE">
            <w:pPr>
              <w:pStyle w:val="TableTextNumbersContinued"/>
            </w:pPr>
            <w:r>
              <w:t xml:space="preserve">Click </w:t>
            </w:r>
            <w:r w:rsidR="00057948">
              <w:rPr>
                <w:noProof/>
              </w:rPr>
              <w:drawing>
                <wp:inline distT="0" distB="0" distL="0" distR="0" wp14:anchorId="69765C52" wp14:editId="27F28F43">
                  <wp:extent cx="166370" cy="156845"/>
                  <wp:effectExtent l="0" t="0" r="5080" b="0"/>
                  <wp:docPr id="231" name="Picture 231"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in the Patient Information Toolbar.</w:t>
            </w:r>
          </w:p>
        </w:tc>
        <w:tc>
          <w:tcPr>
            <w:tcW w:w="6120" w:type="dxa"/>
            <w:tcBorders>
              <w:top w:val="single" w:sz="4" w:space="0" w:color="auto"/>
              <w:left w:val="single" w:sz="4" w:space="0" w:color="auto"/>
              <w:bottom w:val="single" w:sz="4" w:space="0" w:color="auto"/>
              <w:right w:val="single" w:sz="4" w:space="0" w:color="auto"/>
            </w:tcBorders>
          </w:tcPr>
          <w:p w14:paraId="058ECF29" w14:textId="77777777" w:rsidR="007A00DE" w:rsidRDefault="007A00DE" w:rsidP="007A00DE">
            <w:pPr>
              <w:pStyle w:val="TableTextBullet"/>
            </w:pPr>
            <w:r>
              <w:t xml:space="preserve">Displays </w:t>
            </w:r>
            <w:r w:rsidR="00057948">
              <w:rPr>
                <w:noProof/>
              </w:rPr>
              <w:drawing>
                <wp:inline distT="0" distB="0" distL="0" distR="0" wp14:anchorId="06D9510C" wp14:editId="639B519C">
                  <wp:extent cx="166370" cy="156845"/>
                  <wp:effectExtent l="0" t="0" r="5080" b="0"/>
                  <wp:docPr id="232" name="Picture 232"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and notifies the user of the VistA patient merge.</w:t>
            </w:r>
          </w:p>
          <w:p w14:paraId="52AE0527" w14:textId="77777777" w:rsidR="007A00DE" w:rsidRDefault="007A00DE" w:rsidP="007A00DE">
            <w:pPr>
              <w:pStyle w:val="TableTextBullet"/>
            </w:pPr>
            <w:r>
              <w:t xml:space="preserve">Lists the patient records to be </w:t>
            </w:r>
            <w:r w:rsidR="00AA1115">
              <w:t>updated</w:t>
            </w:r>
            <w:r>
              <w:t xml:space="preserve">. </w:t>
            </w:r>
          </w:p>
          <w:p w14:paraId="790877EA" w14:textId="77777777" w:rsidR="007A00DE" w:rsidRDefault="00825A62" w:rsidP="007A00DE">
            <w:pPr>
              <w:pStyle w:val="TableTextBullet"/>
            </w:pPr>
            <w:r w:rsidRPr="00825A62">
              <w:rPr>
                <w:vanish/>
              </w:rPr>
              <w:t xml:space="preserve">BR_68.19 </w:t>
            </w:r>
            <w:r w:rsidR="007A00DE">
              <w:t>Displays limited merge-from and merge-to patient information for evaluation, including:</w:t>
            </w:r>
          </w:p>
          <w:p w14:paraId="54ED488A" w14:textId="77777777" w:rsidR="007A00DE" w:rsidRDefault="007A00DE" w:rsidP="007A00DE">
            <w:pPr>
              <w:pStyle w:val="TableTextBullet1"/>
            </w:pPr>
            <w:r>
              <w:t>Patient name</w:t>
            </w:r>
          </w:p>
          <w:p w14:paraId="2E04ABC7" w14:textId="77777777" w:rsidR="007A00DE" w:rsidRDefault="007A00DE" w:rsidP="007A00DE">
            <w:pPr>
              <w:pStyle w:val="TableTextBullet1"/>
            </w:pPr>
            <w:r>
              <w:t>Patient ID</w:t>
            </w:r>
            <w:r w:rsidR="00825A62">
              <w:t>, if available</w:t>
            </w:r>
          </w:p>
          <w:p w14:paraId="043EBC60" w14:textId="77777777" w:rsidR="007A00DE" w:rsidRDefault="007A00DE" w:rsidP="007A00DE">
            <w:pPr>
              <w:pStyle w:val="TableTextBullet1"/>
              <w:rPr>
                <w:b/>
                <w:bCs/>
              </w:rPr>
            </w:pPr>
            <w:r>
              <w:t xml:space="preserve">Date and time the merge message was received from </w:t>
            </w:r>
            <w:r w:rsidRPr="00CA0045">
              <w:rPr>
                <w:bCs/>
              </w:rPr>
              <w:t>VistA</w:t>
            </w:r>
          </w:p>
          <w:p w14:paraId="75CD627F" w14:textId="77777777" w:rsidR="007A00DE" w:rsidRDefault="007A00DE" w:rsidP="007A00DE">
            <w:pPr>
              <w:pStyle w:val="TableText"/>
            </w:pPr>
          </w:p>
          <w:p w14:paraId="6348A81B" w14:textId="428B1552" w:rsidR="007A00DE" w:rsidRDefault="007A00DE" w:rsidP="007A00DE">
            <w:pPr>
              <w:pStyle w:val="TableText"/>
              <w:rPr>
                <w:b/>
                <w:bCs/>
                <w:szCs w:val="18"/>
              </w:rPr>
            </w:pPr>
            <w:r>
              <w:rPr>
                <w:b/>
                <w:bCs/>
                <w:szCs w:val="18"/>
              </w:rPr>
              <w:t>NOTES</w:t>
            </w:r>
          </w:p>
          <w:p w14:paraId="75660B51" w14:textId="77777777" w:rsidR="007A00DE" w:rsidRDefault="007A00DE" w:rsidP="007A00DE">
            <w:pPr>
              <w:pStyle w:val="NotesText"/>
            </w:pPr>
          </w:p>
          <w:p w14:paraId="66CD17C3" w14:textId="77777777" w:rsidR="007A00DE" w:rsidRDefault="007A00DE" w:rsidP="007A00DE">
            <w:pPr>
              <w:pStyle w:val="NotesText"/>
            </w:pPr>
            <w:r>
              <w:t xml:space="preserve">VBECS displays </w:t>
            </w:r>
            <w:r w:rsidR="00057948">
              <w:rPr>
                <w:noProof/>
              </w:rPr>
              <w:drawing>
                <wp:inline distT="0" distB="0" distL="0" distR="0" wp14:anchorId="41D0CC8E" wp14:editId="778A30AD">
                  <wp:extent cx="166370" cy="156845"/>
                  <wp:effectExtent l="0" t="0" r="5080" b="0"/>
                  <wp:docPr id="233" name="Picture 233"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at the first instance of a </w:t>
            </w:r>
            <w:r w:rsidR="00AA1115">
              <w:t xml:space="preserve">VistA patient update or </w:t>
            </w:r>
            <w:r>
              <w:t>merge. The icon remains on the screen</w:t>
            </w:r>
            <w:r w:rsidR="00B473F5">
              <w:t xml:space="preserve"> until the Traditional Supervisor</w:t>
            </w:r>
            <w:r w:rsidR="00A47004">
              <w:t xml:space="preserve"> </w:t>
            </w:r>
            <w:r w:rsidR="00B473F5">
              <w:t xml:space="preserve">clears the </w:t>
            </w:r>
            <w:r w:rsidR="00AA1115">
              <w:t xml:space="preserve">patient </w:t>
            </w:r>
            <w:r w:rsidR="00B473F5">
              <w:t>merge alert</w:t>
            </w:r>
            <w:r w:rsidR="00B473F5" w:rsidRPr="00B473F5">
              <w:rPr>
                <w:vanish/>
              </w:rPr>
              <w:t xml:space="preserve"> DR 2,2527</w:t>
            </w:r>
            <w:r>
              <w:t xml:space="preserve">. </w:t>
            </w:r>
          </w:p>
          <w:p w14:paraId="65157F0F" w14:textId="77777777" w:rsidR="007A00DE" w:rsidRDefault="007A00DE" w:rsidP="007A00DE">
            <w:pPr>
              <w:pStyle w:val="NotesText"/>
              <w:rPr>
                <w:rFonts w:cs="Arial"/>
              </w:rPr>
            </w:pPr>
          </w:p>
          <w:p w14:paraId="04B85FE2" w14:textId="77777777" w:rsidR="007A00DE" w:rsidRDefault="007A00DE" w:rsidP="007A00DE">
            <w:pPr>
              <w:pStyle w:val="NotesText"/>
            </w:pPr>
            <w:r>
              <w:rPr>
                <w:rFonts w:cs="Arial"/>
                <w:vanish/>
              </w:rPr>
              <w:t xml:space="preserve">BR_68.01 </w:t>
            </w:r>
            <w:r w:rsidR="00A86640">
              <w:t>The list of patient records is sorted in chronological order: the oldest received updated record appears at the top of the list.</w:t>
            </w:r>
          </w:p>
          <w:p w14:paraId="30431720" w14:textId="77777777" w:rsidR="007A00DE" w:rsidRDefault="007A00DE" w:rsidP="007A00DE">
            <w:pPr>
              <w:pStyle w:val="NotesText"/>
            </w:pPr>
          </w:p>
          <w:p w14:paraId="18DAFF0B" w14:textId="77777777" w:rsidR="007A00DE" w:rsidRDefault="007A00DE" w:rsidP="007A00DE">
            <w:pPr>
              <w:pStyle w:val="NotesText"/>
            </w:pPr>
            <w:r>
              <w:t>The user may update both patients’ VBECS files in accordance with local policy and procedure.</w:t>
            </w:r>
          </w:p>
        </w:tc>
      </w:tr>
      <w:tr w:rsidR="007A00DE" w14:paraId="183416ED" w14:textId="77777777">
        <w:tc>
          <w:tcPr>
            <w:tcW w:w="3240" w:type="dxa"/>
          </w:tcPr>
          <w:p w14:paraId="05AEE964" w14:textId="09298740" w:rsidR="007A00DE" w:rsidRDefault="007A00DE" w:rsidP="007A00DE">
            <w:pPr>
              <w:pStyle w:val="TableTextNumbers"/>
            </w:pPr>
            <w:r>
              <w:t xml:space="preserve">Select a </w:t>
            </w:r>
            <w:r w:rsidR="00061930">
              <w:t xml:space="preserve">VistA </w:t>
            </w:r>
            <w:r>
              <w:t>patient merge event from the list and review the data (</w:t>
            </w:r>
            <w:r w:rsidR="00EE455E">
              <w:t xml:space="preserve">Figure </w:t>
            </w:r>
            <w:r w:rsidR="00EE455E">
              <w:rPr>
                <w:noProof/>
              </w:rPr>
              <w:t>95</w:t>
            </w:r>
            <w:r>
              <w:t>).</w:t>
            </w:r>
          </w:p>
        </w:tc>
        <w:tc>
          <w:tcPr>
            <w:tcW w:w="6120" w:type="dxa"/>
          </w:tcPr>
          <w:p w14:paraId="223C4213" w14:textId="77777777" w:rsidR="007A00DE" w:rsidRDefault="007A00DE" w:rsidP="007A00DE">
            <w:pPr>
              <w:pStyle w:val="TableTextBullet"/>
            </w:pPr>
            <w:r>
              <w:t xml:space="preserve">Displays data about merged </w:t>
            </w:r>
            <w:r w:rsidR="00061930">
              <w:t xml:space="preserve">VistA </w:t>
            </w:r>
            <w:r>
              <w:t>patient records:</w:t>
            </w:r>
          </w:p>
          <w:p w14:paraId="7CBF94D6" w14:textId="77777777" w:rsidR="007A00DE" w:rsidRDefault="007A00DE" w:rsidP="007A00DE">
            <w:pPr>
              <w:pStyle w:val="TableTextBullet1"/>
            </w:pPr>
            <w:r>
              <w:t>Patient name</w:t>
            </w:r>
          </w:p>
          <w:p w14:paraId="5CBDCFF3" w14:textId="77777777" w:rsidR="007A00DE" w:rsidRDefault="007A00DE" w:rsidP="007A00DE">
            <w:pPr>
              <w:pStyle w:val="TableTextBullet1"/>
            </w:pPr>
            <w:r>
              <w:t>Patient ID</w:t>
            </w:r>
            <w:r w:rsidR="006337EA">
              <w:t>, if available</w:t>
            </w:r>
          </w:p>
          <w:p w14:paraId="78DF8101" w14:textId="77777777" w:rsidR="007A00DE" w:rsidRDefault="007A00DE" w:rsidP="007A00DE">
            <w:pPr>
              <w:pStyle w:val="TableTextBullet1"/>
            </w:pPr>
            <w:r>
              <w:t>Patient sex</w:t>
            </w:r>
            <w:r w:rsidR="006337EA">
              <w:t>, if available</w:t>
            </w:r>
          </w:p>
          <w:p w14:paraId="3164FA80" w14:textId="77777777" w:rsidR="007A00DE" w:rsidRDefault="007A00DE" w:rsidP="007A00DE">
            <w:pPr>
              <w:pStyle w:val="TableTextBullet1"/>
            </w:pPr>
            <w:r>
              <w:t xml:space="preserve">Date and time the merge message was received from </w:t>
            </w:r>
            <w:r w:rsidRPr="00CA6E27">
              <w:rPr>
                <w:bCs/>
              </w:rPr>
              <w:t>VistA</w:t>
            </w:r>
          </w:p>
          <w:p w14:paraId="09EAD326" w14:textId="77777777" w:rsidR="007A00DE" w:rsidRDefault="007A00DE" w:rsidP="007A00DE">
            <w:pPr>
              <w:pStyle w:val="TableTextBullet1"/>
            </w:pPr>
            <w:r>
              <w:t>Patient ABO/Rh</w:t>
            </w:r>
            <w:r w:rsidR="006337EA">
              <w:t>, if available</w:t>
            </w:r>
          </w:p>
          <w:p w14:paraId="10B319B2" w14:textId="77777777" w:rsidR="007A00DE" w:rsidRDefault="007A00DE" w:rsidP="007A00DE">
            <w:pPr>
              <w:pStyle w:val="TableTextBullet1"/>
            </w:pPr>
            <w:r>
              <w:t>Patient Transfusion Requirements (TRs) and Special Instructions (SIs)</w:t>
            </w:r>
            <w:r w:rsidR="006337EA">
              <w:t>, if available</w:t>
            </w:r>
          </w:p>
          <w:p w14:paraId="41ED80AE" w14:textId="77777777" w:rsidR="006337EA" w:rsidRDefault="007A00DE" w:rsidP="006337EA">
            <w:pPr>
              <w:pStyle w:val="TableTextBullet1"/>
            </w:pPr>
            <w:r>
              <w:t>Recent orders and recent transfusion records for the patient (available only by clicking Patient Information Toolbar icons)</w:t>
            </w:r>
            <w:r w:rsidR="006337EA">
              <w:t>, if available</w:t>
            </w:r>
          </w:p>
          <w:p w14:paraId="4F6E63D5" w14:textId="77777777" w:rsidR="006337EA" w:rsidRDefault="006337EA" w:rsidP="006337EA">
            <w:pPr>
              <w:pStyle w:val="TableText"/>
            </w:pPr>
          </w:p>
          <w:p w14:paraId="58F8CD4D" w14:textId="6CBDB9E9" w:rsidR="006337EA" w:rsidRPr="00825A62" w:rsidRDefault="006337EA" w:rsidP="006337EA">
            <w:pPr>
              <w:pStyle w:val="TableText"/>
              <w:rPr>
                <w:b/>
                <w:bCs/>
                <w:szCs w:val="18"/>
              </w:rPr>
            </w:pPr>
            <w:r w:rsidRPr="00825A62">
              <w:rPr>
                <w:b/>
                <w:bCs/>
                <w:szCs w:val="18"/>
              </w:rPr>
              <w:t>NOTES</w:t>
            </w:r>
          </w:p>
          <w:p w14:paraId="5BE8E487" w14:textId="77777777" w:rsidR="006337EA" w:rsidRDefault="006337EA" w:rsidP="006337EA">
            <w:pPr>
              <w:pStyle w:val="NotesText"/>
            </w:pPr>
          </w:p>
          <w:p w14:paraId="1093FBEB" w14:textId="77777777" w:rsidR="006337EA" w:rsidRDefault="006337EA" w:rsidP="008D6DF2">
            <w:pPr>
              <w:pStyle w:val="NotesText"/>
            </w:pPr>
            <w:r>
              <w:t>“</w:t>
            </w:r>
            <w:r w:rsidRPr="006337EA">
              <w:t>Patient has no VBECS records at the re</w:t>
            </w:r>
            <w:r>
              <w:t>ceipt of the merge message” d</w:t>
            </w:r>
            <w:r w:rsidRPr="006337EA">
              <w:t xml:space="preserve">isplays when </w:t>
            </w:r>
            <w:r>
              <w:t xml:space="preserve">the </w:t>
            </w:r>
            <w:r w:rsidRPr="006337EA">
              <w:t xml:space="preserve">merge-from </w:t>
            </w:r>
            <w:r w:rsidR="008D6DF2">
              <w:t>or merge-</w:t>
            </w:r>
            <w:r>
              <w:t xml:space="preserve">to </w:t>
            </w:r>
            <w:r w:rsidRPr="006337EA">
              <w:t xml:space="preserve">patient </w:t>
            </w:r>
            <w:r w:rsidR="008D6DF2">
              <w:t>is</w:t>
            </w:r>
            <w:r w:rsidRPr="006337EA">
              <w:t xml:space="preserve"> not found in VBECS</w:t>
            </w:r>
            <w:r w:rsidR="008D6DF2">
              <w:t>.</w:t>
            </w:r>
          </w:p>
        </w:tc>
      </w:tr>
      <w:tr w:rsidR="007A00DE" w14:paraId="7AF54783" w14:textId="77777777" w:rsidTr="003362FE">
        <w:trPr>
          <w:cantSplit/>
        </w:trPr>
        <w:tc>
          <w:tcPr>
            <w:tcW w:w="3240" w:type="dxa"/>
          </w:tcPr>
          <w:p w14:paraId="2160508D" w14:textId="77777777" w:rsidR="007A00DE" w:rsidRDefault="007A00DE" w:rsidP="007A00DE">
            <w:pPr>
              <w:pStyle w:val="TableTextNumbers"/>
              <w:numPr>
                <w:ilvl w:val="0"/>
                <w:numId w:val="0"/>
              </w:numPr>
            </w:pPr>
            <w:r>
              <w:t>Merge-to Patients</w:t>
            </w:r>
          </w:p>
          <w:p w14:paraId="06FEEB85" w14:textId="77777777" w:rsidR="007A00DE" w:rsidRDefault="007A00DE" w:rsidP="007A00DE">
            <w:pPr>
              <w:pStyle w:val="TableTextNumbers"/>
              <w:numPr>
                <w:ilvl w:val="0"/>
                <w:numId w:val="0"/>
              </w:numPr>
            </w:pPr>
          </w:p>
          <w:p w14:paraId="7C9E0CED" w14:textId="77777777" w:rsidR="007A00DE" w:rsidRDefault="007A00DE" w:rsidP="007A00DE">
            <w:pPr>
              <w:pStyle w:val="TableTextNumbers"/>
            </w:pPr>
            <w:r>
              <w:t>Update the merge-to patient record to include SIs and TRs from the merge-from patient record.</w:t>
            </w:r>
          </w:p>
          <w:p w14:paraId="5662E877" w14:textId="77777777" w:rsidR="007A00DE" w:rsidRDefault="007A00DE" w:rsidP="007A00DE">
            <w:pPr>
              <w:pStyle w:val="TableTextNumbersContinued"/>
            </w:pPr>
          </w:p>
          <w:p w14:paraId="2B7D0D8D" w14:textId="77777777" w:rsidR="007A00DE" w:rsidRDefault="007A00DE" w:rsidP="007A00DE">
            <w:pPr>
              <w:pStyle w:val="TableTextNumbersContinued"/>
            </w:pPr>
            <w:r>
              <w:t>Insert a comment in the Special Instruction field to note that a merge occurred.</w:t>
            </w:r>
          </w:p>
        </w:tc>
        <w:tc>
          <w:tcPr>
            <w:tcW w:w="6120" w:type="dxa"/>
          </w:tcPr>
          <w:p w14:paraId="777D9869" w14:textId="77777777" w:rsidR="007A00DE" w:rsidRPr="00935E73" w:rsidRDefault="007A00DE" w:rsidP="00825A62">
            <w:pPr>
              <w:pStyle w:val="TableText"/>
            </w:pPr>
          </w:p>
          <w:p w14:paraId="284CEB35" w14:textId="459218A7" w:rsidR="007A00DE" w:rsidRPr="00825A62" w:rsidRDefault="007A00DE" w:rsidP="00825A62">
            <w:pPr>
              <w:pStyle w:val="TableText"/>
              <w:rPr>
                <w:b/>
                <w:bCs/>
                <w:szCs w:val="18"/>
              </w:rPr>
            </w:pPr>
            <w:r w:rsidRPr="00825A62">
              <w:rPr>
                <w:b/>
                <w:bCs/>
                <w:szCs w:val="18"/>
              </w:rPr>
              <w:t>NOTES</w:t>
            </w:r>
          </w:p>
          <w:p w14:paraId="29E81BDC" w14:textId="77777777" w:rsidR="007A00DE" w:rsidRDefault="007A00DE" w:rsidP="00825A62">
            <w:pPr>
              <w:pStyle w:val="NotesText"/>
            </w:pPr>
          </w:p>
          <w:p w14:paraId="488184F6" w14:textId="77777777" w:rsidR="00BC7A6E" w:rsidRDefault="00DB201F" w:rsidP="00BC7A6E">
            <w:pPr>
              <w:pStyle w:val="TableTextBullet"/>
              <w:numPr>
                <w:ilvl w:val="0"/>
                <w:numId w:val="0"/>
              </w:numPr>
              <w:ind w:left="720"/>
            </w:pPr>
            <w:r>
              <w:t>A user c</w:t>
            </w:r>
            <w:r w:rsidR="00BC7A6E">
              <w:t>annot update SIs or TRs if the merge to patient does not have a VBECS record.</w:t>
            </w:r>
          </w:p>
          <w:p w14:paraId="2BD6BA7E" w14:textId="77777777" w:rsidR="00BC7A6E" w:rsidRDefault="00BC7A6E" w:rsidP="00825A62">
            <w:pPr>
              <w:pStyle w:val="NotesText"/>
            </w:pPr>
          </w:p>
          <w:p w14:paraId="67BD478B" w14:textId="77777777" w:rsidR="00825A62" w:rsidRDefault="00825A62" w:rsidP="00825A62">
            <w:pPr>
              <w:pStyle w:val="NotesText"/>
            </w:pPr>
            <w:r>
              <w:t>Local policy must define how to handle records when the merge to patient does not exist in VBECS.</w:t>
            </w:r>
          </w:p>
          <w:p w14:paraId="636E7C2E" w14:textId="77777777" w:rsidR="00825A62" w:rsidRDefault="00825A62" w:rsidP="00825A62">
            <w:pPr>
              <w:pStyle w:val="NotesText"/>
            </w:pPr>
          </w:p>
          <w:p w14:paraId="209EE500" w14:textId="77777777" w:rsidR="007A00DE" w:rsidRDefault="007A00DE" w:rsidP="00825A62">
            <w:pPr>
              <w:pStyle w:val="NotesText"/>
            </w:pPr>
            <w:r>
              <w:t>The merge-to patient record is the active record in VBECS.</w:t>
            </w:r>
          </w:p>
          <w:p w14:paraId="0AC4073F" w14:textId="77777777" w:rsidR="007A00DE" w:rsidRDefault="007A00DE" w:rsidP="00825A62">
            <w:pPr>
              <w:pStyle w:val="NotesText"/>
            </w:pPr>
          </w:p>
          <w:p w14:paraId="1D56B1FD" w14:textId="77777777" w:rsidR="007A00DE" w:rsidRDefault="007A00DE" w:rsidP="00825A62">
            <w:pPr>
              <w:pStyle w:val="NotesText"/>
            </w:pPr>
            <w:r>
              <w:t xml:space="preserve">Use Special Instructions &amp; Transfusion Requirements: Enter a Transfusion Requirement, and Special Instructions &amp; Transfusion Requirements: Enter and Remove Special Instructions to enter, update, or delete relevant component requirements, antibodies, or antigen requirements. </w:t>
            </w:r>
          </w:p>
          <w:p w14:paraId="21F6EFEF" w14:textId="77777777" w:rsidR="007A00DE" w:rsidRDefault="007A00DE" w:rsidP="00825A62">
            <w:pPr>
              <w:pStyle w:val="NotesText"/>
            </w:pPr>
          </w:p>
          <w:p w14:paraId="195F6012" w14:textId="77777777" w:rsidR="007A00DE" w:rsidRDefault="007A00DE" w:rsidP="00825A62">
            <w:pPr>
              <w:pStyle w:val="NotesText"/>
            </w:pPr>
            <w:r>
              <w:t>Enter an SI comment in the merge-to patient record, for example, “This patient record was merged with &lt;</w:t>
            </w:r>
            <w:r w:rsidRPr="00825A62">
              <w:rPr>
                <w:i/>
              </w:rPr>
              <w:t>insert merge-from patient name</w:t>
            </w:r>
            <w:r w:rsidRPr="000F2898">
              <w:t>&gt;</w:t>
            </w:r>
            <w:r>
              <w:t xml:space="preserve"> in VistA and is used to process orders after &lt;</w:t>
            </w:r>
            <w:r w:rsidRPr="00825A62">
              <w:rPr>
                <w:i/>
              </w:rPr>
              <w:t>insert merge date and time</w:t>
            </w:r>
            <w:r w:rsidRPr="000F2898">
              <w:t>&gt;</w:t>
            </w:r>
            <w:r>
              <w:t>. Refer to the records of &lt;</w:t>
            </w:r>
            <w:r w:rsidRPr="00825A62">
              <w:rPr>
                <w:i/>
              </w:rPr>
              <w:t>insert merge-from patient name</w:t>
            </w:r>
            <w:r w:rsidRPr="000F2898">
              <w:t>&gt;</w:t>
            </w:r>
            <w:r>
              <w:t xml:space="preserve"> for testing and transfusion information prior to the merge event.”</w:t>
            </w:r>
          </w:p>
        </w:tc>
      </w:tr>
      <w:tr w:rsidR="007A00DE" w14:paraId="249F9DA4" w14:textId="77777777">
        <w:tc>
          <w:tcPr>
            <w:tcW w:w="3240" w:type="dxa"/>
          </w:tcPr>
          <w:p w14:paraId="2EC5568A" w14:textId="77777777" w:rsidR="007A00DE" w:rsidRDefault="007A00DE" w:rsidP="007A00DE">
            <w:pPr>
              <w:pStyle w:val="TableTextNumbers"/>
            </w:pPr>
            <w:r>
              <w:t xml:space="preserve">Resolve ABO/Rh discrepancies among patients. </w:t>
            </w:r>
          </w:p>
          <w:p w14:paraId="6395BFFA" w14:textId="77777777" w:rsidR="007A00DE" w:rsidRDefault="007A00DE" w:rsidP="007A00DE">
            <w:pPr>
              <w:pStyle w:val="TableTextNumbersContinued"/>
            </w:pPr>
          </w:p>
          <w:p w14:paraId="02F2BD7B" w14:textId="77777777" w:rsidR="007A00DE" w:rsidRDefault="007A00DE" w:rsidP="007A00DE">
            <w:pPr>
              <w:pStyle w:val="TableTextNumbersContinued"/>
            </w:pPr>
            <w:r>
              <w:t>Determine which blood type is correct for use</w:t>
            </w:r>
            <w:r>
              <w:rPr>
                <w:rStyle w:val="CommentReference"/>
              </w:rPr>
              <w:t>.</w:t>
            </w:r>
          </w:p>
        </w:tc>
        <w:tc>
          <w:tcPr>
            <w:tcW w:w="6120" w:type="dxa"/>
          </w:tcPr>
          <w:p w14:paraId="355BBB20" w14:textId="77777777" w:rsidR="007A00DE" w:rsidRPr="00935E73" w:rsidRDefault="007A00DE" w:rsidP="007A00DE">
            <w:pPr>
              <w:pStyle w:val="TableText"/>
            </w:pPr>
          </w:p>
          <w:p w14:paraId="1B26913F" w14:textId="10C8A5FF" w:rsidR="007A00DE" w:rsidRDefault="007A00DE" w:rsidP="007A00DE">
            <w:pPr>
              <w:pStyle w:val="TableText"/>
              <w:rPr>
                <w:b/>
                <w:bCs/>
                <w:szCs w:val="18"/>
              </w:rPr>
            </w:pPr>
            <w:r>
              <w:rPr>
                <w:b/>
                <w:bCs/>
                <w:szCs w:val="18"/>
              </w:rPr>
              <w:t>NOTES</w:t>
            </w:r>
          </w:p>
          <w:p w14:paraId="319EE778" w14:textId="77777777" w:rsidR="007A00DE" w:rsidRDefault="007A00DE" w:rsidP="007A00DE">
            <w:pPr>
              <w:pStyle w:val="NotesText"/>
            </w:pPr>
          </w:p>
          <w:p w14:paraId="3822A84F" w14:textId="77777777" w:rsidR="007A00DE" w:rsidRDefault="007A00DE" w:rsidP="007A00DE">
            <w:pPr>
              <w:pStyle w:val="NotesText"/>
            </w:pPr>
            <w:r>
              <w:t>Use Justify ABO/Rh Change to finalize blood type changes for the merge-to patient.</w:t>
            </w:r>
          </w:p>
        </w:tc>
      </w:tr>
      <w:tr w:rsidR="007A00DE" w14:paraId="47312D81" w14:textId="77777777">
        <w:tc>
          <w:tcPr>
            <w:tcW w:w="3240" w:type="dxa"/>
          </w:tcPr>
          <w:p w14:paraId="1A6F663C" w14:textId="77777777" w:rsidR="007A00DE" w:rsidRDefault="007A00DE" w:rsidP="007A00DE">
            <w:pPr>
              <w:pStyle w:val="TableTextNumbers"/>
            </w:pPr>
            <w:r>
              <w:t>Complete pending orders for the merge-to patient.</w:t>
            </w:r>
          </w:p>
        </w:tc>
        <w:tc>
          <w:tcPr>
            <w:tcW w:w="6120" w:type="dxa"/>
          </w:tcPr>
          <w:p w14:paraId="3EB1D47A" w14:textId="77777777" w:rsidR="007A00DE" w:rsidRDefault="007A00DE" w:rsidP="007A00DE">
            <w:pPr>
              <w:pStyle w:val="TableText"/>
            </w:pPr>
          </w:p>
        </w:tc>
      </w:tr>
      <w:tr w:rsidR="007A00DE" w14:paraId="2550339B" w14:textId="77777777">
        <w:tc>
          <w:tcPr>
            <w:tcW w:w="3240" w:type="dxa"/>
          </w:tcPr>
          <w:p w14:paraId="44AB77E4" w14:textId="77777777" w:rsidR="007A00DE" w:rsidRDefault="007A00DE" w:rsidP="007A00DE">
            <w:pPr>
              <w:pStyle w:val="TableTextNumbers"/>
              <w:numPr>
                <w:ilvl w:val="0"/>
                <w:numId w:val="0"/>
              </w:numPr>
            </w:pPr>
            <w:r>
              <w:t>Merge-from Patients</w:t>
            </w:r>
          </w:p>
          <w:p w14:paraId="0123515B" w14:textId="77777777" w:rsidR="007A00DE" w:rsidRDefault="007A00DE" w:rsidP="007A00DE">
            <w:pPr>
              <w:pStyle w:val="TableTextNumbers"/>
              <w:numPr>
                <w:ilvl w:val="0"/>
                <w:numId w:val="0"/>
              </w:numPr>
            </w:pPr>
          </w:p>
          <w:p w14:paraId="42F4B646" w14:textId="77777777" w:rsidR="007A00DE" w:rsidRDefault="007A00DE" w:rsidP="007A00DE">
            <w:pPr>
              <w:pStyle w:val="TableTextNumbers"/>
            </w:pPr>
            <w:r>
              <w:t>Update the merge-from patient record to include SIs and TRs from the merge-to patient record</w:t>
            </w:r>
          </w:p>
          <w:p w14:paraId="41016755" w14:textId="77777777" w:rsidR="007A00DE" w:rsidRDefault="007A00DE" w:rsidP="007A00DE">
            <w:pPr>
              <w:pStyle w:val="TableTextNumbersContinued"/>
            </w:pPr>
          </w:p>
          <w:p w14:paraId="6DE60D41" w14:textId="77777777" w:rsidR="007A00DE" w:rsidRDefault="007A00DE" w:rsidP="007A00DE">
            <w:pPr>
              <w:pStyle w:val="TableTextNumbersContinued"/>
            </w:pPr>
            <w:r>
              <w:t>Insert a comment in the Special Instruction field to note that a merge occurred.</w:t>
            </w:r>
          </w:p>
        </w:tc>
        <w:tc>
          <w:tcPr>
            <w:tcW w:w="6120" w:type="dxa"/>
          </w:tcPr>
          <w:p w14:paraId="2D976D9A" w14:textId="77777777" w:rsidR="007A00DE" w:rsidRPr="00935E73" w:rsidRDefault="007A00DE" w:rsidP="007A00DE">
            <w:pPr>
              <w:pStyle w:val="TableText"/>
            </w:pPr>
          </w:p>
          <w:p w14:paraId="25547182" w14:textId="7C94ED9E" w:rsidR="007A00DE" w:rsidRDefault="007A00DE" w:rsidP="007A00DE">
            <w:pPr>
              <w:pStyle w:val="TableText"/>
              <w:rPr>
                <w:b/>
                <w:bCs/>
                <w:szCs w:val="18"/>
              </w:rPr>
            </w:pPr>
            <w:r>
              <w:rPr>
                <w:b/>
                <w:bCs/>
                <w:szCs w:val="18"/>
              </w:rPr>
              <w:t>NOTES</w:t>
            </w:r>
          </w:p>
          <w:p w14:paraId="3393436C" w14:textId="77777777" w:rsidR="00BC7A6E" w:rsidRDefault="00BC7A6E" w:rsidP="00BC7A6E">
            <w:pPr>
              <w:pStyle w:val="TableTextBullet"/>
              <w:numPr>
                <w:ilvl w:val="0"/>
                <w:numId w:val="0"/>
              </w:numPr>
              <w:ind w:left="720"/>
            </w:pPr>
          </w:p>
          <w:p w14:paraId="338E4CBE" w14:textId="77777777" w:rsidR="00BC7A6E" w:rsidRDefault="00BC7A6E" w:rsidP="00BC7A6E">
            <w:pPr>
              <w:pStyle w:val="TableTextBullet"/>
              <w:numPr>
                <w:ilvl w:val="0"/>
                <w:numId w:val="0"/>
              </w:numPr>
              <w:ind w:left="720"/>
            </w:pPr>
            <w:r>
              <w:t>A user cannot update SIs or TRs if the merge from patient does not have a VBECS record.</w:t>
            </w:r>
          </w:p>
          <w:p w14:paraId="7522EBF0" w14:textId="77777777" w:rsidR="007A00DE" w:rsidRDefault="007A00DE" w:rsidP="007A00DE">
            <w:pPr>
              <w:pStyle w:val="NotesText"/>
            </w:pPr>
          </w:p>
          <w:p w14:paraId="57C24B00" w14:textId="77777777" w:rsidR="00BC7526" w:rsidRDefault="00BC7526" w:rsidP="00BC7526">
            <w:pPr>
              <w:pStyle w:val="NotesText"/>
            </w:pPr>
            <w:r>
              <w:t>Local policy must define how to handle records when the merge from patient does not exist in VBECS.</w:t>
            </w:r>
          </w:p>
          <w:p w14:paraId="53C41FBB" w14:textId="77777777" w:rsidR="00BC7526" w:rsidRDefault="00BC7526" w:rsidP="00BC7526">
            <w:pPr>
              <w:pStyle w:val="NotesText"/>
            </w:pPr>
          </w:p>
          <w:p w14:paraId="260235E2" w14:textId="77777777" w:rsidR="007A00DE" w:rsidRDefault="007A00DE" w:rsidP="007A00DE">
            <w:pPr>
              <w:pStyle w:val="NotesText"/>
            </w:pPr>
            <w:r>
              <w:t>The merge-from patient record is the inactive record in VBECS</w:t>
            </w:r>
            <w:r w:rsidR="00B75ABB">
              <w:t>.</w:t>
            </w:r>
          </w:p>
          <w:p w14:paraId="3DD9D6A0" w14:textId="77777777" w:rsidR="007A00DE" w:rsidRDefault="007A00DE" w:rsidP="007A00DE">
            <w:pPr>
              <w:pStyle w:val="NotesText"/>
            </w:pPr>
          </w:p>
          <w:p w14:paraId="690B8274" w14:textId="77777777" w:rsidR="007A00DE" w:rsidRDefault="007A00DE" w:rsidP="007A00DE">
            <w:pPr>
              <w:pStyle w:val="NotesText"/>
            </w:pPr>
            <w:r>
              <w:t xml:space="preserve">Use Special Instructions &amp; Transfusion Requirements: Enter a Transfusion Requirement, and Special Instructions &amp; Transfusion Requirements: Enter and Remove Special Instructions to enter, update, or delete relevant component requirements, antibodies, or antigen requirements. </w:t>
            </w:r>
          </w:p>
          <w:p w14:paraId="79987D2B" w14:textId="77777777" w:rsidR="007A00DE" w:rsidRDefault="007A00DE" w:rsidP="007A00DE">
            <w:pPr>
              <w:pStyle w:val="NotesText"/>
            </w:pPr>
          </w:p>
          <w:p w14:paraId="6A06E370" w14:textId="77777777" w:rsidR="007A00DE" w:rsidRDefault="007A00DE" w:rsidP="007A00DE">
            <w:pPr>
              <w:pStyle w:val="NotesText"/>
            </w:pPr>
            <w:r>
              <w:t>Enter an SI comment in the merge-from patient record, for example, “This patient record was merged with &lt;</w:t>
            </w:r>
            <w:r w:rsidRPr="000F2898">
              <w:rPr>
                <w:i/>
              </w:rPr>
              <w:t>insert merge-</w:t>
            </w:r>
            <w:r>
              <w:rPr>
                <w:i/>
              </w:rPr>
              <w:t>to</w:t>
            </w:r>
            <w:r w:rsidRPr="000F2898">
              <w:rPr>
                <w:i/>
              </w:rPr>
              <w:t xml:space="preserve"> patient name</w:t>
            </w:r>
            <w:r w:rsidRPr="000F2898">
              <w:t>&gt;</w:t>
            </w:r>
            <w:r>
              <w:t xml:space="preserve"> in VistA and must not be used to process orders after &lt;</w:t>
            </w:r>
            <w:r w:rsidRPr="000F2898">
              <w:rPr>
                <w:i/>
              </w:rPr>
              <w:t>insert merge date</w:t>
            </w:r>
            <w:r>
              <w:rPr>
                <w:i/>
              </w:rPr>
              <w:t xml:space="preserve"> and </w:t>
            </w:r>
            <w:r w:rsidRPr="000F2898">
              <w:rPr>
                <w:i/>
              </w:rPr>
              <w:t>time</w:t>
            </w:r>
            <w:r w:rsidRPr="000F2898">
              <w:t>&gt;</w:t>
            </w:r>
            <w:r>
              <w:t>. Refer to the records of &lt;</w:t>
            </w:r>
            <w:r w:rsidRPr="000F2898">
              <w:rPr>
                <w:i/>
              </w:rPr>
              <w:t>insert merge-</w:t>
            </w:r>
            <w:r>
              <w:rPr>
                <w:i/>
              </w:rPr>
              <w:t>to</w:t>
            </w:r>
            <w:r w:rsidRPr="000F2898">
              <w:rPr>
                <w:i/>
              </w:rPr>
              <w:t xml:space="preserve"> patient name</w:t>
            </w:r>
            <w:r w:rsidRPr="000F2898">
              <w:t>&gt;</w:t>
            </w:r>
            <w:r>
              <w:t xml:space="preserve"> for testing and transfusion information after the merge event.”</w:t>
            </w:r>
          </w:p>
        </w:tc>
      </w:tr>
      <w:tr w:rsidR="00BC7526" w14:paraId="0CBE4C21" w14:textId="77777777" w:rsidTr="003362FE">
        <w:trPr>
          <w:cantSplit/>
        </w:trPr>
        <w:tc>
          <w:tcPr>
            <w:tcW w:w="3240" w:type="dxa"/>
          </w:tcPr>
          <w:p w14:paraId="10D874B6" w14:textId="77777777" w:rsidR="00BC7526" w:rsidRDefault="00BC7526" w:rsidP="007A00DE">
            <w:pPr>
              <w:pStyle w:val="TableTextNumbers"/>
            </w:pPr>
            <w:r>
              <w:t>Cancel pending orders on the merge-from patient. Request replacement orders for the merge-to patient, as appropriate.</w:t>
            </w:r>
          </w:p>
        </w:tc>
        <w:tc>
          <w:tcPr>
            <w:tcW w:w="6120" w:type="dxa"/>
          </w:tcPr>
          <w:p w14:paraId="5B0234D2" w14:textId="77777777" w:rsidR="00BC7526" w:rsidRPr="00935E73" w:rsidRDefault="00BC7526" w:rsidP="000305DD">
            <w:pPr>
              <w:pStyle w:val="TableText"/>
            </w:pPr>
          </w:p>
          <w:p w14:paraId="7EB139CC" w14:textId="786CB943" w:rsidR="00BC7526" w:rsidRDefault="00BC7526" w:rsidP="000305DD">
            <w:pPr>
              <w:pStyle w:val="TableText"/>
              <w:rPr>
                <w:b/>
                <w:bCs/>
                <w:szCs w:val="18"/>
              </w:rPr>
            </w:pPr>
            <w:r>
              <w:rPr>
                <w:b/>
                <w:bCs/>
                <w:szCs w:val="18"/>
              </w:rPr>
              <w:t>NOTES</w:t>
            </w:r>
          </w:p>
          <w:p w14:paraId="70033B52" w14:textId="77777777" w:rsidR="00BC7526" w:rsidRDefault="00BC7526" w:rsidP="000305DD">
            <w:pPr>
              <w:pStyle w:val="NotesText"/>
            </w:pPr>
          </w:p>
          <w:p w14:paraId="4707AE80" w14:textId="77777777" w:rsidR="00BC7526" w:rsidRDefault="00BC7526" w:rsidP="00BC7526">
            <w:pPr>
              <w:pStyle w:val="NotesText"/>
            </w:pPr>
            <w:r>
              <w:t>Local policy must define how to handle orders when the merge from patient or merge to patient does not exist in VBECS.</w:t>
            </w:r>
          </w:p>
        </w:tc>
      </w:tr>
      <w:tr w:rsidR="00BC7526" w14:paraId="2E773B71" w14:textId="77777777">
        <w:tc>
          <w:tcPr>
            <w:tcW w:w="3240" w:type="dxa"/>
          </w:tcPr>
          <w:p w14:paraId="7B7B497A" w14:textId="77777777" w:rsidR="00BC7526" w:rsidRDefault="00BC7526" w:rsidP="007A00DE">
            <w:pPr>
              <w:pStyle w:val="TableTextNumbers"/>
            </w:pPr>
            <w:r>
              <w:t xml:space="preserve">To confirm that the merge-from and merge-to patient SIs and TRs match on the </w:t>
            </w:r>
            <w:r w:rsidRPr="00732440">
              <w:t>Patient Merge</w:t>
            </w:r>
            <w:r>
              <w:t xml:space="preserve"> display.</w:t>
            </w:r>
          </w:p>
        </w:tc>
        <w:tc>
          <w:tcPr>
            <w:tcW w:w="6120" w:type="dxa"/>
          </w:tcPr>
          <w:p w14:paraId="43BED611" w14:textId="77777777" w:rsidR="00BC7526" w:rsidRPr="00935E73" w:rsidRDefault="00BC7526" w:rsidP="000305DD">
            <w:pPr>
              <w:pStyle w:val="TableText"/>
            </w:pPr>
          </w:p>
          <w:p w14:paraId="0B2710B0" w14:textId="7E0C2AB5" w:rsidR="00BC7526" w:rsidRDefault="00BC7526" w:rsidP="000305DD">
            <w:pPr>
              <w:pStyle w:val="TableText"/>
              <w:rPr>
                <w:b/>
                <w:bCs/>
                <w:szCs w:val="18"/>
              </w:rPr>
            </w:pPr>
            <w:r>
              <w:rPr>
                <w:b/>
                <w:bCs/>
                <w:szCs w:val="18"/>
              </w:rPr>
              <w:t>NOTES</w:t>
            </w:r>
          </w:p>
          <w:p w14:paraId="74B7E07D" w14:textId="77777777" w:rsidR="00BC7526" w:rsidRDefault="00BC7526" w:rsidP="000305DD">
            <w:pPr>
              <w:pStyle w:val="NotesText"/>
            </w:pPr>
          </w:p>
          <w:p w14:paraId="4D2C1039" w14:textId="77777777" w:rsidR="00BC7526" w:rsidRDefault="00BC7526" w:rsidP="00BC7526">
            <w:pPr>
              <w:pStyle w:val="NotesText"/>
            </w:pPr>
            <w:r>
              <w:t>Local policy must define how to handle records when the merge from patient or merge to patient does not exist in VBECS.</w:t>
            </w:r>
          </w:p>
        </w:tc>
      </w:tr>
      <w:tr w:rsidR="00B473F5" w14:paraId="38B3D613" w14:textId="77777777" w:rsidTr="003362FE">
        <w:trPr>
          <w:cantSplit/>
          <w:hidden/>
        </w:trPr>
        <w:tc>
          <w:tcPr>
            <w:tcW w:w="3240" w:type="dxa"/>
          </w:tcPr>
          <w:p w14:paraId="2F3024A2" w14:textId="77777777" w:rsidR="00B473F5" w:rsidRDefault="00203F78" w:rsidP="000C6CEA">
            <w:pPr>
              <w:pStyle w:val="TableTextNumbers"/>
            </w:pPr>
            <w:r w:rsidRPr="00203F78">
              <w:rPr>
                <w:vanish/>
              </w:rPr>
              <w:t xml:space="preserve">DR 2,527 </w:t>
            </w:r>
            <w:r>
              <w:t xml:space="preserve">Click </w:t>
            </w:r>
            <w:r w:rsidRPr="00203F78">
              <w:rPr>
                <w:b/>
              </w:rPr>
              <w:t>Clear Patient Merge Alert</w:t>
            </w:r>
            <w:r w:rsidRPr="00203F78">
              <w:t>.</w:t>
            </w:r>
          </w:p>
        </w:tc>
        <w:tc>
          <w:tcPr>
            <w:tcW w:w="6120" w:type="dxa"/>
          </w:tcPr>
          <w:p w14:paraId="64FA38BC" w14:textId="77777777" w:rsidR="00B473F5" w:rsidRDefault="00BC4B7B" w:rsidP="00203F78">
            <w:pPr>
              <w:pStyle w:val="TableTextBullet"/>
            </w:pPr>
            <w:r>
              <w:t>When there are no pending patient updates, c</w:t>
            </w:r>
            <w:r w:rsidR="00203F78">
              <w:t>lears</w:t>
            </w:r>
            <w:r w:rsidR="00AB565A">
              <w:t xml:space="preserve"> </w:t>
            </w:r>
            <w:r w:rsidR="00057948">
              <w:rPr>
                <w:noProof/>
              </w:rPr>
              <w:drawing>
                <wp:inline distT="0" distB="0" distL="0" distR="0" wp14:anchorId="423C076D" wp14:editId="70398E80">
                  <wp:extent cx="166370" cy="156845"/>
                  <wp:effectExtent l="0" t="0" r="5080" b="0"/>
                  <wp:docPr id="234" name="Picture 234" descr="Patient Ale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Patient Alert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w:t>
            </w:r>
            <w:r w:rsidR="00203F78">
              <w:t xml:space="preserve">the </w:t>
            </w:r>
            <w:r>
              <w:t>Patient</w:t>
            </w:r>
            <w:r w:rsidR="00203F78">
              <w:t xml:space="preserve"> Alert icon</w:t>
            </w:r>
            <w:r>
              <w:t>) from the main status bar.</w:t>
            </w:r>
          </w:p>
          <w:p w14:paraId="6E5F74FD" w14:textId="77777777" w:rsidR="005E0771" w:rsidRDefault="005E0771" w:rsidP="00203F78">
            <w:pPr>
              <w:pStyle w:val="TableTextBullet"/>
            </w:pPr>
            <w:r>
              <w:t xml:space="preserve">Displays </w:t>
            </w:r>
            <w:r w:rsidR="00342230">
              <w:t xml:space="preserve">an information message stating that the user viewed the record. </w:t>
            </w:r>
          </w:p>
          <w:p w14:paraId="5F17EEF1" w14:textId="77777777" w:rsidR="000B0170" w:rsidRPr="00935E73" w:rsidRDefault="000B0170" w:rsidP="000B0170">
            <w:pPr>
              <w:pStyle w:val="TableText"/>
            </w:pPr>
          </w:p>
          <w:p w14:paraId="34367615" w14:textId="33CF6D32" w:rsidR="000B0170" w:rsidRDefault="000B0170" w:rsidP="000B0170">
            <w:pPr>
              <w:pStyle w:val="TableText"/>
              <w:rPr>
                <w:b/>
                <w:bCs/>
                <w:szCs w:val="18"/>
              </w:rPr>
            </w:pPr>
            <w:r>
              <w:rPr>
                <w:b/>
                <w:bCs/>
                <w:szCs w:val="18"/>
              </w:rPr>
              <w:t>NOTES</w:t>
            </w:r>
          </w:p>
          <w:p w14:paraId="285CD800" w14:textId="77777777" w:rsidR="000B0170" w:rsidRDefault="000B0170" w:rsidP="000B0170">
            <w:pPr>
              <w:pStyle w:val="NotesText"/>
            </w:pPr>
          </w:p>
          <w:p w14:paraId="0CD73FB6" w14:textId="77777777" w:rsidR="000B0170" w:rsidRDefault="000B0170" w:rsidP="000B0170">
            <w:pPr>
              <w:pStyle w:val="Notes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BD3287">
              <w:t>The Clear Patient Merge Alert function is available only to t</w:t>
            </w:r>
            <w:r>
              <w:t xml:space="preserve">he Traditional Supervisor </w:t>
            </w:r>
            <w:r w:rsidR="00BD3287">
              <w:t>and above</w:t>
            </w:r>
            <w:r w:rsidR="00D57F25">
              <w:t>.</w:t>
            </w:r>
          </w:p>
        </w:tc>
      </w:tr>
      <w:tr w:rsidR="00342230" w14:paraId="486008EE" w14:textId="77777777">
        <w:tc>
          <w:tcPr>
            <w:tcW w:w="3240" w:type="dxa"/>
          </w:tcPr>
          <w:p w14:paraId="66287024" w14:textId="77777777" w:rsidR="00342230" w:rsidRPr="00203F78" w:rsidRDefault="00342230" w:rsidP="000C6CEA">
            <w:pPr>
              <w:pStyle w:val="TableTextNumbers"/>
              <w:rPr>
                <w:vanish/>
              </w:rPr>
            </w:pPr>
            <w:r>
              <w:t xml:space="preserve">Click </w:t>
            </w:r>
            <w:r w:rsidRPr="00342230">
              <w:rPr>
                <w:b/>
              </w:rPr>
              <w:t>OK</w:t>
            </w:r>
            <w:r>
              <w:t xml:space="preserve"> to acknowledge the message.</w:t>
            </w:r>
          </w:p>
        </w:tc>
        <w:tc>
          <w:tcPr>
            <w:tcW w:w="6120" w:type="dxa"/>
          </w:tcPr>
          <w:p w14:paraId="3862FBBB" w14:textId="77777777" w:rsidR="00342230" w:rsidRDefault="00342230" w:rsidP="00203F78">
            <w:pPr>
              <w:pStyle w:val="TableTextBullet"/>
            </w:pPr>
            <w:r>
              <w:t>Clears the icon</w:t>
            </w:r>
            <w:r w:rsidR="00A1063F">
              <w:t xml:space="preserve"> when the user acknowledges the</w:t>
            </w:r>
            <w:r>
              <w:t xml:space="preserve"> message.</w:t>
            </w:r>
          </w:p>
        </w:tc>
      </w:tr>
      <w:tr w:rsidR="007A00DE" w14:paraId="3F89C5A7" w14:textId="77777777">
        <w:tc>
          <w:tcPr>
            <w:tcW w:w="3240" w:type="dxa"/>
          </w:tcPr>
          <w:p w14:paraId="27435DB1" w14:textId="77777777" w:rsidR="007A00DE" w:rsidRDefault="007A00DE" w:rsidP="007A00DE">
            <w:pPr>
              <w:pStyle w:val="TableTextNumbers"/>
            </w:pPr>
            <w:r>
              <w:t xml:space="preserve">Click </w:t>
            </w:r>
            <w:r w:rsidR="00D76C47">
              <w:rPr>
                <w:b/>
              </w:rPr>
              <w:t>Close</w:t>
            </w:r>
            <w:r w:rsidR="00D76C47">
              <w:t xml:space="preserve"> </w:t>
            </w:r>
            <w:r>
              <w:t xml:space="preserve">to exit, or return to Step 2.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E6E10DD" w14:textId="77777777" w:rsidR="007A00DE" w:rsidRDefault="007A00DE" w:rsidP="007A00DE">
            <w:pPr>
              <w:pStyle w:val="TableText"/>
            </w:pPr>
          </w:p>
        </w:tc>
      </w:tr>
    </w:tbl>
    <w:p w14:paraId="23706991" w14:textId="75886E89" w:rsidR="00C74683" w:rsidRDefault="00C74683" w:rsidP="00C74683">
      <w:pPr>
        <w:pStyle w:val="Caption"/>
      </w:pPr>
      <w:bookmarkStart w:id="452" w:name="_Ref13678661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95</w:t>
      </w:r>
      <w:r w:rsidR="004E20BD">
        <w:rPr>
          <w:noProof/>
        </w:rPr>
        <w:fldChar w:fldCharType="end"/>
      </w:r>
      <w:bookmarkEnd w:id="451"/>
      <w:bookmarkEnd w:id="452"/>
      <w:r>
        <w:t>: Patient Merge</w:t>
      </w:r>
    </w:p>
    <w:p w14:paraId="2A8EA79C" w14:textId="77777777" w:rsidR="00C74683" w:rsidRDefault="00057948" w:rsidP="00C74683">
      <w:pPr>
        <w:pStyle w:val="BodyText"/>
      </w:pPr>
      <w:r>
        <w:rPr>
          <w:noProof/>
        </w:rPr>
        <w:drawing>
          <wp:inline distT="0" distB="0" distL="0" distR="0" wp14:anchorId="13E13685" wp14:editId="1A794835">
            <wp:extent cx="5781675" cy="3482340"/>
            <wp:effectExtent l="0" t="0" r="9525" b="3810"/>
            <wp:docPr id="235" name="Picture 235" descr="Example of Patient Merg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Example of Patient Merge screen captur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81675" cy="3482340"/>
                    </a:xfrm>
                    <a:prstGeom prst="rect">
                      <a:avLst/>
                    </a:prstGeom>
                    <a:noFill/>
                    <a:ln>
                      <a:noFill/>
                    </a:ln>
                  </pic:spPr>
                </pic:pic>
              </a:graphicData>
            </a:graphic>
          </wp:inline>
        </w:drawing>
      </w:r>
    </w:p>
    <w:p w14:paraId="3DC0CD89" w14:textId="77777777" w:rsidR="002A21AE" w:rsidRDefault="00AC2D9E">
      <w:pPr>
        <w:pStyle w:val="Heading3"/>
      </w:pPr>
      <w:r>
        <w:br w:type="page"/>
      </w:r>
      <w:bookmarkStart w:id="453" w:name="_Toc149064157"/>
      <w:r w:rsidR="002A21AE">
        <w:t>Updated Patients and Deceased Patients</w:t>
      </w:r>
      <w:bookmarkEnd w:id="453"/>
      <w:r w:rsidR="002A21AE">
        <w:fldChar w:fldCharType="begin"/>
      </w:r>
      <w:r w:rsidR="002A21AE">
        <w:instrText xml:space="preserve"> XE </w:instrText>
      </w:r>
      <w:r w:rsidR="00FA7E65">
        <w:instrText>“</w:instrText>
      </w:r>
      <w:r w:rsidR="002A21AE">
        <w:instrText>Updated Patients and Deceased Patients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UC_68</w:t>
      </w:r>
    </w:p>
    <w:p w14:paraId="2899CDA6" w14:textId="77777777" w:rsidR="002A21AE" w:rsidRDefault="002A21AE" w:rsidP="00FA7E65">
      <w:pPr>
        <w:pStyle w:val="BodyText"/>
      </w:pPr>
      <w:r>
        <w:rPr>
          <w:rFonts w:ascii="Arial" w:hAnsi="Arial" w:cs="Arial"/>
          <w:vanish/>
          <w:sz w:val="18"/>
        </w:rPr>
        <w:t xml:space="preserve">BR_68.02 </w:t>
      </w:r>
      <w:r>
        <w:t xml:space="preserve">The user views </w:t>
      </w:r>
      <w:r w:rsidR="000350E5">
        <w:t xml:space="preserve">patient </w:t>
      </w:r>
      <w:r>
        <w:t>update</w:t>
      </w:r>
      <w:r w:rsidR="00401847">
        <w:t>s</w:t>
      </w:r>
      <w:r>
        <w:t xml:space="preserve"> </w:t>
      </w:r>
      <w:r w:rsidR="00086F22">
        <w:t xml:space="preserve">and </w:t>
      </w:r>
      <w:r>
        <w:t>death events for patients with pending or active orders in VBECS.</w:t>
      </w:r>
    </w:p>
    <w:p w14:paraId="2F731AB8" w14:textId="77777777" w:rsidR="002A21AE" w:rsidRDefault="002A21AE">
      <w:pPr>
        <w:pStyle w:val="Heading4"/>
      </w:pPr>
      <w:r>
        <w:t>Assumptions</w:t>
      </w:r>
      <w:r>
        <w:rPr>
          <w:b w:val="0"/>
        </w:rPr>
        <w:t xml:space="preserve"> </w:t>
      </w:r>
    </w:p>
    <w:p w14:paraId="6DD4CE45" w14:textId="5FB9D56F" w:rsidR="00422796" w:rsidRPr="00422796" w:rsidRDefault="00422796" w:rsidP="00422796">
      <w:pPr>
        <w:pStyle w:val="ListBullet"/>
      </w:pPr>
      <w:r w:rsidRPr="00422796">
        <w:t xml:space="preserve">The connection to </w:t>
      </w:r>
      <w:r w:rsidRPr="00422796">
        <w:rPr>
          <w:bCs/>
        </w:rPr>
        <w:t>VistA</w:t>
      </w:r>
      <w:r w:rsidRPr="00422796">
        <w:t xml:space="preserve"> is active.</w:t>
      </w:r>
      <w:r w:rsidR="00E459C6">
        <w:t xml:space="preserve">   </w:t>
      </w:r>
    </w:p>
    <w:p w14:paraId="17FA2D92" w14:textId="77777777" w:rsidR="00422796" w:rsidRDefault="00422796" w:rsidP="00422796">
      <w:pPr>
        <w:pStyle w:val="ListBullet"/>
      </w:pPr>
      <w:r>
        <w:t xml:space="preserve">The patient record was updated in </w:t>
      </w:r>
      <w:r w:rsidRPr="00CA6E27">
        <w:rPr>
          <w:bCs/>
        </w:rPr>
        <w:t>VistA</w:t>
      </w:r>
      <w:r>
        <w:t>.</w:t>
      </w:r>
    </w:p>
    <w:p w14:paraId="73B3014B" w14:textId="77777777" w:rsidR="002A21AE" w:rsidRDefault="002A21AE">
      <w:pPr>
        <w:pStyle w:val="ListBullet"/>
      </w:pPr>
      <w:r>
        <w:t xml:space="preserve">VBECS received a message </w:t>
      </w:r>
      <w:r w:rsidR="00086F22">
        <w:t xml:space="preserve">from VistA </w:t>
      </w:r>
      <w:r>
        <w:t>about a patient record update or death.</w:t>
      </w:r>
    </w:p>
    <w:p w14:paraId="3545907C" w14:textId="77777777" w:rsidR="002A21AE" w:rsidRDefault="002A21AE">
      <w:pPr>
        <w:pStyle w:val="ListBullet"/>
      </w:pPr>
      <w:r>
        <w:t>The affected patient’s records are in the VBECS database.</w:t>
      </w:r>
    </w:p>
    <w:p w14:paraId="48C4B0CD" w14:textId="77777777" w:rsidR="002A21AE" w:rsidRDefault="002A21AE">
      <w:pPr>
        <w:pStyle w:val="ListBullet"/>
      </w:pPr>
      <w:r>
        <w:t>The affected patient has a pending or active order in VBECS for update</w:t>
      </w:r>
      <w:r w:rsidR="00E413E2">
        <w:t>s</w:t>
      </w:r>
      <w:r>
        <w:t xml:space="preserve"> and/or death event.</w:t>
      </w:r>
    </w:p>
    <w:p w14:paraId="3CBF7473" w14:textId="77777777" w:rsidR="002A21AE" w:rsidRDefault="002A21AE">
      <w:pPr>
        <w:pStyle w:val="Heading4"/>
      </w:pPr>
      <w:r>
        <w:t xml:space="preserve">Outcome </w:t>
      </w:r>
    </w:p>
    <w:p w14:paraId="17E340AA" w14:textId="77777777" w:rsidR="002A21AE" w:rsidRDefault="002A21AE">
      <w:pPr>
        <w:pStyle w:val="ListBullet"/>
      </w:pPr>
      <w:r>
        <w:t>The user reviews updated patient records.</w:t>
      </w:r>
    </w:p>
    <w:p w14:paraId="043467EB" w14:textId="77777777" w:rsidR="002A21AE" w:rsidRDefault="002A21AE">
      <w:pPr>
        <w:pStyle w:val="Heading4"/>
      </w:pPr>
      <w:r>
        <w:t>Limitations and Restrictions</w:t>
      </w:r>
      <w:r>
        <w:rPr>
          <w:b w:val="0"/>
        </w:rPr>
        <w:t xml:space="preserve"> </w:t>
      </w:r>
    </w:p>
    <w:p w14:paraId="698351A6" w14:textId="77777777" w:rsidR="002A21AE" w:rsidRDefault="002A21AE">
      <w:pPr>
        <w:pStyle w:val="ListBullet"/>
      </w:pPr>
      <w:r>
        <w:t>Demographic and death event updates do not display information for patients without pending or active orders in VBECS.</w:t>
      </w:r>
      <w:r w:rsidR="00AB5121">
        <w:t xml:space="preserve"> Updates will occur without user input.</w:t>
      </w:r>
    </w:p>
    <w:p w14:paraId="6DE03EBE" w14:textId="77777777" w:rsidR="00422796" w:rsidRDefault="00422796" w:rsidP="00422796">
      <w:pPr>
        <w:pStyle w:val="ListBulle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p w14:paraId="4ED3FF60" w14:textId="77777777" w:rsidR="00C805FB" w:rsidRDefault="00C805FB" w:rsidP="00422796">
      <w:pPr>
        <w:pStyle w:val="ListBullet"/>
      </w:pPr>
      <w:r>
        <w:t>When VBECS notifies a user of an update to a patient’s prefix or suffix, VBECS does not display the updated information: the user must access VistA to view the updated information</w:t>
      </w:r>
      <w:r w:rsidR="00EE1726">
        <w:t>.</w:t>
      </w:r>
      <w:r w:rsidRPr="00C805FB">
        <w:rPr>
          <w:vanish/>
        </w:rPr>
        <w:t xml:space="preserve"> </w:t>
      </w:r>
      <w:r w:rsidR="00EE1726">
        <w:rPr>
          <w:vanish/>
        </w:rPr>
        <w:t>DR 2,714</w:t>
      </w:r>
    </w:p>
    <w:p w14:paraId="35F8E58F" w14:textId="77777777" w:rsidR="00195D83" w:rsidRDefault="00195D83" w:rsidP="00422796">
      <w:pPr>
        <w:pStyle w:val="ListBullet"/>
      </w:pPr>
      <w:r>
        <w:t xml:space="preserve">Suffix data may be outdated but will be refreshed upon a new order for a patient. </w:t>
      </w:r>
      <w:r w:rsidRPr="00812458">
        <w:rPr>
          <w:vanish/>
        </w:rPr>
        <w:t>Task 447307</w:t>
      </w:r>
    </w:p>
    <w:p w14:paraId="09639208" w14:textId="77777777" w:rsidR="002A21AE" w:rsidRDefault="002A21AE">
      <w:pPr>
        <w:pStyle w:val="Heading4"/>
      </w:pPr>
      <w:r>
        <w:t xml:space="preserve">Additional Information </w:t>
      </w:r>
    </w:p>
    <w:p w14:paraId="4BE601FD" w14:textId="77777777" w:rsidR="002A21AE" w:rsidRDefault="002A21AE">
      <w:pPr>
        <w:pStyle w:val="ListBullet"/>
      </w:pPr>
      <w:r>
        <w:t>None</w:t>
      </w:r>
    </w:p>
    <w:p w14:paraId="51E732E2" w14:textId="77777777" w:rsidR="002A21AE" w:rsidRDefault="002A21AE">
      <w:pPr>
        <w:pStyle w:val="Heading4"/>
        <w:rPr>
          <w:b w:val="0"/>
        </w:rPr>
      </w:pPr>
      <w:r>
        <w:t>User Roles with Access to This Option</w:t>
      </w:r>
      <w:r>
        <w:rPr>
          <w:b w:val="0"/>
        </w:rPr>
        <w:t xml:space="preserve"> </w:t>
      </w:r>
    </w:p>
    <w:p w14:paraId="2D97D820" w14:textId="77777777" w:rsidR="002A21AE" w:rsidRDefault="00A937B3">
      <w:pPr>
        <w:pStyle w:val="Roles"/>
        <w:rPr>
          <w:snapToGrid w:val="0"/>
        </w:rPr>
      </w:pPr>
      <w:r>
        <w:t>All users</w:t>
      </w:r>
    </w:p>
    <w:p w14:paraId="354B1D2A" w14:textId="77777777" w:rsidR="002A21AE" w:rsidRDefault="002A21AE">
      <w:pPr>
        <w:pStyle w:val="Heading4"/>
      </w:pPr>
      <w:r>
        <w:t>Updated Patients and Deceased Patients</w:t>
      </w:r>
    </w:p>
    <w:p w14:paraId="1DAAB06C" w14:textId="77777777" w:rsidR="002A21AE" w:rsidRDefault="002A21AE" w:rsidP="00FA7E65">
      <w:pPr>
        <w:pStyle w:val="BodyText"/>
      </w:pPr>
      <w:r>
        <w:t>The user views updated patient records.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35EE060" w14:textId="77777777">
        <w:trPr>
          <w:cantSplit/>
          <w:tblHeader/>
        </w:trPr>
        <w:tc>
          <w:tcPr>
            <w:tcW w:w="3240" w:type="dxa"/>
            <w:shd w:val="pct30" w:color="auto" w:fill="FFFFFF"/>
            <w:vAlign w:val="bottom"/>
          </w:tcPr>
          <w:p w14:paraId="383EE2BF" w14:textId="77777777" w:rsidR="002A21AE" w:rsidRDefault="002A21AE">
            <w:pPr>
              <w:pStyle w:val="TableText"/>
              <w:rPr>
                <w:b/>
              </w:rPr>
            </w:pPr>
            <w:r>
              <w:rPr>
                <w:b/>
              </w:rPr>
              <w:t>User Action</w:t>
            </w:r>
          </w:p>
        </w:tc>
        <w:tc>
          <w:tcPr>
            <w:tcW w:w="6120" w:type="dxa"/>
            <w:shd w:val="pct30" w:color="auto" w:fill="FFFFFF"/>
            <w:vAlign w:val="bottom"/>
          </w:tcPr>
          <w:p w14:paraId="5F8D861D" w14:textId="77777777" w:rsidR="002A21AE" w:rsidRDefault="002A21AE">
            <w:pPr>
              <w:pStyle w:val="TableText"/>
              <w:rPr>
                <w:b/>
              </w:rPr>
            </w:pPr>
            <w:r>
              <w:rPr>
                <w:b/>
              </w:rPr>
              <w:t>VBECS</w:t>
            </w:r>
          </w:p>
        </w:tc>
      </w:tr>
      <w:tr w:rsidR="002A21AE" w14:paraId="7E1E2E2B" w14:textId="77777777">
        <w:tc>
          <w:tcPr>
            <w:tcW w:w="3240" w:type="dxa"/>
            <w:tcBorders>
              <w:top w:val="single" w:sz="4" w:space="0" w:color="auto"/>
              <w:left w:val="single" w:sz="4" w:space="0" w:color="auto"/>
              <w:bottom w:val="single" w:sz="4" w:space="0" w:color="auto"/>
              <w:right w:val="single" w:sz="4" w:space="0" w:color="auto"/>
            </w:tcBorders>
          </w:tcPr>
          <w:p w14:paraId="79D2948B" w14:textId="77777777" w:rsidR="002A21AE" w:rsidRDefault="002A21AE">
            <w:pPr>
              <w:pStyle w:val="TableTextNumbers"/>
            </w:pPr>
            <w:r>
              <w:t xml:space="preserve">Select </w:t>
            </w:r>
            <w:r>
              <w:rPr>
                <w:b/>
              </w:rPr>
              <w:t>Patients</w:t>
            </w:r>
            <w:r>
              <w:t xml:space="preserve"> from the main menu.</w:t>
            </w:r>
          </w:p>
          <w:p w14:paraId="1E999840" w14:textId="77777777" w:rsidR="002A21AE" w:rsidRDefault="002A21AE">
            <w:pPr>
              <w:pStyle w:val="TableTextNumbersContinued"/>
            </w:pPr>
          </w:p>
          <w:p w14:paraId="05729D8E" w14:textId="77777777" w:rsidR="002A21AE" w:rsidRDefault="002A21AE">
            <w:pPr>
              <w:pStyle w:val="TableTextNumbersContinued"/>
            </w:pPr>
            <w:r>
              <w:t xml:space="preserve">Select </w:t>
            </w:r>
            <w:r>
              <w:rPr>
                <w:b/>
              </w:rPr>
              <w:t>Patient Updates</w:t>
            </w:r>
            <w:r>
              <w:t>.</w:t>
            </w:r>
          </w:p>
          <w:p w14:paraId="1912FCF2" w14:textId="77777777" w:rsidR="002A21AE" w:rsidRDefault="002A21AE">
            <w:pPr>
              <w:pStyle w:val="TableTextNumbersContinued"/>
            </w:pPr>
          </w:p>
          <w:p w14:paraId="087E97C6" w14:textId="77777777" w:rsidR="002A21AE" w:rsidRDefault="002A21AE">
            <w:pPr>
              <w:pStyle w:val="TableTextNumbersContinued"/>
            </w:pPr>
            <w:r>
              <w:t xml:space="preserve">Select </w:t>
            </w:r>
            <w:r>
              <w:rPr>
                <w:b/>
              </w:rPr>
              <w:t>Updated Patient</w:t>
            </w:r>
            <w:r>
              <w:t xml:space="preserve"> or </w:t>
            </w:r>
            <w:r>
              <w:rPr>
                <w:b/>
              </w:rPr>
              <w:t>Deceased Patient</w:t>
            </w:r>
            <w:r>
              <w:t>, or</w:t>
            </w:r>
          </w:p>
          <w:p w14:paraId="7B9141D2" w14:textId="77777777" w:rsidR="002A21AE" w:rsidRDefault="002A21AE">
            <w:pPr>
              <w:pStyle w:val="TableTextNumbersContinued"/>
            </w:pPr>
          </w:p>
          <w:p w14:paraId="0E970CA7" w14:textId="77777777" w:rsidR="002A21AE" w:rsidRDefault="002A21AE">
            <w:pPr>
              <w:pStyle w:val="TableTextNumbersContinued"/>
            </w:pPr>
            <w:r>
              <w:t xml:space="preserve">Click </w:t>
            </w:r>
            <w:r w:rsidR="00057948">
              <w:rPr>
                <w:noProof/>
              </w:rPr>
              <w:drawing>
                <wp:inline distT="0" distB="0" distL="0" distR="0" wp14:anchorId="793299B1" wp14:editId="253F0494">
                  <wp:extent cx="166370" cy="156845"/>
                  <wp:effectExtent l="0" t="0" r="5080" b="0"/>
                  <wp:docPr id="236" name="Picture 236" descr="patient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atientale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156845"/>
                          </a:xfrm>
                          <a:prstGeom prst="rect">
                            <a:avLst/>
                          </a:prstGeom>
                          <a:noFill/>
                          <a:ln>
                            <a:noFill/>
                          </a:ln>
                        </pic:spPr>
                      </pic:pic>
                    </a:graphicData>
                  </a:graphic>
                </wp:inline>
              </w:drawing>
            </w:r>
            <w:r>
              <w:t xml:space="preserve"> in the Patient Information Toolbar, when it is active.</w:t>
            </w:r>
          </w:p>
        </w:tc>
        <w:tc>
          <w:tcPr>
            <w:tcW w:w="6120" w:type="dxa"/>
            <w:tcBorders>
              <w:top w:val="single" w:sz="4" w:space="0" w:color="auto"/>
              <w:left w:val="single" w:sz="4" w:space="0" w:color="auto"/>
              <w:bottom w:val="single" w:sz="4" w:space="0" w:color="auto"/>
              <w:right w:val="single" w:sz="4" w:space="0" w:color="auto"/>
            </w:tcBorders>
          </w:tcPr>
          <w:p w14:paraId="53CD23C8" w14:textId="77777777" w:rsidR="002A21AE" w:rsidRDefault="002A21AE">
            <w:pPr>
              <w:pStyle w:val="TableTextBullet"/>
            </w:pPr>
            <w:r>
              <w:t>Displays options for processing patient-related functions.</w:t>
            </w:r>
          </w:p>
          <w:p w14:paraId="7FE28393" w14:textId="77777777" w:rsidR="002A21AE" w:rsidRDefault="002A21AE">
            <w:pPr>
              <w:pStyle w:val="TableTextBullet"/>
            </w:pPr>
            <w:r>
              <w:t>Lists updated or deceased patients (also lists these data after the update if they changed)</w:t>
            </w:r>
            <w:r w:rsidR="005F6016">
              <w:t>,</w:t>
            </w:r>
            <w:r>
              <w:t xml:space="preserve"> including:</w:t>
            </w:r>
          </w:p>
          <w:p w14:paraId="2FDE8907" w14:textId="77777777" w:rsidR="002A21AE" w:rsidRDefault="002A21AE">
            <w:pPr>
              <w:pStyle w:val="TableTextBullet1"/>
            </w:pPr>
            <w:r>
              <w:t xml:space="preserve">Patient name </w:t>
            </w:r>
          </w:p>
          <w:p w14:paraId="073B974E" w14:textId="77777777" w:rsidR="002A21AE" w:rsidRDefault="002A21AE">
            <w:pPr>
              <w:pStyle w:val="TableTextBullet1"/>
            </w:pPr>
            <w:r>
              <w:t xml:space="preserve">Patient ID </w:t>
            </w:r>
          </w:p>
          <w:p w14:paraId="142842F0" w14:textId="77777777" w:rsidR="002A21AE" w:rsidRDefault="002A21AE">
            <w:pPr>
              <w:pStyle w:val="TableTextBullet1"/>
            </w:pPr>
            <w:r>
              <w:t xml:space="preserve">Patient date of birth </w:t>
            </w:r>
          </w:p>
          <w:p w14:paraId="679C9C1F" w14:textId="77777777" w:rsidR="002A21AE" w:rsidRDefault="002A21AE">
            <w:pPr>
              <w:pStyle w:val="TableTextBullet1"/>
            </w:pPr>
            <w:r>
              <w:t>Date and time of the update, or date of death</w:t>
            </w:r>
          </w:p>
        </w:tc>
      </w:tr>
      <w:tr w:rsidR="002A21AE" w14:paraId="241A1B4B" w14:textId="77777777">
        <w:tc>
          <w:tcPr>
            <w:tcW w:w="3240" w:type="dxa"/>
          </w:tcPr>
          <w:p w14:paraId="66DE30D0" w14:textId="77777777" w:rsidR="002A21AE" w:rsidRDefault="002A21AE">
            <w:pPr>
              <w:pStyle w:val="TableTextNumbers"/>
            </w:pPr>
            <w:r>
              <w:t xml:space="preserve">Click </w:t>
            </w:r>
            <w:r>
              <w:rPr>
                <w:b/>
              </w:rPr>
              <w:t>Close</w:t>
            </w:r>
            <w:r>
              <w:t xml:space="preserve"> to exit, or return to Step 1 to view another patient’s data.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5038BE1" w14:textId="77777777" w:rsidR="002A21AE" w:rsidRDefault="002A21AE">
            <w:pPr>
              <w:pStyle w:val="TableText"/>
            </w:pPr>
          </w:p>
        </w:tc>
      </w:tr>
    </w:tbl>
    <w:p w14:paraId="1895DD19" w14:textId="77777777" w:rsidR="002A21AE" w:rsidRDefault="002A21AE">
      <w:pPr>
        <w:pStyle w:val="Heading3"/>
        <w:sectPr w:rsidR="002A21AE" w:rsidSect="00EE771C">
          <w:pgSz w:w="12240" w:h="15840" w:code="1"/>
          <w:pgMar w:top="1440" w:right="1440" w:bottom="1440" w:left="1440" w:header="720" w:footer="720" w:gutter="0"/>
          <w:cols w:space="720"/>
          <w:docGrid w:linePitch="360"/>
        </w:sectPr>
      </w:pPr>
      <w:bookmarkStart w:id="454" w:name="_Patient_Testing:_Record_Patient_Tes"/>
      <w:bookmarkStart w:id="455" w:name="_Patient_Testing:_Record"/>
      <w:bookmarkEnd w:id="454"/>
      <w:bookmarkEnd w:id="455"/>
    </w:p>
    <w:p w14:paraId="484FBB2F" w14:textId="77777777" w:rsidR="002A21AE" w:rsidRDefault="002A21AE">
      <w:pPr>
        <w:pStyle w:val="Heading3"/>
      </w:pPr>
      <w:bookmarkStart w:id="456" w:name="_Patient_Testing:_Record_1"/>
      <w:bookmarkStart w:id="457" w:name="_Toc149064158"/>
      <w:bookmarkEnd w:id="456"/>
      <w:r>
        <w:t xml:space="preserve">Patient Testing: </w:t>
      </w:r>
      <w:r w:rsidR="0064667E">
        <w:t>General Instructions</w:t>
      </w:r>
      <w:bookmarkEnd w:id="457"/>
      <w:r>
        <w:fldChar w:fldCharType="begin"/>
      </w:r>
      <w:r>
        <w:instrText xml:space="preserve"> XE </w:instrText>
      </w:r>
      <w:r w:rsidR="00FA7E65">
        <w:instrText>“</w:instrText>
      </w:r>
      <w:r>
        <w:instrText xml:space="preserve">Patient Testing\: </w:instrText>
      </w:r>
      <w:r w:rsidR="0064667E">
        <w:instrText>General Instructions</w:instrText>
      </w:r>
      <w:r w:rsidR="00FA7E65">
        <w:instrText>”</w:instrText>
      </w:r>
      <w:r>
        <w:instrText xml:space="preserve"> </w:instrText>
      </w:r>
      <w:r>
        <w:fldChar w:fldCharType="end"/>
      </w:r>
      <w:r>
        <w:t xml:space="preserve"> </w:t>
      </w:r>
      <w:r>
        <w:rPr>
          <w:rFonts w:ascii="Times New Roman" w:hAnsi="Times New Roman" w:cs="Times New Roman"/>
          <w:b w:val="0"/>
          <w:vanish/>
          <w:sz w:val="22"/>
        </w:rPr>
        <w:t>UC_56</w:t>
      </w:r>
    </w:p>
    <w:p w14:paraId="35CCCF45" w14:textId="77777777" w:rsidR="002A21AE" w:rsidRDefault="002A21AE" w:rsidP="00FA7E65">
      <w:pPr>
        <w:pStyle w:val="BodyText"/>
      </w:pPr>
      <w:bookmarkStart w:id="458" w:name="_Toc78036036"/>
      <w:r>
        <w:t>The user records a patient’s serologic test results.</w:t>
      </w:r>
    </w:p>
    <w:p w14:paraId="0D3851B4" w14:textId="77777777" w:rsidR="002A21AE" w:rsidRDefault="002A21AE">
      <w:pPr>
        <w:pStyle w:val="Heading4"/>
      </w:pPr>
      <w:r>
        <w:t>Assumptions</w:t>
      </w:r>
    </w:p>
    <w:p w14:paraId="44A30C61" w14:textId="77777777" w:rsidR="002A21AE" w:rsidRDefault="002A21AE">
      <w:pPr>
        <w:pStyle w:val="ListBullet"/>
      </w:pPr>
      <w:r>
        <w:t xml:space="preserve">The patient specimen and order were processed and found satisfactory for testing. </w:t>
      </w:r>
    </w:p>
    <w:p w14:paraId="3E1EC299" w14:textId="77777777" w:rsidR="002A21AE" w:rsidRDefault="002A21AE">
      <w:pPr>
        <w:pStyle w:val="ListBullet"/>
      </w:pPr>
      <w:r>
        <w:t>The user selected one to four diagnostic and/or component tasks for testing from the Pending Task List (PTL).</w:t>
      </w:r>
    </w:p>
    <w:p w14:paraId="3D1C4DDC" w14:textId="77777777" w:rsidR="002A21AE" w:rsidRDefault="002A21AE">
      <w:pPr>
        <w:pStyle w:val="ListBullet"/>
      </w:pPr>
      <w:r>
        <w:t>The patient may or may not have a previous blood bank record. Previously saved VBECS data related to this patient are available for comparison with the user’s test results and interpretations.</w:t>
      </w:r>
    </w:p>
    <w:p w14:paraId="01E3C871" w14:textId="77777777" w:rsidR="002A21AE" w:rsidRDefault="002A21AE">
      <w:pPr>
        <w:pStyle w:val="Heading4"/>
      </w:pPr>
      <w:r>
        <w:t>Outcome</w:t>
      </w:r>
    </w:p>
    <w:p w14:paraId="1A8D5086" w14:textId="77777777" w:rsidR="002A21AE" w:rsidRDefault="002A21AE">
      <w:pPr>
        <w:pStyle w:val="ListBullet"/>
      </w:pPr>
      <w:r>
        <w:t>The test record was filed, is unique, and is retrievable for the life of VBECS.</w:t>
      </w:r>
    </w:p>
    <w:p w14:paraId="3A56E45F" w14:textId="77777777" w:rsidR="002A21AE" w:rsidRDefault="002A21AE">
      <w:pPr>
        <w:pStyle w:val="ListBullet"/>
      </w:pPr>
      <w:r>
        <w:t>Partially completed testing is available for completion or invalidation but is not available to the patient record or reports.</w:t>
      </w:r>
    </w:p>
    <w:p w14:paraId="3283EA21" w14:textId="77777777" w:rsidR="002A21AE" w:rsidRDefault="002A21AE">
      <w:pPr>
        <w:pStyle w:val="ListBullet"/>
      </w:pPr>
      <w:r>
        <w:t>Completed, current specimen test results are available for inclusion in various reports.</w:t>
      </w:r>
    </w:p>
    <w:p w14:paraId="09B9B0C2" w14:textId="77777777" w:rsidR="002A21AE" w:rsidRDefault="002A21AE">
      <w:pPr>
        <w:pStyle w:val="ListBullet"/>
      </w:pPr>
      <w:r>
        <w:t>VBECS changes the task status to “completed” and triggers the generation of a message to CPRS that the order is complete.</w:t>
      </w:r>
    </w:p>
    <w:p w14:paraId="33BEC1DE" w14:textId="77777777" w:rsidR="002A21AE" w:rsidRDefault="002A21AE">
      <w:pPr>
        <w:pStyle w:val="ListBullet"/>
      </w:pPr>
      <w:r>
        <w:t>The test record includes the details of the verified, completed testing.</w:t>
      </w:r>
    </w:p>
    <w:p w14:paraId="38202EC0" w14:textId="77777777" w:rsidR="002A21AE" w:rsidRDefault="002A21AE">
      <w:pPr>
        <w:pStyle w:val="Heading4"/>
      </w:pPr>
      <w:r>
        <w:t>Limitations and Restrictions</w:t>
      </w:r>
    </w:p>
    <w:p w14:paraId="45AE5211" w14:textId="77777777" w:rsidR="00D50784" w:rsidRDefault="00D50784" w:rsidP="00D50784">
      <w:pPr>
        <w:pStyle w:val="ListBullet"/>
      </w:pPr>
      <w:r>
        <w:t>This test record is not editable after the user completes a test and saves it to the database. When a correction needs to be filed, a corrected report must be generated, as described in Invalidating Patient Test Results.</w:t>
      </w:r>
    </w:p>
    <w:p w14:paraId="4B8F399B" w14:textId="77777777" w:rsidR="00E36CAB" w:rsidRDefault="00E36CAB" w:rsidP="00E36CAB">
      <w:pPr>
        <w:pStyle w:val="ListBullet"/>
      </w:pPr>
      <w:r>
        <w:t>User selection of partially completed testing grids with different phases of testing</w:t>
      </w:r>
      <w:r w:rsidRPr="008727C1">
        <w:t xml:space="preserve"> </w:t>
      </w:r>
      <w:r>
        <w:t xml:space="preserve">(All Phases or AHG Only) as previously selected creates a testing discrepancy in VBECS. </w:t>
      </w:r>
    </w:p>
    <w:p w14:paraId="50A1CA92" w14:textId="77777777" w:rsidR="00B90645" w:rsidRPr="000D669E" w:rsidRDefault="00E36CAB" w:rsidP="00E36CAB">
      <w:pPr>
        <w:pStyle w:val="ListBullet"/>
      </w:pPr>
      <w:r>
        <w:t>Limited batch testing to partially completed orders with the same testing grid selection, either All Phases or AHG Only.</w:t>
      </w:r>
      <w:r w:rsidR="00B90645">
        <w:t xml:space="preserve"> </w:t>
      </w:r>
      <w:r w:rsidR="00B90645">
        <w:rPr>
          <w:vanish/>
        </w:rPr>
        <w:t>DR 4218</w:t>
      </w:r>
    </w:p>
    <w:p w14:paraId="69E52604" w14:textId="6CAC25A9" w:rsidR="000D669E" w:rsidRDefault="000D669E" w:rsidP="00E36CAB">
      <w:pPr>
        <w:pStyle w:val="ListBullet"/>
      </w:pPr>
      <w:r>
        <w:t xml:space="preserve">VBECS cannot compare test results for a patient when two users are entering test results for the same patient at the same time. </w:t>
      </w:r>
      <w:r w:rsidRPr="000D669E">
        <w:rPr>
          <w:vanish/>
        </w:rPr>
        <w:t>DR 4817</w:t>
      </w:r>
    </w:p>
    <w:p w14:paraId="232DAF05" w14:textId="5AA923EB" w:rsidR="00D141A2" w:rsidRDefault="00D141A2" w:rsidP="00E36CAB">
      <w:pPr>
        <w:pStyle w:val="ListBullet"/>
      </w:pPr>
      <w:r>
        <w:t>Cost entry is capped at 999.</w:t>
      </w:r>
      <w:r w:rsidR="00F358AF">
        <w:t>00</w:t>
      </w:r>
      <w:r>
        <w:t xml:space="preserve">. </w:t>
      </w:r>
      <w:r w:rsidRPr="00D141A2">
        <w:rPr>
          <w:vanish/>
        </w:rPr>
        <w:t>Defect 942523</w:t>
      </w:r>
    </w:p>
    <w:p w14:paraId="16F065A3" w14:textId="77777777" w:rsidR="002A21AE" w:rsidRDefault="002A21AE">
      <w:pPr>
        <w:pStyle w:val="Heading4"/>
      </w:pPr>
      <w:r>
        <w:t>Additional Information</w:t>
      </w:r>
    </w:p>
    <w:p w14:paraId="1F77CD32" w14:textId="77777777" w:rsidR="002A21AE" w:rsidRDefault="002A21AE">
      <w:pPr>
        <w:pStyle w:val="ListBullet"/>
      </w:pPr>
      <w:r>
        <w:t>Partially completed tests may be invalidated within the testing option.</w:t>
      </w:r>
    </w:p>
    <w:p w14:paraId="5207CCBB" w14:textId="77777777" w:rsidR="002A21AE" w:rsidRDefault="002A21AE">
      <w:pPr>
        <w:pStyle w:val="Heading4"/>
      </w:pPr>
      <w:r>
        <w:t>User Roles with Access to This Option</w:t>
      </w:r>
    </w:p>
    <w:p w14:paraId="10460C69" w14:textId="77777777" w:rsidR="00A937B3" w:rsidRDefault="00A937B3" w:rsidP="00A937B3">
      <w:pPr>
        <w:pStyle w:val="Roles"/>
        <w:rPr>
          <w:snapToGrid w:val="0"/>
        </w:rPr>
      </w:pPr>
      <w:r>
        <w:t>All users</w:t>
      </w:r>
    </w:p>
    <w:bookmarkEnd w:id="458"/>
    <w:p w14:paraId="6A56CFE4" w14:textId="77777777" w:rsidR="002A21AE" w:rsidRDefault="002A21AE">
      <w:pPr>
        <w:pStyle w:val="Heading4"/>
      </w:pPr>
      <w:r>
        <w:t xml:space="preserve">Patient Testing: </w:t>
      </w:r>
      <w:r w:rsidR="00260BEA">
        <w:t>General Instructions</w:t>
      </w:r>
    </w:p>
    <w:p w14:paraId="1F723D10" w14:textId="77777777" w:rsidR="002A21AE" w:rsidRDefault="002A21AE" w:rsidP="00FA7E65">
      <w:pPr>
        <w:pStyle w:val="BodyText"/>
      </w:pPr>
      <w:r>
        <w:t xml:space="preserve">A user records a patient’s test results: Type &amp; Screen (TAS), ABO/Rh, </w:t>
      </w:r>
      <w:r w:rsidR="008E2E30">
        <w:t>Antibody Screen Test (ABS)</w:t>
      </w:r>
      <w:r>
        <w:t>, Direct Antiglobulin Test (DAT), and crossmatches (XMs) on units selected for a patient. This option describes the configuration of reflex or repeat testing and patient antigen typing.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24D789E" w14:textId="77777777" w:rsidTr="003362FE">
        <w:trPr>
          <w:cantSplit/>
          <w:tblHeader/>
        </w:trPr>
        <w:tc>
          <w:tcPr>
            <w:tcW w:w="3240" w:type="dxa"/>
            <w:shd w:val="pct30" w:color="auto" w:fill="FFFFFF"/>
            <w:vAlign w:val="bottom"/>
          </w:tcPr>
          <w:p w14:paraId="7C9D637A" w14:textId="77777777" w:rsidR="002A21AE" w:rsidRDefault="002A21AE">
            <w:pPr>
              <w:pStyle w:val="TableText"/>
              <w:rPr>
                <w:b/>
              </w:rPr>
            </w:pPr>
            <w:r>
              <w:rPr>
                <w:b/>
              </w:rPr>
              <w:t>User Action</w:t>
            </w:r>
          </w:p>
        </w:tc>
        <w:tc>
          <w:tcPr>
            <w:tcW w:w="6120" w:type="dxa"/>
            <w:shd w:val="pct30" w:color="auto" w:fill="FFFFFF"/>
            <w:vAlign w:val="bottom"/>
          </w:tcPr>
          <w:p w14:paraId="3CFE4944" w14:textId="77777777" w:rsidR="002A21AE" w:rsidRDefault="002A21AE">
            <w:pPr>
              <w:pStyle w:val="TableText"/>
              <w:rPr>
                <w:b/>
              </w:rPr>
            </w:pPr>
            <w:r>
              <w:rPr>
                <w:b/>
              </w:rPr>
              <w:t>VBECS</w:t>
            </w:r>
          </w:p>
        </w:tc>
      </w:tr>
      <w:tr w:rsidR="002A21AE" w14:paraId="2DA8175D" w14:textId="77777777" w:rsidTr="003362FE">
        <w:trPr>
          <w:cantSplit/>
        </w:trPr>
        <w:tc>
          <w:tcPr>
            <w:tcW w:w="3240" w:type="dxa"/>
            <w:tcBorders>
              <w:top w:val="single" w:sz="4" w:space="0" w:color="auto"/>
              <w:left w:val="single" w:sz="4" w:space="0" w:color="auto"/>
              <w:bottom w:val="single" w:sz="4" w:space="0" w:color="auto"/>
              <w:right w:val="single" w:sz="4" w:space="0" w:color="auto"/>
            </w:tcBorders>
          </w:tcPr>
          <w:p w14:paraId="711900BD" w14:textId="77777777" w:rsidR="002A21AE" w:rsidRDefault="002A21AE">
            <w:pPr>
              <w:pStyle w:val="TableTextNumbers"/>
            </w:pPr>
            <w:r>
              <w:t xml:space="preserve">Select </w:t>
            </w:r>
            <w:r>
              <w:rPr>
                <w:b/>
              </w:rPr>
              <w:t>Patients</w:t>
            </w:r>
            <w:r>
              <w:t xml:space="preserve"> from the main menu.</w:t>
            </w:r>
          </w:p>
          <w:p w14:paraId="673E4D78" w14:textId="77777777" w:rsidR="002A21AE" w:rsidRDefault="002A21AE">
            <w:pPr>
              <w:pStyle w:val="TableTextNumbersContinued"/>
            </w:pPr>
          </w:p>
          <w:p w14:paraId="5C2EDA45" w14:textId="77777777" w:rsidR="002A21AE" w:rsidRDefault="002A21AE">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C787591" w14:textId="77777777" w:rsidR="002A21AE" w:rsidRDefault="002A21AE">
            <w:pPr>
              <w:pStyle w:val="TableTextBullet"/>
            </w:pPr>
            <w:r>
              <w:t xml:space="preserve">Displays options for processing patient-related functions. </w:t>
            </w:r>
          </w:p>
          <w:p w14:paraId="0442EFC1" w14:textId="77777777" w:rsidR="002A21AE" w:rsidRDefault="002A21AE">
            <w:pPr>
              <w:pStyle w:val="TableTextBullet"/>
            </w:pPr>
            <w:r>
              <w:t>Displays the Pending Task List (PTL) in the Diagnostic Tests tab.</w:t>
            </w:r>
          </w:p>
          <w:p w14:paraId="16F47BCF" w14:textId="77777777" w:rsidR="002A21AE" w:rsidRDefault="002A21AE">
            <w:pPr>
              <w:pStyle w:val="NotesText"/>
            </w:pPr>
          </w:p>
          <w:p w14:paraId="3C3E6C9F" w14:textId="379CF25A" w:rsidR="002A21AE" w:rsidRDefault="002A21AE">
            <w:pPr>
              <w:pStyle w:val="TableText"/>
              <w:rPr>
                <w:b/>
                <w:bCs/>
                <w:szCs w:val="18"/>
              </w:rPr>
            </w:pPr>
            <w:r>
              <w:rPr>
                <w:b/>
                <w:bCs/>
                <w:szCs w:val="18"/>
              </w:rPr>
              <w:t>NOTES</w:t>
            </w:r>
          </w:p>
          <w:p w14:paraId="41D9E0FC" w14:textId="77777777" w:rsidR="002A21AE" w:rsidRDefault="002A21AE">
            <w:pPr>
              <w:pStyle w:val="NotesText"/>
            </w:pPr>
          </w:p>
          <w:p w14:paraId="5E98F97D" w14:textId="77777777" w:rsidR="00CA495D" w:rsidRPr="00CA495D" w:rsidRDefault="002A21AE" w:rsidP="00CA495D">
            <w:pPr>
              <w:pStyle w:val="NotesText"/>
              <w:rPr>
                <w:snapToGrid w:val="0"/>
              </w:rPr>
            </w:pPr>
            <w:r>
              <w:t>A user may search for specific tasks using search criteria detailed in Pending Task List.</w:t>
            </w:r>
          </w:p>
        </w:tc>
      </w:tr>
      <w:tr w:rsidR="002A21AE" w14:paraId="3EDC2EE2" w14:textId="77777777" w:rsidTr="003362FE">
        <w:trPr>
          <w:cantSplit/>
        </w:trPr>
        <w:tc>
          <w:tcPr>
            <w:tcW w:w="3240" w:type="dxa"/>
          </w:tcPr>
          <w:p w14:paraId="2495144B" w14:textId="17200D1F" w:rsidR="002A21AE" w:rsidRDefault="002A21AE">
            <w:pPr>
              <w:pStyle w:val="TableTextNumbers"/>
            </w:pPr>
            <w:r>
              <w:t>Click one to four check boxes in the Pending Task List to select tasks for testing</w:t>
            </w:r>
            <w:r w:rsidR="00883DE9">
              <w:t xml:space="preserve"> (</w:t>
            </w:r>
            <w:r w:rsidR="00EE455E">
              <w:t xml:space="preserve">Figure </w:t>
            </w:r>
            <w:r w:rsidR="00EE455E">
              <w:rPr>
                <w:noProof/>
              </w:rPr>
              <w:t>91</w:t>
            </w:r>
            <w:r w:rsidR="00883DE9">
              <w:t>)</w:t>
            </w:r>
            <w:r>
              <w:t xml:space="preserve">. </w:t>
            </w:r>
          </w:p>
          <w:p w14:paraId="06383BFE" w14:textId="77777777" w:rsidR="002A21AE" w:rsidRDefault="002A21AE">
            <w:pPr>
              <w:pStyle w:val="TableTextNumbersContinued"/>
            </w:pPr>
          </w:p>
          <w:p w14:paraId="36624256" w14:textId="77777777" w:rsidR="002A21AE" w:rsidRDefault="002A21AE">
            <w:pPr>
              <w:pStyle w:val="TableTextNumbersContinued"/>
            </w:pPr>
            <w:r>
              <w:t xml:space="preserve">Click </w:t>
            </w:r>
            <w:r>
              <w:rPr>
                <w:b/>
              </w:rPr>
              <w:t>OK</w:t>
            </w:r>
            <w:r>
              <w:t>.</w:t>
            </w:r>
          </w:p>
        </w:tc>
        <w:tc>
          <w:tcPr>
            <w:tcW w:w="6120" w:type="dxa"/>
          </w:tcPr>
          <w:p w14:paraId="7297A685" w14:textId="77777777" w:rsidR="002A21AE" w:rsidRDefault="002A21AE">
            <w:pPr>
              <w:pStyle w:val="TableTextBullet"/>
            </w:pPr>
            <w:r>
              <w:t>Displays patient names and associated task information.</w:t>
            </w:r>
          </w:p>
        </w:tc>
      </w:tr>
      <w:tr w:rsidR="0091416B" w14:paraId="4E7D0DB9" w14:textId="77777777" w:rsidTr="003362FE">
        <w:trPr>
          <w:cantSplit/>
        </w:trPr>
        <w:tc>
          <w:tcPr>
            <w:tcW w:w="3240" w:type="dxa"/>
          </w:tcPr>
          <w:p w14:paraId="1FFF639A" w14:textId="77777777" w:rsidR="0091416B" w:rsidRDefault="0091416B" w:rsidP="0091416B">
            <w:pPr>
              <w:pStyle w:val="TableTextNumbers"/>
            </w:pPr>
            <w:r>
              <w:t>Click a check box to select a reagent rack.</w:t>
            </w:r>
          </w:p>
          <w:p w14:paraId="239CDA12" w14:textId="77777777" w:rsidR="0091416B" w:rsidRDefault="0091416B" w:rsidP="0091416B">
            <w:pPr>
              <w:pStyle w:val="TableTextNumbersContinued"/>
            </w:pPr>
          </w:p>
          <w:p w14:paraId="5366B72F" w14:textId="61D085EA" w:rsidR="0091416B" w:rsidRDefault="0091416B" w:rsidP="0091416B">
            <w:pPr>
              <w:pStyle w:val="TableTextNumbersContinued"/>
            </w:pPr>
            <w:r>
              <w:t xml:space="preserve">In the ABS or XM Testing Phases area, click the </w:t>
            </w:r>
            <w:r w:rsidRPr="00F3010E">
              <w:rPr>
                <w:b/>
              </w:rPr>
              <w:t>All Phases</w:t>
            </w:r>
            <w:r>
              <w:t xml:space="preserve"> or </w:t>
            </w:r>
            <w:r w:rsidRPr="00F3010E">
              <w:rPr>
                <w:b/>
              </w:rPr>
              <w:t xml:space="preserve">AHG Only </w:t>
            </w:r>
            <w:r w:rsidRPr="00BF2E41">
              <w:t>radio button</w:t>
            </w:r>
            <w:r w:rsidR="00883DE9" w:rsidRPr="00883DE9">
              <w:t xml:space="preserve"> (</w:t>
            </w:r>
            <w:r w:rsidR="00EE455E">
              <w:t xml:space="preserve">Figure </w:t>
            </w:r>
            <w:r w:rsidR="00EE455E">
              <w:rPr>
                <w:noProof/>
              </w:rPr>
              <w:t>96</w:t>
            </w:r>
            <w:r w:rsidR="00883DE9" w:rsidRPr="00883DE9">
              <w:t>)</w:t>
            </w:r>
            <w:r>
              <w:t>.</w:t>
            </w:r>
          </w:p>
          <w:p w14:paraId="268E6D54" w14:textId="77777777" w:rsidR="0091416B" w:rsidRDefault="0091416B" w:rsidP="0091416B">
            <w:pPr>
              <w:pStyle w:val="TableTextNumbersContinued"/>
            </w:pPr>
          </w:p>
          <w:p w14:paraId="4104EE88" w14:textId="77777777" w:rsidR="0091416B" w:rsidRDefault="0091416B" w:rsidP="0091416B">
            <w:pPr>
              <w:pStyle w:val="TableTextNumbersContinued"/>
            </w:pPr>
            <w:r>
              <w:t xml:space="preserve">Click </w:t>
            </w:r>
            <w:r>
              <w:rPr>
                <w:b/>
              </w:rPr>
              <w:t>OK</w:t>
            </w:r>
            <w:r>
              <w:t xml:space="preserve"> to continue with testing.</w:t>
            </w:r>
          </w:p>
        </w:tc>
        <w:tc>
          <w:tcPr>
            <w:tcW w:w="6120" w:type="dxa"/>
          </w:tcPr>
          <w:p w14:paraId="753FA807" w14:textId="77777777" w:rsidR="0091416B" w:rsidRDefault="001467B6" w:rsidP="001467B6">
            <w:pPr>
              <w:pStyle w:val="TableTextBullet"/>
            </w:pPr>
            <w:r>
              <w:t>Allows the user to s</w:t>
            </w:r>
            <w:r w:rsidRPr="001467B6">
              <w:t xml:space="preserve">elect the All Phases </w:t>
            </w:r>
            <w:r w:rsidR="00D50784">
              <w:t>or</w:t>
            </w:r>
            <w:r w:rsidRPr="001467B6">
              <w:t xml:space="preserve"> AHG Only radio buttons only when </w:t>
            </w:r>
            <w:r>
              <w:t>applicable.</w:t>
            </w:r>
          </w:p>
          <w:p w14:paraId="261DFF78" w14:textId="77777777" w:rsidR="004A6E1E" w:rsidRDefault="004A6E1E" w:rsidP="004A6E1E">
            <w:pPr>
              <w:pStyle w:val="TableTextBullet"/>
            </w:pPr>
            <w:r>
              <w:t>Displays reagent rack names and associated information.</w:t>
            </w:r>
          </w:p>
          <w:p w14:paraId="67DE59DC" w14:textId="77777777" w:rsidR="004A6E1E" w:rsidRDefault="004A6E1E" w:rsidP="004A6E1E">
            <w:pPr>
              <w:pStyle w:val="TableTextBullet"/>
            </w:pPr>
            <w:r>
              <w:rPr>
                <w:rFonts w:cs="Arial"/>
                <w:vanish/>
              </w:rPr>
              <w:t xml:space="preserve">BR_56.15 </w:t>
            </w:r>
            <w:r>
              <w:t xml:space="preserve">Requires the user to select the </w:t>
            </w:r>
            <w:r w:rsidR="00DA7212">
              <w:t xml:space="preserve">reagent </w:t>
            </w:r>
            <w:r>
              <w:t>rack name</w:t>
            </w:r>
            <w:r w:rsidR="00DA7212">
              <w:t>. The testing</w:t>
            </w:r>
            <w:r>
              <w:t xml:space="preserve"> grid configuration </w:t>
            </w:r>
            <w:r w:rsidR="00DA7212">
              <w:t>for</w:t>
            </w:r>
            <w:r>
              <w:t xml:space="preserve"> serologic testing</w:t>
            </w:r>
            <w:r w:rsidR="00DA7212">
              <w:t xml:space="preserve"> defaults to the setting selected in the Configure Division option. The user is allowed </w:t>
            </w:r>
            <w:r>
              <w:t xml:space="preserve">to indicate whether an automated instrument was used. </w:t>
            </w:r>
          </w:p>
          <w:p w14:paraId="582A40C3" w14:textId="77777777" w:rsidR="004A6E1E" w:rsidRDefault="004A6E1E" w:rsidP="004A6E1E">
            <w:pPr>
              <w:pStyle w:val="TableTextBullet"/>
            </w:pPr>
            <w:r>
              <w:t>Displays the date and time testing was performed.</w:t>
            </w:r>
          </w:p>
          <w:p w14:paraId="68034BA2" w14:textId="77777777" w:rsidR="004A6E1E" w:rsidRDefault="004A6E1E" w:rsidP="004A6E1E">
            <w:pPr>
              <w:pStyle w:val="TableTextBullet"/>
            </w:pPr>
            <w:r>
              <w:t>Displays the testing technologist name.</w:t>
            </w:r>
          </w:p>
          <w:p w14:paraId="61797B0A" w14:textId="77777777" w:rsidR="001467B6" w:rsidRDefault="001467B6" w:rsidP="0091416B">
            <w:pPr>
              <w:pStyle w:val="TableText"/>
            </w:pPr>
          </w:p>
          <w:p w14:paraId="0C720BC6" w14:textId="1B0A42B6" w:rsidR="0091416B" w:rsidRDefault="0091416B" w:rsidP="0091416B">
            <w:pPr>
              <w:pStyle w:val="TableText"/>
              <w:rPr>
                <w:b/>
                <w:bCs/>
                <w:szCs w:val="18"/>
              </w:rPr>
            </w:pPr>
            <w:r>
              <w:rPr>
                <w:b/>
                <w:bCs/>
                <w:szCs w:val="18"/>
              </w:rPr>
              <w:t>NOTES</w:t>
            </w:r>
          </w:p>
          <w:p w14:paraId="0E3A55F1" w14:textId="77777777" w:rsidR="0091416B" w:rsidRDefault="0091416B" w:rsidP="0091416B">
            <w:pPr>
              <w:pStyle w:val="NotesText"/>
            </w:pPr>
          </w:p>
          <w:p w14:paraId="6EFFBC10" w14:textId="77777777" w:rsidR="0091416B" w:rsidRDefault="0091416B" w:rsidP="0091416B">
            <w:pPr>
              <w:pStyle w:val="NotesText"/>
            </w:pPr>
            <w:r>
              <w:rPr>
                <w:rFonts w:cs="Arial"/>
                <w:vanish/>
              </w:rPr>
              <w:t xml:space="preserve">BR_40.04 </w:t>
            </w:r>
            <w:r>
              <w:t xml:space="preserve">When the testing method selected is AHG only, VBECS </w:t>
            </w:r>
            <w:r w:rsidR="00B16403">
              <w:t xml:space="preserve">enables specific phases for </w:t>
            </w:r>
            <w:r>
              <w:t xml:space="preserve">the </w:t>
            </w:r>
            <w:r w:rsidR="00B16403">
              <w:t xml:space="preserve">ABS and XM </w:t>
            </w:r>
            <w:r>
              <w:t>data grid</w:t>
            </w:r>
            <w:r w:rsidR="00B16403">
              <w:t xml:space="preserve"> boxes for:</w:t>
            </w:r>
          </w:p>
          <w:p w14:paraId="63DEB6E2" w14:textId="77777777" w:rsidR="00B16403" w:rsidRDefault="00B16403" w:rsidP="00925CAD">
            <w:pPr>
              <w:pStyle w:val="NotesText"/>
              <w:numPr>
                <w:ilvl w:val="0"/>
                <w:numId w:val="41"/>
              </w:numPr>
            </w:pPr>
            <w:r>
              <w:t xml:space="preserve">Antibody Screen (ABS): AHG phase </w:t>
            </w:r>
          </w:p>
          <w:p w14:paraId="721AECB7" w14:textId="77777777" w:rsidR="00B16403" w:rsidRDefault="00B16403" w:rsidP="00925CAD">
            <w:pPr>
              <w:pStyle w:val="NotesText"/>
              <w:numPr>
                <w:ilvl w:val="0"/>
                <w:numId w:val="41"/>
              </w:numPr>
            </w:pPr>
            <w:r>
              <w:t xml:space="preserve">Serologic crossmatch (XM): IS and AHG phases </w:t>
            </w:r>
          </w:p>
          <w:p w14:paraId="0DF828E9" w14:textId="77777777" w:rsidR="004A6E1E" w:rsidRDefault="004A6E1E" w:rsidP="004A6E1E">
            <w:pPr>
              <w:pStyle w:val="NotesText"/>
            </w:pPr>
          </w:p>
          <w:p w14:paraId="04463303" w14:textId="77777777" w:rsidR="004A6E1E" w:rsidRDefault="004A6E1E" w:rsidP="004A6E1E">
            <w:pPr>
              <w:pStyle w:val="NotesText"/>
            </w:pPr>
            <w:r>
              <w:t>Rack configuration of AHG applies only to the antibody screen and crossmatch testing grids.</w:t>
            </w:r>
          </w:p>
          <w:p w14:paraId="141FAEB1" w14:textId="77777777" w:rsidR="004A6E1E" w:rsidRDefault="004A6E1E" w:rsidP="004A6E1E">
            <w:pPr>
              <w:pStyle w:val="NotesText"/>
            </w:pPr>
          </w:p>
          <w:p w14:paraId="1E7D8369" w14:textId="77777777" w:rsidR="004A6E1E" w:rsidRDefault="004A6E1E" w:rsidP="004A6E1E">
            <w:pPr>
              <w:pStyle w:val="NotesText"/>
            </w:pPr>
            <w:r>
              <w:t>The user may select another user’s name from the list, as appropriate.</w:t>
            </w:r>
            <w:r w:rsidR="00E36CAB">
              <w:t xml:space="preserve"> The logged on user’s name appears on the Testing Worklist Report as the Processing Tech in addition to the selected user name.</w:t>
            </w:r>
          </w:p>
          <w:p w14:paraId="50271515" w14:textId="77777777" w:rsidR="004A6E1E" w:rsidRDefault="004A6E1E" w:rsidP="004A6E1E">
            <w:pPr>
              <w:pStyle w:val="NotesText"/>
            </w:pPr>
          </w:p>
          <w:p w14:paraId="06609A7A" w14:textId="77777777" w:rsidR="004A6E1E" w:rsidRDefault="004A6E1E" w:rsidP="004A6E1E">
            <w:pPr>
              <w:pStyle w:val="NotesText"/>
            </w:pPr>
            <w:r>
              <w:t>The user may indicate that testing was performed at a past date and time.</w:t>
            </w:r>
          </w:p>
          <w:p w14:paraId="4312F79D" w14:textId="77777777" w:rsidR="004A6E1E" w:rsidRDefault="004A6E1E" w:rsidP="00906AE3">
            <w:pPr>
              <w:pStyle w:val="NotesText"/>
            </w:pPr>
          </w:p>
          <w:p w14:paraId="49B20BD7" w14:textId="528581AF" w:rsidR="004A6E1E" w:rsidRDefault="00906AE3" w:rsidP="00906AE3">
            <w:pPr>
              <w:pStyle w:val="NotesText"/>
            </w:pPr>
            <w:r w:rsidRPr="00896F17">
              <w:rPr>
                <w:rStyle w:val="BullhornChar"/>
              </w:rPr>
              <w:t></w:t>
            </w:r>
            <w:r w:rsidRPr="00C51C45">
              <w:t xml:space="preserve"> </w:t>
            </w:r>
            <w:r>
              <w:t xml:space="preserve">See </w:t>
            </w:r>
            <w:r w:rsidR="00EE455E">
              <w:t xml:space="preserve">Table </w:t>
            </w:r>
            <w:r w:rsidR="00EE455E">
              <w:rPr>
                <w:noProof/>
              </w:rPr>
              <w:t>10</w:t>
            </w:r>
            <w:r w:rsidR="003D71A3">
              <w:t xml:space="preserve"> </w:t>
            </w:r>
            <w:r w:rsidR="004A6E1E">
              <w:t>for alerts that may occur during this option.</w:t>
            </w:r>
          </w:p>
        </w:tc>
      </w:tr>
      <w:tr w:rsidR="002A21AE" w14:paraId="2CE52011" w14:textId="77777777" w:rsidTr="003362FE">
        <w:trPr>
          <w:cantSplit/>
        </w:trPr>
        <w:tc>
          <w:tcPr>
            <w:tcW w:w="3240" w:type="dxa"/>
          </w:tcPr>
          <w:p w14:paraId="2E844B26" w14:textId="77777777" w:rsidR="002A21AE" w:rsidRDefault="002A21AE">
            <w:pPr>
              <w:pStyle w:val="TableTextNumbers"/>
            </w:pPr>
            <w:r>
              <w:t xml:space="preserve">Respond to warnings, which may include entering a comment and details, and click </w:t>
            </w:r>
            <w:r>
              <w:rPr>
                <w:b/>
              </w:rPr>
              <w:t>OK</w:t>
            </w:r>
            <w:r>
              <w:t xml:space="preserve"> to continue. </w:t>
            </w:r>
          </w:p>
        </w:tc>
        <w:tc>
          <w:tcPr>
            <w:tcW w:w="6120" w:type="dxa"/>
          </w:tcPr>
          <w:p w14:paraId="2443BB96" w14:textId="77777777" w:rsidR="002A21AE" w:rsidRDefault="004D3195">
            <w:pPr>
              <w:pStyle w:val="TableTextBullet"/>
            </w:pPr>
            <w:r w:rsidRPr="00323744">
              <w:rPr>
                <w:rStyle w:val="BullhornChar"/>
              </w:rPr>
              <w:t></w:t>
            </w:r>
            <w:r>
              <w:rPr>
                <w:rFonts w:ascii="Webdings" w:hAnsi="Webdings"/>
              </w:rPr>
              <w:t></w:t>
            </w:r>
            <w:r w:rsidR="002A21AE">
              <w:t xml:space="preserve">Displays </w:t>
            </w:r>
            <w:r w:rsidR="00057948">
              <w:rPr>
                <w:noProof/>
              </w:rPr>
              <w:drawing>
                <wp:inline distT="0" distB="0" distL="0" distR="0" wp14:anchorId="200E056E" wp14:editId="49DE1D46">
                  <wp:extent cx="156845" cy="156845"/>
                  <wp:effectExtent l="0" t="0" r="0" b="0"/>
                  <wp:docPr id="237" name="Picture 237"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2A21AE">
              <w:t xml:space="preserve"> and emits an audible alert when there are SIs or TRs for the patient.</w:t>
            </w:r>
          </w:p>
          <w:p w14:paraId="5580279B" w14:textId="77777777" w:rsidR="002A21AE" w:rsidRDefault="002A21AE">
            <w:pPr>
              <w:pStyle w:val="TableTextBullet"/>
            </w:pPr>
            <w:r>
              <w:t xml:space="preserve">Prepares a direct data entry </w:t>
            </w:r>
            <w:r w:rsidR="00917E9F">
              <w:t xml:space="preserve">(DDE) </w:t>
            </w:r>
            <w:r>
              <w:t>grid for the user to enter the serologic reaction results for testing associated with the selected tasks.</w:t>
            </w:r>
          </w:p>
          <w:p w14:paraId="307C5567" w14:textId="77777777" w:rsidR="002A21AE" w:rsidRDefault="002A21AE">
            <w:pPr>
              <w:pStyle w:val="TableTextBullet"/>
            </w:pPr>
            <w:r>
              <w:t>Displays testing results and entered interpretations until the user saves them.</w:t>
            </w:r>
          </w:p>
        </w:tc>
      </w:tr>
      <w:tr w:rsidR="002A21AE" w14:paraId="26CD53DA" w14:textId="77777777" w:rsidTr="003362FE">
        <w:trPr>
          <w:cantSplit/>
        </w:trPr>
        <w:tc>
          <w:tcPr>
            <w:tcW w:w="3240" w:type="dxa"/>
          </w:tcPr>
          <w:p w14:paraId="6D0C093C" w14:textId="669E7E80" w:rsidR="00287C4D" w:rsidRDefault="00287C4D">
            <w:pPr>
              <w:pStyle w:val="TableTextNumbers"/>
            </w:pPr>
            <w:r>
              <w:t>Select a patient to begin entering his serologic reactions</w:t>
            </w:r>
            <w:r w:rsidR="002A2E1E">
              <w:t xml:space="preserve"> (</w:t>
            </w:r>
            <w:r w:rsidR="00EE455E">
              <w:t xml:space="preserve">Figure </w:t>
            </w:r>
            <w:r w:rsidR="00EE455E">
              <w:rPr>
                <w:noProof/>
              </w:rPr>
              <w:t>97</w:t>
            </w:r>
            <w:r w:rsidR="002A2E1E">
              <w:t>)</w:t>
            </w:r>
            <w:r>
              <w:t>.</w:t>
            </w:r>
          </w:p>
          <w:p w14:paraId="01CB3391" w14:textId="77777777" w:rsidR="00287C4D" w:rsidRDefault="00287C4D" w:rsidP="00287C4D">
            <w:pPr>
              <w:pStyle w:val="TableTextNumbersContinued"/>
            </w:pPr>
          </w:p>
          <w:p w14:paraId="6B860363" w14:textId="77777777" w:rsidR="002A21AE" w:rsidRDefault="002A21AE" w:rsidP="00287C4D">
            <w:pPr>
              <w:pStyle w:val="TableTextNumbersContinued"/>
            </w:pPr>
            <w:r>
              <w:t>Repeat this step for each selected patient until all test results and interpretations are entered in the test grid.</w:t>
            </w:r>
          </w:p>
        </w:tc>
        <w:tc>
          <w:tcPr>
            <w:tcW w:w="6120" w:type="dxa"/>
          </w:tcPr>
          <w:p w14:paraId="0F3CD246" w14:textId="77777777" w:rsidR="00287C4D" w:rsidRDefault="00287C4D" w:rsidP="00287C4D">
            <w:pPr>
              <w:pStyle w:val="TableTextBullet"/>
            </w:pPr>
            <w:r>
              <w:t xml:space="preserve">Allows the user to select one patient at a time and enter a test result for that patient. </w:t>
            </w:r>
          </w:p>
          <w:p w14:paraId="2B5B81CD" w14:textId="77777777" w:rsidR="00287C4D" w:rsidRDefault="00287C4D" w:rsidP="00287C4D">
            <w:pPr>
              <w:pStyle w:val="TableTextBullet"/>
            </w:pPr>
            <w:r>
              <w:t xml:space="preserve">Allows only valid data entries in the grid reaction result and interpretation cells. </w:t>
            </w:r>
          </w:p>
          <w:p w14:paraId="708F5C0D" w14:textId="77777777" w:rsidR="002A21AE" w:rsidRDefault="002A21AE">
            <w:pPr>
              <w:pStyle w:val="TableTextBullet"/>
            </w:pPr>
            <w:r>
              <w:rPr>
                <w:rFonts w:cs="Arial"/>
                <w:vanish/>
              </w:rPr>
              <w:t xml:space="preserve">BR_56.02 </w:t>
            </w:r>
            <w:r>
              <w:t xml:space="preserve">Allows a user to save </w:t>
            </w:r>
            <w:r w:rsidR="00F0003E">
              <w:t xml:space="preserve">partially completed tests. </w:t>
            </w:r>
          </w:p>
          <w:p w14:paraId="46CB62F9" w14:textId="77777777" w:rsidR="002A21AE" w:rsidRDefault="002A21AE">
            <w:pPr>
              <w:pStyle w:val="TableTextBullet"/>
            </w:pPr>
            <w:r>
              <w:t xml:space="preserve">When the user enters interpretation data, allows the save with or without warnings and overrides based on the test results entered for the patient and the user’s </w:t>
            </w:r>
            <w:r w:rsidR="00082F78">
              <w:t>security level</w:t>
            </w:r>
            <w:r>
              <w:t xml:space="preserve">. </w:t>
            </w:r>
          </w:p>
          <w:p w14:paraId="03A0B4DD" w14:textId="77777777" w:rsidR="002A21AE" w:rsidRDefault="002A21AE">
            <w:pPr>
              <w:pStyle w:val="TableText"/>
            </w:pPr>
          </w:p>
          <w:p w14:paraId="474743EC" w14:textId="73ADF5B0" w:rsidR="002A21AE" w:rsidRDefault="002A21AE">
            <w:pPr>
              <w:pStyle w:val="TableText"/>
              <w:rPr>
                <w:b/>
                <w:bCs/>
                <w:szCs w:val="18"/>
              </w:rPr>
            </w:pPr>
            <w:r>
              <w:rPr>
                <w:b/>
                <w:bCs/>
                <w:szCs w:val="18"/>
              </w:rPr>
              <w:t>NOTES</w:t>
            </w:r>
          </w:p>
          <w:p w14:paraId="14059312" w14:textId="77777777" w:rsidR="002A21AE" w:rsidRDefault="002A21AE">
            <w:pPr>
              <w:pStyle w:val="NotesText"/>
            </w:pPr>
          </w:p>
          <w:p w14:paraId="34E7E751" w14:textId="77777777" w:rsidR="00F0003E" w:rsidRDefault="002A21AE" w:rsidP="00F0003E">
            <w:pPr>
              <w:pStyle w:val="NotesText"/>
            </w:pPr>
            <w:r>
              <w:t>The user may order a reflex test and may update the patient’s TRs and SIs.</w:t>
            </w:r>
          </w:p>
          <w:p w14:paraId="3FA1D6BB" w14:textId="77777777" w:rsidR="00F0003E" w:rsidRDefault="00F0003E" w:rsidP="00F0003E">
            <w:pPr>
              <w:pStyle w:val="NotesText"/>
            </w:pPr>
          </w:p>
          <w:p w14:paraId="3EB7A8A3" w14:textId="77777777" w:rsidR="002A21AE" w:rsidRDefault="00F0003E" w:rsidP="00F0003E">
            <w:pPr>
              <w:pStyle w:val="NotesText"/>
            </w:pPr>
            <w:r>
              <w:rPr>
                <w:vanish/>
              </w:rPr>
              <w:t xml:space="preserve">BR_56.02 </w:t>
            </w:r>
            <w:r>
              <w:t>The ABO and Rh tests are considered one test and must be resulted together before a save is permitted.</w:t>
            </w:r>
            <w:r w:rsidR="002A21AE">
              <w:t xml:space="preserve"> </w:t>
            </w:r>
          </w:p>
        </w:tc>
      </w:tr>
      <w:tr w:rsidR="002A21AE" w14:paraId="5B1F1640" w14:textId="77777777" w:rsidTr="003362FE">
        <w:trPr>
          <w:cantSplit/>
        </w:trPr>
        <w:tc>
          <w:tcPr>
            <w:tcW w:w="3240" w:type="dxa"/>
          </w:tcPr>
          <w:p w14:paraId="2E16957B" w14:textId="77777777" w:rsidR="002A21AE" w:rsidRDefault="002A21AE">
            <w:pPr>
              <w:pStyle w:val="TableTextNumbers"/>
            </w:pPr>
            <w:r>
              <w:t xml:space="preserve">Respond to warnings for the selected patient and confirm that appropriate test results were entered. </w:t>
            </w:r>
          </w:p>
          <w:p w14:paraId="33716DDF" w14:textId="77777777" w:rsidR="002A21AE" w:rsidRDefault="002A21AE">
            <w:pPr>
              <w:pStyle w:val="TableTextNumbersContinued"/>
            </w:pPr>
          </w:p>
          <w:p w14:paraId="2190C3DA" w14:textId="620A8884" w:rsidR="002A21AE" w:rsidRDefault="002A21AE">
            <w:pPr>
              <w:pStyle w:val="TableTextNumbersContinued"/>
            </w:pPr>
            <w:r>
              <w:t>Repeat Steps 5</w:t>
            </w:r>
            <w:r w:rsidR="004F5589">
              <w:t xml:space="preserve"> and </w:t>
            </w:r>
            <w:r>
              <w:t>6 for each patient until all patient work is saved.</w:t>
            </w:r>
          </w:p>
        </w:tc>
        <w:tc>
          <w:tcPr>
            <w:tcW w:w="6120" w:type="dxa"/>
          </w:tcPr>
          <w:p w14:paraId="49B652BE" w14:textId="77777777" w:rsidR="002A21AE" w:rsidRDefault="002A21AE">
            <w:pPr>
              <w:pStyle w:val="TableTextBullet"/>
            </w:pPr>
            <w:r>
              <w:rPr>
                <w:rFonts w:cs="Arial"/>
                <w:vanish/>
              </w:rPr>
              <w:t xml:space="preserve">BR_56.05 </w:t>
            </w:r>
            <w:r>
              <w:t xml:space="preserve">When a user enters a valid interpretation and saves it for a test, updates the order status to “completed.” </w:t>
            </w:r>
          </w:p>
          <w:p w14:paraId="729126FA" w14:textId="77777777" w:rsidR="002A21AE" w:rsidRDefault="002A21AE">
            <w:pPr>
              <w:pStyle w:val="TableTextBullet"/>
            </w:pPr>
            <w:r>
              <w:rPr>
                <w:rFonts w:cs="Arial"/>
                <w:vanish/>
              </w:rPr>
              <w:t xml:space="preserve">BR_56.11 </w:t>
            </w:r>
            <w:r>
              <w:t>Displays each patient’s data for review before allowing the user to save them.</w:t>
            </w:r>
          </w:p>
          <w:p w14:paraId="45912A7F" w14:textId="77777777" w:rsidR="002A21AE" w:rsidRDefault="002A21AE">
            <w:pPr>
              <w:pStyle w:val="TableTextBullet"/>
            </w:pPr>
            <w:r>
              <w:t>Saves patient testing results for retrieval from completed tests.</w:t>
            </w:r>
          </w:p>
          <w:p w14:paraId="6D1836B5" w14:textId="77777777" w:rsidR="002A21AE" w:rsidRDefault="002A21AE">
            <w:pPr>
              <w:pStyle w:val="TableTextBullet"/>
            </w:pPr>
            <w:r>
              <w:t>Saves only the patient testing displayed.</w:t>
            </w:r>
          </w:p>
          <w:p w14:paraId="54F79F29" w14:textId="77777777" w:rsidR="002A21AE" w:rsidRDefault="002A21AE">
            <w:pPr>
              <w:pStyle w:val="TableText"/>
              <w:rPr>
                <w:b/>
                <w:bCs/>
                <w:szCs w:val="18"/>
              </w:rPr>
            </w:pPr>
          </w:p>
          <w:p w14:paraId="3AA1C6D4" w14:textId="73B75C44" w:rsidR="002A21AE" w:rsidRDefault="002A21AE">
            <w:pPr>
              <w:pStyle w:val="TableText"/>
              <w:rPr>
                <w:b/>
                <w:bCs/>
                <w:szCs w:val="18"/>
              </w:rPr>
            </w:pPr>
            <w:r>
              <w:rPr>
                <w:b/>
                <w:bCs/>
                <w:szCs w:val="18"/>
              </w:rPr>
              <w:t>NOTES</w:t>
            </w:r>
          </w:p>
          <w:p w14:paraId="6B55922C" w14:textId="77777777" w:rsidR="002A21AE" w:rsidRDefault="002A21AE">
            <w:pPr>
              <w:pStyle w:val="NotesText"/>
            </w:pPr>
          </w:p>
          <w:p w14:paraId="4CD5960C" w14:textId="77777777" w:rsidR="002A21AE" w:rsidRDefault="002A21AE">
            <w:pPr>
              <w:pStyle w:val="NotesText"/>
            </w:pPr>
            <w:r>
              <w:rPr>
                <w:rFonts w:cs="Arial"/>
                <w:vanish/>
              </w:rPr>
              <w:t xml:space="preserve">BR_56.04 </w:t>
            </w:r>
            <w:r>
              <w:t>The user may save part or all of one patient’s testing results at a time. When all data for a patient are saved, the patient tab is no longer visible.</w:t>
            </w:r>
          </w:p>
          <w:p w14:paraId="38EA3223" w14:textId="77777777" w:rsidR="002A21AE" w:rsidRDefault="002A21AE">
            <w:pPr>
              <w:pStyle w:val="NotesText"/>
            </w:pPr>
          </w:p>
          <w:p w14:paraId="0B923226" w14:textId="77777777" w:rsidR="002A21AE" w:rsidRDefault="002A21AE">
            <w:pPr>
              <w:pStyle w:val="NotesText"/>
            </w:pPr>
            <w:r>
              <w:rPr>
                <w:rFonts w:cs="Arial"/>
                <w:vanish/>
              </w:rPr>
              <w:t xml:space="preserve">BR_56.27 </w:t>
            </w:r>
            <w:r>
              <w:t xml:space="preserve">When a user saves a test with a “correction” task status, VBECS saves the results and interpretations and adds </w:t>
            </w:r>
            <w:r w:rsidR="00EB2CC3">
              <w:t>a</w:t>
            </w:r>
            <w:r>
              <w:t xml:space="preserve"> comment </w:t>
            </w:r>
            <w:r w:rsidR="00EB2CC3">
              <w:t>to the Testing Worklist Report</w:t>
            </w:r>
            <w:r>
              <w:t xml:space="preserve">. </w:t>
            </w:r>
          </w:p>
          <w:p w14:paraId="029A8F96" w14:textId="77777777" w:rsidR="00587EE2" w:rsidRDefault="00587EE2">
            <w:pPr>
              <w:pStyle w:val="NotesText"/>
              <w:rPr>
                <w:rFonts w:cs="Arial"/>
                <w:spacing w:val="-5"/>
              </w:rPr>
            </w:pPr>
          </w:p>
          <w:p w14:paraId="7E830E4F" w14:textId="683EBAB9" w:rsidR="00587EE2" w:rsidRDefault="00587EE2">
            <w:pPr>
              <w:pStyle w:val="NotesText"/>
              <w:rPr>
                <w:rFonts w:cs="Arial"/>
                <w:spacing w:val="-5"/>
              </w:rPr>
            </w:pPr>
            <w:r w:rsidRPr="00587EE2">
              <w:rPr>
                <w:rFonts w:cs="Arial"/>
                <w:vanish/>
                <w:spacing w:val="-5"/>
              </w:rPr>
              <w:t xml:space="preserve">BR_56.30 </w:t>
            </w:r>
            <w:r>
              <w:rPr>
                <w:rFonts w:cs="Arial"/>
                <w:spacing w:val="-5"/>
              </w:rPr>
              <w:t>VBECS sends an order completion message to CPRS w</w:t>
            </w:r>
            <w:r w:rsidRPr="009B6526">
              <w:rPr>
                <w:rFonts w:cs="Arial"/>
                <w:spacing w:val="-5"/>
              </w:rPr>
              <w:t xml:space="preserve">hen the user </w:t>
            </w:r>
            <w:r>
              <w:rPr>
                <w:rFonts w:cs="Arial"/>
                <w:spacing w:val="-5"/>
              </w:rPr>
              <w:t>enters</w:t>
            </w:r>
            <w:r w:rsidRPr="009B6526">
              <w:rPr>
                <w:rFonts w:cs="Arial"/>
                <w:spacing w:val="-5"/>
              </w:rPr>
              <w:t xml:space="preserve"> and successfully save</w:t>
            </w:r>
            <w:r>
              <w:rPr>
                <w:rFonts w:cs="Arial"/>
                <w:spacing w:val="-5"/>
              </w:rPr>
              <w:t>s</w:t>
            </w:r>
            <w:r w:rsidRPr="009B6526">
              <w:rPr>
                <w:rFonts w:cs="Arial"/>
                <w:spacing w:val="-5"/>
              </w:rPr>
              <w:t xml:space="preserve"> all test results and interpretations for </w:t>
            </w:r>
            <w:r>
              <w:rPr>
                <w:rFonts w:cs="Arial"/>
                <w:spacing w:val="-5"/>
              </w:rPr>
              <w:t xml:space="preserve">a </w:t>
            </w:r>
            <w:r w:rsidRPr="009B6526">
              <w:rPr>
                <w:rFonts w:cs="Arial"/>
                <w:spacing w:val="-5"/>
              </w:rPr>
              <w:t>diagnostic test</w:t>
            </w:r>
            <w:r>
              <w:rPr>
                <w:rFonts w:cs="Arial"/>
                <w:spacing w:val="-5"/>
              </w:rPr>
              <w:t>.</w:t>
            </w:r>
            <w:r w:rsidRPr="00587EE2">
              <w:rPr>
                <w:rFonts w:cs="Arial"/>
                <w:vanish/>
                <w:spacing w:val="-5"/>
              </w:rPr>
              <w:t>DR 2,869</w:t>
            </w:r>
          </w:p>
          <w:p w14:paraId="498E3814" w14:textId="700A2E2E" w:rsidR="00AF6F7F" w:rsidRDefault="00AF6F7F">
            <w:pPr>
              <w:pStyle w:val="NotesText"/>
              <w:rPr>
                <w:rFonts w:cs="Arial"/>
                <w:spacing w:val="-5"/>
              </w:rPr>
            </w:pPr>
          </w:p>
          <w:p w14:paraId="519A8F86" w14:textId="3467E65B" w:rsidR="00AF6F7F" w:rsidRDefault="00AF6F7F">
            <w:pPr>
              <w:pStyle w:val="NotesText"/>
              <w:rPr>
                <w:rFonts w:cs="Arial"/>
                <w:spacing w:val="-5"/>
              </w:rPr>
            </w:pPr>
            <w:r w:rsidRPr="00AF6F7F">
              <w:rPr>
                <w:vanish/>
              </w:rPr>
              <w:t xml:space="preserve">BR_53.08 </w:t>
            </w:r>
            <w:r>
              <w:t xml:space="preserve">If the antibody screen is positive, the system shall emit an audible alert and warning that displays </w:t>
            </w:r>
            <w:r w:rsidRPr="00DD6184">
              <w:t>Patient has a POSITIVE Antibody Screen Result. Please perform Antibody Identification on this patient prior to issue of blood components</w:t>
            </w:r>
            <w:r>
              <w:t>.</w:t>
            </w:r>
          </w:p>
          <w:p w14:paraId="04C8DBF9" w14:textId="77777777" w:rsidR="00587EE2" w:rsidRDefault="00587EE2">
            <w:pPr>
              <w:pStyle w:val="NotesText"/>
            </w:pPr>
          </w:p>
          <w:p w14:paraId="28AB9FD2" w14:textId="77777777" w:rsidR="002A21AE" w:rsidRDefault="00EC7489" w:rsidP="00EC7489">
            <w:pPr>
              <w:pStyle w:val="NotesText"/>
            </w:pPr>
            <w:r w:rsidRPr="00323744">
              <w:rPr>
                <w:rStyle w:val="BullhornChar"/>
              </w:rPr>
              <w:t></w:t>
            </w:r>
            <w:r>
              <w:rPr>
                <w:rFonts w:ascii="Webdings" w:hAnsi="Webdings"/>
              </w:rPr>
              <w:t></w:t>
            </w:r>
            <w:r w:rsidR="002A21AE">
              <w:t>May display multiple warning and override messages for the user’s response.</w:t>
            </w:r>
          </w:p>
        </w:tc>
      </w:tr>
      <w:tr w:rsidR="002A21AE" w14:paraId="0DF6204A" w14:textId="77777777" w:rsidTr="003362FE">
        <w:trPr>
          <w:cantSplit/>
        </w:trPr>
        <w:tc>
          <w:tcPr>
            <w:tcW w:w="3240" w:type="dxa"/>
          </w:tcPr>
          <w:p w14:paraId="52A582B8" w14:textId="77777777" w:rsidR="002A21AE" w:rsidRDefault="002A21AE">
            <w:pPr>
              <w:pStyle w:val="TableTextNumbers"/>
            </w:pPr>
            <w:r>
              <w:t xml:space="preserve">When the selected patient testing is complete, click </w:t>
            </w:r>
            <w:r>
              <w:rPr>
                <w:b/>
              </w:rPr>
              <w:t>OK</w:t>
            </w:r>
            <w:r>
              <w:t xml:space="preserve"> and </w:t>
            </w:r>
            <w:r>
              <w:rPr>
                <w:b/>
              </w:rPr>
              <w:t>Yes</w:t>
            </w:r>
            <w:r>
              <w:t xml:space="preserve"> to confirm changes and continue to the next patient, or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3294B525" w14:textId="77777777" w:rsidR="002A21AE" w:rsidRDefault="002A21AE">
            <w:pPr>
              <w:pStyle w:val="TableText"/>
            </w:pPr>
            <w:r>
              <w:t xml:space="preserve"> </w:t>
            </w:r>
          </w:p>
        </w:tc>
      </w:tr>
    </w:tbl>
    <w:p w14:paraId="3641742D" w14:textId="7F9FB6BE" w:rsidR="007810A1" w:rsidRDefault="002A2E1E" w:rsidP="007810A1">
      <w:pPr>
        <w:pStyle w:val="Caption"/>
      </w:pPr>
      <w:bookmarkStart w:id="459" w:name="_Ref12672645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96</w:t>
      </w:r>
      <w:r w:rsidR="004E20BD">
        <w:rPr>
          <w:noProof/>
        </w:rPr>
        <w:fldChar w:fldCharType="end"/>
      </w:r>
      <w:bookmarkEnd w:id="459"/>
      <w:r>
        <w:t>: Testing Details</w:t>
      </w:r>
      <w:bookmarkStart w:id="460" w:name="_Ref126726602"/>
    </w:p>
    <w:p w14:paraId="0812AC28" w14:textId="77777777" w:rsidR="007810A1" w:rsidRPr="007810A1" w:rsidRDefault="00057948" w:rsidP="00D327A3">
      <w:pPr>
        <w:pStyle w:val="BodyText"/>
      </w:pPr>
      <w:r>
        <w:rPr>
          <w:noProof/>
        </w:rPr>
        <w:drawing>
          <wp:inline distT="0" distB="0" distL="0" distR="0" wp14:anchorId="4AFCD5CA" wp14:editId="73134EF5">
            <wp:extent cx="4322445" cy="2964815"/>
            <wp:effectExtent l="0" t="0" r="1905" b="6985"/>
            <wp:docPr id="238" name="Picture 238" descr="Example of Testing Detail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Example of Testing Details screen captur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22445" cy="2964815"/>
                    </a:xfrm>
                    <a:prstGeom prst="rect">
                      <a:avLst/>
                    </a:prstGeom>
                    <a:noFill/>
                    <a:ln>
                      <a:noFill/>
                    </a:ln>
                  </pic:spPr>
                </pic:pic>
              </a:graphicData>
            </a:graphic>
          </wp:inline>
        </w:drawing>
      </w:r>
    </w:p>
    <w:p w14:paraId="4F632AC9" w14:textId="76DA7838" w:rsidR="002A2E1E" w:rsidRDefault="002A2E1E" w:rsidP="007810A1">
      <w:pPr>
        <w:pStyle w:val="Caption"/>
      </w:pPr>
      <w:bookmarkStart w:id="461" w:name="_Ref13556829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97</w:t>
      </w:r>
      <w:r w:rsidR="004E20BD">
        <w:rPr>
          <w:noProof/>
        </w:rPr>
        <w:fldChar w:fldCharType="end"/>
      </w:r>
      <w:bookmarkEnd w:id="460"/>
      <w:bookmarkEnd w:id="461"/>
      <w:r>
        <w:t>: Patient Testing</w:t>
      </w:r>
    </w:p>
    <w:p w14:paraId="2A6D39F6" w14:textId="77777777" w:rsidR="002A2E1E" w:rsidRPr="006A0A4A" w:rsidRDefault="00057948" w:rsidP="007810A1">
      <w:pPr>
        <w:pStyle w:val="BodyText"/>
      </w:pPr>
      <w:r>
        <w:rPr>
          <w:noProof/>
        </w:rPr>
        <w:drawing>
          <wp:inline distT="0" distB="0" distL="0" distR="0" wp14:anchorId="5368F009" wp14:editId="5C9038B2">
            <wp:extent cx="5939155" cy="4433570"/>
            <wp:effectExtent l="0" t="0" r="4445" b="5080"/>
            <wp:docPr id="239" name="Picture 239" descr="Example of Patient Test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Example of Patient Testing screen captur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39155" cy="4433570"/>
                    </a:xfrm>
                    <a:prstGeom prst="rect">
                      <a:avLst/>
                    </a:prstGeom>
                    <a:noFill/>
                    <a:ln>
                      <a:noFill/>
                    </a:ln>
                  </pic:spPr>
                </pic:pic>
              </a:graphicData>
            </a:graphic>
          </wp:inline>
        </w:drawing>
      </w:r>
    </w:p>
    <w:p w14:paraId="3B555D25" w14:textId="77777777" w:rsidR="007810A1" w:rsidRDefault="007810A1" w:rsidP="007810A1">
      <w:pPr>
        <w:pStyle w:val="Heading4"/>
      </w:pPr>
      <w:bookmarkStart w:id="462" w:name="_Ref126504310"/>
      <w:bookmarkStart w:id="463" w:name="_Toc97523624"/>
      <w:bookmarkStart w:id="464" w:name="_Toc97527594"/>
      <w:r w:rsidRPr="00323744">
        <w:rPr>
          <w:rStyle w:val="BullhornChar"/>
        </w:rPr>
        <w:t></w:t>
      </w:r>
      <w:r>
        <w:rPr>
          <w:rFonts w:ascii="Webdings" w:hAnsi="Webdings"/>
        </w:rPr>
        <w:t></w:t>
      </w:r>
      <w:r>
        <w:t>Alerts</w:t>
      </w:r>
    </w:p>
    <w:p w14:paraId="54E338EB" w14:textId="2A3EDDC8" w:rsidR="002A21AE" w:rsidRDefault="002A21AE">
      <w:pPr>
        <w:pStyle w:val="Caption"/>
      </w:pPr>
      <w:bookmarkStart w:id="465" w:name="_Ref13556819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10</w:t>
      </w:r>
      <w:r w:rsidR="004E20BD">
        <w:rPr>
          <w:noProof/>
        </w:rPr>
        <w:fldChar w:fldCharType="end"/>
      </w:r>
      <w:bookmarkEnd w:id="462"/>
      <w:bookmarkEnd w:id="465"/>
      <w:r>
        <w:t xml:space="preserve">: Alerts That May Occur in Patient Testing: </w:t>
      </w:r>
      <w:bookmarkEnd w:id="463"/>
      <w:bookmarkEnd w:id="464"/>
      <w:r w:rsidR="00260BEA">
        <w:t>General Instructions</w:t>
      </w:r>
      <w:r>
        <w:fldChar w:fldCharType="begin"/>
      </w:r>
      <w:r>
        <w:instrText xml:space="preserve"> XE </w:instrText>
      </w:r>
      <w:r w:rsidR="00FA7E65">
        <w:instrText>“</w:instrText>
      </w:r>
      <w:r>
        <w:instrText>Tables:Alerts That May Occur in Patient Testing:</w:instrText>
      </w:r>
      <w:r w:rsidR="00580422">
        <w:instrText xml:space="preserve"> </w:instrText>
      </w:r>
      <w:r w:rsidR="00260BEA">
        <w:instrText>General Instructions</w:instrText>
      </w:r>
      <w:r w:rsidR="00FA7E65">
        <w:instrTex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8580"/>
      </w:tblGrid>
      <w:tr w:rsidR="002A21AE" w14:paraId="5471DFCC" w14:textId="77777777">
        <w:trPr>
          <w:tblHeader/>
        </w:trPr>
        <w:tc>
          <w:tcPr>
            <w:tcW w:w="780" w:type="dxa"/>
            <w:shd w:val="clear" w:color="auto" w:fill="B3B3B3"/>
          </w:tcPr>
          <w:p w14:paraId="2C0B7F77" w14:textId="77777777" w:rsidR="002A21AE" w:rsidRDefault="00DB3377">
            <w:pPr>
              <w:pStyle w:val="TableText"/>
              <w:rPr>
                <w:b/>
              </w:rPr>
            </w:pPr>
            <w:r>
              <w:rPr>
                <w:b/>
              </w:rPr>
              <w:t>User Action Step</w:t>
            </w:r>
          </w:p>
        </w:tc>
        <w:tc>
          <w:tcPr>
            <w:tcW w:w="8580" w:type="dxa"/>
            <w:shd w:val="clear" w:color="auto" w:fill="B3B3B3"/>
          </w:tcPr>
          <w:p w14:paraId="5025C7E1" w14:textId="77777777" w:rsidR="002A21AE" w:rsidRDefault="002A21AE">
            <w:pPr>
              <w:pStyle w:val="TableText"/>
              <w:rPr>
                <w:b/>
              </w:rPr>
            </w:pPr>
            <w:r>
              <w:rPr>
                <w:b/>
              </w:rPr>
              <w:t>Alerts</w:t>
            </w:r>
          </w:p>
        </w:tc>
      </w:tr>
      <w:tr w:rsidR="002A21AE" w14:paraId="3C87A336" w14:textId="77777777">
        <w:tblPrEx>
          <w:tblLook w:val="0000" w:firstRow="0" w:lastRow="0" w:firstColumn="0" w:lastColumn="0" w:noHBand="0" w:noVBand="0"/>
        </w:tblPrEx>
        <w:tc>
          <w:tcPr>
            <w:tcW w:w="780" w:type="dxa"/>
          </w:tcPr>
          <w:p w14:paraId="2FA385E1" w14:textId="77777777" w:rsidR="002A21AE" w:rsidRDefault="002A21AE">
            <w:pPr>
              <w:pStyle w:val="TableText"/>
            </w:pPr>
            <w:r>
              <w:t>4</w:t>
            </w:r>
          </w:p>
        </w:tc>
        <w:tc>
          <w:tcPr>
            <w:tcW w:w="8580" w:type="dxa"/>
          </w:tcPr>
          <w:p w14:paraId="2F53CA60" w14:textId="77777777" w:rsidR="002A21AE" w:rsidRDefault="002A21AE" w:rsidP="00D64D63">
            <w:pPr>
              <w:pStyle w:val="TableText"/>
            </w:pPr>
            <w:r w:rsidRPr="001D6391">
              <w:rPr>
                <w:vanish/>
              </w:rPr>
              <w:t xml:space="preserve">BR_41.04 </w:t>
            </w:r>
            <w:r>
              <w:t xml:space="preserve">When the division is configured as “full service” in </w:t>
            </w:r>
            <w:r w:rsidR="00D567C9">
              <w:t>Configure Division</w:t>
            </w:r>
            <w:r>
              <w:t xml:space="preserve">, VBECS displays data fields for the user to select or enter the lot number, and displays the manufacturer and expiration date of each antiserum to be used in this transaction to allow the user to choose the correct antiserum. VBECS displays in-date antisera and allows the user to select outdated antisera, if needed, emits an audible alert, and requires an override. VBECS captures details for inclusion in an Exception Report (exception type: expired antisera used). </w:t>
            </w:r>
          </w:p>
        </w:tc>
      </w:tr>
      <w:tr w:rsidR="002A21AE" w14:paraId="67F64162" w14:textId="77777777">
        <w:tblPrEx>
          <w:tblLook w:val="0000" w:firstRow="0" w:lastRow="0" w:firstColumn="0" w:lastColumn="0" w:noHBand="0" w:noVBand="0"/>
        </w:tblPrEx>
        <w:tc>
          <w:tcPr>
            <w:tcW w:w="780" w:type="dxa"/>
          </w:tcPr>
          <w:p w14:paraId="3A8D1C65" w14:textId="77777777" w:rsidR="002A21AE" w:rsidRDefault="002A21AE">
            <w:pPr>
              <w:pStyle w:val="TableText"/>
            </w:pPr>
            <w:r>
              <w:t>5</w:t>
            </w:r>
          </w:p>
        </w:tc>
        <w:tc>
          <w:tcPr>
            <w:tcW w:w="8580" w:type="dxa"/>
          </w:tcPr>
          <w:p w14:paraId="528716FF" w14:textId="77777777" w:rsidR="002A21AE" w:rsidRDefault="002A21AE">
            <w:pPr>
              <w:pStyle w:val="TableText"/>
            </w:pPr>
            <w:r>
              <w:rPr>
                <w:rFonts w:cs="Arial"/>
                <w:vanish/>
              </w:rPr>
              <w:t xml:space="preserve">BR_56.03 </w:t>
            </w:r>
            <w:r>
              <w:t>The user may cancel or delete a partially</w:t>
            </w:r>
            <w:r>
              <w:rPr>
                <w:b/>
              </w:rPr>
              <w:t xml:space="preserve"> </w:t>
            </w:r>
            <w:r>
              <w:t>completed grid. VBECS:</w:t>
            </w:r>
          </w:p>
          <w:p w14:paraId="238A1958" w14:textId="77777777" w:rsidR="002A21AE" w:rsidRDefault="002A21AE">
            <w:pPr>
              <w:pStyle w:val="TableTextBullet"/>
            </w:pPr>
            <w:r>
              <w:t xml:space="preserve">Emits an audible alert and requires a comment. </w:t>
            </w:r>
          </w:p>
          <w:p w14:paraId="03FAFD3E" w14:textId="77777777" w:rsidR="002A21AE" w:rsidRDefault="002A21AE">
            <w:pPr>
              <w:pStyle w:val="TableTextBullet"/>
            </w:pPr>
            <w:r>
              <w:t>Clears previously entered observed results from the data grid and allows the user to enter new data.</w:t>
            </w:r>
          </w:p>
          <w:p w14:paraId="4ED1F6CF" w14:textId="5F02E8E8" w:rsidR="002A21AE" w:rsidRDefault="002A21AE" w:rsidP="00BE7839">
            <w:pPr>
              <w:pStyle w:val="TableTextBullet"/>
            </w:pPr>
            <w:r>
              <w:t xml:space="preserve">Captures details for inclusion in an Exception Report (exception type: previously recorded results </w:t>
            </w:r>
            <w:r w:rsidR="00143C19">
              <w:t>inactivated</w:t>
            </w:r>
            <w:r>
              <w:t xml:space="preserve">). </w:t>
            </w:r>
            <w:r w:rsidR="00BE7839">
              <w:t>Note that t</w:t>
            </w:r>
            <w:r w:rsidR="00C46644">
              <w:t>he time displayed in the "Date/T</w:t>
            </w:r>
            <w:r w:rsidR="00BE7839" w:rsidRPr="00BE7839">
              <w:t>ime results invalidated" field is the time the results were entered.</w:t>
            </w:r>
            <w:r w:rsidR="00244AD3">
              <w:t xml:space="preserve"> </w:t>
            </w:r>
            <w:r w:rsidR="00244AD3" w:rsidRPr="00244AD3">
              <w:rPr>
                <w:vanish/>
              </w:rPr>
              <w:t>Defect 209618</w:t>
            </w:r>
          </w:p>
        </w:tc>
      </w:tr>
      <w:tr w:rsidR="002A21AE" w14:paraId="443468A2" w14:textId="77777777">
        <w:tblPrEx>
          <w:tblLook w:val="0000" w:firstRow="0" w:lastRow="0" w:firstColumn="0" w:lastColumn="0" w:noHBand="0" w:noVBand="0"/>
        </w:tblPrEx>
        <w:tc>
          <w:tcPr>
            <w:tcW w:w="780" w:type="dxa"/>
          </w:tcPr>
          <w:p w14:paraId="6D3732CD" w14:textId="77777777" w:rsidR="002A21AE" w:rsidRDefault="002A21AE">
            <w:pPr>
              <w:pStyle w:val="TableText"/>
            </w:pPr>
            <w:r>
              <w:t>6</w:t>
            </w:r>
          </w:p>
        </w:tc>
        <w:tc>
          <w:tcPr>
            <w:tcW w:w="8580" w:type="dxa"/>
          </w:tcPr>
          <w:p w14:paraId="79A4D961" w14:textId="77777777" w:rsidR="002A21AE" w:rsidRDefault="002A21AE">
            <w:pPr>
              <w:pStyle w:val="TableText"/>
            </w:pPr>
            <w:r>
              <w:rPr>
                <w:rFonts w:cs="Arial"/>
                <w:vanish/>
              </w:rPr>
              <w:t xml:space="preserve">BR_56.01 </w:t>
            </w:r>
            <w:r>
              <w:t>Warns that the user is saving the first instance of a historic ABO/Rh.</w:t>
            </w:r>
          </w:p>
        </w:tc>
      </w:tr>
      <w:tr w:rsidR="002A21AE" w14:paraId="66EF6146" w14:textId="77777777">
        <w:tblPrEx>
          <w:tblLook w:val="0000" w:firstRow="0" w:lastRow="0" w:firstColumn="0" w:lastColumn="0" w:noHBand="0" w:noVBand="0"/>
        </w:tblPrEx>
        <w:tc>
          <w:tcPr>
            <w:tcW w:w="780" w:type="dxa"/>
          </w:tcPr>
          <w:p w14:paraId="299ED536" w14:textId="77777777" w:rsidR="002A21AE" w:rsidRDefault="002A21AE">
            <w:pPr>
              <w:pStyle w:val="TableText"/>
            </w:pPr>
            <w:r>
              <w:t>6</w:t>
            </w:r>
          </w:p>
        </w:tc>
        <w:tc>
          <w:tcPr>
            <w:tcW w:w="8580" w:type="dxa"/>
          </w:tcPr>
          <w:p w14:paraId="4D664199" w14:textId="77777777" w:rsidR="004254A3" w:rsidRDefault="002A21AE">
            <w:pPr>
              <w:pStyle w:val="TableText"/>
            </w:pPr>
            <w:r>
              <w:rPr>
                <w:rFonts w:cs="Arial"/>
                <w:vanish/>
              </w:rPr>
              <w:t xml:space="preserve">BR_56.12 </w:t>
            </w:r>
            <w:r>
              <w:t xml:space="preserve">When the ABO/Rh interpretation matches observed results, is not inconclusive, and does not match the patient’s historic ABO/Rh (if any, including from database conversion), VBECS emits an audible alert, warns that the current ABO/Rh does not match previous results, and instructs the user to enter a comment to continue, or click </w:t>
            </w:r>
            <w:r>
              <w:rPr>
                <w:b/>
              </w:rPr>
              <w:t>Cancel</w:t>
            </w:r>
            <w:r>
              <w:t xml:space="preserve"> to clear the ABO/Rh testing results and interpretation from the screen. VBECS captures details for inclusion in an Exception Report (exception type: ABO/Rh discrepancy).</w:t>
            </w:r>
          </w:p>
        </w:tc>
      </w:tr>
      <w:tr w:rsidR="002A21AE" w14:paraId="5CFE5F7E" w14:textId="77777777">
        <w:tblPrEx>
          <w:tblLook w:val="0000" w:firstRow="0" w:lastRow="0" w:firstColumn="0" w:lastColumn="0" w:noHBand="0" w:noVBand="0"/>
        </w:tblPrEx>
        <w:tc>
          <w:tcPr>
            <w:tcW w:w="780" w:type="dxa"/>
          </w:tcPr>
          <w:p w14:paraId="08739A57" w14:textId="77777777" w:rsidR="002A21AE" w:rsidRDefault="002A21AE">
            <w:pPr>
              <w:pStyle w:val="TableText"/>
            </w:pPr>
            <w:r>
              <w:t>6</w:t>
            </w:r>
          </w:p>
        </w:tc>
        <w:tc>
          <w:tcPr>
            <w:tcW w:w="8580" w:type="dxa"/>
          </w:tcPr>
          <w:p w14:paraId="55F4C243" w14:textId="77777777" w:rsidR="002A21AE" w:rsidRDefault="002A21AE">
            <w:pPr>
              <w:pStyle w:val="TableText"/>
            </w:pPr>
            <w:r>
              <w:rPr>
                <w:rFonts w:cs="Arial"/>
                <w:vanish/>
                <w:szCs w:val="18"/>
              </w:rPr>
              <w:t>BR_56.16</w:t>
            </w:r>
            <w:r w:rsidR="00CE3961">
              <w:rPr>
                <w:rFonts w:cs="Arial"/>
                <w:vanish/>
                <w:szCs w:val="18"/>
              </w:rPr>
              <w:t>,</w:t>
            </w:r>
            <w:r>
              <w:rPr>
                <w:rFonts w:cs="Arial"/>
                <w:vanish/>
                <w:szCs w:val="18"/>
              </w:rPr>
              <w:t xml:space="preserve"> </w:t>
            </w:r>
            <w:r>
              <w:rPr>
                <w:vanish/>
                <w:szCs w:val="18"/>
              </w:rPr>
              <w:t xml:space="preserve">BR_56.28 </w:t>
            </w:r>
            <w:r>
              <w:t>When the interpretation of a repeat ABO/Rh does not match the original interpretation, VBECS:</w:t>
            </w:r>
          </w:p>
          <w:p w14:paraId="29CD6932" w14:textId="77777777" w:rsidR="002A21AE" w:rsidRDefault="002A21AE">
            <w:pPr>
              <w:pStyle w:val="TableTextBullet"/>
            </w:pPr>
            <w:r>
              <w:t>Verifies the retest results.</w:t>
            </w:r>
          </w:p>
          <w:p w14:paraId="4849695F" w14:textId="77777777" w:rsidR="002A21AE" w:rsidRDefault="002A21AE">
            <w:pPr>
              <w:pStyle w:val="TableTextBullet"/>
            </w:pPr>
            <w:r>
              <w:t>Emits an audible alert and warns the user.</w:t>
            </w:r>
          </w:p>
          <w:p w14:paraId="435C42EB" w14:textId="77777777" w:rsidR="002A21AE" w:rsidRDefault="002A21AE">
            <w:pPr>
              <w:pStyle w:val="TableTextBullet"/>
            </w:pPr>
            <w:r>
              <w:t>Instructs the user to resolve the discrepancy before the specimen may be used.</w:t>
            </w:r>
          </w:p>
          <w:p w14:paraId="4580104E" w14:textId="77777777" w:rsidR="002A21AE" w:rsidRDefault="002A21AE">
            <w:pPr>
              <w:pStyle w:val="TableTextBullet"/>
            </w:pPr>
            <w:r>
              <w:t xml:space="preserve">Asks whether the user wishes to continue to save. </w:t>
            </w:r>
            <w:r>
              <w:rPr>
                <w:b/>
              </w:rPr>
              <w:t>No</w:t>
            </w:r>
            <w:r>
              <w:t xml:space="preserve"> clears the ABO/Rh testing results and interpretation from the screen. </w:t>
            </w:r>
            <w:r>
              <w:rPr>
                <w:b/>
              </w:rPr>
              <w:t>Yes</w:t>
            </w:r>
            <w:r>
              <w:t xml:space="preserve"> requires a comment and captures details for inclusion in an Exception Report (Exception type: ABO/Rh discrepancy). </w:t>
            </w:r>
          </w:p>
        </w:tc>
      </w:tr>
      <w:tr w:rsidR="002A21AE" w14:paraId="36D964E0" w14:textId="77777777">
        <w:tblPrEx>
          <w:tblLook w:val="0000" w:firstRow="0" w:lastRow="0" w:firstColumn="0" w:lastColumn="0" w:noHBand="0" w:noVBand="0"/>
        </w:tblPrEx>
        <w:tc>
          <w:tcPr>
            <w:tcW w:w="780" w:type="dxa"/>
          </w:tcPr>
          <w:p w14:paraId="25A258D7" w14:textId="77777777" w:rsidR="002A21AE" w:rsidRDefault="002A21AE">
            <w:pPr>
              <w:pStyle w:val="TableText"/>
            </w:pPr>
            <w:r>
              <w:t>6</w:t>
            </w:r>
          </w:p>
        </w:tc>
        <w:tc>
          <w:tcPr>
            <w:tcW w:w="8580" w:type="dxa"/>
          </w:tcPr>
          <w:p w14:paraId="6036F171" w14:textId="77777777" w:rsidR="003F73CA" w:rsidRPr="003F73CA" w:rsidRDefault="002A21AE">
            <w:pPr>
              <w:pStyle w:val="TableText"/>
            </w:pPr>
            <w:r>
              <w:rPr>
                <w:rFonts w:cs="Arial"/>
                <w:vanish/>
              </w:rPr>
              <w:t xml:space="preserve">BR_56.19 </w:t>
            </w:r>
            <w:r>
              <w:t>When a user documents an ABO/Rh discrepancy, VBECS releases units with “assigned” and “crossmatched” statuses associated with this specimen from the patient.</w:t>
            </w:r>
          </w:p>
        </w:tc>
      </w:tr>
      <w:tr w:rsidR="002A21AE" w14:paraId="4210B19B" w14:textId="77777777">
        <w:tblPrEx>
          <w:tblLook w:val="0000" w:firstRow="0" w:lastRow="0" w:firstColumn="0" w:lastColumn="0" w:noHBand="0" w:noVBand="0"/>
        </w:tblPrEx>
        <w:tc>
          <w:tcPr>
            <w:tcW w:w="780" w:type="dxa"/>
          </w:tcPr>
          <w:p w14:paraId="4CFFC3A2" w14:textId="77777777" w:rsidR="002A21AE" w:rsidRDefault="002A21AE">
            <w:pPr>
              <w:pStyle w:val="TableText"/>
            </w:pPr>
            <w:r>
              <w:t>6</w:t>
            </w:r>
          </w:p>
        </w:tc>
        <w:tc>
          <w:tcPr>
            <w:tcW w:w="8580" w:type="dxa"/>
          </w:tcPr>
          <w:p w14:paraId="0B010B07" w14:textId="77777777" w:rsidR="002A21AE" w:rsidRDefault="002A21AE" w:rsidP="00003BE9">
            <w:pPr>
              <w:pStyle w:val="TableText"/>
            </w:pPr>
            <w:r>
              <w:rPr>
                <w:rFonts w:cs="Arial"/>
                <w:vanish/>
              </w:rPr>
              <w:t xml:space="preserve">BR_56.29 </w:t>
            </w:r>
            <w:r>
              <w:t>When a unit was issued and a conflicting test result found that indicates a potential unit incompatibility with the patient, such as a patient ABO/Rh discrepancy, the unit XM is incompatible with the patient, the patient ABS is positive, the patient DAT is positive, or the unit is antigen positive where antigen negative is required on the tested specimen, VBECS warns the user and instructs him to notify the physician of this potential problem immediately, according to hospital policy. VBECS warns the user during the execution of the various tests related to the compatibility of a blood unit and captures details for inclusion in an Exception Report (exception type: unit issued, testing problem).</w:t>
            </w:r>
            <w:r w:rsidR="004C53EA">
              <w:t xml:space="preserve"> </w:t>
            </w:r>
          </w:p>
        </w:tc>
      </w:tr>
      <w:tr w:rsidR="00AF6F7F" w14:paraId="355A4EB8" w14:textId="77777777">
        <w:tblPrEx>
          <w:tblLook w:val="0000" w:firstRow="0" w:lastRow="0" w:firstColumn="0" w:lastColumn="0" w:noHBand="0" w:noVBand="0"/>
        </w:tblPrEx>
        <w:tc>
          <w:tcPr>
            <w:tcW w:w="780" w:type="dxa"/>
          </w:tcPr>
          <w:p w14:paraId="76237CF0" w14:textId="648AB977" w:rsidR="00AF6F7F" w:rsidRDefault="00AF6F7F">
            <w:pPr>
              <w:pStyle w:val="TableText"/>
            </w:pPr>
            <w:r>
              <w:t>6</w:t>
            </w:r>
          </w:p>
        </w:tc>
        <w:tc>
          <w:tcPr>
            <w:tcW w:w="8580" w:type="dxa"/>
          </w:tcPr>
          <w:p w14:paraId="4A7CEB43" w14:textId="1AEEE4D3" w:rsidR="00AF6F7F" w:rsidRDefault="00460566" w:rsidP="00003BE9">
            <w:pPr>
              <w:pStyle w:val="TableText"/>
              <w:rPr>
                <w:rFonts w:cs="Arial"/>
                <w:vanish/>
              </w:rPr>
            </w:pPr>
            <w:r w:rsidRPr="00460566">
              <w:rPr>
                <w:vanish/>
              </w:rPr>
              <w:t xml:space="preserve">BR_53.08 </w:t>
            </w:r>
            <w:r w:rsidR="00AF6F7F">
              <w:t xml:space="preserve">If the antibody screen is positive, the system shall emit an audible alert and warning that displays </w:t>
            </w:r>
            <w:r w:rsidR="00AF6F7F" w:rsidRPr="00DD6184">
              <w:t>Patient has a POSITIVE Antibody Screen Result. Please perform Antibody Identification on this patient prior to issue of blood components</w:t>
            </w:r>
            <w:r w:rsidR="00AF6F7F">
              <w:t>.</w:t>
            </w:r>
          </w:p>
        </w:tc>
      </w:tr>
    </w:tbl>
    <w:p w14:paraId="14802E60" w14:textId="77777777" w:rsidR="002A21AE" w:rsidRDefault="0072673B" w:rsidP="0072673B">
      <w:pPr>
        <w:pStyle w:val="Heading3"/>
      </w:pPr>
      <w:r>
        <w:br w:type="page"/>
      </w:r>
      <w:bookmarkStart w:id="466" w:name="_Toc149064159"/>
      <w:r w:rsidR="002A21AE">
        <w:t>Patient Testing: Record a Patient ABO/Rh</w:t>
      </w:r>
      <w:bookmarkEnd w:id="466"/>
      <w:r w:rsidR="002A21AE">
        <w:fldChar w:fldCharType="begin"/>
      </w:r>
      <w:r w:rsidR="002A21AE">
        <w:instrText xml:space="preserve"> XE </w:instrText>
      </w:r>
      <w:r w:rsidR="00FA7E65">
        <w:instrText>“</w:instrText>
      </w:r>
      <w:r w:rsidR="002A21AE">
        <w:instrText>Patient Testing\: Record a Patient ABO/Rh</w:instrText>
      </w:r>
      <w:r w:rsidR="00FA7E65">
        <w:instrText>”</w:instrText>
      </w:r>
      <w:r w:rsidR="002A21AE">
        <w:instrText xml:space="preserve"> </w:instrText>
      </w:r>
      <w:r w:rsidR="002A21AE">
        <w:fldChar w:fldCharType="end"/>
      </w:r>
      <w:r w:rsidR="002A21AE">
        <w:t xml:space="preserve"> </w:t>
      </w:r>
      <w:r w:rsidR="002A21AE">
        <w:rPr>
          <w:vanish/>
          <w:sz w:val="22"/>
        </w:rPr>
        <w:t>UC_52</w:t>
      </w:r>
    </w:p>
    <w:p w14:paraId="147FCA68" w14:textId="5502F2B1" w:rsidR="002A21AE" w:rsidRDefault="002A21AE" w:rsidP="00FA7E65">
      <w:pPr>
        <w:pStyle w:val="BodyText"/>
      </w:pPr>
      <w:r>
        <w:t>The user records observed results when performing ABO/Rh blood typing.</w:t>
      </w:r>
    </w:p>
    <w:p w14:paraId="0584ADBC" w14:textId="77777777" w:rsidR="002A21AE" w:rsidRDefault="002A21AE">
      <w:pPr>
        <w:pStyle w:val="Heading4"/>
      </w:pPr>
      <w:r>
        <w:t>Assumptions</w:t>
      </w:r>
    </w:p>
    <w:p w14:paraId="4E09B061" w14:textId="77777777" w:rsidR="002A21AE" w:rsidRDefault="002A21AE">
      <w:pPr>
        <w:pStyle w:val="ListBullet"/>
      </w:pPr>
      <w:r>
        <w:t xml:space="preserve">A CPRS order exists that includes an ABO/Rh typing [ABO/Rh Test or Type &amp; Screen (TAS)]. </w:t>
      </w:r>
    </w:p>
    <w:p w14:paraId="64C06416" w14:textId="77777777" w:rsidR="002A21AE" w:rsidRDefault="002A21AE">
      <w:pPr>
        <w:pStyle w:val="ListBullet"/>
      </w:pPr>
      <w:r>
        <w:t>The user accesses patient ABO/Rh grids through Patient Testing: Record Patient Test Results.</w:t>
      </w:r>
    </w:p>
    <w:p w14:paraId="43CC7A95" w14:textId="77777777" w:rsidR="0083516B" w:rsidRPr="0083516B" w:rsidRDefault="002A21AE" w:rsidP="0083516B">
      <w:pPr>
        <w:pStyle w:val="Heading4"/>
      </w:pPr>
      <w:r>
        <w:t>Outcome</w:t>
      </w:r>
    </w:p>
    <w:p w14:paraId="168770C3" w14:textId="77777777" w:rsidR="002A21AE" w:rsidRDefault="002A21AE">
      <w:pPr>
        <w:pStyle w:val="ListBullet"/>
      </w:pPr>
      <w:r>
        <w:t>The ABO/Rh result is used to determine overall blood component compatibility.</w:t>
      </w:r>
    </w:p>
    <w:p w14:paraId="64FD9904" w14:textId="77777777" w:rsidR="002A21AE" w:rsidRDefault="002A21AE">
      <w:pPr>
        <w:pStyle w:val="ListBullet"/>
      </w:pPr>
      <w:r>
        <w:t>When ABO/Rh is ordered as a stand-alone test, VBECS changes the task status to “completed” and triggers the generation of a message to CPRS that the order is completed.</w:t>
      </w:r>
    </w:p>
    <w:p w14:paraId="6FE426C9" w14:textId="77777777" w:rsidR="002A21AE" w:rsidRDefault="002A21AE">
      <w:pPr>
        <w:pStyle w:val="Heading4"/>
      </w:pPr>
      <w:r>
        <w:t>Limitations and Restrictions</w:t>
      </w:r>
    </w:p>
    <w:p w14:paraId="1EB0E249" w14:textId="404E319F" w:rsidR="00CD1B8C" w:rsidRDefault="0084410F" w:rsidP="00CD1B8C">
      <w:pPr>
        <w:pStyle w:val="ListBullet"/>
      </w:pPr>
      <w:r>
        <w:t xml:space="preserve">VBECS does not allow entry of ABO or Rh subgroups as a </w:t>
      </w:r>
      <w:r w:rsidR="002B25A3">
        <w:t>'</w:t>
      </w:r>
      <w:r>
        <w:t>group</w:t>
      </w:r>
      <w:r w:rsidR="002B25A3">
        <w:t>'</w:t>
      </w:r>
      <w:r>
        <w:t xml:space="preserve"> and/or </w:t>
      </w:r>
      <w:r w:rsidR="002B25A3">
        <w:t>'</w:t>
      </w:r>
      <w:r>
        <w:t>type</w:t>
      </w:r>
      <w:r w:rsidR="002B25A3">
        <w:t>'</w:t>
      </w:r>
      <w:r>
        <w:t xml:space="preserve"> when the previous blood group/type is "NR", indicating no recor</w:t>
      </w:r>
      <w:r w:rsidR="00CD1B8C">
        <w:t>d of previous testing.  S</w:t>
      </w:r>
      <w:r>
        <w:t xml:space="preserve">ee </w:t>
      </w:r>
      <w:r w:rsidR="00376944">
        <w:t>FAQ</w:t>
      </w:r>
      <w:r>
        <w:t xml:space="preserve"> ABO Subgroup Interpretation </w:t>
      </w:r>
      <w:r w:rsidR="00C230C9">
        <w:t xml:space="preserve">and contact the </w:t>
      </w:r>
      <w:r w:rsidR="00CD1B8C">
        <w:t>Service Desk for assistance, prior to adding patient transfusion records in VBECS, when possible.</w:t>
      </w:r>
      <w:r w:rsidR="00CD1B8C" w:rsidRPr="00CD1B8C">
        <w:rPr>
          <w:vanish/>
        </w:rPr>
        <w:t xml:space="preserve"> Defect 368207</w:t>
      </w:r>
    </w:p>
    <w:p w14:paraId="02E5C857" w14:textId="506CB7FF" w:rsidR="00FE415F" w:rsidRDefault="00FE415F" w:rsidP="00FE415F">
      <w:pPr>
        <w:pStyle w:val="ListBullet"/>
      </w:pPr>
      <w:r>
        <w:t>When the patient has no previous ABO/Rh test record (NR), the ABO/Rh test associated with th</w:t>
      </w:r>
      <w:r w:rsidR="008C75A6">
        <w:t>e</w:t>
      </w:r>
      <w:r>
        <w:t xml:space="preserve"> Type and Screen test (TAS) must be completed and saved prior to entering and saving a repeat ABO/Rh test on this specimen. </w:t>
      </w:r>
      <w:r w:rsidRPr="00FE415F">
        <w:rPr>
          <w:vanish/>
        </w:rPr>
        <w:t>Defect 231531</w:t>
      </w:r>
      <w:r w:rsidR="003B0CE2">
        <w:rPr>
          <w:vanish/>
        </w:rPr>
        <w:t>, Task 474043</w:t>
      </w:r>
    </w:p>
    <w:p w14:paraId="75DB8661" w14:textId="5BCEFD3D" w:rsidR="00E06C13" w:rsidRDefault="00D25068" w:rsidP="00D25068">
      <w:pPr>
        <w:pStyle w:val="ListBullet"/>
      </w:pPr>
      <w:r w:rsidRPr="00D25068">
        <w:t>A user is permitted to select two partially completed tests with different test phases (e.g., AHG only and All Phases) along with a not started test. The testing phase for the not started test will present as AHG only even though results for all phases are required by VBECS. Entering only AHG test results for the specimen that was not started and saving will result in a partially completed test that cannot be completed or invalidated.</w:t>
      </w:r>
      <w:r>
        <w:t xml:space="preserve"> Contact the Service Desk when you encounter this problem. Specimens that cannot be completed or invalidated require the attention of Tier 3 support. Select partially completed orders that have been previously saved with the same grid test pattern. Optionally, a not started test may be selected with these but must be tested with the same grid pattern to avoid the problem.</w:t>
      </w:r>
      <w:r w:rsidR="00201A45">
        <w:t xml:space="preserve"> </w:t>
      </w:r>
      <w:r w:rsidR="00201A45" w:rsidRPr="007E05D6">
        <w:rPr>
          <w:vanish/>
        </w:rPr>
        <w:t>Defect 210048</w:t>
      </w:r>
    </w:p>
    <w:p w14:paraId="2ED5FBC1" w14:textId="406D86D9" w:rsidR="007E05D6" w:rsidRPr="00D25068" w:rsidRDefault="00D033DC" w:rsidP="00D25068">
      <w:pPr>
        <w:pStyle w:val="ListBullet"/>
      </w:pPr>
      <w:r>
        <w:t xml:space="preserve">When canceling out of a Discrepant ABO/Rh Typing override, the interpretations are cleared, but the testing results are not cleared. Correct the testing entries or click the red ‘X’ to clear the testing results. </w:t>
      </w:r>
      <w:r w:rsidRPr="00D033DC">
        <w:rPr>
          <w:vanish/>
        </w:rPr>
        <w:t>Defect 208974</w:t>
      </w:r>
    </w:p>
    <w:p w14:paraId="44435F76" w14:textId="77777777" w:rsidR="002A21AE" w:rsidRDefault="002A21AE">
      <w:pPr>
        <w:pStyle w:val="Heading4"/>
      </w:pPr>
      <w:r>
        <w:t>Additional Information</w:t>
      </w:r>
    </w:p>
    <w:p w14:paraId="67B21200" w14:textId="77777777" w:rsidR="00FC3A2C" w:rsidRDefault="00FC3A2C">
      <w:pPr>
        <w:pStyle w:val="ListBullet"/>
      </w:pPr>
      <w:r>
        <w:t>When an ABO/Rh discrepancy exists, VBECS releases assigned and crossmatched units. These units are then available for e</w:t>
      </w:r>
      <w:r w:rsidRPr="003F73CA">
        <w:t>mergency issue</w:t>
      </w:r>
      <w:r>
        <w:t xml:space="preserve"> based on system rules</w:t>
      </w:r>
      <w:r w:rsidRPr="003F73CA">
        <w:t>.</w:t>
      </w:r>
    </w:p>
    <w:p w14:paraId="35697C91" w14:textId="77777777" w:rsidR="002A21AE" w:rsidRDefault="002A21AE">
      <w:pPr>
        <w:pStyle w:val="ListBullet"/>
      </w:pPr>
      <w:r>
        <w:t>VBECS does not enforce local policies that require running a D control for AB positive patients.</w:t>
      </w:r>
    </w:p>
    <w:p w14:paraId="2ADC961A" w14:textId="77777777" w:rsidR="002A21AE" w:rsidRDefault="002A21AE">
      <w:pPr>
        <w:pStyle w:val="ListBullet"/>
      </w:pPr>
      <w:r>
        <w:t>The most recent instance of ABO/Rh testing in the database serves as the historic ABO/Rh record.</w:t>
      </w:r>
    </w:p>
    <w:p w14:paraId="6B772B99" w14:textId="77777777" w:rsidR="00786249" w:rsidRPr="00786249" w:rsidRDefault="00786249" w:rsidP="00786249">
      <w:pPr>
        <w:pStyle w:val="ListBullet"/>
        <w:rPr>
          <w:color w:val="1F497D"/>
        </w:rPr>
      </w:pPr>
      <w:r>
        <w:t>Weak D testing results recorded in Patient Antigen Typing do not interact or change the Rh typing recorded for the patient by an ABO/Rh test.</w:t>
      </w:r>
      <w:r w:rsidRPr="00812458">
        <w:rPr>
          <w:vanish/>
        </w:rPr>
        <w:t xml:space="preserve"> Task 409152</w:t>
      </w:r>
    </w:p>
    <w:p w14:paraId="55D089B6" w14:textId="77777777" w:rsidR="002A21AE" w:rsidRDefault="002A21AE">
      <w:pPr>
        <w:pStyle w:val="Heading4"/>
      </w:pPr>
      <w:r>
        <w:t xml:space="preserve">User Roles with Access to This Option </w:t>
      </w:r>
    </w:p>
    <w:p w14:paraId="3C3FF225" w14:textId="77777777" w:rsidR="002A21AE" w:rsidRDefault="00A937B3">
      <w:pPr>
        <w:pStyle w:val="Roles"/>
      </w:pPr>
      <w:r>
        <w:t>All users</w:t>
      </w:r>
    </w:p>
    <w:p w14:paraId="7C3945E9" w14:textId="77777777" w:rsidR="002A21AE" w:rsidRDefault="002A21AE">
      <w:pPr>
        <w:pStyle w:val="Heading4"/>
      </w:pPr>
      <w:r>
        <w:t>Patient Testing: Record a Patient ABO/Rh</w:t>
      </w:r>
    </w:p>
    <w:p w14:paraId="3C3BFEFF" w14:textId="77777777" w:rsidR="002A21AE" w:rsidRDefault="002A21AE" w:rsidP="00FA7E65">
      <w:pPr>
        <w:pStyle w:val="BodyText"/>
      </w:pPr>
      <w:r>
        <w:t>This option describes a test to determine the patient’s ABO/Rh typing from a blood specimen. The user enters the serologic reaction results in the data entry grid using the instructions and rules in this option. The grid is used for the Confirm Patient ABO/Rh reflex test as part of a TAS and crossmatch (XM) test battery. VBECS monitors the user’s entries and interpretations and maintains the records for patient reports.</w:t>
      </w:r>
      <w:r w:rsidR="000222FC">
        <w:t xml:space="preserve"> </w:t>
      </w:r>
    </w:p>
    <w:p w14:paraId="64B24025" w14:textId="77777777" w:rsidR="002A21AE" w:rsidRDefault="002A21AE" w:rsidP="00FA7E65">
      <w:pPr>
        <w:pStyle w:val="BodyText"/>
      </w:pPr>
      <w:r>
        <w:t xml:space="preserve">These steps describe the entry of data for a patient ABO/Rh test when the test is ordered individually or as part of a TAS.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8F0DF8F" w14:textId="77777777">
        <w:trPr>
          <w:cantSplit/>
          <w:tblHeader/>
        </w:trPr>
        <w:tc>
          <w:tcPr>
            <w:tcW w:w="3240" w:type="dxa"/>
            <w:shd w:val="pct30" w:color="auto" w:fill="FFFFFF"/>
            <w:vAlign w:val="bottom"/>
          </w:tcPr>
          <w:p w14:paraId="2553BE89" w14:textId="77777777" w:rsidR="002A21AE" w:rsidRDefault="002A21AE">
            <w:pPr>
              <w:pStyle w:val="TableText"/>
              <w:rPr>
                <w:b/>
              </w:rPr>
            </w:pPr>
            <w:r>
              <w:rPr>
                <w:b/>
              </w:rPr>
              <w:t>User Action</w:t>
            </w:r>
          </w:p>
        </w:tc>
        <w:tc>
          <w:tcPr>
            <w:tcW w:w="6120" w:type="dxa"/>
            <w:shd w:val="pct30" w:color="auto" w:fill="FFFFFF"/>
            <w:vAlign w:val="bottom"/>
          </w:tcPr>
          <w:p w14:paraId="18C1413F" w14:textId="77777777" w:rsidR="002A21AE" w:rsidRDefault="002A21AE">
            <w:pPr>
              <w:pStyle w:val="TableText"/>
              <w:rPr>
                <w:b/>
              </w:rPr>
            </w:pPr>
            <w:r>
              <w:rPr>
                <w:b/>
              </w:rPr>
              <w:t>VBECS</w:t>
            </w:r>
          </w:p>
        </w:tc>
      </w:tr>
      <w:tr w:rsidR="00141448" w14:paraId="4EFAFE75" w14:textId="77777777">
        <w:tc>
          <w:tcPr>
            <w:tcW w:w="3240" w:type="dxa"/>
            <w:tcBorders>
              <w:top w:val="single" w:sz="4" w:space="0" w:color="auto"/>
              <w:left w:val="single" w:sz="4" w:space="0" w:color="auto"/>
              <w:bottom w:val="single" w:sz="4" w:space="0" w:color="auto"/>
              <w:right w:val="single" w:sz="4" w:space="0" w:color="auto"/>
            </w:tcBorders>
          </w:tcPr>
          <w:p w14:paraId="5BBD4A56" w14:textId="77777777" w:rsidR="00141448" w:rsidRDefault="00141448" w:rsidP="00141448">
            <w:pPr>
              <w:pStyle w:val="TableTextNumbers"/>
            </w:pPr>
            <w:r>
              <w:t xml:space="preserve">Select </w:t>
            </w:r>
            <w:r>
              <w:rPr>
                <w:b/>
              </w:rPr>
              <w:t>Patients</w:t>
            </w:r>
            <w:r>
              <w:t xml:space="preserve"> from the main menu.</w:t>
            </w:r>
          </w:p>
          <w:p w14:paraId="07D9B9D6" w14:textId="77777777" w:rsidR="00141448" w:rsidRDefault="00141448" w:rsidP="00141448">
            <w:pPr>
              <w:pStyle w:val="TableTextNumbersContinued"/>
            </w:pPr>
          </w:p>
          <w:p w14:paraId="46BAEC22"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C01A055" w14:textId="77777777" w:rsidR="00141448" w:rsidRDefault="00141448" w:rsidP="00141448">
            <w:pPr>
              <w:pStyle w:val="TableTextBullet"/>
            </w:pPr>
            <w:r>
              <w:t xml:space="preserve">Displays options for processing patient-related functions. </w:t>
            </w:r>
          </w:p>
          <w:p w14:paraId="35709766" w14:textId="77777777" w:rsidR="00141448" w:rsidRDefault="00141448" w:rsidP="00141448">
            <w:pPr>
              <w:pStyle w:val="TableTextBullet"/>
            </w:pPr>
            <w:r>
              <w:t>Displays the Pending Task List (PTL) in the Diagnostic Tests tab.</w:t>
            </w:r>
          </w:p>
          <w:p w14:paraId="3B6CF893" w14:textId="77777777" w:rsidR="00141448" w:rsidRDefault="00141448" w:rsidP="00141448">
            <w:pPr>
              <w:pStyle w:val="NotesText"/>
            </w:pPr>
          </w:p>
          <w:p w14:paraId="5E88F50B" w14:textId="5C5B9C4E" w:rsidR="00141448" w:rsidRDefault="00141448" w:rsidP="00141448">
            <w:pPr>
              <w:pStyle w:val="TableText"/>
              <w:rPr>
                <w:b/>
                <w:bCs/>
                <w:szCs w:val="18"/>
              </w:rPr>
            </w:pPr>
            <w:r>
              <w:rPr>
                <w:b/>
                <w:bCs/>
                <w:szCs w:val="18"/>
              </w:rPr>
              <w:t>NOTES</w:t>
            </w:r>
          </w:p>
          <w:p w14:paraId="472D9870" w14:textId="77777777" w:rsidR="00141448" w:rsidRDefault="00141448" w:rsidP="00141448">
            <w:pPr>
              <w:pStyle w:val="NotesText"/>
            </w:pPr>
          </w:p>
          <w:p w14:paraId="3B3DDAAD" w14:textId="77777777" w:rsidR="00141448" w:rsidRDefault="00141448" w:rsidP="00141448">
            <w:pPr>
              <w:pStyle w:val="NotesText"/>
            </w:pPr>
            <w:r>
              <w:t>A user may search for specific tasks using search criteria detailed in Pending Task List.</w:t>
            </w:r>
          </w:p>
        </w:tc>
      </w:tr>
      <w:tr w:rsidR="00B1359E" w14:paraId="48B78FBD" w14:textId="77777777">
        <w:tc>
          <w:tcPr>
            <w:tcW w:w="3240" w:type="dxa"/>
          </w:tcPr>
          <w:p w14:paraId="0E009FA8" w14:textId="77777777" w:rsidR="00B1359E" w:rsidRDefault="00B1359E" w:rsidP="00150254">
            <w:pPr>
              <w:pStyle w:val="TableTextNumbers"/>
            </w:pPr>
            <w:r>
              <w:t xml:space="preserve">Click one to four check boxes in the Pending Task List to select tasks for testing. </w:t>
            </w:r>
          </w:p>
          <w:p w14:paraId="48F998A4" w14:textId="77777777" w:rsidR="00B1359E" w:rsidRDefault="00B1359E" w:rsidP="00150254">
            <w:pPr>
              <w:pStyle w:val="TableTextNumbersContinued"/>
            </w:pPr>
          </w:p>
          <w:p w14:paraId="2A61B6A7" w14:textId="77777777" w:rsidR="00B1359E" w:rsidRDefault="00B1359E" w:rsidP="00150254">
            <w:pPr>
              <w:pStyle w:val="TableTextNumbersContinued"/>
            </w:pPr>
            <w:r>
              <w:t xml:space="preserve">Click </w:t>
            </w:r>
            <w:r>
              <w:rPr>
                <w:b/>
              </w:rPr>
              <w:t>OK</w:t>
            </w:r>
            <w:r>
              <w:t>.</w:t>
            </w:r>
          </w:p>
        </w:tc>
        <w:tc>
          <w:tcPr>
            <w:tcW w:w="6120" w:type="dxa"/>
          </w:tcPr>
          <w:p w14:paraId="01A8EDCD" w14:textId="77777777" w:rsidR="00B1359E" w:rsidRDefault="00B1359E" w:rsidP="00150254">
            <w:pPr>
              <w:pStyle w:val="TableTextBullet"/>
            </w:pPr>
            <w:r>
              <w:t>Displays patient names and associated task information.</w:t>
            </w:r>
          </w:p>
        </w:tc>
      </w:tr>
      <w:tr w:rsidR="002A21AE" w14:paraId="365CE506" w14:textId="77777777">
        <w:tc>
          <w:tcPr>
            <w:tcW w:w="3240" w:type="dxa"/>
          </w:tcPr>
          <w:p w14:paraId="45121D54" w14:textId="77777777" w:rsidR="002A21AE" w:rsidRDefault="0091416B">
            <w:pPr>
              <w:pStyle w:val="TableTextNumbers"/>
              <w:rPr>
                <w:b/>
                <w:bCs/>
              </w:rPr>
            </w:pPr>
            <w:r>
              <w:t>E</w:t>
            </w:r>
            <w:r w:rsidR="002A21AE">
              <w:rPr>
                <w:bCs/>
              </w:rPr>
              <w:t>nter patient ABO/Rh testing results.</w:t>
            </w:r>
            <w:r w:rsidR="002A21AE">
              <w:rPr>
                <w:b/>
                <w:bCs/>
              </w:rPr>
              <w:t xml:space="preserve"> </w:t>
            </w:r>
          </w:p>
        </w:tc>
        <w:tc>
          <w:tcPr>
            <w:tcW w:w="6120" w:type="dxa"/>
          </w:tcPr>
          <w:p w14:paraId="62FBF262" w14:textId="77777777" w:rsidR="002A21AE" w:rsidRDefault="002A21AE">
            <w:pPr>
              <w:pStyle w:val="TableTextBullet"/>
            </w:pPr>
            <w:r>
              <w:t xml:space="preserve">Displays a direct data entry </w:t>
            </w:r>
            <w:r w:rsidR="00917E9F">
              <w:t xml:space="preserve">(DDE) </w:t>
            </w:r>
            <w:r>
              <w:t xml:space="preserve">grid for entering serologic reaction results for ABO/Rh patient testing. </w:t>
            </w:r>
          </w:p>
          <w:p w14:paraId="768E95C1" w14:textId="77777777" w:rsidR="002A21AE" w:rsidRDefault="002A21AE">
            <w:pPr>
              <w:pStyle w:val="TableText"/>
            </w:pPr>
          </w:p>
          <w:p w14:paraId="57140C7E" w14:textId="41884310" w:rsidR="002A21AE" w:rsidRDefault="002A21AE">
            <w:pPr>
              <w:pStyle w:val="TableText"/>
              <w:rPr>
                <w:b/>
                <w:bCs/>
                <w:szCs w:val="18"/>
              </w:rPr>
            </w:pPr>
            <w:r>
              <w:rPr>
                <w:b/>
                <w:bCs/>
                <w:szCs w:val="18"/>
              </w:rPr>
              <w:t>NOTES</w:t>
            </w:r>
          </w:p>
          <w:p w14:paraId="37300F85" w14:textId="77777777" w:rsidR="002A21AE" w:rsidRDefault="002A21AE">
            <w:pPr>
              <w:pStyle w:val="NotesText"/>
            </w:pPr>
          </w:p>
          <w:p w14:paraId="49D041AD" w14:textId="77777777" w:rsidR="002A21AE" w:rsidRDefault="002A21AE">
            <w:pPr>
              <w:pStyle w:val="NotesText"/>
            </w:pPr>
            <w:r>
              <w:rPr>
                <w:rFonts w:cs="Arial"/>
                <w:vanish/>
              </w:rPr>
              <w:t xml:space="preserve">BR_52.09 </w:t>
            </w:r>
            <w:r>
              <w:t>The user may reenter valid results or delete entries and start over before saving the results. The user may invalidate, but not edit, data in a grid from a previous session by clicking the red “X” in the upper right corner of the testing grid, as described in Invalidate Test Results.</w:t>
            </w:r>
          </w:p>
          <w:p w14:paraId="557453F3" w14:textId="77777777" w:rsidR="002A21AE" w:rsidRDefault="002A21AE">
            <w:pPr>
              <w:pStyle w:val="NotesText"/>
            </w:pPr>
          </w:p>
          <w:p w14:paraId="6AC583C4" w14:textId="77777777" w:rsidR="002A21AE" w:rsidRDefault="002A21AE" w:rsidP="002B6B38">
            <w:pPr>
              <w:pStyle w:val="NotesText"/>
            </w:pPr>
            <w:r>
              <w:rPr>
                <w:rFonts w:cs="Arial"/>
                <w:vanish/>
              </w:rPr>
              <w:t xml:space="preserve">BR_52.07 </w:t>
            </w:r>
            <w:r>
              <w:t xml:space="preserve">VBECS determines the validity of the user-entered patient ABO/Rh interpretation by comparing the reaction results pattern of the row with the truth table and with the previous ABO/Rh entries for the patient. </w:t>
            </w:r>
          </w:p>
        </w:tc>
      </w:tr>
      <w:tr w:rsidR="002A21AE" w14:paraId="5BB36B99" w14:textId="77777777">
        <w:tc>
          <w:tcPr>
            <w:tcW w:w="3240" w:type="dxa"/>
          </w:tcPr>
          <w:p w14:paraId="24CAE389" w14:textId="77777777" w:rsidR="002A21AE" w:rsidRDefault="002A21AE">
            <w:pPr>
              <w:pStyle w:val="TableTextNumbers"/>
            </w:pPr>
            <w:r>
              <w:t>Select a patient to begin entering his serologic reactions.</w:t>
            </w:r>
          </w:p>
        </w:tc>
        <w:tc>
          <w:tcPr>
            <w:tcW w:w="6120" w:type="dxa"/>
          </w:tcPr>
          <w:p w14:paraId="1687B5C5" w14:textId="77777777" w:rsidR="002A21AE" w:rsidRDefault="002A21AE">
            <w:pPr>
              <w:pStyle w:val="TableTextBullet"/>
            </w:pPr>
            <w:r>
              <w:t xml:space="preserve">Allows the user to select one patient at a time and enter a test result for that patient. </w:t>
            </w:r>
          </w:p>
          <w:p w14:paraId="6F55067A" w14:textId="77777777" w:rsidR="002A21AE" w:rsidRDefault="002A21AE">
            <w:pPr>
              <w:pStyle w:val="TableTextBullet"/>
            </w:pPr>
            <w:r>
              <w:t xml:space="preserve">Allows only valid data entries in the grid reaction result and interpretation cells. </w:t>
            </w:r>
          </w:p>
          <w:p w14:paraId="2BE67434" w14:textId="77777777" w:rsidR="002A21AE" w:rsidRDefault="002A21AE">
            <w:pPr>
              <w:pStyle w:val="TableText"/>
            </w:pPr>
          </w:p>
          <w:p w14:paraId="4304A85C" w14:textId="238197C7" w:rsidR="002A21AE" w:rsidRDefault="002A21AE">
            <w:pPr>
              <w:pStyle w:val="TableText"/>
              <w:rPr>
                <w:b/>
                <w:bCs/>
                <w:szCs w:val="18"/>
              </w:rPr>
            </w:pPr>
            <w:r>
              <w:rPr>
                <w:b/>
                <w:bCs/>
                <w:szCs w:val="18"/>
              </w:rPr>
              <w:t>NOTES</w:t>
            </w:r>
          </w:p>
          <w:p w14:paraId="24BBB77A" w14:textId="77777777" w:rsidR="002A21AE" w:rsidRDefault="002A21AE">
            <w:pPr>
              <w:pStyle w:val="NotesText"/>
            </w:pPr>
          </w:p>
          <w:p w14:paraId="507A85EE" w14:textId="77777777" w:rsidR="002A21AE" w:rsidRDefault="002A21AE">
            <w:pPr>
              <w:pStyle w:val="NotesText"/>
            </w:pPr>
            <w:r>
              <w:t xml:space="preserve">When A,B or D control is not part of the daily QC configuration, VBECS disables it in the ABO/Rh test grid. </w:t>
            </w:r>
          </w:p>
          <w:p w14:paraId="0770E7A9" w14:textId="77777777" w:rsidR="002A21AE" w:rsidRDefault="002A21AE">
            <w:pPr>
              <w:pStyle w:val="NotesText"/>
            </w:pPr>
          </w:p>
          <w:p w14:paraId="1173FCF6" w14:textId="77777777" w:rsidR="002A21AE" w:rsidRDefault="002A21AE">
            <w:pPr>
              <w:pStyle w:val="NotesText"/>
            </w:pPr>
            <w:r>
              <w:t xml:space="preserve">When an AB Positive patient requires the performance of a control cell, the user must order a repeat ABO/Rh test. </w:t>
            </w:r>
          </w:p>
          <w:p w14:paraId="29BC368C" w14:textId="77777777" w:rsidR="002A21AE" w:rsidRPr="00760A4D" w:rsidRDefault="002A21AE" w:rsidP="00760A4D">
            <w:pPr>
              <w:pStyle w:val="NotesText"/>
            </w:pPr>
          </w:p>
          <w:p w14:paraId="34854FC8" w14:textId="77777777" w:rsidR="002A21AE" w:rsidRDefault="002A21AE">
            <w:pPr>
              <w:pStyle w:val="NotesText"/>
            </w:pPr>
            <w:r>
              <w:t>When A,B is enabled, the user enters a result for Anti-A,B as part of the patient test, it is included in determining the interpretation for that patient test. “X” is an acceptable entry.</w:t>
            </w:r>
          </w:p>
          <w:p w14:paraId="79528AF6" w14:textId="77777777" w:rsidR="002A21AE" w:rsidRDefault="002A21AE">
            <w:pPr>
              <w:pStyle w:val="NotesText"/>
            </w:pPr>
          </w:p>
          <w:p w14:paraId="6EAA015E" w14:textId="77777777" w:rsidR="002A21AE" w:rsidRDefault="002A21AE">
            <w:pPr>
              <w:pStyle w:val="NotesText"/>
            </w:pPr>
            <w:r>
              <w:t>A,B and D control are always enabled for the repeat ABO/Rh test grid, regardless of the QC configuration.</w:t>
            </w:r>
          </w:p>
          <w:p w14:paraId="0B0352B0" w14:textId="77777777" w:rsidR="002A21AE" w:rsidRDefault="002A21AE">
            <w:pPr>
              <w:pStyle w:val="NotesText"/>
            </w:pPr>
          </w:p>
          <w:p w14:paraId="1987CDD5" w14:textId="77777777" w:rsidR="002A21AE" w:rsidRDefault="002A21AE">
            <w:pPr>
              <w:pStyle w:val="NotesText"/>
            </w:pPr>
            <w:r>
              <w:rPr>
                <w:rFonts w:cs="Arial"/>
                <w:vanish/>
              </w:rPr>
              <w:t xml:space="preserve">BR_52.10 </w:t>
            </w:r>
            <w:r>
              <w:t>Reflex testing grid fields are available for data entry regardless of QC rack configuration.</w:t>
            </w:r>
          </w:p>
          <w:p w14:paraId="09F01815" w14:textId="77777777" w:rsidR="002A21AE" w:rsidRDefault="002A21AE">
            <w:pPr>
              <w:pStyle w:val="NotesText"/>
            </w:pPr>
          </w:p>
          <w:p w14:paraId="5AD89DD7" w14:textId="57D4B52D" w:rsidR="002A21AE" w:rsidRDefault="00F6394D">
            <w:pPr>
              <w:pStyle w:val="NotesText"/>
            </w:pPr>
            <w:r>
              <w:t xml:space="preserve">See </w:t>
            </w:r>
            <w:r w:rsidR="00EE455E">
              <w:t xml:space="preserve">Table </w:t>
            </w:r>
            <w:r w:rsidR="00EE455E">
              <w:rPr>
                <w:noProof/>
              </w:rPr>
              <w:t>4</w:t>
            </w:r>
            <w:r w:rsidR="00EE455E">
              <w:t xml:space="preserve">: </w:t>
            </w:r>
            <w:r w:rsidR="00EE455E">
              <w:rPr>
                <w:rFonts w:cs="Arial"/>
                <w:vanish/>
              </w:rPr>
              <w:t xml:space="preserve">BR_2.10 </w:t>
            </w:r>
            <w:r w:rsidR="00EE455E">
              <w:t>Valid Interpretations</w:t>
            </w:r>
            <w:r w:rsidR="002A21AE">
              <w:t>.</w:t>
            </w:r>
          </w:p>
          <w:p w14:paraId="432C347F" w14:textId="77777777" w:rsidR="002A21AE" w:rsidRDefault="002A21AE">
            <w:pPr>
              <w:pStyle w:val="NotesText"/>
              <w:rPr>
                <w:rFonts w:cs="Arial"/>
                <w:vanish/>
              </w:rPr>
            </w:pPr>
          </w:p>
          <w:p w14:paraId="11E6BB7D" w14:textId="77777777" w:rsidR="002A21AE" w:rsidRDefault="002A21AE">
            <w:pPr>
              <w:pStyle w:val="NotesText"/>
            </w:pPr>
            <w:r>
              <w:rPr>
                <w:rFonts w:cs="Arial"/>
                <w:vanish/>
              </w:rPr>
              <w:t xml:space="preserve">BR_52.06 </w:t>
            </w:r>
            <w:r>
              <w:t>Row validation is established for the interpretation vs. reaction results pattern defined by system rules.</w:t>
            </w:r>
          </w:p>
        </w:tc>
      </w:tr>
      <w:tr w:rsidR="002A21AE" w14:paraId="76BCCF16" w14:textId="77777777">
        <w:tc>
          <w:tcPr>
            <w:tcW w:w="3240" w:type="dxa"/>
          </w:tcPr>
          <w:p w14:paraId="0D33A779" w14:textId="2E983005" w:rsidR="002A21AE" w:rsidRDefault="002A21AE">
            <w:pPr>
              <w:pStyle w:val="TableTextNumbers"/>
            </w:pPr>
            <w:r>
              <w:t>Repeat Steps 2</w:t>
            </w:r>
            <w:r w:rsidR="004F5589">
              <w:t xml:space="preserve"> through </w:t>
            </w:r>
            <w:r w:rsidR="00641529">
              <w:t>4</w:t>
            </w:r>
            <w:r>
              <w:t xml:space="preserve"> until some or all portions of the test grid for the selected patient are entered. </w:t>
            </w:r>
          </w:p>
          <w:p w14:paraId="11AC8D19" w14:textId="77777777" w:rsidR="002A21AE" w:rsidRDefault="002A21AE">
            <w:pPr>
              <w:pStyle w:val="TableTextNumbersContinued"/>
            </w:pPr>
          </w:p>
          <w:p w14:paraId="23ADBE24" w14:textId="77777777" w:rsidR="002A21AE" w:rsidRDefault="002A21AE">
            <w:pPr>
              <w:pStyle w:val="TableTextNumbersContinued"/>
            </w:pPr>
            <w:r>
              <w:t xml:space="preserve">Enter the interpretation for the patient ABO/Rh typing, if appropriate. </w:t>
            </w:r>
          </w:p>
        </w:tc>
        <w:tc>
          <w:tcPr>
            <w:tcW w:w="6120" w:type="dxa"/>
          </w:tcPr>
          <w:p w14:paraId="5B643E8C" w14:textId="77777777" w:rsidR="002A21AE" w:rsidRDefault="002A21AE">
            <w:pPr>
              <w:pStyle w:val="TableTextBullet"/>
            </w:pPr>
            <w:r>
              <w:t>Prompts the user to confirm that all results were reviewed and are acceptable.</w:t>
            </w:r>
          </w:p>
          <w:p w14:paraId="2FC06809" w14:textId="77777777" w:rsidR="002A21AE" w:rsidRDefault="002A21AE">
            <w:pPr>
              <w:pStyle w:val="TableText"/>
            </w:pPr>
          </w:p>
          <w:p w14:paraId="0363FFAF" w14:textId="3DA87466" w:rsidR="002A21AE" w:rsidRDefault="002A21AE">
            <w:pPr>
              <w:pStyle w:val="TableText"/>
              <w:rPr>
                <w:b/>
                <w:bCs/>
                <w:szCs w:val="18"/>
              </w:rPr>
            </w:pPr>
            <w:r>
              <w:rPr>
                <w:b/>
                <w:bCs/>
                <w:szCs w:val="18"/>
              </w:rPr>
              <w:t>NOTES</w:t>
            </w:r>
          </w:p>
          <w:p w14:paraId="2E548AF5" w14:textId="77777777" w:rsidR="002A21AE" w:rsidRDefault="002A21AE">
            <w:pPr>
              <w:pStyle w:val="NotesText"/>
            </w:pPr>
          </w:p>
          <w:p w14:paraId="7C639D2F" w14:textId="77777777" w:rsidR="00865A02" w:rsidRDefault="00865A02">
            <w:pPr>
              <w:pStyle w:val="NotesText"/>
            </w:pPr>
            <w:r>
              <w:rPr>
                <w:rFonts w:cs="Arial"/>
                <w:vanish/>
              </w:rPr>
              <w:t xml:space="preserve">BR_56.12 </w:t>
            </w:r>
            <w:r>
              <w:t xml:space="preserve">When the ABO/Rh interpretation matches observed results, is not inconclusive, and does not match the patient’s historic ABO/Rh (if any, including from database conversion), VBECS emits an audible alert, warns that the current ABO/Rh does not match previous results, and instructs the user to enter a comment to continue, or click </w:t>
            </w:r>
            <w:r>
              <w:rPr>
                <w:b/>
              </w:rPr>
              <w:t>Cancel</w:t>
            </w:r>
            <w:r>
              <w:t xml:space="preserve"> to clear the ABO/Rh testing results and interpretation from the screen. VBECS captures details for inclusion in an Exception Report (exception type: ABO/Rh discrepancy).</w:t>
            </w:r>
          </w:p>
          <w:p w14:paraId="14921F85" w14:textId="77777777" w:rsidR="00865A02" w:rsidRDefault="00865A02">
            <w:pPr>
              <w:pStyle w:val="NotesText"/>
            </w:pPr>
          </w:p>
          <w:p w14:paraId="44CFE624" w14:textId="77777777" w:rsidR="009D787A" w:rsidRDefault="002A21AE" w:rsidP="00562B7F">
            <w:pPr>
              <w:pStyle w:val="NotesText"/>
            </w:pPr>
            <w:r>
              <w:rPr>
                <w:vanish/>
                <w:szCs w:val="18"/>
              </w:rPr>
              <w:t>BR_52.08</w:t>
            </w:r>
            <w:r w:rsidR="00CE3961">
              <w:rPr>
                <w:vanish/>
                <w:szCs w:val="18"/>
              </w:rPr>
              <w:t>,</w:t>
            </w:r>
            <w:r w:rsidR="00562B7F">
              <w:rPr>
                <w:vanish/>
                <w:szCs w:val="18"/>
              </w:rPr>
              <w:t xml:space="preserve"> </w:t>
            </w:r>
            <w:r w:rsidR="00562B7F">
              <w:rPr>
                <w:snapToGrid w:val="0"/>
                <w:vanish/>
                <w:szCs w:val="18"/>
              </w:rPr>
              <w:t>BR_52.11</w:t>
            </w:r>
            <w:r>
              <w:rPr>
                <w:vanish/>
                <w:szCs w:val="18"/>
              </w:rPr>
              <w:t xml:space="preserve"> </w:t>
            </w:r>
            <w:r w:rsidR="004F5F28" w:rsidRPr="00323744">
              <w:rPr>
                <w:rStyle w:val="BullhornChar"/>
              </w:rPr>
              <w:t></w:t>
            </w:r>
            <w:r w:rsidR="004F5F28">
              <w:rPr>
                <w:rFonts w:ascii="Webdings" w:hAnsi="Webdings"/>
              </w:rPr>
              <w:t></w:t>
            </w:r>
            <w:r w:rsidR="00AA7C58" w:rsidRPr="00EC7489">
              <w:rPr>
                <w:rFonts w:ascii="Wingdings 3" w:hAnsi="Wingdings 3" w:cs="Wingdings"/>
              </w:rPr>
              <w:t></w:t>
            </w:r>
            <w:r w:rsidR="00AA7C58" w:rsidRPr="00EC7489">
              <w:rPr>
                <w:rFonts w:ascii="Wingdings 3" w:hAnsi="Wingdings 3" w:cs="Wingdings"/>
              </w:rPr>
              <w:t></w:t>
            </w:r>
            <w:r w:rsidR="00AA7C58">
              <w:t xml:space="preserve"> </w:t>
            </w:r>
            <w:r>
              <w:t>VBECS allows the</w:t>
            </w:r>
            <w:r w:rsidR="00562B7F">
              <w:t xml:space="preserve"> Enhanced Technologist</w:t>
            </w:r>
            <w:r>
              <w:t xml:space="preserve"> to enter an ABO/Rh interpretation that matches the patient’s previously recorded (historic) ABO/Rh interpretation when the system interpretation is inconclusive. This allows unit selection to continue based on the patient’s ABO/Rh interpretation entered by the user. VBECS requires the user to document the findings of any offline investigation, alerting the reviewer to appropriately follow up, according to local policy.</w:t>
            </w:r>
            <w:r>
              <w:rPr>
                <w:b/>
              </w:rPr>
              <w:t xml:space="preserve"> </w:t>
            </w:r>
            <w:r>
              <w:t>VBECS emits an audible alert and warns the user. VBECS allows an override with comment and captures details for inclusion in an Exception Report (exception type: discrepant ABO/Rh override) that includes all interpretations and historic patient information.</w:t>
            </w:r>
          </w:p>
        </w:tc>
      </w:tr>
      <w:tr w:rsidR="002A21AE" w14:paraId="714DC9F0" w14:textId="77777777">
        <w:tc>
          <w:tcPr>
            <w:tcW w:w="3240" w:type="dxa"/>
          </w:tcPr>
          <w:p w14:paraId="4461814B" w14:textId="77777777" w:rsidR="002A21AE" w:rsidRDefault="002A21AE">
            <w:pPr>
              <w:pStyle w:val="TableTextNumbers"/>
            </w:pPr>
            <w:r>
              <w:t xml:space="preserve">When all required fields are complete, click </w:t>
            </w:r>
            <w:r>
              <w:rPr>
                <w:b/>
              </w:rPr>
              <w:t>OK</w:t>
            </w:r>
            <w:r>
              <w:t xml:space="preserve"> to save and continue to the next patient, or exit.</w:t>
            </w:r>
            <w:r w:rsidR="00410757">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447B995D" w14:textId="77777777" w:rsidR="00CA660A" w:rsidRDefault="002A21AE" w:rsidP="00CA660A">
            <w:pPr>
              <w:pStyle w:val="TableTextBullet"/>
            </w:pPr>
            <w:r>
              <w:t>Saves the data.</w:t>
            </w:r>
          </w:p>
          <w:p w14:paraId="696FACEC" w14:textId="77777777" w:rsidR="008F0849" w:rsidRDefault="008F0849" w:rsidP="008F0849">
            <w:pPr>
              <w:pStyle w:val="TableTextBullet"/>
              <w:numPr>
                <w:ilvl w:val="0"/>
                <w:numId w:val="0"/>
              </w:numPr>
              <w:ind w:left="288" w:hanging="288"/>
            </w:pPr>
          </w:p>
          <w:p w14:paraId="6A85F238" w14:textId="0286555C" w:rsidR="008F0849" w:rsidRDefault="008F0849" w:rsidP="008F0849">
            <w:pPr>
              <w:pStyle w:val="TableText"/>
              <w:rPr>
                <w:b/>
                <w:bCs/>
                <w:szCs w:val="18"/>
              </w:rPr>
            </w:pPr>
            <w:r>
              <w:rPr>
                <w:b/>
                <w:bCs/>
                <w:szCs w:val="18"/>
              </w:rPr>
              <w:t>NOTES</w:t>
            </w:r>
          </w:p>
          <w:p w14:paraId="0211D65A" w14:textId="77777777" w:rsidR="008F0849" w:rsidRDefault="008F0849" w:rsidP="008F0849">
            <w:pPr>
              <w:pStyle w:val="TableText"/>
              <w:rPr>
                <w:b/>
                <w:bCs/>
                <w:szCs w:val="18"/>
              </w:rPr>
            </w:pPr>
          </w:p>
          <w:p w14:paraId="6BA9EF4A" w14:textId="2CE2ECC1" w:rsidR="008F0849" w:rsidRDefault="008F0849" w:rsidP="008F0849">
            <w:pPr>
              <w:pStyle w:val="TableTextBullet"/>
              <w:numPr>
                <w:ilvl w:val="0"/>
                <w:numId w:val="0"/>
              </w:numPr>
              <w:ind w:left="288" w:hanging="288"/>
            </w:pPr>
            <w:r>
              <w:t xml:space="preserve">      In a Transfusion Only ABO/Rh</w:t>
            </w:r>
            <w:r w:rsidRPr="00CA660A">
              <w:t xml:space="preserve"> testing </w:t>
            </w:r>
            <w:r>
              <w:t xml:space="preserve">grid, free text comments cannot </w:t>
            </w:r>
            <w:r w:rsidRPr="00CA660A">
              <w:t xml:space="preserve">be saved. Create the comment in Canned Comments, Patient Testing context, </w:t>
            </w:r>
            <w:r>
              <w:t xml:space="preserve">and then </w:t>
            </w:r>
            <w:r w:rsidRPr="00CA660A">
              <w:t>select it. Inactivate the Canned Comment, if it is not to be used again</w:t>
            </w:r>
            <w:r>
              <w:t xml:space="preserve">. </w:t>
            </w:r>
            <w:r w:rsidRPr="008F0849">
              <w:rPr>
                <w:vanish/>
              </w:rPr>
              <w:t>Task 210220</w:t>
            </w:r>
          </w:p>
        </w:tc>
      </w:tr>
    </w:tbl>
    <w:p w14:paraId="1A43E2DF" w14:textId="77777777" w:rsidR="002A21AE" w:rsidRDefault="002A21AE">
      <w:pPr>
        <w:pStyle w:val="Heading3"/>
      </w:pPr>
      <w:r>
        <w:br w:type="page"/>
      </w:r>
      <w:bookmarkStart w:id="467" w:name="_Toc149064160"/>
      <w:r>
        <w:t>Patient Testing: Record a Patient Antibody Screen</w:t>
      </w:r>
      <w:bookmarkEnd w:id="467"/>
      <w:r>
        <w:fldChar w:fldCharType="begin"/>
      </w:r>
      <w:r>
        <w:instrText xml:space="preserve"> XE </w:instrText>
      </w:r>
      <w:r w:rsidR="00FA7E65">
        <w:instrText>“</w:instrText>
      </w:r>
      <w:r>
        <w:instrText>Patient Testing\: Record a Patient Antibody Screen</w:instrText>
      </w:r>
      <w:r w:rsidR="00FA7E65">
        <w:instrText>”</w:instrText>
      </w:r>
      <w:r>
        <w:instrText xml:space="preserve"> </w:instrText>
      </w:r>
      <w:r>
        <w:fldChar w:fldCharType="end"/>
      </w:r>
      <w:r>
        <w:t xml:space="preserve"> </w:t>
      </w:r>
      <w:r>
        <w:rPr>
          <w:rFonts w:ascii="Times New Roman" w:hAnsi="Times New Roman" w:cs="Times New Roman"/>
          <w:b w:val="0"/>
          <w:vanish/>
          <w:sz w:val="22"/>
        </w:rPr>
        <w:t>UC_53</w:t>
      </w:r>
    </w:p>
    <w:p w14:paraId="39634AB2" w14:textId="77777777" w:rsidR="002A21AE" w:rsidRDefault="002A21AE" w:rsidP="00FA7E65">
      <w:pPr>
        <w:pStyle w:val="BodyText"/>
      </w:pPr>
      <w:r>
        <w:t xml:space="preserve">The user records the serologic results when performing the </w:t>
      </w:r>
      <w:r w:rsidR="008E2E30">
        <w:t>Antibody Screen Test (ABS)</w:t>
      </w:r>
      <w:r>
        <w:t>.</w:t>
      </w:r>
    </w:p>
    <w:p w14:paraId="313565A8" w14:textId="77777777" w:rsidR="002A21AE" w:rsidRDefault="002A21AE">
      <w:pPr>
        <w:pStyle w:val="Heading4"/>
      </w:pPr>
      <w:r>
        <w:t>Assumptions</w:t>
      </w:r>
      <w:r>
        <w:rPr>
          <w:b w:val="0"/>
        </w:rPr>
        <w:t xml:space="preserve"> </w:t>
      </w:r>
    </w:p>
    <w:p w14:paraId="6889B373" w14:textId="77777777" w:rsidR="002A21AE" w:rsidRDefault="002A21AE">
      <w:pPr>
        <w:pStyle w:val="ListBullet"/>
      </w:pPr>
      <w:r>
        <w:t>The user accesses patient ABO/Rh grids through Patient Testing: Record Patient Test Results.</w:t>
      </w:r>
    </w:p>
    <w:p w14:paraId="05B61F51" w14:textId="77777777" w:rsidR="002A21AE" w:rsidRDefault="002A21AE">
      <w:pPr>
        <w:pStyle w:val="ListBullet"/>
      </w:pPr>
      <w:r>
        <w:t>A CPRS order exists that includes an ABO/Rh typing [ABO/Rh Test or Type &amp; Screen (TAS)]. An ABS may also be ordered as a reflex patient test.</w:t>
      </w:r>
    </w:p>
    <w:p w14:paraId="36DC266A" w14:textId="77777777" w:rsidR="002A21AE" w:rsidRDefault="002A21AE">
      <w:pPr>
        <w:pStyle w:val="ListBullet"/>
      </w:pPr>
      <w:r>
        <w:t>Configure Daily QC and Configure Testing are complete.</w:t>
      </w:r>
    </w:p>
    <w:p w14:paraId="36BA8EFE" w14:textId="77777777" w:rsidR="002A21AE" w:rsidRDefault="002A21AE">
      <w:pPr>
        <w:pStyle w:val="Heading4"/>
      </w:pPr>
      <w:r>
        <w:t>Outcome</w:t>
      </w:r>
    </w:p>
    <w:p w14:paraId="2E0C81FD" w14:textId="77777777" w:rsidR="002A21AE" w:rsidRDefault="002A21AE">
      <w:pPr>
        <w:pStyle w:val="ListBullet"/>
        <w:rPr>
          <w:b/>
        </w:rPr>
      </w:pPr>
      <w:r>
        <w:t xml:space="preserve">When an ABS is ordered as a stand-alone test, VBECS changes the task status to “completed” and triggers the generation of a message to CPRS that the order is complete. </w:t>
      </w:r>
    </w:p>
    <w:p w14:paraId="30E386FA" w14:textId="77777777" w:rsidR="002A21AE" w:rsidRDefault="002A21AE">
      <w:pPr>
        <w:pStyle w:val="Heading4"/>
        <w:rPr>
          <w:b w:val="0"/>
        </w:rPr>
      </w:pPr>
      <w:r>
        <w:t>Limitations and Restrictions</w:t>
      </w:r>
      <w:r>
        <w:rPr>
          <w:b w:val="0"/>
        </w:rPr>
        <w:t xml:space="preserve"> </w:t>
      </w:r>
    </w:p>
    <w:p w14:paraId="23BDE3E9" w14:textId="77777777" w:rsidR="002A21AE" w:rsidRDefault="002A21AE">
      <w:pPr>
        <w:pStyle w:val="ListBullet"/>
      </w:pPr>
      <w:r>
        <w:t xml:space="preserve">This </w:t>
      </w:r>
      <w:r>
        <w:rPr>
          <w:szCs w:val="20"/>
        </w:rPr>
        <w:t>option is for patient testing only</w:t>
      </w:r>
      <w:r w:rsidR="001E7158">
        <w:rPr>
          <w:szCs w:val="20"/>
        </w:rPr>
        <w:t>.</w:t>
      </w:r>
    </w:p>
    <w:p w14:paraId="46DD393C" w14:textId="77777777" w:rsidR="002A21AE" w:rsidRDefault="002A21AE">
      <w:pPr>
        <w:pStyle w:val="Heading4"/>
      </w:pPr>
      <w:r>
        <w:t>Additional Information</w:t>
      </w:r>
      <w:r>
        <w:rPr>
          <w:rFonts w:ascii="Times New Roman" w:hAnsi="Times New Roman"/>
          <w:i/>
          <w:color w:val="0000FF"/>
          <w:sz w:val="24"/>
        </w:rPr>
        <w:t xml:space="preserve"> </w:t>
      </w:r>
    </w:p>
    <w:p w14:paraId="2FE9999A" w14:textId="77777777" w:rsidR="002A21AE" w:rsidRDefault="002A21AE">
      <w:pPr>
        <w:pStyle w:val="ListBullet"/>
      </w:pPr>
      <w:r>
        <w:t xml:space="preserve">The user performs lab tests and enters data simultaneously. </w:t>
      </w:r>
    </w:p>
    <w:p w14:paraId="2FB66484" w14:textId="77777777" w:rsidR="002A21AE" w:rsidRDefault="002A21AE">
      <w:pPr>
        <w:pStyle w:val="Heading4"/>
      </w:pPr>
      <w:r>
        <w:t xml:space="preserve">User Roles with Access to This Option </w:t>
      </w:r>
    </w:p>
    <w:p w14:paraId="033ADEF1" w14:textId="77777777" w:rsidR="002A21AE" w:rsidRDefault="007934CF">
      <w:pPr>
        <w:pStyle w:val="Roles"/>
      </w:pPr>
      <w:r>
        <w:t>All users</w:t>
      </w:r>
    </w:p>
    <w:p w14:paraId="048785DE" w14:textId="77777777" w:rsidR="002A21AE" w:rsidRDefault="002A21AE">
      <w:pPr>
        <w:pStyle w:val="Heading4"/>
        <w:rPr>
          <w:bCs/>
        </w:rPr>
      </w:pPr>
      <w:r>
        <w:rPr>
          <w:bCs/>
        </w:rPr>
        <w:t>Patient Testing: Record a Patient Antibody Screen</w:t>
      </w:r>
    </w:p>
    <w:p w14:paraId="5E273F9C" w14:textId="77777777" w:rsidR="002A21AE" w:rsidRDefault="002A21AE" w:rsidP="00FA7E65">
      <w:pPr>
        <w:pStyle w:val="BodyText"/>
      </w:pPr>
      <w:r>
        <w:t xml:space="preserve">The user tests the patient’s specimen for the presence of antibodies-to-irregular red cell antigens. The user may perform this test alone or as part of a battery of tests. </w:t>
      </w:r>
    </w:p>
    <w:p w14:paraId="22C029B8" w14:textId="77777777" w:rsidR="002A21AE" w:rsidRDefault="002A21AE" w:rsidP="00FA7E65">
      <w:pPr>
        <w:pStyle w:val="BodyText"/>
      </w:pPr>
      <w:r>
        <w:t>The user accesses patient antibody screen grids through Patient Testing: Record Patient Test Results and enters observations of the serologic reactions in the data entry grid during testing. VBECS makes the interpretation available to CPRS and patient reports.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1C8467A" w14:textId="77777777">
        <w:trPr>
          <w:cantSplit/>
          <w:tblHeader/>
        </w:trPr>
        <w:tc>
          <w:tcPr>
            <w:tcW w:w="3240" w:type="dxa"/>
            <w:shd w:val="pct30" w:color="auto" w:fill="FFFFFF"/>
            <w:vAlign w:val="bottom"/>
          </w:tcPr>
          <w:p w14:paraId="410D2B2B" w14:textId="77777777" w:rsidR="002A21AE" w:rsidRDefault="002A21AE">
            <w:pPr>
              <w:pStyle w:val="TableText"/>
              <w:rPr>
                <w:b/>
              </w:rPr>
            </w:pPr>
            <w:r>
              <w:rPr>
                <w:b/>
              </w:rPr>
              <w:t>User Action</w:t>
            </w:r>
          </w:p>
        </w:tc>
        <w:tc>
          <w:tcPr>
            <w:tcW w:w="6120" w:type="dxa"/>
            <w:shd w:val="pct30" w:color="auto" w:fill="FFFFFF"/>
            <w:vAlign w:val="bottom"/>
          </w:tcPr>
          <w:p w14:paraId="313DFAB9" w14:textId="77777777" w:rsidR="002A21AE" w:rsidRDefault="002A21AE">
            <w:pPr>
              <w:pStyle w:val="TableText"/>
              <w:rPr>
                <w:b/>
              </w:rPr>
            </w:pPr>
            <w:r>
              <w:rPr>
                <w:b/>
              </w:rPr>
              <w:t>VBECS</w:t>
            </w:r>
          </w:p>
        </w:tc>
      </w:tr>
      <w:tr w:rsidR="00141448" w14:paraId="6418F32D" w14:textId="77777777">
        <w:tc>
          <w:tcPr>
            <w:tcW w:w="3240" w:type="dxa"/>
            <w:tcBorders>
              <w:top w:val="single" w:sz="4" w:space="0" w:color="auto"/>
              <w:left w:val="single" w:sz="4" w:space="0" w:color="auto"/>
              <w:bottom w:val="single" w:sz="4" w:space="0" w:color="auto"/>
              <w:right w:val="single" w:sz="4" w:space="0" w:color="auto"/>
            </w:tcBorders>
          </w:tcPr>
          <w:p w14:paraId="6B4483CB" w14:textId="77777777" w:rsidR="00141448" w:rsidRDefault="00141448" w:rsidP="00D71D64">
            <w:pPr>
              <w:pStyle w:val="TableTextNumbers"/>
            </w:pPr>
            <w:r>
              <w:t xml:space="preserve">Select </w:t>
            </w:r>
            <w:r>
              <w:rPr>
                <w:b/>
              </w:rPr>
              <w:t>Patients</w:t>
            </w:r>
            <w:r>
              <w:t xml:space="preserve"> from the main menu.</w:t>
            </w:r>
          </w:p>
          <w:p w14:paraId="3E80FBE8" w14:textId="77777777" w:rsidR="00141448" w:rsidRDefault="00141448" w:rsidP="00141448">
            <w:pPr>
              <w:pStyle w:val="TableTextNumbersContinued"/>
            </w:pPr>
          </w:p>
          <w:p w14:paraId="754CC22E"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1CC242D1" w14:textId="77777777" w:rsidR="00141448" w:rsidRDefault="00141448" w:rsidP="00141448">
            <w:pPr>
              <w:pStyle w:val="TableTextBullet"/>
            </w:pPr>
            <w:r>
              <w:t xml:space="preserve">Displays options for processing patient-related functions. </w:t>
            </w:r>
          </w:p>
          <w:p w14:paraId="638A192D" w14:textId="77777777" w:rsidR="00141448" w:rsidRDefault="00141448" w:rsidP="00141448">
            <w:pPr>
              <w:pStyle w:val="TableTextBullet"/>
            </w:pPr>
            <w:r>
              <w:t>Displays the Pending Task List (PTL) in the Diagnostic Tests tab.</w:t>
            </w:r>
          </w:p>
          <w:p w14:paraId="43F4B79A" w14:textId="77777777" w:rsidR="00141448" w:rsidRDefault="00141448" w:rsidP="00141448">
            <w:pPr>
              <w:pStyle w:val="NotesText"/>
            </w:pPr>
          </w:p>
          <w:p w14:paraId="1E346A23" w14:textId="768557E6" w:rsidR="00141448" w:rsidRDefault="00141448" w:rsidP="00141448">
            <w:pPr>
              <w:pStyle w:val="TableText"/>
              <w:rPr>
                <w:b/>
                <w:bCs/>
                <w:szCs w:val="18"/>
              </w:rPr>
            </w:pPr>
            <w:r>
              <w:rPr>
                <w:b/>
                <w:bCs/>
                <w:szCs w:val="18"/>
              </w:rPr>
              <w:t>NOTES</w:t>
            </w:r>
          </w:p>
          <w:p w14:paraId="5BD8765D" w14:textId="77777777" w:rsidR="00141448" w:rsidRDefault="00141448" w:rsidP="00141448">
            <w:pPr>
              <w:pStyle w:val="NotesText"/>
            </w:pPr>
          </w:p>
          <w:p w14:paraId="1A41A9BA" w14:textId="77777777" w:rsidR="00141448" w:rsidRDefault="00141448" w:rsidP="00141448">
            <w:pPr>
              <w:pStyle w:val="NotesText"/>
            </w:pPr>
            <w:r>
              <w:t>A user may search for specific tasks using search criteria detailed in Pending Task List.</w:t>
            </w:r>
          </w:p>
        </w:tc>
      </w:tr>
      <w:tr w:rsidR="00B1359E" w14:paraId="20D36B59" w14:textId="77777777">
        <w:tc>
          <w:tcPr>
            <w:tcW w:w="3240" w:type="dxa"/>
          </w:tcPr>
          <w:p w14:paraId="2C35DE70" w14:textId="77777777" w:rsidR="00B1359E" w:rsidRDefault="00B1359E" w:rsidP="00150254">
            <w:pPr>
              <w:pStyle w:val="TableTextNumbers"/>
            </w:pPr>
            <w:r>
              <w:t xml:space="preserve">Click one to four check boxes in the Pending Task List to select tasks for testing. </w:t>
            </w:r>
          </w:p>
          <w:p w14:paraId="29A34767" w14:textId="77777777" w:rsidR="00B1359E" w:rsidRDefault="00B1359E" w:rsidP="00150254">
            <w:pPr>
              <w:pStyle w:val="TableTextNumbersContinued"/>
            </w:pPr>
          </w:p>
          <w:p w14:paraId="77F716A7" w14:textId="77777777" w:rsidR="00B1359E" w:rsidRDefault="00B1359E" w:rsidP="00150254">
            <w:pPr>
              <w:pStyle w:val="TableTextNumbersContinued"/>
            </w:pPr>
            <w:r>
              <w:t xml:space="preserve">Click </w:t>
            </w:r>
            <w:r>
              <w:rPr>
                <w:b/>
              </w:rPr>
              <w:t>OK</w:t>
            </w:r>
            <w:r>
              <w:t>.</w:t>
            </w:r>
          </w:p>
        </w:tc>
        <w:tc>
          <w:tcPr>
            <w:tcW w:w="6120" w:type="dxa"/>
          </w:tcPr>
          <w:p w14:paraId="5D2CF582" w14:textId="77777777" w:rsidR="00B1359E" w:rsidRDefault="00B1359E" w:rsidP="00150254">
            <w:pPr>
              <w:pStyle w:val="TableTextBullet"/>
            </w:pPr>
            <w:r>
              <w:t>Displays patient names and associated task information.</w:t>
            </w:r>
          </w:p>
        </w:tc>
      </w:tr>
      <w:tr w:rsidR="002A21AE" w14:paraId="7478BB75" w14:textId="77777777" w:rsidTr="00414071">
        <w:trPr>
          <w:cantSplit/>
        </w:trPr>
        <w:tc>
          <w:tcPr>
            <w:tcW w:w="3240" w:type="dxa"/>
          </w:tcPr>
          <w:p w14:paraId="69C9F71E" w14:textId="77777777" w:rsidR="00F345F3" w:rsidRDefault="00F345F3">
            <w:pPr>
              <w:pStyle w:val="TableTextNumbers"/>
            </w:pPr>
            <w:r>
              <w:t>Click a check box to s</w:t>
            </w:r>
            <w:r w:rsidR="00F3010E">
              <w:t>elect a reagent rack</w:t>
            </w:r>
            <w:r>
              <w:t>.</w:t>
            </w:r>
          </w:p>
          <w:p w14:paraId="041A262C" w14:textId="77777777" w:rsidR="00F345F3" w:rsidRDefault="00F345F3" w:rsidP="00F345F3">
            <w:pPr>
              <w:pStyle w:val="TableTextNumbersContinued"/>
            </w:pPr>
          </w:p>
          <w:p w14:paraId="7A372B84" w14:textId="77777777" w:rsidR="00F3010E" w:rsidRDefault="00F3010E" w:rsidP="00F345F3">
            <w:pPr>
              <w:pStyle w:val="TableTextNumbersContinued"/>
            </w:pPr>
            <w:r>
              <w:t xml:space="preserve">In the ABS or XM Testing Phases area, click the </w:t>
            </w:r>
            <w:r w:rsidRPr="00F3010E">
              <w:rPr>
                <w:b/>
              </w:rPr>
              <w:t>All Phases</w:t>
            </w:r>
            <w:r>
              <w:t xml:space="preserve"> or </w:t>
            </w:r>
            <w:r w:rsidRPr="00F3010E">
              <w:rPr>
                <w:b/>
              </w:rPr>
              <w:t xml:space="preserve">AHG Only </w:t>
            </w:r>
            <w:r w:rsidRPr="00BF2E41">
              <w:t>radio button</w:t>
            </w:r>
            <w:r>
              <w:t>.</w:t>
            </w:r>
          </w:p>
          <w:p w14:paraId="318D565F" w14:textId="77777777" w:rsidR="00F345F3" w:rsidRDefault="00F345F3" w:rsidP="00F345F3">
            <w:pPr>
              <w:pStyle w:val="TableTextNumbersContinued"/>
            </w:pPr>
          </w:p>
          <w:p w14:paraId="16375840" w14:textId="77777777" w:rsidR="00F345F3" w:rsidRDefault="00F345F3" w:rsidP="00F345F3">
            <w:pPr>
              <w:pStyle w:val="TableTextNumbersContinued"/>
            </w:pPr>
            <w:r>
              <w:t xml:space="preserve">Click </w:t>
            </w:r>
            <w:r>
              <w:rPr>
                <w:b/>
              </w:rPr>
              <w:t>OK</w:t>
            </w:r>
            <w:r>
              <w:t xml:space="preserve"> to continue with testing.</w:t>
            </w:r>
          </w:p>
        </w:tc>
        <w:tc>
          <w:tcPr>
            <w:tcW w:w="6120" w:type="dxa"/>
          </w:tcPr>
          <w:p w14:paraId="64414BA4" w14:textId="77777777" w:rsidR="002A21AE" w:rsidRDefault="002A21AE">
            <w:pPr>
              <w:pStyle w:val="TableText"/>
            </w:pPr>
          </w:p>
          <w:p w14:paraId="37FFBBDA" w14:textId="748A1C92" w:rsidR="002A21AE" w:rsidRDefault="002A21AE">
            <w:pPr>
              <w:pStyle w:val="TableText"/>
              <w:rPr>
                <w:b/>
                <w:bCs/>
                <w:szCs w:val="18"/>
              </w:rPr>
            </w:pPr>
            <w:r>
              <w:rPr>
                <w:b/>
                <w:bCs/>
                <w:szCs w:val="18"/>
              </w:rPr>
              <w:t>NOTES</w:t>
            </w:r>
          </w:p>
          <w:p w14:paraId="68D67BE6" w14:textId="77777777" w:rsidR="002A21AE" w:rsidRDefault="002A21AE">
            <w:pPr>
              <w:pStyle w:val="NotesText"/>
            </w:pPr>
          </w:p>
          <w:p w14:paraId="075C215E" w14:textId="77777777" w:rsidR="002A21AE" w:rsidRDefault="002A21AE">
            <w:pPr>
              <w:pStyle w:val="NotesText"/>
            </w:pPr>
            <w:r>
              <w:rPr>
                <w:rFonts w:cs="Arial"/>
                <w:vanish/>
              </w:rPr>
              <w:t xml:space="preserve">BR_40.04 </w:t>
            </w:r>
            <w:r>
              <w:t>When the testing method selected is AHG only, VBECS disables the data grid boxes for phases IS, 37, and CC.</w:t>
            </w:r>
          </w:p>
        </w:tc>
      </w:tr>
      <w:tr w:rsidR="002A21AE" w14:paraId="3C45FD77" w14:textId="77777777">
        <w:tc>
          <w:tcPr>
            <w:tcW w:w="3240" w:type="dxa"/>
          </w:tcPr>
          <w:p w14:paraId="56BC6D11" w14:textId="77777777" w:rsidR="002A21AE" w:rsidRDefault="00F345F3">
            <w:pPr>
              <w:pStyle w:val="TableTextNumbers"/>
            </w:pPr>
            <w:r>
              <w:t>When processing more than one patient, s</w:t>
            </w:r>
            <w:r w:rsidR="002A21AE">
              <w:t xml:space="preserve">elect a </w:t>
            </w:r>
            <w:r>
              <w:t>name from the drop-down list in the Name field (or click the right or left arrow)</w:t>
            </w:r>
            <w:r w:rsidR="002A21AE">
              <w:t xml:space="preserve"> to </w:t>
            </w:r>
            <w:r>
              <w:t>record testing</w:t>
            </w:r>
            <w:r w:rsidR="00F9187A">
              <w:t xml:space="preserve"> for that patient</w:t>
            </w:r>
            <w:r w:rsidR="002A21AE">
              <w:t>.</w:t>
            </w:r>
          </w:p>
        </w:tc>
        <w:tc>
          <w:tcPr>
            <w:tcW w:w="6120" w:type="dxa"/>
          </w:tcPr>
          <w:p w14:paraId="15B0FEDE" w14:textId="77777777" w:rsidR="002A21AE" w:rsidRDefault="002A21AE">
            <w:pPr>
              <w:pStyle w:val="TableTextBullet"/>
            </w:pPr>
            <w:r>
              <w:t xml:space="preserve">Allows the user to select a patient and enter a test result for the patient. </w:t>
            </w:r>
          </w:p>
          <w:p w14:paraId="422E4E62" w14:textId="77777777" w:rsidR="002A21AE" w:rsidRDefault="002A21AE" w:rsidP="00380ACC">
            <w:pPr>
              <w:pStyle w:val="TableTextBullet"/>
            </w:pPr>
            <w:r>
              <w:t>Allows only valid data entries in the grid reaction result and interpretation cells.</w:t>
            </w:r>
          </w:p>
          <w:p w14:paraId="0581E73D" w14:textId="77777777" w:rsidR="002A21AE" w:rsidRDefault="002A21AE">
            <w:pPr>
              <w:pStyle w:val="TableText"/>
            </w:pPr>
          </w:p>
          <w:p w14:paraId="6390B645" w14:textId="71771448" w:rsidR="002A21AE" w:rsidRDefault="002A21AE">
            <w:pPr>
              <w:pStyle w:val="TableText"/>
              <w:rPr>
                <w:b/>
                <w:bCs/>
                <w:szCs w:val="18"/>
              </w:rPr>
            </w:pPr>
            <w:r>
              <w:rPr>
                <w:b/>
                <w:bCs/>
                <w:szCs w:val="18"/>
              </w:rPr>
              <w:t>NOTES</w:t>
            </w:r>
          </w:p>
          <w:p w14:paraId="41AD6E3A" w14:textId="77777777" w:rsidR="002A21AE" w:rsidRDefault="002A21AE">
            <w:pPr>
              <w:pStyle w:val="NotesText"/>
            </w:pPr>
          </w:p>
          <w:p w14:paraId="356A75E5" w14:textId="2B52186F" w:rsidR="002A21AE" w:rsidRDefault="002A21AE">
            <w:pPr>
              <w:pStyle w:val="NotesText"/>
            </w:pPr>
            <w:r>
              <w:rPr>
                <w:rFonts w:cs="Arial"/>
                <w:vanish/>
              </w:rPr>
              <w:t xml:space="preserve">BR_53.02 </w:t>
            </w:r>
            <w:r>
              <w:t xml:space="preserve">The logic described in </w:t>
            </w:r>
            <w:r w:rsidR="00EE455E">
              <w:t xml:space="preserve">Appendix </w:t>
            </w:r>
            <w:r w:rsidR="00EE455E">
              <w:rPr>
                <w:noProof/>
              </w:rPr>
              <w:t>B</w:t>
            </w:r>
            <w:r>
              <w:t xml:space="preserve">: </w:t>
            </w:r>
            <w:r w:rsidR="00EE455E">
              <w:t xml:space="preserve">Table </w:t>
            </w:r>
            <w:r w:rsidR="00EE455E">
              <w:rPr>
                <w:noProof/>
              </w:rPr>
              <w:t>16</w:t>
            </w:r>
            <w:r w:rsidR="00EE455E">
              <w:t xml:space="preserve">: </w:t>
            </w:r>
            <w:r w:rsidR="00EE455E">
              <w:rPr>
                <w:vanish/>
              </w:rPr>
              <w:t xml:space="preserve">TT_53.02 </w:t>
            </w:r>
            <w:r w:rsidR="00EE455E">
              <w:t>Antibody Screen Test Interpretation</w:t>
            </w:r>
            <w:r w:rsidR="00AE2DC1">
              <w:t xml:space="preserve"> </w:t>
            </w:r>
            <w:r>
              <w:t>is an integral part of the configuration of the reaction result grid developed for Patient Testing: Record a Patient Antibody Screen.</w:t>
            </w:r>
          </w:p>
          <w:p w14:paraId="5039AF54" w14:textId="77777777" w:rsidR="002A21AE" w:rsidRDefault="002A21AE">
            <w:pPr>
              <w:pStyle w:val="NotesText"/>
            </w:pPr>
          </w:p>
          <w:p w14:paraId="5007FAE3" w14:textId="77777777" w:rsidR="002A21AE" w:rsidRDefault="002A21AE">
            <w:pPr>
              <w:pStyle w:val="NotesText"/>
            </w:pPr>
            <w:r>
              <w:rPr>
                <w:rFonts w:cs="Arial"/>
                <w:vanish/>
              </w:rPr>
              <w:t xml:space="preserve">BR_53.04 </w:t>
            </w:r>
            <w:r>
              <w:t>There may be two to five rows of screening cells to be validated as a group (the ABS). The user enters only one interpretation for the combination of cells tested.</w:t>
            </w:r>
          </w:p>
          <w:p w14:paraId="5D30BA58" w14:textId="77777777" w:rsidR="002A21AE" w:rsidRDefault="002A21AE">
            <w:pPr>
              <w:pStyle w:val="NotesText"/>
            </w:pPr>
          </w:p>
          <w:p w14:paraId="0CE5FFC1" w14:textId="77777777" w:rsidR="002A21AE" w:rsidRDefault="002A21AE">
            <w:pPr>
              <w:pStyle w:val="NotesText"/>
            </w:pPr>
            <w:r>
              <w:rPr>
                <w:rFonts w:cs="Arial"/>
                <w:vanish/>
              </w:rPr>
              <w:t xml:space="preserve">BR_53.03 </w:t>
            </w:r>
            <w:r>
              <w:t>Valid interpretations of an ABS Test are positive or negative.</w:t>
            </w:r>
          </w:p>
          <w:p w14:paraId="3F9D8E25" w14:textId="77777777" w:rsidR="00B57F42" w:rsidRDefault="00B57F42">
            <w:pPr>
              <w:pStyle w:val="NotesText"/>
            </w:pPr>
          </w:p>
          <w:p w14:paraId="3169A0AE" w14:textId="17F7B05D" w:rsidR="00B57F42" w:rsidRDefault="00B57F42">
            <w:pPr>
              <w:pStyle w:val="NotesText"/>
            </w:pPr>
            <w:r w:rsidRPr="007A20C2">
              <w:rPr>
                <w:vanish/>
              </w:rPr>
              <w:t xml:space="preserve">BR_53.08 </w:t>
            </w:r>
            <w:r w:rsidR="007A20C2">
              <w:t xml:space="preserve">If the antibody screen is positive, the system emits an audible alert and warning that displays that the </w:t>
            </w:r>
            <w:r w:rsidR="007A20C2" w:rsidRPr="00DD6184">
              <w:t xml:space="preserve">Patient has a POSITIVE </w:t>
            </w:r>
            <w:r w:rsidR="007A20C2">
              <w:t>Antibody Screen Result. P</w:t>
            </w:r>
            <w:r w:rsidR="007A20C2" w:rsidRPr="00DD6184">
              <w:t>erform Antibody Identification on this patient prior to issue of blood components</w:t>
            </w:r>
            <w:r w:rsidR="007A20C2">
              <w:t>.</w:t>
            </w:r>
          </w:p>
        </w:tc>
      </w:tr>
      <w:tr w:rsidR="002A21AE" w14:paraId="48E7E406" w14:textId="77777777">
        <w:tc>
          <w:tcPr>
            <w:tcW w:w="3240" w:type="dxa"/>
          </w:tcPr>
          <w:p w14:paraId="6419984B" w14:textId="77777777" w:rsidR="002A21AE" w:rsidRDefault="002A21AE">
            <w:pPr>
              <w:pStyle w:val="TableTextNumbers"/>
            </w:pPr>
            <w:r>
              <w:t>Repeat Step 4 until results are entered in some or all portions of the test grid for the selected patient. Enter the interpretation for the patient ABS Test, if desired.</w:t>
            </w:r>
          </w:p>
        </w:tc>
        <w:tc>
          <w:tcPr>
            <w:tcW w:w="6120" w:type="dxa"/>
          </w:tcPr>
          <w:p w14:paraId="44F45BD3" w14:textId="77777777" w:rsidR="002A21AE" w:rsidRDefault="002A21AE">
            <w:pPr>
              <w:pStyle w:val="TableTextBullet"/>
            </w:pPr>
            <w:r>
              <w:t>Verifies that appropriate tests are entered.</w:t>
            </w:r>
          </w:p>
          <w:p w14:paraId="6D737AAD" w14:textId="77777777" w:rsidR="002A21AE" w:rsidRDefault="002A21AE">
            <w:pPr>
              <w:pStyle w:val="TableTextBullet"/>
            </w:pPr>
            <w:r>
              <w:t>Prompts the user to confirm that results were reviewed and are acceptable.</w:t>
            </w:r>
          </w:p>
          <w:p w14:paraId="02363490" w14:textId="77777777" w:rsidR="002A21AE" w:rsidRDefault="002A21AE">
            <w:pPr>
              <w:pStyle w:val="TableText"/>
            </w:pPr>
          </w:p>
          <w:p w14:paraId="748B3992" w14:textId="0052091E" w:rsidR="002A21AE" w:rsidRDefault="002A21AE">
            <w:pPr>
              <w:pStyle w:val="TableText"/>
              <w:rPr>
                <w:b/>
                <w:bCs/>
                <w:szCs w:val="18"/>
              </w:rPr>
            </w:pPr>
            <w:r>
              <w:rPr>
                <w:b/>
                <w:bCs/>
                <w:szCs w:val="18"/>
              </w:rPr>
              <w:t>NOTES</w:t>
            </w:r>
          </w:p>
          <w:p w14:paraId="1C2C9E43" w14:textId="77777777" w:rsidR="002A21AE" w:rsidRDefault="002A21AE">
            <w:pPr>
              <w:pStyle w:val="NotesText"/>
            </w:pPr>
          </w:p>
          <w:p w14:paraId="76C0436F" w14:textId="02CA074F" w:rsidR="002A21AE" w:rsidRDefault="002A21AE" w:rsidP="009874B8">
            <w:pPr>
              <w:pStyle w:val="NotesText"/>
            </w:pPr>
            <w:r>
              <w:rPr>
                <w:rFonts w:cs="Arial"/>
                <w:vanish/>
              </w:rPr>
              <w:t xml:space="preserve">BR_53.01 </w:t>
            </w:r>
            <w:r>
              <w:t xml:space="preserve">When the ABS Test interpretation must be consistent with observed test results based on </w:t>
            </w:r>
            <w:r w:rsidR="00EE455E">
              <w:t xml:space="preserve">Table </w:t>
            </w:r>
            <w:r w:rsidR="00EE455E">
              <w:rPr>
                <w:noProof/>
              </w:rPr>
              <w:t>16</w:t>
            </w:r>
            <w:r w:rsidR="00EE455E">
              <w:t xml:space="preserve">: </w:t>
            </w:r>
            <w:r w:rsidR="00EE455E">
              <w:rPr>
                <w:vanish/>
              </w:rPr>
              <w:t xml:space="preserve">TT_53.02 </w:t>
            </w:r>
            <w:r w:rsidR="00EE455E">
              <w:t>Antibody Screen Test Interpretation</w:t>
            </w:r>
            <w:r>
              <w:t>, discrepancies must be resolved before VBECS verifies the results and adds them to the database. The user may reenter valid results or delete the entries</w:t>
            </w:r>
            <w:r w:rsidR="009874B8">
              <w:t xml:space="preserve"> and start over before saving. </w:t>
            </w:r>
          </w:p>
        </w:tc>
      </w:tr>
      <w:tr w:rsidR="002A21AE" w14:paraId="495DA90C" w14:textId="77777777">
        <w:tc>
          <w:tcPr>
            <w:tcW w:w="3240" w:type="dxa"/>
          </w:tcPr>
          <w:p w14:paraId="032386D6" w14:textId="77777777" w:rsidR="002A21AE" w:rsidRDefault="002A21AE">
            <w:pPr>
              <w:pStyle w:val="TableTextNumbers"/>
            </w:pPr>
            <w:r>
              <w:t>Enter test results in preparation for updating the database.</w:t>
            </w:r>
            <w:r w:rsidRPr="00B93B42">
              <w:rPr>
                <w:rStyle w:val="StyleTableTextNumbersWhite1Char"/>
              </w:rPr>
              <w:t xml:space="preserve"> </w:t>
            </w:r>
          </w:p>
        </w:tc>
        <w:tc>
          <w:tcPr>
            <w:tcW w:w="6120" w:type="dxa"/>
          </w:tcPr>
          <w:p w14:paraId="04F86C41" w14:textId="77777777" w:rsidR="002A21AE" w:rsidRDefault="002A21AE">
            <w:pPr>
              <w:pStyle w:val="TableTextBullet"/>
            </w:pPr>
            <w:r>
              <w:t>Saves the data.</w:t>
            </w:r>
          </w:p>
        </w:tc>
      </w:tr>
      <w:tr w:rsidR="002A21AE" w14:paraId="30BEC559" w14:textId="77777777">
        <w:tc>
          <w:tcPr>
            <w:tcW w:w="3240" w:type="dxa"/>
          </w:tcPr>
          <w:p w14:paraId="292AFB02" w14:textId="77777777" w:rsidR="002A21AE" w:rsidRDefault="002A21AE">
            <w:pPr>
              <w:pStyle w:val="TableTextNumbers"/>
            </w:pPr>
            <w:r>
              <w:t xml:space="preserve">Click </w:t>
            </w:r>
            <w:r>
              <w:rPr>
                <w:b/>
              </w:rPr>
              <w:t xml:space="preserve">OK </w:t>
            </w:r>
            <w:r>
              <w:t xml:space="preserve">to </w:t>
            </w:r>
            <w:r w:rsidR="0095563F">
              <w:t xml:space="preserve">save, and </w:t>
            </w:r>
            <w:r w:rsidR="0095563F" w:rsidRPr="0095563F">
              <w:rPr>
                <w:b/>
              </w:rPr>
              <w:t>OK</w:t>
            </w:r>
            <w:r w:rsidR="0095563F">
              <w:t xml:space="preserve"> to confirm and </w:t>
            </w: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70EC351E" w14:textId="77777777" w:rsidR="002A21AE" w:rsidRDefault="002A21AE">
            <w:pPr>
              <w:pStyle w:val="TableText"/>
            </w:pPr>
          </w:p>
        </w:tc>
      </w:tr>
    </w:tbl>
    <w:p w14:paraId="6C166781" w14:textId="77777777" w:rsidR="002A21AE" w:rsidRDefault="00AC2D9E">
      <w:pPr>
        <w:pStyle w:val="Heading3"/>
      </w:pPr>
      <w:r>
        <w:br w:type="page"/>
      </w:r>
      <w:bookmarkStart w:id="468" w:name="_Toc149064161"/>
      <w:bookmarkStart w:id="469" w:name="_Hlk36533028"/>
      <w:r w:rsidR="002A21AE">
        <w:t>Patient Testing: Record a Direct Antiglobulin Test</w:t>
      </w:r>
      <w:bookmarkEnd w:id="468"/>
      <w:r w:rsidR="002A21AE">
        <w:fldChar w:fldCharType="begin"/>
      </w:r>
      <w:r w:rsidR="002A21AE">
        <w:instrText xml:space="preserve"> XE </w:instrText>
      </w:r>
      <w:r w:rsidR="00FA7E65">
        <w:instrText>“</w:instrText>
      </w:r>
      <w:r w:rsidR="002A21AE">
        <w:instrText>Patient Testing\: Record a Direct Antiglobulin Test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UC_54</w:t>
      </w:r>
    </w:p>
    <w:p w14:paraId="328DA432" w14:textId="77777777" w:rsidR="002A21AE" w:rsidRDefault="002A21AE" w:rsidP="00FA7E65">
      <w:pPr>
        <w:pStyle w:val="BodyText"/>
      </w:pPr>
      <w:r>
        <w:t xml:space="preserve">The user records observed results when performing a Direct Antiglobulin Test (DAT). </w:t>
      </w:r>
    </w:p>
    <w:p w14:paraId="7EE0CE07" w14:textId="77777777" w:rsidR="002A21AE" w:rsidRDefault="002A21AE">
      <w:pPr>
        <w:pStyle w:val="Heading4"/>
      </w:pPr>
      <w:r>
        <w:t>Assumptions</w:t>
      </w:r>
      <w:r>
        <w:rPr>
          <w:b w:val="0"/>
        </w:rPr>
        <w:t xml:space="preserve"> </w:t>
      </w:r>
    </w:p>
    <w:p w14:paraId="114CE7C5" w14:textId="77777777" w:rsidR="002A21AE" w:rsidRDefault="002A21AE">
      <w:pPr>
        <w:pStyle w:val="ListBullet"/>
      </w:pPr>
      <w:r>
        <w:t xml:space="preserve">A CPRS order exists that includes a DAT, which the user may also order as a reflex patient test. </w:t>
      </w:r>
    </w:p>
    <w:p w14:paraId="4E64228B" w14:textId="77777777" w:rsidR="002A21AE" w:rsidRDefault="002A21AE">
      <w:pPr>
        <w:pStyle w:val="ListBullet"/>
      </w:pPr>
      <w:r>
        <w:t xml:space="preserve">The user is testing a patient specimen in Patient Testing: Record Patient Test Results. </w:t>
      </w:r>
    </w:p>
    <w:p w14:paraId="728E0E40" w14:textId="77777777" w:rsidR="002A21AE" w:rsidRDefault="002A21AE">
      <w:pPr>
        <w:pStyle w:val="ListBullet"/>
      </w:pPr>
      <w:r>
        <w:t>VBECS is configured to accommodate the DAT as part of a Type &amp; Screen (TAS).</w:t>
      </w:r>
    </w:p>
    <w:p w14:paraId="4EC5B2B2" w14:textId="77777777" w:rsidR="002A21AE" w:rsidRDefault="002A21AE">
      <w:pPr>
        <w:pStyle w:val="Heading4"/>
      </w:pPr>
      <w:r>
        <w:t xml:space="preserve">Outcome </w:t>
      </w:r>
    </w:p>
    <w:p w14:paraId="116543D6" w14:textId="77777777" w:rsidR="002A21AE" w:rsidRDefault="002A21AE">
      <w:pPr>
        <w:pStyle w:val="ListBullet"/>
      </w:pPr>
      <w:r>
        <w:t>When a DAT is ordered as a stand-alone test, VBECS changes the task status to “completed” and triggers the generation of a message to CPRS that the order is complete.</w:t>
      </w:r>
    </w:p>
    <w:p w14:paraId="74E8352B" w14:textId="77777777" w:rsidR="002A21AE" w:rsidRDefault="002A21AE">
      <w:pPr>
        <w:pStyle w:val="Heading4"/>
      </w:pPr>
      <w:r>
        <w:t>Limitations and Restrictions</w:t>
      </w:r>
      <w:r>
        <w:rPr>
          <w:b w:val="0"/>
        </w:rPr>
        <w:t xml:space="preserve"> </w:t>
      </w:r>
    </w:p>
    <w:p w14:paraId="0B4C96F4" w14:textId="77777777" w:rsidR="002A21AE" w:rsidRDefault="002A21AE">
      <w:pPr>
        <w:pStyle w:val="ListBullet"/>
      </w:pPr>
      <w:r>
        <w:t>VBECS does not check whether the lot and vial numbers selected for the positive control cells are different from those of the negative control cells.</w:t>
      </w:r>
    </w:p>
    <w:p w14:paraId="2130BC17" w14:textId="77777777" w:rsidR="002A21AE" w:rsidRDefault="002A21AE">
      <w:pPr>
        <w:pStyle w:val="Heading4"/>
      </w:pPr>
      <w:r>
        <w:t xml:space="preserve">Additional Information </w:t>
      </w:r>
    </w:p>
    <w:p w14:paraId="65AC702E" w14:textId="77777777" w:rsidR="002A21AE" w:rsidRDefault="002A21AE">
      <w:pPr>
        <w:pStyle w:val="ListBullet"/>
      </w:pPr>
      <w:r>
        <w:rPr>
          <w:rFonts w:ascii="Arial" w:hAnsi="Arial" w:cs="Arial"/>
          <w:vanish/>
          <w:spacing w:val="0"/>
          <w:sz w:val="18"/>
        </w:rPr>
        <w:t xml:space="preserve">BR_28.11 </w:t>
      </w:r>
      <w:r>
        <w:t>The site settings determine which reagent types and lot numbers are available.</w:t>
      </w:r>
    </w:p>
    <w:p w14:paraId="23588CE6" w14:textId="45E746BA" w:rsidR="002A21AE" w:rsidRDefault="002A21AE">
      <w:pPr>
        <w:pStyle w:val="ListBullet"/>
      </w:pPr>
      <w:r>
        <w:t xml:space="preserve">VBECS checks the rack for the DAT reagents in use. When the rack testing does not include Poly AHG, Anti-IgG, or anti-complement, VBECS displays additional positive and negative control rows with the test grid for the DAT sera. </w:t>
      </w:r>
      <w:r w:rsidR="007C52D2">
        <w:t xml:space="preserve">(See </w:t>
      </w:r>
      <w:r w:rsidR="0096583A">
        <w:t xml:space="preserve">FAQ </w:t>
      </w:r>
      <w:r w:rsidR="007C52D2">
        <w:t>Polyspecific AHG Not Used for Testing)</w:t>
      </w:r>
    </w:p>
    <w:p w14:paraId="17221485" w14:textId="2DD8730C" w:rsidR="002A21AE" w:rsidRDefault="002A21AE">
      <w:pPr>
        <w:pStyle w:val="ListBullet"/>
      </w:pPr>
      <w:r>
        <w:rPr>
          <w:rFonts w:ascii="Arial" w:hAnsi="Arial" w:cs="Arial"/>
          <w:vanish/>
          <w:spacing w:val="0"/>
          <w:sz w:val="18"/>
        </w:rPr>
        <w:t xml:space="preserve">BR_41.25 </w:t>
      </w:r>
      <w:r>
        <w:t>The user may select reagent lot numbers for positive and negative control cells: Reverse ABO Typing Cells (Set), A2 cell (vial), Screening Cells (set), Check Cells (vial), Panel (set), and Other (set).</w:t>
      </w:r>
    </w:p>
    <w:p w14:paraId="63C26F4B" w14:textId="2C54D513" w:rsidR="0040397B" w:rsidRDefault="00E06D68" w:rsidP="00E06D68">
      <w:pPr>
        <w:pStyle w:val="ListBullet"/>
      </w:pPr>
      <w:r w:rsidRPr="00E06D68">
        <w:t xml:space="preserve">DAT tests indicated as performed using GEL with valid control cells </w:t>
      </w:r>
      <w:r>
        <w:t xml:space="preserve">no longer require the entry of check cell </w:t>
      </w:r>
      <w:r w:rsidRPr="00E06D68">
        <w:t>results. DAT tests performed by manual method will al</w:t>
      </w:r>
      <w:r>
        <w:t>so no longer require entry of check cell</w:t>
      </w:r>
      <w:r w:rsidRPr="00E06D68">
        <w:t xml:space="preserve"> results.</w:t>
      </w:r>
      <w:r w:rsidR="00CC3452">
        <w:t xml:space="preserve"> Test results do not have to be entered, but the cell cannot be blank. An “X” can be entered to indicate “Not Tested”, if testing was not performed. </w:t>
      </w:r>
      <w:r w:rsidR="00CC3452" w:rsidRPr="00CC3452">
        <w:rPr>
          <w:vanish/>
        </w:rPr>
        <w:t>Task 881295</w:t>
      </w:r>
    </w:p>
    <w:p w14:paraId="1179F84D" w14:textId="77777777" w:rsidR="002A21AE" w:rsidRDefault="002A21AE">
      <w:pPr>
        <w:pStyle w:val="Heading4"/>
      </w:pPr>
      <w:r>
        <w:t xml:space="preserve">User Roles with Access to This Option </w:t>
      </w:r>
    </w:p>
    <w:p w14:paraId="0F376E7A" w14:textId="77777777" w:rsidR="002A21AE" w:rsidRDefault="007934CF">
      <w:pPr>
        <w:pStyle w:val="Roles"/>
      </w:pPr>
      <w:r>
        <w:t>All users</w:t>
      </w:r>
    </w:p>
    <w:p w14:paraId="5C960341" w14:textId="77777777" w:rsidR="002A21AE" w:rsidRDefault="002A21AE">
      <w:pPr>
        <w:pStyle w:val="Heading4"/>
      </w:pPr>
      <w:r>
        <w:t>Patient Testing: Record a Direct Antiglobulin Test</w:t>
      </w:r>
    </w:p>
    <w:p w14:paraId="0207B2A7" w14:textId="77777777" w:rsidR="002A21AE" w:rsidRDefault="002A21AE" w:rsidP="00FA7E65">
      <w:pPr>
        <w:pStyle w:val="BodyText"/>
      </w:pPr>
      <w:r>
        <w:t xml:space="preserve">The user performs a DAT on a patient sample. </w:t>
      </w:r>
    </w:p>
    <w:p w14:paraId="7C5D6291" w14:textId="77777777" w:rsidR="002A21AE" w:rsidRDefault="002A21AE" w:rsidP="00FA7E65">
      <w:pPr>
        <w:pStyle w:val="BodyText"/>
      </w:pPr>
      <w:r>
        <w:t>The DAT may generate additional reflex test o</w:t>
      </w:r>
      <w:r w:rsidR="0058122A">
        <w:t xml:space="preserve">rders such as </w:t>
      </w:r>
      <w:r>
        <w:t>antibody identification. VBECS saves the reactions and interpretation in the database as part of the patient’s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EEBFC5D" w14:textId="77777777">
        <w:trPr>
          <w:cantSplit/>
          <w:tblHeader/>
        </w:trPr>
        <w:tc>
          <w:tcPr>
            <w:tcW w:w="3240" w:type="dxa"/>
            <w:shd w:val="pct30" w:color="auto" w:fill="FFFFFF"/>
            <w:vAlign w:val="bottom"/>
          </w:tcPr>
          <w:p w14:paraId="259B53D5" w14:textId="77777777" w:rsidR="002A21AE" w:rsidRDefault="002A21AE">
            <w:pPr>
              <w:pStyle w:val="TableText"/>
              <w:rPr>
                <w:b/>
              </w:rPr>
            </w:pPr>
            <w:r>
              <w:rPr>
                <w:b/>
              </w:rPr>
              <w:t>User Action</w:t>
            </w:r>
          </w:p>
        </w:tc>
        <w:tc>
          <w:tcPr>
            <w:tcW w:w="6120" w:type="dxa"/>
            <w:shd w:val="pct30" w:color="auto" w:fill="FFFFFF"/>
            <w:vAlign w:val="bottom"/>
          </w:tcPr>
          <w:p w14:paraId="52EBE639" w14:textId="77777777" w:rsidR="002A21AE" w:rsidRDefault="002A21AE">
            <w:pPr>
              <w:pStyle w:val="TableText"/>
              <w:rPr>
                <w:b/>
              </w:rPr>
            </w:pPr>
            <w:r>
              <w:rPr>
                <w:b/>
              </w:rPr>
              <w:t>VBECS</w:t>
            </w:r>
          </w:p>
        </w:tc>
      </w:tr>
      <w:tr w:rsidR="00141448" w14:paraId="4910F5CE" w14:textId="77777777">
        <w:tc>
          <w:tcPr>
            <w:tcW w:w="3240" w:type="dxa"/>
            <w:tcBorders>
              <w:top w:val="single" w:sz="4" w:space="0" w:color="auto"/>
              <w:left w:val="single" w:sz="4" w:space="0" w:color="auto"/>
              <w:bottom w:val="single" w:sz="4" w:space="0" w:color="auto"/>
              <w:right w:val="single" w:sz="4" w:space="0" w:color="auto"/>
            </w:tcBorders>
          </w:tcPr>
          <w:p w14:paraId="7E3D4596" w14:textId="77777777" w:rsidR="00141448" w:rsidRDefault="00141448" w:rsidP="00141448">
            <w:pPr>
              <w:pStyle w:val="TableTextNumbers"/>
            </w:pPr>
            <w:r>
              <w:t xml:space="preserve">Select </w:t>
            </w:r>
            <w:r>
              <w:rPr>
                <w:b/>
              </w:rPr>
              <w:t>Patients</w:t>
            </w:r>
            <w:r>
              <w:t xml:space="preserve"> from the main menu.</w:t>
            </w:r>
          </w:p>
          <w:p w14:paraId="0FA3887A" w14:textId="77777777" w:rsidR="00141448" w:rsidRDefault="00141448" w:rsidP="00141448">
            <w:pPr>
              <w:pStyle w:val="TableTextNumbersContinued"/>
            </w:pPr>
          </w:p>
          <w:p w14:paraId="0FB762E6"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0959DC56" w14:textId="77777777" w:rsidR="00141448" w:rsidRDefault="00141448" w:rsidP="00141448">
            <w:pPr>
              <w:pStyle w:val="TableTextBullet"/>
            </w:pPr>
            <w:r>
              <w:t xml:space="preserve">Displays options for processing patient-related functions. </w:t>
            </w:r>
          </w:p>
          <w:p w14:paraId="57668D5B" w14:textId="77777777" w:rsidR="00141448" w:rsidRDefault="00141448" w:rsidP="00141448">
            <w:pPr>
              <w:pStyle w:val="TableTextBullet"/>
            </w:pPr>
            <w:r>
              <w:t>Displays the Pending Task List (PTL) in the Diagnostic Tests tab.</w:t>
            </w:r>
          </w:p>
          <w:p w14:paraId="1449CC28" w14:textId="77777777" w:rsidR="00141448" w:rsidRDefault="00141448" w:rsidP="00141448">
            <w:pPr>
              <w:pStyle w:val="NotesText"/>
            </w:pPr>
          </w:p>
          <w:p w14:paraId="6E29C3D0" w14:textId="66347A38" w:rsidR="00141448" w:rsidRDefault="00141448" w:rsidP="00141448">
            <w:pPr>
              <w:pStyle w:val="TableText"/>
              <w:rPr>
                <w:b/>
                <w:bCs/>
                <w:szCs w:val="18"/>
              </w:rPr>
            </w:pPr>
            <w:r>
              <w:rPr>
                <w:b/>
                <w:bCs/>
                <w:szCs w:val="18"/>
              </w:rPr>
              <w:t>NOTES</w:t>
            </w:r>
          </w:p>
          <w:p w14:paraId="534A05FC" w14:textId="77777777" w:rsidR="00141448" w:rsidRDefault="00141448" w:rsidP="00141448">
            <w:pPr>
              <w:pStyle w:val="NotesText"/>
            </w:pPr>
          </w:p>
          <w:p w14:paraId="59D48576" w14:textId="77777777" w:rsidR="00141448" w:rsidRDefault="00141448" w:rsidP="00141448">
            <w:pPr>
              <w:pStyle w:val="NotesText"/>
            </w:pPr>
            <w:r>
              <w:t>A user may search for specific tasks using search criteria detailed in Pending Task List.</w:t>
            </w:r>
          </w:p>
        </w:tc>
      </w:tr>
      <w:tr w:rsidR="00B1359E" w14:paraId="5DA86F7C" w14:textId="77777777" w:rsidTr="003362FE">
        <w:trPr>
          <w:cantSplit/>
        </w:trPr>
        <w:tc>
          <w:tcPr>
            <w:tcW w:w="3240" w:type="dxa"/>
          </w:tcPr>
          <w:p w14:paraId="2AB2B5EE" w14:textId="77777777" w:rsidR="00B1359E" w:rsidRDefault="00B1359E" w:rsidP="00150254">
            <w:pPr>
              <w:pStyle w:val="TableTextNumbers"/>
            </w:pPr>
            <w:r>
              <w:t xml:space="preserve">Click one to four check boxes in the Pending Task List to select tasks for testing. </w:t>
            </w:r>
          </w:p>
          <w:p w14:paraId="24FA39FD" w14:textId="77777777" w:rsidR="00B1359E" w:rsidRDefault="00B1359E" w:rsidP="00150254">
            <w:pPr>
              <w:pStyle w:val="TableTextNumbersContinued"/>
            </w:pPr>
          </w:p>
          <w:p w14:paraId="2E8F602D" w14:textId="77777777" w:rsidR="00B1359E" w:rsidRDefault="00B1359E" w:rsidP="00150254">
            <w:pPr>
              <w:pStyle w:val="TableTextNumbersContinued"/>
            </w:pPr>
            <w:r>
              <w:t xml:space="preserve">Click </w:t>
            </w:r>
            <w:r>
              <w:rPr>
                <w:b/>
              </w:rPr>
              <w:t>OK</w:t>
            </w:r>
            <w:r>
              <w:t>.</w:t>
            </w:r>
          </w:p>
        </w:tc>
        <w:tc>
          <w:tcPr>
            <w:tcW w:w="6120" w:type="dxa"/>
          </w:tcPr>
          <w:p w14:paraId="4D6959D7" w14:textId="77777777" w:rsidR="00B1359E" w:rsidRDefault="00B1359E" w:rsidP="00150254">
            <w:pPr>
              <w:pStyle w:val="TableTextBullet"/>
            </w:pPr>
            <w:r>
              <w:t>Displays patient names and associated task information.</w:t>
            </w:r>
          </w:p>
        </w:tc>
      </w:tr>
      <w:tr w:rsidR="002A21AE" w14:paraId="7AB2635C" w14:textId="77777777">
        <w:tc>
          <w:tcPr>
            <w:tcW w:w="3240" w:type="dxa"/>
          </w:tcPr>
          <w:p w14:paraId="21C9D4D8" w14:textId="77777777" w:rsidR="002A21AE" w:rsidRDefault="00616B9E">
            <w:pPr>
              <w:pStyle w:val="TableTextNumbers"/>
            </w:pPr>
            <w:r>
              <w:t>When QC was not performed, e</w:t>
            </w:r>
            <w:r w:rsidR="002A21AE">
              <w:t>nter a lot number for the antiserum.</w:t>
            </w:r>
          </w:p>
        </w:tc>
        <w:tc>
          <w:tcPr>
            <w:tcW w:w="6120" w:type="dxa"/>
          </w:tcPr>
          <w:p w14:paraId="56F7326B" w14:textId="77777777" w:rsidR="00BE013F" w:rsidRDefault="00BE013F" w:rsidP="00BE013F">
            <w:pPr>
              <w:pStyle w:val="TableTextBullet"/>
            </w:pPr>
            <w:r>
              <w:t xml:space="preserve">Displays reaction result grids for DAT tests for each patient. </w:t>
            </w:r>
          </w:p>
          <w:p w14:paraId="64560571" w14:textId="77777777" w:rsidR="00BE013F" w:rsidRDefault="00BE013F" w:rsidP="00BE013F">
            <w:pPr>
              <w:pStyle w:val="TableTextBullet"/>
            </w:pPr>
            <w:r>
              <w:t>Lists the AHG antisera related to the test.</w:t>
            </w:r>
          </w:p>
          <w:p w14:paraId="531BA055" w14:textId="77777777" w:rsidR="002A21AE" w:rsidRDefault="002A21AE">
            <w:pPr>
              <w:pStyle w:val="TableTextBullet"/>
            </w:pPr>
            <w:r>
              <w:t xml:space="preserve">Displays information about the lot number, including the manufacturer and expiration date. </w:t>
            </w:r>
          </w:p>
          <w:p w14:paraId="65E2C660" w14:textId="77777777" w:rsidR="002A21AE" w:rsidRDefault="002A21AE">
            <w:pPr>
              <w:pStyle w:val="TableTextBullet"/>
            </w:pPr>
            <w:r>
              <w:t>Prompts the user to select the correct antisera and possibly the control cell entry.</w:t>
            </w:r>
          </w:p>
          <w:p w14:paraId="47E1477C" w14:textId="77777777" w:rsidR="002A21AE" w:rsidRDefault="002A21AE">
            <w:pPr>
              <w:pStyle w:val="TableText"/>
            </w:pPr>
          </w:p>
          <w:p w14:paraId="28804E7E" w14:textId="0641AAA3" w:rsidR="002A21AE" w:rsidRDefault="002A21AE">
            <w:pPr>
              <w:pStyle w:val="TableText"/>
              <w:rPr>
                <w:b/>
                <w:bCs/>
                <w:szCs w:val="18"/>
              </w:rPr>
            </w:pPr>
            <w:r>
              <w:rPr>
                <w:b/>
                <w:bCs/>
                <w:szCs w:val="18"/>
              </w:rPr>
              <w:t>NOTES</w:t>
            </w:r>
          </w:p>
          <w:p w14:paraId="5D500792" w14:textId="77777777" w:rsidR="002A21AE" w:rsidRDefault="002A21AE">
            <w:pPr>
              <w:pStyle w:val="TableText"/>
            </w:pPr>
          </w:p>
          <w:p w14:paraId="623F5709" w14:textId="77777777" w:rsidR="00B14E03" w:rsidRDefault="00B14E03" w:rsidP="00B14E03">
            <w:pPr>
              <w:pStyle w:val="NotesText"/>
            </w:pPr>
            <w:r>
              <w:rPr>
                <w:rFonts w:cs="Arial"/>
                <w:vanish/>
              </w:rPr>
              <w:t xml:space="preserve">BR_41.25 </w:t>
            </w:r>
            <w:r>
              <w:t xml:space="preserve">Reagent lot numbers that are selectable for positive and negative control cells: </w:t>
            </w:r>
          </w:p>
          <w:p w14:paraId="32FADCCC" w14:textId="77777777" w:rsidR="00B14E03" w:rsidRDefault="00B14E03" w:rsidP="00B14E03">
            <w:pPr>
              <w:pStyle w:val="NotesTextBullet"/>
            </w:pPr>
            <w:r>
              <w:t>Reverse ABO Typing Cells (set)</w:t>
            </w:r>
          </w:p>
          <w:p w14:paraId="5CF5407F" w14:textId="77777777" w:rsidR="00B14E03" w:rsidRDefault="00B14E03" w:rsidP="00B14E03">
            <w:pPr>
              <w:pStyle w:val="NotesTextBullet"/>
            </w:pPr>
            <w:r>
              <w:t>A2 cell (vial)</w:t>
            </w:r>
          </w:p>
          <w:p w14:paraId="47B81F6E" w14:textId="77777777" w:rsidR="00B14E03" w:rsidRDefault="00B14E03" w:rsidP="00B14E03">
            <w:pPr>
              <w:pStyle w:val="NotesTextBullet"/>
            </w:pPr>
            <w:r>
              <w:t>Screening Cells (set)</w:t>
            </w:r>
          </w:p>
          <w:p w14:paraId="7D9A89E3" w14:textId="77777777" w:rsidR="00B14E03" w:rsidRDefault="00B14E03" w:rsidP="00B14E03">
            <w:pPr>
              <w:pStyle w:val="NotesTextBullet"/>
            </w:pPr>
            <w:r>
              <w:t>Check Cells (vial)</w:t>
            </w:r>
          </w:p>
          <w:p w14:paraId="2CA8BBE2" w14:textId="77777777" w:rsidR="00B14E03" w:rsidRDefault="00B14E03" w:rsidP="00B14E03">
            <w:pPr>
              <w:pStyle w:val="NotesTextBullet"/>
            </w:pPr>
            <w:r>
              <w:t>Panel (set)</w:t>
            </w:r>
          </w:p>
          <w:p w14:paraId="603C8EAA" w14:textId="77777777" w:rsidR="00B14E03" w:rsidRDefault="00B14E03" w:rsidP="00B14E03">
            <w:pPr>
              <w:pStyle w:val="NotesTextBullet"/>
            </w:pPr>
            <w:r>
              <w:t>Other (set)</w:t>
            </w:r>
          </w:p>
          <w:p w14:paraId="0E39E721" w14:textId="77777777" w:rsidR="00B14E03" w:rsidRDefault="00B14E03">
            <w:pPr>
              <w:pStyle w:val="NotesText"/>
              <w:rPr>
                <w:rFonts w:cs="Arial"/>
                <w:vanish/>
              </w:rPr>
            </w:pPr>
          </w:p>
          <w:p w14:paraId="5E648885" w14:textId="77777777" w:rsidR="00BE013F" w:rsidRDefault="00BE013F">
            <w:pPr>
              <w:pStyle w:val="NotesText"/>
            </w:pPr>
            <w:r>
              <w:rPr>
                <w:rFonts w:cs="Arial"/>
                <w:vanish/>
              </w:rPr>
              <w:t xml:space="preserve">BR_54.02 </w:t>
            </w:r>
            <w:r>
              <w:t>VBECS lists the AHG antisera related to the test from previously entered inventory. When VBECS displays multiple DAT tests or the full battery, the user selects each DAT serum separately by repeating this step until all are selected.</w:t>
            </w:r>
          </w:p>
          <w:p w14:paraId="51D6449C" w14:textId="77777777" w:rsidR="00BE013F" w:rsidRDefault="00BE013F">
            <w:pPr>
              <w:pStyle w:val="NotesText"/>
            </w:pPr>
          </w:p>
          <w:p w14:paraId="2412FCE6" w14:textId="77777777" w:rsidR="002A21AE" w:rsidRDefault="00BE013F">
            <w:pPr>
              <w:pStyle w:val="NotesText"/>
            </w:pPr>
            <w:r w:rsidRPr="00BE013F">
              <w:rPr>
                <w:vanish/>
                <w:szCs w:val="18"/>
              </w:rPr>
              <w:t>B</w:t>
            </w:r>
            <w:r w:rsidR="002A21AE">
              <w:rPr>
                <w:rFonts w:cs="Arial"/>
                <w:vanish/>
              </w:rPr>
              <w:t xml:space="preserve">R_54.06 </w:t>
            </w:r>
            <w:r w:rsidR="002A21AE">
              <w:t>Each positive and negative control cell requires the user to select a lot number.</w:t>
            </w:r>
          </w:p>
          <w:p w14:paraId="077CD06F" w14:textId="77777777" w:rsidR="002A21AE" w:rsidRDefault="002A21AE">
            <w:pPr>
              <w:pStyle w:val="NotesText"/>
            </w:pPr>
          </w:p>
          <w:p w14:paraId="5A54F3BC" w14:textId="77777777" w:rsidR="002A21AE" w:rsidRDefault="002A21AE">
            <w:pPr>
              <w:pStyle w:val="NotesText"/>
            </w:pPr>
            <w:r>
              <w:rPr>
                <w:vanish/>
                <w:szCs w:val="18"/>
              </w:rPr>
              <w:t>BR_54.04</w:t>
            </w:r>
            <w:r w:rsidR="009078D6">
              <w:rPr>
                <w:vanish/>
                <w:szCs w:val="18"/>
              </w:rPr>
              <w:t>,</w:t>
            </w:r>
            <w:r>
              <w:rPr>
                <w:vanish/>
                <w:szCs w:val="18"/>
              </w:rPr>
              <w:t xml:space="preserve"> BR_54.05 </w:t>
            </w:r>
            <w:r>
              <w:t>VBECS displays options to select the lot number of the antisera and check cells used for QC of the antiglobulin sera. The user must select complement check cells for Anti-Complement AHG tests.</w:t>
            </w:r>
          </w:p>
          <w:p w14:paraId="08176318" w14:textId="77777777" w:rsidR="002A21AE" w:rsidRDefault="002A21AE">
            <w:pPr>
              <w:pStyle w:val="NotesText"/>
            </w:pPr>
          </w:p>
          <w:p w14:paraId="04414380" w14:textId="77777777" w:rsidR="002A21AE" w:rsidRDefault="002A21AE">
            <w:pPr>
              <w:pStyle w:val="NotesText"/>
            </w:pPr>
            <w:r>
              <w:rPr>
                <w:rFonts w:cs="Arial"/>
                <w:vanish/>
              </w:rPr>
              <w:t>BR_28.12</w:t>
            </w:r>
            <w:r w:rsidR="004F5F28" w:rsidRPr="00323744">
              <w:rPr>
                <w:rStyle w:val="BullhornChar"/>
              </w:rPr>
              <w:t></w:t>
            </w:r>
            <w:r w:rsidR="004F5F28">
              <w:rPr>
                <w:rFonts w:ascii="Webdings" w:hAnsi="Webdings"/>
              </w:rPr>
              <w:t></w:t>
            </w:r>
            <w:r>
              <w:t xml:space="preserve">VBECS compares the </w:t>
            </w:r>
            <w:r w:rsidR="00FE64A7">
              <w:t xml:space="preserve">control cell </w:t>
            </w:r>
            <w:r>
              <w:t xml:space="preserve">results entered to those of the previous day for the same rack number and alerts the user when there is a decrease in reactivity of 2 or more within the acceptable limits for each reagent type by lot number. VBECS </w:t>
            </w:r>
            <w:r>
              <w:rPr>
                <w:noProof/>
                <w:color w:val="000000"/>
              </w:rPr>
              <w:t xml:space="preserve">emits an audible alert, warns that there is a </w:t>
            </w:r>
            <w:r w:rsidR="00191CFE">
              <w:rPr>
                <w:noProof/>
                <w:color w:val="000000"/>
              </w:rPr>
              <w:t>decrease</w:t>
            </w:r>
            <w:r>
              <w:t xml:space="preserve"> in reagent reactivity of two or more, and asks whether the user wishes to continue to use this vial.</w:t>
            </w:r>
          </w:p>
          <w:p w14:paraId="56C72651" w14:textId="77777777" w:rsidR="002A21AE" w:rsidRDefault="002A21AE">
            <w:pPr>
              <w:pStyle w:val="NotesText"/>
            </w:pPr>
          </w:p>
          <w:p w14:paraId="3115E0B2" w14:textId="77777777" w:rsidR="002A21AE" w:rsidRDefault="002A21AE">
            <w:pPr>
              <w:pStyle w:val="NotesText"/>
            </w:pPr>
            <w:r>
              <w:rPr>
                <w:b/>
              </w:rPr>
              <w:t>Yes</w:t>
            </w:r>
            <w:r>
              <w:t xml:space="preserve"> allows the user to continue, with comment. VBECS captures details for inclusion in an Exception Report (exception type: QC decrease reagent reactivity </w:t>
            </w:r>
            <w:r w:rsidR="00DE5EF3" w:rsidRPr="00DE5EF3">
              <w:rPr>
                <w:rStyle w:val="Char"/>
                <w:rFonts w:cs="Arial"/>
                <w:sz w:val="18"/>
                <w:szCs w:val="18"/>
              </w:rPr>
              <w:t>≥</w:t>
            </w:r>
            <w:r w:rsidR="00320118">
              <w:rPr>
                <w:rStyle w:val="Char"/>
                <w:rFonts w:cs="Arial"/>
                <w:sz w:val="18"/>
                <w:szCs w:val="18"/>
              </w:rPr>
              <w:t xml:space="preserve"> </w:t>
            </w:r>
            <w:r>
              <w:t xml:space="preserve">2). </w:t>
            </w:r>
          </w:p>
          <w:p w14:paraId="2F59DC64" w14:textId="77777777" w:rsidR="002A21AE" w:rsidRDefault="002A21AE">
            <w:pPr>
              <w:pStyle w:val="NotesText"/>
            </w:pPr>
          </w:p>
          <w:p w14:paraId="2568A5FF" w14:textId="77777777" w:rsidR="002A21AE" w:rsidRDefault="002A21AE">
            <w:pPr>
              <w:pStyle w:val="NotesText"/>
            </w:pPr>
            <w:r>
              <w:rPr>
                <w:b/>
              </w:rPr>
              <w:t>No</w:t>
            </w:r>
            <w:r>
              <w:t xml:space="preserve"> allows the user to reenter the lot number for this reagent type and allows the approval of this same lot number (different vial) or the entry of a new lot number, returning to the testing worksheet where the user left off. (The user may replace an individual vial that is losing its reactivity with one of the same lot number.) </w:t>
            </w:r>
          </w:p>
          <w:p w14:paraId="3AB4EDEC" w14:textId="77777777" w:rsidR="002A21AE" w:rsidRDefault="002A21AE">
            <w:pPr>
              <w:pStyle w:val="NotesText"/>
            </w:pPr>
          </w:p>
          <w:p w14:paraId="4A1838BF" w14:textId="77777777" w:rsidR="002A21AE" w:rsidRDefault="002A21AE">
            <w:pPr>
              <w:pStyle w:val="NotesText"/>
            </w:pPr>
            <w:r>
              <w:rPr>
                <w:vanish/>
                <w:szCs w:val="18"/>
              </w:rPr>
              <w:t xml:space="preserve">BR_28.20, BR_28.23 </w:t>
            </w:r>
            <w:r>
              <w:t>When the user-entered test results indicate a satisfactory interpretation, VBECS indicates that testing is satisfactory and allows the user to save the results. VBECS considers the affected QC incomplete until it is retested with satisfactory results. VBECS generates warnings through other options when QC testing is incomplete.</w:t>
            </w:r>
          </w:p>
          <w:p w14:paraId="1E45D234" w14:textId="77777777" w:rsidR="002A21AE" w:rsidRDefault="002A21AE">
            <w:pPr>
              <w:pStyle w:val="NotesText"/>
            </w:pPr>
          </w:p>
          <w:p w14:paraId="779DCE0F" w14:textId="77777777" w:rsidR="002A21AE" w:rsidRDefault="002A21AE">
            <w:pPr>
              <w:pStyle w:val="NotesText"/>
            </w:pPr>
            <w:r>
              <w:rPr>
                <w:rFonts w:cs="Arial"/>
                <w:vanish/>
              </w:rPr>
              <w:t>BR_28.24</w:t>
            </w:r>
            <w:r w:rsidR="004F5F28" w:rsidRPr="00323744">
              <w:rPr>
                <w:rStyle w:val="BullhornChar"/>
              </w:rPr>
              <w:t></w:t>
            </w:r>
            <w:r w:rsidR="004F5F28">
              <w:rPr>
                <w:rFonts w:ascii="Webdings" w:hAnsi="Webdings"/>
              </w:rPr>
              <w:t></w:t>
            </w:r>
            <w:r>
              <w:t xml:space="preserve">VBECS compares the expiration date of the reagent on the selected reagent to the testing date. When the reagent is expired, VBECS emits an audible alert, warns the user and asks whether he still wishes to use this reagent. </w:t>
            </w:r>
            <w:r>
              <w:rPr>
                <w:b/>
              </w:rPr>
              <w:t>Yes</w:t>
            </w:r>
            <w:r>
              <w:t xml:space="preserve"> requires a comment and captures details for inclusion in an Exception Report (exception type: expired reagent QC’d).</w:t>
            </w:r>
          </w:p>
          <w:p w14:paraId="7BF705FD" w14:textId="77777777" w:rsidR="002A21AE" w:rsidRDefault="002A21AE">
            <w:pPr>
              <w:pStyle w:val="NotesText"/>
            </w:pPr>
          </w:p>
          <w:p w14:paraId="4EADB485" w14:textId="77777777" w:rsidR="002A21AE" w:rsidRDefault="002A21AE">
            <w:pPr>
              <w:pStyle w:val="NotesText"/>
            </w:pPr>
            <w:r>
              <w:rPr>
                <w:b/>
              </w:rPr>
              <w:t>No</w:t>
            </w:r>
            <w:r>
              <w:t xml:space="preserve"> removes the unsatisfactory reagent and requires the user to enter a new one. Unsatisfactory lot numbers are never displayed. VBECS captures details for inclusion in an Exception Report (exception type: Expired reagent QC’d).</w:t>
            </w:r>
          </w:p>
          <w:p w14:paraId="78F324A9" w14:textId="77777777" w:rsidR="002A21AE" w:rsidRDefault="002A21AE">
            <w:pPr>
              <w:pStyle w:val="NotesText"/>
            </w:pPr>
          </w:p>
          <w:p w14:paraId="22D25923" w14:textId="77777777" w:rsidR="002A21AE" w:rsidRDefault="002A21AE">
            <w:pPr>
              <w:pStyle w:val="NotesText"/>
            </w:pPr>
            <w:r>
              <w:rPr>
                <w:rFonts w:cs="Arial"/>
                <w:vanish/>
              </w:rPr>
              <w:t xml:space="preserve">BR_54.01 </w:t>
            </w:r>
            <w:r>
              <w:t>When the antisera QC is required, the user verifies the lot numbers, manufacturer name, and expiration date and saves them as part of the QC record for the associated test.</w:t>
            </w:r>
            <w:r>
              <w:tab/>
            </w:r>
          </w:p>
        </w:tc>
      </w:tr>
      <w:tr w:rsidR="002A21AE" w14:paraId="54C5738A" w14:textId="77777777">
        <w:tc>
          <w:tcPr>
            <w:tcW w:w="3240" w:type="dxa"/>
          </w:tcPr>
          <w:p w14:paraId="289AC3D9" w14:textId="77777777" w:rsidR="002A21AE" w:rsidRDefault="002A21AE">
            <w:pPr>
              <w:pStyle w:val="TableTextNumbers"/>
            </w:pPr>
            <w:r>
              <w:t>Review and accept the selected reagent information.</w:t>
            </w:r>
          </w:p>
        </w:tc>
        <w:tc>
          <w:tcPr>
            <w:tcW w:w="6120" w:type="dxa"/>
          </w:tcPr>
          <w:p w14:paraId="54582663" w14:textId="77777777" w:rsidR="002A21AE" w:rsidRDefault="002A21AE">
            <w:pPr>
              <w:pStyle w:val="TableTextBullet"/>
            </w:pPr>
            <w:r>
              <w:t>Displays the previously entered information for user review.</w:t>
            </w:r>
          </w:p>
        </w:tc>
      </w:tr>
      <w:tr w:rsidR="002A21AE" w14:paraId="2FDAA454" w14:textId="77777777">
        <w:tc>
          <w:tcPr>
            <w:tcW w:w="3240" w:type="dxa"/>
          </w:tcPr>
          <w:p w14:paraId="35EE4B3A" w14:textId="77777777" w:rsidR="002A21AE" w:rsidRDefault="002A21AE">
            <w:pPr>
              <w:pStyle w:val="TableTextNumbers"/>
            </w:pPr>
            <w:r>
              <w:t xml:space="preserve">Respond to warnings and continue with DAT testing. </w:t>
            </w:r>
          </w:p>
        </w:tc>
        <w:tc>
          <w:tcPr>
            <w:tcW w:w="6120" w:type="dxa"/>
          </w:tcPr>
          <w:p w14:paraId="11C8BE99" w14:textId="77777777" w:rsidR="002A21AE" w:rsidRDefault="002A21AE">
            <w:pPr>
              <w:pStyle w:val="TableTextBullet"/>
            </w:pPr>
            <w:r>
              <w:t>Displays a direct data entry</w:t>
            </w:r>
            <w:r w:rsidR="00917E9F">
              <w:t xml:space="preserve"> (DDE)</w:t>
            </w:r>
            <w:r>
              <w:t xml:space="preserve"> grid for the user to enter serologic reaction results for DAT testing.</w:t>
            </w:r>
          </w:p>
          <w:p w14:paraId="5D44B4D8" w14:textId="77777777" w:rsidR="002A21AE" w:rsidRDefault="002A21AE">
            <w:pPr>
              <w:pStyle w:val="TableText"/>
            </w:pPr>
          </w:p>
        </w:tc>
      </w:tr>
      <w:tr w:rsidR="002A21AE" w14:paraId="47B57B71" w14:textId="77777777">
        <w:tc>
          <w:tcPr>
            <w:tcW w:w="3240" w:type="dxa"/>
          </w:tcPr>
          <w:p w14:paraId="71DEE688" w14:textId="77777777" w:rsidR="002A21AE" w:rsidRDefault="002A21AE">
            <w:pPr>
              <w:pStyle w:val="TableTextNumbers"/>
            </w:pPr>
            <w:r>
              <w:t>Enter valid test serologic reactions in the data entry grid.</w:t>
            </w:r>
          </w:p>
        </w:tc>
        <w:tc>
          <w:tcPr>
            <w:tcW w:w="6120" w:type="dxa"/>
          </w:tcPr>
          <w:p w14:paraId="0F3EDC35" w14:textId="77777777" w:rsidR="002A21AE" w:rsidRDefault="002A21AE">
            <w:pPr>
              <w:pStyle w:val="TableTextBullet"/>
            </w:pPr>
            <w:r>
              <w:t>Allows the user to enter valid data and test results in the interpretation cells.</w:t>
            </w:r>
          </w:p>
          <w:p w14:paraId="799286D6" w14:textId="77777777" w:rsidR="002A21AE" w:rsidRDefault="002A21AE">
            <w:pPr>
              <w:pStyle w:val="TableText"/>
            </w:pPr>
          </w:p>
          <w:p w14:paraId="054BB8AE" w14:textId="203BED7C" w:rsidR="002A21AE" w:rsidRDefault="002A21AE">
            <w:pPr>
              <w:pStyle w:val="TableText"/>
              <w:rPr>
                <w:b/>
                <w:bCs/>
                <w:szCs w:val="18"/>
              </w:rPr>
            </w:pPr>
            <w:r>
              <w:rPr>
                <w:b/>
                <w:bCs/>
                <w:szCs w:val="18"/>
              </w:rPr>
              <w:t>NOTES</w:t>
            </w:r>
          </w:p>
          <w:p w14:paraId="44F8A548" w14:textId="77777777" w:rsidR="002A21AE" w:rsidRDefault="002A21AE">
            <w:pPr>
              <w:pStyle w:val="NotesText"/>
            </w:pPr>
          </w:p>
          <w:p w14:paraId="11E98C3B" w14:textId="77777777" w:rsidR="002A21AE" w:rsidRDefault="002A21AE">
            <w:pPr>
              <w:pStyle w:val="NotesText"/>
            </w:pPr>
            <w:r>
              <w:rPr>
                <w:rFonts w:cs="Arial"/>
                <w:vanish/>
              </w:rPr>
              <w:t xml:space="preserve">BR_54.03 </w:t>
            </w:r>
            <w:r>
              <w:t xml:space="preserve">Row validation is established for the interpretation vs. reaction results pattern as </w:t>
            </w:r>
            <w:r w:rsidR="00922AD8">
              <w:t>defined by system rules</w:t>
            </w:r>
            <w:r>
              <w:rPr>
                <w:vanish/>
                <w:szCs w:val="18"/>
              </w:rPr>
              <w:t>TT_54.01 Direct Antiglobulin Testing</w:t>
            </w:r>
            <w:r>
              <w:t>.</w:t>
            </w:r>
          </w:p>
        </w:tc>
      </w:tr>
      <w:tr w:rsidR="002A21AE" w14:paraId="3AD71DB6" w14:textId="77777777">
        <w:tc>
          <w:tcPr>
            <w:tcW w:w="3240" w:type="dxa"/>
          </w:tcPr>
          <w:p w14:paraId="184D66E2" w14:textId="77777777" w:rsidR="002A21AE" w:rsidRDefault="002A21AE">
            <w:pPr>
              <w:pStyle w:val="TableTextNumbers"/>
            </w:pPr>
            <w:r>
              <w:t>Repeat Step 4 until some or all portions of the test grid for the selected patient are entered. When appropriate, enter the interpretation for the patient DAT testing.</w:t>
            </w:r>
          </w:p>
        </w:tc>
        <w:tc>
          <w:tcPr>
            <w:tcW w:w="6120" w:type="dxa"/>
          </w:tcPr>
          <w:p w14:paraId="6C70B4DB" w14:textId="77777777" w:rsidR="002A21AE" w:rsidRDefault="002A21AE">
            <w:pPr>
              <w:pStyle w:val="TableTextBullet"/>
            </w:pPr>
            <w:r>
              <w:t>Prompts the user to confirm that all results were reviewed and are acceptable.</w:t>
            </w:r>
          </w:p>
        </w:tc>
      </w:tr>
      <w:tr w:rsidR="002A21AE" w14:paraId="4BF6E31A" w14:textId="77777777">
        <w:tc>
          <w:tcPr>
            <w:tcW w:w="3240" w:type="dxa"/>
          </w:tcPr>
          <w:p w14:paraId="699B952C" w14:textId="77777777" w:rsidR="002A21AE" w:rsidRDefault="002A21AE">
            <w:pPr>
              <w:pStyle w:val="TableTextNumbers"/>
            </w:pPr>
            <w:r>
              <w:t xml:space="preserve">Enter test results in preparation for updating the database. </w:t>
            </w:r>
          </w:p>
        </w:tc>
        <w:tc>
          <w:tcPr>
            <w:tcW w:w="6120" w:type="dxa"/>
          </w:tcPr>
          <w:p w14:paraId="10B6B2D2" w14:textId="77777777" w:rsidR="002A21AE" w:rsidRDefault="002A21AE">
            <w:pPr>
              <w:pStyle w:val="TableText"/>
            </w:pPr>
          </w:p>
        </w:tc>
      </w:tr>
      <w:tr w:rsidR="002A21AE" w14:paraId="549C4C85" w14:textId="77777777">
        <w:tc>
          <w:tcPr>
            <w:tcW w:w="3240" w:type="dxa"/>
          </w:tcPr>
          <w:p w14:paraId="59733ADB"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34A5B84E" w14:textId="77777777" w:rsidR="002A21AE" w:rsidRDefault="002A21AE">
            <w:pPr>
              <w:pStyle w:val="TableText"/>
            </w:pPr>
          </w:p>
        </w:tc>
      </w:tr>
      <w:bookmarkEnd w:id="469"/>
    </w:tbl>
    <w:p w14:paraId="5C2E50CE" w14:textId="77777777" w:rsidR="002A21AE" w:rsidRDefault="00AC2D9E">
      <w:pPr>
        <w:pStyle w:val="Heading3"/>
      </w:pPr>
      <w:r>
        <w:br w:type="page"/>
      </w:r>
      <w:bookmarkStart w:id="470" w:name="_Toc149064162"/>
      <w:r w:rsidR="002A21AE">
        <w:t>Patient Testing: Record a Crossmatch</w:t>
      </w:r>
      <w:bookmarkEnd w:id="470"/>
      <w:r w:rsidR="002A21AE">
        <w:fldChar w:fldCharType="begin"/>
      </w:r>
      <w:r w:rsidR="002A21AE">
        <w:instrText xml:space="preserve"> XE </w:instrText>
      </w:r>
      <w:r w:rsidR="00FA7E65">
        <w:instrText>“</w:instrText>
      </w:r>
      <w:r w:rsidR="002A21AE">
        <w:instrText>Patient Testing\: Record a Crossmatch</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UC_40</w:t>
      </w:r>
    </w:p>
    <w:p w14:paraId="77DEC3E0" w14:textId="7F1418D9" w:rsidR="002A21AE" w:rsidRDefault="002A21AE" w:rsidP="00FA7E65">
      <w:pPr>
        <w:pStyle w:val="BodyText"/>
      </w:pPr>
      <w:r>
        <w:t>The user records observed results and interpretations when performing a serologic crossmatch (XM) between a patient and one or more units of blood.</w:t>
      </w:r>
      <w:r w:rsidR="0004558D">
        <w:t xml:space="preserve"> </w:t>
      </w:r>
    </w:p>
    <w:p w14:paraId="380D6ECC" w14:textId="77777777" w:rsidR="002A21AE" w:rsidRDefault="002A21AE">
      <w:pPr>
        <w:pStyle w:val="Heading4"/>
      </w:pPr>
      <w:r>
        <w:t>Assumptions</w:t>
      </w:r>
      <w:r>
        <w:rPr>
          <w:b w:val="0"/>
        </w:rPr>
        <w:t xml:space="preserve"> </w:t>
      </w:r>
    </w:p>
    <w:p w14:paraId="76605CDA" w14:textId="77777777" w:rsidR="002A21AE" w:rsidRDefault="002A21AE">
      <w:pPr>
        <w:pStyle w:val="ListBullet"/>
      </w:pPr>
      <w:r>
        <w:t>A CPRS order exists for a blood component that requires a serologic XM. The patient order and the selected units are in the same division as the user.</w:t>
      </w:r>
    </w:p>
    <w:p w14:paraId="69D701BE" w14:textId="77777777" w:rsidR="002A21AE" w:rsidRDefault="002A21AE">
      <w:pPr>
        <w:pStyle w:val="ListBullet"/>
      </w:pPr>
      <w:r>
        <w:t xml:space="preserve">A blood unit that contains </w:t>
      </w:r>
      <w:r w:rsidR="0058122A">
        <w:t>= &gt; 2</w:t>
      </w:r>
      <w:r w:rsidR="00B514B7">
        <w:t xml:space="preserve"> </w:t>
      </w:r>
      <w:r w:rsidR="0058122A">
        <w:t>mL red blood cell contamination</w:t>
      </w:r>
      <w:r>
        <w:t xml:space="preserve">, selected in Select Units, is acceptable for testing, according to the patient’s current or historic records and ABO/Rh. </w:t>
      </w:r>
    </w:p>
    <w:p w14:paraId="786ABB40" w14:textId="77777777" w:rsidR="002A21AE" w:rsidRDefault="002A21AE">
      <w:pPr>
        <w:pStyle w:val="ListBullet"/>
      </w:pPr>
      <w:r>
        <w:t xml:space="preserve">A current specimen was accepted and is in process for ABO/Rh and </w:t>
      </w:r>
      <w:r w:rsidR="008E2E30">
        <w:t>Antibody Screen Test (ABS)</w:t>
      </w:r>
      <w:r>
        <w:t>, or was previously completed and is not expired.</w:t>
      </w:r>
    </w:p>
    <w:p w14:paraId="319E6F4D" w14:textId="77777777" w:rsidR="002A21AE" w:rsidRDefault="002A21AE">
      <w:pPr>
        <w:pStyle w:val="Heading4"/>
      </w:pPr>
      <w:r>
        <w:t xml:space="preserve">Outcome </w:t>
      </w:r>
    </w:p>
    <w:p w14:paraId="2620A9ED" w14:textId="77777777" w:rsidR="002A21AE" w:rsidRDefault="002A21AE">
      <w:pPr>
        <w:pStyle w:val="ListBullet"/>
      </w:pPr>
      <w:r>
        <w:t xml:space="preserve">When patient Transfusion Requirements (TRs), if any, are fulfilled and a user enters a </w:t>
      </w:r>
      <w:r w:rsidR="00045ED7">
        <w:t xml:space="preserve">compatible </w:t>
      </w:r>
      <w:r>
        <w:t>XM interpretation, VBECS makes units available for generating the Blood Transfusion Record Form (BTRF), for printing the Caution Tag, and for issue to the patient.</w:t>
      </w:r>
    </w:p>
    <w:p w14:paraId="4E23B17A" w14:textId="77777777" w:rsidR="002A21AE" w:rsidRDefault="002A21AE">
      <w:pPr>
        <w:pStyle w:val="ListBullet"/>
      </w:pPr>
      <w:r>
        <w:t>When a user enters an unacceptable XM interpretation, VBECS releases the selected units from the patient.</w:t>
      </w:r>
    </w:p>
    <w:p w14:paraId="4A5C80FE" w14:textId="77777777" w:rsidR="002A21AE" w:rsidRDefault="002A21AE">
      <w:pPr>
        <w:pStyle w:val="Heading4"/>
      </w:pPr>
      <w:r>
        <w:t>Limitations and Restrictions</w:t>
      </w:r>
      <w:r>
        <w:rPr>
          <w:b w:val="0"/>
        </w:rPr>
        <w:t xml:space="preserve"> </w:t>
      </w:r>
    </w:p>
    <w:p w14:paraId="59CD6AC9" w14:textId="77777777" w:rsidR="002A21AE" w:rsidRDefault="002A21AE">
      <w:pPr>
        <w:pStyle w:val="ListBullet"/>
      </w:pPr>
      <w:r>
        <w:rPr>
          <w:rFonts w:ascii="Arial" w:hAnsi="Arial" w:cs="Arial"/>
          <w:vanish/>
          <w:spacing w:val="0"/>
          <w:sz w:val="18"/>
        </w:rPr>
        <w:t xml:space="preserve">BR_40.01 </w:t>
      </w:r>
      <w:r>
        <w:t>The specimen associated with testing must have an expiration date and time that are later than the testing date and time entered in Patient Testing: Record Patient Test Results. When this is not the case, VBECS warns that the patient specimen expired. There is no override.</w:t>
      </w:r>
    </w:p>
    <w:p w14:paraId="38868B0B" w14:textId="77777777" w:rsidR="002A21AE" w:rsidRDefault="002A21AE">
      <w:pPr>
        <w:pStyle w:val="ListBullet"/>
      </w:pPr>
      <w:r>
        <w:t xml:space="preserve">This option does not include electronic crossmatch (eXM). </w:t>
      </w:r>
    </w:p>
    <w:p w14:paraId="1C90FFA9" w14:textId="77777777" w:rsidR="002A21AE" w:rsidRDefault="002A21AE">
      <w:pPr>
        <w:pStyle w:val="Heading4"/>
      </w:pPr>
      <w:r>
        <w:t xml:space="preserve">Additional Information </w:t>
      </w:r>
    </w:p>
    <w:p w14:paraId="01ACC7FF" w14:textId="77777777" w:rsidR="002C3F2F" w:rsidRPr="002C3F2F" w:rsidRDefault="00057948" w:rsidP="002C3F2F">
      <w:pPr>
        <w:pStyle w:val="ListBullet"/>
      </w:pPr>
      <w:r>
        <w:rPr>
          <w:noProof/>
        </w:rPr>
        <w:drawing>
          <wp:inline distT="0" distB="0" distL="0" distR="0" wp14:anchorId="782CE36C" wp14:editId="568F7797">
            <wp:extent cx="276860" cy="221615"/>
            <wp:effectExtent l="0" t="0" r="8890" b="6985"/>
            <wp:docPr id="240" name="Picture 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rsidRPr="002C3F2F">
        <w:rPr>
          <w:vanish/>
        </w:rPr>
        <w:t xml:space="preserve"> Defect 362099</w:t>
      </w:r>
    </w:p>
    <w:p w14:paraId="5C812DB1" w14:textId="77777777" w:rsidR="002A21AE" w:rsidRDefault="002A21AE">
      <w:pPr>
        <w:pStyle w:val="ListBullet"/>
      </w:pPr>
      <w:r>
        <w:rPr>
          <w:rFonts w:ascii="Arial" w:hAnsi="Arial" w:cs="Arial"/>
          <w:vanish/>
          <w:spacing w:val="0"/>
          <w:sz w:val="18"/>
        </w:rPr>
        <w:t xml:space="preserve">BR_40.11 </w:t>
      </w:r>
      <w:r>
        <w:t>When the user saves a partially completed XM testing worklist, VBECS does not clear patient entries without results or release them from the worklist, which VBECS saves for completion later.</w:t>
      </w:r>
    </w:p>
    <w:p w14:paraId="62C2D803" w14:textId="77777777" w:rsidR="002A21AE" w:rsidRDefault="002A21AE">
      <w:pPr>
        <w:pStyle w:val="ListBullet"/>
      </w:pPr>
      <w:r>
        <w:rPr>
          <w:rFonts w:ascii="Arial" w:hAnsi="Arial" w:cs="Arial"/>
          <w:vanish/>
          <w:spacing w:val="0"/>
          <w:sz w:val="18"/>
        </w:rPr>
        <w:t xml:space="preserve">BR_40.16 </w:t>
      </w:r>
      <w:r>
        <w:t xml:space="preserve">When VBECS saves a partially completed XM worksheet, </w:t>
      </w:r>
      <w:r w:rsidR="00CC69D1">
        <w:t xml:space="preserve">it </w:t>
      </w:r>
      <w:r>
        <w:t>maintains a status of “assigned” for selected units until the serologic XM is complete. When VBECS saves the XM test. including interpretation, to the database, it assigns “crossmatched” status to the unit. The user may correct verified patient data only through Invalidate Test Results.</w:t>
      </w:r>
    </w:p>
    <w:p w14:paraId="67E5CD78" w14:textId="77777777" w:rsidR="00D47D4A" w:rsidRPr="00D47D4A" w:rsidRDefault="002A21AE">
      <w:pPr>
        <w:pStyle w:val="ListBullet"/>
        <w:rPr>
          <w:b/>
          <w:bCs/>
        </w:rPr>
      </w:pPr>
      <w:r>
        <w:t>Units that require antigen typing and/or modification to fulfill a component requirement and/or Sickle Cell testing may be crossmatched pending the completion of further processing of the unit.</w:t>
      </w:r>
      <w:r w:rsidR="00D47D4A">
        <w:rPr>
          <w:bCs/>
        </w:rPr>
        <w:t xml:space="preserve"> </w:t>
      </w:r>
    </w:p>
    <w:p w14:paraId="76086163" w14:textId="77777777" w:rsidR="002A21AE" w:rsidRDefault="00D47D4A">
      <w:pPr>
        <w:pStyle w:val="ListBullet"/>
        <w:rPr>
          <w:b/>
          <w:bCs/>
        </w:rPr>
      </w:pPr>
      <w:r>
        <w:rPr>
          <w:bCs/>
        </w:rPr>
        <w:t xml:space="preserve">VBECS does not allow users in a transfusion-only facility to save partially completed worksheets. The user must enter </w:t>
      </w:r>
      <w:r w:rsidR="00A10483" w:rsidRPr="00D47D4A">
        <w:rPr>
          <w:bCs/>
        </w:rPr>
        <w:t>interpretations</w:t>
      </w:r>
      <w:r w:rsidRPr="00D47D4A">
        <w:rPr>
          <w:bCs/>
        </w:rPr>
        <w:t xml:space="preserve"> for all selected units </w:t>
      </w:r>
      <w:r>
        <w:rPr>
          <w:bCs/>
        </w:rPr>
        <w:t>before VBECS enables</w:t>
      </w:r>
      <w:r w:rsidRPr="00D47D4A">
        <w:rPr>
          <w:bCs/>
        </w:rPr>
        <w:t xml:space="preserve"> the OK button</w:t>
      </w:r>
      <w:r>
        <w:rPr>
          <w:bCs/>
        </w:rPr>
        <w:t>.</w:t>
      </w:r>
    </w:p>
    <w:p w14:paraId="3A8D0947" w14:textId="77777777" w:rsidR="002A21AE" w:rsidRDefault="002A21AE">
      <w:pPr>
        <w:pStyle w:val="ListBullet"/>
      </w:pPr>
      <w:r>
        <w:t>XM compatibility is one aspect of blood unit compatibility. VBECS takes into account the known requirements for compatibility is taken into account when the user prints Caution Tags and BTRFs, and includes such issues as antigen negative requirements and component requirements.</w:t>
      </w:r>
    </w:p>
    <w:p w14:paraId="4FA9BB70" w14:textId="77777777" w:rsidR="002A21AE" w:rsidRDefault="002A21AE">
      <w:pPr>
        <w:pStyle w:val="Heading4"/>
        <w:rPr>
          <w:b w:val="0"/>
        </w:rPr>
      </w:pPr>
      <w:r>
        <w:t>User Roles with Access to This Option</w:t>
      </w:r>
      <w:r>
        <w:rPr>
          <w:b w:val="0"/>
        </w:rPr>
        <w:t xml:space="preserve"> </w:t>
      </w:r>
    </w:p>
    <w:p w14:paraId="3D889EF0" w14:textId="77777777" w:rsidR="002A21AE" w:rsidRDefault="007934CF">
      <w:pPr>
        <w:pStyle w:val="Roles"/>
      </w:pPr>
      <w:r>
        <w:t>All users</w:t>
      </w:r>
    </w:p>
    <w:p w14:paraId="3D464291" w14:textId="77777777" w:rsidR="002A21AE" w:rsidRDefault="002A21AE">
      <w:pPr>
        <w:pStyle w:val="Heading4"/>
      </w:pPr>
      <w:r>
        <w:t>Patient Testing: Record a Crossmatch</w:t>
      </w:r>
    </w:p>
    <w:p w14:paraId="4B74854C" w14:textId="77777777" w:rsidR="002A21AE" w:rsidRDefault="0044651B" w:rsidP="00FA7E65">
      <w:pPr>
        <w:pStyle w:val="BodyText"/>
      </w:pPr>
      <w:r>
        <w:t>During Select Units, the user selects a blood unit to fill a patient order.</w:t>
      </w:r>
      <w:r w:rsidR="002A21AE">
        <w:t xml:space="preserve"> If</w:t>
      </w:r>
      <w:r w:rsidR="00C170E4">
        <w:t xml:space="preserve"> </w:t>
      </w:r>
      <w:r>
        <w:t>the unit selected</w:t>
      </w:r>
      <w:r w:rsidR="002A21AE">
        <w:t xml:space="preserve"> contains red blood cells</w:t>
      </w:r>
      <w:r w:rsidR="00C170E4">
        <w:t xml:space="preserve"> and </w:t>
      </w:r>
      <w:r w:rsidR="002A21AE">
        <w:t>eXM is not enabled</w:t>
      </w:r>
      <w:r w:rsidR="00C170E4">
        <w:t xml:space="preserve">, or </w:t>
      </w:r>
      <w:r w:rsidR="002A21AE">
        <w:t xml:space="preserve">the patient </w:t>
      </w:r>
      <w:r w:rsidR="00C170E4">
        <w:t xml:space="preserve">or unit does </w:t>
      </w:r>
      <w:r w:rsidR="002A21AE">
        <w:t xml:space="preserve">not qualify, VBECS directs the user to enter serologic XM results. </w:t>
      </w:r>
      <w:r w:rsidR="00EB2CC3">
        <w:t>(When eXM is enabled, the user may select serologic XM.)</w:t>
      </w:r>
    </w:p>
    <w:p w14:paraId="502A9F88" w14:textId="77777777" w:rsidR="002A21AE" w:rsidRDefault="002A21AE" w:rsidP="00FA7E65">
      <w:pPr>
        <w:pStyle w:val="BodyText"/>
      </w:pPr>
      <w:r>
        <w:t>The user performs the serologic XM test</w:t>
      </w:r>
      <w:r w:rsidR="002064C3">
        <w:t xml:space="preserve"> and records results in VBECS. VBECS monitors the user’s entries and interpretations</w:t>
      </w:r>
      <w:r>
        <w:t xml:space="preserve"> to determine </w:t>
      </w:r>
      <w:r w:rsidR="002064C3">
        <w:t xml:space="preserve">(with the user) </w:t>
      </w:r>
      <w:r>
        <w:t>compatibility for each cr</w:t>
      </w:r>
      <w:r w:rsidR="005548CE">
        <w:t>o</w:t>
      </w:r>
      <w:r>
        <w:t>ssmatched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DA7A2E" w14:paraId="630C4A13" w14:textId="77777777">
        <w:trPr>
          <w:cantSplit/>
          <w:tblHeader/>
        </w:trPr>
        <w:tc>
          <w:tcPr>
            <w:tcW w:w="3240" w:type="dxa"/>
            <w:shd w:val="pct30" w:color="auto" w:fill="FFFFFF"/>
            <w:vAlign w:val="bottom"/>
          </w:tcPr>
          <w:p w14:paraId="0E3705F7" w14:textId="77777777" w:rsidR="00DA7A2E" w:rsidRDefault="00DA7A2E" w:rsidP="00566A3F">
            <w:pPr>
              <w:pStyle w:val="TableText"/>
              <w:rPr>
                <w:b/>
              </w:rPr>
            </w:pPr>
            <w:r>
              <w:rPr>
                <w:b/>
              </w:rPr>
              <w:t>User Action</w:t>
            </w:r>
          </w:p>
        </w:tc>
        <w:tc>
          <w:tcPr>
            <w:tcW w:w="6120" w:type="dxa"/>
            <w:shd w:val="pct30" w:color="auto" w:fill="FFFFFF"/>
            <w:vAlign w:val="bottom"/>
          </w:tcPr>
          <w:p w14:paraId="6FEC9B3C" w14:textId="77777777" w:rsidR="00DA7A2E" w:rsidRDefault="00DA7A2E" w:rsidP="00566A3F">
            <w:pPr>
              <w:pStyle w:val="TableText"/>
              <w:rPr>
                <w:b/>
              </w:rPr>
            </w:pPr>
            <w:r>
              <w:rPr>
                <w:b/>
              </w:rPr>
              <w:t>VBECS</w:t>
            </w:r>
          </w:p>
        </w:tc>
      </w:tr>
      <w:tr w:rsidR="00DA7A2E" w14:paraId="176D4739" w14:textId="77777777">
        <w:tc>
          <w:tcPr>
            <w:tcW w:w="3240" w:type="dxa"/>
          </w:tcPr>
          <w:p w14:paraId="6982AFB7" w14:textId="77777777" w:rsidR="00DA7A2E" w:rsidRDefault="00DA7A2E" w:rsidP="00253B86">
            <w:pPr>
              <w:pStyle w:val="TableTextNumbers"/>
              <w:rPr>
                <w:b/>
              </w:rPr>
            </w:pPr>
            <w:r>
              <w:t xml:space="preserve">Select </w:t>
            </w:r>
            <w:r>
              <w:rPr>
                <w:b/>
              </w:rPr>
              <w:t>Patients</w:t>
            </w:r>
            <w:r>
              <w:t xml:space="preserve"> from the main menu and select </w:t>
            </w:r>
            <w:r>
              <w:rPr>
                <w:b/>
              </w:rPr>
              <w:t>Patient Testing</w:t>
            </w:r>
            <w:r>
              <w:t>, or</w:t>
            </w:r>
          </w:p>
          <w:p w14:paraId="559BE023" w14:textId="77777777" w:rsidR="00DA7A2E" w:rsidRDefault="00DA7A2E" w:rsidP="00566A3F">
            <w:pPr>
              <w:pStyle w:val="TableTextNumbersContinued"/>
            </w:pPr>
          </w:p>
          <w:p w14:paraId="57F284B1" w14:textId="77777777" w:rsidR="00DA7A2E" w:rsidRDefault="00DA7A2E" w:rsidP="00566A3F">
            <w:pPr>
              <w:pStyle w:val="TableTextNumbersContinued"/>
            </w:pPr>
            <w:r>
              <w:t xml:space="preserve">Select </w:t>
            </w:r>
            <w:r>
              <w:rPr>
                <w:b/>
              </w:rPr>
              <w:t>Blood Units</w:t>
            </w:r>
            <w:r>
              <w:t xml:space="preserve"> from the main menu and select </w:t>
            </w:r>
            <w:proofErr w:type="spellStart"/>
            <w:r>
              <w:rPr>
                <w:b/>
              </w:rPr>
              <w:t>Select</w:t>
            </w:r>
            <w:proofErr w:type="spellEnd"/>
            <w:r>
              <w:rPr>
                <w:b/>
              </w:rPr>
              <w:t xml:space="preserve"> Units</w:t>
            </w:r>
            <w:r>
              <w:t>.</w:t>
            </w:r>
          </w:p>
        </w:tc>
        <w:tc>
          <w:tcPr>
            <w:tcW w:w="6120" w:type="dxa"/>
          </w:tcPr>
          <w:p w14:paraId="0DD95C4F" w14:textId="77777777" w:rsidR="00DA7A2E" w:rsidRDefault="00DA7A2E" w:rsidP="00566A3F">
            <w:pPr>
              <w:pStyle w:val="TableTextBullet"/>
            </w:pPr>
            <w:r>
              <w:t>Displays options for processing patient-related functions.</w:t>
            </w:r>
          </w:p>
          <w:p w14:paraId="66B70CA7" w14:textId="77777777" w:rsidR="00DA7A2E" w:rsidRDefault="00DA7A2E" w:rsidP="00566A3F">
            <w:pPr>
              <w:pStyle w:val="TableTextBullet"/>
            </w:pPr>
            <w:r>
              <w:t>Displays the Pending Task List (PTL) and PTL search parameters in the Diagnostic Tests tab or in the Component Orders tab.</w:t>
            </w:r>
          </w:p>
        </w:tc>
      </w:tr>
      <w:tr w:rsidR="00DA7A2E" w14:paraId="226E26F7" w14:textId="77777777">
        <w:tc>
          <w:tcPr>
            <w:tcW w:w="3240" w:type="dxa"/>
          </w:tcPr>
          <w:p w14:paraId="56522667" w14:textId="77777777" w:rsidR="00DA7A2E" w:rsidRDefault="00DA7A2E" w:rsidP="00253B86">
            <w:pPr>
              <w:pStyle w:val="TableTextNumbers"/>
            </w:pPr>
            <w:r>
              <w:t xml:space="preserve">Enter or select PTL search parameters, if appropriate. </w:t>
            </w:r>
          </w:p>
          <w:p w14:paraId="28982F50" w14:textId="77777777" w:rsidR="00DA7A2E" w:rsidRDefault="00DA7A2E" w:rsidP="00566A3F">
            <w:pPr>
              <w:pStyle w:val="TableTextNumbersContinued"/>
            </w:pPr>
          </w:p>
          <w:p w14:paraId="715BC722" w14:textId="77777777" w:rsidR="00DA7A2E" w:rsidRDefault="00DA7A2E" w:rsidP="00566A3F">
            <w:pPr>
              <w:pStyle w:val="TableTextNumbersContinued"/>
            </w:pPr>
            <w:r>
              <w:t xml:space="preserve">Click the check boxes in the PTL to select </w:t>
            </w:r>
            <w:r w:rsidR="00810E0A">
              <w:t>one to four</w:t>
            </w:r>
            <w:r>
              <w:t xml:space="preserve"> component orders. </w:t>
            </w:r>
          </w:p>
          <w:p w14:paraId="68F35098" w14:textId="77777777" w:rsidR="00DA7A2E" w:rsidRDefault="00DA7A2E" w:rsidP="00566A3F">
            <w:pPr>
              <w:pStyle w:val="TableTextNumbersContinued"/>
            </w:pPr>
          </w:p>
          <w:p w14:paraId="5967D120" w14:textId="77777777" w:rsidR="00DA7A2E" w:rsidRDefault="00DA7A2E" w:rsidP="00566A3F">
            <w:pPr>
              <w:pStyle w:val="TableTextNumbersContinued"/>
            </w:pPr>
            <w:r>
              <w:t xml:space="preserve">Click </w:t>
            </w:r>
            <w:r>
              <w:rPr>
                <w:b/>
              </w:rPr>
              <w:t>OK</w:t>
            </w:r>
            <w:r>
              <w:t xml:space="preserve"> to continue.</w:t>
            </w:r>
          </w:p>
        </w:tc>
        <w:tc>
          <w:tcPr>
            <w:tcW w:w="6120" w:type="dxa"/>
          </w:tcPr>
          <w:p w14:paraId="7ECEA6C4" w14:textId="77777777" w:rsidR="00DA7A2E" w:rsidRDefault="00DA7A2E" w:rsidP="00566A3F">
            <w:pPr>
              <w:pStyle w:val="TableTextBullet"/>
            </w:pPr>
            <w:r>
              <w:t>Displays information for each component order.</w:t>
            </w:r>
          </w:p>
          <w:p w14:paraId="58E0ADDB" w14:textId="77777777" w:rsidR="00DA7A2E" w:rsidRDefault="00DA7A2E" w:rsidP="00566A3F">
            <w:pPr>
              <w:pStyle w:val="TableTextBullet"/>
            </w:pPr>
            <w:r>
              <w:t>When the selected order class is RED BLOOD CELLS and the division enabled eXM, evaluates the patient for eXM unit processing.</w:t>
            </w:r>
          </w:p>
          <w:p w14:paraId="3E7A7FC1" w14:textId="77777777" w:rsidR="00DA7A2E" w:rsidRDefault="00DA7A2E" w:rsidP="00566A3F">
            <w:pPr>
              <w:pStyle w:val="TableText"/>
            </w:pPr>
          </w:p>
          <w:p w14:paraId="7C83D6BE" w14:textId="36125F5A" w:rsidR="00DA7A2E" w:rsidRDefault="00DA7A2E" w:rsidP="00566A3F">
            <w:pPr>
              <w:pStyle w:val="TableText"/>
              <w:rPr>
                <w:b/>
                <w:bCs/>
                <w:szCs w:val="18"/>
              </w:rPr>
            </w:pPr>
            <w:r>
              <w:rPr>
                <w:b/>
                <w:bCs/>
                <w:szCs w:val="18"/>
              </w:rPr>
              <w:t>NOTES</w:t>
            </w:r>
          </w:p>
          <w:p w14:paraId="68D229BD" w14:textId="77777777" w:rsidR="00DA7A2E" w:rsidRDefault="00DA7A2E" w:rsidP="00566A3F">
            <w:pPr>
              <w:pStyle w:val="NotesText"/>
            </w:pPr>
          </w:p>
          <w:p w14:paraId="61981518" w14:textId="061DC313" w:rsidR="00DA7A2E" w:rsidRDefault="00DA7A2E" w:rsidP="00566A3F">
            <w:pPr>
              <w:pStyle w:val="NotesText"/>
            </w:pPr>
            <w:r w:rsidRPr="00896F17">
              <w:rPr>
                <w:rStyle w:val="BullhornChar"/>
              </w:rPr>
              <w:t></w:t>
            </w:r>
            <w:r w:rsidRPr="00C51C45">
              <w:rPr>
                <w:rFonts w:ascii="Webdings" w:hAnsi="Webdings"/>
                <w:szCs w:val="22"/>
              </w:rPr>
              <w:t></w:t>
            </w:r>
            <w:r>
              <w:rPr>
                <w:rFonts w:cs="Arial"/>
                <w:szCs w:val="22"/>
              </w:rPr>
              <w:t xml:space="preserve">See </w:t>
            </w:r>
            <w:r w:rsidR="00EE455E">
              <w:t xml:space="preserve">Table </w:t>
            </w:r>
            <w:r w:rsidR="00EE455E">
              <w:rPr>
                <w:noProof/>
              </w:rPr>
              <w:t>11</w:t>
            </w:r>
            <w:r w:rsidR="00302434">
              <w:rPr>
                <w:rFonts w:cs="Arial"/>
                <w:szCs w:val="22"/>
              </w:rPr>
              <w:t xml:space="preserve"> </w:t>
            </w:r>
            <w:r>
              <w:rPr>
                <w:rFonts w:cs="Arial"/>
                <w:szCs w:val="22"/>
              </w:rPr>
              <w:t>for alerts that may occur during this option.</w:t>
            </w:r>
          </w:p>
        </w:tc>
      </w:tr>
      <w:tr w:rsidR="00DA7A2E" w14:paraId="1835C0AF" w14:textId="77777777">
        <w:tc>
          <w:tcPr>
            <w:tcW w:w="3240" w:type="dxa"/>
          </w:tcPr>
          <w:p w14:paraId="76D9A51F" w14:textId="43CEAC18" w:rsidR="00DA7A2E" w:rsidRDefault="00DA7A2E" w:rsidP="00566A3F">
            <w:pPr>
              <w:pStyle w:val="TableTextNumbers"/>
            </w:pPr>
            <w:r>
              <w:t xml:space="preserve">Click </w:t>
            </w:r>
            <w:r>
              <w:rPr>
                <w:b/>
              </w:rPr>
              <w:t>Add Units</w:t>
            </w:r>
            <w:r>
              <w:t xml:space="preserve"> to add units to the component orders selected</w:t>
            </w:r>
            <w:r w:rsidR="00436668">
              <w:t xml:space="preserve"> (</w:t>
            </w:r>
            <w:r w:rsidR="00EE455E">
              <w:t xml:space="preserve">Figure </w:t>
            </w:r>
            <w:r w:rsidR="00EE455E">
              <w:rPr>
                <w:noProof/>
              </w:rPr>
              <w:t>70</w:t>
            </w:r>
            <w:r w:rsidR="00436668">
              <w:t>)</w:t>
            </w:r>
            <w:r>
              <w:t>.</w:t>
            </w:r>
          </w:p>
        </w:tc>
        <w:tc>
          <w:tcPr>
            <w:tcW w:w="6120" w:type="dxa"/>
          </w:tcPr>
          <w:p w14:paraId="16A09CD6" w14:textId="77777777" w:rsidR="00DA7A2E" w:rsidRDefault="00DA7A2E" w:rsidP="00566A3F">
            <w:pPr>
              <w:pStyle w:val="TableTextBullet"/>
            </w:pPr>
            <w:r>
              <w:t>Searches the database and displays available restricted autologous and directed units that the user must select before selecting allogeneic units of the same ICCBBA component class.</w:t>
            </w:r>
          </w:p>
          <w:p w14:paraId="2AAD79E9" w14:textId="77777777" w:rsidR="00DA7A2E" w:rsidRDefault="00DA7A2E" w:rsidP="00566A3F">
            <w:pPr>
              <w:pStyle w:val="TableTextBullet"/>
            </w:pPr>
            <w:r>
              <w:t>Displays the unit ID, product type, unit ABO/Rh, unit expiration date, specimen UID, if applicable, of units assigned to the patient in the division’s blood bank on a different specimen or order. The user may release and reassign the units to the current order.</w:t>
            </w:r>
          </w:p>
          <w:p w14:paraId="5C2AB403" w14:textId="77777777" w:rsidR="00DA7A2E" w:rsidRDefault="00DA7A2E" w:rsidP="00566A3F">
            <w:pPr>
              <w:pStyle w:val="TableTextBullet"/>
            </w:pPr>
            <w:r>
              <w:t>When eXM was configured for the facility, displays the eXM status (eligible or not eligible) for the patient.</w:t>
            </w:r>
          </w:p>
          <w:p w14:paraId="6D48C528" w14:textId="77777777" w:rsidR="00DA7A2E" w:rsidRDefault="00DA7A2E" w:rsidP="00566A3F">
            <w:pPr>
              <w:pStyle w:val="TableText"/>
            </w:pPr>
          </w:p>
          <w:p w14:paraId="1BC08938" w14:textId="10770C26" w:rsidR="00DA7A2E" w:rsidRDefault="00DA7A2E" w:rsidP="00566A3F">
            <w:pPr>
              <w:pStyle w:val="TableText"/>
              <w:rPr>
                <w:b/>
                <w:bCs/>
                <w:szCs w:val="18"/>
              </w:rPr>
            </w:pPr>
            <w:r>
              <w:rPr>
                <w:b/>
                <w:bCs/>
                <w:szCs w:val="18"/>
              </w:rPr>
              <w:t>NOTES</w:t>
            </w:r>
          </w:p>
          <w:p w14:paraId="445CDC38" w14:textId="77777777" w:rsidR="00DA7A2E" w:rsidRDefault="00DA7A2E" w:rsidP="00566A3F">
            <w:pPr>
              <w:pStyle w:val="NotesText"/>
            </w:pPr>
          </w:p>
          <w:p w14:paraId="397936FF" w14:textId="1F859006" w:rsidR="00DA7A2E" w:rsidRDefault="00DA7A2E" w:rsidP="00566A3F">
            <w:pPr>
              <w:pStyle w:val="NotesText"/>
            </w:pPr>
            <w:r w:rsidRPr="00896F17">
              <w:rPr>
                <w:rStyle w:val="BullhornChar"/>
              </w:rPr>
              <w:t></w:t>
            </w:r>
            <w:r w:rsidRPr="00C51C45">
              <w:rPr>
                <w:rFonts w:ascii="Webdings" w:hAnsi="Webdings"/>
                <w:szCs w:val="22"/>
              </w:rPr>
              <w:t></w:t>
            </w:r>
            <w:r w:rsidR="00302434">
              <w:rPr>
                <w:rFonts w:cs="Arial"/>
                <w:szCs w:val="22"/>
              </w:rPr>
              <w:t xml:space="preserve"> See </w:t>
            </w:r>
            <w:r w:rsidR="00EE455E">
              <w:t xml:space="preserve">Table </w:t>
            </w:r>
            <w:r w:rsidR="00EE455E">
              <w:rPr>
                <w:noProof/>
              </w:rPr>
              <w:t>11</w:t>
            </w:r>
            <w:r w:rsidR="00302434">
              <w:rPr>
                <w:rFonts w:cs="Arial"/>
                <w:szCs w:val="22"/>
              </w:rPr>
              <w:t xml:space="preserve"> for alerts that may occur during this option.</w:t>
            </w:r>
          </w:p>
          <w:p w14:paraId="7A3FA8A1" w14:textId="77777777" w:rsidR="00DA7A2E" w:rsidRDefault="00DA7A2E" w:rsidP="00566A3F">
            <w:pPr>
              <w:pStyle w:val="NotesText"/>
            </w:pPr>
          </w:p>
          <w:p w14:paraId="77351A14" w14:textId="77777777" w:rsidR="00DA7A2E" w:rsidRDefault="00DA7A2E" w:rsidP="00566A3F">
            <w:pPr>
              <w:pStyle w:val="NotesText"/>
            </w:pPr>
            <w:r w:rsidRPr="00D80D5F">
              <w:rPr>
                <w:rFonts w:cs="Arial"/>
                <w:vanish/>
                <w:szCs w:val="18"/>
              </w:rPr>
              <w:t>BR_3.05</w:t>
            </w:r>
            <w:r>
              <w:rPr>
                <w:rFonts w:cs="Arial"/>
                <w:vanish/>
              </w:rPr>
              <w:t xml:space="preserve"> </w:t>
            </w:r>
            <w:r>
              <w:t xml:space="preserve">When no valid ABO exists for the patient, the user may select components, including autologous units: </w:t>
            </w:r>
          </w:p>
          <w:p w14:paraId="4B365931" w14:textId="77777777" w:rsidR="00DA7A2E" w:rsidRDefault="00DA7A2E" w:rsidP="00566A3F">
            <w:pPr>
              <w:pStyle w:val="NotesTextBullet"/>
            </w:pPr>
            <w:r>
              <w:t xml:space="preserve">For RBC or WB order: </w:t>
            </w:r>
          </w:p>
          <w:p w14:paraId="7F08843D" w14:textId="77777777" w:rsidR="00DA7A2E" w:rsidRDefault="00DA7A2E" w:rsidP="00566A3F">
            <w:pPr>
              <w:pStyle w:val="NotesTextBullet1"/>
            </w:pPr>
            <w:r>
              <w:t>Group O, Rh positive or O Rh negative RBC</w:t>
            </w:r>
          </w:p>
          <w:p w14:paraId="04C61764" w14:textId="77777777" w:rsidR="00DA7A2E" w:rsidRDefault="00DA7A2E" w:rsidP="00566A3F">
            <w:pPr>
              <w:pStyle w:val="NotesTextBullet1"/>
            </w:pPr>
            <w:r>
              <w:t>WHOLE BLOOD is not selectable</w:t>
            </w:r>
          </w:p>
          <w:p w14:paraId="3E7C1B4A" w14:textId="77777777" w:rsidR="002176A9" w:rsidRDefault="002176A9" w:rsidP="00566A3F">
            <w:pPr>
              <w:pStyle w:val="NotesTextBullet"/>
            </w:pPr>
            <w:r>
              <w:t>For FFP order:</w:t>
            </w:r>
          </w:p>
          <w:p w14:paraId="3A2FB60F" w14:textId="77777777" w:rsidR="00DA7A2E" w:rsidRDefault="002176A9" w:rsidP="002176A9">
            <w:pPr>
              <w:pStyle w:val="NotesTextBullet1"/>
            </w:pPr>
            <w:r>
              <w:t>G</w:t>
            </w:r>
            <w:r w:rsidR="00DA7A2E">
              <w:t>roup AB, Rh positive or Rh negative</w:t>
            </w:r>
            <w:r w:rsidR="00D80D5F">
              <w:t>, or not specified.</w:t>
            </w:r>
          </w:p>
          <w:p w14:paraId="53681E90" w14:textId="77777777" w:rsidR="00E74609" w:rsidRDefault="00E31C5D" w:rsidP="00E74609">
            <w:pPr>
              <w:pStyle w:val="NotesTextBullet"/>
            </w:pPr>
            <w:r>
              <w:t>Fo</w:t>
            </w:r>
            <w:r w:rsidR="00E74609">
              <w:t>r PLT order:</w:t>
            </w:r>
          </w:p>
          <w:p w14:paraId="5C694E3B" w14:textId="77777777" w:rsidR="00E74609" w:rsidRDefault="00E74609" w:rsidP="00E74609">
            <w:pPr>
              <w:pStyle w:val="NotesTextBullet1"/>
            </w:pPr>
            <w:r>
              <w:t>All units with &lt; 2 ML RBC containment are available</w:t>
            </w:r>
          </w:p>
          <w:p w14:paraId="4EEB180E" w14:textId="77777777" w:rsidR="00E74609" w:rsidRDefault="00E74609" w:rsidP="00E74609">
            <w:pPr>
              <w:pStyle w:val="NotesTextBullet1"/>
            </w:pPr>
            <w:r>
              <w:t>Units</w:t>
            </w:r>
            <w:r w:rsidRPr="001A5BC5">
              <w:t xml:space="preserve"> with </w:t>
            </w:r>
            <w:r w:rsidR="0058122A">
              <w:t xml:space="preserve">= </w:t>
            </w:r>
            <w:r w:rsidR="0058122A" w:rsidRPr="0058122A">
              <w:t>&gt;</w:t>
            </w:r>
            <w:r w:rsidRPr="001A5BC5">
              <w:t xml:space="preserve"> 2 mL RBC contamination are not available</w:t>
            </w:r>
          </w:p>
          <w:p w14:paraId="2C06BD22" w14:textId="77777777" w:rsidR="00E74609" w:rsidRDefault="00E74609" w:rsidP="00E74609">
            <w:pPr>
              <w:pStyle w:val="NotesTextBullet"/>
            </w:pPr>
            <w:r>
              <w:t>For CRYO order:</w:t>
            </w:r>
          </w:p>
          <w:p w14:paraId="19929859" w14:textId="77777777" w:rsidR="00E74609" w:rsidRDefault="00E74609" w:rsidP="00E74609">
            <w:pPr>
              <w:pStyle w:val="NotesTextBullet1"/>
            </w:pPr>
            <w:r>
              <w:t>All available units are selectable</w:t>
            </w:r>
          </w:p>
          <w:p w14:paraId="27EB3D64" w14:textId="77777777" w:rsidR="00E74609" w:rsidRDefault="00E74609" w:rsidP="00E74609">
            <w:pPr>
              <w:pStyle w:val="NotesTextBullet1"/>
              <w:numPr>
                <w:ilvl w:val="0"/>
                <w:numId w:val="0"/>
              </w:numPr>
              <w:ind w:left="1296" w:hanging="288"/>
            </w:pPr>
            <w:r>
              <w:t>For OTHER order:</w:t>
            </w:r>
          </w:p>
          <w:p w14:paraId="069EDB81" w14:textId="77777777" w:rsidR="00E74609" w:rsidRDefault="00E74609" w:rsidP="00E74609">
            <w:pPr>
              <w:pStyle w:val="NotesTextBullet1"/>
            </w:pPr>
            <w:r>
              <w:t>All units with &lt; 2 mL contamination are available</w:t>
            </w:r>
          </w:p>
          <w:p w14:paraId="1757A3DB" w14:textId="77777777" w:rsidR="00E74609" w:rsidRDefault="00E74609" w:rsidP="00E74609">
            <w:pPr>
              <w:pStyle w:val="NotesTextBullet1"/>
            </w:pPr>
            <w:r>
              <w:t xml:space="preserve">Units with </w:t>
            </w:r>
            <w:r w:rsidR="0058122A" w:rsidRPr="0058122A">
              <w:t>= &gt;</w:t>
            </w:r>
            <w:r w:rsidRPr="001A5BC5">
              <w:t xml:space="preserve"> 2 mL RBC contamination are not available</w:t>
            </w:r>
          </w:p>
        </w:tc>
      </w:tr>
      <w:tr w:rsidR="00DA7A2E" w14:paraId="247D6F6C" w14:textId="77777777">
        <w:tc>
          <w:tcPr>
            <w:tcW w:w="3240" w:type="dxa"/>
          </w:tcPr>
          <w:p w14:paraId="612DAEEC" w14:textId="77777777" w:rsidR="00D20E3E" w:rsidRDefault="00D20E3E" w:rsidP="00D20E3E">
            <w:pPr>
              <w:pStyle w:val="TableTextNumbers"/>
            </w:pPr>
            <w:r>
              <w:t xml:space="preserve">Scan or enter allogeneic units, select compatible units from the Order Group list, or click the </w:t>
            </w:r>
            <w:r w:rsidR="00A6373D">
              <w:rPr>
                <w:b/>
              </w:rPr>
              <w:t>find</w:t>
            </w:r>
            <w:r w:rsidRPr="00D509C6">
              <w:rPr>
                <w:b/>
              </w:rPr>
              <w:t xml:space="preserve"> </w:t>
            </w:r>
            <w:r w:rsidRPr="00D1100E">
              <w:t>button</w:t>
            </w:r>
            <w:r>
              <w:t xml:space="preserve"> to select units.</w:t>
            </w:r>
          </w:p>
          <w:p w14:paraId="309C7A2A" w14:textId="77777777" w:rsidR="00DA7A2E" w:rsidRDefault="00DA7A2E" w:rsidP="00566A3F">
            <w:pPr>
              <w:pStyle w:val="TableTextNumbersContinued"/>
            </w:pPr>
          </w:p>
          <w:p w14:paraId="7E075C58" w14:textId="77777777" w:rsidR="00DA7A2E" w:rsidRDefault="00DA7A2E" w:rsidP="00566A3F">
            <w:pPr>
              <w:pStyle w:val="TableTextNumbersContinued"/>
            </w:pPr>
            <w:r>
              <w:t>Enter or select a date in the Selection Date field.</w:t>
            </w:r>
            <w:r w:rsidR="00C96BF6">
              <w:t xml:space="preserve"> </w:t>
            </w:r>
            <w:r>
              <w:t>Each unit may have its own selection date and time.</w:t>
            </w:r>
          </w:p>
          <w:p w14:paraId="7B6E99EB" w14:textId="77777777" w:rsidR="00DA7A2E" w:rsidRDefault="00DA7A2E" w:rsidP="00566A3F">
            <w:pPr>
              <w:pStyle w:val="TableTextNumbersContinued"/>
            </w:pPr>
          </w:p>
          <w:p w14:paraId="5D13D99C" w14:textId="77777777" w:rsidR="00DA7A2E" w:rsidRDefault="00DA7A2E" w:rsidP="00566A3F">
            <w:pPr>
              <w:pStyle w:val="TableTextNumbersContinued"/>
            </w:pPr>
            <w:r>
              <w:t xml:space="preserve">Click </w:t>
            </w:r>
            <w:r>
              <w:rPr>
                <w:b/>
              </w:rPr>
              <w:t>Add Units</w:t>
            </w:r>
            <w:r>
              <w:t xml:space="preserve"> to display the unit selection form.</w:t>
            </w:r>
          </w:p>
          <w:p w14:paraId="5D901EA5" w14:textId="77777777" w:rsidR="00EA2FA8" w:rsidRDefault="00EA2FA8" w:rsidP="00566A3F">
            <w:pPr>
              <w:pStyle w:val="TableTextNumbersContinued"/>
            </w:pPr>
          </w:p>
          <w:p w14:paraId="7CF48C22" w14:textId="77777777" w:rsidR="00EA2FA8" w:rsidRDefault="00EA2FA8" w:rsidP="00566A3F">
            <w:pPr>
              <w:pStyle w:val="TableTextNumbersContinued"/>
            </w:pPr>
            <w:r>
              <w:t>To change the Assigned Date and Assigned By fields, click a unit in the Order Group list.</w:t>
            </w:r>
          </w:p>
        </w:tc>
        <w:tc>
          <w:tcPr>
            <w:tcW w:w="6120" w:type="dxa"/>
          </w:tcPr>
          <w:p w14:paraId="4CB0FFA5" w14:textId="77777777" w:rsidR="00DA7A2E" w:rsidRDefault="00DA7A2E" w:rsidP="00566A3F">
            <w:pPr>
              <w:pStyle w:val="TableTextBullet"/>
            </w:pPr>
            <w:r>
              <w:t>Maintains a list of selected units. The user may deselect selected units.</w:t>
            </w:r>
          </w:p>
          <w:p w14:paraId="3D4C2A31" w14:textId="77777777" w:rsidR="00DA7A2E" w:rsidRDefault="00DA7A2E" w:rsidP="00566A3F">
            <w:pPr>
              <w:pStyle w:val="TableTextBullet"/>
            </w:pPr>
            <w:r>
              <w:t>Evaluates the selected unit:</w:t>
            </w:r>
          </w:p>
          <w:p w14:paraId="2DFB7E0E" w14:textId="77777777" w:rsidR="00DA7A2E" w:rsidRDefault="00DA7A2E" w:rsidP="00566A3F">
            <w:pPr>
              <w:pStyle w:val="TableTextBullet1"/>
              <w:tabs>
                <w:tab w:val="num" w:pos="648"/>
              </w:tabs>
              <w:ind w:left="648" w:hanging="360"/>
            </w:pPr>
            <w:r>
              <w:t>For the ABO/Rh compatibility of each unit and warns the user.</w:t>
            </w:r>
          </w:p>
          <w:p w14:paraId="241FBA47" w14:textId="77777777" w:rsidR="00DA7A2E" w:rsidRDefault="00DA7A2E" w:rsidP="00566A3F">
            <w:pPr>
              <w:pStyle w:val="TableTextBullet1"/>
              <w:tabs>
                <w:tab w:val="num" w:pos="648"/>
              </w:tabs>
              <w:ind w:left="648" w:hanging="360"/>
            </w:pPr>
            <w:r>
              <w:t>Against patient Transfusion Requirements (TRs) and warns the user.</w:t>
            </w:r>
          </w:p>
          <w:p w14:paraId="7039EB70" w14:textId="77777777" w:rsidR="00DA7A2E" w:rsidRDefault="00DA7A2E" w:rsidP="00566A3F">
            <w:pPr>
              <w:pStyle w:val="TableTextBullet1"/>
              <w:tabs>
                <w:tab w:val="num" w:pos="648"/>
              </w:tabs>
              <w:ind w:left="648" w:hanging="360"/>
            </w:pPr>
            <w:r>
              <w:t>For unit antigen negative compatibility and warns the user.</w:t>
            </w:r>
          </w:p>
          <w:p w14:paraId="790A29FC" w14:textId="77777777" w:rsidR="00DA7A2E" w:rsidRDefault="00DA7A2E" w:rsidP="00566A3F">
            <w:pPr>
              <w:pStyle w:val="TableTextBullet"/>
            </w:pPr>
            <w:r>
              <w:t>Performs additional checks that include days remaining until the unit’s expiration date, the current status, assignments to other patients, quarantine and biohazard indicators, when applied, and associated special testing.</w:t>
            </w:r>
          </w:p>
          <w:p w14:paraId="15F9A3F5" w14:textId="77777777" w:rsidR="00DA7A2E" w:rsidRDefault="00DA7A2E" w:rsidP="00566A3F">
            <w:pPr>
              <w:pStyle w:val="TableText"/>
            </w:pPr>
          </w:p>
          <w:p w14:paraId="2513A7C7" w14:textId="4219D42A" w:rsidR="00DA7A2E" w:rsidRDefault="00DA7A2E" w:rsidP="00566A3F">
            <w:pPr>
              <w:pStyle w:val="TableText"/>
              <w:rPr>
                <w:b/>
                <w:bCs/>
                <w:szCs w:val="18"/>
              </w:rPr>
            </w:pPr>
            <w:r>
              <w:rPr>
                <w:b/>
                <w:bCs/>
                <w:szCs w:val="18"/>
              </w:rPr>
              <w:t>NOTES</w:t>
            </w:r>
          </w:p>
          <w:p w14:paraId="7E18327D" w14:textId="77777777" w:rsidR="00DA7A2E" w:rsidRDefault="00DA7A2E" w:rsidP="00566A3F">
            <w:pPr>
              <w:pStyle w:val="NotesText"/>
            </w:pPr>
          </w:p>
          <w:p w14:paraId="0155E445" w14:textId="3B6D4E37" w:rsidR="00DA7A2E" w:rsidRDefault="00DA7A2E" w:rsidP="00566A3F">
            <w:pPr>
              <w:pStyle w:val="NotesText"/>
            </w:pPr>
            <w:r w:rsidRPr="00896F17">
              <w:rPr>
                <w:rStyle w:val="BullhornChar"/>
              </w:rPr>
              <w:t></w:t>
            </w:r>
            <w:r w:rsidRPr="00C51C45">
              <w:rPr>
                <w:rFonts w:ascii="Webdings" w:hAnsi="Webdings"/>
                <w:szCs w:val="22"/>
              </w:rPr>
              <w:t></w:t>
            </w:r>
            <w:r w:rsidR="00302434">
              <w:rPr>
                <w:rFonts w:cs="Arial"/>
                <w:szCs w:val="22"/>
              </w:rPr>
              <w:t xml:space="preserve"> See </w:t>
            </w:r>
            <w:r w:rsidR="00EE455E">
              <w:t xml:space="preserve">Table </w:t>
            </w:r>
            <w:r w:rsidR="00EE455E">
              <w:rPr>
                <w:noProof/>
              </w:rPr>
              <w:t>11</w:t>
            </w:r>
            <w:r w:rsidR="00302434">
              <w:rPr>
                <w:rFonts w:cs="Arial"/>
                <w:szCs w:val="22"/>
              </w:rPr>
              <w:t xml:space="preserve"> for alerts that may occur during this option.</w:t>
            </w:r>
          </w:p>
          <w:p w14:paraId="5722CC1C" w14:textId="77777777" w:rsidR="00DA7A2E" w:rsidRDefault="00DA7A2E" w:rsidP="00566A3F">
            <w:pPr>
              <w:pStyle w:val="NotesText"/>
            </w:pPr>
          </w:p>
          <w:p w14:paraId="6CFD2BFB" w14:textId="77777777" w:rsidR="00DA7A2E" w:rsidRDefault="00DA7A2E" w:rsidP="00566A3F">
            <w:pPr>
              <w:pStyle w:val="NotesText"/>
            </w:pPr>
            <w:r>
              <w:t xml:space="preserve">The user may accept or edit the current date and time displayed; the date and time must be in the past. </w:t>
            </w:r>
          </w:p>
          <w:p w14:paraId="478D315F" w14:textId="77777777" w:rsidR="00DA7A2E" w:rsidRDefault="00DA7A2E" w:rsidP="00566A3F">
            <w:pPr>
              <w:pStyle w:val="NotesText"/>
            </w:pPr>
          </w:p>
          <w:p w14:paraId="0EABE6A7" w14:textId="77777777" w:rsidR="00DA7A2E" w:rsidRDefault="00DA7A2E" w:rsidP="00566A3F">
            <w:pPr>
              <w:pStyle w:val="NotesText"/>
            </w:pPr>
            <w:r>
              <w:rPr>
                <w:rFonts w:cs="Arial"/>
                <w:vanish/>
                <w:szCs w:val="18"/>
              </w:rPr>
              <w:t>BR_3.25</w:t>
            </w:r>
            <w:r w:rsidR="005D400B">
              <w:rPr>
                <w:rFonts w:cs="Arial"/>
                <w:vanish/>
                <w:szCs w:val="18"/>
              </w:rPr>
              <w:t>,</w:t>
            </w:r>
            <w:r>
              <w:rPr>
                <w:rFonts w:cs="Arial"/>
                <w:vanish/>
                <w:szCs w:val="18"/>
              </w:rPr>
              <w:t xml:space="preserve"> </w:t>
            </w:r>
            <w:r>
              <w:rPr>
                <w:vanish/>
                <w:szCs w:val="18"/>
              </w:rPr>
              <w:t xml:space="preserve">BR_16.13 </w:t>
            </w:r>
            <w:r>
              <w:t>Restricted (autologous or directed) unit selection eligibility criteria:</w:t>
            </w:r>
          </w:p>
          <w:p w14:paraId="73BC3FAD" w14:textId="77777777" w:rsidR="00DA7A2E" w:rsidRDefault="00DA7A2E" w:rsidP="00566A3F">
            <w:pPr>
              <w:pStyle w:val="NotesTextBullet"/>
            </w:pPr>
            <w:r>
              <w:t>Restricted For Patient ID: must match</w:t>
            </w:r>
          </w:p>
          <w:p w14:paraId="17E3B3BB" w14:textId="77777777" w:rsidR="00DA7A2E" w:rsidRDefault="00DA7A2E" w:rsidP="00566A3F">
            <w:pPr>
              <w:pStyle w:val="NotesTextBullet"/>
            </w:pPr>
            <w:r>
              <w:t>Restricted For Patient Name: must match</w:t>
            </w:r>
          </w:p>
          <w:p w14:paraId="1572C55C" w14:textId="77777777" w:rsidR="00DA7A2E" w:rsidRDefault="00DA7A2E" w:rsidP="00566A3F">
            <w:pPr>
              <w:pStyle w:val="NotesTextBullet"/>
            </w:pPr>
            <w:r>
              <w:t xml:space="preserve">Unit expiration date must be in the future. </w:t>
            </w:r>
          </w:p>
          <w:p w14:paraId="6F0A0547" w14:textId="77777777" w:rsidR="00DA7A2E" w:rsidRDefault="00DA7A2E" w:rsidP="00566A3F">
            <w:pPr>
              <w:pStyle w:val="NotesTextBullet"/>
            </w:pPr>
            <w:r>
              <w:t>Component class (transfusion only requires restriction of all units)</w:t>
            </w:r>
          </w:p>
          <w:p w14:paraId="6E797119" w14:textId="77777777" w:rsidR="00DA7A2E" w:rsidRDefault="00DA7A2E" w:rsidP="00566A3F">
            <w:pPr>
              <w:pStyle w:val="NotesTextBullet"/>
              <w:numPr>
                <w:ilvl w:val="0"/>
                <w:numId w:val="0"/>
              </w:numPr>
              <w:ind w:left="720"/>
            </w:pPr>
          </w:p>
          <w:p w14:paraId="43F4B31C" w14:textId="77777777" w:rsidR="00DA7A2E" w:rsidRDefault="00DA7A2E" w:rsidP="00566A3F">
            <w:pPr>
              <w:pStyle w:val="NotesText"/>
            </w:pPr>
            <w:r>
              <w:rPr>
                <w:rFonts w:cs="Arial"/>
                <w:vanish/>
              </w:rPr>
              <w:t xml:space="preserve">BR_3.19 </w:t>
            </w:r>
            <w:r>
              <w:t>The criteria for selecting or including an individual unit in a pick list include evaluating a unit for:</w:t>
            </w:r>
          </w:p>
          <w:p w14:paraId="1D8809B9" w14:textId="77777777" w:rsidR="00DA7A2E" w:rsidRDefault="00DA7A2E" w:rsidP="00566A3F">
            <w:pPr>
              <w:pStyle w:val="NotesTextBullet"/>
            </w:pPr>
            <w:r>
              <w:t>Considered substitutable for the order</w:t>
            </w:r>
          </w:p>
          <w:p w14:paraId="06E9BBCD" w14:textId="77777777" w:rsidR="00DA7A2E" w:rsidRDefault="00DA7A2E" w:rsidP="00566A3F">
            <w:pPr>
              <w:pStyle w:val="NotesTextBullet"/>
            </w:pPr>
            <w:r>
              <w:t>Same division as the user</w:t>
            </w:r>
          </w:p>
          <w:p w14:paraId="4FD666C9" w14:textId="77777777" w:rsidR="00DA7A2E" w:rsidRDefault="00DA7A2E" w:rsidP="00566A3F">
            <w:pPr>
              <w:pStyle w:val="NotesTextBullet"/>
            </w:pPr>
            <w:r>
              <w:t xml:space="preserve">Current location is in the blood bank </w:t>
            </w:r>
          </w:p>
          <w:p w14:paraId="7009B764" w14:textId="77777777" w:rsidR="00DA7A2E" w:rsidRDefault="00DA7A2E" w:rsidP="00566A3F">
            <w:pPr>
              <w:pStyle w:val="NotesTextBullet"/>
            </w:pPr>
            <w:r>
              <w:t>Is not already assigned or crossmatched to the patient</w:t>
            </w:r>
          </w:p>
          <w:p w14:paraId="3FCD5A75" w14:textId="77777777" w:rsidR="00DA7A2E" w:rsidRDefault="00DA7A2E" w:rsidP="00566A3F">
            <w:pPr>
              <w:pStyle w:val="NotesTextBullet"/>
            </w:pPr>
            <w:r>
              <w:t>Is not “restricted” for a different patient</w:t>
            </w:r>
          </w:p>
          <w:p w14:paraId="44142055" w14:textId="77777777" w:rsidR="00DA7A2E" w:rsidRDefault="00DA7A2E" w:rsidP="00566A3F">
            <w:pPr>
              <w:pStyle w:val="NotesTextBullet"/>
            </w:pPr>
            <w:r>
              <w:t xml:space="preserve">Meets ABO/Rh compatibility requirements specific to the component class </w:t>
            </w:r>
          </w:p>
          <w:p w14:paraId="532930F3" w14:textId="77777777" w:rsidR="00DA7A2E" w:rsidRDefault="00DA7A2E" w:rsidP="00566A3F">
            <w:pPr>
              <w:pStyle w:val="NotesTextBullet"/>
            </w:pPr>
            <w:r>
              <w:t>Future expiration date</w:t>
            </w:r>
          </w:p>
          <w:p w14:paraId="6E47AC79" w14:textId="77777777" w:rsidR="00DA7A2E" w:rsidRDefault="00DA7A2E" w:rsidP="00566A3F">
            <w:pPr>
              <w:pStyle w:val="NotesText"/>
            </w:pPr>
          </w:p>
          <w:p w14:paraId="4EB081C3" w14:textId="77777777" w:rsidR="00DA7A2E" w:rsidRDefault="00DA7A2E" w:rsidP="00566A3F">
            <w:pPr>
              <w:pStyle w:val="NotesText"/>
            </w:pPr>
            <w:r>
              <w:rPr>
                <w:rFonts w:cs="Arial"/>
                <w:vanish/>
              </w:rPr>
              <w:t xml:space="preserve">BR_3.04 </w:t>
            </w:r>
            <w:r>
              <w:t>VBECS lists only ABO/Rh compatible units for selection.</w:t>
            </w:r>
          </w:p>
          <w:p w14:paraId="646EED94" w14:textId="77777777" w:rsidR="00DA7A2E" w:rsidRDefault="00DA7A2E" w:rsidP="00566A3F">
            <w:pPr>
              <w:pStyle w:val="NotesText"/>
            </w:pPr>
          </w:p>
          <w:p w14:paraId="0E9D3B82" w14:textId="77777777" w:rsidR="00DA7A2E" w:rsidRDefault="00DA7A2E" w:rsidP="00566A3F">
            <w:pPr>
              <w:pStyle w:val="NotesText"/>
            </w:pPr>
            <w:r w:rsidRPr="00CC6497">
              <w:rPr>
                <w:rFonts w:cs="Arial"/>
                <w:vanish/>
                <w:color w:val="0000FF"/>
              </w:rPr>
              <w:t>BR_3.11</w:t>
            </w:r>
            <w:r>
              <w:rPr>
                <w:rFonts w:cs="Arial"/>
                <w:vanish/>
              </w:rPr>
              <w:t xml:space="preserve"> </w:t>
            </w:r>
            <w:r>
              <w:t>When ABO/Rh results were not created for the specimen associated with the component order and the order is not designated “emergency issue,” VBECS allows the user to select units using historic records, and notifies the user that ABO/Rh testing must be performed at this division on this patient before any selected units can be issued.</w:t>
            </w:r>
          </w:p>
          <w:p w14:paraId="41009D8D" w14:textId="77777777" w:rsidR="00DA7A2E" w:rsidRDefault="00DA7A2E" w:rsidP="00566A3F">
            <w:pPr>
              <w:pStyle w:val="NotesText"/>
            </w:pPr>
          </w:p>
          <w:p w14:paraId="4FA91452" w14:textId="77777777" w:rsidR="00DA7A2E" w:rsidRDefault="00DA7A2E" w:rsidP="00566A3F">
            <w:pPr>
              <w:pStyle w:val="NotesText"/>
            </w:pPr>
            <w:r>
              <w:rPr>
                <w:rFonts w:cs="Arial"/>
                <w:vanish/>
              </w:rPr>
              <w:t xml:space="preserve">BR_3.55 </w:t>
            </w:r>
            <w:r>
              <w:t>VBECS displays and allows the user to complete a pending XM associated with a patient order without a final unit status.</w:t>
            </w:r>
          </w:p>
        </w:tc>
      </w:tr>
      <w:tr w:rsidR="00DA7A2E" w14:paraId="29B653DB" w14:textId="77777777" w:rsidTr="00414071">
        <w:trPr>
          <w:cantSplit/>
        </w:trPr>
        <w:tc>
          <w:tcPr>
            <w:tcW w:w="3240" w:type="dxa"/>
          </w:tcPr>
          <w:p w14:paraId="7B284FB5" w14:textId="77777777" w:rsidR="00DA7A2E" w:rsidRDefault="00DA7A2E" w:rsidP="00566A3F">
            <w:pPr>
              <w:pStyle w:val="TableTextNumbers"/>
            </w:pPr>
            <w:r>
              <w:t>Repeat Step 4 until all units are selected.</w:t>
            </w:r>
          </w:p>
        </w:tc>
        <w:tc>
          <w:tcPr>
            <w:tcW w:w="6120" w:type="dxa"/>
          </w:tcPr>
          <w:p w14:paraId="5486CBE9" w14:textId="77777777" w:rsidR="00DA7A2E" w:rsidRDefault="00DA7A2E" w:rsidP="00566A3F">
            <w:pPr>
              <w:pStyle w:val="TableTextBullet"/>
            </w:pPr>
            <w:r>
              <w:t>Requests the user to confirm the list of selected blood units.</w:t>
            </w:r>
          </w:p>
          <w:p w14:paraId="52499EE8" w14:textId="77777777" w:rsidR="00DA7A2E" w:rsidRDefault="00DA7A2E" w:rsidP="00566A3F">
            <w:pPr>
              <w:pStyle w:val="TableText"/>
            </w:pPr>
          </w:p>
          <w:p w14:paraId="6D620E62" w14:textId="73ED183C" w:rsidR="00DA7A2E" w:rsidRDefault="00DA7A2E" w:rsidP="00566A3F">
            <w:pPr>
              <w:pStyle w:val="TableText"/>
              <w:rPr>
                <w:b/>
                <w:bCs/>
                <w:szCs w:val="18"/>
              </w:rPr>
            </w:pPr>
            <w:r>
              <w:rPr>
                <w:b/>
                <w:bCs/>
                <w:szCs w:val="18"/>
              </w:rPr>
              <w:t>NOTES</w:t>
            </w:r>
          </w:p>
          <w:p w14:paraId="65CEB937" w14:textId="77777777" w:rsidR="00DA7A2E" w:rsidRDefault="00DA7A2E" w:rsidP="00566A3F">
            <w:pPr>
              <w:pStyle w:val="NotesText"/>
            </w:pPr>
          </w:p>
          <w:p w14:paraId="46A4574F" w14:textId="77777777" w:rsidR="00DA7A2E" w:rsidRDefault="00DA7A2E" w:rsidP="00566A3F">
            <w:pPr>
              <w:pStyle w:val="NotesText"/>
            </w:pPr>
            <w:r>
              <w:t>The user may select or deselect additional units.</w:t>
            </w:r>
          </w:p>
        </w:tc>
      </w:tr>
      <w:tr w:rsidR="00DA7A2E" w14:paraId="35E52BA9" w14:textId="77777777">
        <w:tc>
          <w:tcPr>
            <w:tcW w:w="3240" w:type="dxa"/>
          </w:tcPr>
          <w:p w14:paraId="52BBD073" w14:textId="77777777" w:rsidR="00DA7A2E" w:rsidRDefault="00DA7A2E" w:rsidP="00566A3F">
            <w:pPr>
              <w:pStyle w:val="TableTextNumbers"/>
            </w:pPr>
            <w:r>
              <w:t xml:space="preserve">Click </w:t>
            </w:r>
            <w:r>
              <w:rPr>
                <w:b/>
              </w:rPr>
              <w:t>OK</w:t>
            </w:r>
            <w:r>
              <w:t xml:space="preserve"> to confirm the selection of units.</w:t>
            </w:r>
          </w:p>
        </w:tc>
        <w:tc>
          <w:tcPr>
            <w:tcW w:w="6120" w:type="dxa"/>
          </w:tcPr>
          <w:p w14:paraId="0A38A818" w14:textId="77777777" w:rsidR="00DA7A2E" w:rsidRDefault="00DA7A2E" w:rsidP="00566A3F">
            <w:pPr>
              <w:pStyle w:val="TableTextBullet"/>
            </w:pPr>
            <w:r>
              <w:t xml:space="preserve">Determines whether the units are available for issue or whether they require additional modification and/or testing based on the component class. </w:t>
            </w:r>
          </w:p>
          <w:p w14:paraId="3A954BCE" w14:textId="77777777" w:rsidR="00DA7A2E" w:rsidRDefault="00DA7A2E" w:rsidP="00566A3F">
            <w:pPr>
              <w:pStyle w:val="TableTextBullet"/>
            </w:pPr>
            <w:r>
              <w:t>Updates the database, as appropriate.</w:t>
            </w:r>
          </w:p>
          <w:p w14:paraId="0C89E253" w14:textId="77777777" w:rsidR="00DA7A2E" w:rsidRDefault="00DA7A2E" w:rsidP="00566A3F">
            <w:pPr>
              <w:pStyle w:val="TableText"/>
            </w:pPr>
          </w:p>
          <w:p w14:paraId="20BC3E61" w14:textId="69C7B2DA" w:rsidR="00DA7A2E" w:rsidRDefault="00DA7A2E" w:rsidP="00566A3F">
            <w:pPr>
              <w:pStyle w:val="TableText"/>
              <w:rPr>
                <w:b/>
                <w:bCs/>
                <w:szCs w:val="18"/>
              </w:rPr>
            </w:pPr>
            <w:r>
              <w:rPr>
                <w:b/>
                <w:bCs/>
                <w:szCs w:val="18"/>
              </w:rPr>
              <w:t>NOTES</w:t>
            </w:r>
          </w:p>
          <w:p w14:paraId="70B1D9DD" w14:textId="77777777" w:rsidR="00DA7A2E" w:rsidRDefault="00DA7A2E" w:rsidP="00566A3F">
            <w:pPr>
              <w:pStyle w:val="NotesText"/>
            </w:pPr>
          </w:p>
          <w:p w14:paraId="71FFF030" w14:textId="79F18B31" w:rsidR="0021365D" w:rsidRDefault="00DA7A2E" w:rsidP="0021365D">
            <w:pPr>
              <w:pStyle w:val="NotesText"/>
              <w:rPr>
                <w:rFonts w:cs="Arial"/>
                <w:szCs w:val="22"/>
              </w:rPr>
            </w:pPr>
            <w:r w:rsidRPr="00896F17">
              <w:rPr>
                <w:rStyle w:val="BullhornChar"/>
              </w:rPr>
              <w:t></w:t>
            </w:r>
            <w:r w:rsidRPr="00C51C45">
              <w:rPr>
                <w:rFonts w:ascii="Webdings" w:hAnsi="Webdings"/>
                <w:szCs w:val="22"/>
              </w:rPr>
              <w:t></w:t>
            </w:r>
            <w:r>
              <w:rPr>
                <w:rFonts w:cs="Arial"/>
                <w:szCs w:val="22"/>
              </w:rPr>
              <w:t xml:space="preserve">See </w:t>
            </w:r>
            <w:r w:rsidR="00EE455E">
              <w:t xml:space="preserve">Table </w:t>
            </w:r>
            <w:r w:rsidR="00EE455E">
              <w:rPr>
                <w:noProof/>
              </w:rPr>
              <w:t>11</w:t>
            </w:r>
            <w:r>
              <w:rPr>
                <w:rFonts w:cs="Arial"/>
                <w:szCs w:val="22"/>
              </w:rPr>
              <w:t xml:space="preserve"> for alerts that may occur during this option.</w:t>
            </w:r>
          </w:p>
          <w:p w14:paraId="02AE59DA" w14:textId="77777777" w:rsidR="0021365D" w:rsidRDefault="0021365D" w:rsidP="0021365D">
            <w:pPr>
              <w:pStyle w:val="NotesText"/>
              <w:rPr>
                <w:rFonts w:cs="Arial"/>
                <w:szCs w:val="22"/>
              </w:rPr>
            </w:pPr>
          </w:p>
          <w:p w14:paraId="75B9AFC6" w14:textId="732813F2" w:rsidR="0021365D" w:rsidRDefault="0021365D" w:rsidP="0021365D">
            <w:pPr>
              <w:pStyle w:val="NotesText"/>
            </w:pPr>
            <w:r>
              <w:rPr>
                <w:vanish/>
                <w:szCs w:val="18"/>
              </w:rPr>
              <w:t xml:space="preserve">BR_3.17, BR_3.27 </w:t>
            </w:r>
            <w:r>
              <w:t xml:space="preserve">When eXM is enabled at the division and blood units require XM, VBECS determines whether the patient and units are eligible for eXM. All parameters listed in </w:t>
            </w:r>
            <w:r w:rsidR="00EE455E">
              <w:t xml:space="preserve">Appendix </w:t>
            </w:r>
            <w:r w:rsidR="00EE455E">
              <w:rPr>
                <w:noProof/>
              </w:rPr>
              <w:t>B</w:t>
            </w:r>
            <w:r>
              <w:t xml:space="preserve">: </w:t>
            </w:r>
            <w:r w:rsidR="00EE455E">
              <w:t xml:space="preserve">Table </w:t>
            </w:r>
            <w:r w:rsidR="00EE455E">
              <w:rPr>
                <w:noProof/>
              </w:rPr>
              <w:t>22</w:t>
            </w:r>
            <w:r w:rsidR="00EE455E">
              <w:t xml:space="preserve">: </w:t>
            </w:r>
            <w:r w:rsidR="00EE455E">
              <w:rPr>
                <w:vanish/>
              </w:rPr>
              <w:t xml:space="preserve">TT_3.05 </w:t>
            </w:r>
            <w:r w:rsidR="00EE455E">
              <w:t>Rules for Electronic and Serologic Crossmatch</w:t>
            </w:r>
            <w:r>
              <w:t xml:space="preserve"> must be met. Units not eligible for eXM must have serologic XM performed. </w:t>
            </w:r>
          </w:p>
          <w:p w14:paraId="6F9925E2" w14:textId="77777777" w:rsidR="0021365D" w:rsidRDefault="0021365D" w:rsidP="0021365D">
            <w:pPr>
              <w:pStyle w:val="NotesText"/>
            </w:pPr>
          </w:p>
          <w:p w14:paraId="614F2FAF" w14:textId="77777777" w:rsidR="00DA7A2E" w:rsidRPr="0021365D" w:rsidRDefault="0021365D" w:rsidP="0021365D">
            <w:pPr>
              <w:pStyle w:val="NotesText"/>
              <w:rPr>
                <w:rFonts w:cs="Arial"/>
                <w:szCs w:val="22"/>
              </w:rPr>
            </w:pPr>
            <w:r>
              <w:t>When eXM is not enabled, the user must enter serologic XM results for red blood cell classes or when a user orders an optional XM for OTHER component classes. VBECS does not change the unit status to “crossmatched,” make units available for issue, or allow the Caution Tag or BTRF to be printed until a user enters a valid XM result, unless an emergency-issued unit is being processed.</w:t>
            </w:r>
            <w:r w:rsidR="00DA7A2E">
              <w:rPr>
                <w:vanish/>
                <w:szCs w:val="18"/>
              </w:rPr>
              <w:t>BR_3.17</w:t>
            </w:r>
            <w:r w:rsidR="005D400B">
              <w:rPr>
                <w:vanish/>
                <w:szCs w:val="18"/>
              </w:rPr>
              <w:t>,</w:t>
            </w:r>
            <w:r w:rsidR="00DA7A2E">
              <w:rPr>
                <w:vanish/>
                <w:szCs w:val="18"/>
              </w:rPr>
              <w:t xml:space="preserve"> BR_3.27 </w:t>
            </w:r>
          </w:p>
        </w:tc>
      </w:tr>
      <w:tr w:rsidR="00DA7A2E" w14:paraId="71E5B9DD" w14:textId="77777777">
        <w:tc>
          <w:tcPr>
            <w:tcW w:w="3240" w:type="dxa"/>
          </w:tcPr>
          <w:p w14:paraId="33C8B921" w14:textId="77777777" w:rsidR="00DA7A2E" w:rsidRDefault="00DA7A2E" w:rsidP="00566A3F">
            <w:pPr>
              <w:pStyle w:val="TableTextNumbers"/>
            </w:pPr>
            <w:r>
              <w:t xml:space="preserve">Select another component order to continue selecting units, or exit. </w:t>
            </w:r>
          </w:p>
        </w:tc>
        <w:tc>
          <w:tcPr>
            <w:tcW w:w="6120" w:type="dxa"/>
          </w:tcPr>
          <w:p w14:paraId="3672EC73" w14:textId="77777777" w:rsidR="00DA7A2E" w:rsidRDefault="00DA7A2E" w:rsidP="00566A3F">
            <w:pPr>
              <w:pStyle w:val="TableTextBullet"/>
            </w:pPr>
            <w:r>
              <w:t>Displays orders for the next patient.</w:t>
            </w:r>
          </w:p>
        </w:tc>
      </w:tr>
      <w:tr w:rsidR="002A21AE" w14:paraId="4921E4C0" w14:textId="77777777">
        <w:tc>
          <w:tcPr>
            <w:tcW w:w="3240" w:type="dxa"/>
          </w:tcPr>
          <w:p w14:paraId="15183512" w14:textId="77777777" w:rsidR="002A21AE" w:rsidRDefault="002A21AE">
            <w:pPr>
              <w:pStyle w:val="TableTextNumbers"/>
            </w:pPr>
            <w:r>
              <w:t>Select a unit to begin entering serologic reactions.</w:t>
            </w:r>
          </w:p>
          <w:p w14:paraId="5CB8A8A9" w14:textId="77777777" w:rsidR="002A21AE" w:rsidRDefault="002A21AE">
            <w:pPr>
              <w:pStyle w:val="TableTextNumbersContinued"/>
            </w:pPr>
          </w:p>
          <w:p w14:paraId="332B5348" w14:textId="77777777" w:rsidR="002A21AE" w:rsidRDefault="002A21AE">
            <w:pPr>
              <w:pStyle w:val="TableTextNumbersContinued"/>
              <w:rPr>
                <w:b/>
                <w:bCs/>
              </w:rPr>
            </w:pPr>
            <w:r>
              <w:rPr>
                <w:rFonts w:cs="Arial"/>
                <w:vanish/>
              </w:rPr>
              <w:t xml:space="preserve">BR_2.31 </w:t>
            </w:r>
            <w:r>
              <w:t>Enter valid text, then press</w:t>
            </w:r>
            <w:r w:rsidR="00DF74D1">
              <w:t xml:space="preserve"> the</w:t>
            </w:r>
            <w:r>
              <w:t xml:space="preserve"> </w:t>
            </w:r>
            <w:r>
              <w:rPr>
                <w:b/>
              </w:rPr>
              <w:t>Enter</w:t>
            </w:r>
            <w:r w:rsidR="00DF74D1">
              <w:rPr>
                <w:b/>
              </w:rPr>
              <w:t xml:space="preserve"> key</w:t>
            </w:r>
            <w:r>
              <w:t xml:space="preserve"> to move to the next data grid comment cell.</w:t>
            </w:r>
          </w:p>
        </w:tc>
        <w:tc>
          <w:tcPr>
            <w:tcW w:w="6120" w:type="dxa"/>
          </w:tcPr>
          <w:p w14:paraId="2026BC9C" w14:textId="77777777" w:rsidR="002A21AE" w:rsidRDefault="002A21AE">
            <w:pPr>
              <w:pStyle w:val="TableTextBullet"/>
            </w:pPr>
            <w:r>
              <w:t>Allows only valid data entries in the grid reaction result and interpretation cells.</w:t>
            </w:r>
          </w:p>
          <w:p w14:paraId="091E8325" w14:textId="77777777" w:rsidR="002A21AE" w:rsidRDefault="002A21AE">
            <w:pPr>
              <w:pStyle w:val="TableTextBullet"/>
            </w:pPr>
            <w:r>
              <w:t>Restricts data entry to valid selections for testing results. All testing results and entered interpretations remain on the screen.</w:t>
            </w:r>
          </w:p>
          <w:p w14:paraId="7299C714" w14:textId="77777777" w:rsidR="007A4C70" w:rsidRDefault="007A4C70" w:rsidP="007A4C70">
            <w:pPr>
              <w:pStyle w:val="TableText"/>
            </w:pPr>
          </w:p>
          <w:p w14:paraId="107743A7" w14:textId="2D25352E" w:rsidR="007A4C70" w:rsidRDefault="007A4C70" w:rsidP="007A4C70">
            <w:pPr>
              <w:pStyle w:val="TableText"/>
              <w:rPr>
                <w:b/>
                <w:bCs/>
                <w:szCs w:val="18"/>
              </w:rPr>
            </w:pPr>
            <w:r>
              <w:rPr>
                <w:b/>
                <w:bCs/>
                <w:szCs w:val="18"/>
              </w:rPr>
              <w:t>NOTES</w:t>
            </w:r>
          </w:p>
          <w:p w14:paraId="4A6B1B09" w14:textId="77777777" w:rsidR="007A4C70" w:rsidRDefault="007A4C70" w:rsidP="007A4C70">
            <w:pPr>
              <w:pStyle w:val="NotesText"/>
            </w:pPr>
          </w:p>
          <w:p w14:paraId="09F8F90C" w14:textId="77777777" w:rsidR="002A21AE" w:rsidRDefault="002A21AE">
            <w:pPr>
              <w:pStyle w:val="NotesText"/>
            </w:pPr>
            <w:r>
              <w:rPr>
                <w:vanish/>
                <w:szCs w:val="18"/>
              </w:rPr>
              <w:t>BR_40.03</w:t>
            </w:r>
            <w:r w:rsidR="005D400B">
              <w:rPr>
                <w:vanish/>
                <w:szCs w:val="18"/>
              </w:rPr>
              <w:t>,</w:t>
            </w:r>
            <w:r>
              <w:rPr>
                <w:vanish/>
                <w:szCs w:val="18"/>
              </w:rPr>
              <w:t xml:space="preserve"> BR_40.12 </w:t>
            </w:r>
            <w:r>
              <w:t>During XM result data entry within a given row, the IS phase result must be entered first. Once the IS phase has been entered, data entry may progress and an observed result or NT entered in each phase before the XM interpretation is validated by VBECS.</w:t>
            </w:r>
          </w:p>
          <w:p w14:paraId="2F76ED7E" w14:textId="77777777" w:rsidR="002A21AE" w:rsidRDefault="002A21AE">
            <w:pPr>
              <w:pStyle w:val="NotesText"/>
            </w:pPr>
          </w:p>
          <w:p w14:paraId="0081D418" w14:textId="77777777" w:rsidR="002A21AE" w:rsidRDefault="002A21AE">
            <w:pPr>
              <w:pStyle w:val="NotesText"/>
            </w:pPr>
            <w:r>
              <w:t xml:space="preserve">XM interpretations must be consistent with observed test results based on system rules </w:t>
            </w:r>
            <w:r>
              <w:rPr>
                <w:vanish/>
                <w:szCs w:val="18"/>
              </w:rPr>
              <w:t xml:space="preserve">TT_40.01 Patient Crossmatch Testing </w:t>
            </w:r>
            <w:r>
              <w:t xml:space="preserve">for the testing method. Discrepancies must be resolved before VBECS can verify results and add them to the database. The user may </w:t>
            </w:r>
            <w:r w:rsidR="00EF69E2">
              <w:t>reenter</w:t>
            </w:r>
            <w:r>
              <w:t xml:space="preserve"> valid results or delete entries and start over.</w:t>
            </w:r>
          </w:p>
          <w:p w14:paraId="0FB23D9E" w14:textId="77777777" w:rsidR="002A21AE" w:rsidRDefault="002A21AE">
            <w:pPr>
              <w:pStyle w:val="NotesText"/>
              <w:ind w:left="0"/>
            </w:pPr>
          </w:p>
          <w:p w14:paraId="43F27FE9" w14:textId="7DB1E7FA" w:rsidR="002A21AE" w:rsidRDefault="002A21AE">
            <w:pPr>
              <w:pStyle w:val="NotesText"/>
            </w:pPr>
            <w:r>
              <w:rPr>
                <w:rFonts w:cs="Arial"/>
                <w:vanish/>
              </w:rPr>
              <w:t xml:space="preserve">BR_40.15 </w:t>
            </w:r>
            <w:r>
              <w:t>If the patient has a history of a clinically significant antibody or a persistent antigen negative requirement, VBECS warns that the patient is not eligible for IS</w:t>
            </w:r>
            <w:r w:rsidR="00982864">
              <w:t>-only</w:t>
            </w:r>
            <w:r>
              <w:t xml:space="preserve"> XM and instructs the user to perform the antiglobulin transaction XM on the patient. There is no override. The user must complete all phases of the XM test.</w:t>
            </w:r>
          </w:p>
        </w:tc>
      </w:tr>
      <w:tr w:rsidR="002A21AE" w14:paraId="4A7FF45B" w14:textId="77777777">
        <w:tc>
          <w:tcPr>
            <w:tcW w:w="3240" w:type="dxa"/>
          </w:tcPr>
          <w:p w14:paraId="3451667A" w14:textId="77777777" w:rsidR="002A21AE" w:rsidRDefault="002A21AE">
            <w:pPr>
              <w:pStyle w:val="TableTextNumbers"/>
            </w:pPr>
            <w:r>
              <w:t xml:space="preserve">Repeat Step 3 until the test grid for the selected patient is complete. </w:t>
            </w:r>
          </w:p>
          <w:p w14:paraId="31D53029" w14:textId="77777777" w:rsidR="002A21AE" w:rsidRDefault="002A21AE">
            <w:pPr>
              <w:pStyle w:val="TableTextNumbersContinued"/>
            </w:pPr>
          </w:p>
          <w:p w14:paraId="5AA56691" w14:textId="77777777" w:rsidR="002A21AE" w:rsidRDefault="002A21AE">
            <w:pPr>
              <w:pStyle w:val="TableTextNumbersContinued"/>
            </w:pPr>
            <w:r>
              <w:t>Enter the interpretation for the patient XM test, if desired.</w:t>
            </w:r>
          </w:p>
          <w:p w14:paraId="165CA211" w14:textId="77777777" w:rsidR="002A21AE" w:rsidRDefault="002A21AE">
            <w:pPr>
              <w:pStyle w:val="TableTextNumbersContinued"/>
            </w:pPr>
          </w:p>
          <w:p w14:paraId="7AC23466" w14:textId="77777777" w:rsidR="002A21AE" w:rsidRDefault="002A21AE">
            <w:pPr>
              <w:pStyle w:val="TableTextNumbersContinued"/>
              <w:rPr>
                <w:b/>
                <w:bCs/>
              </w:rPr>
            </w:pPr>
            <w:r>
              <w:t>Respond to warnings and enter comments, when indicated.</w:t>
            </w:r>
          </w:p>
        </w:tc>
        <w:tc>
          <w:tcPr>
            <w:tcW w:w="6120" w:type="dxa"/>
          </w:tcPr>
          <w:p w14:paraId="07611F2D" w14:textId="77777777" w:rsidR="002A21AE" w:rsidRDefault="002A21AE">
            <w:pPr>
              <w:pStyle w:val="TableTextBullet"/>
            </w:pPr>
            <w:r>
              <w:t>Verifies that all appropriate test results have been entered for the patient and the selected unit(s).</w:t>
            </w:r>
          </w:p>
          <w:p w14:paraId="33F5A70A" w14:textId="77777777" w:rsidR="002A21AE" w:rsidRDefault="002A21AE">
            <w:pPr>
              <w:pStyle w:val="TableTextBullet"/>
            </w:pPr>
            <w:r>
              <w:t xml:space="preserve">Displays various warnings based on rules. </w:t>
            </w:r>
          </w:p>
          <w:p w14:paraId="7215EC1E" w14:textId="77777777" w:rsidR="002A21AE" w:rsidRDefault="002A21AE">
            <w:pPr>
              <w:pStyle w:val="TableTextBullet"/>
            </w:pPr>
            <w:r>
              <w:t>Prompts the user to confirm that results were reviewed and are acceptable.</w:t>
            </w:r>
          </w:p>
          <w:p w14:paraId="4E1031A9" w14:textId="77777777" w:rsidR="002A21AE" w:rsidRDefault="002A21AE">
            <w:pPr>
              <w:pStyle w:val="TableText"/>
            </w:pPr>
          </w:p>
          <w:p w14:paraId="5E4DF67C" w14:textId="0775F357" w:rsidR="002A21AE" w:rsidRDefault="002A21AE">
            <w:pPr>
              <w:pStyle w:val="TableText"/>
              <w:rPr>
                <w:b/>
                <w:bCs/>
                <w:szCs w:val="18"/>
              </w:rPr>
            </w:pPr>
            <w:r>
              <w:rPr>
                <w:b/>
                <w:bCs/>
                <w:szCs w:val="18"/>
              </w:rPr>
              <w:t>NOTES</w:t>
            </w:r>
          </w:p>
          <w:p w14:paraId="6FF5E7EF" w14:textId="77777777" w:rsidR="002A21AE" w:rsidRDefault="002A21AE">
            <w:pPr>
              <w:pStyle w:val="NotesText"/>
            </w:pPr>
          </w:p>
          <w:p w14:paraId="47CFA373" w14:textId="77777777" w:rsidR="002A21AE" w:rsidRDefault="002A21AE">
            <w:pPr>
              <w:pStyle w:val="NotesText"/>
            </w:pPr>
            <w:r>
              <w:rPr>
                <w:rFonts w:cs="Arial"/>
                <w:vanish/>
                <w:szCs w:val="18"/>
              </w:rPr>
              <w:t>BR_40.18</w:t>
            </w:r>
            <w:r w:rsidR="005D400B">
              <w:rPr>
                <w:rFonts w:cs="Arial"/>
                <w:vanish/>
                <w:szCs w:val="18"/>
              </w:rPr>
              <w:t>,</w:t>
            </w:r>
            <w:r>
              <w:rPr>
                <w:rFonts w:cs="Arial"/>
                <w:vanish/>
                <w:szCs w:val="18"/>
              </w:rPr>
              <w:t xml:space="preserve"> </w:t>
            </w:r>
            <w:r>
              <w:rPr>
                <w:vanish/>
                <w:szCs w:val="18"/>
              </w:rPr>
              <w:t>BR_40.20</w:t>
            </w:r>
            <w:r w:rsidR="004F5F28" w:rsidRPr="00323744">
              <w:rPr>
                <w:rStyle w:val="BullhornChar"/>
              </w:rPr>
              <w:t></w:t>
            </w:r>
            <w:r w:rsidR="004F5F28">
              <w:rPr>
                <w:rFonts w:ascii="Webdings" w:hAnsi="Webdings"/>
              </w:rPr>
              <w:t></w:t>
            </w:r>
            <w:r w:rsidR="004F5F28" w:rsidRPr="00263B24">
              <w:t>Wh</w:t>
            </w:r>
            <w:r w:rsidR="004F5F28">
              <w:t>en</w:t>
            </w:r>
            <w:r>
              <w:t xml:space="preserve"> VBECS emits an audible alert and requires a comment, it captures details for inclusion in an Exception Report (exception type: </w:t>
            </w:r>
            <w:r w:rsidR="00427BD6">
              <w:t>inconclusive crossmatch</w:t>
            </w:r>
            <w:r>
              <w:t>).</w:t>
            </w:r>
          </w:p>
          <w:p w14:paraId="03BE54B6" w14:textId="77777777" w:rsidR="002A21AE" w:rsidRDefault="002A21AE">
            <w:pPr>
              <w:pStyle w:val="NotesText"/>
            </w:pPr>
          </w:p>
          <w:p w14:paraId="37C48D1B" w14:textId="404A5A39" w:rsidR="002A21AE" w:rsidRDefault="002A21AE">
            <w:pPr>
              <w:pStyle w:val="NotesText"/>
            </w:pPr>
            <w:r>
              <w:rPr>
                <w:rFonts w:cs="Arial"/>
                <w:vanish/>
              </w:rPr>
              <w:t xml:space="preserve">BR_40.05 </w:t>
            </w:r>
            <w:r>
              <w:t xml:space="preserve">A user may enter a “Compatible” XM interpretation only after entering an observed test result for the IS phase (other phases are NT) when the antibody screen on the current specimen is complete and negative </w:t>
            </w:r>
            <w:r>
              <w:rPr>
                <w:i/>
              </w:rPr>
              <w:t>and</w:t>
            </w:r>
            <w:r>
              <w:t xml:space="preserve"> when the patient has no calculated or persistent antigen negative requirement.</w:t>
            </w:r>
            <w:r w:rsidR="002F5EE5">
              <w:t xml:space="preserve"> (See FAQ Antibodies with No Antigen Negative Requirement)</w:t>
            </w:r>
          </w:p>
          <w:p w14:paraId="0A660720" w14:textId="77777777" w:rsidR="002A21AE" w:rsidRDefault="002A21AE">
            <w:pPr>
              <w:pStyle w:val="NotesText"/>
            </w:pPr>
          </w:p>
          <w:p w14:paraId="072C0097" w14:textId="77777777" w:rsidR="002A21AE" w:rsidRDefault="002A21AE">
            <w:pPr>
              <w:pStyle w:val="NotesText"/>
            </w:pPr>
            <w:r>
              <w:rPr>
                <w:rFonts w:cs="Arial"/>
                <w:vanish/>
              </w:rPr>
              <w:t xml:space="preserve">BR_40.09 </w:t>
            </w:r>
            <w:r>
              <w:t>When observed test result patterns are invalid, VBECS warns that test results are invalid and that the user must repeat tests. VBECS stores these results as documentation and clears the grid for the user to begin again.</w:t>
            </w:r>
            <w:r>
              <w:tab/>
            </w:r>
          </w:p>
          <w:p w14:paraId="3E1F498B" w14:textId="77777777" w:rsidR="002A21AE" w:rsidRDefault="002A21AE">
            <w:pPr>
              <w:pStyle w:val="NotesText"/>
            </w:pPr>
          </w:p>
          <w:p w14:paraId="5155252C" w14:textId="77777777" w:rsidR="002A21AE" w:rsidRDefault="004F5F28">
            <w:pPr>
              <w:pStyle w:val="NotesText"/>
            </w:pPr>
            <w:r w:rsidRPr="00323744">
              <w:rPr>
                <w:rStyle w:val="BullhornChar"/>
              </w:rPr>
              <w:t></w:t>
            </w:r>
            <w:r>
              <w:rPr>
                <w:rFonts w:ascii="Webdings" w:hAnsi="Webdings"/>
              </w:rPr>
              <w:t></w:t>
            </w:r>
            <w:r w:rsidR="002A21AE">
              <w:t>VBECS emits an audible alert and requires a comment documenting medical director approval, according to site policy. VBECS captures details for inclusion in an Exception Report (exception type: Crossmatch Incompatible: Give Only with Medical Director Approval).</w:t>
            </w:r>
          </w:p>
        </w:tc>
      </w:tr>
      <w:tr w:rsidR="002A21AE" w14:paraId="01E43E4F" w14:textId="77777777">
        <w:tc>
          <w:tcPr>
            <w:tcW w:w="3240" w:type="dxa"/>
          </w:tcPr>
          <w:p w14:paraId="29CE2C10" w14:textId="77777777" w:rsidR="002A21AE" w:rsidRDefault="002A21AE">
            <w:pPr>
              <w:pStyle w:val="TableTextNumbers"/>
            </w:pPr>
            <w:r>
              <w:t>Enter test results in preparation for saving.</w:t>
            </w:r>
          </w:p>
        </w:tc>
        <w:tc>
          <w:tcPr>
            <w:tcW w:w="6120" w:type="dxa"/>
          </w:tcPr>
          <w:p w14:paraId="657D35F4" w14:textId="77777777" w:rsidR="002A21AE" w:rsidRDefault="002A21AE">
            <w:pPr>
              <w:pStyle w:val="TableTextBullet"/>
            </w:pPr>
            <w:r>
              <w:t>Saves data.</w:t>
            </w:r>
          </w:p>
          <w:p w14:paraId="0F8BD12C" w14:textId="77777777" w:rsidR="002A21AE" w:rsidRDefault="002A21AE">
            <w:pPr>
              <w:pStyle w:val="TableTextBullet"/>
            </w:pPr>
            <w:r>
              <w:t>Prompts the user to generate a BTRF and a Caution Tag during Patient Testing: Record Patient Test Results when the crossmatched unit is acceptable for issue.</w:t>
            </w:r>
          </w:p>
        </w:tc>
      </w:tr>
      <w:tr w:rsidR="002A21AE" w14:paraId="3E410CB9" w14:textId="77777777">
        <w:tc>
          <w:tcPr>
            <w:tcW w:w="3240" w:type="dxa"/>
            <w:tcBorders>
              <w:top w:val="single" w:sz="4" w:space="0" w:color="auto"/>
              <w:left w:val="single" w:sz="4" w:space="0" w:color="auto"/>
              <w:bottom w:val="single" w:sz="4" w:space="0" w:color="auto"/>
              <w:right w:val="single" w:sz="4" w:space="0" w:color="auto"/>
            </w:tcBorders>
          </w:tcPr>
          <w:p w14:paraId="2C370E74" w14:textId="77777777" w:rsidR="002A21AE" w:rsidRDefault="002A21AE">
            <w:pPr>
              <w:pStyle w:val="TableTextNumbers"/>
            </w:pPr>
            <w:r>
              <w:t xml:space="preserve">Click </w:t>
            </w:r>
            <w:r>
              <w:rPr>
                <w:b/>
              </w:rPr>
              <w:t>OK</w:t>
            </w:r>
            <w:r>
              <w:t xml:space="preserve"> to exit.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573242FF" w14:textId="77777777" w:rsidR="002A21AE" w:rsidRDefault="002A21AE" w:rsidP="00E44B03">
            <w:pPr>
              <w:pStyle w:val="TableText"/>
            </w:pPr>
          </w:p>
        </w:tc>
      </w:tr>
    </w:tbl>
    <w:p w14:paraId="6091F81C" w14:textId="77777777" w:rsidR="002A21AE" w:rsidRDefault="002A21AE">
      <w:pPr>
        <w:pStyle w:val="Heading4"/>
      </w:pPr>
      <w:r>
        <w:t>Crossmatch Interpretations</w:t>
      </w:r>
      <w:r>
        <w:fldChar w:fldCharType="begin"/>
      </w:r>
      <w:r>
        <w:instrText xml:space="preserve"> XE </w:instrText>
      </w:r>
      <w:r w:rsidR="00FA7E65">
        <w:instrText>“</w:instrText>
      </w:r>
      <w:r>
        <w:instrText>Crossmatch Interpretations</w:instrText>
      </w:r>
      <w:r w:rsidR="00FA7E65">
        <w:instrText>”</w:instrText>
      </w:r>
      <w:r>
        <w:instrText xml:space="preserve"> </w:instrText>
      </w:r>
      <w:r>
        <w:fldChar w:fldCharType="end"/>
      </w:r>
    </w:p>
    <w:p w14:paraId="5AE84162" w14:textId="77777777" w:rsidR="002A21AE" w:rsidRDefault="002A21AE" w:rsidP="00FA7E65">
      <w:pPr>
        <w:pStyle w:val="BodyText"/>
      </w:pPr>
      <w:r>
        <w:t>In all cases, VBECS saves the crossmatch information to the database.</w:t>
      </w:r>
    </w:p>
    <w:p w14:paraId="1B212612" w14:textId="27689496" w:rsidR="002A21AE" w:rsidRDefault="002A21AE">
      <w:pPr>
        <w:pStyle w:val="Caption"/>
      </w:pPr>
      <w:bookmarkStart w:id="471" w:name="_Ref126504413"/>
      <w:bookmarkStart w:id="472" w:name="_Toc97523625"/>
      <w:bookmarkStart w:id="473" w:name="_Toc97527595"/>
      <w:bookmarkStart w:id="474" w:name="_Ref446945905"/>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11</w:t>
      </w:r>
      <w:r w:rsidR="004E20BD">
        <w:rPr>
          <w:noProof/>
        </w:rPr>
        <w:fldChar w:fldCharType="end"/>
      </w:r>
      <w:bookmarkEnd w:id="471"/>
      <w:r>
        <w:t xml:space="preserve">: </w:t>
      </w:r>
      <w:r>
        <w:rPr>
          <w:rFonts w:ascii="Arial" w:hAnsi="Arial" w:cs="Arial"/>
          <w:b w:val="0"/>
          <w:vanish/>
          <w:sz w:val="18"/>
        </w:rPr>
        <w:t xml:space="preserve">BR_40.14 </w:t>
      </w:r>
      <w:r>
        <w:t>Crossmatch Interpretations for Print Unit Caution Tag &amp; Transfusion Record Form</w:t>
      </w:r>
      <w:bookmarkEnd w:id="472"/>
      <w:bookmarkEnd w:id="473"/>
      <w:bookmarkEnd w:id="474"/>
      <w:r>
        <w:fldChar w:fldCharType="begin"/>
      </w:r>
      <w:r>
        <w:instrText xml:space="preserve"> XE </w:instrText>
      </w:r>
      <w:r w:rsidR="00FA7E65">
        <w:instrText>“</w:instrText>
      </w:r>
      <w:r>
        <w:instrText>Tables:Crossmatch Interpretations for Print Unit Caution Tag &amp; Transfusion Record Form</w:instrText>
      </w:r>
      <w:r w:rsidR="00FA7E65">
        <w:instrText>”</w:instrText>
      </w:r>
      <w:r>
        <w:instrText xml:space="preserve"> </w:instrText>
      </w:r>
      <w:r>
        <w:fldChar w:fldCharType="end"/>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217"/>
        <w:gridCol w:w="1738"/>
        <w:gridCol w:w="1587"/>
        <w:gridCol w:w="1483"/>
        <w:gridCol w:w="1785"/>
      </w:tblGrid>
      <w:tr w:rsidR="002A21AE" w14:paraId="28B6D310" w14:textId="77777777">
        <w:trPr>
          <w:tblHeader/>
        </w:trPr>
        <w:tc>
          <w:tcPr>
            <w:tcW w:w="0" w:type="auto"/>
            <w:shd w:val="clear" w:color="auto" w:fill="B3B3B3"/>
            <w:vAlign w:val="bottom"/>
          </w:tcPr>
          <w:p w14:paraId="61BE2F5E" w14:textId="77777777" w:rsidR="002A21AE" w:rsidRDefault="002A21AE">
            <w:pPr>
              <w:pStyle w:val="TableText"/>
              <w:rPr>
                <w:b/>
              </w:rPr>
            </w:pPr>
            <w:r>
              <w:rPr>
                <w:b/>
              </w:rPr>
              <w:t>User Entry</w:t>
            </w:r>
          </w:p>
        </w:tc>
        <w:tc>
          <w:tcPr>
            <w:tcW w:w="0" w:type="auto"/>
            <w:shd w:val="clear" w:color="auto" w:fill="B3B3B3"/>
            <w:vAlign w:val="bottom"/>
          </w:tcPr>
          <w:p w14:paraId="582C1724" w14:textId="77777777" w:rsidR="002A21AE" w:rsidRDefault="002A21AE">
            <w:pPr>
              <w:pStyle w:val="TableText"/>
              <w:rPr>
                <w:b/>
              </w:rPr>
            </w:pPr>
            <w:r>
              <w:rPr>
                <w:b/>
              </w:rPr>
              <w:t>Crossmatch Interpretation</w:t>
            </w:r>
          </w:p>
        </w:tc>
        <w:tc>
          <w:tcPr>
            <w:tcW w:w="0" w:type="auto"/>
            <w:shd w:val="clear" w:color="auto" w:fill="B3B3B3"/>
            <w:vAlign w:val="bottom"/>
          </w:tcPr>
          <w:p w14:paraId="2E80B2CB" w14:textId="77777777" w:rsidR="002A21AE" w:rsidRDefault="002A21AE">
            <w:pPr>
              <w:pStyle w:val="TableText"/>
              <w:rPr>
                <w:b/>
              </w:rPr>
            </w:pPr>
            <w:r>
              <w:rPr>
                <w:b/>
              </w:rPr>
              <w:t>VBECS Updates the Unit Status to:</w:t>
            </w:r>
          </w:p>
        </w:tc>
        <w:tc>
          <w:tcPr>
            <w:tcW w:w="0" w:type="auto"/>
            <w:shd w:val="clear" w:color="auto" w:fill="B3B3B3"/>
            <w:vAlign w:val="bottom"/>
          </w:tcPr>
          <w:p w14:paraId="1A57F31C" w14:textId="77777777" w:rsidR="002A21AE" w:rsidRDefault="002A21AE">
            <w:pPr>
              <w:pStyle w:val="TableText"/>
              <w:rPr>
                <w:b/>
              </w:rPr>
            </w:pPr>
            <w:r>
              <w:rPr>
                <w:b/>
              </w:rPr>
              <w:t>Is Information Available to CPRS?</w:t>
            </w:r>
          </w:p>
        </w:tc>
        <w:tc>
          <w:tcPr>
            <w:tcW w:w="0" w:type="auto"/>
            <w:shd w:val="clear" w:color="auto" w:fill="B3B3B3"/>
            <w:vAlign w:val="bottom"/>
          </w:tcPr>
          <w:p w14:paraId="3B163916" w14:textId="77777777" w:rsidR="002A21AE" w:rsidRDefault="002A21AE">
            <w:pPr>
              <w:pStyle w:val="TableText"/>
              <w:rPr>
                <w:b/>
              </w:rPr>
            </w:pPr>
            <w:r>
              <w:rPr>
                <w:b/>
              </w:rPr>
              <w:t>May User Print the BTRF and Caution Tag?</w:t>
            </w:r>
          </w:p>
        </w:tc>
        <w:tc>
          <w:tcPr>
            <w:tcW w:w="0" w:type="auto"/>
            <w:tcBorders>
              <w:bottom w:val="single" w:sz="4" w:space="0" w:color="auto"/>
            </w:tcBorders>
            <w:shd w:val="clear" w:color="auto" w:fill="B3B3B3"/>
            <w:vAlign w:val="bottom"/>
          </w:tcPr>
          <w:p w14:paraId="5E98D882" w14:textId="77777777" w:rsidR="002A21AE" w:rsidRDefault="002A21AE">
            <w:pPr>
              <w:pStyle w:val="TableText"/>
              <w:rPr>
                <w:b/>
              </w:rPr>
            </w:pPr>
            <w:r>
              <w:rPr>
                <w:b/>
              </w:rPr>
              <w:t>Other</w:t>
            </w:r>
          </w:p>
        </w:tc>
      </w:tr>
      <w:tr w:rsidR="002A21AE" w14:paraId="509D48A6" w14:textId="77777777">
        <w:tc>
          <w:tcPr>
            <w:tcW w:w="0" w:type="auto"/>
            <w:vAlign w:val="bottom"/>
          </w:tcPr>
          <w:p w14:paraId="08CBCC81" w14:textId="77777777" w:rsidR="002A21AE" w:rsidRDefault="002A21AE">
            <w:pPr>
              <w:pStyle w:val="TableText"/>
            </w:pPr>
            <w:r>
              <w:t>C</w:t>
            </w:r>
          </w:p>
        </w:tc>
        <w:tc>
          <w:tcPr>
            <w:tcW w:w="0" w:type="auto"/>
            <w:vAlign w:val="bottom"/>
          </w:tcPr>
          <w:p w14:paraId="0D71337A" w14:textId="77777777" w:rsidR="002A21AE" w:rsidRDefault="002A21AE">
            <w:pPr>
              <w:pStyle w:val="TableText"/>
            </w:pPr>
            <w:r>
              <w:t>Crossmatch Compatible</w:t>
            </w:r>
          </w:p>
        </w:tc>
        <w:tc>
          <w:tcPr>
            <w:tcW w:w="0" w:type="auto"/>
            <w:vAlign w:val="bottom"/>
          </w:tcPr>
          <w:p w14:paraId="4AD09527" w14:textId="77777777" w:rsidR="002A21AE" w:rsidRDefault="002A21AE">
            <w:pPr>
              <w:pStyle w:val="TableText"/>
            </w:pPr>
            <w:r>
              <w:t>Crossmatched</w:t>
            </w:r>
          </w:p>
        </w:tc>
        <w:tc>
          <w:tcPr>
            <w:tcW w:w="0" w:type="auto"/>
            <w:vAlign w:val="bottom"/>
          </w:tcPr>
          <w:p w14:paraId="3EF6DE19" w14:textId="77777777" w:rsidR="002A21AE" w:rsidRDefault="002A21AE">
            <w:pPr>
              <w:pStyle w:val="TableText"/>
            </w:pPr>
            <w:r>
              <w:t>Yes (unit is available)</w:t>
            </w:r>
          </w:p>
        </w:tc>
        <w:tc>
          <w:tcPr>
            <w:tcW w:w="0" w:type="auto"/>
            <w:vAlign w:val="bottom"/>
          </w:tcPr>
          <w:p w14:paraId="1FB33243" w14:textId="77777777" w:rsidR="002A21AE" w:rsidRDefault="002A21AE">
            <w:pPr>
              <w:pStyle w:val="TableText"/>
            </w:pPr>
            <w:r>
              <w:t>Yes</w:t>
            </w:r>
          </w:p>
        </w:tc>
        <w:tc>
          <w:tcPr>
            <w:tcW w:w="0" w:type="auto"/>
            <w:shd w:val="clear" w:color="auto" w:fill="B3B3B3"/>
            <w:vAlign w:val="bottom"/>
          </w:tcPr>
          <w:p w14:paraId="389BEB43" w14:textId="77777777" w:rsidR="002A21AE" w:rsidRDefault="002A21AE">
            <w:pPr>
              <w:pStyle w:val="TableText"/>
            </w:pPr>
          </w:p>
        </w:tc>
      </w:tr>
      <w:tr w:rsidR="002A21AE" w14:paraId="5B0A31B7" w14:textId="77777777">
        <w:tc>
          <w:tcPr>
            <w:tcW w:w="0" w:type="auto"/>
            <w:vAlign w:val="bottom"/>
          </w:tcPr>
          <w:p w14:paraId="3CF8E3F1" w14:textId="77777777" w:rsidR="002A21AE" w:rsidRDefault="002A21AE">
            <w:pPr>
              <w:pStyle w:val="TableText"/>
            </w:pPr>
            <w:r>
              <w:t>D</w:t>
            </w:r>
          </w:p>
        </w:tc>
        <w:tc>
          <w:tcPr>
            <w:tcW w:w="0" w:type="auto"/>
            <w:vAlign w:val="bottom"/>
          </w:tcPr>
          <w:p w14:paraId="334D7403" w14:textId="77777777" w:rsidR="002A21AE" w:rsidRDefault="002A21AE">
            <w:pPr>
              <w:pStyle w:val="TableText"/>
            </w:pPr>
            <w:r>
              <w:t>Crossmatch Compatible: Don’t Transfuse</w:t>
            </w:r>
          </w:p>
        </w:tc>
        <w:tc>
          <w:tcPr>
            <w:tcW w:w="0" w:type="auto"/>
            <w:vAlign w:val="bottom"/>
          </w:tcPr>
          <w:p w14:paraId="3D685A4D" w14:textId="77777777" w:rsidR="002A21AE" w:rsidRDefault="002A21AE">
            <w:pPr>
              <w:pStyle w:val="TableText"/>
            </w:pPr>
            <w:r>
              <w:t>Available</w:t>
            </w:r>
          </w:p>
        </w:tc>
        <w:tc>
          <w:tcPr>
            <w:tcW w:w="0" w:type="auto"/>
            <w:vAlign w:val="bottom"/>
          </w:tcPr>
          <w:p w14:paraId="675D1330" w14:textId="77777777" w:rsidR="002A21AE" w:rsidRDefault="002A21AE">
            <w:pPr>
              <w:pStyle w:val="TableText"/>
            </w:pPr>
            <w:r>
              <w:t>No</w:t>
            </w:r>
          </w:p>
        </w:tc>
        <w:tc>
          <w:tcPr>
            <w:tcW w:w="0" w:type="auto"/>
            <w:vAlign w:val="bottom"/>
          </w:tcPr>
          <w:p w14:paraId="78B602C2" w14:textId="77777777" w:rsidR="002A21AE" w:rsidRDefault="002A21AE">
            <w:pPr>
              <w:pStyle w:val="TableText"/>
            </w:pPr>
            <w:r>
              <w:t>No</w:t>
            </w:r>
          </w:p>
        </w:tc>
        <w:tc>
          <w:tcPr>
            <w:tcW w:w="0" w:type="auto"/>
            <w:shd w:val="clear" w:color="auto" w:fill="B3B3B3"/>
            <w:vAlign w:val="bottom"/>
          </w:tcPr>
          <w:p w14:paraId="7994C303" w14:textId="77777777" w:rsidR="002A21AE" w:rsidRDefault="002A21AE">
            <w:pPr>
              <w:pStyle w:val="TableText"/>
            </w:pPr>
          </w:p>
        </w:tc>
      </w:tr>
      <w:tr w:rsidR="002A21AE" w14:paraId="76349BEF" w14:textId="77777777">
        <w:tc>
          <w:tcPr>
            <w:tcW w:w="0" w:type="auto"/>
            <w:vAlign w:val="bottom"/>
          </w:tcPr>
          <w:p w14:paraId="31221B6A" w14:textId="77777777" w:rsidR="002A21AE" w:rsidRDefault="002A21AE">
            <w:pPr>
              <w:pStyle w:val="TableText"/>
            </w:pPr>
            <w:r>
              <w:t>G</w:t>
            </w:r>
          </w:p>
        </w:tc>
        <w:tc>
          <w:tcPr>
            <w:tcW w:w="0" w:type="auto"/>
            <w:vAlign w:val="bottom"/>
          </w:tcPr>
          <w:p w14:paraId="0482747F" w14:textId="77777777" w:rsidR="002A21AE" w:rsidRDefault="002A21AE">
            <w:pPr>
              <w:pStyle w:val="TableText"/>
            </w:pPr>
            <w:r>
              <w:t>Crossmatch Incompatible: Give Only with Medical Director Approval</w:t>
            </w:r>
          </w:p>
        </w:tc>
        <w:tc>
          <w:tcPr>
            <w:tcW w:w="0" w:type="auto"/>
            <w:vAlign w:val="bottom"/>
          </w:tcPr>
          <w:p w14:paraId="1BBBEE73" w14:textId="77777777" w:rsidR="002A21AE" w:rsidRDefault="008723D3">
            <w:pPr>
              <w:pStyle w:val="TableText"/>
            </w:pPr>
            <w:r>
              <w:t>Crossmatched</w:t>
            </w:r>
          </w:p>
        </w:tc>
        <w:tc>
          <w:tcPr>
            <w:tcW w:w="0" w:type="auto"/>
            <w:vAlign w:val="bottom"/>
          </w:tcPr>
          <w:p w14:paraId="13B7821A" w14:textId="77777777" w:rsidR="002A21AE" w:rsidRDefault="002A21AE">
            <w:pPr>
              <w:pStyle w:val="TableText"/>
            </w:pPr>
            <w:r>
              <w:t>Yes (unit is available)</w:t>
            </w:r>
          </w:p>
        </w:tc>
        <w:tc>
          <w:tcPr>
            <w:tcW w:w="0" w:type="auto"/>
            <w:vAlign w:val="bottom"/>
          </w:tcPr>
          <w:p w14:paraId="0206EE80" w14:textId="77777777" w:rsidR="002A21AE" w:rsidRDefault="002A21AE">
            <w:pPr>
              <w:pStyle w:val="TableText"/>
            </w:pPr>
            <w:r>
              <w:t xml:space="preserve">Yes </w:t>
            </w:r>
          </w:p>
        </w:tc>
        <w:tc>
          <w:tcPr>
            <w:tcW w:w="0" w:type="auto"/>
            <w:tcBorders>
              <w:bottom w:val="single" w:sz="4" w:space="0" w:color="auto"/>
            </w:tcBorders>
            <w:vAlign w:val="bottom"/>
          </w:tcPr>
          <w:p w14:paraId="5EF849D0" w14:textId="77777777" w:rsidR="002A21AE" w:rsidRDefault="00EC7489" w:rsidP="00323744">
            <w:pPr>
              <w:pStyle w:val="Bullhorn"/>
            </w:pPr>
            <w:r>
              <w:t></w:t>
            </w:r>
          </w:p>
        </w:tc>
      </w:tr>
      <w:tr w:rsidR="002A21AE" w14:paraId="7412132F" w14:textId="77777777" w:rsidTr="00E90E3C">
        <w:tc>
          <w:tcPr>
            <w:tcW w:w="0" w:type="auto"/>
            <w:vAlign w:val="bottom"/>
          </w:tcPr>
          <w:p w14:paraId="5B4F1BD4" w14:textId="77777777" w:rsidR="002A21AE" w:rsidRDefault="00A138D2" w:rsidP="00A138D2">
            <w:pPr>
              <w:pStyle w:val="TableText"/>
            </w:pPr>
            <w:r>
              <w:t xml:space="preserve"> </w:t>
            </w:r>
            <w:r w:rsidR="002A21AE">
              <w:t>I</w:t>
            </w:r>
          </w:p>
        </w:tc>
        <w:tc>
          <w:tcPr>
            <w:tcW w:w="0" w:type="auto"/>
            <w:vAlign w:val="bottom"/>
          </w:tcPr>
          <w:p w14:paraId="04EB8589" w14:textId="77777777" w:rsidR="002A21AE" w:rsidRDefault="002A21AE">
            <w:pPr>
              <w:pStyle w:val="TableText"/>
            </w:pPr>
            <w:r>
              <w:t>Crossmatch Incompatible</w:t>
            </w:r>
          </w:p>
        </w:tc>
        <w:tc>
          <w:tcPr>
            <w:tcW w:w="0" w:type="auto"/>
            <w:vAlign w:val="bottom"/>
          </w:tcPr>
          <w:p w14:paraId="5A6E935D" w14:textId="77777777" w:rsidR="002A21AE" w:rsidRDefault="002A21AE">
            <w:pPr>
              <w:pStyle w:val="TableText"/>
            </w:pPr>
            <w:r>
              <w:t>Available</w:t>
            </w:r>
          </w:p>
        </w:tc>
        <w:tc>
          <w:tcPr>
            <w:tcW w:w="0" w:type="auto"/>
            <w:vAlign w:val="bottom"/>
          </w:tcPr>
          <w:p w14:paraId="5F183245" w14:textId="77777777" w:rsidR="002A21AE" w:rsidRDefault="002A21AE">
            <w:pPr>
              <w:pStyle w:val="TableText"/>
            </w:pPr>
            <w:r>
              <w:t>No</w:t>
            </w:r>
          </w:p>
        </w:tc>
        <w:tc>
          <w:tcPr>
            <w:tcW w:w="0" w:type="auto"/>
            <w:vAlign w:val="bottom"/>
          </w:tcPr>
          <w:p w14:paraId="3E4D78F4" w14:textId="77777777" w:rsidR="002A21AE" w:rsidRDefault="002A21AE">
            <w:pPr>
              <w:pStyle w:val="TableText"/>
            </w:pPr>
            <w:r>
              <w:t>No</w:t>
            </w:r>
          </w:p>
        </w:tc>
        <w:tc>
          <w:tcPr>
            <w:tcW w:w="0" w:type="auto"/>
            <w:tcBorders>
              <w:bottom w:val="single" w:sz="4" w:space="0" w:color="auto"/>
            </w:tcBorders>
            <w:shd w:val="clear" w:color="auto" w:fill="B3B3B3"/>
            <w:vAlign w:val="bottom"/>
          </w:tcPr>
          <w:p w14:paraId="3D25F418" w14:textId="77777777" w:rsidR="002A21AE" w:rsidRDefault="002A21AE">
            <w:pPr>
              <w:pStyle w:val="TableText"/>
            </w:pPr>
          </w:p>
        </w:tc>
      </w:tr>
      <w:tr w:rsidR="002A21AE" w14:paraId="402ABCD1" w14:textId="77777777" w:rsidTr="00CC01AC">
        <w:tc>
          <w:tcPr>
            <w:tcW w:w="0" w:type="auto"/>
            <w:vAlign w:val="bottom"/>
          </w:tcPr>
          <w:p w14:paraId="7476E370" w14:textId="77777777" w:rsidR="002A21AE" w:rsidRDefault="00E4540D">
            <w:pPr>
              <w:pStyle w:val="TableText"/>
            </w:pPr>
            <w:r>
              <w:t>Z</w:t>
            </w:r>
          </w:p>
        </w:tc>
        <w:tc>
          <w:tcPr>
            <w:tcW w:w="0" w:type="auto"/>
            <w:vAlign w:val="bottom"/>
          </w:tcPr>
          <w:p w14:paraId="10003926" w14:textId="77777777" w:rsidR="002A21AE" w:rsidRDefault="002A21AE">
            <w:pPr>
              <w:pStyle w:val="TableText"/>
            </w:pPr>
            <w:r>
              <w:t>Inconclusive</w:t>
            </w:r>
          </w:p>
        </w:tc>
        <w:tc>
          <w:tcPr>
            <w:tcW w:w="0" w:type="auto"/>
            <w:vAlign w:val="bottom"/>
          </w:tcPr>
          <w:p w14:paraId="739D2B36" w14:textId="77777777" w:rsidR="002A21AE" w:rsidRDefault="002A21AE">
            <w:pPr>
              <w:pStyle w:val="TableText"/>
            </w:pPr>
            <w:r>
              <w:t>Available</w:t>
            </w:r>
          </w:p>
        </w:tc>
        <w:tc>
          <w:tcPr>
            <w:tcW w:w="0" w:type="auto"/>
            <w:vAlign w:val="bottom"/>
          </w:tcPr>
          <w:p w14:paraId="6F8FB099" w14:textId="77777777" w:rsidR="002A21AE" w:rsidRDefault="002A21AE">
            <w:pPr>
              <w:pStyle w:val="TableText"/>
            </w:pPr>
            <w:r>
              <w:t>No</w:t>
            </w:r>
          </w:p>
        </w:tc>
        <w:tc>
          <w:tcPr>
            <w:tcW w:w="0" w:type="auto"/>
            <w:vAlign w:val="bottom"/>
          </w:tcPr>
          <w:p w14:paraId="7676D2B1" w14:textId="77777777" w:rsidR="002A21AE" w:rsidRDefault="002A21AE">
            <w:pPr>
              <w:pStyle w:val="TableText"/>
            </w:pPr>
            <w:r>
              <w:t>No</w:t>
            </w:r>
          </w:p>
        </w:tc>
        <w:tc>
          <w:tcPr>
            <w:tcW w:w="0" w:type="auto"/>
            <w:shd w:val="clear" w:color="auto" w:fill="FFFFFF"/>
            <w:vAlign w:val="bottom"/>
          </w:tcPr>
          <w:p w14:paraId="477DCCE8" w14:textId="77777777" w:rsidR="002A21AE" w:rsidRDefault="00E90E3C">
            <w:pPr>
              <w:pStyle w:val="TableText"/>
            </w:pPr>
            <w:r w:rsidRPr="00E90E3C">
              <w:t>Applies to the manual serologic crossmatch test only</w:t>
            </w:r>
          </w:p>
        </w:tc>
      </w:tr>
    </w:tbl>
    <w:p w14:paraId="3CD17647" w14:textId="77777777" w:rsidR="002A21AE" w:rsidRDefault="002A21AE">
      <w:pPr>
        <w:pStyle w:val="Heading3"/>
      </w:pPr>
      <w:r>
        <w:br w:type="page"/>
      </w:r>
      <w:bookmarkStart w:id="475" w:name="_Toc149064163"/>
      <w:r>
        <w:t>Patient Testing: Record a Patient Antigen Typing</w:t>
      </w:r>
      <w:bookmarkEnd w:id="475"/>
      <w:r>
        <w:fldChar w:fldCharType="begin"/>
      </w:r>
      <w:r>
        <w:instrText xml:space="preserve"> XE </w:instrText>
      </w:r>
      <w:r w:rsidR="00FA7E65">
        <w:instrText>“</w:instrText>
      </w:r>
      <w:r>
        <w:instrText>Patient Testing\: Record a Patient Antigen Typing</w:instrText>
      </w:r>
      <w:r w:rsidR="00FA7E65">
        <w:instrText>”</w:instrText>
      </w:r>
      <w:r>
        <w:instrText xml:space="preserve"> </w:instrText>
      </w:r>
      <w:r>
        <w:fldChar w:fldCharType="end"/>
      </w:r>
      <w:r>
        <w:t xml:space="preserve"> </w:t>
      </w:r>
      <w:r>
        <w:rPr>
          <w:rFonts w:ascii="Times New Roman" w:hAnsi="Times New Roman" w:cs="Times New Roman"/>
          <w:b w:val="0"/>
          <w:vanish/>
          <w:sz w:val="22"/>
        </w:rPr>
        <w:t>UC_98</w:t>
      </w:r>
    </w:p>
    <w:p w14:paraId="4AB35D81" w14:textId="687DBFC0" w:rsidR="002A21AE" w:rsidRDefault="002A21AE" w:rsidP="00FA7E65">
      <w:pPr>
        <w:pStyle w:val="BodyText"/>
      </w:pPr>
      <w:bookmarkStart w:id="476" w:name="_Toc79560671"/>
      <w:bookmarkStart w:id="477" w:name="_Toc75225904"/>
      <w:r>
        <w:t>The user records observed results when performing a patient antigen typing test other than the ABO/Rh test.</w:t>
      </w:r>
    </w:p>
    <w:p w14:paraId="5E17044A" w14:textId="77777777" w:rsidR="002A21AE" w:rsidRDefault="002A21AE">
      <w:pPr>
        <w:pStyle w:val="Heading4"/>
      </w:pPr>
      <w:r>
        <w:t>Assumptions</w:t>
      </w:r>
    </w:p>
    <w:p w14:paraId="340C7056" w14:textId="77777777" w:rsidR="002A21AE" w:rsidRDefault="002A21AE">
      <w:pPr>
        <w:pStyle w:val="ListBullet"/>
      </w:pPr>
      <w:r>
        <w:t>Patient antigen typing is ord</w:t>
      </w:r>
      <w:r w:rsidR="00047C2D">
        <w:t>ered through Order Reflex Tests</w:t>
      </w:r>
      <w:r>
        <w:t>.</w:t>
      </w:r>
    </w:p>
    <w:p w14:paraId="5C3E6AD5" w14:textId="77777777" w:rsidR="002A21AE" w:rsidRDefault="002A21AE">
      <w:pPr>
        <w:pStyle w:val="ListBullet"/>
      </w:pPr>
      <w:r>
        <w:t>The user accesses patient antigen typing grids through Patient Testing: Record Patient Test Results.</w:t>
      </w:r>
    </w:p>
    <w:p w14:paraId="6195542E" w14:textId="77777777" w:rsidR="002A21AE" w:rsidRDefault="002A21AE">
      <w:pPr>
        <w:pStyle w:val="ListBullet"/>
      </w:pPr>
      <w:r>
        <w:t xml:space="preserve">Reagent inventory was entered in </w:t>
      </w:r>
      <w:r w:rsidR="005F6016">
        <w:t>Maintain Minimum Levels</w:t>
      </w:r>
      <w:r>
        <w:t>.</w:t>
      </w:r>
    </w:p>
    <w:p w14:paraId="38CB4AA5" w14:textId="77777777" w:rsidR="002A21AE" w:rsidRDefault="002A21AE">
      <w:pPr>
        <w:pStyle w:val="Heading4"/>
      </w:pPr>
      <w:r>
        <w:t>Outcome</w:t>
      </w:r>
      <w:r>
        <w:rPr>
          <w:rFonts w:ascii="Times New Roman" w:hAnsi="Times New Roman"/>
          <w:i/>
          <w:color w:val="0000FF"/>
          <w:sz w:val="24"/>
        </w:rPr>
        <w:t xml:space="preserve"> </w:t>
      </w:r>
    </w:p>
    <w:p w14:paraId="69FB5EED" w14:textId="77777777" w:rsidR="002A21AE" w:rsidRDefault="002A21AE">
      <w:pPr>
        <w:pStyle w:val="ListBullet"/>
      </w:pPr>
      <w:r>
        <w:rPr>
          <w:rFonts w:ascii="Arial" w:hAnsi="Arial" w:cs="Arial"/>
          <w:vanish/>
          <w:spacing w:val="0"/>
          <w:sz w:val="18"/>
        </w:rPr>
        <w:t xml:space="preserve">BR_41.06 </w:t>
      </w:r>
      <w:r>
        <w:t xml:space="preserve">The testing record includes the patient’s antigen typing and the control cell information. </w:t>
      </w:r>
    </w:p>
    <w:p w14:paraId="6B7592C5" w14:textId="77777777" w:rsidR="002A21AE" w:rsidRDefault="002A21AE">
      <w:pPr>
        <w:pStyle w:val="Heading4"/>
      </w:pPr>
      <w:r>
        <w:t>Limitations and Restrictions</w:t>
      </w:r>
      <w:r>
        <w:rPr>
          <w:b w:val="0"/>
        </w:rPr>
        <w:t xml:space="preserve"> </w:t>
      </w:r>
    </w:p>
    <w:p w14:paraId="188C8641" w14:textId="77777777" w:rsidR="002A21AE" w:rsidRDefault="002A21AE">
      <w:pPr>
        <w:pStyle w:val="ListBullet"/>
      </w:pPr>
      <w:r>
        <w:t>Antigen typing applies only to red blood cell antigens. (This option does not address platelet, HLA, or IgA antigens.)</w:t>
      </w:r>
    </w:p>
    <w:p w14:paraId="62073AA9" w14:textId="77777777" w:rsidR="00FC3A2C" w:rsidRDefault="002A21AE">
      <w:pPr>
        <w:pStyle w:val="ListBullet"/>
      </w:pPr>
      <w:r>
        <w:t>VBECS does not check</w:t>
      </w:r>
      <w:r w:rsidR="00FC3A2C">
        <w:t>:</w:t>
      </w:r>
    </w:p>
    <w:p w14:paraId="4A62576F" w14:textId="77777777" w:rsidR="00B84DA4" w:rsidRDefault="00B84DA4" w:rsidP="003362FE">
      <w:pPr>
        <w:pStyle w:val="ListBullet2"/>
        <w:tabs>
          <w:tab w:val="clear" w:pos="648"/>
        </w:tabs>
        <w:ind w:left="990" w:hanging="342"/>
      </w:pPr>
      <w:r>
        <w:t>The patient antigen typing with the specificity of a</w:t>
      </w:r>
      <w:r w:rsidR="005C1078">
        <w:t>ny patient’s antibodies entered.</w:t>
      </w:r>
    </w:p>
    <w:p w14:paraId="39C128B2" w14:textId="77777777" w:rsidR="002A21AE" w:rsidRDefault="00FC3A2C" w:rsidP="003362FE">
      <w:pPr>
        <w:pStyle w:val="ListBullet2"/>
        <w:tabs>
          <w:tab w:val="clear" w:pos="648"/>
        </w:tabs>
        <w:ind w:left="990" w:hanging="342"/>
      </w:pPr>
      <w:r>
        <w:t>W</w:t>
      </w:r>
      <w:r w:rsidR="002A21AE">
        <w:t>hether the lot and vial numbers selected for the positive control cells differ from those of the negative control cells</w:t>
      </w:r>
      <w:r w:rsidR="005C1078">
        <w:t>.</w:t>
      </w:r>
    </w:p>
    <w:p w14:paraId="424319AB" w14:textId="77777777" w:rsidR="002A21AE" w:rsidRDefault="002A21AE">
      <w:pPr>
        <w:pStyle w:val="ListBullet"/>
      </w:pPr>
      <w:r>
        <w:t>The patient antigen typing result is not available to CPRS.</w:t>
      </w:r>
    </w:p>
    <w:p w14:paraId="233C8945" w14:textId="77777777" w:rsidR="002A21AE" w:rsidRDefault="002A21AE">
      <w:pPr>
        <w:pStyle w:val="Heading4"/>
      </w:pPr>
      <w:r>
        <w:t>Additional Information</w:t>
      </w:r>
      <w:r>
        <w:rPr>
          <w:rFonts w:ascii="Times New Roman" w:hAnsi="Times New Roman"/>
          <w:i/>
          <w:color w:val="0000FF"/>
          <w:sz w:val="24"/>
        </w:rPr>
        <w:t xml:space="preserve"> </w:t>
      </w:r>
    </w:p>
    <w:p w14:paraId="646ACEDE" w14:textId="77777777" w:rsidR="00956196" w:rsidRDefault="00956196" w:rsidP="00956196">
      <w:pPr>
        <w:pStyle w:val="ListBullet"/>
      </w:pPr>
      <w:r>
        <w:t xml:space="preserve">Clinical significance and availability of typing reagents are not implied when antigens are included in the list of </w:t>
      </w:r>
      <w:r w:rsidR="00E32E71">
        <w:t>antigen type tests</w:t>
      </w:r>
      <w:r>
        <w:t>.</w:t>
      </w:r>
    </w:p>
    <w:p w14:paraId="708EFA54" w14:textId="77777777" w:rsidR="00956196" w:rsidRDefault="00FC0074" w:rsidP="00956196">
      <w:pPr>
        <w:pStyle w:val="ListBullet"/>
      </w:pPr>
      <w:r>
        <w:t>U</w:t>
      </w:r>
      <w:r w:rsidR="00956196">
        <w:t>nit antigen tests may be added th</w:t>
      </w:r>
      <w:r>
        <w:t>rough</w:t>
      </w:r>
      <w:r w:rsidR="00956196">
        <w:t xml:space="preserve"> </w:t>
      </w:r>
      <w:r w:rsidR="00CA67F2">
        <w:t>Incoming Shipment</w:t>
      </w:r>
      <w:r w:rsidR="00155471">
        <w:t xml:space="preserve"> </w:t>
      </w:r>
      <w:r>
        <w:t>and</w:t>
      </w:r>
      <w:r w:rsidR="00155471">
        <w:t xml:space="preserve"> </w:t>
      </w:r>
      <w:r w:rsidR="00CA67F2">
        <w:t>Edit Unit Information</w:t>
      </w:r>
      <w:r w:rsidR="00956196">
        <w:t>.</w:t>
      </w:r>
    </w:p>
    <w:p w14:paraId="382666FF" w14:textId="77777777" w:rsidR="002A21AE" w:rsidRDefault="002A21AE">
      <w:pPr>
        <w:pStyle w:val="ListBullet"/>
      </w:pPr>
      <w:r>
        <w:t>The patient antigen typing test is associated with a CPRS patient order.</w:t>
      </w:r>
    </w:p>
    <w:p w14:paraId="344A0F7E" w14:textId="77777777" w:rsidR="002A21AE" w:rsidRDefault="002A21AE">
      <w:pPr>
        <w:pStyle w:val="ListBullet"/>
      </w:pPr>
      <w:r>
        <w:t>The patient’s antigen typing information does not appear as part of the Transfusion Requirements or Special Instructions in the Patient Information Toolbar.</w:t>
      </w:r>
    </w:p>
    <w:p w14:paraId="184119DC" w14:textId="77777777" w:rsidR="002A21AE" w:rsidRDefault="002A21AE">
      <w:pPr>
        <w:pStyle w:val="ListBullet"/>
      </w:pPr>
      <w:r>
        <w:rPr>
          <w:rFonts w:ascii="Arial" w:hAnsi="Arial" w:cs="Arial"/>
          <w:vanish/>
          <w:spacing w:val="0"/>
          <w:sz w:val="18"/>
        </w:rPr>
        <w:t xml:space="preserve">BR_28.23 </w:t>
      </w:r>
      <w:r>
        <w:t>When VBECS displays lot numbers for selection, it checks the inventory for the reagent name and lot numbers in use in a rack. VBECS does not offer reagents with an “unsatisfactory” value in the Inspection field or with a quantity of zero as a selectable reagent. The user may not enter a lot number that VBECS disallowed on the selection list. The user must choose a different reagent.</w:t>
      </w:r>
    </w:p>
    <w:p w14:paraId="1489D289" w14:textId="77777777" w:rsidR="002A21AE" w:rsidRDefault="004A7FC2">
      <w:pPr>
        <w:pStyle w:val="ListBullet"/>
      </w:pPr>
      <w:r>
        <w:rPr>
          <w:rFonts w:ascii="Arial" w:hAnsi="Arial" w:cs="Arial"/>
          <w:vanish/>
          <w:spacing w:val="0"/>
          <w:sz w:val="18"/>
        </w:rPr>
        <w:t>BR_41.</w:t>
      </w:r>
      <w:r w:rsidR="002A21AE">
        <w:rPr>
          <w:rFonts w:ascii="Arial" w:hAnsi="Arial" w:cs="Arial"/>
          <w:vanish/>
          <w:spacing w:val="0"/>
          <w:sz w:val="18"/>
        </w:rPr>
        <w:t>3</w:t>
      </w:r>
      <w:r>
        <w:rPr>
          <w:rFonts w:ascii="Arial" w:hAnsi="Arial" w:cs="Arial"/>
          <w:vanish/>
          <w:spacing w:val="0"/>
          <w:sz w:val="18"/>
        </w:rPr>
        <w:t>0</w:t>
      </w:r>
      <w:r w:rsidR="002A21AE">
        <w:rPr>
          <w:rFonts w:ascii="Arial" w:hAnsi="Arial" w:cs="Arial"/>
          <w:vanish/>
          <w:spacing w:val="0"/>
          <w:sz w:val="18"/>
        </w:rPr>
        <w:t xml:space="preserve"> </w:t>
      </w:r>
      <w:r w:rsidR="002A21AE">
        <w:t>When a user selects a reagent rack that was never QC’d, VBECS warns the user, clears the selection, and allows the user to select a different rack.</w:t>
      </w:r>
    </w:p>
    <w:p w14:paraId="065E7B6F" w14:textId="77777777" w:rsidR="004A7FC2" w:rsidRDefault="004A7FC2">
      <w:pPr>
        <w:pStyle w:val="ListBullet"/>
      </w:pPr>
      <w:r>
        <w:rPr>
          <w:rFonts w:ascii="Arial" w:hAnsi="Arial" w:cs="Arial"/>
          <w:vanish/>
          <w:spacing w:val="0"/>
          <w:sz w:val="18"/>
        </w:rPr>
        <w:t xml:space="preserve">BR_41.03 </w:t>
      </w:r>
      <w:r>
        <w:t xml:space="preserve"> VBECS automatically adds the positive and negative control tests to the selected reagent type worklist if they have not been tested on that calendar date for the selected antisera lot number.</w:t>
      </w:r>
      <w:r w:rsidR="009439F8">
        <w:rPr>
          <w:vanish/>
        </w:rPr>
        <w:t xml:space="preserve"> DR 3717</w:t>
      </w:r>
    </w:p>
    <w:p w14:paraId="71B2047F" w14:textId="77777777" w:rsidR="002A21AE" w:rsidRDefault="002A21AE">
      <w:pPr>
        <w:pStyle w:val="ListBullet"/>
      </w:pPr>
      <w:r>
        <w:rPr>
          <w:rFonts w:ascii="Arial" w:hAnsi="Arial" w:cs="Arial"/>
          <w:vanish/>
          <w:spacing w:val="0"/>
          <w:sz w:val="18"/>
        </w:rPr>
        <w:t xml:space="preserve">BR_41.06 </w:t>
      </w:r>
      <w:r>
        <w:t>VBECS stores the lot number, vial identifier, manufacturer, and expiration date of the positive and negative control cells with the testing record.</w:t>
      </w:r>
    </w:p>
    <w:p w14:paraId="55637EA9" w14:textId="77777777" w:rsidR="002A21AE" w:rsidRDefault="002A21AE">
      <w:pPr>
        <w:pStyle w:val="ListBullet"/>
      </w:pPr>
      <w:r>
        <w:t>The user may not enter “H” (hemolysis) in antigen typing testing.</w:t>
      </w:r>
    </w:p>
    <w:p w14:paraId="64FF036B" w14:textId="77777777" w:rsidR="00786249" w:rsidRPr="00786249" w:rsidRDefault="00786249" w:rsidP="00786249">
      <w:pPr>
        <w:pStyle w:val="ListBullet"/>
        <w:rPr>
          <w:color w:val="1F497D"/>
        </w:rPr>
      </w:pPr>
      <w:r>
        <w:t>Weak D testing results do not interact or change the Rh typing recorded for the patient by an ABO/Rh test.</w:t>
      </w:r>
      <w:r w:rsidRPr="00812458">
        <w:rPr>
          <w:vanish/>
        </w:rPr>
        <w:t xml:space="preserve"> Task 409152</w:t>
      </w:r>
    </w:p>
    <w:p w14:paraId="2632FA89" w14:textId="77777777" w:rsidR="002A21AE" w:rsidRDefault="002A21AE">
      <w:pPr>
        <w:pStyle w:val="Heading4"/>
        <w:rPr>
          <w:b w:val="0"/>
        </w:rPr>
      </w:pPr>
      <w:r>
        <w:t>User Roles with Access to This Option</w:t>
      </w:r>
      <w:r>
        <w:rPr>
          <w:b w:val="0"/>
        </w:rPr>
        <w:t xml:space="preserve"> </w:t>
      </w:r>
    </w:p>
    <w:p w14:paraId="0CC22B5F" w14:textId="77777777" w:rsidR="002A21AE" w:rsidRDefault="007934CF">
      <w:pPr>
        <w:pStyle w:val="Roles"/>
        <w:rPr>
          <w:snapToGrid w:val="0"/>
        </w:rPr>
      </w:pPr>
      <w:r>
        <w:t>All users</w:t>
      </w:r>
    </w:p>
    <w:p w14:paraId="10068793" w14:textId="77777777" w:rsidR="002A21AE" w:rsidRPr="000C2B00" w:rsidRDefault="002A21AE">
      <w:pPr>
        <w:pStyle w:val="Heading4"/>
        <w:rPr>
          <w:rStyle w:val="Heading3Char"/>
          <w:b/>
        </w:rPr>
      </w:pPr>
      <w:r w:rsidRPr="000C2B00">
        <w:rPr>
          <w:rStyle w:val="Heading3Char"/>
          <w:b/>
        </w:rPr>
        <w:t>Patient Testing: Record a Patient Antigen Typing</w:t>
      </w:r>
    </w:p>
    <w:p w14:paraId="658BBE62" w14:textId="77777777" w:rsidR="002A21AE" w:rsidRDefault="002A21AE" w:rsidP="00FA7E65">
      <w:pPr>
        <w:pStyle w:val="BodyText"/>
      </w:pPr>
      <w:r>
        <w:t xml:space="preserve">This option describes a test to determine the patient antigen typing from a blood specimen.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238CB7" w14:textId="77777777">
        <w:trPr>
          <w:cantSplit/>
          <w:tblHeader/>
        </w:trPr>
        <w:tc>
          <w:tcPr>
            <w:tcW w:w="3240" w:type="dxa"/>
            <w:shd w:val="pct30" w:color="auto" w:fill="FFFFFF"/>
            <w:vAlign w:val="bottom"/>
          </w:tcPr>
          <w:p w14:paraId="3D13A758" w14:textId="77777777" w:rsidR="002A21AE" w:rsidRDefault="002A21AE">
            <w:pPr>
              <w:pStyle w:val="TableText"/>
              <w:rPr>
                <w:b/>
              </w:rPr>
            </w:pPr>
            <w:r>
              <w:rPr>
                <w:b/>
              </w:rPr>
              <w:t>User Action</w:t>
            </w:r>
          </w:p>
        </w:tc>
        <w:tc>
          <w:tcPr>
            <w:tcW w:w="6120" w:type="dxa"/>
            <w:shd w:val="pct30" w:color="auto" w:fill="FFFFFF"/>
            <w:vAlign w:val="bottom"/>
          </w:tcPr>
          <w:p w14:paraId="3607AA78" w14:textId="77777777" w:rsidR="002A21AE" w:rsidRDefault="002A21AE">
            <w:pPr>
              <w:pStyle w:val="TableText"/>
              <w:rPr>
                <w:b/>
              </w:rPr>
            </w:pPr>
            <w:r>
              <w:rPr>
                <w:b/>
              </w:rPr>
              <w:t>VBECS</w:t>
            </w:r>
          </w:p>
        </w:tc>
      </w:tr>
      <w:tr w:rsidR="00141448" w14:paraId="24F43DB4" w14:textId="77777777">
        <w:tc>
          <w:tcPr>
            <w:tcW w:w="3240" w:type="dxa"/>
            <w:tcBorders>
              <w:top w:val="single" w:sz="4" w:space="0" w:color="auto"/>
              <w:left w:val="single" w:sz="4" w:space="0" w:color="auto"/>
              <w:bottom w:val="single" w:sz="4" w:space="0" w:color="auto"/>
              <w:right w:val="single" w:sz="4" w:space="0" w:color="auto"/>
            </w:tcBorders>
          </w:tcPr>
          <w:p w14:paraId="71DA417D" w14:textId="77777777" w:rsidR="00141448" w:rsidRDefault="00141448" w:rsidP="00141448">
            <w:pPr>
              <w:pStyle w:val="TableTextNumbers"/>
            </w:pPr>
            <w:r>
              <w:t xml:space="preserve">Select </w:t>
            </w:r>
            <w:r>
              <w:rPr>
                <w:b/>
              </w:rPr>
              <w:t>Patients</w:t>
            </w:r>
            <w:r>
              <w:t xml:space="preserve"> from the main menu.</w:t>
            </w:r>
          </w:p>
          <w:p w14:paraId="5D0F3FA9" w14:textId="77777777" w:rsidR="00141448" w:rsidRDefault="00141448" w:rsidP="00141448">
            <w:pPr>
              <w:pStyle w:val="TableTextNumbersContinued"/>
            </w:pPr>
          </w:p>
          <w:p w14:paraId="2D0A1BED"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77DE0B4A" w14:textId="77777777" w:rsidR="00141448" w:rsidRDefault="00141448" w:rsidP="00141448">
            <w:pPr>
              <w:pStyle w:val="TableTextBullet"/>
            </w:pPr>
            <w:r>
              <w:t xml:space="preserve">Displays options for processing patient-related functions. </w:t>
            </w:r>
          </w:p>
          <w:p w14:paraId="1C641EEE" w14:textId="77777777" w:rsidR="00141448" w:rsidRDefault="00141448" w:rsidP="00141448">
            <w:pPr>
              <w:pStyle w:val="TableTextBullet"/>
            </w:pPr>
            <w:r>
              <w:t>Displays the Pending Task List (PTL) in the Diagnostic Tests tab.</w:t>
            </w:r>
          </w:p>
          <w:p w14:paraId="48034C7A" w14:textId="77777777" w:rsidR="00141448" w:rsidRDefault="00141448" w:rsidP="00141448">
            <w:pPr>
              <w:pStyle w:val="NotesText"/>
            </w:pPr>
          </w:p>
          <w:p w14:paraId="4199D11E" w14:textId="53050AF9" w:rsidR="00141448" w:rsidRDefault="00141448" w:rsidP="00141448">
            <w:pPr>
              <w:pStyle w:val="TableText"/>
              <w:rPr>
                <w:b/>
                <w:bCs/>
                <w:szCs w:val="18"/>
              </w:rPr>
            </w:pPr>
            <w:r>
              <w:rPr>
                <w:b/>
                <w:bCs/>
                <w:szCs w:val="18"/>
              </w:rPr>
              <w:t>NOTES</w:t>
            </w:r>
          </w:p>
          <w:p w14:paraId="44F83BD9" w14:textId="77777777" w:rsidR="00141448" w:rsidRDefault="00141448" w:rsidP="00141448">
            <w:pPr>
              <w:pStyle w:val="NotesText"/>
            </w:pPr>
          </w:p>
          <w:p w14:paraId="021CC668" w14:textId="77777777" w:rsidR="00141448" w:rsidRDefault="00141448" w:rsidP="00141448">
            <w:pPr>
              <w:pStyle w:val="NotesText"/>
            </w:pPr>
            <w:r>
              <w:t>A user may search for specific tasks using search criteria detailed in Pending Task List.</w:t>
            </w:r>
          </w:p>
        </w:tc>
      </w:tr>
      <w:tr w:rsidR="006D7FC0" w14:paraId="5579B6A1" w14:textId="77777777">
        <w:tc>
          <w:tcPr>
            <w:tcW w:w="3240" w:type="dxa"/>
          </w:tcPr>
          <w:p w14:paraId="48EFE587" w14:textId="77777777" w:rsidR="006D7FC0" w:rsidRDefault="006D7FC0">
            <w:pPr>
              <w:pStyle w:val="TableTextNumbers"/>
            </w:pPr>
            <w:r>
              <w:t>Click one to four check boxes in the Pending Task List to select tasks for testing.</w:t>
            </w:r>
          </w:p>
          <w:p w14:paraId="3645534C" w14:textId="77777777" w:rsidR="006D7FC0" w:rsidRDefault="006D7FC0" w:rsidP="006D7FC0">
            <w:pPr>
              <w:pStyle w:val="TableTextNumbersContinued"/>
            </w:pPr>
          </w:p>
          <w:p w14:paraId="1C9949A0" w14:textId="77777777" w:rsidR="006D7FC0" w:rsidRDefault="006D7FC0" w:rsidP="006D7FC0">
            <w:pPr>
              <w:pStyle w:val="TableTextNumbersContinued"/>
            </w:pPr>
            <w:r>
              <w:t xml:space="preserve">Click </w:t>
            </w:r>
            <w:r w:rsidRPr="006D7FC0">
              <w:rPr>
                <w:b/>
              </w:rPr>
              <w:t>OK</w:t>
            </w:r>
            <w:r>
              <w:t>.</w:t>
            </w:r>
          </w:p>
        </w:tc>
        <w:tc>
          <w:tcPr>
            <w:tcW w:w="6120" w:type="dxa"/>
          </w:tcPr>
          <w:p w14:paraId="3FAA4FC0" w14:textId="77777777" w:rsidR="006D7FC0" w:rsidRDefault="006D7FC0" w:rsidP="006D7FC0">
            <w:pPr>
              <w:pStyle w:val="TableTextBullet"/>
            </w:pPr>
            <w:r>
              <w:t>Displays patient names and associated task information.</w:t>
            </w:r>
          </w:p>
          <w:p w14:paraId="03C23D50" w14:textId="77777777" w:rsidR="006D7FC0" w:rsidRDefault="006D7FC0" w:rsidP="006D7FC0">
            <w:pPr>
              <w:pStyle w:val="TableTextBullet"/>
            </w:pPr>
            <w:r>
              <w:t xml:space="preserve">Displays a direct data entry </w:t>
            </w:r>
            <w:r w:rsidR="00917E9F">
              <w:t xml:space="preserve">(DDE) </w:t>
            </w:r>
            <w:r>
              <w:t>grid for entering serologic reaction results for antigen typing testing. This grid may be partially populated from a previous session.</w:t>
            </w:r>
          </w:p>
          <w:p w14:paraId="4DB6E141" w14:textId="77777777" w:rsidR="006D7FC0" w:rsidRDefault="006D7FC0" w:rsidP="006D7FC0">
            <w:pPr>
              <w:pStyle w:val="TableTextBullet"/>
            </w:pPr>
            <w:r>
              <w:t>Allows the user to select a unit and enter a test result for the unit.</w:t>
            </w:r>
          </w:p>
          <w:p w14:paraId="7BEC677B" w14:textId="77777777" w:rsidR="006D7FC0" w:rsidRDefault="006D7FC0" w:rsidP="006D7FC0">
            <w:pPr>
              <w:pStyle w:val="TableTextBullet"/>
            </w:pPr>
            <w:r>
              <w:t>Displays options for finding and selecting tests to process.</w:t>
            </w:r>
          </w:p>
          <w:p w14:paraId="374AD6F7" w14:textId="77777777" w:rsidR="006D7FC0" w:rsidRDefault="006D7FC0" w:rsidP="006D7FC0">
            <w:pPr>
              <w:pStyle w:val="TableText"/>
            </w:pPr>
          </w:p>
          <w:p w14:paraId="4D25902E" w14:textId="0382DF68" w:rsidR="006D7FC0" w:rsidRDefault="006D7FC0" w:rsidP="006D7FC0">
            <w:pPr>
              <w:pStyle w:val="TableText"/>
              <w:rPr>
                <w:b/>
                <w:bCs/>
                <w:szCs w:val="18"/>
              </w:rPr>
            </w:pPr>
            <w:r>
              <w:rPr>
                <w:b/>
                <w:bCs/>
                <w:szCs w:val="18"/>
              </w:rPr>
              <w:t>NOTES</w:t>
            </w:r>
          </w:p>
          <w:p w14:paraId="3519155F" w14:textId="77777777" w:rsidR="006D7FC0" w:rsidRDefault="006D7FC0" w:rsidP="009368F1">
            <w:pPr>
              <w:pStyle w:val="NotesText"/>
            </w:pPr>
          </w:p>
          <w:p w14:paraId="1E559D21" w14:textId="77777777" w:rsidR="006D7FC0" w:rsidRDefault="006D7FC0" w:rsidP="009368F1">
            <w:pPr>
              <w:pStyle w:val="NotesText"/>
            </w:pPr>
            <w:r>
              <w:rPr>
                <w:rFonts w:cs="Arial"/>
                <w:vanish/>
              </w:rPr>
              <w:t xml:space="preserve">BR_41.15 </w:t>
            </w:r>
            <w:r>
              <w:t>When the user selects a partially completed worksheet, he must verify the lot numbers, manufacturer name, and expiration date of the antiserum and control cells previously selected. These fields may not be edited. (A user who finds a discrepancy must delete the worksheet and start over.)</w:t>
            </w:r>
          </w:p>
        </w:tc>
      </w:tr>
      <w:tr w:rsidR="002A21AE" w14:paraId="229F1062" w14:textId="77777777">
        <w:tc>
          <w:tcPr>
            <w:tcW w:w="3240" w:type="dxa"/>
          </w:tcPr>
          <w:p w14:paraId="39602ECE" w14:textId="77777777" w:rsidR="002A21AE" w:rsidRDefault="002A21AE">
            <w:pPr>
              <w:pStyle w:val="TableTextNumbers"/>
            </w:pPr>
            <w:r>
              <w:t>Confirm the selected patient.</w:t>
            </w:r>
          </w:p>
          <w:p w14:paraId="39F07964" w14:textId="77777777" w:rsidR="002A21AE" w:rsidRDefault="002A21AE">
            <w:pPr>
              <w:pStyle w:val="TableTextNumbersContinued"/>
            </w:pPr>
          </w:p>
          <w:p w14:paraId="596DC206" w14:textId="77777777" w:rsidR="002A21AE" w:rsidRDefault="002A21AE">
            <w:pPr>
              <w:pStyle w:val="TableTextNumbersContinued"/>
            </w:pPr>
            <w:r>
              <w:t xml:space="preserve">When control cells were tested for the antiserum, go to Step </w:t>
            </w:r>
            <w:r w:rsidR="00502986">
              <w:t>7</w:t>
            </w:r>
            <w:r>
              <w:t>.</w:t>
            </w:r>
          </w:p>
        </w:tc>
        <w:tc>
          <w:tcPr>
            <w:tcW w:w="6120" w:type="dxa"/>
          </w:tcPr>
          <w:p w14:paraId="62B95212" w14:textId="77777777" w:rsidR="002A21AE" w:rsidRDefault="002A21AE">
            <w:pPr>
              <w:pStyle w:val="TableTextBullet"/>
            </w:pPr>
            <w:r>
              <w:t xml:space="preserve">Displays an option to select a lot number for each of the antiserum types selected. </w:t>
            </w:r>
          </w:p>
          <w:p w14:paraId="7A8E59F9" w14:textId="77777777" w:rsidR="002A21AE" w:rsidRDefault="002A21AE">
            <w:pPr>
              <w:pStyle w:val="TableText"/>
            </w:pPr>
          </w:p>
          <w:p w14:paraId="421E92B4" w14:textId="4EC1504D" w:rsidR="002A21AE" w:rsidRDefault="002A21AE">
            <w:pPr>
              <w:pStyle w:val="TableText"/>
              <w:rPr>
                <w:b/>
                <w:bCs/>
                <w:szCs w:val="18"/>
              </w:rPr>
            </w:pPr>
            <w:r>
              <w:rPr>
                <w:b/>
                <w:bCs/>
                <w:szCs w:val="18"/>
              </w:rPr>
              <w:t>NOTES</w:t>
            </w:r>
          </w:p>
          <w:p w14:paraId="29EED6F0" w14:textId="77777777" w:rsidR="002A21AE" w:rsidRDefault="002A21AE">
            <w:pPr>
              <w:pStyle w:val="NotesText"/>
            </w:pPr>
          </w:p>
          <w:p w14:paraId="4AB87CF8" w14:textId="77777777" w:rsidR="002A21AE" w:rsidRDefault="002A21AE">
            <w:pPr>
              <w:pStyle w:val="NotesText"/>
            </w:pPr>
            <w:r>
              <w:t>VBECS displays grids and quality control cells for each antiserum type.</w:t>
            </w:r>
          </w:p>
        </w:tc>
      </w:tr>
      <w:tr w:rsidR="002A21AE" w14:paraId="5FAB0D09" w14:textId="77777777">
        <w:tc>
          <w:tcPr>
            <w:tcW w:w="3240" w:type="dxa"/>
          </w:tcPr>
          <w:p w14:paraId="4B4454B8" w14:textId="77777777" w:rsidR="002A21AE" w:rsidRDefault="002A21AE">
            <w:pPr>
              <w:pStyle w:val="TableTextNumbers"/>
            </w:pPr>
            <w:r>
              <w:t>Select a lot number for each antiserum specificity.</w:t>
            </w:r>
          </w:p>
        </w:tc>
        <w:tc>
          <w:tcPr>
            <w:tcW w:w="6120" w:type="dxa"/>
          </w:tcPr>
          <w:p w14:paraId="1772FDDF" w14:textId="77777777" w:rsidR="002A21AE" w:rsidRDefault="002A21AE">
            <w:pPr>
              <w:pStyle w:val="TableTextBullet"/>
            </w:pPr>
            <w:r>
              <w:rPr>
                <w:rFonts w:cs="Arial"/>
                <w:vanish/>
              </w:rPr>
              <w:t>BR_41.04</w:t>
            </w:r>
            <w:r w:rsidR="004F5F28" w:rsidRPr="00323744">
              <w:rPr>
                <w:rStyle w:val="BullhornChar"/>
              </w:rPr>
              <w:t></w:t>
            </w:r>
            <w:r w:rsidR="004F5F28">
              <w:rPr>
                <w:rFonts w:ascii="Webdings" w:hAnsi="Webdings"/>
              </w:rPr>
              <w:t></w:t>
            </w:r>
            <w:r w:rsidR="00AA089C">
              <w:t>A</w:t>
            </w:r>
            <w:r>
              <w:t>llows the user to select or enter the lot number and displays the manufacturer and expiration date of each antiserum to be used in this transaction so the user can select the correct antiserum. VBECS displays in-date antisera. When the user selects outdated antisera, VBECS emits an audible alert and requires a comment and an override. VBECS captures details for inclusion in an Exception Report (exception type: expired antisera used).</w:t>
            </w:r>
          </w:p>
          <w:p w14:paraId="3182247C" w14:textId="77777777" w:rsidR="002A21AE" w:rsidRDefault="002A21AE">
            <w:pPr>
              <w:pStyle w:val="TableTextBullet"/>
            </w:pPr>
            <w:r>
              <w:t>Prompts the user to select the correct antiserum entry for the specificity selected.</w:t>
            </w:r>
          </w:p>
          <w:p w14:paraId="68BE8608" w14:textId="77777777" w:rsidR="002A21AE" w:rsidRDefault="002A21AE">
            <w:pPr>
              <w:pStyle w:val="TableTextBullet"/>
            </w:pPr>
            <w:r>
              <w:t xml:space="preserve">Displays the lot number information. </w:t>
            </w:r>
          </w:p>
          <w:p w14:paraId="7028CAB4" w14:textId="77777777" w:rsidR="00AA089C" w:rsidRDefault="00AA089C" w:rsidP="00AA089C">
            <w:pPr>
              <w:pStyle w:val="TableText"/>
            </w:pPr>
          </w:p>
          <w:p w14:paraId="67F54783" w14:textId="69328AAA" w:rsidR="00AA089C" w:rsidRDefault="00AA089C" w:rsidP="00AA089C">
            <w:pPr>
              <w:pStyle w:val="TableText"/>
              <w:rPr>
                <w:b/>
                <w:bCs/>
                <w:szCs w:val="18"/>
              </w:rPr>
            </w:pPr>
            <w:r>
              <w:rPr>
                <w:b/>
                <w:bCs/>
                <w:szCs w:val="18"/>
              </w:rPr>
              <w:t>NOTES</w:t>
            </w:r>
          </w:p>
          <w:p w14:paraId="47C54AA0" w14:textId="77777777" w:rsidR="00AA089C" w:rsidRDefault="00AA089C" w:rsidP="00AA089C">
            <w:pPr>
              <w:pStyle w:val="NotesText"/>
            </w:pPr>
          </w:p>
          <w:p w14:paraId="76CCB463" w14:textId="77777777" w:rsidR="00AA089C" w:rsidRDefault="00AA089C" w:rsidP="00AA089C">
            <w:pPr>
              <w:pStyle w:val="NotesText"/>
            </w:pPr>
            <w:r>
              <w:t>VBECS r</w:t>
            </w:r>
            <w:r w:rsidRPr="00AA089C">
              <w:t>equest</w:t>
            </w:r>
            <w:r>
              <w:t>s</w:t>
            </w:r>
            <w:r w:rsidRPr="00AA089C">
              <w:t xml:space="preserve"> information about </w:t>
            </w:r>
            <w:r>
              <w:t>an antigen</w:t>
            </w:r>
            <w:r w:rsidRPr="00AA089C">
              <w:t xml:space="preserve"> lot number </w:t>
            </w:r>
            <w:r>
              <w:t xml:space="preserve">only </w:t>
            </w:r>
            <w:r w:rsidRPr="00AA089C">
              <w:t xml:space="preserve">the first time it is used </w:t>
            </w:r>
            <w:r>
              <w:t>on a specific</w:t>
            </w:r>
            <w:r w:rsidRPr="00AA089C">
              <w:t xml:space="preserve"> day. </w:t>
            </w:r>
          </w:p>
          <w:p w14:paraId="2631391F" w14:textId="77777777" w:rsidR="00AA089C" w:rsidRDefault="00AA089C" w:rsidP="00AA089C">
            <w:pPr>
              <w:pStyle w:val="NotesText"/>
            </w:pPr>
          </w:p>
          <w:p w14:paraId="4969172E" w14:textId="77777777" w:rsidR="00AA089C" w:rsidRDefault="00AA089C" w:rsidP="00AA089C">
            <w:pPr>
              <w:pStyle w:val="NotesText"/>
            </w:pPr>
            <w:r w:rsidRPr="00AA089C">
              <w:t xml:space="preserve">If there are multiple test tabs, </w:t>
            </w:r>
            <w:r>
              <w:t>VBECS displays a</w:t>
            </w:r>
            <w:r w:rsidRPr="00AA089C">
              <w:t xml:space="preserve"> </w:t>
            </w:r>
            <w:r>
              <w:t>message</w:t>
            </w:r>
            <w:r w:rsidRPr="00AA089C">
              <w:t xml:space="preserve"> </w:t>
            </w:r>
            <w:r>
              <w:t xml:space="preserve">that </w:t>
            </w:r>
            <w:r w:rsidRPr="00AA089C">
              <w:t xml:space="preserve">may not </w:t>
            </w:r>
            <w:r>
              <w:t>correspond to</w:t>
            </w:r>
            <w:r w:rsidRPr="00AA089C">
              <w:t xml:space="preserve"> the</w:t>
            </w:r>
            <w:r>
              <w:t xml:space="preserve"> selected</w:t>
            </w:r>
            <w:r w:rsidRPr="00AA089C">
              <w:t xml:space="preserve"> tab, but will </w:t>
            </w:r>
            <w:r>
              <w:t xml:space="preserve">correspond to </w:t>
            </w:r>
            <w:r w:rsidRPr="00AA089C">
              <w:t xml:space="preserve">information </w:t>
            </w:r>
            <w:r>
              <w:t xml:space="preserve">required by </w:t>
            </w:r>
            <w:r w:rsidRPr="00AA089C">
              <w:t>one of the requested tests.</w:t>
            </w:r>
          </w:p>
        </w:tc>
      </w:tr>
      <w:tr w:rsidR="002A21AE" w14:paraId="3B37D9A8" w14:textId="77777777" w:rsidTr="006C058D">
        <w:trPr>
          <w:cantSplit/>
        </w:trPr>
        <w:tc>
          <w:tcPr>
            <w:tcW w:w="3240" w:type="dxa"/>
          </w:tcPr>
          <w:p w14:paraId="401FFD7E" w14:textId="2A216E23" w:rsidR="002A21AE" w:rsidRDefault="002A21AE" w:rsidP="00AA3667">
            <w:pPr>
              <w:pStyle w:val="TableTextNumbers"/>
            </w:pPr>
            <w:r>
              <w:t>Verify the antiserum lot number selected</w:t>
            </w:r>
            <w:r w:rsidR="00AA3667">
              <w:t xml:space="preserve"> (</w:t>
            </w:r>
            <w:r w:rsidR="00EE455E">
              <w:t xml:space="preserve">Figure </w:t>
            </w:r>
            <w:r w:rsidR="00EE455E">
              <w:rPr>
                <w:noProof/>
              </w:rPr>
              <w:t>98</w:t>
            </w:r>
            <w:r w:rsidR="00AA3667">
              <w:t>)</w:t>
            </w:r>
            <w:r>
              <w:t xml:space="preserve">. </w:t>
            </w:r>
          </w:p>
        </w:tc>
        <w:tc>
          <w:tcPr>
            <w:tcW w:w="6120" w:type="dxa"/>
          </w:tcPr>
          <w:p w14:paraId="264CA1D8" w14:textId="77777777" w:rsidR="002A21AE" w:rsidRDefault="002A21AE">
            <w:pPr>
              <w:pStyle w:val="TableTextBullet"/>
            </w:pPr>
            <w:r>
              <w:t xml:space="preserve">Allows the user to select the testing phases for the antiserum specificity by lot number. </w:t>
            </w:r>
          </w:p>
          <w:p w14:paraId="64E9917D" w14:textId="77777777" w:rsidR="002A21AE" w:rsidRDefault="002A21AE">
            <w:pPr>
              <w:pStyle w:val="TableTextBullet"/>
            </w:pPr>
            <w:r>
              <w:t xml:space="preserve">Displays a testing grid and disables the phases that are not to be completed. </w:t>
            </w:r>
          </w:p>
          <w:p w14:paraId="6F7F6730" w14:textId="77777777" w:rsidR="002A21AE" w:rsidRDefault="002A21AE">
            <w:pPr>
              <w:pStyle w:val="TableTextBullet"/>
            </w:pPr>
            <w:r>
              <w:t>Stores the antiserum information and checks whether the positive and negative controls are needed.</w:t>
            </w:r>
          </w:p>
          <w:p w14:paraId="05A6832B" w14:textId="77777777" w:rsidR="002A21AE" w:rsidRDefault="002A21AE">
            <w:pPr>
              <w:pStyle w:val="TableText"/>
            </w:pPr>
          </w:p>
          <w:p w14:paraId="6002BD4B" w14:textId="52FE7CCA" w:rsidR="002A21AE" w:rsidRDefault="002A21AE">
            <w:pPr>
              <w:pStyle w:val="TableText"/>
              <w:rPr>
                <w:b/>
                <w:bCs/>
                <w:szCs w:val="18"/>
              </w:rPr>
            </w:pPr>
            <w:r>
              <w:rPr>
                <w:b/>
                <w:bCs/>
                <w:szCs w:val="18"/>
              </w:rPr>
              <w:t>NOTES</w:t>
            </w:r>
          </w:p>
          <w:p w14:paraId="6424DAAF" w14:textId="77777777" w:rsidR="002A21AE" w:rsidRDefault="002A21AE">
            <w:pPr>
              <w:pStyle w:val="NotesText"/>
            </w:pPr>
          </w:p>
          <w:p w14:paraId="74E64FC0" w14:textId="77777777" w:rsidR="002A21AE" w:rsidRDefault="002A21AE">
            <w:pPr>
              <w:pStyle w:val="NotesText"/>
            </w:pPr>
            <w:r>
              <w:rPr>
                <w:rFonts w:cs="Arial"/>
                <w:vanish/>
              </w:rPr>
              <w:t xml:space="preserve">BR_41.02 </w:t>
            </w:r>
            <w:r>
              <w:t xml:space="preserve">The user must indicate the phases of reactivity for each antiserum specificity: </w:t>
            </w:r>
          </w:p>
          <w:p w14:paraId="428E7355" w14:textId="77777777" w:rsidR="002A21AE" w:rsidRDefault="002A21AE">
            <w:pPr>
              <w:pStyle w:val="NotesTextBullet"/>
              <w:tabs>
                <w:tab w:val="clear" w:pos="1008"/>
                <w:tab w:val="num" w:pos="1260"/>
              </w:tabs>
              <w:ind w:left="1188"/>
            </w:pPr>
            <w:r>
              <w:t>IS</w:t>
            </w:r>
          </w:p>
          <w:p w14:paraId="6DEB6402" w14:textId="77777777" w:rsidR="002A21AE" w:rsidRDefault="002A21AE">
            <w:pPr>
              <w:pStyle w:val="NotesTextBullet"/>
              <w:tabs>
                <w:tab w:val="clear" w:pos="1008"/>
                <w:tab w:val="num" w:pos="1260"/>
              </w:tabs>
              <w:ind w:left="1188"/>
            </w:pPr>
            <w:r>
              <w:t>IS/RT</w:t>
            </w:r>
          </w:p>
          <w:p w14:paraId="7A68A2A6" w14:textId="77777777" w:rsidR="002A21AE" w:rsidRDefault="002A21AE">
            <w:pPr>
              <w:pStyle w:val="NotesTextBullet"/>
              <w:tabs>
                <w:tab w:val="clear" w:pos="1008"/>
                <w:tab w:val="num" w:pos="1260"/>
              </w:tabs>
              <w:ind w:left="1188"/>
            </w:pPr>
            <w:r>
              <w:t>IS/37</w:t>
            </w:r>
          </w:p>
          <w:p w14:paraId="1B34B950" w14:textId="77777777" w:rsidR="002A21AE" w:rsidRDefault="002A21AE">
            <w:pPr>
              <w:pStyle w:val="NotesTextBullet"/>
              <w:tabs>
                <w:tab w:val="clear" w:pos="1008"/>
                <w:tab w:val="num" w:pos="1260"/>
              </w:tabs>
              <w:ind w:left="1188"/>
            </w:pPr>
            <w:r>
              <w:t>AHG/CC</w:t>
            </w:r>
          </w:p>
          <w:p w14:paraId="50B5E10B" w14:textId="77777777" w:rsidR="002A21AE" w:rsidRDefault="002A21AE">
            <w:pPr>
              <w:pStyle w:val="NotesText"/>
            </w:pPr>
          </w:p>
          <w:p w14:paraId="6C873890" w14:textId="77777777" w:rsidR="002A21AE" w:rsidRDefault="002A21AE">
            <w:pPr>
              <w:pStyle w:val="NotesText"/>
            </w:pPr>
            <w:r>
              <w:t>VBECS enables the Rack Identifier field when the user selects the weak D or AHG/CC phase. VBECS disables the rack identifier field when the user selects other phases.</w:t>
            </w:r>
          </w:p>
          <w:p w14:paraId="1A91D6CA" w14:textId="77777777" w:rsidR="002A21AE" w:rsidRDefault="002A21AE">
            <w:pPr>
              <w:pStyle w:val="NotesText"/>
            </w:pPr>
          </w:p>
          <w:p w14:paraId="67E9BB34" w14:textId="77777777" w:rsidR="002A21AE" w:rsidRDefault="002A21AE">
            <w:pPr>
              <w:pStyle w:val="NotesText"/>
            </w:pPr>
            <w:r>
              <w:rPr>
                <w:rFonts w:cs="Arial"/>
                <w:vanish/>
              </w:rPr>
              <w:t xml:space="preserve">BR_41.27 </w:t>
            </w:r>
            <w:r>
              <w:t>When the user QC’d the antigen typing reagent lot number and performed patient antigen typing on the same date under different testing phases, VBECS enables the QC grid for the antisera in the phases the user selected.</w:t>
            </w:r>
          </w:p>
          <w:p w14:paraId="0CBFA019" w14:textId="77777777" w:rsidR="002A21AE" w:rsidRDefault="002A21AE">
            <w:pPr>
              <w:pStyle w:val="NotesText"/>
            </w:pPr>
          </w:p>
          <w:p w14:paraId="2E6D8945" w14:textId="77777777" w:rsidR="002A21AE" w:rsidRDefault="002A21AE">
            <w:pPr>
              <w:pStyle w:val="NotesText"/>
            </w:pPr>
            <w:r>
              <w:rPr>
                <w:rFonts w:cs="Arial"/>
                <w:vanish/>
              </w:rPr>
              <w:t>BR_41.26</w:t>
            </w:r>
            <w:r w:rsidR="004F5F28" w:rsidRPr="00323744">
              <w:rPr>
                <w:rStyle w:val="BullhornChar"/>
              </w:rPr>
              <w:t></w:t>
            </w:r>
            <w:r w:rsidR="004F5F28">
              <w:rPr>
                <w:rFonts w:ascii="Webdings" w:hAnsi="Webdings"/>
              </w:rPr>
              <w:t></w:t>
            </w:r>
            <w:r w:rsidR="004F5F28" w:rsidRPr="00263B24">
              <w:t>Wh</w:t>
            </w:r>
            <w:r w:rsidR="004F5F28">
              <w:t>en</w:t>
            </w:r>
            <w:r>
              <w:t xml:space="preserve"> the user attempts to change the phases of reactivity previously recorded for the lot number, VBECS emits an audible alert, warns that the user selected phases that were not used previously for this reagent, and asks whether the user wishes to continue. </w:t>
            </w:r>
            <w:r>
              <w:rPr>
                <w:b/>
              </w:rPr>
              <w:t>No</w:t>
            </w:r>
            <w:r>
              <w:t xml:space="preserve"> requires the user to select the correct testing phases. </w:t>
            </w:r>
            <w:r>
              <w:rPr>
                <w:b/>
              </w:rPr>
              <w:t>Yes</w:t>
            </w:r>
            <w:r>
              <w:t xml:space="preserve"> requires the user to enter a comment explaining why he is selecting different testing phases. VBECS captures details for inclusion in an Exception Report (exception type: antigen testing phase change). VBECS requires a comment and captures details for inclusion in an Exception Report. Antigen testing phase change</w:t>
            </w:r>
          </w:p>
        </w:tc>
      </w:tr>
      <w:tr w:rsidR="002A21AE" w14:paraId="3876B690" w14:textId="77777777">
        <w:tc>
          <w:tcPr>
            <w:tcW w:w="3240" w:type="dxa"/>
          </w:tcPr>
          <w:p w14:paraId="68A5E7B5" w14:textId="77777777" w:rsidR="00B6515C" w:rsidRDefault="00B6515C" w:rsidP="00B6515C">
            <w:pPr>
              <w:pStyle w:val="TableTextNumbers"/>
            </w:pPr>
            <w:r>
              <w:t>Select the lot number for the reagent and the positive and negative control cells. Enter the vial identifiers, if required. Enter “0” when not using panel cells.</w:t>
            </w:r>
          </w:p>
          <w:p w14:paraId="3FB6F740" w14:textId="77777777" w:rsidR="00B6515C" w:rsidRDefault="00B6515C" w:rsidP="00B6515C">
            <w:pPr>
              <w:pStyle w:val="TableTextNumbersContinued"/>
            </w:pPr>
          </w:p>
          <w:p w14:paraId="69382CB0" w14:textId="3A9520D8" w:rsidR="00B6515C" w:rsidRDefault="00B6515C" w:rsidP="00B6515C">
            <w:pPr>
              <w:pStyle w:val="TableTextNumbersContinued"/>
            </w:pPr>
            <w:r>
              <w:t>Verify the reagent type and the positive and negative control cell lot numbers selected and vial identifiers entered, if required</w:t>
            </w:r>
            <w:r w:rsidR="001E3E16">
              <w:t xml:space="preserve"> (</w:t>
            </w:r>
            <w:r w:rsidR="00EE455E">
              <w:t xml:space="preserve">Figure </w:t>
            </w:r>
            <w:r w:rsidR="00EE455E">
              <w:rPr>
                <w:noProof/>
              </w:rPr>
              <w:t>99</w:t>
            </w:r>
            <w:r w:rsidR="001E3E16">
              <w:t>)</w:t>
            </w:r>
            <w:r>
              <w:t>.</w:t>
            </w:r>
          </w:p>
        </w:tc>
        <w:tc>
          <w:tcPr>
            <w:tcW w:w="6120" w:type="dxa"/>
          </w:tcPr>
          <w:p w14:paraId="2B173EFF" w14:textId="77777777" w:rsidR="002A21AE" w:rsidRDefault="002A21AE">
            <w:pPr>
              <w:pStyle w:val="TableTextBullet"/>
            </w:pPr>
            <w:r>
              <w:t xml:space="preserve">Displays the lot number information, including the vial identifier. </w:t>
            </w:r>
          </w:p>
          <w:p w14:paraId="35D8750F" w14:textId="77777777" w:rsidR="002A21AE" w:rsidRDefault="002A21AE">
            <w:pPr>
              <w:pStyle w:val="TableText"/>
            </w:pPr>
          </w:p>
          <w:p w14:paraId="4C0F91AC" w14:textId="080633D8" w:rsidR="002A21AE" w:rsidRDefault="002A21AE">
            <w:pPr>
              <w:pStyle w:val="TableText"/>
              <w:rPr>
                <w:b/>
                <w:bCs/>
                <w:szCs w:val="18"/>
              </w:rPr>
            </w:pPr>
            <w:r>
              <w:rPr>
                <w:b/>
                <w:bCs/>
                <w:szCs w:val="18"/>
              </w:rPr>
              <w:t>NOTES</w:t>
            </w:r>
          </w:p>
          <w:p w14:paraId="0C54496E" w14:textId="77777777" w:rsidR="002A21AE" w:rsidRDefault="002A21AE">
            <w:pPr>
              <w:pStyle w:val="NotesText"/>
            </w:pPr>
          </w:p>
          <w:p w14:paraId="1891C18D" w14:textId="77777777" w:rsidR="002A21AE" w:rsidRDefault="002A21AE">
            <w:pPr>
              <w:pStyle w:val="NotesText"/>
            </w:pPr>
            <w:r>
              <w:rPr>
                <w:rFonts w:cs="Arial"/>
                <w:vanish/>
              </w:rPr>
              <w:t xml:space="preserve">BR_41.25 </w:t>
            </w:r>
            <w:r>
              <w:t xml:space="preserve">Selectable reagent lot numbers for positive and negative control cells are: </w:t>
            </w:r>
          </w:p>
          <w:p w14:paraId="2ABB07BB" w14:textId="77777777" w:rsidR="002A21AE" w:rsidRDefault="002A21AE">
            <w:pPr>
              <w:pStyle w:val="NotesTextBullet"/>
              <w:tabs>
                <w:tab w:val="clear" w:pos="1008"/>
                <w:tab w:val="num" w:pos="1260"/>
              </w:tabs>
              <w:ind w:left="1188"/>
            </w:pPr>
            <w:r>
              <w:t>Reverse ABO Typing Cells</w:t>
            </w:r>
          </w:p>
          <w:p w14:paraId="64244BAD" w14:textId="77777777" w:rsidR="002A21AE" w:rsidRDefault="002A21AE">
            <w:pPr>
              <w:pStyle w:val="NotesTextBullet"/>
              <w:tabs>
                <w:tab w:val="clear" w:pos="1008"/>
                <w:tab w:val="num" w:pos="1260"/>
              </w:tabs>
              <w:ind w:left="1188"/>
            </w:pPr>
            <w:r>
              <w:t>A2 cell</w:t>
            </w:r>
          </w:p>
          <w:p w14:paraId="5F781545" w14:textId="77777777" w:rsidR="002A21AE" w:rsidRDefault="002A21AE">
            <w:pPr>
              <w:pStyle w:val="NotesTextBullet"/>
              <w:tabs>
                <w:tab w:val="clear" w:pos="1008"/>
                <w:tab w:val="num" w:pos="1260"/>
              </w:tabs>
              <w:ind w:left="1188"/>
            </w:pPr>
            <w:r>
              <w:t xml:space="preserve">Screening Cells </w:t>
            </w:r>
          </w:p>
          <w:p w14:paraId="1CD4E7B6" w14:textId="77777777" w:rsidR="002A21AE" w:rsidRDefault="002A21AE">
            <w:pPr>
              <w:pStyle w:val="NotesTextBullet"/>
              <w:tabs>
                <w:tab w:val="clear" w:pos="1008"/>
                <w:tab w:val="num" w:pos="1260"/>
              </w:tabs>
              <w:ind w:left="1188"/>
            </w:pPr>
            <w:r>
              <w:t>Check Cells</w:t>
            </w:r>
          </w:p>
          <w:p w14:paraId="2EC9FD52" w14:textId="77777777" w:rsidR="002A21AE" w:rsidRDefault="002A21AE">
            <w:pPr>
              <w:pStyle w:val="NotesTextBullet"/>
              <w:tabs>
                <w:tab w:val="clear" w:pos="1008"/>
                <w:tab w:val="num" w:pos="1260"/>
              </w:tabs>
              <w:ind w:left="1188"/>
            </w:pPr>
            <w:r>
              <w:t>Panel</w:t>
            </w:r>
          </w:p>
          <w:p w14:paraId="16080237" w14:textId="77777777" w:rsidR="002A21AE" w:rsidRDefault="002A21AE">
            <w:pPr>
              <w:pStyle w:val="NotesTextBullet"/>
              <w:tabs>
                <w:tab w:val="clear" w:pos="1008"/>
                <w:tab w:val="num" w:pos="1260"/>
              </w:tabs>
              <w:ind w:left="1188"/>
            </w:pPr>
            <w:r>
              <w:t>Other (set)</w:t>
            </w:r>
          </w:p>
          <w:p w14:paraId="4C49C023" w14:textId="77777777" w:rsidR="002A21AE" w:rsidRDefault="002A21AE">
            <w:pPr>
              <w:pStyle w:val="TableText"/>
            </w:pPr>
          </w:p>
          <w:p w14:paraId="445CD57B" w14:textId="77777777" w:rsidR="002A21AE" w:rsidRDefault="00DD6197">
            <w:pPr>
              <w:pStyle w:val="NotesText"/>
            </w:pPr>
            <w:r>
              <w:t xml:space="preserve">The vial identifier, comprising one or two digits, identifies the vial contained in a kit of reagent red blood cells. A vial contains antigen positive or antigen negative blood cells to be used in quality control of the antisera. </w:t>
            </w:r>
          </w:p>
        </w:tc>
      </w:tr>
      <w:tr w:rsidR="002A21AE" w14:paraId="575DA5D3" w14:textId="77777777" w:rsidTr="00B4381D">
        <w:trPr>
          <w:cantSplit/>
        </w:trPr>
        <w:tc>
          <w:tcPr>
            <w:tcW w:w="3240" w:type="dxa"/>
          </w:tcPr>
          <w:p w14:paraId="3D4674D9" w14:textId="77777777" w:rsidR="002A21AE" w:rsidRDefault="002A21AE">
            <w:pPr>
              <w:pStyle w:val="TableTextNumbers"/>
            </w:pPr>
            <w:r>
              <w:t xml:space="preserve">Respond to warnings and continue with antigen typing. </w:t>
            </w:r>
          </w:p>
        </w:tc>
        <w:tc>
          <w:tcPr>
            <w:tcW w:w="6120" w:type="dxa"/>
          </w:tcPr>
          <w:p w14:paraId="52FD8E0F" w14:textId="77777777" w:rsidR="002A21AE" w:rsidRDefault="002A21AE">
            <w:pPr>
              <w:pStyle w:val="TableTextBullet"/>
            </w:pPr>
            <w:r>
              <w:t xml:space="preserve">Displays a </w:t>
            </w:r>
            <w:r w:rsidR="00917E9F">
              <w:t>DDE</w:t>
            </w:r>
            <w:r>
              <w:t xml:space="preserve"> grid for entering serologic reaction results for antigen typing testing. This grid may be partially populated with results from a previous session.</w:t>
            </w:r>
          </w:p>
          <w:p w14:paraId="643FBE7F" w14:textId="77777777" w:rsidR="002A21AE" w:rsidRDefault="002A21AE">
            <w:pPr>
              <w:pStyle w:val="TableText"/>
            </w:pPr>
          </w:p>
          <w:p w14:paraId="7C7C014C" w14:textId="70FF8C81" w:rsidR="002A21AE" w:rsidRDefault="002A21AE">
            <w:pPr>
              <w:pStyle w:val="TableText"/>
              <w:rPr>
                <w:b/>
                <w:bCs/>
                <w:szCs w:val="18"/>
              </w:rPr>
            </w:pPr>
            <w:r>
              <w:rPr>
                <w:b/>
                <w:bCs/>
                <w:szCs w:val="18"/>
              </w:rPr>
              <w:t>NOTES</w:t>
            </w:r>
          </w:p>
          <w:p w14:paraId="3C4AC7C8" w14:textId="77777777" w:rsidR="002A21AE" w:rsidRDefault="002A21AE">
            <w:pPr>
              <w:pStyle w:val="NotesText"/>
            </w:pPr>
          </w:p>
          <w:p w14:paraId="1BDF1136" w14:textId="77777777" w:rsidR="002A21AE" w:rsidRDefault="002A21AE">
            <w:pPr>
              <w:pStyle w:val="NotesText"/>
            </w:pPr>
            <w:r>
              <w:rPr>
                <w:rFonts w:cs="Arial"/>
                <w:vanish/>
              </w:rPr>
              <w:t xml:space="preserve">BR_41.07 </w:t>
            </w:r>
            <w:r>
              <w:t>VBECS organizes the worklist for the grids by antiserum types.</w:t>
            </w:r>
          </w:p>
          <w:p w14:paraId="57A3F804" w14:textId="77777777" w:rsidR="002A21AE" w:rsidRDefault="002A21AE">
            <w:pPr>
              <w:pStyle w:val="NotesText"/>
            </w:pPr>
          </w:p>
          <w:p w14:paraId="486EA285" w14:textId="77777777" w:rsidR="002A21AE" w:rsidRDefault="002A21AE">
            <w:pPr>
              <w:pStyle w:val="NotesText"/>
            </w:pPr>
            <w:r>
              <w:rPr>
                <w:vanish/>
                <w:szCs w:val="18"/>
              </w:rPr>
              <w:t xml:space="preserve">BR_98.06, </w:t>
            </w:r>
            <w:r>
              <w:rPr>
                <w:rFonts w:cs="Arial"/>
                <w:vanish/>
              </w:rPr>
              <w:t xml:space="preserve">BR_41.17 </w:t>
            </w:r>
            <w:r>
              <w:t>The row title of the data grid specifies the positive and negative control cells; the column title specifies the phases of reactivity that may be used in the test. VBECS fills in this information; the user may not edit it.</w:t>
            </w:r>
          </w:p>
        </w:tc>
      </w:tr>
      <w:tr w:rsidR="002A21AE" w14:paraId="67C7C91D" w14:textId="77777777">
        <w:tc>
          <w:tcPr>
            <w:tcW w:w="3240" w:type="dxa"/>
          </w:tcPr>
          <w:p w14:paraId="3EAF83DE" w14:textId="77777777" w:rsidR="002A21AE" w:rsidRDefault="002A21AE">
            <w:pPr>
              <w:pStyle w:val="TableTextNumbers"/>
            </w:pPr>
            <w:r>
              <w:t>Select one control cell or patient to begin entering serologic reactions and interpretations.</w:t>
            </w:r>
          </w:p>
        </w:tc>
        <w:tc>
          <w:tcPr>
            <w:tcW w:w="6120" w:type="dxa"/>
          </w:tcPr>
          <w:p w14:paraId="6E62AAEC" w14:textId="77777777" w:rsidR="002A21AE" w:rsidRDefault="002A21AE">
            <w:pPr>
              <w:pStyle w:val="TableTextBullet"/>
            </w:pPr>
            <w:r>
              <w:t>Allows the user to select a patient or control cell and enter test results.</w:t>
            </w:r>
          </w:p>
          <w:p w14:paraId="5A440051" w14:textId="77777777" w:rsidR="002A21AE" w:rsidRDefault="002A21AE">
            <w:pPr>
              <w:pStyle w:val="TableText"/>
            </w:pPr>
          </w:p>
          <w:p w14:paraId="7DCD0282" w14:textId="16BE230F" w:rsidR="002A21AE" w:rsidRDefault="002A21AE">
            <w:pPr>
              <w:pStyle w:val="TableText"/>
              <w:rPr>
                <w:b/>
                <w:bCs/>
                <w:szCs w:val="18"/>
              </w:rPr>
            </w:pPr>
            <w:r>
              <w:rPr>
                <w:b/>
                <w:bCs/>
                <w:szCs w:val="18"/>
              </w:rPr>
              <w:t>NOTES</w:t>
            </w:r>
          </w:p>
          <w:p w14:paraId="3CE62253" w14:textId="77777777" w:rsidR="002A21AE" w:rsidRDefault="002A21AE">
            <w:pPr>
              <w:pStyle w:val="NotesText"/>
            </w:pPr>
          </w:p>
          <w:p w14:paraId="63BF8F9C" w14:textId="77777777" w:rsidR="002A21AE" w:rsidRDefault="002A21AE">
            <w:pPr>
              <w:pStyle w:val="NotesText"/>
            </w:pPr>
            <w:r>
              <w:rPr>
                <w:rFonts w:cs="Arial"/>
                <w:vanish/>
              </w:rPr>
              <w:t xml:space="preserve">BR_41.09 </w:t>
            </w:r>
            <w:r>
              <w:t xml:space="preserve">Valid observed test results include: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520"/>
              <w:gridCol w:w="1260"/>
            </w:tblGrid>
            <w:tr w:rsidR="002A21AE" w14:paraId="124EA869" w14:textId="77777777">
              <w:trPr>
                <w:tblHeader/>
              </w:trPr>
              <w:tc>
                <w:tcPr>
                  <w:tcW w:w="720" w:type="dxa"/>
                  <w:shd w:val="clear" w:color="auto" w:fill="B3B3B3"/>
                </w:tcPr>
                <w:p w14:paraId="46F53C1F" w14:textId="77777777" w:rsidR="002A21AE" w:rsidRDefault="002A21AE">
                  <w:pPr>
                    <w:pStyle w:val="TableText"/>
                    <w:jc w:val="center"/>
                    <w:rPr>
                      <w:b/>
                    </w:rPr>
                  </w:pPr>
                  <w:r>
                    <w:rPr>
                      <w:b/>
                    </w:rPr>
                    <w:t>Entry</w:t>
                  </w:r>
                </w:p>
              </w:tc>
              <w:tc>
                <w:tcPr>
                  <w:tcW w:w="3780" w:type="dxa"/>
                  <w:gridSpan w:val="2"/>
                  <w:shd w:val="clear" w:color="auto" w:fill="B3B3B3"/>
                </w:tcPr>
                <w:p w14:paraId="4910530B" w14:textId="77777777" w:rsidR="002A21AE" w:rsidRDefault="002A21AE">
                  <w:pPr>
                    <w:pStyle w:val="TableText"/>
                    <w:jc w:val="center"/>
                    <w:rPr>
                      <w:b/>
                    </w:rPr>
                  </w:pPr>
                  <w:r>
                    <w:rPr>
                      <w:b/>
                    </w:rPr>
                    <w:t>VBECS Translation</w:t>
                  </w:r>
                </w:p>
              </w:tc>
            </w:tr>
            <w:tr w:rsidR="002A21AE" w14:paraId="18A207FA" w14:textId="77777777">
              <w:tc>
                <w:tcPr>
                  <w:tcW w:w="720" w:type="dxa"/>
                </w:tcPr>
                <w:p w14:paraId="6E9F8EB2" w14:textId="77777777" w:rsidR="002A21AE" w:rsidRDefault="002A21AE">
                  <w:pPr>
                    <w:pStyle w:val="TableText"/>
                    <w:jc w:val="center"/>
                  </w:pPr>
                  <w:r>
                    <w:t>1</w:t>
                  </w:r>
                </w:p>
              </w:tc>
              <w:tc>
                <w:tcPr>
                  <w:tcW w:w="2520" w:type="dxa"/>
                </w:tcPr>
                <w:p w14:paraId="7A323899" w14:textId="77777777" w:rsidR="002A21AE" w:rsidRDefault="002A21AE">
                  <w:pPr>
                    <w:pStyle w:val="TableText"/>
                  </w:pPr>
                  <w:r>
                    <w:t>1+</w:t>
                  </w:r>
                </w:p>
              </w:tc>
              <w:tc>
                <w:tcPr>
                  <w:tcW w:w="1260" w:type="dxa"/>
                </w:tcPr>
                <w:p w14:paraId="73B2422F" w14:textId="77777777" w:rsidR="002A21AE" w:rsidRDefault="002A21AE">
                  <w:pPr>
                    <w:pStyle w:val="TableText"/>
                  </w:pPr>
                  <w:r>
                    <w:t>Positive</w:t>
                  </w:r>
                </w:p>
              </w:tc>
            </w:tr>
            <w:tr w:rsidR="002A21AE" w14:paraId="5304C826" w14:textId="77777777">
              <w:tc>
                <w:tcPr>
                  <w:tcW w:w="720" w:type="dxa"/>
                </w:tcPr>
                <w:p w14:paraId="1B18C1E3" w14:textId="77777777" w:rsidR="002A21AE" w:rsidRDefault="002A21AE">
                  <w:pPr>
                    <w:pStyle w:val="TableText"/>
                    <w:jc w:val="center"/>
                  </w:pPr>
                  <w:r>
                    <w:t>2</w:t>
                  </w:r>
                </w:p>
              </w:tc>
              <w:tc>
                <w:tcPr>
                  <w:tcW w:w="2520" w:type="dxa"/>
                </w:tcPr>
                <w:p w14:paraId="1FD2E08F" w14:textId="77777777" w:rsidR="002A21AE" w:rsidRDefault="002A21AE">
                  <w:pPr>
                    <w:pStyle w:val="TableText"/>
                  </w:pPr>
                  <w:r>
                    <w:t>2+</w:t>
                  </w:r>
                </w:p>
              </w:tc>
              <w:tc>
                <w:tcPr>
                  <w:tcW w:w="1260" w:type="dxa"/>
                </w:tcPr>
                <w:p w14:paraId="77FD7F2D" w14:textId="77777777" w:rsidR="002A21AE" w:rsidRDefault="002A21AE">
                  <w:pPr>
                    <w:pStyle w:val="TableText"/>
                  </w:pPr>
                  <w:r>
                    <w:t>Positive</w:t>
                  </w:r>
                </w:p>
              </w:tc>
            </w:tr>
            <w:tr w:rsidR="002A21AE" w14:paraId="4738BB76" w14:textId="77777777">
              <w:tc>
                <w:tcPr>
                  <w:tcW w:w="720" w:type="dxa"/>
                </w:tcPr>
                <w:p w14:paraId="797F3BBC" w14:textId="77777777" w:rsidR="002A21AE" w:rsidRDefault="002A21AE">
                  <w:pPr>
                    <w:pStyle w:val="TableText"/>
                    <w:jc w:val="center"/>
                  </w:pPr>
                  <w:r>
                    <w:t>3</w:t>
                  </w:r>
                </w:p>
              </w:tc>
              <w:tc>
                <w:tcPr>
                  <w:tcW w:w="2520" w:type="dxa"/>
                </w:tcPr>
                <w:p w14:paraId="212384A6" w14:textId="77777777" w:rsidR="002A21AE" w:rsidRDefault="002A21AE">
                  <w:pPr>
                    <w:pStyle w:val="TableText"/>
                  </w:pPr>
                  <w:r>
                    <w:t>3+</w:t>
                  </w:r>
                </w:p>
              </w:tc>
              <w:tc>
                <w:tcPr>
                  <w:tcW w:w="1260" w:type="dxa"/>
                </w:tcPr>
                <w:p w14:paraId="6AA496C4" w14:textId="77777777" w:rsidR="002A21AE" w:rsidRDefault="002A21AE">
                  <w:pPr>
                    <w:pStyle w:val="TableText"/>
                  </w:pPr>
                  <w:r>
                    <w:t>Positive</w:t>
                  </w:r>
                </w:p>
              </w:tc>
            </w:tr>
            <w:tr w:rsidR="002A21AE" w14:paraId="0D38CE74" w14:textId="77777777">
              <w:tc>
                <w:tcPr>
                  <w:tcW w:w="720" w:type="dxa"/>
                </w:tcPr>
                <w:p w14:paraId="667C8B09" w14:textId="77777777" w:rsidR="002A21AE" w:rsidRDefault="002A21AE">
                  <w:pPr>
                    <w:pStyle w:val="TableText"/>
                    <w:jc w:val="center"/>
                  </w:pPr>
                  <w:r>
                    <w:t>4</w:t>
                  </w:r>
                </w:p>
              </w:tc>
              <w:tc>
                <w:tcPr>
                  <w:tcW w:w="2520" w:type="dxa"/>
                </w:tcPr>
                <w:p w14:paraId="52EECB0F" w14:textId="77777777" w:rsidR="002A21AE" w:rsidRDefault="002A21AE">
                  <w:pPr>
                    <w:pStyle w:val="TableText"/>
                  </w:pPr>
                  <w:r>
                    <w:t>4+</w:t>
                  </w:r>
                </w:p>
              </w:tc>
              <w:tc>
                <w:tcPr>
                  <w:tcW w:w="1260" w:type="dxa"/>
                </w:tcPr>
                <w:p w14:paraId="2DF0E2C8" w14:textId="77777777" w:rsidR="002A21AE" w:rsidRDefault="002A21AE">
                  <w:pPr>
                    <w:pStyle w:val="TableText"/>
                  </w:pPr>
                  <w:r>
                    <w:t>Positive</w:t>
                  </w:r>
                </w:p>
              </w:tc>
            </w:tr>
            <w:tr w:rsidR="006D384A" w14:paraId="2863207E" w14:textId="77777777">
              <w:tc>
                <w:tcPr>
                  <w:tcW w:w="720" w:type="dxa"/>
                </w:tcPr>
                <w:p w14:paraId="5754E9AB" w14:textId="77777777" w:rsidR="006D384A" w:rsidRDefault="006D384A">
                  <w:pPr>
                    <w:pStyle w:val="TableText"/>
                    <w:jc w:val="center"/>
                  </w:pPr>
                  <w:r>
                    <w:t>W</w:t>
                  </w:r>
                </w:p>
              </w:tc>
              <w:tc>
                <w:tcPr>
                  <w:tcW w:w="2520" w:type="dxa"/>
                </w:tcPr>
                <w:p w14:paraId="6F95216E" w14:textId="77777777" w:rsidR="006D384A" w:rsidRDefault="006D384A">
                  <w:pPr>
                    <w:pStyle w:val="TableText"/>
                  </w:pPr>
                  <w:r>
                    <w:t>Weak</w:t>
                  </w:r>
                </w:p>
              </w:tc>
              <w:tc>
                <w:tcPr>
                  <w:tcW w:w="1260" w:type="dxa"/>
                </w:tcPr>
                <w:p w14:paraId="473070C5" w14:textId="77777777" w:rsidR="006D384A" w:rsidRDefault="006D384A" w:rsidP="0079413B">
                  <w:pPr>
                    <w:pStyle w:val="TableText"/>
                  </w:pPr>
                  <w:r>
                    <w:t>Positive</w:t>
                  </w:r>
                </w:p>
              </w:tc>
            </w:tr>
            <w:tr w:rsidR="006D384A" w14:paraId="3CA96AAE" w14:textId="77777777">
              <w:tc>
                <w:tcPr>
                  <w:tcW w:w="720" w:type="dxa"/>
                </w:tcPr>
                <w:p w14:paraId="7DE23CF7" w14:textId="77777777" w:rsidR="006D384A" w:rsidRDefault="006D384A">
                  <w:pPr>
                    <w:pStyle w:val="TableText"/>
                    <w:jc w:val="center"/>
                  </w:pPr>
                  <w:r>
                    <w:t>F</w:t>
                  </w:r>
                </w:p>
              </w:tc>
              <w:tc>
                <w:tcPr>
                  <w:tcW w:w="2520" w:type="dxa"/>
                </w:tcPr>
                <w:p w14:paraId="6B49BC99" w14:textId="77777777" w:rsidR="006D384A" w:rsidRDefault="006D384A">
                  <w:pPr>
                    <w:pStyle w:val="TableText"/>
                  </w:pPr>
                  <w:r>
                    <w:t>Mixed Field</w:t>
                  </w:r>
                </w:p>
              </w:tc>
              <w:tc>
                <w:tcPr>
                  <w:tcW w:w="1260" w:type="dxa"/>
                </w:tcPr>
                <w:p w14:paraId="06D536F1" w14:textId="77777777" w:rsidR="006D384A" w:rsidRDefault="006D384A" w:rsidP="0079413B">
                  <w:pPr>
                    <w:pStyle w:val="TableText"/>
                  </w:pPr>
                  <w:r>
                    <w:t>Positive</w:t>
                  </w:r>
                </w:p>
              </w:tc>
            </w:tr>
            <w:tr w:rsidR="006D384A" w14:paraId="5E42F902" w14:textId="77777777">
              <w:tc>
                <w:tcPr>
                  <w:tcW w:w="720" w:type="dxa"/>
                </w:tcPr>
                <w:p w14:paraId="4A6E78B7" w14:textId="77777777" w:rsidR="006D384A" w:rsidRDefault="006D384A">
                  <w:pPr>
                    <w:pStyle w:val="TableText"/>
                    <w:jc w:val="center"/>
                  </w:pPr>
                  <w:r>
                    <w:t>M</w:t>
                  </w:r>
                </w:p>
              </w:tc>
              <w:tc>
                <w:tcPr>
                  <w:tcW w:w="2520" w:type="dxa"/>
                </w:tcPr>
                <w:p w14:paraId="0B19E6B7" w14:textId="77777777" w:rsidR="006D384A" w:rsidRDefault="006D384A">
                  <w:pPr>
                    <w:pStyle w:val="TableText"/>
                  </w:pPr>
                  <w:r>
                    <w:t>Microscopic</w:t>
                  </w:r>
                </w:p>
              </w:tc>
              <w:tc>
                <w:tcPr>
                  <w:tcW w:w="1260" w:type="dxa"/>
                </w:tcPr>
                <w:p w14:paraId="7BB4B2F9" w14:textId="77777777" w:rsidR="006D384A" w:rsidRDefault="006D384A" w:rsidP="0079413B">
                  <w:pPr>
                    <w:pStyle w:val="TableText"/>
                  </w:pPr>
                  <w:r>
                    <w:t>Positive</w:t>
                  </w:r>
                </w:p>
              </w:tc>
            </w:tr>
            <w:tr w:rsidR="002A21AE" w14:paraId="7AF6BFC1" w14:textId="77777777">
              <w:tc>
                <w:tcPr>
                  <w:tcW w:w="720" w:type="dxa"/>
                </w:tcPr>
                <w:p w14:paraId="4A57B9FC" w14:textId="77777777" w:rsidR="002A21AE" w:rsidRDefault="002A21AE">
                  <w:pPr>
                    <w:pStyle w:val="TableText"/>
                    <w:jc w:val="center"/>
                  </w:pPr>
                  <w:r>
                    <w:t>X</w:t>
                  </w:r>
                </w:p>
              </w:tc>
              <w:tc>
                <w:tcPr>
                  <w:tcW w:w="2520" w:type="dxa"/>
                </w:tcPr>
                <w:p w14:paraId="2286E6D8" w14:textId="77777777" w:rsidR="002A21AE" w:rsidRDefault="002A21AE">
                  <w:pPr>
                    <w:pStyle w:val="TableText"/>
                  </w:pPr>
                  <w:r>
                    <w:t>Not Tested</w:t>
                  </w:r>
                  <w:r w:rsidR="002F7FF1">
                    <w:t xml:space="preserve"> X (Not Tested) (does not indicate a disabled cell)</w:t>
                  </w:r>
                </w:p>
              </w:tc>
              <w:tc>
                <w:tcPr>
                  <w:tcW w:w="1260" w:type="dxa"/>
                </w:tcPr>
                <w:p w14:paraId="2C52AE55" w14:textId="77777777" w:rsidR="002A21AE" w:rsidRDefault="002A21AE">
                  <w:pPr>
                    <w:pStyle w:val="TableText"/>
                  </w:pPr>
                  <w:r>
                    <w:t>Not Tested</w:t>
                  </w:r>
                </w:p>
              </w:tc>
            </w:tr>
            <w:tr w:rsidR="002A21AE" w14:paraId="76C457F8" w14:textId="77777777">
              <w:tc>
                <w:tcPr>
                  <w:tcW w:w="720" w:type="dxa"/>
                </w:tcPr>
                <w:p w14:paraId="672736E3" w14:textId="77777777" w:rsidR="002A21AE" w:rsidRDefault="002A21AE">
                  <w:pPr>
                    <w:pStyle w:val="TableText"/>
                    <w:jc w:val="center"/>
                  </w:pPr>
                  <w:r>
                    <w:t>0</w:t>
                  </w:r>
                </w:p>
              </w:tc>
              <w:tc>
                <w:tcPr>
                  <w:tcW w:w="2520" w:type="dxa"/>
                </w:tcPr>
                <w:p w14:paraId="66719255" w14:textId="77777777" w:rsidR="002A21AE" w:rsidRDefault="002A21AE">
                  <w:pPr>
                    <w:pStyle w:val="TableText"/>
                  </w:pPr>
                  <w:r>
                    <w:t>No Agglutination</w:t>
                  </w:r>
                </w:p>
              </w:tc>
              <w:tc>
                <w:tcPr>
                  <w:tcW w:w="1260" w:type="dxa"/>
                </w:tcPr>
                <w:p w14:paraId="2E07A7FD" w14:textId="77777777" w:rsidR="002A21AE" w:rsidRDefault="002A21AE">
                  <w:pPr>
                    <w:pStyle w:val="TableText"/>
                  </w:pPr>
                  <w:r>
                    <w:t>Negative</w:t>
                  </w:r>
                </w:p>
              </w:tc>
            </w:tr>
            <w:tr w:rsidR="002A21AE" w14:paraId="54CF0D0E" w14:textId="77777777">
              <w:tc>
                <w:tcPr>
                  <w:tcW w:w="720" w:type="dxa"/>
                </w:tcPr>
                <w:p w14:paraId="656FB4BC" w14:textId="77777777" w:rsidR="002A21AE" w:rsidRDefault="002A21AE">
                  <w:pPr>
                    <w:pStyle w:val="TableText"/>
                    <w:jc w:val="center"/>
                  </w:pPr>
                  <w:r>
                    <w:t>R</w:t>
                  </w:r>
                </w:p>
              </w:tc>
              <w:tc>
                <w:tcPr>
                  <w:tcW w:w="2520" w:type="dxa"/>
                </w:tcPr>
                <w:p w14:paraId="09758304" w14:textId="77777777" w:rsidR="002A21AE" w:rsidRDefault="002A21AE">
                  <w:pPr>
                    <w:pStyle w:val="TableText"/>
                  </w:pPr>
                  <w:r>
                    <w:t>Rouleaux, No Agglutination</w:t>
                  </w:r>
                </w:p>
              </w:tc>
              <w:tc>
                <w:tcPr>
                  <w:tcW w:w="1260" w:type="dxa"/>
                </w:tcPr>
                <w:p w14:paraId="7C2FE772" w14:textId="77777777" w:rsidR="002A21AE" w:rsidRDefault="002A21AE">
                  <w:pPr>
                    <w:pStyle w:val="TableText"/>
                  </w:pPr>
                  <w:r>
                    <w:t>Negative</w:t>
                  </w:r>
                </w:p>
              </w:tc>
            </w:tr>
          </w:tbl>
          <w:p w14:paraId="2634A9AE" w14:textId="77777777" w:rsidR="002A21AE" w:rsidRDefault="002A21AE">
            <w:pPr>
              <w:pStyle w:val="NotesText"/>
            </w:pPr>
          </w:p>
          <w:p w14:paraId="4D5E38A6" w14:textId="77777777" w:rsidR="002A21AE" w:rsidRDefault="002A21AE">
            <w:pPr>
              <w:pStyle w:val="NotesText"/>
            </w:pPr>
            <w:r>
              <w:rPr>
                <w:rFonts w:cs="Arial"/>
                <w:vanish/>
              </w:rPr>
              <w:t>BR_41.19</w:t>
            </w:r>
            <w:r>
              <w:t>System rules establish row validation for the interpretation vs. reaction results pattern [for all user-indicated phase(s) of reactivity] for blood unit and quality control tests.</w:t>
            </w:r>
          </w:p>
          <w:p w14:paraId="32B01A3D" w14:textId="77777777" w:rsidR="002A21AE" w:rsidRDefault="002A21AE">
            <w:pPr>
              <w:pStyle w:val="NotesText"/>
            </w:pPr>
          </w:p>
          <w:p w14:paraId="28EB5926" w14:textId="77777777" w:rsidR="002A21AE" w:rsidRDefault="002A21AE">
            <w:pPr>
              <w:pStyle w:val="NotesText"/>
            </w:pPr>
            <w:r>
              <w:rPr>
                <w:rFonts w:cs="Arial"/>
                <w:vanish/>
              </w:rPr>
              <w:t xml:space="preserve">BR_41.13 </w:t>
            </w:r>
            <w:r>
              <w:t>When completing previously saved partially completed testing, the user may not change the antiserum lot number, manufacturer name, or expiration date. The user must invalidate the antiserum testing and start over.</w:t>
            </w:r>
          </w:p>
        </w:tc>
      </w:tr>
      <w:tr w:rsidR="002A21AE" w14:paraId="1E189CEB" w14:textId="77777777">
        <w:tc>
          <w:tcPr>
            <w:tcW w:w="3240" w:type="dxa"/>
          </w:tcPr>
          <w:p w14:paraId="767B5438" w14:textId="77777777" w:rsidR="002A21AE" w:rsidRDefault="002A21AE">
            <w:pPr>
              <w:pStyle w:val="TableTextNumbers"/>
            </w:pPr>
            <w:r>
              <w:t>Enter results for selected patients and control cells.</w:t>
            </w:r>
          </w:p>
        </w:tc>
        <w:tc>
          <w:tcPr>
            <w:tcW w:w="6120" w:type="dxa"/>
          </w:tcPr>
          <w:p w14:paraId="745ADDC1" w14:textId="77777777" w:rsidR="002A21AE" w:rsidRDefault="002A21AE">
            <w:pPr>
              <w:pStyle w:val="TableTextBullet"/>
            </w:pPr>
            <w:r>
              <w:t>Prompts the user to confirm that results were reviewed and are acceptable.</w:t>
            </w:r>
          </w:p>
          <w:p w14:paraId="5CFA273A" w14:textId="77777777" w:rsidR="002A21AE" w:rsidRDefault="002A21AE">
            <w:pPr>
              <w:pStyle w:val="TableText"/>
            </w:pPr>
          </w:p>
          <w:p w14:paraId="03BFCE7D" w14:textId="1753A309" w:rsidR="002A21AE" w:rsidRDefault="002A21AE">
            <w:pPr>
              <w:pStyle w:val="TableText"/>
              <w:rPr>
                <w:b/>
                <w:bCs/>
                <w:szCs w:val="18"/>
              </w:rPr>
            </w:pPr>
            <w:r>
              <w:rPr>
                <w:b/>
                <w:bCs/>
                <w:szCs w:val="18"/>
              </w:rPr>
              <w:t>NOTES</w:t>
            </w:r>
          </w:p>
          <w:p w14:paraId="706152E5" w14:textId="77777777" w:rsidR="002A21AE" w:rsidRDefault="002A21AE">
            <w:pPr>
              <w:pStyle w:val="NotesText"/>
            </w:pPr>
          </w:p>
          <w:p w14:paraId="60B611F3" w14:textId="77777777" w:rsidR="002A21AE" w:rsidRDefault="002A21AE">
            <w:pPr>
              <w:pStyle w:val="NotesText"/>
              <w:rPr>
                <w:rFonts w:eastAsia="Symbol"/>
              </w:rPr>
            </w:pPr>
            <w:r>
              <w:rPr>
                <w:rFonts w:cs="Arial"/>
                <w:vanish/>
              </w:rPr>
              <w:t>BR_98.01</w:t>
            </w:r>
            <w:r w:rsidR="004F5F28" w:rsidRPr="00323744">
              <w:rPr>
                <w:rStyle w:val="BullhornChar"/>
              </w:rPr>
              <w:t></w:t>
            </w:r>
            <w:r w:rsidR="004F5F28">
              <w:rPr>
                <w:rFonts w:ascii="Webdings" w:hAnsi="Webdings"/>
              </w:rPr>
              <w:t></w:t>
            </w:r>
            <w:r>
              <w:rPr>
                <w:rFonts w:eastAsia="Symbol"/>
              </w:rPr>
              <w:t xml:space="preserve">VBECS searches the current order and the patient’s historical record for previously entered red cell antigen results for each specificity within the user’s division and compares the results to prevent a discrepancy with previous test entries. When a discrepancy is found, VBECS </w:t>
            </w:r>
            <w:r>
              <w:t>emits an audible alert, notifies the user that t</w:t>
            </w:r>
            <w:r>
              <w:rPr>
                <w:rFonts w:eastAsia="Symbol"/>
              </w:rPr>
              <w:t>he current specimen and a previously entered antigen typing on this patient do not match, and asks whether the user wishes to save the current result.</w:t>
            </w:r>
          </w:p>
          <w:p w14:paraId="43DB93BC" w14:textId="77777777" w:rsidR="002A21AE" w:rsidRDefault="002A21AE">
            <w:pPr>
              <w:pStyle w:val="NotesText"/>
              <w:rPr>
                <w:rFonts w:eastAsia="Symbol"/>
                <w:b/>
              </w:rPr>
            </w:pPr>
          </w:p>
          <w:p w14:paraId="59BF61D2" w14:textId="77777777" w:rsidR="002A21AE" w:rsidRPr="00BF10B2" w:rsidRDefault="002A21AE">
            <w:pPr>
              <w:pStyle w:val="NotesText"/>
            </w:pPr>
            <w:r w:rsidRPr="00BF10B2">
              <w:rPr>
                <w:rFonts w:eastAsia="Symbol"/>
                <w:b/>
              </w:rPr>
              <w:t>No</w:t>
            </w:r>
            <w:r w:rsidRPr="00BF10B2">
              <w:rPr>
                <w:rFonts w:eastAsia="Symbol"/>
              </w:rPr>
              <w:t xml:space="preserve"> closes the form and returns to the grid. </w:t>
            </w:r>
            <w:r w:rsidRPr="00BF10B2">
              <w:rPr>
                <w:rFonts w:eastAsia="Symbol"/>
                <w:b/>
              </w:rPr>
              <w:t>Yes</w:t>
            </w:r>
            <w:r w:rsidRPr="00BF10B2">
              <w:rPr>
                <w:rFonts w:eastAsia="Symbol"/>
              </w:rPr>
              <w:t xml:space="preserve"> allows the user to update the conflicting results in the database and/or enter a comment explaining why he is accepting this result. VBECS captures details for inclusion in an Exception Report (exception type: discrepant patient antigen typing).</w:t>
            </w:r>
          </w:p>
        </w:tc>
      </w:tr>
      <w:tr w:rsidR="002A21AE" w14:paraId="5BD0DAEC" w14:textId="77777777">
        <w:tc>
          <w:tcPr>
            <w:tcW w:w="3240" w:type="dxa"/>
          </w:tcPr>
          <w:p w14:paraId="31489EDE" w14:textId="0C9AA605" w:rsidR="002A21AE" w:rsidRDefault="002A21AE">
            <w:pPr>
              <w:pStyle w:val="TableTextNumbers"/>
            </w:pPr>
            <w:r>
              <w:t>Repeat Steps 5</w:t>
            </w:r>
            <w:r w:rsidR="004F5589">
              <w:t xml:space="preserve"> through </w:t>
            </w:r>
            <w:r>
              <w:t>9 for each antiserum type.</w:t>
            </w:r>
          </w:p>
        </w:tc>
        <w:tc>
          <w:tcPr>
            <w:tcW w:w="6120" w:type="dxa"/>
          </w:tcPr>
          <w:p w14:paraId="4A0366AA" w14:textId="77777777" w:rsidR="002A21AE" w:rsidRDefault="002A21AE">
            <w:pPr>
              <w:pStyle w:val="TableTextBullet"/>
            </w:pPr>
            <w:r>
              <w:t>Allows the user to save.</w:t>
            </w:r>
          </w:p>
          <w:p w14:paraId="7F86748D" w14:textId="77777777" w:rsidR="002A21AE" w:rsidRDefault="002A21AE">
            <w:pPr>
              <w:pStyle w:val="TableText"/>
            </w:pPr>
          </w:p>
          <w:p w14:paraId="64323B88" w14:textId="7EA246AA" w:rsidR="002A21AE" w:rsidRDefault="002A21AE">
            <w:pPr>
              <w:pStyle w:val="TableText"/>
              <w:rPr>
                <w:b/>
                <w:bCs/>
                <w:szCs w:val="18"/>
              </w:rPr>
            </w:pPr>
            <w:r>
              <w:rPr>
                <w:b/>
                <w:bCs/>
                <w:szCs w:val="18"/>
              </w:rPr>
              <w:t>NOTES</w:t>
            </w:r>
          </w:p>
          <w:p w14:paraId="7622C96A" w14:textId="77777777" w:rsidR="002A21AE" w:rsidRDefault="002A21AE">
            <w:pPr>
              <w:pStyle w:val="NotesText"/>
            </w:pPr>
          </w:p>
          <w:p w14:paraId="2F95CEC3" w14:textId="77777777" w:rsidR="009256FE" w:rsidRDefault="009256FE" w:rsidP="009256FE">
            <w:pPr>
              <w:pStyle w:val="NotesText"/>
            </w:pPr>
            <w:r>
              <w:t>The positive and/or negative control cell test results on the date of testing must be a valid positive or negative.</w:t>
            </w:r>
          </w:p>
          <w:p w14:paraId="2129CE02" w14:textId="77777777" w:rsidR="002A21AE" w:rsidRDefault="002A21AE" w:rsidP="009256FE">
            <w:pPr>
              <w:pStyle w:val="NotesText"/>
              <w:ind w:left="0"/>
            </w:pPr>
          </w:p>
        </w:tc>
      </w:tr>
      <w:tr w:rsidR="002A21AE" w14:paraId="153DC765" w14:textId="77777777">
        <w:tc>
          <w:tcPr>
            <w:tcW w:w="3240" w:type="dxa"/>
          </w:tcPr>
          <w:p w14:paraId="766B7269" w14:textId="77777777" w:rsidR="002A21AE" w:rsidRDefault="002A21AE">
            <w:pPr>
              <w:pStyle w:val="TableTextNumbers"/>
            </w:pPr>
            <w:r>
              <w:t xml:space="preserve">Respond to warnings and click </w:t>
            </w:r>
            <w:r>
              <w:rPr>
                <w:b/>
              </w:rPr>
              <w:t>OK</w:t>
            </w:r>
            <w:r>
              <w:t xml:space="preserve"> to save the data.</w:t>
            </w:r>
          </w:p>
        </w:tc>
        <w:tc>
          <w:tcPr>
            <w:tcW w:w="6120" w:type="dxa"/>
          </w:tcPr>
          <w:p w14:paraId="13112ED1" w14:textId="77777777" w:rsidR="002A21AE" w:rsidRDefault="002A21AE">
            <w:pPr>
              <w:pStyle w:val="TableTextBullet"/>
            </w:pPr>
            <w:r>
              <w:t xml:space="preserve">Reconfirms that all appropriate test results are entered, repeats all data validation, and saves the data. </w:t>
            </w:r>
          </w:p>
        </w:tc>
      </w:tr>
      <w:tr w:rsidR="002A21AE" w14:paraId="54617D21" w14:textId="77777777">
        <w:tc>
          <w:tcPr>
            <w:tcW w:w="3240" w:type="dxa"/>
          </w:tcPr>
          <w:p w14:paraId="7E171B65" w14:textId="77777777" w:rsidR="002A21AE" w:rsidRDefault="002A21AE">
            <w:pPr>
              <w:pStyle w:val="TableTextNumbers"/>
            </w:pPr>
            <w:r>
              <w:t xml:space="preserve">Click </w:t>
            </w:r>
            <w:r>
              <w:rPr>
                <w:b/>
              </w:rPr>
              <w:t>OK</w:t>
            </w:r>
            <w:r>
              <w:t xml:space="preserve"> to exit.</w:t>
            </w:r>
            <w:r w:rsidRPr="00B93B42">
              <w:rPr>
                <w:rStyle w:val="StyleTableTextNumbersWhite1Char"/>
              </w:rPr>
              <w:t xml:space="preserve">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5782EA40" w14:textId="77777777" w:rsidR="002A21AE" w:rsidRDefault="002A21AE">
            <w:pPr>
              <w:pStyle w:val="TableTextBullet"/>
            </w:pPr>
            <w:r>
              <w:t>Saves the data.</w:t>
            </w:r>
          </w:p>
        </w:tc>
      </w:tr>
    </w:tbl>
    <w:p w14:paraId="3B0A39B3" w14:textId="2C307DDA" w:rsidR="002A21AE" w:rsidRDefault="00AA3667" w:rsidP="00AA3667">
      <w:pPr>
        <w:pStyle w:val="Caption"/>
      </w:pPr>
      <w:bookmarkStart w:id="478" w:name="_Ref12672719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98</w:t>
      </w:r>
      <w:r w:rsidR="004E20BD">
        <w:rPr>
          <w:noProof/>
        </w:rPr>
        <w:fldChar w:fldCharType="end"/>
      </w:r>
      <w:bookmarkEnd w:id="478"/>
      <w:r>
        <w:t>: Patient Testing Antigen Typing</w:t>
      </w:r>
      <w:r w:rsidR="001E3E16">
        <w:t xml:space="preserve"> (1)</w:t>
      </w:r>
    </w:p>
    <w:p w14:paraId="12545249" w14:textId="77777777" w:rsidR="00AA3667" w:rsidRPr="00AA3667" w:rsidRDefault="00057948" w:rsidP="00AA3667">
      <w:pPr>
        <w:pStyle w:val="BodyText"/>
      </w:pPr>
      <w:r>
        <w:rPr>
          <w:noProof/>
        </w:rPr>
        <w:drawing>
          <wp:inline distT="0" distB="0" distL="0" distR="0" wp14:anchorId="0C83A12E" wp14:editId="115CAFBF">
            <wp:extent cx="5781675" cy="3546475"/>
            <wp:effectExtent l="0" t="0" r="9525" b="0"/>
            <wp:docPr id="241" name="Picture 241" descr="Example of Patient Testing Antigen Typing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Example of Patient Testing Antigen Typing screen captur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81675" cy="3546475"/>
                    </a:xfrm>
                    <a:prstGeom prst="rect">
                      <a:avLst/>
                    </a:prstGeom>
                    <a:noFill/>
                    <a:ln>
                      <a:noFill/>
                    </a:ln>
                  </pic:spPr>
                </pic:pic>
              </a:graphicData>
            </a:graphic>
          </wp:inline>
        </w:drawing>
      </w:r>
    </w:p>
    <w:p w14:paraId="47C240EC" w14:textId="5F768D6D" w:rsidR="001E3E16" w:rsidRDefault="001E3E16" w:rsidP="001E3E16">
      <w:pPr>
        <w:pStyle w:val="Caption"/>
      </w:pPr>
      <w:bookmarkStart w:id="479" w:name="_Ref12672746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99</w:t>
      </w:r>
      <w:r w:rsidR="004E20BD">
        <w:rPr>
          <w:noProof/>
        </w:rPr>
        <w:fldChar w:fldCharType="end"/>
      </w:r>
      <w:bookmarkEnd w:id="479"/>
      <w:r>
        <w:t>: Patient Testing Antigen Typing (2)</w:t>
      </w:r>
    </w:p>
    <w:p w14:paraId="02416AC4" w14:textId="77777777" w:rsidR="007810A1" w:rsidRDefault="00057948" w:rsidP="007810A1">
      <w:pPr>
        <w:pStyle w:val="BodyText"/>
      </w:pPr>
      <w:r>
        <w:rPr>
          <w:noProof/>
        </w:rPr>
        <w:drawing>
          <wp:inline distT="0" distB="0" distL="0" distR="0" wp14:anchorId="7AE7F157" wp14:editId="4015883C">
            <wp:extent cx="5939155" cy="4442460"/>
            <wp:effectExtent l="0" t="0" r="4445" b="0"/>
            <wp:docPr id="242" name="Picture 242" descr="Example of Patient Testing Antigen Typing (2)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Example of Patient Testing Antigen Typing (2) screen captur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39155" cy="4442460"/>
                    </a:xfrm>
                    <a:prstGeom prst="rect">
                      <a:avLst/>
                    </a:prstGeom>
                    <a:noFill/>
                    <a:ln>
                      <a:noFill/>
                    </a:ln>
                  </pic:spPr>
                </pic:pic>
              </a:graphicData>
            </a:graphic>
          </wp:inline>
        </w:drawing>
      </w:r>
    </w:p>
    <w:p w14:paraId="22A98A31" w14:textId="77777777" w:rsidR="002A21AE" w:rsidRDefault="002A21AE">
      <w:pPr>
        <w:pStyle w:val="Heading3"/>
      </w:pPr>
      <w:r>
        <w:br w:type="page"/>
      </w:r>
      <w:bookmarkStart w:id="480" w:name="_Toc149064164"/>
      <w:r>
        <w:t xml:space="preserve">Patient Testing: </w:t>
      </w:r>
      <w:r w:rsidR="00244FCD">
        <w:t>Enter Antibody Identification Results</w:t>
      </w:r>
      <w:bookmarkEnd w:id="476"/>
      <w:bookmarkEnd w:id="480"/>
      <w:r>
        <w:fldChar w:fldCharType="begin"/>
      </w:r>
      <w:r>
        <w:instrText xml:space="preserve"> XE </w:instrText>
      </w:r>
      <w:r w:rsidR="00FA7E65">
        <w:instrText>“</w:instrText>
      </w:r>
      <w:r>
        <w:instrText xml:space="preserve">Patient Testing\: </w:instrText>
      </w:r>
      <w:r w:rsidR="00244FCD">
        <w:instrText>Enter Antibody Identification Results</w:instrText>
      </w:r>
      <w:r w:rsidR="00FA7E65">
        <w:instrText>”</w:instrText>
      </w:r>
      <w:r>
        <w:instrText xml:space="preserve"> </w:instrText>
      </w:r>
      <w:r>
        <w:fldChar w:fldCharType="end"/>
      </w:r>
      <w:r>
        <w:t xml:space="preserve"> </w:t>
      </w:r>
      <w:r>
        <w:rPr>
          <w:rFonts w:ascii="Times New Roman" w:hAnsi="Times New Roman" w:cs="Times New Roman"/>
          <w:b w:val="0"/>
          <w:vanish/>
          <w:sz w:val="22"/>
        </w:rPr>
        <w:t>UC_57</w:t>
      </w:r>
    </w:p>
    <w:p w14:paraId="5D273AFD" w14:textId="77777777" w:rsidR="002A21AE" w:rsidRDefault="002A21AE" w:rsidP="00FA7E65">
      <w:pPr>
        <w:pStyle w:val="BodyText"/>
      </w:pPr>
      <w:r>
        <w:t>The user records results of reflex tests needed to complete a patient blood bank antibody workup.</w:t>
      </w:r>
    </w:p>
    <w:p w14:paraId="450EEDCD" w14:textId="77777777" w:rsidR="002A21AE" w:rsidRDefault="002A21AE">
      <w:pPr>
        <w:pStyle w:val="Heading4"/>
      </w:pPr>
      <w:r>
        <w:t>Assumptions</w:t>
      </w:r>
    </w:p>
    <w:p w14:paraId="68C5AEE8" w14:textId="77777777" w:rsidR="002A21AE" w:rsidRDefault="002A21AE">
      <w:pPr>
        <w:pStyle w:val="ListBullet"/>
      </w:pPr>
      <w:r>
        <w:t>An order for an antibody identification (ABID) was placed and is opened in the Pending Task List (PTL).</w:t>
      </w:r>
    </w:p>
    <w:p w14:paraId="02D3E788" w14:textId="77777777" w:rsidR="002A21AE" w:rsidRDefault="002A21AE">
      <w:pPr>
        <w:pStyle w:val="Heading4"/>
      </w:pPr>
      <w:r>
        <w:t>Outcome</w:t>
      </w:r>
    </w:p>
    <w:p w14:paraId="1665F971" w14:textId="77777777" w:rsidR="002A21AE" w:rsidRDefault="002A21AE">
      <w:pPr>
        <w:pStyle w:val="ListBullet"/>
      </w:pPr>
      <w:r>
        <w:t>VBECS displays the ABID in the patient’s record, which the user may review by clicking an icon in the Patient Information Toolbar.</w:t>
      </w:r>
    </w:p>
    <w:p w14:paraId="611F1DE5" w14:textId="77777777" w:rsidR="002A21AE" w:rsidRDefault="002A21AE">
      <w:pPr>
        <w:pStyle w:val="ListBullet"/>
      </w:pPr>
      <w:r>
        <w:t>Entry of antibody specificity through this option may automatically set an antigen negative requirement [Transfusion Requirement (TR)] based on the division-specific parameters.</w:t>
      </w:r>
    </w:p>
    <w:p w14:paraId="01CAD3BB" w14:textId="77777777" w:rsidR="002A21AE" w:rsidRDefault="002A21AE">
      <w:pPr>
        <w:pStyle w:val="Heading4"/>
      </w:pPr>
      <w:r>
        <w:t>Limitations and Restrictions</w:t>
      </w:r>
    </w:p>
    <w:p w14:paraId="5D2951DF" w14:textId="77777777" w:rsidR="002A21AE" w:rsidRDefault="00FC0A61">
      <w:pPr>
        <w:pStyle w:val="ListBullet"/>
      </w:pPr>
      <w:r>
        <w:t xml:space="preserve">When an antigen negative requirement is not </w:t>
      </w:r>
      <w:r w:rsidR="00FC3A2C">
        <w:t xml:space="preserve">configured </w:t>
      </w:r>
      <w:r>
        <w:t>for an antibody, the user may enter the requirement for a patient through Special Instructions &amp; Transfusion Requirements: Enter a Transfusion Requirement.</w:t>
      </w:r>
    </w:p>
    <w:p w14:paraId="1536C6E9" w14:textId="77777777" w:rsidR="002A21AE" w:rsidRDefault="002A21AE">
      <w:pPr>
        <w:pStyle w:val="Heading4"/>
      </w:pPr>
      <w:r>
        <w:t>Additional Information</w:t>
      </w:r>
    </w:p>
    <w:p w14:paraId="71799C87" w14:textId="77777777" w:rsidR="002A21AE" w:rsidRDefault="002A21AE">
      <w:pPr>
        <w:pStyle w:val="ListBullet"/>
      </w:pPr>
      <w:r>
        <w:t xml:space="preserve">Correction to verified patient data may be accessed only through </w:t>
      </w:r>
      <w:r>
        <w:rPr>
          <w:snapToGrid w:val="0"/>
        </w:rPr>
        <w:t>Invalidate Test Results</w:t>
      </w:r>
      <w:r w:rsidR="007E549A">
        <w:rPr>
          <w:snapToGrid w:val="0"/>
        </w:rPr>
        <w:t xml:space="preserve"> and does require extensive removal of associated units, even if transfused. As this is the case, optionally record workload and billing here but the antibody specificity identified using Special Instructions Transfusion requirements option to allow for future editing</w:t>
      </w:r>
      <w:r>
        <w:t>.</w:t>
      </w:r>
    </w:p>
    <w:p w14:paraId="6176D69C" w14:textId="77777777" w:rsidR="002A21AE" w:rsidRDefault="002A21AE">
      <w:pPr>
        <w:pStyle w:val="ListBullet"/>
      </w:pPr>
      <w:r>
        <w:t>Only one technologist at a time can enter test results for a selected PTL task.</w:t>
      </w:r>
    </w:p>
    <w:p w14:paraId="27140A58" w14:textId="77777777" w:rsidR="002A21AE" w:rsidRDefault="002A21AE">
      <w:pPr>
        <w:pStyle w:val="ListBullet"/>
      </w:pPr>
      <w:r>
        <w:t>Patient antigen testing is not included in this option.</w:t>
      </w:r>
    </w:p>
    <w:p w14:paraId="46DDAC7B" w14:textId="77777777" w:rsidR="002A21AE" w:rsidRDefault="002A21AE">
      <w:pPr>
        <w:pStyle w:val="Heading4"/>
      </w:pPr>
      <w:r>
        <w:t>User Roles with Access to This Option</w:t>
      </w:r>
    </w:p>
    <w:p w14:paraId="412ED4B5" w14:textId="77777777" w:rsidR="002A21AE" w:rsidRDefault="0062763B">
      <w:pPr>
        <w:pStyle w:val="Roles"/>
        <w:rPr>
          <w:snapToGrid w:val="0"/>
        </w:rPr>
      </w:pPr>
      <w:r>
        <w:t>All users</w:t>
      </w:r>
    </w:p>
    <w:bookmarkEnd w:id="477"/>
    <w:p w14:paraId="3CA2FE6B" w14:textId="77777777" w:rsidR="002A21AE" w:rsidRDefault="002A21AE">
      <w:pPr>
        <w:pStyle w:val="Heading4"/>
      </w:pPr>
      <w:r>
        <w:t xml:space="preserve">Patient Testing: </w:t>
      </w:r>
      <w:r w:rsidR="00244FCD">
        <w:t>Enter Antibody Identification Results</w:t>
      </w:r>
    </w:p>
    <w:p w14:paraId="54072078" w14:textId="77777777" w:rsidR="002A21AE" w:rsidRDefault="002A21AE" w:rsidP="00FA7E65">
      <w:pPr>
        <w:pStyle w:val="BodyText"/>
      </w:pPr>
      <w:r>
        <w:t>The user may select workload codes for work performed on-site during the ABID workup. When the ABID is performed off-site, the user enters the associated charges.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D56C0DA" w14:textId="77777777">
        <w:trPr>
          <w:cantSplit/>
          <w:tblHeader/>
        </w:trPr>
        <w:tc>
          <w:tcPr>
            <w:tcW w:w="3240" w:type="dxa"/>
            <w:shd w:val="pct30" w:color="auto" w:fill="FFFFFF"/>
            <w:vAlign w:val="bottom"/>
          </w:tcPr>
          <w:p w14:paraId="30756E04" w14:textId="77777777" w:rsidR="002A21AE" w:rsidRDefault="002A21AE">
            <w:pPr>
              <w:pStyle w:val="TableText"/>
              <w:rPr>
                <w:b/>
              </w:rPr>
            </w:pPr>
            <w:r>
              <w:rPr>
                <w:b/>
              </w:rPr>
              <w:t>User Action</w:t>
            </w:r>
          </w:p>
        </w:tc>
        <w:tc>
          <w:tcPr>
            <w:tcW w:w="6120" w:type="dxa"/>
            <w:shd w:val="pct30" w:color="auto" w:fill="FFFFFF"/>
            <w:vAlign w:val="bottom"/>
          </w:tcPr>
          <w:p w14:paraId="240A61CD" w14:textId="77777777" w:rsidR="002A21AE" w:rsidRDefault="002A21AE">
            <w:pPr>
              <w:pStyle w:val="TableText"/>
              <w:rPr>
                <w:b/>
              </w:rPr>
            </w:pPr>
            <w:r>
              <w:rPr>
                <w:b/>
              </w:rPr>
              <w:t>VBECS</w:t>
            </w:r>
          </w:p>
        </w:tc>
      </w:tr>
      <w:tr w:rsidR="00141448" w14:paraId="369DAE47" w14:textId="77777777">
        <w:tc>
          <w:tcPr>
            <w:tcW w:w="3240" w:type="dxa"/>
            <w:tcBorders>
              <w:top w:val="single" w:sz="4" w:space="0" w:color="auto"/>
              <w:left w:val="single" w:sz="4" w:space="0" w:color="auto"/>
              <w:bottom w:val="single" w:sz="4" w:space="0" w:color="auto"/>
              <w:right w:val="single" w:sz="4" w:space="0" w:color="auto"/>
            </w:tcBorders>
          </w:tcPr>
          <w:p w14:paraId="44313AB2" w14:textId="77777777" w:rsidR="00141448" w:rsidRDefault="00141448" w:rsidP="00141448">
            <w:pPr>
              <w:pStyle w:val="TableTextNumbers"/>
            </w:pPr>
            <w:r>
              <w:t xml:space="preserve">Select </w:t>
            </w:r>
            <w:r>
              <w:rPr>
                <w:b/>
              </w:rPr>
              <w:t>Patients</w:t>
            </w:r>
            <w:r>
              <w:t xml:space="preserve"> from the main menu.</w:t>
            </w:r>
          </w:p>
          <w:p w14:paraId="2FA58DCA" w14:textId="77777777" w:rsidR="00141448" w:rsidRDefault="00141448" w:rsidP="00141448">
            <w:pPr>
              <w:pStyle w:val="TableTextNumbersContinued"/>
            </w:pPr>
          </w:p>
          <w:p w14:paraId="7D3D5106" w14:textId="77777777" w:rsidR="00141448" w:rsidRDefault="00141448" w:rsidP="00141448">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345A60CC" w14:textId="77777777" w:rsidR="00141448" w:rsidRDefault="00141448" w:rsidP="00141448">
            <w:pPr>
              <w:pStyle w:val="TableTextBullet"/>
            </w:pPr>
            <w:r>
              <w:t xml:space="preserve">Displays options for processing patient-related functions. </w:t>
            </w:r>
          </w:p>
          <w:p w14:paraId="0A403147" w14:textId="77777777" w:rsidR="00141448" w:rsidRDefault="00141448" w:rsidP="00141448">
            <w:pPr>
              <w:pStyle w:val="TableTextBullet"/>
            </w:pPr>
            <w:r>
              <w:t>Displays the Pending Task List (PTL) in the Diagnostic Tests tab.</w:t>
            </w:r>
          </w:p>
          <w:p w14:paraId="5BAF28FD" w14:textId="77777777" w:rsidR="00141448" w:rsidRDefault="00141448" w:rsidP="00141448">
            <w:pPr>
              <w:pStyle w:val="NotesText"/>
            </w:pPr>
          </w:p>
          <w:p w14:paraId="69C45497" w14:textId="327DE304" w:rsidR="00141448" w:rsidRDefault="00141448" w:rsidP="00141448">
            <w:pPr>
              <w:pStyle w:val="TableText"/>
              <w:rPr>
                <w:b/>
                <w:bCs/>
                <w:szCs w:val="18"/>
              </w:rPr>
            </w:pPr>
            <w:r>
              <w:rPr>
                <w:b/>
                <w:bCs/>
                <w:szCs w:val="18"/>
              </w:rPr>
              <w:t>NOTES</w:t>
            </w:r>
          </w:p>
          <w:p w14:paraId="2BEE072A" w14:textId="77777777" w:rsidR="00141448" w:rsidRDefault="00141448" w:rsidP="00141448">
            <w:pPr>
              <w:pStyle w:val="NotesText"/>
            </w:pPr>
          </w:p>
          <w:p w14:paraId="659595B8" w14:textId="77777777" w:rsidR="00141448" w:rsidRDefault="00141448" w:rsidP="00141448">
            <w:pPr>
              <w:pStyle w:val="NotesText"/>
            </w:pPr>
            <w:r>
              <w:t>A user may search for specific tasks using search criteria detailed in Pending Task List.</w:t>
            </w:r>
          </w:p>
        </w:tc>
      </w:tr>
      <w:tr w:rsidR="00082F78" w14:paraId="62FA5451" w14:textId="77777777">
        <w:tc>
          <w:tcPr>
            <w:tcW w:w="3240" w:type="dxa"/>
          </w:tcPr>
          <w:p w14:paraId="5A33ABFD" w14:textId="77777777" w:rsidR="00082F78" w:rsidRDefault="00082F78" w:rsidP="00150254">
            <w:pPr>
              <w:pStyle w:val="TableTextNumbers"/>
            </w:pPr>
            <w:r>
              <w:t xml:space="preserve">Click one to four check boxes in the Pending Task List to select tasks for testing. </w:t>
            </w:r>
          </w:p>
          <w:p w14:paraId="0B59ECB8" w14:textId="77777777" w:rsidR="00082F78" w:rsidRDefault="00082F78" w:rsidP="00150254">
            <w:pPr>
              <w:pStyle w:val="TableTextNumbersContinued"/>
            </w:pPr>
          </w:p>
          <w:p w14:paraId="13DB0039" w14:textId="77777777" w:rsidR="00082F78" w:rsidRDefault="00082F78" w:rsidP="00150254">
            <w:pPr>
              <w:pStyle w:val="TableTextNumbersContinued"/>
            </w:pPr>
            <w:r>
              <w:t xml:space="preserve">Click </w:t>
            </w:r>
            <w:r>
              <w:rPr>
                <w:b/>
              </w:rPr>
              <w:t>OK</w:t>
            </w:r>
            <w:r>
              <w:t>.</w:t>
            </w:r>
          </w:p>
        </w:tc>
        <w:tc>
          <w:tcPr>
            <w:tcW w:w="6120" w:type="dxa"/>
          </w:tcPr>
          <w:p w14:paraId="53A45915" w14:textId="77777777" w:rsidR="00082F78" w:rsidRDefault="00082F78" w:rsidP="00150254">
            <w:pPr>
              <w:pStyle w:val="TableTextBullet"/>
            </w:pPr>
            <w:r>
              <w:t>Displays patient names and associated task information.</w:t>
            </w:r>
          </w:p>
        </w:tc>
      </w:tr>
      <w:tr w:rsidR="004216FC" w14:paraId="19BD584D" w14:textId="77777777" w:rsidTr="00F3651E">
        <w:trPr>
          <w:cantSplit/>
        </w:trPr>
        <w:tc>
          <w:tcPr>
            <w:tcW w:w="3240" w:type="dxa"/>
          </w:tcPr>
          <w:p w14:paraId="38819186" w14:textId="77777777" w:rsidR="004216FC" w:rsidRDefault="004216FC" w:rsidP="00142D18">
            <w:pPr>
              <w:pStyle w:val="TableTextNumbers"/>
            </w:pPr>
            <w:r>
              <w:t>Click a check box to select a reagent rack.</w:t>
            </w:r>
          </w:p>
          <w:p w14:paraId="5DB8A34F" w14:textId="77777777" w:rsidR="004216FC" w:rsidRDefault="004216FC" w:rsidP="00142D18">
            <w:pPr>
              <w:pStyle w:val="TableTextNumbersContinued"/>
            </w:pPr>
          </w:p>
          <w:p w14:paraId="0F5E018B" w14:textId="77777777" w:rsidR="004216FC" w:rsidRDefault="004216FC" w:rsidP="00142D18">
            <w:pPr>
              <w:pStyle w:val="TableTextNumbersContinued"/>
            </w:pPr>
            <w:r>
              <w:t xml:space="preserve">Click </w:t>
            </w:r>
            <w:r>
              <w:rPr>
                <w:b/>
              </w:rPr>
              <w:t>OK</w:t>
            </w:r>
            <w:r>
              <w:t xml:space="preserve"> to continue with testing.</w:t>
            </w:r>
          </w:p>
        </w:tc>
        <w:tc>
          <w:tcPr>
            <w:tcW w:w="6120" w:type="dxa"/>
          </w:tcPr>
          <w:p w14:paraId="246DDDEE" w14:textId="77777777" w:rsidR="004216FC" w:rsidRDefault="004216FC" w:rsidP="00142D18">
            <w:pPr>
              <w:pStyle w:val="TableText"/>
            </w:pPr>
          </w:p>
          <w:p w14:paraId="25E7C24A" w14:textId="227AE2A7" w:rsidR="004216FC" w:rsidRDefault="004216FC" w:rsidP="00142D18">
            <w:pPr>
              <w:pStyle w:val="TableText"/>
              <w:rPr>
                <w:b/>
                <w:bCs/>
                <w:szCs w:val="18"/>
              </w:rPr>
            </w:pPr>
            <w:r>
              <w:rPr>
                <w:b/>
                <w:bCs/>
                <w:szCs w:val="18"/>
              </w:rPr>
              <w:t>NOTES</w:t>
            </w:r>
          </w:p>
          <w:p w14:paraId="471547A8" w14:textId="77777777" w:rsidR="004216FC" w:rsidRPr="004216FC" w:rsidRDefault="004216FC" w:rsidP="00142D18">
            <w:pPr>
              <w:pStyle w:val="NotesText"/>
              <w:rPr>
                <w:szCs w:val="18"/>
              </w:rPr>
            </w:pPr>
          </w:p>
          <w:p w14:paraId="166AC968" w14:textId="77777777" w:rsidR="004216FC" w:rsidRDefault="004216FC" w:rsidP="00142D18">
            <w:pPr>
              <w:pStyle w:val="NotesText"/>
            </w:pPr>
            <w:r w:rsidRPr="004216FC">
              <w:rPr>
                <w:rFonts w:cs="Arial"/>
                <w:szCs w:val="18"/>
              </w:rPr>
              <w:t>No</w:t>
            </w:r>
            <w:r w:rsidR="00EB1438">
              <w:rPr>
                <w:rFonts w:cs="Arial"/>
                <w:szCs w:val="18"/>
              </w:rPr>
              <w:t xml:space="preserve"> serologic</w:t>
            </w:r>
            <w:r w:rsidRPr="004216FC">
              <w:rPr>
                <w:rFonts w:cs="Arial"/>
                <w:szCs w:val="18"/>
              </w:rPr>
              <w:t xml:space="preserve"> testing is recorded for ABID.</w:t>
            </w:r>
          </w:p>
        </w:tc>
      </w:tr>
      <w:tr w:rsidR="002A21AE" w14:paraId="4C3546FB" w14:textId="77777777">
        <w:tc>
          <w:tcPr>
            <w:tcW w:w="3240" w:type="dxa"/>
          </w:tcPr>
          <w:p w14:paraId="0FF13A52" w14:textId="77777777" w:rsidR="002A21AE" w:rsidRDefault="002A21AE">
            <w:pPr>
              <w:pStyle w:val="TableTextNumbers"/>
            </w:pPr>
            <w:r>
              <w:t>Select antibodies.</w:t>
            </w:r>
          </w:p>
          <w:p w14:paraId="3457260B" w14:textId="77777777" w:rsidR="002A21AE" w:rsidRDefault="002A21AE">
            <w:pPr>
              <w:pStyle w:val="TableTextNumbersContinued"/>
            </w:pPr>
          </w:p>
          <w:p w14:paraId="0E5B4E10" w14:textId="77777777" w:rsidR="002A21AE" w:rsidRDefault="002A21AE">
            <w:pPr>
              <w:pStyle w:val="TableTextNumbersContinued"/>
            </w:pPr>
            <w:r>
              <w:t>Enter associated testing details.</w:t>
            </w:r>
          </w:p>
          <w:p w14:paraId="5FCE7C06" w14:textId="77777777" w:rsidR="002A21AE" w:rsidRDefault="002A21AE">
            <w:pPr>
              <w:pStyle w:val="TableTextNumbersContinued"/>
            </w:pPr>
          </w:p>
          <w:p w14:paraId="0F78E593" w14:textId="77777777" w:rsidR="002A21AE" w:rsidRDefault="002A21AE">
            <w:pPr>
              <w:pStyle w:val="TableTextNumbersContinued"/>
            </w:pPr>
            <w:r>
              <w:t>Respond to comments and continue.</w:t>
            </w:r>
          </w:p>
          <w:p w14:paraId="2C0BE164" w14:textId="77777777" w:rsidR="002A21AE" w:rsidRDefault="002A21AE">
            <w:pPr>
              <w:pStyle w:val="TableTextNumbersContinued"/>
            </w:pPr>
          </w:p>
          <w:p w14:paraId="5ED27A84" w14:textId="77777777" w:rsidR="002A21AE" w:rsidRDefault="002A21AE">
            <w:pPr>
              <w:pStyle w:val="TableTextNumbersContinued"/>
            </w:pPr>
            <w:r>
              <w:t>Verify Patient information.</w:t>
            </w:r>
          </w:p>
          <w:p w14:paraId="4BB2F4D7" w14:textId="77777777" w:rsidR="002A21AE" w:rsidRDefault="002A21AE">
            <w:pPr>
              <w:pStyle w:val="TableTextNumbersContinued"/>
            </w:pPr>
          </w:p>
          <w:p w14:paraId="2B67C29C" w14:textId="77777777" w:rsidR="002A21AE" w:rsidRDefault="002A21AE">
            <w:pPr>
              <w:pStyle w:val="TableTextNumbersContinued"/>
            </w:pPr>
            <w:r>
              <w:t xml:space="preserve">Click </w:t>
            </w:r>
            <w:r>
              <w:rPr>
                <w:b/>
              </w:rPr>
              <w:t>OK</w:t>
            </w:r>
            <w:r>
              <w:t xml:space="preserve">. </w:t>
            </w:r>
          </w:p>
        </w:tc>
        <w:tc>
          <w:tcPr>
            <w:tcW w:w="6120" w:type="dxa"/>
          </w:tcPr>
          <w:p w14:paraId="46A1A0BB" w14:textId="77777777" w:rsidR="002A21AE" w:rsidRDefault="002A21AE">
            <w:pPr>
              <w:pStyle w:val="TableTextBullet"/>
            </w:pPr>
            <w:r>
              <w:rPr>
                <w:rFonts w:cs="Arial"/>
                <w:vanish/>
              </w:rPr>
              <w:t xml:space="preserve">BR_57.02 </w:t>
            </w:r>
            <w:r>
              <w:t xml:space="preserve">Displays the list of antibodies and allows the user to select from the identified specificities and to add antibodies or to indicate that no antibody was identified. </w:t>
            </w:r>
          </w:p>
          <w:p w14:paraId="419FF967" w14:textId="77777777" w:rsidR="002A21AE" w:rsidRDefault="002A21AE">
            <w:pPr>
              <w:pStyle w:val="TableText"/>
            </w:pPr>
          </w:p>
          <w:p w14:paraId="312FCB98" w14:textId="5F55DE1C" w:rsidR="002A21AE" w:rsidRDefault="002A21AE">
            <w:pPr>
              <w:pStyle w:val="TableText"/>
              <w:rPr>
                <w:b/>
                <w:bCs/>
                <w:szCs w:val="18"/>
              </w:rPr>
            </w:pPr>
            <w:r>
              <w:rPr>
                <w:b/>
                <w:bCs/>
                <w:szCs w:val="18"/>
              </w:rPr>
              <w:t>NOTES</w:t>
            </w:r>
          </w:p>
          <w:p w14:paraId="11A264A2" w14:textId="77777777" w:rsidR="002A21AE" w:rsidRDefault="002A21AE">
            <w:pPr>
              <w:pStyle w:val="NotesText"/>
            </w:pPr>
          </w:p>
          <w:p w14:paraId="1DFB493C" w14:textId="77777777" w:rsidR="002A21AE" w:rsidRDefault="002A21AE">
            <w:pPr>
              <w:pStyle w:val="NotesText"/>
            </w:pPr>
            <w:r>
              <w:rPr>
                <w:rFonts w:cs="Arial"/>
                <w:vanish/>
              </w:rPr>
              <w:t xml:space="preserve">BR_57.03 </w:t>
            </w:r>
            <w:r>
              <w:t>Multiple workload codes may apply when work is performed on-site.</w:t>
            </w:r>
          </w:p>
        </w:tc>
      </w:tr>
      <w:tr w:rsidR="002A21AE" w14:paraId="0A8F9788" w14:textId="77777777">
        <w:tc>
          <w:tcPr>
            <w:tcW w:w="3240" w:type="dxa"/>
          </w:tcPr>
          <w:p w14:paraId="32F0F043" w14:textId="77777777" w:rsidR="002A21AE" w:rsidRDefault="002A21AE">
            <w:pPr>
              <w:pStyle w:val="TableTextNumbers"/>
            </w:pPr>
            <w:r>
              <w:t xml:space="preserve">Review the selections displayed. Return to Step 1 to change selections when necessary. </w:t>
            </w:r>
          </w:p>
          <w:p w14:paraId="603E1573" w14:textId="77777777" w:rsidR="002A21AE" w:rsidRDefault="002A21AE">
            <w:pPr>
              <w:pStyle w:val="TableTextNumbersContinued"/>
            </w:pPr>
          </w:p>
          <w:p w14:paraId="48C9D82F" w14:textId="77777777" w:rsidR="002A21AE" w:rsidRDefault="002A21AE">
            <w:pPr>
              <w:pStyle w:val="TableTextNumbersContinued"/>
            </w:pPr>
            <w:r>
              <w:t>Accept the reviewed entries.</w:t>
            </w:r>
          </w:p>
        </w:tc>
        <w:tc>
          <w:tcPr>
            <w:tcW w:w="6120" w:type="dxa"/>
          </w:tcPr>
          <w:p w14:paraId="02776323" w14:textId="77777777" w:rsidR="002A21AE" w:rsidRDefault="002A21AE">
            <w:pPr>
              <w:pStyle w:val="TableTextBullet"/>
            </w:pPr>
            <w:r>
              <w:t>Displays applicable data fields for the ordered ABID.</w:t>
            </w:r>
          </w:p>
          <w:p w14:paraId="3922E3F2" w14:textId="77777777" w:rsidR="002A21AE" w:rsidRDefault="002A21AE">
            <w:pPr>
              <w:pStyle w:val="TableTextBullet"/>
            </w:pPr>
            <w:r>
              <w:t>Allows the user to indicate the testing site and associated billing from outside sources.</w:t>
            </w:r>
          </w:p>
        </w:tc>
      </w:tr>
      <w:tr w:rsidR="002A21AE" w14:paraId="0D9C613D" w14:textId="77777777">
        <w:tc>
          <w:tcPr>
            <w:tcW w:w="3240" w:type="dxa"/>
          </w:tcPr>
          <w:p w14:paraId="41B4F401" w14:textId="77777777" w:rsidR="002A21AE" w:rsidRDefault="002A21AE">
            <w:pPr>
              <w:pStyle w:val="TableTextNumbers"/>
            </w:pPr>
            <w:r>
              <w:t>Enter the location where testing was performed and cost, when off-site.</w:t>
            </w:r>
          </w:p>
        </w:tc>
        <w:tc>
          <w:tcPr>
            <w:tcW w:w="6120" w:type="dxa"/>
          </w:tcPr>
          <w:p w14:paraId="56019BA9" w14:textId="77777777" w:rsidR="002A21AE" w:rsidRDefault="002A21AE">
            <w:pPr>
              <w:pStyle w:val="TableTextBullet"/>
            </w:pPr>
            <w:r>
              <w:t>Requires the user to indicate whether the ABID was performed at the division and/or off-site and saves that information with the ABID.</w:t>
            </w:r>
          </w:p>
          <w:p w14:paraId="16BD7F4F" w14:textId="77777777" w:rsidR="002A21AE" w:rsidRDefault="002A21AE">
            <w:pPr>
              <w:pStyle w:val="TableTextBullet"/>
            </w:pPr>
            <w:r>
              <w:rPr>
                <w:rFonts w:cs="Arial"/>
                <w:vanish/>
              </w:rPr>
              <w:t xml:space="preserve">BR_57.04 </w:t>
            </w:r>
            <w:r>
              <w:t xml:space="preserve">Allows the user to enter a charge, but not the workload, when the ABID work was performed off-site. </w:t>
            </w:r>
          </w:p>
          <w:p w14:paraId="7EC9B62A" w14:textId="77777777" w:rsidR="002A21AE" w:rsidRDefault="002A21AE">
            <w:pPr>
              <w:pStyle w:val="TableTextBullet"/>
            </w:pPr>
            <w:r>
              <w:t>Allows the user to indicate multiples of any processes when a test was performed on-site.</w:t>
            </w:r>
          </w:p>
          <w:p w14:paraId="4A6DD76D" w14:textId="77777777" w:rsidR="002A21AE" w:rsidRDefault="002A21AE">
            <w:pPr>
              <w:pStyle w:val="TableTextBullet"/>
            </w:pPr>
            <w:r>
              <w:t xml:space="preserve">Allows the user to enter comments. </w:t>
            </w:r>
          </w:p>
          <w:p w14:paraId="1B5E5981" w14:textId="24F7D2E7" w:rsidR="00964E4B" w:rsidRDefault="003F3FBD" w:rsidP="00964E4B">
            <w:pPr>
              <w:pStyle w:val="TableTextBullet"/>
            </w:pPr>
            <w:r>
              <w:t>Do not exceed 50 characters when entering</w:t>
            </w:r>
            <w:r w:rsidR="00964E4B" w:rsidRPr="00964E4B">
              <w:t xml:space="preserve"> the name of the off-site testing location.</w:t>
            </w:r>
            <w:r w:rsidR="00244AD3">
              <w:t xml:space="preserve"> </w:t>
            </w:r>
            <w:r w:rsidR="00244AD3" w:rsidRPr="00244AD3">
              <w:rPr>
                <w:vanish/>
              </w:rPr>
              <w:t>Defect 209558</w:t>
            </w:r>
          </w:p>
        </w:tc>
      </w:tr>
      <w:tr w:rsidR="002A21AE" w14:paraId="7D9642E9" w14:textId="77777777">
        <w:tc>
          <w:tcPr>
            <w:tcW w:w="3240" w:type="dxa"/>
          </w:tcPr>
          <w:p w14:paraId="434B1D8D" w14:textId="29BA20EE" w:rsidR="002A21AE" w:rsidRDefault="002A21AE">
            <w:pPr>
              <w:pStyle w:val="TableTextNumbers"/>
            </w:pPr>
            <w:r>
              <w:t>Review the antibody tests entered and comments selected and, when necessary, change them before accepting</w:t>
            </w:r>
            <w:r w:rsidR="005D0D2B">
              <w:t xml:space="preserve"> (</w:t>
            </w:r>
            <w:r w:rsidR="00EE455E">
              <w:t xml:space="preserve">Figure </w:t>
            </w:r>
            <w:r w:rsidR="00EE455E">
              <w:rPr>
                <w:noProof/>
              </w:rPr>
              <w:t>100</w:t>
            </w:r>
            <w:r w:rsidR="005D0D2B">
              <w:t>)</w:t>
            </w:r>
            <w:r>
              <w:t xml:space="preserve">. </w:t>
            </w:r>
          </w:p>
        </w:tc>
        <w:tc>
          <w:tcPr>
            <w:tcW w:w="6120" w:type="dxa"/>
          </w:tcPr>
          <w:p w14:paraId="33B9937F" w14:textId="77777777" w:rsidR="002A21AE" w:rsidRDefault="002A21AE">
            <w:pPr>
              <w:pStyle w:val="TableTextBullet"/>
            </w:pPr>
            <w:r>
              <w:t>Displays the requirements for antigen negative blood components, if any, based on the antibody entered.</w:t>
            </w:r>
          </w:p>
          <w:p w14:paraId="715C50D7" w14:textId="77777777" w:rsidR="002A21AE" w:rsidRDefault="002A21AE">
            <w:pPr>
              <w:pStyle w:val="TableText"/>
            </w:pPr>
          </w:p>
        </w:tc>
      </w:tr>
      <w:tr w:rsidR="002A21AE" w14:paraId="008A184F" w14:textId="77777777">
        <w:tc>
          <w:tcPr>
            <w:tcW w:w="3240" w:type="dxa"/>
          </w:tcPr>
          <w:p w14:paraId="0891D9C3" w14:textId="77777777" w:rsidR="002A21AE" w:rsidRDefault="002A21AE">
            <w:pPr>
              <w:pStyle w:val="TableTextNumbers"/>
            </w:pPr>
            <w:r>
              <w:t xml:space="preserve">Click </w:t>
            </w:r>
            <w:r>
              <w:rPr>
                <w:b/>
              </w:rPr>
              <w:t>OK</w:t>
            </w:r>
            <w:r>
              <w:t xml:space="preserve"> to save the information to the database.</w:t>
            </w:r>
          </w:p>
        </w:tc>
        <w:tc>
          <w:tcPr>
            <w:tcW w:w="6120" w:type="dxa"/>
          </w:tcPr>
          <w:p w14:paraId="5E5BBDB8" w14:textId="77777777" w:rsidR="002A21AE" w:rsidRDefault="00B6515C" w:rsidP="00B6515C">
            <w:pPr>
              <w:pStyle w:val="TableTextBullet"/>
            </w:pPr>
            <w:r>
              <w:t>Saves the data.</w:t>
            </w:r>
          </w:p>
        </w:tc>
      </w:tr>
      <w:tr w:rsidR="002A21AE" w14:paraId="407C6294" w14:textId="77777777">
        <w:tc>
          <w:tcPr>
            <w:tcW w:w="3240" w:type="dxa"/>
          </w:tcPr>
          <w:p w14:paraId="4CD347B8" w14:textId="77777777" w:rsidR="002A21AE" w:rsidRDefault="002A21AE">
            <w:pPr>
              <w:pStyle w:val="TableTextNumbers"/>
            </w:pPr>
            <w:r>
              <w:t xml:space="preserve">Click </w:t>
            </w:r>
            <w:r>
              <w:rPr>
                <w:b/>
              </w:rPr>
              <w:t xml:space="preserve">OK </w:t>
            </w:r>
            <w:r>
              <w:t xml:space="preserve">to 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60734073" w14:textId="77777777" w:rsidR="002A21AE" w:rsidRDefault="002A21AE">
            <w:pPr>
              <w:pStyle w:val="TableText"/>
            </w:pPr>
          </w:p>
        </w:tc>
      </w:tr>
    </w:tbl>
    <w:p w14:paraId="7EDEA9B2" w14:textId="6592076D" w:rsidR="005D0D2B" w:rsidRDefault="005D0D2B" w:rsidP="005D0D2B">
      <w:pPr>
        <w:pStyle w:val="Caption"/>
      </w:pPr>
      <w:bookmarkStart w:id="481" w:name="_Ref12709240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100</w:t>
      </w:r>
      <w:r w:rsidR="004E20BD">
        <w:rPr>
          <w:noProof/>
        </w:rPr>
        <w:fldChar w:fldCharType="end"/>
      </w:r>
      <w:bookmarkEnd w:id="481"/>
      <w:r>
        <w:t>: Patient Testing Antibody Identification</w:t>
      </w:r>
    </w:p>
    <w:p w14:paraId="3F20FB03" w14:textId="77777777" w:rsidR="002A21AE" w:rsidRDefault="00057948" w:rsidP="005D0D2B">
      <w:pPr>
        <w:pStyle w:val="BodyText"/>
      </w:pPr>
      <w:r>
        <w:rPr>
          <w:noProof/>
        </w:rPr>
        <w:drawing>
          <wp:inline distT="0" distB="0" distL="0" distR="0" wp14:anchorId="1F8EE0A4" wp14:editId="767EB401">
            <wp:extent cx="5791200" cy="3546475"/>
            <wp:effectExtent l="0" t="0" r="0" b="0"/>
            <wp:docPr id="243" name="Picture 243" descr="Example of Patient Testing Antibody Identific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Example of Patient Testing Antibody Identification screen captur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91200" cy="3546475"/>
                    </a:xfrm>
                    <a:prstGeom prst="rect">
                      <a:avLst/>
                    </a:prstGeom>
                    <a:noFill/>
                    <a:ln>
                      <a:noFill/>
                    </a:ln>
                  </pic:spPr>
                </pic:pic>
              </a:graphicData>
            </a:graphic>
          </wp:inline>
        </w:drawing>
      </w:r>
    </w:p>
    <w:p w14:paraId="6F4A8AE9" w14:textId="77777777" w:rsidR="002A21AE" w:rsidRDefault="00746454">
      <w:pPr>
        <w:pStyle w:val="Heading3"/>
      </w:pPr>
      <w:r>
        <w:br w:type="page"/>
      </w:r>
      <w:bookmarkStart w:id="482" w:name="_Toc149064165"/>
      <w:r w:rsidR="002A21AE">
        <w:t>Patient Testing: Record a Transfusion Reaction Workup</w:t>
      </w:r>
      <w:bookmarkEnd w:id="482"/>
      <w:r w:rsidR="002A21AE">
        <w:fldChar w:fldCharType="begin"/>
      </w:r>
      <w:r w:rsidR="002A21AE">
        <w:instrText xml:space="preserve"> XE </w:instrText>
      </w:r>
      <w:r w:rsidR="00FA7E65">
        <w:instrText>“</w:instrText>
      </w:r>
      <w:r w:rsidR="002A21AE">
        <w:instrText>Patient Testing\: Record a Transfusion Reaction Workup</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UC_21</w:t>
      </w:r>
    </w:p>
    <w:p w14:paraId="19C01145" w14:textId="77777777" w:rsidR="002A21AE" w:rsidRDefault="002A21AE" w:rsidP="00FA7E65">
      <w:pPr>
        <w:pStyle w:val="BodyText"/>
      </w:pPr>
      <w:r>
        <w:t xml:space="preserve">The user documents a transfusion reaction workup (TRW). </w:t>
      </w:r>
    </w:p>
    <w:p w14:paraId="78634B05" w14:textId="77777777" w:rsidR="002A21AE" w:rsidRDefault="002A21AE">
      <w:pPr>
        <w:pStyle w:val="Heading4"/>
      </w:pPr>
      <w:r>
        <w:t>Assumptions</w:t>
      </w:r>
      <w:r>
        <w:rPr>
          <w:b w:val="0"/>
        </w:rPr>
        <w:t xml:space="preserve"> </w:t>
      </w:r>
    </w:p>
    <w:p w14:paraId="1441FF8C" w14:textId="77777777" w:rsidR="002A21AE" w:rsidRDefault="002A21AE">
      <w:pPr>
        <w:pStyle w:val="ListBullet"/>
      </w:pPr>
      <w:r>
        <w:t>A TRW is ordered and is “not started” or “in progress” on the Pending Task List (PTL).</w:t>
      </w:r>
    </w:p>
    <w:p w14:paraId="42F553BC" w14:textId="77777777" w:rsidR="002A21AE" w:rsidRDefault="002A21AE">
      <w:pPr>
        <w:pStyle w:val="Heading4"/>
      </w:pPr>
      <w:r>
        <w:t xml:space="preserve">Outcome </w:t>
      </w:r>
    </w:p>
    <w:p w14:paraId="589A1DC6" w14:textId="77777777" w:rsidR="002A21AE" w:rsidRDefault="002A21AE">
      <w:pPr>
        <w:pStyle w:val="ListBullet"/>
      </w:pPr>
      <w:r>
        <w:t>The user views or prints a preliminary TRW report of findings.</w:t>
      </w:r>
    </w:p>
    <w:p w14:paraId="2B7523E6" w14:textId="77777777" w:rsidR="002A21AE" w:rsidRDefault="002A21AE">
      <w:pPr>
        <w:pStyle w:val="ListBullet"/>
      </w:pPr>
      <w:r>
        <w:t>Preliminary report findings are available for display in CPRS.</w:t>
      </w:r>
    </w:p>
    <w:p w14:paraId="47EF08C5" w14:textId="77777777" w:rsidR="002A21AE" w:rsidRDefault="002A21AE">
      <w:pPr>
        <w:pStyle w:val="Heading4"/>
      </w:pPr>
      <w:r>
        <w:t>Limitations and Restrictions</w:t>
      </w:r>
      <w:r>
        <w:rPr>
          <w:b w:val="0"/>
        </w:rPr>
        <w:t xml:space="preserve"> </w:t>
      </w:r>
    </w:p>
    <w:p w14:paraId="38303BB8" w14:textId="77777777" w:rsidR="002A21AE" w:rsidRDefault="002A21AE">
      <w:pPr>
        <w:pStyle w:val="ListBullet"/>
      </w:pPr>
      <w:r>
        <w:t xml:space="preserve">Adverse reactions to transfusion detected at a later time (disease transmission) are </w:t>
      </w:r>
      <w:r w:rsidR="00814F27">
        <w:t>not recorded</w:t>
      </w:r>
      <w:r>
        <w:t xml:space="preserve"> through </w:t>
      </w:r>
      <w:r w:rsidR="00814F27">
        <w:t xml:space="preserve">this option. Refer </w:t>
      </w:r>
      <w:r w:rsidR="00357A19">
        <w:t>to Transfusion</w:t>
      </w:r>
      <w:r>
        <w:t xml:space="preserve"> Complications Report.</w:t>
      </w:r>
    </w:p>
    <w:p w14:paraId="2D6FC6A1" w14:textId="002C46AB" w:rsidR="007E549A" w:rsidRDefault="007E549A">
      <w:pPr>
        <w:pStyle w:val="ListBullet"/>
      </w:pPr>
      <w:r>
        <w:t>Each tab is completed and saved and is not editable. To change information on a previously completed tab, the TRW must be invalidated and corrected in its entirety.</w:t>
      </w:r>
    </w:p>
    <w:p w14:paraId="3D9FD12F" w14:textId="2C7244D9" w:rsidR="00783514" w:rsidRDefault="00783514" w:rsidP="00783514">
      <w:pPr>
        <w:pStyle w:val="ListBullet"/>
      </w:pPr>
      <w:r>
        <w:t xml:space="preserve">If comments are entered when a TRW is finalized as type "Other,” they won’t show on the CPRS Blood Bank Report. </w:t>
      </w:r>
      <w:r w:rsidRPr="00783514">
        <w:rPr>
          <w:vanish/>
        </w:rPr>
        <w:t>Defect 210332</w:t>
      </w:r>
    </w:p>
    <w:p w14:paraId="3423DE96" w14:textId="77777777" w:rsidR="002A21AE" w:rsidRDefault="002A21AE">
      <w:pPr>
        <w:pStyle w:val="Heading4"/>
      </w:pPr>
      <w:r>
        <w:t xml:space="preserve">Additional Information </w:t>
      </w:r>
    </w:p>
    <w:p w14:paraId="5F1F0100" w14:textId="77777777" w:rsidR="002A21AE" w:rsidRDefault="002A21AE">
      <w:pPr>
        <w:pStyle w:val="ListBullet"/>
      </w:pPr>
      <w:r>
        <w:t xml:space="preserve">All implicated units are added to data grids. </w:t>
      </w:r>
    </w:p>
    <w:p w14:paraId="4376350A" w14:textId="77777777" w:rsidR="002A21AE" w:rsidRDefault="002A21AE">
      <w:pPr>
        <w:pStyle w:val="ListBullet"/>
      </w:pPr>
      <w:r>
        <w:t>Testing is based on local policies.</w:t>
      </w:r>
    </w:p>
    <w:p w14:paraId="28DDAAE2" w14:textId="77777777" w:rsidR="002A21AE" w:rsidRDefault="002A21AE">
      <w:pPr>
        <w:pStyle w:val="ListBullet"/>
      </w:pPr>
      <w:r>
        <w:rPr>
          <w:rFonts w:ascii="Arial" w:hAnsi="Arial" w:cs="Arial"/>
          <w:vanish/>
          <w:spacing w:val="0"/>
          <w:sz w:val="18"/>
        </w:rPr>
        <w:t xml:space="preserve">BR_21.30 </w:t>
      </w:r>
      <w:r>
        <w:rPr>
          <w:color w:val="000000"/>
          <w:szCs w:val="18"/>
        </w:rPr>
        <w:t xml:space="preserve">VBECS allows the user to invalidate previously entered and saved information. When the user invalidates specimen data entered, VBECS invalidates </w:t>
      </w:r>
      <w:r w:rsidR="005B0C5A">
        <w:rPr>
          <w:color w:val="000000"/>
          <w:szCs w:val="18"/>
        </w:rPr>
        <w:t>the TRW</w:t>
      </w:r>
      <w:r>
        <w:rPr>
          <w:color w:val="000000"/>
          <w:szCs w:val="18"/>
        </w:rPr>
        <w:t>.</w:t>
      </w:r>
    </w:p>
    <w:p w14:paraId="5AF1694E" w14:textId="77777777" w:rsidR="002A21AE" w:rsidRDefault="002A21AE">
      <w:pPr>
        <w:pStyle w:val="ListBullet"/>
      </w:pPr>
      <w:r>
        <w:t>A delayed hemolytic transfusion reaction is typically identified about 7 to 10 days post-transfusion</w:t>
      </w:r>
      <w:r w:rsidR="0015352F">
        <w:t xml:space="preserve">. It may be </w:t>
      </w:r>
      <w:r>
        <w:t>addressed in this option</w:t>
      </w:r>
      <w:r w:rsidR="003F3A76">
        <w:t xml:space="preserve"> or as an</w:t>
      </w:r>
      <w:r>
        <w:t xml:space="preserve"> antibody identification.</w:t>
      </w:r>
      <w:r w:rsidR="00BF0C0F">
        <w:t xml:space="preserve"> (See Patient Testing: Enter Antibody Identification Results.)</w:t>
      </w:r>
    </w:p>
    <w:p w14:paraId="7A61C0EE" w14:textId="77777777" w:rsidR="002A21AE" w:rsidRDefault="002A21AE">
      <w:pPr>
        <w:pStyle w:val="ListBullet"/>
      </w:pPr>
      <w:r>
        <w:t>This test record is not editable after the user saves it to the database. When a correction needs to be filed, a corrected report must be generated, as described in Invalidate Test Results.</w:t>
      </w:r>
    </w:p>
    <w:p w14:paraId="1333645F" w14:textId="77777777" w:rsidR="002A21AE" w:rsidRDefault="002A21AE">
      <w:pPr>
        <w:pStyle w:val="ListBullet"/>
      </w:pPr>
      <w:r>
        <w:t>See the printed chart copy for the medical director’s signature and TRW interpretation, as described in Finalize/Print TRW.</w:t>
      </w:r>
    </w:p>
    <w:p w14:paraId="359E585E" w14:textId="77777777" w:rsidR="002A21AE" w:rsidRDefault="002A21AE">
      <w:pPr>
        <w:pStyle w:val="ListBullet"/>
      </w:pPr>
      <w:r>
        <w:t xml:space="preserve">A </w:t>
      </w:r>
      <w:r w:rsidR="00BF0C0F">
        <w:t xml:space="preserve">user may order a </w:t>
      </w:r>
      <w:r>
        <w:t>TRW</w:t>
      </w:r>
      <w:r w:rsidR="005B0C5A">
        <w:t xml:space="preserve"> </w:t>
      </w:r>
      <w:r>
        <w:t>prior to the completion of a unit’s transfusion record.</w:t>
      </w:r>
    </w:p>
    <w:p w14:paraId="16B0EF69" w14:textId="77777777" w:rsidR="005B0C5A" w:rsidRDefault="005B0C5A" w:rsidP="005B0C5A">
      <w:pPr>
        <w:pStyle w:val="ListBullet"/>
      </w:pPr>
      <w:r>
        <w:t xml:space="preserve">The </w:t>
      </w:r>
      <w:r w:rsidR="009771E4">
        <w:t xml:space="preserve">user must complete the </w:t>
      </w:r>
      <w:r>
        <w:t>unit’s transfusion record prior to implicating a unit in a TRW.</w:t>
      </w:r>
    </w:p>
    <w:p w14:paraId="1CDD39C8" w14:textId="77777777" w:rsidR="002A21AE" w:rsidRDefault="002A21AE">
      <w:pPr>
        <w:pStyle w:val="ListBullet"/>
      </w:pPr>
      <w:r>
        <w:t xml:space="preserve">These data remain encapsulated as part of the TRW and </w:t>
      </w:r>
      <w:r w:rsidR="00855A2D">
        <w:t xml:space="preserve">are not saved, compared to the patient record, or </w:t>
      </w:r>
      <w:r>
        <w:t>associated with other pre-transfusion grid testing.</w:t>
      </w:r>
    </w:p>
    <w:p w14:paraId="6DFE6EB1" w14:textId="77777777" w:rsidR="002A21AE" w:rsidRDefault="002A21AE">
      <w:pPr>
        <w:pStyle w:val="ListBullet"/>
      </w:pPr>
      <w:r>
        <w:rPr>
          <w:rFonts w:ascii="Arial" w:hAnsi="Arial" w:cs="Arial"/>
          <w:vanish/>
          <w:spacing w:val="0"/>
          <w:sz w:val="18"/>
        </w:rPr>
        <w:t xml:space="preserve">BR_21.26 </w:t>
      </w:r>
      <w:r>
        <w:t>TRW ABO/Rh typing results are not saved as historical ABO/Rh typing results. These test records are maintained as part of the TRW only.</w:t>
      </w:r>
    </w:p>
    <w:p w14:paraId="54E96F9D" w14:textId="234A3354" w:rsidR="00F317D8" w:rsidRDefault="007B0020">
      <w:pPr>
        <w:pStyle w:val="ListBullet"/>
      </w:pPr>
      <w:r>
        <w:t>A system error occurs when a user attempts to access a locked TRW.</w:t>
      </w:r>
      <w:r w:rsidR="00244AD3">
        <w:t xml:space="preserve"> </w:t>
      </w:r>
      <w:r w:rsidR="00244AD3" w:rsidRPr="00244AD3">
        <w:rPr>
          <w:vanish/>
        </w:rPr>
        <w:t>Defect 209147</w:t>
      </w:r>
    </w:p>
    <w:p w14:paraId="1A6BC8DB" w14:textId="77777777" w:rsidR="002A21AE" w:rsidRDefault="002A21AE">
      <w:pPr>
        <w:pStyle w:val="Heading4"/>
        <w:rPr>
          <w:b w:val="0"/>
        </w:rPr>
      </w:pPr>
      <w:r>
        <w:t>User Roles with Access to This Option</w:t>
      </w:r>
      <w:r>
        <w:rPr>
          <w:b w:val="0"/>
        </w:rPr>
        <w:t xml:space="preserve"> </w:t>
      </w:r>
    </w:p>
    <w:p w14:paraId="340545D6" w14:textId="77777777" w:rsidR="002A21AE" w:rsidRDefault="00A13077">
      <w:pPr>
        <w:pStyle w:val="Roles"/>
        <w:rPr>
          <w:snapToGrid w:val="0"/>
        </w:rPr>
      </w:pPr>
      <w:r>
        <w:t>All users</w:t>
      </w:r>
    </w:p>
    <w:p w14:paraId="4954F922" w14:textId="77777777" w:rsidR="002A21AE" w:rsidRDefault="00746454">
      <w:pPr>
        <w:pStyle w:val="Heading4"/>
      </w:pPr>
      <w:r>
        <w:br w:type="page"/>
      </w:r>
      <w:r w:rsidR="002A21AE">
        <w:t xml:space="preserve">Patient Testing: Record a Transfusion Reaction Workup </w:t>
      </w:r>
    </w:p>
    <w:p w14:paraId="5BE677C0" w14:textId="77777777" w:rsidR="002A21AE" w:rsidRDefault="002A21AE" w:rsidP="00FA7E65">
      <w:pPr>
        <w:pStyle w:val="BodyText"/>
      </w:pPr>
      <w:r>
        <w:t xml:space="preserve">The user accepts the TRW order, inspects the sample for hemolysis, and performs implicated clerical checks. The TRW may require entry of patient data, including vital signs and serologic test results. A signed, printed TRW report must be filed with the patient’s chart. </w:t>
      </w:r>
    </w:p>
    <w:p w14:paraId="338CD7E5" w14:textId="77777777" w:rsidR="002A21AE" w:rsidRDefault="002A21AE" w:rsidP="00FA7E65">
      <w:pPr>
        <w:pStyle w:val="BodyText"/>
      </w:pPr>
      <w:r>
        <w:t>Transfusion reactions may be worked up in stages depending on patient symptoms and serologic findings. The first stage includes the initial clerical and specimen checks. The second stage includes serologic test interpretations, including pre- and post-patient testing, ABO/Rh, ABS, XM, and DAT.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8E6E94" w14:paraId="2A6D3140" w14:textId="77777777">
        <w:trPr>
          <w:cantSplit/>
          <w:tblHeader/>
        </w:trPr>
        <w:tc>
          <w:tcPr>
            <w:tcW w:w="3240" w:type="dxa"/>
            <w:shd w:val="pct30" w:color="auto" w:fill="FFFFFF"/>
            <w:vAlign w:val="bottom"/>
          </w:tcPr>
          <w:p w14:paraId="3D43292F" w14:textId="77777777" w:rsidR="008E6E94" w:rsidRDefault="008E6E94" w:rsidP="007A413F">
            <w:pPr>
              <w:pStyle w:val="TableText"/>
              <w:rPr>
                <w:b/>
              </w:rPr>
            </w:pPr>
            <w:r>
              <w:rPr>
                <w:b/>
              </w:rPr>
              <w:t>User Action</w:t>
            </w:r>
          </w:p>
        </w:tc>
        <w:tc>
          <w:tcPr>
            <w:tcW w:w="6120" w:type="dxa"/>
            <w:shd w:val="pct30" w:color="auto" w:fill="FFFFFF"/>
            <w:vAlign w:val="bottom"/>
          </w:tcPr>
          <w:p w14:paraId="548FC45E" w14:textId="77777777" w:rsidR="008E6E94" w:rsidRDefault="008E6E94" w:rsidP="007A413F">
            <w:pPr>
              <w:pStyle w:val="TableText"/>
              <w:rPr>
                <w:b/>
              </w:rPr>
            </w:pPr>
            <w:r>
              <w:rPr>
                <w:b/>
              </w:rPr>
              <w:t>VBECS</w:t>
            </w:r>
          </w:p>
        </w:tc>
      </w:tr>
      <w:tr w:rsidR="00413A92" w14:paraId="36EC75EF" w14:textId="77777777">
        <w:tc>
          <w:tcPr>
            <w:tcW w:w="3240" w:type="dxa"/>
            <w:tcBorders>
              <w:top w:val="single" w:sz="4" w:space="0" w:color="auto"/>
              <w:left w:val="single" w:sz="4" w:space="0" w:color="auto"/>
              <w:bottom w:val="single" w:sz="4" w:space="0" w:color="auto"/>
              <w:right w:val="single" w:sz="4" w:space="0" w:color="auto"/>
            </w:tcBorders>
          </w:tcPr>
          <w:p w14:paraId="3A073BB1" w14:textId="77777777" w:rsidR="00413A92" w:rsidRDefault="00413A92" w:rsidP="00644B37">
            <w:pPr>
              <w:pStyle w:val="TableTextNumbers"/>
            </w:pPr>
            <w:r>
              <w:t xml:space="preserve">Select </w:t>
            </w:r>
            <w:r>
              <w:rPr>
                <w:b/>
              </w:rPr>
              <w:t>Patients</w:t>
            </w:r>
            <w:r>
              <w:t xml:space="preserve"> from the main menu.</w:t>
            </w:r>
          </w:p>
          <w:p w14:paraId="4289CE2A" w14:textId="77777777" w:rsidR="00413A92" w:rsidRDefault="00413A92" w:rsidP="00644B37">
            <w:pPr>
              <w:pStyle w:val="TableTextNumbersContinued"/>
            </w:pPr>
          </w:p>
          <w:p w14:paraId="3BB70B6F" w14:textId="77777777" w:rsidR="00413A92" w:rsidRDefault="00413A92" w:rsidP="00644B37">
            <w:pPr>
              <w:pStyle w:val="TableTextNumbersContinued"/>
            </w:pPr>
            <w:r>
              <w:t xml:space="preserve">Select </w:t>
            </w:r>
            <w:r>
              <w:rPr>
                <w:b/>
              </w:rPr>
              <w:t>Patient Testing</w:t>
            </w:r>
            <w:r>
              <w:t>.</w:t>
            </w:r>
          </w:p>
        </w:tc>
        <w:tc>
          <w:tcPr>
            <w:tcW w:w="6120" w:type="dxa"/>
            <w:tcBorders>
              <w:top w:val="single" w:sz="4" w:space="0" w:color="auto"/>
              <w:left w:val="single" w:sz="4" w:space="0" w:color="auto"/>
              <w:bottom w:val="single" w:sz="4" w:space="0" w:color="auto"/>
              <w:right w:val="single" w:sz="4" w:space="0" w:color="auto"/>
            </w:tcBorders>
          </w:tcPr>
          <w:p w14:paraId="783E638F" w14:textId="77777777" w:rsidR="00413A92" w:rsidRDefault="00413A92" w:rsidP="00644B37">
            <w:pPr>
              <w:pStyle w:val="TableTextBullet"/>
            </w:pPr>
            <w:r>
              <w:t xml:space="preserve">Displays options for processing patient-related functions. </w:t>
            </w:r>
          </w:p>
          <w:p w14:paraId="0C7E54AC" w14:textId="77777777" w:rsidR="00413A92" w:rsidRDefault="00413A92" w:rsidP="00644B37">
            <w:pPr>
              <w:pStyle w:val="TableTextBullet"/>
            </w:pPr>
            <w:r>
              <w:t>Displays the Pending Task List (PTL) in the Diagnostic Tests tab.</w:t>
            </w:r>
          </w:p>
          <w:p w14:paraId="6582F75D" w14:textId="77777777" w:rsidR="00413A92" w:rsidRDefault="00413A92" w:rsidP="00644B37">
            <w:pPr>
              <w:pStyle w:val="NotesText"/>
            </w:pPr>
          </w:p>
          <w:p w14:paraId="6C58A36B" w14:textId="7C36AFE9" w:rsidR="00413A92" w:rsidRDefault="00413A92" w:rsidP="00644B37">
            <w:pPr>
              <w:pStyle w:val="TableText"/>
              <w:rPr>
                <w:b/>
                <w:bCs/>
                <w:szCs w:val="18"/>
              </w:rPr>
            </w:pPr>
            <w:r>
              <w:rPr>
                <w:b/>
                <w:bCs/>
                <w:szCs w:val="18"/>
              </w:rPr>
              <w:t>NOTES</w:t>
            </w:r>
          </w:p>
          <w:p w14:paraId="1F822AA5" w14:textId="77777777" w:rsidR="00413A92" w:rsidRDefault="00413A92" w:rsidP="00644B37">
            <w:pPr>
              <w:pStyle w:val="NotesText"/>
            </w:pPr>
          </w:p>
          <w:p w14:paraId="5FAACFA2" w14:textId="77777777" w:rsidR="00413A92" w:rsidRDefault="00413A92" w:rsidP="00644B37">
            <w:pPr>
              <w:pStyle w:val="NotesText"/>
            </w:pPr>
            <w:r>
              <w:t>A user may search for specific tasks using search criteria detailed in Pending Task List.</w:t>
            </w:r>
          </w:p>
        </w:tc>
      </w:tr>
      <w:tr w:rsidR="008E6E94" w14:paraId="333868ED" w14:textId="77777777">
        <w:tc>
          <w:tcPr>
            <w:tcW w:w="3240" w:type="dxa"/>
          </w:tcPr>
          <w:p w14:paraId="287523DF" w14:textId="77777777" w:rsidR="008E6E94" w:rsidRDefault="008E6E94" w:rsidP="007A413F">
            <w:pPr>
              <w:pStyle w:val="TableTextNumbers"/>
            </w:pPr>
            <w:r>
              <w:t>Click a check box in the PTL to select a task.</w:t>
            </w:r>
          </w:p>
          <w:p w14:paraId="30EDF7E1" w14:textId="77777777" w:rsidR="00432A30" w:rsidRDefault="00432A30" w:rsidP="00432A30">
            <w:pPr>
              <w:pStyle w:val="TableTextNumbersContinued"/>
            </w:pPr>
          </w:p>
          <w:p w14:paraId="344B52B9" w14:textId="77777777" w:rsidR="00432A30" w:rsidRDefault="00432A30" w:rsidP="00432A30">
            <w:pPr>
              <w:pStyle w:val="TableTextNumbersContinued"/>
            </w:pPr>
            <w:r>
              <w:t xml:space="preserve">Click </w:t>
            </w:r>
            <w:r w:rsidRPr="00432A30">
              <w:rPr>
                <w:b/>
              </w:rPr>
              <w:t>OK</w:t>
            </w:r>
            <w:r>
              <w:t>.</w:t>
            </w:r>
          </w:p>
        </w:tc>
        <w:tc>
          <w:tcPr>
            <w:tcW w:w="6120" w:type="dxa"/>
          </w:tcPr>
          <w:p w14:paraId="48B150D5" w14:textId="77777777" w:rsidR="008E6E94" w:rsidRDefault="008E6E94" w:rsidP="001E4DCC">
            <w:pPr>
              <w:pStyle w:val="TableTextBullet"/>
            </w:pPr>
            <w:r>
              <w:t>Displays TRW patient order information and allows the user to indicate which portion of the TRW to perform</w:t>
            </w:r>
            <w:r w:rsidR="001E4DCC">
              <w:t xml:space="preserve"> (i</w:t>
            </w:r>
            <w:r>
              <w:t>nitial clerical and specimen checks</w:t>
            </w:r>
            <w:r w:rsidR="001E4DCC">
              <w:t>).</w:t>
            </w:r>
          </w:p>
          <w:p w14:paraId="5576DC1C" w14:textId="77777777" w:rsidR="008E6E94" w:rsidRDefault="008E6E94" w:rsidP="007A413F">
            <w:pPr>
              <w:pStyle w:val="TableText"/>
            </w:pPr>
          </w:p>
          <w:p w14:paraId="4BE70B1E" w14:textId="59077262" w:rsidR="008E6E94" w:rsidRDefault="008E6E94" w:rsidP="007A413F">
            <w:pPr>
              <w:pStyle w:val="TableText"/>
              <w:rPr>
                <w:b/>
                <w:bCs/>
                <w:szCs w:val="18"/>
              </w:rPr>
            </w:pPr>
            <w:r>
              <w:rPr>
                <w:b/>
                <w:bCs/>
                <w:szCs w:val="18"/>
              </w:rPr>
              <w:t>NOTES</w:t>
            </w:r>
          </w:p>
          <w:p w14:paraId="79A25BC8" w14:textId="77777777" w:rsidR="008E6E94" w:rsidRDefault="008E6E94" w:rsidP="007A413F">
            <w:pPr>
              <w:pStyle w:val="NotesText"/>
            </w:pPr>
          </w:p>
          <w:p w14:paraId="64A7F859" w14:textId="77777777" w:rsidR="008E6E94" w:rsidRDefault="008E6E94" w:rsidP="007A413F">
            <w:pPr>
              <w:pStyle w:val="NotesText"/>
            </w:pPr>
            <w:r>
              <w:rPr>
                <w:rFonts w:cs="Arial"/>
                <w:vanish/>
              </w:rPr>
              <w:t xml:space="preserve">BR_21.08 </w:t>
            </w:r>
            <w:r>
              <w:t>The TRW patient name and patient ID are visible at all times.</w:t>
            </w:r>
          </w:p>
          <w:p w14:paraId="1AEF4F5E" w14:textId="77777777" w:rsidR="008E6E94" w:rsidRDefault="008E6E94" w:rsidP="007A413F">
            <w:pPr>
              <w:pStyle w:val="NotesText"/>
            </w:pPr>
          </w:p>
          <w:p w14:paraId="69C4853D" w14:textId="77777777" w:rsidR="008E6E94" w:rsidRDefault="008E6E94" w:rsidP="007A413F">
            <w:pPr>
              <w:pStyle w:val="NotesText"/>
            </w:pPr>
            <w:r>
              <w:rPr>
                <w:rFonts w:cs="Arial"/>
                <w:vanish/>
              </w:rPr>
              <w:t xml:space="preserve">BR_21.09 </w:t>
            </w:r>
            <w:r>
              <w:t>Initial clerical and specimen checks must be performed before TRW serologic testing is available.</w:t>
            </w:r>
          </w:p>
        </w:tc>
      </w:tr>
      <w:tr w:rsidR="008E6E94" w14:paraId="66232CC1" w14:textId="77777777">
        <w:tc>
          <w:tcPr>
            <w:tcW w:w="3240" w:type="dxa"/>
            <w:tcBorders>
              <w:top w:val="single" w:sz="4" w:space="0" w:color="auto"/>
              <w:left w:val="single" w:sz="4" w:space="0" w:color="auto"/>
              <w:bottom w:val="single" w:sz="4" w:space="0" w:color="auto"/>
              <w:right w:val="single" w:sz="4" w:space="0" w:color="auto"/>
            </w:tcBorders>
          </w:tcPr>
          <w:p w14:paraId="161E17EE" w14:textId="77777777" w:rsidR="008E6E94" w:rsidRDefault="00A01C54" w:rsidP="00C92B1A">
            <w:pPr>
              <w:pStyle w:val="TableTextNumbers"/>
            </w:pPr>
            <w:r>
              <w:t>Enter the date</w:t>
            </w:r>
            <w:r w:rsidR="00750760">
              <w:t xml:space="preserve"> the</w:t>
            </w:r>
            <w:r>
              <w:t xml:space="preserve"> transfusion reaction was noted and the date it was investigated.</w:t>
            </w:r>
          </w:p>
        </w:tc>
        <w:tc>
          <w:tcPr>
            <w:tcW w:w="6120" w:type="dxa"/>
            <w:tcBorders>
              <w:top w:val="single" w:sz="4" w:space="0" w:color="auto"/>
              <w:left w:val="single" w:sz="4" w:space="0" w:color="auto"/>
              <w:bottom w:val="single" w:sz="4" w:space="0" w:color="auto"/>
              <w:right w:val="single" w:sz="4" w:space="0" w:color="auto"/>
            </w:tcBorders>
          </w:tcPr>
          <w:p w14:paraId="1B88B20C" w14:textId="77777777" w:rsidR="008E6E94" w:rsidRDefault="008E6E94" w:rsidP="007A413F">
            <w:pPr>
              <w:pStyle w:val="TableTextBullet"/>
            </w:pPr>
            <w:r>
              <w:t>Allows the user to document observations about the pre- and post-transfusion specimens.</w:t>
            </w:r>
          </w:p>
        </w:tc>
      </w:tr>
      <w:tr w:rsidR="008E6E94" w14:paraId="1A4B0EC0" w14:textId="77777777">
        <w:tc>
          <w:tcPr>
            <w:tcW w:w="3240" w:type="dxa"/>
            <w:tcBorders>
              <w:top w:val="single" w:sz="4" w:space="0" w:color="auto"/>
              <w:left w:val="single" w:sz="4" w:space="0" w:color="auto"/>
              <w:bottom w:val="single" w:sz="4" w:space="0" w:color="auto"/>
              <w:right w:val="single" w:sz="4" w:space="0" w:color="auto"/>
            </w:tcBorders>
          </w:tcPr>
          <w:p w14:paraId="6E78E35E" w14:textId="4FFA0AC7" w:rsidR="00C92B1A" w:rsidRDefault="00C92B1A" w:rsidP="00C92B1A">
            <w:pPr>
              <w:pStyle w:val="TableTextNumbers"/>
            </w:pPr>
            <w:r>
              <w:t>Click a radio button in the Specimen Checks tab to indicate whether pre- and post-transfusion specimens are available</w:t>
            </w:r>
            <w:r w:rsidR="00750760">
              <w:t xml:space="preserve"> (</w:t>
            </w:r>
            <w:r w:rsidR="00EE455E">
              <w:t xml:space="preserve">Figure </w:t>
            </w:r>
            <w:r w:rsidR="00EE455E">
              <w:rPr>
                <w:noProof/>
              </w:rPr>
              <w:t>101</w:t>
            </w:r>
            <w:r w:rsidR="00750760">
              <w:t>)</w:t>
            </w:r>
            <w:r>
              <w:t>.</w:t>
            </w:r>
          </w:p>
          <w:p w14:paraId="2EB785A2" w14:textId="77777777" w:rsidR="00C92B1A" w:rsidRPr="00C92B1A" w:rsidRDefault="00C92B1A" w:rsidP="00C92B1A">
            <w:pPr>
              <w:pStyle w:val="TableTextNumbersContinued"/>
            </w:pPr>
          </w:p>
          <w:p w14:paraId="518E74B0" w14:textId="77777777" w:rsidR="008E6E94" w:rsidRDefault="00C92B1A" w:rsidP="00C92B1A">
            <w:pPr>
              <w:pStyle w:val="TableTextNumbersContinued"/>
            </w:pPr>
            <w:r>
              <w:t>Scan or enter specimen UIDs in the Specimen UID field</w:t>
            </w:r>
            <w:r w:rsidR="00880C72">
              <w:t>s</w:t>
            </w:r>
            <w:r>
              <w:t xml:space="preserve"> and enter comments, as required. </w:t>
            </w:r>
          </w:p>
          <w:p w14:paraId="611F5FCC" w14:textId="77777777" w:rsidR="00A36884" w:rsidRDefault="00A36884" w:rsidP="00C92B1A">
            <w:pPr>
              <w:pStyle w:val="TableTextNumbersContinued"/>
            </w:pPr>
          </w:p>
          <w:p w14:paraId="0BAB097A" w14:textId="77777777" w:rsidR="00A36884" w:rsidRDefault="00A36884" w:rsidP="00C92B1A">
            <w:pPr>
              <w:pStyle w:val="TableTextNumbersContinued"/>
            </w:pPr>
            <w:r>
              <w:t>Select an item from the drop-down menu in the Hemolysis Inspection field.</w:t>
            </w:r>
          </w:p>
        </w:tc>
        <w:tc>
          <w:tcPr>
            <w:tcW w:w="6120" w:type="dxa"/>
            <w:tcBorders>
              <w:top w:val="single" w:sz="4" w:space="0" w:color="auto"/>
              <w:left w:val="single" w:sz="4" w:space="0" w:color="auto"/>
              <w:bottom w:val="single" w:sz="4" w:space="0" w:color="auto"/>
              <w:right w:val="single" w:sz="4" w:space="0" w:color="auto"/>
            </w:tcBorders>
          </w:tcPr>
          <w:p w14:paraId="3B97442B" w14:textId="77777777" w:rsidR="008E6E94" w:rsidRDefault="008E6E94" w:rsidP="007A413F">
            <w:pPr>
              <w:pStyle w:val="TableTextBullet"/>
            </w:pPr>
            <w:r>
              <w:t xml:space="preserve">Allows the user to enter the date and time the transfusion reaction was noted (provided by the clinician) and the date and time of the investigation (default: current date and time). </w:t>
            </w:r>
          </w:p>
          <w:p w14:paraId="351EFDF6" w14:textId="77777777" w:rsidR="008E6E94" w:rsidRDefault="008E6E94" w:rsidP="007A413F">
            <w:pPr>
              <w:pStyle w:val="TableText"/>
            </w:pPr>
          </w:p>
          <w:p w14:paraId="0101A621" w14:textId="0DBBF372" w:rsidR="008E6E94" w:rsidRDefault="008E6E94" w:rsidP="007A413F">
            <w:pPr>
              <w:pStyle w:val="TableText"/>
              <w:rPr>
                <w:b/>
                <w:bCs/>
                <w:szCs w:val="18"/>
              </w:rPr>
            </w:pPr>
            <w:r>
              <w:rPr>
                <w:b/>
                <w:bCs/>
                <w:szCs w:val="18"/>
              </w:rPr>
              <w:t>NOTES</w:t>
            </w:r>
          </w:p>
          <w:p w14:paraId="374EF8B6" w14:textId="77777777" w:rsidR="008E6E94" w:rsidRDefault="008E6E94" w:rsidP="007A413F">
            <w:pPr>
              <w:pStyle w:val="NotesText"/>
            </w:pPr>
          </w:p>
          <w:p w14:paraId="6BA824D9" w14:textId="77777777" w:rsidR="008E6E94" w:rsidRDefault="008E6E94" w:rsidP="007A413F">
            <w:pPr>
              <w:pStyle w:val="NotesText"/>
            </w:pPr>
            <w:r>
              <w:rPr>
                <w:rFonts w:cs="Arial"/>
                <w:vanish/>
              </w:rPr>
              <w:t xml:space="preserve">BR_21.15 </w:t>
            </w:r>
            <w:r>
              <w:t>When the pre- and/or post-transfusion samples are available to perform the clerical check, VBECS requires the user to indicate whether the clerical check is okay.</w:t>
            </w:r>
          </w:p>
          <w:p w14:paraId="2C9A901F" w14:textId="77777777" w:rsidR="008E6E94" w:rsidRDefault="008E6E94" w:rsidP="007A413F">
            <w:pPr>
              <w:pStyle w:val="NotesText"/>
            </w:pPr>
          </w:p>
          <w:p w14:paraId="4097AF55" w14:textId="77777777" w:rsidR="008E6E94" w:rsidRDefault="008E6E94" w:rsidP="007A413F">
            <w:pPr>
              <w:pStyle w:val="NotesText"/>
            </w:pPr>
            <w:r>
              <w:rPr>
                <w:rFonts w:cs="Arial"/>
                <w:vanish/>
              </w:rPr>
              <w:t xml:space="preserve">BR_21.17 </w:t>
            </w:r>
            <w:r>
              <w:t xml:space="preserve">VBECS allows the user to scan or enter the pre- and post-transfusion specimen UIDs. VBECS compares the patient name and ID associated with each specimen UID to those associated with the TRW workup. </w:t>
            </w:r>
          </w:p>
          <w:p w14:paraId="162E20F4" w14:textId="77777777" w:rsidR="008E6E94" w:rsidRDefault="008E6E94" w:rsidP="007A413F">
            <w:pPr>
              <w:pStyle w:val="NotesText"/>
            </w:pPr>
          </w:p>
          <w:p w14:paraId="02B2F8A7" w14:textId="77777777" w:rsidR="008E6E94" w:rsidRDefault="008E6E94" w:rsidP="007A413F">
            <w:pPr>
              <w:pStyle w:val="NotesText"/>
            </w:pPr>
            <w:r>
              <w:rPr>
                <w:rFonts w:cs="Arial"/>
                <w:vanish/>
              </w:rPr>
              <w:t>BR_21.33</w:t>
            </w:r>
            <w:r w:rsidRPr="00323744">
              <w:rPr>
                <w:rStyle w:val="BullhornChar"/>
              </w:rPr>
              <w:t></w:t>
            </w:r>
            <w:r>
              <w:rPr>
                <w:rFonts w:ascii="Webdings" w:hAnsi="Webdings"/>
              </w:rPr>
              <w:t></w:t>
            </w:r>
            <w:r w:rsidRPr="00263B24">
              <w:t>Wh</w:t>
            </w:r>
            <w:r>
              <w:t>en the patient name does not match VBECS data for the TRW patient, VBECS emits an audible alert, warns the user, and instructs him to notify the physician immediately. VBECS allows the user to reenter the specimen UID or verify that the data are correct. VBECS requires a comment when there is no match and captures details for inclusion in an Exception Report (exception type: Transfusion Reaction Workup Specimen).</w:t>
            </w:r>
          </w:p>
          <w:p w14:paraId="26F9C123" w14:textId="77777777" w:rsidR="008E6E94" w:rsidRDefault="008E6E94" w:rsidP="007A413F">
            <w:pPr>
              <w:pStyle w:val="NotesText"/>
            </w:pPr>
          </w:p>
          <w:p w14:paraId="56732479" w14:textId="77777777" w:rsidR="008E6E94" w:rsidRDefault="008E6E94" w:rsidP="007A413F">
            <w:pPr>
              <w:pStyle w:val="NotesText"/>
            </w:pPr>
            <w:r>
              <w:rPr>
                <w:rFonts w:cs="Arial"/>
                <w:vanish/>
              </w:rPr>
              <w:t xml:space="preserve">BR_21.18 </w:t>
            </w:r>
            <w:r>
              <w:t xml:space="preserve">The user may enter “icteric,” “absent,” “1+,” “2+,” “3+,” or “4+” in the Hemolysis Inspection field to identify the presence or absence of hemolysis in the pre- and post-transfusion patient specimens or blood container, when available. </w:t>
            </w:r>
          </w:p>
        </w:tc>
      </w:tr>
      <w:tr w:rsidR="00C92B1A" w14:paraId="64F387BE" w14:textId="77777777">
        <w:tc>
          <w:tcPr>
            <w:tcW w:w="3240" w:type="dxa"/>
            <w:tcBorders>
              <w:top w:val="single" w:sz="4" w:space="0" w:color="auto"/>
              <w:left w:val="single" w:sz="4" w:space="0" w:color="auto"/>
              <w:bottom w:val="single" w:sz="4" w:space="0" w:color="auto"/>
              <w:right w:val="single" w:sz="4" w:space="0" w:color="auto"/>
            </w:tcBorders>
          </w:tcPr>
          <w:p w14:paraId="4C819897" w14:textId="3FCD3E8A" w:rsidR="00C92B1A" w:rsidRDefault="00C92B1A" w:rsidP="00A12663">
            <w:pPr>
              <w:pStyle w:val="TableTextNumbers"/>
            </w:pPr>
            <w:r>
              <w:t xml:space="preserve">Click the </w:t>
            </w:r>
            <w:r>
              <w:rPr>
                <w:b/>
              </w:rPr>
              <w:t>Clerical Check OK</w:t>
            </w:r>
            <w:r>
              <w:t xml:space="preserve"> or </w:t>
            </w:r>
            <w:r>
              <w:rPr>
                <w:b/>
              </w:rPr>
              <w:t xml:space="preserve">Clerical Check Failed </w:t>
            </w:r>
            <w:r w:rsidRPr="00BF2E41">
              <w:t>radio button</w:t>
            </w:r>
            <w:r>
              <w:t xml:space="preserve"> to perform initial clerical and identification checks</w:t>
            </w:r>
            <w:r w:rsidR="00750760">
              <w:t xml:space="preserve"> (</w:t>
            </w:r>
            <w:r w:rsidR="00EE455E">
              <w:t xml:space="preserve">Figure </w:t>
            </w:r>
            <w:r w:rsidR="00EE455E">
              <w:rPr>
                <w:noProof/>
              </w:rPr>
              <w:t>102</w:t>
            </w:r>
            <w:r w:rsidR="00750760">
              <w:t>)</w:t>
            </w:r>
            <w:r>
              <w:t>.</w:t>
            </w:r>
          </w:p>
        </w:tc>
        <w:tc>
          <w:tcPr>
            <w:tcW w:w="6120" w:type="dxa"/>
            <w:tcBorders>
              <w:top w:val="single" w:sz="4" w:space="0" w:color="auto"/>
              <w:left w:val="single" w:sz="4" w:space="0" w:color="auto"/>
              <w:bottom w:val="single" w:sz="4" w:space="0" w:color="auto"/>
              <w:right w:val="single" w:sz="4" w:space="0" w:color="auto"/>
            </w:tcBorders>
          </w:tcPr>
          <w:p w14:paraId="22C7C594" w14:textId="77777777" w:rsidR="00C92B1A" w:rsidRDefault="00C92B1A" w:rsidP="007A413F">
            <w:pPr>
              <w:pStyle w:val="TableText"/>
            </w:pPr>
          </w:p>
        </w:tc>
      </w:tr>
      <w:tr w:rsidR="00A12663" w14:paraId="5D3D8D64" w14:textId="77777777">
        <w:tc>
          <w:tcPr>
            <w:tcW w:w="3240" w:type="dxa"/>
            <w:tcBorders>
              <w:top w:val="single" w:sz="4" w:space="0" w:color="auto"/>
              <w:left w:val="single" w:sz="4" w:space="0" w:color="auto"/>
              <w:bottom w:val="single" w:sz="4" w:space="0" w:color="auto"/>
              <w:right w:val="single" w:sz="4" w:space="0" w:color="auto"/>
            </w:tcBorders>
          </w:tcPr>
          <w:p w14:paraId="6DAB8114" w14:textId="77777777" w:rsidR="00A12663" w:rsidRDefault="00A12663" w:rsidP="007A413F">
            <w:pPr>
              <w:pStyle w:val="TableTextNumbers"/>
            </w:pPr>
            <w:r>
              <w:t xml:space="preserve">Click </w:t>
            </w:r>
            <w:r w:rsidRPr="00C92B1A">
              <w:rPr>
                <w:b/>
              </w:rPr>
              <w:t>OK</w:t>
            </w:r>
            <w:r>
              <w:t xml:space="preserve"> to save, and </w:t>
            </w:r>
            <w:r>
              <w:rPr>
                <w:b/>
              </w:rPr>
              <w:t>Yes</w:t>
            </w:r>
            <w:r>
              <w:t xml:space="preserve"> to confirm the save.</w:t>
            </w:r>
          </w:p>
        </w:tc>
        <w:tc>
          <w:tcPr>
            <w:tcW w:w="6120" w:type="dxa"/>
            <w:tcBorders>
              <w:top w:val="single" w:sz="4" w:space="0" w:color="auto"/>
              <w:left w:val="single" w:sz="4" w:space="0" w:color="auto"/>
              <w:bottom w:val="single" w:sz="4" w:space="0" w:color="auto"/>
              <w:right w:val="single" w:sz="4" w:space="0" w:color="auto"/>
            </w:tcBorders>
          </w:tcPr>
          <w:p w14:paraId="6783BC2C" w14:textId="77777777" w:rsidR="00120B78" w:rsidRDefault="00120B78" w:rsidP="00120B78">
            <w:pPr>
              <w:pStyle w:val="TableText"/>
            </w:pPr>
          </w:p>
          <w:p w14:paraId="43D6D101" w14:textId="7E7707B8" w:rsidR="00A12663" w:rsidRDefault="00A12663" w:rsidP="00A12663">
            <w:pPr>
              <w:pStyle w:val="TableText"/>
              <w:rPr>
                <w:b/>
                <w:bCs/>
                <w:szCs w:val="18"/>
              </w:rPr>
            </w:pPr>
            <w:r>
              <w:rPr>
                <w:b/>
                <w:bCs/>
                <w:szCs w:val="18"/>
              </w:rPr>
              <w:t>NOTES</w:t>
            </w:r>
          </w:p>
          <w:p w14:paraId="231CF838" w14:textId="77777777" w:rsidR="00A12663" w:rsidRDefault="00A12663" w:rsidP="00120B78">
            <w:pPr>
              <w:pStyle w:val="NotesText"/>
            </w:pPr>
          </w:p>
          <w:p w14:paraId="296B428E" w14:textId="77777777" w:rsidR="00120B78" w:rsidRDefault="00120B78" w:rsidP="00120B78">
            <w:pPr>
              <w:pStyle w:val="NotesText"/>
            </w:pPr>
            <w:r>
              <w:rPr>
                <w:rFonts w:cs="Arial"/>
                <w:vanish/>
              </w:rPr>
              <w:t xml:space="preserve">BR_21.11 </w:t>
            </w:r>
            <w:r>
              <w:t>When the user exits and saves the data, VBECS changes the task status of the TRW to “partially completed.”</w:t>
            </w:r>
          </w:p>
          <w:p w14:paraId="12E4FCA2" w14:textId="77777777" w:rsidR="00120B78" w:rsidRDefault="00120B78" w:rsidP="00120B78">
            <w:pPr>
              <w:pStyle w:val="NotesText"/>
            </w:pPr>
          </w:p>
          <w:p w14:paraId="75BC8B6B" w14:textId="77777777" w:rsidR="00A12663" w:rsidRDefault="00A12663" w:rsidP="00A12663">
            <w:pPr>
              <w:pStyle w:val="NotesText"/>
            </w:pPr>
            <w:r>
              <w:t>A partially completed TRW may be corrected only by invalidating and reentering the TRW.</w:t>
            </w:r>
          </w:p>
        </w:tc>
      </w:tr>
      <w:tr w:rsidR="008E6E94" w14:paraId="68533B0A" w14:textId="77777777">
        <w:tc>
          <w:tcPr>
            <w:tcW w:w="3240" w:type="dxa"/>
            <w:tcBorders>
              <w:top w:val="single" w:sz="4" w:space="0" w:color="auto"/>
              <w:left w:val="single" w:sz="4" w:space="0" w:color="auto"/>
              <w:bottom w:val="single" w:sz="4" w:space="0" w:color="auto"/>
              <w:right w:val="single" w:sz="4" w:space="0" w:color="auto"/>
            </w:tcBorders>
          </w:tcPr>
          <w:p w14:paraId="1D66298B" w14:textId="77777777" w:rsidR="008E6E94" w:rsidRDefault="008E6E94" w:rsidP="007A413F">
            <w:pPr>
              <w:pStyle w:val="TableTextNumbers"/>
            </w:pPr>
            <w:r>
              <w:t xml:space="preserve">Enter the date and time of the transfusion reaction </w:t>
            </w:r>
            <w:r w:rsidR="00685492">
              <w:t>noted</w:t>
            </w:r>
            <w:r>
              <w:t xml:space="preserve"> by the clinician and the date and time of the reaction investigation.</w:t>
            </w:r>
          </w:p>
        </w:tc>
        <w:tc>
          <w:tcPr>
            <w:tcW w:w="6120" w:type="dxa"/>
            <w:tcBorders>
              <w:top w:val="single" w:sz="4" w:space="0" w:color="auto"/>
              <w:left w:val="single" w:sz="4" w:space="0" w:color="auto"/>
              <w:bottom w:val="single" w:sz="4" w:space="0" w:color="auto"/>
              <w:right w:val="single" w:sz="4" w:space="0" w:color="auto"/>
            </w:tcBorders>
          </w:tcPr>
          <w:p w14:paraId="735488C4" w14:textId="77777777" w:rsidR="008E6E94" w:rsidRDefault="008E6E94" w:rsidP="007A413F">
            <w:pPr>
              <w:pStyle w:val="TableText"/>
            </w:pPr>
          </w:p>
          <w:p w14:paraId="0D0FCE27" w14:textId="37701D99" w:rsidR="008E6E94" w:rsidRDefault="008E6E94" w:rsidP="007A413F">
            <w:pPr>
              <w:pStyle w:val="TableText"/>
              <w:rPr>
                <w:b/>
                <w:bCs/>
                <w:szCs w:val="18"/>
              </w:rPr>
            </w:pPr>
            <w:r>
              <w:rPr>
                <w:b/>
                <w:bCs/>
                <w:szCs w:val="18"/>
              </w:rPr>
              <w:t>NOTES</w:t>
            </w:r>
          </w:p>
          <w:p w14:paraId="326466E4" w14:textId="77777777" w:rsidR="008E6E94" w:rsidRDefault="008E6E94" w:rsidP="007A413F">
            <w:pPr>
              <w:pStyle w:val="NotesText"/>
            </w:pPr>
          </w:p>
          <w:p w14:paraId="50CBFF8F" w14:textId="77777777" w:rsidR="008E6E94" w:rsidRDefault="008E6E94" w:rsidP="007A413F">
            <w:pPr>
              <w:pStyle w:val="NotesText"/>
            </w:pPr>
            <w:r>
              <w:rPr>
                <w:rFonts w:cs="Arial"/>
                <w:vanish/>
              </w:rPr>
              <w:t xml:space="preserve">BR_21.01 </w:t>
            </w:r>
            <w:r>
              <w:t xml:space="preserve">VBECS allows the user to enter the date and time of the reaction noted by the clinician. </w:t>
            </w:r>
          </w:p>
          <w:p w14:paraId="3D17FCC6" w14:textId="77777777" w:rsidR="008E6E94" w:rsidRDefault="008E6E94" w:rsidP="007A413F">
            <w:pPr>
              <w:pStyle w:val="NotesText"/>
            </w:pPr>
          </w:p>
          <w:p w14:paraId="5C48FA04" w14:textId="77777777" w:rsidR="008E6E94" w:rsidRDefault="008E6E94" w:rsidP="007A413F">
            <w:pPr>
              <w:pStyle w:val="NotesText"/>
            </w:pPr>
            <w:r>
              <w:rPr>
                <w:rFonts w:cs="Arial"/>
                <w:vanish/>
              </w:rPr>
              <w:t xml:space="preserve">BR_21.02 </w:t>
            </w:r>
            <w:r>
              <w:t>When the implicated unit is unknown, VBECS allows the user to continue without identifying a unit or entering implicated unit information.</w:t>
            </w:r>
          </w:p>
          <w:p w14:paraId="76AC4D3B" w14:textId="77777777" w:rsidR="008E6E94" w:rsidRDefault="008E6E94" w:rsidP="007A413F">
            <w:pPr>
              <w:pStyle w:val="NotesText"/>
            </w:pPr>
          </w:p>
          <w:p w14:paraId="4B1BD236" w14:textId="77777777" w:rsidR="008E6E94" w:rsidRDefault="008E6E94" w:rsidP="007A413F">
            <w:pPr>
              <w:pStyle w:val="NotesText"/>
            </w:pPr>
            <w:r>
              <w:rPr>
                <w:rFonts w:cs="Arial"/>
                <w:vanish/>
              </w:rPr>
              <w:t xml:space="preserve">BR_21.19 </w:t>
            </w:r>
            <w:r>
              <w:t>VBECS requires the user to enter the date and time of the TRW investigation (default: current date and time), including a date and time in the past for retrospective data entry. The user may not enter a future date and time.</w:t>
            </w:r>
          </w:p>
          <w:p w14:paraId="055C2C2D" w14:textId="77777777" w:rsidR="008E6E94" w:rsidRDefault="008E6E94" w:rsidP="007A413F">
            <w:pPr>
              <w:pStyle w:val="NotesText"/>
            </w:pPr>
          </w:p>
          <w:p w14:paraId="3C17638F" w14:textId="77777777" w:rsidR="008E6E94" w:rsidRDefault="008E6E94" w:rsidP="00E61994">
            <w:pPr>
              <w:pStyle w:val="NotesText"/>
            </w:pPr>
            <w:r>
              <w:t xml:space="preserve">If the user indicates that implicated units are unknown, he continues at Step </w:t>
            </w:r>
            <w:r w:rsidR="00E61994">
              <w:t>10</w:t>
            </w:r>
            <w:r>
              <w:t>.</w:t>
            </w:r>
          </w:p>
        </w:tc>
      </w:tr>
      <w:tr w:rsidR="008E6E94" w14:paraId="18280467" w14:textId="77777777">
        <w:tc>
          <w:tcPr>
            <w:tcW w:w="3240" w:type="dxa"/>
            <w:tcBorders>
              <w:top w:val="single" w:sz="4" w:space="0" w:color="auto"/>
              <w:left w:val="single" w:sz="4" w:space="0" w:color="auto"/>
              <w:bottom w:val="single" w:sz="4" w:space="0" w:color="auto"/>
              <w:right w:val="single" w:sz="4" w:space="0" w:color="auto"/>
            </w:tcBorders>
          </w:tcPr>
          <w:p w14:paraId="5C0CE385" w14:textId="77777777" w:rsidR="008F4AA6" w:rsidRDefault="00B44A92" w:rsidP="007A413F">
            <w:pPr>
              <w:pStyle w:val="TableTextNumbers"/>
            </w:pPr>
            <w:r>
              <w:t>In the Implicated Units tab, c</w:t>
            </w:r>
            <w:r w:rsidR="008E6E94">
              <w:t>lick the</w:t>
            </w:r>
            <w:r w:rsidR="008E6E94">
              <w:rPr>
                <w:b/>
              </w:rPr>
              <w:t xml:space="preserve"> Implicated Unit</w:t>
            </w:r>
            <w:r w:rsidR="00025A9B">
              <w:rPr>
                <w:b/>
              </w:rPr>
              <w:t>(</w:t>
            </w:r>
            <w:r w:rsidR="008E6E94">
              <w:rPr>
                <w:b/>
              </w:rPr>
              <w:t>s</w:t>
            </w:r>
            <w:r w:rsidR="00025A9B">
              <w:rPr>
                <w:b/>
              </w:rPr>
              <w:t>)</w:t>
            </w:r>
            <w:r w:rsidR="008E6E94">
              <w:rPr>
                <w:b/>
              </w:rPr>
              <w:t xml:space="preserve"> Identified </w:t>
            </w:r>
            <w:r w:rsidR="008E6E94" w:rsidRPr="00BF2E41">
              <w:t>radio button</w:t>
            </w:r>
            <w:r w:rsidR="0045387D">
              <w:t xml:space="preserve"> to select an implicated unit.</w:t>
            </w:r>
          </w:p>
          <w:p w14:paraId="75814CF0" w14:textId="77777777" w:rsidR="0045387D" w:rsidRDefault="0045387D" w:rsidP="0045387D">
            <w:pPr>
              <w:pStyle w:val="TableTextNumbersContinued"/>
            </w:pPr>
          </w:p>
          <w:p w14:paraId="7C719B67" w14:textId="77777777" w:rsidR="0045387D" w:rsidRDefault="0045387D" w:rsidP="0045387D">
            <w:pPr>
              <w:pStyle w:val="TableTextNumbersContinued"/>
            </w:pPr>
            <w:r>
              <w:t>Scan or enter the unit ID and product code.</w:t>
            </w:r>
          </w:p>
          <w:p w14:paraId="2D63C750" w14:textId="77777777" w:rsidR="0045387D" w:rsidRDefault="0045387D" w:rsidP="0045387D">
            <w:pPr>
              <w:pStyle w:val="TableTextNumbersContinued"/>
            </w:pPr>
          </w:p>
          <w:p w14:paraId="67E21C81" w14:textId="77777777" w:rsidR="0045387D" w:rsidRDefault="0045387D" w:rsidP="0045387D">
            <w:pPr>
              <w:pStyle w:val="TableTextNumbersContinued"/>
            </w:pPr>
            <w:r>
              <w:t xml:space="preserve">Click the </w:t>
            </w:r>
            <w:r w:rsidRPr="0045387D">
              <w:rPr>
                <w:b/>
              </w:rPr>
              <w:t>Blood Bag Returned</w:t>
            </w:r>
            <w:r>
              <w:t xml:space="preserve"> or </w:t>
            </w:r>
            <w:r w:rsidRPr="0045387D">
              <w:rPr>
                <w:b/>
              </w:rPr>
              <w:t xml:space="preserve">Blood Bank Not Returned </w:t>
            </w:r>
            <w:r w:rsidRPr="00BF2E41">
              <w:t>radio button</w:t>
            </w:r>
            <w:r>
              <w:t>.</w:t>
            </w:r>
          </w:p>
          <w:p w14:paraId="686C75E6" w14:textId="77777777" w:rsidR="00880C72" w:rsidRDefault="00880C72" w:rsidP="0045387D">
            <w:pPr>
              <w:pStyle w:val="TableTextNumbersContinued"/>
            </w:pPr>
          </w:p>
          <w:p w14:paraId="23F3EE1F" w14:textId="77777777" w:rsidR="00880C72" w:rsidRDefault="00880C72" w:rsidP="00880C72">
            <w:pPr>
              <w:pStyle w:val="TableTextNumbersContinued"/>
            </w:pPr>
            <w:r>
              <w:t>Select an item from the drop-down menu in the Hemolysis Inspection field.</w:t>
            </w:r>
          </w:p>
          <w:p w14:paraId="6002CE83" w14:textId="77777777" w:rsidR="00880C72" w:rsidRDefault="00880C72" w:rsidP="00880C72">
            <w:pPr>
              <w:pStyle w:val="TableTextNumbersContinued"/>
            </w:pPr>
          </w:p>
          <w:p w14:paraId="66B95AB8" w14:textId="77777777" w:rsidR="00880C72" w:rsidRDefault="00880C72" w:rsidP="00880C72">
            <w:pPr>
              <w:pStyle w:val="TableTextNumbersContinued"/>
            </w:pPr>
            <w:r>
              <w:t xml:space="preserve">Click the </w:t>
            </w:r>
            <w:r>
              <w:rPr>
                <w:b/>
              </w:rPr>
              <w:t>Clerical Check OK</w:t>
            </w:r>
            <w:r>
              <w:t xml:space="preserve"> or </w:t>
            </w:r>
            <w:r>
              <w:rPr>
                <w:b/>
              </w:rPr>
              <w:t xml:space="preserve">Clerical Check Failed </w:t>
            </w:r>
            <w:r w:rsidRPr="00BF2E41">
              <w:t>radio button</w:t>
            </w:r>
            <w:r>
              <w:t xml:space="preserve"> to perform initial clerical and identification checks.</w:t>
            </w:r>
          </w:p>
          <w:p w14:paraId="6FDA2A98" w14:textId="77777777" w:rsidR="008F4AA6" w:rsidRDefault="008F4AA6" w:rsidP="008F4AA6">
            <w:pPr>
              <w:pStyle w:val="TableTextNumbersContinued"/>
            </w:pPr>
          </w:p>
          <w:p w14:paraId="1FA0FCB0" w14:textId="48D17B0E" w:rsidR="00AA7470" w:rsidRDefault="00AA7470" w:rsidP="008F4AA6">
            <w:pPr>
              <w:pStyle w:val="TableTextNumbersContinued"/>
            </w:pPr>
            <w:r>
              <w:t>Enter a comment and details, as required</w:t>
            </w:r>
            <w:r w:rsidR="00750760">
              <w:t xml:space="preserve"> (</w:t>
            </w:r>
            <w:r w:rsidR="00EE455E">
              <w:t xml:space="preserve">Figure </w:t>
            </w:r>
            <w:r w:rsidR="00EE455E">
              <w:rPr>
                <w:noProof/>
              </w:rPr>
              <w:t>103</w:t>
            </w:r>
            <w:r w:rsidR="00750760">
              <w:t>)</w:t>
            </w:r>
            <w:r>
              <w:t>.</w:t>
            </w:r>
          </w:p>
          <w:p w14:paraId="7E0A9BF7" w14:textId="77777777" w:rsidR="00006D86" w:rsidRDefault="00006D86" w:rsidP="008F4AA6">
            <w:pPr>
              <w:pStyle w:val="TableTextNumbersContinued"/>
            </w:pPr>
          </w:p>
          <w:p w14:paraId="780E3D20" w14:textId="77777777" w:rsidR="00006D86" w:rsidRDefault="00006D86" w:rsidP="008F4AA6">
            <w:pPr>
              <w:pStyle w:val="TableTextNumbersContinued"/>
            </w:pPr>
            <w:r>
              <w:t xml:space="preserve">Click </w:t>
            </w:r>
            <w:r w:rsidRPr="00006D86">
              <w:rPr>
                <w:b/>
              </w:rPr>
              <w:t>Add</w:t>
            </w:r>
            <w:r>
              <w:t xml:space="preserve"> to add the unit.</w:t>
            </w:r>
          </w:p>
          <w:p w14:paraId="554BF221" w14:textId="77777777" w:rsidR="00AA7470" w:rsidRDefault="00AA7470" w:rsidP="008F4AA6">
            <w:pPr>
              <w:pStyle w:val="TableTextNumbersContinued"/>
            </w:pPr>
          </w:p>
          <w:p w14:paraId="5D94BF6B" w14:textId="77777777" w:rsidR="00025A9B" w:rsidRDefault="008E6E94" w:rsidP="008F4AA6">
            <w:pPr>
              <w:pStyle w:val="TableTextNumbersContinued"/>
            </w:pPr>
            <w:r>
              <w:t xml:space="preserve">or </w:t>
            </w:r>
          </w:p>
          <w:p w14:paraId="2E804723" w14:textId="77777777" w:rsidR="00025A9B" w:rsidRDefault="00025A9B" w:rsidP="008F4AA6">
            <w:pPr>
              <w:pStyle w:val="TableTextNumbersContinued"/>
            </w:pPr>
          </w:p>
          <w:p w14:paraId="0A35C656" w14:textId="77777777" w:rsidR="00025A9B" w:rsidRDefault="007B5D98" w:rsidP="008F4AA6">
            <w:pPr>
              <w:pStyle w:val="TableTextNumbersContinued"/>
            </w:pPr>
            <w:r>
              <w:t>C</w:t>
            </w:r>
            <w:r w:rsidR="008E6E94">
              <w:t xml:space="preserve">lick the </w:t>
            </w:r>
            <w:r w:rsidR="008E6E94">
              <w:rPr>
                <w:b/>
              </w:rPr>
              <w:t xml:space="preserve">No Implicated Units </w:t>
            </w:r>
            <w:r w:rsidR="008E6E94" w:rsidRPr="00BF2E41">
              <w:t>radio button</w:t>
            </w:r>
            <w:r w:rsidR="00025A9B">
              <w:t>.</w:t>
            </w:r>
          </w:p>
          <w:p w14:paraId="4C0682B2" w14:textId="77777777" w:rsidR="00025A9B" w:rsidRDefault="00025A9B" w:rsidP="008F4AA6">
            <w:pPr>
              <w:pStyle w:val="TableTextNumbersContinued"/>
            </w:pPr>
          </w:p>
          <w:p w14:paraId="30D0BC02" w14:textId="77777777" w:rsidR="008E6E94" w:rsidRDefault="00025A9B" w:rsidP="008F4AA6">
            <w:pPr>
              <w:pStyle w:val="TableTextNumbersContinued"/>
            </w:pPr>
            <w:r>
              <w:t xml:space="preserve">Click </w:t>
            </w:r>
            <w:r w:rsidRPr="00025A9B">
              <w:rPr>
                <w:b/>
              </w:rPr>
              <w:t>OK</w:t>
            </w:r>
            <w:r>
              <w:t xml:space="preserve"> to save</w:t>
            </w:r>
            <w:r w:rsidR="00006D86">
              <w:t xml:space="preserve">, and </w:t>
            </w:r>
            <w:r w:rsidR="00006D86" w:rsidRPr="00006D86">
              <w:rPr>
                <w:b/>
              </w:rPr>
              <w:t>Yes</w:t>
            </w:r>
            <w:r w:rsidR="00006D86">
              <w:t xml:space="preserve"> to confirm the save</w:t>
            </w:r>
            <w:r>
              <w:t>.</w:t>
            </w:r>
          </w:p>
        </w:tc>
        <w:tc>
          <w:tcPr>
            <w:tcW w:w="6120" w:type="dxa"/>
            <w:tcBorders>
              <w:top w:val="single" w:sz="4" w:space="0" w:color="auto"/>
              <w:left w:val="single" w:sz="4" w:space="0" w:color="auto"/>
              <w:bottom w:val="single" w:sz="4" w:space="0" w:color="auto"/>
              <w:right w:val="single" w:sz="4" w:space="0" w:color="auto"/>
            </w:tcBorders>
          </w:tcPr>
          <w:p w14:paraId="52C96E4B" w14:textId="77777777" w:rsidR="008E6E94" w:rsidRDefault="008E6E94" w:rsidP="007A413F">
            <w:pPr>
              <w:pStyle w:val="TableTextBullet"/>
            </w:pPr>
            <w:r>
              <w:rPr>
                <w:rFonts w:cs="Arial"/>
                <w:vanish/>
              </w:rPr>
              <w:t xml:space="preserve">BR_21.03 </w:t>
            </w:r>
            <w:r>
              <w:t>Allows the user to:</w:t>
            </w:r>
          </w:p>
          <w:p w14:paraId="14991DB9" w14:textId="77777777" w:rsidR="0045387D" w:rsidRDefault="0045387D" w:rsidP="0045387D">
            <w:pPr>
              <w:pStyle w:val="TableTextBullet1"/>
            </w:pPr>
            <w:r>
              <w:t>Enter implicated unit information.</w:t>
            </w:r>
          </w:p>
          <w:p w14:paraId="5115F9F4" w14:textId="77777777" w:rsidR="008E6E94" w:rsidRDefault="008E6E94" w:rsidP="007A413F">
            <w:pPr>
              <w:pStyle w:val="TableTextBullet1"/>
            </w:pPr>
            <w:r>
              <w:t>Indicate whether the bag and infusion set were returned.</w:t>
            </w:r>
          </w:p>
          <w:p w14:paraId="5322E4E0" w14:textId="77777777" w:rsidR="008E6E94" w:rsidRDefault="008E6E94" w:rsidP="007A413F">
            <w:pPr>
              <w:pStyle w:val="TableTextBullet1"/>
            </w:pPr>
            <w:r>
              <w:t>Review and/or edit the entered information.</w:t>
            </w:r>
          </w:p>
          <w:p w14:paraId="7CB33A0A" w14:textId="77777777" w:rsidR="008E6E94" w:rsidRDefault="008E6E94" w:rsidP="007A413F">
            <w:pPr>
              <w:pStyle w:val="TableText"/>
            </w:pPr>
          </w:p>
          <w:p w14:paraId="02C69B94" w14:textId="632C44E1" w:rsidR="008E6E94" w:rsidRDefault="008E6E94" w:rsidP="007A413F">
            <w:pPr>
              <w:pStyle w:val="TableText"/>
              <w:rPr>
                <w:b/>
                <w:bCs/>
                <w:szCs w:val="18"/>
              </w:rPr>
            </w:pPr>
            <w:r>
              <w:rPr>
                <w:b/>
                <w:bCs/>
                <w:szCs w:val="18"/>
              </w:rPr>
              <w:t>NOTES</w:t>
            </w:r>
          </w:p>
          <w:p w14:paraId="184B3FAE" w14:textId="77777777" w:rsidR="008E6E94" w:rsidRDefault="008E6E94" w:rsidP="007A413F">
            <w:pPr>
              <w:pStyle w:val="NotesText"/>
            </w:pPr>
          </w:p>
          <w:p w14:paraId="19D6B18F" w14:textId="77777777" w:rsidR="008E6E94" w:rsidRDefault="008E6E94" w:rsidP="007A413F">
            <w:pPr>
              <w:pStyle w:val="NotesText"/>
            </w:pPr>
            <w:r>
              <w:rPr>
                <w:rFonts w:cs="Arial"/>
                <w:vanish/>
              </w:rPr>
              <w:t xml:space="preserve">BR_21.10 </w:t>
            </w:r>
            <w:r>
              <w:t>When the user indicates that the blood bag was not returned, VBECS disables the hemolysis and clerical checks.</w:t>
            </w:r>
          </w:p>
          <w:p w14:paraId="5C668008" w14:textId="77777777" w:rsidR="008E6E94" w:rsidRDefault="008E6E94" w:rsidP="007A413F">
            <w:pPr>
              <w:pStyle w:val="NotesText"/>
            </w:pPr>
          </w:p>
          <w:p w14:paraId="634A9EE0" w14:textId="77777777" w:rsidR="008E6E94" w:rsidRDefault="008E6E94" w:rsidP="007A413F">
            <w:pPr>
              <w:pStyle w:val="NotesText"/>
            </w:pPr>
            <w:r>
              <w:rPr>
                <w:rFonts w:cs="Arial"/>
                <w:vanish/>
              </w:rPr>
              <w:t xml:space="preserve">BR_21.22 </w:t>
            </w:r>
            <w:r>
              <w:t>All implicated units entered are available for TRW ABO/Rh and TRW crossmatching. Actual data entry of test results for any entries is optional, based on a facility’s local policies and procedures.</w:t>
            </w:r>
          </w:p>
          <w:p w14:paraId="40BDEDC3" w14:textId="77777777" w:rsidR="008E6E94" w:rsidRDefault="008E6E94" w:rsidP="007A413F">
            <w:pPr>
              <w:pStyle w:val="NotesText"/>
            </w:pPr>
          </w:p>
          <w:p w14:paraId="51572B61" w14:textId="77777777" w:rsidR="008E6E94" w:rsidRDefault="008E6E94" w:rsidP="007A413F">
            <w:pPr>
              <w:pStyle w:val="NotesText"/>
            </w:pPr>
            <w:r>
              <w:t>The user may enter a free-text comment to document site-specific information such as other solutions or additives, urinary hemoglobin checks, and whether the product was warmed during transfusion.</w:t>
            </w:r>
          </w:p>
        </w:tc>
      </w:tr>
      <w:tr w:rsidR="008E6E94" w14:paraId="02C5558A" w14:textId="77777777">
        <w:tc>
          <w:tcPr>
            <w:tcW w:w="3240" w:type="dxa"/>
            <w:tcBorders>
              <w:top w:val="single" w:sz="4" w:space="0" w:color="auto"/>
              <w:left w:val="single" w:sz="4" w:space="0" w:color="auto"/>
              <w:bottom w:val="single" w:sz="4" w:space="0" w:color="auto"/>
              <w:right w:val="single" w:sz="4" w:space="0" w:color="auto"/>
            </w:tcBorders>
          </w:tcPr>
          <w:p w14:paraId="523DA6ED" w14:textId="77777777" w:rsidR="008E6E94" w:rsidRDefault="008E6E94" w:rsidP="007A413F">
            <w:pPr>
              <w:pStyle w:val="TableTextNumbers"/>
            </w:pPr>
            <w:r>
              <w:t xml:space="preserve">Repeat Step </w:t>
            </w:r>
            <w:r w:rsidR="00006D86">
              <w:t>8</w:t>
            </w:r>
            <w:r w:rsidR="00BF2379">
              <w:t xml:space="preserve"> for each implicated unit</w:t>
            </w:r>
            <w:r>
              <w:t>.</w:t>
            </w:r>
          </w:p>
        </w:tc>
        <w:tc>
          <w:tcPr>
            <w:tcW w:w="6120" w:type="dxa"/>
            <w:tcBorders>
              <w:top w:val="single" w:sz="4" w:space="0" w:color="auto"/>
              <w:left w:val="single" w:sz="4" w:space="0" w:color="auto"/>
              <w:bottom w:val="single" w:sz="4" w:space="0" w:color="auto"/>
              <w:right w:val="single" w:sz="4" w:space="0" w:color="auto"/>
            </w:tcBorders>
          </w:tcPr>
          <w:p w14:paraId="2239C531" w14:textId="77777777" w:rsidR="008E6E94" w:rsidRDefault="008E6E94" w:rsidP="007A413F">
            <w:pPr>
              <w:pStyle w:val="TableTextBullet"/>
            </w:pPr>
            <w:r>
              <w:t>Allows the user to enter the patient’s symptoms.</w:t>
            </w:r>
          </w:p>
          <w:p w14:paraId="1D4E9C47" w14:textId="77777777" w:rsidR="008E6E94" w:rsidRDefault="008E6E94" w:rsidP="007A413F">
            <w:pPr>
              <w:pStyle w:val="TableText"/>
            </w:pPr>
          </w:p>
          <w:p w14:paraId="6BCE2176" w14:textId="345B64D3" w:rsidR="008E6E94" w:rsidRDefault="008E6E94" w:rsidP="007A413F">
            <w:pPr>
              <w:pStyle w:val="TableText"/>
              <w:rPr>
                <w:b/>
                <w:bCs/>
                <w:szCs w:val="18"/>
              </w:rPr>
            </w:pPr>
            <w:r>
              <w:rPr>
                <w:b/>
                <w:bCs/>
                <w:szCs w:val="18"/>
              </w:rPr>
              <w:t>NOTES</w:t>
            </w:r>
          </w:p>
          <w:p w14:paraId="5DE6AB9E" w14:textId="77777777" w:rsidR="008E6E94" w:rsidRDefault="008E6E94" w:rsidP="007A413F">
            <w:pPr>
              <w:pStyle w:val="NotesText"/>
            </w:pPr>
          </w:p>
          <w:p w14:paraId="7552C10F" w14:textId="77777777" w:rsidR="008E6E94" w:rsidRDefault="008E6E94" w:rsidP="007A413F">
            <w:pPr>
              <w:pStyle w:val="NotesText"/>
            </w:pPr>
            <w:r>
              <w:rPr>
                <w:rFonts w:cs="Arial"/>
                <w:vanish/>
              </w:rPr>
              <w:t xml:space="preserve">BR_21.07 </w:t>
            </w:r>
            <w:r>
              <w:t>VBECS accepts data for multiple implicated units and stores and reports them as part of the clerical check. When the user enters implicated unit data, VBECS adds the unit to TRW serologic testing.</w:t>
            </w:r>
          </w:p>
        </w:tc>
      </w:tr>
      <w:tr w:rsidR="008E6E94" w14:paraId="76BE7A6B" w14:textId="77777777">
        <w:tc>
          <w:tcPr>
            <w:tcW w:w="3240" w:type="dxa"/>
            <w:tcBorders>
              <w:top w:val="single" w:sz="4" w:space="0" w:color="auto"/>
              <w:left w:val="single" w:sz="4" w:space="0" w:color="auto"/>
              <w:bottom w:val="single" w:sz="4" w:space="0" w:color="auto"/>
              <w:right w:val="single" w:sz="4" w:space="0" w:color="auto"/>
            </w:tcBorders>
          </w:tcPr>
          <w:p w14:paraId="676F30A0" w14:textId="77777777" w:rsidR="0069720B" w:rsidRDefault="0069720B" w:rsidP="007A413F">
            <w:pPr>
              <w:pStyle w:val="TableTextNumbers"/>
            </w:pPr>
            <w:r>
              <w:t xml:space="preserve">In the Symptoms tab, click the </w:t>
            </w:r>
            <w:r w:rsidRPr="0069720B">
              <w:rPr>
                <w:b/>
              </w:rPr>
              <w:t xml:space="preserve">Patient Symptoms Identified </w:t>
            </w:r>
            <w:r w:rsidRPr="00BF2E41">
              <w:t>radio button</w:t>
            </w:r>
            <w:r>
              <w:t>.</w:t>
            </w:r>
          </w:p>
          <w:p w14:paraId="2FA94B63" w14:textId="77777777" w:rsidR="0069720B" w:rsidRDefault="0069720B" w:rsidP="0069720B">
            <w:pPr>
              <w:pStyle w:val="TableTextNumbersContinued"/>
            </w:pPr>
          </w:p>
          <w:p w14:paraId="0CBDD69B" w14:textId="10AE594E" w:rsidR="0069720B" w:rsidRDefault="0069720B" w:rsidP="0069720B">
            <w:pPr>
              <w:pStyle w:val="TableTextNumbersContinued"/>
            </w:pPr>
            <w:r>
              <w:t>C</w:t>
            </w:r>
            <w:r w:rsidR="008E6E94">
              <w:t>lick the check boxes to select one or more</w:t>
            </w:r>
            <w:r>
              <w:t xml:space="preserve"> patient symptoms</w:t>
            </w:r>
            <w:r w:rsidR="00750760">
              <w:t xml:space="preserve"> (</w:t>
            </w:r>
            <w:r w:rsidR="00EE455E">
              <w:t xml:space="preserve">Figure </w:t>
            </w:r>
            <w:r w:rsidR="00EE455E">
              <w:rPr>
                <w:noProof/>
              </w:rPr>
              <w:t>104</w:t>
            </w:r>
            <w:r w:rsidR="00750760">
              <w:t>)</w:t>
            </w:r>
            <w:r w:rsidR="00F911DD">
              <w:t>,</w:t>
            </w:r>
          </w:p>
          <w:p w14:paraId="69DEB047" w14:textId="77777777" w:rsidR="0069720B" w:rsidRDefault="0069720B" w:rsidP="0069720B">
            <w:pPr>
              <w:pStyle w:val="TableTextNumbersContinued"/>
            </w:pPr>
          </w:p>
          <w:p w14:paraId="1F1D87EF" w14:textId="77777777" w:rsidR="008E6E94" w:rsidRDefault="0069720B" w:rsidP="0069720B">
            <w:pPr>
              <w:pStyle w:val="TableTextNumbersContinued"/>
            </w:pPr>
            <w:r>
              <w:t>or</w:t>
            </w:r>
          </w:p>
          <w:p w14:paraId="4AF4A421" w14:textId="77777777" w:rsidR="0069720B" w:rsidRDefault="0069720B" w:rsidP="0069720B">
            <w:pPr>
              <w:pStyle w:val="TableTextNumbersContinued"/>
            </w:pPr>
          </w:p>
          <w:p w14:paraId="26496AB2" w14:textId="77777777" w:rsidR="0069720B" w:rsidRDefault="0069720B" w:rsidP="0069720B">
            <w:pPr>
              <w:pStyle w:val="TableTextNumbersContinued"/>
            </w:pPr>
            <w:r>
              <w:t xml:space="preserve">Click the </w:t>
            </w:r>
            <w:r w:rsidRPr="0069720B">
              <w:rPr>
                <w:b/>
              </w:rPr>
              <w:t xml:space="preserve">No Patient Symptoms Identified </w:t>
            </w:r>
            <w:r w:rsidRPr="00BF2E41">
              <w:t>radio button</w:t>
            </w:r>
            <w:r>
              <w:t>.</w:t>
            </w:r>
          </w:p>
          <w:p w14:paraId="698EE6EF" w14:textId="77777777" w:rsidR="00F911DD" w:rsidRDefault="00F911DD" w:rsidP="0069720B">
            <w:pPr>
              <w:pStyle w:val="TableTextNumbersContinued"/>
            </w:pPr>
          </w:p>
          <w:p w14:paraId="2A3E487A" w14:textId="77777777" w:rsidR="00F911DD" w:rsidRDefault="00F911DD" w:rsidP="0069720B">
            <w:pPr>
              <w:pStyle w:val="TableTextNumbersContinued"/>
            </w:pPr>
            <w:r>
              <w:t xml:space="preserve">Click </w:t>
            </w:r>
            <w:r w:rsidRPr="0069720B">
              <w:rPr>
                <w:b/>
              </w:rPr>
              <w:t>OK</w:t>
            </w:r>
            <w:r>
              <w:t xml:space="preserve"> to save, and </w:t>
            </w:r>
            <w:r w:rsidRPr="0069720B">
              <w:rPr>
                <w:b/>
              </w:rPr>
              <w:t>Yes</w:t>
            </w:r>
            <w:r>
              <w:t xml:space="preserve"> to confirm the save.</w:t>
            </w:r>
          </w:p>
        </w:tc>
        <w:tc>
          <w:tcPr>
            <w:tcW w:w="6120" w:type="dxa"/>
            <w:tcBorders>
              <w:top w:val="single" w:sz="4" w:space="0" w:color="auto"/>
              <w:left w:val="single" w:sz="4" w:space="0" w:color="auto"/>
              <w:bottom w:val="single" w:sz="4" w:space="0" w:color="auto"/>
              <w:right w:val="single" w:sz="4" w:space="0" w:color="auto"/>
            </w:tcBorders>
          </w:tcPr>
          <w:p w14:paraId="326F2825" w14:textId="77777777" w:rsidR="008E6E94" w:rsidRDefault="008E6E94" w:rsidP="007A413F">
            <w:pPr>
              <w:pStyle w:val="TableTextBullet"/>
            </w:pPr>
            <w:r>
              <w:t xml:space="preserve">Allows the user to review and/or edit the entered data before it saves the record. </w:t>
            </w:r>
          </w:p>
          <w:p w14:paraId="6D63D347" w14:textId="77777777" w:rsidR="008E6E94" w:rsidRDefault="008E6E94" w:rsidP="007A413F">
            <w:pPr>
              <w:pStyle w:val="TableTextBullet"/>
            </w:pPr>
            <w:r>
              <w:rPr>
                <w:rFonts w:cs="Arial"/>
                <w:vanish/>
              </w:rPr>
              <w:t xml:space="preserve">BR_21.12 </w:t>
            </w:r>
            <w:r>
              <w:t xml:space="preserve">Allows the user to indicate that the TRW is complete. </w:t>
            </w:r>
          </w:p>
          <w:p w14:paraId="29AD41B5" w14:textId="77777777" w:rsidR="008E6E94" w:rsidRDefault="008E6E94" w:rsidP="009B1E9C">
            <w:pPr>
              <w:pStyle w:val="NotesText"/>
              <w:ind w:left="0"/>
            </w:pPr>
          </w:p>
        </w:tc>
      </w:tr>
      <w:tr w:rsidR="008E6E94" w14:paraId="67F2F165" w14:textId="77777777">
        <w:tc>
          <w:tcPr>
            <w:tcW w:w="3240" w:type="dxa"/>
          </w:tcPr>
          <w:p w14:paraId="046B4785" w14:textId="77777777" w:rsidR="00470DA1" w:rsidRDefault="00470DA1" w:rsidP="007A413F">
            <w:pPr>
              <w:pStyle w:val="TableTextNumbers"/>
            </w:pPr>
            <w:r>
              <w:t>In the Serologic Tests tab, click a check box to select which tests to perform.</w:t>
            </w:r>
          </w:p>
          <w:p w14:paraId="22A37B7B" w14:textId="77777777" w:rsidR="00470DA1" w:rsidRDefault="00470DA1" w:rsidP="00120B78">
            <w:pPr>
              <w:pStyle w:val="TableTextNumbersContinued"/>
            </w:pPr>
          </w:p>
          <w:p w14:paraId="74C4E011" w14:textId="77777777" w:rsidR="00B81464" w:rsidRDefault="00B81464" w:rsidP="00120B78">
            <w:pPr>
              <w:pStyle w:val="TableTextNumbersContinued"/>
            </w:pPr>
            <w:r>
              <w:t>Select a rack from the drop-down list in the Rack field.</w:t>
            </w:r>
          </w:p>
          <w:p w14:paraId="3FD4E9D5" w14:textId="77777777" w:rsidR="00B81464" w:rsidRDefault="00B81464" w:rsidP="00120B78">
            <w:pPr>
              <w:pStyle w:val="TableTextNumbersContinued"/>
            </w:pPr>
          </w:p>
          <w:p w14:paraId="661B5B61" w14:textId="77777777" w:rsidR="00120B78" w:rsidRDefault="00120B78" w:rsidP="00120B78">
            <w:pPr>
              <w:pStyle w:val="TableTextNumbersContinued"/>
            </w:pPr>
            <w:r>
              <w:t xml:space="preserve">Click the </w:t>
            </w:r>
            <w:r w:rsidRPr="00120B78">
              <w:rPr>
                <w:b/>
              </w:rPr>
              <w:t xml:space="preserve">Using Automated Instrument </w:t>
            </w:r>
            <w:r w:rsidRPr="00D1100E">
              <w:t>check box</w:t>
            </w:r>
            <w:r>
              <w:t xml:space="preserve">, as required. </w:t>
            </w:r>
          </w:p>
          <w:p w14:paraId="428D919F" w14:textId="77777777" w:rsidR="00120B78" w:rsidRDefault="00120B78" w:rsidP="00120B78">
            <w:pPr>
              <w:pStyle w:val="TableTextNumbersContinued"/>
            </w:pPr>
          </w:p>
          <w:p w14:paraId="4C18647E" w14:textId="77777777" w:rsidR="00120B78" w:rsidRDefault="00120B78" w:rsidP="00120B78">
            <w:pPr>
              <w:pStyle w:val="TableTextNumbersContinued"/>
            </w:pPr>
            <w:r>
              <w:t>Enter the name of the instrument in the Name field.</w:t>
            </w:r>
          </w:p>
          <w:p w14:paraId="5ED4068B" w14:textId="77777777" w:rsidR="00120B78" w:rsidRDefault="00120B78" w:rsidP="00120B78">
            <w:pPr>
              <w:pStyle w:val="TableTextNumbersContinued"/>
            </w:pPr>
          </w:p>
          <w:p w14:paraId="070BFB5C" w14:textId="77777777" w:rsidR="00120B78" w:rsidRDefault="00120B78" w:rsidP="00120B78">
            <w:pPr>
              <w:pStyle w:val="TableTextNumbersContinued"/>
            </w:pPr>
            <w:r>
              <w:t xml:space="preserve">Click the </w:t>
            </w:r>
            <w:r w:rsidRPr="00120B78">
              <w:rPr>
                <w:b/>
              </w:rPr>
              <w:t xml:space="preserve">Instrument QC’d? </w:t>
            </w:r>
            <w:r w:rsidRPr="00D1100E">
              <w:t>check box</w:t>
            </w:r>
            <w:r>
              <w:t>, as appropriate.</w:t>
            </w:r>
          </w:p>
          <w:p w14:paraId="71B6AB5F" w14:textId="77777777" w:rsidR="00120B78" w:rsidRDefault="00120B78" w:rsidP="00120B78">
            <w:pPr>
              <w:pStyle w:val="TableTextNumbersContinued"/>
            </w:pPr>
          </w:p>
          <w:p w14:paraId="07D94923" w14:textId="6F14F363" w:rsidR="008E6E94" w:rsidRDefault="008E6E94" w:rsidP="00120B78">
            <w:pPr>
              <w:pStyle w:val="TableTextNumbersContinued"/>
            </w:pPr>
            <w:r>
              <w:t>Enter interpretations for TRW testing</w:t>
            </w:r>
            <w:r w:rsidR="00750760">
              <w:t xml:space="preserve"> (</w:t>
            </w:r>
            <w:r w:rsidR="00EE455E">
              <w:t xml:space="preserve">Figure </w:t>
            </w:r>
            <w:r w:rsidR="00EE455E">
              <w:rPr>
                <w:noProof/>
              </w:rPr>
              <w:t>105</w:t>
            </w:r>
            <w:r w:rsidR="00750760">
              <w:t>)</w:t>
            </w:r>
            <w:r>
              <w:t>.</w:t>
            </w:r>
          </w:p>
          <w:p w14:paraId="35D76D4D" w14:textId="77777777" w:rsidR="00120B78" w:rsidRDefault="00120B78" w:rsidP="00120B78">
            <w:pPr>
              <w:pStyle w:val="TableTextNumbersContinued"/>
              <w:ind w:left="0"/>
            </w:pPr>
          </w:p>
        </w:tc>
        <w:tc>
          <w:tcPr>
            <w:tcW w:w="6120" w:type="dxa"/>
          </w:tcPr>
          <w:p w14:paraId="2488F58C" w14:textId="77777777" w:rsidR="008E6E94" w:rsidRDefault="008E6E94" w:rsidP="007A413F">
            <w:pPr>
              <w:pStyle w:val="TableTextBullet"/>
            </w:pPr>
            <w:r>
              <w:t xml:space="preserve">Allows the user to enter one or more additional TRW test interpretations: </w:t>
            </w:r>
          </w:p>
          <w:p w14:paraId="3540B5C8" w14:textId="77777777" w:rsidR="008E6E94" w:rsidRDefault="008E6E94" w:rsidP="007A413F">
            <w:pPr>
              <w:pStyle w:val="TableTextBullet1"/>
            </w:pPr>
            <w:r>
              <w:t>TRW ABO/Rh testing</w:t>
            </w:r>
          </w:p>
          <w:p w14:paraId="0E8A7CCC" w14:textId="77777777" w:rsidR="008E6E94" w:rsidRDefault="008E6E94" w:rsidP="007A413F">
            <w:pPr>
              <w:pStyle w:val="TableTextBullet1"/>
            </w:pPr>
            <w:r>
              <w:t>TRW ABS testing</w:t>
            </w:r>
          </w:p>
          <w:p w14:paraId="71E247FE" w14:textId="77777777" w:rsidR="008E6E94" w:rsidRDefault="008E6E94" w:rsidP="007A413F">
            <w:pPr>
              <w:pStyle w:val="TableTextBullet1"/>
            </w:pPr>
            <w:r>
              <w:t xml:space="preserve">TRW DAT testing </w:t>
            </w:r>
          </w:p>
          <w:p w14:paraId="10F0C9B9" w14:textId="77777777" w:rsidR="008E6E94" w:rsidRDefault="008E6E94" w:rsidP="007A413F">
            <w:pPr>
              <w:pStyle w:val="TableTextBullet1"/>
            </w:pPr>
            <w:r>
              <w:t>TRW XM testing</w:t>
            </w:r>
          </w:p>
          <w:p w14:paraId="007767CC" w14:textId="77777777" w:rsidR="008E6E94" w:rsidRDefault="008E6E94" w:rsidP="007A413F">
            <w:pPr>
              <w:pStyle w:val="TableTextBullet"/>
            </w:pPr>
            <w:r>
              <w:t xml:space="preserve">Requires the user to enter the rack name and test method to be </w:t>
            </w:r>
            <w:r>
              <w:rPr>
                <w:iCs/>
              </w:rPr>
              <w:t xml:space="preserve">applied to </w:t>
            </w:r>
            <w:r>
              <w:t>the specimens selected in this testing group for serologic testing. The user must also indicate whether an automated instrument was used in testing.</w:t>
            </w:r>
          </w:p>
          <w:p w14:paraId="7FD5A950" w14:textId="77777777" w:rsidR="008E6E94" w:rsidRDefault="008E6E94" w:rsidP="007A413F">
            <w:pPr>
              <w:pStyle w:val="TableTextBullet"/>
            </w:pPr>
            <w:r>
              <w:t>Displays the date and time the testing was performed (default: current date and time), which the user may edit retrospectively.</w:t>
            </w:r>
          </w:p>
          <w:p w14:paraId="42CD68B6" w14:textId="77777777" w:rsidR="008E6E94" w:rsidRDefault="008E6E94" w:rsidP="007A413F">
            <w:pPr>
              <w:pStyle w:val="TableTextBullet"/>
            </w:pPr>
            <w:r>
              <w:t>Displays the testing technologist’s identification (default: current user). Lists valid division users for the user’s selection.</w:t>
            </w:r>
          </w:p>
          <w:p w14:paraId="5D36DCDE" w14:textId="77777777" w:rsidR="008E6E94" w:rsidRDefault="008E6E94" w:rsidP="007A413F">
            <w:pPr>
              <w:pStyle w:val="TableText"/>
            </w:pPr>
          </w:p>
          <w:p w14:paraId="1CC406D2" w14:textId="3137BA83" w:rsidR="008E6E94" w:rsidRDefault="008E6E94" w:rsidP="007A413F">
            <w:pPr>
              <w:pStyle w:val="TableText"/>
              <w:rPr>
                <w:b/>
                <w:bCs/>
                <w:szCs w:val="18"/>
              </w:rPr>
            </w:pPr>
            <w:r>
              <w:rPr>
                <w:b/>
                <w:bCs/>
                <w:szCs w:val="18"/>
              </w:rPr>
              <w:t>NOTES</w:t>
            </w:r>
          </w:p>
          <w:p w14:paraId="2746556C" w14:textId="77777777" w:rsidR="008E6E94" w:rsidRDefault="008E6E94" w:rsidP="007A413F">
            <w:pPr>
              <w:pStyle w:val="NotesText"/>
            </w:pPr>
          </w:p>
          <w:p w14:paraId="5047CD60" w14:textId="77777777" w:rsidR="008E6E94" w:rsidRDefault="008E6E94" w:rsidP="007A413F">
            <w:pPr>
              <w:pStyle w:val="NotesText"/>
            </w:pPr>
            <w:r>
              <w:rPr>
                <w:vanish/>
                <w:szCs w:val="18"/>
              </w:rPr>
              <w:t>BR_21.16</w:t>
            </w:r>
            <w:r w:rsidR="005D400B">
              <w:rPr>
                <w:vanish/>
                <w:szCs w:val="18"/>
              </w:rPr>
              <w:t>,</w:t>
            </w:r>
            <w:r>
              <w:rPr>
                <w:vanish/>
                <w:szCs w:val="18"/>
              </w:rPr>
              <w:t xml:space="preserve"> BR_21.24 </w:t>
            </w:r>
            <w:r>
              <w:t>When no units were implicated or no</w:t>
            </w:r>
            <w:r>
              <w:rPr>
                <w:color w:val="000000"/>
                <w:szCs w:val="18"/>
              </w:rPr>
              <w:t xml:space="preserve"> pre- or post-transfusion specimens are available, VBECS disables those</w:t>
            </w:r>
            <w:r>
              <w:t xml:space="preserve"> portions of the grid.</w:t>
            </w:r>
          </w:p>
          <w:p w14:paraId="6D9EBE1B" w14:textId="77777777" w:rsidR="008E6E94" w:rsidRDefault="008E6E94" w:rsidP="007A413F">
            <w:pPr>
              <w:pStyle w:val="NotesText"/>
            </w:pPr>
          </w:p>
          <w:p w14:paraId="7DEFF0AA" w14:textId="77777777" w:rsidR="008E6E94" w:rsidRDefault="008E6E94" w:rsidP="007A413F">
            <w:pPr>
              <w:pStyle w:val="NotesText"/>
            </w:pPr>
            <w:r>
              <w:rPr>
                <w:rFonts w:cs="Arial"/>
                <w:vanish/>
              </w:rPr>
              <w:t xml:space="preserve">BR_21.13 </w:t>
            </w:r>
            <w:r>
              <w:t>VBECS displays the standard TRW tests for the user to select to perform some</w:t>
            </w:r>
            <w:r w:rsidR="00DB68D8">
              <w:t>, none</w:t>
            </w:r>
            <w:r>
              <w:t xml:space="preserve"> or all.</w:t>
            </w:r>
            <w:r w:rsidR="00DB68D8">
              <w:t xml:space="preserve"> </w:t>
            </w:r>
            <w:r w:rsidR="00DB68D8" w:rsidRPr="00DB68D8">
              <w:rPr>
                <w:vanish/>
              </w:rPr>
              <w:t>DR 5100</w:t>
            </w:r>
          </w:p>
          <w:p w14:paraId="78F0A875" w14:textId="77777777" w:rsidR="008E6E94" w:rsidRDefault="008E6E94" w:rsidP="007A413F">
            <w:pPr>
              <w:pStyle w:val="NotesText"/>
            </w:pPr>
          </w:p>
          <w:p w14:paraId="437B96B3" w14:textId="77777777" w:rsidR="008E6E94" w:rsidRDefault="008E6E94" w:rsidP="007A413F">
            <w:pPr>
              <w:pStyle w:val="NotesText"/>
            </w:pPr>
            <w:r>
              <w:rPr>
                <w:rFonts w:cs="Arial"/>
                <w:vanish/>
              </w:rPr>
              <w:t xml:space="preserve">BR_56.14 </w:t>
            </w:r>
            <w:r>
              <w:t>When a facility is “full service” and an automated instrument was used for testing, a user must enter the name of the instrument and may indicate that successful quality control testing was done for the testing date.</w:t>
            </w:r>
          </w:p>
          <w:p w14:paraId="77513727" w14:textId="77777777" w:rsidR="008E6E94" w:rsidRDefault="008E6E94" w:rsidP="007A413F">
            <w:pPr>
              <w:pStyle w:val="NotesText"/>
            </w:pPr>
          </w:p>
          <w:p w14:paraId="01BDC31D" w14:textId="77777777" w:rsidR="008E6E94" w:rsidRDefault="008E6E94" w:rsidP="007A413F">
            <w:pPr>
              <w:pStyle w:val="NotesText"/>
            </w:pPr>
            <w:r>
              <w:rPr>
                <w:vanish/>
                <w:szCs w:val="18"/>
              </w:rPr>
              <w:t>BR_21.04</w:t>
            </w:r>
            <w:r w:rsidR="009078D6">
              <w:rPr>
                <w:vanish/>
                <w:szCs w:val="18"/>
              </w:rPr>
              <w:t>,</w:t>
            </w:r>
            <w:r>
              <w:rPr>
                <w:vanish/>
                <w:szCs w:val="18"/>
              </w:rPr>
              <w:t xml:space="preserve"> BR_21.22 </w:t>
            </w:r>
            <w:r>
              <w:t>For implicated units, the ABO/Rh TRW, ABS TRW, DAT TRW, and Crossmatch TRW testing data grids are pre-populated with pre- and post-specimen data. Data entry of test results is optional, based on a facility’s local policies and procedures.</w:t>
            </w:r>
          </w:p>
        </w:tc>
      </w:tr>
      <w:tr w:rsidR="008E6E94" w14:paraId="4ECBAD82" w14:textId="77777777">
        <w:tc>
          <w:tcPr>
            <w:tcW w:w="3240" w:type="dxa"/>
          </w:tcPr>
          <w:p w14:paraId="6E23A2EE" w14:textId="77777777" w:rsidR="00120B78" w:rsidRDefault="008E6E94" w:rsidP="007A413F">
            <w:pPr>
              <w:pStyle w:val="TableTextNumbers"/>
            </w:pPr>
            <w:r>
              <w:t>Review the entries</w:t>
            </w:r>
            <w:r w:rsidR="00120B78">
              <w:t>.</w:t>
            </w:r>
          </w:p>
          <w:p w14:paraId="682E833D" w14:textId="77777777" w:rsidR="00120B78" w:rsidRDefault="00120B78" w:rsidP="00120B78">
            <w:pPr>
              <w:pStyle w:val="TableTextNumbersContinued"/>
            </w:pPr>
          </w:p>
          <w:p w14:paraId="5B6DA1E3" w14:textId="77777777" w:rsidR="008E6E94" w:rsidRDefault="00120B78" w:rsidP="00120B78">
            <w:pPr>
              <w:pStyle w:val="TableTextNumbersContinued"/>
            </w:pPr>
            <w:r>
              <w:t xml:space="preserve">Click </w:t>
            </w:r>
            <w:r w:rsidRPr="0069720B">
              <w:rPr>
                <w:b/>
              </w:rPr>
              <w:t>OK</w:t>
            </w:r>
            <w:r>
              <w:t xml:space="preserve"> to save, and </w:t>
            </w:r>
            <w:r w:rsidRPr="0069720B">
              <w:rPr>
                <w:b/>
              </w:rPr>
              <w:t>Yes</w:t>
            </w:r>
            <w:r>
              <w:t xml:space="preserve"> to confirm the save.</w:t>
            </w:r>
          </w:p>
        </w:tc>
        <w:tc>
          <w:tcPr>
            <w:tcW w:w="6120" w:type="dxa"/>
          </w:tcPr>
          <w:p w14:paraId="17E85C6E" w14:textId="77777777" w:rsidR="008E6E94" w:rsidRDefault="008E6E94" w:rsidP="007A413F">
            <w:pPr>
              <w:pStyle w:val="TableTextBullet"/>
            </w:pPr>
            <w:r>
              <w:t>Stores data for retrieval.</w:t>
            </w:r>
          </w:p>
          <w:p w14:paraId="482EAF11" w14:textId="77777777" w:rsidR="008E6E94" w:rsidRDefault="008E6E94" w:rsidP="007A413F">
            <w:pPr>
              <w:pStyle w:val="TableTextBullet"/>
            </w:pPr>
            <w:r>
              <w:t>Makes the findings viewable through a CPRS query.</w:t>
            </w:r>
          </w:p>
          <w:p w14:paraId="41FF077A" w14:textId="77777777" w:rsidR="008E6E94" w:rsidRDefault="008E6E94" w:rsidP="007A413F">
            <w:pPr>
              <w:pStyle w:val="TableText"/>
            </w:pPr>
          </w:p>
          <w:p w14:paraId="6FCEA72A" w14:textId="41FAEE7C" w:rsidR="008E6E94" w:rsidRDefault="008E6E94" w:rsidP="007A413F">
            <w:pPr>
              <w:pStyle w:val="TableText"/>
              <w:rPr>
                <w:b/>
                <w:bCs/>
                <w:szCs w:val="18"/>
              </w:rPr>
            </w:pPr>
            <w:r>
              <w:rPr>
                <w:b/>
                <w:bCs/>
                <w:szCs w:val="18"/>
              </w:rPr>
              <w:t>NOTES</w:t>
            </w:r>
          </w:p>
          <w:p w14:paraId="65EFD9E9" w14:textId="77777777" w:rsidR="008E6E94" w:rsidRDefault="008E6E94" w:rsidP="007A413F">
            <w:pPr>
              <w:pStyle w:val="NotesText"/>
            </w:pPr>
          </w:p>
          <w:p w14:paraId="3D87AFF6" w14:textId="77777777" w:rsidR="008E6E94" w:rsidRDefault="008E6E94" w:rsidP="007A413F">
            <w:pPr>
              <w:pStyle w:val="NotesText"/>
            </w:pPr>
            <w:r>
              <w:rPr>
                <w:rFonts w:cs="Arial"/>
                <w:vanish/>
              </w:rPr>
              <w:t xml:space="preserve">BR_21.12 </w:t>
            </w:r>
            <w:r>
              <w:t>VBECS allows the user to indicate that the TRW is complete, then updates the TRW task status to “complete.”</w:t>
            </w:r>
          </w:p>
          <w:p w14:paraId="197654EC" w14:textId="77777777" w:rsidR="008E6E94" w:rsidRDefault="008E6E94" w:rsidP="007A413F">
            <w:pPr>
              <w:pStyle w:val="NotesText"/>
            </w:pPr>
          </w:p>
          <w:p w14:paraId="6BA4B26E" w14:textId="77777777" w:rsidR="008E6E94" w:rsidRDefault="008E6E94" w:rsidP="007A413F">
            <w:pPr>
              <w:pStyle w:val="NotesText"/>
            </w:pPr>
            <w:r>
              <w:rPr>
                <w:rFonts w:cs="Arial"/>
                <w:vanish/>
              </w:rPr>
              <w:t xml:space="preserve">BR_21.06 </w:t>
            </w:r>
            <w:r>
              <w:t>Once the TRW is completed, the summary of results and observations includes the comment, “Final report to follow in hard copy with medical director evaluation of the transfusion reaction workup.”</w:t>
            </w:r>
          </w:p>
          <w:p w14:paraId="285E17DB" w14:textId="77777777" w:rsidR="008E6E94" w:rsidRDefault="008E6E94" w:rsidP="007A413F">
            <w:pPr>
              <w:pStyle w:val="NotesText"/>
            </w:pPr>
          </w:p>
          <w:p w14:paraId="3CC5E3A2" w14:textId="77777777" w:rsidR="008E6E94" w:rsidRDefault="008E6E94" w:rsidP="007A413F">
            <w:pPr>
              <w:pStyle w:val="NotesText"/>
              <w:rPr>
                <w:color w:val="000000"/>
                <w:szCs w:val="18"/>
              </w:rPr>
            </w:pPr>
            <w:r>
              <w:rPr>
                <w:rFonts w:cs="Arial"/>
                <w:vanish/>
              </w:rPr>
              <w:t xml:space="preserve">BR_21.21 </w:t>
            </w:r>
            <w:r>
              <w:t xml:space="preserve">VBECS indicates on the </w:t>
            </w:r>
            <w:r>
              <w:rPr>
                <w:color w:val="000000"/>
                <w:szCs w:val="18"/>
              </w:rPr>
              <w:t>implicated unit’s patient transfusion record that it was implicated in a transfusion reaction and notes the patient’s name and ID and the date and time.</w:t>
            </w:r>
          </w:p>
          <w:p w14:paraId="0EBA84BD" w14:textId="77777777" w:rsidR="008E6E94" w:rsidRDefault="008E6E94" w:rsidP="007A413F">
            <w:pPr>
              <w:pStyle w:val="NotesText"/>
            </w:pPr>
          </w:p>
          <w:p w14:paraId="2482F3B2" w14:textId="77777777" w:rsidR="008E6E94" w:rsidRDefault="008E6E94" w:rsidP="007A413F">
            <w:pPr>
              <w:pStyle w:val="NotesText"/>
              <w:rPr>
                <w:szCs w:val="18"/>
              </w:rPr>
            </w:pPr>
            <w:r>
              <w:rPr>
                <w:rFonts w:cs="Arial"/>
                <w:vanish/>
              </w:rPr>
              <w:t>BR_21.28</w:t>
            </w:r>
            <w:r w:rsidRPr="00323744">
              <w:rPr>
                <w:rStyle w:val="BullhornChar"/>
              </w:rPr>
              <w:t></w:t>
            </w:r>
            <w:r>
              <w:rPr>
                <w:rFonts w:ascii="Webdings" w:hAnsi="Webdings"/>
              </w:rPr>
              <w:t></w:t>
            </w:r>
            <w:r>
              <w:rPr>
                <w:szCs w:val="18"/>
              </w:rPr>
              <w:t>VBECS saves the record and one or more clerical checks are marked “failed,” VBECS emits an audible alert, requires a comment, and captures details for inclusion in an Exception Report (exception type: Transfusion Reaction Workup).</w:t>
            </w:r>
          </w:p>
        </w:tc>
      </w:tr>
      <w:tr w:rsidR="008E6E94" w14:paraId="5E947E95" w14:textId="77777777">
        <w:tc>
          <w:tcPr>
            <w:tcW w:w="3240" w:type="dxa"/>
          </w:tcPr>
          <w:p w14:paraId="76CC36C1" w14:textId="10BD88CC" w:rsidR="00F676B6" w:rsidRDefault="00F676B6" w:rsidP="007A413F">
            <w:pPr>
              <w:pStyle w:val="TableTextNumbers"/>
            </w:pPr>
            <w:r>
              <w:t xml:space="preserve">Click </w:t>
            </w:r>
            <w:r w:rsidRPr="00F676B6">
              <w:rPr>
                <w:b/>
              </w:rPr>
              <w:t>Finalize/Print TRW</w:t>
            </w:r>
            <w:r>
              <w:t xml:space="preserve"> and continue at Finalize/Print TRW to finalize the TRW</w:t>
            </w:r>
            <w:r w:rsidR="00750760">
              <w:t xml:space="preserve"> (</w:t>
            </w:r>
            <w:r w:rsidR="00EE455E">
              <w:t xml:space="preserve">Figure </w:t>
            </w:r>
            <w:r w:rsidR="00EE455E">
              <w:rPr>
                <w:noProof/>
              </w:rPr>
              <w:t>106</w:t>
            </w:r>
            <w:r w:rsidR="00750760">
              <w:t>)</w:t>
            </w:r>
            <w:r>
              <w:t>, or</w:t>
            </w:r>
          </w:p>
          <w:p w14:paraId="135D84D9" w14:textId="77777777" w:rsidR="00F676B6" w:rsidRDefault="00F676B6" w:rsidP="00F676B6">
            <w:pPr>
              <w:pStyle w:val="TableTextNumbersContinued"/>
            </w:pPr>
          </w:p>
          <w:p w14:paraId="05BE40B1" w14:textId="77777777" w:rsidR="008E6E94" w:rsidRDefault="00F676B6" w:rsidP="00F676B6">
            <w:pPr>
              <w:pStyle w:val="TableTextNumbersContinued"/>
            </w:pPr>
            <w:r>
              <w:t>Click</w:t>
            </w:r>
            <w:r w:rsidR="00AA6C54">
              <w:t xml:space="preserve"> </w:t>
            </w:r>
            <w:r w:rsidRPr="00F676B6">
              <w:rPr>
                <w:b/>
              </w:rPr>
              <w:t>Cancel</w:t>
            </w:r>
            <w:r>
              <w:t xml:space="preserve"> to complete the TRW and exit</w:t>
            </w:r>
            <w:r w:rsidR="008E6E94">
              <w:t xml:space="preserve">. </w:t>
            </w:r>
            <w:r w:rsidR="008E6E94">
              <w:rPr>
                <w:vanish/>
                <w:color w:val="FFFFFF"/>
                <w:szCs w:val="18"/>
              </w:rPr>
              <w:fldChar w:fldCharType="begin"/>
            </w:r>
            <w:r w:rsidR="008E6E94">
              <w:rPr>
                <w:vanish/>
                <w:color w:val="FFFFFF"/>
                <w:szCs w:val="18"/>
              </w:rPr>
              <w:instrText xml:space="preserve"> LISTNUM \l 1 \s 0 </w:instrText>
            </w:r>
            <w:r w:rsidR="008E6E94">
              <w:rPr>
                <w:vanish/>
                <w:color w:val="FFFFFF"/>
                <w:szCs w:val="18"/>
              </w:rPr>
              <w:fldChar w:fldCharType="end"/>
            </w:r>
          </w:p>
        </w:tc>
        <w:tc>
          <w:tcPr>
            <w:tcW w:w="6120" w:type="dxa"/>
          </w:tcPr>
          <w:p w14:paraId="6EC48131" w14:textId="77777777" w:rsidR="00503680" w:rsidRPr="00503680" w:rsidRDefault="00503680" w:rsidP="00503680">
            <w:pPr>
              <w:pStyle w:val="TableText"/>
            </w:pPr>
          </w:p>
          <w:p w14:paraId="039D2C2A" w14:textId="529BDC0B" w:rsidR="008E6E94" w:rsidRDefault="008E6E94" w:rsidP="007A413F">
            <w:pPr>
              <w:pStyle w:val="TableText"/>
              <w:rPr>
                <w:b/>
                <w:bCs/>
                <w:szCs w:val="18"/>
              </w:rPr>
            </w:pPr>
            <w:r>
              <w:rPr>
                <w:b/>
                <w:bCs/>
                <w:szCs w:val="18"/>
              </w:rPr>
              <w:t>NOTES</w:t>
            </w:r>
          </w:p>
          <w:p w14:paraId="3FB4085F" w14:textId="77777777" w:rsidR="008E6E94" w:rsidRPr="007F427E" w:rsidRDefault="008E6E94" w:rsidP="007F427E">
            <w:pPr>
              <w:pStyle w:val="NotesText"/>
            </w:pPr>
          </w:p>
          <w:p w14:paraId="78B1F86E" w14:textId="77777777" w:rsidR="00F676B6" w:rsidRDefault="00F676B6" w:rsidP="007F427E">
            <w:pPr>
              <w:pStyle w:val="NotesText"/>
              <w:rPr>
                <w:color w:val="3366FF"/>
              </w:rPr>
            </w:pPr>
            <w:r w:rsidRPr="007F427E">
              <w:t>A completed TRW indicates that serologic testing was completed. A finalized TRW indicates that the medical director reviewed the TRW, classified the rea</w:t>
            </w:r>
            <w:r w:rsidR="007F427E" w:rsidRPr="007F427E">
              <w:t>ction, and may make recommendations for future transfusions.</w:t>
            </w:r>
          </w:p>
        </w:tc>
      </w:tr>
    </w:tbl>
    <w:p w14:paraId="01C90641" w14:textId="581F631B" w:rsidR="008534C3" w:rsidRDefault="00772DD7" w:rsidP="008534C3">
      <w:pPr>
        <w:pStyle w:val="Caption"/>
      </w:pPr>
      <w:bookmarkStart w:id="483" w:name="_Ref12777118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101</w:t>
      </w:r>
      <w:r w:rsidR="004E20BD">
        <w:rPr>
          <w:noProof/>
        </w:rPr>
        <w:fldChar w:fldCharType="end"/>
      </w:r>
      <w:bookmarkEnd w:id="483"/>
      <w:r>
        <w:t>:</w:t>
      </w:r>
      <w:r w:rsidR="008534C3">
        <w:t xml:space="preserve"> Transfusion Reaction Workup</w:t>
      </w:r>
      <w:r w:rsidR="004645AA">
        <w:t>: Specimen</w:t>
      </w:r>
      <w:r w:rsidR="00A73927">
        <w:t xml:space="preserve"> Check</w:t>
      </w:r>
    </w:p>
    <w:p w14:paraId="1801A336" w14:textId="168E7FEB" w:rsidR="00772DD7" w:rsidRDefault="009227D1" w:rsidP="008534C3">
      <w:pPr>
        <w:pStyle w:val="BodyText"/>
      </w:pPr>
      <w:r>
        <w:rPr>
          <w:noProof/>
        </w:rPr>
        <w:drawing>
          <wp:inline distT="0" distB="0" distL="0" distR="0" wp14:anchorId="6278721E" wp14:editId="35395CCC">
            <wp:extent cx="5943600" cy="3822700"/>
            <wp:effectExtent l="0" t="0" r="0" b="6350"/>
            <wp:docPr id="188" name="Picture 188" descr="Example of Transfusion Reaction Workup: Specimen Check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Example of Transfusion Reaction Workup: Specimen Check screen captur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43600" cy="3822700"/>
                    </a:xfrm>
                    <a:prstGeom prst="rect">
                      <a:avLst/>
                    </a:prstGeom>
                    <a:noFill/>
                    <a:ln>
                      <a:noFill/>
                    </a:ln>
                  </pic:spPr>
                </pic:pic>
              </a:graphicData>
            </a:graphic>
          </wp:inline>
        </w:drawing>
      </w:r>
    </w:p>
    <w:p w14:paraId="11DF1FEB" w14:textId="1B0B4B11" w:rsidR="00772DD7" w:rsidRDefault="00772DD7" w:rsidP="00772DD7">
      <w:pPr>
        <w:pStyle w:val="Caption"/>
      </w:pPr>
      <w:bookmarkStart w:id="484" w:name="_Ref12777199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102</w:t>
      </w:r>
      <w:r w:rsidR="004E20BD">
        <w:rPr>
          <w:noProof/>
        </w:rPr>
        <w:fldChar w:fldCharType="end"/>
      </w:r>
      <w:bookmarkEnd w:id="484"/>
      <w:r>
        <w:t>:</w:t>
      </w:r>
      <w:r w:rsidR="004645AA">
        <w:t xml:space="preserve"> Transfusion </w:t>
      </w:r>
      <w:r w:rsidR="00A73927">
        <w:t>Reaction Workup: Clerical Check</w:t>
      </w:r>
    </w:p>
    <w:p w14:paraId="37D847EC" w14:textId="291905FA" w:rsidR="00772DD7" w:rsidRPr="00772DD7" w:rsidRDefault="009227D1" w:rsidP="00772DD7">
      <w:pPr>
        <w:pStyle w:val="BodyText"/>
      </w:pPr>
      <w:r>
        <w:rPr>
          <w:noProof/>
        </w:rPr>
        <w:drawing>
          <wp:inline distT="0" distB="0" distL="0" distR="0" wp14:anchorId="6AF32599" wp14:editId="74A9C18B">
            <wp:extent cx="5943600" cy="3869055"/>
            <wp:effectExtent l="0" t="0" r="0" b="0"/>
            <wp:docPr id="196" name="Picture 196" descr="Example of Transfusion Reaction Workup: Clerical Check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Example of Transfusion Reaction Workup: Clerical Check screen captur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3600" cy="3869055"/>
                    </a:xfrm>
                    <a:prstGeom prst="rect">
                      <a:avLst/>
                    </a:prstGeom>
                    <a:noFill/>
                    <a:ln>
                      <a:noFill/>
                    </a:ln>
                  </pic:spPr>
                </pic:pic>
              </a:graphicData>
            </a:graphic>
          </wp:inline>
        </w:drawing>
      </w:r>
    </w:p>
    <w:p w14:paraId="7F4C027F" w14:textId="795C8ADE" w:rsidR="00772DD7" w:rsidRDefault="00772DD7" w:rsidP="00772DD7">
      <w:pPr>
        <w:pStyle w:val="Caption"/>
      </w:pPr>
      <w:bookmarkStart w:id="485" w:name="_Ref12777407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103</w:t>
      </w:r>
      <w:r w:rsidR="004E20BD">
        <w:rPr>
          <w:noProof/>
        </w:rPr>
        <w:fldChar w:fldCharType="end"/>
      </w:r>
      <w:bookmarkEnd w:id="485"/>
      <w:r>
        <w:t>:</w:t>
      </w:r>
      <w:r w:rsidR="00390AEF">
        <w:t xml:space="preserve"> Transfusion Reaction Workup: Implicated Units</w:t>
      </w:r>
    </w:p>
    <w:p w14:paraId="2208B335" w14:textId="5641BA8F" w:rsidR="004A2487" w:rsidRPr="004A2487" w:rsidRDefault="009227D1" w:rsidP="004A2487">
      <w:pPr>
        <w:pStyle w:val="BodyText"/>
      </w:pPr>
      <w:r>
        <w:rPr>
          <w:noProof/>
        </w:rPr>
        <w:drawing>
          <wp:inline distT="0" distB="0" distL="0" distR="0" wp14:anchorId="4957ED90" wp14:editId="2F72DD9E">
            <wp:extent cx="5943600" cy="3820795"/>
            <wp:effectExtent l="0" t="0" r="0" b="8255"/>
            <wp:docPr id="197" name="Picture 197" descr="Example of Transfusion Reaction Workup: Implicated Uni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Example of Transfusion Reaction Workup: Implicated Units screen capture"/>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43600" cy="3820795"/>
                    </a:xfrm>
                    <a:prstGeom prst="rect">
                      <a:avLst/>
                    </a:prstGeom>
                    <a:noFill/>
                    <a:ln>
                      <a:noFill/>
                    </a:ln>
                  </pic:spPr>
                </pic:pic>
              </a:graphicData>
            </a:graphic>
          </wp:inline>
        </w:drawing>
      </w:r>
    </w:p>
    <w:p w14:paraId="42CFAF7A" w14:textId="193AEF1B" w:rsidR="00772DD7" w:rsidRDefault="00772DD7" w:rsidP="00772DD7">
      <w:pPr>
        <w:pStyle w:val="Caption"/>
      </w:pPr>
      <w:bookmarkStart w:id="486" w:name="_Ref1277741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104</w:t>
      </w:r>
      <w:r w:rsidR="004E20BD">
        <w:rPr>
          <w:noProof/>
        </w:rPr>
        <w:fldChar w:fldCharType="end"/>
      </w:r>
      <w:bookmarkEnd w:id="486"/>
      <w:r>
        <w:t>:</w:t>
      </w:r>
      <w:r w:rsidR="00390AEF">
        <w:t xml:space="preserve"> Transfusion Reaction Workup: Symptoms</w:t>
      </w:r>
    </w:p>
    <w:p w14:paraId="348BB024" w14:textId="238D93A9" w:rsidR="00772DD7" w:rsidRPr="00772DD7" w:rsidRDefault="009227D1" w:rsidP="00772DD7">
      <w:pPr>
        <w:pStyle w:val="BodyText"/>
      </w:pPr>
      <w:r>
        <w:rPr>
          <w:noProof/>
        </w:rPr>
        <w:drawing>
          <wp:inline distT="0" distB="0" distL="0" distR="0" wp14:anchorId="0F479536" wp14:editId="64ACD46E">
            <wp:extent cx="5943600" cy="3836035"/>
            <wp:effectExtent l="0" t="0" r="0" b="0"/>
            <wp:docPr id="200" name="Picture 200" descr="Example of Transfusion Reaction Workup: Symptom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Example of Transfusion Reaction Workup: Symptoms screen capture"/>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3600" cy="3836035"/>
                    </a:xfrm>
                    <a:prstGeom prst="rect">
                      <a:avLst/>
                    </a:prstGeom>
                    <a:noFill/>
                    <a:ln>
                      <a:noFill/>
                    </a:ln>
                  </pic:spPr>
                </pic:pic>
              </a:graphicData>
            </a:graphic>
          </wp:inline>
        </w:drawing>
      </w:r>
    </w:p>
    <w:p w14:paraId="6DF1203B" w14:textId="06FFA324" w:rsidR="00772DD7" w:rsidRDefault="00772DD7" w:rsidP="00772DD7">
      <w:pPr>
        <w:pStyle w:val="Caption"/>
      </w:pPr>
      <w:bookmarkStart w:id="487" w:name="_Ref12777419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105</w:t>
      </w:r>
      <w:r w:rsidR="004E20BD">
        <w:rPr>
          <w:noProof/>
        </w:rPr>
        <w:fldChar w:fldCharType="end"/>
      </w:r>
      <w:bookmarkEnd w:id="487"/>
      <w:r>
        <w:t>:</w:t>
      </w:r>
      <w:r w:rsidR="00390AEF">
        <w:t xml:space="preserve"> Transfusion Reaction Workup: Serologic Tests</w:t>
      </w:r>
    </w:p>
    <w:p w14:paraId="566E5864" w14:textId="5D3CD552" w:rsidR="00772DD7" w:rsidRPr="00772DD7" w:rsidRDefault="009227D1" w:rsidP="00772DD7">
      <w:pPr>
        <w:pStyle w:val="BodyText"/>
      </w:pPr>
      <w:r>
        <w:rPr>
          <w:noProof/>
        </w:rPr>
        <w:drawing>
          <wp:inline distT="0" distB="0" distL="0" distR="0" wp14:anchorId="6F303198" wp14:editId="555E7E97">
            <wp:extent cx="5943600" cy="3818890"/>
            <wp:effectExtent l="0" t="0" r="0" b="0"/>
            <wp:docPr id="201" name="Picture 201" descr="Example of Transfusion Reaction Workup: Serologic Tes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Example of Transfusion Reaction Workup: Serologic Tests screen captur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43600" cy="3818890"/>
                    </a:xfrm>
                    <a:prstGeom prst="rect">
                      <a:avLst/>
                    </a:prstGeom>
                    <a:noFill/>
                    <a:ln>
                      <a:noFill/>
                    </a:ln>
                  </pic:spPr>
                </pic:pic>
              </a:graphicData>
            </a:graphic>
          </wp:inline>
        </w:drawing>
      </w:r>
    </w:p>
    <w:p w14:paraId="6241CFF7" w14:textId="1C4C4DC9" w:rsidR="00772DD7" w:rsidRDefault="00772DD7" w:rsidP="00772DD7">
      <w:pPr>
        <w:pStyle w:val="Caption"/>
      </w:pPr>
      <w:bookmarkStart w:id="488" w:name="_Ref12777421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106</w:t>
      </w:r>
      <w:r w:rsidR="004E20BD">
        <w:rPr>
          <w:noProof/>
        </w:rPr>
        <w:fldChar w:fldCharType="end"/>
      </w:r>
      <w:bookmarkEnd w:id="488"/>
      <w:r>
        <w:t>:</w:t>
      </w:r>
      <w:r w:rsidR="00453B6E">
        <w:t xml:space="preserve"> Transfusion Reaction Workup Report</w:t>
      </w:r>
    </w:p>
    <w:p w14:paraId="11D41631" w14:textId="53FEAB19" w:rsidR="00772DD7" w:rsidRPr="00772DD7" w:rsidRDefault="009227D1" w:rsidP="00772DD7">
      <w:pPr>
        <w:pStyle w:val="BodyText"/>
      </w:pPr>
      <w:r>
        <w:rPr>
          <w:noProof/>
        </w:rPr>
        <w:drawing>
          <wp:inline distT="0" distB="0" distL="0" distR="0" wp14:anchorId="3C5FB823" wp14:editId="252B3FA6">
            <wp:extent cx="5943600" cy="3765550"/>
            <wp:effectExtent l="0" t="0" r="0" b="6350"/>
            <wp:docPr id="223" name="Picture 223" descr="Example of Transfusion Reaction Workup Repo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Example of Transfusion Reaction Workup Report screen captur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43600" cy="3765550"/>
                    </a:xfrm>
                    <a:prstGeom prst="rect">
                      <a:avLst/>
                    </a:prstGeom>
                    <a:noFill/>
                    <a:ln>
                      <a:noFill/>
                    </a:ln>
                  </pic:spPr>
                </pic:pic>
              </a:graphicData>
            </a:graphic>
          </wp:inline>
        </w:drawing>
      </w:r>
    </w:p>
    <w:p w14:paraId="10641904" w14:textId="77777777" w:rsidR="002A21AE" w:rsidRDefault="00AA0019">
      <w:pPr>
        <w:pStyle w:val="Heading3"/>
      </w:pPr>
      <w:bookmarkStart w:id="489" w:name="_Toc94938926"/>
      <w:bookmarkStart w:id="490" w:name="_Toc63680366"/>
      <w:r>
        <w:br w:type="page"/>
      </w:r>
      <w:bookmarkStart w:id="491" w:name="_Toc149064166"/>
      <w:r w:rsidR="002A21AE">
        <w:t>Finalize/Print TRW</w:t>
      </w:r>
      <w:bookmarkEnd w:id="491"/>
      <w:r w:rsidR="002A21AE">
        <w:fldChar w:fldCharType="begin"/>
      </w:r>
      <w:r w:rsidR="002A21AE">
        <w:instrText xml:space="preserve"> XE </w:instrText>
      </w:r>
      <w:r w:rsidR="00FA7E65">
        <w:instrText>“</w:instrText>
      </w:r>
      <w:r w:rsidR="002A21AE">
        <w:instrText>Finalize/Print TRW</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UC_78</w:t>
      </w:r>
      <w:bookmarkEnd w:id="489"/>
    </w:p>
    <w:p w14:paraId="6B205F4E" w14:textId="77777777" w:rsidR="002A21AE" w:rsidRDefault="002A21AE" w:rsidP="00FA7E65">
      <w:pPr>
        <w:pStyle w:val="BodyText"/>
      </w:pPr>
      <w:r>
        <w:t>The user finalizes</w:t>
      </w:r>
      <w:r w:rsidR="00EB1E5A">
        <w:t xml:space="preserve"> and</w:t>
      </w:r>
      <w:r>
        <w:t xml:space="preserve"> views </w:t>
      </w:r>
      <w:r w:rsidR="00EB1E5A">
        <w:t xml:space="preserve">and/or </w:t>
      </w:r>
      <w:r>
        <w:t>prints the Transfusion Reaction Workup Report.</w:t>
      </w:r>
    </w:p>
    <w:p w14:paraId="53F51DA9" w14:textId="77777777" w:rsidR="002A21AE" w:rsidRDefault="002A21AE">
      <w:pPr>
        <w:pStyle w:val="Heading4"/>
      </w:pPr>
      <w:r>
        <w:t>Assumptions</w:t>
      </w:r>
      <w:r>
        <w:rPr>
          <w:b w:val="0"/>
        </w:rPr>
        <w:t xml:space="preserve"> </w:t>
      </w:r>
    </w:p>
    <w:p w14:paraId="7D7FACA4" w14:textId="77777777" w:rsidR="002A21AE" w:rsidRDefault="002A21AE">
      <w:pPr>
        <w:pStyle w:val="ListBullet"/>
      </w:pPr>
      <w:r>
        <w:t>Patient Testing: Record a Transfusion Reaction Workup was completed.</w:t>
      </w:r>
    </w:p>
    <w:p w14:paraId="260EFE06" w14:textId="77777777" w:rsidR="002A21AE" w:rsidRDefault="002A21AE">
      <w:pPr>
        <w:pStyle w:val="Heading4"/>
      </w:pPr>
      <w:r>
        <w:t xml:space="preserve">Outcome </w:t>
      </w:r>
    </w:p>
    <w:p w14:paraId="2833FC21" w14:textId="77777777" w:rsidR="002A21AE" w:rsidRDefault="002A21AE">
      <w:pPr>
        <w:pStyle w:val="ListBullet"/>
      </w:pPr>
      <w:r>
        <w:t>The Transfusion Reaction Workup Report is available for printing and signing.</w:t>
      </w:r>
    </w:p>
    <w:p w14:paraId="6D5C508F" w14:textId="77777777" w:rsidR="0015352F" w:rsidRDefault="0015352F" w:rsidP="0015352F">
      <w:pPr>
        <w:pStyle w:val="ListBullet"/>
      </w:pPr>
      <w:r>
        <w:t>Final report findings are available for display in CPRS.</w:t>
      </w:r>
    </w:p>
    <w:p w14:paraId="098B5E3C" w14:textId="77777777" w:rsidR="002A21AE" w:rsidRDefault="002A21AE">
      <w:pPr>
        <w:pStyle w:val="Heading4"/>
        <w:rPr>
          <w:b w:val="0"/>
        </w:rPr>
      </w:pPr>
      <w:r>
        <w:t>Limitations and Restrictions</w:t>
      </w:r>
      <w:r>
        <w:rPr>
          <w:b w:val="0"/>
        </w:rPr>
        <w:t xml:space="preserve"> </w:t>
      </w:r>
    </w:p>
    <w:p w14:paraId="42AAE702" w14:textId="615D2774" w:rsidR="002A21AE" w:rsidRDefault="00D3121D">
      <w:pPr>
        <w:pStyle w:val="ListBullet"/>
      </w:pPr>
      <w:r>
        <w:t>The user cannot</w:t>
      </w:r>
      <w:r w:rsidR="00D23EF9" w:rsidRPr="00D23EF9">
        <w:t xml:space="preserve"> invalidate </w:t>
      </w:r>
      <w:r w:rsidR="00D23EF9">
        <w:t xml:space="preserve">or change </w:t>
      </w:r>
      <w:r w:rsidR="00D23EF9" w:rsidRPr="00D23EF9">
        <w:t>a finalized TRW.</w:t>
      </w:r>
      <w:r w:rsidR="00095CB3">
        <w:t xml:space="preserve"> Contact </w:t>
      </w:r>
      <w:r w:rsidR="00435359">
        <w:t>the Service</w:t>
      </w:r>
      <w:r w:rsidR="00095CB3">
        <w:t xml:space="preserve"> Desk if a TRW needs to be updated after finalization.</w:t>
      </w:r>
      <w:r w:rsidR="00FF7FFA">
        <w:t xml:space="preserve"> </w:t>
      </w:r>
      <w:r w:rsidR="00FF7FFA" w:rsidRPr="00FF7FFA">
        <w:rPr>
          <w:vanish/>
        </w:rPr>
        <w:t>Defect 212150</w:t>
      </w:r>
    </w:p>
    <w:p w14:paraId="316D0EF2" w14:textId="6DD0F818" w:rsidR="003E5C27" w:rsidRDefault="003E5C27">
      <w:pPr>
        <w:pStyle w:val="ListBullet"/>
      </w:pPr>
      <w:r>
        <w:t>Transfusion reaction reports are not available to clinicians through CPRS: they must be printed and filed with patient charts.</w:t>
      </w:r>
    </w:p>
    <w:p w14:paraId="04CAAB88" w14:textId="427FBDBA" w:rsidR="00D473B6" w:rsidRDefault="00D473B6">
      <w:pPr>
        <w:pStyle w:val="ListBullet"/>
      </w:pPr>
      <w:r>
        <w:t>There is no scroll bar on the TRW Serologic Tests tab. This limits</w:t>
      </w:r>
      <w:r w:rsidR="001C6E3F">
        <w:t xml:space="preserve"> </w:t>
      </w:r>
      <w:r w:rsidR="00780C90">
        <w:t xml:space="preserve">the number of visible implicated units to ten (10). When more than ten (10) units are implicated in the transfusion reaction, order additional TRW test(s) as required. </w:t>
      </w:r>
      <w:r w:rsidR="00780C90" w:rsidRPr="00780C90">
        <w:rPr>
          <w:vanish/>
        </w:rPr>
        <w:t>Defect 577597</w:t>
      </w:r>
    </w:p>
    <w:p w14:paraId="3FE31DE0" w14:textId="77777777" w:rsidR="00FF5006" w:rsidRPr="00764EF1" w:rsidRDefault="00FF5006" w:rsidP="00FF5006">
      <w:pPr>
        <w:pStyle w:val="ListBullet"/>
      </w:pPr>
      <w:r>
        <w:t>VBECS displays these default values for transfusion reactions converted from VistA to VBECS. They do not reflect actual interpretations or results:</w:t>
      </w:r>
      <w:r>
        <w:rPr>
          <w:vanish/>
        </w:rPr>
        <w:t xml:space="preserve"> (DR 2,</w:t>
      </w:r>
      <w:r w:rsidRPr="00FF5006">
        <w:rPr>
          <w:vanish/>
        </w:rPr>
        <w:t>724)</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4"/>
        <w:gridCol w:w="3326"/>
      </w:tblGrid>
      <w:tr w:rsidR="00764EF1" w:rsidRPr="00887834" w14:paraId="07138B2A" w14:textId="77777777">
        <w:trPr>
          <w:tblHeader/>
        </w:trPr>
        <w:tc>
          <w:tcPr>
            <w:tcW w:w="4428" w:type="dxa"/>
            <w:shd w:val="clear" w:color="auto" w:fill="B3B3B3"/>
          </w:tcPr>
          <w:p w14:paraId="06FDEA8D" w14:textId="77777777" w:rsidR="00764EF1" w:rsidRPr="00887834" w:rsidRDefault="00764EF1" w:rsidP="00722031">
            <w:pPr>
              <w:pStyle w:val="TableText"/>
              <w:rPr>
                <w:b/>
              </w:rPr>
            </w:pPr>
            <w:r w:rsidRPr="00887834">
              <w:rPr>
                <w:b/>
              </w:rPr>
              <w:t>Converted Transfusion Reaction</w:t>
            </w:r>
          </w:p>
        </w:tc>
        <w:tc>
          <w:tcPr>
            <w:tcW w:w="2772" w:type="dxa"/>
            <w:shd w:val="clear" w:color="auto" w:fill="B3B3B3"/>
          </w:tcPr>
          <w:p w14:paraId="561BE456" w14:textId="77777777" w:rsidR="00764EF1" w:rsidRPr="00887834" w:rsidRDefault="00764EF1" w:rsidP="00722031">
            <w:pPr>
              <w:pStyle w:val="TableText"/>
              <w:rPr>
                <w:b/>
              </w:rPr>
            </w:pPr>
            <w:r w:rsidRPr="00887834">
              <w:rPr>
                <w:b/>
              </w:rPr>
              <w:t>Default</w:t>
            </w:r>
          </w:p>
        </w:tc>
      </w:tr>
      <w:tr w:rsidR="00764EF1" w14:paraId="4EA9B8FE" w14:textId="77777777">
        <w:tc>
          <w:tcPr>
            <w:tcW w:w="4428" w:type="dxa"/>
          </w:tcPr>
          <w:p w14:paraId="13CE8E85" w14:textId="77777777" w:rsidR="00764EF1" w:rsidRDefault="00764EF1" w:rsidP="00722031">
            <w:pPr>
              <w:pStyle w:val="TableText"/>
            </w:pPr>
            <w:r>
              <w:t xml:space="preserve">Pre-Transfusion Specimen Checks, Hemolysis Checks OK? </w:t>
            </w:r>
          </w:p>
        </w:tc>
        <w:tc>
          <w:tcPr>
            <w:tcW w:w="2772" w:type="dxa"/>
          </w:tcPr>
          <w:p w14:paraId="763E49FF" w14:textId="77777777" w:rsidR="00764EF1" w:rsidRDefault="00764EF1" w:rsidP="00722031">
            <w:pPr>
              <w:pStyle w:val="TableText"/>
            </w:pPr>
            <w:r>
              <w:t>Yes</w:t>
            </w:r>
          </w:p>
        </w:tc>
      </w:tr>
      <w:tr w:rsidR="00764EF1" w14:paraId="516560FC" w14:textId="77777777">
        <w:tc>
          <w:tcPr>
            <w:tcW w:w="4428" w:type="dxa"/>
          </w:tcPr>
          <w:p w14:paraId="602ABDC4" w14:textId="77777777" w:rsidR="00764EF1" w:rsidRDefault="00764EF1" w:rsidP="00722031">
            <w:pPr>
              <w:pStyle w:val="TableText"/>
            </w:pPr>
            <w:r>
              <w:t xml:space="preserve">Post-Transfusion Specimen Checks, Hemolysis Checks OK? </w:t>
            </w:r>
          </w:p>
        </w:tc>
        <w:tc>
          <w:tcPr>
            <w:tcW w:w="2772" w:type="dxa"/>
          </w:tcPr>
          <w:p w14:paraId="62BEEBB5" w14:textId="77777777" w:rsidR="00764EF1" w:rsidRDefault="00764EF1" w:rsidP="00722031">
            <w:pPr>
              <w:pStyle w:val="TableText"/>
            </w:pPr>
            <w:r>
              <w:t>Yes</w:t>
            </w:r>
          </w:p>
        </w:tc>
      </w:tr>
      <w:tr w:rsidR="00764EF1" w14:paraId="3109CD48" w14:textId="77777777">
        <w:tc>
          <w:tcPr>
            <w:tcW w:w="4428" w:type="dxa"/>
          </w:tcPr>
          <w:p w14:paraId="39468268" w14:textId="77777777" w:rsidR="00764EF1" w:rsidRDefault="00D35B68" w:rsidP="00722031">
            <w:pPr>
              <w:pStyle w:val="TableText"/>
            </w:pPr>
            <w:r>
              <w:t>Symptom</w:t>
            </w:r>
            <w:r w:rsidR="00764EF1">
              <w:t>s</w:t>
            </w:r>
          </w:p>
        </w:tc>
        <w:tc>
          <w:tcPr>
            <w:tcW w:w="2772" w:type="dxa"/>
          </w:tcPr>
          <w:p w14:paraId="6105A7F8" w14:textId="77777777" w:rsidR="00764EF1" w:rsidRDefault="00764EF1" w:rsidP="00722031">
            <w:pPr>
              <w:pStyle w:val="TableText"/>
            </w:pPr>
            <w:r>
              <w:t>No symptoms identified.</w:t>
            </w:r>
          </w:p>
        </w:tc>
      </w:tr>
      <w:tr w:rsidR="00764EF1" w14:paraId="76C04063" w14:textId="77777777">
        <w:tc>
          <w:tcPr>
            <w:tcW w:w="4428" w:type="dxa"/>
          </w:tcPr>
          <w:p w14:paraId="6015041E" w14:textId="77777777" w:rsidR="00764EF1" w:rsidRDefault="00764EF1" w:rsidP="00722031">
            <w:pPr>
              <w:pStyle w:val="TableText"/>
            </w:pPr>
            <w:r>
              <w:t>Implicated units</w:t>
            </w:r>
          </w:p>
        </w:tc>
        <w:tc>
          <w:tcPr>
            <w:tcW w:w="2772" w:type="dxa"/>
          </w:tcPr>
          <w:p w14:paraId="214BDF3F" w14:textId="77777777" w:rsidR="00764EF1" w:rsidRDefault="00764EF1" w:rsidP="00722031">
            <w:pPr>
              <w:pStyle w:val="TableText"/>
            </w:pPr>
            <w:r>
              <w:t>No units implicated in reaction.</w:t>
            </w:r>
          </w:p>
        </w:tc>
      </w:tr>
      <w:tr w:rsidR="00764EF1" w14:paraId="61E64C24" w14:textId="77777777">
        <w:tc>
          <w:tcPr>
            <w:tcW w:w="4428" w:type="dxa"/>
          </w:tcPr>
          <w:p w14:paraId="48730143" w14:textId="77777777" w:rsidR="00764EF1" w:rsidRDefault="00764EF1" w:rsidP="00722031">
            <w:pPr>
              <w:pStyle w:val="TableText"/>
            </w:pPr>
            <w:r>
              <w:t>Serologic tests</w:t>
            </w:r>
          </w:p>
        </w:tc>
        <w:tc>
          <w:tcPr>
            <w:tcW w:w="2772" w:type="dxa"/>
          </w:tcPr>
          <w:p w14:paraId="7F04455F" w14:textId="77777777" w:rsidR="00764EF1" w:rsidRDefault="00764EF1" w:rsidP="00722031">
            <w:pPr>
              <w:pStyle w:val="TableText"/>
            </w:pPr>
            <w:r>
              <w:t>No serologic tests performed.</w:t>
            </w:r>
          </w:p>
        </w:tc>
      </w:tr>
    </w:tbl>
    <w:p w14:paraId="5B03DA04" w14:textId="77777777" w:rsidR="002A21AE" w:rsidRDefault="002A21AE">
      <w:pPr>
        <w:pStyle w:val="Heading4"/>
      </w:pPr>
      <w:r>
        <w:t xml:space="preserve">Additional Information </w:t>
      </w:r>
    </w:p>
    <w:p w14:paraId="3DCFBC98" w14:textId="77777777" w:rsidR="002A21AE" w:rsidRDefault="002A21AE">
      <w:pPr>
        <w:pStyle w:val="ListBullet"/>
      </w:pPr>
      <w:r>
        <w:t>The medical director’s signature is on the patient’s printed chart.</w:t>
      </w:r>
    </w:p>
    <w:p w14:paraId="6582F7B2" w14:textId="3AE10255" w:rsidR="002A21AE" w:rsidRDefault="002A21AE">
      <w:pPr>
        <w:pStyle w:val="ListBullet"/>
      </w:pPr>
      <w:r>
        <w:t>If a report needs to be replaced, the user may retrieve this report after it is complete. The final report is a printed document with the medical director’s signature.</w:t>
      </w:r>
    </w:p>
    <w:p w14:paraId="652351B1" w14:textId="1EE3AE2A" w:rsidR="000E5481" w:rsidRDefault="000E5481" w:rsidP="000E5481">
      <w:pPr>
        <w:pStyle w:val="ListBullet"/>
      </w:pPr>
      <w:r w:rsidRPr="000E5481">
        <w:t xml:space="preserve">Do not use the barcode scanner to enter a transfusion reaction specimen </w:t>
      </w:r>
      <w:r w:rsidR="00405F70">
        <w:t>U</w:t>
      </w:r>
      <w:r w:rsidRPr="000E5481">
        <w:t>ID.</w:t>
      </w:r>
      <w:r w:rsidR="00DC3A9D">
        <w:t xml:space="preserve"> </w:t>
      </w:r>
      <w:r w:rsidR="00DC3A9D" w:rsidRPr="00DC3A9D">
        <w:rPr>
          <w:vanish/>
        </w:rPr>
        <w:t>Defect 210130</w:t>
      </w:r>
    </w:p>
    <w:p w14:paraId="52BBE7B4" w14:textId="1227321C" w:rsidR="000E5481" w:rsidRDefault="000E5481" w:rsidP="000E5481">
      <w:pPr>
        <w:pStyle w:val="ListBullet"/>
      </w:pPr>
      <w:r>
        <w:t>To avoid a system error, o</w:t>
      </w:r>
      <w:r w:rsidRPr="000E5481">
        <w:t xml:space="preserve">nce testing is entered, </w:t>
      </w:r>
      <w:r>
        <w:t xml:space="preserve">do not </w:t>
      </w:r>
      <w:r w:rsidRPr="000E5481">
        <w:t xml:space="preserve">uncheck the testing box </w:t>
      </w:r>
      <w:r w:rsidR="00DC3A9D">
        <w:t xml:space="preserve">and recheck it. </w:t>
      </w:r>
      <w:r w:rsidR="00DC3A9D" w:rsidRPr="00DC3A9D">
        <w:rPr>
          <w:vanish/>
        </w:rPr>
        <w:t>Defect 209736</w:t>
      </w:r>
    </w:p>
    <w:p w14:paraId="68BD934B" w14:textId="6CEC8903" w:rsidR="00392E5C" w:rsidRDefault="00EB421B" w:rsidP="000E5481">
      <w:pPr>
        <w:pStyle w:val="ListBullet"/>
      </w:pPr>
      <w:r>
        <w:t>Limit F</w:t>
      </w:r>
      <w:r w:rsidR="00392E5C">
        <w:t>inalize TRW comments to &lt;350 characters to allow saving and printing.</w:t>
      </w:r>
      <w:r w:rsidR="00DC3A9D">
        <w:t xml:space="preserve"> </w:t>
      </w:r>
      <w:r w:rsidR="00DC3A9D" w:rsidRPr="00DC3A9D">
        <w:rPr>
          <w:vanish/>
        </w:rPr>
        <w:t>Defect 209784</w:t>
      </w:r>
    </w:p>
    <w:p w14:paraId="49511DEB" w14:textId="19263987" w:rsidR="00DC3A9D" w:rsidRDefault="00DC3A9D" w:rsidP="000E5481">
      <w:pPr>
        <w:pStyle w:val="ListBullet"/>
      </w:pPr>
      <w:r>
        <w:t xml:space="preserve">A system error occurs if a user has a TRW open and then attempts to open a second instance of the same TRW. Restart the VBECS session and open one TRW to result and finalize. </w:t>
      </w:r>
      <w:r w:rsidRPr="00DC3A9D">
        <w:rPr>
          <w:vanish/>
        </w:rPr>
        <w:t>Defect 209747</w:t>
      </w:r>
    </w:p>
    <w:p w14:paraId="6C6557C1" w14:textId="0D60E993" w:rsidR="002A21AE" w:rsidRDefault="002A21AE">
      <w:pPr>
        <w:pStyle w:val="Heading4"/>
        <w:rPr>
          <w:b w:val="0"/>
        </w:rPr>
      </w:pPr>
      <w:r>
        <w:t>User Roles with Access to This Option</w:t>
      </w:r>
      <w:r>
        <w:rPr>
          <w:b w:val="0"/>
        </w:rPr>
        <w:t xml:space="preserve"> </w:t>
      </w:r>
    </w:p>
    <w:p w14:paraId="06E47D21" w14:textId="77777777" w:rsidR="00A13077" w:rsidRDefault="00A13077" w:rsidP="00A13077">
      <w:pPr>
        <w:pStyle w:val="Roles"/>
      </w:pPr>
      <w:r>
        <w:t>All users</w:t>
      </w:r>
    </w:p>
    <w:p w14:paraId="380BA8FF" w14:textId="77777777" w:rsidR="00F3651E" w:rsidRDefault="00F3651E">
      <w:pPr>
        <w:rPr>
          <w:rFonts w:ascii="Arial" w:hAnsi="Arial"/>
          <w:b/>
          <w:sz w:val="22"/>
        </w:rPr>
      </w:pPr>
      <w:r>
        <w:br w:type="page"/>
      </w:r>
    </w:p>
    <w:p w14:paraId="06A111C4" w14:textId="6A436F24" w:rsidR="002A21AE" w:rsidRDefault="002A21AE">
      <w:pPr>
        <w:pStyle w:val="Heading4"/>
      </w:pPr>
      <w:r>
        <w:t>Finalize Transfusion Reaction Workup Report</w:t>
      </w:r>
      <w:r>
        <w:fldChar w:fldCharType="begin"/>
      </w:r>
      <w:r>
        <w:instrText xml:space="preserve"> XE </w:instrText>
      </w:r>
      <w:r w:rsidR="00FA7E65">
        <w:instrText>“</w:instrText>
      </w:r>
      <w:r>
        <w:instrText>Finalize Transfusion Reaction Workup Report</w:instrText>
      </w:r>
      <w:r w:rsidR="00FA7E65">
        <w:instrText>”</w:instrText>
      </w:r>
      <w:r>
        <w:instrText xml:space="preserve"> </w:instrText>
      </w:r>
      <w:r>
        <w:fldChar w:fldCharType="end"/>
      </w:r>
    </w:p>
    <w:p w14:paraId="6C333736" w14:textId="77777777" w:rsidR="002A21AE" w:rsidRDefault="005C768D" w:rsidP="001C322D">
      <w:pPr>
        <w:pStyle w:val="BodyText"/>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sidR="001C322D">
        <w:t xml:space="preserve">The Lead Technologist </w:t>
      </w:r>
      <w:r w:rsidR="002A21AE">
        <w:t>reviews the TRW details, identifies the type of reaction, and add</w:t>
      </w:r>
      <w:r w:rsidR="00B948D2">
        <w:t>s</w:t>
      </w:r>
      <w:r w:rsidR="002A21AE">
        <w:t xml:space="preserve"> comments, according to the medical director’s instructions. The user prints a copy for the medical director’s signature and </w:t>
      </w:r>
      <w:r w:rsidR="00B948D2">
        <w:t xml:space="preserve">the Lead Technologist </w:t>
      </w:r>
      <w:r w:rsidR="002A21AE">
        <w:t xml:space="preserve">finalizes the TRW, generating a preliminary report. The final printed report requires the signature of the medical director.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CAAE2F5" w14:textId="77777777">
        <w:trPr>
          <w:cantSplit/>
          <w:tblHeader/>
        </w:trPr>
        <w:tc>
          <w:tcPr>
            <w:tcW w:w="3240" w:type="dxa"/>
            <w:shd w:val="pct30" w:color="auto" w:fill="auto"/>
            <w:vAlign w:val="bottom"/>
          </w:tcPr>
          <w:p w14:paraId="03D9F680" w14:textId="77777777" w:rsidR="002A21AE" w:rsidRDefault="002A21AE">
            <w:pPr>
              <w:pStyle w:val="TableText"/>
              <w:rPr>
                <w:b/>
              </w:rPr>
            </w:pPr>
            <w:r>
              <w:rPr>
                <w:b/>
              </w:rPr>
              <w:t>User Action</w:t>
            </w:r>
          </w:p>
        </w:tc>
        <w:tc>
          <w:tcPr>
            <w:tcW w:w="6120" w:type="dxa"/>
            <w:shd w:val="pct30" w:color="auto" w:fill="auto"/>
            <w:vAlign w:val="bottom"/>
          </w:tcPr>
          <w:p w14:paraId="5BD244EB" w14:textId="77777777" w:rsidR="002A21AE" w:rsidRDefault="002A21AE">
            <w:pPr>
              <w:pStyle w:val="TableText"/>
              <w:rPr>
                <w:b/>
              </w:rPr>
            </w:pPr>
            <w:r>
              <w:rPr>
                <w:b/>
              </w:rPr>
              <w:t>VBECS</w:t>
            </w:r>
          </w:p>
        </w:tc>
      </w:tr>
      <w:tr w:rsidR="002A21AE" w14:paraId="2E4C2879" w14:textId="77777777">
        <w:tc>
          <w:tcPr>
            <w:tcW w:w="3240" w:type="dxa"/>
            <w:tcBorders>
              <w:top w:val="single" w:sz="4" w:space="0" w:color="auto"/>
              <w:left w:val="single" w:sz="4" w:space="0" w:color="auto"/>
              <w:bottom w:val="single" w:sz="4" w:space="0" w:color="auto"/>
              <w:right w:val="single" w:sz="4" w:space="0" w:color="auto"/>
            </w:tcBorders>
          </w:tcPr>
          <w:p w14:paraId="32D1A6F3" w14:textId="77777777" w:rsidR="002A21AE" w:rsidRDefault="002A21AE">
            <w:pPr>
              <w:pStyle w:val="TableTextNumbers"/>
            </w:pPr>
            <w:r>
              <w:t xml:space="preserve">Select </w:t>
            </w:r>
            <w:r>
              <w:rPr>
                <w:b/>
              </w:rPr>
              <w:t>Reports</w:t>
            </w:r>
            <w:r>
              <w:t xml:space="preserve"> from the main menu.</w:t>
            </w:r>
          </w:p>
          <w:p w14:paraId="2FFE78DE" w14:textId="77777777" w:rsidR="002A21AE" w:rsidRDefault="002A21AE">
            <w:pPr>
              <w:pStyle w:val="TableTextNumbersContinued"/>
            </w:pPr>
          </w:p>
          <w:p w14:paraId="506FA627" w14:textId="77777777" w:rsidR="002A21AE" w:rsidRDefault="002A21AE">
            <w:pPr>
              <w:pStyle w:val="TableTextNumbersContinued"/>
            </w:pPr>
            <w:r>
              <w:t xml:space="preserve">Select </w:t>
            </w:r>
            <w:r>
              <w:rPr>
                <w:b/>
              </w:rPr>
              <w:t>Finalize/Print TRW</w:t>
            </w:r>
            <w:r>
              <w:t>.</w:t>
            </w:r>
          </w:p>
          <w:p w14:paraId="66460746" w14:textId="77777777" w:rsidR="002A21AE" w:rsidRDefault="002A21AE">
            <w:pPr>
              <w:pStyle w:val="TableTextNumbersContinued"/>
            </w:pPr>
          </w:p>
          <w:p w14:paraId="2791F1DB" w14:textId="2CB993DC" w:rsidR="00741357" w:rsidRDefault="00741357">
            <w:pPr>
              <w:pStyle w:val="TableTextNumbersContinued"/>
            </w:pPr>
            <w:r>
              <w:t xml:space="preserve">Click the </w:t>
            </w:r>
            <w:r w:rsidRPr="00741357">
              <w:rPr>
                <w:b/>
              </w:rPr>
              <w:t xml:space="preserve">Include Non-Finalized TRW Reports </w:t>
            </w:r>
            <w:r w:rsidRPr="00D1100E">
              <w:t>check box</w:t>
            </w:r>
            <w:r w:rsidR="00F40F83" w:rsidRPr="00F40F83">
              <w:t xml:space="preserve"> (</w:t>
            </w:r>
            <w:r w:rsidR="00EE455E">
              <w:t xml:space="preserve">Figure </w:t>
            </w:r>
            <w:r w:rsidR="00EE455E">
              <w:rPr>
                <w:noProof/>
              </w:rPr>
              <w:t>107</w:t>
            </w:r>
            <w:r w:rsidR="00F40F83" w:rsidRPr="00F40F83">
              <w:t>)</w:t>
            </w:r>
            <w:r>
              <w:t>.</w:t>
            </w:r>
          </w:p>
          <w:p w14:paraId="24F827D7" w14:textId="77777777" w:rsidR="00741357" w:rsidRDefault="00741357">
            <w:pPr>
              <w:pStyle w:val="TableTextNumbersContinued"/>
            </w:pPr>
          </w:p>
          <w:p w14:paraId="5F1D2F4E" w14:textId="77777777" w:rsidR="002A21AE" w:rsidRDefault="002A21AE">
            <w:pPr>
              <w:pStyle w:val="TableTextNumbersContinued"/>
            </w:pPr>
            <w:r>
              <w:t>Select a completed TRW</w:t>
            </w:r>
            <w:r w:rsidR="00741357">
              <w:t xml:space="preserve"> to finalize</w:t>
            </w:r>
            <w:r>
              <w:t>.</w:t>
            </w:r>
          </w:p>
          <w:p w14:paraId="7DACB91F" w14:textId="77777777" w:rsidR="00373926" w:rsidRDefault="00373926">
            <w:pPr>
              <w:pStyle w:val="TableTextNumbersContinued"/>
            </w:pPr>
          </w:p>
          <w:p w14:paraId="6646C8C7" w14:textId="77777777" w:rsidR="00373926" w:rsidRDefault="00373926">
            <w:pPr>
              <w:pStyle w:val="TableTextNumbersContinued"/>
            </w:pPr>
            <w:r>
              <w:t xml:space="preserve">Click </w:t>
            </w:r>
            <w:r w:rsidRPr="00373926">
              <w:rPr>
                <w:b/>
              </w:rPr>
              <w:t>OK</w:t>
            </w:r>
            <w:r>
              <w:t>.</w:t>
            </w:r>
          </w:p>
        </w:tc>
        <w:tc>
          <w:tcPr>
            <w:tcW w:w="6120" w:type="dxa"/>
            <w:tcBorders>
              <w:top w:val="single" w:sz="4" w:space="0" w:color="auto"/>
              <w:left w:val="single" w:sz="4" w:space="0" w:color="auto"/>
              <w:bottom w:val="single" w:sz="4" w:space="0" w:color="auto"/>
              <w:right w:val="single" w:sz="4" w:space="0" w:color="auto"/>
            </w:tcBorders>
          </w:tcPr>
          <w:p w14:paraId="44917780" w14:textId="77777777" w:rsidR="002A21AE" w:rsidRDefault="002A21AE">
            <w:pPr>
              <w:pStyle w:val="TableTextBullet"/>
            </w:pPr>
            <w:r>
              <w:t>Lists report names.</w:t>
            </w:r>
          </w:p>
          <w:p w14:paraId="1BA230FC" w14:textId="77777777" w:rsidR="00741357" w:rsidRDefault="00741357">
            <w:pPr>
              <w:pStyle w:val="TableTextBullet"/>
            </w:pPr>
            <w:r>
              <w:t>Lists the completed TRWs for selection.</w:t>
            </w:r>
          </w:p>
          <w:p w14:paraId="383DF1F7" w14:textId="77777777" w:rsidR="002A21AE" w:rsidRDefault="002A21AE" w:rsidP="00741357">
            <w:pPr>
              <w:pStyle w:val="TableText"/>
            </w:pPr>
            <w:r>
              <w:t xml:space="preserve"> </w:t>
            </w:r>
          </w:p>
          <w:p w14:paraId="3B784FF8" w14:textId="40557966" w:rsidR="002A21AE" w:rsidRDefault="002A21AE">
            <w:pPr>
              <w:pStyle w:val="TableText"/>
              <w:rPr>
                <w:b/>
                <w:bCs/>
                <w:szCs w:val="18"/>
              </w:rPr>
            </w:pPr>
            <w:r>
              <w:rPr>
                <w:b/>
                <w:bCs/>
                <w:szCs w:val="18"/>
              </w:rPr>
              <w:t>NOTES</w:t>
            </w:r>
          </w:p>
          <w:p w14:paraId="11A0C2A0" w14:textId="77777777" w:rsidR="002A21AE" w:rsidRDefault="002A21AE">
            <w:pPr>
              <w:pStyle w:val="NotesText"/>
            </w:pPr>
          </w:p>
          <w:p w14:paraId="5F572C52" w14:textId="77777777" w:rsidR="002A21AE" w:rsidRDefault="0080656D">
            <w:pPr>
              <w:pStyle w:val="NotesText"/>
            </w:pPr>
            <w:r>
              <w:rPr>
                <w:rFonts w:cs="Arial"/>
                <w:vanish/>
              </w:rPr>
              <w:t xml:space="preserve">BR_78.04 </w:t>
            </w:r>
            <w:r w:rsidR="004C00DF">
              <w:t>When the user enters and saves the portion recorded in Patient Testing: Record a Transfusion Reaction Workup, the TRW status is “completed.” When the Transfusion Reaction Workup Report is complete, the TRW status is “finalized.”</w:t>
            </w:r>
          </w:p>
        </w:tc>
      </w:tr>
      <w:tr w:rsidR="002A21AE" w14:paraId="60A60FC1" w14:textId="77777777">
        <w:tc>
          <w:tcPr>
            <w:tcW w:w="3240" w:type="dxa"/>
            <w:tcBorders>
              <w:top w:val="single" w:sz="4" w:space="0" w:color="auto"/>
              <w:left w:val="single" w:sz="4" w:space="0" w:color="auto"/>
              <w:bottom w:val="single" w:sz="4" w:space="0" w:color="auto"/>
              <w:right w:val="single" w:sz="4" w:space="0" w:color="auto"/>
            </w:tcBorders>
          </w:tcPr>
          <w:p w14:paraId="3AB965E6" w14:textId="77777777" w:rsidR="002A21AE" w:rsidRDefault="00F74A56">
            <w:pPr>
              <w:pStyle w:val="TableTextNumbers"/>
            </w:pPr>
            <w:r>
              <w:t xml:space="preserve">Click the </w:t>
            </w:r>
            <w:r w:rsidRPr="00F74A56">
              <w:rPr>
                <w:b/>
              </w:rPr>
              <w:t xml:space="preserve">Finalize Transfusion Reaction Workup Report </w:t>
            </w:r>
            <w:r w:rsidRPr="00D1100E">
              <w:t>check box</w:t>
            </w:r>
            <w:r w:rsidR="002A21AE">
              <w:t>.</w:t>
            </w:r>
          </w:p>
        </w:tc>
        <w:tc>
          <w:tcPr>
            <w:tcW w:w="6120" w:type="dxa"/>
            <w:tcBorders>
              <w:top w:val="single" w:sz="4" w:space="0" w:color="auto"/>
              <w:left w:val="single" w:sz="4" w:space="0" w:color="auto"/>
              <w:bottom w:val="single" w:sz="4" w:space="0" w:color="auto"/>
              <w:right w:val="single" w:sz="4" w:space="0" w:color="auto"/>
            </w:tcBorders>
          </w:tcPr>
          <w:p w14:paraId="75870E61" w14:textId="77777777" w:rsidR="002A21AE" w:rsidRDefault="002A21AE">
            <w:pPr>
              <w:pStyle w:val="TableTextBullet"/>
            </w:pPr>
            <w:r>
              <w:t>Prepares the completed report for review.</w:t>
            </w:r>
          </w:p>
          <w:p w14:paraId="593F99AB" w14:textId="77777777" w:rsidR="00F26AD6" w:rsidRDefault="00F74A56" w:rsidP="00F26AD6">
            <w:pPr>
              <w:pStyle w:val="TableTextBullet"/>
            </w:pPr>
            <w:r>
              <w:t xml:space="preserve">Displays the name of the blood bank medical director to sign the final report. </w:t>
            </w:r>
          </w:p>
          <w:p w14:paraId="77F72DD4" w14:textId="77777777" w:rsidR="002A21AE" w:rsidRDefault="00F26AD6" w:rsidP="00247208">
            <w:pPr>
              <w:pStyle w:val="TableTextBullet"/>
            </w:pPr>
            <w:r>
              <w:rPr>
                <w:rFonts w:cs="Arial"/>
                <w:vanish/>
              </w:rPr>
              <w:t xml:space="preserve">BR_78.03 </w:t>
            </w:r>
            <w:r>
              <w:t>VBECS recreates the final report for viewing or printing in the future.</w:t>
            </w:r>
          </w:p>
        </w:tc>
      </w:tr>
      <w:tr w:rsidR="002A21AE" w14:paraId="62B65692" w14:textId="77777777">
        <w:tc>
          <w:tcPr>
            <w:tcW w:w="3240" w:type="dxa"/>
            <w:tcBorders>
              <w:top w:val="single" w:sz="4" w:space="0" w:color="auto"/>
              <w:left w:val="single" w:sz="4" w:space="0" w:color="auto"/>
              <w:bottom w:val="single" w:sz="4" w:space="0" w:color="auto"/>
              <w:right w:val="single" w:sz="4" w:space="0" w:color="auto"/>
            </w:tcBorders>
          </w:tcPr>
          <w:p w14:paraId="63976DA6" w14:textId="5F73B2FC" w:rsidR="00A37337" w:rsidRDefault="00DC6C19" w:rsidP="00A37337">
            <w:pPr>
              <w:pStyle w:val="TableTextNumbers"/>
            </w:pPr>
            <w:r>
              <w:t>Select the Transfusion Reaction Type and complete the Transfusion Reaction Comments required fields</w:t>
            </w:r>
            <w:r w:rsidR="00A37337">
              <w:t xml:space="preserve"> (</w:t>
            </w:r>
            <w:r w:rsidR="00EE455E">
              <w:t xml:space="preserve">Figure </w:t>
            </w:r>
            <w:r w:rsidR="00EE455E">
              <w:rPr>
                <w:noProof/>
              </w:rPr>
              <w:t>108</w:t>
            </w:r>
            <w:r w:rsidR="00A37337">
              <w:t>).</w:t>
            </w:r>
          </w:p>
          <w:p w14:paraId="5DB75520" w14:textId="3968501E" w:rsidR="002A21AE" w:rsidRDefault="002A21AE" w:rsidP="00A37337">
            <w:pPr>
              <w:pStyle w:val="TableTextNumbers"/>
              <w:numPr>
                <w:ilvl w:val="0"/>
                <w:numId w:val="0"/>
              </w:numPr>
            </w:pPr>
          </w:p>
        </w:tc>
        <w:tc>
          <w:tcPr>
            <w:tcW w:w="6120" w:type="dxa"/>
            <w:tcBorders>
              <w:top w:val="single" w:sz="4" w:space="0" w:color="auto"/>
              <w:left w:val="single" w:sz="4" w:space="0" w:color="auto"/>
              <w:bottom w:val="single" w:sz="4" w:space="0" w:color="auto"/>
              <w:right w:val="single" w:sz="4" w:space="0" w:color="auto"/>
            </w:tcBorders>
          </w:tcPr>
          <w:p w14:paraId="5D4989AF" w14:textId="27EE9972" w:rsidR="00741357" w:rsidRDefault="00741357" w:rsidP="00741357">
            <w:pPr>
              <w:pStyle w:val="TableTextBullet"/>
              <w:rPr>
                <w:rFonts w:cs="Arial"/>
                <w:szCs w:val="18"/>
              </w:rPr>
            </w:pPr>
            <w:r w:rsidRPr="00F358AF">
              <w:rPr>
                <w:rFonts w:cs="Arial"/>
                <w:szCs w:val="18"/>
              </w:rPr>
              <w:t xml:space="preserve">Displays the selected Transfusion Reaction Workup Report data. </w:t>
            </w:r>
          </w:p>
          <w:p w14:paraId="71840507" w14:textId="5706FDBE" w:rsidR="00EE455E" w:rsidRPr="00EE455E" w:rsidRDefault="00741357" w:rsidP="00EE455E">
            <w:pPr>
              <w:pStyle w:val="TableTextBullet"/>
              <w:rPr>
                <w:rFonts w:cs="Arial"/>
                <w:szCs w:val="18"/>
              </w:rPr>
            </w:pPr>
            <w:r w:rsidRPr="00F358AF">
              <w:rPr>
                <w:rFonts w:cs="Arial"/>
                <w:szCs w:val="18"/>
              </w:rPr>
              <w:t xml:space="preserve">Requires the user to select a transfusion reaction type listed in </w:t>
            </w:r>
            <w:r w:rsidR="00EE455E" w:rsidRPr="00EE455E">
              <w:rPr>
                <w:rFonts w:cs="Arial"/>
                <w:szCs w:val="18"/>
              </w:rPr>
              <w:br w:type="page"/>
            </w:r>
          </w:p>
          <w:p w14:paraId="6933EF57" w14:textId="76F95A38" w:rsidR="00741357" w:rsidRDefault="00EE455E">
            <w:pPr>
              <w:pStyle w:val="TableTextBullet"/>
            </w:pPr>
            <w:r w:rsidRPr="00EE455E">
              <w:rPr>
                <w:rFonts w:cs="Arial"/>
                <w:szCs w:val="18"/>
              </w:rPr>
              <w:t>Table</w:t>
            </w:r>
            <w:r w:rsidRPr="00EE455E">
              <w:rPr>
                <w:rFonts w:cs="Arial"/>
                <w:noProof/>
                <w:szCs w:val="18"/>
              </w:rPr>
              <w:t xml:space="preserve"> </w:t>
            </w:r>
            <w:r w:rsidRPr="00EE455E">
              <w:rPr>
                <w:rFonts w:cs="Arial"/>
                <w:szCs w:val="18"/>
              </w:rPr>
              <w:t>12:</w:t>
            </w:r>
            <w:r w:rsidRPr="00EE455E">
              <w:rPr>
                <w:rFonts w:cs="Arial"/>
                <w:vanish/>
                <w:szCs w:val="18"/>
              </w:rPr>
              <w:t xml:space="preserve"> PT_78.01</w:t>
            </w:r>
            <w:r w:rsidRPr="00EE455E">
              <w:rPr>
                <w:rFonts w:cs="Arial"/>
                <w:szCs w:val="18"/>
              </w:rPr>
              <w:t xml:space="preserve"> Transfusion Reaction </w:t>
            </w:r>
            <w:r>
              <w:t>Types</w:t>
            </w:r>
            <w:r w:rsidR="00741357">
              <w:t>.</w:t>
            </w:r>
          </w:p>
          <w:p w14:paraId="0871C49C" w14:textId="77777777" w:rsidR="00741357" w:rsidRDefault="00741357" w:rsidP="00741357">
            <w:pPr>
              <w:pStyle w:val="TableTextBullet"/>
            </w:pPr>
            <w:r>
              <w:t xml:space="preserve">Allows the user to enter </w:t>
            </w:r>
            <w:r w:rsidR="009C033B">
              <w:t xml:space="preserve">a TRW comment (maximum 1,000 characters). </w:t>
            </w:r>
            <w:r w:rsidR="009C033B" w:rsidRPr="009C033B">
              <w:rPr>
                <w:vanish/>
              </w:rPr>
              <w:t>DR 4788</w:t>
            </w:r>
          </w:p>
          <w:p w14:paraId="0F904CA6" w14:textId="77777777" w:rsidR="00F74A56" w:rsidRDefault="00F74A56" w:rsidP="00F74A56">
            <w:pPr>
              <w:pStyle w:val="TableTextBullet"/>
            </w:pPr>
            <w:r>
              <w:t>Allows the user to save the data entered.</w:t>
            </w:r>
          </w:p>
          <w:p w14:paraId="2DD923B8" w14:textId="77777777" w:rsidR="00E62B9E" w:rsidRDefault="00E62B9E" w:rsidP="00E62B9E">
            <w:pPr>
              <w:pStyle w:val="TableText"/>
            </w:pPr>
          </w:p>
          <w:p w14:paraId="7E3C1225" w14:textId="2A1F0B02" w:rsidR="00E62B9E" w:rsidRDefault="00E62B9E" w:rsidP="00E62B9E">
            <w:pPr>
              <w:pStyle w:val="TableText"/>
              <w:rPr>
                <w:b/>
                <w:bCs/>
                <w:szCs w:val="18"/>
              </w:rPr>
            </w:pPr>
            <w:r>
              <w:rPr>
                <w:b/>
                <w:bCs/>
                <w:szCs w:val="18"/>
              </w:rPr>
              <w:t>NOTES</w:t>
            </w:r>
          </w:p>
          <w:p w14:paraId="61912082" w14:textId="77777777" w:rsidR="00E62B9E" w:rsidRDefault="00E62B9E" w:rsidP="00E62B9E">
            <w:pPr>
              <w:pStyle w:val="NotesText"/>
            </w:pPr>
          </w:p>
          <w:p w14:paraId="1798F9DD" w14:textId="77777777" w:rsidR="00741357" w:rsidRDefault="00E62B9E" w:rsidP="00E62B9E">
            <w:pPr>
              <w:pStyle w:val="NotesText"/>
            </w:pPr>
            <w:r>
              <w:rPr>
                <w:rFonts w:cs="Arial"/>
                <w:vanish/>
              </w:rPr>
              <w:t xml:space="preserve">BR_78.02 </w:t>
            </w:r>
            <w:r>
              <w:t>The user must indicate one transfusion reaction type. Entry of a comment is optional for all types except O (other), which requires details to be entered.</w:t>
            </w:r>
          </w:p>
        </w:tc>
      </w:tr>
      <w:tr w:rsidR="002A21AE" w14:paraId="19BE3468" w14:textId="77777777">
        <w:tc>
          <w:tcPr>
            <w:tcW w:w="3240" w:type="dxa"/>
            <w:tcBorders>
              <w:top w:val="single" w:sz="4" w:space="0" w:color="auto"/>
              <w:left w:val="single" w:sz="4" w:space="0" w:color="auto"/>
              <w:bottom w:val="single" w:sz="4" w:space="0" w:color="auto"/>
              <w:right w:val="single" w:sz="4" w:space="0" w:color="auto"/>
            </w:tcBorders>
          </w:tcPr>
          <w:p w14:paraId="0823FD3A" w14:textId="77777777" w:rsidR="002A21AE" w:rsidRDefault="0080656D">
            <w:pPr>
              <w:pStyle w:val="TableTextNumbers"/>
            </w:pPr>
            <w:r>
              <w:t xml:space="preserve">Click </w:t>
            </w:r>
            <w:r w:rsidRPr="0080656D">
              <w:rPr>
                <w:b/>
              </w:rPr>
              <w:t>OK</w:t>
            </w:r>
            <w:r>
              <w:t xml:space="preserve"> and </w:t>
            </w:r>
            <w:r w:rsidRPr="0080656D">
              <w:rPr>
                <w:b/>
              </w:rPr>
              <w:t>Yes</w:t>
            </w:r>
            <w:r>
              <w:t xml:space="preserve"> to save.</w:t>
            </w:r>
          </w:p>
        </w:tc>
        <w:tc>
          <w:tcPr>
            <w:tcW w:w="6120" w:type="dxa"/>
            <w:tcBorders>
              <w:top w:val="single" w:sz="4" w:space="0" w:color="auto"/>
              <w:left w:val="single" w:sz="4" w:space="0" w:color="auto"/>
              <w:bottom w:val="single" w:sz="4" w:space="0" w:color="auto"/>
              <w:right w:val="single" w:sz="4" w:space="0" w:color="auto"/>
            </w:tcBorders>
          </w:tcPr>
          <w:p w14:paraId="67B659E8" w14:textId="77777777" w:rsidR="0080656D" w:rsidRDefault="00DC6C19" w:rsidP="00A902A8">
            <w:pPr>
              <w:pStyle w:val="TableTextBullet"/>
            </w:pPr>
            <w:r>
              <w:t>Updates the transfusion reaction to “finalized” in the database and prints a report for the medical director’s signature.</w:t>
            </w:r>
          </w:p>
          <w:p w14:paraId="59A41031" w14:textId="77777777" w:rsidR="00840DB0" w:rsidRDefault="00840DB0" w:rsidP="00840DB0">
            <w:pPr>
              <w:pStyle w:val="TableTextBullet"/>
              <w:numPr>
                <w:ilvl w:val="0"/>
                <w:numId w:val="0"/>
              </w:numPr>
            </w:pPr>
          </w:p>
          <w:p w14:paraId="060E0BC2" w14:textId="03F6141C" w:rsidR="00840DB0" w:rsidRDefault="00840DB0" w:rsidP="00840DB0">
            <w:pPr>
              <w:pStyle w:val="TableText"/>
              <w:rPr>
                <w:b/>
                <w:bCs/>
                <w:szCs w:val="18"/>
              </w:rPr>
            </w:pPr>
            <w:r>
              <w:rPr>
                <w:b/>
                <w:bCs/>
                <w:szCs w:val="18"/>
              </w:rPr>
              <w:t>NOTES</w:t>
            </w:r>
          </w:p>
          <w:p w14:paraId="63E5D0CA" w14:textId="77777777" w:rsidR="00D702AF" w:rsidRDefault="00D702AF" w:rsidP="00D702AF">
            <w:pPr>
              <w:pStyle w:val="NotesText"/>
            </w:pPr>
            <w:r w:rsidRPr="00F91233">
              <w:rPr>
                <w:vanish/>
              </w:rPr>
              <w:t xml:space="preserve">BR_78.06 </w:t>
            </w:r>
            <w:r>
              <w:t>VBECS notifies the user when DSS updates cannot be sent because VistALink is not active.</w:t>
            </w:r>
          </w:p>
          <w:p w14:paraId="0287C1E2" w14:textId="77777777" w:rsidR="00D702AF" w:rsidRDefault="00D702AF" w:rsidP="00D702AF">
            <w:pPr>
              <w:pStyle w:val="NotesText"/>
            </w:pPr>
          </w:p>
          <w:p w14:paraId="2D25AF2E" w14:textId="77777777" w:rsidR="00840DB0" w:rsidRDefault="00D702AF" w:rsidP="00D702AF">
            <w:pPr>
              <w:pStyle w:val="NotesText"/>
            </w:pPr>
            <w:r w:rsidRPr="00CE602E">
              <w:rPr>
                <w:vanish/>
              </w:rPr>
              <w:t xml:space="preserve">BR_102.09 </w:t>
            </w:r>
            <w:r>
              <w:t xml:space="preserve">VBECS will attempt to resend the DSS information when </w:t>
            </w:r>
            <w:r w:rsidR="00A2613A">
              <w:t>VistALink</w:t>
            </w:r>
            <w:r>
              <w:t xml:space="preserve"> is available after any user logs into the VBECS application’s </w:t>
            </w:r>
            <w:r w:rsidR="00A2613A">
              <w:t>VistALink</w:t>
            </w:r>
            <w:r>
              <w:t xml:space="preserve"> connection.</w:t>
            </w:r>
          </w:p>
        </w:tc>
      </w:tr>
      <w:tr w:rsidR="0080656D" w14:paraId="154D18EA" w14:textId="77777777">
        <w:tc>
          <w:tcPr>
            <w:tcW w:w="3240" w:type="dxa"/>
          </w:tcPr>
          <w:p w14:paraId="30ED4935" w14:textId="77777777" w:rsidR="0080656D" w:rsidRDefault="0080656D">
            <w:pPr>
              <w:pStyle w:val="TableTextNumbers"/>
            </w:pPr>
            <w:r>
              <w:t xml:space="preserve">Select </w:t>
            </w:r>
            <w:r w:rsidRPr="0080656D">
              <w:rPr>
                <w:b/>
              </w:rPr>
              <w:t>Schedule Print</w:t>
            </w:r>
            <w:r>
              <w:t xml:space="preserve"> or </w:t>
            </w:r>
            <w:r w:rsidRPr="0080656D">
              <w:rPr>
                <w:b/>
              </w:rPr>
              <w:t>Print Now</w:t>
            </w:r>
            <w:r>
              <w:t xml:space="preserve"> and follow the instructions to print.</w:t>
            </w:r>
          </w:p>
        </w:tc>
        <w:tc>
          <w:tcPr>
            <w:tcW w:w="6120" w:type="dxa"/>
          </w:tcPr>
          <w:p w14:paraId="1A1E3E6A" w14:textId="77777777" w:rsidR="0080656D" w:rsidRDefault="00A902A8" w:rsidP="00A902A8">
            <w:pPr>
              <w:pStyle w:val="TableTextBullet"/>
            </w:pPr>
            <w:r>
              <w:t>Prints the report on the selected printer.</w:t>
            </w:r>
          </w:p>
        </w:tc>
      </w:tr>
      <w:tr w:rsidR="002A21AE" w14:paraId="5806CF35" w14:textId="77777777">
        <w:tc>
          <w:tcPr>
            <w:tcW w:w="3240" w:type="dxa"/>
          </w:tcPr>
          <w:p w14:paraId="49C18985" w14:textId="77777777" w:rsidR="002A21AE" w:rsidRDefault="0080656D">
            <w:pPr>
              <w:pStyle w:val="TableTextNumbers"/>
            </w:pPr>
            <w:r>
              <w:t xml:space="preserve">Click </w:t>
            </w:r>
            <w:r w:rsidRPr="0080656D">
              <w:rPr>
                <w:b/>
              </w:rPr>
              <w:t>Close</w:t>
            </w:r>
            <w:r>
              <w:t xml:space="preserve"> to e</w:t>
            </w:r>
            <w:r w:rsidR="002A21AE">
              <w:t>xit.</w:t>
            </w:r>
            <w:r w:rsidR="002A21AE">
              <w:rPr>
                <w:vanish/>
                <w:szCs w:val="18"/>
              </w:rPr>
              <w:fldChar w:fldCharType="begin"/>
            </w:r>
            <w:r w:rsidR="002A21AE">
              <w:rPr>
                <w:vanish/>
                <w:szCs w:val="18"/>
              </w:rPr>
              <w:instrText xml:space="preserve"> LISTNUM \l 1 \s 0 </w:instrText>
            </w:r>
            <w:r w:rsidR="002A21AE">
              <w:rPr>
                <w:vanish/>
                <w:szCs w:val="18"/>
              </w:rPr>
              <w:fldChar w:fldCharType="end"/>
            </w:r>
          </w:p>
        </w:tc>
        <w:tc>
          <w:tcPr>
            <w:tcW w:w="6120" w:type="dxa"/>
          </w:tcPr>
          <w:p w14:paraId="20C59C38" w14:textId="77777777" w:rsidR="002A21AE" w:rsidRDefault="002A21AE">
            <w:pPr>
              <w:pStyle w:val="NotesText"/>
              <w:ind w:left="0"/>
            </w:pPr>
          </w:p>
        </w:tc>
      </w:tr>
    </w:tbl>
    <w:p w14:paraId="18480D4E" w14:textId="25D8642E" w:rsidR="00772DD7" w:rsidRDefault="00772DD7" w:rsidP="00772DD7">
      <w:pPr>
        <w:pStyle w:val="Caption"/>
      </w:pPr>
      <w:bookmarkStart w:id="492" w:name="_Ref12777705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107</w:t>
      </w:r>
      <w:r w:rsidR="004E20BD">
        <w:rPr>
          <w:noProof/>
        </w:rPr>
        <w:fldChar w:fldCharType="end"/>
      </w:r>
      <w:bookmarkEnd w:id="492"/>
      <w:r>
        <w:t>:</w:t>
      </w:r>
      <w:r w:rsidR="00373926">
        <w:t xml:space="preserve"> Select Transfusion Reaction Workup</w:t>
      </w:r>
    </w:p>
    <w:p w14:paraId="1F333624" w14:textId="77777777" w:rsidR="00772DD7" w:rsidRPr="00772DD7" w:rsidRDefault="00057948" w:rsidP="00772DD7">
      <w:pPr>
        <w:pStyle w:val="BodyText"/>
      </w:pPr>
      <w:r>
        <w:rPr>
          <w:noProof/>
        </w:rPr>
        <w:drawing>
          <wp:inline distT="0" distB="0" distL="0" distR="0" wp14:anchorId="5556B42D" wp14:editId="6B88E369">
            <wp:extent cx="4119245" cy="2540000"/>
            <wp:effectExtent l="0" t="0" r="0" b="0"/>
            <wp:docPr id="250" name="Picture 250" descr="Example of Select Transfusion Reaction Work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Example of Select Transfusion Reaction Workup screen captur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119245" cy="2540000"/>
                    </a:xfrm>
                    <a:prstGeom prst="rect">
                      <a:avLst/>
                    </a:prstGeom>
                    <a:noFill/>
                    <a:ln>
                      <a:noFill/>
                    </a:ln>
                  </pic:spPr>
                </pic:pic>
              </a:graphicData>
            </a:graphic>
          </wp:inline>
        </w:drawing>
      </w:r>
    </w:p>
    <w:p w14:paraId="710E5271" w14:textId="17049415" w:rsidR="00143C19" w:rsidRPr="00143C19" w:rsidRDefault="007C428C" w:rsidP="007C428C">
      <w:pPr>
        <w:pStyle w:val="Caption"/>
      </w:pPr>
      <w:bookmarkStart w:id="493" w:name="_Ref100908730"/>
      <w:bookmarkStart w:id="494" w:name="_Ref127777300"/>
      <w:r>
        <w:t xml:space="preserve">Figure </w:t>
      </w:r>
      <w:fldSimple w:instr=" SEQ Figure \* ARABIC ">
        <w:r w:rsidR="00ED2D38">
          <w:rPr>
            <w:noProof/>
          </w:rPr>
          <w:t>108</w:t>
        </w:r>
      </w:fldSimple>
      <w:bookmarkEnd w:id="493"/>
      <w:r>
        <w:t>: Finalize TRW Report</w:t>
      </w:r>
    </w:p>
    <w:p w14:paraId="3B617364" w14:textId="1FE1C4C8" w:rsidR="00143C19" w:rsidRDefault="00A32505" w:rsidP="00143C19">
      <w:pPr>
        <w:pStyle w:val="Caption"/>
      </w:pPr>
      <w:r>
        <w:rPr>
          <w:noProof/>
        </w:rPr>
        <w:drawing>
          <wp:inline distT="0" distB="0" distL="0" distR="0" wp14:anchorId="139344FE" wp14:editId="1F8E244F">
            <wp:extent cx="5943600" cy="3467735"/>
            <wp:effectExtent l="0" t="0" r="0" b="0"/>
            <wp:docPr id="8" name="Picture 8" descr="Example of Finalize TRW Report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Finalize TRW Report screen captur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943600" cy="3467735"/>
                    </a:xfrm>
                    <a:prstGeom prst="rect">
                      <a:avLst/>
                    </a:prstGeom>
                    <a:noFill/>
                    <a:ln>
                      <a:noFill/>
                    </a:ln>
                  </pic:spPr>
                </pic:pic>
              </a:graphicData>
            </a:graphic>
          </wp:inline>
        </w:drawing>
      </w:r>
    </w:p>
    <w:bookmarkEnd w:id="494"/>
    <w:p w14:paraId="3AE13033" w14:textId="2855EB93" w:rsidR="002A21AE" w:rsidRDefault="00310DBF">
      <w:pPr>
        <w:pStyle w:val="Heading4"/>
      </w:pPr>
      <w:r>
        <w:br w:type="page"/>
      </w:r>
      <w:r w:rsidR="002A21AE">
        <w:t>View/Print a Finalized Transfusion Reaction Workup Report</w:t>
      </w:r>
      <w:r w:rsidR="002A21AE">
        <w:fldChar w:fldCharType="begin"/>
      </w:r>
      <w:r w:rsidR="002A21AE">
        <w:instrText xml:space="preserve"> XE </w:instrText>
      </w:r>
      <w:r w:rsidR="00FA7E65">
        <w:instrText>“</w:instrText>
      </w:r>
      <w:r w:rsidR="002A21AE">
        <w:instrText>View/Print a Finalized Transfusion Reaction Workup Report</w:instrText>
      </w:r>
      <w:r w:rsidR="00FA7E65">
        <w:instrText>”</w:instrText>
      </w:r>
      <w:r w:rsidR="002A21AE">
        <w:instrText xml:space="preserve"> </w:instrText>
      </w:r>
      <w:r w:rsidR="002A21AE">
        <w:fldChar w:fldCharType="end"/>
      </w:r>
    </w:p>
    <w:p w14:paraId="6C02DF3A" w14:textId="77777777" w:rsidR="002624D5" w:rsidRPr="002624D5" w:rsidRDefault="002624D5" w:rsidP="00DD75E5">
      <w:pPr>
        <w:pStyle w:val="BodyText"/>
      </w:pPr>
      <w:r>
        <w:t>The user views and/or prints the</w:t>
      </w:r>
      <w:r w:rsidR="0016517C">
        <w:t xml:space="preserve"> finalized</w:t>
      </w:r>
      <w:r>
        <w:t xml:space="preserve"> Transfusion Reaction Workup Report.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1B80A7B" w14:textId="77777777">
        <w:trPr>
          <w:tblHeader/>
        </w:trPr>
        <w:tc>
          <w:tcPr>
            <w:tcW w:w="3240" w:type="dxa"/>
            <w:tcBorders>
              <w:top w:val="single" w:sz="4" w:space="0" w:color="auto"/>
              <w:left w:val="single" w:sz="4" w:space="0" w:color="auto"/>
              <w:bottom w:val="single" w:sz="4" w:space="0" w:color="auto"/>
              <w:right w:val="single" w:sz="4" w:space="0" w:color="auto"/>
            </w:tcBorders>
            <w:shd w:val="pct30" w:color="auto" w:fill="auto"/>
            <w:vAlign w:val="bottom"/>
          </w:tcPr>
          <w:p w14:paraId="453AB7F2" w14:textId="77777777" w:rsidR="002A21AE" w:rsidRDefault="002A21AE">
            <w:pPr>
              <w:pStyle w:val="TableText"/>
              <w:rPr>
                <w:b/>
              </w:rPr>
            </w:pPr>
            <w:r>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auto"/>
            <w:vAlign w:val="bottom"/>
          </w:tcPr>
          <w:p w14:paraId="78AF8CC3" w14:textId="77777777" w:rsidR="002A21AE" w:rsidRDefault="002A21AE">
            <w:pPr>
              <w:pStyle w:val="TableText"/>
              <w:rPr>
                <w:b/>
              </w:rPr>
            </w:pPr>
            <w:r>
              <w:rPr>
                <w:b/>
              </w:rPr>
              <w:t>VBECS</w:t>
            </w:r>
          </w:p>
        </w:tc>
      </w:tr>
      <w:tr w:rsidR="002A21AE" w14:paraId="54F85426" w14:textId="77777777">
        <w:tc>
          <w:tcPr>
            <w:tcW w:w="3240" w:type="dxa"/>
            <w:tcBorders>
              <w:top w:val="single" w:sz="4" w:space="0" w:color="auto"/>
              <w:left w:val="single" w:sz="4" w:space="0" w:color="auto"/>
              <w:bottom w:val="single" w:sz="4" w:space="0" w:color="auto"/>
              <w:right w:val="single" w:sz="4" w:space="0" w:color="auto"/>
            </w:tcBorders>
          </w:tcPr>
          <w:p w14:paraId="0C76CB0E" w14:textId="77777777" w:rsidR="002A21AE" w:rsidRDefault="002A21AE">
            <w:pPr>
              <w:pStyle w:val="TableTextNumbers"/>
            </w:pPr>
            <w:r>
              <w:t xml:space="preserve">Select </w:t>
            </w:r>
            <w:r>
              <w:rPr>
                <w:b/>
              </w:rPr>
              <w:t>Reports</w:t>
            </w:r>
            <w:r>
              <w:t xml:space="preserve"> from the main menu.</w:t>
            </w:r>
          </w:p>
          <w:p w14:paraId="44589EAC" w14:textId="77777777" w:rsidR="002A21AE" w:rsidRDefault="002A21AE">
            <w:pPr>
              <w:pStyle w:val="TableTextNumbersContinued"/>
            </w:pPr>
          </w:p>
          <w:p w14:paraId="16CBFB01" w14:textId="77777777" w:rsidR="002A21AE" w:rsidRDefault="002A21AE">
            <w:pPr>
              <w:pStyle w:val="TableTextNumbersContinued"/>
            </w:pPr>
            <w:r>
              <w:t xml:space="preserve">Select </w:t>
            </w:r>
            <w:r>
              <w:rPr>
                <w:b/>
              </w:rPr>
              <w:t>Finalize/Print TRW</w:t>
            </w:r>
            <w:r>
              <w:t>.</w:t>
            </w:r>
          </w:p>
          <w:p w14:paraId="2A690758" w14:textId="77777777" w:rsidR="002A21AE" w:rsidRDefault="002A21AE">
            <w:pPr>
              <w:pStyle w:val="TableTextNumbersContinued"/>
            </w:pPr>
          </w:p>
          <w:p w14:paraId="1A4B745E" w14:textId="41EE888D" w:rsidR="002A21AE" w:rsidRDefault="002A21AE">
            <w:pPr>
              <w:pStyle w:val="TableTextNumbersContinued"/>
            </w:pPr>
            <w:r>
              <w:t>Select a completed TRW</w:t>
            </w:r>
            <w:r w:rsidR="00F40F83">
              <w:t xml:space="preserve"> (</w:t>
            </w:r>
            <w:r w:rsidR="00EE455E">
              <w:t xml:space="preserve">Figure </w:t>
            </w:r>
            <w:r w:rsidR="00EE455E">
              <w:rPr>
                <w:noProof/>
              </w:rPr>
              <w:t>106</w:t>
            </w:r>
            <w:r w:rsidR="00F40F83">
              <w:t>)</w:t>
            </w:r>
            <w:r>
              <w:t>.</w:t>
            </w:r>
          </w:p>
        </w:tc>
        <w:tc>
          <w:tcPr>
            <w:tcW w:w="6120" w:type="dxa"/>
            <w:tcBorders>
              <w:top w:val="single" w:sz="4" w:space="0" w:color="auto"/>
              <w:left w:val="single" w:sz="4" w:space="0" w:color="auto"/>
              <w:bottom w:val="single" w:sz="4" w:space="0" w:color="auto"/>
              <w:right w:val="single" w:sz="4" w:space="0" w:color="auto"/>
            </w:tcBorders>
          </w:tcPr>
          <w:p w14:paraId="5BBBF2DE" w14:textId="77777777" w:rsidR="002A21AE" w:rsidRDefault="002A21AE">
            <w:pPr>
              <w:pStyle w:val="TableTextBullet"/>
            </w:pPr>
            <w:r>
              <w:t>Lists report names.</w:t>
            </w:r>
          </w:p>
          <w:p w14:paraId="54611BBE" w14:textId="77777777" w:rsidR="002A21AE" w:rsidRDefault="002A21AE">
            <w:pPr>
              <w:pStyle w:val="TableTextBullet"/>
            </w:pPr>
            <w:r>
              <w:t xml:space="preserve">Displays the selected Transfusion Reaction Workup Report data. </w:t>
            </w:r>
          </w:p>
          <w:p w14:paraId="2C7233D9" w14:textId="77777777" w:rsidR="002A21AE" w:rsidRDefault="002A21AE">
            <w:pPr>
              <w:pStyle w:val="TableTextBullet"/>
            </w:pPr>
            <w:r>
              <w:t>Displays an option to view and/or print a finalized TRW by selecting a patient.</w:t>
            </w:r>
          </w:p>
          <w:p w14:paraId="343BCDEB" w14:textId="77777777" w:rsidR="002A21AE" w:rsidRDefault="002A21AE">
            <w:pPr>
              <w:pStyle w:val="TableText"/>
            </w:pPr>
          </w:p>
          <w:p w14:paraId="75579226" w14:textId="126E3B7C" w:rsidR="002A21AE" w:rsidRDefault="002A21AE">
            <w:pPr>
              <w:pStyle w:val="TableText"/>
              <w:rPr>
                <w:b/>
                <w:bCs/>
              </w:rPr>
            </w:pPr>
            <w:r>
              <w:rPr>
                <w:b/>
                <w:bCs/>
              </w:rPr>
              <w:t>NOTES</w:t>
            </w:r>
          </w:p>
          <w:p w14:paraId="3B8EBD95" w14:textId="77777777" w:rsidR="002A21AE" w:rsidRDefault="002A21AE">
            <w:pPr>
              <w:pStyle w:val="NotesText"/>
            </w:pPr>
          </w:p>
          <w:p w14:paraId="6E0BC7AE" w14:textId="77777777" w:rsidR="002A21AE" w:rsidRDefault="002A21AE">
            <w:pPr>
              <w:pStyle w:val="NotesText"/>
            </w:pPr>
            <w:r>
              <w:rPr>
                <w:rFonts w:cs="Arial"/>
                <w:vanish/>
              </w:rPr>
              <w:t xml:space="preserve">BR_78.01 </w:t>
            </w:r>
            <w:r>
              <w:t>The user finalizing the report may not edit previously entered TRW data.</w:t>
            </w:r>
          </w:p>
        </w:tc>
      </w:tr>
      <w:tr w:rsidR="002A21AE" w14:paraId="1A53BB91" w14:textId="77777777">
        <w:tc>
          <w:tcPr>
            <w:tcW w:w="3240" w:type="dxa"/>
            <w:tcBorders>
              <w:top w:val="single" w:sz="4" w:space="0" w:color="auto"/>
              <w:left w:val="single" w:sz="4" w:space="0" w:color="auto"/>
              <w:bottom w:val="single" w:sz="4" w:space="0" w:color="auto"/>
              <w:right w:val="single" w:sz="4" w:space="0" w:color="auto"/>
            </w:tcBorders>
          </w:tcPr>
          <w:p w14:paraId="55C10C0C" w14:textId="77777777" w:rsidR="002A21AE" w:rsidRDefault="002A21AE">
            <w:pPr>
              <w:pStyle w:val="TableTextNumbers"/>
            </w:pPr>
            <w:r>
              <w:t>Select a patient.</w:t>
            </w:r>
          </w:p>
        </w:tc>
        <w:tc>
          <w:tcPr>
            <w:tcW w:w="6120" w:type="dxa"/>
            <w:tcBorders>
              <w:top w:val="single" w:sz="4" w:space="0" w:color="auto"/>
              <w:left w:val="single" w:sz="4" w:space="0" w:color="auto"/>
              <w:bottom w:val="single" w:sz="4" w:space="0" w:color="auto"/>
              <w:right w:val="single" w:sz="4" w:space="0" w:color="auto"/>
            </w:tcBorders>
          </w:tcPr>
          <w:p w14:paraId="69F804D2" w14:textId="77777777" w:rsidR="002A21AE" w:rsidRDefault="002A21AE">
            <w:pPr>
              <w:pStyle w:val="TableTextBullet"/>
            </w:pPr>
            <w:r>
              <w:t>Compiles the report and displays an option to print the report or exit.</w:t>
            </w:r>
          </w:p>
          <w:p w14:paraId="6ADDCBAC" w14:textId="77777777" w:rsidR="002A21AE" w:rsidRDefault="002A21AE">
            <w:pPr>
              <w:pStyle w:val="TableText"/>
            </w:pPr>
          </w:p>
          <w:p w14:paraId="59DB6817" w14:textId="29ECB833" w:rsidR="002A21AE" w:rsidRDefault="002A21AE">
            <w:pPr>
              <w:pStyle w:val="TableText"/>
              <w:rPr>
                <w:b/>
                <w:bCs/>
              </w:rPr>
            </w:pPr>
            <w:r>
              <w:rPr>
                <w:b/>
                <w:bCs/>
              </w:rPr>
              <w:t>NOTES</w:t>
            </w:r>
          </w:p>
          <w:p w14:paraId="513515B1" w14:textId="77777777" w:rsidR="002A21AE" w:rsidRDefault="002A21AE">
            <w:pPr>
              <w:pStyle w:val="NotesText"/>
            </w:pPr>
          </w:p>
          <w:p w14:paraId="7C8E113F" w14:textId="77777777" w:rsidR="002A21AE" w:rsidRDefault="002A21AE">
            <w:pPr>
              <w:pStyle w:val="NotesText"/>
            </w:pPr>
            <w:r>
              <w:rPr>
                <w:rFonts w:cs="Arial"/>
                <w:vanish/>
              </w:rPr>
              <w:t xml:space="preserve">BR_78.05 </w:t>
            </w:r>
            <w:r>
              <w:t>Details included in the finalized TRW report:</w:t>
            </w:r>
          </w:p>
          <w:p w14:paraId="713897F1" w14:textId="77777777" w:rsidR="002A21AE" w:rsidRDefault="002A21AE">
            <w:pPr>
              <w:pStyle w:val="NotesTextBullet"/>
            </w:pPr>
            <w:r>
              <w:t>Patient name</w:t>
            </w:r>
          </w:p>
          <w:p w14:paraId="2329F4B6" w14:textId="77777777" w:rsidR="002A21AE" w:rsidRDefault="002A21AE">
            <w:pPr>
              <w:pStyle w:val="NotesTextBullet"/>
            </w:pPr>
            <w:r>
              <w:t>Patient ID</w:t>
            </w:r>
          </w:p>
          <w:p w14:paraId="1B9D9CD9" w14:textId="77777777" w:rsidR="002A21AE" w:rsidRDefault="002A21AE">
            <w:pPr>
              <w:pStyle w:val="NotesTextBullet"/>
            </w:pPr>
            <w:r>
              <w:t>Specimen UID</w:t>
            </w:r>
          </w:p>
          <w:p w14:paraId="0896E330" w14:textId="77777777" w:rsidR="002A21AE" w:rsidRDefault="002A21AE">
            <w:pPr>
              <w:pStyle w:val="NotesTextBullet"/>
            </w:pPr>
            <w:r>
              <w:t>Reported symptoms</w:t>
            </w:r>
          </w:p>
          <w:p w14:paraId="1F965E50" w14:textId="77777777" w:rsidR="002A21AE" w:rsidRDefault="002A21AE">
            <w:pPr>
              <w:pStyle w:val="NotesTextBullet"/>
            </w:pPr>
            <w:r>
              <w:t>Specimen clerical checks (pre-, post-, and unit)</w:t>
            </w:r>
          </w:p>
          <w:p w14:paraId="66ACED8A" w14:textId="77777777" w:rsidR="002A21AE" w:rsidRDefault="002A21AE">
            <w:pPr>
              <w:pStyle w:val="NotesTextBullet"/>
            </w:pPr>
            <w:r>
              <w:t>Serologic testing (if performed, interpretations only)</w:t>
            </w:r>
          </w:p>
          <w:p w14:paraId="1321B61B" w14:textId="77777777" w:rsidR="002A21AE" w:rsidRDefault="002A21AE">
            <w:pPr>
              <w:pStyle w:val="NotesTextBullet"/>
            </w:pPr>
            <w:r>
              <w:t>Transfusion reaction type</w:t>
            </w:r>
          </w:p>
          <w:p w14:paraId="0F53DDAA" w14:textId="77777777" w:rsidR="002A21AE" w:rsidRDefault="002A21AE">
            <w:pPr>
              <w:pStyle w:val="NotesTextBullet"/>
            </w:pPr>
            <w:r>
              <w:t>Comment</w:t>
            </w:r>
          </w:p>
          <w:p w14:paraId="1F6B6A8C" w14:textId="691E39F5" w:rsidR="002A21AE" w:rsidRDefault="002A21AE">
            <w:pPr>
              <w:pStyle w:val="NotesTextBullet"/>
            </w:pPr>
            <w:r>
              <w:t xml:space="preserve">Implicated units (include from Patient Testing: Record a Transfusion Reaction </w:t>
            </w:r>
            <w:r w:rsidR="006549B7">
              <w:t>Workup)</w:t>
            </w:r>
          </w:p>
          <w:p w14:paraId="76E341A4" w14:textId="77777777" w:rsidR="002A21AE" w:rsidRDefault="002A21AE">
            <w:pPr>
              <w:pStyle w:val="NotesTextBullet"/>
            </w:pPr>
            <w:r>
              <w:t>TRW report completed by:</w:t>
            </w:r>
          </w:p>
          <w:p w14:paraId="075A270B" w14:textId="77777777" w:rsidR="002A21AE" w:rsidRDefault="002A21AE">
            <w:pPr>
              <w:pStyle w:val="NotesTextBullet1"/>
            </w:pPr>
            <w:r>
              <w:t>Date and time the report was completed</w:t>
            </w:r>
          </w:p>
          <w:p w14:paraId="28988B38" w14:textId="77777777" w:rsidR="002A21AE" w:rsidRDefault="002A21AE">
            <w:pPr>
              <w:pStyle w:val="NotesTextBullet1"/>
            </w:pPr>
            <w:r>
              <w:t>Signature line for the medical director</w:t>
            </w:r>
          </w:p>
          <w:p w14:paraId="7F219BFC" w14:textId="77777777" w:rsidR="002A21AE" w:rsidRDefault="002A21AE">
            <w:pPr>
              <w:pStyle w:val="NotesTextBullet1"/>
            </w:pPr>
            <w:r>
              <w:t>Line for the date and time the medical director completed the review</w:t>
            </w:r>
          </w:p>
          <w:p w14:paraId="476A1F0A" w14:textId="77777777" w:rsidR="002A21AE" w:rsidRDefault="002A21AE">
            <w:pPr>
              <w:pStyle w:val="NotesTextBullet1"/>
            </w:pPr>
            <w:r>
              <w:t>Finalized by</w:t>
            </w:r>
          </w:p>
          <w:p w14:paraId="4D358C49" w14:textId="77777777" w:rsidR="002A21AE" w:rsidRDefault="002A21AE">
            <w:pPr>
              <w:pStyle w:val="NotesTextBullet1"/>
            </w:pPr>
            <w:r>
              <w:t>Finalized date and time</w:t>
            </w:r>
          </w:p>
        </w:tc>
      </w:tr>
      <w:tr w:rsidR="00A902A8" w14:paraId="46F804C8" w14:textId="77777777">
        <w:tc>
          <w:tcPr>
            <w:tcW w:w="3240" w:type="dxa"/>
          </w:tcPr>
          <w:p w14:paraId="194F647F" w14:textId="77777777" w:rsidR="00A902A8" w:rsidRDefault="00A902A8" w:rsidP="00E21A6B">
            <w:pPr>
              <w:pStyle w:val="TableTextNumbers"/>
            </w:pPr>
            <w:r>
              <w:t xml:space="preserve">Select </w:t>
            </w:r>
            <w:r w:rsidRPr="0080656D">
              <w:rPr>
                <w:b/>
              </w:rPr>
              <w:t>Schedule Print</w:t>
            </w:r>
            <w:r>
              <w:t xml:space="preserve"> or </w:t>
            </w:r>
            <w:r w:rsidRPr="0080656D">
              <w:rPr>
                <w:b/>
              </w:rPr>
              <w:t>Print Now</w:t>
            </w:r>
            <w:r>
              <w:t xml:space="preserve"> and follow the instructions to print.</w:t>
            </w:r>
          </w:p>
        </w:tc>
        <w:tc>
          <w:tcPr>
            <w:tcW w:w="6120" w:type="dxa"/>
          </w:tcPr>
          <w:p w14:paraId="15CF262B" w14:textId="77777777" w:rsidR="00A902A8" w:rsidRDefault="00A902A8" w:rsidP="00E21A6B">
            <w:pPr>
              <w:pStyle w:val="TableTextBullet"/>
            </w:pPr>
            <w:r>
              <w:t>Prints the report on the selected printer.</w:t>
            </w:r>
          </w:p>
        </w:tc>
      </w:tr>
      <w:tr w:rsidR="00A902A8" w14:paraId="02E572F2" w14:textId="77777777">
        <w:tc>
          <w:tcPr>
            <w:tcW w:w="3240" w:type="dxa"/>
          </w:tcPr>
          <w:p w14:paraId="33DC393C" w14:textId="77777777" w:rsidR="00A902A8" w:rsidRDefault="00A902A8" w:rsidP="00E21A6B">
            <w:pPr>
              <w:pStyle w:val="TableTextNumbers"/>
            </w:pPr>
            <w:r>
              <w:t xml:space="preserve">Click </w:t>
            </w:r>
            <w:r w:rsidRPr="0080656D">
              <w:rPr>
                <w:b/>
              </w:rPr>
              <w:t>Close</w:t>
            </w:r>
            <w:r>
              <w:t xml:space="preserve"> to exit.</w:t>
            </w:r>
            <w:r>
              <w:rPr>
                <w:vanish/>
                <w:szCs w:val="18"/>
              </w:rPr>
              <w:fldChar w:fldCharType="begin"/>
            </w:r>
            <w:r>
              <w:rPr>
                <w:vanish/>
                <w:szCs w:val="18"/>
              </w:rPr>
              <w:instrText xml:space="preserve"> LISTNUM \l 1 \s 0 </w:instrText>
            </w:r>
            <w:r>
              <w:rPr>
                <w:vanish/>
                <w:szCs w:val="18"/>
              </w:rPr>
              <w:fldChar w:fldCharType="end"/>
            </w:r>
          </w:p>
        </w:tc>
        <w:tc>
          <w:tcPr>
            <w:tcW w:w="6120" w:type="dxa"/>
          </w:tcPr>
          <w:p w14:paraId="228C7EB4" w14:textId="77777777" w:rsidR="00A902A8" w:rsidRDefault="00A902A8" w:rsidP="00E21A6B">
            <w:pPr>
              <w:pStyle w:val="NotesText"/>
              <w:ind w:left="0"/>
            </w:pPr>
          </w:p>
        </w:tc>
      </w:tr>
    </w:tbl>
    <w:p w14:paraId="36EAA41C" w14:textId="77777777" w:rsidR="009D0008" w:rsidRDefault="009D0008">
      <w:pPr>
        <w:rPr>
          <w:b/>
          <w:sz w:val="22"/>
          <w:szCs w:val="22"/>
        </w:rPr>
      </w:pPr>
      <w:bookmarkStart w:id="495" w:name="_Toc97523627"/>
      <w:bookmarkStart w:id="496" w:name="_Toc97527597"/>
      <w:bookmarkStart w:id="497" w:name="_Ref126504463"/>
      <w:r>
        <w:br w:type="page"/>
      </w:r>
    </w:p>
    <w:p w14:paraId="37776031" w14:textId="652AB216" w:rsidR="002A21AE" w:rsidRDefault="002A21AE">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12</w:t>
      </w:r>
      <w:r w:rsidR="004E20BD">
        <w:rPr>
          <w:noProof/>
        </w:rPr>
        <w:fldChar w:fldCharType="end"/>
      </w:r>
      <w:r>
        <w:t xml:space="preserve">: </w:t>
      </w:r>
      <w:r>
        <w:rPr>
          <w:vanish/>
        </w:rPr>
        <w:t xml:space="preserve">PT_78.01 </w:t>
      </w:r>
      <w:r>
        <w:t>Transfusion Reaction Types</w:t>
      </w:r>
      <w:bookmarkEnd w:id="495"/>
      <w:bookmarkEnd w:id="496"/>
      <w:bookmarkEnd w:id="497"/>
      <w:r>
        <w:t xml:space="preserve"> </w:t>
      </w:r>
      <w:r>
        <w:fldChar w:fldCharType="begin"/>
      </w:r>
      <w:r>
        <w:instrText xml:space="preserve"> XE </w:instrText>
      </w:r>
      <w:r w:rsidR="00FA7E65">
        <w:instrText>“</w:instrText>
      </w:r>
      <w:r>
        <w:instrText>Tables:Transfusion Reaction Types</w:instrText>
      </w:r>
      <w:r w:rsidR="00FA7E65">
        <w:instrText>”</w:instrText>
      </w:r>
      <w:r>
        <w:instrText xml:space="preserve"> </w:instrText>
      </w:r>
      <w:r>
        <w:fldChar w:fldCharType="end"/>
      </w: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985"/>
      </w:tblGrid>
      <w:tr w:rsidR="008E18C4" w14:paraId="3EAC5124" w14:textId="77777777" w:rsidTr="006F799E">
        <w:trPr>
          <w:tblHeader/>
        </w:trPr>
        <w:tc>
          <w:tcPr>
            <w:tcW w:w="5985" w:type="dxa"/>
            <w:tcBorders>
              <w:top w:val="single" w:sz="4" w:space="0" w:color="auto"/>
              <w:bottom w:val="single" w:sz="6" w:space="0" w:color="auto"/>
            </w:tcBorders>
            <w:shd w:val="clear" w:color="auto" w:fill="B3B3B3"/>
            <w:vAlign w:val="bottom"/>
          </w:tcPr>
          <w:p w14:paraId="79B20D11" w14:textId="77777777" w:rsidR="008E18C4" w:rsidRDefault="008E18C4">
            <w:pPr>
              <w:pStyle w:val="TableText"/>
              <w:rPr>
                <w:b/>
              </w:rPr>
            </w:pPr>
            <w:bookmarkStart w:id="498" w:name="_Toc72723354"/>
            <w:r>
              <w:rPr>
                <w:b/>
              </w:rPr>
              <w:t>Transfusion Reaction Type Text</w:t>
            </w:r>
            <w:bookmarkEnd w:id="498"/>
          </w:p>
        </w:tc>
      </w:tr>
      <w:tr w:rsidR="007A1432" w14:paraId="1EF1CFD3" w14:textId="77777777" w:rsidTr="006F799E">
        <w:tc>
          <w:tcPr>
            <w:tcW w:w="5985" w:type="dxa"/>
            <w:vAlign w:val="bottom"/>
          </w:tcPr>
          <w:p w14:paraId="48F5F62C" w14:textId="6F812AAF" w:rsidR="007A1432" w:rsidRPr="00B70590" w:rsidRDefault="007A1432">
            <w:pPr>
              <w:pStyle w:val="TableText"/>
            </w:pPr>
            <w:r>
              <w:t>Acute hemolytic transfusion reaction (AHTR)</w:t>
            </w:r>
          </w:p>
        </w:tc>
      </w:tr>
      <w:tr w:rsidR="007A1432" w14:paraId="05A1B31C" w14:textId="77777777" w:rsidTr="007A1432">
        <w:tc>
          <w:tcPr>
            <w:tcW w:w="5985" w:type="dxa"/>
            <w:vAlign w:val="bottom"/>
          </w:tcPr>
          <w:p w14:paraId="5BE54555" w14:textId="184363E4" w:rsidR="007A1432" w:rsidRDefault="007A1432">
            <w:pPr>
              <w:pStyle w:val="TableText"/>
            </w:pPr>
            <w:r>
              <w:t>Allergic reaction (where severity is severe, life threatening, or death)</w:t>
            </w:r>
          </w:p>
        </w:tc>
      </w:tr>
      <w:tr w:rsidR="007A1432" w14:paraId="540A4C18" w14:textId="77777777" w:rsidTr="007A1432">
        <w:tc>
          <w:tcPr>
            <w:tcW w:w="5985" w:type="dxa"/>
            <w:vAlign w:val="bottom"/>
          </w:tcPr>
          <w:p w14:paraId="09607237" w14:textId="1CEAA431" w:rsidR="007A1432" w:rsidRDefault="007A1432">
            <w:pPr>
              <w:pStyle w:val="TableText"/>
            </w:pPr>
            <w:r>
              <w:t>Delayed hemolytic transfusion reaction (DHTR)</w:t>
            </w:r>
          </w:p>
        </w:tc>
      </w:tr>
      <w:tr w:rsidR="007A1432" w14:paraId="1472455C" w14:textId="77777777" w:rsidTr="007A1432">
        <w:tc>
          <w:tcPr>
            <w:tcW w:w="5985" w:type="dxa"/>
            <w:vAlign w:val="bottom"/>
          </w:tcPr>
          <w:p w14:paraId="3AF642ED" w14:textId="65678842" w:rsidR="007A1432" w:rsidRDefault="007A1432">
            <w:pPr>
              <w:pStyle w:val="TableText"/>
            </w:pPr>
            <w:r>
              <w:t>Delayed serologic transfusion reaction (DSTR)</w:t>
            </w:r>
          </w:p>
        </w:tc>
      </w:tr>
      <w:tr w:rsidR="007A1432" w14:paraId="54AFA932" w14:textId="77777777" w:rsidTr="007A1432">
        <w:tc>
          <w:tcPr>
            <w:tcW w:w="5985" w:type="dxa"/>
            <w:vAlign w:val="bottom"/>
          </w:tcPr>
          <w:p w14:paraId="5998C44D" w14:textId="3D049BBA" w:rsidR="007A1432" w:rsidRDefault="007A1432">
            <w:pPr>
              <w:pStyle w:val="TableText"/>
            </w:pPr>
            <w:r>
              <w:t>Febrile non-hemolytic transfusion reaction (FNHTR)</w:t>
            </w:r>
          </w:p>
        </w:tc>
      </w:tr>
      <w:tr w:rsidR="007A1432" w14:paraId="31167808" w14:textId="77777777" w:rsidTr="007A1432">
        <w:tc>
          <w:tcPr>
            <w:tcW w:w="5985" w:type="dxa"/>
            <w:vAlign w:val="bottom"/>
          </w:tcPr>
          <w:p w14:paraId="783F57C1" w14:textId="3592F2E5" w:rsidR="007A1432" w:rsidRDefault="007A1432">
            <w:pPr>
              <w:pStyle w:val="TableText"/>
            </w:pPr>
            <w:r>
              <w:t>Hypotensive transfusion reaction</w:t>
            </w:r>
          </w:p>
        </w:tc>
      </w:tr>
      <w:tr w:rsidR="007A1432" w14:paraId="7340EB62" w14:textId="77777777" w:rsidTr="007A1432">
        <w:tc>
          <w:tcPr>
            <w:tcW w:w="5985" w:type="dxa"/>
            <w:vAlign w:val="bottom"/>
          </w:tcPr>
          <w:p w14:paraId="1540D53B" w14:textId="00F6098B" w:rsidR="007A1432" w:rsidRDefault="007A1432">
            <w:pPr>
              <w:pStyle w:val="TableText"/>
            </w:pPr>
            <w:r>
              <w:t>Post-transfusion purpura (PTP)</w:t>
            </w:r>
          </w:p>
        </w:tc>
      </w:tr>
      <w:tr w:rsidR="007A1432" w14:paraId="5D0F40FB" w14:textId="77777777" w:rsidTr="007A1432">
        <w:tc>
          <w:tcPr>
            <w:tcW w:w="5985" w:type="dxa"/>
            <w:vAlign w:val="bottom"/>
          </w:tcPr>
          <w:p w14:paraId="0DA3B97A" w14:textId="76BB1157" w:rsidR="007A1432" w:rsidRDefault="007A1432">
            <w:pPr>
              <w:pStyle w:val="TableText"/>
            </w:pPr>
            <w:r>
              <w:t>Transfusion-associated circulatory overload (TACO)</w:t>
            </w:r>
          </w:p>
        </w:tc>
      </w:tr>
      <w:tr w:rsidR="007A1432" w14:paraId="15F29A88" w14:textId="77777777" w:rsidTr="007A1432">
        <w:tc>
          <w:tcPr>
            <w:tcW w:w="5985" w:type="dxa"/>
            <w:vAlign w:val="bottom"/>
          </w:tcPr>
          <w:p w14:paraId="50458455" w14:textId="24AF5CA9" w:rsidR="007A1432" w:rsidRDefault="007A1432">
            <w:pPr>
              <w:pStyle w:val="TableText"/>
            </w:pPr>
            <w:r>
              <w:t>Transfusion-associated dyspnea (TAD)</w:t>
            </w:r>
          </w:p>
        </w:tc>
      </w:tr>
      <w:tr w:rsidR="007A1432" w14:paraId="5B10DA02" w14:textId="77777777" w:rsidTr="007A1432">
        <w:tc>
          <w:tcPr>
            <w:tcW w:w="5985" w:type="dxa"/>
            <w:vAlign w:val="bottom"/>
          </w:tcPr>
          <w:p w14:paraId="0B266582" w14:textId="7F71E9CE" w:rsidR="007A1432" w:rsidRDefault="007A1432">
            <w:pPr>
              <w:pStyle w:val="TableText"/>
            </w:pPr>
            <w:r>
              <w:t>Transfusion-associated graft vs. host disease (TAGVHD)</w:t>
            </w:r>
          </w:p>
        </w:tc>
      </w:tr>
      <w:tr w:rsidR="007A1432" w14:paraId="53026994" w14:textId="77777777" w:rsidTr="007A1432">
        <w:tc>
          <w:tcPr>
            <w:tcW w:w="5985" w:type="dxa"/>
            <w:vAlign w:val="bottom"/>
          </w:tcPr>
          <w:p w14:paraId="7E425D4E" w14:textId="668D530B" w:rsidR="007A1432" w:rsidRDefault="007A1432">
            <w:pPr>
              <w:pStyle w:val="TableText"/>
            </w:pPr>
            <w:r>
              <w:t>Transfusion-related acute lunch injury (TRALI)</w:t>
            </w:r>
          </w:p>
        </w:tc>
      </w:tr>
      <w:tr w:rsidR="007A1432" w14:paraId="3D3EC8DB" w14:textId="77777777" w:rsidTr="007A1432">
        <w:tc>
          <w:tcPr>
            <w:tcW w:w="5985" w:type="dxa"/>
            <w:vAlign w:val="bottom"/>
          </w:tcPr>
          <w:p w14:paraId="60627C13" w14:textId="02E5EBEE" w:rsidR="007A1432" w:rsidRDefault="007A1432">
            <w:pPr>
              <w:pStyle w:val="TableText"/>
            </w:pPr>
            <w:r>
              <w:t>Transfusion-transmitted infection (TTI)</w:t>
            </w:r>
          </w:p>
        </w:tc>
      </w:tr>
      <w:tr w:rsidR="007A1432" w14:paraId="43F1609F" w14:textId="77777777" w:rsidTr="007A1432">
        <w:tc>
          <w:tcPr>
            <w:tcW w:w="5985" w:type="dxa"/>
            <w:vAlign w:val="bottom"/>
          </w:tcPr>
          <w:p w14:paraId="06389679" w14:textId="27CBB660" w:rsidR="007A1432" w:rsidRDefault="007A1432">
            <w:pPr>
              <w:pStyle w:val="TableText"/>
            </w:pPr>
            <w:r>
              <w:t>Other</w:t>
            </w:r>
          </w:p>
        </w:tc>
      </w:tr>
    </w:tbl>
    <w:p w14:paraId="457DE778" w14:textId="77777777" w:rsidR="002A21AE" w:rsidRDefault="00EE2299">
      <w:pPr>
        <w:pStyle w:val="Heading2"/>
      </w:pPr>
      <w:bookmarkStart w:id="499" w:name="_Maintain_Specimen"/>
      <w:bookmarkStart w:id="500" w:name="_Maintain_Specimen_1"/>
      <w:bookmarkStart w:id="501" w:name="_Toc63680372"/>
      <w:bookmarkEnd w:id="490"/>
      <w:bookmarkEnd w:id="499"/>
      <w:bookmarkEnd w:id="500"/>
      <w:r>
        <w:br w:type="page"/>
      </w:r>
      <w:bookmarkStart w:id="502" w:name="_Toc149064167"/>
      <w:r w:rsidR="002A21AE">
        <w:t>Maintain Patient Records</w:t>
      </w:r>
      <w:bookmarkEnd w:id="501"/>
      <w:bookmarkEnd w:id="502"/>
      <w:r w:rsidR="002A21AE">
        <w:fldChar w:fldCharType="begin"/>
      </w:r>
      <w:r w:rsidR="002A21AE">
        <w:instrText xml:space="preserve"> XE </w:instrText>
      </w:r>
      <w:r w:rsidR="00FA7E65">
        <w:instrText>“</w:instrText>
      </w:r>
      <w:r w:rsidR="002A21AE">
        <w:instrText>Maintain Patient Records</w:instrText>
      </w:r>
      <w:r w:rsidR="00FA7E65">
        <w:instrText>”</w:instrText>
      </w:r>
      <w:r w:rsidR="002A21AE">
        <w:instrText xml:space="preserve"> </w:instrText>
      </w:r>
      <w:r w:rsidR="002A21AE">
        <w:fldChar w:fldCharType="end"/>
      </w:r>
    </w:p>
    <w:p w14:paraId="0A25BAF7" w14:textId="77777777" w:rsidR="002A21AE" w:rsidRDefault="002A21AE">
      <w:pPr>
        <w:pStyle w:val="Heading3"/>
      </w:pPr>
      <w:bookmarkStart w:id="503" w:name="_Toc149064168"/>
      <w:r>
        <w:t>Special Instructions &amp; Transfusion Requirements: Enter a Transfusion Requirement</w:t>
      </w:r>
      <w:bookmarkEnd w:id="503"/>
      <w:r w:rsidRPr="00523956">
        <w:rPr>
          <w:rFonts w:ascii="Arial Bold" w:hAnsi="Arial Bold"/>
          <w:vanish/>
        </w:rPr>
        <w:fldChar w:fldCharType="begin"/>
      </w:r>
      <w:r w:rsidRPr="00523956">
        <w:rPr>
          <w:rFonts w:ascii="Arial Bold" w:hAnsi="Arial Bold"/>
          <w:vanish/>
        </w:rPr>
        <w:instrText xml:space="preserve"> XE </w:instrText>
      </w:r>
      <w:r w:rsidR="00FA7E65" w:rsidRPr="00523956">
        <w:rPr>
          <w:rFonts w:ascii="Arial Bold" w:hAnsi="Arial Bold"/>
          <w:vanish/>
        </w:rPr>
        <w:instrText>“</w:instrText>
      </w:r>
      <w:r w:rsidRPr="00523956">
        <w:rPr>
          <w:rFonts w:ascii="Arial Bold" w:hAnsi="Arial Bold"/>
          <w:vanish/>
        </w:rPr>
        <w:instrText>Special Instructions &amp; Transfusion Requirements\: Enter a Transfusion Requirement</w:instrText>
      </w:r>
      <w:r w:rsidR="00FA7E65" w:rsidRPr="00523956">
        <w:rPr>
          <w:rFonts w:ascii="Arial Bold" w:hAnsi="Arial Bold"/>
          <w:vanish/>
        </w:rPr>
        <w:instrText>”</w:instrText>
      </w:r>
      <w:r w:rsidRPr="00523956">
        <w:rPr>
          <w:rFonts w:ascii="Arial Bold" w:hAnsi="Arial Bold"/>
          <w:vanish/>
        </w:rPr>
        <w:instrText xml:space="preserve"> </w:instrText>
      </w:r>
      <w:r w:rsidRPr="00523956">
        <w:rPr>
          <w:rFonts w:ascii="Arial Bold" w:hAnsi="Arial Bold"/>
          <w:vanish/>
        </w:rPr>
        <w:fldChar w:fldCharType="end"/>
      </w:r>
      <w:r w:rsidRPr="00523956">
        <w:rPr>
          <w:rFonts w:ascii="Arial Bold" w:hAnsi="Arial Bold"/>
          <w:vanish/>
        </w:rPr>
        <w:t xml:space="preserve"> UC_38</w:t>
      </w:r>
    </w:p>
    <w:p w14:paraId="64825D6F" w14:textId="77777777" w:rsidR="002A21AE" w:rsidRDefault="002A21AE" w:rsidP="00FA7E65">
      <w:pPr>
        <w:pStyle w:val="BodyText"/>
      </w:pPr>
      <w:r>
        <w:t>The user enter</w:t>
      </w:r>
      <w:r w:rsidR="007C7B3C">
        <w:t>s</w:t>
      </w:r>
      <w:r>
        <w:t xml:space="preserve"> or inactivate</w:t>
      </w:r>
      <w:r w:rsidR="007C7B3C">
        <w:t>s</w:t>
      </w:r>
      <w:r>
        <w:t xml:space="preserve"> the Transfusion Requirements (TRs) in the patient’s record by division. </w:t>
      </w:r>
    </w:p>
    <w:p w14:paraId="78476501" w14:textId="77777777" w:rsidR="002A21AE" w:rsidRDefault="002A21AE">
      <w:pPr>
        <w:pStyle w:val="Heading4"/>
      </w:pPr>
      <w:r>
        <w:t>Assumptions</w:t>
      </w:r>
      <w:r>
        <w:rPr>
          <w:b w:val="0"/>
        </w:rPr>
        <w:t xml:space="preserve"> </w:t>
      </w:r>
    </w:p>
    <w:p w14:paraId="65FAD6F7" w14:textId="77777777" w:rsidR="002A21AE" w:rsidRDefault="002A21AE">
      <w:pPr>
        <w:pStyle w:val="ListBullet"/>
      </w:pPr>
      <w:r>
        <w:t>The patient exists in the VBECS database.</w:t>
      </w:r>
    </w:p>
    <w:p w14:paraId="6315A875" w14:textId="77777777" w:rsidR="002A21AE" w:rsidRDefault="002A21AE">
      <w:pPr>
        <w:pStyle w:val="Heading4"/>
      </w:pPr>
      <w:r>
        <w:t>Outcome</w:t>
      </w:r>
    </w:p>
    <w:p w14:paraId="50EC6B77" w14:textId="77777777" w:rsidR="002A21AE" w:rsidRDefault="002A21AE">
      <w:pPr>
        <w:pStyle w:val="ListBullet"/>
      </w:pPr>
      <w:r>
        <w:t>VBECS displays TRs to all divisions within a multidivisional database. The division in which they were entered maintains and controls them.</w:t>
      </w:r>
    </w:p>
    <w:p w14:paraId="18E3A1B4" w14:textId="77777777" w:rsidR="002A21AE" w:rsidRDefault="002A21AE">
      <w:pPr>
        <w:pStyle w:val="ListBullet"/>
      </w:pPr>
      <w:r>
        <w:t>VBECS maintains a historic record of changes to the patient’s TRs.</w:t>
      </w:r>
    </w:p>
    <w:p w14:paraId="6FBF3853" w14:textId="77777777" w:rsidR="002A21AE" w:rsidRDefault="002A21AE">
      <w:pPr>
        <w:pStyle w:val="Heading4"/>
      </w:pPr>
      <w:r>
        <w:t>Limitations and Restrictions</w:t>
      </w:r>
      <w:r>
        <w:rPr>
          <w:b w:val="0"/>
        </w:rPr>
        <w:t xml:space="preserve"> </w:t>
      </w:r>
    </w:p>
    <w:p w14:paraId="15E0C25D" w14:textId="77777777" w:rsidR="002A21AE" w:rsidRDefault="002A21AE">
      <w:pPr>
        <w:pStyle w:val="ListBullet"/>
      </w:pPr>
      <w:r>
        <w:t>Inactivation is defined and restricted by security level.</w:t>
      </w:r>
    </w:p>
    <w:p w14:paraId="6A8D2726" w14:textId="77777777" w:rsidR="002A21AE" w:rsidRDefault="00CA6E27">
      <w:pPr>
        <w:pStyle w:val="ListBullet"/>
      </w:pPr>
      <w:r w:rsidRPr="00CA6E27">
        <w:rPr>
          <w:bCs/>
        </w:rPr>
        <w:t>VistA</w:t>
      </w:r>
      <w:r w:rsidR="002A21AE">
        <w:t xml:space="preserve"> Special Instructions (SIs) from </w:t>
      </w:r>
      <w:r w:rsidR="00150930">
        <w:t>database conversion</w:t>
      </w:r>
      <w:r w:rsidR="002A21AE">
        <w:t xml:space="preserve"> do not become TRs: they remain SIs. SIs are information only and are not enforced unless entered in </w:t>
      </w:r>
      <w:r w:rsidR="001F561F">
        <w:t xml:space="preserve">the </w:t>
      </w:r>
      <w:r w:rsidR="0077268F">
        <w:t>Component</w:t>
      </w:r>
      <w:r w:rsidR="001F561F">
        <w:t xml:space="preserve"> </w:t>
      </w:r>
      <w:r w:rsidR="002A21AE">
        <w:t>R</w:t>
      </w:r>
      <w:r w:rsidR="001F561F">
        <w:t>equirement</w:t>
      </w:r>
      <w:r w:rsidR="002A21AE">
        <w:t>s</w:t>
      </w:r>
      <w:r w:rsidR="001F561F">
        <w:t xml:space="preserve"> tab in Special Instructions &amp; Transfusion Requirements</w:t>
      </w:r>
      <w:r w:rsidR="002A21AE">
        <w:t>.</w:t>
      </w:r>
    </w:p>
    <w:p w14:paraId="4423D3F1" w14:textId="77777777" w:rsidR="002A21AE" w:rsidRDefault="002A21AE">
      <w:pPr>
        <w:pStyle w:val="Heading4"/>
      </w:pPr>
      <w:r>
        <w:t>Additional Information</w:t>
      </w:r>
    </w:p>
    <w:p w14:paraId="2D86970C" w14:textId="77777777" w:rsidR="002A21AE" w:rsidRDefault="002A21AE">
      <w:pPr>
        <w:pStyle w:val="ListBullet"/>
      </w:pPr>
      <w:r>
        <w:t>No current patient specimen or order is required to access this option.</w:t>
      </w:r>
    </w:p>
    <w:p w14:paraId="1F5D80AD" w14:textId="77777777" w:rsidR="002A21AE" w:rsidRDefault="002A21AE">
      <w:pPr>
        <w:pStyle w:val="ListBullet"/>
      </w:pPr>
      <w:r>
        <w:t>When TRs are not met, VBECS prohibits the printing of the Caution Tag and Blood Transfusion Record Form (BTRF) and prevents issue of the blood unit.</w:t>
      </w:r>
    </w:p>
    <w:p w14:paraId="611E341A" w14:textId="77777777" w:rsidR="002A21AE" w:rsidRDefault="002A21AE">
      <w:pPr>
        <w:pStyle w:val="ListBullet"/>
      </w:pPr>
      <w:r>
        <w:rPr>
          <w:rFonts w:ascii="Arial" w:hAnsi="Arial" w:cs="Arial"/>
          <w:vanish/>
          <w:spacing w:val="0"/>
          <w:sz w:val="18"/>
        </w:rPr>
        <w:t xml:space="preserve">BR_38.04 </w:t>
      </w:r>
      <w:r>
        <w:t xml:space="preserve">User-entered antigen negative requirements are persistent. VBECS enforces them even when they are in conflict with the division’s antibody table settings. </w:t>
      </w:r>
    </w:p>
    <w:p w14:paraId="5EC1BFAE" w14:textId="77777777" w:rsidR="002A21AE" w:rsidRDefault="002A21AE">
      <w:pPr>
        <w:pStyle w:val="ListBullet"/>
      </w:pPr>
      <w:r>
        <w:t xml:space="preserve">Patient antibody identifications from </w:t>
      </w:r>
      <w:r w:rsidR="00CA6E27" w:rsidRPr="00CA6E27">
        <w:rPr>
          <w:bCs/>
        </w:rPr>
        <w:t>VistA</w:t>
      </w:r>
      <w:r>
        <w:t xml:space="preserve"> are included in the database conversion. </w:t>
      </w:r>
    </w:p>
    <w:p w14:paraId="49E3682D" w14:textId="77777777" w:rsidR="002A21AE" w:rsidRDefault="002A21AE">
      <w:pPr>
        <w:pStyle w:val="ListBullet"/>
      </w:pPr>
      <w:r>
        <w:t xml:space="preserve">By default, inactivation of an antibody removes requirements for antigen negative blood derived from the antibody entry. </w:t>
      </w:r>
    </w:p>
    <w:p w14:paraId="34206AC1" w14:textId="77777777" w:rsidR="002A21AE" w:rsidRDefault="002A21AE">
      <w:pPr>
        <w:pStyle w:val="Heading4"/>
        <w:rPr>
          <w:b w:val="0"/>
        </w:rPr>
      </w:pPr>
      <w:r>
        <w:t>User Roles with Access to This Option</w:t>
      </w:r>
      <w:r>
        <w:rPr>
          <w:b w:val="0"/>
        </w:rPr>
        <w:t xml:space="preserve"> </w:t>
      </w:r>
    </w:p>
    <w:p w14:paraId="5AAC30E0" w14:textId="77777777" w:rsidR="00AE271A" w:rsidRDefault="00AE271A" w:rsidP="00AE271A">
      <w:pPr>
        <w:pStyle w:val="Roles"/>
      </w:pPr>
      <w:r>
        <w:rPr>
          <w:snapToGrid w:val="0"/>
        </w:rPr>
        <w:t>All users</w:t>
      </w:r>
    </w:p>
    <w:p w14:paraId="1ADBD526" w14:textId="77777777" w:rsidR="002A21AE" w:rsidRDefault="002A21AE">
      <w:pPr>
        <w:pStyle w:val="Heading4"/>
      </w:pPr>
      <w:r>
        <w:t>Special Instructions &amp; Transfusion Requirements: Enter a Transfusion Requirement</w:t>
      </w:r>
    </w:p>
    <w:p w14:paraId="7E8CC920" w14:textId="77777777" w:rsidR="002A21AE" w:rsidRDefault="002A21AE" w:rsidP="00FA7E65">
      <w:pPr>
        <w:pStyle w:val="BodyText"/>
      </w:pPr>
      <w:r>
        <w:t xml:space="preserve">The user assigns patient blood component requirements or indicates the need for antigen negative blood to be applied during blood component selection and issue. </w:t>
      </w:r>
    </w:p>
    <w:p w14:paraId="7A0CC4E9" w14:textId="77777777" w:rsidR="002A21AE" w:rsidRDefault="002A21AE" w:rsidP="00FA7E65">
      <w:pPr>
        <w:pStyle w:val="BodyText"/>
      </w:pPr>
      <w:r>
        <w:t xml:space="preserve">VBECS displays TR data and applies requirements during blood unit selection. </w:t>
      </w:r>
    </w:p>
    <w:p w14:paraId="56EB1B40" w14:textId="77777777" w:rsidR="002A21AE" w:rsidRDefault="002A21AE" w:rsidP="00FA7E65">
      <w:pPr>
        <w:pStyle w:val="BodyText"/>
        <w:rPr>
          <w:b/>
        </w:rPr>
      </w:pPr>
      <w:r>
        <w:t xml:space="preserve">All items in these TR categories indicate the need for pre-transfusion processing of a unit before the unit may be issued to the patient. All users may activate entries. </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rsidRPr="00EC7489">
        <w:rPr>
          <w:rFonts w:ascii="Wingdings 3" w:hAnsi="Wingdings 3" w:cs="Wingdings"/>
        </w:rPr>
        <w:t></w:t>
      </w:r>
      <w:r w:rsidR="00E57896">
        <w:t xml:space="preserve"> </w:t>
      </w:r>
      <w:r>
        <w:t xml:space="preserve">Only a </w:t>
      </w:r>
      <w:r>
        <w:rPr>
          <w:snapToGrid w:val="0"/>
        </w:rPr>
        <w:t xml:space="preserve">Traditional Supervisor </w:t>
      </w:r>
      <w:r>
        <w:t xml:space="preserve">may inactivate a component requirement for a patient. A patient may have one or more TRs: </w:t>
      </w:r>
      <w:r>
        <w:rPr>
          <w:vanish/>
        </w:rPr>
        <w:t>BR_38.01</w:t>
      </w:r>
    </w:p>
    <w:p w14:paraId="148142CA" w14:textId="77777777" w:rsidR="002A21AE" w:rsidRDefault="00095CB3">
      <w:pPr>
        <w:pStyle w:val="ListBullet"/>
      </w:pPr>
      <w:r>
        <w:t>Pre-treated to Prevent G</w:t>
      </w:r>
      <w:r w:rsidR="00363C2C">
        <w:t>VHD</w:t>
      </w:r>
      <w:r w:rsidR="002A21AE">
        <w:t xml:space="preserve"> </w:t>
      </w:r>
    </w:p>
    <w:p w14:paraId="3DEBFF5F" w14:textId="77777777" w:rsidR="002A21AE" w:rsidRDefault="002A21AE">
      <w:pPr>
        <w:pStyle w:val="ListBullet"/>
      </w:pPr>
      <w:r>
        <w:t>Leuko</w:t>
      </w:r>
      <w:r w:rsidR="00363C2C">
        <w:t>-</w:t>
      </w:r>
      <w:r>
        <w:t>reduce cellular products</w:t>
      </w:r>
      <w:r w:rsidR="00363C2C">
        <w:t>*</w:t>
      </w:r>
    </w:p>
    <w:p w14:paraId="21B0BE00" w14:textId="77777777" w:rsidR="002A21AE" w:rsidRDefault="002A21AE">
      <w:pPr>
        <w:pStyle w:val="ListBullet"/>
      </w:pPr>
      <w:r>
        <w:t>Washed RBC products</w:t>
      </w:r>
    </w:p>
    <w:p w14:paraId="1475BB5A" w14:textId="77777777" w:rsidR="002A21AE" w:rsidRDefault="002A21AE">
      <w:pPr>
        <w:pStyle w:val="ListBullet"/>
      </w:pPr>
      <w:r>
        <w:t>Washed PLT products</w:t>
      </w:r>
    </w:p>
    <w:p w14:paraId="03A12BC3" w14:textId="77777777" w:rsidR="002A21AE" w:rsidRDefault="002A21AE">
      <w:pPr>
        <w:pStyle w:val="ListBullet"/>
      </w:pPr>
      <w:r>
        <w:t>Sickle Cell Negative RBC products</w:t>
      </w:r>
    </w:p>
    <w:p w14:paraId="591896EE" w14:textId="77777777" w:rsidR="002A21AE" w:rsidRDefault="002A21AE">
      <w:pPr>
        <w:pStyle w:val="ListBullet"/>
      </w:pPr>
      <w:r>
        <w:t>CMV negative cellular products</w:t>
      </w:r>
      <w:r w:rsidR="00550AB5">
        <w:t>*</w:t>
      </w:r>
    </w:p>
    <w:p w14:paraId="1F63000E" w14:textId="77777777" w:rsidR="002A21AE" w:rsidRDefault="00550AB5">
      <w:pPr>
        <w:pStyle w:val="BodyText"/>
      </w:pPr>
      <w:r>
        <w:t>*All product types in OTHER are evaluated for the requirement including those that are non-cellular.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B6E0905" w14:textId="77777777">
        <w:trPr>
          <w:cantSplit/>
          <w:tblHeader/>
        </w:trPr>
        <w:tc>
          <w:tcPr>
            <w:tcW w:w="3240" w:type="dxa"/>
            <w:shd w:val="pct30" w:color="auto" w:fill="FFFFFF"/>
            <w:vAlign w:val="bottom"/>
          </w:tcPr>
          <w:p w14:paraId="3405D986" w14:textId="77777777" w:rsidR="002A21AE" w:rsidRDefault="002A21AE">
            <w:pPr>
              <w:pStyle w:val="TableText"/>
              <w:rPr>
                <w:b/>
              </w:rPr>
            </w:pPr>
            <w:r>
              <w:rPr>
                <w:b/>
              </w:rPr>
              <w:t>User Action</w:t>
            </w:r>
          </w:p>
        </w:tc>
        <w:tc>
          <w:tcPr>
            <w:tcW w:w="6120" w:type="dxa"/>
            <w:shd w:val="pct30" w:color="auto" w:fill="FFFFFF"/>
            <w:vAlign w:val="bottom"/>
          </w:tcPr>
          <w:p w14:paraId="5F76CB9C" w14:textId="77777777" w:rsidR="002A21AE" w:rsidRDefault="002A21AE">
            <w:pPr>
              <w:pStyle w:val="TableText"/>
              <w:rPr>
                <w:b/>
              </w:rPr>
            </w:pPr>
            <w:r>
              <w:rPr>
                <w:b/>
              </w:rPr>
              <w:t>VBECS</w:t>
            </w:r>
          </w:p>
        </w:tc>
      </w:tr>
      <w:tr w:rsidR="002A21AE" w14:paraId="2BBBB862" w14:textId="77777777">
        <w:tc>
          <w:tcPr>
            <w:tcW w:w="3240" w:type="dxa"/>
          </w:tcPr>
          <w:p w14:paraId="775CED7D" w14:textId="77777777" w:rsidR="002A21AE" w:rsidRDefault="002A21AE">
            <w:pPr>
              <w:pStyle w:val="TableTextNumbers"/>
            </w:pPr>
            <w:r>
              <w:t xml:space="preserve">Select </w:t>
            </w:r>
            <w:r>
              <w:rPr>
                <w:b/>
              </w:rPr>
              <w:t>Patients</w:t>
            </w:r>
            <w:r>
              <w:t xml:space="preserve"> from the main menu.</w:t>
            </w:r>
          </w:p>
          <w:p w14:paraId="430FCB2C" w14:textId="77777777" w:rsidR="002A21AE" w:rsidRDefault="002A21AE">
            <w:pPr>
              <w:pStyle w:val="TableTextNumbersContinued"/>
            </w:pPr>
          </w:p>
          <w:p w14:paraId="4FF22D14" w14:textId="77777777" w:rsidR="002A21AE" w:rsidRDefault="002A21AE" w:rsidP="0044084A">
            <w:pPr>
              <w:pStyle w:val="TableTextNumbersContinued"/>
            </w:pPr>
            <w:r>
              <w:t xml:space="preserve">Select </w:t>
            </w:r>
            <w:r>
              <w:rPr>
                <w:b/>
              </w:rPr>
              <w:t>Special Instructions &amp; Transfusion Requirements</w:t>
            </w:r>
            <w:r>
              <w:t>,</w:t>
            </w:r>
            <w:r w:rsidR="0044084A">
              <w:t xml:space="preserve"> or</w:t>
            </w:r>
          </w:p>
          <w:p w14:paraId="18B826CB" w14:textId="77777777" w:rsidR="0044084A" w:rsidRDefault="0044084A" w:rsidP="0044084A">
            <w:pPr>
              <w:pStyle w:val="TableTextNumbersContinued"/>
            </w:pPr>
          </w:p>
          <w:p w14:paraId="6BB4FB02" w14:textId="77777777" w:rsidR="0044084A" w:rsidRPr="0044084A" w:rsidRDefault="00B3702D" w:rsidP="00B3702D">
            <w:pPr>
              <w:pStyle w:val="TableTextNumbersContinued"/>
            </w:pPr>
            <w:r>
              <w:t xml:space="preserve">Click </w:t>
            </w:r>
            <w:r w:rsidR="00057948">
              <w:rPr>
                <w:noProof/>
              </w:rPr>
              <w:drawing>
                <wp:inline distT="0" distB="0" distL="0" distR="0" wp14:anchorId="020C6A1A" wp14:editId="21EB22DB">
                  <wp:extent cx="156845" cy="156845"/>
                  <wp:effectExtent l="0" t="0" r="0" b="0"/>
                  <wp:docPr id="252" name="Picture 252"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it is active.</w:t>
            </w:r>
          </w:p>
        </w:tc>
        <w:tc>
          <w:tcPr>
            <w:tcW w:w="6120" w:type="dxa"/>
          </w:tcPr>
          <w:p w14:paraId="190E5D96" w14:textId="77777777" w:rsidR="002A21AE" w:rsidRDefault="002A21AE">
            <w:pPr>
              <w:pStyle w:val="TableTextBullet"/>
            </w:pPr>
            <w:r>
              <w:t>Displays options for processing patient-related functions.</w:t>
            </w:r>
          </w:p>
          <w:p w14:paraId="5728FFA9" w14:textId="77777777" w:rsidR="002A21AE" w:rsidRDefault="002A21AE">
            <w:pPr>
              <w:pStyle w:val="TableTextBullet"/>
            </w:pPr>
            <w:r>
              <w:t xml:space="preserve">Displays the option to select a patient, if one is not already selected. </w:t>
            </w:r>
          </w:p>
          <w:p w14:paraId="5AE4CAC3" w14:textId="77777777" w:rsidR="002A21AE" w:rsidRDefault="002A21AE">
            <w:pPr>
              <w:pStyle w:val="TableText"/>
              <w:rPr>
                <w:b/>
                <w:bCs/>
                <w:szCs w:val="18"/>
              </w:rPr>
            </w:pPr>
          </w:p>
          <w:p w14:paraId="164388EA" w14:textId="7963402F" w:rsidR="002A21AE" w:rsidRDefault="002A21AE">
            <w:pPr>
              <w:pStyle w:val="TableText"/>
              <w:rPr>
                <w:b/>
                <w:bCs/>
                <w:szCs w:val="18"/>
              </w:rPr>
            </w:pPr>
            <w:r>
              <w:rPr>
                <w:b/>
                <w:bCs/>
                <w:szCs w:val="18"/>
              </w:rPr>
              <w:t>NOTES</w:t>
            </w:r>
          </w:p>
          <w:p w14:paraId="37E825F7" w14:textId="77777777" w:rsidR="002A21AE" w:rsidRDefault="002A21AE">
            <w:pPr>
              <w:pStyle w:val="NotesText"/>
            </w:pPr>
          </w:p>
          <w:p w14:paraId="60054DF8" w14:textId="77777777" w:rsidR="002A21AE" w:rsidRDefault="002A21AE">
            <w:pPr>
              <w:pStyle w:val="NotesText"/>
            </w:pPr>
            <w:r>
              <w:t xml:space="preserve">The user may also click </w:t>
            </w:r>
            <w:r>
              <w:rPr>
                <w:b/>
              </w:rPr>
              <w:t>New SI or TR</w:t>
            </w:r>
            <w:r>
              <w:t xml:space="preserve"> in Patient Testing to access this option.</w:t>
            </w:r>
          </w:p>
          <w:p w14:paraId="468D09BF" w14:textId="77777777" w:rsidR="0044084A" w:rsidRDefault="0044084A" w:rsidP="00266B50">
            <w:pPr>
              <w:pStyle w:val="NotesText"/>
            </w:pPr>
            <w:r>
              <w:t xml:space="preserve"> </w:t>
            </w:r>
          </w:p>
        </w:tc>
      </w:tr>
      <w:tr w:rsidR="002A21AE" w14:paraId="1F2A8AF8" w14:textId="77777777">
        <w:tc>
          <w:tcPr>
            <w:tcW w:w="3240" w:type="dxa"/>
          </w:tcPr>
          <w:p w14:paraId="5B9D52D4" w14:textId="1D40E2DC" w:rsidR="002A21AE" w:rsidRDefault="002A21AE">
            <w:pPr>
              <w:pStyle w:val="TableTextNumbers"/>
            </w:pPr>
            <w:r>
              <w:t xml:space="preserve">Select the </w:t>
            </w:r>
            <w:r>
              <w:rPr>
                <w:b/>
              </w:rPr>
              <w:t>Antigen Negative RBCs</w:t>
            </w:r>
            <w:r>
              <w:t>,</w:t>
            </w:r>
            <w:r>
              <w:rPr>
                <w:b/>
              </w:rPr>
              <w:t xml:space="preserve"> Component Requirements</w:t>
            </w:r>
            <w:r>
              <w:t>,</w:t>
            </w:r>
            <w:r>
              <w:rPr>
                <w:b/>
              </w:rPr>
              <w:t xml:space="preserve"> </w:t>
            </w:r>
            <w:r>
              <w:t xml:space="preserve">or </w:t>
            </w:r>
            <w:r>
              <w:rPr>
                <w:b/>
              </w:rPr>
              <w:t xml:space="preserve">Antibodies Identified </w:t>
            </w:r>
            <w:r w:rsidRPr="00CC3C89">
              <w:t>tab</w:t>
            </w:r>
            <w:r w:rsidR="00994FF2" w:rsidRPr="00CC3C89">
              <w:t xml:space="preserve"> </w:t>
            </w:r>
            <w:r w:rsidR="00994FF2" w:rsidRPr="00994FF2">
              <w:t>(</w:t>
            </w:r>
            <w:r w:rsidR="00EE455E">
              <w:t xml:space="preserve">Figure </w:t>
            </w:r>
            <w:r w:rsidR="00EE455E">
              <w:rPr>
                <w:noProof/>
              </w:rPr>
              <w:t>109</w:t>
            </w:r>
            <w:r w:rsidR="00994FF2" w:rsidRPr="00994FF2">
              <w:t>)</w:t>
            </w:r>
            <w:r>
              <w:t>.</w:t>
            </w:r>
          </w:p>
          <w:p w14:paraId="3D7F76F1" w14:textId="77777777" w:rsidR="002A21AE" w:rsidRDefault="002A21AE">
            <w:pPr>
              <w:pStyle w:val="TableTextNumbersContinued"/>
              <w:rPr>
                <w:b/>
                <w:bCs/>
              </w:rPr>
            </w:pPr>
          </w:p>
          <w:p w14:paraId="5E02D2EA" w14:textId="77777777" w:rsidR="002A21AE" w:rsidRDefault="002A21AE">
            <w:pPr>
              <w:pStyle w:val="TableText"/>
            </w:pPr>
          </w:p>
        </w:tc>
        <w:tc>
          <w:tcPr>
            <w:tcW w:w="6120" w:type="dxa"/>
          </w:tcPr>
          <w:p w14:paraId="2D625345" w14:textId="77777777" w:rsidR="002A21AE" w:rsidRDefault="002A21AE">
            <w:pPr>
              <w:pStyle w:val="TableTextBullet"/>
            </w:pPr>
            <w:r>
              <w:t>Displays the patient’s TRs.</w:t>
            </w:r>
          </w:p>
          <w:p w14:paraId="30214600" w14:textId="77777777" w:rsidR="002A21AE" w:rsidRDefault="002A21AE">
            <w:pPr>
              <w:pStyle w:val="TableTextBullet"/>
            </w:pPr>
            <w:r>
              <w:t>Allows the user to add or inactivate information based on his security level.</w:t>
            </w:r>
          </w:p>
          <w:p w14:paraId="07872FDE" w14:textId="77777777" w:rsidR="002A21AE" w:rsidRDefault="002A21AE">
            <w:pPr>
              <w:pStyle w:val="TableText"/>
            </w:pPr>
          </w:p>
          <w:p w14:paraId="6843FE29" w14:textId="6FA24C19" w:rsidR="002A21AE" w:rsidRDefault="002A21AE">
            <w:pPr>
              <w:pStyle w:val="TableText"/>
              <w:rPr>
                <w:b/>
                <w:bCs/>
                <w:szCs w:val="18"/>
              </w:rPr>
            </w:pPr>
            <w:r>
              <w:rPr>
                <w:b/>
                <w:bCs/>
                <w:szCs w:val="18"/>
              </w:rPr>
              <w:t>NOTES</w:t>
            </w:r>
          </w:p>
          <w:p w14:paraId="137A52AC" w14:textId="77777777" w:rsidR="002A21AE" w:rsidRDefault="002A21AE">
            <w:pPr>
              <w:pStyle w:val="NotesText"/>
            </w:pPr>
          </w:p>
          <w:p w14:paraId="56C259EA" w14:textId="77777777" w:rsidR="001E4DCC" w:rsidRDefault="002A21AE" w:rsidP="00DB7814">
            <w:pPr>
              <w:pStyle w:val="NotesText"/>
            </w:pPr>
            <w:r>
              <w:rPr>
                <w:rFonts w:cs="Arial"/>
                <w:vanish/>
              </w:rPr>
              <w:t xml:space="preserve">BR_38.10 </w:t>
            </w:r>
            <w:r>
              <w:t xml:space="preserve">When a user accesses antigen negative requirements, </w:t>
            </w:r>
            <w:r w:rsidR="00C93B6B">
              <w:t xml:space="preserve">VBECS </w:t>
            </w:r>
            <w:r w:rsidR="005B2FFA">
              <w:t xml:space="preserve">displays and enforces the antigen negative requirement </w:t>
            </w:r>
            <w:r w:rsidR="00C93B6B">
              <w:t>for the patient, regardless of the division setting for the antibody.</w:t>
            </w:r>
          </w:p>
          <w:p w14:paraId="79004025" w14:textId="77777777" w:rsidR="001E4DCC" w:rsidRDefault="001E4DCC" w:rsidP="00DB7814">
            <w:pPr>
              <w:pStyle w:val="NotesText"/>
            </w:pPr>
          </w:p>
          <w:p w14:paraId="19A9B8FD" w14:textId="77777777" w:rsidR="002A21AE" w:rsidRDefault="00C93B6B" w:rsidP="00DB7814">
            <w:pPr>
              <w:pStyle w:val="NotesText"/>
            </w:pPr>
            <w:r>
              <w:t xml:space="preserve">When a user accesses </w:t>
            </w:r>
            <w:r w:rsidR="00AB225C">
              <w:t xml:space="preserve">the </w:t>
            </w:r>
            <w:r>
              <w:t>Antibodies Identified</w:t>
            </w:r>
            <w:r w:rsidR="00AB225C">
              <w:t xml:space="preserve"> tab</w:t>
            </w:r>
            <w:r>
              <w:t xml:space="preserve">, </w:t>
            </w:r>
            <w:r w:rsidR="00AB225C">
              <w:t>VBECS compares the patient’s a</w:t>
            </w:r>
            <w:r w:rsidR="002A21AE">
              <w:t xml:space="preserve">ntibodies with the division’s antibody table setting. When the antibody is set to require antigen negative blood at issue, VBECS displays and enforces the antigen negative requirement. </w:t>
            </w:r>
          </w:p>
        </w:tc>
      </w:tr>
      <w:tr w:rsidR="002A21AE" w14:paraId="39FAD855" w14:textId="77777777">
        <w:tc>
          <w:tcPr>
            <w:tcW w:w="3240" w:type="dxa"/>
          </w:tcPr>
          <w:p w14:paraId="3E220364" w14:textId="77777777" w:rsidR="002A21AE" w:rsidRDefault="002A21AE">
            <w:pPr>
              <w:pStyle w:val="TableTextNumbers"/>
            </w:pPr>
            <w:r>
              <w:t>Select a TR from the pick list, or enter an antigen or antibody, as the tab allows.</w:t>
            </w:r>
          </w:p>
          <w:p w14:paraId="39E8EF1E" w14:textId="77777777" w:rsidR="002A21AE" w:rsidRDefault="002A21AE">
            <w:pPr>
              <w:pStyle w:val="TableTextNumbersContinued"/>
            </w:pPr>
          </w:p>
          <w:p w14:paraId="382A18EE" w14:textId="77777777" w:rsidR="002A21AE" w:rsidRDefault="002A21AE">
            <w:pPr>
              <w:pStyle w:val="TableTextNumbersContinued"/>
            </w:pPr>
            <w:r>
              <w:t xml:space="preserve">Click </w:t>
            </w:r>
            <w:r>
              <w:rPr>
                <w:b/>
              </w:rPr>
              <w:t>Add</w:t>
            </w:r>
            <w:r>
              <w:t xml:space="preserve"> to move the selection to the patient’s record.</w:t>
            </w:r>
          </w:p>
          <w:p w14:paraId="420B43CB" w14:textId="77777777" w:rsidR="002A21AE" w:rsidRDefault="002A21AE">
            <w:pPr>
              <w:pStyle w:val="TableTextNumbersContinued"/>
            </w:pPr>
          </w:p>
          <w:p w14:paraId="45349AB6" w14:textId="77777777" w:rsidR="002A21AE" w:rsidRDefault="002A21AE">
            <w:pPr>
              <w:pStyle w:val="TableTextNumbersContinued"/>
            </w:pPr>
            <w:r>
              <w:t xml:space="preserve">Click </w:t>
            </w:r>
            <w:r>
              <w:rPr>
                <w:b/>
              </w:rPr>
              <w:t>OK</w:t>
            </w:r>
            <w:r>
              <w:t xml:space="preserve"> when all TRs are selected to save them to the patient’s record.</w:t>
            </w:r>
          </w:p>
          <w:p w14:paraId="0E201B67" w14:textId="77777777" w:rsidR="002A21AE" w:rsidRDefault="002A21AE">
            <w:pPr>
              <w:pStyle w:val="TableTextNumbersContinued"/>
            </w:pPr>
          </w:p>
          <w:p w14:paraId="00C7E563" w14:textId="77777777" w:rsidR="002A21AE" w:rsidRDefault="002A21AE">
            <w:pPr>
              <w:pStyle w:val="TableTextNumbersContinued"/>
            </w:pPr>
            <w:r>
              <w:t xml:space="preserve">Click </w:t>
            </w:r>
            <w:r>
              <w:rPr>
                <w:b/>
              </w:rPr>
              <w:t>Yes</w:t>
            </w:r>
            <w:r>
              <w:t xml:space="preserve"> to confirm changes and exit.</w:t>
            </w:r>
          </w:p>
        </w:tc>
        <w:tc>
          <w:tcPr>
            <w:tcW w:w="6120" w:type="dxa"/>
          </w:tcPr>
          <w:p w14:paraId="0FB7A577" w14:textId="77777777" w:rsidR="002A21AE" w:rsidRDefault="002A21AE">
            <w:pPr>
              <w:pStyle w:val="TableTextBullet"/>
            </w:pPr>
            <w:r>
              <w:rPr>
                <w:rFonts w:cs="Arial"/>
                <w:vanish/>
              </w:rPr>
              <w:t xml:space="preserve">BR_38.06 </w:t>
            </w:r>
            <w:r>
              <w:t xml:space="preserve">Allows multiple selections from the Component Requirements, Antibodies Identified, and Antigen Negative tabs. </w:t>
            </w:r>
          </w:p>
          <w:p w14:paraId="135376F0" w14:textId="77777777" w:rsidR="002A21AE" w:rsidRDefault="002A21AE">
            <w:pPr>
              <w:pStyle w:val="TableText"/>
            </w:pPr>
          </w:p>
          <w:p w14:paraId="040696B7" w14:textId="404E5331" w:rsidR="002A21AE" w:rsidRDefault="002A21AE">
            <w:pPr>
              <w:pStyle w:val="TableText"/>
              <w:rPr>
                <w:b/>
                <w:bCs/>
                <w:szCs w:val="18"/>
              </w:rPr>
            </w:pPr>
            <w:r>
              <w:rPr>
                <w:b/>
                <w:bCs/>
                <w:szCs w:val="18"/>
              </w:rPr>
              <w:t>NOTES</w:t>
            </w:r>
          </w:p>
          <w:p w14:paraId="0BD0AB2F" w14:textId="77777777" w:rsidR="002A21AE" w:rsidRDefault="002A21AE">
            <w:pPr>
              <w:pStyle w:val="TableText"/>
            </w:pPr>
          </w:p>
          <w:p w14:paraId="5F43EAD9" w14:textId="77777777" w:rsidR="002A21AE" w:rsidRDefault="002A21AE">
            <w:pPr>
              <w:pStyle w:val="NotesText"/>
            </w:pPr>
            <w:r>
              <w:t>VBECS applies the TR to component classes, as indicated.</w:t>
            </w:r>
          </w:p>
          <w:p w14:paraId="4B9574F0" w14:textId="77777777" w:rsidR="002A21AE" w:rsidRDefault="002A21AE">
            <w:pPr>
              <w:pStyle w:val="NotesText"/>
            </w:pPr>
          </w:p>
          <w:p w14:paraId="3FB40523" w14:textId="77777777" w:rsidR="002A21AE" w:rsidRDefault="002A21AE">
            <w:pPr>
              <w:pStyle w:val="NotesText"/>
            </w:pPr>
            <w:r>
              <w:rPr>
                <w:rFonts w:cs="Arial"/>
                <w:vanish/>
              </w:rPr>
              <w:t xml:space="preserve">BR_38.16 </w:t>
            </w:r>
            <w:r>
              <w:t xml:space="preserve">The user may not add duplicate SIs or TRs in the same session, but may duplicate them in another session. </w:t>
            </w:r>
          </w:p>
          <w:p w14:paraId="7835E368" w14:textId="77777777" w:rsidR="002A21AE" w:rsidRDefault="002A21AE">
            <w:pPr>
              <w:pStyle w:val="NotesText"/>
            </w:pPr>
          </w:p>
          <w:p w14:paraId="466208DD" w14:textId="3D5D87D9" w:rsidR="002A21AE" w:rsidRDefault="002A21AE">
            <w:pPr>
              <w:pStyle w:val="NotesText"/>
            </w:pPr>
            <w:r>
              <w:rPr>
                <w:rFonts w:cs="Arial"/>
                <w:vanish/>
              </w:rPr>
              <w:t xml:space="preserve">BR_38.07 </w:t>
            </w:r>
            <w:r>
              <w:t xml:space="preserve">The division code and date of entry are associated with the entered component or antigen negative requirement, or antibody specificity so that other divisions will know who to contact for further information, when needed. The original entries may have been made through Patient Testing (associated with an antibody identification) or TRs from any division within a multidivisional database. </w:t>
            </w:r>
          </w:p>
        </w:tc>
      </w:tr>
      <w:tr w:rsidR="002A21AE" w14:paraId="66E4751B" w14:textId="77777777" w:rsidTr="006C058D">
        <w:trPr>
          <w:cantSplit/>
        </w:trPr>
        <w:tc>
          <w:tcPr>
            <w:tcW w:w="3240" w:type="dxa"/>
          </w:tcPr>
          <w:p w14:paraId="674A0ABF" w14:textId="2802FBDA" w:rsidR="002A21AE" w:rsidRDefault="002A21AE">
            <w:pPr>
              <w:pStyle w:val="TableTextNumbers"/>
            </w:pPr>
            <w:r>
              <w:t>Select the TR to be inactivated</w:t>
            </w:r>
            <w:r w:rsidR="005346F4">
              <w:t xml:space="preserve"> (</w:t>
            </w:r>
            <w:r w:rsidR="00EE455E">
              <w:t xml:space="preserve">Figure </w:t>
            </w:r>
            <w:r w:rsidR="00EE455E">
              <w:rPr>
                <w:noProof/>
              </w:rPr>
              <w:t>110</w:t>
            </w:r>
            <w:r w:rsidR="005346F4">
              <w:t>)</w:t>
            </w:r>
            <w:r>
              <w:t>.</w:t>
            </w:r>
          </w:p>
          <w:p w14:paraId="1E8B215F" w14:textId="77777777" w:rsidR="002A21AE" w:rsidRDefault="002A21AE">
            <w:pPr>
              <w:pStyle w:val="TableTextNumbersContinued"/>
            </w:pPr>
          </w:p>
          <w:p w14:paraId="5A8C0723" w14:textId="77777777" w:rsidR="002A21AE" w:rsidRDefault="002A21AE">
            <w:pPr>
              <w:pStyle w:val="TableTextNumbersContinued"/>
            </w:pPr>
            <w:r>
              <w:t xml:space="preserve">Select and/or enter an explanatory comment and click </w:t>
            </w:r>
            <w:r>
              <w:rPr>
                <w:b/>
              </w:rPr>
              <w:t>OK</w:t>
            </w:r>
            <w:r>
              <w:t xml:space="preserve">. </w:t>
            </w:r>
          </w:p>
        </w:tc>
        <w:tc>
          <w:tcPr>
            <w:tcW w:w="6120" w:type="dxa"/>
          </w:tcPr>
          <w:p w14:paraId="48FAAA72" w14:textId="77777777" w:rsidR="002A21AE" w:rsidRDefault="002A21AE">
            <w:pPr>
              <w:pStyle w:val="TableTextBullet"/>
            </w:pPr>
            <w:r>
              <w:t>Allows the user to enter a comment.</w:t>
            </w:r>
          </w:p>
          <w:p w14:paraId="5369C45C" w14:textId="77777777" w:rsidR="002A21AE" w:rsidRDefault="002A21AE">
            <w:pPr>
              <w:pStyle w:val="TableText"/>
            </w:pPr>
          </w:p>
          <w:p w14:paraId="1B9EDB4F" w14:textId="17DA5F3C" w:rsidR="002A21AE" w:rsidRDefault="002A21AE">
            <w:pPr>
              <w:pStyle w:val="TableText"/>
              <w:rPr>
                <w:b/>
                <w:bCs/>
                <w:szCs w:val="18"/>
              </w:rPr>
            </w:pPr>
            <w:r>
              <w:rPr>
                <w:b/>
                <w:bCs/>
                <w:szCs w:val="18"/>
              </w:rPr>
              <w:t>NOTES</w:t>
            </w:r>
          </w:p>
          <w:p w14:paraId="38503007" w14:textId="77777777" w:rsidR="002A21AE" w:rsidRPr="00B31C95" w:rsidRDefault="002A21AE">
            <w:pPr>
              <w:pStyle w:val="NotesText"/>
              <w:rPr>
                <w:rFonts w:cs="Arial"/>
                <w:szCs w:val="18"/>
              </w:rPr>
            </w:pPr>
          </w:p>
          <w:p w14:paraId="774F5D92" w14:textId="77777777" w:rsidR="002D516C" w:rsidRPr="00B31C95" w:rsidRDefault="002A21AE" w:rsidP="002D516C">
            <w:pPr>
              <w:pStyle w:val="TableText"/>
              <w:ind w:left="720"/>
              <w:rPr>
                <w:rFonts w:cs="Arial"/>
                <w:szCs w:val="18"/>
              </w:rPr>
            </w:pPr>
            <w:r w:rsidRPr="00B31C95">
              <w:rPr>
                <w:rFonts w:cs="Arial"/>
                <w:vanish/>
                <w:szCs w:val="18"/>
              </w:rPr>
              <w:t xml:space="preserve">BR_38.13 </w:t>
            </w:r>
            <w:r w:rsidR="002D516C" w:rsidRPr="00B31C95">
              <w:rPr>
                <w:rFonts w:cs="Arial"/>
                <w:szCs w:val="18"/>
              </w:rPr>
              <w:t xml:space="preserve">When a Transfusion Requirement is inactivated in any division in a multidivisional configuration, a comment (free text or from a canned comment with the context: </w:t>
            </w:r>
            <w:r w:rsidR="00B31C95" w:rsidRPr="00B31C95">
              <w:rPr>
                <w:rStyle w:val="StyleTableText9ptCharChar"/>
                <w:rFonts w:cs="Arial"/>
                <w:szCs w:val="18"/>
              </w:rPr>
              <w:t>Transfusion Requirement Inactivation)</w:t>
            </w:r>
            <w:r w:rsidR="00B31C95" w:rsidRPr="00B31C95">
              <w:rPr>
                <w:rFonts w:cs="Arial"/>
                <w:szCs w:val="18"/>
              </w:rPr>
              <w:t xml:space="preserve"> must be added that will be saved and printed on the audit trail of originating division alerting the originating division of the change to the patient’s TR setting if they were not consulted regarding that change. </w:t>
            </w:r>
            <w:r w:rsidR="00B31C95" w:rsidRPr="00B31C95">
              <w:rPr>
                <w:rFonts w:cs="Arial"/>
                <w:vanish/>
                <w:szCs w:val="18"/>
              </w:rPr>
              <w:t>DR 4598</w:t>
            </w:r>
          </w:p>
          <w:p w14:paraId="3AC5B2DC" w14:textId="77777777" w:rsidR="002D516C" w:rsidRPr="00B31C95" w:rsidRDefault="002D516C" w:rsidP="002D516C">
            <w:pPr>
              <w:pStyle w:val="TableText"/>
              <w:rPr>
                <w:rFonts w:cs="Arial"/>
                <w:szCs w:val="18"/>
              </w:rPr>
            </w:pPr>
          </w:p>
          <w:p w14:paraId="4D6B6F79" w14:textId="77777777" w:rsidR="002A21AE" w:rsidRPr="00B31C95" w:rsidRDefault="002D516C" w:rsidP="002D516C">
            <w:pPr>
              <w:pStyle w:val="NotesText"/>
              <w:rPr>
                <w:rFonts w:cs="Arial"/>
                <w:szCs w:val="18"/>
              </w:rPr>
            </w:pPr>
            <w:r w:rsidRPr="00B31C95">
              <w:rPr>
                <w:rFonts w:cs="Arial"/>
                <w:szCs w:val="18"/>
              </w:rPr>
              <w:t xml:space="preserve">Note:  It is best practice that inactivating a TR in the non-originating division involves a consultation with the originating division and allowing the originating to make the change with any </w:t>
            </w:r>
            <w:r w:rsidR="00B31C95" w:rsidRPr="00B31C95">
              <w:rPr>
                <w:rFonts w:cs="Arial"/>
                <w:szCs w:val="18"/>
              </w:rPr>
              <w:t>locally required documentation.</w:t>
            </w:r>
          </w:p>
          <w:p w14:paraId="2DA04EB9" w14:textId="77777777" w:rsidR="00DB7814" w:rsidRPr="00B31C95" w:rsidRDefault="00DB7814">
            <w:pPr>
              <w:pStyle w:val="NotesText"/>
              <w:rPr>
                <w:rFonts w:cs="Arial"/>
                <w:szCs w:val="18"/>
              </w:rPr>
            </w:pPr>
          </w:p>
          <w:p w14:paraId="79F8D9E8" w14:textId="77777777" w:rsidR="00DB7814" w:rsidRPr="00B31C95" w:rsidRDefault="00DB7814" w:rsidP="00DB7814">
            <w:pPr>
              <w:pStyle w:val="NotesText"/>
              <w:rPr>
                <w:rFonts w:cs="Arial"/>
                <w:szCs w:val="18"/>
              </w:rPr>
            </w:pPr>
            <w:r w:rsidRPr="00B31C95">
              <w:rPr>
                <w:rFonts w:cs="Arial"/>
                <w:szCs w:val="18"/>
              </w:rPr>
              <w:t>For inactivation of an item:</w:t>
            </w:r>
          </w:p>
          <w:p w14:paraId="5ACC9D27" w14:textId="77777777" w:rsidR="00DB7814" w:rsidRPr="00B31C95" w:rsidRDefault="00DB7814" w:rsidP="00DB7814">
            <w:pPr>
              <w:pStyle w:val="NotesTextBullet"/>
              <w:rPr>
                <w:rFonts w:cs="Arial"/>
                <w:szCs w:val="18"/>
              </w:rPr>
            </w:pPr>
            <w:r w:rsidRPr="00B31C95">
              <w:rPr>
                <w:rFonts w:cs="Arial"/>
                <w:vanish/>
                <w:szCs w:val="18"/>
              </w:rPr>
              <w:t xml:space="preserve">BR_38.09, BR_38.12, BR_38.14 </w:t>
            </w:r>
            <w:r w:rsidR="00B578C9" w:rsidRPr="00AE271A">
              <w:rPr>
                <w:rFonts w:ascii="Wingdings 3" w:hAnsi="Wingdings 3"/>
              </w:rPr>
              <w:t></w:t>
            </w:r>
            <w:r w:rsidR="00B578C9" w:rsidRPr="00AE271A">
              <w:rPr>
                <w:rFonts w:ascii="Wingdings 3" w:hAnsi="Wingdings 3"/>
              </w:rPr>
              <w:t></w:t>
            </w:r>
            <w:r w:rsidR="00B578C9" w:rsidRPr="00AE271A">
              <w:rPr>
                <w:rFonts w:ascii="Wingdings 3" w:hAnsi="Wingdings 3"/>
              </w:rPr>
              <w:t></w:t>
            </w:r>
            <w:r w:rsidR="00B578C9" w:rsidRPr="00AE271A">
              <w:rPr>
                <w:rFonts w:ascii="Wingdings 3" w:hAnsi="Wingdings 3"/>
              </w:rPr>
              <w:t></w:t>
            </w:r>
            <w:r w:rsidR="00B578C9">
              <w:t xml:space="preserve"> </w:t>
            </w:r>
            <w:r w:rsidRPr="00B31C95">
              <w:rPr>
                <w:rFonts w:cs="Arial"/>
                <w:szCs w:val="18"/>
              </w:rPr>
              <w:t xml:space="preserve">A Traditional Supervisor from any division may inactivate TRs and persistent antigen negative requirements in a multidivisional database regardless of the source of the TR. </w:t>
            </w:r>
          </w:p>
          <w:p w14:paraId="76B5D561" w14:textId="77777777" w:rsidR="00994FF2" w:rsidRPr="00B31C95" w:rsidRDefault="00DB7814" w:rsidP="00994FF2">
            <w:pPr>
              <w:pStyle w:val="NotesTextBullet"/>
              <w:rPr>
                <w:rFonts w:cs="Arial"/>
                <w:szCs w:val="18"/>
              </w:rPr>
            </w:pPr>
            <w:r w:rsidRPr="00B31C95">
              <w:rPr>
                <w:rFonts w:cs="Arial"/>
                <w:vanish/>
                <w:szCs w:val="18"/>
              </w:rPr>
              <w:t xml:space="preserve">BR_38.15 </w:t>
            </w:r>
            <w:r w:rsidRPr="00B31C95">
              <w:rPr>
                <w:rFonts w:cs="Arial"/>
                <w:szCs w:val="18"/>
              </w:rPr>
              <w:t>When an antibody specificity is inactivated, VBECS inactivates the corresponding calculated (VBECS-generated) antigen negative requirement.</w:t>
            </w:r>
          </w:p>
          <w:p w14:paraId="38C7DFE0" w14:textId="77777777" w:rsidR="00DB7814" w:rsidRDefault="00DB7814" w:rsidP="00994FF2">
            <w:pPr>
              <w:pStyle w:val="NotesTextBullet"/>
            </w:pPr>
            <w:r w:rsidRPr="00B31C95">
              <w:rPr>
                <w:rFonts w:cs="Arial"/>
                <w:vanish/>
                <w:szCs w:val="18"/>
              </w:rPr>
              <w:t xml:space="preserve">BR_38.11, BR_38.03 </w:t>
            </w:r>
            <w:r w:rsidRPr="00B31C95">
              <w:rPr>
                <w:rFonts w:cs="Arial"/>
                <w:szCs w:val="18"/>
              </w:rPr>
              <w:t>For antibodies identified, VBECS displays a summary of antibodies currently associated with the patient and identifies their source. Additional antibodies may be added and previously identified antibodies may be inactivated.</w:t>
            </w:r>
          </w:p>
        </w:tc>
      </w:tr>
      <w:tr w:rsidR="002A21AE" w14:paraId="69802D54" w14:textId="77777777">
        <w:tc>
          <w:tcPr>
            <w:tcW w:w="3240" w:type="dxa"/>
          </w:tcPr>
          <w:p w14:paraId="656D79C1" w14:textId="77777777" w:rsidR="002A21AE" w:rsidRDefault="002A21AE">
            <w:pPr>
              <w:pStyle w:val="TableTextNumbers"/>
            </w:pPr>
            <w:r>
              <w:t>Return to Step 2 to continue editing the patient’s TRs.</w:t>
            </w:r>
          </w:p>
        </w:tc>
        <w:tc>
          <w:tcPr>
            <w:tcW w:w="6120" w:type="dxa"/>
          </w:tcPr>
          <w:p w14:paraId="33E4BF00" w14:textId="77777777" w:rsidR="002A21AE" w:rsidRDefault="002A21AE">
            <w:pPr>
              <w:pStyle w:val="TableText"/>
            </w:pPr>
          </w:p>
        </w:tc>
      </w:tr>
      <w:tr w:rsidR="002A21AE" w14:paraId="78C0E631" w14:textId="77777777">
        <w:tc>
          <w:tcPr>
            <w:tcW w:w="3240" w:type="dxa"/>
          </w:tcPr>
          <w:p w14:paraId="7557D08B" w14:textId="77777777" w:rsidR="002A21AE" w:rsidRDefault="002A21AE">
            <w:pPr>
              <w:pStyle w:val="TableTextNumbers"/>
            </w:pPr>
            <w:r>
              <w:t xml:space="preserve">Accept entries and exit, or </w:t>
            </w:r>
          </w:p>
          <w:p w14:paraId="44E86D51" w14:textId="77777777" w:rsidR="002A21AE" w:rsidRDefault="002A21AE">
            <w:pPr>
              <w:pStyle w:val="TableTextNumbersContinued"/>
            </w:pPr>
          </w:p>
          <w:p w14:paraId="23B689FB" w14:textId="77777777" w:rsidR="002A21AE" w:rsidRDefault="002A21AE">
            <w:pPr>
              <w:pStyle w:val="TableTextNumbersContinued"/>
            </w:pPr>
            <w:r>
              <w:t xml:space="preserve">Return to Step 1 to make entries for a different patient.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2CD81596" w14:textId="77777777" w:rsidR="002A21AE" w:rsidRDefault="002A21AE">
            <w:pPr>
              <w:pStyle w:val="TableText"/>
            </w:pPr>
          </w:p>
        </w:tc>
      </w:tr>
    </w:tbl>
    <w:p w14:paraId="1B4BE9AD" w14:textId="3B9243C6" w:rsidR="00994FF2" w:rsidRDefault="00994FF2" w:rsidP="00994FF2">
      <w:pPr>
        <w:pStyle w:val="Caption"/>
      </w:pPr>
      <w:bookmarkStart w:id="504" w:name="_Ref12709492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109</w:t>
      </w:r>
      <w:r w:rsidR="004E20BD">
        <w:rPr>
          <w:noProof/>
        </w:rPr>
        <w:fldChar w:fldCharType="end"/>
      </w:r>
      <w:bookmarkEnd w:id="504"/>
      <w:r>
        <w:t>: Enter Patient Special Instructions and Transfusion Requirements</w:t>
      </w:r>
    </w:p>
    <w:p w14:paraId="4A505FB3" w14:textId="77777777" w:rsidR="00994FF2" w:rsidRDefault="00057948" w:rsidP="00994FF2">
      <w:pPr>
        <w:pStyle w:val="BodyText"/>
      </w:pPr>
      <w:r>
        <w:rPr>
          <w:noProof/>
        </w:rPr>
        <w:drawing>
          <wp:inline distT="0" distB="0" distL="0" distR="0" wp14:anchorId="3D79FB35" wp14:editId="27DC2993">
            <wp:extent cx="5597525" cy="4313555"/>
            <wp:effectExtent l="0" t="0" r="3175" b="0"/>
            <wp:docPr id="253" name="Picture 253" descr="Example of Enter Patient Special Instructions and Transfusion Requiremen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Example of Enter Patient Special Instructions and Transfusion Requirements screen captur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597525" cy="4313555"/>
                    </a:xfrm>
                    <a:prstGeom prst="rect">
                      <a:avLst/>
                    </a:prstGeom>
                    <a:noFill/>
                    <a:ln>
                      <a:noFill/>
                    </a:ln>
                  </pic:spPr>
                </pic:pic>
              </a:graphicData>
            </a:graphic>
          </wp:inline>
        </w:drawing>
      </w:r>
    </w:p>
    <w:p w14:paraId="0874254E" w14:textId="14CB355E" w:rsidR="005346F4" w:rsidRDefault="005346F4" w:rsidP="005346F4">
      <w:pPr>
        <w:pStyle w:val="Caption"/>
      </w:pPr>
      <w:bookmarkStart w:id="505" w:name="_Ref12709516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110</w:t>
      </w:r>
      <w:r w:rsidR="004E20BD">
        <w:rPr>
          <w:noProof/>
        </w:rPr>
        <w:fldChar w:fldCharType="end"/>
      </w:r>
      <w:bookmarkEnd w:id="505"/>
      <w:r>
        <w:t>: Inactivate Component Requirements</w:t>
      </w:r>
    </w:p>
    <w:p w14:paraId="6AC7DB8E" w14:textId="77777777" w:rsidR="005346F4" w:rsidRDefault="00057948" w:rsidP="00994FF2">
      <w:pPr>
        <w:pStyle w:val="BodyText"/>
      </w:pPr>
      <w:r>
        <w:rPr>
          <w:noProof/>
        </w:rPr>
        <w:drawing>
          <wp:inline distT="0" distB="0" distL="0" distR="0" wp14:anchorId="209B9378" wp14:editId="0A144DA5">
            <wp:extent cx="5717540" cy="5089525"/>
            <wp:effectExtent l="0" t="0" r="0" b="0"/>
            <wp:docPr id="254" name="Picture 254" descr="Example of Inactivate Component Requremen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Example of Inactivate Component Requrements screen capture"/>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17540" cy="5089525"/>
                    </a:xfrm>
                    <a:prstGeom prst="rect">
                      <a:avLst/>
                    </a:prstGeom>
                    <a:noFill/>
                    <a:ln>
                      <a:noFill/>
                    </a:ln>
                  </pic:spPr>
                </pic:pic>
              </a:graphicData>
            </a:graphic>
          </wp:inline>
        </w:drawing>
      </w:r>
    </w:p>
    <w:p w14:paraId="103EB599" w14:textId="77777777" w:rsidR="002A21AE" w:rsidRDefault="002A21AE">
      <w:pPr>
        <w:pStyle w:val="Heading3"/>
      </w:pPr>
      <w:r>
        <w:br w:type="page"/>
      </w:r>
      <w:bookmarkStart w:id="506" w:name="_Toc149064169"/>
      <w:r>
        <w:t>Special Instructions &amp; Transfusion Requirements: Enter and Remove Special Instructions</w:t>
      </w:r>
      <w:bookmarkEnd w:id="506"/>
      <w:r>
        <w:fldChar w:fldCharType="begin"/>
      </w:r>
      <w:r>
        <w:instrText xml:space="preserve"> XE </w:instrText>
      </w:r>
      <w:r w:rsidR="00FA7E65">
        <w:instrText>“</w:instrText>
      </w:r>
      <w:r>
        <w:instrText>Special Instructions &amp; Transfusion Requirements\: Enter and Remove Special Instructions</w:instrText>
      </w:r>
      <w:r w:rsidR="00FA7E65">
        <w:instrText>”</w:instrText>
      </w:r>
      <w:r>
        <w:instrText xml:space="preserve"> </w:instrText>
      </w:r>
      <w:r>
        <w:fldChar w:fldCharType="end"/>
      </w:r>
      <w:r>
        <w:t xml:space="preserve"> </w:t>
      </w:r>
      <w:r>
        <w:rPr>
          <w:rFonts w:ascii="Times New Roman" w:hAnsi="Times New Roman" w:cs="Times New Roman"/>
          <w:b w:val="0"/>
          <w:vanish/>
          <w:sz w:val="22"/>
        </w:rPr>
        <w:t>UC_37</w:t>
      </w:r>
    </w:p>
    <w:p w14:paraId="50C96E58" w14:textId="77777777" w:rsidR="002A21AE" w:rsidRDefault="002A21AE" w:rsidP="00FA7E65">
      <w:pPr>
        <w:pStyle w:val="BodyText"/>
      </w:pPr>
      <w:r>
        <w:t>The user enter</w:t>
      </w:r>
      <w:r w:rsidR="007C7B3C">
        <w:t>s</w:t>
      </w:r>
      <w:r>
        <w:t xml:space="preserve"> comments in a patient’s file that are not enforced by VBECS.</w:t>
      </w:r>
    </w:p>
    <w:p w14:paraId="5A9B15E9" w14:textId="77777777" w:rsidR="002A21AE" w:rsidRDefault="002A21AE">
      <w:pPr>
        <w:pStyle w:val="Heading4"/>
      </w:pPr>
      <w:r>
        <w:t>Assumptions</w:t>
      </w:r>
      <w:r>
        <w:rPr>
          <w:b w:val="0"/>
        </w:rPr>
        <w:t xml:space="preserve"> </w:t>
      </w:r>
    </w:p>
    <w:p w14:paraId="0AA473B9" w14:textId="77777777" w:rsidR="002A21AE" w:rsidRDefault="002A21AE">
      <w:pPr>
        <w:pStyle w:val="ListBullet"/>
      </w:pPr>
      <w:r>
        <w:t>Fields containing Special Instructions (SIs) may be populated during database conversion.</w:t>
      </w:r>
    </w:p>
    <w:p w14:paraId="61F83F25" w14:textId="77777777" w:rsidR="002A21AE" w:rsidRDefault="002A21AE">
      <w:pPr>
        <w:pStyle w:val="Heading4"/>
      </w:pPr>
      <w:r>
        <w:t xml:space="preserve">Outcome </w:t>
      </w:r>
    </w:p>
    <w:p w14:paraId="0B9B5E76" w14:textId="77777777" w:rsidR="002A21AE" w:rsidRDefault="002A21AE">
      <w:pPr>
        <w:pStyle w:val="ListBullet"/>
      </w:pPr>
      <w:r>
        <w:t xml:space="preserve">When the user searches for a patient or when the Patient Information Toolbar is displayed, VBECS displays </w:t>
      </w:r>
      <w:r w:rsidR="00057948">
        <w:rPr>
          <w:noProof/>
        </w:rPr>
        <w:drawing>
          <wp:inline distT="0" distB="0" distL="0" distR="0" wp14:anchorId="292C7C10" wp14:editId="564C1413">
            <wp:extent cx="156845" cy="156845"/>
            <wp:effectExtent l="0" t="0" r="0" b="0"/>
            <wp:docPr id="255" name="Picture 255"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to alert the user to view the patient’s SI entries.</w:t>
      </w:r>
    </w:p>
    <w:p w14:paraId="62839D8C" w14:textId="77777777" w:rsidR="002A21AE" w:rsidRDefault="002A21AE">
      <w:pPr>
        <w:pStyle w:val="ListBullet"/>
      </w:pPr>
      <w:r>
        <w:t>When a user retrieves a patient record and is in a multidivisional setting, he may view SIs created in all divisions within the database.</w:t>
      </w:r>
    </w:p>
    <w:p w14:paraId="6E3FE50A" w14:textId="77777777" w:rsidR="002A21AE" w:rsidRDefault="002A21AE">
      <w:pPr>
        <w:pStyle w:val="Heading4"/>
      </w:pPr>
      <w:r>
        <w:t>Limitations and Restrictions</w:t>
      </w:r>
      <w:r>
        <w:rPr>
          <w:b w:val="0"/>
        </w:rPr>
        <w:t xml:space="preserve"> </w:t>
      </w:r>
    </w:p>
    <w:p w14:paraId="2442A107" w14:textId="77777777" w:rsidR="002A21AE" w:rsidRDefault="00F632F2">
      <w:pPr>
        <w:pStyle w:val="ListBullet"/>
      </w:pPr>
      <w:r>
        <w:t xml:space="preserve">VBECS does not enforce </w:t>
      </w:r>
      <w:r w:rsidR="002A21AE">
        <w:t xml:space="preserve">Transfusion Requirements (TRs) or antigen negative requirements </w:t>
      </w:r>
      <w:r>
        <w:t xml:space="preserve">entered </w:t>
      </w:r>
      <w:r w:rsidR="002A21AE">
        <w:t>through this option.</w:t>
      </w:r>
    </w:p>
    <w:p w14:paraId="2B284EB4" w14:textId="77777777" w:rsidR="002A21AE" w:rsidRDefault="002A21AE">
      <w:pPr>
        <w:pStyle w:val="ListBullet"/>
      </w:pPr>
      <w:r>
        <w:t xml:space="preserve">SIs moved to VBECS during the </w:t>
      </w:r>
      <w:r w:rsidR="00150930">
        <w:t>database conversion</w:t>
      </w:r>
      <w:r>
        <w:t xml:space="preserve"> </w:t>
      </w:r>
      <w:r w:rsidR="009A4A6D">
        <w:t xml:space="preserve">may contain information that must </w:t>
      </w:r>
      <w:r>
        <w:t xml:space="preserve">be entered as TRs in VBECS. Inactivate the old SI and create a TR and new updated SI: the </w:t>
      </w:r>
      <w:r w:rsidR="00150930">
        <w:t>database conversion</w:t>
      </w:r>
      <w:r>
        <w:t xml:space="preserve"> software cannot automatically translate the SI from database conversion into a rule-based TR.</w:t>
      </w:r>
    </w:p>
    <w:p w14:paraId="44601BF8" w14:textId="77777777" w:rsidR="002A21AE" w:rsidRDefault="009333B1">
      <w:pPr>
        <w:pStyle w:val="ListBullet"/>
      </w:pPr>
      <w:r>
        <w:t xml:space="preserve">VBECS will truncate </w:t>
      </w:r>
      <w:r w:rsidR="00DB7814">
        <w:t xml:space="preserve">SI text from </w:t>
      </w:r>
      <w:r w:rsidR="00837204">
        <w:t xml:space="preserve">the </w:t>
      </w:r>
      <w:r w:rsidR="00DB7814">
        <w:t xml:space="preserve">VistA </w:t>
      </w:r>
      <w:r w:rsidR="00150930">
        <w:t>database conversion</w:t>
      </w:r>
      <w:r w:rsidR="002A21AE">
        <w:t>.</w:t>
      </w:r>
    </w:p>
    <w:p w14:paraId="361DC4FF" w14:textId="77777777" w:rsidR="002A21AE" w:rsidRDefault="002A21AE">
      <w:pPr>
        <w:pStyle w:val="Heading4"/>
      </w:pPr>
      <w:r>
        <w:t>Additional Information</w:t>
      </w:r>
    </w:p>
    <w:p w14:paraId="2F1B448D" w14:textId="77777777" w:rsidR="002A21AE" w:rsidRDefault="002A21AE">
      <w:pPr>
        <w:pStyle w:val="ListBullet"/>
      </w:pPr>
      <w:r>
        <w:t xml:space="preserve">Inactivation of patient SI entries is allowed only in the division of entry. </w:t>
      </w:r>
    </w:p>
    <w:p w14:paraId="4421ADDD" w14:textId="77777777" w:rsidR="002A21AE" w:rsidRDefault="002A21AE">
      <w:pPr>
        <w:pStyle w:val="ListBullet"/>
      </w:pPr>
      <w:r>
        <w:t xml:space="preserve">Only currently active SIs at a division will automatically display via the database to all divisions. </w:t>
      </w:r>
    </w:p>
    <w:p w14:paraId="5B17CC8D" w14:textId="77777777" w:rsidR="002A21AE" w:rsidRDefault="002A21AE">
      <w:pPr>
        <w:pStyle w:val="ListBullet"/>
      </w:pPr>
      <w:r>
        <w:t xml:space="preserve">Inactive SIs are not deleted from the VBECS database. They may not be reactivated but may be viewed in the maintenance fields when requested. </w:t>
      </w:r>
    </w:p>
    <w:p w14:paraId="3B0F3230" w14:textId="77777777" w:rsidR="002A21AE" w:rsidRDefault="002A21AE">
      <w:pPr>
        <w:pStyle w:val="ListBullet"/>
      </w:pPr>
      <w:r>
        <w:t xml:space="preserve">Canned comments in the Special Instructions context must be entered by the division before they can be selected for use. </w:t>
      </w:r>
    </w:p>
    <w:p w14:paraId="510523AB" w14:textId="77777777" w:rsidR="002A21AE" w:rsidRDefault="002A21AE">
      <w:pPr>
        <w:pStyle w:val="ListBullet"/>
      </w:pPr>
      <w:r>
        <w:rPr>
          <w:rFonts w:ascii="Arial" w:hAnsi="Arial" w:cs="Arial"/>
          <w:vanish/>
          <w:spacing w:val="0"/>
          <w:sz w:val="18"/>
        </w:rPr>
        <w:t xml:space="preserve">BR_37.03 </w:t>
      </w:r>
      <w:r>
        <w:t>Previously saved Special Instructions that require editing due to context or spelling errors must be inactivated and reentered in total.</w:t>
      </w:r>
    </w:p>
    <w:p w14:paraId="4D3634DB" w14:textId="77777777" w:rsidR="002A21AE" w:rsidRDefault="00150930">
      <w:pPr>
        <w:pStyle w:val="ListBullet"/>
      </w:pPr>
      <w:r>
        <w:t>Database conversion</w:t>
      </w:r>
      <w:r w:rsidR="002A21AE">
        <w:t xml:space="preserve"> entries are labeled as such. </w:t>
      </w:r>
      <w:r w:rsidR="002A21AE">
        <w:rPr>
          <w:rFonts w:ascii="Arial" w:hAnsi="Arial" w:cs="Arial"/>
          <w:vanish/>
          <w:spacing w:val="0"/>
          <w:sz w:val="18"/>
        </w:rPr>
        <w:t xml:space="preserve">BR_37.05 </w:t>
      </w:r>
    </w:p>
    <w:p w14:paraId="33969851" w14:textId="77777777" w:rsidR="002A21AE" w:rsidRDefault="002A21AE">
      <w:pPr>
        <w:pStyle w:val="ListBullet"/>
      </w:pPr>
      <w:r>
        <w:t>SIs from database conversion may include component or antigen negative requirements that must be entered in TRs so that VBECS can enforce them.</w:t>
      </w:r>
    </w:p>
    <w:p w14:paraId="335E1E56" w14:textId="77777777" w:rsidR="002A21AE" w:rsidRDefault="002A21AE">
      <w:pPr>
        <w:pStyle w:val="Heading4"/>
        <w:rPr>
          <w:b w:val="0"/>
        </w:rPr>
      </w:pPr>
      <w:r>
        <w:t>User Roles with Access to This Option</w:t>
      </w:r>
      <w:r>
        <w:rPr>
          <w:b w:val="0"/>
        </w:rPr>
        <w:t xml:space="preserve"> </w:t>
      </w:r>
    </w:p>
    <w:p w14:paraId="3CBEAAF3" w14:textId="77777777" w:rsidR="001C7911" w:rsidRDefault="001C7911" w:rsidP="001C7911">
      <w:pPr>
        <w:pStyle w:val="Roles"/>
      </w:pPr>
      <w:r>
        <w:t>All users</w:t>
      </w:r>
    </w:p>
    <w:p w14:paraId="03B103B7" w14:textId="77777777" w:rsidR="00F3651E" w:rsidRDefault="00F3651E">
      <w:pPr>
        <w:rPr>
          <w:rFonts w:ascii="Arial" w:hAnsi="Arial"/>
          <w:b/>
          <w:sz w:val="22"/>
        </w:rPr>
      </w:pPr>
      <w:r>
        <w:br w:type="page"/>
      </w:r>
    </w:p>
    <w:p w14:paraId="79B100B8" w14:textId="325F0E36" w:rsidR="002A21AE" w:rsidRDefault="002A21AE">
      <w:pPr>
        <w:pStyle w:val="Heading4"/>
      </w:pPr>
      <w:r>
        <w:t>Special Instructions &amp; Transfusion Requirements: Enter a Special Instruction</w:t>
      </w:r>
    </w:p>
    <w:p w14:paraId="167587E2" w14:textId="77777777" w:rsidR="002A21AE" w:rsidRDefault="002A21AE" w:rsidP="00FA7E65">
      <w:pPr>
        <w:pStyle w:val="BodyText"/>
      </w:pPr>
      <w:r>
        <w:t>A user may add to and inactivate SI comments in a patient’s blood bank record. Users in all divisions in a multidivisional database may view these comments.</w:t>
      </w:r>
    </w:p>
    <w:tbl>
      <w:tblPr>
        <w:tblpPr w:leftFromText="180" w:rightFromText="180" w:vertAnchor="text"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560A067" w14:textId="77777777">
        <w:tc>
          <w:tcPr>
            <w:tcW w:w="3240" w:type="dxa"/>
            <w:shd w:val="pct30" w:color="auto" w:fill="FFFFFF"/>
            <w:vAlign w:val="bottom"/>
          </w:tcPr>
          <w:p w14:paraId="35EAB874" w14:textId="77777777" w:rsidR="002A21AE" w:rsidRDefault="002A21AE">
            <w:pPr>
              <w:pStyle w:val="TableText"/>
              <w:rPr>
                <w:b/>
              </w:rPr>
            </w:pPr>
            <w:r>
              <w:rPr>
                <w:b/>
              </w:rPr>
              <w:t>User Action</w:t>
            </w:r>
          </w:p>
        </w:tc>
        <w:tc>
          <w:tcPr>
            <w:tcW w:w="6120" w:type="dxa"/>
            <w:shd w:val="pct30" w:color="auto" w:fill="FFFFFF"/>
            <w:vAlign w:val="bottom"/>
          </w:tcPr>
          <w:p w14:paraId="08B2FB55" w14:textId="77777777" w:rsidR="002A21AE" w:rsidRDefault="002A21AE">
            <w:pPr>
              <w:pStyle w:val="TableText"/>
              <w:rPr>
                <w:b/>
              </w:rPr>
            </w:pPr>
            <w:r>
              <w:rPr>
                <w:b/>
              </w:rPr>
              <w:t>VBECS</w:t>
            </w:r>
          </w:p>
        </w:tc>
      </w:tr>
      <w:tr w:rsidR="002A21AE" w14:paraId="02588AFD" w14:textId="77777777">
        <w:tc>
          <w:tcPr>
            <w:tcW w:w="3240" w:type="dxa"/>
          </w:tcPr>
          <w:p w14:paraId="76F675EB" w14:textId="77777777" w:rsidR="002A21AE" w:rsidRDefault="002A21AE">
            <w:pPr>
              <w:pStyle w:val="TableTextNumbers"/>
            </w:pPr>
            <w:r>
              <w:t xml:space="preserve">Select </w:t>
            </w:r>
            <w:r>
              <w:rPr>
                <w:b/>
              </w:rPr>
              <w:t>Patients</w:t>
            </w:r>
            <w:r>
              <w:t xml:space="preserve"> from the main menu.</w:t>
            </w:r>
          </w:p>
          <w:p w14:paraId="6816A4CA" w14:textId="77777777" w:rsidR="002A21AE" w:rsidRDefault="002A21AE">
            <w:pPr>
              <w:pStyle w:val="TableTextNumbersContinued"/>
            </w:pPr>
          </w:p>
          <w:p w14:paraId="47BCD34A" w14:textId="77777777" w:rsidR="002A21AE" w:rsidRDefault="002A21AE">
            <w:pPr>
              <w:pStyle w:val="TableTextNumbersContinued"/>
            </w:pPr>
            <w:r>
              <w:t xml:space="preserve">Select </w:t>
            </w:r>
            <w:r>
              <w:rPr>
                <w:b/>
              </w:rPr>
              <w:t>Special Instructions &amp; Transfusion Requirements</w:t>
            </w:r>
            <w:r>
              <w:t>, or</w:t>
            </w:r>
          </w:p>
          <w:p w14:paraId="3202AC07" w14:textId="77777777" w:rsidR="002A21AE" w:rsidRDefault="002A21AE">
            <w:pPr>
              <w:pStyle w:val="TableTextNumbersContinued"/>
            </w:pPr>
          </w:p>
          <w:p w14:paraId="2B8E62D5" w14:textId="77777777" w:rsidR="002A21AE" w:rsidRDefault="002A21AE">
            <w:pPr>
              <w:pStyle w:val="TableTextNumbersContinued"/>
            </w:pPr>
            <w:r>
              <w:t xml:space="preserve">Click </w:t>
            </w:r>
            <w:r w:rsidR="00057948">
              <w:rPr>
                <w:noProof/>
              </w:rPr>
              <w:drawing>
                <wp:inline distT="0" distB="0" distL="0" distR="0" wp14:anchorId="5E7B25C4" wp14:editId="1FAE4755">
                  <wp:extent cx="156845" cy="156845"/>
                  <wp:effectExtent l="0" t="0" r="0" b="0"/>
                  <wp:docPr id="256" name="Picture 256"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View Special Instructions and Transfusion Requirements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in the Patient Information Toolbar, when displayed.</w:t>
            </w:r>
          </w:p>
        </w:tc>
        <w:tc>
          <w:tcPr>
            <w:tcW w:w="6120" w:type="dxa"/>
          </w:tcPr>
          <w:p w14:paraId="10725A80" w14:textId="77777777" w:rsidR="002A21AE" w:rsidRDefault="002A21AE">
            <w:pPr>
              <w:pStyle w:val="TableTextBullet"/>
            </w:pPr>
            <w:r>
              <w:t>Displays options for processing patient-related functions.</w:t>
            </w:r>
          </w:p>
          <w:p w14:paraId="0E06A12B" w14:textId="77777777" w:rsidR="002A21AE" w:rsidRDefault="002A21AE">
            <w:pPr>
              <w:pStyle w:val="TableTextBullet"/>
            </w:pPr>
            <w:r>
              <w:t xml:space="preserve">Displays the option to select a patient, if one is not already selected. </w:t>
            </w:r>
          </w:p>
          <w:p w14:paraId="2F6198BB" w14:textId="77777777" w:rsidR="002A21AE" w:rsidRDefault="002A21AE">
            <w:pPr>
              <w:pStyle w:val="TableText"/>
              <w:rPr>
                <w:b/>
                <w:bCs/>
                <w:szCs w:val="18"/>
              </w:rPr>
            </w:pPr>
          </w:p>
          <w:p w14:paraId="4E2D1AEB" w14:textId="2F8451DF" w:rsidR="002A21AE" w:rsidRDefault="002A21AE">
            <w:pPr>
              <w:pStyle w:val="TableText"/>
              <w:rPr>
                <w:b/>
                <w:bCs/>
                <w:szCs w:val="18"/>
              </w:rPr>
            </w:pPr>
            <w:r>
              <w:rPr>
                <w:b/>
                <w:bCs/>
                <w:szCs w:val="18"/>
              </w:rPr>
              <w:t>NOTES</w:t>
            </w:r>
          </w:p>
          <w:p w14:paraId="336E932C" w14:textId="77777777" w:rsidR="002A21AE" w:rsidRDefault="002A21AE">
            <w:pPr>
              <w:pStyle w:val="NotesText"/>
            </w:pPr>
          </w:p>
          <w:p w14:paraId="3410C4BE" w14:textId="77777777" w:rsidR="002A21AE" w:rsidRDefault="002A21AE">
            <w:pPr>
              <w:pStyle w:val="NotesText"/>
            </w:pPr>
            <w:r>
              <w:t xml:space="preserve">The user may also click </w:t>
            </w:r>
            <w:r>
              <w:rPr>
                <w:b/>
              </w:rPr>
              <w:t>New SI or TR</w:t>
            </w:r>
            <w:r>
              <w:t xml:space="preserve"> in Patient Testing to access this option.</w:t>
            </w:r>
          </w:p>
        </w:tc>
      </w:tr>
      <w:tr w:rsidR="002A21AE" w14:paraId="2F7F3CAA" w14:textId="77777777">
        <w:tc>
          <w:tcPr>
            <w:tcW w:w="3240" w:type="dxa"/>
          </w:tcPr>
          <w:p w14:paraId="19D8B6D9" w14:textId="77777777" w:rsidR="002A21AE" w:rsidRDefault="002A21AE">
            <w:pPr>
              <w:pStyle w:val="TableTextNumbers"/>
            </w:pPr>
            <w:r>
              <w:t>Select a patient.</w:t>
            </w:r>
          </w:p>
          <w:p w14:paraId="29EB5962" w14:textId="77777777" w:rsidR="00DA5ED4" w:rsidRDefault="00DA5ED4" w:rsidP="00DA5ED4">
            <w:pPr>
              <w:pStyle w:val="TableTextNumbersContinued"/>
            </w:pPr>
          </w:p>
          <w:p w14:paraId="44D0D812" w14:textId="77777777" w:rsidR="00DA5ED4" w:rsidRDefault="00DA5ED4" w:rsidP="00DA5ED4">
            <w:pPr>
              <w:pStyle w:val="TableTextNumbersContinued"/>
            </w:pPr>
            <w:r>
              <w:t xml:space="preserve">Click </w:t>
            </w:r>
            <w:r w:rsidRPr="00DA5ED4">
              <w:rPr>
                <w:b/>
              </w:rPr>
              <w:t>OK</w:t>
            </w:r>
            <w:r>
              <w:t>.</w:t>
            </w:r>
          </w:p>
        </w:tc>
        <w:tc>
          <w:tcPr>
            <w:tcW w:w="6120" w:type="dxa"/>
          </w:tcPr>
          <w:p w14:paraId="1AFE11B8" w14:textId="77777777" w:rsidR="002A21AE" w:rsidRDefault="002A21AE">
            <w:pPr>
              <w:pStyle w:val="TableTextBullet"/>
            </w:pPr>
            <w:r>
              <w:t>Displays options to select a patient.</w:t>
            </w:r>
          </w:p>
          <w:p w14:paraId="1FFA77E4" w14:textId="77777777" w:rsidR="002A21AE" w:rsidRDefault="002A21AE">
            <w:pPr>
              <w:pStyle w:val="TableTextBullet"/>
            </w:pPr>
            <w:r>
              <w:t>Displays the option to enter a new comment or remove an existing comment in the division.</w:t>
            </w:r>
          </w:p>
          <w:p w14:paraId="66D63A92" w14:textId="77777777" w:rsidR="002A21AE" w:rsidRDefault="002A21AE">
            <w:pPr>
              <w:pStyle w:val="TableTextBullet"/>
            </w:pPr>
            <w:r>
              <w:t>Displays the active SI entries in reverse chronological order with all active SIs first, along with date, division code, and text of the entry.</w:t>
            </w:r>
          </w:p>
          <w:p w14:paraId="4391DD96" w14:textId="77777777" w:rsidR="002A21AE" w:rsidRDefault="002A21AE">
            <w:pPr>
              <w:pStyle w:val="TableText"/>
            </w:pPr>
          </w:p>
          <w:p w14:paraId="4DEEA892" w14:textId="0245A006" w:rsidR="002A21AE" w:rsidRDefault="002A21AE">
            <w:pPr>
              <w:pStyle w:val="TableText"/>
              <w:rPr>
                <w:b/>
                <w:bCs/>
                <w:szCs w:val="18"/>
              </w:rPr>
            </w:pPr>
            <w:r>
              <w:rPr>
                <w:b/>
                <w:bCs/>
                <w:szCs w:val="18"/>
              </w:rPr>
              <w:t>NOTES</w:t>
            </w:r>
          </w:p>
          <w:p w14:paraId="57C5C427" w14:textId="77777777" w:rsidR="002A21AE" w:rsidRDefault="002A21AE">
            <w:pPr>
              <w:pStyle w:val="NotesText"/>
            </w:pPr>
          </w:p>
          <w:p w14:paraId="5902E136" w14:textId="77777777" w:rsidR="002A21AE" w:rsidRDefault="002A21AE">
            <w:pPr>
              <w:pStyle w:val="NotesText"/>
            </w:pPr>
            <w:r>
              <w:t>The need for SIs is usually temporary and may not be required for all transfusions.</w:t>
            </w:r>
          </w:p>
          <w:p w14:paraId="5E86B4AC" w14:textId="77777777" w:rsidR="002A21AE" w:rsidRDefault="002A21AE">
            <w:pPr>
              <w:pStyle w:val="NotesText"/>
            </w:pPr>
          </w:p>
          <w:p w14:paraId="70CE2570" w14:textId="77777777" w:rsidR="002A21AE" w:rsidRDefault="002A21AE">
            <w:pPr>
              <w:pStyle w:val="NotesText"/>
            </w:pPr>
            <w:r>
              <w:t>The user may choose to display inactivated SI comments.</w:t>
            </w:r>
          </w:p>
        </w:tc>
      </w:tr>
      <w:tr w:rsidR="002A21AE" w14:paraId="7250B8E1" w14:textId="77777777">
        <w:tc>
          <w:tcPr>
            <w:tcW w:w="3240" w:type="dxa"/>
          </w:tcPr>
          <w:p w14:paraId="3F470CB7" w14:textId="41A4EC2A" w:rsidR="002A21AE" w:rsidRDefault="002A21AE">
            <w:pPr>
              <w:pStyle w:val="TableTextNumbers"/>
            </w:pPr>
            <w:r>
              <w:t xml:space="preserve">Select the </w:t>
            </w:r>
            <w:r>
              <w:rPr>
                <w:b/>
              </w:rPr>
              <w:t xml:space="preserve">Special Instructions </w:t>
            </w:r>
            <w:r w:rsidRPr="00CC3C89">
              <w:t>tab</w:t>
            </w:r>
            <w:r w:rsidR="00DA5ED4" w:rsidRPr="00CC3C89">
              <w:t xml:space="preserve"> </w:t>
            </w:r>
            <w:r w:rsidR="00DA5ED4" w:rsidRPr="00DA5ED4">
              <w:t>(</w:t>
            </w:r>
            <w:r w:rsidR="00EE455E">
              <w:t xml:space="preserve">Figure </w:t>
            </w:r>
            <w:r w:rsidR="00EE455E">
              <w:rPr>
                <w:noProof/>
              </w:rPr>
              <w:t>111</w:t>
            </w:r>
            <w:r w:rsidR="00DA5ED4" w:rsidRPr="00DA5ED4">
              <w:t>)</w:t>
            </w:r>
            <w:r>
              <w:t>.</w:t>
            </w:r>
          </w:p>
          <w:p w14:paraId="23BFA2D9" w14:textId="77777777" w:rsidR="00595334" w:rsidRDefault="00595334" w:rsidP="00595334">
            <w:pPr>
              <w:pStyle w:val="TableTextNumbersContinued"/>
            </w:pPr>
          </w:p>
          <w:p w14:paraId="09D7148F" w14:textId="761517D6" w:rsidR="00595334" w:rsidRDefault="00595334" w:rsidP="00595334">
            <w:pPr>
              <w:pStyle w:val="TableTextNumbersContinued"/>
            </w:pPr>
            <w:r>
              <w:t xml:space="preserve">Click the </w:t>
            </w:r>
            <w:r>
              <w:rPr>
                <w:b/>
              </w:rPr>
              <w:t xml:space="preserve">Show </w:t>
            </w:r>
            <w:r w:rsidR="00DB1399">
              <w:rPr>
                <w:b/>
              </w:rPr>
              <w:t>I</w:t>
            </w:r>
            <w:r>
              <w:rPr>
                <w:b/>
              </w:rPr>
              <w:t xml:space="preserve">nactive </w:t>
            </w:r>
            <w:r w:rsidR="00DB1399">
              <w:rPr>
                <w:b/>
              </w:rPr>
              <w:t>S</w:t>
            </w:r>
            <w:r>
              <w:rPr>
                <w:b/>
              </w:rPr>
              <w:t xml:space="preserve">pecial </w:t>
            </w:r>
            <w:r w:rsidR="00DB1399">
              <w:rPr>
                <w:b/>
              </w:rPr>
              <w:t>I</w:t>
            </w:r>
            <w:r>
              <w:rPr>
                <w:b/>
              </w:rPr>
              <w:t>nstructions</w:t>
            </w:r>
            <w:r>
              <w:t xml:space="preserve"> </w:t>
            </w:r>
            <w:r w:rsidRPr="00D1100E">
              <w:t>check box</w:t>
            </w:r>
            <w:r>
              <w:t xml:space="preserve"> to display inactivated SI entries.</w:t>
            </w:r>
          </w:p>
          <w:p w14:paraId="1B3C6E7E" w14:textId="77777777" w:rsidR="00595334" w:rsidRDefault="00595334" w:rsidP="005A1FF9">
            <w:pPr>
              <w:pStyle w:val="TableTextNumbers"/>
              <w:numPr>
                <w:ilvl w:val="0"/>
                <w:numId w:val="0"/>
              </w:numPr>
            </w:pPr>
          </w:p>
        </w:tc>
        <w:tc>
          <w:tcPr>
            <w:tcW w:w="6120" w:type="dxa"/>
          </w:tcPr>
          <w:p w14:paraId="7867A89E" w14:textId="77777777" w:rsidR="002A21AE" w:rsidRDefault="002A21AE">
            <w:pPr>
              <w:pStyle w:val="TableTextBullet"/>
            </w:pPr>
            <w:r>
              <w:t>Allows the user to enter or inactivate comments.</w:t>
            </w:r>
          </w:p>
          <w:p w14:paraId="3BBCB53A" w14:textId="77777777" w:rsidR="00595334" w:rsidRDefault="00595334">
            <w:pPr>
              <w:pStyle w:val="TableTextBullet"/>
            </w:pPr>
            <w:r>
              <w:t xml:space="preserve">Displays inactive Special Instructions </w:t>
            </w:r>
            <w:r w:rsidR="00E12CB9">
              <w:t>but</w:t>
            </w:r>
            <w:r>
              <w:t xml:space="preserve"> </w:t>
            </w:r>
            <w:r w:rsidR="00E12CB9">
              <w:t>does not allow</w:t>
            </w:r>
            <w:r>
              <w:t xml:space="preserve"> the user to reactivate them.</w:t>
            </w:r>
          </w:p>
          <w:p w14:paraId="5181476A" w14:textId="77777777" w:rsidR="002A21AE" w:rsidRDefault="002A21AE">
            <w:pPr>
              <w:pStyle w:val="TableText"/>
            </w:pPr>
          </w:p>
          <w:p w14:paraId="679D8313" w14:textId="4418A8A6" w:rsidR="002A21AE" w:rsidRDefault="002A21AE">
            <w:pPr>
              <w:pStyle w:val="TableText"/>
              <w:rPr>
                <w:b/>
                <w:bCs/>
                <w:szCs w:val="18"/>
              </w:rPr>
            </w:pPr>
            <w:r>
              <w:rPr>
                <w:b/>
                <w:bCs/>
                <w:szCs w:val="18"/>
              </w:rPr>
              <w:t>NOTES</w:t>
            </w:r>
          </w:p>
          <w:p w14:paraId="20BA5A61" w14:textId="77777777" w:rsidR="002A21AE" w:rsidRDefault="002A21AE">
            <w:pPr>
              <w:pStyle w:val="NotesText"/>
            </w:pPr>
          </w:p>
          <w:p w14:paraId="2829F2FD" w14:textId="77777777" w:rsidR="002A21AE" w:rsidRDefault="002A21AE">
            <w:pPr>
              <w:pStyle w:val="NotesText"/>
            </w:pPr>
            <w:r>
              <w:rPr>
                <w:rFonts w:cs="Arial"/>
                <w:vanish/>
              </w:rPr>
              <w:t xml:space="preserve">BR_37.01 </w:t>
            </w:r>
            <w:r>
              <w:t xml:space="preserve">A user may add or inactivate a patient-specific comment at any time in the division in which it was entered. </w:t>
            </w:r>
          </w:p>
          <w:p w14:paraId="6C5B8CC7" w14:textId="77777777" w:rsidR="002A21AE" w:rsidRDefault="002A21AE">
            <w:pPr>
              <w:pStyle w:val="NotesText"/>
            </w:pPr>
          </w:p>
          <w:p w14:paraId="0F34A954" w14:textId="77777777" w:rsidR="002A21AE" w:rsidRDefault="002A21AE">
            <w:pPr>
              <w:pStyle w:val="NotesText"/>
            </w:pPr>
            <w:r>
              <w:rPr>
                <w:rFonts w:cs="Arial"/>
                <w:vanish/>
              </w:rPr>
              <w:t xml:space="preserve">BR_37.06 </w:t>
            </w:r>
            <w:r w:rsidRPr="00E4754E">
              <w:rPr>
                <w:rStyle w:val="RolesChar1"/>
                <w:rFonts w:ascii="Wingdings 3" w:hAnsi="Wingdings 3"/>
              </w:rPr>
              <w:t></w:t>
            </w:r>
            <w:r w:rsidRPr="00E4754E">
              <w:rPr>
                <w:rStyle w:val="RolesChar1"/>
                <w:rFonts w:ascii="Wingdings 3" w:hAnsi="Wingdings 3"/>
              </w:rPr>
              <w:t></w:t>
            </w:r>
            <w:r w:rsidRPr="00E4754E">
              <w:rPr>
                <w:rStyle w:val="RolesChar1"/>
                <w:rFonts w:ascii="Wingdings 3" w:hAnsi="Wingdings 3"/>
              </w:rPr>
              <w:t></w:t>
            </w:r>
            <w:r w:rsidRPr="00E4754E">
              <w:rPr>
                <w:rStyle w:val="RolesChar1"/>
                <w:rFonts w:ascii="Wingdings 3" w:hAnsi="Wingdings 3"/>
              </w:rPr>
              <w:t></w:t>
            </w:r>
            <w:r w:rsidRPr="00E4754E">
              <w:t xml:space="preserve"> </w:t>
            </w:r>
            <w:r>
              <w:t>A Traditional Supervisor may inactivate SIs from database conversion.</w:t>
            </w:r>
          </w:p>
        </w:tc>
      </w:tr>
      <w:tr w:rsidR="002A21AE" w14:paraId="7E919B27" w14:textId="77777777">
        <w:trPr>
          <w:trHeight w:val="1988"/>
        </w:trPr>
        <w:tc>
          <w:tcPr>
            <w:tcW w:w="3240" w:type="dxa"/>
          </w:tcPr>
          <w:p w14:paraId="1DD186E0" w14:textId="77777777" w:rsidR="002A21AE" w:rsidRDefault="002A21AE">
            <w:pPr>
              <w:pStyle w:val="TableTextNumbers"/>
            </w:pPr>
            <w:r>
              <w:t>Confirm the activation of the entry and enter a comment.</w:t>
            </w:r>
          </w:p>
          <w:p w14:paraId="0A301206" w14:textId="77777777" w:rsidR="002A21AE" w:rsidRDefault="002A21AE">
            <w:pPr>
              <w:pStyle w:val="TableTextNumbersContinued"/>
            </w:pPr>
          </w:p>
          <w:p w14:paraId="71303111" w14:textId="77777777" w:rsidR="002A21AE" w:rsidRDefault="002A21AE">
            <w:pPr>
              <w:pStyle w:val="TableTextNumbersContinued"/>
            </w:pPr>
            <w:r>
              <w:t xml:space="preserve">Click </w:t>
            </w:r>
            <w:r>
              <w:rPr>
                <w:b/>
              </w:rPr>
              <w:t>OK</w:t>
            </w:r>
            <w:r>
              <w:t xml:space="preserve">. </w:t>
            </w:r>
          </w:p>
          <w:p w14:paraId="60D73E8D" w14:textId="77777777" w:rsidR="002A21AE" w:rsidRDefault="002A21AE">
            <w:pPr>
              <w:pStyle w:val="TableTextNumbersContinued"/>
            </w:pPr>
          </w:p>
          <w:p w14:paraId="3C879E49" w14:textId="77777777" w:rsidR="002A21AE" w:rsidRDefault="002A21AE">
            <w:pPr>
              <w:pStyle w:val="TableTextNumbersContinued"/>
            </w:pPr>
            <w:r>
              <w:t>Return to Step 2 to add more SIs for this patient.</w:t>
            </w:r>
          </w:p>
          <w:p w14:paraId="39D0220C" w14:textId="77777777" w:rsidR="002A21AE" w:rsidRDefault="002A21AE">
            <w:pPr>
              <w:pStyle w:val="TableTextNumbersContinued"/>
            </w:pPr>
          </w:p>
          <w:p w14:paraId="00B703CD" w14:textId="77777777" w:rsidR="002A21AE" w:rsidRDefault="002A21AE">
            <w:pPr>
              <w:pStyle w:val="TableTextNumbersContinued"/>
            </w:pPr>
            <w:r>
              <w:t>Select another patient and return to Step 1, if desired</w:t>
            </w:r>
            <w:r w:rsidR="00DA12E9">
              <w:t>.</w:t>
            </w:r>
          </w:p>
          <w:p w14:paraId="08196FFF" w14:textId="77777777" w:rsidR="002A21AE" w:rsidRDefault="002A21AE">
            <w:pPr>
              <w:pStyle w:val="TableTextNumbersContinued"/>
            </w:pPr>
          </w:p>
          <w:p w14:paraId="52EA36AB" w14:textId="77777777" w:rsidR="002A21AE" w:rsidRDefault="002A21AE">
            <w:pPr>
              <w:pStyle w:val="TableTextNumbersContinued"/>
              <w:rPr>
                <w:b/>
                <w:bCs/>
              </w:rPr>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7E4029D4" w14:textId="77777777" w:rsidR="002A21AE" w:rsidRDefault="002A21AE">
            <w:pPr>
              <w:pStyle w:val="TableTextBullet"/>
            </w:pPr>
            <w:r>
              <w:t>Saves the entry in the database.</w:t>
            </w:r>
          </w:p>
        </w:tc>
      </w:tr>
    </w:tbl>
    <w:p w14:paraId="32FA3229" w14:textId="2E9275A1" w:rsidR="009142E5" w:rsidRDefault="009142E5" w:rsidP="009142E5">
      <w:pPr>
        <w:pStyle w:val="Caption"/>
      </w:pPr>
      <w:bookmarkStart w:id="507" w:name="_Toc63680371"/>
      <w:r>
        <w:br w:type="page"/>
      </w:r>
      <w:bookmarkStart w:id="508" w:name="_Ref127262439"/>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111</w:t>
      </w:r>
      <w:r w:rsidR="004E20BD">
        <w:rPr>
          <w:noProof/>
        </w:rPr>
        <w:fldChar w:fldCharType="end"/>
      </w:r>
      <w:bookmarkEnd w:id="508"/>
      <w:r>
        <w:t xml:space="preserve">: </w:t>
      </w:r>
      <w:r w:rsidRPr="00AB6967">
        <w:t>Enter Patient Special Instructions and Transfusion Requirements</w:t>
      </w:r>
    </w:p>
    <w:p w14:paraId="436326A3" w14:textId="77777777" w:rsidR="002A21AE" w:rsidRDefault="00057948" w:rsidP="00FA7E65">
      <w:pPr>
        <w:pStyle w:val="BodyText"/>
      </w:pPr>
      <w:r>
        <w:rPr>
          <w:noProof/>
        </w:rPr>
        <w:drawing>
          <wp:inline distT="0" distB="0" distL="0" distR="0" wp14:anchorId="0E7FAE8D" wp14:editId="5ACF05D8">
            <wp:extent cx="5939155" cy="3777615"/>
            <wp:effectExtent l="0" t="0" r="4445" b="0"/>
            <wp:docPr id="257" name="Picture 257" descr="Example of Enter Patient Special Instructions and Transfusion Requirement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Example of Enter Patient Special Instructions and Transfusion Requirements screen captur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39155" cy="3777615"/>
                    </a:xfrm>
                    <a:prstGeom prst="rect">
                      <a:avLst/>
                    </a:prstGeom>
                    <a:noFill/>
                    <a:ln>
                      <a:noFill/>
                    </a:ln>
                  </pic:spPr>
                </pic:pic>
              </a:graphicData>
            </a:graphic>
          </wp:inline>
        </w:drawing>
      </w:r>
    </w:p>
    <w:p w14:paraId="4DCE0997" w14:textId="77777777" w:rsidR="00DA5ED4" w:rsidRDefault="00DA5ED4" w:rsidP="00FA7E65">
      <w:pPr>
        <w:pStyle w:val="BodyText"/>
        <w:sectPr w:rsidR="00DA5ED4" w:rsidSect="00EE771C">
          <w:pgSz w:w="12240" w:h="15840" w:code="1"/>
          <w:pgMar w:top="1440" w:right="1440" w:bottom="1440" w:left="1440" w:header="720" w:footer="720" w:gutter="0"/>
          <w:cols w:space="720"/>
          <w:docGrid w:linePitch="360"/>
        </w:sectPr>
      </w:pPr>
    </w:p>
    <w:p w14:paraId="7452BF8B" w14:textId="77777777" w:rsidR="002A21AE" w:rsidRDefault="002A21AE">
      <w:pPr>
        <w:pStyle w:val="Heading2"/>
      </w:pPr>
      <w:bookmarkStart w:id="509" w:name="_Post-Transfusion_Information"/>
      <w:bookmarkStart w:id="510" w:name="_Toc149064170"/>
      <w:bookmarkStart w:id="511" w:name="_Toc63680369"/>
      <w:bookmarkEnd w:id="339"/>
      <w:bookmarkEnd w:id="507"/>
      <w:bookmarkEnd w:id="509"/>
      <w:r>
        <w:t>Post-Transfusion Information</w:t>
      </w:r>
      <w:bookmarkEnd w:id="510"/>
      <w:r>
        <w:fldChar w:fldCharType="begin"/>
      </w:r>
      <w:r>
        <w:instrText xml:space="preserve"> XE </w:instrText>
      </w:r>
      <w:r w:rsidR="00FA7E65">
        <w:instrText>“</w:instrText>
      </w:r>
      <w:r>
        <w:instrText>Post-Transfusion Information</w:instrText>
      </w:r>
      <w:r w:rsidR="00FA7E65">
        <w:instrText>”</w:instrText>
      </w:r>
      <w:r>
        <w:instrText xml:space="preserve"> </w:instrText>
      </w:r>
      <w:r>
        <w:fldChar w:fldCharType="end"/>
      </w:r>
      <w:r>
        <w:rPr>
          <w:snapToGrid w:val="0"/>
        </w:rPr>
        <w:t xml:space="preserve"> </w:t>
      </w:r>
      <w:r w:rsidRPr="00DA5ED4">
        <w:rPr>
          <w:rFonts w:ascii="Arial Bold" w:hAnsi="Arial Bold"/>
          <w:vanish/>
        </w:rPr>
        <w:t>UC_69</w:t>
      </w:r>
    </w:p>
    <w:p w14:paraId="258B2199" w14:textId="77777777" w:rsidR="002A21AE" w:rsidRDefault="002A21AE" w:rsidP="00FA7E65">
      <w:pPr>
        <w:pStyle w:val="BodyText"/>
      </w:pPr>
      <w:r>
        <w:t>The user enters post-transfusion details from the Blood Transfusion Record Form (BTRF)</w:t>
      </w:r>
      <w:r w:rsidR="00EE44F1" w:rsidRPr="00EE44F1">
        <w:t xml:space="preserve"> </w:t>
      </w:r>
      <w:r w:rsidR="00EE44F1">
        <w:t>or VBECS saves post-transfusion det</w:t>
      </w:r>
      <w:r w:rsidR="007163E2">
        <w:t xml:space="preserve">ails received from the Transfusion Verification </w:t>
      </w:r>
      <w:r w:rsidR="00EE44F1">
        <w:t>System</w:t>
      </w:r>
      <w:r>
        <w:t xml:space="preserve">. </w:t>
      </w:r>
    </w:p>
    <w:p w14:paraId="6594A5D9" w14:textId="77777777" w:rsidR="002A21AE" w:rsidRDefault="002A21AE">
      <w:pPr>
        <w:pStyle w:val="Heading4"/>
      </w:pPr>
      <w:r>
        <w:t>Assumptions</w:t>
      </w:r>
    </w:p>
    <w:p w14:paraId="12AB69AD" w14:textId="77777777" w:rsidR="002A21AE" w:rsidRDefault="002A21AE">
      <w:pPr>
        <w:pStyle w:val="ListBullet"/>
        <w:ind w:left="720"/>
      </w:pPr>
      <w:r>
        <w:t>The BTRF is returned and completed for each unit.</w:t>
      </w:r>
    </w:p>
    <w:p w14:paraId="5501BE47" w14:textId="77777777" w:rsidR="002A21AE" w:rsidRDefault="002A21AE">
      <w:pPr>
        <w:pStyle w:val="ListBullet"/>
        <w:ind w:left="720"/>
      </w:pPr>
      <w:r>
        <w:t>The unit status is “issued” or “presumed transfused” in VBECS.</w:t>
      </w:r>
    </w:p>
    <w:p w14:paraId="3EED9EFB" w14:textId="77777777" w:rsidR="00EE44F1" w:rsidRDefault="00EE44F1" w:rsidP="00EE44F1">
      <w:pPr>
        <w:pStyle w:val="ListBullet"/>
        <w:ind w:left="720"/>
      </w:pPr>
      <w:r>
        <w:t>Interface connections to the BCE COTS system are enabled to receive transfusion update messages.</w:t>
      </w:r>
    </w:p>
    <w:p w14:paraId="3CF8E052" w14:textId="77777777" w:rsidR="002A21AE" w:rsidRDefault="002A21AE">
      <w:pPr>
        <w:pStyle w:val="Heading4"/>
      </w:pPr>
      <w:r>
        <w:t>Outcome</w:t>
      </w:r>
    </w:p>
    <w:p w14:paraId="32C27B2A" w14:textId="77777777" w:rsidR="002A21AE" w:rsidRDefault="002A21AE" w:rsidP="004D0C24">
      <w:pPr>
        <w:pStyle w:val="ListBullet"/>
        <w:ind w:left="720"/>
      </w:pPr>
      <w:r>
        <w:t>The unit status is updated to “transfused.”</w:t>
      </w:r>
    </w:p>
    <w:p w14:paraId="69FBB7C6" w14:textId="77777777" w:rsidR="002A21AE" w:rsidRDefault="002A21AE">
      <w:pPr>
        <w:pStyle w:val="ListBullet"/>
        <w:ind w:left="720"/>
      </w:pPr>
      <w:r>
        <w:t>The VBECS patient record includes the blood transfusion information.</w:t>
      </w:r>
    </w:p>
    <w:p w14:paraId="78C605A3" w14:textId="77777777" w:rsidR="002A21AE" w:rsidRDefault="002A21AE">
      <w:pPr>
        <w:pStyle w:val="Heading4"/>
      </w:pPr>
      <w:r>
        <w:t>Limitations and Restrictions</w:t>
      </w:r>
    </w:p>
    <w:p w14:paraId="5FD32ED5" w14:textId="77777777" w:rsidR="00EE44F1" w:rsidRDefault="006D40D4" w:rsidP="004D0C24">
      <w:pPr>
        <w:pStyle w:val="ListBullet"/>
      </w:pPr>
      <w:r>
        <w:t xml:space="preserve">VBECS cannot update a unit record to presumed transfused when a </w:t>
      </w:r>
      <w:r w:rsidR="004D0C24" w:rsidRPr="004D0C24">
        <w:t xml:space="preserve">user has </w:t>
      </w:r>
      <w:r>
        <w:t xml:space="preserve">that </w:t>
      </w:r>
      <w:r w:rsidR="004D0C24" w:rsidRPr="004D0C24">
        <w:t>unit record open (locked) in Enter Post Transfusion Information</w:t>
      </w:r>
      <w:r>
        <w:t xml:space="preserve">. VBECS will attempt to update the unit the next </w:t>
      </w:r>
      <w:r w:rsidR="004D0C24" w:rsidRPr="004D0C24">
        <w:t xml:space="preserve">time the </w:t>
      </w:r>
      <w:r>
        <w:t xml:space="preserve">presumed transfused background routing </w:t>
      </w:r>
      <w:r w:rsidR="004D0C24" w:rsidRPr="004D0C24">
        <w:t>runs if the unit remains in an issued status.</w:t>
      </w:r>
      <w:r w:rsidR="004309FB" w:rsidRPr="004309FB">
        <w:rPr>
          <w:vanish/>
        </w:rPr>
        <w:t xml:space="preserve"> </w:t>
      </w:r>
      <w:r w:rsidR="004309FB" w:rsidRPr="00EE44F1">
        <w:rPr>
          <w:vanish/>
        </w:rPr>
        <w:t>DR 3089</w:t>
      </w:r>
    </w:p>
    <w:p w14:paraId="43B87B85" w14:textId="77777777" w:rsidR="00F854CF" w:rsidRDefault="00EE44F1" w:rsidP="00EE44F1">
      <w:pPr>
        <w:pStyle w:val="ListBullet"/>
      </w:pPr>
      <w:r>
        <w:t>If post-transfusion information is not transmitted to VBECS</w:t>
      </w:r>
      <w:r w:rsidR="007163E2">
        <w:t xml:space="preserve"> by the BCE COTS interface</w:t>
      </w:r>
      <w:r>
        <w:t>, the user will need to enter that information to update the record from presumed transfused to transfused.</w:t>
      </w:r>
    </w:p>
    <w:p w14:paraId="17676480" w14:textId="77777777" w:rsidR="000E2D6A" w:rsidRDefault="000E2D6A" w:rsidP="00EE44F1">
      <w:pPr>
        <w:pStyle w:val="ListBullet"/>
      </w:pPr>
      <w:r>
        <w:t xml:space="preserve">The transfusion comments and volume transfused entered in the Transfusion Verification </w:t>
      </w:r>
      <w:r w:rsidR="00E20BD6">
        <w:t xml:space="preserve">application as an update to a completed transfusion </w:t>
      </w:r>
      <w:r>
        <w:t>are not sent to VBECS.</w:t>
      </w:r>
      <w:r>
        <w:rPr>
          <w:vanish/>
        </w:rPr>
        <w:t xml:space="preserve"> DR 4173</w:t>
      </w:r>
      <w:r>
        <w:t xml:space="preserve"> </w:t>
      </w:r>
    </w:p>
    <w:p w14:paraId="74874B67" w14:textId="77777777" w:rsidR="00D26DD7" w:rsidRDefault="00D26DD7" w:rsidP="00EE44F1">
      <w:pPr>
        <w:pStyle w:val="ListBullet"/>
      </w:pPr>
      <w:r>
        <w:t>Transfu</w:t>
      </w:r>
      <w:r w:rsidR="00A6148D">
        <w:t>sion reaction symptoms are not provided</w:t>
      </w:r>
      <w:r>
        <w:t xml:space="preserve"> to VBECS by the Transfusion Verification application unless a transfusion reaction has also been indicated for that event.</w:t>
      </w:r>
      <w:r>
        <w:rPr>
          <w:vanish/>
        </w:rPr>
        <w:t xml:space="preserve"> DR 4217</w:t>
      </w:r>
    </w:p>
    <w:p w14:paraId="0564A482" w14:textId="77777777" w:rsidR="002A21AE" w:rsidRDefault="002A21AE">
      <w:pPr>
        <w:pStyle w:val="Heading4"/>
      </w:pPr>
      <w:r>
        <w:t>Additional Information</w:t>
      </w:r>
    </w:p>
    <w:p w14:paraId="0107CCE6" w14:textId="77777777" w:rsidR="005F07D8" w:rsidRPr="004C51FE" w:rsidRDefault="00F854CF" w:rsidP="005F07D8">
      <w:pPr>
        <w:pStyle w:val="ListBullet"/>
      </w:pPr>
      <w:r>
        <w:rPr>
          <w:rFonts w:eastAsia="Arial Unicode MS"/>
        </w:rPr>
        <w:t>A</w:t>
      </w:r>
      <w:r w:rsidR="005F07D8">
        <w:rPr>
          <w:rFonts w:eastAsia="Arial Unicode MS"/>
        </w:rPr>
        <w:t xml:space="preserve"> user </w:t>
      </w:r>
      <w:r>
        <w:rPr>
          <w:rFonts w:eastAsia="Arial Unicode MS"/>
        </w:rPr>
        <w:t xml:space="preserve">with the appropriate security level </w:t>
      </w:r>
      <w:r w:rsidR="005F07D8">
        <w:rPr>
          <w:rFonts w:eastAsia="Arial Unicode MS"/>
        </w:rPr>
        <w:t xml:space="preserve">may </w:t>
      </w:r>
      <w:r w:rsidR="005F07D8" w:rsidRPr="005F07D8">
        <w:rPr>
          <w:rFonts w:eastAsia="Arial Unicode MS"/>
        </w:rPr>
        <w:t>enter</w:t>
      </w:r>
      <w:r w:rsidR="005F07D8">
        <w:rPr>
          <w:rFonts w:eastAsia="Arial Unicode MS"/>
        </w:rPr>
        <w:t xml:space="preserve"> </w:t>
      </w:r>
      <w:r>
        <w:rPr>
          <w:rFonts w:eastAsia="Arial Unicode MS"/>
        </w:rPr>
        <w:t xml:space="preserve">or edit </w:t>
      </w:r>
      <w:r w:rsidR="005F07D8">
        <w:rPr>
          <w:rFonts w:eastAsia="Arial Unicode MS"/>
        </w:rPr>
        <w:t>bedside verification information unless it is re</w:t>
      </w:r>
      <w:r w:rsidR="005109EB">
        <w:rPr>
          <w:rFonts w:eastAsia="Arial Unicode MS"/>
        </w:rPr>
        <w:t>ceiv</w:t>
      </w:r>
      <w:r w:rsidR="00CC58D8">
        <w:rPr>
          <w:rFonts w:eastAsia="Arial Unicode MS"/>
        </w:rPr>
        <w:t>ed from BCE COTS interface</w:t>
      </w:r>
      <w:r w:rsidR="005F07D8">
        <w:rPr>
          <w:rFonts w:eastAsia="Arial Unicode MS"/>
        </w:rPr>
        <w:t>.</w:t>
      </w:r>
    </w:p>
    <w:p w14:paraId="234C337A" w14:textId="77777777" w:rsidR="002A21AE" w:rsidRPr="004C51FE" w:rsidRDefault="002A21AE" w:rsidP="004C51FE">
      <w:pPr>
        <w:pStyle w:val="ListBullet"/>
      </w:pPr>
      <w:r w:rsidRPr="00D5161F">
        <w:rPr>
          <w:vanish/>
        </w:rPr>
        <w:t xml:space="preserve">BR_69.09 </w:t>
      </w:r>
      <w:r w:rsidRPr="004C51FE">
        <w:t>The user may indicate that a transfusion reaction and symptoms were noted on the BTRF as free text. Noting a transfusion reaction does not create an order for a transfusion reaction workup (TRW).</w:t>
      </w:r>
    </w:p>
    <w:p w14:paraId="3D5F9155" w14:textId="77777777" w:rsidR="004C51FE" w:rsidRDefault="00776AAE" w:rsidP="004C51FE">
      <w:pPr>
        <w:pStyle w:val="ListBullet"/>
      </w:pPr>
      <w:r>
        <w:t>R</w:t>
      </w:r>
      <w:r w:rsidR="004C51FE">
        <w:t>emove a “transfused” status</w:t>
      </w:r>
      <w:r>
        <w:t xml:space="preserve"> through</w:t>
      </w:r>
      <w:r w:rsidR="004C51FE">
        <w:t xml:space="preserve"> Remove Final Status</w:t>
      </w:r>
      <w:r w:rsidR="00A6148D">
        <w:t xml:space="preserve"> unless that unit was transfused by the Transfusion Verification application. See limitations in Remove Final Status</w:t>
      </w:r>
      <w:r w:rsidR="004C51FE">
        <w:t>.</w:t>
      </w:r>
    </w:p>
    <w:p w14:paraId="16575032" w14:textId="77777777" w:rsidR="002A21AE" w:rsidRDefault="002A21AE">
      <w:pPr>
        <w:pStyle w:val="Heading4"/>
      </w:pPr>
      <w:r>
        <w:t>User Roles with Access to This Option</w:t>
      </w:r>
    </w:p>
    <w:p w14:paraId="2EAC55F2" w14:textId="77777777" w:rsidR="007D4E77" w:rsidRDefault="007D4E77" w:rsidP="007D4E77">
      <w:pPr>
        <w:pStyle w:val="Roles"/>
        <w:rPr>
          <w:snapToGrid w:val="0"/>
        </w:rPr>
      </w:pPr>
      <w:r>
        <w:t>All users</w:t>
      </w:r>
    </w:p>
    <w:p w14:paraId="3DDF1A34" w14:textId="77777777" w:rsidR="00F3651E" w:rsidRDefault="00F3651E">
      <w:pPr>
        <w:rPr>
          <w:rFonts w:ascii="Arial" w:hAnsi="Arial"/>
          <w:b/>
          <w:sz w:val="22"/>
        </w:rPr>
      </w:pPr>
      <w:r>
        <w:br w:type="page"/>
      </w:r>
    </w:p>
    <w:p w14:paraId="2469FF34" w14:textId="38E82BA5" w:rsidR="002A21AE" w:rsidRDefault="002A21AE">
      <w:pPr>
        <w:pStyle w:val="Heading4"/>
      </w:pPr>
      <w:r>
        <w:t>Post-Transfusion Information</w:t>
      </w:r>
    </w:p>
    <w:p w14:paraId="11704303" w14:textId="77777777" w:rsidR="002A21AE" w:rsidRDefault="002A21AE" w:rsidP="00FA7E65">
      <w:pPr>
        <w:pStyle w:val="BodyText"/>
      </w:pPr>
      <w:r>
        <w:t>The user verifies the date and time transfused with a returned BTRF, adds other transfusion details, initiates a system check of the bedside verification information, enters that information, and indicates whether a</w:t>
      </w:r>
      <w:r w:rsidR="00A10483">
        <w:t xml:space="preserve"> </w:t>
      </w:r>
      <w:r>
        <w:t xml:space="preserve">reaction occurred during or immediately after the transfusion, as documented on the BTRF. </w:t>
      </w:r>
      <w:r w:rsidR="006B7AA9">
        <w:t xml:space="preserve">VBECS does not require entry of post-transfusion information: </w:t>
      </w:r>
      <w:r w:rsidR="00CA57D7">
        <w:t xml:space="preserve">once a day, </w:t>
      </w:r>
      <w:r w:rsidR="006B7AA9">
        <w:t xml:space="preserve">without user input, </w:t>
      </w:r>
      <w:r w:rsidR="00CA57D7">
        <w:t>VBECS moves units 48 hours after issue to</w:t>
      </w:r>
      <w:r w:rsidR="006B7AA9">
        <w:t xml:space="preserve"> “presumed transfused” status</w:t>
      </w:r>
      <w:r w:rsidR="005C7822" w:rsidRPr="00FE1F14">
        <w:rPr>
          <w:vanish/>
        </w:rPr>
        <w:t>UserDoc Task 1098</w:t>
      </w:r>
      <w:r w:rsidR="006B7AA9">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8C1FD7A" w14:textId="77777777">
        <w:trPr>
          <w:cantSplit/>
          <w:tblHeader/>
        </w:trPr>
        <w:tc>
          <w:tcPr>
            <w:tcW w:w="3240" w:type="dxa"/>
            <w:shd w:val="pct30" w:color="auto" w:fill="FFFFFF"/>
            <w:vAlign w:val="bottom"/>
          </w:tcPr>
          <w:p w14:paraId="1AC78AC1" w14:textId="77777777" w:rsidR="002A21AE" w:rsidRDefault="002A21AE">
            <w:pPr>
              <w:pStyle w:val="TableText"/>
              <w:rPr>
                <w:b/>
              </w:rPr>
            </w:pPr>
            <w:r>
              <w:rPr>
                <w:b/>
              </w:rPr>
              <w:t>User Action</w:t>
            </w:r>
          </w:p>
        </w:tc>
        <w:tc>
          <w:tcPr>
            <w:tcW w:w="6120" w:type="dxa"/>
            <w:shd w:val="pct30" w:color="auto" w:fill="FFFFFF"/>
            <w:vAlign w:val="bottom"/>
          </w:tcPr>
          <w:p w14:paraId="7422DE95" w14:textId="77777777" w:rsidR="002A21AE" w:rsidRDefault="002A21AE">
            <w:pPr>
              <w:pStyle w:val="TableText"/>
              <w:rPr>
                <w:b/>
              </w:rPr>
            </w:pPr>
            <w:r>
              <w:rPr>
                <w:b/>
              </w:rPr>
              <w:t>VBECS</w:t>
            </w:r>
          </w:p>
        </w:tc>
      </w:tr>
      <w:tr w:rsidR="002A21AE" w14:paraId="5CC12B4F" w14:textId="77777777">
        <w:tc>
          <w:tcPr>
            <w:tcW w:w="3240" w:type="dxa"/>
            <w:tcBorders>
              <w:top w:val="single" w:sz="4" w:space="0" w:color="auto"/>
              <w:left w:val="single" w:sz="4" w:space="0" w:color="auto"/>
              <w:bottom w:val="single" w:sz="4" w:space="0" w:color="auto"/>
              <w:right w:val="single" w:sz="4" w:space="0" w:color="auto"/>
            </w:tcBorders>
          </w:tcPr>
          <w:p w14:paraId="45261B32" w14:textId="77777777" w:rsidR="002A21AE" w:rsidRDefault="002A21AE">
            <w:pPr>
              <w:pStyle w:val="TableTextNumbers"/>
            </w:pPr>
            <w:r>
              <w:t xml:space="preserve">Select </w:t>
            </w:r>
            <w:r>
              <w:rPr>
                <w:b/>
              </w:rPr>
              <w:t>Patients</w:t>
            </w:r>
            <w:r>
              <w:t xml:space="preserve"> from the main menu.</w:t>
            </w:r>
          </w:p>
          <w:p w14:paraId="61EE19F7" w14:textId="77777777" w:rsidR="002A21AE" w:rsidRDefault="002A21AE">
            <w:pPr>
              <w:pStyle w:val="TableTextNumbersContinued"/>
            </w:pPr>
          </w:p>
          <w:p w14:paraId="0666F98B" w14:textId="77777777" w:rsidR="002A21AE" w:rsidRDefault="002A21AE">
            <w:pPr>
              <w:pStyle w:val="TableTextNumbersContinued"/>
            </w:pPr>
            <w:r>
              <w:t xml:space="preserve">Select </w:t>
            </w:r>
            <w:r>
              <w:rPr>
                <w:b/>
              </w:rPr>
              <w:t>Post-Transfusion Information</w:t>
            </w:r>
            <w:r>
              <w:t xml:space="preserve">. </w:t>
            </w:r>
          </w:p>
        </w:tc>
        <w:tc>
          <w:tcPr>
            <w:tcW w:w="6120" w:type="dxa"/>
            <w:tcBorders>
              <w:top w:val="single" w:sz="4" w:space="0" w:color="auto"/>
              <w:left w:val="single" w:sz="4" w:space="0" w:color="auto"/>
              <w:bottom w:val="single" w:sz="4" w:space="0" w:color="auto"/>
              <w:right w:val="single" w:sz="4" w:space="0" w:color="auto"/>
            </w:tcBorders>
          </w:tcPr>
          <w:p w14:paraId="377FF0AF" w14:textId="77777777" w:rsidR="002A21AE" w:rsidRDefault="002A21AE">
            <w:pPr>
              <w:pStyle w:val="TableTextBullet"/>
            </w:pPr>
            <w:r>
              <w:t>Displays options for processing patient-related functions.</w:t>
            </w:r>
          </w:p>
          <w:p w14:paraId="42414357" w14:textId="77777777" w:rsidR="002A21AE" w:rsidRDefault="002A21AE">
            <w:pPr>
              <w:pStyle w:val="TableTextBullet"/>
            </w:pPr>
            <w:r>
              <w:t>Displays an option to scan the Caution Tag or enter a patient name or ID.</w:t>
            </w:r>
          </w:p>
        </w:tc>
      </w:tr>
      <w:tr w:rsidR="002A21AE" w14:paraId="0BE6B769" w14:textId="77777777">
        <w:tc>
          <w:tcPr>
            <w:tcW w:w="3240" w:type="dxa"/>
          </w:tcPr>
          <w:p w14:paraId="79A75335" w14:textId="77777777" w:rsidR="002A21AE" w:rsidRDefault="002A21AE">
            <w:pPr>
              <w:pStyle w:val="TableTextNumbers"/>
            </w:pPr>
            <w:r>
              <w:t xml:space="preserve">Select a patient and click </w:t>
            </w:r>
            <w:r>
              <w:rPr>
                <w:b/>
              </w:rPr>
              <w:t>OK</w:t>
            </w:r>
            <w:r>
              <w:t>.</w:t>
            </w:r>
          </w:p>
        </w:tc>
        <w:tc>
          <w:tcPr>
            <w:tcW w:w="6120" w:type="dxa"/>
          </w:tcPr>
          <w:p w14:paraId="23300C78" w14:textId="77777777" w:rsidR="002A21AE" w:rsidRDefault="002A21AE">
            <w:pPr>
              <w:pStyle w:val="TableTextBullet"/>
            </w:pPr>
            <w:r>
              <w:rPr>
                <w:rFonts w:cs="Arial"/>
                <w:vanish/>
              </w:rPr>
              <w:t xml:space="preserve">BR_69.02 </w:t>
            </w:r>
            <w:r>
              <w:t xml:space="preserve">Lists the units issued to the selected patient. </w:t>
            </w:r>
          </w:p>
          <w:p w14:paraId="055B26F2" w14:textId="77777777" w:rsidR="002A21AE" w:rsidRDefault="002A21AE">
            <w:pPr>
              <w:pStyle w:val="TableTextBullet"/>
            </w:pPr>
            <w:r>
              <w:t>Displays the issue date and time.</w:t>
            </w:r>
          </w:p>
          <w:p w14:paraId="14F1D31B" w14:textId="77777777" w:rsidR="002A21AE" w:rsidRDefault="002A21AE">
            <w:pPr>
              <w:pStyle w:val="TableTextBullet"/>
            </w:pPr>
            <w:r>
              <w:t>Displays the units one at a time for update in the order in which the user selected them.</w:t>
            </w:r>
          </w:p>
          <w:p w14:paraId="1C3C6756" w14:textId="77777777" w:rsidR="002A21AE" w:rsidRDefault="002A21AE">
            <w:pPr>
              <w:pStyle w:val="TableText"/>
            </w:pPr>
          </w:p>
          <w:p w14:paraId="54550E61" w14:textId="010AB111" w:rsidR="002A21AE" w:rsidRDefault="002A21AE">
            <w:pPr>
              <w:pStyle w:val="TableText"/>
              <w:rPr>
                <w:b/>
                <w:bCs/>
                <w:szCs w:val="18"/>
              </w:rPr>
            </w:pPr>
            <w:r>
              <w:rPr>
                <w:b/>
                <w:bCs/>
                <w:szCs w:val="18"/>
              </w:rPr>
              <w:t>NOTES</w:t>
            </w:r>
          </w:p>
          <w:p w14:paraId="5E158BA8" w14:textId="77777777" w:rsidR="002A21AE" w:rsidRDefault="002A21AE">
            <w:pPr>
              <w:pStyle w:val="NotesText"/>
            </w:pPr>
          </w:p>
          <w:p w14:paraId="7B9BA5DD" w14:textId="77777777" w:rsidR="00C341A6" w:rsidRDefault="00C341A6" w:rsidP="00C341A6">
            <w:pPr>
              <w:pStyle w:val="NotesText"/>
            </w:pPr>
            <w:r>
              <w:rPr>
                <w:rFonts w:cs="Arial"/>
                <w:vanish/>
              </w:rPr>
              <w:t xml:space="preserve">BR_69.03 </w:t>
            </w:r>
            <w:r w:rsidRPr="007D4E77">
              <w:rPr>
                <w:rFonts w:ascii="Wingdings 3" w:hAnsi="Wingdings 3"/>
              </w:rPr>
              <w:t></w:t>
            </w:r>
            <w:r w:rsidRPr="007D4E77">
              <w:rPr>
                <w:rFonts w:ascii="Wingdings 3" w:hAnsi="Wingdings 3"/>
              </w:rPr>
              <w:t></w:t>
            </w:r>
            <w:r w:rsidRPr="007D4E77">
              <w:rPr>
                <w:rFonts w:ascii="Wingdings 3" w:hAnsi="Wingdings 3"/>
              </w:rPr>
              <w:t></w:t>
            </w:r>
            <w:r w:rsidRPr="007D4E77">
              <w:rPr>
                <w:rFonts w:ascii="Wingdings 3" w:hAnsi="Wingdings 3"/>
              </w:rPr>
              <w:t></w:t>
            </w:r>
            <w:r>
              <w:t xml:space="preserve"> VBECS displays an option to obtain a list of transfused (those not received by BCE COTS) units for the patient when the user is a Traditional Supervisor or above.</w:t>
            </w:r>
          </w:p>
          <w:p w14:paraId="1D36F677" w14:textId="77777777" w:rsidR="002A21AE" w:rsidRDefault="002A21AE">
            <w:pPr>
              <w:pStyle w:val="NotesText"/>
            </w:pPr>
          </w:p>
          <w:p w14:paraId="6099EB5A" w14:textId="77777777" w:rsidR="00C341A6" w:rsidRDefault="00C341A6">
            <w:pPr>
              <w:pStyle w:val="NotesText"/>
            </w:pPr>
            <w:r w:rsidRPr="00E34E31">
              <w:rPr>
                <w:vanish/>
              </w:rPr>
              <w:t xml:space="preserve">BR_69.01 </w:t>
            </w:r>
            <w:r w:rsidRPr="00E34E31">
              <w:t>When post-transfusion information is not entered into VBECS within 48 hours from the date/time the unit was recorded as “issued”, VBECS will change the unit status to “transfused” with a presumed indicator after the execution of a scheduled background job. The unit will then be considered transfused by the system regarding report generation. If post-transfusion information is entered later, the presumed indicator is deactivated.</w:t>
            </w:r>
          </w:p>
        </w:tc>
      </w:tr>
      <w:tr w:rsidR="00D51EEA" w14:paraId="6EA84874" w14:textId="77777777">
        <w:tc>
          <w:tcPr>
            <w:tcW w:w="3240" w:type="dxa"/>
          </w:tcPr>
          <w:p w14:paraId="2D16F736" w14:textId="7F92BC49" w:rsidR="00D51EEA" w:rsidRDefault="00D51EEA">
            <w:pPr>
              <w:pStyle w:val="TableTextNumbers"/>
            </w:pPr>
            <w:r>
              <w:t>Click one or more check boxes to select units</w:t>
            </w:r>
            <w:r w:rsidR="00DA5ED4">
              <w:t xml:space="preserve"> (</w:t>
            </w:r>
            <w:r w:rsidR="00EE455E">
              <w:t xml:space="preserve">Figure </w:t>
            </w:r>
            <w:r w:rsidR="00EE455E">
              <w:rPr>
                <w:noProof/>
              </w:rPr>
              <w:t>112</w:t>
            </w:r>
            <w:r w:rsidR="00DA5ED4">
              <w:t>)</w:t>
            </w:r>
            <w:r>
              <w:t>.</w:t>
            </w:r>
          </w:p>
          <w:p w14:paraId="651691B4" w14:textId="77777777" w:rsidR="00AB0C95" w:rsidRDefault="00AB0C95" w:rsidP="00AB0C95">
            <w:pPr>
              <w:pStyle w:val="TableTextNumbersContinued"/>
            </w:pPr>
          </w:p>
          <w:p w14:paraId="2DE0A459" w14:textId="77777777" w:rsidR="00AB0C95" w:rsidRDefault="00AB0C95" w:rsidP="00AB0C95">
            <w:pPr>
              <w:pStyle w:val="TableTextNumbersContinued"/>
            </w:pPr>
            <w:r>
              <w:t xml:space="preserve">Click </w:t>
            </w:r>
            <w:r w:rsidRPr="00AB0C95">
              <w:rPr>
                <w:b/>
              </w:rPr>
              <w:t>OK</w:t>
            </w:r>
            <w:r>
              <w:t>.</w:t>
            </w:r>
          </w:p>
        </w:tc>
        <w:tc>
          <w:tcPr>
            <w:tcW w:w="6120" w:type="dxa"/>
          </w:tcPr>
          <w:p w14:paraId="1E0DAAC6" w14:textId="77777777" w:rsidR="00D51EEA" w:rsidRDefault="00D51EEA" w:rsidP="00D51EEA">
            <w:pPr>
              <w:pStyle w:val="TableTextBullet"/>
            </w:pPr>
            <w:r>
              <w:t>Allows the user to select units for which to enter post-transfusion information.</w:t>
            </w:r>
          </w:p>
          <w:p w14:paraId="0D5D2980" w14:textId="77777777" w:rsidR="00D51EEA" w:rsidRDefault="00D51EEA" w:rsidP="00D51EEA">
            <w:pPr>
              <w:pStyle w:val="TableText"/>
            </w:pPr>
          </w:p>
          <w:p w14:paraId="4A0DD67C" w14:textId="12378B9B" w:rsidR="00D51EEA" w:rsidRDefault="00D51EEA" w:rsidP="00D51EEA">
            <w:pPr>
              <w:pStyle w:val="TableText"/>
              <w:rPr>
                <w:b/>
                <w:bCs/>
                <w:szCs w:val="18"/>
              </w:rPr>
            </w:pPr>
            <w:r>
              <w:rPr>
                <w:b/>
                <w:bCs/>
                <w:szCs w:val="18"/>
              </w:rPr>
              <w:t>NOTES</w:t>
            </w:r>
          </w:p>
          <w:p w14:paraId="0FEA3BBA" w14:textId="77777777" w:rsidR="00D51EEA" w:rsidRDefault="00D51EEA" w:rsidP="00D51EEA">
            <w:pPr>
              <w:pStyle w:val="NotesText"/>
            </w:pPr>
          </w:p>
          <w:p w14:paraId="2801F888" w14:textId="77777777" w:rsidR="00D51EEA" w:rsidRDefault="00D51EEA" w:rsidP="00D51EEA">
            <w:pPr>
              <w:pStyle w:val="NotesText"/>
            </w:pPr>
            <w:r w:rsidRPr="00896F17">
              <w:rPr>
                <w:rStyle w:val="BullhornChar"/>
              </w:rPr>
              <w:t></w:t>
            </w:r>
            <w:r>
              <w:rPr>
                <w:color w:val="000000"/>
                <w:szCs w:val="18"/>
              </w:rPr>
              <w:t xml:space="preserve"> </w:t>
            </w:r>
            <w:r>
              <w:rPr>
                <w:rFonts w:cs="Arial"/>
                <w:vanish/>
              </w:rPr>
              <w:t xml:space="preserve">BR_70.06 </w:t>
            </w:r>
            <w:r>
              <w:t xml:space="preserve">VBECS does not list units (for selection) with a final status. When a user enters a unit with a final status, VBECS </w:t>
            </w:r>
            <w:r w:rsidR="007826D2">
              <w:t>alerts</w:t>
            </w:r>
            <w:r>
              <w:t xml:space="preserve"> the user and clears the screen. The user may select another unit.</w:t>
            </w:r>
          </w:p>
        </w:tc>
      </w:tr>
      <w:tr w:rsidR="002A21AE" w14:paraId="08E1C609" w14:textId="77777777" w:rsidTr="006C058D">
        <w:trPr>
          <w:cantSplit/>
        </w:trPr>
        <w:tc>
          <w:tcPr>
            <w:tcW w:w="3240" w:type="dxa"/>
          </w:tcPr>
          <w:p w14:paraId="48F07C2E" w14:textId="77777777" w:rsidR="002A21AE" w:rsidRDefault="002A21AE">
            <w:pPr>
              <w:pStyle w:val="TableTextNumbers"/>
            </w:pPr>
            <w:r>
              <w:t xml:space="preserve">Enter transfusion details for a blood unit. </w:t>
            </w:r>
          </w:p>
          <w:p w14:paraId="4CD8DC3C" w14:textId="77777777" w:rsidR="002A21AE" w:rsidRDefault="002A21AE">
            <w:pPr>
              <w:pStyle w:val="TableTextNumbersContinued"/>
            </w:pPr>
          </w:p>
          <w:p w14:paraId="3685B660" w14:textId="77777777" w:rsidR="002A21AE" w:rsidRDefault="002A21AE">
            <w:pPr>
              <w:pStyle w:val="TableTextNumbersContinued"/>
            </w:pPr>
            <w:r>
              <w:t>Verify the unit selection.</w:t>
            </w:r>
          </w:p>
        </w:tc>
        <w:tc>
          <w:tcPr>
            <w:tcW w:w="6120" w:type="dxa"/>
          </w:tcPr>
          <w:p w14:paraId="42B24CC7" w14:textId="77777777" w:rsidR="00557C79" w:rsidRDefault="00557C79" w:rsidP="00557C79">
            <w:pPr>
              <w:pStyle w:val="TableTextBullet"/>
            </w:pPr>
            <w:r>
              <w:t xml:space="preserve">Displays the unit information entered by the bedside verification check and allows the user to enter to edit the information. </w:t>
            </w:r>
          </w:p>
          <w:p w14:paraId="4D384835" w14:textId="77777777" w:rsidR="00132628" w:rsidRDefault="00132628" w:rsidP="00557C79">
            <w:pPr>
              <w:pStyle w:val="TableTextBullet"/>
            </w:pPr>
            <w:r>
              <w:t>Displays an option to enter or edit unit data.</w:t>
            </w:r>
          </w:p>
          <w:p w14:paraId="0336F1E6" w14:textId="77777777" w:rsidR="00557C79" w:rsidRDefault="00557C79" w:rsidP="00557C79">
            <w:pPr>
              <w:pStyle w:val="TableText"/>
            </w:pPr>
          </w:p>
          <w:p w14:paraId="6DEAB375" w14:textId="77F37626" w:rsidR="00557C79" w:rsidRDefault="00557C79" w:rsidP="00557C79">
            <w:pPr>
              <w:pStyle w:val="TableText"/>
              <w:rPr>
                <w:b/>
                <w:bCs/>
                <w:szCs w:val="18"/>
              </w:rPr>
            </w:pPr>
            <w:r>
              <w:rPr>
                <w:b/>
                <w:bCs/>
                <w:szCs w:val="18"/>
              </w:rPr>
              <w:t>NOTES</w:t>
            </w:r>
          </w:p>
          <w:p w14:paraId="5FF38478" w14:textId="77777777" w:rsidR="00557C79" w:rsidRDefault="00557C79" w:rsidP="00557C79">
            <w:pPr>
              <w:pStyle w:val="NotesText"/>
            </w:pPr>
          </w:p>
          <w:p w14:paraId="1C2DCED5" w14:textId="77777777" w:rsidR="002A21AE" w:rsidRDefault="00557C79" w:rsidP="00557C79">
            <w:pPr>
              <w:pStyle w:val="NotesText"/>
            </w:pPr>
            <w:r>
              <w:rPr>
                <w:rFonts w:cs="Arial"/>
                <w:vanish/>
              </w:rPr>
              <w:t xml:space="preserve">BR_69.05 </w:t>
            </w:r>
            <w:r w:rsidR="006D571D" w:rsidRPr="007D4E77">
              <w:rPr>
                <w:rFonts w:ascii="Wingdings 3" w:hAnsi="Wingdings 3"/>
              </w:rPr>
              <w:t></w:t>
            </w:r>
            <w:r w:rsidR="006D571D" w:rsidRPr="007D4E77">
              <w:rPr>
                <w:rFonts w:ascii="Wingdings 3" w:hAnsi="Wingdings 3"/>
              </w:rPr>
              <w:t></w:t>
            </w:r>
            <w:r w:rsidR="006D571D" w:rsidRPr="007D4E77">
              <w:rPr>
                <w:rFonts w:ascii="Wingdings 3" w:hAnsi="Wingdings 3"/>
              </w:rPr>
              <w:t></w:t>
            </w:r>
            <w:r w:rsidR="006D571D" w:rsidRPr="007D4E77">
              <w:rPr>
                <w:rFonts w:ascii="Wingdings 3" w:hAnsi="Wingdings 3"/>
              </w:rPr>
              <w:t></w:t>
            </w:r>
            <w:r w:rsidR="006D571D">
              <w:t xml:space="preserve"> </w:t>
            </w:r>
            <w:r>
              <w:t xml:space="preserve">A user with a security setting of Traditional Supervisor may edit </w:t>
            </w:r>
            <w:r w:rsidR="00DA747E">
              <w:t>user</w:t>
            </w:r>
            <w:r>
              <w:t xml:space="preserve"> entered bedside verification, transfusion reaction, or post-transfusion detail information.</w:t>
            </w:r>
          </w:p>
          <w:p w14:paraId="24646FB0" w14:textId="77777777" w:rsidR="00132628" w:rsidRDefault="00132628" w:rsidP="00132628">
            <w:pPr>
              <w:pStyle w:val="NotesText"/>
            </w:pPr>
          </w:p>
          <w:p w14:paraId="3C1D7028" w14:textId="77777777" w:rsidR="003427EE" w:rsidRDefault="00132628" w:rsidP="003427EE">
            <w:pPr>
              <w:pStyle w:val="NotesText"/>
            </w:pPr>
            <w:r>
              <w:rPr>
                <w:rFonts w:cs="Arial"/>
                <w:vanish/>
              </w:rPr>
              <w:t xml:space="preserve">BR_69.08 </w:t>
            </w:r>
            <w:r>
              <w:t>VBECS displays an option to enter information for each unit.</w:t>
            </w:r>
            <w:r w:rsidR="00FE3062">
              <w:t xml:space="preserve"> This information is available for patient record retrieval.</w:t>
            </w:r>
          </w:p>
          <w:p w14:paraId="5064715E" w14:textId="77777777" w:rsidR="00927825" w:rsidRDefault="00927825" w:rsidP="003427EE">
            <w:pPr>
              <w:pStyle w:val="NotesText"/>
            </w:pPr>
          </w:p>
          <w:p w14:paraId="385DFDE3" w14:textId="77777777" w:rsidR="00927825" w:rsidRPr="003427EE" w:rsidRDefault="00E15CC5" w:rsidP="00E15CC5">
            <w:pPr>
              <w:pStyle w:val="NotesText"/>
            </w:pPr>
            <w:r w:rsidRPr="00E15CC5">
              <w:rPr>
                <w:vanish/>
              </w:rPr>
              <w:t xml:space="preserve">BR_69.08 </w:t>
            </w:r>
            <w:r w:rsidRPr="00E15CC5">
              <w:t>To prevent rejection of transfusion information exchanged between VBECS and the Transfusion Verification system, a variance of +/- five (5) minutes is permitted for time of issue and transfusion start and end times. The variance allows the two systems to communicate even when their internal time is not precisely synced to the minute.</w:t>
            </w:r>
            <w:r w:rsidR="004B714E" w:rsidRPr="004B714E">
              <w:rPr>
                <w:vanish/>
              </w:rPr>
              <w:t xml:space="preserve"> (Defect 371676)</w:t>
            </w:r>
          </w:p>
        </w:tc>
      </w:tr>
      <w:tr w:rsidR="002A21AE" w14:paraId="2225A9EC" w14:textId="77777777">
        <w:tc>
          <w:tcPr>
            <w:tcW w:w="3240" w:type="dxa"/>
          </w:tcPr>
          <w:p w14:paraId="5876EF35" w14:textId="77777777" w:rsidR="002A21AE" w:rsidRDefault="002A21AE">
            <w:pPr>
              <w:pStyle w:val="TableTextNumbers"/>
            </w:pPr>
            <w:r>
              <w:t>Select one or more units. Enter or edit the bedside verification check information with the proper security level.</w:t>
            </w:r>
          </w:p>
        </w:tc>
        <w:tc>
          <w:tcPr>
            <w:tcW w:w="6120" w:type="dxa"/>
          </w:tcPr>
          <w:p w14:paraId="65C396F9" w14:textId="77777777" w:rsidR="002A21AE" w:rsidRDefault="002A21AE">
            <w:pPr>
              <w:pStyle w:val="TableTextBullet"/>
            </w:pPr>
            <w:r>
              <w:t>Displays the entries for review, including the comment, until all details are entered.</w:t>
            </w:r>
          </w:p>
          <w:p w14:paraId="1B83BCAE" w14:textId="77777777" w:rsidR="002A21AE" w:rsidRDefault="002A21AE">
            <w:pPr>
              <w:pStyle w:val="TableTextBullet"/>
            </w:pPr>
            <w:r>
              <w:t>Displays an option to save the data and exit.</w:t>
            </w:r>
          </w:p>
          <w:p w14:paraId="27EA1A1B" w14:textId="77777777" w:rsidR="002A21AE" w:rsidRDefault="002A21AE">
            <w:pPr>
              <w:pStyle w:val="TableText"/>
            </w:pPr>
          </w:p>
          <w:p w14:paraId="5AF84ECE" w14:textId="52088807" w:rsidR="002A21AE" w:rsidRDefault="002A21AE">
            <w:pPr>
              <w:pStyle w:val="TableText"/>
              <w:rPr>
                <w:b/>
                <w:bCs/>
                <w:szCs w:val="18"/>
              </w:rPr>
            </w:pPr>
            <w:r>
              <w:rPr>
                <w:b/>
                <w:bCs/>
                <w:szCs w:val="18"/>
              </w:rPr>
              <w:t>NOTES</w:t>
            </w:r>
          </w:p>
          <w:p w14:paraId="02F41C3E" w14:textId="77777777" w:rsidR="002A21AE" w:rsidRDefault="002A21AE">
            <w:pPr>
              <w:pStyle w:val="NotesText"/>
            </w:pPr>
          </w:p>
          <w:p w14:paraId="69EC1D1C" w14:textId="77777777" w:rsidR="002A21AE" w:rsidRPr="00D6556D" w:rsidRDefault="002A21AE" w:rsidP="00D6556D">
            <w:pPr>
              <w:pStyle w:val="NotesText"/>
            </w:pPr>
            <w:r>
              <w:rPr>
                <w:rFonts w:cs="Arial"/>
                <w:vanish/>
              </w:rPr>
              <w:t xml:space="preserve">BR_69.12 </w:t>
            </w:r>
            <w:r>
              <w:t>Upon data entry and saving of the post-transfusion information, VBECS assigns a status of “transfused” for the unit of blood assigned to the indicated patient.</w:t>
            </w:r>
          </w:p>
        </w:tc>
      </w:tr>
      <w:tr w:rsidR="002A21AE" w14:paraId="7338AC95" w14:textId="77777777">
        <w:tc>
          <w:tcPr>
            <w:tcW w:w="3240" w:type="dxa"/>
          </w:tcPr>
          <w:p w14:paraId="19F478AF" w14:textId="77777777" w:rsidR="002A21AE" w:rsidRDefault="0014520D">
            <w:pPr>
              <w:pStyle w:val="TableTextNumbers"/>
            </w:pPr>
            <w:r>
              <w:t>Enter post-transfusion details, including:</w:t>
            </w:r>
          </w:p>
          <w:p w14:paraId="52C6A305" w14:textId="77777777" w:rsidR="0014520D" w:rsidRDefault="0014520D" w:rsidP="00506CA6">
            <w:pPr>
              <w:pStyle w:val="TableTextNumbersBullet"/>
              <w:tabs>
                <w:tab w:val="clear" w:pos="288"/>
              </w:tabs>
              <w:ind w:left="510" w:hanging="222"/>
            </w:pPr>
            <w:r>
              <w:t>Transfusion start and end dates and times</w:t>
            </w:r>
          </w:p>
          <w:p w14:paraId="2968E1AA" w14:textId="77777777" w:rsidR="0014520D" w:rsidRDefault="0014520D" w:rsidP="00506CA6">
            <w:pPr>
              <w:pStyle w:val="TableTextNumbersBullet"/>
              <w:tabs>
                <w:tab w:val="clear" w:pos="288"/>
              </w:tabs>
              <w:ind w:left="510" w:hanging="222"/>
            </w:pPr>
            <w:r>
              <w:t>Transfusionist ID</w:t>
            </w:r>
          </w:p>
          <w:p w14:paraId="37A61159" w14:textId="77777777" w:rsidR="0014520D" w:rsidRDefault="0014520D" w:rsidP="00506CA6">
            <w:pPr>
              <w:pStyle w:val="TableTextNumbersBullet"/>
              <w:tabs>
                <w:tab w:val="clear" w:pos="288"/>
              </w:tabs>
              <w:ind w:left="510" w:hanging="222"/>
            </w:pPr>
            <w:r>
              <w:t>Location of transfusion</w:t>
            </w:r>
          </w:p>
          <w:p w14:paraId="78F44DF5" w14:textId="77777777" w:rsidR="0014520D" w:rsidRDefault="0014520D" w:rsidP="00506CA6">
            <w:pPr>
              <w:pStyle w:val="TableTextNumbersBullet"/>
              <w:tabs>
                <w:tab w:val="clear" w:pos="288"/>
              </w:tabs>
              <w:ind w:left="510" w:hanging="222"/>
            </w:pPr>
            <w:r>
              <w:t>Whether the transfusion was completed or interrupted</w:t>
            </w:r>
          </w:p>
          <w:p w14:paraId="4F5FACE9" w14:textId="77777777" w:rsidR="0014520D" w:rsidRDefault="0014520D" w:rsidP="00506CA6">
            <w:pPr>
              <w:pStyle w:val="TableTextNumbersBullet"/>
              <w:tabs>
                <w:tab w:val="clear" w:pos="288"/>
              </w:tabs>
              <w:ind w:left="510" w:hanging="222"/>
            </w:pPr>
            <w:r>
              <w:t>If interrupted, the amount transfused</w:t>
            </w:r>
          </w:p>
          <w:p w14:paraId="247938B1" w14:textId="77777777" w:rsidR="0014520D" w:rsidRDefault="0014520D" w:rsidP="00506CA6">
            <w:pPr>
              <w:pStyle w:val="TableTextNumbersBullet"/>
              <w:tabs>
                <w:tab w:val="clear" w:pos="288"/>
              </w:tabs>
              <w:ind w:left="510" w:hanging="222"/>
            </w:pPr>
            <w:r>
              <w:t>Whether there was a transfusion reaction</w:t>
            </w:r>
          </w:p>
          <w:p w14:paraId="5980B42B" w14:textId="69DE27F1" w:rsidR="0014520D" w:rsidRDefault="0014520D" w:rsidP="00506CA6">
            <w:pPr>
              <w:pStyle w:val="TableTextNumbersBullet"/>
              <w:tabs>
                <w:tab w:val="clear" w:pos="288"/>
              </w:tabs>
              <w:ind w:left="510" w:hanging="222"/>
            </w:pPr>
            <w:r>
              <w:t>If there was a reaction, symptoms</w:t>
            </w:r>
            <w:r w:rsidR="00DA5ED4">
              <w:t xml:space="preserve"> (</w:t>
            </w:r>
            <w:r w:rsidR="00EE455E">
              <w:t xml:space="preserve">Figure </w:t>
            </w:r>
            <w:r w:rsidR="00EE455E">
              <w:rPr>
                <w:noProof/>
              </w:rPr>
              <w:t>113</w:t>
            </w:r>
            <w:r w:rsidR="00DA5ED4">
              <w:t>)</w:t>
            </w:r>
          </w:p>
          <w:p w14:paraId="398CB59B" w14:textId="77777777" w:rsidR="008A3A5A" w:rsidRDefault="008A3A5A" w:rsidP="008A3A5A">
            <w:pPr>
              <w:pStyle w:val="TableTextNumbersContinued"/>
            </w:pPr>
          </w:p>
          <w:p w14:paraId="661FC8EF" w14:textId="77777777" w:rsidR="008A3A5A" w:rsidRDefault="008A3A5A" w:rsidP="008A3A5A">
            <w:pPr>
              <w:pStyle w:val="TableTextNumbersContinued"/>
            </w:pPr>
            <w:r>
              <w:t xml:space="preserve">Click </w:t>
            </w:r>
            <w:r w:rsidRPr="008A3A5A">
              <w:rPr>
                <w:b/>
              </w:rPr>
              <w:t>OK</w:t>
            </w:r>
            <w:r>
              <w:t xml:space="preserve"> to save.</w:t>
            </w:r>
          </w:p>
        </w:tc>
        <w:tc>
          <w:tcPr>
            <w:tcW w:w="6120" w:type="dxa"/>
          </w:tcPr>
          <w:p w14:paraId="6C6C598E" w14:textId="77777777" w:rsidR="002A21AE" w:rsidRDefault="002A21AE">
            <w:pPr>
              <w:pStyle w:val="TableTextBullet"/>
            </w:pPr>
            <w:r>
              <w:t>Displays an option to enter unit data.</w:t>
            </w:r>
          </w:p>
          <w:p w14:paraId="13B48989" w14:textId="77777777" w:rsidR="002A21AE" w:rsidRDefault="002A21AE">
            <w:pPr>
              <w:pStyle w:val="TableTextBullet"/>
            </w:pPr>
            <w:r>
              <w:t>Warns the user or allows the user to continue to the next selected unit.</w:t>
            </w:r>
          </w:p>
          <w:p w14:paraId="100D0472" w14:textId="77777777" w:rsidR="002A21AE" w:rsidRDefault="002A21AE">
            <w:pPr>
              <w:pStyle w:val="TableText"/>
            </w:pPr>
          </w:p>
          <w:p w14:paraId="5E703B51" w14:textId="2C574C49" w:rsidR="002A21AE" w:rsidRDefault="002A21AE">
            <w:pPr>
              <w:pStyle w:val="TableText"/>
              <w:rPr>
                <w:b/>
                <w:bCs/>
                <w:szCs w:val="18"/>
              </w:rPr>
            </w:pPr>
            <w:r>
              <w:rPr>
                <w:b/>
                <w:bCs/>
                <w:szCs w:val="18"/>
              </w:rPr>
              <w:t>NOTES</w:t>
            </w:r>
          </w:p>
          <w:p w14:paraId="12A06B38" w14:textId="77777777" w:rsidR="002A21AE" w:rsidRDefault="002A21AE">
            <w:pPr>
              <w:pStyle w:val="NotesText"/>
            </w:pPr>
          </w:p>
          <w:p w14:paraId="2F3E0030" w14:textId="77777777" w:rsidR="008A3A5A" w:rsidRPr="008A3A5A" w:rsidRDefault="008A3A5A">
            <w:pPr>
              <w:pStyle w:val="NotesText"/>
              <w:rPr>
                <w:rFonts w:cs="Arial"/>
                <w:szCs w:val="18"/>
              </w:rPr>
            </w:pPr>
            <w:r w:rsidRPr="008A3A5A">
              <w:rPr>
                <w:rFonts w:cs="Arial"/>
                <w:szCs w:val="18"/>
              </w:rPr>
              <w:t xml:space="preserve">When a user </w:t>
            </w:r>
            <w:r>
              <w:rPr>
                <w:rFonts w:cs="Arial"/>
                <w:szCs w:val="18"/>
              </w:rPr>
              <w:t xml:space="preserve">indicates that </w:t>
            </w:r>
            <w:r w:rsidRPr="008A3A5A">
              <w:rPr>
                <w:rFonts w:cs="Arial"/>
                <w:szCs w:val="18"/>
              </w:rPr>
              <w:t>a transfusion reaction</w:t>
            </w:r>
            <w:r>
              <w:rPr>
                <w:rFonts w:cs="Arial"/>
                <w:szCs w:val="18"/>
              </w:rPr>
              <w:t xml:space="preserve"> occurred</w:t>
            </w:r>
            <w:r w:rsidRPr="008A3A5A">
              <w:rPr>
                <w:rFonts w:cs="Arial"/>
                <w:szCs w:val="18"/>
              </w:rPr>
              <w:t xml:space="preserve">, VBECS does not automatically order a TRW. </w:t>
            </w:r>
          </w:p>
          <w:p w14:paraId="7899F7CB" w14:textId="77777777" w:rsidR="008A3A5A" w:rsidRDefault="008A3A5A">
            <w:pPr>
              <w:pStyle w:val="NotesText"/>
              <w:rPr>
                <w:rFonts w:cs="Arial"/>
              </w:rPr>
            </w:pPr>
          </w:p>
          <w:p w14:paraId="45C41617" w14:textId="77777777" w:rsidR="00965B34" w:rsidRDefault="00965B34">
            <w:pPr>
              <w:pStyle w:val="NotesText"/>
              <w:rPr>
                <w:rFonts w:cs="Arial"/>
                <w:vanish/>
              </w:rPr>
            </w:pPr>
          </w:p>
          <w:p w14:paraId="0E904733" w14:textId="77777777" w:rsidR="002A21AE" w:rsidRDefault="002A21AE">
            <w:pPr>
              <w:pStyle w:val="NotesText"/>
            </w:pPr>
            <w:r>
              <w:rPr>
                <w:rFonts w:cs="Arial"/>
                <w:vanish/>
              </w:rPr>
              <w:t xml:space="preserve">BR_69.06 </w:t>
            </w:r>
            <w:r w:rsidR="00D6556D">
              <w:t xml:space="preserve">VBECS notifies the </w:t>
            </w:r>
            <w:r w:rsidR="00922AD8">
              <w:t>user when</w:t>
            </w:r>
            <w:r>
              <w:t xml:space="preserve"> the transfusion end date and time is earlier than the start or issue time. The user may correct the entry.</w:t>
            </w:r>
          </w:p>
          <w:p w14:paraId="50083702" w14:textId="77777777" w:rsidR="002A21AE" w:rsidRDefault="002A21AE">
            <w:pPr>
              <w:pStyle w:val="NotesText"/>
            </w:pPr>
          </w:p>
          <w:p w14:paraId="66332C81" w14:textId="77777777" w:rsidR="002A21AE" w:rsidRDefault="002A21AE">
            <w:pPr>
              <w:pStyle w:val="NotesText"/>
            </w:pPr>
            <w:r>
              <w:rPr>
                <w:rFonts w:cs="Arial"/>
                <w:vanish/>
              </w:rPr>
              <w:t xml:space="preserve">BR_69.10 </w:t>
            </w:r>
            <w:r>
              <w:t>When the unit was not issued to a remote storage location, VBECS compares the date and time the unit was issued to the start transfusion time entered.</w:t>
            </w:r>
          </w:p>
          <w:p w14:paraId="543F3677" w14:textId="77777777" w:rsidR="002A21AE" w:rsidRDefault="002A21AE">
            <w:pPr>
              <w:pStyle w:val="NotesText"/>
            </w:pPr>
          </w:p>
          <w:p w14:paraId="181958C3" w14:textId="77777777" w:rsidR="002A21AE" w:rsidRDefault="002A21AE">
            <w:pPr>
              <w:pStyle w:val="NotesText"/>
            </w:pPr>
            <w:r>
              <w:t xml:space="preserve">When the difference is greater than 30 minutes, VBECS notifies the user that this is a delayed start time and allows the user to edit the transfusion start date and time. </w:t>
            </w:r>
            <w:r>
              <w:rPr>
                <w:b/>
              </w:rPr>
              <w:t>No</w:t>
            </w:r>
            <w:r>
              <w:t xml:space="preserve"> allows the user to continue. </w:t>
            </w:r>
            <w:r>
              <w:rPr>
                <w:b/>
              </w:rPr>
              <w:t>Yes</w:t>
            </w:r>
            <w:r>
              <w:t xml:space="preserve"> allows the user to edit the date and time the transfusion ended. When the user edits the date and time transfused, VBECS repeats this process until the user stops editing and chooses to continue.</w:t>
            </w:r>
          </w:p>
          <w:p w14:paraId="1F6EE90A" w14:textId="77777777" w:rsidR="002A21AE" w:rsidRDefault="002A21AE">
            <w:pPr>
              <w:pStyle w:val="NotesText"/>
            </w:pPr>
          </w:p>
          <w:p w14:paraId="7CEEE0F2" w14:textId="77777777" w:rsidR="002A21AE" w:rsidRDefault="002A21AE">
            <w:pPr>
              <w:pStyle w:val="NotesText"/>
            </w:pPr>
            <w:r>
              <w:rPr>
                <w:rFonts w:cs="Arial"/>
                <w:vanish/>
              </w:rPr>
              <w:t xml:space="preserve">BR_69.11 </w:t>
            </w:r>
            <w:r>
              <w:t xml:space="preserve">When the unit was not issued to a remote storage location, VBECS compares the date and time recorded as the transfusion end time to the start date, calculates the transfusion time in minutes, and compares this period to the maximum transfusion time for the component class. When the calculated transfusion time for this unit exceeds the defined maximum transfusion time for the component class, VBECS notifies the user that this is a prolonged transfusion and allows the user to edit the transfusion end date and time. </w:t>
            </w:r>
            <w:r>
              <w:rPr>
                <w:b/>
              </w:rPr>
              <w:t>No</w:t>
            </w:r>
            <w:r>
              <w:t xml:space="preserve"> allows the user to continue. </w:t>
            </w:r>
            <w:r>
              <w:rPr>
                <w:b/>
              </w:rPr>
              <w:t>Yes</w:t>
            </w:r>
            <w:r>
              <w:t xml:space="preserve"> allows the user to edit the date and time the transfusion ended. When the user edits the date and time transfused, VBECS repeats this process until the user stops editing and chooses to continue.</w:t>
            </w:r>
          </w:p>
        </w:tc>
      </w:tr>
      <w:tr w:rsidR="002A21AE" w14:paraId="33114C76" w14:textId="77777777">
        <w:tc>
          <w:tcPr>
            <w:tcW w:w="3240" w:type="dxa"/>
          </w:tcPr>
          <w:p w14:paraId="6041B5F4" w14:textId="77777777" w:rsidR="002A21AE" w:rsidRDefault="002A21AE">
            <w:pPr>
              <w:pStyle w:val="TableTextNumbers"/>
            </w:pPr>
            <w:r>
              <w:t>Respond to warnings or continue to enter data for the next unit.</w:t>
            </w:r>
          </w:p>
        </w:tc>
        <w:tc>
          <w:tcPr>
            <w:tcW w:w="6120" w:type="dxa"/>
          </w:tcPr>
          <w:p w14:paraId="53EE4C26" w14:textId="77777777" w:rsidR="002A21AE" w:rsidRDefault="002A21AE">
            <w:pPr>
              <w:pStyle w:val="TableTextBullet"/>
            </w:pPr>
            <w:r>
              <w:t>Allows the user to repeat for subsequent selected units until all details are entered.</w:t>
            </w:r>
          </w:p>
          <w:p w14:paraId="77EC26F7" w14:textId="77777777" w:rsidR="002A21AE" w:rsidRDefault="002A21AE">
            <w:pPr>
              <w:pStyle w:val="TableTextBullet"/>
            </w:pPr>
            <w:r>
              <w:t>Displays an option to save the data and exit.</w:t>
            </w:r>
          </w:p>
          <w:p w14:paraId="399FD7C7" w14:textId="77777777" w:rsidR="002A21AE" w:rsidRDefault="002A21AE">
            <w:pPr>
              <w:pStyle w:val="TableText"/>
            </w:pPr>
          </w:p>
          <w:p w14:paraId="4425C57C" w14:textId="2C165AE5" w:rsidR="002A21AE" w:rsidRDefault="002A21AE">
            <w:pPr>
              <w:pStyle w:val="TableText"/>
              <w:rPr>
                <w:b/>
                <w:bCs/>
                <w:szCs w:val="18"/>
              </w:rPr>
            </w:pPr>
            <w:r>
              <w:rPr>
                <w:b/>
                <w:bCs/>
                <w:szCs w:val="18"/>
              </w:rPr>
              <w:t>NOTES</w:t>
            </w:r>
          </w:p>
          <w:p w14:paraId="7815F7DE" w14:textId="77777777" w:rsidR="002A21AE" w:rsidRDefault="002A21AE">
            <w:pPr>
              <w:pStyle w:val="NotesText"/>
            </w:pPr>
          </w:p>
          <w:p w14:paraId="7DD2E6F9" w14:textId="77777777" w:rsidR="002A21AE" w:rsidRDefault="002A21AE">
            <w:pPr>
              <w:pStyle w:val="NotesText"/>
            </w:pPr>
            <w:r>
              <w:rPr>
                <w:rFonts w:cs="Arial"/>
                <w:vanish/>
              </w:rPr>
              <w:t xml:space="preserve">BR_69.13 </w:t>
            </w:r>
            <w:r>
              <w:t>VBECS saves all transfusion information for future retrieval and reporting as part of the patient and unit historic records.</w:t>
            </w:r>
          </w:p>
          <w:p w14:paraId="1EF3CAE1" w14:textId="77777777" w:rsidR="00D6556D" w:rsidRDefault="00D6556D">
            <w:pPr>
              <w:pStyle w:val="NotesText"/>
            </w:pPr>
          </w:p>
          <w:p w14:paraId="09BAED49" w14:textId="77777777" w:rsidR="00D6556D" w:rsidRDefault="005759DC" w:rsidP="005759DC">
            <w:pPr>
              <w:pStyle w:val="NotesText"/>
            </w:pPr>
            <w:r w:rsidRPr="00F91233">
              <w:rPr>
                <w:vanish/>
              </w:rPr>
              <w:t xml:space="preserve">BR_78.06 </w:t>
            </w:r>
            <w:r w:rsidR="00F91233">
              <w:t>VBECS notifies the user when DSS updates cannot be sent because Vis</w:t>
            </w:r>
            <w:r w:rsidR="00D6556D">
              <w:t>tALink is not active.</w:t>
            </w:r>
          </w:p>
          <w:p w14:paraId="632DD14D" w14:textId="77777777" w:rsidR="00D6556D" w:rsidRDefault="00D6556D" w:rsidP="005759DC">
            <w:pPr>
              <w:pStyle w:val="NotesText"/>
            </w:pPr>
          </w:p>
          <w:p w14:paraId="6FC35142" w14:textId="77777777" w:rsidR="005759DC" w:rsidRPr="005759DC" w:rsidRDefault="00D6556D" w:rsidP="00A2613A">
            <w:pPr>
              <w:pStyle w:val="NotesText"/>
            </w:pPr>
            <w:r w:rsidRPr="00CE602E">
              <w:rPr>
                <w:vanish/>
              </w:rPr>
              <w:t xml:space="preserve">BR_102.09 </w:t>
            </w:r>
            <w:r>
              <w:t>VBECS will attempt to resend the DSS information when VistA</w:t>
            </w:r>
            <w:r w:rsidR="00A2613A">
              <w:t>L</w:t>
            </w:r>
            <w:r>
              <w:t xml:space="preserve">ink is available after any user logs into the VBECS application’s </w:t>
            </w:r>
            <w:r w:rsidR="00A2613A">
              <w:t>VistALink</w:t>
            </w:r>
            <w:r>
              <w:t xml:space="preserve"> connection</w:t>
            </w:r>
          </w:p>
        </w:tc>
      </w:tr>
      <w:tr w:rsidR="002A21AE" w14:paraId="1E1204BA" w14:textId="77777777">
        <w:tc>
          <w:tcPr>
            <w:tcW w:w="3240" w:type="dxa"/>
          </w:tcPr>
          <w:p w14:paraId="39AF0B88"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0B5A30E2" w14:textId="77777777" w:rsidR="002A21AE" w:rsidRDefault="002A21AE">
            <w:pPr>
              <w:pStyle w:val="TableText"/>
            </w:pPr>
          </w:p>
        </w:tc>
      </w:tr>
    </w:tbl>
    <w:p w14:paraId="344C1702" w14:textId="1A045C9D" w:rsidR="00AF4568" w:rsidRDefault="00AF4568" w:rsidP="00AF4568">
      <w:pPr>
        <w:pStyle w:val="Caption"/>
      </w:pPr>
      <w:bookmarkStart w:id="512" w:name="_Ref12760763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112</w:t>
      </w:r>
      <w:r w:rsidR="004E20BD">
        <w:rPr>
          <w:noProof/>
        </w:rPr>
        <w:fldChar w:fldCharType="end"/>
      </w:r>
      <w:bookmarkEnd w:id="512"/>
      <w:r>
        <w:t>: Post-Transfusion Information</w:t>
      </w:r>
    </w:p>
    <w:p w14:paraId="661B6D7C" w14:textId="4D5DA452" w:rsidR="002A21AE" w:rsidRDefault="009227D1" w:rsidP="00AF4568">
      <w:pPr>
        <w:pStyle w:val="BodyText"/>
      </w:pPr>
      <w:r>
        <w:rPr>
          <w:noProof/>
        </w:rPr>
        <w:drawing>
          <wp:inline distT="0" distB="0" distL="0" distR="0" wp14:anchorId="6F0B776F" wp14:editId="07358026">
            <wp:extent cx="5943600" cy="3448685"/>
            <wp:effectExtent l="0" t="0" r="0" b="0"/>
            <wp:docPr id="224" name="Picture 224" descr="Example of Post-Transfusion Inform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Example of Post-Transfusion Information screen captur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43600" cy="3448685"/>
                    </a:xfrm>
                    <a:prstGeom prst="rect">
                      <a:avLst/>
                    </a:prstGeom>
                    <a:noFill/>
                    <a:ln>
                      <a:noFill/>
                    </a:ln>
                  </pic:spPr>
                </pic:pic>
              </a:graphicData>
            </a:graphic>
          </wp:inline>
        </w:drawing>
      </w:r>
    </w:p>
    <w:p w14:paraId="45440C02" w14:textId="07596397" w:rsidR="00AF4568" w:rsidRDefault="00AF4568" w:rsidP="00AF4568">
      <w:pPr>
        <w:pStyle w:val="Caption"/>
      </w:pPr>
      <w:bookmarkStart w:id="513" w:name="_Ref127607838"/>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113</w:t>
      </w:r>
      <w:r w:rsidR="004E20BD">
        <w:rPr>
          <w:noProof/>
        </w:rPr>
        <w:fldChar w:fldCharType="end"/>
      </w:r>
      <w:bookmarkEnd w:id="513"/>
      <w:r>
        <w:t>: Post-Transfusion Information Details</w:t>
      </w:r>
    </w:p>
    <w:p w14:paraId="5E8D7A06" w14:textId="27A38C10" w:rsidR="00B8081D" w:rsidRDefault="009227D1" w:rsidP="00B8081D">
      <w:pPr>
        <w:pStyle w:val="BodyText"/>
      </w:pPr>
      <w:r>
        <w:rPr>
          <w:noProof/>
        </w:rPr>
        <w:drawing>
          <wp:inline distT="0" distB="0" distL="0" distR="0" wp14:anchorId="7DE4E668" wp14:editId="2A81F82A">
            <wp:extent cx="5943600" cy="4457700"/>
            <wp:effectExtent l="0" t="0" r="0" b="0"/>
            <wp:docPr id="1154" name="Picture 1154" descr="Example of Post-Transfusion Information Detail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Example of Post-Transfusion Information Details screen captur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48F1516" w14:textId="77777777" w:rsidR="00FE1ABC" w:rsidRDefault="00746454" w:rsidP="00FE1ABC">
      <w:pPr>
        <w:pStyle w:val="Heading4"/>
      </w:pPr>
      <w:r w:rsidRPr="008000E5">
        <w:rPr>
          <w:snapToGrid w:val="0"/>
        </w:rPr>
        <w:br w:type="page"/>
      </w:r>
      <w:r w:rsidR="00FE1ABC">
        <w:t>Automated Entry of Post-Transfusion Details from BCE COTS Application</w:t>
      </w:r>
      <w:r w:rsidR="00FE1ABC">
        <w:fldChar w:fldCharType="begin"/>
      </w:r>
      <w:r w:rsidR="00FE1ABC">
        <w:instrText xml:space="preserve"> XE “Automated Entry of Post-Transfusion Details from BCE COTS Application” </w:instrText>
      </w:r>
      <w:r w:rsidR="00FE1ABC">
        <w:fldChar w:fldCharType="end"/>
      </w:r>
    </w:p>
    <w:p w14:paraId="3028F630" w14:textId="77777777" w:rsidR="00FE1ABC" w:rsidRPr="002624D5" w:rsidRDefault="00FE1ABC" w:rsidP="00FE1ABC">
      <w:pPr>
        <w:pStyle w:val="BodyText"/>
      </w:pPr>
      <w:r w:rsidRPr="008D4EF9">
        <w:t xml:space="preserve">VBECS receives and saves the details of </w:t>
      </w:r>
      <w:r>
        <w:t xml:space="preserve">a </w:t>
      </w:r>
      <w:r w:rsidRPr="008D4EF9">
        <w:t>unit transfusion episode as recorded in the BCE COTS system</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FE1ABC" w14:paraId="128AEFCD" w14:textId="77777777">
        <w:trPr>
          <w:tblHeader/>
        </w:trPr>
        <w:tc>
          <w:tcPr>
            <w:tcW w:w="3240" w:type="dxa"/>
            <w:tcBorders>
              <w:top w:val="single" w:sz="4" w:space="0" w:color="auto"/>
              <w:left w:val="single" w:sz="4" w:space="0" w:color="auto"/>
              <w:bottom w:val="single" w:sz="4" w:space="0" w:color="auto"/>
              <w:right w:val="single" w:sz="4" w:space="0" w:color="auto"/>
            </w:tcBorders>
            <w:shd w:val="pct30" w:color="auto" w:fill="auto"/>
            <w:vAlign w:val="bottom"/>
          </w:tcPr>
          <w:p w14:paraId="2E795965" w14:textId="77777777" w:rsidR="00FE1ABC" w:rsidRDefault="00FE1ABC" w:rsidP="0087088B">
            <w:pPr>
              <w:pStyle w:val="TableText"/>
              <w:rPr>
                <w:b/>
              </w:rPr>
            </w:pPr>
            <w:r>
              <w:rPr>
                <w:b/>
              </w:rPr>
              <w:t>User Action</w:t>
            </w:r>
          </w:p>
        </w:tc>
        <w:tc>
          <w:tcPr>
            <w:tcW w:w="6120" w:type="dxa"/>
            <w:tcBorders>
              <w:top w:val="single" w:sz="4" w:space="0" w:color="auto"/>
              <w:left w:val="single" w:sz="4" w:space="0" w:color="auto"/>
              <w:bottom w:val="single" w:sz="4" w:space="0" w:color="auto"/>
              <w:right w:val="single" w:sz="4" w:space="0" w:color="auto"/>
            </w:tcBorders>
            <w:shd w:val="pct30" w:color="auto" w:fill="auto"/>
            <w:vAlign w:val="bottom"/>
          </w:tcPr>
          <w:p w14:paraId="006735E3" w14:textId="77777777" w:rsidR="00FE1ABC" w:rsidRDefault="00FE1ABC" w:rsidP="0087088B">
            <w:pPr>
              <w:pStyle w:val="TableText"/>
              <w:rPr>
                <w:b/>
              </w:rPr>
            </w:pPr>
            <w:r>
              <w:rPr>
                <w:b/>
              </w:rPr>
              <w:t>VBECS</w:t>
            </w:r>
          </w:p>
        </w:tc>
      </w:tr>
      <w:tr w:rsidR="00FE1ABC" w14:paraId="30EA5E44" w14:textId="77777777">
        <w:tc>
          <w:tcPr>
            <w:tcW w:w="3240" w:type="dxa"/>
            <w:tcBorders>
              <w:top w:val="single" w:sz="4" w:space="0" w:color="auto"/>
              <w:left w:val="single" w:sz="4" w:space="0" w:color="auto"/>
              <w:bottom w:val="single" w:sz="4" w:space="0" w:color="auto"/>
              <w:right w:val="single" w:sz="4" w:space="0" w:color="auto"/>
            </w:tcBorders>
          </w:tcPr>
          <w:p w14:paraId="771E5700" w14:textId="22407484" w:rsidR="00FE1ABC" w:rsidRDefault="00FE1ABC" w:rsidP="0087088B">
            <w:pPr>
              <w:pStyle w:val="TableTextNumbers"/>
            </w:pPr>
            <w:r>
              <w:t>BCE COTS system user completes a transfusion for a patient which triggers a</w:t>
            </w:r>
            <w:r w:rsidR="00DB1399">
              <w:t>n</w:t>
            </w:r>
            <w:r>
              <w:t xml:space="preserve"> HL7 message containing transfusion information to VBECS</w:t>
            </w:r>
            <w:r w:rsidR="00C62A42">
              <w:t xml:space="preserve"> for a blood unit</w:t>
            </w:r>
            <w:r>
              <w:t>.</w:t>
            </w:r>
          </w:p>
        </w:tc>
        <w:tc>
          <w:tcPr>
            <w:tcW w:w="6120" w:type="dxa"/>
            <w:tcBorders>
              <w:top w:val="single" w:sz="4" w:space="0" w:color="auto"/>
              <w:left w:val="single" w:sz="4" w:space="0" w:color="auto"/>
              <w:bottom w:val="single" w:sz="4" w:space="0" w:color="auto"/>
              <w:right w:val="single" w:sz="4" w:space="0" w:color="auto"/>
            </w:tcBorders>
          </w:tcPr>
          <w:p w14:paraId="61FC86CD" w14:textId="77777777" w:rsidR="00FE1ABC" w:rsidRPr="00B607E6" w:rsidRDefault="00FE1ABC" w:rsidP="0087088B">
            <w:pPr>
              <w:pStyle w:val="TableTextBullet"/>
            </w:pPr>
            <w:r>
              <w:rPr>
                <w:rFonts w:cs="Arial"/>
                <w:vanish/>
                <w:szCs w:val="18"/>
              </w:rPr>
              <w:t>BR_69.23</w:t>
            </w:r>
            <w:r>
              <w:rPr>
                <w:rFonts w:cs="Arial"/>
                <w:szCs w:val="18"/>
              </w:rPr>
              <w:t xml:space="preserve"> </w:t>
            </w:r>
            <w:r w:rsidRPr="003878EB">
              <w:rPr>
                <w:rFonts w:cs="Arial"/>
                <w:szCs w:val="18"/>
              </w:rPr>
              <w:t>VBECS reject</w:t>
            </w:r>
            <w:r>
              <w:rPr>
                <w:rFonts w:cs="Arial"/>
                <w:szCs w:val="18"/>
              </w:rPr>
              <w:t>s</w:t>
            </w:r>
            <w:r w:rsidRPr="003878EB">
              <w:rPr>
                <w:rFonts w:cs="Arial"/>
                <w:szCs w:val="18"/>
              </w:rPr>
              <w:t xml:space="preserve"> a BCE COTS </w:t>
            </w:r>
            <w:r>
              <w:rPr>
                <w:rFonts w:cs="Arial"/>
                <w:szCs w:val="18"/>
              </w:rPr>
              <w:t>HL7</w:t>
            </w:r>
            <w:r w:rsidRPr="003878EB">
              <w:rPr>
                <w:rFonts w:cs="Arial"/>
                <w:szCs w:val="18"/>
              </w:rPr>
              <w:t xml:space="preserve"> message when data elements are not acceptable per the data entry rules for manual entry</w:t>
            </w:r>
            <w:r>
              <w:rPr>
                <w:rFonts w:cs="Arial"/>
                <w:szCs w:val="18"/>
              </w:rPr>
              <w:t>.</w:t>
            </w:r>
          </w:p>
          <w:p w14:paraId="2FCC56CB" w14:textId="77777777" w:rsidR="00FE1ABC" w:rsidRDefault="00FE1ABC" w:rsidP="0087088B">
            <w:pPr>
              <w:pStyle w:val="TableText"/>
            </w:pPr>
          </w:p>
          <w:p w14:paraId="4D2A67F0" w14:textId="70A9DCE1" w:rsidR="00FE1ABC" w:rsidRDefault="00FE1ABC" w:rsidP="0087088B">
            <w:pPr>
              <w:pStyle w:val="TableText"/>
              <w:rPr>
                <w:b/>
                <w:bCs/>
              </w:rPr>
            </w:pPr>
            <w:r>
              <w:rPr>
                <w:b/>
                <w:bCs/>
              </w:rPr>
              <w:t>NOTES</w:t>
            </w:r>
          </w:p>
          <w:p w14:paraId="6EE232E2" w14:textId="77777777" w:rsidR="00FE1ABC" w:rsidRDefault="00FE1ABC" w:rsidP="0087088B">
            <w:pPr>
              <w:pStyle w:val="NotesText"/>
            </w:pPr>
          </w:p>
          <w:p w14:paraId="76C6F9FD" w14:textId="77777777" w:rsidR="00FE1ABC" w:rsidRDefault="00FE1ABC" w:rsidP="0087088B">
            <w:pPr>
              <w:pStyle w:val="NotesText"/>
              <w:rPr>
                <w:rFonts w:cs="Arial"/>
              </w:rPr>
            </w:pPr>
            <w:r w:rsidRPr="00E51FC8">
              <w:rPr>
                <w:rFonts w:cs="Arial"/>
              </w:rPr>
              <w:t>Units that are not updated by a BCE COTS message will be marked presumed transfused 48 hours after issue by a VBECS background process.</w:t>
            </w:r>
          </w:p>
          <w:p w14:paraId="4A7162B5" w14:textId="77777777" w:rsidR="00A55D3A" w:rsidRDefault="00A55D3A" w:rsidP="0087088B">
            <w:pPr>
              <w:pStyle w:val="NotesText"/>
              <w:rPr>
                <w:rFonts w:cs="Arial"/>
              </w:rPr>
            </w:pPr>
          </w:p>
          <w:p w14:paraId="7AE4A712" w14:textId="77777777" w:rsidR="00A55D3A" w:rsidRPr="00E51FC8" w:rsidRDefault="00A55D3A" w:rsidP="0087088B">
            <w:pPr>
              <w:pStyle w:val="NotesText"/>
            </w:pPr>
            <w:r>
              <w:t>Transfusion information is available in the Unit History Report.</w:t>
            </w:r>
          </w:p>
        </w:tc>
      </w:tr>
      <w:tr w:rsidR="00FE1ABC" w14:paraId="79D0E9F6" w14:textId="77777777">
        <w:tc>
          <w:tcPr>
            <w:tcW w:w="3240" w:type="dxa"/>
            <w:tcBorders>
              <w:top w:val="single" w:sz="4" w:space="0" w:color="auto"/>
              <w:left w:val="single" w:sz="4" w:space="0" w:color="auto"/>
              <w:bottom w:val="single" w:sz="4" w:space="0" w:color="auto"/>
              <w:right w:val="single" w:sz="4" w:space="0" w:color="auto"/>
            </w:tcBorders>
          </w:tcPr>
          <w:p w14:paraId="2A2F32F1" w14:textId="77777777" w:rsidR="00FE1ABC" w:rsidRDefault="00FE1ABC" w:rsidP="0087088B">
            <w:pPr>
              <w:pStyle w:val="TableTextNumbers"/>
            </w:pPr>
            <w:r w:rsidRPr="003878EB">
              <w:rPr>
                <w:rFonts w:cs="Arial"/>
                <w:szCs w:val="18"/>
              </w:rPr>
              <w:t xml:space="preserve">VBECS </w:t>
            </w:r>
            <w:r>
              <w:rPr>
                <w:rFonts w:cs="Arial"/>
                <w:szCs w:val="18"/>
              </w:rPr>
              <w:t>updates</w:t>
            </w:r>
            <w:r w:rsidRPr="003878EB">
              <w:rPr>
                <w:rFonts w:cs="Arial"/>
                <w:szCs w:val="18"/>
              </w:rPr>
              <w:t xml:space="preserve"> the patient transfusion record with the details received in the successfully acknowledged HL7 message</w:t>
            </w:r>
            <w:r>
              <w:t xml:space="preserve">.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6FC21207" w14:textId="77777777" w:rsidR="00FE1ABC" w:rsidRDefault="00FE1ABC" w:rsidP="0087088B">
            <w:pPr>
              <w:pStyle w:val="TableTextBullet"/>
            </w:pPr>
            <w:r>
              <w:rPr>
                <w:vanish/>
              </w:rPr>
              <w:t xml:space="preserve">BR_69.21 </w:t>
            </w:r>
            <w:r>
              <w:t xml:space="preserve">VBECS generates an exception report entry: </w:t>
            </w:r>
            <w:r w:rsidRPr="00B6437A">
              <w:t>Electronic Transfusion Record Update when a BCE COTS update to a previously saved manually or electronically entered transfusion record is received.</w:t>
            </w:r>
          </w:p>
          <w:p w14:paraId="033A8584" w14:textId="77777777" w:rsidR="00FE1ABC" w:rsidRDefault="00FE1ABC" w:rsidP="0087088B">
            <w:pPr>
              <w:pStyle w:val="TableTextBullet"/>
            </w:pPr>
            <w:r w:rsidRPr="00E51FC8">
              <w:rPr>
                <w:vanish/>
              </w:rPr>
              <w:t xml:space="preserve">BR_69.20 </w:t>
            </w:r>
            <w:r w:rsidRPr="00E51FC8">
              <w:t>When an update to a previously saved transfusion record is made by BCE COTS or a user, VBECS will display the original entry and the updated details in the Patient History and Unit History Reports.</w:t>
            </w:r>
          </w:p>
          <w:p w14:paraId="7720CCE0" w14:textId="77777777" w:rsidR="00FE1ABC" w:rsidRDefault="00FE1ABC" w:rsidP="0087088B">
            <w:pPr>
              <w:pStyle w:val="TableText"/>
            </w:pPr>
          </w:p>
          <w:p w14:paraId="4060A8DC" w14:textId="3F8B8DD6" w:rsidR="00FE1ABC" w:rsidRDefault="00FE1ABC" w:rsidP="0087088B">
            <w:pPr>
              <w:pStyle w:val="TableText"/>
              <w:rPr>
                <w:b/>
                <w:bCs/>
              </w:rPr>
            </w:pPr>
            <w:r>
              <w:rPr>
                <w:b/>
                <w:bCs/>
              </w:rPr>
              <w:t>NOTES</w:t>
            </w:r>
          </w:p>
          <w:p w14:paraId="573AD7A9" w14:textId="77777777" w:rsidR="00FE1ABC" w:rsidRDefault="00FE1ABC" w:rsidP="0087088B">
            <w:pPr>
              <w:pStyle w:val="NotesText"/>
            </w:pPr>
          </w:p>
          <w:p w14:paraId="07706323" w14:textId="77777777" w:rsidR="00FE1ABC" w:rsidRDefault="00FE1ABC" w:rsidP="0087088B">
            <w:pPr>
              <w:pStyle w:val="NotesText"/>
            </w:pPr>
            <w:r w:rsidRPr="00847BD8">
              <w:rPr>
                <w:vanish/>
              </w:rPr>
              <w:t xml:space="preserve">BR_69.18 </w:t>
            </w:r>
            <w:r w:rsidRPr="001D3A9F">
              <w:t>The</w:t>
            </w:r>
            <w:r w:rsidRPr="003878EB">
              <w:t xml:space="preserve"> BCE COTS system delivers </w:t>
            </w:r>
            <w:r>
              <w:t xml:space="preserve">these patient and unit specific </w:t>
            </w:r>
            <w:r w:rsidRPr="003878EB">
              <w:t>trans</w:t>
            </w:r>
            <w:r>
              <w:t>fusion data elements to VBECS for update</w:t>
            </w:r>
          </w:p>
          <w:p w14:paraId="7D97E90A" w14:textId="77777777" w:rsidR="00FE1ABC" w:rsidRPr="003878EB" w:rsidRDefault="00FE1ABC" w:rsidP="0087088B">
            <w:pPr>
              <w:pStyle w:val="NotesTextBullet"/>
            </w:pPr>
            <w:r w:rsidRPr="003878EB">
              <w:t>Bedside verification date and time</w:t>
            </w:r>
          </w:p>
          <w:p w14:paraId="47D40EBB" w14:textId="21507E47" w:rsidR="00FE1ABC" w:rsidRPr="003878EB" w:rsidRDefault="00FE1ABC" w:rsidP="0087088B">
            <w:pPr>
              <w:pStyle w:val="NotesTextBullet"/>
            </w:pPr>
            <w:r w:rsidRPr="003878EB">
              <w:t xml:space="preserve">Transfusion </w:t>
            </w:r>
            <w:r>
              <w:t>verification m</w:t>
            </w:r>
            <w:r w:rsidRPr="003878EB">
              <w:t>anual</w:t>
            </w:r>
            <w:r>
              <w:t xml:space="preserve"> Unit ID entry reason </w:t>
            </w:r>
          </w:p>
          <w:p w14:paraId="2D45FD91" w14:textId="77777777" w:rsidR="00FE1ABC" w:rsidRPr="003878EB" w:rsidRDefault="00FE1ABC" w:rsidP="0087088B">
            <w:pPr>
              <w:pStyle w:val="NotesTextBullet"/>
            </w:pPr>
            <w:r w:rsidRPr="003878EB">
              <w:t>Transfusion Start date and time</w:t>
            </w:r>
          </w:p>
          <w:p w14:paraId="711D7126" w14:textId="77777777" w:rsidR="00FE1ABC" w:rsidRPr="003878EB" w:rsidRDefault="00FE1ABC" w:rsidP="0087088B">
            <w:pPr>
              <w:pStyle w:val="NotesTextBullet"/>
            </w:pPr>
            <w:r w:rsidRPr="003878EB">
              <w:t>Transfusionist ID #1</w:t>
            </w:r>
          </w:p>
          <w:p w14:paraId="118AB7F8" w14:textId="77777777" w:rsidR="00FE1ABC" w:rsidRPr="003878EB" w:rsidRDefault="00FE1ABC" w:rsidP="0087088B">
            <w:pPr>
              <w:pStyle w:val="NotesTextBullet"/>
            </w:pPr>
            <w:r w:rsidRPr="003878EB">
              <w:t>Transfusionist ID #2 (may be blank if so configured in BCE COTS application)</w:t>
            </w:r>
          </w:p>
          <w:p w14:paraId="11C04DA2" w14:textId="77777777" w:rsidR="00FE1ABC" w:rsidRPr="003878EB" w:rsidRDefault="00FE1ABC" w:rsidP="0087088B">
            <w:pPr>
              <w:pStyle w:val="NotesTextBullet"/>
            </w:pPr>
            <w:r w:rsidRPr="003878EB">
              <w:t>Transfusion End Date and time</w:t>
            </w:r>
          </w:p>
          <w:p w14:paraId="196EFD98" w14:textId="77777777" w:rsidR="00FE1ABC" w:rsidRPr="003878EB" w:rsidRDefault="00FE1ABC" w:rsidP="0087088B">
            <w:pPr>
              <w:pStyle w:val="NotesTextBullet"/>
            </w:pPr>
            <w:r w:rsidRPr="003878EB">
              <w:t>Patient location at Transfusion</w:t>
            </w:r>
          </w:p>
          <w:p w14:paraId="52037D78" w14:textId="77777777" w:rsidR="00FE1ABC" w:rsidRPr="003878EB" w:rsidRDefault="00FE1ABC" w:rsidP="0087088B">
            <w:pPr>
              <w:pStyle w:val="NotesTextBullet"/>
            </w:pPr>
            <w:r w:rsidRPr="003878EB">
              <w:t>Transfusion interrupted indicator</w:t>
            </w:r>
          </w:p>
          <w:p w14:paraId="6AF148D8" w14:textId="77777777" w:rsidR="00FE1ABC" w:rsidRPr="003878EB" w:rsidRDefault="00FE1ABC" w:rsidP="0087088B">
            <w:pPr>
              <w:pStyle w:val="NotesTextBullet"/>
            </w:pPr>
            <w:r w:rsidRPr="003878EB">
              <w:t>Transfused volume, (ml not in fractions by the BCE COTS)</w:t>
            </w:r>
          </w:p>
          <w:p w14:paraId="45848805" w14:textId="77777777" w:rsidR="00FE1ABC" w:rsidRDefault="00FE1ABC" w:rsidP="0087088B">
            <w:pPr>
              <w:pStyle w:val="NotesTextBullet"/>
            </w:pPr>
            <w:r w:rsidRPr="003878EB">
              <w:t>Transfusion Reaction noted</w:t>
            </w:r>
          </w:p>
          <w:p w14:paraId="086303E8" w14:textId="77777777" w:rsidR="00FE1ABC" w:rsidRPr="003878EB" w:rsidRDefault="00FE1ABC" w:rsidP="0087088B">
            <w:pPr>
              <w:pStyle w:val="NotesTextBullet"/>
            </w:pPr>
            <w:r w:rsidRPr="003878EB">
              <w:t>Transfusion Reactions symptoms entered, if any</w:t>
            </w:r>
          </w:p>
          <w:p w14:paraId="599997D2" w14:textId="77777777" w:rsidR="00FE1ABC" w:rsidRDefault="00FE1ABC" w:rsidP="0087088B">
            <w:pPr>
              <w:pStyle w:val="NotesTextBullet"/>
            </w:pPr>
            <w:r w:rsidRPr="003878EB">
              <w:t>Transfusion comments, if any</w:t>
            </w:r>
          </w:p>
          <w:p w14:paraId="74624A7F" w14:textId="77777777" w:rsidR="00FE1ABC" w:rsidRDefault="00FE1ABC" w:rsidP="0087088B">
            <w:pPr>
              <w:pStyle w:val="NotesTextBullet"/>
              <w:numPr>
                <w:ilvl w:val="0"/>
                <w:numId w:val="0"/>
              </w:numPr>
              <w:ind w:left="1008"/>
            </w:pPr>
          </w:p>
        </w:tc>
      </w:tr>
    </w:tbl>
    <w:p w14:paraId="5EAC7E12" w14:textId="77777777" w:rsidR="002A21AE" w:rsidRPr="008000E5" w:rsidRDefault="00FE1ABC" w:rsidP="00542C41">
      <w:pPr>
        <w:pStyle w:val="Heading2"/>
      </w:pPr>
      <w:r>
        <w:rPr>
          <w:snapToGrid w:val="0"/>
        </w:rPr>
        <w:br w:type="page"/>
      </w:r>
      <w:bookmarkStart w:id="514" w:name="_Toc149064171"/>
      <w:r w:rsidR="002A21AE" w:rsidRPr="008000E5">
        <w:rPr>
          <w:snapToGrid w:val="0"/>
        </w:rPr>
        <w:t>Document ABO Incompatible Transfusions</w:t>
      </w:r>
      <w:bookmarkEnd w:id="514"/>
      <w:r w:rsidR="002A21AE" w:rsidRPr="00014BE4">
        <w:fldChar w:fldCharType="begin"/>
      </w:r>
      <w:r w:rsidR="002A21AE" w:rsidRPr="008000E5">
        <w:instrText xml:space="preserve"> XE </w:instrText>
      </w:r>
      <w:r w:rsidR="00FA7E65" w:rsidRPr="008000E5">
        <w:instrText>“</w:instrText>
      </w:r>
      <w:r w:rsidR="002A21AE" w:rsidRPr="008000E5">
        <w:instrText>Document ABO Incompatible Transfusions</w:instrText>
      </w:r>
      <w:r w:rsidR="00FA7E65" w:rsidRPr="008000E5">
        <w:instrText>”</w:instrText>
      </w:r>
      <w:r w:rsidR="002A21AE" w:rsidRPr="008000E5">
        <w:instrText xml:space="preserve"> </w:instrText>
      </w:r>
      <w:r w:rsidR="002A21AE" w:rsidRPr="00014BE4">
        <w:fldChar w:fldCharType="end"/>
      </w:r>
      <w:r w:rsidR="002A21AE" w:rsidRPr="00F854CF">
        <w:rPr>
          <w:rFonts w:ascii="Arial Bold" w:hAnsi="Arial Bold"/>
          <w:vanish/>
        </w:rPr>
        <w:t xml:space="preserve"> UC_69</w:t>
      </w:r>
    </w:p>
    <w:p w14:paraId="1A6D748C" w14:textId="16A2C8D5" w:rsidR="002A21AE" w:rsidRDefault="002A21AE" w:rsidP="00FA7E65">
      <w:pPr>
        <w:pStyle w:val="BodyText"/>
      </w:pPr>
      <w:bookmarkStart w:id="515" w:name="_Toc77405565"/>
      <w:r>
        <w:t>The user enters post-transfusion details from the Blood Transfusion Record Form (BTRF) to document ABO incompatible and other inadvertent transfusions.</w:t>
      </w:r>
      <w:r w:rsidR="00751497">
        <w:t xml:space="preserve"> (See FAQ Handling ABO Incompatible Transfusion Situations</w:t>
      </w:r>
      <w:r w:rsidR="008470B0">
        <w:t>)</w:t>
      </w:r>
    </w:p>
    <w:p w14:paraId="741CE9EF" w14:textId="77777777" w:rsidR="002A21AE" w:rsidRDefault="002A21AE">
      <w:pPr>
        <w:pStyle w:val="Heading4"/>
      </w:pPr>
      <w:r>
        <w:t>Assumptions</w:t>
      </w:r>
    </w:p>
    <w:p w14:paraId="1447762E" w14:textId="77777777" w:rsidR="002A21AE" w:rsidRDefault="007C7B04" w:rsidP="007C7B04">
      <w:pPr>
        <w:pStyle w:val="ListBullet"/>
      </w:pPr>
      <w:r w:rsidRPr="00554296">
        <w:rPr>
          <w:rFonts w:eastAsia="Arial Unicode MS"/>
        </w:rPr>
        <w:t xml:space="preserve">A </w:t>
      </w:r>
      <w:r w:rsidRPr="007C7B04">
        <w:t>unit</w:t>
      </w:r>
      <w:r w:rsidR="00B26579">
        <w:rPr>
          <w:rFonts w:eastAsia="Arial Unicode MS"/>
        </w:rPr>
        <w:t xml:space="preserve"> was transfused to a patient</w:t>
      </w:r>
      <w:r w:rsidRPr="00554296">
        <w:rPr>
          <w:rFonts w:eastAsia="Arial Unicode MS"/>
        </w:rPr>
        <w:t xml:space="preserve"> other than the intended recipient</w:t>
      </w:r>
      <w:r w:rsidR="002A21AE">
        <w:t xml:space="preserve">. </w:t>
      </w:r>
    </w:p>
    <w:p w14:paraId="148D7C09" w14:textId="77777777" w:rsidR="00132F6A" w:rsidRDefault="00132F6A" w:rsidP="00132F6A">
      <w:pPr>
        <w:pStyle w:val="ListBullet"/>
      </w:pPr>
      <w:r>
        <w:t xml:space="preserve">The connection to </w:t>
      </w:r>
      <w:r w:rsidRPr="00CA6E27">
        <w:rPr>
          <w:bCs/>
        </w:rPr>
        <w:t>VistA</w:t>
      </w:r>
      <w:r>
        <w:t xml:space="preserve"> is active.</w:t>
      </w:r>
    </w:p>
    <w:p w14:paraId="12DC1706" w14:textId="77777777" w:rsidR="002A21AE" w:rsidRDefault="002A21AE">
      <w:pPr>
        <w:pStyle w:val="Heading4"/>
      </w:pPr>
      <w:r>
        <w:t>Outcome</w:t>
      </w:r>
    </w:p>
    <w:p w14:paraId="206C0C09" w14:textId="77777777" w:rsidR="002A21AE" w:rsidRDefault="002A21AE">
      <w:pPr>
        <w:pStyle w:val="ListBullet"/>
      </w:pPr>
      <w:r>
        <w:t>The unit status is updated to “transfused.”</w:t>
      </w:r>
    </w:p>
    <w:p w14:paraId="6C167A5A" w14:textId="77777777" w:rsidR="002A21AE" w:rsidRDefault="002A21AE">
      <w:pPr>
        <w:pStyle w:val="ListBullet"/>
      </w:pPr>
      <w:r>
        <w:t>The patient record includes the blood transfusion information.</w:t>
      </w:r>
    </w:p>
    <w:p w14:paraId="3560BAAB" w14:textId="77777777" w:rsidR="002A21AE" w:rsidRDefault="002A21AE">
      <w:pPr>
        <w:pStyle w:val="Heading4"/>
      </w:pPr>
      <w:r>
        <w:t>Limitations and Restrictions</w:t>
      </w:r>
    </w:p>
    <w:p w14:paraId="5AE60238" w14:textId="77777777" w:rsidR="002A21AE" w:rsidRDefault="002A21AE">
      <w:pPr>
        <w:pStyle w:val="ListBullet"/>
      </w:pPr>
      <w:r>
        <w:t>VBECS does not enforce compatibility checks between the patient and the unit.</w:t>
      </w:r>
    </w:p>
    <w:p w14:paraId="44EFFEDA" w14:textId="77777777" w:rsidR="003427EE" w:rsidRDefault="003427EE" w:rsidP="003427EE">
      <w:pPr>
        <w:pStyle w:val="ListBullet"/>
      </w:pPr>
      <w:r>
        <w:t>VBECS does not update CPRS component order status when the Document ABO Incompatible Transfusion option is used.</w:t>
      </w:r>
    </w:p>
    <w:p w14:paraId="4610C93C" w14:textId="77777777" w:rsidR="002A21AE" w:rsidRDefault="002A21AE">
      <w:pPr>
        <w:pStyle w:val="Heading4"/>
      </w:pPr>
      <w:r>
        <w:t>Additional Information</w:t>
      </w:r>
    </w:p>
    <w:p w14:paraId="0D04ED0C" w14:textId="77777777" w:rsidR="002A21AE" w:rsidRDefault="001E7158">
      <w:pPr>
        <w:pStyle w:val="ListBullet"/>
      </w:pPr>
      <w:r>
        <w:t xml:space="preserve">FDA </w:t>
      </w:r>
      <w:proofErr w:type="spellStart"/>
      <w:r>
        <w:t>guidances</w:t>
      </w:r>
      <w:proofErr w:type="spellEnd"/>
      <w:r w:rsidR="005215D6">
        <w:t xml:space="preserve"> govern when to file blood product deviation reports</w:t>
      </w:r>
      <w:r w:rsidR="002A21AE">
        <w:t>.</w:t>
      </w:r>
    </w:p>
    <w:p w14:paraId="1106AE91" w14:textId="77777777" w:rsidR="00774A57" w:rsidRDefault="00774A57">
      <w:pPr>
        <w:pStyle w:val="ListBullet"/>
      </w:pPr>
      <w:r>
        <w:t>Follow local policy</w:t>
      </w:r>
      <w:r w:rsidR="001A0BF6">
        <w:t xml:space="preserve"> and procedures</w:t>
      </w:r>
      <w:r>
        <w:t xml:space="preserve"> for additional reporting requirements.</w:t>
      </w:r>
    </w:p>
    <w:p w14:paraId="4863B5E9" w14:textId="3CB44283" w:rsidR="00721A8D" w:rsidRDefault="00014BE4">
      <w:pPr>
        <w:pStyle w:val="ListBullet"/>
      </w:pPr>
      <w:r>
        <w:t xml:space="preserve">VBECS requires a specimen and an order placed through CPRS to process transfusions. </w:t>
      </w:r>
      <w:r w:rsidR="00721A8D">
        <w:t>When a patient was transfused and no specimen was collected or order placed for blood components,</w:t>
      </w:r>
      <w:r w:rsidR="003D71A3">
        <w:t xml:space="preserve"> </w:t>
      </w:r>
      <w:r w:rsidR="00721A8D" w:rsidRPr="00014BE4">
        <w:t xml:space="preserve">the user may </w:t>
      </w:r>
      <w:r w:rsidR="00721A8D">
        <w:t>record</w:t>
      </w:r>
      <w:r w:rsidR="00721A8D" w:rsidRPr="00014BE4">
        <w:t xml:space="preserve"> the transfusion using </w:t>
      </w:r>
      <w:r w:rsidR="00721A8D">
        <w:t xml:space="preserve">this </w:t>
      </w:r>
      <w:r w:rsidR="00721A8D" w:rsidRPr="00014BE4">
        <w:t>option</w:t>
      </w:r>
      <w:r w:rsidR="00721A8D">
        <w:t>.</w:t>
      </w:r>
      <w:r w:rsidR="004E7582" w:rsidRPr="004E7582">
        <w:rPr>
          <w:vanish/>
        </w:rPr>
        <w:t xml:space="preserve"> UserDoc Task 1087</w:t>
      </w:r>
    </w:p>
    <w:p w14:paraId="6A6865EB" w14:textId="1B8319E9" w:rsidR="00BC1FE7" w:rsidRDefault="00BC1FE7">
      <w:pPr>
        <w:pStyle w:val="ListBullet"/>
      </w:pPr>
      <w:r>
        <w:t>A record</w:t>
      </w:r>
      <w:r w:rsidR="002B6600">
        <w:t xml:space="preserve"> can be saved without entering the amount transfused and the Transfusion Interrupted option is selected. Enter the amount transfused before saving the transfusion. </w:t>
      </w:r>
      <w:r w:rsidR="002B6600" w:rsidRPr="002B6600">
        <w:rPr>
          <w:vanish/>
        </w:rPr>
        <w:t>Defect 2099</w:t>
      </w:r>
      <w:r w:rsidR="00CA745C">
        <w:rPr>
          <w:vanish/>
        </w:rPr>
        <w:t>9</w:t>
      </w:r>
      <w:r w:rsidR="002B6600" w:rsidRPr="002B6600">
        <w:rPr>
          <w:vanish/>
        </w:rPr>
        <w:t>2</w:t>
      </w:r>
    </w:p>
    <w:p w14:paraId="34467F31" w14:textId="77777777" w:rsidR="002A21AE" w:rsidRDefault="002A21AE">
      <w:pPr>
        <w:pStyle w:val="Heading4"/>
      </w:pPr>
      <w:r>
        <w:t>User Roles with Access to This Option</w:t>
      </w:r>
    </w:p>
    <w:p w14:paraId="0F8A4296" w14:textId="77777777" w:rsidR="002A21AE" w:rsidRDefault="007D4E77">
      <w:pPr>
        <w:pStyle w:val="Roles"/>
        <w:rPr>
          <w:snapToGrid w:val="0"/>
        </w:rPr>
      </w:pPr>
      <w:r w:rsidRPr="007D4E77">
        <w:rPr>
          <w:rFonts w:ascii="Wingdings 3" w:hAnsi="Wingdings 3"/>
        </w:rPr>
        <w:t></w:t>
      </w:r>
      <w:r w:rsidRPr="007D4E77">
        <w:rPr>
          <w:rFonts w:ascii="Wingdings 3" w:hAnsi="Wingdings 3"/>
        </w:rPr>
        <w:t></w:t>
      </w:r>
      <w:r w:rsidRPr="007D4E77">
        <w:rPr>
          <w:rFonts w:ascii="Wingdings 3" w:hAnsi="Wingdings 3"/>
        </w:rPr>
        <w:t></w:t>
      </w:r>
      <w:r w:rsidRPr="007D4E77">
        <w:rPr>
          <w:rFonts w:ascii="Wingdings 3" w:hAnsi="Wingdings 3"/>
        </w:rPr>
        <w:t></w:t>
      </w:r>
      <w:r>
        <w:t xml:space="preserve"> Traditional Supervisor</w:t>
      </w:r>
    </w:p>
    <w:bookmarkEnd w:id="515"/>
    <w:p w14:paraId="4629286B" w14:textId="77777777" w:rsidR="002A21AE" w:rsidRDefault="002A21AE">
      <w:pPr>
        <w:pStyle w:val="Heading4"/>
      </w:pPr>
      <w:r>
        <w:t>Document ABO Incompatible Transfusions</w:t>
      </w:r>
    </w:p>
    <w:p w14:paraId="340065FE" w14:textId="77777777" w:rsidR="009D00C1" w:rsidRDefault="009D00C1" w:rsidP="00FA7E65">
      <w:pPr>
        <w:pStyle w:val="BodyText"/>
      </w:pPr>
      <w:r>
        <w:t>When a unit is transfused to the incorrect patient</w:t>
      </w:r>
      <w:r w:rsidR="00F90DFB">
        <w:t xml:space="preserve">, </w:t>
      </w:r>
      <w:r>
        <w:t>t</w:t>
      </w:r>
      <w:r w:rsidR="002A21AE">
        <w:t xml:space="preserve">he user enters transfusion details for </w:t>
      </w:r>
      <w:r>
        <w:t xml:space="preserve">that unit. </w:t>
      </w:r>
    </w:p>
    <w:p w14:paraId="0E5581F1" w14:textId="77777777" w:rsidR="002A21AE" w:rsidRDefault="00057948" w:rsidP="00DC645C">
      <w:pPr>
        <w:pStyle w:val="Caution"/>
      </w:pPr>
      <w:r>
        <w:rPr>
          <w:noProof/>
        </w:rPr>
        <w:drawing>
          <wp:inline distT="0" distB="0" distL="0" distR="0" wp14:anchorId="1BF92278" wp14:editId="225BAB95">
            <wp:extent cx="267970" cy="221615"/>
            <wp:effectExtent l="0" t="0" r="0" b="6985"/>
            <wp:docPr id="260" name="Picture 260"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DC645C">
        <w:t xml:space="preserve"> </w:t>
      </w:r>
      <w:r w:rsidR="002A21AE">
        <w:t>VBECS does not enforce compatibility checks to allow consistent and accurate online availability of a unit’s final disposition.</w:t>
      </w:r>
      <w:r w:rsidR="002A21AE">
        <w:rPr>
          <w:b/>
        </w:rPr>
        <w:t xml:space="preserve"> </w:t>
      </w:r>
      <w:r w:rsidR="002A21AE">
        <w:t xml:space="preserve">Use of this </w:t>
      </w:r>
      <w:r w:rsidR="00932460">
        <w:t>option</w:t>
      </w:r>
      <w:r w:rsidR="002A21AE">
        <w:t xml:space="preserve"> is restricted to supervisory blood bank personnel who have thoroughly investigated the transfusion and documented the inability to use normal VBECS business processes to enter the transfusion documentation.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5FC5A709" w14:textId="77777777">
        <w:trPr>
          <w:cantSplit/>
          <w:tblHeader/>
        </w:trPr>
        <w:tc>
          <w:tcPr>
            <w:tcW w:w="3240" w:type="dxa"/>
            <w:shd w:val="pct30" w:color="auto" w:fill="FFFFFF"/>
            <w:vAlign w:val="bottom"/>
          </w:tcPr>
          <w:p w14:paraId="0166A4AA" w14:textId="77777777" w:rsidR="002A21AE" w:rsidRDefault="002A21AE">
            <w:pPr>
              <w:pStyle w:val="TableText"/>
              <w:rPr>
                <w:b/>
              </w:rPr>
            </w:pPr>
            <w:r>
              <w:rPr>
                <w:b/>
              </w:rPr>
              <w:t>User Action</w:t>
            </w:r>
          </w:p>
        </w:tc>
        <w:tc>
          <w:tcPr>
            <w:tcW w:w="6120" w:type="dxa"/>
            <w:shd w:val="pct30" w:color="auto" w:fill="FFFFFF"/>
            <w:vAlign w:val="bottom"/>
          </w:tcPr>
          <w:p w14:paraId="59C7C461" w14:textId="77777777" w:rsidR="002A21AE" w:rsidRDefault="002A21AE">
            <w:pPr>
              <w:pStyle w:val="TableText"/>
              <w:rPr>
                <w:b/>
              </w:rPr>
            </w:pPr>
            <w:r>
              <w:rPr>
                <w:b/>
              </w:rPr>
              <w:t>VBECS</w:t>
            </w:r>
          </w:p>
        </w:tc>
      </w:tr>
      <w:tr w:rsidR="002A21AE" w14:paraId="7036764C" w14:textId="77777777">
        <w:tc>
          <w:tcPr>
            <w:tcW w:w="3240" w:type="dxa"/>
            <w:tcBorders>
              <w:top w:val="single" w:sz="4" w:space="0" w:color="auto"/>
              <w:left w:val="single" w:sz="4" w:space="0" w:color="auto"/>
              <w:bottom w:val="single" w:sz="4" w:space="0" w:color="auto"/>
              <w:right w:val="single" w:sz="4" w:space="0" w:color="auto"/>
            </w:tcBorders>
          </w:tcPr>
          <w:p w14:paraId="3CA5FBDB" w14:textId="77777777" w:rsidR="002A21AE" w:rsidRDefault="002A21AE">
            <w:pPr>
              <w:pStyle w:val="TableTextNumbers"/>
            </w:pPr>
            <w:r>
              <w:t xml:space="preserve">Select </w:t>
            </w:r>
            <w:r>
              <w:rPr>
                <w:b/>
              </w:rPr>
              <w:t>Supervisor</w:t>
            </w:r>
            <w:r>
              <w:t xml:space="preserve"> from the main menu.</w:t>
            </w:r>
          </w:p>
          <w:p w14:paraId="46BBD680" w14:textId="77777777" w:rsidR="002A21AE" w:rsidRDefault="002A21AE">
            <w:pPr>
              <w:pStyle w:val="TableTextNumbersContinued"/>
            </w:pPr>
          </w:p>
          <w:p w14:paraId="2F20D374" w14:textId="77777777" w:rsidR="002A21AE" w:rsidRPr="001E3F01" w:rsidRDefault="002A21AE">
            <w:pPr>
              <w:pStyle w:val="TableTextNumbersContinued"/>
              <w:rPr>
                <w:lang w:val="fr-CA"/>
              </w:rPr>
            </w:pPr>
            <w:r w:rsidRPr="001E3F01">
              <w:rPr>
                <w:lang w:val="fr-CA"/>
              </w:rPr>
              <w:t xml:space="preserve">Select </w:t>
            </w:r>
            <w:r w:rsidRPr="001E3F01">
              <w:rPr>
                <w:b/>
                <w:lang w:val="fr-CA"/>
              </w:rPr>
              <w:t>Document ABO Incompatible Transfusion</w:t>
            </w:r>
            <w:r w:rsidRPr="001E3F01">
              <w:rPr>
                <w:lang w:val="fr-CA"/>
              </w:rPr>
              <w:t>.</w:t>
            </w:r>
          </w:p>
        </w:tc>
        <w:tc>
          <w:tcPr>
            <w:tcW w:w="6120" w:type="dxa"/>
            <w:tcBorders>
              <w:top w:val="single" w:sz="4" w:space="0" w:color="auto"/>
              <w:left w:val="single" w:sz="4" w:space="0" w:color="auto"/>
              <w:bottom w:val="single" w:sz="4" w:space="0" w:color="auto"/>
              <w:right w:val="single" w:sz="4" w:space="0" w:color="auto"/>
            </w:tcBorders>
          </w:tcPr>
          <w:p w14:paraId="195CD2A6" w14:textId="77777777" w:rsidR="002A21AE" w:rsidRDefault="002A21AE">
            <w:pPr>
              <w:pStyle w:val="TableTextBullet"/>
            </w:pPr>
            <w:r>
              <w:t>Displays options for processing patient-related functions.</w:t>
            </w:r>
          </w:p>
          <w:p w14:paraId="1909E50D" w14:textId="77777777" w:rsidR="002A21AE" w:rsidRDefault="002A21AE">
            <w:pPr>
              <w:pStyle w:val="TableTextBullet"/>
            </w:pPr>
            <w:r>
              <w:t>Displays an option to scan the Caution Tag or enter a patient name or ID.</w:t>
            </w:r>
          </w:p>
          <w:p w14:paraId="2BA4E6C9" w14:textId="77777777" w:rsidR="002A21AE" w:rsidRDefault="002A21AE">
            <w:pPr>
              <w:pStyle w:val="NotesText"/>
            </w:pPr>
          </w:p>
        </w:tc>
      </w:tr>
      <w:tr w:rsidR="002A21AE" w14:paraId="0E85F3BA" w14:textId="77777777" w:rsidTr="00F3651E">
        <w:trPr>
          <w:cantSplit/>
        </w:trPr>
        <w:tc>
          <w:tcPr>
            <w:tcW w:w="3240" w:type="dxa"/>
          </w:tcPr>
          <w:p w14:paraId="7465342C" w14:textId="77777777" w:rsidR="002A21AE" w:rsidRDefault="002A21AE">
            <w:pPr>
              <w:pStyle w:val="TableTextNumbers"/>
            </w:pPr>
            <w:r>
              <w:t xml:space="preserve">Select a patient and click </w:t>
            </w:r>
            <w:r>
              <w:rPr>
                <w:b/>
              </w:rPr>
              <w:t>OK</w:t>
            </w:r>
            <w:r>
              <w:t>.</w:t>
            </w:r>
          </w:p>
        </w:tc>
        <w:tc>
          <w:tcPr>
            <w:tcW w:w="6120" w:type="dxa"/>
          </w:tcPr>
          <w:p w14:paraId="698F71D8" w14:textId="77777777" w:rsidR="001C50C2" w:rsidRDefault="002A21AE" w:rsidP="001C50C2">
            <w:pPr>
              <w:pStyle w:val="TableText"/>
            </w:pPr>
            <w:r>
              <w:t>Displays an option to select a patient that may not be available from the VBECS files.</w:t>
            </w:r>
            <w:r w:rsidR="001C50C2">
              <w:t xml:space="preserve"> </w:t>
            </w:r>
          </w:p>
          <w:p w14:paraId="3F0F6108" w14:textId="77777777" w:rsidR="001C50C2" w:rsidRDefault="001C50C2" w:rsidP="001C50C2">
            <w:pPr>
              <w:pStyle w:val="TableText"/>
            </w:pPr>
          </w:p>
          <w:p w14:paraId="4C0A4985" w14:textId="67CD2C5F" w:rsidR="001C50C2" w:rsidRDefault="001C50C2" w:rsidP="001C50C2">
            <w:pPr>
              <w:pStyle w:val="TableText"/>
            </w:pPr>
            <w:r>
              <w:rPr>
                <w:b/>
                <w:bCs/>
                <w:szCs w:val="18"/>
              </w:rPr>
              <w:t>NOTES</w:t>
            </w:r>
          </w:p>
          <w:p w14:paraId="41B35672" w14:textId="77777777" w:rsidR="001C50C2" w:rsidRDefault="001C50C2" w:rsidP="001C50C2">
            <w:pPr>
              <w:pStyle w:val="TableTextBullet"/>
              <w:numPr>
                <w:ilvl w:val="0"/>
                <w:numId w:val="0"/>
              </w:numPr>
              <w:ind w:left="288" w:hanging="288"/>
              <w:rPr>
                <w:rFonts w:cs="Arial"/>
              </w:rPr>
            </w:pPr>
          </w:p>
          <w:p w14:paraId="1808392B" w14:textId="77777777" w:rsidR="001C50C2" w:rsidRDefault="001C50C2" w:rsidP="001C50C2">
            <w:pPr>
              <w:pStyle w:val="TableTextBullet"/>
              <w:numPr>
                <w:ilvl w:val="0"/>
                <w:numId w:val="0"/>
              </w:numPr>
              <w:ind w:left="720"/>
            </w:pPr>
            <w:r w:rsidRPr="001C50C2">
              <w:rPr>
                <w:rFonts w:cs="Arial"/>
              </w:rPr>
              <w:t xml:space="preserve">Displays a message when the user selects a patient with a blank first or last name, or the name is too long. The user is instructed to contact the VBECS Administrator for assistance. </w:t>
            </w:r>
            <w:r w:rsidRPr="001C50C2">
              <w:rPr>
                <w:rFonts w:cs="Arial"/>
                <w:vanish/>
              </w:rPr>
              <w:t>DR 3444</w:t>
            </w:r>
          </w:p>
        </w:tc>
      </w:tr>
      <w:tr w:rsidR="002A21AE" w14:paraId="74FAD4C0" w14:textId="77777777">
        <w:tc>
          <w:tcPr>
            <w:tcW w:w="3240" w:type="dxa"/>
          </w:tcPr>
          <w:p w14:paraId="43E3D686" w14:textId="77777777" w:rsidR="002A21AE" w:rsidRDefault="0087088B" w:rsidP="0087088B">
            <w:pPr>
              <w:pStyle w:val="TableTextNumbers"/>
            </w:pPr>
            <w:r>
              <w:t xml:space="preserve">Select a </w:t>
            </w:r>
            <w:r w:rsidR="00922AD8">
              <w:t>unit to</w:t>
            </w:r>
            <w:r w:rsidR="002A21AE">
              <w:t xml:space="preserve"> document a</w:t>
            </w:r>
            <w:r w:rsidR="00B26579">
              <w:t xml:space="preserve"> </w:t>
            </w:r>
            <w:r w:rsidR="002A21AE">
              <w:t>transfusion</w:t>
            </w:r>
            <w:r w:rsidR="00F37D55">
              <w:t xml:space="preserve"> that does not follow system rules</w:t>
            </w:r>
            <w:r w:rsidR="002A21AE">
              <w:t>.</w:t>
            </w:r>
          </w:p>
        </w:tc>
        <w:tc>
          <w:tcPr>
            <w:tcW w:w="6120" w:type="dxa"/>
          </w:tcPr>
          <w:p w14:paraId="16A9B61D" w14:textId="77777777" w:rsidR="002A21AE" w:rsidRDefault="002A21AE">
            <w:pPr>
              <w:pStyle w:val="TableTextBullet"/>
            </w:pPr>
            <w:r>
              <w:t>Displays an option to enter a unit ID and product code or search for one.</w:t>
            </w:r>
          </w:p>
          <w:p w14:paraId="07BC2B70" w14:textId="77777777" w:rsidR="002A21AE" w:rsidRDefault="002A21AE">
            <w:pPr>
              <w:pStyle w:val="TableText"/>
            </w:pPr>
          </w:p>
          <w:p w14:paraId="58DB244E" w14:textId="452C2C5A" w:rsidR="002A21AE" w:rsidRDefault="002A21AE">
            <w:pPr>
              <w:pStyle w:val="TableText"/>
              <w:rPr>
                <w:b/>
                <w:bCs/>
                <w:szCs w:val="18"/>
              </w:rPr>
            </w:pPr>
            <w:r>
              <w:rPr>
                <w:b/>
                <w:bCs/>
                <w:szCs w:val="18"/>
              </w:rPr>
              <w:t>NOTES</w:t>
            </w:r>
          </w:p>
          <w:p w14:paraId="6A0C9C26" w14:textId="77777777" w:rsidR="002A21AE" w:rsidRDefault="002A21AE">
            <w:pPr>
              <w:pStyle w:val="NotesText"/>
            </w:pPr>
          </w:p>
          <w:p w14:paraId="710ECD4E" w14:textId="52AD1627" w:rsidR="007F00C5" w:rsidRPr="002B5E51" w:rsidRDefault="007F00C5" w:rsidP="007F00C5">
            <w:pPr>
              <w:pStyle w:val="NotesText"/>
              <w:rPr>
                <w:rFonts w:cs="Arial"/>
                <w:vanish/>
              </w:rPr>
            </w:pPr>
            <w:r>
              <w:rPr>
                <w:rFonts w:cs="Arial"/>
              </w:rPr>
              <w:t>VBECS presents all units in the system for selection when the search button is used. This search will require time to complete as the number of units to display increases.</w:t>
            </w:r>
            <w:r w:rsidR="00B878DF">
              <w:rPr>
                <w:rFonts w:cs="Arial"/>
              </w:rPr>
              <w:t xml:space="preserve"> </w:t>
            </w:r>
            <w:r>
              <w:rPr>
                <w:rFonts w:cs="Arial"/>
                <w:vanish/>
              </w:rPr>
              <w:t xml:space="preserve"> DR 3516</w:t>
            </w:r>
          </w:p>
          <w:p w14:paraId="5FE725DD" w14:textId="77777777" w:rsidR="007F00C5" w:rsidRDefault="007F00C5" w:rsidP="007F00C5">
            <w:pPr>
              <w:pStyle w:val="NotesText"/>
              <w:rPr>
                <w:rFonts w:cs="Arial"/>
                <w:vanish/>
              </w:rPr>
            </w:pPr>
          </w:p>
          <w:p w14:paraId="41A48B4B" w14:textId="77777777" w:rsidR="007F00C5" w:rsidRDefault="007F00C5" w:rsidP="007F00C5">
            <w:pPr>
              <w:pStyle w:val="NotesText"/>
            </w:pPr>
            <w:r>
              <w:rPr>
                <w:rFonts w:cs="Arial"/>
                <w:vanish/>
              </w:rPr>
              <w:t xml:space="preserve">BR_69.14 </w:t>
            </w:r>
            <w:r>
              <w:t>VBECS does not enforce compatibility checks in this option.</w:t>
            </w:r>
          </w:p>
          <w:p w14:paraId="60808753" w14:textId="77777777" w:rsidR="007F00C5" w:rsidRDefault="007F00C5" w:rsidP="007F00C5">
            <w:pPr>
              <w:pStyle w:val="NotesText"/>
              <w:rPr>
                <w:rFonts w:cs="Arial"/>
              </w:rPr>
            </w:pPr>
          </w:p>
          <w:p w14:paraId="1DB99E4E" w14:textId="3DD45524" w:rsidR="002A21AE" w:rsidRDefault="007F00C5" w:rsidP="007F00C5">
            <w:pPr>
              <w:pStyle w:val="NotesText"/>
              <w:rPr>
                <w:rFonts w:cs="Arial"/>
              </w:rPr>
            </w:pPr>
            <w:r w:rsidRPr="00896F17">
              <w:rPr>
                <w:rStyle w:val="BullhornChar"/>
              </w:rPr>
              <w:t></w:t>
            </w:r>
            <w:r>
              <w:rPr>
                <w:color w:val="000000"/>
                <w:szCs w:val="18"/>
              </w:rPr>
              <w:t xml:space="preserve"> </w:t>
            </w:r>
            <w:r>
              <w:rPr>
                <w:rFonts w:cs="Arial"/>
                <w:vanish/>
              </w:rPr>
              <w:t xml:space="preserve">BR_70.06 </w:t>
            </w:r>
            <w:r>
              <w:t>When a user enters a unit with a final status, VBECS alerts the user and clears the screen. The user may select another unit.</w:t>
            </w:r>
          </w:p>
        </w:tc>
      </w:tr>
      <w:tr w:rsidR="002A21AE" w14:paraId="1B6FB2E9" w14:textId="77777777">
        <w:tc>
          <w:tcPr>
            <w:tcW w:w="3240" w:type="dxa"/>
          </w:tcPr>
          <w:p w14:paraId="55C0AF5A" w14:textId="77777777" w:rsidR="002A21AE" w:rsidRDefault="002A21AE">
            <w:pPr>
              <w:pStyle w:val="TableTextNumbers"/>
            </w:pPr>
            <w:r>
              <w:t>Enter post-transfusion details</w:t>
            </w:r>
            <w:r w:rsidR="00BB5288">
              <w:t xml:space="preserve"> and a comment</w:t>
            </w:r>
            <w:r>
              <w:t>.</w:t>
            </w:r>
          </w:p>
        </w:tc>
        <w:tc>
          <w:tcPr>
            <w:tcW w:w="6120" w:type="dxa"/>
          </w:tcPr>
          <w:p w14:paraId="5C13F539" w14:textId="77777777" w:rsidR="002A21AE" w:rsidRDefault="002A21AE">
            <w:pPr>
              <w:pStyle w:val="TableTextBullet"/>
            </w:pPr>
            <w:r>
              <w:t>Displays an option to enter or edit unit data. See Post-Transfusion Information.</w:t>
            </w:r>
          </w:p>
          <w:p w14:paraId="04B36A45" w14:textId="77777777" w:rsidR="002A21AE" w:rsidRDefault="002A21AE">
            <w:pPr>
              <w:pStyle w:val="TableTextBullet"/>
            </w:pPr>
            <w:r>
              <w:rPr>
                <w:rFonts w:cs="Arial"/>
                <w:vanish/>
              </w:rPr>
              <w:t>BR_69.16</w:t>
            </w:r>
            <w:r w:rsidR="00C549FA" w:rsidRPr="00323744">
              <w:rPr>
                <w:rStyle w:val="BullhornChar"/>
              </w:rPr>
              <w:t></w:t>
            </w:r>
            <w:r w:rsidR="00C549FA">
              <w:rPr>
                <w:rFonts w:ascii="Webdings" w:hAnsi="Webdings"/>
              </w:rPr>
              <w:t></w:t>
            </w:r>
            <w:r>
              <w:t xml:space="preserve">VBECS emits an audible alert, requires a comment, and captures the transaction details for inclusion in </w:t>
            </w:r>
            <w:r w:rsidR="00C549FA">
              <w:t>an Exception Report (exception t</w:t>
            </w:r>
            <w:r>
              <w:t>ype: ABO incompatible unit transfused).</w:t>
            </w:r>
          </w:p>
          <w:p w14:paraId="72009562" w14:textId="77777777" w:rsidR="00BB5288" w:rsidRDefault="00BB5288" w:rsidP="00BB5288">
            <w:pPr>
              <w:pStyle w:val="TableTextBullet"/>
            </w:pPr>
            <w:r>
              <w:t>Displays the entries for review, including the comment, until all details are entered.</w:t>
            </w:r>
          </w:p>
        </w:tc>
      </w:tr>
      <w:tr w:rsidR="00767921" w14:paraId="7FB0FCA5" w14:textId="77777777">
        <w:tc>
          <w:tcPr>
            <w:tcW w:w="3240" w:type="dxa"/>
          </w:tcPr>
          <w:p w14:paraId="272F541C" w14:textId="77777777" w:rsidR="00767921" w:rsidRDefault="00767921">
            <w:pPr>
              <w:pStyle w:val="TableTextNumbers"/>
            </w:pPr>
            <w:r>
              <w:t xml:space="preserve">Click </w:t>
            </w:r>
            <w:r w:rsidRPr="00767921">
              <w:rPr>
                <w:b/>
              </w:rPr>
              <w:t>OK</w:t>
            </w:r>
            <w:r>
              <w:t xml:space="preserve"> and </w:t>
            </w:r>
            <w:r w:rsidRPr="00767921">
              <w:rPr>
                <w:b/>
              </w:rPr>
              <w:t>Yes</w:t>
            </w:r>
            <w:r>
              <w:t xml:space="preserve"> to save.</w:t>
            </w:r>
          </w:p>
        </w:tc>
        <w:tc>
          <w:tcPr>
            <w:tcW w:w="6120" w:type="dxa"/>
          </w:tcPr>
          <w:p w14:paraId="5DBA8A3D" w14:textId="77777777" w:rsidR="00767921" w:rsidRDefault="00767921">
            <w:pPr>
              <w:pStyle w:val="TableTextBullet"/>
            </w:pPr>
            <w:r>
              <w:t>Saves the data.</w:t>
            </w:r>
          </w:p>
          <w:p w14:paraId="58563EB8" w14:textId="77777777" w:rsidR="00BC3647" w:rsidRDefault="00BC3647">
            <w:pPr>
              <w:pStyle w:val="TableTextBullet"/>
            </w:pPr>
            <w:r>
              <w:t>Allows the user to enter comments and details.</w:t>
            </w:r>
          </w:p>
        </w:tc>
      </w:tr>
      <w:tr w:rsidR="002A21AE" w14:paraId="764882E1" w14:textId="77777777">
        <w:tc>
          <w:tcPr>
            <w:tcW w:w="3240" w:type="dxa"/>
          </w:tcPr>
          <w:p w14:paraId="43D9440C" w14:textId="77777777" w:rsidR="00FE39F0" w:rsidRDefault="00FE39F0">
            <w:pPr>
              <w:pStyle w:val="TableTextNumbers"/>
            </w:pPr>
            <w:r>
              <w:t xml:space="preserve">Enter or select a comment and details, in accordance with local policy and procedures. </w:t>
            </w:r>
          </w:p>
          <w:p w14:paraId="01144ED0" w14:textId="77777777" w:rsidR="00FE39F0" w:rsidRDefault="00FE39F0" w:rsidP="00FE39F0">
            <w:pPr>
              <w:pStyle w:val="TableTextNumbersContinued"/>
            </w:pPr>
          </w:p>
          <w:p w14:paraId="03203BDC" w14:textId="77777777" w:rsidR="002A21AE" w:rsidRDefault="00FE39F0" w:rsidP="00FE39F0">
            <w:pPr>
              <w:pStyle w:val="TableTextNumbersContinued"/>
            </w:pPr>
            <w:r>
              <w:t xml:space="preserve">Click </w:t>
            </w:r>
            <w:r w:rsidRPr="00FE39F0">
              <w:rPr>
                <w:b/>
              </w:rPr>
              <w:t>OK</w:t>
            </w:r>
            <w:r>
              <w:t>.</w:t>
            </w:r>
          </w:p>
        </w:tc>
        <w:tc>
          <w:tcPr>
            <w:tcW w:w="6120" w:type="dxa"/>
          </w:tcPr>
          <w:p w14:paraId="06A5268A" w14:textId="77777777" w:rsidR="002A21AE" w:rsidRDefault="002A21AE">
            <w:pPr>
              <w:pStyle w:val="TableText"/>
            </w:pPr>
          </w:p>
          <w:p w14:paraId="08C44347" w14:textId="4AAE4B7E" w:rsidR="002A21AE" w:rsidRDefault="002A21AE">
            <w:pPr>
              <w:pStyle w:val="TableText"/>
              <w:rPr>
                <w:b/>
                <w:bCs/>
                <w:szCs w:val="18"/>
              </w:rPr>
            </w:pPr>
            <w:r>
              <w:rPr>
                <w:b/>
                <w:bCs/>
                <w:szCs w:val="18"/>
              </w:rPr>
              <w:t>NOTES</w:t>
            </w:r>
          </w:p>
          <w:p w14:paraId="6C55BC66" w14:textId="77777777" w:rsidR="002A21AE" w:rsidRDefault="002A21AE">
            <w:pPr>
              <w:pStyle w:val="NotesText"/>
            </w:pPr>
          </w:p>
          <w:p w14:paraId="30299258" w14:textId="77777777" w:rsidR="0018209A" w:rsidRDefault="0018209A" w:rsidP="0018209A">
            <w:pPr>
              <w:pStyle w:val="NotesText"/>
            </w:pPr>
            <w:r>
              <w:rPr>
                <w:rFonts w:cs="Arial"/>
                <w:vanish/>
              </w:rPr>
              <w:t xml:space="preserve">BR_69.13 </w:t>
            </w:r>
            <w:r>
              <w:t>VBECS saves transfusion information for future retrieval and reporting as part of the patient and unit historic records.</w:t>
            </w:r>
          </w:p>
          <w:p w14:paraId="45E017B4" w14:textId="77777777" w:rsidR="0018209A" w:rsidRDefault="0018209A">
            <w:pPr>
              <w:pStyle w:val="NotesText"/>
              <w:rPr>
                <w:rFonts w:cs="Arial"/>
              </w:rPr>
            </w:pPr>
          </w:p>
          <w:p w14:paraId="40FA3725" w14:textId="77777777" w:rsidR="002A21AE" w:rsidRDefault="002A21AE">
            <w:pPr>
              <w:pStyle w:val="NotesText"/>
            </w:pPr>
            <w:r>
              <w:rPr>
                <w:rFonts w:cs="Arial"/>
                <w:vanish/>
              </w:rPr>
              <w:t xml:space="preserve">BR_69.12 </w:t>
            </w:r>
            <w:r>
              <w:t xml:space="preserve">Upon data entry and saving of the post-transfusion information, VBECS assigns a status of “transfused” to the unit of </w:t>
            </w:r>
            <w:r w:rsidR="00191CFE">
              <w:t>blood</w:t>
            </w:r>
            <w:r>
              <w:t xml:space="preserve"> for the indicated patient.</w:t>
            </w:r>
          </w:p>
          <w:p w14:paraId="5A226FB7" w14:textId="77777777" w:rsidR="002A21AE" w:rsidRDefault="002A21AE">
            <w:pPr>
              <w:pStyle w:val="NotesText"/>
              <w:rPr>
                <w:rFonts w:cs="Arial"/>
              </w:rPr>
            </w:pPr>
          </w:p>
          <w:p w14:paraId="7624A12F" w14:textId="77777777" w:rsidR="00BC3647" w:rsidRDefault="00BC3647">
            <w:pPr>
              <w:pStyle w:val="NotesText"/>
              <w:rPr>
                <w:rFonts w:cs="Arial"/>
              </w:rPr>
            </w:pPr>
            <w:r>
              <w:rPr>
                <w:rFonts w:cs="Arial"/>
              </w:rPr>
              <w:t>VBECS captures details of this override in an Exception Report.</w:t>
            </w:r>
          </w:p>
        </w:tc>
      </w:tr>
      <w:tr w:rsidR="002A21AE" w14:paraId="77671825" w14:textId="77777777">
        <w:tc>
          <w:tcPr>
            <w:tcW w:w="3240" w:type="dxa"/>
          </w:tcPr>
          <w:p w14:paraId="56D1E6DA" w14:textId="77777777" w:rsidR="002A21AE" w:rsidRDefault="002A21AE">
            <w:pPr>
              <w:pStyle w:val="TableTextNumbers"/>
            </w:pPr>
            <w:r>
              <w:t xml:space="preserve">Exit. </w:t>
            </w:r>
            <w:r>
              <w:rPr>
                <w:vanish/>
                <w:color w:val="FFFFFF"/>
                <w:szCs w:val="18"/>
              </w:rPr>
              <w:fldChar w:fldCharType="begin"/>
            </w:r>
            <w:r>
              <w:rPr>
                <w:vanish/>
                <w:color w:val="FFFFFF"/>
                <w:szCs w:val="18"/>
              </w:rPr>
              <w:instrText xml:space="preserve"> LISTNUM \l 1 \s 0 </w:instrText>
            </w:r>
            <w:r>
              <w:rPr>
                <w:vanish/>
                <w:color w:val="FFFFFF"/>
                <w:szCs w:val="18"/>
              </w:rPr>
              <w:fldChar w:fldCharType="end"/>
            </w:r>
          </w:p>
        </w:tc>
        <w:tc>
          <w:tcPr>
            <w:tcW w:w="6120" w:type="dxa"/>
          </w:tcPr>
          <w:p w14:paraId="4D920F70" w14:textId="77777777" w:rsidR="002A21AE" w:rsidRDefault="002A21AE">
            <w:pPr>
              <w:pStyle w:val="TableText"/>
            </w:pPr>
          </w:p>
        </w:tc>
      </w:tr>
      <w:bookmarkEnd w:id="511"/>
    </w:tbl>
    <w:p w14:paraId="7702991D" w14:textId="77777777" w:rsidR="002A21AE" w:rsidRDefault="00F55832">
      <w:pPr>
        <w:pStyle w:val="Heading3"/>
      </w:pPr>
      <w:r>
        <w:br w:type="page"/>
      </w:r>
      <w:bookmarkStart w:id="516" w:name="_Toc149064172"/>
      <w:r w:rsidR="002A21AE">
        <w:t>Justify ABO/Rh Change</w:t>
      </w:r>
      <w:bookmarkEnd w:id="516"/>
      <w:r w:rsidR="002A21AE">
        <w:fldChar w:fldCharType="begin"/>
      </w:r>
      <w:r w:rsidR="002A21AE">
        <w:instrText xml:space="preserve"> XE </w:instrText>
      </w:r>
      <w:r w:rsidR="00FA7E65">
        <w:instrText>“</w:instrText>
      </w:r>
      <w:r w:rsidR="002A21AE">
        <w:instrText>Justify ABO/Rh Change</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vanish/>
          <w:sz w:val="22"/>
        </w:rPr>
        <w:t>UC_100</w:t>
      </w:r>
    </w:p>
    <w:p w14:paraId="39B8F634" w14:textId="77777777" w:rsidR="002A21AE" w:rsidRDefault="002A21AE" w:rsidP="00FA7E65">
      <w:pPr>
        <w:pStyle w:val="BodyText"/>
      </w:pPr>
      <w:bookmarkStart w:id="517" w:name="_Toc63680378"/>
      <w:r>
        <w:t>The user changes a patient’s historical blood type only when there is a clinical change in blood type, not to correct an error.</w:t>
      </w:r>
      <w:r w:rsidR="005215D6">
        <w:t xml:space="preserve"> (See Invalidate Test Results.)</w:t>
      </w:r>
    </w:p>
    <w:p w14:paraId="07CA0EB9" w14:textId="77777777" w:rsidR="002A21AE" w:rsidRDefault="002A21AE">
      <w:pPr>
        <w:pStyle w:val="Heading4"/>
      </w:pPr>
      <w:r>
        <w:t>Assumptions</w:t>
      </w:r>
      <w:r>
        <w:rPr>
          <w:b w:val="0"/>
        </w:rPr>
        <w:t xml:space="preserve"> </w:t>
      </w:r>
    </w:p>
    <w:p w14:paraId="6DA37CE9" w14:textId="77777777" w:rsidR="002A21AE" w:rsidRDefault="002A21AE">
      <w:pPr>
        <w:pStyle w:val="ListBullet"/>
      </w:pPr>
      <w:r>
        <w:t xml:space="preserve">The patient has a previous ABO/Rh on record from the user’s current division, from a different division within the database, or from </w:t>
      </w:r>
      <w:r w:rsidR="00AB59B8">
        <w:t xml:space="preserve">the </w:t>
      </w:r>
      <w:r>
        <w:t>database conversion.</w:t>
      </w:r>
    </w:p>
    <w:p w14:paraId="33FBEF35" w14:textId="77777777" w:rsidR="002A21AE" w:rsidRDefault="002A21AE">
      <w:pPr>
        <w:pStyle w:val="ListBullet"/>
      </w:pPr>
      <w:r>
        <w:t>The patient has a current specimen test result with an ABO/Rh interpretation that does</w:t>
      </w:r>
      <w:r>
        <w:rPr>
          <w:i/>
        </w:rPr>
        <w:t xml:space="preserve"> </w:t>
      </w:r>
      <w:r>
        <w:t>not match the historical record. Both previous and current specimen test results are valid.</w:t>
      </w:r>
    </w:p>
    <w:p w14:paraId="631481C5" w14:textId="77777777" w:rsidR="002A21AE" w:rsidRDefault="002A21AE">
      <w:pPr>
        <w:pStyle w:val="Heading4"/>
      </w:pPr>
      <w:r>
        <w:t>Outcome</w:t>
      </w:r>
      <w:r>
        <w:rPr>
          <w:rFonts w:ascii="Times New Roman" w:hAnsi="Times New Roman"/>
          <w:i/>
          <w:color w:val="0000FF"/>
          <w:sz w:val="24"/>
        </w:rPr>
        <w:t xml:space="preserve"> </w:t>
      </w:r>
    </w:p>
    <w:p w14:paraId="24C34147" w14:textId="77777777" w:rsidR="002A21AE" w:rsidRDefault="002A21AE">
      <w:pPr>
        <w:pStyle w:val="ListBullet"/>
      </w:pPr>
      <w:r>
        <w:rPr>
          <w:rFonts w:ascii="Arial" w:hAnsi="Arial" w:cs="Arial"/>
          <w:vanish/>
          <w:spacing w:val="0"/>
          <w:sz w:val="18"/>
        </w:rPr>
        <w:t xml:space="preserve">BR_100.03 </w:t>
      </w:r>
      <w:r>
        <w:t xml:space="preserve">VBECS </w:t>
      </w:r>
      <w:r w:rsidR="00326CD8">
        <w:t xml:space="preserve">permanently </w:t>
      </w:r>
      <w:r>
        <w:t xml:space="preserve">marks the patient record and the specimen test to indicate that the patient has a justified ABO/Rh change, regardless of the user’s division. </w:t>
      </w:r>
    </w:p>
    <w:p w14:paraId="71AC0B0B" w14:textId="77777777" w:rsidR="002A21AE" w:rsidRDefault="002A21AE">
      <w:pPr>
        <w:pStyle w:val="ListBullet"/>
      </w:pPr>
      <w:r>
        <w:rPr>
          <w:rFonts w:ascii="Arial" w:hAnsi="Arial" w:cs="Arial"/>
          <w:vanish/>
          <w:spacing w:val="0"/>
          <w:sz w:val="18"/>
        </w:rPr>
        <w:t xml:space="preserve">BR_100.05 </w:t>
      </w:r>
      <w:r>
        <w:t>The justified ABO/Rh on the patient record forces the user’s selection to be used as the new historical record, replacing the current test result as the historic record. VBECS does not check for ABO/Rh discrepancies with tests entered for this patient prior to the justified test result.</w:t>
      </w:r>
    </w:p>
    <w:p w14:paraId="7030A56C" w14:textId="77777777" w:rsidR="002A21AE" w:rsidRDefault="002A21AE">
      <w:pPr>
        <w:pStyle w:val="ListBullet"/>
      </w:pPr>
      <w:r>
        <w:t>VBECS permanently disallows electronic crossmatch (eXM) for this patient.</w:t>
      </w:r>
    </w:p>
    <w:p w14:paraId="154706F7" w14:textId="77777777" w:rsidR="002A21AE" w:rsidRDefault="002A21AE">
      <w:pPr>
        <w:pStyle w:val="Heading4"/>
      </w:pPr>
      <w:r>
        <w:t>Limitations and Restrictions</w:t>
      </w:r>
    </w:p>
    <w:p w14:paraId="60E2E667" w14:textId="77777777" w:rsidR="002A21AE" w:rsidRDefault="002A21AE">
      <w:pPr>
        <w:pStyle w:val="ListBullet"/>
      </w:pPr>
      <w:r>
        <w:t>VBECS does not allow the selection or issue of certain blood components that may appear ABO/Rh compatible when discrepant ABO/Rh results are not justified.</w:t>
      </w:r>
    </w:p>
    <w:p w14:paraId="7BADF1DA" w14:textId="77777777" w:rsidR="002A21AE" w:rsidRDefault="002A21AE">
      <w:pPr>
        <w:pStyle w:val="Heading4"/>
      </w:pPr>
      <w:r>
        <w:t>Additional Information</w:t>
      </w:r>
      <w:r>
        <w:rPr>
          <w:rFonts w:ascii="Times New Roman" w:hAnsi="Times New Roman"/>
          <w:i/>
          <w:color w:val="0000FF"/>
          <w:sz w:val="24"/>
        </w:rPr>
        <w:t xml:space="preserve"> </w:t>
      </w:r>
    </w:p>
    <w:p w14:paraId="5B2442BD" w14:textId="77777777" w:rsidR="002A21AE" w:rsidRDefault="002A21AE">
      <w:pPr>
        <w:pStyle w:val="ListBullet"/>
      </w:pPr>
      <w:r>
        <w:rPr>
          <w:rFonts w:ascii="Arial" w:hAnsi="Arial" w:cs="Arial"/>
          <w:vanish/>
          <w:spacing w:val="0"/>
          <w:sz w:val="18"/>
        </w:rPr>
        <w:t xml:space="preserve">BR_100.07 </w:t>
      </w:r>
      <w:r>
        <w:t>When the discrepant ABO/Rh tests are on the same specimen, the user may not justify the patient’s ABO/Rh.</w:t>
      </w:r>
    </w:p>
    <w:p w14:paraId="192120F5" w14:textId="77777777" w:rsidR="002A21AE" w:rsidRDefault="002A21AE">
      <w:pPr>
        <w:pStyle w:val="ListBullet"/>
      </w:pPr>
      <w:r>
        <w:t xml:space="preserve">Do not use this option for ABO/Rh discrepancies that occur because the patient had a recent transfusion of a component of a type other than his own. </w:t>
      </w:r>
    </w:p>
    <w:p w14:paraId="26FA17BE" w14:textId="77777777" w:rsidR="002A21AE" w:rsidRDefault="002A21AE">
      <w:pPr>
        <w:pStyle w:val="ListBullet"/>
      </w:pPr>
      <w:r>
        <w:t>ABO/Rh discrepancies that occur because the previously tested or current specimen was tested in error are handled by inactivating the previously recorded test results through Invalidate Test Results.</w:t>
      </w:r>
    </w:p>
    <w:p w14:paraId="636DAB77" w14:textId="77777777" w:rsidR="002A21AE" w:rsidRDefault="002A21AE">
      <w:pPr>
        <w:pStyle w:val="ListBullet"/>
      </w:pPr>
      <w:r>
        <w:t xml:space="preserve">Subsequent specimens may need to be justified in the presence of continued discrepant ABO results. </w:t>
      </w:r>
    </w:p>
    <w:p w14:paraId="0157CD19" w14:textId="77777777" w:rsidR="002A21AE" w:rsidRDefault="002A21AE">
      <w:pPr>
        <w:pStyle w:val="ListBullet"/>
      </w:pPr>
      <w:r>
        <w:t>This option is used in rare clinical situations such as following bone marrow transplant.</w:t>
      </w:r>
    </w:p>
    <w:p w14:paraId="2063FBE5" w14:textId="77777777" w:rsidR="002A21AE" w:rsidRDefault="002A21AE">
      <w:pPr>
        <w:pStyle w:val="Heading4"/>
        <w:rPr>
          <w:b w:val="0"/>
        </w:rPr>
      </w:pPr>
      <w:r>
        <w:t>User Roles with Access to This Option</w:t>
      </w:r>
      <w:r>
        <w:rPr>
          <w:b w:val="0"/>
        </w:rPr>
        <w:t xml:space="preserve"> </w:t>
      </w:r>
    </w:p>
    <w:p w14:paraId="36C3426E" w14:textId="77777777" w:rsidR="002A21AE" w:rsidRDefault="00FE459D" w:rsidP="00FE459D">
      <w:pPr>
        <w:pStyle w:val="Roles"/>
        <w:rPr>
          <w:snapToGrid w:val="0"/>
        </w:rPr>
      </w:pPr>
      <w:r w:rsidRPr="00FE459D">
        <w:rPr>
          <w:rFonts w:ascii="Wingdings 3" w:hAnsi="Wingdings 3"/>
        </w:rPr>
        <w:t></w:t>
      </w:r>
      <w:r w:rsidRPr="00FE459D">
        <w:rPr>
          <w:rFonts w:ascii="Wingdings 3" w:hAnsi="Wingdings 3"/>
        </w:rPr>
        <w:t></w:t>
      </w:r>
      <w:r w:rsidRPr="00FE459D">
        <w:rPr>
          <w:rFonts w:ascii="Wingdings 3" w:hAnsi="Wingdings 3"/>
        </w:rPr>
        <w:t></w:t>
      </w:r>
      <w:r w:rsidRPr="00FE459D">
        <w:rPr>
          <w:rFonts w:ascii="Wingdings 3" w:hAnsi="Wingdings 3"/>
        </w:rPr>
        <w:t></w:t>
      </w:r>
      <w:r>
        <w:t xml:space="preserve"> Traditional Supervisor</w:t>
      </w:r>
    </w:p>
    <w:p w14:paraId="7BD84AD0" w14:textId="77777777" w:rsidR="002A21AE" w:rsidRDefault="002A21AE">
      <w:pPr>
        <w:pStyle w:val="Heading4"/>
      </w:pPr>
      <w:r>
        <w:t>Justify ABO/Rh Change</w:t>
      </w:r>
    </w:p>
    <w:p w14:paraId="33BB15C9" w14:textId="77777777" w:rsidR="002A21AE" w:rsidRDefault="002A21AE" w:rsidP="00FA7E65">
      <w:pPr>
        <w:pStyle w:val="BodyText"/>
      </w:pPr>
      <w:r>
        <w:t>The user determines that the patient’s current ABO/Rh testing results are valid, although they differ from previously recorded results, and that the patient requires a justification indicator on his record.</w:t>
      </w:r>
    </w:p>
    <w:p w14:paraId="2B3F7C30" w14:textId="77777777" w:rsidR="00E661A1" w:rsidRDefault="002A21AE" w:rsidP="00FA7E65">
      <w:pPr>
        <w:pStyle w:val="BodyText"/>
      </w:pPr>
      <w:r>
        <w:t>This option is used only when both the previous specimen testing and the current specimen testing are considered valid. There is a valid explanation for why the ABO/Rh interpretations do not match and invalidation of the test result is not appropriate. Once the current patient ABO/Rh result change is justified, VBECS marks the patient’s record so that special handling for component orders for the patient apply from this</w:t>
      </w:r>
      <w:r w:rsidRPr="00D86197">
        <w:rPr>
          <w:b/>
        </w:rPr>
        <w:t xml:space="preserve"> </w:t>
      </w:r>
      <w:r w:rsidRPr="00A752B1">
        <w:t>p</w:t>
      </w:r>
      <w:r>
        <w:t>oint forward and remain in effect until the patient record is inactivated by the recording of his death in VBECS or by removing the justification.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0EDB4930" w14:textId="77777777">
        <w:trPr>
          <w:cantSplit/>
          <w:tblHeader/>
        </w:trPr>
        <w:tc>
          <w:tcPr>
            <w:tcW w:w="3240" w:type="dxa"/>
            <w:shd w:val="pct30" w:color="auto" w:fill="FFFFFF"/>
            <w:vAlign w:val="bottom"/>
          </w:tcPr>
          <w:p w14:paraId="4193F9E8" w14:textId="39C3BD67" w:rsidR="002A21AE" w:rsidRDefault="00E661A1">
            <w:pPr>
              <w:pStyle w:val="TableText"/>
              <w:rPr>
                <w:b/>
              </w:rPr>
            </w:pPr>
            <w:r>
              <w:br w:type="page"/>
            </w:r>
            <w:r w:rsidR="002A21AE">
              <w:rPr>
                <w:b/>
              </w:rPr>
              <w:t>User Action</w:t>
            </w:r>
          </w:p>
        </w:tc>
        <w:tc>
          <w:tcPr>
            <w:tcW w:w="6120" w:type="dxa"/>
            <w:shd w:val="pct30" w:color="auto" w:fill="FFFFFF"/>
            <w:vAlign w:val="bottom"/>
          </w:tcPr>
          <w:p w14:paraId="64E70C99" w14:textId="77777777" w:rsidR="002A21AE" w:rsidRDefault="002A21AE">
            <w:pPr>
              <w:pStyle w:val="TableText"/>
              <w:rPr>
                <w:b/>
              </w:rPr>
            </w:pPr>
            <w:r>
              <w:rPr>
                <w:b/>
              </w:rPr>
              <w:t>VBECS</w:t>
            </w:r>
          </w:p>
        </w:tc>
      </w:tr>
      <w:tr w:rsidR="002A21AE" w14:paraId="14FAC8D7" w14:textId="77777777">
        <w:tc>
          <w:tcPr>
            <w:tcW w:w="3240" w:type="dxa"/>
          </w:tcPr>
          <w:p w14:paraId="0D9376BB" w14:textId="77777777" w:rsidR="002A21AE" w:rsidRDefault="002A21AE">
            <w:pPr>
              <w:pStyle w:val="TableTextNumbers"/>
            </w:pPr>
            <w:r>
              <w:t xml:space="preserve">Select </w:t>
            </w:r>
            <w:r>
              <w:rPr>
                <w:b/>
              </w:rPr>
              <w:t>Supervisor</w:t>
            </w:r>
            <w:r>
              <w:t xml:space="preserve"> from the main menu.</w:t>
            </w:r>
          </w:p>
          <w:p w14:paraId="6D3E9190" w14:textId="77777777" w:rsidR="002A21AE" w:rsidRDefault="002A21AE">
            <w:pPr>
              <w:pStyle w:val="TableTextNumbersContinued"/>
            </w:pPr>
          </w:p>
          <w:p w14:paraId="146332E8" w14:textId="77777777" w:rsidR="002A21AE" w:rsidRDefault="002A21AE">
            <w:pPr>
              <w:pStyle w:val="TableTextNumbersContinued"/>
            </w:pPr>
            <w:r>
              <w:t xml:space="preserve">Select </w:t>
            </w:r>
            <w:r>
              <w:rPr>
                <w:b/>
              </w:rPr>
              <w:t>Justify ABO/Rh Change</w:t>
            </w:r>
            <w:r>
              <w:t>.</w:t>
            </w:r>
          </w:p>
        </w:tc>
        <w:tc>
          <w:tcPr>
            <w:tcW w:w="6120" w:type="dxa"/>
          </w:tcPr>
          <w:p w14:paraId="3CA4AFD8" w14:textId="77777777" w:rsidR="002A21AE" w:rsidRDefault="002A21AE">
            <w:pPr>
              <w:pStyle w:val="TableTextBullet"/>
            </w:pPr>
            <w:r>
              <w:t>Displays options available to supervisors.</w:t>
            </w:r>
          </w:p>
        </w:tc>
      </w:tr>
      <w:tr w:rsidR="002A21AE" w14:paraId="1520E1BB" w14:textId="77777777">
        <w:tc>
          <w:tcPr>
            <w:tcW w:w="3240" w:type="dxa"/>
          </w:tcPr>
          <w:p w14:paraId="73F78BA3" w14:textId="77777777" w:rsidR="002A21AE" w:rsidRDefault="002A21AE">
            <w:pPr>
              <w:pStyle w:val="TableTextNumbers"/>
            </w:pPr>
            <w:r>
              <w:t xml:space="preserve">Enter a patient name in the Patient field and click </w:t>
            </w:r>
            <w:r>
              <w:rPr>
                <w:b/>
                <w:bCs/>
              </w:rPr>
              <w:t>Search</w:t>
            </w:r>
            <w:r>
              <w:t xml:space="preserve"> to select a patient. </w:t>
            </w:r>
          </w:p>
          <w:p w14:paraId="7AB4DA82" w14:textId="77777777" w:rsidR="002A21AE" w:rsidRDefault="002A21AE">
            <w:pPr>
              <w:pStyle w:val="TableTextNumbersContinued"/>
            </w:pPr>
          </w:p>
          <w:p w14:paraId="072F9575" w14:textId="77777777" w:rsidR="002A21AE" w:rsidRDefault="002A21AE">
            <w:pPr>
              <w:pStyle w:val="TableTextNumbersContinued"/>
            </w:pPr>
            <w:r>
              <w:t>Select a patient.</w:t>
            </w:r>
          </w:p>
          <w:p w14:paraId="47855018" w14:textId="77777777" w:rsidR="00D86197" w:rsidRDefault="00D86197">
            <w:pPr>
              <w:pStyle w:val="TableTextNumbersContinued"/>
            </w:pPr>
          </w:p>
          <w:p w14:paraId="605E7119" w14:textId="77777777" w:rsidR="00D86197" w:rsidRDefault="00D86197">
            <w:pPr>
              <w:pStyle w:val="TableTextNumbersContinued"/>
            </w:pPr>
            <w:r>
              <w:t xml:space="preserve">Click </w:t>
            </w:r>
            <w:r w:rsidRPr="00D86197">
              <w:rPr>
                <w:b/>
              </w:rPr>
              <w:t>OK</w:t>
            </w:r>
            <w:r>
              <w:t>.</w:t>
            </w:r>
          </w:p>
        </w:tc>
        <w:tc>
          <w:tcPr>
            <w:tcW w:w="6120" w:type="dxa"/>
          </w:tcPr>
          <w:p w14:paraId="2225B7C2" w14:textId="77777777" w:rsidR="002A21AE" w:rsidRDefault="002A21AE">
            <w:pPr>
              <w:pStyle w:val="TableTextBullet"/>
            </w:pPr>
            <w:r>
              <w:t>Displays a screen for patient selection.</w:t>
            </w:r>
          </w:p>
          <w:p w14:paraId="1C0741A1" w14:textId="77777777" w:rsidR="002A21AE" w:rsidRDefault="002A21AE">
            <w:pPr>
              <w:pStyle w:val="TableTextBullet"/>
            </w:pPr>
            <w:r>
              <w:t>Disallows the justification or allows the user to continue.</w:t>
            </w:r>
          </w:p>
          <w:p w14:paraId="5D6D8126" w14:textId="77777777" w:rsidR="002A21AE" w:rsidRDefault="002A21AE">
            <w:pPr>
              <w:pStyle w:val="TableText"/>
            </w:pPr>
          </w:p>
          <w:p w14:paraId="4D006978" w14:textId="1B92EF9A" w:rsidR="002A21AE" w:rsidRDefault="002A21AE">
            <w:pPr>
              <w:pStyle w:val="TableText"/>
              <w:rPr>
                <w:b/>
                <w:bCs/>
                <w:szCs w:val="18"/>
              </w:rPr>
            </w:pPr>
            <w:r>
              <w:rPr>
                <w:b/>
                <w:bCs/>
                <w:szCs w:val="18"/>
              </w:rPr>
              <w:t>NOTES</w:t>
            </w:r>
          </w:p>
          <w:p w14:paraId="23DAF231" w14:textId="77777777" w:rsidR="002A21AE" w:rsidRDefault="002A21AE">
            <w:pPr>
              <w:pStyle w:val="NotesText"/>
            </w:pPr>
          </w:p>
          <w:p w14:paraId="218A1439" w14:textId="77777777" w:rsidR="002A21AE" w:rsidRDefault="002A21AE">
            <w:pPr>
              <w:pStyle w:val="NotesText"/>
            </w:pPr>
            <w:r>
              <w:rPr>
                <w:rFonts w:cs="Arial"/>
                <w:vanish/>
              </w:rPr>
              <w:t xml:space="preserve">BR_100.01 </w:t>
            </w:r>
            <w:r>
              <w:t>VBECS compares the results of the current ABO/Rh with the previous ABO/Rh results. When there is no discrepancy, VBECS warns that no justification is required. There is no override. VBECS clears the screen and the user may select another patient.</w:t>
            </w:r>
          </w:p>
          <w:p w14:paraId="4936A10E" w14:textId="77777777" w:rsidR="002A21AE" w:rsidRDefault="002A21AE">
            <w:pPr>
              <w:pStyle w:val="NotesText"/>
            </w:pPr>
          </w:p>
          <w:p w14:paraId="4FCD6177" w14:textId="057E7290" w:rsidR="00DA3007" w:rsidRDefault="002A21AE" w:rsidP="0027202D">
            <w:pPr>
              <w:pStyle w:val="NotesText"/>
            </w:pPr>
            <w:r>
              <w:rPr>
                <w:rFonts w:cs="Arial"/>
                <w:vanish/>
              </w:rPr>
              <w:t xml:space="preserve">BR_100.06 </w:t>
            </w:r>
            <w:r>
              <w:t>VBECS warns the user to use this option only when both the current and previous specimen tests are valid, otherwise, use Invalidate</w:t>
            </w:r>
            <w:r w:rsidR="008902F4">
              <w:t xml:space="preserve"> Patient Test</w:t>
            </w:r>
            <w:r>
              <w:t xml:space="preserve"> Results</w:t>
            </w:r>
            <w:r w:rsidR="0027202D">
              <w:t>.</w:t>
            </w:r>
          </w:p>
        </w:tc>
      </w:tr>
      <w:tr w:rsidR="002A21AE" w14:paraId="2E3B3960" w14:textId="77777777">
        <w:tc>
          <w:tcPr>
            <w:tcW w:w="3240" w:type="dxa"/>
          </w:tcPr>
          <w:p w14:paraId="2980920F" w14:textId="028CBEF2" w:rsidR="002A21AE" w:rsidRDefault="002A21AE">
            <w:pPr>
              <w:pStyle w:val="TableTextNumbers"/>
            </w:pPr>
            <w:r>
              <w:t>Select an ABO/Rh interpretation as the patient’s justified historical record</w:t>
            </w:r>
            <w:r w:rsidR="0052270D">
              <w:t xml:space="preserve"> (</w:t>
            </w:r>
            <w:r w:rsidR="00EE455E">
              <w:t xml:space="preserve">Figure </w:t>
            </w:r>
            <w:r w:rsidR="00EE455E">
              <w:rPr>
                <w:noProof/>
              </w:rPr>
              <w:t>114</w:t>
            </w:r>
            <w:r w:rsidR="0052270D">
              <w:t>)</w:t>
            </w:r>
            <w:r>
              <w:t>.</w:t>
            </w:r>
          </w:p>
        </w:tc>
        <w:tc>
          <w:tcPr>
            <w:tcW w:w="6120" w:type="dxa"/>
          </w:tcPr>
          <w:p w14:paraId="44701C18" w14:textId="77777777" w:rsidR="002A21AE" w:rsidRDefault="002A21AE">
            <w:pPr>
              <w:pStyle w:val="TableTextBullet"/>
            </w:pPr>
            <w:r>
              <w:t xml:space="preserve">Displays details of the historic and current ABO/Rh testing for comparison and a list of available ABO and Rh types for user selection. </w:t>
            </w:r>
          </w:p>
          <w:p w14:paraId="1BF2ABF9" w14:textId="77777777" w:rsidR="002A21AE" w:rsidRDefault="002A21AE">
            <w:pPr>
              <w:pStyle w:val="TableTextBullet"/>
            </w:pPr>
            <w:r>
              <w:t>Requires a comment to continue.</w:t>
            </w:r>
          </w:p>
          <w:p w14:paraId="47BC2E79" w14:textId="77777777" w:rsidR="002A21AE" w:rsidRDefault="002A21AE">
            <w:pPr>
              <w:pStyle w:val="TableText"/>
            </w:pPr>
          </w:p>
          <w:p w14:paraId="194FA895" w14:textId="6EFE9DB7" w:rsidR="002A21AE" w:rsidRDefault="002A21AE">
            <w:pPr>
              <w:pStyle w:val="TableText"/>
              <w:rPr>
                <w:b/>
                <w:bCs/>
                <w:szCs w:val="18"/>
              </w:rPr>
            </w:pPr>
            <w:r>
              <w:rPr>
                <w:b/>
                <w:bCs/>
                <w:szCs w:val="18"/>
              </w:rPr>
              <w:t>NOTES</w:t>
            </w:r>
          </w:p>
          <w:p w14:paraId="200320B1" w14:textId="77777777" w:rsidR="002A21AE" w:rsidRDefault="002A21AE">
            <w:pPr>
              <w:pStyle w:val="NotesText"/>
            </w:pPr>
          </w:p>
          <w:p w14:paraId="3309E17F" w14:textId="77777777" w:rsidR="002A21AE" w:rsidRDefault="002A21AE">
            <w:pPr>
              <w:pStyle w:val="NotesText"/>
            </w:pPr>
            <w:r>
              <w:rPr>
                <w:rFonts w:cs="Arial"/>
                <w:vanish/>
              </w:rPr>
              <w:t xml:space="preserve">BR_100.04 </w:t>
            </w:r>
            <w:r>
              <w:t>The user may select one ABO group and one Rh type for the patient to serve as the justified ABO/Rh typing in the historic record. VBECS displays the current ABO and Rh interpretations as the defaults.</w:t>
            </w:r>
          </w:p>
          <w:p w14:paraId="1D1C8BA6" w14:textId="77777777" w:rsidR="002A21AE" w:rsidRDefault="002A21AE">
            <w:pPr>
              <w:pStyle w:val="NotesText"/>
            </w:pPr>
          </w:p>
          <w:p w14:paraId="6B260FDB" w14:textId="77777777" w:rsidR="002A21AE" w:rsidRDefault="002A21AE">
            <w:pPr>
              <w:pStyle w:val="NotesText"/>
            </w:pPr>
            <w:r>
              <w:rPr>
                <w:rFonts w:cs="Arial"/>
                <w:vanish/>
              </w:rPr>
              <w:t xml:space="preserve">BR_100.02 </w:t>
            </w:r>
            <w:r>
              <w:t>VBECS requires a comment to continue.</w:t>
            </w:r>
          </w:p>
        </w:tc>
      </w:tr>
      <w:tr w:rsidR="002A21AE" w14:paraId="7A2CEF1E" w14:textId="77777777">
        <w:tc>
          <w:tcPr>
            <w:tcW w:w="3240" w:type="dxa"/>
          </w:tcPr>
          <w:p w14:paraId="3114D23F" w14:textId="77777777" w:rsidR="002A21AE" w:rsidRDefault="002A21AE">
            <w:pPr>
              <w:pStyle w:val="TableTextNumbers"/>
            </w:pPr>
            <w:r>
              <w:t xml:space="preserve">Confirm the update of the database with the justified ABO/Rh. </w:t>
            </w:r>
          </w:p>
          <w:p w14:paraId="06D28179" w14:textId="77777777" w:rsidR="002A21AE" w:rsidRDefault="002A21AE">
            <w:pPr>
              <w:pStyle w:val="TableTextNumbersContinued"/>
            </w:pPr>
          </w:p>
          <w:p w14:paraId="54BDB67A" w14:textId="77777777" w:rsidR="002A21AE" w:rsidRDefault="002A21AE">
            <w:pPr>
              <w:pStyle w:val="TableTextNumbersContinued"/>
            </w:pPr>
            <w:r>
              <w:t xml:space="preserve">Exit. </w:t>
            </w:r>
            <w:r>
              <w:rPr>
                <w:rStyle w:val="TableTextNumbersChar"/>
                <w:vanish/>
                <w:color w:val="FFFFFF"/>
                <w:szCs w:val="18"/>
              </w:rPr>
              <w:fldChar w:fldCharType="begin"/>
            </w:r>
            <w:r>
              <w:rPr>
                <w:rStyle w:val="TableTextNumbersChar"/>
                <w:vanish/>
                <w:color w:val="FFFFFF"/>
                <w:szCs w:val="18"/>
              </w:rPr>
              <w:instrText xml:space="preserve"> LISTNUM \l 1 \s 0 </w:instrText>
            </w:r>
            <w:r>
              <w:rPr>
                <w:rStyle w:val="TableTextNumbersChar"/>
                <w:vanish/>
                <w:color w:val="FFFFFF"/>
                <w:szCs w:val="18"/>
              </w:rPr>
              <w:fldChar w:fldCharType="end"/>
            </w:r>
          </w:p>
        </w:tc>
        <w:tc>
          <w:tcPr>
            <w:tcW w:w="6120" w:type="dxa"/>
          </w:tcPr>
          <w:p w14:paraId="0D0E5704" w14:textId="77777777" w:rsidR="002A21AE" w:rsidRDefault="002A21AE">
            <w:pPr>
              <w:pStyle w:val="TableTextBullet"/>
            </w:pPr>
            <w:r>
              <w:t>Updates the patient record.</w:t>
            </w:r>
          </w:p>
        </w:tc>
      </w:tr>
    </w:tbl>
    <w:p w14:paraId="28DE5AB8" w14:textId="7EE37EDA" w:rsidR="00830A4C" w:rsidRDefault="00830A4C" w:rsidP="00830A4C">
      <w:pPr>
        <w:pStyle w:val="Caption"/>
      </w:pPr>
      <w:bookmarkStart w:id="518" w:name="_Ref12853582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114</w:t>
      </w:r>
      <w:r w:rsidR="004E20BD">
        <w:rPr>
          <w:noProof/>
        </w:rPr>
        <w:fldChar w:fldCharType="end"/>
      </w:r>
      <w:bookmarkEnd w:id="518"/>
      <w:r>
        <w:t>: Justify ABO/Rh Change</w:t>
      </w:r>
    </w:p>
    <w:p w14:paraId="754B1264" w14:textId="77777777" w:rsidR="00830A4C" w:rsidRDefault="00057948" w:rsidP="00830A4C">
      <w:pPr>
        <w:pStyle w:val="BodyText"/>
      </w:pPr>
      <w:r>
        <w:rPr>
          <w:noProof/>
        </w:rPr>
        <w:drawing>
          <wp:inline distT="0" distB="0" distL="0" distR="0" wp14:anchorId="300F4409" wp14:editId="3291F5C5">
            <wp:extent cx="4572000" cy="3204845"/>
            <wp:effectExtent l="0" t="0" r="0" b="0"/>
            <wp:docPr id="261" name="Picture 261" descr="Example of Justify ABO/Rh Change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Example of Justify ABO/Rh Change screen capture"/>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572000" cy="3204845"/>
                    </a:xfrm>
                    <a:prstGeom prst="rect">
                      <a:avLst/>
                    </a:prstGeom>
                    <a:noFill/>
                    <a:ln>
                      <a:noFill/>
                    </a:ln>
                  </pic:spPr>
                </pic:pic>
              </a:graphicData>
            </a:graphic>
          </wp:inline>
        </w:drawing>
      </w:r>
    </w:p>
    <w:p w14:paraId="623B94E9" w14:textId="77777777" w:rsidR="009D0008" w:rsidRDefault="009D0008">
      <w:pPr>
        <w:rPr>
          <w:sz w:val="22"/>
          <w:szCs w:val="22"/>
        </w:rPr>
      </w:pPr>
      <w:r>
        <w:rPr>
          <w:sz w:val="22"/>
          <w:szCs w:val="22"/>
        </w:rPr>
        <w:br w:type="page"/>
      </w:r>
    </w:p>
    <w:p w14:paraId="5C0D8674" w14:textId="10D00E86" w:rsidR="007A4841" w:rsidRDefault="007A4841" w:rsidP="007A49E1">
      <w:pPr>
        <w:pStyle w:val="Heading1"/>
      </w:pPr>
      <w:bookmarkStart w:id="519" w:name="_Toc149064173"/>
      <w:r>
        <w:t>Automated Testing</w:t>
      </w:r>
      <w:bookmarkEnd w:id="519"/>
      <w:r w:rsidRPr="00B31DA1">
        <w:rPr>
          <w:vanish/>
        </w:rPr>
        <w:t>{ XE “Automated Testing” }</w:t>
      </w:r>
      <w:r w:rsidRPr="00B31DA1">
        <w:rPr>
          <w:i/>
          <w:vanish/>
        </w:rPr>
        <w:t>UC_114, UC_115</w:t>
      </w:r>
    </w:p>
    <w:p w14:paraId="0DEC015C" w14:textId="77777777" w:rsidR="00B45FA2" w:rsidRDefault="00B45FA2" w:rsidP="007A4841">
      <w:pPr>
        <w:pStyle w:val="Heading2"/>
      </w:pPr>
      <w:bookmarkStart w:id="520" w:name="_Toc149064174"/>
      <w:r>
        <w:t>Automated Testing Interface</w:t>
      </w:r>
      <w:bookmarkEnd w:id="520"/>
      <w:r>
        <w:fldChar w:fldCharType="begin"/>
      </w:r>
      <w:r>
        <w:instrText xml:space="preserve"> XE “Automated Testing Interface” </w:instrText>
      </w:r>
      <w:r>
        <w:fldChar w:fldCharType="end"/>
      </w:r>
      <w:r>
        <w:t xml:space="preserve"> </w:t>
      </w:r>
      <w:r>
        <w:rPr>
          <w:rFonts w:ascii="Times New Roman" w:hAnsi="Times New Roman" w:cs="Times New Roman"/>
          <w:b w:val="0"/>
          <w:i w:val="0"/>
          <w:vanish/>
          <w:sz w:val="22"/>
        </w:rPr>
        <w:t>UC_114</w:t>
      </w:r>
    </w:p>
    <w:p w14:paraId="31FCEB82" w14:textId="77777777" w:rsidR="007B52EA" w:rsidRDefault="00B45FA2" w:rsidP="00B45FA2">
      <w:pPr>
        <w:pStyle w:val="BodyText"/>
      </w:pPr>
      <w:r w:rsidRPr="00311A54">
        <w:t xml:space="preserve">The user </w:t>
      </w:r>
      <w:r w:rsidR="0081699D" w:rsidRPr="00311A54">
        <w:t>sends test results to VBECS</w:t>
      </w:r>
      <w:r w:rsidR="00F27904">
        <w:t xml:space="preserve"> from an automated instrument</w:t>
      </w:r>
      <w:r w:rsidRPr="00311A54">
        <w:t>.</w:t>
      </w:r>
    </w:p>
    <w:p w14:paraId="4EE39FD6" w14:textId="436AFC41" w:rsidR="007B52EA" w:rsidRDefault="007B52EA" w:rsidP="007B52EA">
      <w:pPr>
        <w:pStyle w:val="BodyText"/>
      </w:pPr>
      <w:r>
        <w:t xml:space="preserve">For details about interface configuration please refer to the </w:t>
      </w:r>
      <w:r w:rsidR="00531617" w:rsidRPr="00531617">
        <w:rPr>
          <w:i/>
        </w:rPr>
        <w:t>V</w:t>
      </w:r>
      <w:r w:rsidR="00BA2EAA">
        <w:rPr>
          <w:i/>
        </w:rPr>
        <w:t>BECS 2.3.</w:t>
      </w:r>
      <w:r w:rsidR="00656AFE">
        <w:rPr>
          <w:i/>
        </w:rPr>
        <w:t>4</w:t>
      </w:r>
      <w:r w:rsidR="00BA2EAA">
        <w:rPr>
          <w:i/>
        </w:rPr>
        <w:t xml:space="preserve"> Admin User</w:t>
      </w:r>
      <w:r w:rsidRPr="00531617">
        <w:rPr>
          <w:i/>
        </w:rPr>
        <w:t xml:space="preserve"> Guide</w:t>
      </w:r>
      <w:r w:rsidR="004A1C69">
        <w:t>.</w:t>
      </w:r>
    </w:p>
    <w:p w14:paraId="0D77A4C5" w14:textId="77777777" w:rsidR="00B45FA2" w:rsidRDefault="00B45FA2" w:rsidP="00B45FA2">
      <w:pPr>
        <w:pStyle w:val="Heading4"/>
      </w:pPr>
      <w:r>
        <w:t>Assumptions</w:t>
      </w:r>
      <w:r>
        <w:rPr>
          <w:b w:val="0"/>
        </w:rPr>
        <w:t xml:space="preserve"> </w:t>
      </w:r>
    </w:p>
    <w:p w14:paraId="41F8CCBE" w14:textId="77777777" w:rsidR="004926E0" w:rsidRDefault="004926E0" w:rsidP="00925CAD">
      <w:pPr>
        <w:pStyle w:val="TableTextBullet"/>
        <w:numPr>
          <w:ilvl w:val="0"/>
          <w:numId w:val="42"/>
        </w:numPr>
        <w:ind w:right="63"/>
        <w:rPr>
          <w:rFonts w:ascii="Times New Roman" w:hAnsi="Times New Roman"/>
          <w:spacing w:val="-5"/>
          <w:sz w:val="22"/>
          <w:szCs w:val="22"/>
        </w:rPr>
      </w:pPr>
      <w:r>
        <w:rPr>
          <w:rFonts w:ascii="Times New Roman" w:hAnsi="Times New Roman"/>
          <w:spacing w:val="-5"/>
          <w:sz w:val="22"/>
          <w:szCs w:val="22"/>
        </w:rPr>
        <w:t>Test Results have been reviewed and released on the instrument to be transmitted to VBECS.</w:t>
      </w:r>
      <w:r w:rsidR="00FC74A0">
        <w:rPr>
          <w:rFonts w:ascii="Times New Roman" w:hAnsi="Times New Roman"/>
          <w:spacing w:val="-5"/>
          <w:sz w:val="22"/>
          <w:szCs w:val="22"/>
        </w:rPr>
        <w:t xml:space="preserve"> </w:t>
      </w:r>
      <w:r w:rsidR="00FC74A0" w:rsidRPr="00FC74A0">
        <w:rPr>
          <w:rFonts w:ascii="Times New Roman" w:hAnsi="Times New Roman"/>
          <w:vanish/>
          <w:spacing w:val="-5"/>
          <w:sz w:val="22"/>
          <w:szCs w:val="22"/>
        </w:rPr>
        <w:t xml:space="preserve">Defect </w:t>
      </w:r>
      <w:r w:rsidR="00FC74A0" w:rsidRPr="00FC74A0">
        <w:rPr>
          <w:vanish/>
        </w:rPr>
        <w:t>357490</w:t>
      </w:r>
    </w:p>
    <w:p w14:paraId="00D37130"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A patient testing order must be accepted in VBECS and pending test results.</w:t>
      </w:r>
    </w:p>
    <w:p w14:paraId="4AAA01F3"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A blood unit must be received in the VBECS division.</w:t>
      </w:r>
    </w:p>
    <w:p w14:paraId="77199401"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The testing instrument is fully functional and available for use:  The instrument QC is completed and valid, no maintenance is required and test results are available for transmission to VBECS.</w:t>
      </w:r>
    </w:p>
    <w:p w14:paraId="2B4FCFAB" w14:textId="77777777" w:rsidR="00B45FA2"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 xml:space="preserve">Interface Control Parameters </w:t>
      </w:r>
      <w:r>
        <w:rPr>
          <w:rFonts w:ascii="Times New Roman" w:hAnsi="Times New Roman"/>
          <w:spacing w:val="-5"/>
          <w:sz w:val="22"/>
          <w:szCs w:val="22"/>
        </w:rPr>
        <w:t>have</w:t>
      </w:r>
      <w:r w:rsidRPr="00B23B06">
        <w:rPr>
          <w:rFonts w:ascii="Times New Roman" w:hAnsi="Times New Roman"/>
          <w:spacing w:val="-5"/>
          <w:sz w:val="22"/>
          <w:szCs w:val="22"/>
        </w:rPr>
        <w:t xml:space="preserve"> been completed and </w:t>
      </w:r>
      <w:r>
        <w:rPr>
          <w:rFonts w:ascii="Times New Roman" w:hAnsi="Times New Roman"/>
          <w:spacing w:val="-5"/>
          <w:sz w:val="22"/>
          <w:szCs w:val="22"/>
        </w:rPr>
        <w:t>are</w:t>
      </w:r>
      <w:r w:rsidRPr="00B23B06">
        <w:rPr>
          <w:rFonts w:ascii="Times New Roman" w:hAnsi="Times New Roman"/>
          <w:spacing w:val="-5"/>
          <w:sz w:val="22"/>
          <w:szCs w:val="22"/>
        </w:rPr>
        <w:t xml:space="preserve"> enabled for the automated instrument interface</w:t>
      </w:r>
      <w:r w:rsidR="00F27904">
        <w:rPr>
          <w:rFonts w:ascii="Times New Roman" w:hAnsi="Times New Roman"/>
          <w:spacing w:val="-5"/>
          <w:sz w:val="22"/>
          <w:szCs w:val="22"/>
        </w:rPr>
        <w:t xml:space="preserve"> in the VBECS Administrator</w:t>
      </w:r>
      <w:r w:rsidRPr="00B23B06">
        <w:rPr>
          <w:rFonts w:ascii="Times New Roman" w:hAnsi="Times New Roman"/>
          <w:spacing w:val="-5"/>
          <w:sz w:val="22"/>
          <w:szCs w:val="22"/>
        </w:rPr>
        <w:t>.</w:t>
      </w:r>
    </w:p>
    <w:p w14:paraId="2FDE9CC7"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Pr>
          <w:rFonts w:ascii="Times New Roman" w:hAnsi="Times New Roman"/>
          <w:spacing w:val="-5"/>
          <w:sz w:val="22"/>
          <w:szCs w:val="22"/>
        </w:rPr>
        <w:t>Data Innovations Instrument Manager message interface is properly and completely configured.</w:t>
      </w:r>
    </w:p>
    <w:p w14:paraId="0A3146FA" w14:textId="77777777" w:rsidR="00B45FA2" w:rsidRDefault="00B45FA2" w:rsidP="00B45FA2">
      <w:pPr>
        <w:pStyle w:val="Heading4"/>
      </w:pPr>
      <w:r>
        <w:t xml:space="preserve">Outcome </w:t>
      </w:r>
    </w:p>
    <w:p w14:paraId="1F7C9FA4" w14:textId="77777777" w:rsidR="00B45FA2" w:rsidRDefault="0081699D" w:rsidP="00B45FA2">
      <w:pPr>
        <w:pStyle w:val="ListBullet"/>
      </w:pPr>
      <w:r w:rsidRPr="00311A54">
        <w:t>Test results are received by VBECS</w:t>
      </w:r>
      <w:r w:rsidR="00B45FA2" w:rsidRPr="00311A54">
        <w:t>.</w:t>
      </w:r>
    </w:p>
    <w:p w14:paraId="0B05209C" w14:textId="77777777" w:rsidR="00F27904" w:rsidRPr="00311A54" w:rsidRDefault="00F27904" w:rsidP="00B45FA2">
      <w:pPr>
        <w:pStyle w:val="ListBullet"/>
      </w:pPr>
      <w:r>
        <w:t>Task status is updated for tests pending completion.</w:t>
      </w:r>
    </w:p>
    <w:p w14:paraId="5EC0C5D4" w14:textId="77777777" w:rsidR="00B45FA2" w:rsidRDefault="00B45FA2" w:rsidP="00B45FA2">
      <w:pPr>
        <w:pStyle w:val="Heading4"/>
      </w:pPr>
      <w:r>
        <w:t>Limitations and Restrictions</w:t>
      </w:r>
      <w:r>
        <w:rPr>
          <w:b w:val="0"/>
        </w:rPr>
        <w:t xml:space="preserve"> </w:t>
      </w:r>
    </w:p>
    <w:p w14:paraId="247248F5" w14:textId="77777777" w:rsidR="00586388" w:rsidRPr="00586388" w:rsidRDefault="00586388" w:rsidP="00925CAD">
      <w:pPr>
        <w:pStyle w:val="TableTextBullet"/>
        <w:numPr>
          <w:ilvl w:val="0"/>
          <w:numId w:val="42"/>
        </w:numPr>
        <w:ind w:right="63"/>
        <w:rPr>
          <w:rFonts w:ascii="Times New Roman" w:hAnsi="Times New Roman"/>
          <w:spacing w:val="-5"/>
          <w:sz w:val="22"/>
          <w:szCs w:val="22"/>
        </w:rPr>
      </w:pPr>
      <w:r w:rsidRPr="00586388">
        <w:rPr>
          <w:rFonts w:ascii="Times New Roman" w:hAnsi="Times New Roman"/>
          <w:sz w:val="22"/>
          <w:szCs w:val="22"/>
        </w:rPr>
        <w:t xml:space="preserve">VBECS has only been tested with one automated instrument connected. </w:t>
      </w:r>
      <w:r w:rsidRPr="00586388">
        <w:rPr>
          <w:rFonts w:ascii="Times New Roman" w:hAnsi="Times New Roman"/>
          <w:vanish/>
          <w:sz w:val="22"/>
          <w:szCs w:val="22"/>
        </w:rPr>
        <w:t>Defect 357490</w:t>
      </w:r>
    </w:p>
    <w:p w14:paraId="4F65AAE8"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Not available for transmission to Transfusion only facilities from a blood center due to constraints of VA’s security software.</w:t>
      </w:r>
    </w:p>
    <w:p w14:paraId="0A5A6033" w14:textId="77777777" w:rsidR="00B45FA2" w:rsidRPr="00B23B06"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The results of Antibody Panels (ABID) will not be accepted by the VBECS Automated Interface.</w:t>
      </w:r>
    </w:p>
    <w:p w14:paraId="482936CE" w14:textId="77777777" w:rsidR="00B45FA2" w:rsidRDefault="00B45FA2" w:rsidP="00925CAD">
      <w:pPr>
        <w:pStyle w:val="TableTextBullet"/>
        <w:numPr>
          <w:ilvl w:val="0"/>
          <w:numId w:val="42"/>
        </w:numPr>
        <w:ind w:right="63"/>
        <w:rPr>
          <w:rFonts w:ascii="Times New Roman" w:hAnsi="Times New Roman"/>
          <w:spacing w:val="-5"/>
          <w:sz w:val="22"/>
          <w:szCs w:val="22"/>
        </w:rPr>
      </w:pPr>
      <w:r w:rsidRPr="00B23B06">
        <w:rPr>
          <w:rFonts w:ascii="Times New Roman" w:hAnsi="Times New Roman"/>
          <w:spacing w:val="-5"/>
          <w:sz w:val="22"/>
          <w:szCs w:val="22"/>
        </w:rPr>
        <w:t>The results of QC information from automated instruments will not be accepted by the VBECS Automated Interface.</w:t>
      </w:r>
    </w:p>
    <w:p w14:paraId="7028521A" w14:textId="087D2D96" w:rsidR="00D33B43" w:rsidRDefault="00B45FA2" w:rsidP="00925CAD">
      <w:pPr>
        <w:pStyle w:val="TableTextBullet"/>
        <w:numPr>
          <w:ilvl w:val="0"/>
          <w:numId w:val="42"/>
        </w:numPr>
        <w:ind w:right="63"/>
        <w:rPr>
          <w:rFonts w:ascii="Times New Roman" w:hAnsi="Times New Roman"/>
          <w:spacing w:val="-5"/>
          <w:sz w:val="22"/>
          <w:szCs w:val="22"/>
        </w:rPr>
      </w:pPr>
      <w:r w:rsidRPr="004926E0">
        <w:rPr>
          <w:rFonts w:ascii="Times New Roman" w:hAnsi="Times New Roman"/>
          <w:spacing w:val="-5"/>
          <w:sz w:val="22"/>
          <w:szCs w:val="22"/>
        </w:rPr>
        <w:t>Time zone will not be included in HL7 message date time from the broadcasting application (Instrument Manager). The time zone is determined from the division code contained in the message header (MSH) segment of the message.</w:t>
      </w:r>
      <w:r w:rsidR="00D33B43" w:rsidRPr="004926E0">
        <w:rPr>
          <w:rFonts w:ascii="Times New Roman" w:hAnsi="Times New Roman"/>
          <w:vanish/>
          <w:spacing w:val="-5"/>
          <w:sz w:val="22"/>
          <w:szCs w:val="22"/>
        </w:rPr>
        <w:t xml:space="preserve">Defects 290088, 290166 </w:t>
      </w:r>
    </w:p>
    <w:p w14:paraId="454A986D" w14:textId="0F666D88" w:rsidR="004F6172" w:rsidRPr="004F6172" w:rsidRDefault="004F6172" w:rsidP="004F6172">
      <w:pPr>
        <w:pStyle w:val="TableTextBullet"/>
        <w:numPr>
          <w:ilvl w:val="0"/>
          <w:numId w:val="42"/>
        </w:numPr>
        <w:ind w:right="63"/>
        <w:rPr>
          <w:rFonts w:ascii="Times New Roman" w:hAnsi="Times New Roman"/>
          <w:spacing w:val="-5"/>
          <w:sz w:val="22"/>
          <w:szCs w:val="22"/>
        </w:rPr>
      </w:pPr>
      <w:r w:rsidRPr="004F6172">
        <w:rPr>
          <w:rFonts w:ascii="Times New Roman" w:hAnsi="Times New Roman"/>
          <w:spacing w:val="-5"/>
          <w:sz w:val="22"/>
          <w:szCs w:val="22"/>
        </w:rPr>
        <w:t>For VBECS to process automated test results, a specimen record needs to exist.</w:t>
      </w:r>
      <w:r w:rsidR="0093638C">
        <w:rPr>
          <w:rFonts w:ascii="Times New Roman" w:hAnsi="Times New Roman"/>
          <w:spacing w:val="-5"/>
          <w:sz w:val="22"/>
          <w:szCs w:val="22"/>
        </w:rPr>
        <w:t xml:space="preserve"> </w:t>
      </w:r>
      <w:r w:rsidRPr="004F6172">
        <w:rPr>
          <w:rFonts w:ascii="Times New Roman" w:hAnsi="Times New Roman"/>
          <w:spacing w:val="-5"/>
          <w:sz w:val="22"/>
          <w:szCs w:val="22"/>
        </w:rPr>
        <w:t>VBECS cannot accept A</w:t>
      </w:r>
      <w:r w:rsidR="0093638C">
        <w:rPr>
          <w:rFonts w:ascii="Times New Roman" w:hAnsi="Times New Roman"/>
          <w:spacing w:val="-5"/>
          <w:sz w:val="22"/>
          <w:szCs w:val="22"/>
        </w:rPr>
        <w:t xml:space="preserve">utomated </w:t>
      </w:r>
      <w:r w:rsidRPr="004F6172">
        <w:rPr>
          <w:rFonts w:ascii="Times New Roman" w:hAnsi="Times New Roman"/>
          <w:spacing w:val="-5"/>
          <w:sz w:val="22"/>
          <w:szCs w:val="22"/>
        </w:rPr>
        <w:t>I</w:t>
      </w:r>
      <w:r w:rsidR="0093638C">
        <w:rPr>
          <w:rFonts w:ascii="Times New Roman" w:hAnsi="Times New Roman"/>
          <w:spacing w:val="-5"/>
          <w:sz w:val="22"/>
          <w:szCs w:val="22"/>
        </w:rPr>
        <w:t>n</w:t>
      </w:r>
      <w:r w:rsidR="00227337">
        <w:rPr>
          <w:rFonts w:ascii="Times New Roman" w:hAnsi="Times New Roman"/>
          <w:spacing w:val="-5"/>
          <w:sz w:val="22"/>
          <w:szCs w:val="22"/>
        </w:rPr>
        <w:t>strument</w:t>
      </w:r>
      <w:r w:rsidRPr="004F6172">
        <w:rPr>
          <w:rFonts w:ascii="Times New Roman" w:hAnsi="Times New Roman"/>
          <w:spacing w:val="-5"/>
          <w:sz w:val="22"/>
          <w:szCs w:val="22"/>
        </w:rPr>
        <w:t xml:space="preserve"> test results for specimens that are more than 5 years old. To work around this limitation for maintainable specimens, first change the expiration date and then send the test results.</w:t>
      </w:r>
    </w:p>
    <w:p w14:paraId="55E2A468" w14:textId="77777777" w:rsidR="00B45FA2" w:rsidRDefault="00B45FA2" w:rsidP="00B45FA2">
      <w:pPr>
        <w:pStyle w:val="Heading4"/>
      </w:pPr>
      <w:r>
        <w:t xml:space="preserve">Additional Information </w:t>
      </w:r>
    </w:p>
    <w:p w14:paraId="72CA1873" w14:textId="77777777" w:rsidR="00B45FA2" w:rsidRDefault="00B45FA2" w:rsidP="00B45FA2">
      <w:pPr>
        <w:pStyle w:val="ListBullet"/>
      </w:pPr>
      <w:r>
        <w:t xml:space="preserve">VBECS </w:t>
      </w:r>
      <w:r w:rsidRPr="00BA0C95">
        <w:t xml:space="preserve">will accommodate </w:t>
      </w:r>
      <w:r>
        <w:t xml:space="preserve">antigen typing test results </w:t>
      </w:r>
      <w:r w:rsidRPr="00BA0C95">
        <w:t>where antigen typing tests are available in VBECS.</w:t>
      </w:r>
    </w:p>
    <w:p w14:paraId="4E18D87B" w14:textId="77777777" w:rsidR="002C3F2F" w:rsidRDefault="00057948" w:rsidP="002C3F2F">
      <w:pPr>
        <w:pStyle w:val="ListBullet"/>
      </w:pPr>
      <w:r>
        <w:rPr>
          <w:noProof/>
        </w:rPr>
        <w:drawing>
          <wp:inline distT="0" distB="0" distL="0" distR="0" wp14:anchorId="48A86715" wp14:editId="67D1E673">
            <wp:extent cx="276860" cy="221615"/>
            <wp:effectExtent l="0" t="0" r="8890" b="6985"/>
            <wp:docPr id="262" name="Picture 1"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1"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t xml:space="preserve"> </w:t>
      </w:r>
      <w:r w:rsidR="002C3F2F" w:rsidRPr="002C3F2F">
        <w:rPr>
          <w:vanish/>
        </w:rPr>
        <w:t>Defect 362099</w:t>
      </w:r>
    </w:p>
    <w:p w14:paraId="2A35C552" w14:textId="77777777" w:rsidR="00B45FA2" w:rsidRDefault="00B45FA2" w:rsidP="00B45FA2">
      <w:pPr>
        <w:pStyle w:val="Heading4"/>
        <w:rPr>
          <w:b w:val="0"/>
        </w:rPr>
      </w:pPr>
      <w:r>
        <w:t>User Roles with Access to This Option</w:t>
      </w:r>
      <w:r>
        <w:rPr>
          <w:b w:val="0"/>
        </w:rPr>
        <w:t xml:space="preserve"> </w:t>
      </w:r>
    </w:p>
    <w:p w14:paraId="6BDF9E13" w14:textId="77777777" w:rsidR="00B45FA2" w:rsidRDefault="00B45FA2" w:rsidP="00B45FA2">
      <w:pPr>
        <w:pStyle w:val="Roles"/>
      </w:pPr>
      <w:r>
        <w:t>All users</w:t>
      </w:r>
    </w:p>
    <w:p w14:paraId="7CC01D15" w14:textId="77777777" w:rsidR="00B45FA2" w:rsidRDefault="009068D5" w:rsidP="00B45FA2">
      <w:pPr>
        <w:pStyle w:val="Heading4"/>
      </w:pPr>
      <w:r>
        <w:t>Automated Testing Interface</w:t>
      </w:r>
    </w:p>
    <w:p w14:paraId="7128BB44" w14:textId="77777777" w:rsidR="00B45FA2" w:rsidRDefault="00311A54" w:rsidP="00B45FA2">
      <w:pPr>
        <w:pStyle w:val="BodyText"/>
      </w:pPr>
      <w:r>
        <w:t xml:space="preserve">This </w:t>
      </w:r>
      <w:r w:rsidR="00F27904">
        <w:t>feature</w:t>
      </w:r>
      <w:r>
        <w:t xml:space="preserve"> allows the interface of automated blood banking instruments with VBECS through Data Innovat</w:t>
      </w:r>
      <w:r w:rsidR="00F27904">
        <w:t>ions Instrument Manager. It</w:t>
      </w:r>
      <w:r>
        <w:t xml:space="preserve"> eliminate</w:t>
      </w:r>
      <w:r w:rsidR="00F27904">
        <w:t>s</w:t>
      </w:r>
      <w:r>
        <w:t xml:space="preserve"> the potential for human error associated with the manual entry of results from an automated instrument into</w:t>
      </w:r>
      <w:r w:rsidR="00F27904">
        <w:t xml:space="preserve"> </w:t>
      </w:r>
      <w:r>
        <w:t>VBECS</w:t>
      </w:r>
      <w:r w:rsidR="00F27904">
        <w:t xml:space="preserve">. </w:t>
      </w:r>
      <w:r w:rsidR="00640909">
        <w:t>It also eliminates t</w:t>
      </w:r>
      <w:r>
        <w:t>he potential for transcription errors that can lead to a patient safety issue of ABO incompatible transfusion. In addition to safety, these enhancements will also reduce the time spent entering results manually</w:t>
      </w:r>
      <w:r w:rsidR="00B45FA2"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45FA2" w14:paraId="7BE3592D" w14:textId="77777777" w:rsidTr="003F6E8A">
        <w:trPr>
          <w:cantSplit/>
          <w:tblHeader/>
        </w:trPr>
        <w:tc>
          <w:tcPr>
            <w:tcW w:w="3240" w:type="dxa"/>
            <w:shd w:val="pct30" w:color="auto" w:fill="FFFFFF"/>
            <w:vAlign w:val="bottom"/>
          </w:tcPr>
          <w:p w14:paraId="42A51DA8" w14:textId="77777777" w:rsidR="00B45FA2" w:rsidRDefault="00B45FA2" w:rsidP="003F6E8A">
            <w:pPr>
              <w:pStyle w:val="TableText"/>
              <w:rPr>
                <w:b/>
              </w:rPr>
            </w:pPr>
            <w:r>
              <w:rPr>
                <w:b/>
              </w:rPr>
              <w:t>User Action</w:t>
            </w:r>
          </w:p>
        </w:tc>
        <w:tc>
          <w:tcPr>
            <w:tcW w:w="6120" w:type="dxa"/>
            <w:shd w:val="pct30" w:color="auto" w:fill="FFFFFF"/>
            <w:vAlign w:val="bottom"/>
          </w:tcPr>
          <w:p w14:paraId="536F9CE8" w14:textId="77777777" w:rsidR="00B45FA2" w:rsidRDefault="00B45FA2" w:rsidP="003F6E8A">
            <w:pPr>
              <w:pStyle w:val="TableText"/>
              <w:rPr>
                <w:b/>
              </w:rPr>
            </w:pPr>
            <w:r>
              <w:rPr>
                <w:b/>
              </w:rPr>
              <w:t>VBECS</w:t>
            </w:r>
          </w:p>
        </w:tc>
      </w:tr>
      <w:tr w:rsidR="00B45FA2" w14:paraId="0FA84AC9" w14:textId="77777777" w:rsidTr="003F6E8A">
        <w:tc>
          <w:tcPr>
            <w:tcW w:w="3240" w:type="dxa"/>
          </w:tcPr>
          <w:p w14:paraId="5BE11EF0" w14:textId="77777777" w:rsidR="00B45FA2" w:rsidRDefault="007B08C6" w:rsidP="007B08C6">
            <w:pPr>
              <w:pStyle w:val="TableTextNumbers"/>
            </w:pPr>
            <w:r>
              <w:t xml:space="preserve">User sends test results </w:t>
            </w:r>
            <w:r w:rsidR="00D5538E">
              <w:t xml:space="preserve">from the Automated Instrument </w:t>
            </w:r>
            <w:r>
              <w:t>to VBECS.</w:t>
            </w:r>
          </w:p>
        </w:tc>
        <w:tc>
          <w:tcPr>
            <w:tcW w:w="6120" w:type="dxa"/>
          </w:tcPr>
          <w:p w14:paraId="666CC64F" w14:textId="77777777" w:rsidR="00B45FA2" w:rsidRDefault="00D279DE" w:rsidP="003F6E8A">
            <w:pPr>
              <w:pStyle w:val="TableTextBullet"/>
            </w:pPr>
            <w:r>
              <w:t>U</w:t>
            </w:r>
            <w:r w:rsidR="00B45FA2">
              <w:t>pdates the task status on the Pending Task List (PTL) upon successful receipt of testing.</w:t>
            </w:r>
          </w:p>
          <w:p w14:paraId="7600BED4" w14:textId="77777777" w:rsidR="00B45FA2" w:rsidRDefault="00D279DE" w:rsidP="003F6E8A">
            <w:pPr>
              <w:pStyle w:val="TableTextBullet"/>
            </w:pPr>
            <w:r>
              <w:t>S</w:t>
            </w:r>
            <w:r w:rsidR="00B45FA2">
              <w:t>tores received results for review, processing and acceptance by a user.</w:t>
            </w:r>
          </w:p>
          <w:p w14:paraId="15A5CE11" w14:textId="77777777" w:rsidR="00D95812" w:rsidRDefault="00D95812" w:rsidP="00D95812">
            <w:pPr>
              <w:pStyle w:val="TableTextBullet"/>
              <w:numPr>
                <w:ilvl w:val="0"/>
                <w:numId w:val="0"/>
              </w:numPr>
              <w:ind w:left="288" w:hanging="288"/>
            </w:pPr>
          </w:p>
          <w:p w14:paraId="14DF302E" w14:textId="38F56D37" w:rsidR="00D95812" w:rsidRDefault="00D95812" w:rsidP="00D95812">
            <w:pPr>
              <w:pStyle w:val="TableText"/>
              <w:rPr>
                <w:b/>
                <w:bCs/>
                <w:szCs w:val="18"/>
              </w:rPr>
            </w:pPr>
            <w:r>
              <w:rPr>
                <w:b/>
                <w:bCs/>
                <w:szCs w:val="18"/>
              </w:rPr>
              <w:t>NOTES</w:t>
            </w:r>
          </w:p>
          <w:p w14:paraId="51480B8F" w14:textId="77777777" w:rsidR="00D95812" w:rsidRDefault="00D95812" w:rsidP="00D95812">
            <w:pPr>
              <w:pStyle w:val="NotesText"/>
            </w:pPr>
          </w:p>
          <w:p w14:paraId="53F0454A" w14:textId="77777777" w:rsidR="00D95812" w:rsidRDefault="00F27904" w:rsidP="00D95812">
            <w:pPr>
              <w:pStyle w:val="NotesText"/>
            </w:pPr>
            <w:r w:rsidRPr="00DC70D1">
              <w:rPr>
                <w:rFonts w:cs="Arial"/>
                <w:vanish/>
              </w:rPr>
              <w:t xml:space="preserve">BR_114.01 </w:t>
            </w:r>
            <w:r w:rsidR="00D95812">
              <w:rPr>
                <w:rFonts w:cs="Arial"/>
                <w:vanish/>
              </w:rPr>
              <w:t xml:space="preserve">BR_85.01 </w:t>
            </w:r>
            <w:r w:rsidR="00D95812">
              <w:t>If the blood unit record is not found, the message is rejected</w:t>
            </w:r>
            <w:r>
              <w:t xml:space="preserve"> and results are not available for review</w:t>
            </w:r>
            <w:r w:rsidR="00D95812">
              <w:t>.</w:t>
            </w:r>
          </w:p>
          <w:p w14:paraId="439F07A4" w14:textId="77777777" w:rsidR="00D95812" w:rsidRDefault="00D95812" w:rsidP="00D95812">
            <w:pPr>
              <w:pStyle w:val="NotesText"/>
            </w:pPr>
          </w:p>
          <w:p w14:paraId="46F4FDA9" w14:textId="77777777" w:rsidR="00D95812" w:rsidRDefault="00F27904" w:rsidP="00D95812">
            <w:pPr>
              <w:pStyle w:val="NotesText"/>
            </w:pPr>
            <w:r w:rsidRPr="00DC70D1">
              <w:rPr>
                <w:vanish/>
              </w:rPr>
              <w:t xml:space="preserve">BR_114.02 </w:t>
            </w:r>
            <w:r w:rsidR="00D95812">
              <w:t>If the patient specimen is not associated with an active patient order, the message is rejected</w:t>
            </w:r>
            <w:r>
              <w:t xml:space="preserve"> and results are not available for review</w:t>
            </w:r>
            <w:r w:rsidR="00D95812">
              <w:t>.</w:t>
            </w:r>
          </w:p>
          <w:p w14:paraId="3FB4297E" w14:textId="77777777" w:rsidR="00D95812" w:rsidRDefault="00D95812" w:rsidP="00D95812">
            <w:pPr>
              <w:pStyle w:val="NotesText"/>
            </w:pPr>
          </w:p>
          <w:p w14:paraId="7DA88C3B" w14:textId="77777777" w:rsidR="00D95812" w:rsidRDefault="00F27904" w:rsidP="00D95812">
            <w:pPr>
              <w:pStyle w:val="NotesText"/>
            </w:pPr>
            <w:r w:rsidRPr="00DC70D1">
              <w:rPr>
                <w:vanish/>
              </w:rPr>
              <w:t xml:space="preserve">BR_114.03 </w:t>
            </w:r>
            <w:r w:rsidR="00D95812">
              <w:t>If the cross-matched units are not assigned to a patient order, the message containing crossmatch results is rejected</w:t>
            </w:r>
            <w:r>
              <w:t xml:space="preserve"> and results are not available for review</w:t>
            </w:r>
            <w:r w:rsidR="00D95812">
              <w:t>.</w:t>
            </w:r>
          </w:p>
          <w:p w14:paraId="46189BE2" w14:textId="77777777" w:rsidR="00D95812" w:rsidRDefault="00D95812" w:rsidP="00D95812">
            <w:pPr>
              <w:pStyle w:val="NotesText"/>
            </w:pPr>
          </w:p>
          <w:p w14:paraId="39210F09" w14:textId="77777777" w:rsidR="00D95812" w:rsidRDefault="00F27904" w:rsidP="00D95812">
            <w:pPr>
              <w:pStyle w:val="NotesText"/>
            </w:pPr>
            <w:r w:rsidRPr="00DC70D1">
              <w:rPr>
                <w:vanish/>
              </w:rPr>
              <w:t xml:space="preserve">BR_114.04 </w:t>
            </w:r>
            <w:r w:rsidR="00D95812">
              <w:t>Patient specimen blood test results pending review must be rejected by the user in VBECS before replacement results can be received.</w:t>
            </w:r>
          </w:p>
          <w:p w14:paraId="444A8F41" w14:textId="77777777" w:rsidR="00D95812" w:rsidRDefault="00D95812" w:rsidP="00D95812">
            <w:pPr>
              <w:pStyle w:val="NotesText"/>
            </w:pPr>
          </w:p>
          <w:p w14:paraId="7B669949" w14:textId="77777777" w:rsidR="00D95812" w:rsidRDefault="00F27904" w:rsidP="00D95812">
            <w:pPr>
              <w:pStyle w:val="NotesText"/>
            </w:pPr>
            <w:r w:rsidRPr="00DC70D1">
              <w:rPr>
                <w:vanish/>
              </w:rPr>
              <w:t xml:space="preserve">BR_114.07 </w:t>
            </w:r>
            <w:r w:rsidR="00D95812">
              <w:t>If test results currently exist for a patient order (entered manually or by the Automated Instrument), the replacement test results will not be accepted into VBECS until the user invalidates the existing test results.</w:t>
            </w:r>
          </w:p>
          <w:p w14:paraId="2A137C35" w14:textId="77777777" w:rsidR="00D95812" w:rsidRDefault="00D95812" w:rsidP="00D95812">
            <w:pPr>
              <w:pStyle w:val="NotesText"/>
            </w:pPr>
          </w:p>
          <w:p w14:paraId="4890CC4E" w14:textId="77777777" w:rsidR="00D95812" w:rsidRDefault="00F27904" w:rsidP="00D95812">
            <w:pPr>
              <w:pStyle w:val="NotesText"/>
              <w:rPr>
                <w:rFonts w:cs="Arial"/>
                <w:bCs/>
                <w:color w:val="000000"/>
                <w:szCs w:val="18"/>
              </w:rPr>
            </w:pPr>
            <w:r w:rsidRPr="00DC70D1">
              <w:rPr>
                <w:rFonts w:cs="Arial"/>
                <w:bCs/>
                <w:vanish/>
                <w:color w:val="000000"/>
                <w:szCs w:val="18"/>
              </w:rPr>
              <w:t xml:space="preserve">BR_114.10 </w:t>
            </w:r>
            <w:r w:rsidR="00D95812">
              <w:rPr>
                <w:rFonts w:cs="Arial"/>
                <w:bCs/>
                <w:color w:val="000000"/>
                <w:szCs w:val="18"/>
              </w:rPr>
              <w:t xml:space="preserve">When patient test results </w:t>
            </w:r>
            <w:r w:rsidR="00D95812" w:rsidRPr="00CA7FBC">
              <w:rPr>
                <w:rFonts w:cs="Arial"/>
                <w:bCs/>
                <w:color w:val="000000"/>
                <w:szCs w:val="18"/>
              </w:rPr>
              <w:t xml:space="preserve">are sent to VBECS and multiple orders </w:t>
            </w:r>
            <w:r w:rsidR="00D95812">
              <w:rPr>
                <w:rFonts w:cs="Arial"/>
                <w:bCs/>
                <w:color w:val="000000"/>
                <w:szCs w:val="18"/>
              </w:rPr>
              <w:t xml:space="preserve">exist </w:t>
            </w:r>
            <w:r w:rsidR="00D95812" w:rsidRPr="00CA7FBC">
              <w:rPr>
                <w:rFonts w:cs="Arial"/>
                <w:bCs/>
                <w:color w:val="000000"/>
                <w:szCs w:val="18"/>
              </w:rPr>
              <w:t xml:space="preserve">for the same test type </w:t>
            </w:r>
            <w:r w:rsidR="00D95812">
              <w:rPr>
                <w:rFonts w:cs="Arial"/>
                <w:bCs/>
                <w:color w:val="000000"/>
                <w:szCs w:val="18"/>
              </w:rPr>
              <w:t>and</w:t>
            </w:r>
            <w:r w:rsidR="00D95812" w:rsidRPr="00CA7FBC">
              <w:rPr>
                <w:rFonts w:cs="Arial"/>
                <w:bCs/>
                <w:color w:val="000000"/>
                <w:szCs w:val="18"/>
              </w:rPr>
              <w:t xml:space="preserve"> the same specimen UID on the VBECS P</w:t>
            </w:r>
            <w:r w:rsidR="00D95812">
              <w:rPr>
                <w:rFonts w:cs="Arial"/>
                <w:bCs/>
                <w:color w:val="000000"/>
                <w:szCs w:val="18"/>
              </w:rPr>
              <w:t>TL</w:t>
            </w:r>
            <w:r w:rsidR="00D95812" w:rsidRPr="00CA7FBC">
              <w:rPr>
                <w:rFonts w:cs="Arial"/>
                <w:bCs/>
                <w:color w:val="000000"/>
                <w:szCs w:val="18"/>
              </w:rPr>
              <w:t>, the message is rejected.</w:t>
            </w:r>
            <w:r w:rsidR="00D95812">
              <w:rPr>
                <w:rFonts w:cs="Arial"/>
                <w:bCs/>
                <w:color w:val="000000"/>
                <w:szCs w:val="18"/>
              </w:rPr>
              <w:t xml:space="preserve"> </w:t>
            </w:r>
            <w:r w:rsidR="00D95812" w:rsidRPr="00CA7FBC">
              <w:rPr>
                <w:rFonts w:cs="Arial"/>
                <w:bCs/>
                <w:color w:val="000000"/>
                <w:szCs w:val="18"/>
              </w:rPr>
              <w:t xml:space="preserve">For example: </w:t>
            </w:r>
            <w:r w:rsidR="00D95812">
              <w:rPr>
                <w:rFonts w:cs="Arial"/>
                <w:bCs/>
                <w:color w:val="000000"/>
                <w:szCs w:val="18"/>
              </w:rPr>
              <w:t>When</w:t>
            </w:r>
            <w:r w:rsidR="00D95812" w:rsidRPr="00CA7FBC">
              <w:rPr>
                <w:rFonts w:cs="Arial"/>
                <w:bCs/>
                <w:color w:val="000000"/>
                <w:szCs w:val="18"/>
              </w:rPr>
              <w:t xml:space="preserve"> ABS </w:t>
            </w:r>
            <w:r w:rsidR="00D95812">
              <w:rPr>
                <w:rFonts w:cs="Arial"/>
                <w:bCs/>
                <w:color w:val="000000"/>
                <w:szCs w:val="18"/>
              </w:rPr>
              <w:t xml:space="preserve">test results </w:t>
            </w:r>
            <w:r w:rsidR="00D95812" w:rsidRPr="00CA7FBC">
              <w:rPr>
                <w:rFonts w:cs="Arial"/>
                <w:bCs/>
                <w:color w:val="000000"/>
                <w:szCs w:val="18"/>
              </w:rPr>
              <w:t xml:space="preserve">and Repeat ABS </w:t>
            </w:r>
            <w:r w:rsidR="00D95812">
              <w:rPr>
                <w:rFonts w:cs="Arial"/>
                <w:bCs/>
                <w:color w:val="000000"/>
                <w:szCs w:val="18"/>
              </w:rPr>
              <w:t>test results for the same speci</w:t>
            </w:r>
            <w:r w:rsidR="00D95812" w:rsidRPr="00CA7FBC">
              <w:rPr>
                <w:rFonts w:cs="Arial"/>
                <w:bCs/>
                <w:color w:val="000000"/>
                <w:szCs w:val="18"/>
              </w:rPr>
              <w:t>men UID</w:t>
            </w:r>
            <w:r w:rsidR="00D95812">
              <w:rPr>
                <w:rFonts w:cs="Arial"/>
                <w:bCs/>
                <w:color w:val="000000"/>
                <w:szCs w:val="18"/>
              </w:rPr>
              <w:t xml:space="preserve"> are sent to VBECS at the same time</w:t>
            </w:r>
            <w:r w:rsidR="00D95812" w:rsidRPr="00CA7FBC">
              <w:rPr>
                <w:rFonts w:cs="Arial"/>
                <w:bCs/>
                <w:color w:val="000000"/>
                <w:szCs w:val="18"/>
              </w:rPr>
              <w:t xml:space="preserve">, </w:t>
            </w:r>
            <w:r w:rsidR="00D95812">
              <w:rPr>
                <w:rFonts w:cs="Arial"/>
                <w:bCs/>
                <w:color w:val="000000"/>
                <w:szCs w:val="18"/>
              </w:rPr>
              <w:t>because the Automated Instrument does not indicate which test is primary and which test is reflex, the message must be rejected.</w:t>
            </w:r>
          </w:p>
          <w:p w14:paraId="75FA9803" w14:textId="77777777" w:rsidR="00D95812" w:rsidRDefault="00D95812" w:rsidP="00D95812">
            <w:pPr>
              <w:pStyle w:val="NotesText"/>
              <w:rPr>
                <w:rFonts w:cs="Arial"/>
                <w:bCs/>
                <w:color w:val="000000"/>
                <w:szCs w:val="18"/>
              </w:rPr>
            </w:pPr>
          </w:p>
          <w:p w14:paraId="29A69677" w14:textId="77777777" w:rsidR="00D95812" w:rsidRDefault="00F27904" w:rsidP="00D95812">
            <w:pPr>
              <w:pStyle w:val="NotesText"/>
              <w:rPr>
                <w:rFonts w:cs="Arial"/>
                <w:szCs w:val="18"/>
              </w:rPr>
            </w:pPr>
            <w:r w:rsidRPr="00DC70D1">
              <w:rPr>
                <w:rFonts w:cs="Arial"/>
                <w:vanish/>
                <w:szCs w:val="18"/>
              </w:rPr>
              <w:t xml:space="preserve">BR_114.08 </w:t>
            </w:r>
            <w:r w:rsidR="00D95812">
              <w:rPr>
                <w:rFonts w:cs="Arial"/>
                <w:szCs w:val="18"/>
              </w:rPr>
              <w:t>When the</w:t>
            </w:r>
            <w:r w:rsidR="00D95812" w:rsidRPr="00F61FA8">
              <w:rPr>
                <w:rFonts w:cs="Arial"/>
                <w:szCs w:val="18"/>
              </w:rPr>
              <w:t xml:space="preserve"> </w:t>
            </w:r>
            <w:r w:rsidR="006E3236">
              <w:rPr>
                <w:rFonts w:cs="Arial"/>
                <w:szCs w:val="18"/>
              </w:rPr>
              <w:t>testing instrument for the patient</w:t>
            </w:r>
            <w:r w:rsidR="00D95812" w:rsidRPr="00F61FA8">
              <w:rPr>
                <w:rFonts w:cs="Arial"/>
                <w:szCs w:val="18"/>
              </w:rPr>
              <w:t xml:space="preserve"> ABO/Rh message contains results for Anti-D1 and Anti-D2 which do not conflict (both are positive or both are negative), </w:t>
            </w:r>
            <w:r w:rsidR="003350E0">
              <w:rPr>
                <w:rFonts w:cs="Arial"/>
                <w:szCs w:val="18"/>
              </w:rPr>
              <w:t xml:space="preserve">the </w:t>
            </w:r>
            <w:r w:rsidR="00D95812" w:rsidRPr="00F61FA8">
              <w:rPr>
                <w:rFonts w:cs="Arial"/>
                <w:szCs w:val="18"/>
              </w:rPr>
              <w:t xml:space="preserve">Anti-D1 </w:t>
            </w:r>
            <w:r w:rsidR="003350E0">
              <w:rPr>
                <w:rFonts w:cs="Arial"/>
                <w:szCs w:val="18"/>
              </w:rPr>
              <w:t>result</w:t>
            </w:r>
            <w:r w:rsidR="00D95812" w:rsidRPr="00F61FA8">
              <w:rPr>
                <w:rFonts w:cs="Arial"/>
                <w:szCs w:val="18"/>
              </w:rPr>
              <w:t xml:space="preserve"> will be stored in VBECS</w:t>
            </w:r>
            <w:r w:rsidR="00D95812">
              <w:rPr>
                <w:rFonts w:cs="Arial"/>
                <w:szCs w:val="18"/>
              </w:rPr>
              <w:t>.</w:t>
            </w:r>
          </w:p>
          <w:p w14:paraId="76E711F1" w14:textId="77777777" w:rsidR="00D95812" w:rsidRDefault="00D95812" w:rsidP="00D95812">
            <w:pPr>
              <w:pStyle w:val="NotesText"/>
              <w:rPr>
                <w:rFonts w:cs="Arial"/>
                <w:szCs w:val="18"/>
              </w:rPr>
            </w:pPr>
          </w:p>
          <w:p w14:paraId="19A84C08" w14:textId="77777777" w:rsidR="00D95812" w:rsidRDefault="006E3236" w:rsidP="00D95812">
            <w:pPr>
              <w:pStyle w:val="NotesText"/>
              <w:rPr>
                <w:rFonts w:cs="Arial"/>
                <w:szCs w:val="18"/>
              </w:rPr>
            </w:pPr>
            <w:r>
              <w:rPr>
                <w:rFonts w:cs="Arial"/>
                <w:szCs w:val="18"/>
              </w:rPr>
              <w:t>When the</w:t>
            </w:r>
            <w:r w:rsidRPr="00F61FA8">
              <w:rPr>
                <w:rFonts w:cs="Arial"/>
                <w:szCs w:val="18"/>
              </w:rPr>
              <w:t xml:space="preserve"> </w:t>
            </w:r>
            <w:r>
              <w:rPr>
                <w:rFonts w:cs="Arial"/>
                <w:szCs w:val="18"/>
              </w:rPr>
              <w:t>testing instrument for the patient</w:t>
            </w:r>
            <w:r w:rsidR="00B5630B">
              <w:rPr>
                <w:rFonts w:cs="Arial"/>
                <w:szCs w:val="18"/>
              </w:rPr>
              <w:t xml:space="preserve"> </w:t>
            </w:r>
            <w:r w:rsidR="00B5630B" w:rsidRPr="00F61FA8">
              <w:rPr>
                <w:rFonts w:cs="Arial"/>
                <w:szCs w:val="18"/>
              </w:rPr>
              <w:t>ABO/Rh message contains conflicting results for Anti-D1 and Anti-D2 (one is positive and the othe</w:t>
            </w:r>
            <w:r w:rsidR="00B5630B">
              <w:rPr>
                <w:rFonts w:cs="Arial"/>
                <w:szCs w:val="18"/>
              </w:rPr>
              <w:t>r negative), the message is</w:t>
            </w:r>
            <w:r w:rsidR="00B5630B" w:rsidRPr="00F61FA8">
              <w:rPr>
                <w:rFonts w:cs="Arial"/>
                <w:szCs w:val="18"/>
              </w:rPr>
              <w:t xml:space="preserve"> rejected</w:t>
            </w:r>
            <w:r w:rsidR="003350E0">
              <w:rPr>
                <w:rFonts w:cs="Arial"/>
                <w:szCs w:val="18"/>
              </w:rPr>
              <w:t xml:space="preserve"> </w:t>
            </w:r>
            <w:r w:rsidR="003350E0">
              <w:t>and results are not available for review</w:t>
            </w:r>
            <w:r w:rsidR="00B5630B" w:rsidRPr="00F61FA8">
              <w:rPr>
                <w:rFonts w:cs="Arial"/>
                <w:szCs w:val="18"/>
              </w:rPr>
              <w:t>.</w:t>
            </w:r>
          </w:p>
          <w:p w14:paraId="68797D96" w14:textId="77777777" w:rsidR="00B5630B" w:rsidRDefault="00B5630B" w:rsidP="00D95812">
            <w:pPr>
              <w:pStyle w:val="NotesText"/>
              <w:rPr>
                <w:rFonts w:cs="Arial"/>
                <w:szCs w:val="18"/>
              </w:rPr>
            </w:pPr>
          </w:p>
          <w:p w14:paraId="17D3C38E" w14:textId="77777777" w:rsidR="00B5630B" w:rsidRDefault="00F27904" w:rsidP="00D95812">
            <w:pPr>
              <w:pStyle w:val="NotesText"/>
              <w:rPr>
                <w:rFonts w:cs="Arial"/>
                <w:szCs w:val="18"/>
              </w:rPr>
            </w:pPr>
            <w:r w:rsidRPr="00DC70D1">
              <w:rPr>
                <w:rFonts w:cs="Arial"/>
                <w:vanish/>
                <w:szCs w:val="18"/>
              </w:rPr>
              <w:t xml:space="preserve">BR_114.05 </w:t>
            </w:r>
            <w:r w:rsidR="00B5630B" w:rsidRPr="00D82F90">
              <w:rPr>
                <w:rFonts w:cs="Arial"/>
                <w:szCs w:val="18"/>
              </w:rPr>
              <w:t xml:space="preserve">The message is </w:t>
            </w:r>
            <w:r w:rsidR="00B5630B">
              <w:rPr>
                <w:rFonts w:cs="Arial"/>
                <w:szCs w:val="18"/>
              </w:rPr>
              <w:t xml:space="preserve">processed by the VBECS system. </w:t>
            </w:r>
            <w:r w:rsidR="00B5630B" w:rsidRPr="00D82F90">
              <w:rPr>
                <w:rFonts w:cs="Arial"/>
                <w:szCs w:val="18"/>
              </w:rPr>
              <w:t>If the message is accept</w:t>
            </w:r>
            <w:r w:rsidR="00B5630B">
              <w:rPr>
                <w:rFonts w:cs="Arial"/>
                <w:szCs w:val="18"/>
              </w:rPr>
              <w:t>ed</w:t>
            </w:r>
            <w:r w:rsidR="00B5630B" w:rsidRPr="00D82F90">
              <w:rPr>
                <w:rFonts w:cs="Arial"/>
                <w:szCs w:val="18"/>
              </w:rPr>
              <w:t xml:space="preserve"> (per the approved HL7 message profile specification), a success reply is sent; otherwise, a rejection reply is sent to the broadcasting application</w:t>
            </w:r>
            <w:r w:rsidR="003350E0">
              <w:rPr>
                <w:rFonts w:cs="Arial"/>
                <w:szCs w:val="18"/>
              </w:rPr>
              <w:t xml:space="preserve"> </w:t>
            </w:r>
            <w:r w:rsidR="003350E0">
              <w:t>and results are not available for review</w:t>
            </w:r>
            <w:r w:rsidR="00B5630B">
              <w:rPr>
                <w:rFonts w:cs="Arial"/>
                <w:szCs w:val="18"/>
              </w:rPr>
              <w:t>.</w:t>
            </w:r>
          </w:p>
          <w:p w14:paraId="3201CCD1" w14:textId="77777777" w:rsidR="00B5630B" w:rsidRDefault="00B5630B" w:rsidP="00D95812">
            <w:pPr>
              <w:pStyle w:val="NotesText"/>
              <w:rPr>
                <w:rFonts w:cs="Arial"/>
                <w:szCs w:val="18"/>
              </w:rPr>
            </w:pPr>
          </w:p>
          <w:p w14:paraId="0A1B4A8A" w14:textId="77777777" w:rsidR="00B5630B" w:rsidRDefault="00F27904" w:rsidP="00B5630B">
            <w:pPr>
              <w:ind w:left="720"/>
              <w:rPr>
                <w:rFonts w:ascii="Arial" w:hAnsi="Arial" w:cs="Arial"/>
                <w:sz w:val="18"/>
                <w:szCs w:val="18"/>
              </w:rPr>
            </w:pPr>
            <w:r w:rsidRPr="00DC70D1">
              <w:rPr>
                <w:rFonts w:ascii="Arial" w:hAnsi="Arial" w:cs="Arial"/>
                <w:vanish/>
                <w:sz w:val="18"/>
                <w:szCs w:val="18"/>
              </w:rPr>
              <w:t xml:space="preserve">BR_114.06 </w:t>
            </w:r>
            <w:r w:rsidR="00B5630B">
              <w:rPr>
                <w:rFonts w:ascii="Arial" w:hAnsi="Arial" w:cs="Arial"/>
                <w:sz w:val="18"/>
                <w:szCs w:val="18"/>
              </w:rPr>
              <w:t>The system associa</w:t>
            </w:r>
            <w:r w:rsidR="006E3236">
              <w:rPr>
                <w:rFonts w:ascii="Arial" w:hAnsi="Arial" w:cs="Arial"/>
                <w:sz w:val="18"/>
                <w:szCs w:val="18"/>
              </w:rPr>
              <w:t xml:space="preserve">tes </w:t>
            </w:r>
            <w:r w:rsidR="00B5630B">
              <w:rPr>
                <w:rFonts w:ascii="Arial" w:hAnsi="Arial" w:cs="Arial"/>
                <w:sz w:val="18"/>
                <w:szCs w:val="18"/>
              </w:rPr>
              <w:t>inte</w:t>
            </w:r>
            <w:r w:rsidR="006E3236">
              <w:rPr>
                <w:rFonts w:ascii="Arial" w:hAnsi="Arial" w:cs="Arial"/>
                <w:sz w:val="18"/>
                <w:szCs w:val="18"/>
              </w:rPr>
              <w:t xml:space="preserve">rpretation with </w:t>
            </w:r>
            <w:r w:rsidR="00B5630B">
              <w:rPr>
                <w:rFonts w:ascii="Arial" w:hAnsi="Arial" w:cs="Arial"/>
                <w:sz w:val="18"/>
                <w:szCs w:val="18"/>
              </w:rPr>
              <w:t>test results received from an Automated Instrument as follows:</w:t>
            </w:r>
          </w:p>
          <w:p w14:paraId="54075717" w14:textId="77777777" w:rsidR="00B5630B" w:rsidRPr="00B5630B" w:rsidRDefault="00B5630B" w:rsidP="00925CAD">
            <w:pPr>
              <w:numPr>
                <w:ilvl w:val="0"/>
                <w:numId w:val="45"/>
              </w:numPr>
              <w:rPr>
                <w:rFonts w:ascii="Arial" w:hAnsi="Arial" w:cs="Arial"/>
                <w:sz w:val="18"/>
                <w:szCs w:val="18"/>
              </w:rPr>
            </w:pPr>
            <w:r w:rsidRPr="00B5630B">
              <w:rPr>
                <w:rFonts w:ascii="Arial" w:hAnsi="Arial"/>
                <w:sz w:val="18"/>
              </w:rPr>
              <w:t>1 is a Positive</w:t>
            </w:r>
          </w:p>
          <w:p w14:paraId="38A4E7B8" w14:textId="77777777" w:rsidR="00B5630B" w:rsidRPr="00B5630B" w:rsidRDefault="00B5630B" w:rsidP="00925CAD">
            <w:pPr>
              <w:numPr>
                <w:ilvl w:val="0"/>
                <w:numId w:val="45"/>
              </w:numPr>
              <w:rPr>
                <w:rFonts w:ascii="Arial" w:hAnsi="Arial" w:cs="Arial"/>
                <w:sz w:val="18"/>
                <w:szCs w:val="18"/>
              </w:rPr>
            </w:pPr>
            <w:r>
              <w:rPr>
                <w:rFonts w:ascii="Arial" w:hAnsi="Arial"/>
                <w:sz w:val="18"/>
              </w:rPr>
              <w:t>2 is a Positive</w:t>
            </w:r>
          </w:p>
          <w:p w14:paraId="295A59EF" w14:textId="77777777" w:rsidR="00B5630B" w:rsidRPr="00B5630B" w:rsidRDefault="00B5630B" w:rsidP="00925CAD">
            <w:pPr>
              <w:numPr>
                <w:ilvl w:val="0"/>
                <w:numId w:val="45"/>
              </w:numPr>
              <w:rPr>
                <w:rFonts w:ascii="Arial" w:hAnsi="Arial" w:cs="Arial"/>
                <w:sz w:val="18"/>
                <w:szCs w:val="18"/>
              </w:rPr>
            </w:pPr>
            <w:r>
              <w:rPr>
                <w:rFonts w:ascii="Arial" w:hAnsi="Arial"/>
                <w:sz w:val="18"/>
              </w:rPr>
              <w:t>3 is a Positive</w:t>
            </w:r>
          </w:p>
          <w:p w14:paraId="0A38E25F" w14:textId="77777777" w:rsidR="00B5630B" w:rsidRPr="00B5630B" w:rsidRDefault="00B5630B" w:rsidP="00925CAD">
            <w:pPr>
              <w:numPr>
                <w:ilvl w:val="0"/>
                <w:numId w:val="45"/>
              </w:numPr>
              <w:rPr>
                <w:rFonts w:ascii="Arial" w:hAnsi="Arial" w:cs="Arial"/>
                <w:sz w:val="18"/>
                <w:szCs w:val="18"/>
              </w:rPr>
            </w:pPr>
            <w:r>
              <w:rPr>
                <w:rFonts w:ascii="Arial" w:hAnsi="Arial"/>
                <w:sz w:val="18"/>
              </w:rPr>
              <w:t>4 is a Positive</w:t>
            </w:r>
          </w:p>
          <w:p w14:paraId="435100FF" w14:textId="77777777" w:rsidR="00B5630B" w:rsidRPr="005477A8" w:rsidRDefault="00B5630B" w:rsidP="00925CAD">
            <w:pPr>
              <w:numPr>
                <w:ilvl w:val="0"/>
                <w:numId w:val="45"/>
              </w:numPr>
              <w:rPr>
                <w:rFonts w:ascii="Arial" w:hAnsi="Arial" w:cs="Arial"/>
                <w:sz w:val="18"/>
                <w:szCs w:val="18"/>
              </w:rPr>
            </w:pPr>
            <w:r>
              <w:rPr>
                <w:rFonts w:ascii="Arial" w:hAnsi="Arial"/>
                <w:sz w:val="18"/>
              </w:rPr>
              <w:t>0 is a Negative</w:t>
            </w:r>
          </w:p>
          <w:p w14:paraId="15A0101B" w14:textId="77777777" w:rsidR="00D95812" w:rsidRDefault="00D95812" w:rsidP="00D95812">
            <w:pPr>
              <w:pStyle w:val="TableTextBullet"/>
              <w:numPr>
                <w:ilvl w:val="0"/>
                <w:numId w:val="0"/>
              </w:numPr>
              <w:ind w:left="288" w:hanging="288"/>
            </w:pPr>
          </w:p>
          <w:p w14:paraId="0D583BF5" w14:textId="0746991F" w:rsidR="00863F6D" w:rsidRPr="004831F9" w:rsidRDefault="00D5538E" w:rsidP="00863F6D">
            <w:pPr>
              <w:ind w:left="720"/>
              <w:rPr>
                <w:rFonts w:ascii="Arial" w:hAnsi="Arial" w:cs="Arial"/>
                <w:sz w:val="18"/>
                <w:szCs w:val="18"/>
              </w:rPr>
            </w:pPr>
            <w:r w:rsidRPr="004831F9">
              <w:rPr>
                <w:rFonts w:ascii="Arial" w:hAnsi="Arial" w:cs="Arial"/>
                <w:sz w:val="18"/>
                <w:szCs w:val="18"/>
              </w:rPr>
              <w:t>Se</w:t>
            </w:r>
            <w:r w:rsidR="00C931C4" w:rsidRPr="004831F9">
              <w:rPr>
                <w:rFonts w:ascii="Arial" w:hAnsi="Arial" w:cs="Arial"/>
                <w:sz w:val="18"/>
                <w:szCs w:val="18"/>
              </w:rPr>
              <w:t>e</w:t>
            </w:r>
            <w:r w:rsidR="004831F9" w:rsidRPr="004831F9">
              <w:rPr>
                <w:rFonts w:ascii="Arial" w:hAnsi="Arial" w:cs="Arial"/>
                <w:sz w:val="18"/>
                <w:szCs w:val="18"/>
              </w:rPr>
              <w:t xml:space="preserve"> </w:t>
            </w:r>
            <w:r w:rsidR="00EE455E" w:rsidRPr="00EE455E">
              <w:rPr>
                <w:rFonts w:ascii="Arial" w:hAnsi="Arial" w:cs="Arial"/>
                <w:sz w:val="18"/>
                <w:szCs w:val="18"/>
              </w:rPr>
              <w:t xml:space="preserve">Table </w:t>
            </w:r>
            <w:r w:rsidR="00EE455E" w:rsidRPr="00EE455E">
              <w:rPr>
                <w:rFonts w:ascii="Arial" w:hAnsi="Arial" w:cs="Arial"/>
                <w:noProof/>
                <w:sz w:val="18"/>
                <w:szCs w:val="18"/>
              </w:rPr>
              <w:t>13</w:t>
            </w:r>
            <w:r w:rsidR="00EE455E" w:rsidRPr="00EE455E">
              <w:rPr>
                <w:rFonts w:ascii="Arial" w:hAnsi="Arial" w:cs="Arial"/>
                <w:sz w:val="18"/>
                <w:szCs w:val="18"/>
              </w:rPr>
              <w:t>: HL7 Tests Accepted by VBECS</w:t>
            </w:r>
            <w:r w:rsidR="00863F6D" w:rsidRPr="00863F6D">
              <w:rPr>
                <w:rFonts w:ascii="Arial" w:hAnsi="Arial" w:cs="Arial"/>
                <w:sz w:val="18"/>
                <w:szCs w:val="18"/>
              </w:rPr>
              <w:t>.</w:t>
            </w:r>
          </w:p>
          <w:p w14:paraId="38968AA4" w14:textId="1ACDD3D1" w:rsidR="00D5538E" w:rsidRPr="004831F9" w:rsidRDefault="00D5538E" w:rsidP="008964A9">
            <w:pPr>
              <w:ind w:left="720"/>
              <w:rPr>
                <w:rFonts w:ascii="Arial" w:hAnsi="Arial" w:cs="Arial"/>
                <w:sz w:val="18"/>
                <w:szCs w:val="18"/>
              </w:rPr>
            </w:pPr>
          </w:p>
          <w:p w14:paraId="02517D37" w14:textId="77777777" w:rsidR="00D5538E" w:rsidRDefault="00D5538E" w:rsidP="005477A8">
            <w:pPr>
              <w:ind w:left="720"/>
              <w:rPr>
                <w:rFonts w:ascii="Arial" w:hAnsi="Arial" w:cs="Arial"/>
                <w:sz w:val="18"/>
                <w:szCs w:val="18"/>
              </w:rPr>
            </w:pPr>
          </w:p>
          <w:p w14:paraId="0B3D4CF9" w14:textId="77777777" w:rsidR="005477A8" w:rsidRPr="00E85CBB" w:rsidRDefault="00D5538E" w:rsidP="005477A8">
            <w:pPr>
              <w:ind w:left="720"/>
              <w:rPr>
                <w:rFonts w:ascii="Arial" w:hAnsi="Arial" w:cs="Arial"/>
                <w:sz w:val="18"/>
                <w:szCs w:val="18"/>
              </w:rPr>
            </w:pPr>
            <w:r w:rsidRPr="00F47ABD">
              <w:rPr>
                <w:rFonts w:ascii="Arial" w:hAnsi="Arial" w:cs="Arial"/>
                <w:vanish/>
                <w:sz w:val="18"/>
                <w:szCs w:val="18"/>
              </w:rPr>
              <w:t xml:space="preserve">BR_114.09 </w:t>
            </w:r>
            <w:r>
              <w:rPr>
                <w:rFonts w:ascii="Arial" w:hAnsi="Arial" w:cs="Arial"/>
                <w:sz w:val="18"/>
                <w:szCs w:val="18"/>
              </w:rPr>
              <w:t xml:space="preserve">VBECS </w:t>
            </w:r>
            <w:r w:rsidR="005477A8" w:rsidRPr="00E85CBB">
              <w:rPr>
                <w:rFonts w:ascii="Arial" w:hAnsi="Arial" w:cs="Arial"/>
                <w:sz w:val="18"/>
                <w:szCs w:val="18"/>
              </w:rPr>
              <w:t>stores the following information:</w:t>
            </w:r>
          </w:p>
          <w:p w14:paraId="49BEA375" w14:textId="77777777" w:rsidR="005477A8" w:rsidRPr="005477A8" w:rsidRDefault="005477A8" w:rsidP="00925CAD">
            <w:pPr>
              <w:numPr>
                <w:ilvl w:val="0"/>
                <w:numId w:val="45"/>
              </w:numPr>
              <w:rPr>
                <w:rFonts w:ascii="Arial" w:hAnsi="Arial"/>
                <w:sz w:val="18"/>
              </w:rPr>
            </w:pPr>
            <w:r w:rsidRPr="005477A8">
              <w:rPr>
                <w:rFonts w:ascii="Arial" w:hAnsi="Arial"/>
                <w:sz w:val="18"/>
              </w:rPr>
              <w:t>Test Results</w:t>
            </w:r>
          </w:p>
          <w:p w14:paraId="3191966A" w14:textId="77777777" w:rsidR="005477A8" w:rsidRPr="005477A8" w:rsidRDefault="005477A8" w:rsidP="00925CAD">
            <w:pPr>
              <w:numPr>
                <w:ilvl w:val="0"/>
                <w:numId w:val="45"/>
              </w:numPr>
              <w:rPr>
                <w:rFonts w:ascii="Arial" w:hAnsi="Arial"/>
                <w:sz w:val="18"/>
              </w:rPr>
            </w:pPr>
            <w:r w:rsidRPr="005477A8">
              <w:rPr>
                <w:rFonts w:ascii="Arial" w:hAnsi="Arial"/>
                <w:sz w:val="18"/>
              </w:rPr>
              <w:t>Test Interpretations</w:t>
            </w:r>
          </w:p>
          <w:p w14:paraId="39441FAC" w14:textId="77777777" w:rsidR="005477A8" w:rsidRPr="005477A8" w:rsidRDefault="005477A8" w:rsidP="00925CAD">
            <w:pPr>
              <w:numPr>
                <w:ilvl w:val="0"/>
                <w:numId w:val="45"/>
              </w:numPr>
              <w:rPr>
                <w:rFonts w:ascii="Arial" w:hAnsi="Arial"/>
                <w:sz w:val="18"/>
              </w:rPr>
            </w:pPr>
            <w:r w:rsidRPr="005477A8">
              <w:rPr>
                <w:rFonts w:ascii="Arial" w:hAnsi="Arial"/>
                <w:sz w:val="18"/>
              </w:rPr>
              <w:t>Testing Tech ID</w:t>
            </w:r>
          </w:p>
          <w:p w14:paraId="057FE80C" w14:textId="77777777" w:rsidR="005477A8" w:rsidRPr="005477A8" w:rsidRDefault="005477A8" w:rsidP="00925CAD">
            <w:pPr>
              <w:numPr>
                <w:ilvl w:val="0"/>
                <w:numId w:val="45"/>
              </w:numPr>
              <w:rPr>
                <w:rFonts w:ascii="Arial" w:hAnsi="Arial"/>
                <w:sz w:val="18"/>
              </w:rPr>
            </w:pPr>
            <w:r w:rsidRPr="005477A8">
              <w:rPr>
                <w:rFonts w:ascii="Arial" w:hAnsi="Arial"/>
                <w:sz w:val="18"/>
              </w:rPr>
              <w:t>Automated Instrument identifier</w:t>
            </w:r>
          </w:p>
          <w:p w14:paraId="16F5D0AE" w14:textId="77777777" w:rsidR="005477A8" w:rsidRPr="005477A8" w:rsidRDefault="005477A8" w:rsidP="00925CAD">
            <w:pPr>
              <w:numPr>
                <w:ilvl w:val="0"/>
                <w:numId w:val="45"/>
              </w:numPr>
              <w:rPr>
                <w:rFonts w:ascii="Arial" w:hAnsi="Arial"/>
                <w:sz w:val="18"/>
              </w:rPr>
            </w:pPr>
            <w:r w:rsidRPr="005477A8">
              <w:rPr>
                <w:rFonts w:ascii="Arial" w:hAnsi="Arial"/>
                <w:sz w:val="18"/>
              </w:rPr>
              <w:t>Date and Time Tested</w:t>
            </w:r>
          </w:p>
          <w:p w14:paraId="6F535F27" w14:textId="77777777" w:rsidR="005477A8" w:rsidRPr="005477A8" w:rsidRDefault="005477A8" w:rsidP="00925CAD">
            <w:pPr>
              <w:numPr>
                <w:ilvl w:val="0"/>
                <w:numId w:val="45"/>
              </w:numPr>
              <w:rPr>
                <w:rFonts w:ascii="Arial" w:hAnsi="Arial"/>
                <w:sz w:val="18"/>
              </w:rPr>
            </w:pPr>
            <w:r w:rsidRPr="005477A8">
              <w:rPr>
                <w:rFonts w:ascii="Arial" w:hAnsi="Arial"/>
                <w:sz w:val="18"/>
              </w:rPr>
              <w:t>Automated Instrument Test Comments</w:t>
            </w:r>
          </w:p>
          <w:p w14:paraId="6C7640FE" w14:textId="77777777" w:rsidR="005477A8" w:rsidRDefault="005477A8" w:rsidP="005477A8">
            <w:pPr>
              <w:pStyle w:val="TableTextBullet"/>
              <w:numPr>
                <w:ilvl w:val="0"/>
                <w:numId w:val="0"/>
              </w:numPr>
              <w:ind w:left="288" w:hanging="288"/>
            </w:pPr>
          </w:p>
        </w:tc>
      </w:tr>
      <w:tr w:rsidR="00B45FA2" w14:paraId="3A453B54" w14:textId="77777777" w:rsidTr="003F6E8A">
        <w:tc>
          <w:tcPr>
            <w:tcW w:w="3240" w:type="dxa"/>
          </w:tcPr>
          <w:p w14:paraId="4649B3E5" w14:textId="77777777" w:rsidR="00B45FA2" w:rsidRDefault="005477A8" w:rsidP="005477A8">
            <w:pPr>
              <w:pStyle w:val="TableTextNumbers"/>
            </w:pPr>
            <w:r>
              <w:t xml:space="preserve">The </w:t>
            </w:r>
            <w:r w:rsidR="00D5538E">
              <w:t>user logs into VBECS to review and approve messages.</w:t>
            </w:r>
          </w:p>
          <w:p w14:paraId="14873ED9" w14:textId="77777777" w:rsidR="00D5538E" w:rsidRDefault="00D5538E" w:rsidP="00D5538E">
            <w:pPr>
              <w:pStyle w:val="TableTextNumbers"/>
              <w:numPr>
                <w:ilvl w:val="0"/>
                <w:numId w:val="0"/>
              </w:numPr>
              <w:ind w:left="288" w:hanging="288"/>
            </w:pPr>
          </w:p>
          <w:p w14:paraId="2382B877" w14:textId="77777777" w:rsidR="00D5538E" w:rsidRDefault="00D5538E" w:rsidP="00D279DE">
            <w:pPr>
              <w:pStyle w:val="TableTextNumbers"/>
              <w:numPr>
                <w:ilvl w:val="0"/>
                <w:numId w:val="0"/>
              </w:numPr>
              <w:ind w:left="288"/>
            </w:pPr>
            <w:r>
              <w:t xml:space="preserve">Refer to Automated Testing </w:t>
            </w:r>
            <w:r w:rsidR="002A4CB4">
              <w:t>Review for</w:t>
            </w:r>
            <w:r w:rsidR="007B52EA">
              <w:t xml:space="preserve"> Blood Units or Automated T</w:t>
            </w:r>
            <w:r w:rsidR="002275D4">
              <w:t>esting Review for Patient</w:t>
            </w:r>
            <w:r w:rsidR="007B52EA">
              <w:t>s</w:t>
            </w:r>
            <w:r>
              <w:t>.</w:t>
            </w:r>
          </w:p>
          <w:p w14:paraId="68EB7875" w14:textId="77777777" w:rsidR="007160AE" w:rsidRDefault="007160AE" w:rsidP="007B52EA">
            <w:pPr>
              <w:pStyle w:val="TableTextNumbers"/>
              <w:numPr>
                <w:ilvl w:val="0"/>
                <w:numId w:val="0"/>
              </w:numPr>
              <w:ind w:left="288" w:hanging="288"/>
            </w:pPr>
          </w:p>
        </w:tc>
        <w:tc>
          <w:tcPr>
            <w:tcW w:w="6120" w:type="dxa"/>
          </w:tcPr>
          <w:p w14:paraId="2C79086E" w14:textId="77777777" w:rsidR="00B45FA2" w:rsidRDefault="00B45FA2" w:rsidP="005477A8">
            <w:pPr>
              <w:pStyle w:val="TableTextBullet"/>
              <w:numPr>
                <w:ilvl w:val="0"/>
                <w:numId w:val="0"/>
              </w:numPr>
            </w:pPr>
          </w:p>
        </w:tc>
      </w:tr>
    </w:tbl>
    <w:p w14:paraId="002A80FF" w14:textId="77777777" w:rsidR="00486D34" w:rsidRDefault="00486D34">
      <w:pPr>
        <w:rPr>
          <w:b/>
          <w:sz w:val="22"/>
          <w:szCs w:val="22"/>
        </w:rPr>
      </w:pPr>
      <w:bookmarkStart w:id="521" w:name="_Ref446932282"/>
      <w:r>
        <w:br w:type="page"/>
      </w:r>
    </w:p>
    <w:p w14:paraId="1AB1C571" w14:textId="053AAEC1" w:rsidR="008964A9" w:rsidRPr="008964A9" w:rsidRDefault="008964A9" w:rsidP="008964A9">
      <w:pPr>
        <w:pStyle w:val="Caption"/>
      </w:pPr>
      <w:bookmarkStart w:id="522" w:name="_Ref524693853"/>
      <w:r w:rsidRPr="008964A9">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13</w:t>
      </w:r>
      <w:r w:rsidR="004E20BD">
        <w:rPr>
          <w:noProof/>
        </w:rPr>
        <w:fldChar w:fldCharType="end"/>
      </w:r>
      <w:bookmarkEnd w:id="521"/>
      <w:r w:rsidR="004831F9">
        <w:t>: HL7 Tests Accepted by VBECS</w:t>
      </w:r>
      <w:bookmarkEnd w:id="522"/>
    </w:p>
    <w:p w14:paraId="30F041EA" w14:textId="77777777" w:rsidR="008964A9" w:rsidRPr="008964A9" w:rsidRDefault="008964A9" w:rsidP="008964A9">
      <w:pPr>
        <w:rPr>
          <w:sz w:val="22"/>
          <w:szCs w:val="22"/>
        </w:rPr>
      </w:pPr>
      <w:r w:rsidRPr="008964A9">
        <w:rPr>
          <w:sz w:val="22"/>
          <w:szCs w:val="22"/>
        </w:rPr>
        <w:t>The first result received is considered the primary test. Once the primary test is accepted into VBECS, a second message with the same testing result will fill the repeat test.</w:t>
      </w:r>
    </w:p>
    <w:p w14:paraId="0C1D7AE3" w14:textId="77777777" w:rsidR="008964A9" w:rsidRDefault="008964A9" w:rsidP="008964A9"/>
    <w:tbl>
      <w:tblPr>
        <w:tblW w:w="459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600"/>
      </w:tblGrid>
      <w:tr w:rsidR="008964A9" w:rsidRPr="002800C8" w14:paraId="0E2B37C3" w14:textId="77777777" w:rsidTr="008964A9">
        <w:trPr>
          <w:trHeight w:val="179"/>
        </w:trPr>
        <w:tc>
          <w:tcPr>
            <w:tcW w:w="990" w:type="dxa"/>
            <w:shd w:val="clear" w:color="auto" w:fill="D9D9D9"/>
            <w:vAlign w:val="bottom"/>
          </w:tcPr>
          <w:p w14:paraId="620017E0" w14:textId="77777777" w:rsidR="008964A9" w:rsidRPr="002800C8" w:rsidRDefault="008964A9" w:rsidP="008964A9">
            <w:pPr>
              <w:rPr>
                <w:rFonts w:ascii="Arial" w:hAnsi="Arial" w:cs="Arial"/>
                <w:b/>
                <w:color w:val="000000"/>
                <w:sz w:val="20"/>
              </w:rPr>
            </w:pPr>
            <w:r w:rsidRPr="002800C8">
              <w:rPr>
                <w:rFonts w:ascii="Arial" w:hAnsi="Arial" w:cs="Arial"/>
                <w:b/>
                <w:color w:val="000000"/>
                <w:sz w:val="20"/>
              </w:rPr>
              <w:t>Row ID</w:t>
            </w:r>
          </w:p>
        </w:tc>
        <w:tc>
          <w:tcPr>
            <w:tcW w:w="3600" w:type="dxa"/>
            <w:shd w:val="clear" w:color="auto" w:fill="D9D9D9"/>
            <w:noWrap/>
            <w:vAlign w:val="bottom"/>
          </w:tcPr>
          <w:p w14:paraId="38A0DC2B" w14:textId="77777777" w:rsidR="008964A9" w:rsidRPr="002800C8" w:rsidRDefault="008964A9" w:rsidP="008964A9">
            <w:pPr>
              <w:rPr>
                <w:rFonts w:ascii="Arial" w:hAnsi="Arial" w:cs="Arial"/>
                <w:b/>
                <w:color w:val="000000"/>
                <w:sz w:val="20"/>
              </w:rPr>
            </w:pPr>
            <w:r w:rsidRPr="002800C8">
              <w:rPr>
                <w:rFonts w:ascii="Arial" w:hAnsi="Arial" w:cs="Arial"/>
                <w:b/>
                <w:color w:val="000000"/>
                <w:sz w:val="20"/>
              </w:rPr>
              <w:t>Tests</w:t>
            </w:r>
          </w:p>
        </w:tc>
      </w:tr>
      <w:tr w:rsidR="008964A9" w:rsidRPr="00490D9B" w14:paraId="2BCCC1B8" w14:textId="77777777" w:rsidTr="008964A9">
        <w:trPr>
          <w:trHeight w:val="259"/>
        </w:trPr>
        <w:tc>
          <w:tcPr>
            <w:tcW w:w="990" w:type="dxa"/>
            <w:vAlign w:val="center"/>
          </w:tcPr>
          <w:p w14:paraId="2B06FB06"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w:t>
            </w:r>
          </w:p>
        </w:tc>
        <w:tc>
          <w:tcPr>
            <w:tcW w:w="3600" w:type="dxa"/>
            <w:shd w:val="clear" w:color="auto" w:fill="auto"/>
            <w:noWrap/>
            <w:vAlign w:val="bottom"/>
            <w:hideMark/>
          </w:tcPr>
          <w:p w14:paraId="45D8DE16"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Type and Screen (TAS)</w:t>
            </w:r>
          </w:p>
        </w:tc>
      </w:tr>
      <w:tr w:rsidR="008964A9" w:rsidRPr="00490D9B" w14:paraId="6FBC5362" w14:textId="77777777" w:rsidTr="008964A9">
        <w:trPr>
          <w:trHeight w:val="259"/>
        </w:trPr>
        <w:tc>
          <w:tcPr>
            <w:tcW w:w="990" w:type="dxa"/>
            <w:vAlign w:val="center"/>
          </w:tcPr>
          <w:p w14:paraId="69306D82"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2.</w:t>
            </w:r>
          </w:p>
        </w:tc>
        <w:tc>
          <w:tcPr>
            <w:tcW w:w="3600" w:type="dxa"/>
            <w:shd w:val="clear" w:color="auto" w:fill="auto"/>
            <w:noWrap/>
            <w:vAlign w:val="bottom"/>
            <w:hideMark/>
          </w:tcPr>
          <w:p w14:paraId="01E600E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ABO/Rh</w:t>
            </w:r>
          </w:p>
        </w:tc>
      </w:tr>
      <w:tr w:rsidR="008964A9" w:rsidRPr="00490D9B" w14:paraId="159D035D" w14:textId="77777777" w:rsidTr="008964A9">
        <w:trPr>
          <w:trHeight w:val="259"/>
        </w:trPr>
        <w:tc>
          <w:tcPr>
            <w:tcW w:w="990" w:type="dxa"/>
            <w:vAlign w:val="center"/>
          </w:tcPr>
          <w:p w14:paraId="26D7D7C8"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3.</w:t>
            </w:r>
          </w:p>
        </w:tc>
        <w:tc>
          <w:tcPr>
            <w:tcW w:w="3600" w:type="dxa"/>
            <w:shd w:val="clear" w:color="auto" w:fill="auto"/>
            <w:noWrap/>
            <w:vAlign w:val="bottom"/>
            <w:hideMark/>
          </w:tcPr>
          <w:p w14:paraId="417DE3E8"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ABO/Rh</w:t>
            </w:r>
          </w:p>
        </w:tc>
      </w:tr>
      <w:tr w:rsidR="008964A9" w:rsidRPr="00490D9B" w14:paraId="49A59D26" w14:textId="77777777" w:rsidTr="008964A9">
        <w:trPr>
          <w:trHeight w:val="259"/>
        </w:trPr>
        <w:tc>
          <w:tcPr>
            <w:tcW w:w="990" w:type="dxa"/>
            <w:vAlign w:val="center"/>
          </w:tcPr>
          <w:p w14:paraId="4396D695"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4.</w:t>
            </w:r>
          </w:p>
        </w:tc>
        <w:tc>
          <w:tcPr>
            <w:tcW w:w="3600" w:type="dxa"/>
            <w:shd w:val="clear" w:color="auto" w:fill="auto"/>
            <w:noWrap/>
            <w:vAlign w:val="bottom"/>
            <w:hideMark/>
          </w:tcPr>
          <w:p w14:paraId="0CB2FD21"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ABS</w:t>
            </w:r>
          </w:p>
        </w:tc>
      </w:tr>
      <w:tr w:rsidR="008964A9" w:rsidRPr="00490D9B" w14:paraId="243863BE" w14:textId="77777777" w:rsidTr="008964A9">
        <w:trPr>
          <w:trHeight w:val="259"/>
        </w:trPr>
        <w:tc>
          <w:tcPr>
            <w:tcW w:w="990" w:type="dxa"/>
            <w:vAlign w:val="center"/>
          </w:tcPr>
          <w:p w14:paraId="718AA38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5.</w:t>
            </w:r>
          </w:p>
        </w:tc>
        <w:tc>
          <w:tcPr>
            <w:tcW w:w="3600" w:type="dxa"/>
            <w:shd w:val="clear" w:color="auto" w:fill="auto"/>
            <w:noWrap/>
            <w:vAlign w:val="bottom"/>
            <w:hideMark/>
          </w:tcPr>
          <w:p w14:paraId="6EB155E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ABS</w:t>
            </w:r>
          </w:p>
        </w:tc>
      </w:tr>
      <w:tr w:rsidR="008964A9" w:rsidRPr="00490D9B" w14:paraId="66077A3B" w14:textId="77777777" w:rsidTr="008964A9">
        <w:trPr>
          <w:trHeight w:val="259"/>
        </w:trPr>
        <w:tc>
          <w:tcPr>
            <w:tcW w:w="990" w:type="dxa"/>
            <w:vAlign w:val="center"/>
          </w:tcPr>
          <w:p w14:paraId="2257431F"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6.</w:t>
            </w:r>
          </w:p>
        </w:tc>
        <w:tc>
          <w:tcPr>
            <w:tcW w:w="3600" w:type="dxa"/>
            <w:shd w:val="clear" w:color="auto" w:fill="auto"/>
            <w:noWrap/>
            <w:vAlign w:val="bottom"/>
            <w:hideMark/>
          </w:tcPr>
          <w:p w14:paraId="08B6C09A"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AHG DAT</w:t>
            </w:r>
          </w:p>
        </w:tc>
      </w:tr>
      <w:tr w:rsidR="008964A9" w:rsidRPr="00490D9B" w14:paraId="1FAC1D06" w14:textId="77777777" w:rsidTr="008964A9">
        <w:trPr>
          <w:trHeight w:val="259"/>
        </w:trPr>
        <w:tc>
          <w:tcPr>
            <w:tcW w:w="990" w:type="dxa"/>
            <w:vAlign w:val="center"/>
          </w:tcPr>
          <w:p w14:paraId="47E922A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7.</w:t>
            </w:r>
          </w:p>
        </w:tc>
        <w:tc>
          <w:tcPr>
            <w:tcW w:w="3600" w:type="dxa"/>
            <w:shd w:val="clear" w:color="auto" w:fill="auto"/>
            <w:noWrap/>
            <w:vAlign w:val="bottom"/>
            <w:hideMark/>
          </w:tcPr>
          <w:p w14:paraId="55E3CFEA"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AHG DAT</w:t>
            </w:r>
          </w:p>
        </w:tc>
      </w:tr>
      <w:tr w:rsidR="008964A9" w:rsidRPr="00490D9B" w14:paraId="0D6EE69D" w14:textId="77777777" w:rsidTr="008964A9">
        <w:trPr>
          <w:trHeight w:val="259"/>
        </w:trPr>
        <w:tc>
          <w:tcPr>
            <w:tcW w:w="990" w:type="dxa"/>
            <w:vAlign w:val="center"/>
          </w:tcPr>
          <w:p w14:paraId="28E240EE"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8.</w:t>
            </w:r>
          </w:p>
        </w:tc>
        <w:tc>
          <w:tcPr>
            <w:tcW w:w="3600" w:type="dxa"/>
            <w:shd w:val="clear" w:color="auto" w:fill="auto"/>
            <w:noWrap/>
            <w:vAlign w:val="bottom"/>
            <w:hideMark/>
          </w:tcPr>
          <w:p w14:paraId="0AE1A476"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Crossmatch</w:t>
            </w:r>
          </w:p>
        </w:tc>
      </w:tr>
      <w:tr w:rsidR="008964A9" w:rsidRPr="00490D9B" w14:paraId="3FBB00D0" w14:textId="77777777" w:rsidTr="008964A9">
        <w:trPr>
          <w:trHeight w:val="259"/>
        </w:trPr>
        <w:tc>
          <w:tcPr>
            <w:tcW w:w="990" w:type="dxa"/>
            <w:vAlign w:val="center"/>
          </w:tcPr>
          <w:p w14:paraId="7291BACC"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9.</w:t>
            </w:r>
          </w:p>
        </w:tc>
        <w:tc>
          <w:tcPr>
            <w:tcW w:w="3600" w:type="dxa"/>
            <w:shd w:val="clear" w:color="auto" w:fill="auto"/>
            <w:noWrap/>
            <w:vAlign w:val="bottom"/>
            <w:hideMark/>
          </w:tcPr>
          <w:p w14:paraId="5BB812ED"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Crossmatch</w:t>
            </w:r>
          </w:p>
        </w:tc>
      </w:tr>
      <w:tr w:rsidR="008964A9" w:rsidRPr="00490D9B" w14:paraId="4BCF469B" w14:textId="77777777" w:rsidTr="008964A9">
        <w:trPr>
          <w:trHeight w:val="259"/>
        </w:trPr>
        <w:tc>
          <w:tcPr>
            <w:tcW w:w="990" w:type="dxa"/>
            <w:vAlign w:val="center"/>
          </w:tcPr>
          <w:p w14:paraId="041B08E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10.</w:t>
            </w:r>
          </w:p>
        </w:tc>
        <w:tc>
          <w:tcPr>
            <w:tcW w:w="3600" w:type="dxa"/>
            <w:shd w:val="clear" w:color="auto" w:fill="auto"/>
            <w:noWrap/>
            <w:vAlign w:val="bottom"/>
            <w:hideMark/>
          </w:tcPr>
          <w:p w14:paraId="1C322C04"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IgG DAT AHG</w:t>
            </w:r>
          </w:p>
        </w:tc>
      </w:tr>
      <w:tr w:rsidR="008964A9" w:rsidRPr="00490D9B" w14:paraId="201FE1F7" w14:textId="77777777" w:rsidTr="008964A9">
        <w:trPr>
          <w:trHeight w:val="259"/>
        </w:trPr>
        <w:tc>
          <w:tcPr>
            <w:tcW w:w="990" w:type="dxa"/>
            <w:vAlign w:val="center"/>
          </w:tcPr>
          <w:p w14:paraId="69D48824"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11.</w:t>
            </w:r>
          </w:p>
        </w:tc>
        <w:tc>
          <w:tcPr>
            <w:tcW w:w="3600" w:type="dxa"/>
            <w:shd w:val="clear" w:color="auto" w:fill="auto"/>
            <w:noWrap/>
            <w:vAlign w:val="bottom"/>
            <w:hideMark/>
          </w:tcPr>
          <w:p w14:paraId="1977B322"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IgG DAT AHG</w:t>
            </w:r>
          </w:p>
        </w:tc>
      </w:tr>
      <w:tr w:rsidR="008964A9" w:rsidRPr="00490D9B" w14:paraId="227542B4" w14:textId="77777777" w:rsidTr="008964A9">
        <w:trPr>
          <w:trHeight w:val="259"/>
        </w:trPr>
        <w:tc>
          <w:tcPr>
            <w:tcW w:w="990" w:type="dxa"/>
            <w:vAlign w:val="center"/>
          </w:tcPr>
          <w:p w14:paraId="022C8691"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12.</w:t>
            </w:r>
          </w:p>
        </w:tc>
        <w:tc>
          <w:tcPr>
            <w:tcW w:w="3600" w:type="dxa"/>
            <w:shd w:val="clear" w:color="auto" w:fill="auto"/>
            <w:noWrap/>
            <w:vAlign w:val="bottom"/>
            <w:hideMark/>
          </w:tcPr>
          <w:p w14:paraId="0133273F"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C3 DAT AHG</w:t>
            </w:r>
          </w:p>
        </w:tc>
      </w:tr>
      <w:tr w:rsidR="008964A9" w:rsidRPr="00490D9B" w14:paraId="76914DD6" w14:textId="77777777" w:rsidTr="008964A9">
        <w:trPr>
          <w:trHeight w:val="259"/>
        </w:trPr>
        <w:tc>
          <w:tcPr>
            <w:tcW w:w="990" w:type="dxa"/>
            <w:vAlign w:val="center"/>
          </w:tcPr>
          <w:p w14:paraId="078CC150"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13.</w:t>
            </w:r>
          </w:p>
        </w:tc>
        <w:tc>
          <w:tcPr>
            <w:tcW w:w="3600" w:type="dxa"/>
            <w:shd w:val="clear" w:color="auto" w:fill="auto"/>
            <w:noWrap/>
            <w:vAlign w:val="bottom"/>
            <w:hideMark/>
          </w:tcPr>
          <w:p w14:paraId="3DE0DD29"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C3 DAT AHG</w:t>
            </w:r>
          </w:p>
        </w:tc>
      </w:tr>
      <w:tr w:rsidR="008964A9" w:rsidRPr="00490D9B" w14:paraId="1AF6FF7D" w14:textId="77777777" w:rsidTr="008964A9">
        <w:trPr>
          <w:trHeight w:val="259"/>
        </w:trPr>
        <w:tc>
          <w:tcPr>
            <w:tcW w:w="990" w:type="dxa"/>
            <w:vAlign w:val="center"/>
          </w:tcPr>
          <w:p w14:paraId="3F640E77"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14.</w:t>
            </w:r>
          </w:p>
        </w:tc>
        <w:tc>
          <w:tcPr>
            <w:tcW w:w="3600" w:type="dxa"/>
            <w:shd w:val="clear" w:color="auto" w:fill="auto"/>
            <w:noWrap/>
            <w:vAlign w:val="bottom"/>
            <w:hideMark/>
          </w:tcPr>
          <w:p w14:paraId="7C8BD1A7"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Patient Antigen Typing</w:t>
            </w:r>
          </w:p>
        </w:tc>
      </w:tr>
      <w:tr w:rsidR="008964A9" w:rsidRPr="00490D9B" w14:paraId="1C149A2B" w14:textId="77777777" w:rsidTr="008964A9">
        <w:trPr>
          <w:trHeight w:val="259"/>
        </w:trPr>
        <w:tc>
          <w:tcPr>
            <w:tcW w:w="990" w:type="dxa"/>
            <w:vAlign w:val="center"/>
          </w:tcPr>
          <w:p w14:paraId="10B40FC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15.</w:t>
            </w:r>
          </w:p>
        </w:tc>
        <w:tc>
          <w:tcPr>
            <w:tcW w:w="3600" w:type="dxa"/>
            <w:shd w:val="clear" w:color="auto" w:fill="auto"/>
            <w:noWrap/>
            <w:vAlign w:val="bottom"/>
            <w:hideMark/>
          </w:tcPr>
          <w:p w14:paraId="66CE86C1"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Repeat Patient Antigen Typing</w:t>
            </w:r>
          </w:p>
        </w:tc>
      </w:tr>
      <w:tr w:rsidR="008964A9" w:rsidRPr="00490D9B" w14:paraId="714DE6C6" w14:textId="77777777" w:rsidTr="008964A9">
        <w:trPr>
          <w:trHeight w:val="259"/>
        </w:trPr>
        <w:tc>
          <w:tcPr>
            <w:tcW w:w="990" w:type="dxa"/>
            <w:vAlign w:val="center"/>
          </w:tcPr>
          <w:p w14:paraId="5D6B275B"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16.</w:t>
            </w:r>
          </w:p>
        </w:tc>
        <w:tc>
          <w:tcPr>
            <w:tcW w:w="3600" w:type="dxa"/>
            <w:shd w:val="clear" w:color="auto" w:fill="auto"/>
            <w:noWrap/>
            <w:vAlign w:val="bottom"/>
            <w:hideMark/>
          </w:tcPr>
          <w:p w14:paraId="72D1AFB0"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Unit ABO/Rh</w:t>
            </w:r>
          </w:p>
        </w:tc>
      </w:tr>
      <w:tr w:rsidR="008964A9" w:rsidRPr="00490D9B" w14:paraId="45B31D80" w14:textId="77777777" w:rsidTr="008964A9">
        <w:trPr>
          <w:trHeight w:val="259"/>
        </w:trPr>
        <w:tc>
          <w:tcPr>
            <w:tcW w:w="990" w:type="dxa"/>
            <w:vAlign w:val="center"/>
          </w:tcPr>
          <w:p w14:paraId="549B333D" w14:textId="77777777" w:rsidR="008964A9" w:rsidRPr="00471AE5" w:rsidRDefault="008964A9" w:rsidP="008964A9">
            <w:pPr>
              <w:jc w:val="center"/>
              <w:rPr>
                <w:rFonts w:ascii="Arial" w:hAnsi="Arial" w:cs="Arial"/>
                <w:color w:val="000000"/>
                <w:sz w:val="18"/>
                <w:szCs w:val="18"/>
              </w:rPr>
            </w:pPr>
            <w:r w:rsidRPr="00471AE5">
              <w:rPr>
                <w:rFonts w:ascii="Arial" w:hAnsi="Arial" w:cs="Arial"/>
                <w:color w:val="000000"/>
                <w:sz w:val="18"/>
                <w:szCs w:val="18"/>
              </w:rPr>
              <w:t>17.</w:t>
            </w:r>
          </w:p>
        </w:tc>
        <w:tc>
          <w:tcPr>
            <w:tcW w:w="3600" w:type="dxa"/>
            <w:shd w:val="clear" w:color="auto" w:fill="auto"/>
            <w:noWrap/>
            <w:vAlign w:val="bottom"/>
            <w:hideMark/>
          </w:tcPr>
          <w:p w14:paraId="610987FF" w14:textId="77777777" w:rsidR="008964A9" w:rsidRPr="00471AE5" w:rsidRDefault="008964A9" w:rsidP="008964A9">
            <w:pPr>
              <w:rPr>
                <w:rFonts w:ascii="Arial" w:hAnsi="Arial" w:cs="Arial"/>
                <w:color w:val="000000"/>
                <w:sz w:val="18"/>
                <w:szCs w:val="18"/>
              </w:rPr>
            </w:pPr>
            <w:r w:rsidRPr="00471AE5">
              <w:rPr>
                <w:rFonts w:ascii="Arial" w:hAnsi="Arial" w:cs="Arial"/>
                <w:color w:val="000000"/>
                <w:sz w:val="18"/>
                <w:szCs w:val="18"/>
              </w:rPr>
              <w:t>Unit Antigen Typing</w:t>
            </w:r>
          </w:p>
        </w:tc>
      </w:tr>
    </w:tbl>
    <w:p w14:paraId="037F8581" w14:textId="77777777" w:rsidR="00B45FA2" w:rsidRDefault="00B45FA2" w:rsidP="007A4841">
      <w:pPr>
        <w:pStyle w:val="Heading2"/>
      </w:pPr>
      <w:r>
        <w:br w:type="page"/>
      </w:r>
      <w:bookmarkStart w:id="523" w:name="_Toc149064175"/>
      <w:r>
        <w:t>Automated Testing Review</w:t>
      </w:r>
      <w:r w:rsidR="00836786">
        <w:t xml:space="preserve"> for Blood Unit</w:t>
      </w:r>
      <w:r w:rsidR="007B52EA">
        <w:t>s</w:t>
      </w:r>
      <w:bookmarkEnd w:id="523"/>
      <w:r w:rsidR="00836786" w:rsidRPr="00836786">
        <w:rPr>
          <w:vanish/>
        </w:rPr>
        <w:t>{ XE “Automated Testing Review f</w:t>
      </w:r>
      <w:r w:rsidR="00BE554D" w:rsidRPr="00836786">
        <w:rPr>
          <w:vanish/>
        </w:rPr>
        <w:t xml:space="preserve">or </w:t>
      </w:r>
      <w:r w:rsidR="00F130A1" w:rsidRPr="00836786">
        <w:rPr>
          <w:vanish/>
        </w:rPr>
        <w:t>Blood Unit ABO/Rh</w:t>
      </w:r>
      <w:r w:rsidR="00836786" w:rsidRPr="00836786">
        <w:rPr>
          <w:vanish/>
        </w:rPr>
        <w:t>” }</w:t>
      </w:r>
      <w:r w:rsidRPr="00836786">
        <w:rPr>
          <w:rFonts w:ascii="Times New Roman" w:hAnsi="Times New Roman" w:cs="Times New Roman"/>
          <w:b w:val="0"/>
          <w:i w:val="0"/>
          <w:vanish/>
          <w:sz w:val="22"/>
        </w:rPr>
        <w:t>UC_115</w:t>
      </w:r>
    </w:p>
    <w:p w14:paraId="4E315CB6" w14:textId="7EF7C50C" w:rsidR="00D23C29" w:rsidRDefault="00D23C29" w:rsidP="00B45FA2">
      <w:pPr>
        <w:pStyle w:val="Heading4"/>
        <w:rPr>
          <w:rFonts w:ascii="Times New Roman" w:hAnsi="Times New Roman"/>
          <w:b w:val="0"/>
          <w:spacing w:val="-5"/>
          <w:szCs w:val="22"/>
        </w:rPr>
      </w:pPr>
      <w:r>
        <w:rPr>
          <w:rFonts w:ascii="Times New Roman" w:hAnsi="Times New Roman"/>
          <w:b w:val="0"/>
          <w:spacing w:val="-5"/>
          <w:szCs w:val="22"/>
        </w:rPr>
        <w:t>A</w:t>
      </w:r>
      <w:r w:rsidRPr="00D23C29">
        <w:rPr>
          <w:rFonts w:ascii="Times New Roman" w:hAnsi="Times New Roman"/>
          <w:b w:val="0"/>
          <w:spacing w:val="-5"/>
          <w:szCs w:val="22"/>
        </w:rPr>
        <w:t>llow</w:t>
      </w:r>
      <w:r>
        <w:rPr>
          <w:rFonts w:ascii="Times New Roman" w:hAnsi="Times New Roman"/>
          <w:b w:val="0"/>
          <w:spacing w:val="-5"/>
          <w:szCs w:val="22"/>
        </w:rPr>
        <w:t>s</w:t>
      </w:r>
      <w:r w:rsidR="00B80078">
        <w:rPr>
          <w:rFonts w:ascii="Times New Roman" w:hAnsi="Times New Roman"/>
          <w:b w:val="0"/>
          <w:spacing w:val="-5"/>
          <w:szCs w:val="22"/>
        </w:rPr>
        <w:t xml:space="preserve"> the user to review and approve testing results completed on an automated instrument and transmitted </w:t>
      </w:r>
      <w:r w:rsidR="006549B7">
        <w:rPr>
          <w:rFonts w:ascii="Times New Roman" w:hAnsi="Times New Roman"/>
          <w:b w:val="0"/>
          <w:spacing w:val="-5"/>
          <w:szCs w:val="22"/>
        </w:rPr>
        <w:t>to VBECS</w:t>
      </w:r>
      <w:r w:rsidRPr="00D23C29">
        <w:rPr>
          <w:rFonts w:ascii="Times New Roman" w:hAnsi="Times New Roman"/>
          <w:b w:val="0"/>
          <w:spacing w:val="-5"/>
          <w:szCs w:val="22"/>
        </w:rPr>
        <w:t>.</w:t>
      </w:r>
    </w:p>
    <w:p w14:paraId="56BE8A75" w14:textId="77777777" w:rsidR="00B45FA2" w:rsidRPr="00D23C29" w:rsidRDefault="00B45FA2" w:rsidP="00B45FA2">
      <w:pPr>
        <w:pStyle w:val="Heading4"/>
      </w:pPr>
      <w:r w:rsidRPr="00D23C29">
        <w:t xml:space="preserve">Assumptions </w:t>
      </w:r>
      <w:r w:rsidR="00A134D8" w:rsidRPr="00A134D8">
        <w:rPr>
          <w:rFonts w:ascii="Arial Bold" w:hAnsi="Arial Bold"/>
          <w:vanish/>
        </w:rPr>
        <w:t>Defect 357490</w:t>
      </w:r>
    </w:p>
    <w:p w14:paraId="66D28A43" w14:textId="77777777" w:rsidR="00B45FA2" w:rsidRPr="009A3F10" w:rsidRDefault="00B45FA2"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Division is defined as full service.</w:t>
      </w:r>
    </w:p>
    <w:p w14:paraId="360F0B6D" w14:textId="77777777" w:rsidR="00B45FA2" w:rsidRPr="009A3F10" w:rsidRDefault="00B45FA2"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The testing instrument is fully functional and available for use. The instrument QC is completed and valid, no maintenance is required. No QC information is transmitted to VBECS in the HL7 message.</w:t>
      </w:r>
    </w:p>
    <w:p w14:paraId="7A361B54" w14:textId="77777777" w:rsidR="00B45FA2" w:rsidRPr="009A3F10" w:rsidRDefault="00B45FA2"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Message is received</w:t>
      </w:r>
      <w:r w:rsidR="00B80078">
        <w:rPr>
          <w:rFonts w:ascii="Times New Roman" w:hAnsi="Times New Roman"/>
          <w:spacing w:val="-5"/>
          <w:sz w:val="22"/>
          <w:szCs w:val="22"/>
        </w:rPr>
        <w:t xml:space="preserve"> successfully as defined in </w:t>
      </w:r>
      <w:r w:rsidRPr="009A3F10">
        <w:rPr>
          <w:rFonts w:ascii="Times New Roman" w:hAnsi="Times New Roman"/>
          <w:spacing w:val="-5"/>
          <w:sz w:val="22"/>
          <w:szCs w:val="22"/>
        </w:rPr>
        <w:t>Automated Testing Interface.</w:t>
      </w:r>
    </w:p>
    <w:p w14:paraId="08C35157" w14:textId="77777777" w:rsidR="00B45FA2" w:rsidRPr="009A3F10" w:rsidRDefault="00B45FA2" w:rsidP="00925CAD">
      <w:pPr>
        <w:pStyle w:val="TableTextBullet"/>
        <w:numPr>
          <w:ilvl w:val="0"/>
          <w:numId w:val="42"/>
        </w:numPr>
        <w:rPr>
          <w:rFonts w:ascii="Times New Roman" w:hAnsi="Times New Roman"/>
          <w:spacing w:val="-5"/>
          <w:sz w:val="22"/>
          <w:szCs w:val="22"/>
        </w:rPr>
      </w:pPr>
      <w:r w:rsidRPr="009A3F10">
        <w:rPr>
          <w:rFonts w:ascii="Times New Roman" w:hAnsi="Times New Roman"/>
          <w:spacing w:val="-5"/>
          <w:sz w:val="22"/>
          <w:szCs w:val="22"/>
        </w:rPr>
        <w:t>The blood unit records are in the VBECS database for ABO/Rh confirmation or Unit Antigen Typing.</w:t>
      </w:r>
    </w:p>
    <w:p w14:paraId="481438C4" w14:textId="77777777" w:rsidR="00B45FA2" w:rsidRPr="009A3F10" w:rsidRDefault="00B45FA2" w:rsidP="00925CAD">
      <w:pPr>
        <w:numPr>
          <w:ilvl w:val="0"/>
          <w:numId w:val="42"/>
        </w:numPr>
        <w:rPr>
          <w:spacing w:val="-5"/>
          <w:sz w:val="22"/>
          <w:szCs w:val="22"/>
        </w:rPr>
      </w:pPr>
      <w:r w:rsidRPr="009A3F10">
        <w:rPr>
          <w:spacing w:val="-5"/>
          <w:sz w:val="22"/>
          <w:szCs w:val="22"/>
        </w:rPr>
        <w:t>Each transmitted test must include its results and interpretati</w:t>
      </w:r>
      <w:r w:rsidR="00B80078">
        <w:rPr>
          <w:spacing w:val="-5"/>
          <w:sz w:val="22"/>
          <w:szCs w:val="22"/>
        </w:rPr>
        <w:t>on</w:t>
      </w:r>
      <w:r w:rsidRPr="009A3F10">
        <w:rPr>
          <w:spacing w:val="-5"/>
          <w:sz w:val="22"/>
          <w:szCs w:val="22"/>
        </w:rPr>
        <w:t>.</w:t>
      </w:r>
    </w:p>
    <w:p w14:paraId="4AD29FF4" w14:textId="77777777" w:rsidR="00B45FA2" w:rsidRDefault="00B45FA2" w:rsidP="00B45FA2">
      <w:pPr>
        <w:pStyle w:val="Heading4"/>
      </w:pPr>
      <w:r>
        <w:t xml:space="preserve">Outcome </w:t>
      </w:r>
    </w:p>
    <w:p w14:paraId="0D4F2AEF" w14:textId="77777777" w:rsidR="003F0E4F" w:rsidRPr="00D23C29" w:rsidRDefault="003F0E4F" w:rsidP="00925CAD">
      <w:pPr>
        <w:pStyle w:val="TableTextBullet"/>
        <w:numPr>
          <w:ilvl w:val="0"/>
          <w:numId w:val="42"/>
        </w:numPr>
        <w:ind w:right="63"/>
        <w:rPr>
          <w:rFonts w:ascii="Times New Roman" w:hAnsi="Times New Roman"/>
          <w:spacing w:val="-5"/>
          <w:sz w:val="22"/>
          <w:szCs w:val="22"/>
        </w:rPr>
      </w:pPr>
      <w:r w:rsidRPr="00D23C29">
        <w:rPr>
          <w:rFonts w:ascii="Times New Roman" w:hAnsi="Times New Roman"/>
          <w:spacing w:val="-5"/>
          <w:sz w:val="22"/>
          <w:szCs w:val="22"/>
        </w:rPr>
        <w:t>The test record will capture the details of the verified testing. Completed, current unit and specimen test results will be available for the life of the system for inclusion in various reports generated to document patient and unit testing.</w:t>
      </w:r>
    </w:p>
    <w:p w14:paraId="312EDDC1" w14:textId="77777777" w:rsidR="003F0E4F" w:rsidRPr="00D23C29" w:rsidRDefault="003F0E4F" w:rsidP="00925CAD">
      <w:pPr>
        <w:pStyle w:val="TableTextBullet"/>
        <w:numPr>
          <w:ilvl w:val="0"/>
          <w:numId w:val="42"/>
        </w:numPr>
        <w:ind w:right="63"/>
        <w:rPr>
          <w:rFonts w:ascii="Times New Roman" w:hAnsi="Times New Roman"/>
          <w:spacing w:val="-5"/>
          <w:sz w:val="22"/>
          <w:szCs w:val="22"/>
        </w:rPr>
      </w:pPr>
      <w:r w:rsidRPr="00D23C29">
        <w:rPr>
          <w:rFonts w:ascii="Times New Roman" w:hAnsi="Times New Roman"/>
          <w:spacing w:val="-5"/>
          <w:sz w:val="22"/>
          <w:szCs w:val="22"/>
        </w:rPr>
        <w:t>Unit(s) will have ABO/Rh and antigen test results recorded in the database.</w:t>
      </w:r>
    </w:p>
    <w:p w14:paraId="6DFE012A" w14:textId="77777777" w:rsidR="003F0E4F" w:rsidRPr="00D23C29" w:rsidRDefault="003F0E4F" w:rsidP="00925CAD">
      <w:pPr>
        <w:pStyle w:val="TableTextBullet"/>
        <w:numPr>
          <w:ilvl w:val="0"/>
          <w:numId w:val="42"/>
        </w:numPr>
        <w:ind w:right="63"/>
        <w:rPr>
          <w:rFonts w:ascii="Times New Roman" w:hAnsi="Times New Roman"/>
          <w:spacing w:val="-5"/>
          <w:sz w:val="22"/>
          <w:szCs w:val="22"/>
        </w:rPr>
      </w:pPr>
      <w:r w:rsidRPr="00D23C29">
        <w:rPr>
          <w:rFonts w:ascii="Times New Roman" w:hAnsi="Times New Roman"/>
          <w:spacing w:val="-5"/>
          <w:sz w:val="22"/>
          <w:szCs w:val="22"/>
        </w:rPr>
        <w:t>The system updates the workload reporting in VBECS</w:t>
      </w:r>
      <w:r w:rsidR="00A134D8">
        <w:rPr>
          <w:rFonts w:ascii="Times New Roman" w:hAnsi="Times New Roman"/>
          <w:spacing w:val="-5"/>
          <w:sz w:val="22"/>
          <w:szCs w:val="22"/>
        </w:rPr>
        <w:t xml:space="preserve">. </w:t>
      </w:r>
      <w:r w:rsidR="00A134D8" w:rsidRPr="00A134D8">
        <w:rPr>
          <w:rFonts w:ascii="Times New Roman" w:hAnsi="Times New Roman"/>
          <w:vanish/>
          <w:spacing w:val="-5"/>
          <w:sz w:val="22"/>
          <w:szCs w:val="22"/>
        </w:rPr>
        <w:t>Defect 357490</w:t>
      </w:r>
    </w:p>
    <w:p w14:paraId="447F901C" w14:textId="77777777" w:rsidR="00B45FA2" w:rsidRDefault="00B45FA2" w:rsidP="003F0E4F">
      <w:pPr>
        <w:pStyle w:val="Heading4"/>
      </w:pPr>
      <w:r>
        <w:t>Limitations and Restrictions</w:t>
      </w:r>
      <w:r>
        <w:rPr>
          <w:b w:val="0"/>
        </w:rPr>
        <w:t xml:space="preserve"> </w:t>
      </w:r>
    </w:p>
    <w:p w14:paraId="6CC852B8" w14:textId="77777777" w:rsidR="00B45FA2" w:rsidRPr="009A3F10" w:rsidRDefault="00B45FA2"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 xml:space="preserve">VBECS does not accept inconclusive ABO/Rh test results.  </w:t>
      </w:r>
    </w:p>
    <w:p w14:paraId="5C1A40CC" w14:textId="77777777" w:rsidR="00B45FA2" w:rsidRPr="009A3F10" w:rsidRDefault="00E43DE4" w:rsidP="00925CAD">
      <w:pPr>
        <w:pStyle w:val="TableText"/>
        <w:numPr>
          <w:ilvl w:val="0"/>
          <w:numId w:val="42"/>
        </w:numPr>
        <w:rPr>
          <w:rFonts w:ascii="Times New Roman" w:hAnsi="Times New Roman"/>
          <w:spacing w:val="-5"/>
          <w:sz w:val="22"/>
          <w:szCs w:val="22"/>
        </w:rPr>
      </w:pPr>
      <w:r>
        <w:rPr>
          <w:rFonts w:ascii="Times New Roman" w:hAnsi="Times New Roman"/>
          <w:spacing w:val="-5"/>
          <w:sz w:val="22"/>
          <w:szCs w:val="22"/>
        </w:rPr>
        <w:t>Pooled</w:t>
      </w:r>
      <w:r w:rsidR="00B45FA2" w:rsidRPr="009A3F10">
        <w:rPr>
          <w:rFonts w:ascii="Times New Roman" w:hAnsi="Times New Roman"/>
          <w:spacing w:val="-5"/>
          <w:sz w:val="22"/>
          <w:szCs w:val="22"/>
        </w:rPr>
        <w:t xml:space="preserve"> Product Types labeled with an Rh type of “Pooled” is considered an Rh Positive unit which does not require confirmation testing.</w:t>
      </w:r>
    </w:p>
    <w:p w14:paraId="7634B7EF" w14:textId="77777777" w:rsidR="00B45FA2" w:rsidRDefault="00B45FA2"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Pooled Product Types</w:t>
      </w:r>
      <w:r w:rsidRPr="009A3F10" w:rsidDel="00922FC4">
        <w:rPr>
          <w:rFonts w:ascii="Times New Roman" w:hAnsi="Times New Roman"/>
          <w:spacing w:val="-5"/>
          <w:sz w:val="22"/>
          <w:szCs w:val="22"/>
        </w:rPr>
        <w:t xml:space="preserve"> </w:t>
      </w:r>
      <w:r w:rsidRPr="009A3F10">
        <w:rPr>
          <w:rFonts w:ascii="Times New Roman" w:hAnsi="Times New Roman"/>
          <w:spacing w:val="-5"/>
          <w:sz w:val="22"/>
          <w:szCs w:val="22"/>
        </w:rPr>
        <w:t>that require confirmation, labeled with an ABO group of “Pooled” cannot be confirmed. A blood component unit received as “POOLED ABO” will have to be transfused using the Supervisory option, Document ABO Incompatible Transfusion.</w:t>
      </w:r>
    </w:p>
    <w:p w14:paraId="5F814641" w14:textId="77777777" w:rsidR="004926E0" w:rsidRPr="00DA27C7" w:rsidRDefault="00057948" w:rsidP="00925CAD">
      <w:pPr>
        <w:pStyle w:val="TableText"/>
        <w:numPr>
          <w:ilvl w:val="0"/>
          <w:numId w:val="42"/>
        </w:numPr>
        <w:rPr>
          <w:rFonts w:ascii="Times New Roman" w:hAnsi="Times New Roman"/>
          <w:spacing w:val="-5"/>
          <w:sz w:val="22"/>
          <w:szCs w:val="22"/>
        </w:rPr>
      </w:pPr>
      <w:r>
        <w:rPr>
          <w:noProof/>
        </w:rPr>
        <w:drawing>
          <wp:inline distT="0" distB="0" distL="0" distR="0" wp14:anchorId="14C72851" wp14:editId="05356340">
            <wp:extent cx="267970" cy="221615"/>
            <wp:effectExtent l="0" t="0" r="0" b="6985"/>
            <wp:docPr id="263" name="Picture 26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4926E0">
        <w:t xml:space="preserve"> </w:t>
      </w:r>
      <w:r w:rsidR="004926E0" w:rsidRPr="00D33B43">
        <w:rPr>
          <w:rFonts w:ascii="Times New Roman" w:hAnsi="Times New Roman"/>
          <w:spacing w:val="-5"/>
          <w:sz w:val="22"/>
          <w:szCs w:val="22"/>
        </w:rPr>
        <w:t>Users can select and assign multiple units with the same DIN and different product codes for crossmatch. Users can only process one DIN (e.g., W123400345345) on the Automated Instrument at a time. It is incumbent on the user to verify that the crossmatch result from the Automated Instrument matches the product code (e.g., E0134V00) associated with the patient in VBECS. To decrease the risk of a mislabeled unit at issue, local practice may want to have only one on the units selected in VBECS at a time when crossmatch testing is being performed on the automated instrument.</w:t>
      </w:r>
      <w:r w:rsidR="00A134D8">
        <w:rPr>
          <w:rFonts w:ascii="Times New Roman" w:hAnsi="Times New Roman"/>
          <w:spacing w:val="-5"/>
          <w:sz w:val="22"/>
          <w:szCs w:val="22"/>
        </w:rPr>
        <w:t xml:space="preserve"> </w:t>
      </w:r>
      <w:r w:rsidR="00A134D8" w:rsidRPr="005028F8">
        <w:rPr>
          <w:rFonts w:ascii="Times New Roman" w:hAnsi="Times New Roman"/>
          <w:vanish/>
          <w:spacing w:val="-5"/>
          <w:sz w:val="22"/>
          <w:szCs w:val="22"/>
        </w:rPr>
        <w:t>Defect 357490</w:t>
      </w:r>
    </w:p>
    <w:p w14:paraId="7D712452" w14:textId="77777777" w:rsidR="00D31EC9" w:rsidRPr="009A3F10" w:rsidRDefault="00D31EC9" w:rsidP="00925CAD">
      <w:pPr>
        <w:pStyle w:val="TableText"/>
        <w:numPr>
          <w:ilvl w:val="0"/>
          <w:numId w:val="42"/>
        </w:numPr>
        <w:rPr>
          <w:rFonts w:ascii="Times New Roman" w:hAnsi="Times New Roman"/>
          <w:spacing w:val="-5"/>
          <w:sz w:val="22"/>
          <w:szCs w:val="22"/>
        </w:rPr>
      </w:pPr>
      <w:r w:rsidRPr="00D31EC9">
        <w:rPr>
          <w:rFonts w:ascii="Times New Roman" w:hAnsi="Times New Roman"/>
          <w:spacing w:val="-5"/>
          <w:sz w:val="22"/>
          <w:szCs w:val="22"/>
        </w:rPr>
        <w:t>When a user chooses to reject a transmitted test, a comment is required. The comment is stored but is not available for review on a report at this time. It is recommended that the test is reviewed in the instrument and not sent to VBECS as a result for rejection.</w:t>
      </w:r>
      <w:r>
        <w:rPr>
          <w:rFonts w:ascii="Times New Roman" w:hAnsi="Times New Roman"/>
          <w:spacing w:val="-5"/>
          <w:sz w:val="22"/>
          <w:szCs w:val="22"/>
        </w:rPr>
        <w:t xml:space="preserve"> </w:t>
      </w:r>
      <w:r w:rsidRPr="005028F8">
        <w:rPr>
          <w:rFonts w:ascii="Times New Roman" w:hAnsi="Times New Roman"/>
          <w:vanish/>
          <w:spacing w:val="-5"/>
          <w:sz w:val="22"/>
          <w:szCs w:val="22"/>
        </w:rPr>
        <w:t>Defect 382981</w:t>
      </w:r>
    </w:p>
    <w:p w14:paraId="788B4F87" w14:textId="77777777" w:rsidR="00B45FA2" w:rsidRDefault="00B45FA2" w:rsidP="00B45FA2">
      <w:pPr>
        <w:pStyle w:val="Heading4"/>
      </w:pPr>
      <w:r>
        <w:t xml:space="preserve">Additional Information </w:t>
      </w:r>
    </w:p>
    <w:p w14:paraId="1376E40F" w14:textId="77777777" w:rsidR="00B45FA2" w:rsidRPr="002275D4" w:rsidRDefault="00B45FA2" w:rsidP="00925CAD">
      <w:pPr>
        <w:pStyle w:val="TableText"/>
        <w:numPr>
          <w:ilvl w:val="0"/>
          <w:numId w:val="42"/>
        </w:numPr>
        <w:rPr>
          <w:rFonts w:ascii="Times New Roman" w:hAnsi="Times New Roman"/>
          <w:spacing w:val="-5"/>
          <w:sz w:val="22"/>
          <w:szCs w:val="22"/>
        </w:rPr>
      </w:pPr>
      <w:r w:rsidRPr="006E44D8">
        <w:rPr>
          <w:rFonts w:ascii="Times New Roman" w:hAnsi="Times New Roman"/>
          <w:spacing w:val="-5"/>
          <w:sz w:val="22"/>
          <w:szCs w:val="22"/>
        </w:rPr>
        <w:t>When Workload is</w:t>
      </w:r>
      <w:r w:rsidR="00B80078">
        <w:rPr>
          <w:rFonts w:ascii="Times New Roman" w:hAnsi="Times New Roman"/>
          <w:spacing w:val="-5"/>
          <w:sz w:val="22"/>
          <w:szCs w:val="22"/>
        </w:rPr>
        <w:t xml:space="preserve"> not configured per </w:t>
      </w:r>
      <w:r w:rsidRPr="006E44D8">
        <w:rPr>
          <w:rFonts w:ascii="Times New Roman" w:hAnsi="Times New Roman"/>
          <w:spacing w:val="-5"/>
          <w:sz w:val="22"/>
          <w:szCs w:val="22"/>
        </w:rPr>
        <w:t>Workload Codes, then Workload cannot be collected.</w:t>
      </w:r>
    </w:p>
    <w:p w14:paraId="5317CA39" w14:textId="77777777" w:rsidR="00B45FA2" w:rsidRDefault="00B45FA2" w:rsidP="00B45FA2">
      <w:pPr>
        <w:pStyle w:val="Heading4"/>
        <w:rPr>
          <w:b w:val="0"/>
        </w:rPr>
      </w:pPr>
      <w:r>
        <w:t>User Roles with Access to This Option</w:t>
      </w:r>
      <w:r>
        <w:rPr>
          <w:b w:val="0"/>
        </w:rPr>
        <w:t xml:space="preserve"> </w:t>
      </w:r>
    </w:p>
    <w:p w14:paraId="52B5BE14" w14:textId="77777777" w:rsidR="00B45FA2" w:rsidRDefault="00B45FA2" w:rsidP="00B45FA2">
      <w:pPr>
        <w:pStyle w:val="Roles"/>
      </w:pPr>
      <w:r>
        <w:t>All users</w:t>
      </w:r>
    </w:p>
    <w:p w14:paraId="2149E926" w14:textId="77777777" w:rsidR="00B45FA2" w:rsidRPr="00311A54" w:rsidRDefault="009068D5" w:rsidP="00B45FA2">
      <w:pPr>
        <w:pStyle w:val="Heading4"/>
      </w:pPr>
      <w:r w:rsidRPr="00311A54">
        <w:t>Automated Testing Review</w:t>
      </w:r>
    </w:p>
    <w:p w14:paraId="2B820F27" w14:textId="77777777" w:rsidR="008F1BE0" w:rsidRDefault="00311A54" w:rsidP="00311A54">
      <w:pPr>
        <w:pStyle w:val="BodyText"/>
      </w:pPr>
      <w:r>
        <w:t xml:space="preserve">This </w:t>
      </w:r>
      <w:r w:rsidR="00640909">
        <w:t>feature</w:t>
      </w:r>
      <w:r>
        <w:t xml:space="preserve"> allows the interface of automated blood banking instruments with VBECS through Data Innovati</w:t>
      </w:r>
      <w:r w:rsidR="00640909">
        <w:t xml:space="preserve">ons Instrument Manager. It </w:t>
      </w:r>
      <w:r>
        <w:t>eliminate</w:t>
      </w:r>
      <w:r w:rsidR="00640909">
        <w:t>s</w:t>
      </w:r>
      <w:r>
        <w:t xml:space="preserve"> the potential for human error associated with the manual entry of results from an automated instrument into</w:t>
      </w:r>
      <w:r w:rsidR="00640909">
        <w:t xml:space="preserve"> VBECS. It also eliminates the</w:t>
      </w:r>
      <w:r>
        <w:t xml:space="preserve"> potential for transcription errors that can lead to a patient safety issue of ABO incompatible transfusion. In addition to safety, these enhancements will also reduce the time spent entering results manually</w:t>
      </w:r>
      <w:r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45FA2" w14:paraId="77780C2F" w14:textId="77777777" w:rsidTr="003F6E8A">
        <w:trPr>
          <w:cantSplit/>
          <w:tblHeader/>
        </w:trPr>
        <w:tc>
          <w:tcPr>
            <w:tcW w:w="3240" w:type="dxa"/>
            <w:shd w:val="pct30" w:color="auto" w:fill="FFFFFF"/>
            <w:vAlign w:val="bottom"/>
          </w:tcPr>
          <w:p w14:paraId="378C156C" w14:textId="77777777" w:rsidR="00B45FA2" w:rsidRDefault="00B45FA2" w:rsidP="003F6E8A">
            <w:pPr>
              <w:pStyle w:val="TableText"/>
              <w:rPr>
                <w:b/>
              </w:rPr>
            </w:pPr>
            <w:r>
              <w:rPr>
                <w:b/>
              </w:rPr>
              <w:t>User Action</w:t>
            </w:r>
          </w:p>
        </w:tc>
        <w:tc>
          <w:tcPr>
            <w:tcW w:w="6120" w:type="dxa"/>
            <w:shd w:val="pct30" w:color="auto" w:fill="FFFFFF"/>
            <w:vAlign w:val="bottom"/>
          </w:tcPr>
          <w:p w14:paraId="141EAA4D" w14:textId="77777777" w:rsidR="00B45FA2" w:rsidRDefault="00B45FA2" w:rsidP="003F6E8A">
            <w:pPr>
              <w:pStyle w:val="TableText"/>
              <w:rPr>
                <w:b/>
              </w:rPr>
            </w:pPr>
            <w:r>
              <w:rPr>
                <w:b/>
              </w:rPr>
              <w:t>VBECS</w:t>
            </w:r>
          </w:p>
        </w:tc>
      </w:tr>
      <w:tr w:rsidR="00B45FA2" w14:paraId="6BC96257" w14:textId="77777777" w:rsidTr="003F6E8A">
        <w:tc>
          <w:tcPr>
            <w:tcW w:w="3240" w:type="dxa"/>
          </w:tcPr>
          <w:p w14:paraId="53785A77" w14:textId="77777777" w:rsidR="00B45FA2" w:rsidRDefault="00141AB2" w:rsidP="00925CAD">
            <w:pPr>
              <w:pStyle w:val="TableTextNumbers"/>
              <w:numPr>
                <w:ilvl w:val="0"/>
                <w:numId w:val="46"/>
              </w:numPr>
            </w:pPr>
            <w:r>
              <w:t xml:space="preserve">User logs into VBECS and selects </w:t>
            </w:r>
            <w:r w:rsidRPr="00307125">
              <w:rPr>
                <w:b/>
              </w:rPr>
              <w:t xml:space="preserve">Blood Units, </w:t>
            </w:r>
            <w:r w:rsidR="00307125" w:rsidRPr="00307125">
              <w:rPr>
                <w:b/>
              </w:rPr>
              <w:t>Automated Testing</w:t>
            </w:r>
            <w:r w:rsidR="00307125">
              <w:t xml:space="preserve"> from the main menu.</w:t>
            </w:r>
          </w:p>
          <w:p w14:paraId="4B335694" w14:textId="77777777" w:rsidR="00307125" w:rsidRDefault="00307125" w:rsidP="00307125">
            <w:pPr>
              <w:pStyle w:val="TableTextNumbers"/>
              <w:numPr>
                <w:ilvl w:val="0"/>
                <w:numId w:val="0"/>
              </w:numPr>
              <w:ind w:left="288"/>
            </w:pPr>
          </w:p>
          <w:p w14:paraId="0B8D5352" w14:textId="77777777" w:rsidR="00307125" w:rsidRDefault="00307125" w:rsidP="00307125">
            <w:pPr>
              <w:pStyle w:val="TableTextNumbers"/>
              <w:numPr>
                <w:ilvl w:val="0"/>
                <w:numId w:val="0"/>
              </w:numPr>
              <w:ind w:left="288"/>
            </w:pPr>
            <w:r>
              <w:t>Or</w:t>
            </w:r>
          </w:p>
          <w:p w14:paraId="47C22550" w14:textId="77777777" w:rsidR="00307125" w:rsidRDefault="00307125" w:rsidP="00307125">
            <w:pPr>
              <w:pStyle w:val="TableTextNumbers"/>
              <w:numPr>
                <w:ilvl w:val="0"/>
                <w:numId w:val="0"/>
              </w:numPr>
              <w:ind w:left="288"/>
            </w:pPr>
          </w:p>
          <w:p w14:paraId="7E1E5490" w14:textId="301E26FF" w:rsidR="00307125" w:rsidRDefault="00307125" w:rsidP="00307125">
            <w:pPr>
              <w:pStyle w:val="TableTextNumbers"/>
              <w:numPr>
                <w:ilvl w:val="0"/>
                <w:numId w:val="0"/>
              </w:numPr>
              <w:ind w:left="288"/>
            </w:pPr>
            <w:r>
              <w:t xml:space="preserve">User logs into VBECS and clicks on the </w:t>
            </w:r>
            <w:r w:rsidRPr="00307125">
              <w:rPr>
                <w:b/>
              </w:rPr>
              <w:t>Automated Testing Toolbar Icon</w:t>
            </w:r>
            <w:r>
              <w:t xml:space="preserve"> (blood drop with </w:t>
            </w:r>
            <w:r w:rsidR="002E5AC8">
              <w:t>lightning</w:t>
            </w:r>
            <w:r>
              <w:t xml:space="preserve"> bolt).</w:t>
            </w:r>
          </w:p>
        </w:tc>
        <w:tc>
          <w:tcPr>
            <w:tcW w:w="6120" w:type="dxa"/>
          </w:tcPr>
          <w:p w14:paraId="6C9F04BB" w14:textId="77777777" w:rsidR="00DB1497" w:rsidRDefault="00D279DE" w:rsidP="00BA1FF8">
            <w:pPr>
              <w:pStyle w:val="TableTextBullet"/>
            </w:pPr>
            <w:r>
              <w:t>Displays</w:t>
            </w:r>
            <w:r w:rsidR="00307125">
              <w:t xml:space="preserve"> the Automated Testing – Pending Blood Units window.</w:t>
            </w:r>
          </w:p>
          <w:p w14:paraId="2B8573D8" w14:textId="77777777" w:rsidR="00307125" w:rsidRDefault="00307125" w:rsidP="00BA1FF8">
            <w:pPr>
              <w:pStyle w:val="TableTextBullet"/>
            </w:pPr>
            <w:r>
              <w:t>Displays message when no pending blood units were found to review.</w:t>
            </w:r>
          </w:p>
          <w:p w14:paraId="39B9ED53" w14:textId="77777777" w:rsidR="00425938" w:rsidRDefault="00425938" w:rsidP="00425938">
            <w:pPr>
              <w:pStyle w:val="TableTextBullet"/>
              <w:numPr>
                <w:ilvl w:val="0"/>
                <w:numId w:val="0"/>
              </w:numPr>
              <w:ind w:left="288" w:hanging="288"/>
            </w:pPr>
          </w:p>
          <w:p w14:paraId="2CD26A69" w14:textId="3A6BBB03" w:rsidR="00425938" w:rsidRDefault="00425938" w:rsidP="00425938">
            <w:pPr>
              <w:pStyle w:val="TableText"/>
              <w:rPr>
                <w:b/>
                <w:bCs/>
                <w:szCs w:val="18"/>
              </w:rPr>
            </w:pPr>
            <w:r>
              <w:rPr>
                <w:b/>
                <w:bCs/>
                <w:szCs w:val="18"/>
              </w:rPr>
              <w:t>NOTES</w:t>
            </w:r>
          </w:p>
          <w:p w14:paraId="1F490F25" w14:textId="77777777" w:rsidR="00425938" w:rsidRDefault="00425938" w:rsidP="00425938">
            <w:pPr>
              <w:pStyle w:val="TableTextBullet"/>
              <w:numPr>
                <w:ilvl w:val="0"/>
                <w:numId w:val="0"/>
              </w:numPr>
              <w:ind w:left="288" w:hanging="288"/>
            </w:pPr>
          </w:p>
          <w:p w14:paraId="50D6BF7A" w14:textId="77777777" w:rsidR="00425938" w:rsidRDefault="00425938" w:rsidP="00425938">
            <w:pPr>
              <w:pStyle w:val="TableText"/>
              <w:ind w:left="720"/>
            </w:pPr>
            <w:r w:rsidRPr="00425938">
              <w:rPr>
                <w:vanish/>
              </w:rPr>
              <w:t xml:space="preserve">BR_2.43 </w:t>
            </w:r>
            <w:r>
              <w:t>The functionality is not accessible if division is defined as a Transfusion Only facility.</w:t>
            </w:r>
          </w:p>
          <w:p w14:paraId="597C9EA2" w14:textId="77777777" w:rsidR="00425938" w:rsidRDefault="00425938" w:rsidP="00425938">
            <w:pPr>
              <w:pStyle w:val="TableText"/>
              <w:ind w:left="720"/>
            </w:pPr>
          </w:p>
          <w:p w14:paraId="1CDE9B99" w14:textId="77777777" w:rsidR="00425938" w:rsidRDefault="00425938" w:rsidP="00036095">
            <w:pPr>
              <w:pStyle w:val="TableText"/>
              <w:ind w:left="720"/>
            </w:pPr>
            <w:r w:rsidRPr="00425938">
              <w:rPr>
                <w:vanish/>
              </w:rPr>
              <w:t xml:space="preserve">BR_2.01 </w:t>
            </w:r>
            <w:r w:rsidRPr="00425938">
              <w:t>Only data within the user’s division can be accessed for any type of processing.</w:t>
            </w:r>
          </w:p>
          <w:p w14:paraId="230401E5" w14:textId="77777777" w:rsidR="00425938" w:rsidRPr="00BA1FF8" w:rsidRDefault="00425938" w:rsidP="00425938">
            <w:pPr>
              <w:pStyle w:val="TableText"/>
              <w:ind w:left="720"/>
            </w:pPr>
          </w:p>
        </w:tc>
      </w:tr>
      <w:tr w:rsidR="00B45FA2" w14:paraId="0BD3AC11" w14:textId="77777777" w:rsidTr="003F6E8A">
        <w:tc>
          <w:tcPr>
            <w:tcW w:w="3240" w:type="dxa"/>
          </w:tcPr>
          <w:p w14:paraId="27CE8DA1" w14:textId="76FC827E" w:rsidR="00665554" w:rsidRDefault="00665554" w:rsidP="003F6E8A">
            <w:pPr>
              <w:pStyle w:val="TableTextNumbers"/>
            </w:pPr>
            <w:r w:rsidRPr="00396B2B">
              <w:t>User selec</w:t>
            </w:r>
            <w:r>
              <w:t>ts from the testing tabs that are enabled on the Automated Testing – Pending Blood Units window</w:t>
            </w:r>
            <w:r w:rsidR="00937534">
              <w:t xml:space="preserve"> (</w:t>
            </w:r>
            <w:r w:rsidR="00EE455E">
              <w:t xml:space="preserve">Figure </w:t>
            </w:r>
            <w:r w:rsidR="00EE455E">
              <w:rPr>
                <w:noProof/>
              </w:rPr>
              <w:t>115</w:t>
            </w:r>
            <w:r w:rsidR="00937534">
              <w:t>)</w:t>
            </w:r>
            <w:r>
              <w:t>.</w:t>
            </w:r>
          </w:p>
          <w:p w14:paraId="3A1C343A" w14:textId="77777777" w:rsidR="00665554" w:rsidRDefault="00665554" w:rsidP="00665554">
            <w:pPr>
              <w:pStyle w:val="TableTextNumbers"/>
              <w:numPr>
                <w:ilvl w:val="0"/>
                <w:numId w:val="0"/>
              </w:numPr>
              <w:ind w:left="288"/>
            </w:pPr>
          </w:p>
          <w:p w14:paraId="670C6DA2" w14:textId="77777777" w:rsidR="00B45FA2" w:rsidRDefault="00602E53" w:rsidP="00665554">
            <w:pPr>
              <w:pStyle w:val="TableTextNumbers"/>
              <w:numPr>
                <w:ilvl w:val="0"/>
                <w:numId w:val="0"/>
              </w:numPr>
              <w:ind w:left="288"/>
            </w:pPr>
            <w:r>
              <w:rPr>
                <w:b/>
              </w:rPr>
              <w:t xml:space="preserve">Unit ABO-Rh </w:t>
            </w:r>
            <w:r w:rsidRPr="00602E53">
              <w:t>tab</w:t>
            </w:r>
          </w:p>
          <w:p w14:paraId="62D6D483" w14:textId="77777777" w:rsidR="00307125" w:rsidRDefault="00307125" w:rsidP="00307125">
            <w:pPr>
              <w:pStyle w:val="TableTextNumbers"/>
              <w:numPr>
                <w:ilvl w:val="0"/>
                <w:numId w:val="0"/>
              </w:numPr>
              <w:ind w:left="288"/>
            </w:pPr>
          </w:p>
          <w:p w14:paraId="66A39EAC" w14:textId="77777777" w:rsidR="00307125" w:rsidRDefault="00307125" w:rsidP="00307125">
            <w:pPr>
              <w:pStyle w:val="TableTextNumbers"/>
              <w:numPr>
                <w:ilvl w:val="0"/>
                <w:numId w:val="0"/>
              </w:numPr>
              <w:ind w:left="288"/>
            </w:pPr>
            <w:r w:rsidRPr="00307125">
              <w:rPr>
                <w:b/>
              </w:rPr>
              <w:t>Unit Antigen Typing</w:t>
            </w:r>
            <w:r w:rsidR="002615AD" w:rsidRPr="002615AD">
              <w:t xml:space="preserve"> tab.</w:t>
            </w:r>
          </w:p>
        </w:tc>
        <w:tc>
          <w:tcPr>
            <w:tcW w:w="6120" w:type="dxa"/>
          </w:tcPr>
          <w:p w14:paraId="2E0B1AB5" w14:textId="77777777" w:rsidR="00602E53" w:rsidRDefault="00D279DE" w:rsidP="00602E53">
            <w:pPr>
              <w:pStyle w:val="TableTextBullet"/>
            </w:pPr>
            <w:r>
              <w:t>D</w:t>
            </w:r>
            <w:r w:rsidR="00602E53">
              <w:t>etermines that all appropriate test results were entered for the blood unit. Row validation and test validation are completed.</w:t>
            </w:r>
          </w:p>
          <w:p w14:paraId="7B0C4CA5" w14:textId="77777777" w:rsidR="00DB1497" w:rsidRDefault="00DB1497" w:rsidP="00DB1497">
            <w:pPr>
              <w:pStyle w:val="TableTextBullet"/>
              <w:numPr>
                <w:ilvl w:val="0"/>
                <w:numId w:val="0"/>
              </w:numPr>
              <w:ind w:left="288" w:hanging="288"/>
            </w:pPr>
          </w:p>
          <w:p w14:paraId="21E54D4E" w14:textId="51F2285F" w:rsidR="00DB1497" w:rsidRDefault="00DB1497" w:rsidP="00DB1497">
            <w:pPr>
              <w:pStyle w:val="TableText"/>
              <w:rPr>
                <w:b/>
                <w:bCs/>
                <w:szCs w:val="18"/>
              </w:rPr>
            </w:pPr>
            <w:r>
              <w:rPr>
                <w:b/>
                <w:bCs/>
                <w:szCs w:val="18"/>
              </w:rPr>
              <w:t>NOTES</w:t>
            </w:r>
          </w:p>
          <w:p w14:paraId="74D36A72" w14:textId="77777777" w:rsidR="00DB1497" w:rsidRDefault="00DB1497" w:rsidP="00DB1497">
            <w:pPr>
              <w:pStyle w:val="NotesText"/>
            </w:pPr>
          </w:p>
          <w:p w14:paraId="6DA791B2" w14:textId="77777777" w:rsidR="00DB1497" w:rsidRDefault="00602E53" w:rsidP="00DB1497">
            <w:pPr>
              <w:pStyle w:val="TableText"/>
              <w:ind w:left="720"/>
            </w:pPr>
            <w:r w:rsidRPr="00602E53">
              <w:rPr>
                <w:vanish/>
              </w:rPr>
              <w:t xml:space="preserve">BR_115.09 </w:t>
            </w:r>
            <w:r>
              <w:t xml:space="preserve">The unit ID </w:t>
            </w:r>
            <w:r w:rsidRPr="00820C25">
              <w:t>and product code</w:t>
            </w:r>
            <w:r>
              <w:t xml:space="preserve"> are used to identify a specific unit from inventory. The pick list of Units for ABO/Rh or Antigen Typing will only display the product codes of units in an Active status and per the typing requirements.</w:t>
            </w:r>
          </w:p>
          <w:p w14:paraId="508D4449" w14:textId="77777777" w:rsidR="001F08A5" w:rsidRDefault="001F08A5" w:rsidP="00DB1497">
            <w:pPr>
              <w:pStyle w:val="TableText"/>
              <w:ind w:left="720"/>
            </w:pPr>
          </w:p>
          <w:p w14:paraId="568190A4" w14:textId="77777777" w:rsidR="00711E45" w:rsidRDefault="00711E45" w:rsidP="00711E45">
            <w:pPr>
              <w:pStyle w:val="TableText"/>
              <w:ind w:left="720"/>
              <w:rPr>
                <w:rFonts w:cs="Arial"/>
                <w:szCs w:val="18"/>
              </w:rPr>
            </w:pPr>
            <w:r w:rsidRPr="00711E45">
              <w:rPr>
                <w:rFonts w:cs="Arial"/>
                <w:vanish/>
                <w:szCs w:val="18"/>
              </w:rPr>
              <w:t xml:space="preserve">BR_115.10 </w:t>
            </w:r>
            <w:r w:rsidRPr="00E25BE5">
              <w:rPr>
                <w:rFonts w:cs="Arial"/>
                <w:szCs w:val="18"/>
              </w:rPr>
              <w:t xml:space="preserve">When </w:t>
            </w:r>
            <w:r>
              <w:rPr>
                <w:rFonts w:cs="Arial"/>
                <w:szCs w:val="18"/>
              </w:rPr>
              <w:t xml:space="preserve">a </w:t>
            </w:r>
            <w:r w:rsidRPr="00E25BE5">
              <w:rPr>
                <w:rFonts w:cs="Arial"/>
                <w:szCs w:val="18"/>
              </w:rPr>
              <w:t>weak D antigen typing test</w:t>
            </w:r>
            <w:r>
              <w:rPr>
                <w:rFonts w:cs="Arial"/>
                <w:szCs w:val="18"/>
              </w:rPr>
              <w:t xml:space="preserve"> is received on a blood unit that is Rh positive, the test is marked as in error (E) </w:t>
            </w:r>
            <w:r w:rsidRPr="00E25BE5">
              <w:rPr>
                <w:rFonts w:cs="Arial"/>
                <w:szCs w:val="18"/>
              </w:rPr>
              <w:t>the system provides a</w:t>
            </w:r>
            <w:r>
              <w:rPr>
                <w:rFonts w:cs="Arial"/>
                <w:szCs w:val="18"/>
              </w:rPr>
              <w:t xml:space="preserve"> w</w:t>
            </w:r>
            <w:r w:rsidRPr="00E25BE5">
              <w:rPr>
                <w:rFonts w:cs="Arial"/>
                <w:szCs w:val="18"/>
              </w:rPr>
              <w:t>arning message</w:t>
            </w:r>
            <w:r>
              <w:rPr>
                <w:rFonts w:cs="Arial"/>
                <w:szCs w:val="18"/>
              </w:rPr>
              <w:t>:</w:t>
            </w:r>
          </w:p>
          <w:p w14:paraId="4396C18A" w14:textId="77777777" w:rsidR="00711E45" w:rsidRDefault="00711E45" w:rsidP="00711E45">
            <w:pPr>
              <w:pStyle w:val="TableText"/>
              <w:ind w:left="720"/>
              <w:rPr>
                <w:rFonts w:cs="Arial"/>
                <w:szCs w:val="18"/>
              </w:rPr>
            </w:pPr>
          </w:p>
          <w:p w14:paraId="098B9C6F" w14:textId="77777777" w:rsidR="00711E45" w:rsidRDefault="00711E45" w:rsidP="00711E45">
            <w:pPr>
              <w:pStyle w:val="TableText"/>
              <w:ind w:left="720"/>
              <w:rPr>
                <w:rFonts w:cs="Arial"/>
                <w:szCs w:val="18"/>
              </w:rPr>
            </w:pPr>
            <w:r w:rsidRPr="00E25BE5">
              <w:rPr>
                <w:rFonts w:cs="Arial"/>
                <w:szCs w:val="18"/>
              </w:rPr>
              <w:t>“Cannot perform weak D testing on Rh positive unit.”</w:t>
            </w:r>
            <w:r>
              <w:rPr>
                <w:rFonts w:cs="Arial"/>
                <w:szCs w:val="18"/>
              </w:rPr>
              <w:t xml:space="preserve"> </w:t>
            </w:r>
          </w:p>
          <w:p w14:paraId="4BFD04DF" w14:textId="77777777" w:rsidR="00711E45" w:rsidRDefault="00711E45" w:rsidP="00711E45">
            <w:pPr>
              <w:pStyle w:val="TableText"/>
              <w:ind w:left="720"/>
              <w:rPr>
                <w:rFonts w:cs="Arial"/>
                <w:szCs w:val="18"/>
              </w:rPr>
            </w:pPr>
          </w:p>
          <w:p w14:paraId="44B0C1D8" w14:textId="77777777" w:rsidR="00711E45" w:rsidRDefault="00711E45" w:rsidP="00711E45">
            <w:pPr>
              <w:pStyle w:val="TableText"/>
              <w:ind w:left="720"/>
              <w:rPr>
                <w:rFonts w:cs="Arial"/>
                <w:szCs w:val="18"/>
              </w:rPr>
            </w:pPr>
            <w:r>
              <w:rPr>
                <w:rFonts w:cs="Arial"/>
                <w:szCs w:val="18"/>
              </w:rPr>
              <w:t>The test cannot be saved in VBECS and must be rejected.</w:t>
            </w:r>
          </w:p>
          <w:p w14:paraId="4C094559" w14:textId="77777777" w:rsidR="00711E45" w:rsidRDefault="00711E45" w:rsidP="00DB1497">
            <w:pPr>
              <w:pStyle w:val="TableText"/>
              <w:ind w:left="720"/>
            </w:pPr>
          </w:p>
          <w:p w14:paraId="1AB644EC" w14:textId="77777777" w:rsidR="00602E53" w:rsidRDefault="00602E53" w:rsidP="00602E53">
            <w:pPr>
              <w:pStyle w:val="TableText"/>
              <w:ind w:left="720"/>
            </w:pPr>
            <w:r w:rsidRPr="00602E53">
              <w:rPr>
                <w:vanish/>
              </w:rPr>
              <w:t xml:space="preserve">BR_115.11 </w:t>
            </w:r>
            <w:r>
              <w:t>The list view of test results on the Blood Unit windows is sortable by unit ID or date/time of test completion.</w:t>
            </w:r>
          </w:p>
          <w:p w14:paraId="5D7EC030" w14:textId="77777777" w:rsidR="00602E53" w:rsidRDefault="00602E53" w:rsidP="00602E53">
            <w:pPr>
              <w:pStyle w:val="TableText"/>
              <w:ind w:left="720"/>
            </w:pPr>
            <w:r>
              <w:t>Default sort order is on unit ID.</w:t>
            </w:r>
          </w:p>
          <w:p w14:paraId="629FE2F4" w14:textId="77777777" w:rsidR="00602E53" w:rsidRDefault="00602E53" w:rsidP="00602E53">
            <w:pPr>
              <w:pStyle w:val="TableText"/>
              <w:ind w:left="720"/>
            </w:pPr>
          </w:p>
          <w:p w14:paraId="2AD28B99" w14:textId="77777777" w:rsidR="00602E53" w:rsidRDefault="00602E53" w:rsidP="00602E53">
            <w:pPr>
              <w:pStyle w:val="TableText"/>
              <w:ind w:left="720"/>
            </w:pPr>
            <w:r w:rsidRPr="00602E53">
              <w:rPr>
                <w:vanish/>
              </w:rPr>
              <w:t xml:space="preserve">BR_115.16 </w:t>
            </w:r>
            <w:r>
              <w:t xml:space="preserve">When testing is received for an inactivated unit or unit in final status, the system provides a warning message: “Cannot perform testing on an inactivated unit or a unit in final status.” </w:t>
            </w:r>
            <w:r w:rsidRPr="00602E53">
              <w:t>The test cannot be saved in VBECS and must be rejected.</w:t>
            </w:r>
          </w:p>
          <w:p w14:paraId="6A424811" w14:textId="77777777" w:rsidR="00D0496E" w:rsidRPr="00602E53" w:rsidRDefault="00D0496E" w:rsidP="004A39DB">
            <w:pPr>
              <w:pStyle w:val="TableText"/>
            </w:pPr>
          </w:p>
        </w:tc>
      </w:tr>
      <w:tr w:rsidR="00B45FA2" w14:paraId="28CE06A6" w14:textId="77777777" w:rsidTr="003F6E8A">
        <w:tc>
          <w:tcPr>
            <w:tcW w:w="3240" w:type="dxa"/>
          </w:tcPr>
          <w:p w14:paraId="527CAD44" w14:textId="77777777" w:rsidR="00B45FA2" w:rsidRDefault="00602E53" w:rsidP="00665554">
            <w:pPr>
              <w:pStyle w:val="TableTextNumbers"/>
            </w:pPr>
            <w:r>
              <w:rPr>
                <w:rFonts w:cs="Arial"/>
                <w:szCs w:val="18"/>
              </w:rPr>
              <w:t xml:space="preserve">User selects a </w:t>
            </w:r>
            <w:r w:rsidR="00665554">
              <w:rPr>
                <w:rFonts w:cs="Arial"/>
                <w:szCs w:val="18"/>
              </w:rPr>
              <w:t xml:space="preserve">unit </w:t>
            </w:r>
            <w:r>
              <w:rPr>
                <w:rFonts w:cs="Arial"/>
                <w:szCs w:val="18"/>
              </w:rPr>
              <w:t>for review</w:t>
            </w:r>
            <w:r w:rsidR="00C95ED8">
              <w:rPr>
                <w:rFonts w:cs="Arial"/>
                <w:szCs w:val="18"/>
              </w:rPr>
              <w:t xml:space="preserve"> by clicking the check box next to a unit</w:t>
            </w:r>
            <w:r>
              <w:rPr>
                <w:rFonts w:cs="Arial"/>
                <w:szCs w:val="18"/>
              </w:rPr>
              <w:t>.</w:t>
            </w:r>
          </w:p>
        </w:tc>
        <w:tc>
          <w:tcPr>
            <w:tcW w:w="6120" w:type="dxa"/>
          </w:tcPr>
          <w:p w14:paraId="140FE02C" w14:textId="77777777" w:rsidR="00B45FA2" w:rsidRDefault="00B45FA2" w:rsidP="003F6E8A">
            <w:pPr>
              <w:pStyle w:val="TableTextBullet"/>
            </w:pPr>
            <w:r>
              <w:rPr>
                <w:rFonts w:cs="Arial"/>
                <w:vanish/>
              </w:rPr>
              <w:t xml:space="preserve">BR_85.02 </w:t>
            </w:r>
            <w:r w:rsidR="00D279DE">
              <w:t>Al</w:t>
            </w:r>
            <w:r w:rsidR="00602E53">
              <w:t>lows selection of</w:t>
            </w:r>
            <w:r w:rsidR="00D85353">
              <w:t xml:space="preserve"> blood unit test results</w:t>
            </w:r>
            <w:r>
              <w:t>.</w:t>
            </w:r>
          </w:p>
          <w:p w14:paraId="4017C2FD" w14:textId="77777777" w:rsidR="00D85353" w:rsidRDefault="00D85353" w:rsidP="00DB1497">
            <w:pPr>
              <w:pStyle w:val="TableTextBullet"/>
              <w:numPr>
                <w:ilvl w:val="0"/>
                <w:numId w:val="0"/>
              </w:numPr>
              <w:ind w:left="288" w:hanging="288"/>
            </w:pPr>
          </w:p>
          <w:p w14:paraId="6AA036EE" w14:textId="5203ACE3" w:rsidR="00DB1497" w:rsidRDefault="00DB1497" w:rsidP="00DB1497">
            <w:pPr>
              <w:pStyle w:val="TableText"/>
              <w:rPr>
                <w:b/>
                <w:bCs/>
                <w:szCs w:val="18"/>
              </w:rPr>
            </w:pPr>
            <w:r>
              <w:rPr>
                <w:b/>
                <w:bCs/>
                <w:szCs w:val="18"/>
              </w:rPr>
              <w:t>NOTES</w:t>
            </w:r>
          </w:p>
          <w:p w14:paraId="1F682C31" w14:textId="77777777" w:rsidR="00DB1497" w:rsidRDefault="00DB1497" w:rsidP="00DB1497">
            <w:pPr>
              <w:pStyle w:val="NotesText"/>
            </w:pPr>
          </w:p>
          <w:p w14:paraId="7A742492" w14:textId="77777777" w:rsidR="00DB1497" w:rsidRDefault="00D85353" w:rsidP="00DB1497">
            <w:pPr>
              <w:pStyle w:val="TableText"/>
              <w:ind w:left="720"/>
            </w:pPr>
            <w:r w:rsidRPr="00D85353">
              <w:rPr>
                <w:vanish/>
              </w:rPr>
              <w:t xml:space="preserve">BR_115.13 </w:t>
            </w:r>
            <w:r>
              <w:t>Selection of multiple tests with a Valid indicator is permitted.</w:t>
            </w:r>
          </w:p>
          <w:p w14:paraId="54ABEDE6" w14:textId="77777777" w:rsidR="00D85353" w:rsidRDefault="00D85353" w:rsidP="00DB1497">
            <w:pPr>
              <w:pStyle w:val="TableText"/>
              <w:ind w:left="720"/>
            </w:pPr>
          </w:p>
          <w:p w14:paraId="62D269F1" w14:textId="77777777" w:rsidR="004A39DB" w:rsidRDefault="004A39DB" w:rsidP="00DB1497">
            <w:pPr>
              <w:pStyle w:val="TableText"/>
              <w:ind w:left="720"/>
            </w:pPr>
            <w:r w:rsidRPr="00D85353">
              <w:rPr>
                <w:vanish/>
              </w:rPr>
              <w:t xml:space="preserve">BR_115.25 </w:t>
            </w:r>
            <w:r>
              <w:t xml:space="preserve">Tests with a </w:t>
            </w:r>
            <w:r>
              <w:rPr>
                <w:rFonts w:cs="Arial"/>
              </w:rPr>
              <w:t>Warning or Error indicator can only be selected and processed one at a time (no batch selection).</w:t>
            </w:r>
          </w:p>
          <w:p w14:paraId="3D373724" w14:textId="77777777" w:rsidR="004A39DB" w:rsidRDefault="004A39DB" w:rsidP="00DB1497">
            <w:pPr>
              <w:pStyle w:val="TableText"/>
              <w:ind w:left="720"/>
            </w:pPr>
          </w:p>
          <w:p w14:paraId="0A4B2BD6" w14:textId="77777777" w:rsidR="00711E45" w:rsidRDefault="00711E45" w:rsidP="00711E45">
            <w:pPr>
              <w:pStyle w:val="TableText"/>
              <w:ind w:left="720"/>
            </w:pPr>
            <w:r w:rsidRPr="00B30800">
              <w:rPr>
                <w:vanish/>
              </w:rPr>
              <w:t xml:space="preserve">BR_115.32 </w:t>
            </w:r>
            <w:r>
              <w:t>If the unit id transferred from the instrument does not uniquely identify the unit In VBECS, then the system will prompt the user to select the correct product code for the unit available in VBECS.</w:t>
            </w:r>
          </w:p>
          <w:p w14:paraId="00DD565C" w14:textId="77777777" w:rsidR="00711E45" w:rsidRDefault="00711E45" w:rsidP="00711E45">
            <w:pPr>
              <w:pStyle w:val="TableText"/>
              <w:ind w:left="720"/>
            </w:pPr>
          </w:p>
          <w:p w14:paraId="4646C1F1" w14:textId="77777777" w:rsidR="00D85353" w:rsidRDefault="00D85353" w:rsidP="00D85353">
            <w:pPr>
              <w:pStyle w:val="TableText"/>
              <w:ind w:left="720"/>
            </w:pPr>
            <w:r>
              <w:t>Selection of blood products is based on product codes that require ABO/Rh confirmation.</w:t>
            </w:r>
          </w:p>
          <w:p w14:paraId="238B0F13" w14:textId="77777777" w:rsidR="00D85353" w:rsidRDefault="00D85353" w:rsidP="004A39DB">
            <w:pPr>
              <w:pStyle w:val="TableText"/>
            </w:pPr>
          </w:p>
        </w:tc>
      </w:tr>
      <w:tr w:rsidR="00B45FA2" w14:paraId="714BED40" w14:textId="77777777" w:rsidTr="003F6E8A">
        <w:tc>
          <w:tcPr>
            <w:tcW w:w="3240" w:type="dxa"/>
          </w:tcPr>
          <w:p w14:paraId="02E1D15F" w14:textId="77777777" w:rsidR="00665554" w:rsidRPr="00665554" w:rsidRDefault="00665554" w:rsidP="00665554">
            <w:pPr>
              <w:pStyle w:val="TableTextNumbers"/>
            </w:pPr>
            <w:r>
              <w:rPr>
                <w:rFonts w:cs="Arial"/>
                <w:szCs w:val="18"/>
              </w:rPr>
              <w:t xml:space="preserve">User </w:t>
            </w:r>
            <w:r w:rsidRPr="00665554">
              <w:rPr>
                <w:rFonts w:cs="Arial"/>
                <w:b/>
                <w:szCs w:val="18"/>
              </w:rPr>
              <w:t>Accepts</w:t>
            </w:r>
            <w:r>
              <w:rPr>
                <w:rFonts w:cs="Arial"/>
                <w:szCs w:val="18"/>
              </w:rPr>
              <w:t xml:space="preserve"> or </w:t>
            </w:r>
            <w:r w:rsidRPr="00665554">
              <w:rPr>
                <w:rFonts w:cs="Arial"/>
                <w:b/>
                <w:szCs w:val="18"/>
              </w:rPr>
              <w:t>R</w:t>
            </w:r>
            <w:r w:rsidR="00D85353" w:rsidRPr="00665554">
              <w:rPr>
                <w:rFonts w:cs="Arial"/>
                <w:b/>
                <w:szCs w:val="18"/>
              </w:rPr>
              <w:t>ejects</w:t>
            </w:r>
            <w:r w:rsidR="00D85353" w:rsidRPr="00F130A1">
              <w:rPr>
                <w:rFonts w:cs="Arial"/>
                <w:szCs w:val="18"/>
              </w:rPr>
              <w:t xml:space="preserve"> the selected unit test</w:t>
            </w:r>
            <w:r>
              <w:rPr>
                <w:rFonts w:cs="Arial"/>
                <w:szCs w:val="18"/>
              </w:rPr>
              <w:t xml:space="preserve"> results</w:t>
            </w:r>
            <w:r w:rsidR="00D85353" w:rsidRPr="00F130A1">
              <w:rPr>
                <w:rFonts w:cs="Arial"/>
                <w:szCs w:val="18"/>
              </w:rPr>
              <w:t>.</w:t>
            </w:r>
          </w:p>
          <w:p w14:paraId="2C29CC6E" w14:textId="77777777" w:rsidR="00665554" w:rsidRDefault="00665554" w:rsidP="00665554">
            <w:pPr>
              <w:pStyle w:val="TableTextNumbers"/>
              <w:numPr>
                <w:ilvl w:val="0"/>
                <w:numId w:val="0"/>
              </w:numPr>
              <w:ind w:left="288" w:hanging="288"/>
            </w:pPr>
          </w:p>
        </w:tc>
        <w:tc>
          <w:tcPr>
            <w:tcW w:w="6120" w:type="dxa"/>
          </w:tcPr>
          <w:p w14:paraId="5A94642A" w14:textId="77777777" w:rsidR="00B45FA2" w:rsidRPr="00004A4C" w:rsidRDefault="00B45FA2" w:rsidP="00D85353">
            <w:pPr>
              <w:pStyle w:val="TableTextBullet"/>
            </w:pPr>
            <w:r>
              <w:rPr>
                <w:rFonts w:cs="Arial"/>
                <w:vanish/>
              </w:rPr>
              <w:t xml:space="preserve">BR_74.01 </w:t>
            </w:r>
            <w:r w:rsidR="00D279DE">
              <w:t>P</w:t>
            </w:r>
            <w:r w:rsidR="00D85353">
              <w:t>rocesses any applicable overrides.</w:t>
            </w:r>
          </w:p>
          <w:p w14:paraId="09D385B0" w14:textId="77777777" w:rsidR="00004A4C" w:rsidRDefault="00004A4C" w:rsidP="00004A4C">
            <w:pPr>
              <w:pStyle w:val="TableText"/>
            </w:pPr>
          </w:p>
          <w:p w14:paraId="12BC7008" w14:textId="720C5B46" w:rsidR="00004A4C" w:rsidRDefault="00004A4C" w:rsidP="00004A4C">
            <w:pPr>
              <w:pStyle w:val="TableText"/>
              <w:rPr>
                <w:b/>
                <w:bCs/>
                <w:szCs w:val="18"/>
              </w:rPr>
            </w:pPr>
            <w:r>
              <w:rPr>
                <w:b/>
                <w:bCs/>
                <w:szCs w:val="18"/>
              </w:rPr>
              <w:t>NOTES</w:t>
            </w:r>
          </w:p>
          <w:p w14:paraId="62229422" w14:textId="77777777" w:rsidR="00004A4C" w:rsidRDefault="00004A4C" w:rsidP="00004A4C">
            <w:pPr>
              <w:pStyle w:val="NotesText"/>
            </w:pPr>
          </w:p>
          <w:p w14:paraId="6399C327" w14:textId="77777777" w:rsidR="00665554" w:rsidRPr="00920163" w:rsidRDefault="00665554" w:rsidP="00665554">
            <w:pPr>
              <w:pStyle w:val="TableText"/>
              <w:ind w:left="720"/>
              <w:rPr>
                <w:rFonts w:eastAsia="Calibri"/>
                <w:szCs w:val="18"/>
              </w:rPr>
            </w:pPr>
            <w:r>
              <w:rPr>
                <w:vanish/>
              </w:rPr>
              <w:t xml:space="preserve">BR_115.05 </w:t>
            </w:r>
            <w:r>
              <w:t xml:space="preserve">When the test is rejected, the system will: </w:t>
            </w:r>
          </w:p>
          <w:p w14:paraId="1CE0911A" w14:textId="77777777" w:rsidR="00665554" w:rsidRPr="00064B9D" w:rsidRDefault="00665554" w:rsidP="00925CAD">
            <w:pPr>
              <w:pStyle w:val="TableText"/>
              <w:numPr>
                <w:ilvl w:val="0"/>
                <w:numId w:val="49"/>
              </w:numPr>
              <w:ind w:left="1080"/>
              <w:rPr>
                <w:sz w:val="20"/>
              </w:rPr>
            </w:pPr>
            <w:r>
              <w:t>Prompt user to confirm they want to reject.</w:t>
            </w:r>
          </w:p>
          <w:p w14:paraId="6E2B556E" w14:textId="77777777" w:rsidR="00064B9D" w:rsidRDefault="00064B9D" w:rsidP="00925CAD">
            <w:pPr>
              <w:pStyle w:val="TableText"/>
              <w:numPr>
                <w:ilvl w:val="0"/>
                <w:numId w:val="49"/>
              </w:numPr>
              <w:ind w:left="1080"/>
              <w:rPr>
                <w:sz w:val="20"/>
              </w:rPr>
            </w:pPr>
            <w:r>
              <w:t>Prompt user to enter a comment reason for rejection.</w:t>
            </w:r>
            <w:r w:rsidR="00987559">
              <w:t xml:space="preserve"> </w:t>
            </w:r>
            <w:r w:rsidR="00987559" w:rsidRPr="00987559">
              <w:rPr>
                <w:vanish/>
              </w:rPr>
              <w:t>Defect 357490</w:t>
            </w:r>
          </w:p>
          <w:p w14:paraId="0F7945A4" w14:textId="77777777" w:rsidR="00665554" w:rsidRDefault="00665554" w:rsidP="00925CAD">
            <w:pPr>
              <w:pStyle w:val="TableText"/>
              <w:numPr>
                <w:ilvl w:val="0"/>
                <w:numId w:val="49"/>
              </w:numPr>
              <w:ind w:left="1080"/>
            </w:pPr>
            <w:r>
              <w:t>Remove the test from the list for acceptance.</w:t>
            </w:r>
          </w:p>
          <w:p w14:paraId="3A714E9D" w14:textId="77777777" w:rsidR="00665554" w:rsidRDefault="00665554" w:rsidP="00925CAD">
            <w:pPr>
              <w:pStyle w:val="TableText"/>
              <w:numPr>
                <w:ilvl w:val="0"/>
                <w:numId w:val="49"/>
              </w:numPr>
              <w:ind w:left="1080"/>
            </w:pPr>
            <w:r>
              <w:t>No rejection message is sent to the instrument.</w:t>
            </w:r>
          </w:p>
          <w:p w14:paraId="27E1B30E" w14:textId="77777777" w:rsidR="00665554" w:rsidRDefault="00665554" w:rsidP="00925CAD">
            <w:pPr>
              <w:pStyle w:val="TableText"/>
              <w:numPr>
                <w:ilvl w:val="0"/>
                <w:numId w:val="49"/>
              </w:numPr>
              <w:ind w:left="1080"/>
            </w:pPr>
            <w:r>
              <w:t>The Diagnostic test returns to the previous status and ready for testing.</w:t>
            </w:r>
          </w:p>
          <w:p w14:paraId="189EE7A5" w14:textId="77777777" w:rsidR="00064B9D" w:rsidRDefault="00064B9D" w:rsidP="00064B9D">
            <w:pPr>
              <w:pStyle w:val="TableText"/>
              <w:ind w:left="1080"/>
            </w:pPr>
          </w:p>
          <w:p w14:paraId="23296A54" w14:textId="77777777" w:rsidR="00665554" w:rsidRDefault="00665554" w:rsidP="004A39DB">
            <w:pPr>
              <w:pStyle w:val="TableText"/>
              <w:ind w:left="720"/>
            </w:pPr>
          </w:p>
          <w:p w14:paraId="06E0D3A3" w14:textId="77777777" w:rsidR="006020B2" w:rsidRDefault="006020B2" w:rsidP="004A39DB">
            <w:pPr>
              <w:pStyle w:val="TableText"/>
              <w:ind w:left="720"/>
              <w:rPr>
                <w:vanish/>
              </w:rPr>
            </w:pPr>
          </w:p>
          <w:p w14:paraId="7A23D3C0" w14:textId="40494893" w:rsidR="00004A4C" w:rsidRDefault="00D0496E" w:rsidP="004A39DB">
            <w:pPr>
              <w:pStyle w:val="TableText"/>
              <w:ind w:left="720"/>
            </w:pPr>
            <w:r w:rsidRPr="00D0496E">
              <w:rPr>
                <w:vanish/>
              </w:rPr>
              <w:t xml:space="preserve">BR_2.21 </w:t>
            </w:r>
            <w:r>
              <w:t>When an interpretation of “Inconclusive” is verified for either the ABO or Rh interpretation, the unit is given an indicator of “Quarantine” and the details of the testing are captured for inclusion in an exception report. The system provides an audible alert.</w:t>
            </w:r>
          </w:p>
          <w:p w14:paraId="4B7F6E27" w14:textId="77777777" w:rsidR="00D0496E" w:rsidRDefault="00D0496E" w:rsidP="004A39DB">
            <w:pPr>
              <w:pStyle w:val="TableText"/>
              <w:ind w:left="720"/>
              <w:rPr>
                <w:noProof/>
                <w:color w:val="000000"/>
              </w:rPr>
            </w:pPr>
          </w:p>
          <w:p w14:paraId="72B19C51" w14:textId="77777777" w:rsidR="00D0496E" w:rsidRDefault="004A39DB" w:rsidP="004A39DB">
            <w:pPr>
              <w:pStyle w:val="TableText"/>
              <w:ind w:left="720"/>
              <w:rPr>
                <w:noProof/>
              </w:rPr>
            </w:pPr>
            <w:r>
              <w:rPr>
                <w:vanish/>
              </w:rPr>
              <w:t>BR_2.1</w:t>
            </w:r>
            <w:r w:rsidR="00DC7696" w:rsidRPr="00DC7696">
              <w:rPr>
                <w:vanish/>
              </w:rPr>
              <w:t xml:space="preserve">7 </w:t>
            </w:r>
            <w:r w:rsidR="00D0496E">
              <w:t xml:space="preserve">The system provides an audible alert and a warning message requiring override is generated if the ABO and/or Rh confirmation interpretation does not match the ABO and/or Rh of the unit at initial login. Upon user confirmation of the discrepancy (override), inventory units whose ABO/Rh confirmation does not match the ABO/Rh at login are given an indicator of “Quarantine” and the details of the transaction are captured for inclusion in an exception report. </w:t>
            </w:r>
          </w:p>
          <w:p w14:paraId="22C6BA93" w14:textId="77777777" w:rsidR="00F130A1" w:rsidRDefault="00F130A1" w:rsidP="004A39DB">
            <w:pPr>
              <w:pStyle w:val="StyleTableText9ptChar"/>
              <w:ind w:left="720"/>
            </w:pPr>
          </w:p>
          <w:p w14:paraId="3CF069A7" w14:textId="77777777" w:rsidR="00F130A1" w:rsidRDefault="00F130A1" w:rsidP="00F130A1">
            <w:pPr>
              <w:pStyle w:val="TableText"/>
              <w:ind w:left="720"/>
            </w:pPr>
            <w:r w:rsidRPr="00F130A1">
              <w:rPr>
                <w:vanish/>
              </w:rPr>
              <w:t xml:space="preserve">BR_2.18 </w:t>
            </w:r>
            <w:r>
              <w:t>The system displays all data input during the session and accommodates editing prior to the user electing to update the database. The system will warn the user that if he chooses to cancel using the cancel or “X” button</w:t>
            </w:r>
            <w:r w:rsidR="008A7BDA">
              <w:t xml:space="preserve"> or by leaving/refreshing the current page</w:t>
            </w:r>
            <w:r>
              <w:t>, the system will not save any data changes entered during the session.</w:t>
            </w:r>
          </w:p>
          <w:p w14:paraId="6E11F3BF" w14:textId="77777777" w:rsidR="00F130A1" w:rsidRDefault="00F130A1" w:rsidP="00F130A1">
            <w:pPr>
              <w:pStyle w:val="TableText"/>
              <w:ind w:left="720"/>
              <w:rPr>
                <w:noProof/>
                <w:color w:val="000000"/>
              </w:rPr>
            </w:pPr>
          </w:p>
          <w:p w14:paraId="41C0DC8D" w14:textId="77777777" w:rsidR="00F130A1" w:rsidRDefault="00F130A1" w:rsidP="00F130A1">
            <w:pPr>
              <w:pStyle w:val="TableText"/>
              <w:ind w:left="720"/>
            </w:pPr>
            <w:r w:rsidRPr="00F130A1">
              <w:rPr>
                <w:vanish/>
              </w:rPr>
              <w:t xml:space="preserve">BR_27.15 </w:t>
            </w:r>
            <w:r>
              <w:t>The u</w:t>
            </w:r>
            <w:r w:rsidRPr="00C441A9">
              <w:t>nit has had a quarantine indicator assigne</w:t>
            </w:r>
            <w:r>
              <w:t>d. T</w:t>
            </w:r>
            <w:r w:rsidRPr="00C441A9">
              <w:t>he system will release any patient assignment. Any patient restriction associated with the unit remains intact</w:t>
            </w:r>
            <w:r w:rsidR="006020B2">
              <w:t xml:space="preserve"> (e.g., Directed or Autologous)</w:t>
            </w:r>
            <w:r w:rsidRPr="00C441A9">
              <w:t>.</w:t>
            </w:r>
          </w:p>
          <w:p w14:paraId="1ED9D1EF" w14:textId="77777777" w:rsidR="00F130A1" w:rsidRDefault="00F130A1" w:rsidP="00F130A1">
            <w:pPr>
              <w:pStyle w:val="TableText"/>
              <w:ind w:left="720"/>
              <w:rPr>
                <w:noProof/>
                <w:color w:val="000000"/>
              </w:rPr>
            </w:pPr>
          </w:p>
          <w:p w14:paraId="255786F5" w14:textId="77777777" w:rsidR="00711E45" w:rsidRDefault="00711E45" w:rsidP="00711E45">
            <w:pPr>
              <w:pStyle w:val="TableText"/>
              <w:ind w:left="720"/>
            </w:pPr>
            <w:r w:rsidRPr="00DC7696">
              <w:rPr>
                <w:vanish/>
              </w:rPr>
              <w:t xml:space="preserve">BR_41.12 </w:t>
            </w:r>
            <w:r w:rsidRPr="00702789">
              <w:t xml:space="preserve">The system compares the antigen typing interpretation entered by the technologist to any previously assigned antigen typing for the same antigen (Incoming Shipment, Edit Unit Information, or antigen typing test </w:t>
            </w:r>
            <w:r w:rsidRPr="00DC7696">
              <w:t>other than weak D</w:t>
            </w:r>
            <w:r w:rsidRPr="00702789">
              <w:t>). If the current interpretation does not match the previously identified antigen type, the system displays a warning mes</w:t>
            </w:r>
            <w:r>
              <w:t xml:space="preserve">sage and quarantines the unit: </w:t>
            </w:r>
            <w:r w:rsidRPr="00702789">
              <w:t>Current antigen type does not match previously recorded antigen type (login, update, or test). This must be resolved before this unit can be used. Unit has been quarantined.</w:t>
            </w:r>
          </w:p>
          <w:p w14:paraId="29E12345" w14:textId="77777777" w:rsidR="00711E45" w:rsidRDefault="00711E45" w:rsidP="00711E45">
            <w:pPr>
              <w:pStyle w:val="TableText"/>
              <w:ind w:left="720"/>
            </w:pPr>
          </w:p>
          <w:p w14:paraId="3D12E5BC" w14:textId="77777777" w:rsidR="00711E45" w:rsidRPr="00DC7696" w:rsidRDefault="00711E45" w:rsidP="00711E45">
            <w:pPr>
              <w:pStyle w:val="TableText"/>
              <w:ind w:left="720"/>
            </w:pPr>
            <w:r w:rsidRPr="00DC7696">
              <w:rPr>
                <w:rFonts w:cs="Arial"/>
                <w:vanish/>
              </w:rPr>
              <w:t xml:space="preserve">BR_41.22 </w:t>
            </w:r>
            <w:r w:rsidRPr="00183123">
              <w:rPr>
                <w:rFonts w:cs="Arial"/>
              </w:rPr>
              <w:t xml:space="preserve">When a weak D interpretation is positive or inconclusive and is verified for a tested blood unit that was labeled as (Rh) D negative, display a warning message and add the quarantine indicator to the unit: "Unit is weak D positive or inconclusive: unit </w:t>
            </w:r>
            <w:r>
              <w:rPr>
                <w:rFonts w:cs="Arial"/>
              </w:rPr>
              <w:t>will be</w:t>
            </w:r>
            <w:r w:rsidRPr="00183123">
              <w:rPr>
                <w:rFonts w:cs="Arial"/>
              </w:rPr>
              <w:t xml:space="preserve"> quarantined." No user action is required.</w:t>
            </w:r>
          </w:p>
          <w:p w14:paraId="190424B5" w14:textId="77777777" w:rsidR="00711E45" w:rsidRDefault="00711E45" w:rsidP="00711E45">
            <w:pPr>
              <w:pStyle w:val="TableText"/>
              <w:ind w:left="720"/>
              <w:rPr>
                <w:noProof/>
                <w:color w:val="000000"/>
              </w:rPr>
            </w:pPr>
          </w:p>
          <w:p w14:paraId="4F00EB33" w14:textId="77777777" w:rsidR="00F130A1" w:rsidRPr="00004A4C" w:rsidRDefault="00987559" w:rsidP="00003BE9">
            <w:pPr>
              <w:pStyle w:val="TableText"/>
              <w:ind w:left="720"/>
              <w:rPr>
                <w:noProof/>
                <w:color w:val="000000"/>
              </w:rPr>
            </w:pPr>
            <w:r w:rsidRPr="00987559">
              <w:rPr>
                <w:vanish/>
              </w:rPr>
              <w:t xml:space="preserve">Defect 357490 </w:t>
            </w:r>
            <w:r w:rsidR="00711E45" w:rsidRPr="00DC7696">
              <w:rPr>
                <w:vanish/>
              </w:rPr>
              <w:t xml:space="preserve">BR_56.29 </w:t>
            </w:r>
            <w:r w:rsidR="00711E45">
              <w:t>When a unit was issued and a conflicting test result found that indicates a potential unit incompatibility with the patient, such as a patient ABO/Rh discrepancy, or the unit is antigen positive where antigen negative is required on the tested specimen, VBECS displays a warning message</w:t>
            </w:r>
            <w:r w:rsidR="00711E45" w:rsidRPr="007C05B4">
              <w:t xml:space="preserve"> such as: Unit has been issued. Notify the physician of this potential problem IMMEDIATELY, per hospital policy! </w:t>
            </w:r>
            <w:r w:rsidR="00711E45">
              <w:t>The warning message displays during the execution of the various tests related to the compatibility of a blood unit. An exception report entry is generated at the save.</w:t>
            </w:r>
          </w:p>
        </w:tc>
      </w:tr>
      <w:tr w:rsidR="00C95ED8" w14:paraId="07961710" w14:textId="77777777" w:rsidTr="003F6E8A">
        <w:tc>
          <w:tcPr>
            <w:tcW w:w="3240" w:type="dxa"/>
          </w:tcPr>
          <w:p w14:paraId="08D99568" w14:textId="77777777" w:rsidR="00C95ED8" w:rsidRDefault="00C95ED8" w:rsidP="00307125">
            <w:pPr>
              <w:pStyle w:val="TableTextNumbers"/>
            </w:pPr>
            <w:r>
              <w:t xml:space="preserve">User clicks </w:t>
            </w:r>
            <w:r w:rsidRPr="00C95ED8">
              <w:rPr>
                <w:b/>
              </w:rPr>
              <w:t>Yes</w:t>
            </w:r>
            <w:r>
              <w:t xml:space="preserve"> to acknowledge acceptance or rejection of test results</w:t>
            </w:r>
            <w:r w:rsidR="00DA6624">
              <w:t>.</w:t>
            </w:r>
          </w:p>
        </w:tc>
        <w:tc>
          <w:tcPr>
            <w:tcW w:w="6120" w:type="dxa"/>
          </w:tcPr>
          <w:p w14:paraId="1E4572A7" w14:textId="77777777" w:rsidR="00C95ED8" w:rsidRPr="00004A4C" w:rsidRDefault="00C95ED8" w:rsidP="00C95ED8">
            <w:pPr>
              <w:pStyle w:val="TableTextBullet"/>
            </w:pPr>
            <w:r>
              <w:t>Saves user input.</w:t>
            </w:r>
          </w:p>
          <w:p w14:paraId="694C2929" w14:textId="77777777" w:rsidR="00C95ED8" w:rsidRDefault="00C95ED8" w:rsidP="00C95ED8">
            <w:pPr>
              <w:pStyle w:val="TableText"/>
            </w:pPr>
          </w:p>
          <w:p w14:paraId="29D40873" w14:textId="5F169253" w:rsidR="00C95ED8" w:rsidRDefault="00C95ED8" w:rsidP="00C95ED8">
            <w:pPr>
              <w:pStyle w:val="TableText"/>
              <w:rPr>
                <w:b/>
                <w:bCs/>
                <w:szCs w:val="18"/>
              </w:rPr>
            </w:pPr>
            <w:r>
              <w:rPr>
                <w:b/>
                <w:bCs/>
                <w:szCs w:val="18"/>
              </w:rPr>
              <w:t>NOTES</w:t>
            </w:r>
          </w:p>
          <w:p w14:paraId="4654F599" w14:textId="77777777" w:rsidR="00C95ED8" w:rsidRDefault="00C95ED8" w:rsidP="00C95ED8">
            <w:pPr>
              <w:pStyle w:val="NotesText"/>
            </w:pPr>
          </w:p>
          <w:p w14:paraId="445ED5E9" w14:textId="77777777" w:rsidR="004A39DB" w:rsidRDefault="00987559" w:rsidP="004A39DB">
            <w:pPr>
              <w:pStyle w:val="TableTextBullet"/>
              <w:numPr>
                <w:ilvl w:val="0"/>
                <w:numId w:val="0"/>
              </w:numPr>
              <w:ind w:left="720"/>
            </w:pPr>
            <w:r w:rsidRPr="00987559">
              <w:rPr>
                <w:vanish/>
              </w:rPr>
              <w:t xml:space="preserve">Defect 357490 </w:t>
            </w:r>
            <w:r w:rsidR="00C95ED8" w:rsidRPr="00F130A1">
              <w:rPr>
                <w:vanish/>
              </w:rPr>
              <w:t xml:space="preserve">BR_2.12 </w:t>
            </w:r>
            <w:r w:rsidR="00C95ED8">
              <w:t>Upon successful completion of ABO/Rh confirmation</w:t>
            </w:r>
            <w:r w:rsidR="00064B9D">
              <w:t xml:space="preserve"> and/or Antigen Typing completion</w:t>
            </w:r>
            <w:r w:rsidR="00C95ED8">
              <w:t>, the unit status is updated. Successful completion means that the ABO and Rh (if required) interpretation is consistent with recorded observed results and matches the ABO/Rh at unit login and any repeat ABO/Rh tests on the unit that are not invalidated</w:t>
            </w:r>
          </w:p>
          <w:p w14:paraId="054111A2" w14:textId="77777777" w:rsidR="004A39DB" w:rsidRDefault="004A39DB" w:rsidP="004A39DB">
            <w:pPr>
              <w:pStyle w:val="TableTextBullet"/>
              <w:numPr>
                <w:ilvl w:val="0"/>
                <w:numId w:val="0"/>
              </w:numPr>
              <w:ind w:left="720"/>
            </w:pPr>
          </w:p>
          <w:p w14:paraId="2C4E19FE" w14:textId="77777777" w:rsidR="004A39DB" w:rsidRPr="00920163" w:rsidRDefault="004A39DB" w:rsidP="004A39DB">
            <w:pPr>
              <w:pStyle w:val="TableText"/>
              <w:ind w:left="720"/>
              <w:rPr>
                <w:rFonts w:eastAsia="Calibri"/>
                <w:szCs w:val="18"/>
              </w:rPr>
            </w:pPr>
            <w:r w:rsidRPr="004A39DB">
              <w:rPr>
                <w:vanish/>
              </w:rPr>
              <w:t xml:space="preserve">BR_115.05 </w:t>
            </w:r>
            <w:r>
              <w:t xml:space="preserve">When the test is rejected, the system will: </w:t>
            </w:r>
          </w:p>
          <w:p w14:paraId="4B47EA35" w14:textId="77777777" w:rsidR="004A39DB" w:rsidRDefault="004A39DB" w:rsidP="00925CAD">
            <w:pPr>
              <w:pStyle w:val="TableText"/>
              <w:numPr>
                <w:ilvl w:val="0"/>
                <w:numId w:val="49"/>
              </w:numPr>
              <w:ind w:left="1080"/>
              <w:rPr>
                <w:sz w:val="20"/>
              </w:rPr>
            </w:pPr>
            <w:r>
              <w:t>Prompt user to confirm they want to reject.</w:t>
            </w:r>
          </w:p>
          <w:p w14:paraId="20F0D14B" w14:textId="77777777" w:rsidR="004A39DB" w:rsidRDefault="004A39DB" w:rsidP="00925CAD">
            <w:pPr>
              <w:pStyle w:val="TableText"/>
              <w:numPr>
                <w:ilvl w:val="0"/>
                <w:numId w:val="49"/>
              </w:numPr>
              <w:ind w:left="1080"/>
            </w:pPr>
            <w:r>
              <w:t>Remove the test from the list for acceptance.</w:t>
            </w:r>
          </w:p>
          <w:p w14:paraId="5199DC26" w14:textId="77777777" w:rsidR="004A39DB" w:rsidRDefault="004A39DB" w:rsidP="00925CAD">
            <w:pPr>
              <w:pStyle w:val="TableText"/>
              <w:numPr>
                <w:ilvl w:val="0"/>
                <w:numId w:val="49"/>
              </w:numPr>
              <w:ind w:left="1080"/>
            </w:pPr>
            <w:r>
              <w:t>No rejection message is sent to the instrument.</w:t>
            </w:r>
          </w:p>
          <w:p w14:paraId="169F7699" w14:textId="77777777" w:rsidR="004A39DB" w:rsidRDefault="004A39DB" w:rsidP="00925CAD">
            <w:pPr>
              <w:pStyle w:val="TableText"/>
              <w:numPr>
                <w:ilvl w:val="0"/>
                <w:numId w:val="49"/>
              </w:numPr>
              <w:ind w:left="1080"/>
            </w:pPr>
            <w:r>
              <w:t>The Diagnostic test returns to the previous status and ready for testing.</w:t>
            </w:r>
          </w:p>
          <w:p w14:paraId="7E95886C" w14:textId="77777777" w:rsidR="004A39DB" w:rsidRDefault="004A39DB" w:rsidP="004A39DB">
            <w:pPr>
              <w:pStyle w:val="TableTextBullet"/>
              <w:numPr>
                <w:ilvl w:val="0"/>
                <w:numId w:val="0"/>
              </w:numPr>
              <w:ind w:left="720"/>
            </w:pPr>
          </w:p>
          <w:p w14:paraId="499F83F4" w14:textId="77777777" w:rsidR="004A39DB" w:rsidRDefault="004A39DB" w:rsidP="004A39DB">
            <w:pPr>
              <w:pStyle w:val="TableTextBullet"/>
              <w:numPr>
                <w:ilvl w:val="0"/>
                <w:numId w:val="0"/>
              </w:numPr>
              <w:ind w:left="288" w:hanging="288"/>
            </w:pPr>
          </w:p>
        </w:tc>
      </w:tr>
    </w:tbl>
    <w:p w14:paraId="23FF781D" w14:textId="37805910" w:rsidR="00937534" w:rsidRDefault="00937534" w:rsidP="00937534">
      <w:pPr>
        <w:pStyle w:val="Caption"/>
      </w:pPr>
      <w:bookmarkStart w:id="524" w:name="_Ref447168071"/>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115</w:t>
      </w:r>
      <w:r w:rsidR="004E20BD">
        <w:rPr>
          <w:noProof/>
        </w:rPr>
        <w:fldChar w:fldCharType="end"/>
      </w:r>
      <w:bookmarkEnd w:id="524"/>
      <w:r>
        <w:t>: Automated Testing – Pending Blood Units Window</w:t>
      </w:r>
    </w:p>
    <w:p w14:paraId="1AAFA5F6" w14:textId="77777777" w:rsidR="005E6617" w:rsidRPr="005E6617" w:rsidRDefault="00057948" w:rsidP="005E6617">
      <w:pPr>
        <w:pStyle w:val="BodyText"/>
      </w:pPr>
      <w:r>
        <w:rPr>
          <w:noProof/>
        </w:rPr>
        <w:drawing>
          <wp:inline distT="0" distB="0" distL="0" distR="0" wp14:anchorId="7BC3C39B" wp14:editId="5BABFBAE">
            <wp:extent cx="5163185" cy="1311275"/>
            <wp:effectExtent l="0" t="0" r="0" b="3175"/>
            <wp:docPr id="264" name="Picture 264" descr="Example of Automated Testing - Pending Blood Units Window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Example of Automated Testing - Pending Blood Units Window screen captur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163185" cy="1311275"/>
                    </a:xfrm>
                    <a:prstGeom prst="rect">
                      <a:avLst/>
                    </a:prstGeom>
                    <a:noFill/>
                    <a:ln>
                      <a:noFill/>
                    </a:ln>
                  </pic:spPr>
                </pic:pic>
              </a:graphicData>
            </a:graphic>
          </wp:inline>
        </w:drawing>
      </w:r>
    </w:p>
    <w:p w14:paraId="5F7E9566" w14:textId="77777777" w:rsidR="00BE554D" w:rsidRDefault="005E6617" w:rsidP="005E6617">
      <w:pPr>
        <w:pStyle w:val="Heading2"/>
      </w:pPr>
      <w:r>
        <w:br w:type="page"/>
      </w:r>
      <w:bookmarkStart w:id="525" w:name="_Toc149064176"/>
      <w:r w:rsidR="00BE554D" w:rsidRPr="00937534">
        <w:t>Automated Testing Review for Patients</w:t>
      </w:r>
      <w:bookmarkEnd w:id="525"/>
      <w:r w:rsidR="00B31DA1" w:rsidRPr="00836786">
        <w:rPr>
          <w:vanish/>
        </w:rPr>
        <w:t xml:space="preserve">{ XE “Automated Testing Review for </w:t>
      </w:r>
      <w:r w:rsidR="00B31DA1">
        <w:rPr>
          <w:vanish/>
        </w:rPr>
        <w:t>Patients</w:t>
      </w:r>
      <w:r w:rsidR="00B31DA1" w:rsidRPr="00836786">
        <w:rPr>
          <w:vanish/>
        </w:rPr>
        <w:t>” }</w:t>
      </w:r>
      <w:r w:rsidR="00B31DA1">
        <w:t xml:space="preserve"> </w:t>
      </w:r>
      <w:r w:rsidR="00BE554D">
        <w:rPr>
          <w:vanish/>
        </w:rPr>
        <w:t>UC_115</w:t>
      </w:r>
    </w:p>
    <w:p w14:paraId="16364B64" w14:textId="28091E52" w:rsidR="00BE554D" w:rsidRDefault="00BE554D" w:rsidP="00BE554D">
      <w:pPr>
        <w:pStyle w:val="Heading4"/>
        <w:rPr>
          <w:rFonts w:ascii="Times New Roman" w:hAnsi="Times New Roman"/>
          <w:b w:val="0"/>
          <w:spacing w:val="-5"/>
          <w:szCs w:val="22"/>
        </w:rPr>
      </w:pPr>
      <w:r>
        <w:rPr>
          <w:rFonts w:ascii="Times New Roman" w:hAnsi="Times New Roman"/>
          <w:b w:val="0"/>
          <w:spacing w:val="-5"/>
          <w:szCs w:val="22"/>
        </w:rPr>
        <w:t>A</w:t>
      </w:r>
      <w:r w:rsidRPr="00D23C29">
        <w:rPr>
          <w:rFonts w:ascii="Times New Roman" w:hAnsi="Times New Roman"/>
          <w:b w:val="0"/>
          <w:spacing w:val="-5"/>
          <w:szCs w:val="22"/>
        </w:rPr>
        <w:t>llow</w:t>
      </w:r>
      <w:r>
        <w:rPr>
          <w:rFonts w:ascii="Times New Roman" w:hAnsi="Times New Roman"/>
          <w:b w:val="0"/>
          <w:spacing w:val="-5"/>
          <w:szCs w:val="22"/>
        </w:rPr>
        <w:t xml:space="preserve">s the user to review and approve testing results completed on an automated instrument and transmitted to </w:t>
      </w:r>
      <w:r w:rsidRPr="00D23C29">
        <w:rPr>
          <w:rFonts w:ascii="Times New Roman" w:hAnsi="Times New Roman"/>
          <w:b w:val="0"/>
          <w:spacing w:val="-5"/>
          <w:szCs w:val="22"/>
        </w:rPr>
        <w:t>VBECS.</w:t>
      </w:r>
    </w:p>
    <w:p w14:paraId="3BF6ECEE" w14:textId="77777777" w:rsidR="00BE554D" w:rsidRPr="00D23C29" w:rsidRDefault="00BE554D" w:rsidP="00BE554D">
      <w:pPr>
        <w:pStyle w:val="Heading4"/>
      </w:pPr>
      <w:r w:rsidRPr="00D23C29">
        <w:t xml:space="preserve">Assumptions </w:t>
      </w:r>
    </w:p>
    <w:p w14:paraId="0AEC49BF"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Division is defined as full service.</w:t>
      </w:r>
    </w:p>
    <w:p w14:paraId="25D5CB5A"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The testing instrument is fully functional and available for use. The instrument QC is completed and valid, no maintenance is required. No QC information is transmitted to VBECS in the HL7 message.</w:t>
      </w:r>
    </w:p>
    <w:p w14:paraId="15E7008F"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Message is received</w:t>
      </w:r>
      <w:r>
        <w:rPr>
          <w:rFonts w:ascii="Times New Roman" w:hAnsi="Times New Roman"/>
          <w:spacing w:val="-5"/>
          <w:sz w:val="22"/>
          <w:szCs w:val="22"/>
        </w:rPr>
        <w:t xml:space="preserve"> successfully as defined in </w:t>
      </w:r>
      <w:r w:rsidRPr="009A3F10">
        <w:rPr>
          <w:rFonts w:ascii="Times New Roman" w:hAnsi="Times New Roman"/>
          <w:spacing w:val="-5"/>
          <w:sz w:val="22"/>
          <w:szCs w:val="22"/>
        </w:rPr>
        <w:t>Automated Testing Interface.</w:t>
      </w:r>
    </w:p>
    <w:p w14:paraId="5A0D1EA7" w14:textId="77777777" w:rsidR="00BE554D" w:rsidRPr="009A3F10" w:rsidRDefault="00BE554D" w:rsidP="00925CAD">
      <w:pPr>
        <w:pStyle w:val="TableTextBullet"/>
        <w:numPr>
          <w:ilvl w:val="0"/>
          <w:numId w:val="42"/>
        </w:numPr>
        <w:ind w:right="63"/>
        <w:rPr>
          <w:rFonts w:ascii="Times New Roman" w:hAnsi="Times New Roman"/>
          <w:spacing w:val="-5"/>
          <w:sz w:val="22"/>
          <w:szCs w:val="22"/>
        </w:rPr>
      </w:pPr>
      <w:r w:rsidRPr="009A3F10">
        <w:rPr>
          <w:rFonts w:ascii="Times New Roman" w:hAnsi="Times New Roman"/>
          <w:spacing w:val="-5"/>
          <w:sz w:val="22"/>
          <w:szCs w:val="22"/>
        </w:rPr>
        <w:t>VBECS database contains an active patient order for diagnostic tests or blood components including reflex tests that have been accepted and appear on the Pending Task List.</w:t>
      </w:r>
    </w:p>
    <w:p w14:paraId="445DC90E" w14:textId="77777777" w:rsidR="00BE554D" w:rsidRPr="009A3F10" w:rsidRDefault="00BE554D" w:rsidP="00925CAD">
      <w:pPr>
        <w:numPr>
          <w:ilvl w:val="0"/>
          <w:numId w:val="42"/>
        </w:numPr>
        <w:rPr>
          <w:spacing w:val="-5"/>
          <w:sz w:val="22"/>
          <w:szCs w:val="22"/>
        </w:rPr>
      </w:pPr>
      <w:r>
        <w:rPr>
          <w:spacing w:val="-5"/>
          <w:sz w:val="22"/>
          <w:szCs w:val="22"/>
        </w:rPr>
        <w:t xml:space="preserve">Blood Units are </w:t>
      </w:r>
      <w:r w:rsidRPr="009A3F10">
        <w:rPr>
          <w:spacing w:val="-5"/>
          <w:sz w:val="22"/>
          <w:szCs w:val="22"/>
        </w:rPr>
        <w:t>selected for a patient for serologic crossmatch testing</w:t>
      </w:r>
      <w:r>
        <w:rPr>
          <w:spacing w:val="-5"/>
          <w:sz w:val="22"/>
          <w:szCs w:val="22"/>
        </w:rPr>
        <w:t xml:space="preserve"> prior to</w:t>
      </w:r>
      <w:r w:rsidRPr="009A3F10">
        <w:rPr>
          <w:spacing w:val="-5"/>
          <w:sz w:val="22"/>
          <w:szCs w:val="22"/>
        </w:rPr>
        <w:t xml:space="preserve"> result transmission</w:t>
      </w:r>
      <w:r>
        <w:rPr>
          <w:spacing w:val="-5"/>
          <w:sz w:val="22"/>
          <w:szCs w:val="22"/>
        </w:rPr>
        <w:t xml:space="preserve"> from an automated instrument</w:t>
      </w:r>
      <w:r w:rsidRPr="009A3F10">
        <w:rPr>
          <w:spacing w:val="-5"/>
          <w:sz w:val="22"/>
          <w:szCs w:val="22"/>
        </w:rPr>
        <w:t>.</w:t>
      </w:r>
    </w:p>
    <w:p w14:paraId="5CF6F680" w14:textId="77777777" w:rsidR="00BE554D" w:rsidRPr="009A3F10" w:rsidRDefault="00BE554D" w:rsidP="00925CAD">
      <w:pPr>
        <w:numPr>
          <w:ilvl w:val="0"/>
          <w:numId w:val="42"/>
        </w:numPr>
        <w:rPr>
          <w:spacing w:val="-5"/>
          <w:sz w:val="22"/>
          <w:szCs w:val="22"/>
        </w:rPr>
      </w:pPr>
      <w:r w:rsidRPr="009A3F10">
        <w:rPr>
          <w:spacing w:val="-5"/>
          <w:sz w:val="22"/>
          <w:szCs w:val="22"/>
        </w:rPr>
        <w:t>Each transmitted test must include its results and interpretati</w:t>
      </w:r>
      <w:r>
        <w:rPr>
          <w:spacing w:val="-5"/>
          <w:sz w:val="22"/>
          <w:szCs w:val="22"/>
        </w:rPr>
        <w:t>on</w:t>
      </w:r>
      <w:r w:rsidRPr="009A3F10">
        <w:rPr>
          <w:spacing w:val="-5"/>
          <w:sz w:val="22"/>
          <w:szCs w:val="22"/>
        </w:rPr>
        <w:t>.</w:t>
      </w:r>
    </w:p>
    <w:p w14:paraId="095B733B" w14:textId="77777777" w:rsidR="00BE554D" w:rsidRDefault="00BE554D" w:rsidP="00BE554D">
      <w:pPr>
        <w:pStyle w:val="Heading4"/>
      </w:pPr>
      <w:r>
        <w:t xml:space="preserve">Outcome </w:t>
      </w:r>
    </w:p>
    <w:p w14:paraId="14605309" w14:textId="77777777" w:rsidR="00BE554D" w:rsidRPr="00D23C29" w:rsidRDefault="00BE554D" w:rsidP="00925CAD">
      <w:pPr>
        <w:pStyle w:val="TableTextBullet"/>
        <w:numPr>
          <w:ilvl w:val="0"/>
          <w:numId w:val="42"/>
        </w:numPr>
        <w:ind w:right="63"/>
        <w:rPr>
          <w:rFonts w:ascii="Times New Roman" w:hAnsi="Times New Roman"/>
          <w:spacing w:val="-5"/>
          <w:sz w:val="22"/>
          <w:szCs w:val="22"/>
        </w:rPr>
      </w:pPr>
      <w:r w:rsidRPr="00D23C29">
        <w:rPr>
          <w:rFonts w:ascii="Times New Roman" w:hAnsi="Times New Roman"/>
          <w:spacing w:val="-5"/>
          <w:sz w:val="22"/>
          <w:szCs w:val="22"/>
        </w:rPr>
        <w:t>The test record will capture the details of the verified testing. Completed, current unit and specimen test results will be available for the life of the system for inclusion in various reports generated to document patient and unit testing.</w:t>
      </w:r>
    </w:p>
    <w:p w14:paraId="4E5E4760" w14:textId="77777777" w:rsidR="00BE554D" w:rsidRPr="00D23C29" w:rsidRDefault="00BE554D" w:rsidP="00925CAD">
      <w:pPr>
        <w:pStyle w:val="TableTextBullet"/>
        <w:numPr>
          <w:ilvl w:val="0"/>
          <w:numId w:val="42"/>
        </w:numPr>
        <w:ind w:right="63"/>
        <w:rPr>
          <w:rFonts w:ascii="Times New Roman" w:hAnsi="Times New Roman"/>
          <w:spacing w:val="-5"/>
          <w:sz w:val="22"/>
          <w:szCs w:val="22"/>
        </w:rPr>
      </w:pPr>
      <w:r w:rsidRPr="00D23C29">
        <w:rPr>
          <w:rFonts w:ascii="Times New Roman" w:hAnsi="Times New Roman"/>
          <w:spacing w:val="-5"/>
          <w:sz w:val="22"/>
          <w:szCs w:val="22"/>
        </w:rPr>
        <w:t>The system updates the task status, the workload reporting in VBECS and the order status in VBECS and VistA.</w:t>
      </w:r>
    </w:p>
    <w:p w14:paraId="11E5162E" w14:textId="77777777" w:rsidR="00BE554D" w:rsidRDefault="00BE554D" w:rsidP="00BE554D">
      <w:pPr>
        <w:pStyle w:val="Heading4"/>
      </w:pPr>
      <w:r>
        <w:t>Limitations and Restrictions</w:t>
      </w:r>
      <w:r>
        <w:rPr>
          <w:b w:val="0"/>
        </w:rPr>
        <w:t xml:space="preserve"> </w:t>
      </w:r>
    </w:p>
    <w:p w14:paraId="1C909032"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 xml:space="preserve">VBECS does not accept inconclusive ABO/Rh test results.  </w:t>
      </w:r>
    </w:p>
    <w:p w14:paraId="70F88B74"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VBECS does not accept inconclusive interpretations for antibody screen tests.</w:t>
      </w:r>
    </w:p>
    <w:p w14:paraId="0A0AD150"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Immediate spin crossmatch is not allowed via au</w:t>
      </w:r>
      <w:r>
        <w:rPr>
          <w:rFonts w:ascii="Times New Roman" w:hAnsi="Times New Roman"/>
          <w:spacing w:val="-5"/>
          <w:sz w:val="22"/>
          <w:szCs w:val="22"/>
        </w:rPr>
        <w:t xml:space="preserve">tomated test entry. </w:t>
      </w:r>
    </w:p>
    <w:p w14:paraId="5C0C9A64"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 xml:space="preserve">Patient Antigen typing applies only to patient specimens </w:t>
      </w:r>
      <w:r>
        <w:rPr>
          <w:rFonts w:ascii="Times New Roman" w:hAnsi="Times New Roman"/>
          <w:spacing w:val="-5"/>
          <w:sz w:val="22"/>
          <w:szCs w:val="22"/>
        </w:rPr>
        <w:t>that contain red blood cells.</w:t>
      </w:r>
    </w:p>
    <w:p w14:paraId="6A8BCE3C" w14:textId="77777777" w:rsidR="00BE554D" w:rsidRPr="009A3F10"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The system does not check the specificity of a patient’s antibody against an existing patient antigen typing.</w:t>
      </w:r>
    </w:p>
    <w:p w14:paraId="1073C0D2" w14:textId="77777777" w:rsidR="00BE554D" w:rsidRDefault="00BE554D" w:rsidP="00925CAD">
      <w:pPr>
        <w:pStyle w:val="TableText"/>
        <w:numPr>
          <w:ilvl w:val="0"/>
          <w:numId w:val="42"/>
        </w:numPr>
        <w:rPr>
          <w:rFonts w:ascii="Times New Roman" w:hAnsi="Times New Roman"/>
          <w:spacing w:val="-5"/>
          <w:sz w:val="22"/>
          <w:szCs w:val="22"/>
        </w:rPr>
      </w:pPr>
      <w:r w:rsidRPr="009A3F10">
        <w:rPr>
          <w:rFonts w:ascii="Times New Roman" w:hAnsi="Times New Roman"/>
          <w:spacing w:val="-5"/>
          <w:sz w:val="22"/>
          <w:szCs w:val="22"/>
        </w:rPr>
        <w:t>The patient antigen typing result is not reported to the CPRS record.</w:t>
      </w:r>
    </w:p>
    <w:p w14:paraId="43B8F6C8" w14:textId="77777777" w:rsidR="00DA27C7" w:rsidRDefault="00DA27C7" w:rsidP="00925CAD">
      <w:pPr>
        <w:pStyle w:val="TableText"/>
        <w:numPr>
          <w:ilvl w:val="0"/>
          <w:numId w:val="42"/>
        </w:numPr>
        <w:rPr>
          <w:rFonts w:ascii="Times New Roman" w:hAnsi="Times New Roman"/>
          <w:spacing w:val="-5"/>
          <w:sz w:val="22"/>
          <w:szCs w:val="22"/>
        </w:rPr>
      </w:pPr>
      <w:r w:rsidRPr="00DA27C7">
        <w:rPr>
          <w:rFonts w:ascii="Times New Roman" w:hAnsi="Times New Roman"/>
          <w:spacing w:val="-5"/>
          <w:sz w:val="22"/>
          <w:szCs w:val="22"/>
        </w:rPr>
        <w:t>Order Rejection comment entry is required but is not visible on a report.</w:t>
      </w:r>
    </w:p>
    <w:p w14:paraId="29E01CDE" w14:textId="77777777" w:rsidR="00BE554D" w:rsidRDefault="00770FF0" w:rsidP="00BE554D">
      <w:pPr>
        <w:pStyle w:val="Heading4"/>
      </w:pPr>
      <w:r>
        <w:t>Additional Information</w:t>
      </w:r>
    </w:p>
    <w:p w14:paraId="15C02BB2" w14:textId="77777777" w:rsidR="002C3F2F" w:rsidRPr="002C3F2F" w:rsidRDefault="00057948" w:rsidP="00925CAD">
      <w:pPr>
        <w:pStyle w:val="ListBullet"/>
        <w:numPr>
          <w:ilvl w:val="0"/>
          <w:numId w:val="42"/>
        </w:numPr>
      </w:pPr>
      <w:r>
        <w:rPr>
          <w:noProof/>
        </w:rPr>
        <w:drawing>
          <wp:inline distT="0" distB="0" distL="0" distR="0" wp14:anchorId="08F53BE4" wp14:editId="1DF1DD3F">
            <wp:extent cx="276860" cy="221615"/>
            <wp:effectExtent l="0" t="0" r="8890" b="6985"/>
            <wp:docPr id="265" name="Picture 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 descr="Caution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860" cy="221615"/>
                    </a:xfrm>
                    <a:prstGeom prst="rect">
                      <a:avLst/>
                    </a:prstGeom>
                    <a:noFill/>
                    <a:ln>
                      <a:noFill/>
                    </a:ln>
                  </pic:spPr>
                </pic:pic>
              </a:graphicData>
            </a:graphic>
          </wp:inline>
        </w:drawing>
      </w:r>
      <w:r w:rsidR="002C3F2F">
        <w:t xml:space="preserve"> </w:t>
      </w:r>
      <w:r w:rsidR="002C3F2F" w:rsidRPr="00D52104">
        <w:t>AABB Standards (5.16.1)</w:t>
      </w:r>
      <w:r w:rsidR="002C3F2F">
        <w:t xml:space="preserve"> </w:t>
      </w:r>
      <w:r w:rsidR="002C3F2F" w:rsidRPr="00D52104">
        <w:t>requires a serological XM to detect ABO incompatibility</w:t>
      </w:r>
      <w:r w:rsidR="002C3F2F">
        <w:t>. A</w:t>
      </w:r>
      <w:r w:rsidR="002C3F2F" w:rsidRPr="00D52104">
        <w:t xml:space="preserve"> local policy must be in place if the site is not performing a IS AHG as part of their serologic crossmatch test, manual or using an instrument.</w:t>
      </w:r>
      <w:r w:rsidR="002C3F2F">
        <w:t xml:space="preserve"> </w:t>
      </w:r>
      <w:r w:rsidR="002C3F2F" w:rsidRPr="002C3F2F">
        <w:rPr>
          <w:vanish/>
        </w:rPr>
        <w:t>Defect 362099</w:t>
      </w:r>
    </w:p>
    <w:p w14:paraId="0859043D" w14:textId="77777777" w:rsidR="00BE554D" w:rsidRPr="006E44D8" w:rsidRDefault="00BE554D" w:rsidP="00925CAD">
      <w:pPr>
        <w:pStyle w:val="TableText"/>
        <w:numPr>
          <w:ilvl w:val="0"/>
          <w:numId w:val="42"/>
        </w:numPr>
        <w:rPr>
          <w:rFonts w:ascii="Times New Roman" w:hAnsi="Times New Roman"/>
          <w:spacing w:val="-5"/>
          <w:sz w:val="22"/>
          <w:szCs w:val="22"/>
        </w:rPr>
      </w:pPr>
      <w:r w:rsidRPr="006E44D8">
        <w:rPr>
          <w:rFonts w:ascii="Times New Roman" w:hAnsi="Times New Roman"/>
          <w:spacing w:val="-5"/>
          <w:sz w:val="22"/>
          <w:szCs w:val="22"/>
        </w:rPr>
        <w:t>The patient’s antigen t</w:t>
      </w:r>
      <w:r>
        <w:rPr>
          <w:rFonts w:ascii="Times New Roman" w:hAnsi="Times New Roman"/>
          <w:spacing w:val="-5"/>
          <w:sz w:val="22"/>
          <w:szCs w:val="22"/>
        </w:rPr>
        <w:t xml:space="preserve">yping information will display in </w:t>
      </w:r>
      <w:r w:rsidRPr="006E44D8">
        <w:rPr>
          <w:rFonts w:ascii="Times New Roman" w:hAnsi="Times New Roman"/>
          <w:spacing w:val="-5"/>
          <w:sz w:val="22"/>
          <w:szCs w:val="22"/>
        </w:rPr>
        <w:t>Display Patient VBECS Data, but will not appear as part of the Transfusion Requirements or Special Instructi</w:t>
      </w:r>
      <w:r>
        <w:rPr>
          <w:rFonts w:ascii="Times New Roman" w:hAnsi="Times New Roman"/>
          <w:spacing w:val="-5"/>
          <w:sz w:val="22"/>
          <w:szCs w:val="22"/>
        </w:rPr>
        <w:t xml:space="preserve">ons that display in </w:t>
      </w:r>
      <w:r w:rsidRPr="006E44D8">
        <w:rPr>
          <w:rFonts w:ascii="Times New Roman" w:hAnsi="Times New Roman"/>
          <w:spacing w:val="-5"/>
          <w:sz w:val="22"/>
          <w:szCs w:val="22"/>
        </w:rPr>
        <w:t>Display Patient Transfusion Requirements and Special Instructions.</w:t>
      </w:r>
    </w:p>
    <w:p w14:paraId="5A0450F4" w14:textId="77777777" w:rsidR="00BE554D" w:rsidRPr="00E82F44" w:rsidRDefault="00E82F44" w:rsidP="00925CAD">
      <w:pPr>
        <w:pStyle w:val="TableText"/>
        <w:numPr>
          <w:ilvl w:val="0"/>
          <w:numId w:val="42"/>
        </w:numPr>
        <w:rPr>
          <w:rFonts w:ascii="Times New Roman" w:hAnsi="Times New Roman"/>
          <w:spacing w:val="-5"/>
          <w:sz w:val="22"/>
          <w:szCs w:val="22"/>
        </w:rPr>
      </w:pPr>
      <w:r w:rsidRPr="00E82F44">
        <w:rPr>
          <w:rFonts w:ascii="Times New Roman" w:hAnsi="Times New Roman"/>
          <w:vanish/>
          <w:spacing w:val="-5"/>
          <w:sz w:val="22"/>
          <w:szCs w:val="22"/>
        </w:rPr>
        <w:t xml:space="preserve">Defect 279095 </w:t>
      </w:r>
      <w:r w:rsidR="00BE554D" w:rsidRPr="00E82F44">
        <w:rPr>
          <w:rFonts w:ascii="Times New Roman" w:hAnsi="Times New Roman"/>
          <w:spacing w:val="-5"/>
          <w:sz w:val="22"/>
          <w:szCs w:val="22"/>
        </w:rPr>
        <w:t>When the Antibody Screen test is configured with a Direct Antiglobulin Test (DAT) for manual testing, that DAT test must be executed as a separate test when using an automated instrument for testing and displays on the DAT tab, not the TAS tab.</w:t>
      </w:r>
      <w:r w:rsidR="00770FF0">
        <w:rPr>
          <w:rFonts w:ascii="Times New Roman" w:hAnsi="Times New Roman"/>
          <w:spacing w:val="-5"/>
          <w:sz w:val="22"/>
          <w:szCs w:val="22"/>
        </w:rPr>
        <w:t xml:space="preserve"> </w:t>
      </w:r>
      <w:r w:rsidR="00770FF0" w:rsidRPr="00770FF0">
        <w:rPr>
          <w:rFonts w:ascii="Times New Roman" w:hAnsi="Times New Roman"/>
          <w:spacing w:val="-5"/>
          <w:sz w:val="22"/>
          <w:szCs w:val="22"/>
        </w:rPr>
        <w:t>Attempts to send the DAT to VBECS without a separate standalone DAT order (either a DAT ordered in CPRS or a Reflex DAT entered in VBECS) will result in a rejection of the DAT result message. Users must have a separate DAT test pending in order to send test results from the Automated Instrument.</w:t>
      </w:r>
    </w:p>
    <w:p w14:paraId="72A294B4" w14:textId="77777777" w:rsidR="00BE554D" w:rsidRDefault="00BE554D" w:rsidP="00925CAD">
      <w:pPr>
        <w:pStyle w:val="TableText"/>
        <w:numPr>
          <w:ilvl w:val="0"/>
          <w:numId w:val="42"/>
        </w:numPr>
        <w:rPr>
          <w:rFonts w:ascii="Times New Roman" w:hAnsi="Times New Roman"/>
          <w:spacing w:val="-5"/>
          <w:sz w:val="22"/>
          <w:szCs w:val="22"/>
        </w:rPr>
      </w:pPr>
      <w:r w:rsidRPr="006E44D8">
        <w:rPr>
          <w:rFonts w:ascii="Times New Roman" w:hAnsi="Times New Roman"/>
          <w:spacing w:val="-5"/>
          <w:sz w:val="22"/>
          <w:szCs w:val="22"/>
        </w:rPr>
        <w:t>When Workload is</w:t>
      </w:r>
      <w:r>
        <w:rPr>
          <w:rFonts w:ascii="Times New Roman" w:hAnsi="Times New Roman"/>
          <w:spacing w:val="-5"/>
          <w:sz w:val="22"/>
          <w:szCs w:val="22"/>
        </w:rPr>
        <w:t xml:space="preserve"> not configured per </w:t>
      </w:r>
      <w:r w:rsidRPr="006E44D8">
        <w:rPr>
          <w:rFonts w:ascii="Times New Roman" w:hAnsi="Times New Roman"/>
          <w:spacing w:val="-5"/>
          <w:sz w:val="22"/>
          <w:szCs w:val="22"/>
        </w:rPr>
        <w:t>Workload Codes, then Workload cannot be collected.</w:t>
      </w:r>
    </w:p>
    <w:p w14:paraId="622FA517" w14:textId="77777777" w:rsidR="00ED1FEE" w:rsidRPr="00ED1FEE" w:rsidRDefault="00ED1FEE" w:rsidP="00925CAD">
      <w:pPr>
        <w:pStyle w:val="TableText"/>
        <w:numPr>
          <w:ilvl w:val="0"/>
          <w:numId w:val="42"/>
        </w:numPr>
        <w:rPr>
          <w:rFonts w:ascii="Times New Roman" w:hAnsi="Times New Roman"/>
          <w:spacing w:val="-5"/>
          <w:sz w:val="22"/>
          <w:szCs w:val="22"/>
        </w:rPr>
      </w:pPr>
      <w:r w:rsidRPr="00672710">
        <w:rPr>
          <w:rFonts w:ascii="Times New Roman" w:hAnsi="Times New Roman"/>
          <w:spacing w:val="-5"/>
          <w:sz w:val="22"/>
          <w:szCs w:val="22"/>
        </w:rPr>
        <w:t>Review comment entered for ABO/Rh test results from an automated instrument is associated with both ABO and Rh interpretation and will be displayed for both on reports.</w:t>
      </w:r>
      <w:r>
        <w:rPr>
          <w:rFonts w:ascii="Times New Roman" w:hAnsi="Times New Roman"/>
          <w:spacing w:val="-5"/>
          <w:sz w:val="22"/>
          <w:szCs w:val="22"/>
        </w:rPr>
        <w:t xml:space="preserve"> </w:t>
      </w:r>
      <w:r w:rsidRPr="00672710">
        <w:rPr>
          <w:rFonts w:ascii="Times New Roman" w:hAnsi="Times New Roman"/>
          <w:vanish/>
          <w:spacing w:val="-5"/>
          <w:sz w:val="22"/>
          <w:szCs w:val="22"/>
        </w:rPr>
        <w:t>Defect 382981</w:t>
      </w:r>
    </w:p>
    <w:p w14:paraId="58DD4C2E" w14:textId="77777777" w:rsidR="00BE554D" w:rsidRDefault="00BE554D" w:rsidP="00BE554D">
      <w:pPr>
        <w:pStyle w:val="Heading4"/>
        <w:rPr>
          <w:b w:val="0"/>
        </w:rPr>
      </w:pPr>
      <w:r>
        <w:t>User Roles with Access to This Option</w:t>
      </w:r>
      <w:r>
        <w:rPr>
          <w:b w:val="0"/>
        </w:rPr>
        <w:t xml:space="preserve"> </w:t>
      </w:r>
    </w:p>
    <w:p w14:paraId="3CC05EF9" w14:textId="77777777" w:rsidR="00BE554D" w:rsidRDefault="00BE554D" w:rsidP="00BE554D">
      <w:pPr>
        <w:pStyle w:val="Roles"/>
      </w:pPr>
      <w:r>
        <w:t>All users</w:t>
      </w:r>
    </w:p>
    <w:p w14:paraId="3B083D44" w14:textId="77777777" w:rsidR="00BE554D" w:rsidRPr="00311A54" w:rsidRDefault="00BE554D" w:rsidP="00BE554D">
      <w:pPr>
        <w:pStyle w:val="Heading4"/>
      </w:pPr>
      <w:r w:rsidRPr="00311A54">
        <w:t>Automated Testing Review</w:t>
      </w:r>
    </w:p>
    <w:p w14:paraId="46232621" w14:textId="77777777" w:rsidR="00BE554D" w:rsidRDefault="00BE554D" w:rsidP="00BE554D">
      <w:pPr>
        <w:pStyle w:val="BodyText"/>
      </w:pPr>
      <w:r>
        <w:t>This feature allows the interface of automated blood banking instruments with VBECS through Data Innovations Instrument Manager. It eliminates the potential for human error associated with the manual entry of results from an automated instrument into VBECS. It also eliminates the potential for transcription errors that can lead to a patient safety issue of ABO incompatible transfusion. In addition to safety, these enhancements will also reduce the time spent entering results manually</w:t>
      </w:r>
      <w:r w:rsidRPr="00311A54">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BE554D" w14:paraId="6656C105" w14:textId="77777777" w:rsidTr="00381224">
        <w:trPr>
          <w:cantSplit/>
          <w:tblHeader/>
        </w:trPr>
        <w:tc>
          <w:tcPr>
            <w:tcW w:w="3240" w:type="dxa"/>
            <w:shd w:val="pct30" w:color="auto" w:fill="FFFFFF"/>
            <w:vAlign w:val="bottom"/>
          </w:tcPr>
          <w:p w14:paraId="4D7AA451" w14:textId="77777777" w:rsidR="00BE554D" w:rsidRDefault="00BE554D" w:rsidP="00381224">
            <w:pPr>
              <w:pStyle w:val="TableText"/>
              <w:rPr>
                <w:b/>
              </w:rPr>
            </w:pPr>
            <w:r>
              <w:rPr>
                <w:b/>
              </w:rPr>
              <w:t>User Action</w:t>
            </w:r>
          </w:p>
        </w:tc>
        <w:tc>
          <w:tcPr>
            <w:tcW w:w="6120" w:type="dxa"/>
            <w:shd w:val="pct30" w:color="auto" w:fill="FFFFFF"/>
            <w:vAlign w:val="bottom"/>
          </w:tcPr>
          <w:p w14:paraId="74FE9994" w14:textId="77777777" w:rsidR="00BE554D" w:rsidRDefault="00BE554D" w:rsidP="00381224">
            <w:pPr>
              <w:pStyle w:val="TableText"/>
              <w:rPr>
                <w:b/>
              </w:rPr>
            </w:pPr>
            <w:r>
              <w:rPr>
                <w:b/>
              </w:rPr>
              <w:t>VBECS</w:t>
            </w:r>
          </w:p>
        </w:tc>
      </w:tr>
      <w:tr w:rsidR="00BE554D" w14:paraId="6E3DB6DD" w14:textId="77777777" w:rsidTr="00381224">
        <w:tc>
          <w:tcPr>
            <w:tcW w:w="3240" w:type="dxa"/>
          </w:tcPr>
          <w:p w14:paraId="2937B934" w14:textId="77777777" w:rsidR="001631DF" w:rsidRDefault="001631DF" w:rsidP="00925CAD">
            <w:pPr>
              <w:pStyle w:val="TableTextNumbers"/>
              <w:numPr>
                <w:ilvl w:val="0"/>
                <w:numId w:val="47"/>
              </w:numPr>
            </w:pPr>
            <w:r>
              <w:t xml:space="preserve">User logs into VBECS and selects </w:t>
            </w:r>
            <w:r>
              <w:rPr>
                <w:b/>
              </w:rPr>
              <w:t>Patients</w:t>
            </w:r>
            <w:r w:rsidRPr="001631DF">
              <w:rPr>
                <w:b/>
              </w:rPr>
              <w:t>, Automated Testing</w:t>
            </w:r>
            <w:r>
              <w:t xml:space="preserve"> from the main menu.</w:t>
            </w:r>
          </w:p>
          <w:p w14:paraId="59C8D84E" w14:textId="77777777" w:rsidR="001631DF" w:rsidRDefault="001631DF" w:rsidP="001631DF">
            <w:pPr>
              <w:pStyle w:val="TableTextNumbers"/>
              <w:numPr>
                <w:ilvl w:val="0"/>
                <w:numId w:val="0"/>
              </w:numPr>
              <w:ind w:left="288"/>
            </w:pPr>
          </w:p>
          <w:p w14:paraId="091F0F11" w14:textId="77777777" w:rsidR="001631DF" w:rsidRDefault="001631DF" w:rsidP="001631DF">
            <w:pPr>
              <w:pStyle w:val="TableTextNumbers"/>
              <w:numPr>
                <w:ilvl w:val="0"/>
                <w:numId w:val="0"/>
              </w:numPr>
              <w:ind w:left="288"/>
            </w:pPr>
            <w:r>
              <w:t>Or</w:t>
            </w:r>
          </w:p>
          <w:p w14:paraId="0791B3C7" w14:textId="77777777" w:rsidR="001631DF" w:rsidRDefault="001631DF" w:rsidP="001631DF">
            <w:pPr>
              <w:pStyle w:val="TableTextNumbers"/>
              <w:numPr>
                <w:ilvl w:val="0"/>
                <w:numId w:val="0"/>
              </w:numPr>
              <w:ind w:left="288"/>
            </w:pPr>
          </w:p>
          <w:p w14:paraId="7BAAA066" w14:textId="671A0058" w:rsidR="00BE554D" w:rsidRDefault="001631DF" w:rsidP="001631DF">
            <w:pPr>
              <w:pStyle w:val="TableTextNumbers"/>
              <w:numPr>
                <w:ilvl w:val="0"/>
                <w:numId w:val="0"/>
              </w:numPr>
              <w:ind w:left="288"/>
            </w:pPr>
            <w:r>
              <w:t xml:space="preserve">User logs into VBECS and clicks on the </w:t>
            </w:r>
            <w:r w:rsidRPr="001631DF">
              <w:rPr>
                <w:b/>
              </w:rPr>
              <w:t>Automated Testing Toolbar Icon</w:t>
            </w:r>
            <w:r>
              <w:t xml:space="preserve"> (patient face with </w:t>
            </w:r>
            <w:r w:rsidR="002E5AC8">
              <w:t>lightning</w:t>
            </w:r>
            <w:r>
              <w:t xml:space="preserve"> bolt)</w:t>
            </w:r>
          </w:p>
        </w:tc>
        <w:tc>
          <w:tcPr>
            <w:tcW w:w="6120" w:type="dxa"/>
          </w:tcPr>
          <w:p w14:paraId="5BD8515A" w14:textId="77777777" w:rsidR="001631DF" w:rsidRDefault="00D279DE" w:rsidP="001631DF">
            <w:pPr>
              <w:pStyle w:val="TableTextBullet"/>
            </w:pPr>
            <w:r>
              <w:t>Displays</w:t>
            </w:r>
            <w:r w:rsidR="001631DF">
              <w:t xml:space="preserve"> the Automated Testing – Pending Patient Orders window.</w:t>
            </w:r>
          </w:p>
          <w:p w14:paraId="14B5E3E8" w14:textId="77777777" w:rsidR="001631DF" w:rsidRDefault="001631DF" w:rsidP="001631DF">
            <w:pPr>
              <w:pStyle w:val="TableTextBullet"/>
            </w:pPr>
            <w:r>
              <w:rPr>
                <w:rFonts w:cs="Arial"/>
                <w:vanish/>
              </w:rPr>
              <w:t xml:space="preserve">BR_85.02 </w:t>
            </w:r>
            <w:r w:rsidR="00D279DE">
              <w:t xml:space="preserve">Allows a user </w:t>
            </w:r>
            <w:r>
              <w:t>to select a patient.</w:t>
            </w:r>
          </w:p>
          <w:p w14:paraId="20F4F893" w14:textId="77777777" w:rsidR="001631DF" w:rsidRDefault="001631DF" w:rsidP="001631DF">
            <w:pPr>
              <w:pStyle w:val="TableTextBullet"/>
            </w:pPr>
            <w:r>
              <w:t xml:space="preserve">Displays message when no pending </w:t>
            </w:r>
            <w:r w:rsidR="004A39DB">
              <w:t>patient specimens</w:t>
            </w:r>
            <w:r>
              <w:t xml:space="preserve"> were found to review.</w:t>
            </w:r>
          </w:p>
          <w:p w14:paraId="70F0E934" w14:textId="77777777" w:rsidR="00BE554D" w:rsidRDefault="00BE554D" w:rsidP="00381224">
            <w:pPr>
              <w:pStyle w:val="TableTextBullet"/>
              <w:numPr>
                <w:ilvl w:val="0"/>
                <w:numId w:val="0"/>
              </w:numPr>
              <w:ind w:left="288" w:hanging="288"/>
            </w:pPr>
          </w:p>
          <w:p w14:paraId="652F6CDE" w14:textId="7FF86AC4" w:rsidR="00BE554D" w:rsidRDefault="00BE554D" w:rsidP="00381224">
            <w:pPr>
              <w:pStyle w:val="TableText"/>
              <w:rPr>
                <w:b/>
                <w:bCs/>
                <w:szCs w:val="18"/>
              </w:rPr>
            </w:pPr>
            <w:r>
              <w:rPr>
                <w:b/>
                <w:bCs/>
                <w:szCs w:val="18"/>
              </w:rPr>
              <w:t>NOTES</w:t>
            </w:r>
          </w:p>
          <w:p w14:paraId="67707FF3" w14:textId="77777777" w:rsidR="00BE554D" w:rsidRDefault="00BE554D" w:rsidP="00381224">
            <w:pPr>
              <w:pStyle w:val="NotesText"/>
            </w:pPr>
          </w:p>
          <w:p w14:paraId="61E97E6B" w14:textId="77777777" w:rsidR="001631DF" w:rsidRDefault="001631DF" w:rsidP="001631DF">
            <w:pPr>
              <w:pStyle w:val="TableText"/>
              <w:ind w:left="720"/>
            </w:pPr>
            <w:r w:rsidRPr="00425938">
              <w:rPr>
                <w:vanish/>
              </w:rPr>
              <w:t xml:space="preserve">BR_2.43 </w:t>
            </w:r>
            <w:r>
              <w:t>The functionality is not accessible if division is defined as a Transfusion Only facility.</w:t>
            </w:r>
          </w:p>
          <w:p w14:paraId="55A3B359" w14:textId="77777777" w:rsidR="001631DF" w:rsidRDefault="001631DF" w:rsidP="001631DF">
            <w:pPr>
              <w:pStyle w:val="NotesText"/>
            </w:pPr>
          </w:p>
          <w:p w14:paraId="04244D6E" w14:textId="77777777" w:rsidR="001631DF" w:rsidRDefault="001631DF" w:rsidP="001631DF">
            <w:pPr>
              <w:pStyle w:val="TableText"/>
              <w:ind w:left="720"/>
            </w:pPr>
            <w:r w:rsidRPr="00F47ABD">
              <w:rPr>
                <w:vanish/>
              </w:rPr>
              <w:t xml:space="preserve">BR_115.03 </w:t>
            </w:r>
            <w:r>
              <w:t>The list displayed contains only those patients associated with pending results from an instrument message.</w:t>
            </w:r>
          </w:p>
          <w:p w14:paraId="7FBB1E3E" w14:textId="77777777" w:rsidR="001631DF" w:rsidRDefault="001631DF" w:rsidP="001631DF">
            <w:pPr>
              <w:pStyle w:val="TableText"/>
              <w:ind w:left="720"/>
            </w:pPr>
          </w:p>
          <w:p w14:paraId="488433F3" w14:textId="77777777" w:rsidR="001631DF" w:rsidRDefault="001631DF" w:rsidP="001631DF">
            <w:pPr>
              <w:pStyle w:val="TableText"/>
              <w:ind w:left="720"/>
            </w:pPr>
            <w:r w:rsidRPr="00F47ABD">
              <w:rPr>
                <w:vanish/>
              </w:rPr>
              <w:t xml:space="preserve">BR_115.04 </w:t>
            </w:r>
            <w:r>
              <w:t>System displays a list of patients who have pending test results from Auto Instrument including the following information:</w:t>
            </w:r>
          </w:p>
          <w:p w14:paraId="12C9BBD6" w14:textId="77777777" w:rsidR="001631DF" w:rsidRDefault="001631DF" w:rsidP="00925CAD">
            <w:pPr>
              <w:pStyle w:val="TableText"/>
              <w:numPr>
                <w:ilvl w:val="0"/>
                <w:numId w:val="43"/>
              </w:numPr>
            </w:pPr>
            <w:r>
              <w:t>Patient name</w:t>
            </w:r>
          </w:p>
          <w:p w14:paraId="6037A9F3" w14:textId="77777777" w:rsidR="001631DF" w:rsidRDefault="001631DF" w:rsidP="00925CAD">
            <w:pPr>
              <w:pStyle w:val="TableText"/>
              <w:numPr>
                <w:ilvl w:val="0"/>
                <w:numId w:val="43"/>
              </w:numPr>
            </w:pPr>
            <w:r>
              <w:t>Patient ID</w:t>
            </w:r>
          </w:p>
          <w:p w14:paraId="527FCBBC" w14:textId="77777777" w:rsidR="001631DF" w:rsidRDefault="001631DF" w:rsidP="00925CAD">
            <w:pPr>
              <w:pStyle w:val="TableText"/>
              <w:numPr>
                <w:ilvl w:val="0"/>
                <w:numId w:val="43"/>
              </w:numPr>
            </w:pPr>
            <w:r>
              <w:t>Patient Historic ABO/Rh</w:t>
            </w:r>
          </w:p>
          <w:p w14:paraId="0BB7B9D3" w14:textId="77777777" w:rsidR="001631DF" w:rsidRDefault="001631DF" w:rsidP="00925CAD">
            <w:pPr>
              <w:pStyle w:val="TableText"/>
              <w:numPr>
                <w:ilvl w:val="0"/>
                <w:numId w:val="43"/>
              </w:numPr>
            </w:pPr>
            <w:r>
              <w:t>Specimen UIDs</w:t>
            </w:r>
          </w:p>
          <w:p w14:paraId="226094EB" w14:textId="77777777" w:rsidR="00BE554D" w:rsidRPr="000D7828" w:rsidRDefault="00D00CAC" w:rsidP="00925CAD">
            <w:pPr>
              <w:pStyle w:val="TableText"/>
              <w:numPr>
                <w:ilvl w:val="0"/>
                <w:numId w:val="43"/>
              </w:numPr>
            </w:pPr>
            <w:r>
              <w:t>List of pending auto instrument tests for patient</w:t>
            </w:r>
          </w:p>
        </w:tc>
      </w:tr>
      <w:tr w:rsidR="00BE554D" w14:paraId="25FA24B6" w14:textId="77777777" w:rsidTr="00381224">
        <w:tc>
          <w:tcPr>
            <w:tcW w:w="3240" w:type="dxa"/>
          </w:tcPr>
          <w:p w14:paraId="509D1EAA" w14:textId="77777777" w:rsidR="001631DF" w:rsidRPr="00061040" w:rsidRDefault="00BE554D" w:rsidP="00381224">
            <w:pPr>
              <w:pStyle w:val="TableTextNumbers"/>
            </w:pPr>
            <w:r w:rsidRPr="00061040">
              <w:t xml:space="preserve">User selects </w:t>
            </w:r>
            <w:r w:rsidR="00D044A1" w:rsidRPr="00061040">
              <w:t>the</w:t>
            </w:r>
            <w:r w:rsidR="001631DF" w:rsidRPr="00061040">
              <w:t xml:space="preserve"> </w:t>
            </w:r>
            <w:r w:rsidR="00D044A1" w:rsidRPr="00061040">
              <w:t>p</w:t>
            </w:r>
            <w:r w:rsidR="001631DF" w:rsidRPr="00061040">
              <w:t>atient to review from the list of pending results</w:t>
            </w:r>
            <w:r w:rsidR="00D044A1" w:rsidRPr="00061040">
              <w:t xml:space="preserve"> and clicks </w:t>
            </w:r>
            <w:r w:rsidR="00D044A1" w:rsidRPr="00061040">
              <w:rPr>
                <w:b/>
              </w:rPr>
              <w:t>OK</w:t>
            </w:r>
            <w:r w:rsidR="00D044A1" w:rsidRPr="00061040">
              <w:t>.</w:t>
            </w:r>
          </w:p>
          <w:p w14:paraId="36AE4CA1" w14:textId="77777777" w:rsidR="00BE554D" w:rsidRDefault="00BE554D" w:rsidP="001631DF">
            <w:pPr>
              <w:pStyle w:val="TableTextNumbers"/>
              <w:numPr>
                <w:ilvl w:val="0"/>
                <w:numId w:val="0"/>
              </w:numPr>
              <w:ind w:left="288"/>
            </w:pPr>
          </w:p>
        </w:tc>
        <w:tc>
          <w:tcPr>
            <w:tcW w:w="6120" w:type="dxa"/>
          </w:tcPr>
          <w:p w14:paraId="57BE9367" w14:textId="77777777" w:rsidR="00D044A1" w:rsidRDefault="00D044A1" w:rsidP="00D044A1">
            <w:pPr>
              <w:pStyle w:val="TableTextBullet"/>
            </w:pPr>
            <w:r>
              <w:rPr>
                <w:rFonts w:cs="Arial"/>
                <w:vanish/>
              </w:rPr>
              <w:t xml:space="preserve">BR_115.14 </w:t>
            </w:r>
            <w:r w:rsidR="00D279DE">
              <w:t>D</w:t>
            </w:r>
            <w:r>
              <w:t>isplays information about the patient selected.</w:t>
            </w:r>
          </w:p>
          <w:p w14:paraId="4529CB3B" w14:textId="77777777" w:rsidR="00BE554D" w:rsidRDefault="00BE554D" w:rsidP="00381224">
            <w:pPr>
              <w:pStyle w:val="TableTextBullet"/>
              <w:numPr>
                <w:ilvl w:val="0"/>
                <w:numId w:val="0"/>
              </w:numPr>
              <w:ind w:left="288" w:hanging="288"/>
            </w:pPr>
          </w:p>
          <w:p w14:paraId="6F667717" w14:textId="7824E1A1" w:rsidR="00BE554D" w:rsidRDefault="00BE554D" w:rsidP="00381224">
            <w:pPr>
              <w:pStyle w:val="TableText"/>
              <w:rPr>
                <w:b/>
                <w:bCs/>
                <w:szCs w:val="18"/>
              </w:rPr>
            </w:pPr>
            <w:r>
              <w:rPr>
                <w:b/>
                <w:bCs/>
                <w:szCs w:val="18"/>
              </w:rPr>
              <w:t>NOTES</w:t>
            </w:r>
          </w:p>
          <w:p w14:paraId="48F39355" w14:textId="77777777" w:rsidR="00BE554D" w:rsidRDefault="00BE554D" w:rsidP="00381224">
            <w:pPr>
              <w:pStyle w:val="NotesText"/>
            </w:pPr>
          </w:p>
          <w:p w14:paraId="436805F6" w14:textId="77777777" w:rsidR="00BE554D" w:rsidRDefault="00BE554D" w:rsidP="00381224">
            <w:pPr>
              <w:pStyle w:val="TableText"/>
              <w:ind w:left="720"/>
            </w:pPr>
            <w:r w:rsidRPr="00F47ABD">
              <w:rPr>
                <w:vanish/>
              </w:rPr>
              <w:t xml:space="preserve">BR_115.03 </w:t>
            </w:r>
            <w:r>
              <w:t>The list displayed contains only those patients associated with pending results from an instrument message.</w:t>
            </w:r>
          </w:p>
          <w:p w14:paraId="08B97F4B" w14:textId="77777777" w:rsidR="00D044A1" w:rsidRDefault="00D044A1" w:rsidP="00381224">
            <w:pPr>
              <w:pStyle w:val="TableText"/>
              <w:ind w:left="720"/>
            </w:pPr>
          </w:p>
          <w:p w14:paraId="4F551A51" w14:textId="77777777" w:rsidR="00BE554D" w:rsidRDefault="00BE554D" w:rsidP="00381224">
            <w:pPr>
              <w:pStyle w:val="TableText"/>
              <w:ind w:left="720"/>
            </w:pPr>
            <w:r w:rsidRPr="00F47ABD">
              <w:rPr>
                <w:vanish/>
              </w:rPr>
              <w:t xml:space="preserve">BR_115.04 </w:t>
            </w:r>
            <w:r>
              <w:t>System displays a list of patients who have pending test results from Auto Instrument including the following information:</w:t>
            </w:r>
          </w:p>
          <w:p w14:paraId="0EDF6680" w14:textId="77777777" w:rsidR="00BE554D" w:rsidRDefault="00BE554D" w:rsidP="00925CAD">
            <w:pPr>
              <w:pStyle w:val="TableText"/>
              <w:numPr>
                <w:ilvl w:val="0"/>
                <w:numId w:val="43"/>
              </w:numPr>
            </w:pPr>
            <w:r>
              <w:t>Patient name</w:t>
            </w:r>
          </w:p>
          <w:p w14:paraId="2B6C0482" w14:textId="77777777" w:rsidR="00BE554D" w:rsidRDefault="00BE554D" w:rsidP="00925CAD">
            <w:pPr>
              <w:pStyle w:val="TableText"/>
              <w:numPr>
                <w:ilvl w:val="0"/>
                <w:numId w:val="43"/>
              </w:numPr>
            </w:pPr>
            <w:r>
              <w:t>Patient ID</w:t>
            </w:r>
          </w:p>
          <w:p w14:paraId="69F5B80E" w14:textId="77777777" w:rsidR="00BE554D" w:rsidRDefault="00BE554D" w:rsidP="00925CAD">
            <w:pPr>
              <w:pStyle w:val="TableText"/>
              <w:numPr>
                <w:ilvl w:val="0"/>
                <w:numId w:val="43"/>
              </w:numPr>
            </w:pPr>
            <w:r>
              <w:t>Patient Historic ABO/Rh</w:t>
            </w:r>
          </w:p>
          <w:p w14:paraId="12A2E035" w14:textId="77777777" w:rsidR="00BE554D" w:rsidRDefault="00BE554D" w:rsidP="00925CAD">
            <w:pPr>
              <w:pStyle w:val="TableText"/>
              <w:numPr>
                <w:ilvl w:val="0"/>
                <w:numId w:val="43"/>
              </w:numPr>
            </w:pPr>
            <w:r>
              <w:t>Specimen UIDs</w:t>
            </w:r>
          </w:p>
          <w:p w14:paraId="0D80130B" w14:textId="77777777" w:rsidR="00BE554D" w:rsidRDefault="00BE554D" w:rsidP="00925CAD">
            <w:pPr>
              <w:pStyle w:val="TableText"/>
              <w:numPr>
                <w:ilvl w:val="0"/>
                <w:numId w:val="43"/>
              </w:numPr>
            </w:pPr>
            <w:r>
              <w:t>List of pending auto instrument tests for patient</w:t>
            </w:r>
          </w:p>
          <w:p w14:paraId="056752E8" w14:textId="77777777" w:rsidR="00D044A1" w:rsidRDefault="00D044A1" w:rsidP="00D044A1">
            <w:pPr>
              <w:pStyle w:val="TableText"/>
              <w:ind w:left="720"/>
              <w:rPr>
                <w:vanish/>
              </w:rPr>
            </w:pPr>
          </w:p>
          <w:p w14:paraId="67E453D0" w14:textId="77777777" w:rsidR="00D044A1" w:rsidRDefault="00D044A1" w:rsidP="00D044A1">
            <w:pPr>
              <w:pStyle w:val="TableText"/>
              <w:ind w:left="720"/>
            </w:pPr>
            <w:r w:rsidRPr="00F47ABD">
              <w:rPr>
                <w:vanish/>
              </w:rPr>
              <w:t xml:space="preserve">BR_115.14 </w:t>
            </w:r>
            <w:r>
              <w:t>When patient is selected the system displays the following information:</w:t>
            </w:r>
          </w:p>
          <w:p w14:paraId="3D7041FB" w14:textId="77777777" w:rsidR="00D044A1" w:rsidRDefault="00D044A1" w:rsidP="00925CAD">
            <w:pPr>
              <w:pStyle w:val="TableText"/>
              <w:numPr>
                <w:ilvl w:val="0"/>
                <w:numId w:val="43"/>
              </w:numPr>
            </w:pPr>
            <w:r>
              <w:t>Patient name</w:t>
            </w:r>
          </w:p>
          <w:p w14:paraId="16A017D9" w14:textId="77777777" w:rsidR="00D044A1" w:rsidRDefault="00D044A1" w:rsidP="00925CAD">
            <w:pPr>
              <w:pStyle w:val="TableText"/>
              <w:numPr>
                <w:ilvl w:val="0"/>
                <w:numId w:val="43"/>
              </w:numPr>
            </w:pPr>
            <w:r>
              <w:t>Patient ID</w:t>
            </w:r>
          </w:p>
          <w:p w14:paraId="16BF9542" w14:textId="77777777" w:rsidR="00D044A1" w:rsidRDefault="00D044A1" w:rsidP="00925CAD">
            <w:pPr>
              <w:pStyle w:val="TableText"/>
              <w:numPr>
                <w:ilvl w:val="0"/>
                <w:numId w:val="43"/>
              </w:numPr>
            </w:pPr>
            <w:r>
              <w:t>Patient DOB</w:t>
            </w:r>
          </w:p>
          <w:p w14:paraId="4ECDCC02" w14:textId="77777777" w:rsidR="00D044A1" w:rsidRDefault="00D044A1" w:rsidP="00925CAD">
            <w:pPr>
              <w:pStyle w:val="TableText"/>
              <w:numPr>
                <w:ilvl w:val="0"/>
                <w:numId w:val="43"/>
              </w:numPr>
            </w:pPr>
            <w:r>
              <w:t>Patient Historic ABO/Rh</w:t>
            </w:r>
          </w:p>
          <w:p w14:paraId="48184A0F" w14:textId="77777777" w:rsidR="00D044A1" w:rsidRDefault="00D044A1" w:rsidP="00925CAD">
            <w:pPr>
              <w:pStyle w:val="TableText"/>
              <w:numPr>
                <w:ilvl w:val="0"/>
                <w:numId w:val="43"/>
              </w:numPr>
            </w:pPr>
            <w:r>
              <w:t>Patient Sex</w:t>
            </w:r>
          </w:p>
          <w:p w14:paraId="66DDF96A" w14:textId="77777777" w:rsidR="00D044A1" w:rsidRDefault="00D044A1" w:rsidP="00925CAD">
            <w:pPr>
              <w:pStyle w:val="TableText"/>
              <w:numPr>
                <w:ilvl w:val="0"/>
                <w:numId w:val="43"/>
              </w:numPr>
            </w:pPr>
            <w:r>
              <w:t>Patient location</w:t>
            </w:r>
          </w:p>
          <w:p w14:paraId="6CB63AC9" w14:textId="77777777" w:rsidR="00D044A1" w:rsidRDefault="00D044A1" w:rsidP="00D044A1">
            <w:pPr>
              <w:pStyle w:val="TableText"/>
            </w:pPr>
          </w:p>
        </w:tc>
      </w:tr>
      <w:tr w:rsidR="00BE554D" w14:paraId="67E4EC09" w14:textId="77777777" w:rsidTr="00381224">
        <w:tc>
          <w:tcPr>
            <w:tcW w:w="3240" w:type="dxa"/>
          </w:tcPr>
          <w:p w14:paraId="085F1EFB" w14:textId="2D13B133" w:rsidR="0071317D" w:rsidRDefault="00BE554D" w:rsidP="00381224">
            <w:pPr>
              <w:pStyle w:val="TableTextNumbers"/>
            </w:pPr>
            <w:r w:rsidRPr="00396B2B">
              <w:t>User selec</w:t>
            </w:r>
            <w:r>
              <w:t xml:space="preserve">ts </w:t>
            </w:r>
            <w:r w:rsidR="0071317D">
              <w:t>from the testing tabs that are enabled on the Automated Testing – Pending Specimen Tests window</w:t>
            </w:r>
            <w:r w:rsidR="00937534">
              <w:t xml:space="preserve"> (</w:t>
            </w:r>
            <w:r w:rsidR="00EE455E">
              <w:t xml:space="preserve">Figure </w:t>
            </w:r>
            <w:r w:rsidR="00EE455E">
              <w:rPr>
                <w:noProof/>
              </w:rPr>
              <w:t>116</w:t>
            </w:r>
            <w:r w:rsidR="00937534">
              <w:t>)</w:t>
            </w:r>
            <w:r w:rsidR="0071317D">
              <w:t>.</w:t>
            </w:r>
          </w:p>
          <w:p w14:paraId="443433E3" w14:textId="77777777" w:rsidR="0071317D" w:rsidRPr="0071317D" w:rsidRDefault="0071317D" w:rsidP="0071317D">
            <w:pPr>
              <w:pStyle w:val="TableTextNumbers"/>
              <w:numPr>
                <w:ilvl w:val="0"/>
                <w:numId w:val="0"/>
              </w:numPr>
              <w:ind w:left="288"/>
            </w:pPr>
          </w:p>
          <w:p w14:paraId="21B767DB" w14:textId="77777777" w:rsidR="0071317D" w:rsidRDefault="002615AD" w:rsidP="0071317D">
            <w:pPr>
              <w:pStyle w:val="TableTextNumbers"/>
              <w:numPr>
                <w:ilvl w:val="0"/>
                <w:numId w:val="0"/>
              </w:numPr>
              <w:ind w:left="288"/>
            </w:pPr>
            <w:r w:rsidRPr="002615AD">
              <w:rPr>
                <w:b/>
              </w:rPr>
              <w:t>TAS</w:t>
            </w:r>
            <w:r>
              <w:t xml:space="preserve"> tab </w:t>
            </w:r>
          </w:p>
          <w:p w14:paraId="1417EE9D" w14:textId="77777777" w:rsidR="0071317D" w:rsidRPr="002615AD" w:rsidRDefault="0071317D" w:rsidP="0071317D">
            <w:pPr>
              <w:pStyle w:val="TableTextNumbers"/>
              <w:numPr>
                <w:ilvl w:val="0"/>
                <w:numId w:val="0"/>
              </w:numPr>
              <w:ind w:left="288"/>
              <w:rPr>
                <w:b/>
              </w:rPr>
            </w:pPr>
          </w:p>
          <w:p w14:paraId="7529BD65" w14:textId="77777777" w:rsidR="00BE554D" w:rsidRDefault="002615AD" w:rsidP="0071317D">
            <w:pPr>
              <w:pStyle w:val="TableTextNumbers"/>
              <w:numPr>
                <w:ilvl w:val="0"/>
                <w:numId w:val="0"/>
              </w:numPr>
              <w:ind w:left="288"/>
            </w:pPr>
            <w:r w:rsidRPr="002615AD">
              <w:rPr>
                <w:b/>
              </w:rPr>
              <w:t>ABO/Rh</w:t>
            </w:r>
            <w:r>
              <w:t xml:space="preserve"> tab</w:t>
            </w:r>
          </w:p>
          <w:p w14:paraId="5D53CD04" w14:textId="77777777" w:rsidR="002615AD" w:rsidRDefault="002615AD" w:rsidP="0071317D">
            <w:pPr>
              <w:pStyle w:val="TableTextNumbers"/>
              <w:numPr>
                <w:ilvl w:val="0"/>
                <w:numId w:val="0"/>
              </w:numPr>
              <w:ind w:left="288"/>
            </w:pPr>
          </w:p>
          <w:p w14:paraId="72ED0012" w14:textId="77777777" w:rsidR="002615AD" w:rsidRPr="002615AD" w:rsidRDefault="002615AD" w:rsidP="0071317D">
            <w:pPr>
              <w:pStyle w:val="TableTextNumbers"/>
              <w:numPr>
                <w:ilvl w:val="0"/>
                <w:numId w:val="0"/>
              </w:numPr>
              <w:ind w:left="288"/>
            </w:pPr>
            <w:r>
              <w:rPr>
                <w:b/>
              </w:rPr>
              <w:t>ABS</w:t>
            </w:r>
            <w:r>
              <w:t xml:space="preserve"> tab.</w:t>
            </w:r>
          </w:p>
          <w:p w14:paraId="0928A8C8" w14:textId="77777777" w:rsidR="002615AD" w:rsidRDefault="002615AD" w:rsidP="0071317D">
            <w:pPr>
              <w:pStyle w:val="TableTextNumbers"/>
              <w:numPr>
                <w:ilvl w:val="0"/>
                <w:numId w:val="0"/>
              </w:numPr>
              <w:ind w:left="288"/>
              <w:rPr>
                <w:b/>
              </w:rPr>
            </w:pPr>
          </w:p>
          <w:p w14:paraId="77DFA60B" w14:textId="77777777" w:rsidR="002615AD" w:rsidRDefault="002615AD" w:rsidP="0071317D">
            <w:pPr>
              <w:pStyle w:val="TableTextNumbers"/>
              <w:numPr>
                <w:ilvl w:val="0"/>
                <w:numId w:val="0"/>
              </w:numPr>
              <w:ind w:left="288"/>
            </w:pPr>
            <w:r>
              <w:rPr>
                <w:b/>
              </w:rPr>
              <w:t xml:space="preserve">DAT </w:t>
            </w:r>
            <w:r>
              <w:t>tab.</w:t>
            </w:r>
          </w:p>
          <w:p w14:paraId="59F1E656" w14:textId="77777777" w:rsidR="0071317D" w:rsidRDefault="0071317D" w:rsidP="0071317D">
            <w:pPr>
              <w:pStyle w:val="TableTextNumbers"/>
              <w:numPr>
                <w:ilvl w:val="0"/>
                <w:numId w:val="0"/>
              </w:numPr>
              <w:ind w:left="288"/>
              <w:rPr>
                <w:b/>
              </w:rPr>
            </w:pPr>
          </w:p>
          <w:p w14:paraId="301E5247" w14:textId="77777777" w:rsidR="0071317D" w:rsidRPr="0071317D" w:rsidRDefault="0071317D" w:rsidP="0071317D">
            <w:pPr>
              <w:pStyle w:val="TableTextNumbers"/>
              <w:numPr>
                <w:ilvl w:val="0"/>
                <w:numId w:val="0"/>
              </w:numPr>
              <w:ind w:left="288"/>
            </w:pPr>
            <w:r>
              <w:rPr>
                <w:b/>
              </w:rPr>
              <w:t>An</w:t>
            </w:r>
            <w:r w:rsidR="00D3261A">
              <w:rPr>
                <w:b/>
              </w:rPr>
              <w:t>t</w:t>
            </w:r>
            <w:r>
              <w:rPr>
                <w:b/>
              </w:rPr>
              <w:t xml:space="preserve">igen Typing </w:t>
            </w:r>
            <w:r>
              <w:t>tab</w:t>
            </w:r>
          </w:p>
          <w:p w14:paraId="164729E3" w14:textId="77777777" w:rsidR="002615AD" w:rsidRDefault="002615AD" w:rsidP="0071317D">
            <w:pPr>
              <w:pStyle w:val="TableTextNumbers"/>
              <w:numPr>
                <w:ilvl w:val="0"/>
                <w:numId w:val="0"/>
              </w:numPr>
              <w:ind w:left="288"/>
              <w:rPr>
                <w:b/>
              </w:rPr>
            </w:pPr>
          </w:p>
          <w:p w14:paraId="7AB5D143" w14:textId="340C32B2" w:rsidR="00BE554D" w:rsidRDefault="00E82F44" w:rsidP="00FB2A8A">
            <w:pPr>
              <w:pStyle w:val="TableTextNumbers"/>
              <w:numPr>
                <w:ilvl w:val="0"/>
                <w:numId w:val="0"/>
              </w:numPr>
              <w:ind w:left="288"/>
            </w:pPr>
            <w:r>
              <w:t>See S</w:t>
            </w:r>
            <w:r w:rsidR="002615AD">
              <w:t xml:space="preserve">tep </w:t>
            </w:r>
            <w:r w:rsidR="00B16194">
              <w:t>7</w:t>
            </w:r>
            <w:r w:rsidR="002615AD">
              <w:t xml:space="preserve"> for process when the User selects </w:t>
            </w:r>
            <w:r w:rsidR="002615AD">
              <w:rPr>
                <w:b/>
              </w:rPr>
              <w:t>XMatch</w:t>
            </w:r>
            <w:r w:rsidR="002615AD">
              <w:t xml:space="preserve"> tab.</w:t>
            </w:r>
          </w:p>
        </w:tc>
        <w:tc>
          <w:tcPr>
            <w:tcW w:w="6120" w:type="dxa"/>
          </w:tcPr>
          <w:p w14:paraId="2C29FA77" w14:textId="77777777" w:rsidR="0071317D" w:rsidRDefault="00D279DE" w:rsidP="00381224">
            <w:pPr>
              <w:pStyle w:val="TableTextBullet"/>
            </w:pPr>
            <w:r>
              <w:t>D</w:t>
            </w:r>
            <w:r w:rsidR="0071317D">
              <w:t>isplays the first tab from the left side of the screen that has test results to review.</w:t>
            </w:r>
          </w:p>
          <w:p w14:paraId="617A7C46" w14:textId="77777777" w:rsidR="0020636F" w:rsidRDefault="00D279DE" w:rsidP="00381224">
            <w:pPr>
              <w:pStyle w:val="TableTextBullet"/>
            </w:pPr>
            <w:r>
              <w:t>D</w:t>
            </w:r>
            <w:r w:rsidR="0020636F">
              <w:t>etermines that all appropriate test results were entered for the patient.</w:t>
            </w:r>
          </w:p>
          <w:p w14:paraId="32FE697D" w14:textId="77777777" w:rsidR="00BE554D" w:rsidRDefault="00D279DE" w:rsidP="00381224">
            <w:pPr>
              <w:pStyle w:val="TableTextBullet"/>
            </w:pPr>
            <w:r>
              <w:t>V</w:t>
            </w:r>
            <w:r w:rsidR="0020636F">
              <w:t>alidates test results and displays Warning or Error indicator when results do not match expected pattern.</w:t>
            </w:r>
          </w:p>
          <w:p w14:paraId="6521B501" w14:textId="77777777" w:rsidR="0020636F" w:rsidRDefault="0020636F" w:rsidP="00381224">
            <w:pPr>
              <w:pStyle w:val="TableTextBullet"/>
            </w:pPr>
            <w:r>
              <w:t>Displays comments from the Automated Instrument.</w:t>
            </w:r>
          </w:p>
          <w:p w14:paraId="5929C3F9" w14:textId="77777777" w:rsidR="00BE554D" w:rsidRDefault="00BE554D" w:rsidP="00381224">
            <w:pPr>
              <w:pStyle w:val="TableText"/>
            </w:pPr>
          </w:p>
          <w:p w14:paraId="325014C7" w14:textId="39F0C437" w:rsidR="00BE554D" w:rsidRDefault="00BE554D" w:rsidP="00381224">
            <w:pPr>
              <w:pStyle w:val="TableText"/>
              <w:rPr>
                <w:b/>
                <w:bCs/>
                <w:szCs w:val="18"/>
              </w:rPr>
            </w:pPr>
            <w:r>
              <w:rPr>
                <w:b/>
                <w:bCs/>
                <w:szCs w:val="18"/>
              </w:rPr>
              <w:t>NOTES</w:t>
            </w:r>
          </w:p>
          <w:p w14:paraId="4539F0A8" w14:textId="77777777" w:rsidR="00BE554D" w:rsidRDefault="00BE554D" w:rsidP="00381224">
            <w:pPr>
              <w:pStyle w:val="NotesText"/>
            </w:pPr>
          </w:p>
          <w:p w14:paraId="69870732" w14:textId="73BDE881" w:rsidR="007F00C5" w:rsidRDefault="007F00C5" w:rsidP="007F00C5">
            <w:pPr>
              <w:pStyle w:val="TableText"/>
              <w:ind w:left="720"/>
              <w:rPr>
                <w:vanish/>
              </w:rPr>
            </w:pPr>
            <w:r w:rsidRPr="0020636F">
              <w:rPr>
                <w:vanish/>
              </w:rPr>
              <w:t xml:space="preserve">BR_16.01 </w:t>
            </w:r>
            <w:r>
              <w:t xml:space="preserve">The system provides a visual and audible indication to the user when there are patient Special Instructions or Transfusion Requirements to be viewed. </w:t>
            </w:r>
          </w:p>
          <w:p w14:paraId="7C2BF821" w14:textId="77777777" w:rsidR="007F00C5" w:rsidRDefault="007F00C5" w:rsidP="007F00C5">
            <w:pPr>
              <w:pStyle w:val="TableText"/>
              <w:ind w:left="720"/>
              <w:rPr>
                <w:vanish/>
              </w:rPr>
            </w:pPr>
          </w:p>
          <w:p w14:paraId="0F05ADB0" w14:textId="77777777" w:rsidR="00BE554D" w:rsidRPr="00004A4C" w:rsidRDefault="007F00C5" w:rsidP="007F00C5">
            <w:pPr>
              <w:pStyle w:val="TableText"/>
              <w:ind w:left="720"/>
              <w:rPr>
                <w:noProof/>
                <w:color w:val="000000"/>
              </w:rPr>
            </w:pPr>
            <w:r w:rsidRPr="00F47ABD">
              <w:rPr>
                <w:vanish/>
              </w:rPr>
              <w:t xml:space="preserve">BR_115.15 </w:t>
            </w:r>
            <w:r>
              <w:t xml:space="preserve">When the user has unsaved changes and attempts to close the Automated Testing window, the application will warn the user that the changes will not be saved. Clicking </w:t>
            </w:r>
            <w:r>
              <w:rPr>
                <w:b/>
              </w:rPr>
              <w:t>Yes</w:t>
            </w:r>
            <w:r>
              <w:t xml:space="preserve"> closes the form; clicking </w:t>
            </w:r>
            <w:r>
              <w:rPr>
                <w:b/>
              </w:rPr>
              <w:t>No</w:t>
            </w:r>
            <w:r>
              <w:t xml:space="preserve"> returns the user to the Automated Testing – Pending Specimen Tests window.</w:t>
            </w:r>
          </w:p>
        </w:tc>
      </w:tr>
      <w:tr w:rsidR="0020636F" w14:paraId="00BB0174" w14:textId="77777777" w:rsidTr="00381224">
        <w:tc>
          <w:tcPr>
            <w:tcW w:w="3240" w:type="dxa"/>
          </w:tcPr>
          <w:p w14:paraId="544010D3" w14:textId="77777777" w:rsidR="0020636F" w:rsidRDefault="005F3685" w:rsidP="005F3685">
            <w:pPr>
              <w:pStyle w:val="TableTextNumbers"/>
            </w:pPr>
            <w:r>
              <w:t>User clicks on the checkbox next to the result to be accepted or rejected.</w:t>
            </w:r>
          </w:p>
          <w:p w14:paraId="38D25CA6" w14:textId="77777777" w:rsidR="005F3685" w:rsidRDefault="005F3685" w:rsidP="005F3685">
            <w:pPr>
              <w:pStyle w:val="TableTextNumbers"/>
              <w:numPr>
                <w:ilvl w:val="0"/>
                <w:numId w:val="0"/>
              </w:numPr>
              <w:ind w:left="288"/>
            </w:pPr>
          </w:p>
          <w:p w14:paraId="793918A7" w14:textId="77777777" w:rsidR="008E6859" w:rsidRDefault="005F3685" w:rsidP="00E01AD8">
            <w:pPr>
              <w:pStyle w:val="TableTextNumbers"/>
              <w:numPr>
                <w:ilvl w:val="0"/>
                <w:numId w:val="0"/>
              </w:numPr>
              <w:ind w:left="288"/>
            </w:pPr>
            <w:r>
              <w:t xml:space="preserve">Clicks on the comment balloon to enter </w:t>
            </w:r>
            <w:r w:rsidRPr="005F3685">
              <w:rPr>
                <w:b/>
              </w:rPr>
              <w:t>Review Comments</w:t>
            </w:r>
            <w:r>
              <w:t xml:space="preserve"> as needed.</w:t>
            </w:r>
          </w:p>
        </w:tc>
        <w:tc>
          <w:tcPr>
            <w:tcW w:w="6120" w:type="dxa"/>
          </w:tcPr>
          <w:p w14:paraId="1E73C265" w14:textId="77777777" w:rsidR="0020636F" w:rsidRDefault="00D279DE" w:rsidP="00381224">
            <w:pPr>
              <w:pStyle w:val="TableTextBullet"/>
            </w:pPr>
            <w:r>
              <w:t>P</w:t>
            </w:r>
            <w:r w:rsidR="005F3685">
              <w:t>resents appropriate warning messages to the user.</w:t>
            </w:r>
          </w:p>
          <w:p w14:paraId="59F55CC1" w14:textId="77777777" w:rsidR="008D134F" w:rsidRDefault="00EB70AF" w:rsidP="00381224">
            <w:pPr>
              <w:pStyle w:val="TableTextBullet"/>
            </w:pPr>
            <w:r w:rsidRPr="00EB70AF">
              <w:rPr>
                <w:vanish/>
              </w:rPr>
              <w:t xml:space="preserve">BR_115.13 </w:t>
            </w:r>
            <w:r w:rsidR="00D279DE">
              <w:t>A</w:t>
            </w:r>
            <w:r w:rsidR="008D134F">
              <w:t>llows</w:t>
            </w:r>
            <w:r w:rsidR="00D279DE">
              <w:t xml:space="preserve"> user </w:t>
            </w:r>
            <w:r w:rsidR="008D134F">
              <w:t>selection of multiple tests with a Valid indicator.</w:t>
            </w:r>
          </w:p>
          <w:p w14:paraId="34F43D91" w14:textId="77777777" w:rsidR="008D134F" w:rsidRDefault="00EB70AF" w:rsidP="00381224">
            <w:pPr>
              <w:pStyle w:val="TableTextBullet"/>
            </w:pPr>
            <w:r w:rsidRPr="00EB70AF">
              <w:rPr>
                <w:vanish/>
              </w:rPr>
              <w:t xml:space="preserve">BR_115.25 </w:t>
            </w:r>
            <w:r w:rsidR="00D279DE">
              <w:t>R</w:t>
            </w:r>
            <w:r w:rsidR="008D134F">
              <w:t xml:space="preserve">estricts the processing of tests with a Warning or Error indicator to </w:t>
            </w:r>
            <w:r>
              <w:t>one at a time.</w:t>
            </w:r>
          </w:p>
          <w:p w14:paraId="18EABB45" w14:textId="77777777" w:rsidR="005F3685" w:rsidRDefault="005F3685" w:rsidP="005F3685">
            <w:pPr>
              <w:pStyle w:val="TableText"/>
            </w:pPr>
          </w:p>
          <w:p w14:paraId="001F0682" w14:textId="64A44D04" w:rsidR="005F3685" w:rsidRDefault="005F3685" w:rsidP="005F3685">
            <w:pPr>
              <w:pStyle w:val="TableText"/>
              <w:rPr>
                <w:b/>
                <w:bCs/>
                <w:szCs w:val="18"/>
              </w:rPr>
            </w:pPr>
            <w:r>
              <w:rPr>
                <w:b/>
                <w:bCs/>
                <w:szCs w:val="18"/>
              </w:rPr>
              <w:t>NOTES</w:t>
            </w:r>
          </w:p>
          <w:p w14:paraId="414964CB" w14:textId="77777777" w:rsidR="005F3685" w:rsidRDefault="005F3685" w:rsidP="005F3685">
            <w:pPr>
              <w:pStyle w:val="NotesText"/>
            </w:pPr>
          </w:p>
          <w:p w14:paraId="37ACA919" w14:textId="77777777" w:rsidR="005F3685" w:rsidRDefault="005F3685" w:rsidP="005F3685">
            <w:pPr>
              <w:pStyle w:val="NotesText"/>
            </w:pPr>
            <w:r w:rsidRPr="005F3685">
              <w:rPr>
                <w:vanish/>
              </w:rPr>
              <w:t xml:space="preserve">BR_92.09 </w:t>
            </w:r>
            <w:r>
              <w:t>When the user selects an expired task for processing, the system will provide an audible alert and generate a warning message: “This order is expired. Do you want to continue processing it?” When the user responds “No”, the task is cleared and a new task can be entered. When the user responds “Yes”, he must enter a comment and the system will generate an exception report entry.</w:t>
            </w:r>
          </w:p>
          <w:p w14:paraId="75DFF4C7" w14:textId="77777777" w:rsidR="00C82313" w:rsidRDefault="00C82313" w:rsidP="005F3685">
            <w:pPr>
              <w:pStyle w:val="NotesText"/>
            </w:pPr>
          </w:p>
          <w:p w14:paraId="2BBE682F" w14:textId="77777777" w:rsidR="00501170" w:rsidRDefault="00C82313" w:rsidP="005F3685">
            <w:pPr>
              <w:pStyle w:val="NotesText"/>
              <w:rPr>
                <w:rFonts w:cs="Arial"/>
                <w:szCs w:val="18"/>
              </w:rPr>
            </w:pPr>
            <w:r w:rsidRPr="00C82313">
              <w:rPr>
                <w:rFonts w:cs="Arial"/>
                <w:vanish/>
                <w:szCs w:val="18"/>
              </w:rPr>
              <w:t xml:space="preserve">BR_115.18 </w:t>
            </w:r>
            <w:r w:rsidRPr="00E206E0">
              <w:rPr>
                <w:rFonts w:cs="Arial"/>
                <w:szCs w:val="18"/>
              </w:rPr>
              <w:t xml:space="preserve">When row validation for a patient ABO or Rh test results matches the </w:t>
            </w:r>
            <w:r>
              <w:rPr>
                <w:rFonts w:cs="Arial"/>
                <w:szCs w:val="18"/>
              </w:rPr>
              <w:t>instrument</w:t>
            </w:r>
            <w:r w:rsidRPr="00E206E0">
              <w:rPr>
                <w:rFonts w:cs="Arial"/>
                <w:szCs w:val="18"/>
              </w:rPr>
              <w:t xml:space="preserve"> interpretation and does not match the previous ABO</w:t>
            </w:r>
            <w:r w:rsidR="0001680D">
              <w:rPr>
                <w:rFonts w:cs="Arial"/>
                <w:szCs w:val="18"/>
              </w:rPr>
              <w:t xml:space="preserve"> or Rh interpretation on record, the system emits</w:t>
            </w:r>
          </w:p>
          <w:p w14:paraId="42AFB083" w14:textId="77777777" w:rsidR="00C82313" w:rsidRDefault="00C82313" w:rsidP="005F3685">
            <w:pPr>
              <w:pStyle w:val="NotesText"/>
              <w:rPr>
                <w:rFonts w:cs="Arial"/>
                <w:szCs w:val="18"/>
              </w:rPr>
            </w:pPr>
            <w:r w:rsidRPr="00E206E0">
              <w:rPr>
                <w:rFonts w:cs="Arial"/>
                <w:szCs w:val="18"/>
              </w:rPr>
              <w:t>an audible alert and displays a warning message that the current ABO/Rh does not match previous interpretations. The user is required to enter a comment (free text or canned from the “patient testing” context) to continue. The comment and the details of the transaction are captured for inclusion in an exception report</w:t>
            </w:r>
            <w:r>
              <w:rPr>
                <w:rFonts w:cs="Arial"/>
                <w:szCs w:val="18"/>
              </w:rPr>
              <w:t>.</w:t>
            </w:r>
          </w:p>
          <w:p w14:paraId="69135878" w14:textId="77777777" w:rsidR="00D14444" w:rsidRDefault="00D14444" w:rsidP="005F3685">
            <w:pPr>
              <w:pStyle w:val="NotesText"/>
              <w:rPr>
                <w:rFonts w:cs="Arial"/>
                <w:szCs w:val="18"/>
              </w:rPr>
            </w:pPr>
          </w:p>
          <w:p w14:paraId="2635ED5B" w14:textId="709CB1FF" w:rsidR="00D14444" w:rsidRDefault="00D14444" w:rsidP="005F3685">
            <w:pPr>
              <w:pStyle w:val="NotesText"/>
            </w:pPr>
            <w:r w:rsidRPr="00D14444">
              <w:rPr>
                <w:vanish/>
              </w:rPr>
              <w:t xml:space="preserve">BR_115.27 </w:t>
            </w:r>
            <w:r>
              <w:t>The</w:t>
            </w:r>
            <w:r w:rsidRPr="000E14BF">
              <w:t xml:space="preserve"> system check</w:t>
            </w:r>
            <w:r>
              <w:t>s</w:t>
            </w:r>
            <w:r w:rsidRPr="000E14BF">
              <w:t xml:space="preserve"> if a repeat ABO/Rh was performed on the patient specimen. When performed, the repeat ABO/Rh interpretation must match the original ABO/Rh interpretation. If they do not match, the system will provide an audible warning and display a warning message: “Original a</w:t>
            </w:r>
            <w:r>
              <w:t xml:space="preserve">nd repeat ABO/Rh interpretation </w:t>
            </w:r>
            <w:r w:rsidRPr="000E14BF">
              <w:t>do</w:t>
            </w:r>
            <w:r>
              <w:t>es</w:t>
            </w:r>
            <w:r w:rsidRPr="000E14BF">
              <w:t xml:space="preserve"> not match. You must resolve the discrepancy before this specimen may be used.” Continue to save?” A “No” response clears the ABO/Rh testing results and interpretation from the screen. A “Yes” response requires a comment (free text or canned from the “patient testing” context) and the details of the transaction are captured for inclusion in an exception report</w:t>
            </w:r>
            <w:r>
              <w:t>.</w:t>
            </w:r>
          </w:p>
          <w:p w14:paraId="46657740" w14:textId="3D9CB694" w:rsidR="00065638" w:rsidRDefault="00065638" w:rsidP="005F3685">
            <w:pPr>
              <w:pStyle w:val="NotesText"/>
            </w:pPr>
          </w:p>
          <w:p w14:paraId="40152DEC" w14:textId="45EB73DB" w:rsidR="00065638" w:rsidRDefault="00065638" w:rsidP="005F3685">
            <w:pPr>
              <w:pStyle w:val="NotesText"/>
            </w:pPr>
            <w:r w:rsidRPr="00065638">
              <w:rPr>
                <w:vanish/>
              </w:rPr>
              <w:t xml:space="preserve">BR_53.08 </w:t>
            </w:r>
            <w:r>
              <w:t>If the antibody screen is positive, the system emits an audible alert and warning that displays that the Patient has a POSITIVE Antibody Screen Result. Perform Antibody Identification on this patient prior to issue of blood components.</w:t>
            </w:r>
          </w:p>
          <w:p w14:paraId="7DDF75E6" w14:textId="77777777" w:rsidR="005F3685" w:rsidRDefault="005F3685" w:rsidP="005F3685">
            <w:pPr>
              <w:pStyle w:val="TableTextBullet"/>
              <w:numPr>
                <w:ilvl w:val="0"/>
                <w:numId w:val="0"/>
              </w:numPr>
              <w:ind w:left="288" w:hanging="288"/>
            </w:pPr>
          </w:p>
        </w:tc>
      </w:tr>
      <w:tr w:rsidR="00BE554D" w14:paraId="445F3DBA" w14:textId="77777777" w:rsidTr="00381224">
        <w:tc>
          <w:tcPr>
            <w:tcW w:w="3240" w:type="dxa"/>
          </w:tcPr>
          <w:p w14:paraId="21336D39" w14:textId="77777777" w:rsidR="00A80240" w:rsidRDefault="00BE554D" w:rsidP="00A80240">
            <w:pPr>
              <w:pStyle w:val="TableTextNumbers"/>
            </w:pPr>
            <w:r>
              <w:t xml:space="preserve">User </w:t>
            </w:r>
            <w:r w:rsidR="00B571AC" w:rsidRPr="00B571AC">
              <w:rPr>
                <w:b/>
              </w:rPr>
              <w:t>Accepts</w:t>
            </w:r>
            <w:r w:rsidR="00B571AC">
              <w:t xml:space="preserve"> or </w:t>
            </w:r>
            <w:r w:rsidR="00B571AC" w:rsidRPr="00B571AC">
              <w:rPr>
                <w:b/>
              </w:rPr>
              <w:t>Rejects</w:t>
            </w:r>
            <w:r w:rsidR="00B571AC">
              <w:t xml:space="preserve"> the selected patient test results.</w:t>
            </w:r>
          </w:p>
        </w:tc>
        <w:tc>
          <w:tcPr>
            <w:tcW w:w="6120" w:type="dxa"/>
          </w:tcPr>
          <w:p w14:paraId="4CF1F262" w14:textId="77777777" w:rsidR="00D279DE" w:rsidRDefault="00D279DE" w:rsidP="00381224">
            <w:pPr>
              <w:pStyle w:val="TableTextBullet"/>
            </w:pPr>
            <w:r>
              <w:t>Verifies the results for save.</w:t>
            </w:r>
          </w:p>
          <w:p w14:paraId="78EC744D" w14:textId="77777777" w:rsidR="00BE554D" w:rsidRDefault="00CA1AFE" w:rsidP="00381224">
            <w:pPr>
              <w:pStyle w:val="TableTextBullet"/>
            </w:pPr>
            <w:r>
              <w:t>Gathers comments from user for rejected results prior to saving.</w:t>
            </w:r>
          </w:p>
          <w:p w14:paraId="22369646" w14:textId="77777777" w:rsidR="00BE554D" w:rsidRDefault="00BE554D" w:rsidP="00381224">
            <w:pPr>
              <w:pStyle w:val="TableTextBullet"/>
              <w:numPr>
                <w:ilvl w:val="0"/>
                <w:numId w:val="0"/>
              </w:numPr>
              <w:ind w:left="288" w:hanging="288"/>
            </w:pPr>
          </w:p>
          <w:p w14:paraId="232FCF47" w14:textId="0E2B86E5" w:rsidR="00BE554D" w:rsidRDefault="00BE554D" w:rsidP="00381224">
            <w:pPr>
              <w:pStyle w:val="TableText"/>
              <w:rPr>
                <w:b/>
                <w:bCs/>
                <w:szCs w:val="18"/>
              </w:rPr>
            </w:pPr>
            <w:r>
              <w:rPr>
                <w:b/>
                <w:bCs/>
                <w:szCs w:val="18"/>
              </w:rPr>
              <w:t>NOTES</w:t>
            </w:r>
          </w:p>
          <w:p w14:paraId="7C2F9415" w14:textId="77777777" w:rsidR="00BE554D" w:rsidRDefault="00BE554D" w:rsidP="00381224">
            <w:pPr>
              <w:pStyle w:val="NotesText"/>
            </w:pPr>
          </w:p>
          <w:p w14:paraId="4850D9CC" w14:textId="77777777" w:rsidR="00B571AC" w:rsidRPr="00136C64" w:rsidRDefault="00B571AC" w:rsidP="00B571AC">
            <w:pPr>
              <w:pStyle w:val="NotesText"/>
              <w:rPr>
                <w:rFonts w:cs="Arial"/>
              </w:rPr>
            </w:pPr>
            <w:r w:rsidRPr="00F47ABD">
              <w:rPr>
                <w:rFonts w:cs="Arial"/>
                <w:vanish/>
              </w:rPr>
              <w:t xml:space="preserve">BR_115.07 </w:t>
            </w:r>
            <w:r>
              <w:rPr>
                <w:rFonts w:cs="Arial"/>
              </w:rPr>
              <w:t>When</w:t>
            </w:r>
            <w:r w:rsidRPr="00136C64">
              <w:rPr>
                <w:rFonts w:cs="Arial"/>
              </w:rPr>
              <w:t xml:space="preserve"> the test is accepted, the system will save the following:</w:t>
            </w:r>
          </w:p>
          <w:p w14:paraId="60C03DCD" w14:textId="77777777" w:rsidR="00B571AC" w:rsidRPr="00A51E88" w:rsidRDefault="00B571AC" w:rsidP="00925CAD">
            <w:pPr>
              <w:pStyle w:val="TableText"/>
              <w:numPr>
                <w:ilvl w:val="0"/>
                <w:numId w:val="43"/>
              </w:numPr>
            </w:pPr>
            <w:r>
              <w:t>R</w:t>
            </w:r>
            <w:r w:rsidRPr="00A51E88">
              <w:t>eviewing Tech ID (Name)</w:t>
            </w:r>
          </w:p>
          <w:p w14:paraId="4A0FC161" w14:textId="77777777" w:rsidR="00B571AC" w:rsidRPr="00A51E88" w:rsidRDefault="00B571AC" w:rsidP="00925CAD">
            <w:pPr>
              <w:pStyle w:val="TableText"/>
              <w:numPr>
                <w:ilvl w:val="0"/>
                <w:numId w:val="43"/>
              </w:numPr>
            </w:pPr>
            <w:r w:rsidRPr="00A51E88">
              <w:t>Testing Tech ID (Name)</w:t>
            </w:r>
          </w:p>
          <w:p w14:paraId="597A9342" w14:textId="77777777" w:rsidR="00B571AC" w:rsidRPr="00A51E88" w:rsidRDefault="00B571AC" w:rsidP="00925CAD">
            <w:pPr>
              <w:pStyle w:val="TableText"/>
              <w:numPr>
                <w:ilvl w:val="0"/>
                <w:numId w:val="43"/>
              </w:numPr>
            </w:pPr>
            <w:r w:rsidRPr="00A51E88">
              <w:t xml:space="preserve">Interfaced instrument id (Name) as transmitted from instrument, </w:t>
            </w:r>
          </w:p>
          <w:p w14:paraId="4E702FD4" w14:textId="77777777" w:rsidR="00B571AC" w:rsidRDefault="00B571AC" w:rsidP="00925CAD">
            <w:pPr>
              <w:pStyle w:val="TableText"/>
              <w:numPr>
                <w:ilvl w:val="0"/>
                <w:numId w:val="43"/>
              </w:numPr>
            </w:pPr>
            <w:r>
              <w:t>D</w:t>
            </w:r>
            <w:r w:rsidRPr="00A51E88">
              <w:t>ate and time te</w:t>
            </w:r>
            <w:r>
              <w:t>sted</w:t>
            </w:r>
          </w:p>
          <w:p w14:paraId="40E7C496" w14:textId="77777777" w:rsidR="00B571AC" w:rsidRDefault="00B571AC" w:rsidP="00925CAD">
            <w:pPr>
              <w:pStyle w:val="TableText"/>
              <w:numPr>
                <w:ilvl w:val="0"/>
                <w:numId w:val="43"/>
              </w:numPr>
            </w:pPr>
            <w:r>
              <w:t xml:space="preserve">Date and time reviewed </w:t>
            </w:r>
          </w:p>
          <w:p w14:paraId="166D8FE7" w14:textId="77777777" w:rsidR="00B571AC" w:rsidRPr="00F0612B" w:rsidRDefault="00B571AC" w:rsidP="00925CAD">
            <w:pPr>
              <w:pStyle w:val="TableText"/>
              <w:numPr>
                <w:ilvl w:val="0"/>
                <w:numId w:val="43"/>
              </w:numPr>
            </w:pPr>
            <w:r>
              <w:t>Test information: test results, test interpretations, and test comments.</w:t>
            </w:r>
          </w:p>
          <w:p w14:paraId="0436497E" w14:textId="77777777" w:rsidR="00B571AC" w:rsidRDefault="00B571AC" w:rsidP="00381224">
            <w:pPr>
              <w:pStyle w:val="NotesText"/>
              <w:rPr>
                <w:rFonts w:cs="Arial"/>
                <w:vanish/>
              </w:rPr>
            </w:pPr>
          </w:p>
          <w:p w14:paraId="31AE1F92" w14:textId="77777777" w:rsidR="00BE554D" w:rsidRDefault="00BE554D" w:rsidP="00381224">
            <w:pPr>
              <w:pStyle w:val="NotesText"/>
            </w:pPr>
            <w:r w:rsidRPr="00F47ABD">
              <w:rPr>
                <w:rFonts w:cs="Arial"/>
                <w:vanish/>
              </w:rPr>
              <w:t xml:space="preserve">BR_115.05 </w:t>
            </w:r>
            <w:r>
              <w:rPr>
                <w:rFonts w:cs="Arial"/>
              </w:rPr>
              <w:t>When the</w:t>
            </w:r>
            <w:r>
              <w:t xml:space="preserve"> test is rejected, the system will:</w:t>
            </w:r>
          </w:p>
          <w:p w14:paraId="7FFDF1BC" w14:textId="77777777" w:rsidR="00BE554D" w:rsidRDefault="00BE554D" w:rsidP="00925CAD">
            <w:pPr>
              <w:pStyle w:val="TableText"/>
              <w:numPr>
                <w:ilvl w:val="0"/>
                <w:numId w:val="43"/>
              </w:numPr>
            </w:pPr>
            <w:r>
              <w:t>Prompt user to confirm they want to reject.</w:t>
            </w:r>
          </w:p>
          <w:p w14:paraId="4C2FC75C" w14:textId="77777777" w:rsidR="00BE554D" w:rsidRDefault="00BE554D" w:rsidP="00925CAD">
            <w:pPr>
              <w:pStyle w:val="TableText"/>
              <w:numPr>
                <w:ilvl w:val="0"/>
                <w:numId w:val="43"/>
              </w:numPr>
            </w:pPr>
            <w:r>
              <w:t>Remove the test from the list for acceptance.</w:t>
            </w:r>
          </w:p>
          <w:p w14:paraId="5FFFFD3F" w14:textId="77777777" w:rsidR="00BE554D" w:rsidRDefault="00BE554D" w:rsidP="00925CAD">
            <w:pPr>
              <w:pStyle w:val="TableText"/>
              <w:numPr>
                <w:ilvl w:val="0"/>
                <w:numId w:val="43"/>
              </w:numPr>
            </w:pPr>
            <w:r>
              <w:t>No rejection message is sent to the instrument.</w:t>
            </w:r>
          </w:p>
          <w:p w14:paraId="7AA33825" w14:textId="77777777" w:rsidR="00BE554D" w:rsidRDefault="00BE554D" w:rsidP="00925CAD">
            <w:pPr>
              <w:pStyle w:val="TableText"/>
              <w:numPr>
                <w:ilvl w:val="0"/>
                <w:numId w:val="43"/>
              </w:numPr>
            </w:pPr>
            <w:r>
              <w:t>The Diagnostic test returns to the previous status and is ready for testing.</w:t>
            </w:r>
          </w:p>
          <w:p w14:paraId="62ADD09C" w14:textId="77777777" w:rsidR="00BE554D" w:rsidRDefault="00BE554D" w:rsidP="00381224">
            <w:pPr>
              <w:pStyle w:val="NotesText"/>
            </w:pPr>
          </w:p>
          <w:p w14:paraId="4128E38A" w14:textId="77777777" w:rsidR="00BE554D" w:rsidRPr="00016C78" w:rsidRDefault="00BE554D" w:rsidP="00381224">
            <w:pPr>
              <w:pStyle w:val="NotesText"/>
            </w:pPr>
            <w:r w:rsidRPr="00016C78">
              <w:rPr>
                <w:vanish/>
              </w:rPr>
              <w:t xml:space="preserve">BR_115.31 </w:t>
            </w:r>
            <w:r w:rsidRPr="00016C78">
              <w:t>Changes test Task status Completed for all tests except for Type and Screen which must have ABO/Rh and ABS saved before the TAS goes to a task status of Completed.</w:t>
            </w:r>
          </w:p>
          <w:p w14:paraId="58ADEA11" w14:textId="77777777" w:rsidR="00BE554D" w:rsidRPr="00016C78" w:rsidRDefault="00BE554D" w:rsidP="00381224">
            <w:pPr>
              <w:pStyle w:val="NotesText"/>
            </w:pPr>
          </w:p>
          <w:p w14:paraId="22F96C36" w14:textId="77777777" w:rsidR="00BE554D" w:rsidRDefault="00BE554D" w:rsidP="00B571AC">
            <w:pPr>
              <w:pStyle w:val="NotesText"/>
            </w:pPr>
            <w:r w:rsidRPr="00016C78">
              <w:rPr>
                <w:vanish/>
              </w:rPr>
              <w:t xml:space="preserve">BR_115.31 </w:t>
            </w:r>
            <w:r w:rsidRPr="00016C78">
              <w:t>If the user saves only the ABO/Rh and rejects ABS or only saves the ABS and rejects the ABO-Rh, the TAS goes to a task status of Partially Completed and is then selectable from the Pending Task List.</w:t>
            </w:r>
          </w:p>
          <w:p w14:paraId="55B92BE2" w14:textId="77777777" w:rsidR="00B571AC" w:rsidRDefault="00B571AC" w:rsidP="00B571AC">
            <w:pPr>
              <w:pStyle w:val="NotesText"/>
            </w:pPr>
          </w:p>
          <w:p w14:paraId="3BD555E4" w14:textId="77777777" w:rsidR="00B571AC" w:rsidRDefault="00B571AC" w:rsidP="00B571AC">
            <w:pPr>
              <w:pStyle w:val="NotesText"/>
            </w:pPr>
            <w:r w:rsidRPr="00B571AC">
              <w:rPr>
                <w:vanish/>
              </w:rPr>
              <w:t xml:space="preserve">BR_56.05 </w:t>
            </w:r>
            <w:r>
              <w:t>The system will update the order status when a valid interpretation is entered and saved for a test, the status of the ordered test is updated to “completed,” and an order status update message is sent to CPRS.</w:t>
            </w:r>
          </w:p>
          <w:p w14:paraId="024CEF0A" w14:textId="77777777" w:rsidR="00DE3FDB" w:rsidRDefault="00DE3FDB" w:rsidP="00B571AC">
            <w:pPr>
              <w:pStyle w:val="NotesText"/>
            </w:pPr>
          </w:p>
          <w:p w14:paraId="5C7AF2A0" w14:textId="77777777" w:rsidR="00DE3FDB" w:rsidRDefault="00DE3FDB" w:rsidP="00B571AC">
            <w:pPr>
              <w:pStyle w:val="NotesText"/>
            </w:pPr>
            <w:r w:rsidRPr="00DE3FDB">
              <w:rPr>
                <w:vanish/>
              </w:rPr>
              <w:t xml:space="preserve">BR_56.29 </w:t>
            </w:r>
            <w:r>
              <w:t>When a unit was issued and a conflicting test result found that indicates a potential unit incompatibility with the patient, such as a patient ABO/Rh discrepancy, the unit crossmatch is incompatible with the patient, the patient antibody screen test is positive, the patient DAT is positive, or the unit is antigen positive where antigen negative is required on the tested specimen, VBECS displays a warning message</w:t>
            </w:r>
            <w:r w:rsidRPr="007C05B4">
              <w:t xml:space="preserve"> such as: Unit has been emergency issued. Notify the physician of this potential problem IMMEDIATELY, per hospital policy! </w:t>
            </w:r>
            <w:r>
              <w:t>The warning message displays during the execution of the various tests related to the compatibility of a blood unit. An exception report entry is generated at the save.</w:t>
            </w:r>
          </w:p>
          <w:p w14:paraId="73BAD378" w14:textId="77777777" w:rsidR="00DE3FDB" w:rsidRDefault="002275D4" w:rsidP="00B571AC">
            <w:pPr>
              <w:pStyle w:val="NotesText"/>
            </w:pPr>
            <w:r>
              <w:t xml:space="preserve"> </w:t>
            </w:r>
          </w:p>
          <w:p w14:paraId="614F9049" w14:textId="77777777" w:rsidR="00DE3FDB" w:rsidRDefault="002275D4" w:rsidP="0071317D">
            <w:pPr>
              <w:pStyle w:val="NotesText"/>
            </w:pPr>
            <w:r w:rsidRPr="002275D4">
              <w:rPr>
                <w:vanish/>
              </w:rPr>
              <w:t xml:space="preserve">BR_54.07 </w:t>
            </w:r>
            <w:r>
              <w:t xml:space="preserve">A </w:t>
            </w:r>
            <w:r>
              <w:rPr>
                <w:vanish/>
              </w:rPr>
              <w:t>BRBR</w:t>
            </w:r>
            <w:r w:rsidR="00DE3FDB">
              <w:t xml:space="preserve">comment </w:t>
            </w:r>
            <w:r w:rsidR="0071317D">
              <w:t xml:space="preserve">appears on CPRS reports for patients with a </w:t>
            </w:r>
            <w:r w:rsidR="00DE3FDB">
              <w:t xml:space="preserve">positive </w:t>
            </w:r>
            <w:r w:rsidR="0071317D">
              <w:t xml:space="preserve">Antibody Screen or </w:t>
            </w:r>
            <w:r w:rsidR="00DE3FDB">
              <w:t xml:space="preserve">Direct Antiglobulin Test: </w:t>
            </w:r>
            <w:r w:rsidR="00DE3FDB" w:rsidRPr="0093080E">
              <w:t>Preparation of red cell components for transfusion may be delayed due to serologic problems. Contact transfusion service for information on potential clinical significance and availability of blood components</w:t>
            </w:r>
            <w:r>
              <w:t>.</w:t>
            </w:r>
          </w:p>
        </w:tc>
      </w:tr>
      <w:tr w:rsidR="00A80240" w14:paraId="07A0EDFA" w14:textId="77777777" w:rsidTr="00381224">
        <w:tc>
          <w:tcPr>
            <w:tcW w:w="3240" w:type="dxa"/>
          </w:tcPr>
          <w:p w14:paraId="14CFD00E" w14:textId="77777777" w:rsidR="00A80240" w:rsidRPr="00396B2B" w:rsidRDefault="00A80240" w:rsidP="008E6859">
            <w:pPr>
              <w:pStyle w:val="TableTextNumbers"/>
            </w:pPr>
            <w:r>
              <w:t xml:space="preserve">User clicks </w:t>
            </w:r>
            <w:r w:rsidRPr="00A80240">
              <w:rPr>
                <w:b/>
              </w:rPr>
              <w:t>Yes</w:t>
            </w:r>
            <w:r>
              <w:t xml:space="preserve"> to confirm the acceptance or rejection of the selected test(s).</w:t>
            </w:r>
          </w:p>
        </w:tc>
        <w:tc>
          <w:tcPr>
            <w:tcW w:w="6120" w:type="dxa"/>
          </w:tcPr>
          <w:p w14:paraId="036D6781" w14:textId="49804CDF" w:rsidR="00A80240" w:rsidRDefault="00A80240" w:rsidP="00A80240">
            <w:pPr>
              <w:pStyle w:val="TableTextBullet"/>
            </w:pPr>
            <w:r>
              <w:t>Closes the Automated Testing – Pending Specimen Tests window and displays the desktop when there a</w:t>
            </w:r>
            <w:r w:rsidR="0017153D">
              <w:t>re</w:t>
            </w:r>
            <w:r>
              <w:t xml:space="preserve"> no more pending tests to review.</w:t>
            </w:r>
          </w:p>
          <w:p w14:paraId="17287F1B" w14:textId="77777777" w:rsidR="00A80240" w:rsidRDefault="00A80240" w:rsidP="00A80240">
            <w:pPr>
              <w:pStyle w:val="TableTextBullet"/>
            </w:pPr>
            <w:r>
              <w:t>Closes the Automated Testing – Pending Specimen Tests window and displays the Automated Testing – Pending Patient Orders window when there are pending tests to review.</w:t>
            </w:r>
          </w:p>
        </w:tc>
      </w:tr>
      <w:tr w:rsidR="008E6859" w14:paraId="0028F079" w14:textId="77777777" w:rsidTr="00381224">
        <w:tc>
          <w:tcPr>
            <w:tcW w:w="3240" w:type="dxa"/>
          </w:tcPr>
          <w:p w14:paraId="43D64804" w14:textId="77777777" w:rsidR="00B16194" w:rsidRPr="00B16194" w:rsidRDefault="00B16194" w:rsidP="00B16194">
            <w:pPr>
              <w:pStyle w:val="TableTextNumbers"/>
              <w:numPr>
                <w:ilvl w:val="0"/>
                <w:numId w:val="0"/>
              </w:numPr>
              <w:ind w:left="288"/>
              <w:rPr>
                <w:b/>
                <w:i/>
              </w:rPr>
            </w:pPr>
            <w:r w:rsidRPr="00B16194">
              <w:rPr>
                <w:b/>
                <w:i/>
              </w:rPr>
              <w:t>CROSSMATCH</w:t>
            </w:r>
          </w:p>
          <w:p w14:paraId="0E95A423" w14:textId="77777777" w:rsidR="008E6859" w:rsidRDefault="0062092C" w:rsidP="008E6859">
            <w:pPr>
              <w:pStyle w:val="TableTextNumbers"/>
            </w:pPr>
            <w:r w:rsidRPr="00396B2B">
              <w:t>User selec</w:t>
            </w:r>
            <w:r>
              <w:t xml:space="preserve">ts </w:t>
            </w:r>
            <w:r w:rsidRPr="0062092C">
              <w:rPr>
                <w:b/>
              </w:rPr>
              <w:t>XMatch</w:t>
            </w:r>
            <w:r>
              <w:t xml:space="preserve"> from the testing tabs that are enabled on the Automated Testing – Pending Specimen Tests window</w:t>
            </w:r>
            <w:r w:rsidR="008F406C">
              <w:t>.</w:t>
            </w:r>
          </w:p>
        </w:tc>
        <w:tc>
          <w:tcPr>
            <w:tcW w:w="6120" w:type="dxa"/>
          </w:tcPr>
          <w:p w14:paraId="1DC68EA9" w14:textId="77777777" w:rsidR="00274D41" w:rsidRDefault="004A39DB" w:rsidP="00274D41">
            <w:pPr>
              <w:pStyle w:val="TableTextBullet"/>
            </w:pPr>
            <w:r>
              <w:t>D</w:t>
            </w:r>
            <w:r w:rsidR="00274D41">
              <w:t>etermines that all appropriate test results were entered for the patient.</w:t>
            </w:r>
          </w:p>
          <w:p w14:paraId="655BA8DB" w14:textId="77777777" w:rsidR="00274D41" w:rsidRDefault="004A39DB" w:rsidP="00274D41">
            <w:pPr>
              <w:pStyle w:val="TableTextBullet"/>
            </w:pPr>
            <w:r>
              <w:t>V</w:t>
            </w:r>
            <w:r w:rsidR="00274D41">
              <w:t>alidates test results and displays Warning or Error indicator when results do not match expected pattern.</w:t>
            </w:r>
          </w:p>
          <w:p w14:paraId="0869D3FF" w14:textId="77777777" w:rsidR="00274D41" w:rsidRDefault="00274D41" w:rsidP="00274D41">
            <w:pPr>
              <w:pStyle w:val="TableTextBullet"/>
            </w:pPr>
            <w:r>
              <w:t>Displays comments from the Automated Instrument.</w:t>
            </w:r>
          </w:p>
          <w:p w14:paraId="5EF68978" w14:textId="77777777" w:rsidR="0062092C" w:rsidRDefault="0062092C" w:rsidP="0062092C">
            <w:pPr>
              <w:pStyle w:val="TableText"/>
            </w:pPr>
          </w:p>
          <w:p w14:paraId="3304A466" w14:textId="36E2BD02" w:rsidR="0062092C" w:rsidRDefault="0062092C" w:rsidP="0062092C">
            <w:pPr>
              <w:pStyle w:val="TableText"/>
              <w:rPr>
                <w:b/>
                <w:bCs/>
                <w:szCs w:val="18"/>
              </w:rPr>
            </w:pPr>
            <w:r>
              <w:rPr>
                <w:b/>
                <w:bCs/>
                <w:szCs w:val="18"/>
              </w:rPr>
              <w:t>NOTES</w:t>
            </w:r>
          </w:p>
          <w:p w14:paraId="5423B4CB" w14:textId="77777777" w:rsidR="0062092C" w:rsidRDefault="0062092C" w:rsidP="0062092C">
            <w:pPr>
              <w:pStyle w:val="NotesText"/>
            </w:pPr>
          </w:p>
          <w:p w14:paraId="220DA2BD" w14:textId="5301B047" w:rsidR="00274D41" w:rsidRPr="00FB2A8A" w:rsidRDefault="0062092C" w:rsidP="00FB2A8A">
            <w:pPr>
              <w:pStyle w:val="TableText"/>
              <w:ind w:left="720"/>
              <w:rPr>
                <w:rFonts w:cs="Arial"/>
                <w:szCs w:val="18"/>
              </w:rPr>
            </w:pPr>
            <w:r w:rsidRPr="0062092C">
              <w:rPr>
                <w:rFonts w:cs="Arial"/>
                <w:vanish/>
                <w:szCs w:val="18"/>
              </w:rPr>
              <w:t xml:space="preserve">BR_115.19 </w:t>
            </w:r>
            <w:r>
              <w:rPr>
                <w:rFonts w:cs="Arial"/>
                <w:szCs w:val="18"/>
              </w:rPr>
              <w:t>Units for</w:t>
            </w:r>
            <w:r w:rsidR="00274D41">
              <w:rPr>
                <w:rFonts w:cs="Arial"/>
                <w:szCs w:val="18"/>
              </w:rPr>
              <w:t xml:space="preserve"> crossmatch must be selected for the patient</w:t>
            </w:r>
            <w:r>
              <w:rPr>
                <w:rFonts w:cs="Arial"/>
                <w:szCs w:val="18"/>
              </w:rPr>
              <w:t xml:space="preserve"> prior to results transmission from the Automated Instrument for the results to appear </w:t>
            </w:r>
            <w:r w:rsidR="00274D41">
              <w:rPr>
                <w:rFonts w:cs="Arial"/>
                <w:szCs w:val="18"/>
              </w:rPr>
              <w:t>in</w:t>
            </w:r>
            <w:r>
              <w:rPr>
                <w:rFonts w:cs="Arial"/>
                <w:szCs w:val="18"/>
              </w:rPr>
              <w:t xml:space="preserve"> the </w:t>
            </w:r>
            <w:r w:rsidR="00274D41">
              <w:rPr>
                <w:rFonts w:cs="Arial"/>
                <w:szCs w:val="18"/>
              </w:rPr>
              <w:t xml:space="preserve">Automated Testing – Pending </w:t>
            </w:r>
            <w:r w:rsidR="002A4CB4">
              <w:rPr>
                <w:rFonts w:cs="Arial"/>
                <w:szCs w:val="18"/>
              </w:rPr>
              <w:t>Specimen</w:t>
            </w:r>
            <w:r w:rsidR="00274D41">
              <w:rPr>
                <w:rFonts w:cs="Arial"/>
                <w:szCs w:val="18"/>
              </w:rPr>
              <w:t xml:space="preserve"> Tests window on the XMatch tab</w:t>
            </w:r>
            <w:r>
              <w:rPr>
                <w:rFonts w:cs="Arial"/>
                <w:szCs w:val="18"/>
              </w:rPr>
              <w:t xml:space="preserve"> for review.</w:t>
            </w:r>
          </w:p>
        </w:tc>
      </w:tr>
      <w:tr w:rsidR="00274D41" w14:paraId="19B95070" w14:textId="77777777" w:rsidTr="00381224">
        <w:tc>
          <w:tcPr>
            <w:tcW w:w="3240" w:type="dxa"/>
          </w:tcPr>
          <w:p w14:paraId="3D9E1432" w14:textId="77777777" w:rsidR="00274D41" w:rsidRDefault="00274D41" w:rsidP="00274D41">
            <w:pPr>
              <w:pStyle w:val="TableTextNumbers"/>
            </w:pPr>
            <w:r>
              <w:t>User clicks on the checkbox next to the Unit crossmatch result to be accepted or rejected.</w:t>
            </w:r>
          </w:p>
          <w:p w14:paraId="74798B84" w14:textId="77777777" w:rsidR="00274D41" w:rsidRDefault="00274D41" w:rsidP="00274D41">
            <w:pPr>
              <w:pStyle w:val="TableTextNumbers"/>
              <w:numPr>
                <w:ilvl w:val="0"/>
                <w:numId w:val="0"/>
              </w:numPr>
              <w:ind w:left="288"/>
            </w:pPr>
          </w:p>
          <w:p w14:paraId="75EA4EDF" w14:textId="77777777" w:rsidR="00274D41" w:rsidRDefault="00274D41" w:rsidP="00274D41">
            <w:pPr>
              <w:pStyle w:val="TableTextNumbers"/>
              <w:numPr>
                <w:ilvl w:val="0"/>
                <w:numId w:val="0"/>
              </w:numPr>
              <w:ind w:left="288"/>
            </w:pPr>
            <w:r>
              <w:t xml:space="preserve">Clicks on the comment balloon to enter </w:t>
            </w:r>
            <w:r w:rsidRPr="005F3685">
              <w:rPr>
                <w:b/>
              </w:rPr>
              <w:t>Review Comments</w:t>
            </w:r>
            <w:r>
              <w:t xml:space="preserve"> as needed.</w:t>
            </w:r>
          </w:p>
        </w:tc>
        <w:tc>
          <w:tcPr>
            <w:tcW w:w="6120" w:type="dxa"/>
          </w:tcPr>
          <w:p w14:paraId="38E0AE08" w14:textId="77777777" w:rsidR="00274D41" w:rsidRDefault="004A39DB" w:rsidP="00682345">
            <w:pPr>
              <w:pStyle w:val="TableTextBullet"/>
            </w:pPr>
            <w:r>
              <w:t>P</w:t>
            </w:r>
            <w:r w:rsidR="00274D41">
              <w:t>resents appropriate warning messages to the user.</w:t>
            </w:r>
          </w:p>
          <w:p w14:paraId="1E814DD6" w14:textId="77777777" w:rsidR="00274D41" w:rsidRPr="00274D41" w:rsidRDefault="00274D41" w:rsidP="00682345">
            <w:pPr>
              <w:pStyle w:val="TableTextBullet"/>
            </w:pPr>
            <w:r w:rsidRPr="00274D41">
              <w:rPr>
                <w:vanish/>
              </w:rPr>
              <w:t xml:space="preserve">BR_115.33 </w:t>
            </w:r>
            <w:r w:rsidR="004A39DB">
              <w:t>R</w:t>
            </w:r>
            <w:r>
              <w:t>equires the user to select the product code for the unit crossmatched when there are more than one unit selected for the patient with the same unit ID.</w:t>
            </w:r>
          </w:p>
          <w:p w14:paraId="6193D7EB" w14:textId="77777777" w:rsidR="00274D41" w:rsidRDefault="00274D41" w:rsidP="00682345">
            <w:pPr>
              <w:pStyle w:val="TableTextBullet"/>
            </w:pPr>
            <w:r w:rsidRPr="00EB70AF">
              <w:rPr>
                <w:vanish/>
              </w:rPr>
              <w:t xml:space="preserve">BR_115.13 </w:t>
            </w:r>
            <w:r w:rsidR="004A39DB">
              <w:t>A</w:t>
            </w:r>
            <w:r>
              <w:t>llows selection of multiple tests with a Valid indicator.</w:t>
            </w:r>
          </w:p>
          <w:p w14:paraId="7FCF2FA7" w14:textId="77777777" w:rsidR="00274D41" w:rsidRDefault="00274D41" w:rsidP="00682345">
            <w:pPr>
              <w:pStyle w:val="TableTextBullet"/>
            </w:pPr>
            <w:r w:rsidRPr="00EB70AF">
              <w:rPr>
                <w:vanish/>
              </w:rPr>
              <w:t xml:space="preserve">BR_115.25 </w:t>
            </w:r>
            <w:r w:rsidR="004A39DB">
              <w:t>R</w:t>
            </w:r>
            <w:r>
              <w:t>estricts the processing of tests with a Warning or Error indicator to one at a time.</w:t>
            </w:r>
          </w:p>
          <w:p w14:paraId="4A641F57" w14:textId="77777777" w:rsidR="00274D41" w:rsidRDefault="00274D41" w:rsidP="00682345">
            <w:pPr>
              <w:pStyle w:val="TableText"/>
            </w:pPr>
          </w:p>
          <w:p w14:paraId="7E13283D" w14:textId="3379C9F2" w:rsidR="00274D41" w:rsidRDefault="00274D41" w:rsidP="00682345">
            <w:pPr>
              <w:pStyle w:val="TableText"/>
              <w:rPr>
                <w:b/>
                <w:bCs/>
                <w:szCs w:val="18"/>
              </w:rPr>
            </w:pPr>
            <w:r>
              <w:rPr>
                <w:b/>
                <w:bCs/>
                <w:szCs w:val="18"/>
              </w:rPr>
              <w:t>NOTES</w:t>
            </w:r>
          </w:p>
          <w:p w14:paraId="3FFBB1FC" w14:textId="77777777" w:rsidR="00274D41" w:rsidRDefault="00274D41" w:rsidP="00682345">
            <w:pPr>
              <w:pStyle w:val="NotesText"/>
            </w:pPr>
          </w:p>
          <w:p w14:paraId="35E7D3E9" w14:textId="77777777" w:rsidR="00274D41" w:rsidRDefault="00274D41" w:rsidP="00AF08FF">
            <w:pPr>
              <w:pStyle w:val="NotesText"/>
            </w:pPr>
            <w:r w:rsidRPr="005F3685">
              <w:rPr>
                <w:vanish/>
              </w:rPr>
              <w:t xml:space="preserve">BR_92.09 </w:t>
            </w:r>
            <w:r>
              <w:t>When the user selects an expired task for processing, the system will provide an audible alert and generate a warning message: “This order is expired. Do you want to continue processing it?” When the user responds “No”, the task is cleared and a new task can be entered. When the user responds “Yes”, he must enter a comment and the system will generate an exception report entry.</w:t>
            </w:r>
          </w:p>
        </w:tc>
      </w:tr>
      <w:tr w:rsidR="00F414D6" w14:paraId="0CC5B541" w14:textId="77777777" w:rsidTr="00381224">
        <w:tc>
          <w:tcPr>
            <w:tcW w:w="3240" w:type="dxa"/>
          </w:tcPr>
          <w:p w14:paraId="754F9467" w14:textId="7127EF51" w:rsidR="00F414D6" w:rsidRDefault="00F414D6" w:rsidP="00274D41">
            <w:pPr>
              <w:pStyle w:val="TableTextNumbers"/>
            </w:pPr>
            <w:r>
              <w:t xml:space="preserve">User can change the XMatch Interp by using the </w:t>
            </w:r>
            <w:r w:rsidR="006549B7">
              <w:t>drop-down</w:t>
            </w:r>
            <w:r>
              <w:t xml:space="preserve"> arrow to select another interpretation.</w:t>
            </w:r>
          </w:p>
        </w:tc>
        <w:tc>
          <w:tcPr>
            <w:tcW w:w="6120" w:type="dxa"/>
          </w:tcPr>
          <w:p w14:paraId="08FD2AB5" w14:textId="77777777" w:rsidR="00F414D6" w:rsidRDefault="00F414D6" w:rsidP="00F414D6">
            <w:pPr>
              <w:pStyle w:val="TableTextBullet"/>
            </w:pPr>
            <w:r>
              <w:t xml:space="preserve">Displays the </w:t>
            </w:r>
            <w:r w:rsidR="001809EC">
              <w:t>crossmatch results from the Automated Instrument and allows the user to edit that interpretation before saving.</w:t>
            </w:r>
            <w:r>
              <w:t xml:space="preserve"> </w:t>
            </w:r>
          </w:p>
          <w:p w14:paraId="735C1BD2" w14:textId="77777777" w:rsidR="00F414D6" w:rsidRDefault="00F414D6" w:rsidP="00F414D6">
            <w:pPr>
              <w:pStyle w:val="TableTextBullet"/>
              <w:numPr>
                <w:ilvl w:val="0"/>
                <w:numId w:val="0"/>
              </w:numPr>
              <w:ind w:left="288"/>
            </w:pPr>
          </w:p>
          <w:p w14:paraId="2FA43EBA" w14:textId="6245290C" w:rsidR="00F414D6" w:rsidRDefault="00F414D6" w:rsidP="00F414D6">
            <w:pPr>
              <w:pStyle w:val="TableText"/>
              <w:rPr>
                <w:b/>
                <w:bCs/>
                <w:szCs w:val="18"/>
              </w:rPr>
            </w:pPr>
            <w:r>
              <w:rPr>
                <w:b/>
                <w:bCs/>
                <w:szCs w:val="18"/>
              </w:rPr>
              <w:t>NOTES</w:t>
            </w:r>
          </w:p>
          <w:p w14:paraId="4B072DBA" w14:textId="77777777" w:rsidR="00F414D6" w:rsidRDefault="00F414D6" w:rsidP="00F414D6">
            <w:pPr>
              <w:pStyle w:val="NotesText"/>
            </w:pPr>
          </w:p>
          <w:p w14:paraId="6D720F56" w14:textId="77777777" w:rsidR="001809EC" w:rsidRDefault="001809EC" w:rsidP="001809EC">
            <w:pPr>
              <w:pStyle w:val="TableTextBullet"/>
              <w:numPr>
                <w:ilvl w:val="0"/>
                <w:numId w:val="0"/>
              </w:numPr>
              <w:ind w:left="720"/>
            </w:pPr>
            <w:r w:rsidRPr="001809EC">
              <w:rPr>
                <w:vanish/>
              </w:rPr>
              <w:t xml:space="preserve">BR_115.29 </w:t>
            </w:r>
            <w:r>
              <w:t xml:space="preserve">The system allows a user to change a final crossmatch interpretation of </w:t>
            </w:r>
            <w:r w:rsidRPr="00815BE1">
              <w:rPr>
                <w:b/>
                <w:i/>
              </w:rPr>
              <w:t>Crossmatch Compatible</w:t>
            </w:r>
            <w:r>
              <w:t xml:space="preserve"> (C) to </w:t>
            </w:r>
            <w:r w:rsidRPr="00815BE1">
              <w:rPr>
                <w:i/>
              </w:rPr>
              <w:t>Crossmatch Compatible: don’t transfuse</w:t>
            </w:r>
            <w:r>
              <w:t xml:space="preserve"> (D) prior to saving. The system re-evaluates changes made to the test interpretation and allows saving.</w:t>
            </w:r>
          </w:p>
          <w:p w14:paraId="4BC33D1E" w14:textId="77777777" w:rsidR="001809EC" w:rsidRDefault="001809EC" w:rsidP="001809EC">
            <w:pPr>
              <w:pStyle w:val="TableTextBullet"/>
              <w:numPr>
                <w:ilvl w:val="0"/>
                <w:numId w:val="0"/>
              </w:numPr>
              <w:ind w:left="720"/>
            </w:pPr>
          </w:p>
          <w:p w14:paraId="1C0C90E0" w14:textId="77777777" w:rsidR="001809EC" w:rsidRDefault="001809EC" w:rsidP="001809EC">
            <w:pPr>
              <w:pStyle w:val="TableTextBullet"/>
              <w:numPr>
                <w:ilvl w:val="0"/>
                <w:numId w:val="0"/>
              </w:numPr>
              <w:ind w:left="720"/>
            </w:pPr>
            <w:r>
              <w:t xml:space="preserve">The system allows a user to change a final crossmatch interpretation of </w:t>
            </w:r>
            <w:r w:rsidRPr="00815BE1">
              <w:rPr>
                <w:b/>
                <w:i/>
              </w:rPr>
              <w:t>Crossmatch Incompatible</w:t>
            </w:r>
            <w:r>
              <w:t xml:space="preserve"> (I) to </w:t>
            </w:r>
            <w:r>
              <w:rPr>
                <w:i/>
              </w:rPr>
              <w:t>Crossmatch Inc</w:t>
            </w:r>
            <w:r w:rsidRPr="00815BE1">
              <w:rPr>
                <w:i/>
              </w:rPr>
              <w:t xml:space="preserve">ompatible: </w:t>
            </w:r>
            <w:r>
              <w:rPr>
                <w:i/>
              </w:rPr>
              <w:t>give only with Medical Director approval</w:t>
            </w:r>
            <w:r>
              <w:t xml:space="preserve"> (G) prior to saving. The system re-evaluates changes made to the test interpretation and allows the user to save with appropriate warning messages and overrides.</w:t>
            </w:r>
          </w:p>
          <w:p w14:paraId="291EA736" w14:textId="77777777" w:rsidR="001809EC" w:rsidRDefault="001809EC" w:rsidP="001809EC">
            <w:pPr>
              <w:pStyle w:val="TableTextBullet"/>
              <w:numPr>
                <w:ilvl w:val="0"/>
                <w:numId w:val="0"/>
              </w:numPr>
              <w:ind w:left="720"/>
            </w:pPr>
          </w:p>
          <w:p w14:paraId="1801812F" w14:textId="08D114FC" w:rsidR="00F414D6" w:rsidRDefault="00F414D6" w:rsidP="008F1BE0">
            <w:pPr>
              <w:pStyle w:val="TableTextBullet"/>
              <w:numPr>
                <w:ilvl w:val="0"/>
                <w:numId w:val="0"/>
              </w:numPr>
              <w:ind w:left="720"/>
            </w:pPr>
            <w:r>
              <w:t>Refer to</w:t>
            </w:r>
            <w:r w:rsidR="008F1BE0">
              <w:t xml:space="preserve"> </w:t>
            </w:r>
            <w:r w:rsidR="00EE455E">
              <w:t xml:space="preserve">Table </w:t>
            </w:r>
            <w:r w:rsidR="00EE455E">
              <w:rPr>
                <w:noProof/>
              </w:rPr>
              <w:t>11</w:t>
            </w:r>
            <w:r w:rsidR="00EE455E">
              <w:t xml:space="preserve">: </w:t>
            </w:r>
            <w:r w:rsidR="00EE455E">
              <w:rPr>
                <w:rFonts w:cs="Arial"/>
                <w:vanish/>
              </w:rPr>
              <w:t xml:space="preserve">BR_40.14 </w:t>
            </w:r>
            <w:r w:rsidR="00EE455E">
              <w:t>Crossmatch Interpretations for Print Unit Caution Tag &amp; Transfusion Record Form</w:t>
            </w:r>
            <w:r w:rsidR="008F1BE0">
              <w:t>.</w:t>
            </w:r>
          </w:p>
        </w:tc>
      </w:tr>
      <w:tr w:rsidR="00A80240" w14:paraId="3405E2E7" w14:textId="77777777" w:rsidTr="00381224">
        <w:tc>
          <w:tcPr>
            <w:tcW w:w="3240" w:type="dxa"/>
          </w:tcPr>
          <w:p w14:paraId="17C7358A" w14:textId="77777777" w:rsidR="00A80240" w:rsidRDefault="00E82F44" w:rsidP="00274D41">
            <w:pPr>
              <w:pStyle w:val="TableTextNumbers"/>
            </w:pPr>
            <w:r>
              <w:t>Refer to S</w:t>
            </w:r>
            <w:r w:rsidR="00B16194">
              <w:t>tep</w:t>
            </w:r>
            <w:r>
              <w:t xml:space="preserve"> 5 and S</w:t>
            </w:r>
            <w:r w:rsidR="00D279DE">
              <w:t>tep 6 for process to save the crossmatch results.</w:t>
            </w:r>
          </w:p>
        </w:tc>
        <w:tc>
          <w:tcPr>
            <w:tcW w:w="6120" w:type="dxa"/>
          </w:tcPr>
          <w:p w14:paraId="505DA814" w14:textId="77777777" w:rsidR="00A80240" w:rsidRDefault="00A80240" w:rsidP="00D279DE">
            <w:pPr>
              <w:pStyle w:val="TableTextBullet"/>
              <w:numPr>
                <w:ilvl w:val="0"/>
                <w:numId w:val="0"/>
              </w:numPr>
              <w:ind w:left="288"/>
            </w:pPr>
          </w:p>
        </w:tc>
      </w:tr>
    </w:tbl>
    <w:p w14:paraId="56622773" w14:textId="4FDBAE54" w:rsidR="00937534" w:rsidRDefault="00937534" w:rsidP="00937534">
      <w:pPr>
        <w:pStyle w:val="Caption"/>
      </w:pPr>
      <w:bookmarkStart w:id="526" w:name="_Ref44716824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116</w:t>
      </w:r>
      <w:r w:rsidR="004E20BD">
        <w:rPr>
          <w:noProof/>
        </w:rPr>
        <w:fldChar w:fldCharType="end"/>
      </w:r>
      <w:bookmarkEnd w:id="526"/>
      <w:r>
        <w:t>: Automated Testing</w:t>
      </w:r>
      <w:r w:rsidR="00B46534">
        <w:t xml:space="preserve"> - Pending Specimen</w:t>
      </w:r>
      <w:r>
        <w:t xml:space="preserve"> Tests Window</w:t>
      </w:r>
    </w:p>
    <w:p w14:paraId="0E903DFF" w14:textId="77777777" w:rsidR="00481912" w:rsidRDefault="00057948" w:rsidP="00481912">
      <w:r>
        <w:rPr>
          <w:noProof/>
        </w:rPr>
        <w:drawing>
          <wp:inline distT="0" distB="0" distL="0" distR="0" wp14:anchorId="197F4026" wp14:editId="4515B9BF">
            <wp:extent cx="3860800" cy="1920875"/>
            <wp:effectExtent l="0" t="0" r="6350" b="3175"/>
            <wp:docPr id="266" name="Picture 266" descr="Example of Automated Testing - Pending Specimen Tests Windo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Example of Automated Testing - Pending Specimen Tests Windos screen capture"/>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60800" cy="1920875"/>
                    </a:xfrm>
                    <a:prstGeom prst="rect">
                      <a:avLst/>
                    </a:prstGeom>
                    <a:noFill/>
                    <a:ln>
                      <a:noFill/>
                    </a:ln>
                  </pic:spPr>
                </pic:pic>
              </a:graphicData>
            </a:graphic>
          </wp:inline>
        </w:drawing>
      </w:r>
    </w:p>
    <w:p w14:paraId="7D0D74C0" w14:textId="77777777" w:rsidR="00F328F5" w:rsidRPr="00C36D9B" w:rsidRDefault="00C36D9B" w:rsidP="00C36D9B">
      <w:pPr>
        <w:pStyle w:val="Heading1"/>
      </w:pPr>
      <w:r>
        <w:rPr>
          <w:rStyle w:val="BodyTextChar"/>
          <w:rFonts w:ascii="Times New Roman" w:hAnsi="Times New Roman" w:cs="Times New Roman"/>
          <w:b w:val="0"/>
        </w:rPr>
        <w:br w:type="page"/>
      </w:r>
      <w:bookmarkStart w:id="527" w:name="_Toc149064177"/>
      <w:r w:rsidR="002A21AE" w:rsidRPr="00C36D9B">
        <w:t>Reports</w:t>
      </w:r>
      <w:bookmarkEnd w:id="527"/>
    </w:p>
    <w:p w14:paraId="0844F798" w14:textId="644DAE31" w:rsidR="00E22860" w:rsidRDefault="00E22860" w:rsidP="00E22860">
      <w:pPr>
        <w:rPr>
          <w:sz w:val="22"/>
          <w:szCs w:val="22"/>
        </w:rPr>
      </w:pPr>
      <w:r w:rsidRPr="00716B49">
        <w:rPr>
          <w:sz w:val="22"/>
          <w:szCs w:val="22"/>
        </w:rPr>
        <w:t>The report information that is presented on-screen, not the print preview, can be sorted by clicking on each</w:t>
      </w:r>
      <w:r w:rsidR="000B4E47" w:rsidRPr="00716B49">
        <w:rPr>
          <w:sz w:val="22"/>
          <w:szCs w:val="22"/>
        </w:rPr>
        <w:t xml:space="preserve"> column header. The sort changes made do not apply to the printed reports. Reports print in a default sort order.</w:t>
      </w:r>
    </w:p>
    <w:p w14:paraId="132089F6" w14:textId="62595504" w:rsidR="000A0FDE" w:rsidRDefault="000A0FDE" w:rsidP="00E22860">
      <w:pPr>
        <w:rPr>
          <w:sz w:val="22"/>
          <w:szCs w:val="22"/>
        </w:rPr>
      </w:pPr>
    </w:p>
    <w:p w14:paraId="6BC7896C" w14:textId="77777777" w:rsidR="00283DF4" w:rsidRDefault="00CA1FAF" w:rsidP="00E22860">
      <w:pPr>
        <w:rPr>
          <w:sz w:val="22"/>
          <w:szCs w:val="22"/>
        </w:rPr>
      </w:pPr>
      <w:r w:rsidRPr="00716B49">
        <w:rPr>
          <w:b/>
          <w:sz w:val="22"/>
          <w:szCs w:val="22"/>
        </w:rPr>
        <w:t>Note</w:t>
      </w:r>
      <w:r w:rsidR="00283DF4">
        <w:rPr>
          <w:b/>
          <w:sz w:val="22"/>
          <w:szCs w:val="22"/>
        </w:rPr>
        <w:t xml:space="preserve"> 1</w:t>
      </w:r>
      <w:r w:rsidRPr="00716B49">
        <w:rPr>
          <w:b/>
          <w:sz w:val="22"/>
          <w:szCs w:val="22"/>
        </w:rPr>
        <w:t>:</w:t>
      </w:r>
      <w:r w:rsidRPr="00716B49">
        <w:rPr>
          <w:sz w:val="22"/>
          <w:szCs w:val="22"/>
        </w:rPr>
        <w:t xml:space="preserve"> </w:t>
      </w:r>
      <w:r w:rsidR="00422E94">
        <w:rPr>
          <w:sz w:val="22"/>
          <w:szCs w:val="22"/>
        </w:rPr>
        <w:t xml:space="preserve">Switching to Normal layout view from Print layout view so the user can search the report may cause the error message </w:t>
      </w:r>
      <w:r w:rsidR="00422E94" w:rsidRPr="00716B49">
        <w:rPr>
          <w:b/>
          <w:sz w:val="22"/>
          <w:szCs w:val="22"/>
        </w:rPr>
        <w:t>“Error. Thread was being aborted</w:t>
      </w:r>
      <w:r w:rsidR="00422E94">
        <w:rPr>
          <w:b/>
          <w:sz w:val="22"/>
          <w:szCs w:val="22"/>
        </w:rPr>
        <w:t>.</w:t>
      </w:r>
      <w:r w:rsidR="00422E94" w:rsidRPr="00716B49">
        <w:rPr>
          <w:b/>
          <w:sz w:val="22"/>
          <w:szCs w:val="22"/>
        </w:rPr>
        <w:t>”</w:t>
      </w:r>
      <w:r w:rsidR="00422E94">
        <w:rPr>
          <w:sz w:val="22"/>
          <w:szCs w:val="22"/>
        </w:rPr>
        <w:t xml:space="preserve"> to appear for a large report. </w:t>
      </w:r>
      <w:r w:rsidRPr="00716B49">
        <w:rPr>
          <w:sz w:val="22"/>
          <w:szCs w:val="22"/>
        </w:rPr>
        <w:t>The report</w:t>
      </w:r>
      <w:r w:rsidR="00D441C9" w:rsidRPr="00716B49">
        <w:rPr>
          <w:sz w:val="22"/>
          <w:szCs w:val="22"/>
        </w:rPr>
        <w:t xml:space="preserve"> proceeds to load in the different layout </w:t>
      </w:r>
      <w:r w:rsidR="00422E94">
        <w:rPr>
          <w:sz w:val="22"/>
          <w:szCs w:val="22"/>
        </w:rPr>
        <w:t xml:space="preserve">view </w:t>
      </w:r>
      <w:r w:rsidR="00D441C9" w:rsidRPr="00716B49">
        <w:rPr>
          <w:sz w:val="22"/>
          <w:szCs w:val="22"/>
        </w:rPr>
        <w:t>chosen by the user. This is a normal behavior of a report engine and no harm is done.</w:t>
      </w:r>
      <w:r w:rsidR="00716B49" w:rsidRPr="00716B49">
        <w:rPr>
          <w:sz w:val="22"/>
          <w:szCs w:val="22"/>
        </w:rPr>
        <w:t xml:space="preserve"> </w:t>
      </w:r>
      <w:r w:rsidR="00283DF4" w:rsidRPr="00283DF4">
        <w:rPr>
          <w:vanish/>
          <w:sz w:val="22"/>
          <w:szCs w:val="22"/>
        </w:rPr>
        <w:t>DR 5059</w:t>
      </w:r>
    </w:p>
    <w:p w14:paraId="60EFDC29" w14:textId="77777777" w:rsidR="00283DF4" w:rsidRDefault="00283DF4" w:rsidP="00E22860">
      <w:pPr>
        <w:rPr>
          <w:sz w:val="22"/>
          <w:szCs w:val="22"/>
        </w:rPr>
      </w:pPr>
    </w:p>
    <w:p w14:paraId="6CDDE855" w14:textId="631980B5" w:rsidR="00733A12" w:rsidRPr="00716B49" w:rsidRDefault="00283DF4" w:rsidP="00E22860">
      <w:pPr>
        <w:rPr>
          <w:sz w:val="22"/>
          <w:szCs w:val="22"/>
        </w:rPr>
      </w:pPr>
      <w:r w:rsidRPr="00716B49">
        <w:rPr>
          <w:b/>
          <w:sz w:val="22"/>
          <w:szCs w:val="22"/>
        </w:rPr>
        <w:t>Note</w:t>
      </w:r>
      <w:r>
        <w:rPr>
          <w:b/>
          <w:sz w:val="22"/>
          <w:szCs w:val="22"/>
        </w:rPr>
        <w:t xml:space="preserve"> 2</w:t>
      </w:r>
      <w:r w:rsidRPr="00716B49">
        <w:rPr>
          <w:b/>
          <w:sz w:val="22"/>
          <w:szCs w:val="22"/>
        </w:rPr>
        <w:t>:</w:t>
      </w:r>
      <w:r w:rsidRPr="00716B49">
        <w:rPr>
          <w:sz w:val="22"/>
          <w:szCs w:val="22"/>
        </w:rPr>
        <w:t xml:space="preserve"> </w:t>
      </w:r>
      <w:r>
        <w:rPr>
          <w:sz w:val="22"/>
          <w:szCs w:val="22"/>
        </w:rPr>
        <w:t xml:space="preserve">The transfusion count total may indicate a site needs to complete a National Blood Collection and Utilization Survey if the total transfusions is greater than or equal to 100. </w:t>
      </w:r>
      <w:r w:rsidR="00E605B1" w:rsidRPr="00E605B1">
        <w:rPr>
          <w:vanish/>
          <w:sz w:val="22"/>
          <w:szCs w:val="22"/>
        </w:rPr>
        <w:t>Task 503042</w:t>
      </w:r>
    </w:p>
    <w:p w14:paraId="1827041C" w14:textId="77777777" w:rsidR="007A6EB0" w:rsidRDefault="007A6EB0" w:rsidP="007A6EB0">
      <w:pPr>
        <w:pStyle w:val="Heading2"/>
      </w:pPr>
      <w:bookmarkStart w:id="528" w:name="_Toc149064178"/>
      <w:bookmarkStart w:id="529" w:name="_Toc63680379"/>
      <w:bookmarkEnd w:id="517"/>
      <w:r>
        <w:t>Administrative Data Report</w:t>
      </w:r>
      <w:bookmarkEnd w:id="528"/>
      <w:r>
        <w:fldChar w:fldCharType="begin"/>
      </w:r>
      <w:r>
        <w:instrText xml:space="preserve"> XE “Administrative Data Report” </w:instrText>
      </w:r>
      <w:r>
        <w:fldChar w:fldCharType="end"/>
      </w:r>
      <w:r>
        <w:t xml:space="preserve"> </w:t>
      </w:r>
      <w:r>
        <w:rPr>
          <w:rFonts w:ascii="Times New Roman" w:hAnsi="Times New Roman" w:cs="Times New Roman"/>
          <w:b w:val="0"/>
          <w:i w:val="0"/>
          <w:vanish/>
          <w:sz w:val="22"/>
        </w:rPr>
        <w:t>UC_107</w:t>
      </w:r>
    </w:p>
    <w:p w14:paraId="2BD56A22" w14:textId="77777777" w:rsidR="007A6EB0" w:rsidRDefault="007A6EB0" w:rsidP="007A6EB0">
      <w:pPr>
        <w:pStyle w:val="BodyText"/>
      </w:pPr>
      <w:r>
        <w:t>The user views and</w:t>
      </w:r>
      <w:r w:rsidR="00EB1E5A">
        <w:t>/or</w:t>
      </w:r>
      <w:r>
        <w:t xml:space="preserve"> prints the Administrative Data Report.</w:t>
      </w:r>
    </w:p>
    <w:p w14:paraId="35556A87" w14:textId="77777777" w:rsidR="007A6EB0" w:rsidRDefault="007A6EB0" w:rsidP="007A6EB0">
      <w:pPr>
        <w:pStyle w:val="Heading4"/>
      </w:pPr>
      <w:r>
        <w:t>Assumptions</w:t>
      </w:r>
      <w:r>
        <w:rPr>
          <w:b w:val="0"/>
        </w:rPr>
        <w:t xml:space="preserve"> </w:t>
      </w:r>
    </w:p>
    <w:p w14:paraId="28E47E28" w14:textId="77777777" w:rsidR="007A6EB0" w:rsidRDefault="007A6EB0" w:rsidP="007A6EB0">
      <w:pPr>
        <w:pStyle w:val="ListBullet"/>
        <w:rPr>
          <w:b/>
        </w:rPr>
      </w:pPr>
      <w:r>
        <w:t>Data are available for inclusion in the report.</w:t>
      </w:r>
    </w:p>
    <w:p w14:paraId="60C89873" w14:textId="77777777" w:rsidR="00AE521B" w:rsidRDefault="007A6EB0" w:rsidP="007A6EB0">
      <w:pPr>
        <w:pStyle w:val="Heading4"/>
      </w:pPr>
      <w:r>
        <w:t xml:space="preserve">Outcome </w:t>
      </w:r>
    </w:p>
    <w:p w14:paraId="0A8D5E67" w14:textId="77777777" w:rsidR="007A6EB0" w:rsidRDefault="00AE521B" w:rsidP="00AE521B">
      <w:pPr>
        <w:pStyle w:val="ListBullet"/>
      </w:pPr>
      <w:r>
        <w:t>The user views and/or prints the report</w:t>
      </w:r>
      <w:r w:rsidR="007A6EB0">
        <w:t>.</w:t>
      </w:r>
    </w:p>
    <w:p w14:paraId="6C6B5B19" w14:textId="77777777" w:rsidR="007A6EB0" w:rsidRDefault="007A6EB0" w:rsidP="007A6EB0">
      <w:pPr>
        <w:pStyle w:val="Heading4"/>
        <w:rPr>
          <w:b w:val="0"/>
        </w:rPr>
      </w:pPr>
      <w:r>
        <w:t>Limitations and Restrictions</w:t>
      </w:r>
      <w:r>
        <w:rPr>
          <w:b w:val="0"/>
        </w:rPr>
        <w:t xml:space="preserve"> </w:t>
      </w:r>
    </w:p>
    <w:p w14:paraId="6D92CB6F" w14:textId="77777777" w:rsidR="007A6EB0" w:rsidRDefault="007A6EB0" w:rsidP="007A6EB0">
      <w:pPr>
        <w:pStyle w:val="ListBullet"/>
      </w:pPr>
      <w:r>
        <w:t>None</w:t>
      </w:r>
    </w:p>
    <w:p w14:paraId="33935D2F" w14:textId="77777777" w:rsidR="007A6EB0" w:rsidRDefault="007A6EB0" w:rsidP="007A6EB0">
      <w:pPr>
        <w:pStyle w:val="Heading4"/>
      </w:pPr>
      <w:r>
        <w:t xml:space="preserve">Additional Information </w:t>
      </w:r>
    </w:p>
    <w:p w14:paraId="376A914B" w14:textId="77777777" w:rsidR="007A6EB0" w:rsidRDefault="007A6EB0" w:rsidP="007A6EB0">
      <w:pPr>
        <w:pStyle w:val="ListBullet"/>
      </w:pPr>
      <w:r>
        <w:t>The report is available as a single-division or multidivisional (all divisions) report.</w:t>
      </w:r>
    </w:p>
    <w:p w14:paraId="0E54AD16" w14:textId="77777777" w:rsidR="007A6EB0" w:rsidRDefault="007A6EB0" w:rsidP="007A6EB0">
      <w:pPr>
        <w:pStyle w:val="Heading4"/>
        <w:rPr>
          <w:b w:val="0"/>
        </w:rPr>
      </w:pPr>
      <w:r>
        <w:t>User Roles with Access to This Option</w:t>
      </w:r>
      <w:r>
        <w:rPr>
          <w:b w:val="0"/>
        </w:rPr>
        <w:t xml:space="preserve"> </w:t>
      </w:r>
    </w:p>
    <w:p w14:paraId="6180D95E" w14:textId="77777777" w:rsidR="007A6EB0" w:rsidRDefault="007A6EB0" w:rsidP="007A6EB0">
      <w:pPr>
        <w:pStyle w:val="Roles"/>
      </w:pPr>
      <w:r>
        <w:t>All users</w:t>
      </w:r>
    </w:p>
    <w:p w14:paraId="271FC3B7" w14:textId="77777777" w:rsidR="007A6EB0" w:rsidRDefault="007A6EB0" w:rsidP="007A6EB0">
      <w:pPr>
        <w:pStyle w:val="Heading4"/>
      </w:pPr>
      <w:r>
        <w:t xml:space="preserve">Administrative Data Report </w:t>
      </w:r>
    </w:p>
    <w:p w14:paraId="08A411C9" w14:textId="77777777" w:rsidR="007A6EB0" w:rsidRDefault="007A6EB0" w:rsidP="007A6EB0">
      <w:pPr>
        <w:pStyle w:val="BodyText"/>
      </w:pPr>
      <w:r>
        <w:t xml:space="preserve">The user </w:t>
      </w:r>
      <w:r w:rsidR="00FF1708">
        <w:t xml:space="preserve">views </w:t>
      </w:r>
      <w:r w:rsidR="00EB1E5A">
        <w:t>and/or</w:t>
      </w:r>
      <w:r w:rsidR="00FF1708">
        <w:t xml:space="preserve"> prints </w:t>
      </w:r>
      <w:r>
        <w:t>the Administrative Data Report</w:t>
      </w:r>
      <w:r w:rsidR="00A611B6">
        <w:t>, which includes blood product transactions</w:t>
      </w:r>
      <w:r>
        <w:t xml:space="preserve"> for a given date range.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7A6EB0" w14:paraId="3EF79EFA" w14:textId="77777777">
        <w:trPr>
          <w:tblHeader/>
        </w:trPr>
        <w:tc>
          <w:tcPr>
            <w:tcW w:w="3240" w:type="dxa"/>
            <w:shd w:val="pct30" w:color="auto" w:fill="FFFFFF"/>
            <w:vAlign w:val="bottom"/>
          </w:tcPr>
          <w:p w14:paraId="194AF861" w14:textId="77777777" w:rsidR="007A6EB0" w:rsidRDefault="007A6EB0" w:rsidP="007A6EB0">
            <w:pPr>
              <w:pStyle w:val="TableText"/>
              <w:rPr>
                <w:b/>
              </w:rPr>
            </w:pPr>
            <w:r>
              <w:rPr>
                <w:b/>
              </w:rPr>
              <w:t>User Action</w:t>
            </w:r>
          </w:p>
        </w:tc>
        <w:tc>
          <w:tcPr>
            <w:tcW w:w="6120" w:type="dxa"/>
            <w:shd w:val="pct30" w:color="auto" w:fill="FFFFFF"/>
            <w:vAlign w:val="bottom"/>
          </w:tcPr>
          <w:p w14:paraId="6C276918" w14:textId="77777777" w:rsidR="007A6EB0" w:rsidRDefault="007A6EB0" w:rsidP="007A6EB0">
            <w:pPr>
              <w:pStyle w:val="TableText"/>
              <w:rPr>
                <w:b/>
              </w:rPr>
            </w:pPr>
            <w:r>
              <w:rPr>
                <w:b/>
              </w:rPr>
              <w:t>VBECS</w:t>
            </w:r>
          </w:p>
        </w:tc>
      </w:tr>
      <w:tr w:rsidR="007A6EB0" w14:paraId="17BE1CD6" w14:textId="77777777">
        <w:tc>
          <w:tcPr>
            <w:tcW w:w="3240" w:type="dxa"/>
          </w:tcPr>
          <w:p w14:paraId="3C9AADF8" w14:textId="77777777" w:rsidR="007A6EB0" w:rsidRDefault="007A6EB0" w:rsidP="00925CAD">
            <w:pPr>
              <w:pStyle w:val="TableTextNumbers"/>
              <w:numPr>
                <w:ilvl w:val="0"/>
                <w:numId w:val="50"/>
              </w:numPr>
            </w:pPr>
            <w:r>
              <w:t xml:space="preserve">Select </w:t>
            </w:r>
            <w:r w:rsidRPr="004831F9">
              <w:rPr>
                <w:b/>
              </w:rPr>
              <w:t>Reports</w:t>
            </w:r>
            <w:r>
              <w:t xml:space="preserve"> from the main menu.</w:t>
            </w:r>
          </w:p>
          <w:p w14:paraId="1510D212" w14:textId="77777777" w:rsidR="007A6EB0" w:rsidRDefault="007A6EB0" w:rsidP="007A6EB0">
            <w:pPr>
              <w:pStyle w:val="TableTextNumbersContinued"/>
            </w:pPr>
          </w:p>
          <w:p w14:paraId="4157C140" w14:textId="77777777" w:rsidR="007A6EB0" w:rsidRDefault="007A6EB0" w:rsidP="007A6EB0">
            <w:pPr>
              <w:pStyle w:val="TableTextNumbersContinued"/>
            </w:pPr>
            <w:r>
              <w:t xml:space="preserve">Select </w:t>
            </w:r>
            <w:r>
              <w:rPr>
                <w:b/>
              </w:rPr>
              <w:t>Administrative Data Report</w:t>
            </w:r>
            <w:r>
              <w:t>.</w:t>
            </w:r>
          </w:p>
        </w:tc>
        <w:tc>
          <w:tcPr>
            <w:tcW w:w="6120" w:type="dxa"/>
          </w:tcPr>
          <w:p w14:paraId="5E9D7D61" w14:textId="77777777" w:rsidR="007A6EB0" w:rsidRDefault="007A6EB0" w:rsidP="007A6EB0">
            <w:pPr>
              <w:pStyle w:val="TableTextBullet"/>
            </w:pPr>
            <w:r>
              <w:t>Lists report names.</w:t>
            </w:r>
          </w:p>
          <w:p w14:paraId="5ADFD6DE" w14:textId="77777777" w:rsidR="007A6EB0" w:rsidRDefault="007A6EB0" w:rsidP="007A6EB0">
            <w:pPr>
              <w:pStyle w:val="TableTextBullet"/>
            </w:pPr>
            <w:r>
              <w:t xml:space="preserve">Displays report compilation criteria. </w:t>
            </w:r>
          </w:p>
          <w:p w14:paraId="5842DA50" w14:textId="77777777" w:rsidR="007A6EB0" w:rsidRDefault="007A6EB0" w:rsidP="007A6EB0">
            <w:pPr>
              <w:pStyle w:val="TableTextBullet"/>
            </w:pPr>
            <w:r>
              <w:t>Displays a date range for selection.</w:t>
            </w:r>
          </w:p>
        </w:tc>
      </w:tr>
      <w:tr w:rsidR="007A6EB0" w14:paraId="469FFE36" w14:textId="77777777" w:rsidTr="00FB2A8A">
        <w:trPr>
          <w:cantSplit/>
        </w:trPr>
        <w:tc>
          <w:tcPr>
            <w:tcW w:w="3240" w:type="dxa"/>
          </w:tcPr>
          <w:p w14:paraId="7364F530" w14:textId="77777777" w:rsidR="0038145B" w:rsidRDefault="0038145B" w:rsidP="007A6EB0">
            <w:pPr>
              <w:pStyle w:val="TableTextNumbers"/>
            </w:pPr>
            <w:r>
              <w:t>Enter or select start and end dates.</w:t>
            </w:r>
          </w:p>
          <w:p w14:paraId="031F1C2A" w14:textId="77777777" w:rsidR="0038145B" w:rsidRDefault="0038145B" w:rsidP="0038145B">
            <w:pPr>
              <w:pStyle w:val="TableTextNumbers"/>
              <w:numPr>
                <w:ilvl w:val="0"/>
                <w:numId w:val="0"/>
              </w:numPr>
              <w:ind w:left="288"/>
            </w:pPr>
          </w:p>
          <w:p w14:paraId="5B88361F" w14:textId="77777777" w:rsidR="007A6EB0" w:rsidRDefault="007A6EB0" w:rsidP="0038145B">
            <w:pPr>
              <w:pStyle w:val="TableTextNumbers"/>
              <w:numPr>
                <w:ilvl w:val="0"/>
                <w:numId w:val="0"/>
              </w:numPr>
              <w:ind w:left="288"/>
            </w:pPr>
            <w:r>
              <w:t xml:space="preserve">Click the </w:t>
            </w:r>
            <w:r>
              <w:rPr>
                <w:b/>
              </w:rPr>
              <w:t>Current Divisions</w:t>
            </w:r>
            <w:r>
              <w:t xml:space="preserve"> or</w:t>
            </w:r>
            <w:r>
              <w:rPr>
                <w:b/>
              </w:rPr>
              <w:t xml:space="preserve"> All Divisions </w:t>
            </w:r>
            <w:r w:rsidRPr="00BF2E41">
              <w:t>radio button</w:t>
            </w:r>
            <w:r>
              <w:t>.</w:t>
            </w:r>
          </w:p>
        </w:tc>
        <w:tc>
          <w:tcPr>
            <w:tcW w:w="6120" w:type="dxa"/>
          </w:tcPr>
          <w:p w14:paraId="13912C51" w14:textId="77777777" w:rsidR="007A6EB0" w:rsidRDefault="007A6EB0" w:rsidP="007A6EB0">
            <w:pPr>
              <w:pStyle w:val="TableTextBullet"/>
            </w:pPr>
            <w:r>
              <w:t>Allows the user to select one or all divisions.</w:t>
            </w:r>
          </w:p>
          <w:p w14:paraId="435DDCDE" w14:textId="77777777" w:rsidR="007A6EB0" w:rsidRDefault="007A6EB0" w:rsidP="007A6EB0">
            <w:pPr>
              <w:pStyle w:val="TableText"/>
              <w:rPr>
                <w:b/>
                <w:bCs/>
                <w:szCs w:val="18"/>
              </w:rPr>
            </w:pPr>
          </w:p>
          <w:p w14:paraId="02EF0865" w14:textId="12448CED" w:rsidR="007A6EB0" w:rsidRDefault="007A6EB0" w:rsidP="007A6EB0">
            <w:pPr>
              <w:pStyle w:val="TableText"/>
              <w:rPr>
                <w:b/>
                <w:bCs/>
                <w:szCs w:val="18"/>
              </w:rPr>
            </w:pPr>
            <w:r>
              <w:rPr>
                <w:b/>
                <w:bCs/>
                <w:szCs w:val="18"/>
              </w:rPr>
              <w:t>NOTES</w:t>
            </w:r>
          </w:p>
          <w:p w14:paraId="2721B2B4" w14:textId="77777777" w:rsidR="007A6EB0" w:rsidRDefault="007A6EB0" w:rsidP="007A6EB0">
            <w:pPr>
              <w:pStyle w:val="NotesText"/>
            </w:pPr>
          </w:p>
          <w:p w14:paraId="52D17D15" w14:textId="77777777" w:rsidR="007A6EB0" w:rsidRDefault="007A6EB0" w:rsidP="007A6EB0">
            <w:pPr>
              <w:pStyle w:val="NotesText"/>
            </w:pPr>
            <w:r>
              <w:t>For each component class and its subdivisions, VBECS tallies:</w:t>
            </w:r>
          </w:p>
          <w:p w14:paraId="49B8695E" w14:textId="77777777" w:rsidR="007A6EB0" w:rsidRDefault="007A6EB0" w:rsidP="007A6EB0">
            <w:pPr>
              <w:pStyle w:val="NotesTextBullet"/>
              <w:tabs>
                <w:tab w:val="clear" w:pos="1008"/>
                <w:tab w:val="num" w:pos="288"/>
              </w:tabs>
            </w:pPr>
            <w:r>
              <w:rPr>
                <w:rFonts w:cs="Arial"/>
                <w:vanish/>
              </w:rPr>
              <w:t xml:space="preserve">BR_107.01 </w:t>
            </w:r>
            <w:r>
              <w:t>Products received</w:t>
            </w:r>
          </w:p>
          <w:p w14:paraId="42AF13B7" w14:textId="77777777" w:rsidR="007A6EB0" w:rsidRDefault="007A6EB0" w:rsidP="007A6EB0">
            <w:pPr>
              <w:pStyle w:val="NotesTextBullet"/>
              <w:tabs>
                <w:tab w:val="clear" w:pos="1008"/>
                <w:tab w:val="num" w:pos="288"/>
              </w:tabs>
            </w:pPr>
            <w:r>
              <w:rPr>
                <w:rFonts w:cs="Arial"/>
                <w:vanish/>
              </w:rPr>
              <w:t xml:space="preserve">BR_107.02 </w:t>
            </w:r>
            <w:r>
              <w:t>Products modified/prepared</w:t>
            </w:r>
          </w:p>
          <w:p w14:paraId="519421C8" w14:textId="77777777" w:rsidR="007A6EB0" w:rsidRDefault="007A6EB0" w:rsidP="007A6EB0">
            <w:pPr>
              <w:pStyle w:val="NotesTextBullet"/>
              <w:tabs>
                <w:tab w:val="clear" w:pos="1008"/>
                <w:tab w:val="num" w:pos="288"/>
              </w:tabs>
            </w:pPr>
            <w:r>
              <w:rPr>
                <w:rFonts w:cs="Arial"/>
                <w:vanish/>
              </w:rPr>
              <w:t xml:space="preserve">BR_107.03 </w:t>
            </w:r>
            <w:r>
              <w:t>Units transfused</w:t>
            </w:r>
          </w:p>
          <w:p w14:paraId="3AE0C861" w14:textId="77777777" w:rsidR="007A6EB0" w:rsidRDefault="007A6EB0" w:rsidP="007A6EB0">
            <w:pPr>
              <w:pStyle w:val="NotesTextBullet"/>
              <w:tabs>
                <w:tab w:val="clear" w:pos="1008"/>
                <w:tab w:val="num" w:pos="288"/>
              </w:tabs>
            </w:pPr>
            <w:r>
              <w:rPr>
                <w:rFonts w:cs="Arial"/>
                <w:vanish/>
              </w:rPr>
              <w:t xml:space="preserve">BR_107.04 </w:t>
            </w:r>
            <w:r>
              <w:t>Units shipped</w:t>
            </w:r>
          </w:p>
          <w:p w14:paraId="5C73F918" w14:textId="77777777" w:rsidR="007A6EB0" w:rsidRDefault="007A6EB0" w:rsidP="007A6EB0">
            <w:pPr>
              <w:pStyle w:val="NotesTextBullet"/>
              <w:tabs>
                <w:tab w:val="clear" w:pos="1008"/>
                <w:tab w:val="num" w:pos="288"/>
              </w:tabs>
            </w:pPr>
            <w:r>
              <w:rPr>
                <w:rFonts w:cs="Arial"/>
                <w:vanish/>
              </w:rPr>
              <w:t xml:space="preserve">BR_107.05 </w:t>
            </w:r>
            <w:r>
              <w:t>Outdated units</w:t>
            </w:r>
          </w:p>
          <w:p w14:paraId="6872D175" w14:textId="77777777" w:rsidR="00007B62" w:rsidRDefault="00007B62" w:rsidP="00CB0319">
            <w:pPr>
              <w:pStyle w:val="NotesTextBullet"/>
              <w:numPr>
                <w:ilvl w:val="0"/>
                <w:numId w:val="0"/>
              </w:numPr>
              <w:ind w:left="720"/>
              <w:rPr>
                <w:rFonts w:cs="Arial"/>
                <w:vanish/>
              </w:rPr>
            </w:pPr>
          </w:p>
          <w:p w14:paraId="6827EEF9" w14:textId="73503E4C" w:rsidR="007A6EB0" w:rsidRPr="00CB0319" w:rsidRDefault="007A6EB0" w:rsidP="00CB0319">
            <w:pPr>
              <w:pStyle w:val="NotesTextBullet"/>
              <w:numPr>
                <w:ilvl w:val="0"/>
                <w:numId w:val="0"/>
              </w:numPr>
              <w:ind w:left="720"/>
              <w:rPr>
                <w:rFonts w:cs="Arial"/>
                <w:szCs w:val="18"/>
              </w:rPr>
            </w:pPr>
            <w:r>
              <w:rPr>
                <w:rFonts w:cs="Arial"/>
                <w:vanish/>
              </w:rPr>
              <w:t xml:space="preserve">BR_107.06 </w:t>
            </w:r>
            <w:r w:rsidR="00CB0319" w:rsidRPr="006F59A1">
              <w:rPr>
                <w:rFonts w:cs="Arial"/>
                <w:szCs w:val="18"/>
              </w:rPr>
              <w:t>Tallies are presented for total units received as well as subtotals for donation type categories, allogeneic, directed, and autologous.</w:t>
            </w:r>
          </w:p>
          <w:p w14:paraId="5F07BDD1" w14:textId="77777777" w:rsidR="00623790" w:rsidRDefault="00623790" w:rsidP="00CB0319">
            <w:pPr>
              <w:pStyle w:val="NotesTextBullet"/>
              <w:numPr>
                <w:ilvl w:val="0"/>
                <w:numId w:val="0"/>
              </w:numPr>
              <w:tabs>
                <w:tab w:val="num" w:pos="288"/>
              </w:tabs>
            </w:pPr>
          </w:p>
          <w:p w14:paraId="4709E254"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BR_107.08 </w:t>
            </w:r>
            <w:r w:rsidRPr="006F59A1">
              <w:rPr>
                <w:rFonts w:cs="Arial"/>
                <w:szCs w:val="18"/>
              </w:rPr>
              <w:t>Tallies are presented for total units received as well as subtotals for donation type categories, allogeneic, directed, and autologous.</w:t>
            </w:r>
          </w:p>
          <w:p w14:paraId="613C7D77" w14:textId="77777777" w:rsidR="00623790" w:rsidRDefault="00623790" w:rsidP="00623790">
            <w:pPr>
              <w:pStyle w:val="NotesTextBullet"/>
              <w:numPr>
                <w:ilvl w:val="0"/>
                <w:numId w:val="0"/>
              </w:numPr>
              <w:ind w:left="1008" w:hanging="288"/>
              <w:rPr>
                <w:rFonts w:cs="Arial"/>
                <w:szCs w:val="18"/>
              </w:rPr>
            </w:pPr>
          </w:p>
          <w:p w14:paraId="68A62CF9"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BR_107.09 </w:t>
            </w:r>
            <w:r w:rsidRPr="006F59A1">
              <w:rPr>
                <w:rFonts w:cs="Arial"/>
                <w:szCs w:val="18"/>
              </w:rPr>
              <w:t>All categories are calculated within the selected date range, not for a total in the system.</w:t>
            </w:r>
          </w:p>
          <w:p w14:paraId="4A183821" w14:textId="77777777" w:rsidR="00623790" w:rsidRDefault="00623790" w:rsidP="00623790">
            <w:pPr>
              <w:pStyle w:val="NotesTextBullet"/>
              <w:numPr>
                <w:ilvl w:val="0"/>
                <w:numId w:val="0"/>
              </w:numPr>
              <w:ind w:left="1008" w:hanging="288"/>
              <w:rPr>
                <w:rFonts w:cs="Arial"/>
                <w:szCs w:val="18"/>
              </w:rPr>
            </w:pPr>
          </w:p>
          <w:p w14:paraId="1E2E2481" w14:textId="228964AF" w:rsidR="00623790" w:rsidRPr="006F59A1" w:rsidRDefault="00623790" w:rsidP="00623790">
            <w:pPr>
              <w:pStyle w:val="NotesTextBullet"/>
              <w:numPr>
                <w:ilvl w:val="0"/>
                <w:numId w:val="0"/>
              </w:numPr>
              <w:ind w:left="720"/>
              <w:rPr>
                <w:rFonts w:cs="Arial"/>
                <w:szCs w:val="18"/>
              </w:rPr>
            </w:pPr>
            <w:r w:rsidRPr="00623790">
              <w:rPr>
                <w:rFonts w:cs="Arial"/>
                <w:vanish/>
                <w:szCs w:val="18"/>
              </w:rPr>
              <w:t xml:space="preserve">BR_107.10 </w:t>
            </w:r>
            <w:r w:rsidRPr="006F59A1">
              <w:rPr>
                <w:rFonts w:cs="Arial"/>
                <w:szCs w:val="18"/>
              </w:rPr>
              <w:t xml:space="preserve">If there is no calculation for a given field, the system will display </w:t>
            </w:r>
            <w:r w:rsidR="00007B62">
              <w:rPr>
                <w:rFonts w:cs="Arial"/>
                <w:szCs w:val="18"/>
              </w:rPr>
              <w:t>0 (zero)</w:t>
            </w:r>
            <w:r w:rsidRPr="006F59A1">
              <w:rPr>
                <w:rFonts w:cs="Arial"/>
                <w:szCs w:val="18"/>
              </w:rPr>
              <w:t>.</w:t>
            </w:r>
          </w:p>
          <w:p w14:paraId="6B3B2C85" w14:textId="77777777" w:rsidR="00623790" w:rsidRDefault="00623790" w:rsidP="00623790">
            <w:pPr>
              <w:pStyle w:val="NotesTextBullet"/>
              <w:numPr>
                <w:ilvl w:val="0"/>
                <w:numId w:val="0"/>
              </w:numPr>
              <w:ind w:left="1008" w:hanging="288"/>
            </w:pPr>
          </w:p>
          <w:p w14:paraId="5827EB57" w14:textId="77777777" w:rsidR="00623790" w:rsidRDefault="00623790" w:rsidP="00623790">
            <w:pPr>
              <w:pStyle w:val="NotesTextBullet"/>
              <w:numPr>
                <w:ilvl w:val="0"/>
                <w:numId w:val="0"/>
              </w:numPr>
              <w:ind w:left="720"/>
              <w:rPr>
                <w:rFonts w:cs="Arial"/>
                <w:szCs w:val="18"/>
              </w:rPr>
            </w:pPr>
            <w:r w:rsidRPr="00623790">
              <w:rPr>
                <w:rFonts w:cs="Arial"/>
                <w:vanish/>
                <w:szCs w:val="18"/>
              </w:rPr>
              <w:t xml:space="preserve">BR_107.11 </w:t>
            </w:r>
            <w:r w:rsidRPr="006F59A1">
              <w:rPr>
                <w:rFonts w:cs="Arial"/>
                <w:szCs w:val="18"/>
              </w:rPr>
              <w:t>Identify split/divided units using the unit product code in ISBT 128</w:t>
            </w:r>
            <w:r>
              <w:rPr>
                <w:rFonts w:cs="Arial"/>
                <w:szCs w:val="18"/>
              </w:rPr>
              <w:t>;</w:t>
            </w:r>
            <w:r w:rsidRPr="006F59A1">
              <w:rPr>
                <w:rFonts w:cs="Arial"/>
                <w:szCs w:val="18"/>
              </w:rPr>
              <w:t xml:space="preserve"> labeling contains the unit division code in the seventh and eighth characters or may be a separ</w:t>
            </w:r>
            <w:r>
              <w:rPr>
                <w:rFonts w:cs="Arial"/>
                <w:szCs w:val="18"/>
              </w:rPr>
              <w:t xml:space="preserve">ate product code, indicated as </w:t>
            </w:r>
            <w:r w:rsidRPr="006F59A1">
              <w:rPr>
                <w:rFonts w:cs="Arial"/>
                <w:szCs w:val="18"/>
              </w:rPr>
              <w:t>1st container, 2nd container, and so on.</w:t>
            </w:r>
          </w:p>
          <w:p w14:paraId="0E7C60B8" w14:textId="77777777" w:rsidR="00623790" w:rsidRDefault="00623790" w:rsidP="00623790">
            <w:pPr>
              <w:pStyle w:val="NotesTextBullet"/>
              <w:numPr>
                <w:ilvl w:val="0"/>
                <w:numId w:val="0"/>
              </w:numPr>
              <w:ind w:left="1008" w:hanging="288"/>
              <w:rPr>
                <w:rFonts w:cs="Arial"/>
                <w:szCs w:val="18"/>
              </w:rPr>
            </w:pPr>
          </w:p>
          <w:p w14:paraId="54972CD6" w14:textId="77777777" w:rsidR="00623790" w:rsidRDefault="00623790" w:rsidP="00623790">
            <w:pPr>
              <w:pStyle w:val="NotesTextBullet"/>
              <w:numPr>
                <w:ilvl w:val="0"/>
                <w:numId w:val="0"/>
              </w:numPr>
              <w:ind w:left="720"/>
            </w:pPr>
            <w:r w:rsidRPr="00623790">
              <w:rPr>
                <w:rFonts w:cs="Arial"/>
                <w:vanish/>
                <w:szCs w:val="18"/>
              </w:rPr>
              <w:t xml:space="preserve">BR_107.12 </w:t>
            </w:r>
            <w:r w:rsidRPr="006F59A1">
              <w:rPr>
                <w:rFonts w:cs="Arial"/>
                <w:szCs w:val="18"/>
              </w:rPr>
              <w:t>For Pooled totals PREPARED in VBECS, include two numbers, the first being the total number of units included in those pools. The second number is number of pools created</w:t>
            </w:r>
            <w:r>
              <w:rPr>
                <w:rFonts w:cs="Arial"/>
                <w:szCs w:val="18"/>
              </w:rPr>
              <w:t>, for</w:t>
            </w:r>
            <w:r w:rsidRPr="006F59A1">
              <w:rPr>
                <w:rFonts w:cs="Arial"/>
                <w:szCs w:val="18"/>
              </w:rPr>
              <w:t xml:space="preserve"> example</w:t>
            </w:r>
            <w:r>
              <w:rPr>
                <w:rFonts w:cs="Arial"/>
                <w:szCs w:val="18"/>
              </w:rPr>
              <w:t>,</w:t>
            </w:r>
            <w:r w:rsidRPr="006F59A1">
              <w:rPr>
                <w:rFonts w:cs="Arial"/>
                <w:szCs w:val="18"/>
              </w:rPr>
              <w:t xml:space="preserve"> (2) 1</w:t>
            </w:r>
            <w:r>
              <w:rPr>
                <w:rFonts w:cs="Arial"/>
                <w:szCs w:val="18"/>
              </w:rPr>
              <w:t>.</w:t>
            </w:r>
          </w:p>
        </w:tc>
      </w:tr>
      <w:tr w:rsidR="007A6EB0" w14:paraId="447D023B" w14:textId="77777777">
        <w:tc>
          <w:tcPr>
            <w:tcW w:w="3240" w:type="dxa"/>
          </w:tcPr>
          <w:p w14:paraId="02E829C0" w14:textId="77777777" w:rsidR="007A6EB0" w:rsidRDefault="007A6EB0" w:rsidP="007A6EB0">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1F964CD8" w14:textId="77777777" w:rsidR="007A6EB0" w:rsidRDefault="007A6EB0" w:rsidP="007A6EB0">
            <w:pPr>
              <w:pStyle w:val="TableTextNumbersContinued"/>
            </w:pPr>
          </w:p>
          <w:p w14:paraId="640EC6BF" w14:textId="77777777" w:rsidR="007A6EB0" w:rsidRDefault="007A6EB0" w:rsidP="007A6EB0">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25EB7AC9" w14:textId="77777777" w:rsidR="005B6A94" w:rsidRDefault="00F64B5C" w:rsidP="00AA2B2E">
            <w:pPr>
              <w:pStyle w:val="TableTextBullet"/>
            </w:pPr>
            <w:r>
              <w:t>Compiles and displays the report.</w:t>
            </w:r>
          </w:p>
          <w:p w14:paraId="55D22BFD" w14:textId="77777777" w:rsidR="00EA1A6F" w:rsidRDefault="00EA1A6F" w:rsidP="00EA1A6F">
            <w:pPr>
              <w:pStyle w:val="TableTextBullet"/>
              <w:numPr>
                <w:ilvl w:val="0"/>
                <w:numId w:val="0"/>
              </w:numPr>
              <w:ind w:left="288" w:hanging="288"/>
            </w:pPr>
          </w:p>
          <w:p w14:paraId="7AEE60DF" w14:textId="6ADF1239" w:rsidR="00EA1A6F" w:rsidRDefault="00EA1A6F" w:rsidP="00EA1A6F">
            <w:pPr>
              <w:pStyle w:val="TableText"/>
              <w:rPr>
                <w:b/>
                <w:bCs/>
                <w:szCs w:val="18"/>
              </w:rPr>
            </w:pPr>
            <w:r>
              <w:rPr>
                <w:b/>
                <w:bCs/>
                <w:szCs w:val="18"/>
              </w:rPr>
              <w:t>NOTES</w:t>
            </w:r>
          </w:p>
          <w:p w14:paraId="0BCA3428" w14:textId="77777777" w:rsidR="00EA1A6F" w:rsidRDefault="00EA1A6F" w:rsidP="00786F85">
            <w:pPr>
              <w:pStyle w:val="NotesText"/>
              <w:ind w:left="0"/>
            </w:pPr>
          </w:p>
          <w:p w14:paraId="673F8F1D" w14:textId="6C6B0C99" w:rsidR="00EA1A6F" w:rsidRDefault="00490777" w:rsidP="00EA1A6F">
            <w:pPr>
              <w:pStyle w:val="NotesText"/>
            </w:pPr>
            <w:r w:rsidRPr="00490777">
              <w:rPr>
                <w:vanish/>
              </w:rPr>
              <w:t xml:space="preserve">BR_77.11 </w:t>
            </w:r>
            <w:r w:rsidR="00D5504F">
              <w:t>The user may choose to schedule a report to run at a future date and time and print on a designated printer. When a date range is supplied for the report, the report's end date must occur before selected date of printing. The report scheduled to run at the future date/time will start processing the data at the time the report is scheduled to print (future date/time). If the date range spans more than 30 days, the system displays the warning message: "You are requesting more than 30 days of data to be printed. Continue?"</w:t>
            </w:r>
          </w:p>
          <w:p w14:paraId="0C623F4B" w14:textId="77777777" w:rsidR="00490777" w:rsidRDefault="00490777" w:rsidP="00EA1A6F">
            <w:pPr>
              <w:pStyle w:val="NotesText"/>
            </w:pPr>
          </w:p>
          <w:p w14:paraId="3022DCCA" w14:textId="77777777" w:rsidR="00490777" w:rsidRDefault="00490777" w:rsidP="00EA1A6F">
            <w:pPr>
              <w:pStyle w:val="NotesText"/>
            </w:pPr>
            <w:r w:rsidRPr="00490777">
              <w:rPr>
                <w:vanish/>
              </w:rPr>
              <w:t xml:space="preserve">BR_20.17 </w:t>
            </w:r>
            <w:r>
              <w:t>When the user chooses to a view report, the system always displays the report. The user may elect to print a hard copy of the report on a designated printer or exit.</w:t>
            </w:r>
          </w:p>
        </w:tc>
      </w:tr>
      <w:tr w:rsidR="007A6EB0" w14:paraId="3D986362" w14:textId="77777777" w:rsidTr="007E500E">
        <w:trPr>
          <w:cantSplit/>
        </w:trPr>
        <w:tc>
          <w:tcPr>
            <w:tcW w:w="3240" w:type="dxa"/>
          </w:tcPr>
          <w:p w14:paraId="0ACB6AE7" w14:textId="435A1CF0" w:rsidR="007A6EB0" w:rsidRDefault="007A6EB0" w:rsidP="007A6EB0">
            <w:pPr>
              <w:pStyle w:val="TableTextNumbers"/>
            </w:pPr>
            <w:bookmarkStart w:id="530" w:name="_Hlk2774996"/>
            <w:r w:rsidRPr="0076371D">
              <w:t xml:space="preserve">Select </w:t>
            </w:r>
            <w:r w:rsidRPr="0076371D">
              <w:rPr>
                <w:b/>
              </w:rPr>
              <w:t>Print</w:t>
            </w:r>
            <w:r w:rsidR="000A0FDE" w:rsidRPr="0076371D">
              <w:rPr>
                <w:b/>
              </w:rPr>
              <w:t xml:space="preserve"> </w:t>
            </w:r>
            <w:r w:rsidRPr="0076371D">
              <w:t>to print the repor</w:t>
            </w:r>
            <w:r w:rsidR="00E9352F">
              <w:t>t</w:t>
            </w:r>
            <w:r w:rsidR="00D330A4" w:rsidRPr="0076371D">
              <w:t xml:space="preserve">, </w:t>
            </w:r>
            <w:r w:rsidR="00D330A4" w:rsidRPr="0076371D">
              <w:rPr>
                <w:b/>
              </w:rPr>
              <w:t>Export</w:t>
            </w:r>
            <w:r w:rsidR="00D330A4" w:rsidRPr="0076371D">
              <w:t xml:space="preserve"> </w:t>
            </w:r>
            <w:r w:rsidR="00E60477">
              <w:t xml:space="preserve">to export the report </w:t>
            </w:r>
            <w:r w:rsidR="00E9352F" w:rsidRPr="0076371D">
              <w:rPr>
                <w:szCs w:val="18"/>
              </w:rPr>
              <w:t xml:space="preserve">(See </w:t>
            </w:r>
            <w:r w:rsidR="00EE455E" w:rsidRPr="00EE455E">
              <w:rPr>
                <w:szCs w:val="18"/>
              </w:rPr>
              <w:t>Report Export</w:t>
            </w:r>
            <w:r w:rsidR="00E9352F">
              <w:rPr>
                <w:szCs w:val="18"/>
              </w:rPr>
              <w:t xml:space="preserve"> section</w:t>
            </w:r>
            <w:r w:rsidR="00E9352F" w:rsidRPr="0076371D">
              <w:rPr>
                <w:szCs w:val="18"/>
              </w:rPr>
              <w:t>)</w:t>
            </w:r>
            <w:r w:rsidR="00E9352F">
              <w:t xml:space="preserve">, </w:t>
            </w:r>
            <w:r w:rsidR="00E9352F">
              <w:rPr>
                <w:szCs w:val="18"/>
              </w:rPr>
              <w:t xml:space="preserve">or </w:t>
            </w:r>
            <w:r w:rsidRPr="0076371D">
              <w:t xml:space="preserve">click </w:t>
            </w:r>
            <w:r w:rsidRPr="0076371D">
              <w:rPr>
                <w:b/>
              </w:rPr>
              <w:t>Close</w:t>
            </w:r>
            <w:r w:rsidRPr="0076371D">
              <w:t xml:space="preserve"> to exit</w:t>
            </w:r>
            <w:r w:rsidR="005C22EF">
              <w:t xml:space="preserve"> without printing</w:t>
            </w:r>
            <w:r w:rsidRPr="0076371D">
              <w:t>.</w:t>
            </w:r>
            <w:r w:rsidRPr="0076371D">
              <w:rPr>
                <w:rStyle w:val="StyleTableTextNumbersWhite1Char"/>
              </w:rPr>
              <w:t xml:space="preserve"> </w:t>
            </w:r>
            <w:bookmarkEnd w:id="530"/>
          </w:p>
        </w:tc>
        <w:tc>
          <w:tcPr>
            <w:tcW w:w="6120" w:type="dxa"/>
          </w:tcPr>
          <w:p w14:paraId="7FEAFD0C" w14:textId="70A44A1A" w:rsidR="007A6EB0" w:rsidRDefault="00E9352F" w:rsidP="007A6EB0">
            <w:pPr>
              <w:pStyle w:val="TableTextBullet"/>
            </w:pPr>
            <w:r>
              <w:t>If Print is selected, p</w:t>
            </w:r>
            <w:r w:rsidR="007A6EB0">
              <w:t xml:space="preserve">rints the report on the </w:t>
            </w:r>
            <w:r>
              <w:t>designated</w:t>
            </w:r>
            <w:r w:rsidR="007A6EB0">
              <w:t xml:space="preserve"> printer</w:t>
            </w:r>
            <w:r>
              <w:t>.</w:t>
            </w:r>
          </w:p>
          <w:p w14:paraId="774BAADC" w14:textId="0D0E73D9" w:rsidR="00E9352F" w:rsidRDefault="00E9352F" w:rsidP="007A6EB0">
            <w:pPr>
              <w:pStyle w:val="TableTextBullet"/>
            </w:pPr>
            <w:r>
              <w:t>If Export is selected, exports the report to the designated file.</w:t>
            </w:r>
          </w:p>
          <w:p w14:paraId="38D0CEC0" w14:textId="071F9704" w:rsidR="00E9352F" w:rsidRDefault="00E9352F" w:rsidP="007A6EB0">
            <w:pPr>
              <w:pStyle w:val="TableTextBullet"/>
            </w:pPr>
            <w:r>
              <w:t>If Close is selected, exits the report preview.</w:t>
            </w:r>
          </w:p>
        </w:tc>
      </w:tr>
    </w:tbl>
    <w:p w14:paraId="432BD800" w14:textId="77777777" w:rsidR="002A21AE" w:rsidRDefault="00F55832" w:rsidP="007A6EB0">
      <w:pPr>
        <w:pStyle w:val="Heading2"/>
      </w:pPr>
      <w:r>
        <w:br w:type="page"/>
      </w:r>
      <w:bookmarkStart w:id="531" w:name="_Toc149064179"/>
      <w:r w:rsidR="002A21AE">
        <w:t>Audit Trail</w:t>
      </w:r>
      <w:bookmarkEnd w:id="531"/>
      <w:r w:rsidR="002A21AE">
        <w:fldChar w:fldCharType="begin"/>
      </w:r>
      <w:r w:rsidR="002A21AE">
        <w:instrText xml:space="preserve"> XE </w:instrText>
      </w:r>
      <w:r w:rsidR="00FA7E65">
        <w:instrText>“</w:instrText>
      </w:r>
      <w:r w:rsidR="002A21AE">
        <w:instrText>Audit Trail</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UC_77</w:t>
      </w:r>
    </w:p>
    <w:bookmarkEnd w:id="529"/>
    <w:p w14:paraId="040A5E48" w14:textId="77777777" w:rsidR="002A21AE" w:rsidRDefault="002A21AE" w:rsidP="00FA7E65">
      <w:pPr>
        <w:pStyle w:val="BodyText"/>
      </w:pPr>
      <w:r>
        <w:t xml:space="preserve">The user views </w:t>
      </w:r>
      <w:r w:rsidR="00EB1E5A">
        <w:t>and/or</w:t>
      </w:r>
      <w:r>
        <w:t xml:space="preserve"> prints an Audit Trail Report. </w:t>
      </w:r>
    </w:p>
    <w:p w14:paraId="1CCFA150" w14:textId="77777777" w:rsidR="002A21AE" w:rsidRDefault="002A21AE">
      <w:pPr>
        <w:pStyle w:val="Heading4"/>
      </w:pPr>
      <w:r>
        <w:t>Assumptions</w:t>
      </w:r>
    </w:p>
    <w:p w14:paraId="646C3388" w14:textId="77777777" w:rsidR="002A21AE" w:rsidRDefault="002A21AE">
      <w:pPr>
        <w:pStyle w:val="ListBullet"/>
        <w:rPr>
          <w:b/>
        </w:rPr>
      </w:pPr>
      <w:r>
        <w:t>Data are available for inclusion in the report.</w:t>
      </w:r>
    </w:p>
    <w:p w14:paraId="2601CE76" w14:textId="77777777" w:rsidR="002A21AE" w:rsidRDefault="002A21AE">
      <w:pPr>
        <w:pStyle w:val="ListBullet"/>
      </w:pPr>
      <w:r>
        <w:t>The user must be logged into the division in which the report is to be generated.</w:t>
      </w:r>
    </w:p>
    <w:p w14:paraId="2E5A477B" w14:textId="77777777" w:rsidR="002A21AE" w:rsidRDefault="002A21AE">
      <w:pPr>
        <w:pStyle w:val="Heading4"/>
      </w:pPr>
      <w:r>
        <w:t xml:space="preserve">Outcome </w:t>
      </w:r>
    </w:p>
    <w:p w14:paraId="5874FF84" w14:textId="77777777" w:rsidR="002A21AE" w:rsidRDefault="00AE521B">
      <w:pPr>
        <w:pStyle w:val="ListBullet"/>
      </w:pPr>
      <w:r>
        <w:t>The user views and/or prints the report</w:t>
      </w:r>
      <w:r w:rsidR="002A21AE">
        <w:t xml:space="preserve">. </w:t>
      </w:r>
    </w:p>
    <w:p w14:paraId="1B7B4FE2" w14:textId="77777777" w:rsidR="002A21AE" w:rsidRDefault="002A21AE">
      <w:pPr>
        <w:pStyle w:val="Heading4"/>
        <w:rPr>
          <w:b w:val="0"/>
        </w:rPr>
      </w:pPr>
      <w:r>
        <w:t>Limitations and Restrictions</w:t>
      </w:r>
      <w:r>
        <w:rPr>
          <w:b w:val="0"/>
        </w:rPr>
        <w:t xml:space="preserve"> </w:t>
      </w:r>
    </w:p>
    <w:p w14:paraId="64B45E47" w14:textId="77777777" w:rsidR="002A21AE" w:rsidRDefault="00170EEF" w:rsidP="005753B8">
      <w:pPr>
        <w:pStyle w:val="ListBullet"/>
      </w:pPr>
      <w:r>
        <w:t>VBECS does not accommodate online review (verification, signature) of reports.</w:t>
      </w:r>
    </w:p>
    <w:p w14:paraId="7691A713" w14:textId="77777777" w:rsidR="002A21AE" w:rsidRDefault="002A21AE">
      <w:pPr>
        <w:pStyle w:val="Heading4"/>
      </w:pPr>
      <w:r>
        <w:t>Additional Information</w:t>
      </w:r>
    </w:p>
    <w:p w14:paraId="4CC38993" w14:textId="17C0F801" w:rsidR="002A21AE" w:rsidRDefault="002A21AE">
      <w:pPr>
        <w:pStyle w:val="ListBullet"/>
      </w:pPr>
      <w:r>
        <w:t xml:space="preserve">Audit trail entries reflect the actual date and time the change was made. </w:t>
      </w:r>
    </w:p>
    <w:p w14:paraId="4119A250" w14:textId="00DCEFEF" w:rsidR="007E33DF" w:rsidRDefault="00684888" w:rsidP="001C651F">
      <w:pPr>
        <w:pStyle w:val="ListBullet"/>
      </w:pPr>
      <w:r>
        <w:t>When a unit is rec</w:t>
      </w:r>
      <w:r w:rsidR="00147B9F">
        <w:t>eived with RBC antigens</w:t>
      </w:r>
      <w:r w:rsidR="00532FD9">
        <w:t xml:space="preserve"> selected, that unit may appear on the Audit Trail Report. See the Unit History Report for RBC </w:t>
      </w:r>
      <w:r w:rsidR="002E1949">
        <w:t xml:space="preserve">antigen typing entered for the unit during Incoming Shipment. </w:t>
      </w:r>
      <w:r w:rsidR="00532FD9" w:rsidRPr="002E1949">
        <w:rPr>
          <w:vanish/>
        </w:rPr>
        <w:t>Defect 373942</w:t>
      </w:r>
    </w:p>
    <w:p w14:paraId="0481A80B" w14:textId="77777777" w:rsidR="002A21AE" w:rsidRDefault="002A21AE">
      <w:pPr>
        <w:pStyle w:val="Heading4"/>
        <w:rPr>
          <w:b w:val="0"/>
        </w:rPr>
      </w:pPr>
      <w:r>
        <w:t>User Roles with Access to This Option</w:t>
      </w:r>
      <w:r>
        <w:rPr>
          <w:b w:val="0"/>
        </w:rPr>
        <w:t xml:space="preserve"> </w:t>
      </w:r>
    </w:p>
    <w:p w14:paraId="7D186717" w14:textId="77777777" w:rsidR="002A21AE" w:rsidRDefault="00080A13">
      <w:pPr>
        <w:pStyle w:val="Roles"/>
        <w:rPr>
          <w:snapToGrid w:val="0"/>
        </w:rPr>
      </w:pPr>
      <w:r>
        <w:t>All users</w:t>
      </w:r>
    </w:p>
    <w:p w14:paraId="2C37C6EE" w14:textId="77777777" w:rsidR="002A21AE" w:rsidRDefault="002A21AE">
      <w:pPr>
        <w:pStyle w:val="Heading4"/>
      </w:pPr>
      <w:r>
        <w:t>Audit Trail</w:t>
      </w:r>
    </w:p>
    <w:p w14:paraId="72D76FC0" w14:textId="77777777" w:rsidR="002A21AE" w:rsidRDefault="00EB1E5A" w:rsidP="00FA7E65">
      <w:pPr>
        <w:pStyle w:val="BodyText"/>
      </w:pPr>
      <w:r>
        <w:t>The user views and/or prints an Audit Trail Report, which</w:t>
      </w:r>
      <w:r w:rsidR="002A21AE">
        <w:t xml:space="preserve"> lists changes to specific patient, unit, and division configuration settings. It is a regulatory requirement to maintain documentation proving that these changes were reviewed. </w:t>
      </w:r>
      <w:r w:rsidR="00B25CE5" w:rsidRPr="00BE7BF6">
        <w:t>Modi</w:t>
      </w:r>
      <w:r w:rsidR="00B25CE5">
        <w:t>f</w:t>
      </w:r>
      <w:r w:rsidR="00B25CE5" w:rsidRPr="00BE7BF6">
        <w:t>y local record retention policy to instruct users to print, review, document, and save these reports.</w:t>
      </w:r>
      <w:r w:rsidR="002A21AE">
        <w:t xml:space="preserve"> The Audit Trail Report contains only data changes generated in the user’s login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702F836" w14:textId="77777777">
        <w:trPr>
          <w:cantSplit/>
          <w:tblHeader/>
        </w:trPr>
        <w:tc>
          <w:tcPr>
            <w:tcW w:w="3240" w:type="dxa"/>
            <w:shd w:val="pct30" w:color="auto" w:fill="FFFFFF"/>
            <w:vAlign w:val="bottom"/>
          </w:tcPr>
          <w:p w14:paraId="4DE70A0B" w14:textId="77777777" w:rsidR="002A21AE" w:rsidRDefault="002A21AE">
            <w:pPr>
              <w:pStyle w:val="TableText"/>
              <w:rPr>
                <w:b/>
              </w:rPr>
            </w:pPr>
            <w:r>
              <w:rPr>
                <w:b/>
              </w:rPr>
              <w:t>User Action</w:t>
            </w:r>
          </w:p>
        </w:tc>
        <w:tc>
          <w:tcPr>
            <w:tcW w:w="6120" w:type="dxa"/>
            <w:shd w:val="pct30" w:color="auto" w:fill="FFFFFF"/>
            <w:vAlign w:val="bottom"/>
          </w:tcPr>
          <w:p w14:paraId="3379140D" w14:textId="77777777" w:rsidR="002A21AE" w:rsidRDefault="002A21AE">
            <w:pPr>
              <w:pStyle w:val="TableText"/>
              <w:rPr>
                <w:b/>
              </w:rPr>
            </w:pPr>
            <w:r>
              <w:rPr>
                <w:b/>
              </w:rPr>
              <w:t>VBECS</w:t>
            </w:r>
          </w:p>
        </w:tc>
      </w:tr>
      <w:tr w:rsidR="002A21AE" w14:paraId="2C667136" w14:textId="77777777">
        <w:tc>
          <w:tcPr>
            <w:tcW w:w="3240" w:type="dxa"/>
          </w:tcPr>
          <w:p w14:paraId="57F90004" w14:textId="77777777" w:rsidR="002A21AE" w:rsidRDefault="002A21AE" w:rsidP="00925CAD">
            <w:pPr>
              <w:pStyle w:val="TableTextNumbers"/>
              <w:numPr>
                <w:ilvl w:val="0"/>
                <w:numId w:val="72"/>
              </w:numPr>
            </w:pPr>
            <w:r>
              <w:t xml:space="preserve">Select </w:t>
            </w:r>
            <w:r w:rsidRPr="00946DA2">
              <w:rPr>
                <w:b/>
              </w:rPr>
              <w:t>Reports</w:t>
            </w:r>
            <w:r>
              <w:t xml:space="preserve"> from the main menu.</w:t>
            </w:r>
          </w:p>
          <w:p w14:paraId="06826F7A" w14:textId="77777777" w:rsidR="002A21AE" w:rsidRDefault="002A21AE">
            <w:pPr>
              <w:pStyle w:val="TableTextNumbersContinued"/>
            </w:pPr>
          </w:p>
          <w:p w14:paraId="54FB3C83" w14:textId="77777777" w:rsidR="002A21AE" w:rsidRDefault="002A21AE">
            <w:pPr>
              <w:pStyle w:val="TableTextNumbersContinued"/>
            </w:pPr>
            <w:r>
              <w:t xml:space="preserve">Select </w:t>
            </w:r>
            <w:r>
              <w:rPr>
                <w:b/>
              </w:rPr>
              <w:t>Audit Trail</w:t>
            </w:r>
            <w:r>
              <w:t>.</w:t>
            </w:r>
          </w:p>
        </w:tc>
        <w:tc>
          <w:tcPr>
            <w:tcW w:w="6120" w:type="dxa"/>
          </w:tcPr>
          <w:p w14:paraId="454D5956" w14:textId="77777777" w:rsidR="002A21AE" w:rsidRDefault="002A21AE">
            <w:pPr>
              <w:pStyle w:val="TableTextBullet"/>
            </w:pPr>
            <w:r>
              <w:t>Lists report names.</w:t>
            </w:r>
          </w:p>
          <w:p w14:paraId="436919B9" w14:textId="77777777" w:rsidR="002A21AE" w:rsidRDefault="002A21AE">
            <w:pPr>
              <w:pStyle w:val="TableTextBullet"/>
            </w:pPr>
            <w:r>
              <w:t xml:space="preserve">Displays report compilation criteria. </w:t>
            </w:r>
          </w:p>
          <w:p w14:paraId="320CB41C" w14:textId="77777777" w:rsidR="002A21AE" w:rsidRDefault="002A21AE">
            <w:pPr>
              <w:pStyle w:val="TableTextBullet"/>
            </w:pPr>
            <w:r>
              <w:t>Displays a date range for selection.</w:t>
            </w:r>
          </w:p>
        </w:tc>
      </w:tr>
      <w:tr w:rsidR="002A21AE" w14:paraId="65395DFB" w14:textId="77777777">
        <w:tc>
          <w:tcPr>
            <w:tcW w:w="3240" w:type="dxa"/>
          </w:tcPr>
          <w:p w14:paraId="7111F2B1" w14:textId="77777777" w:rsidR="002A21AE" w:rsidRDefault="002A21AE">
            <w:pPr>
              <w:pStyle w:val="TableTextNumbers"/>
            </w:pPr>
            <w:r>
              <w:t>Enter or select start and end dates.</w:t>
            </w:r>
          </w:p>
        </w:tc>
        <w:tc>
          <w:tcPr>
            <w:tcW w:w="6120" w:type="dxa"/>
          </w:tcPr>
          <w:p w14:paraId="5898547B" w14:textId="77777777" w:rsidR="002A21AE" w:rsidRDefault="002A21AE">
            <w:pPr>
              <w:pStyle w:val="TableText"/>
            </w:pPr>
          </w:p>
          <w:p w14:paraId="66EDC6FA" w14:textId="0ACB0268" w:rsidR="002A21AE" w:rsidRDefault="002A21AE">
            <w:pPr>
              <w:pStyle w:val="TableText"/>
              <w:rPr>
                <w:b/>
                <w:bCs/>
                <w:szCs w:val="18"/>
              </w:rPr>
            </w:pPr>
            <w:r>
              <w:rPr>
                <w:b/>
                <w:bCs/>
                <w:szCs w:val="18"/>
              </w:rPr>
              <w:t>NOTES</w:t>
            </w:r>
          </w:p>
          <w:p w14:paraId="4AF74BEC" w14:textId="77777777" w:rsidR="002A21AE" w:rsidRDefault="002A21AE">
            <w:pPr>
              <w:pStyle w:val="NotesText"/>
            </w:pPr>
          </w:p>
          <w:p w14:paraId="0C28742E" w14:textId="77777777" w:rsidR="002A21AE" w:rsidRDefault="002A21AE">
            <w:pPr>
              <w:pStyle w:val="NotesText"/>
            </w:pPr>
            <w:r>
              <w:rPr>
                <w:rFonts w:cs="Arial"/>
                <w:vanish/>
              </w:rPr>
              <w:t xml:space="preserve">BR_77.06 </w:t>
            </w:r>
            <w:r>
              <w:t xml:space="preserve">The parameter table and Transfusion Requirements </w:t>
            </w:r>
            <w:r w:rsidR="00981F3F">
              <w:t>R</w:t>
            </w:r>
            <w:r>
              <w:t>eport sections include changes from no previous entry to an entry and from an entry to no entry.</w:t>
            </w:r>
          </w:p>
          <w:p w14:paraId="06FDBB37" w14:textId="77777777" w:rsidR="002A21AE" w:rsidRDefault="002A21AE">
            <w:pPr>
              <w:pStyle w:val="NotesText"/>
            </w:pPr>
          </w:p>
          <w:p w14:paraId="4F03F0CA" w14:textId="77777777" w:rsidR="002A21AE" w:rsidRDefault="002A21AE">
            <w:pPr>
              <w:pStyle w:val="NotesText"/>
            </w:pPr>
            <w:r>
              <w:rPr>
                <w:rFonts w:cs="Arial"/>
                <w:vanish/>
              </w:rPr>
              <w:t xml:space="preserve">BR_77.08 </w:t>
            </w:r>
            <w:r>
              <w:t>Each entry includes an area for supervisor acknowledgement (signature or initials and date of review) and comment.</w:t>
            </w:r>
          </w:p>
        </w:tc>
      </w:tr>
      <w:tr w:rsidR="002A21AE" w14:paraId="3207A558" w14:textId="77777777" w:rsidTr="00F3651E">
        <w:trPr>
          <w:cantSplit/>
        </w:trPr>
        <w:tc>
          <w:tcPr>
            <w:tcW w:w="3240" w:type="dxa"/>
          </w:tcPr>
          <w:p w14:paraId="64D755E6"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4075217" w14:textId="77777777" w:rsidR="002A21AE" w:rsidRDefault="002A21AE">
            <w:pPr>
              <w:pStyle w:val="TableTextNumbersContinued"/>
            </w:pPr>
          </w:p>
          <w:p w14:paraId="17E507A9"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4863A6ED" w14:textId="77777777" w:rsidR="005B6A94" w:rsidRPr="00AA2B2E" w:rsidRDefault="00F64B5C" w:rsidP="00AA2B2E">
            <w:pPr>
              <w:pStyle w:val="TableTextBullet"/>
            </w:pPr>
            <w:r>
              <w:t>Compiles and displays the report.</w:t>
            </w:r>
          </w:p>
        </w:tc>
      </w:tr>
      <w:tr w:rsidR="002A21AE" w14:paraId="3D7B352A" w14:textId="77777777">
        <w:tc>
          <w:tcPr>
            <w:tcW w:w="3240" w:type="dxa"/>
          </w:tcPr>
          <w:p w14:paraId="6A5EF33D" w14:textId="29AB6846"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42C2F8AF" w14:textId="77777777" w:rsidR="005C22EF" w:rsidRDefault="005C22EF" w:rsidP="005C22EF">
            <w:pPr>
              <w:pStyle w:val="TableTextBullet"/>
            </w:pPr>
            <w:r>
              <w:t>If Print is selected, prints the report on the designated printer.</w:t>
            </w:r>
          </w:p>
          <w:p w14:paraId="4CCB20FF" w14:textId="77777777" w:rsidR="005C22EF" w:rsidRDefault="005C22EF" w:rsidP="005C22EF">
            <w:pPr>
              <w:pStyle w:val="TableTextBullet"/>
            </w:pPr>
            <w:r>
              <w:t>If Export is selected, exports the report to the designated file.</w:t>
            </w:r>
          </w:p>
          <w:p w14:paraId="05FE587D" w14:textId="77777777" w:rsidR="005C22EF" w:rsidRDefault="005C22EF" w:rsidP="005C22EF">
            <w:pPr>
              <w:pStyle w:val="TableTextBullet"/>
            </w:pPr>
            <w:r>
              <w:t>If Close is selected, exits the report preview.</w:t>
            </w:r>
          </w:p>
          <w:p w14:paraId="233B8572" w14:textId="5DB9E35F" w:rsidR="002A21AE" w:rsidRDefault="00245B2C" w:rsidP="005C22EF">
            <w:pPr>
              <w:pStyle w:val="TableTextBullet"/>
            </w:pPr>
            <w:r>
              <w:t xml:space="preserve">See </w:t>
            </w:r>
            <w:r w:rsidR="00EE455E">
              <w:t xml:space="preserve">Appendix </w:t>
            </w:r>
            <w:r w:rsidR="00EE455E">
              <w:rPr>
                <w:noProof/>
              </w:rPr>
              <w:t>B</w:t>
            </w:r>
            <w:r>
              <w:t xml:space="preserve">: </w:t>
            </w:r>
            <w:r w:rsidR="00EE455E">
              <w:t xml:space="preserve">Table </w:t>
            </w:r>
            <w:r w:rsidR="00EE455E">
              <w:rPr>
                <w:noProof/>
              </w:rPr>
              <w:t>20</w:t>
            </w:r>
            <w:r w:rsidR="00EE455E">
              <w:t xml:space="preserve">: </w:t>
            </w:r>
            <w:r w:rsidR="00EE455E">
              <w:rPr>
                <w:vanish/>
              </w:rPr>
              <w:t xml:space="preserve">TT_77.01 </w:t>
            </w:r>
            <w:r w:rsidR="00EE455E">
              <w:t>Details in Audit Trail Report</w:t>
            </w:r>
            <w:r w:rsidR="002A21AE">
              <w:t>.</w:t>
            </w:r>
          </w:p>
        </w:tc>
      </w:tr>
    </w:tbl>
    <w:p w14:paraId="3AB3626D" w14:textId="77777777" w:rsidR="002A21AE" w:rsidRDefault="00F55832">
      <w:pPr>
        <w:pStyle w:val="Heading2"/>
      </w:pPr>
      <w:r>
        <w:br w:type="page"/>
      </w:r>
      <w:bookmarkStart w:id="532" w:name="_Toc149064180"/>
      <w:r w:rsidR="002A21AE">
        <w:t>Blood Availability</w:t>
      </w:r>
      <w:bookmarkEnd w:id="532"/>
      <w:r w:rsidR="002A21AE">
        <w:fldChar w:fldCharType="begin"/>
      </w:r>
      <w:r w:rsidR="002A21AE">
        <w:instrText xml:space="preserve"> XE </w:instrText>
      </w:r>
      <w:r w:rsidR="00FA7E65">
        <w:instrText>“</w:instrText>
      </w:r>
      <w:r w:rsidR="002A21AE">
        <w:instrText>Blood Availability</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UC_49</w:t>
      </w:r>
    </w:p>
    <w:p w14:paraId="0ED3C518" w14:textId="77777777" w:rsidR="002A21AE" w:rsidRDefault="002A21AE" w:rsidP="00FA7E65">
      <w:pPr>
        <w:pStyle w:val="BodyText"/>
      </w:pPr>
      <w:r>
        <w:t xml:space="preserve">The user </w:t>
      </w:r>
      <w:r w:rsidR="00FF1708">
        <w:t xml:space="preserve">views </w:t>
      </w:r>
      <w:r w:rsidR="00EB1E5A">
        <w:t>and/or</w:t>
      </w:r>
      <w:r w:rsidR="00FF1708">
        <w:t xml:space="preserve"> prints the Blood Availability Report</w:t>
      </w:r>
      <w:r>
        <w:t>.</w:t>
      </w:r>
    </w:p>
    <w:p w14:paraId="6D3CE6DC" w14:textId="77777777" w:rsidR="002A21AE" w:rsidRDefault="002A21AE">
      <w:pPr>
        <w:pStyle w:val="Heading4"/>
      </w:pPr>
      <w:r>
        <w:t>Assumptions</w:t>
      </w:r>
      <w:r>
        <w:rPr>
          <w:b w:val="0"/>
        </w:rPr>
        <w:t xml:space="preserve"> </w:t>
      </w:r>
    </w:p>
    <w:p w14:paraId="54716827" w14:textId="77777777" w:rsidR="002A21AE" w:rsidRDefault="002A21AE">
      <w:pPr>
        <w:pStyle w:val="ListBullet"/>
      </w:pPr>
      <w:r>
        <w:t>A blood unit is logged into a division in the database.</w:t>
      </w:r>
    </w:p>
    <w:p w14:paraId="1DB57F1B" w14:textId="77777777" w:rsidR="002A21AE" w:rsidRDefault="002A21AE">
      <w:pPr>
        <w:pStyle w:val="Heading4"/>
      </w:pPr>
      <w:r>
        <w:t xml:space="preserve">Outcome </w:t>
      </w:r>
    </w:p>
    <w:p w14:paraId="56D9E79A" w14:textId="77777777" w:rsidR="002A21AE" w:rsidRDefault="002A21AE">
      <w:pPr>
        <w:pStyle w:val="ListBullet"/>
      </w:pPr>
      <w:r>
        <w:t>VBECS users may view available blood unit data in several formats.</w:t>
      </w:r>
    </w:p>
    <w:p w14:paraId="0096F303" w14:textId="77777777" w:rsidR="002A21AE" w:rsidRDefault="002A21AE">
      <w:pPr>
        <w:pStyle w:val="Heading4"/>
      </w:pPr>
      <w:r>
        <w:t>Limitations and Restrictions</w:t>
      </w:r>
      <w:r>
        <w:rPr>
          <w:b w:val="0"/>
        </w:rPr>
        <w:t xml:space="preserve"> </w:t>
      </w:r>
    </w:p>
    <w:p w14:paraId="39F57B6E" w14:textId="77777777" w:rsidR="008F2BFA" w:rsidRDefault="00C3558E">
      <w:pPr>
        <w:pStyle w:val="ListBullet"/>
      </w:pPr>
      <w:r>
        <w:t>None.</w:t>
      </w:r>
    </w:p>
    <w:p w14:paraId="198CED6D" w14:textId="77777777" w:rsidR="002A21AE" w:rsidRDefault="002A21AE">
      <w:pPr>
        <w:pStyle w:val="Heading4"/>
      </w:pPr>
      <w:r>
        <w:t xml:space="preserve">Additional Information </w:t>
      </w:r>
    </w:p>
    <w:p w14:paraId="4E7D31F5" w14:textId="77777777" w:rsidR="002A21AE" w:rsidRDefault="002A21AE">
      <w:pPr>
        <w:pStyle w:val="ListBullet"/>
      </w:pPr>
      <w:r>
        <w:t>VBECS displays the defined reports and allows the user to view an individual Patient Blood Availability Report or to create a custom report.</w:t>
      </w:r>
    </w:p>
    <w:p w14:paraId="33F26928" w14:textId="1C722CCD" w:rsidR="00F86A79" w:rsidRDefault="00F86A79" w:rsidP="00F86A79">
      <w:pPr>
        <w:pStyle w:val="ListBullet"/>
      </w:pPr>
      <w:r>
        <w:t>The report is available as a single-division or multidivisional (all divisions) report.</w:t>
      </w:r>
    </w:p>
    <w:p w14:paraId="75B9059C" w14:textId="77777777" w:rsidR="002A21AE" w:rsidRPr="00C32FB5" w:rsidRDefault="002A21AE" w:rsidP="00A922BB">
      <w:pPr>
        <w:pStyle w:val="Heading4"/>
        <w:rPr>
          <w:b w:val="0"/>
        </w:rPr>
      </w:pPr>
      <w:r>
        <w:t>User Roles with Access to This Option</w:t>
      </w:r>
      <w:r w:rsidRPr="00C32FB5">
        <w:rPr>
          <w:b w:val="0"/>
        </w:rPr>
        <w:t xml:space="preserve"> </w:t>
      </w:r>
    </w:p>
    <w:p w14:paraId="561928F5" w14:textId="77777777" w:rsidR="002A21AE" w:rsidRDefault="00080A13">
      <w:pPr>
        <w:pStyle w:val="Roles"/>
      </w:pPr>
      <w:r>
        <w:t>All users</w:t>
      </w:r>
    </w:p>
    <w:p w14:paraId="1E451F70" w14:textId="77777777" w:rsidR="002A21AE" w:rsidRDefault="002A21AE">
      <w:pPr>
        <w:pStyle w:val="Heading4"/>
      </w:pPr>
      <w:r>
        <w:t>Blood Availability</w:t>
      </w:r>
    </w:p>
    <w:p w14:paraId="5CD3DCC2" w14:textId="77777777" w:rsidR="002A21AE" w:rsidRDefault="002A21AE" w:rsidP="00FA7E65">
      <w:pPr>
        <w:pStyle w:val="BodyText"/>
      </w:pPr>
      <w:r>
        <w:t xml:space="preserve">The user may check the blood availability for a specific patient and view </w:t>
      </w:r>
      <w:r w:rsidR="00EB1E5A">
        <w:t>and/or</w:t>
      </w:r>
      <w:r>
        <w:t xml:space="preserve"> print a variety of Blood Inventory Reports from the user’s and other divisions, as available. Blood </w:t>
      </w:r>
      <w:r w:rsidR="001E776B">
        <w:t>A</w:t>
      </w:r>
      <w:r>
        <w:t xml:space="preserve">vailability </w:t>
      </w:r>
      <w:r w:rsidR="001E776B">
        <w:t>R</w:t>
      </w:r>
      <w:r>
        <w:t>eports include the product’s unit status, indicators, patient information for units in the “assigned” and “issued” statuses, restrictions, and special testing or handling of a unit.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2068784" w14:textId="77777777">
        <w:trPr>
          <w:cantSplit/>
          <w:tblHeader/>
        </w:trPr>
        <w:tc>
          <w:tcPr>
            <w:tcW w:w="3240" w:type="dxa"/>
            <w:shd w:val="pct30" w:color="auto" w:fill="FFFFFF"/>
            <w:vAlign w:val="bottom"/>
          </w:tcPr>
          <w:p w14:paraId="46C8ECD9" w14:textId="77777777" w:rsidR="002A21AE" w:rsidRDefault="002A21AE">
            <w:pPr>
              <w:pStyle w:val="TableText"/>
              <w:rPr>
                <w:b/>
              </w:rPr>
            </w:pPr>
            <w:r>
              <w:rPr>
                <w:b/>
              </w:rPr>
              <w:t>User Action</w:t>
            </w:r>
          </w:p>
        </w:tc>
        <w:tc>
          <w:tcPr>
            <w:tcW w:w="6120" w:type="dxa"/>
            <w:shd w:val="pct30" w:color="auto" w:fill="FFFFFF"/>
            <w:vAlign w:val="bottom"/>
          </w:tcPr>
          <w:p w14:paraId="253309AA" w14:textId="77777777" w:rsidR="002A21AE" w:rsidRDefault="002A21AE">
            <w:pPr>
              <w:pStyle w:val="TableText"/>
              <w:rPr>
                <w:b/>
              </w:rPr>
            </w:pPr>
            <w:r>
              <w:rPr>
                <w:b/>
              </w:rPr>
              <w:t>VBECS</w:t>
            </w:r>
          </w:p>
        </w:tc>
      </w:tr>
      <w:tr w:rsidR="002A21AE" w14:paraId="76C6472E" w14:textId="77777777">
        <w:tc>
          <w:tcPr>
            <w:tcW w:w="3240" w:type="dxa"/>
          </w:tcPr>
          <w:p w14:paraId="3F8994BE" w14:textId="77777777" w:rsidR="002A21AE" w:rsidRDefault="002A21AE">
            <w:pPr>
              <w:pStyle w:val="TableTextNumbers"/>
            </w:pPr>
            <w:r>
              <w:t xml:space="preserve">For a non-individual report, select </w:t>
            </w:r>
            <w:r>
              <w:rPr>
                <w:b/>
              </w:rPr>
              <w:t>Reports</w:t>
            </w:r>
            <w:r>
              <w:t xml:space="preserve"> from the main menu.</w:t>
            </w:r>
          </w:p>
          <w:p w14:paraId="1C1C02EF" w14:textId="77777777" w:rsidR="002A21AE" w:rsidRDefault="002A21AE">
            <w:pPr>
              <w:pStyle w:val="TableTextNumbersContinued"/>
            </w:pPr>
          </w:p>
          <w:p w14:paraId="79A9505B" w14:textId="77777777" w:rsidR="002A21AE" w:rsidRDefault="002A21AE">
            <w:pPr>
              <w:pStyle w:val="TableTextNumbersContinued"/>
            </w:pPr>
            <w:r>
              <w:t xml:space="preserve">Select </w:t>
            </w:r>
            <w:r>
              <w:rPr>
                <w:b/>
              </w:rPr>
              <w:t>Blood Availability</w:t>
            </w:r>
            <w:r>
              <w:t>, or</w:t>
            </w:r>
          </w:p>
          <w:p w14:paraId="6F7CA279" w14:textId="77777777" w:rsidR="002A21AE" w:rsidRDefault="002A21AE">
            <w:pPr>
              <w:pStyle w:val="TableTextNumbersContinued"/>
            </w:pPr>
          </w:p>
          <w:p w14:paraId="1B72000F" w14:textId="77777777" w:rsidR="002A21AE" w:rsidRDefault="002A21AE">
            <w:pPr>
              <w:pStyle w:val="TableTextNumbersContinued"/>
            </w:pPr>
            <w:r>
              <w:t xml:space="preserve">For a patient-specific report, select </w:t>
            </w:r>
            <w:r>
              <w:rPr>
                <w:b/>
              </w:rPr>
              <w:t>Patients</w:t>
            </w:r>
            <w:r>
              <w:t xml:space="preserve"> from the main menu.</w:t>
            </w:r>
          </w:p>
          <w:p w14:paraId="7F78FBEA" w14:textId="77777777" w:rsidR="002A21AE" w:rsidRDefault="002A21AE">
            <w:pPr>
              <w:pStyle w:val="TableTextNumbersContinued"/>
            </w:pPr>
          </w:p>
          <w:p w14:paraId="5F653040" w14:textId="77777777" w:rsidR="002A21AE" w:rsidRDefault="002A21AE">
            <w:pPr>
              <w:pStyle w:val="TableTextNumbersContinued"/>
            </w:pPr>
            <w:r>
              <w:t xml:space="preserve">Select </w:t>
            </w:r>
            <w:r>
              <w:rPr>
                <w:b/>
              </w:rPr>
              <w:t>Blood Availability</w:t>
            </w:r>
            <w:r>
              <w:t>.</w:t>
            </w:r>
          </w:p>
        </w:tc>
        <w:tc>
          <w:tcPr>
            <w:tcW w:w="6120" w:type="dxa"/>
          </w:tcPr>
          <w:p w14:paraId="47F8E4FC" w14:textId="77777777" w:rsidR="002A21AE" w:rsidRDefault="002A21AE">
            <w:pPr>
              <w:pStyle w:val="TableTextBullet"/>
            </w:pPr>
            <w:r>
              <w:t>Displays options for generating, viewing, and printing blood reports.</w:t>
            </w:r>
          </w:p>
          <w:p w14:paraId="32757A4E" w14:textId="77777777" w:rsidR="002A21AE" w:rsidRDefault="002A21AE">
            <w:pPr>
              <w:pStyle w:val="TableTextBullet"/>
            </w:pPr>
            <w:r>
              <w:t xml:space="preserve">Displays non-individual report type and compilation criteria. </w:t>
            </w:r>
          </w:p>
          <w:p w14:paraId="5FE1C53F" w14:textId="77777777" w:rsidR="002A21AE" w:rsidRDefault="002A21AE">
            <w:pPr>
              <w:pStyle w:val="TableTextBullet"/>
            </w:pPr>
            <w:r>
              <w:t>Displays options for generating a patient-specific report.</w:t>
            </w:r>
          </w:p>
          <w:p w14:paraId="2F309B65" w14:textId="67BD8F02" w:rsidR="002A21AE" w:rsidRDefault="002A21AE">
            <w:pPr>
              <w:pStyle w:val="NotesText"/>
            </w:pPr>
          </w:p>
        </w:tc>
      </w:tr>
      <w:tr w:rsidR="002A21AE" w14:paraId="0C7E955A" w14:textId="77777777" w:rsidTr="00305B16">
        <w:trPr>
          <w:cantSplit/>
        </w:trPr>
        <w:tc>
          <w:tcPr>
            <w:tcW w:w="3240" w:type="dxa"/>
          </w:tcPr>
          <w:p w14:paraId="2FA5B995" w14:textId="77777777" w:rsidR="00981244" w:rsidRDefault="00981244" w:rsidP="00981244">
            <w:pPr>
              <w:pStyle w:val="TableTextNumbers"/>
            </w:pPr>
            <w:r>
              <w:t>Click a radio button to select a report format:</w:t>
            </w:r>
          </w:p>
          <w:p w14:paraId="03CD4500" w14:textId="77777777" w:rsidR="007A5DC2" w:rsidRPr="00945BF5" w:rsidRDefault="007A5DC2" w:rsidP="00FB2A8A">
            <w:pPr>
              <w:pStyle w:val="TableTextNumbersBullet"/>
              <w:tabs>
                <w:tab w:val="clear" w:pos="288"/>
              </w:tabs>
              <w:ind w:left="510" w:hanging="222"/>
              <w:rPr>
                <w:b/>
              </w:rPr>
            </w:pPr>
            <w:r w:rsidRPr="00945BF5">
              <w:rPr>
                <w:b/>
              </w:rPr>
              <w:t>Daily Inventory (All Units)</w:t>
            </w:r>
          </w:p>
          <w:p w14:paraId="74DCC97E" w14:textId="77777777" w:rsidR="007A5DC2" w:rsidRPr="00945BF5" w:rsidRDefault="007A5DC2" w:rsidP="00FB2A8A">
            <w:pPr>
              <w:pStyle w:val="TableTextNumbersBullet"/>
              <w:tabs>
                <w:tab w:val="clear" w:pos="288"/>
              </w:tabs>
              <w:ind w:left="510" w:hanging="222"/>
              <w:rPr>
                <w:b/>
              </w:rPr>
            </w:pPr>
            <w:r w:rsidRPr="00945BF5">
              <w:rPr>
                <w:b/>
              </w:rPr>
              <w:t>Daily Inventory (Available Units)</w:t>
            </w:r>
          </w:p>
          <w:p w14:paraId="552AE554" w14:textId="77777777" w:rsidR="007A5DC2" w:rsidRPr="00945BF5" w:rsidRDefault="007A5DC2" w:rsidP="00FB2A8A">
            <w:pPr>
              <w:pStyle w:val="TableTextNumbersBullet"/>
              <w:tabs>
                <w:tab w:val="clear" w:pos="288"/>
              </w:tabs>
              <w:ind w:left="510" w:hanging="222"/>
              <w:rPr>
                <w:b/>
              </w:rPr>
            </w:pPr>
            <w:r w:rsidRPr="00945BF5">
              <w:rPr>
                <w:b/>
              </w:rPr>
              <w:t>Antigen Typed Inventory (Available Units)</w:t>
            </w:r>
          </w:p>
          <w:p w14:paraId="69AC9969" w14:textId="77777777" w:rsidR="007A5DC2" w:rsidRPr="00945BF5" w:rsidRDefault="007A5DC2" w:rsidP="00FB2A8A">
            <w:pPr>
              <w:pStyle w:val="TableTextNumbersBullet"/>
              <w:tabs>
                <w:tab w:val="clear" w:pos="288"/>
              </w:tabs>
              <w:ind w:left="510" w:hanging="222"/>
              <w:rPr>
                <w:b/>
              </w:rPr>
            </w:pPr>
            <w:r w:rsidRPr="00945BF5">
              <w:rPr>
                <w:b/>
              </w:rPr>
              <w:t>Units with No Disposition</w:t>
            </w:r>
            <w:r w:rsidR="0055440E" w:rsidRPr="00945BF5">
              <w:rPr>
                <w:b/>
              </w:rPr>
              <w:t xml:space="preserve"> (Available Expired)</w:t>
            </w:r>
          </w:p>
          <w:p w14:paraId="1D863F71" w14:textId="77777777" w:rsidR="0055440E" w:rsidRPr="00945BF5" w:rsidRDefault="0055440E" w:rsidP="00FB2A8A">
            <w:pPr>
              <w:pStyle w:val="TableTextNumbersBullet"/>
              <w:tabs>
                <w:tab w:val="clear" w:pos="288"/>
              </w:tabs>
              <w:ind w:left="510" w:hanging="222"/>
              <w:rPr>
                <w:b/>
              </w:rPr>
            </w:pPr>
            <w:r w:rsidRPr="00945BF5">
              <w:rPr>
                <w:b/>
              </w:rPr>
              <w:t>Units with Final Disposition (Not Transfused)</w:t>
            </w:r>
          </w:p>
          <w:p w14:paraId="423C93EA" w14:textId="77777777" w:rsidR="007A5DC2" w:rsidRPr="00945BF5" w:rsidRDefault="007A5DC2" w:rsidP="00FB2A8A">
            <w:pPr>
              <w:pStyle w:val="TableTextNumbersBullet"/>
              <w:tabs>
                <w:tab w:val="clear" w:pos="288"/>
              </w:tabs>
              <w:ind w:left="510" w:hanging="222"/>
              <w:rPr>
                <w:b/>
              </w:rPr>
            </w:pPr>
            <w:r w:rsidRPr="00945BF5">
              <w:rPr>
                <w:b/>
              </w:rPr>
              <w:t>Custom Report</w:t>
            </w:r>
          </w:p>
          <w:p w14:paraId="290344E3" w14:textId="77777777" w:rsidR="002A21AE" w:rsidRDefault="007A5DC2" w:rsidP="00FB2A8A">
            <w:pPr>
              <w:pStyle w:val="TableTextNumbersBullet"/>
              <w:tabs>
                <w:tab w:val="clear" w:pos="288"/>
              </w:tabs>
              <w:ind w:left="510" w:hanging="222"/>
            </w:pPr>
            <w:r w:rsidRPr="00945BF5">
              <w:rPr>
                <w:b/>
              </w:rPr>
              <w:t>Individual Patient Blood Availability</w:t>
            </w:r>
          </w:p>
        </w:tc>
        <w:tc>
          <w:tcPr>
            <w:tcW w:w="6120" w:type="dxa"/>
          </w:tcPr>
          <w:p w14:paraId="7D7679E0" w14:textId="77777777" w:rsidR="002A21AE" w:rsidRDefault="002A21AE">
            <w:pPr>
              <w:pStyle w:val="TableTextBullet"/>
            </w:pPr>
            <w:r>
              <w:t xml:space="preserve">Displays a print preview of the report. </w:t>
            </w:r>
          </w:p>
          <w:p w14:paraId="452E762B" w14:textId="77777777" w:rsidR="002A21AE" w:rsidRDefault="002A21AE">
            <w:pPr>
              <w:pStyle w:val="TableText"/>
            </w:pPr>
          </w:p>
          <w:p w14:paraId="227829C3" w14:textId="29280043" w:rsidR="002A21AE" w:rsidRDefault="002A21AE">
            <w:pPr>
              <w:pStyle w:val="TableText"/>
              <w:rPr>
                <w:b/>
                <w:bCs/>
                <w:szCs w:val="18"/>
              </w:rPr>
            </w:pPr>
            <w:r>
              <w:rPr>
                <w:b/>
                <w:bCs/>
                <w:szCs w:val="18"/>
              </w:rPr>
              <w:t>NOTES</w:t>
            </w:r>
          </w:p>
          <w:p w14:paraId="76E6E505" w14:textId="77777777" w:rsidR="002A21AE" w:rsidRDefault="002A21AE">
            <w:pPr>
              <w:pStyle w:val="NotesText"/>
            </w:pPr>
          </w:p>
          <w:p w14:paraId="12ECE017" w14:textId="77777777" w:rsidR="00B20440" w:rsidRPr="00B20440" w:rsidRDefault="00B20440">
            <w:pPr>
              <w:pStyle w:val="NotesText"/>
              <w:rPr>
                <w:rFonts w:cs="Arial"/>
                <w:szCs w:val="18"/>
              </w:rPr>
            </w:pPr>
            <w:r w:rsidRPr="00B20440">
              <w:rPr>
                <w:rFonts w:cs="Arial"/>
                <w:szCs w:val="18"/>
              </w:rPr>
              <w:t xml:space="preserve">The user may click the </w:t>
            </w:r>
            <w:r w:rsidR="00B90391" w:rsidRPr="00B90391">
              <w:rPr>
                <w:rFonts w:cs="Arial"/>
                <w:b/>
                <w:szCs w:val="18"/>
              </w:rPr>
              <w:t xml:space="preserve">Custom Report </w:t>
            </w:r>
            <w:r w:rsidR="00B90391" w:rsidRPr="00BF2E41">
              <w:rPr>
                <w:rFonts w:cs="Arial"/>
                <w:szCs w:val="18"/>
              </w:rPr>
              <w:t>radio button</w:t>
            </w:r>
            <w:r w:rsidR="00B90391">
              <w:rPr>
                <w:rFonts w:cs="Arial"/>
                <w:szCs w:val="18"/>
              </w:rPr>
              <w:t xml:space="preserve"> and </w:t>
            </w:r>
            <w:r w:rsidR="00B90391" w:rsidRPr="00B90391">
              <w:rPr>
                <w:rFonts w:cs="Arial"/>
                <w:b/>
                <w:szCs w:val="18"/>
              </w:rPr>
              <w:t>OK</w:t>
            </w:r>
            <w:r w:rsidR="00B90391">
              <w:rPr>
                <w:rFonts w:cs="Arial"/>
                <w:szCs w:val="18"/>
              </w:rPr>
              <w:t xml:space="preserve">, and then click the </w:t>
            </w:r>
            <w:r w:rsidRPr="00B20440">
              <w:rPr>
                <w:rFonts w:cs="Arial"/>
                <w:szCs w:val="18"/>
              </w:rPr>
              <w:t xml:space="preserve">appropriate check boxes in the Component Class, Testing, Donation Type, Unit Status, Date Range, ABO/Rh, Product Attributes, and Division tabs </w:t>
            </w:r>
            <w:r w:rsidR="00D42D20">
              <w:rPr>
                <w:rFonts w:cs="Arial"/>
                <w:szCs w:val="18"/>
              </w:rPr>
              <w:t xml:space="preserve">to </w:t>
            </w:r>
            <w:r w:rsidRPr="00B20440">
              <w:rPr>
                <w:rFonts w:cs="Arial"/>
                <w:szCs w:val="18"/>
              </w:rPr>
              <w:t>custom</w:t>
            </w:r>
            <w:r w:rsidR="00D42D20">
              <w:rPr>
                <w:rFonts w:cs="Arial"/>
                <w:szCs w:val="18"/>
              </w:rPr>
              <w:t>ize the</w:t>
            </w:r>
            <w:r w:rsidRPr="00B20440">
              <w:rPr>
                <w:rFonts w:cs="Arial"/>
                <w:szCs w:val="18"/>
              </w:rPr>
              <w:t xml:space="preserve"> report.</w:t>
            </w:r>
          </w:p>
          <w:p w14:paraId="245D7BCB" w14:textId="77777777" w:rsidR="00B20440" w:rsidRDefault="00B20440">
            <w:pPr>
              <w:pStyle w:val="NotesText"/>
              <w:rPr>
                <w:rFonts w:cs="Arial"/>
                <w:vanish/>
              </w:rPr>
            </w:pPr>
          </w:p>
          <w:p w14:paraId="6198013B" w14:textId="77777777" w:rsidR="00DE2677" w:rsidRDefault="00DE2677">
            <w:pPr>
              <w:pStyle w:val="NotesText"/>
              <w:rPr>
                <w:color w:val="000000"/>
              </w:rPr>
            </w:pPr>
          </w:p>
          <w:p w14:paraId="392074C4" w14:textId="0A66E49C" w:rsidR="000D169A" w:rsidRDefault="00DE2677">
            <w:pPr>
              <w:pStyle w:val="NotesText"/>
              <w:rPr>
                <w:color w:val="000000"/>
              </w:rPr>
            </w:pPr>
            <w:r w:rsidRPr="00DE2677">
              <w:rPr>
                <w:vanish/>
                <w:color w:val="000000"/>
              </w:rPr>
              <w:t xml:space="preserve">BR_49.10 </w:t>
            </w:r>
            <w:r w:rsidR="00C82460" w:rsidRPr="00CC1028">
              <w:rPr>
                <w:color w:val="000000"/>
              </w:rPr>
              <w:t>When a user selects the Individual Patient Blood Availability report for his division only, the report includes all units available (unit statuses: assigned, crossmatched, and issued) in his division for the selected patient.</w:t>
            </w:r>
          </w:p>
          <w:p w14:paraId="4F255328" w14:textId="77777777" w:rsidR="00C82460" w:rsidRDefault="00C82460">
            <w:pPr>
              <w:pStyle w:val="NotesText"/>
            </w:pPr>
          </w:p>
          <w:p w14:paraId="2D2C4597" w14:textId="244D9190" w:rsidR="00CC1E5B" w:rsidRDefault="000D169A">
            <w:pPr>
              <w:pStyle w:val="NotesText"/>
            </w:pPr>
            <w:r w:rsidRPr="000D169A">
              <w:rPr>
                <w:vanish/>
                <w:szCs w:val="18"/>
              </w:rPr>
              <w:t>BR_49.22, BR_49.23, BR_49.24</w:t>
            </w:r>
            <w:r w:rsidR="00CC1E5B">
              <w:t xml:space="preserve">When a user selects Units with </w:t>
            </w:r>
            <w:r w:rsidR="00EC6847">
              <w:t>Final</w:t>
            </w:r>
            <w:r w:rsidR="00CC1E5B">
              <w:t xml:space="preserve"> Disposition, the report includes </w:t>
            </w:r>
            <w:r>
              <w:t>units with a status of “discarded,” “modified,” or “</w:t>
            </w:r>
            <w:r w:rsidR="00CC1E5B">
              <w:t xml:space="preserve">transferred.” </w:t>
            </w:r>
          </w:p>
          <w:p w14:paraId="16768926" w14:textId="77777777" w:rsidR="00CC1E5B" w:rsidRDefault="00CC1E5B">
            <w:pPr>
              <w:pStyle w:val="NotesText"/>
            </w:pPr>
          </w:p>
          <w:p w14:paraId="5C7841BB" w14:textId="77777777" w:rsidR="000D169A" w:rsidRDefault="000D169A">
            <w:pPr>
              <w:pStyle w:val="NotesText"/>
            </w:pPr>
            <w:r>
              <w:t>When a user selects Units with No Disposition, the report includes expired units with a status of “limited” or “available</w:t>
            </w:r>
            <w:r w:rsidR="00EC6847">
              <w:t>.</w:t>
            </w:r>
            <w:r>
              <w:t xml:space="preserve">” </w:t>
            </w:r>
          </w:p>
        </w:tc>
      </w:tr>
      <w:tr w:rsidR="001E7BDC" w14:paraId="17F70384" w14:textId="77777777">
        <w:tc>
          <w:tcPr>
            <w:tcW w:w="3240" w:type="dxa"/>
            <w:tcBorders>
              <w:top w:val="single" w:sz="4" w:space="0" w:color="auto"/>
              <w:left w:val="single" w:sz="4" w:space="0" w:color="auto"/>
              <w:bottom w:val="single" w:sz="4" w:space="0" w:color="auto"/>
              <w:right w:val="single" w:sz="4" w:space="0" w:color="auto"/>
            </w:tcBorders>
          </w:tcPr>
          <w:p w14:paraId="6F345F2E" w14:textId="77777777" w:rsidR="001E7BDC" w:rsidRDefault="001E7BDC" w:rsidP="001E7BDC">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47345E79" w14:textId="77777777" w:rsidR="001E7BDC" w:rsidRDefault="001E7BDC" w:rsidP="001E7BDC">
            <w:pPr>
              <w:pStyle w:val="TableTextNumbersContinued"/>
            </w:pPr>
          </w:p>
          <w:p w14:paraId="3F191E0D" w14:textId="77777777" w:rsidR="001E7BDC" w:rsidRDefault="001E7BDC" w:rsidP="001E7BDC">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Borders>
              <w:top w:val="single" w:sz="4" w:space="0" w:color="auto"/>
              <w:left w:val="single" w:sz="4" w:space="0" w:color="auto"/>
              <w:bottom w:val="single" w:sz="4" w:space="0" w:color="auto"/>
              <w:right w:val="single" w:sz="4" w:space="0" w:color="auto"/>
            </w:tcBorders>
          </w:tcPr>
          <w:p w14:paraId="41A2A73F" w14:textId="77777777" w:rsidR="005B6A94" w:rsidRDefault="001E7BDC" w:rsidP="00AA2B2E">
            <w:pPr>
              <w:pStyle w:val="TableTextBullet"/>
            </w:pPr>
            <w:r>
              <w:t>Compiles and displays the report.</w:t>
            </w:r>
          </w:p>
        </w:tc>
      </w:tr>
      <w:tr w:rsidR="001E7BDC" w14:paraId="5D20FD9E" w14:textId="77777777">
        <w:tc>
          <w:tcPr>
            <w:tcW w:w="3240" w:type="dxa"/>
            <w:tcBorders>
              <w:top w:val="single" w:sz="4" w:space="0" w:color="auto"/>
              <w:left w:val="single" w:sz="4" w:space="0" w:color="auto"/>
              <w:bottom w:val="single" w:sz="4" w:space="0" w:color="auto"/>
              <w:right w:val="single" w:sz="4" w:space="0" w:color="auto"/>
            </w:tcBorders>
          </w:tcPr>
          <w:p w14:paraId="7A4E9A71" w14:textId="3FDA0826" w:rsidR="001E7BDC" w:rsidRDefault="005C22EF" w:rsidP="001E7BD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1E7BDC" w:rsidRPr="00B93B42">
              <w:rPr>
                <w:rStyle w:val="StyleTableTextNumbersWhite1Char"/>
              </w:rPr>
              <w:t xml:space="preserve"> </w:t>
            </w:r>
          </w:p>
        </w:tc>
        <w:tc>
          <w:tcPr>
            <w:tcW w:w="6120" w:type="dxa"/>
            <w:tcBorders>
              <w:top w:val="single" w:sz="4" w:space="0" w:color="auto"/>
              <w:left w:val="single" w:sz="4" w:space="0" w:color="auto"/>
              <w:bottom w:val="single" w:sz="4" w:space="0" w:color="auto"/>
              <w:right w:val="single" w:sz="4" w:space="0" w:color="auto"/>
            </w:tcBorders>
          </w:tcPr>
          <w:p w14:paraId="2E685D1D" w14:textId="77777777" w:rsidR="005C22EF" w:rsidRDefault="005C22EF" w:rsidP="005C22EF">
            <w:pPr>
              <w:pStyle w:val="TableTextBullet"/>
            </w:pPr>
            <w:r>
              <w:t>If Print is selected, prints the report on the designated printer.</w:t>
            </w:r>
          </w:p>
          <w:p w14:paraId="74C8F8AD" w14:textId="77777777" w:rsidR="005C22EF" w:rsidRDefault="005C22EF" w:rsidP="005C22EF">
            <w:pPr>
              <w:pStyle w:val="TableTextBullet"/>
            </w:pPr>
            <w:r>
              <w:t>If Export is selected, exports the report to the designated file.</w:t>
            </w:r>
          </w:p>
          <w:p w14:paraId="3487E9CC" w14:textId="0697A0DE" w:rsidR="00C62C4D" w:rsidRDefault="005C22EF" w:rsidP="005C22EF">
            <w:pPr>
              <w:pStyle w:val="TableTextBullet"/>
            </w:pPr>
            <w:r>
              <w:t>If Close is selected, exits the report preview.</w:t>
            </w:r>
          </w:p>
        </w:tc>
      </w:tr>
    </w:tbl>
    <w:p w14:paraId="55AE6D50" w14:textId="77777777" w:rsidR="002A21AE" w:rsidRDefault="0067521A">
      <w:pPr>
        <w:pStyle w:val="Heading2"/>
      </w:pPr>
      <w:r>
        <w:br w:type="page"/>
      </w:r>
      <w:bookmarkStart w:id="533" w:name="_Toc149064181"/>
      <w:r w:rsidR="002A21AE">
        <w:t>Cost Accounting Report</w:t>
      </w:r>
      <w:bookmarkEnd w:id="533"/>
      <w:r w:rsidR="002A21AE">
        <w:fldChar w:fldCharType="begin"/>
      </w:r>
      <w:r w:rsidR="002A21AE">
        <w:instrText xml:space="preserve"> XE </w:instrText>
      </w:r>
      <w:r w:rsidR="00FA7E65">
        <w:instrText>“</w:instrText>
      </w:r>
      <w:r w:rsidR="002A21AE">
        <w:instrText>Cost Accounting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UC_75</w:t>
      </w:r>
    </w:p>
    <w:p w14:paraId="1FA48AE1" w14:textId="77777777" w:rsidR="002A21AE" w:rsidRDefault="002A21AE" w:rsidP="00FA7E65">
      <w:pPr>
        <w:pStyle w:val="BodyText"/>
      </w:pPr>
      <w:r>
        <w:t xml:space="preserve">The user views </w:t>
      </w:r>
      <w:r w:rsidR="00EB1E5A">
        <w:t xml:space="preserve">and/or </w:t>
      </w:r>
      <w:r>
        <w:t>prints the Cost Accounting Report.</w:t>
      </w:r>
    </w:p>
    <w:p w14:paraId="06709409" w14:textId="77777777" w:rsidR="002A21AE" w:rsidRDefault="002A21AE">
      <w:pPr>
        <w:pStyle w:val="Heading4"/>
      </w:pPr>
      <w:r>
        <w:t>Assumptions</w:t>
      </w:r>
      <w:r>
        <w:rPr>
          <w:b w:val="0"/>
        </w:rPr>
        <w:t xml:space="preserve"> </w:t>
      </w:r>
    </w:p>
    <w:p w14:paraId="27EBDCE3" w14:textId="77777777" w:rsidR="002A21AE" w:rsidRDefault="002A21AE">
      <w:pPr>
        <w:pStyle w:val="ListBullet"/>
      </w:pPr>
      <w:r>
        <w:t>Data for the report were saved in VBECS.</w:t>
      </w:r>
    </w:p>
    <w:p w14:paraId="1E85AC1C" w14:textId="77777777" w:rsidR="002A21AE" w:rsidRDefault="002A21AE">
      <w:pPr>
        <w:pStyle w:val="Heading4"/>
      </w:pPr>
      <w:r>
        <w:t xml:space="preserve">Outcome </w:t>
      </w:r>
    </w:p>
    <w:p w14:paraId="09287821" w14:textId="77777777" w:rsidR="002A21AE" w:rsidRDefault="002A21AE">
      <w:pPr>
        <w:pStyle w:val="ListBullet"/>
      </w:pPr>
      <w:r>
        <w:t>The report is viewable or printed.</w:t>
      </w:r>
    </w:p>
    <w:p w14:paraId="7095482D" w14:textId="77777777" w:rsidR="002A21AE" w:rsidRDefault="002A21AE">
      <w:pPr>
        <w:pStyle w:val="Heading4"/>
      </w:pPr>
      <w:r>
        <w:t>Limitations and Restrictions</w:t>
      </w:r>
      <w:r>
        <w:rPr>
          <w:b w:val="0"/>
        </w:rPr>
        <w:t xml:space="preserve"> </w:t>
      </w:r>
    </w:p>
    <w:p w14:paraId="29FEDD69" w14:textId="77777777" w:rsidR="002A21AE" w:rsidRDefault="006F5AE0">
      <w:pPr>
        <w:pStyle w:val="ListBullet"/>
      </w:pPr>
      <w:r>
        <w:t>None</w:t>
      </w:r>
    </w:p>
    <w:p w14:paraId="3180D0C0" w14:textId="77777777" w:rsidR="002A21AE" w:rsidRDefault="002A21AE">
      <w:pPr>
        <w:pStyle w:val="Heading4"/>
      </w:pPr>
      <w:r>
        <w:t xml:space="preserve">Additional Information </w:t>
      </w:r>
    </w:p>
    <w:p w14:paraId="35D513CB" w14:textId="5B039DA6" w:rsidR="002A21AE" w:rsidRDefault="002A21AE">
      <w:pPr>
        <w:pStyle w:val="ListBullet"/>
      </w:pPr>
      <w:r>
        <w:t>The report is for a single division.</w:t>
      </w:r>
    </w:p>
    <w:p w14:paraId="34C3E217" w14:textId="545B90CF" w:rsidR="00FC4E14" w:rsidRDefault="00FC4E14" w:rsidP="00FC4E14">
      <w:pPr>
        <w:pStyle w:val="ListBullet"/>
      </w:pPr>
      <w:r w:rsidRPr="00FC4E14">
        <w:t>A unit with an edited return credit in final status will not revert to the original return credit amount when the unit’s final status is removed.</w:t>
      </w:r>
      <w:r w:rsidR="007C00C8">
        <w:t xml:space="preserve"> </w:t>
      </w:r>
      <w:r w:rsidR="007C00C8" w:rsidRPr="00FC4E14">
        <w:t>Select Edit Financial Data and correct the return credit amount.</w:t>
      </w:r>
      <w:r w:rsidR="00244AD3">
        <w:t xml:space="preserve"> </w:t>
      </w:r>
      <w:r w:rsidR="00244AD3" w:rsidRPr="00244AD3">
        <w:rPr>
          <w:vanish/>
        </w:rPr>
        <w:t>Defect 208803</w:t>
      </w:r>
    </w:p>
    <w:p w14:paraId="4A651582" w14:textId="77777777" w:rsidR="002A21AE" w:rsidRDefault="002A21AE">
      <w:pPr>
        <w:pStyle w:val="Heading4"/>
        <w:rPr>
          <w:b w:val="0"/>
        </w:rPr>
      </w:pPr>
      <w:r>
        <w:t>User Roles with Access to This Option</w:t>
      </w:r>
      <w:r>
        <w:rPr>
          <w:b w:val="0"/>
        </w:rPr>
        <w:t xml:space="preserve"> </w:t>
      </w:r>
    </w:p>
    <w:p w14:paraId="22F6F000" w14:textId="77777777" w:rsidR="002A21AE" w:rsidRDefault="00606FB0">
      <w:pPr>
        <w:pStyle w:val="Roles"/>
      </w:pPr>
      <w:r>
        <w:t>All users</w:t>
      </w:r>
    </w:p>
    <w:p w14:paraId="7661E652" w14:textId="77777777" w:rsidR="002A21AE" w:rsidRDefault="002A21AE">
      <w:pPr>
        <w:pStyle w:val="Heading4"/>
      </w:pPr>
      <w:r>
        <w:t>Cost Accounting Report</w:t>
      </w:r>
    </w:p>
    <w:p w14:paraId="24CDCC14" w14:textId="77777777" w:rsidR="002A21AE" w:rsidRDefault="002A21AE" w:rsidP="00FA7E65">
      <w:pPr>
        <w:pStyle w:val="BodyText"/>
      </w:pPr>
      <w:r>
        <w:t xml:space="preserve">The user views </w:t>
      </w:r>
      <w:r w:rsidR="00EB1E5A">
        <w:t xml:space="preserve">and/or </w:t>
      </w:r>
      <w:r>
        <w:t xml:space="preserve">prints the Cost Accounting Report for a division. The Cost Accounting Report itemizes incoming and outgoing shipments, modifications of blood products, and patient testing costs for a given period. The report includes base cost, special testing, </w:t>
      </w:r>
      <w:r w:rsidR="006F5AE0">
        <w:t xml:space="preserve">modifications, </w:t>
      </w:r>
      <w:r>
        <w:t>and return credits for units, as applicable.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40E51352" w14:textId="77777777">
        <w:trPr>
          <w:cantSplit/>
          <w:tblHeader/>
        </w:trPr>
        <w:tc>
          <w:tcPr>
            <w:tcW w:w="3240" w:type="dxa"/>
            <w:shd w:val="pct30" w:color="auto" w:fill="FFFFFF"/>
            <w:vAlign w:val="bottom"/>
          </w:tcPr>
          <w:p w14:paraId="061AF183" w14:textId="77777777" w:rsidR="002A21AE" w:rsidRDefault="002A21AE">
            <w:pPr>
              <w:pStyle w:val="TableText"/>
              <w:rPr>
                <w:b/>
              </w:rPr>
            </w:pPr>
            <w:r>
              <w:rPr>
                <w:b/>
              </w:rPr>
              <w:t>User Action</w:t>
            </w:r>
          </w:p>
        </w:tc>
        <w:tc>
          <w:tcPr>
            <w:tcW w:w="6120" w:type="dxa"/>
            <w:shd w:val="pct30" w:color="auto" w:fill="FFFFFF"/>
            <w:vAlign w:val="bottom"/>
          </w:tcPr>
          <w:p w14:paraId="52AFE4B0" w14:textId="77777777" w:rsidR="002A21AE" w:rsidRDefault="002A21AE">
            <w:pPr>
              <w:pStyle w:val="TableText"/>
              <w:rPr>
                <w:b/>
              </w:rPr>
            </w:pPr>
            <w:r>
              <w:rPr>
                <w:b/>
              </w:rPr>
              <w:t>VBECS</w:t>
            </w:r>
          </w:p>
        </w:tc>
      </w:tr>
      <w:tr w:rsidR="002A21AE" w14:paraId="57A11443" w14:textId="77777777">
        <w:tc>
          <w:tcPr>
            <w:tcW w:w="3240" w:type="dxa"/>
          </w:tcPr>
          <w:p w14:paraId="2F231365" w14:textId="77777777" w:rsidR="002A21AE" w:rsidRDefault="002A21AE" w:rsidP="00925CAD">
            <w:pPr>
              <w:pStyle w:val="TableTextNumbers"/>
              <w:numPr>
                <w:ilvl w:val="0"/>
                <w:numId w:val="38"/>
              </w:numPr>
            </w:pPr>
            <w:r>
              <w:t xml:space="preserve">Select </w:t>
            </w:r>
            <w:r w:rsidRPr="002F2DF7">
              <w:t>Reports</w:t>
            </w:r>
            <w:r>
              <w:t xml:space="preserve"> from the main menu.</w:t>
            </w:r>
          </w:p>
          <w:p w14:paraId="6FABE507" w14:textId="77777777" w:rsidR="002A21AE" w:rsidRDefault="002A21AE">
            <w:pPr>
              <w:pStyle w:val="TableTextNumbersContinued"/>
            </w:pPr>
          </w:p>
          <w:p w14:paraId="307E277E" w14:textId="77777777" w:rsidR="002A21AE" w:rsidRDefault="002A21AE">
            <w:pPr>
              <w:pStyle w:val="TableTextNumbersContinued"/>
            </w:pPr>
            <w:r>
              <w:t xml:space="preserve">Select </w:t>
            </w:r>
            <w:r>
              <w:rPr>
                <w:b/>
              </w:rPr>
              <w:t>Cost Accounting Report</w:t>
            </w:r>
            <w:r>
              <w:t>.</w:t>
            </w:r>
          </w:p>
        </w:tc>
        <w:tc>
          <w:tcPr>
            <w:tcW w:w="6120" w:type="dxa"/>
          </w:tcPr>
          <w:p w14:paraId="72BDE09E" w14:textId="77777777" w:rsidR="002A21AE" w:rsidRDefault="002A21AE">
            <w:pPr>
              <w:pStyle w:val="TableTextBullet"/>
            </w:pPr>
            <w:r>
              <w:t>Lists report names.</w:t>
            </w:r>
          </w:p>
          <w:p w14:paraId="795EF10D" w14:textId="77777777" w:rsidR="002A21AE" w:rsidRDefault="002A21AE">
            <w:pPr>
              <w:pStyle w:val="TableTextBullet"/>
            </w:pPr>
            <w:r>
              <w:t xml:space="preserve">Displays report compilation criteria. </w:t>
            </w:r>
          </w:p>
          <w:p w14:paraId="4A52700A" w14:textId="77777777" w:rsidR="002A21AE" w:rsidRDefault="002A21AE">
            <w:pPr>
              <w:pStyle w:val="TableTextBullet"/>
            </w:pPr>
            <w:r>
              <w:t>Displays a date range for selection.</w:t>
            </w:r>
          </w:p>
        </w:tc>
      </w:tr>
      <w:tr w:rsidR="002A21AE" w14:paraId="1A73A773" w14:textId="77777777">
        <w:tc>
          <w:tcPr>
            <w:tcW w:w="3240" w:type="dxa"/>
          </w:tcPr>
          <w:p w14:paraId="59932601" w14:textId="77777777" w:rsidR="002A21AE" w:rsidRDefault="002A21AE">
            <w:pPr>
              <w:pStyle w:val="TableTextNumbers"/>
            </w:pPr>
            <w:r>
              <w:t>Enter or select start and end dates.</w:t>
            </w:r>
          </w:p>
        </w:tc>
        <w:tc>
          <w:tcPr>
            <w:tcW w:w="6120" w:type="dxa"/>
          </w:tcPr>
          <w:p w14:paraId="7D25E221" w14:textId="77777777" w:rsidR="002A21AE" w:rsidRDefault="002A21AE">
            <w:pPr>
              <w:pStyle w:val="TableTextBullet"/>
            </w:pPr>
            <w:r>
              <w:t xml:space="preserve">Compiles and displays the report. </w:t>
            </w:r>
          </w:p>
          <w:p w14:paraId="3161102A" w14:textId="77777777" w:rsidR="002A21AE" w:rsidRDefault="002A21AE">
            <w:pPr>
              <w:pStyle w:val="TableText"/>
            </w:pPr>
          </w:p>
          <w:p w14:paraId="73B5DE9E" w14:textId="7E9ED1D1" w:rsidR="002A21AE" w:rsidRDefault="002A21AE">
            <w:pPr>
              <w:pStyle w:val="TableText"/>
              <w:rPr>
                <w:b/>
                <w:bCs/>
                <w:szCs w:val="18"/>
              </w:rPr>
            </w:pPr>
            <w:r>
              <w:rPr>
                <w:b/>
                <w:bCs/>
                <w:szCs w:val="18"/>
              </w:rPr>
              <w:t>NOTES</w:t>
            </w:r>
          </w:p>
          <w:p w14:paraId="232A388E" w14:textId="77777777" w:rsidR="002A21AE" w:rsidRDefault="002A21AE">
            <w:pPr>
              <w:pStyle w:val="NotesText"/>
            </w:pPr>
          </w:p>
          <w:p w14:paraId="25C85B75" w14:textId="0EE353E6" w:rsidR="002A21AE" w:rsidRDefault="002A21AE">
            <w:pPr>
              <w:pStyle w:val="NotesText"/>
            </w:pPr>
            <w:r>
              <w:rPr>
                <w:rFonts w:cs="Arial"/>
                <w:vanish/>
              </w:rPr>
              <w:t xml:space="preserve">BR_75.03 </w:t>
            </w:r>
            <w:r>
              <w:t xml:space="preserve">Final calculations appear at the end of </w:t>
            </w:r>
            <w:r w:rsidR="00C16592">
              <w:t>each section</w:t>
            </w:r>
            <w:r>
              <w:t>:</w:t>
            </w:r>
          </w:p>
          <w:p w14:paraId="12695001" w14:textId="77777777" w:rsidR="002A21AE" w:rsidRDefault="002A21AE">
            <w:pPr>
              <w:pStyle w:val="NotesTextBullet"/>
            </w:pPr>
            <w:r>
              <w:t>Subtotal of base cost per invoice (Incoming Shipment section only)</w:t>
            </w:r>
          </w:p>
          <w:p w14:paraId="6D2EE830" w14:textId="77777777" w:rsidR="002A21AE" w:rsidRDefault="002A21AE">
            <w:pPr>
              <w:pStyle w:val="NotesTextBullet"/>
            </w:pPr>
            <w:r>
              <w:t>Subtotal of special testing cost (Incoming Shipment section only)</w:t>
            </w:r>
          </w:p>
          <w:p w14:paraId="266DE057" w14:textId="23E9A159" w:rsidR="002A21AE" w:rsidRDefault="002A21AE" w:rsidP="00C3613D">
            <w:pPr>
              <w:pStyle w:val="NotesTextBullet"/>
            </w:pPr>
            <w:r>
              <w:t>Subtotal of return credit for an invoice (Outgoing Shipment section only)</w:t>
            </w:r>
          </w:p>
          <w:p w14:paraId="6044361B" w14:textId="77777777" w:rsidR="002A21AE" w:rsidRDefault="002A21AE">
            <w:pPr>
              <w:pStyle w:val="NotesTextBullet"/>
            </w:pPr>
            <w:r>
              <w:t xml:space="preserve">Total special testing cost of all units </w:t>
            </w:r>
          </w:p>
          <w:p w14:paraId="6A9C7D16" w14:textId="2C720B01" w:rsidR="002A21AE" w:rsidRDefault="002A21AE" w:rsidP="00C3613D">
            <w:pPr>
              <w:pStyle w:val="NotesTextBullet"/>
            </w:pPr>
            <w:r>
              <w:t>Total off-site antibody identification testing cost</w:t>
            </w:r>
          </w:p>
          <w:p w14:paraId="0A95063D" w14:textId="110BEADC" w:rsidR="002A21AE" w:rsidRPr="0034286D" w:rsidRDefault="002A21AE" w:rsidP="00C3613D">
            <w:pPr>
              <w:pStyle w:val="NotesTextBullet"/>
            </w:pPr>
            <w:r>
              <w:t>Total cost of modifications</w:t>
            </w:r>
          </w:p>
          <w:p w14:paraId="5716A2E2" w14:textId="1C606567" w:rsidR="0034286D" w:rsidRDefault="0034286D">
            <w:pPr>
              <w:pStyle w:val="NotesTextBullet"/>
            </w:pPr>
            <w:r>
              <w:t>Total cost of units inactivated</w:t>
            </w:r>
          </w:p>
        </w:tc>
      </w:tr>
      <w:tr w:rsidR="002A21AE" w14:paraId="022E44EE" w14:textId="77777777" w:rsidTr="00FB2A8A">
        <w:trPr>
          <w:cantSplit/>
        </w:trPr>
        <w:tc>
          <w:tcPr>
            <w:tcW w:w="3240" w:type="dxa"/>
          </w:tcPr>
          <w:p w14:paraId="61EB971B"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2610C6B8" w14:textId="77777777" w:rsidR="002A21AE" w:rsidRDefault="002A21AE">
            <w:pPr>
              <w:pStyle w:val="TableTextNumbersContinued"/>
            </w:pPr>
          </w:p>
          <w:p w14:paraId="6CA44780"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557DE5A" w14:textId="77777777" w:rsidR="002A21AE" w:rsidRDefault="00F64B5C" w:rsidP="00F64B5C">
            <w:pPr>
              <w:pStyle w:val="TableTextBullet"/>
            </w:pPr>
            <w:r>
              <w:t>Compiles and displays the report.</w:t>
            </w:r>
          </w:p>
          <w:p w14:paraId="46FA0F6B" w14:textId="77777777" w:rsidR="005B6A94" w:rsidRDefault="005B6A94" w:rsidP="00AA2B2E">
            <w:pPr>
              <w:pStyle w:val="TableTextBullet"/>
              <w:numPr>
                <w:ilvl w:val="0"/>
                <w:numId w:val="0"/>
              </w:numPr>
            </w:pPr>
          </w:p>
        </w:tc>
      </w:tr>
      <w:tr w:rsidR="002A21AE" w14:paraId="5E4701BD" w14:textId="77777777">
        <w:tc>
          <w:tcPr>
            <w:tcW w:w="3240" w:type="dxa"/>
          </w:tcPr>
          <w:p w14:paraId="441715C2" w14:textId="323B29A5"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49D8AB48" w14:textId="77777777" w:rsidR="005C22EF" w:rsidRDefault="005C22EF" w:rsidP="005C22EF">
            <w:pPr>
              <w:pStyle w:val="TableTextBullet"/>
            </w:pPr>
            <w:r>
              <w:t>If Print is selected, prints the report on the designated printer.</w:t>
            </w:r>
          </w:p>
          <w:p w14:paraId="182FCC97" w14:textId="77777777" w:rsidR="005C22EF" w:rsidRDefault="005C22EF" w:rsidP="005C22EF">
            <w:pPr>
              <w:pStyle w:val="TableTextBullet"/>
            </w:pPr>
            <w:r>
              <w:t>If Export is selected, exports the report to the designated file.</w:t>
            </w:r>
          </w:p>
          <w:p w14:paraId="44AA8F44" w14:textId="0B40C2E7" w:rsidR="002A21AE" w:rsidRDefault="005C22EF" w:rsidP="005C22EF">
            <w:pPr>
              <w:pStyle w:val="TableTextBullet"/>
            </w:pPr>
            <w:r>
              <w:t>If Close is selected, exits the report preview.</w:t>
            </w:r>
          </w:p>
        </w:tc>
      </w:tr>
    </w:tbl>
    <w:p w14:paraId="45DD67E3" w14:textId="77777777" w:rsidR="002A21AE" w:rsidRDefault="00F55832">
      <w:pPr>
        <w:pStyle w:val="Heading2"/>
      </w:pPr>
      <w:r>
        <w:br w:type="page"/>
      </w:r>
      <w:bookmarkStart w:id="534" w:name="_Toc149064182"/>
      <w:r w:rsidR="002A21AE">
        <w:t>C:T Ratio Report</w:t>
      </w:r>
      <w:bookmarkEnd w:id="534"/>
      <w:r w:rsidR="002A21AE">
        <w:fldChar w:fldCharType="begin"/>
      </w:r>
      <w:r w:rsidR="002A21AE">
        <w:instrText xml:space="preserve"> XE </w:instrText>
      </w:r>
      <w:r w:rsidR="00FA7E65">
        <w:instrText>“</w:instrText>
      </w:r>
      <w:r w:rsidR="002A21AE">
        <w:instrText>C\:T Ratio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UC_104</w:t>
      </w:r>
      <w:r w:rsidR="002A21AE">
        <w:rPr>
          <w:rStyle w:val="CommentReference"/>
          <w:rFonts w:ascii="Times New Roman" w:hAnsi="Times New Roman" w:cs="Times New Roman"/>
          <w:b w:val="0"/>
          <w:bCs w:val="0"/>
          <w:vanish/>
        </w:rPr>
        <w:t xml:space="preserve"> </w:t>
      </w:r>
    </w:p>
    <w:p w14:paraId="59E752AB" w14:textId="77777777" w:rsidR="002A21AE" w:rsidRDefault="002A21AE" w:rsidP="00FA7E65">
      <w:pPr>
        <w:pStyle w:val="BodyText"/>
      </w:pPr>
      <w:r>
        <w:t xml:space="preserve">The user views </w:t>
      </w:r>
      <w:r w:rsidR="00EB1E5A">
        <w:t xml:space="preserve">and/or </w:t>
      </w:r>
      <w:r w:rsidR="00F86A79">
        <w:t>prints the C:T Ratio Report</w:t>
      </w:r>
      <w:r>
        <w:t>.</w:t>
      </w:r>
    </w:p>
    <w:p w14:paraId="1A5B56D8" w14:textId="77777777" w:rsidR="002A21AE" w:rsidRDefault="002A21AE">
      <w:pPr>
        <w:pStyle w:val="Heading4"/>
      </w:pPr>
      <w:r>
        <w:t>Assumptions</w:t>
      </w:r>
      <w:r>
        <w:rPr>
          <w:b w:val="0"/>
        </w:rPr>
        <w:t xml:space="preserve"> </w:t>
      </w:r>
    </w:p>
    <w:p w14:paraId="3D1F6573" w14:textId="77777777" w:rsidR="002A21AE" w:rsidRDefault="002A21AE">
      <w:pPr>
        <w:pStyle w:val="ListBullet"/>
      </w:pPr>
      <w:r>
        <w:t>Data for the report are available.</w:t>
      </w:r>
    </w:p>
    <w:p w14:paraId="7883C377" w14:textId="77777777" w:rsidR="002A21AE" w:rsidRDefault="002A21AE">
      <w:pPr>
        <w:pStyle w:val="Heading4"/>
      </w:pPr>
      <w:r>
        <w:t xml:space="preserve">Outcome </w:t>
      </w:r>
    </w:p>
    <w:p w14:paraId="71EEB280" w14:textId="77777777" w:rsidR="002A21AE" w:rsidRDefault="002A21AE">
      <w:pPr>
        <w:pStyle w:val="ListBullet"/>
      </w:pPr>
      <w:r>
        <w:t>The report is viewed or printed.</w:t>
      </w:r>
    </w:p>
    <w:p w14:paraId="6D42C585" w14:textId="77777777" w:rsidR="002A21AE" w:rsidRDefault="002A21AE">
      <w:pPr>
        <w:pStyle w:val="Heading4"/>
        <w:rPr>
          <w:b w:val="0"/>
        </w:rPr>
      </w:pPr>
      <w:r>
        <w:t>Limitations and Restrictions</w:t>
      </w:r>
      <w:r>
        <w:rPr>
          <w:b w:val="0"/>
        </w:rPr>
        <w:t xml:space="preserve"> </w:t>
      </w:r>
    </w:p>
    <w:p w14:paraId="35A0643F" w14:textId="77777777" w:rsidR="002A21AE" w:rsidRDefault="002A21AE">
      <w:pPr>
        <w:pStyle w:val="ListBullet"/>
      </w:pPr>
      <w:r>
        <w:t>None</w:t>
      </w:r>
    </w:p>
    <w:p w14:paraId="65329223" w14:textId="77777777" w:rsidR="002A21AE" w:rsidRDefault="002A21AE">
      <w:pPr>
        <w:pStyle w:val="Heading4"/>
      </w:pPr>
      <w:r>
        <w:t xml:space="preserve">Additional Information </w:t>
      </w:r>
    </w:p>
    <w:p w14:paraId="601D2CF8" w14:textId="41F79690" w:rsidR="002A21AE" w:rsidRDefault="002A21AE">
      <w:pPr>
        <w:pStyle w:val="ListBullet"/>
      </w:pPr>
      <w:r>
        <w:t xml:space="preserve">This </w:t>
      </w:r>
      <w:r w:rsidR="00834BA7">
        <w:t xml:space="preserve">ratio </w:t>
      </w:r>
      <w:r>
        <w:t>calculation include</w:t>
      </w:r>
      <w:r w:rsidR="00834BA7">
        <w:t>s all</w:t>
      </w:r>
      <w:r>
        <w:t xml:space="preserve"> component classes</w:t>
      </w:r>
      <w:r w:rsidR="00834BA7">
        <w:t>.</w:t>
      </w:r>
      <w:r>
        <w:t xml:space="preserve"> </w:t>
      </w:r>
      <w:r w:rsidR="00834BA7">
        <w:t>For component classes that are not crossmatched, the number of blood units assigned to the patient are used as a basis for calculation</w:t>
      </w:r>
      <w:r>
        <w:t>.</w:t>
      </w:r>
    </w:p>
    <w:p w14:paraId="5A530148" w14:textId="77777777" w:rsidR="00F86A79" w:rsidRDefault="00F86A79" w:rsidP="00F86A79">
      <w:pPr>
        <w:pStyle w:val="ListBullet"/>
      </w:pPr>
      <w:r>
        <w:t>The report is available as a single-division or multidivisional (all divisions) report.</w:t>
      </w:r>
    </w:p>
    <w:p w14:paraId="3D65032B" w14:textId="77777777" w:rsidR="002A21AE" w:rsidRDefault="002A21AE">
      <w:pPr>
        <w:pStyle w:val="Heading4"/>
        <w:rPr>
          <w:b w:val="0"/>
        </w:rPr>
      </w:pPr>
      <w:r>
        <w:t>User Roles with Access to This Option</w:t>
      </w:r>
      <w:r>
        <w:rPr>
          <w:b w:val="0"/>
        </w:rPr>
        <w:t xml:space="preserve"> </w:t>
      </w:r>
    </w:p>
    <w:p w14:paraId="6737648E" w14:textId="77777777" w:rsidR="002A21AE" w:rsidRDefault="00606FB0">
      <w:pPr>
        <w:pStyle w:val="Roles"/>
      </w:pPr>
      <w:r>
        <w:t>All users</w:t>
      </w:r>
    </w:p>
    <w:p w14:paraId="531996EB" w14:textId="77777777" w:rsidR="002A21AE" w:rsidRDefault="002A21AE">
      <w:pPr>
        <w:pStyle w:val="Heading4"/>
      </w:pPr>
      <w:r>
        <w:t>C:T Ratio Report</w:t>
      </w:r>
      <w:r>
        <w:rPr>
          <w:rStyle w:val="CommentReference"/>
          <w:rFonts w:ascii="Times New Roman" w:hAnsi="Times New Roman"/>
          <w:b w:val="0"/>
          <w:bCs/>
          <w:vanish/>
        </w:rPr>
        <w:t xml:space="preserve"> </w:t>
      </w:r>
    </w:p>
    <w:p w14:paraId="17BF8E77" w14:textId="1C60E6B9" w:rsidR="002A21AE" w:rsidRDefault="002A21AE" w:rsidP="00FA7E65">
      <w:pPr>
        <w:pStyle w:val="BodyText"/>
      </w:pPr>
      <w:r>
        <w:t>This option compiles and calculates the crossmatch</w:t>
      </w:r>
      <w:r w:rsidR="008C7C92">
        <w:t>/assigned</w:t>
      </w:r>
      <w:r>
        <w:t>-</w:t>
      </w:r>
      <w:r w:rsidR="00991CFE">
        <w:t>to-transfusion ratio.</w:t>
      </w:r>
      <w:r w:rsidR="00517AC6">
        <w:t xml:space="preserve"> The user may select one of five report formats.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55415A0" w14:textId="77777777">
        <w:trPr>
          <w:cantSplit/>
          <w:tblHeader/>
        </w:trPr>
        <w:tc>
          <w:tcPr>
            <w:tcW w:w="3240" w:type="dxa"/>
            <w:shd w:val="pct30" w:color="auto" w:fill="FFFFFF"/>
            <w:vAlign w:val="bottom"/>
          </w:tcPr>
          <w:p w14:paraId="2AC91D95" w14:textId="77777777" w:rsidR="002A21AE" w:rsidRDefault="002A21AE">
            <w:pPr>
              <w:pStyle w:val="TableText"/>
              <w:rPr>
                <w:b/>
              </w:rPr>
            </w:pPr>
            <w:r>
              <w:rPr>
                <w:b/>
              </w:rPr>
              <w:t>User Action</w:t>
            </w:r>
          </w:p>
        </w:tc>
        <w:tc>
          <w:tcPr>
            <w:tcW w:w="6120" w:type="dxa"/>
            <w:shd w:val="pct30" w:color="auto" w:fill="FFFFFF"/>
            <w:vAlign w:val="bottom"/>
          </w:tcPr>
          <w:p w14:paraId="0080B95F" w14:textId="77777777" w:rsidR="002A21AE" w:rsidRDefault="002A21AE">
            <w:pPr>
              <w:pStyle w:val="TableText"/>
              <w:rPr>
                <w:b/>
              </w:rPr>
            </w:pPr>
            <w:r>
              <w:rPr>
                <w:b/>
              </w:rPr>
              <w:t>VBECS</w:t>
            </w:r>
          </w:p>
        </w:tc>
      </w:tr>
      <w:tr w:rsidR="002A21AE" w14:paraId="4E51CC9C" w14:textId="77777777">
        <w:tc>
          <w:tcPr>
            <w:tcW w:w="3240" w:type="dxa"/>
          </w:tcPr>
          <w:p w14:paraId="65CE8A18" w14:textId="77777777" w:rsidR="002A21AE" w:rsidRDefault="002A21AE">
            <w:pPr>
              <w:pStyle w:val="TableTextNumbers"/>
            </w:pPr>
            <w:r>
              <w:t xml:space="preserve">Select </w:t>
            </w:r>
            <w:r>
              <w:rPr>
                <w:b/>
              </w:rPr>
              <w:t>Reports</w:t>
            </w:r>
            <w:r>
              <w:t xml:space="preserve"> from the main menu.</w:t>
            </w:r>
          </w:p>
          <w:p w14:paraId="3F94A066" w14:textId="77777777" w:rsidR="002A21AE" w:rsidRDefault="002A21AE">
            <w:pPr>
              <w:pStyle w:val="TableTextNumbersContinued"/>
            </w:pPr>
          </w:p>
          <w:p w14:paraId="43DA2F30" w14:textId="77777777" w:rsidR="002A21AE" w:rsidRDefault="002A21AE">
            <w:pPr>
              <w:pStyle w:val="TableTextNumbersContinued"/>
            </w:pPr>
            <w:r>
              <w:t xml:space="preserve">Select </w:t>
            </w:r>
            <w:r>
              <w:rPr>
                <w:b/>
              </w:rPr>
              <w:t>C:T Ratio Report</w:t>
            </w:r>
            <w:r>
              <w:t>.</w:t>
            </w:r>
          </w:p>
        </w:tc>
        <w:tc>
          <w:tcPr>
            <w:tcW w:w="6120" w:type="dxa"/>
          </w:tcPr>
          <w:p w14:paraId="24511EE1" w14:textId="77777777" w:rsidR="002A21AE" w:rsidRDefault="002A21AE">
            <w:pPr>
              <w:pStyle w:val="TableTextBullet"/>
            </w:pPr>
            <w:r>
              <w:t>Lists report names.</w:t>
            </w:r>
          </w:p>
          <w:p w14:paraId="571A5A6E" w14:textId="77777777" w:rsidR="002A21AE" w:rsidRDefault="002A21AE">
            <w:pPr>
              <w:pStyle w:val="TableTextBullet"/>
            </w:pPr>
            <w:r>
              <w:t xml:space="preserve">Displays report type and compilation criteria. </w:t>
            </w:r>
          </w:p>
          <w:p w14:paraId="290C0CBF" w14:textId="5257EF86" w:rsidR="002A21AE" w:rsidRDefault="002A21AE">
            <w:pPr>
              <w:pStyle w:val="TableTextBullet"/>
            </w:pPr>
            <w:r>
              <w:t xml:space="preserve">Displays a date range for selection. </w:t>
            </w:r>
          </w:p>
        </w:tc>
      </w:tr>
      <w:tr w:rsidR="002A21AE" w14:paraId="47E1AE6A" w14:textId="77777777">
        <w:tc>
          <w:tcPr>
            <w:tcW w:w="3240" w:type="dxa"/>
          </w:tcPr>
          <w:p w14:paraId="3323529E" w14:textId="0345A509" w:rsidR="002A21AE" w:rsidRDefault="002A21AE">
            <w:pPr>
              <w:pStyle w:val="TableTextNumbers"/>
            </w:pPr>
            <w:r>
              <w:t>Enter a date range.</w:t>
            </w:r>
          </w:p>
        </w:tc>
        <w:tc>
          <w:tcPr>
            <w:tcW w:w="6120" w:type="dxa"/>
          </w:tcPr>
          <w:p w14:paraId="6D2537FC" w14:textId="77777777" w:rsidR="002A21AE" w:rsidRDefault="002A21AE" w:rsidP="00960693">
            <w:pPr>
              <w:pStyle w:val="TableTextBullet"/>
            </w:pPr>
            <w:r>
              <w:t>Displays an option to compile the report for one or all divisions in the database.</w:t>
            </w:r>
          </w:p>
        </w:tc>
      </w:tr>
      <w:tr w:rsidR="002A21AE" w14:paraId="759A6601" w14:textId="77777777">
        <w:tc>
          <w:tcPr>
            <w:tcW w:w="3240" w:type="dxa"/>
          </w:tcPr>
          <w:p w14:paraId="37ECF9B1" w14:textId="77777777" w:rsidR="002A21AE" w:rsidRDefault="002A21AE">
            <w:pPr>
              <w:pStyle w:val="TableTextNumbers"/>
            </w:pPr>
            <w:r>
              <w:t xml:space="preserve">Click the </w:t>
            </w:r>
            <w:r>
              <w:rPr>
                <w:b/>
              </w:rPr>
              <w:t>Current Division</w:t>
            </w:r>
            <w:r>
              <w:t xml:space="preserve"> or </w:t>
            </w:r>
            <w:r>
              <w:rPr>
                <w:b/>
              </w:rPr>
              <w:t>All Divisions</w:t>
            </w:r>
            <w:r>
              <w:t xml:space="preserve"> </w:t>
            </w:r>
            <w:r w:rsidRPr="00BF2E41">
              <w:t>radio button</w:t>
            </w:r>
            <w:r>
              <w:t>.</w:t>
            </w:r>
          </w:p>
        </w:tc>
        <w:tc>
          <w:tcPr>
            <w:tcW w:w="6120" w:type="dxa"/>
          </w:tcPr>
          <w:p w14:paraId="1933C555" w14:textId="77777777" w:rsidR="002A21AE" w:rsidRDefault="002A21AE">
            <w:pPr>
              <w:pStyle w:val="TableTextBullet"/>
            </w:pPr>
            <w:r>
              <w:t>Allows the user to select a report format.</w:t>
            </w:r>
          </w:p>
          <w:p w14:paraId="72261309" w14:textId="77777777" w:rsidR="002A21AE" w:rsidRDefault="002A21AE">
            <w:pPr>
              <w:pStyle w:val="TableText"/>
            </w:pPr>
          </w:p>
          <w:p w14:paraId="39B53336" w14:textId="2DE44A12" w:rsidR="002A21AE" w:rsidRDefault="002A21AE">
            <w:pPr>
              <w:pStyle w:val="TableText"/>
              <w:rPr>
                <w:b/>
                <w:bCs/>
                <w:szCs w:val="18"/>
              </w:rPr>
            </w:pPr>
            <w:r>
              <w:rPr>
                <w:b/>
                <w:bCs/>
                <w:szCs w:val="18"/>
              </w:rPr>
              <w:t>NOTES</w:t>
            </w:r>
          </w:p>
          <w:p w14:paraId="777A6AAB" w14:textId="77777777" w:rsidR="002A21AE" w:rsidRDefault="002A21AE">
            <w:pPr>
              <w:pStyle w:val="NotesText"/>
            </w:pPr>
          </w:p>
          <w:p w14:paraId="2E5B09F9" w14:textId="7199E8DE" w:rsidR="002A21AE" w:rsidRDefault="002A21AE">
            <w:pPr>
              <w:pStyle w:val="NotesText"/>
            </w:pPr>
            <w:r>
              <w:rPr>
                <w:rFonts w:cs="Arial"/>
                <w:vanish/>
              </w:rPr>
              <w:t xml:space="preserve">BR_104.08 </w:t>
            </w:r>
            <w:r>
              <w:t>The user may request the</w:t>
            </w:r>
            <w:r w:rsidR="003D604B">
              <w:t xml:space="preserve"> Detailed R</w:t>
            </w:r>
            <w:r w:rsidR="0068564B">
              <w:t xml:space="preserve">eport, </w:t>
            </w:r>
            <w:r w:rsidR="004531B5">
              <w:t xml:space="preserve">Ordering </w:t>
            </w:r>
            <w:r w:rsidR="0068564B">
              <w:t>Physician Summary Report</w:t>
            </w:r>
            <w:r w:rsidR="003D604B">
              <w:t>, Treating Specialty Summary Report</w:t>
            </w:r>
            <w:r w:rsidR="0068564B">
              <w:t xml:space="preserve">, Detailed Report with </w:t>
            </w:r>
            <w:r w:rsidR="00BC7B60">
              <w:t xml:space="preserve">Ordering </w:t>
            </w:r>
            <w:r w:rsidR="0068564B">
              <w:t>Physician Summary, or Detailed Report with Treating Specialty Summary</w:t>
            </w:r>
            <w:r w:rsidR="003D604B">
              <w:t>.</w:t>
            </w:r>
            <w:r>
              <w:t xml:space="preserve"> </w:t>
            </w:r>
          </w:p>
        </w:tc>
      </w:tr>
      <w:tr w:rsidR="002A21AE" w14:paraId="1E7E545F" w14:textId="77777777" w:rsidTr="00E35FC4">
        <w:trPr>
          <w:cantSplit/>
        </w:trPr>
        <w:tc>
          <w:tcPr>
            <w:tcW w:w="3240" w:type="dxa"/>
          </w:tcPr>
          <w:p w14:paraId="3F481851" w14:textId="77777777" w:rsidR="002A21AE" w:rsidRDefault="002A21AE">
            <w:pPr>
              <w:pStyle w:val="TableTextNumbers"/>
            </w:pPr>
            <w:r>
              <w:t>Click a radio button to select a report format:</w:t>
            </w:r>
          </w:p>
          <w:p w14:paraId="4BD9C141" w14:textId="77777777" w:rsidR="002A21AE" w:rsidRPr="00945BF5" w:rsidRDefault="002A21AE" w:rsidP="00E35FC4">
            <w:pPr>
              <w:pStyle w:val="TableTextNumbersBullet"/>
              <w:tabs>
                <w:tab w:val="clear" w:pos="288"/>
              </w:tabs>
              <w:ind w:left="510" w:hanging="222"/>
              <w:rPr>
                <w:b/>
              </w:rPr>
            </w:pPr>
            <w:r w:rsidRPr="00945BF5">
              <w:rPr>
                <w:b/>
              </w:rPr>
              <w:t>Detailed Report</w:t>
            </w:r>
          </w:p>
          <w:p w14:paraId="7BD7AEAE" w14:textId="71518F33" w:rsidR="002A21AE" w:rsidRPr="00945BF5" w:rsidRDefault="00834BA7" w:rsidP="00E35FC4">
            <w:pPr>
              <w:pStyle w:val="TableTextNumbersBullet"/>
              <w:tabs>
                <w:tab w:val="clear" w:pos="288"/>
              </w:tabs>
              <w:ind w:left="510" w:hanging="222"/>
              <w:rPr>
                <w:b/>
              </w:rPr>
            </w:pPr>
            <w:r>
              <w:rPr>
                <w:b/>
              </w:rPr>
              <w:t xml:space="preserve">Ordering </w:t>
            </w:r>
            <w:r w:rsidR="002A21AE" w:rsidRPr="00945BF5">
              <w:rPr>
                <w:b/>
              </w:rPr>
              <w:t>Physician Summary Report</w:t>
            </w:r>
          </w:p>
          <w:p w14:paraId="1C5541C6" w14:textId="77777777" w:rsidR="002A21AE" w:rsidRPr="00945BF5" w:rsidRDefault="002A21AE" w:rsidP="00E35FC4">
            <w:pPr>
              <w:pStyle w:val="TableTextNumbersBullet"/>
              <w:tabs>
                <w:tab w:val="clear" w:pos="288"/>
              </w:tabs>
              <w:ind w:left="510" w:hanging="222"/>
              <w:rPr>
                <w:b/>
              </w:rPr>
            </w:pPr>
            <w:r w:rsidRPr="00945BF5">
              <w:rPr>
                <w:b/>
              </w:rPr>
              <w:t>Treating Specialty Summary Report</w:t>
            </w:r>
          </w:p>
          <w:p w14:paraId="0DC90673" w14:textId="1A20FE09" w:rsidR="002A21AE" w:rsidRPr="00945BF5" w:rsidRDefault="002A21AE" w:rsidP="00E35FC4">
            <w:pPr>
              <w:pStyle w:val="TableTextNumbersBullet"/>
              <w:tabs>
                <w:tab w:val="clear" w:pos="288"/>
              </w:tabs>
              <w:ind w:left="510" w:hanging="222"/>
              <w:rPr>
                <w:b/>
              </w:rPr>
            </w:pPr>
            <w:r w:rsidRPr="00945BF5">
              <w:rPr>
                <w:b/>
              </w:rPr>
              <w:t xml:space="preserve">Detailed Report with </w:t>
            </w:r>
            <w:r w:rsidR="00834BA7">
              <w:rPr>
                <w:b/>
              </w:rPr>
              <w:t xml:space="preserve">Ordering </w:t>
            </w:r>
            <w:r w:rsidRPr="00945BF5">
              <w:rPr>
                <w:b/>
              </w:rPr>
              <w:t>Physician Summary</w:t>
            </w:r>
          </w:p>
          <w:p w14:paraId="7409221F" w14:textId="77777777" w:rsidR="002A21AE" w:rsidRDefault="002A21AE" w:rsidP="00E35FC4">
            <w:pPr>
              <w:pStyle w:val="TableTextNumbersBullet"/>
              <w:tabs>
                <w:tab w:val="clear" w:pos="288"/>
              </w:tabs>
              <w:ind w:left="510" w:hanging="222"/>
            </w:pPr>
            <w:r w:rsidRPr="00945BF5">
              <w:rPr>
                <w:b/>
              </w:rPr>
              <w:t>Detailed Report with Treating Specialty Summary</w:t>
            </w:r>
          </w:p>
        </w:tc>
        <w:tc>
          <w:tcPr>
            <w:tcW w:w="6120" w:type="dxa"/>
          </w:tcPr>
          <w:p w14:paraId="1D6EEFE2" w14:textId="77777777" w:rsidR="002A21AE" w:rsidRDefault="002A21AE">
            <w:pPr>
              <w:pStyle w:val="TableTextBullet"/>
            </w:pPr>
            <w:r>
              <w:t>Compiles the report and displays an option to print the report or exit.</w:t>
            </w:r>
          </w:p>
          <w:p w14:paraId="43F564E1" w14:textId="77777777" w:rsidR="002A21AE" w:rsidRDefault="002A21AE">
            <w:pPr>
              <w:pStyle w:val="TableText"/>
            </w:pPr>
          </w:p>
          <w:p w14:paraId="382BD2EC" w14:textId="29FA53DB" w:rsidR="002A21AE" w:rsidRDefault="002A21AE">
            <w:pPr>
              <w:pStyle w:val="TableText"/>
              <w:rPr>
                <w:b/>
                <w:bCs/>
                <w:szCs w:val="18"/>
              </w:rPr>
            </w:pPr>
            <w:r>
              <w:rPr>
                <w:b/>
                <w:bCs/>
                <w:szCs w:val="18"/>
              </w:rPr>
              <w:t>NOTES</w:t>
            </w:r>
          </w:p>
          <w:p w14:paraId="044770A5" w14:textId="77777777" w:rsidR="002A21AE" w:rsidRDefault="002A21AE">
            <w:pPr>
              <w:pStyle w:val="NotesText"/>
            </w:pPr>
          </w:p>
          <w:p w14:paraId="43B9134D" w14:textId="2C92A76E" w:rsidR="00727AC7" w:rsidRDefault="002A21AE" w:rsidP="00727AC7">
            <w:pPr>
              <w:pStyle w:val="NotesText"/>
              <w:rPr>
                <w:rFonts w:cs="Arial"/>
                <w:vanish/>
              </w:rPr>
            </w:pPr>
            <w:r>
              <w:rPr>
                <w:rFonts w:cs="Arial"/>
                <w:vanish/>
              </w:rPr>
              <w:t xml:space="preserve">BR_104.03 </w:t>
            </w:r>
            <w:r>
              <w:t>The physician included in this report is the ordering physician.</w:t>
            </w:r>
            <w:r w:rsidR="002D77E5">
              <w:t xml:space="preserve"> </w:t>
            </w:r>
            <w:r w:rsidR="00727AC7">
              <w:rPr>
                <w:rFonts w:cs="Arial"/>
                <w:vanish/>
              </w:rPr>
              <w:t xml:space="preserve"> </w:t>
            </w:r>
          </w:p>
          <w:p w14:paraId="2E265501" w14:textId="77777777" w:rsidR="00727AC7" w:rsidRDefault="00727AC7" w:rsidP="00727AC7">
            <w:pPr>
              <w:pStyle w:val="NotesText"/>
              <w:rPr>
                <w:rFonts w:cs="Arial"/>
                <w:vanish/>
              </w:rPr>
            </w:pPr>
          </w:p>
          <w:p w14:paraId="0F97CDA6" w14:textId="2F3B2C51" w:rsidR="00727AC7" w:rsidRDefault="00727AC7" w:rsidP="00727AC7">
            <w:pPr>
              <w:pStyle w:val="NotesText"/>
            </w:pPr>
            <w:r>
              <w:rPr>
                <w:rFonts w:cs="Arial"/>
                <w:vanish/>
              </w:rPr>
              <w:t xml:space="preserve">BR_104.06 </w:t>
            </w:r>
            <w:r>
              <w:t>VBECS compiles the C:T ratio report as a summary or detailed report. All versions include a single C:T ratio for the division</w:t>
            </w:r>
            <w:r w:rsidR="00AF71F0">
              <w:t xml:space="preserve"> and each component class</w:t>
            </w:r>
            <w:r>
              <w:t xml:space="preserve">. </w:t>
            </w:r>
            <w:r w:rsidR="00AF71F0">
              <w:t>When a number of transfused units is 0, the ratio is equal to the number of units assigned and crossmatched.</w:t>
            </w:r>
          </w:p>
          <w:p w14:paraId="4DB91B51" w14:textId="77777777" w:rsidR="00727AC7" w:rsidRDefault="00727AC7" w:rsidP="00727AC7">
            <w:pPr>
              <w:pStyle w:val="NotesText"/>
            </w:pPr>
          </w:p>
          <w:p w14:paraId="5159CD3D" w14:textId="5A41196D" w:rsidR="00727AC7" w:rsidRDefault="00727AC7" w:rsidP="00727AC7">
            <w:pPr>
              <w:pStyle w:val="NotesText"/>
            </w:pPr>
            <w:r>
              <w:t>VBECS determines the C:T ratio for a division by dividing the number of units</w:t>
            </w:r>
            <w:r w:rsidR="00834BA7">
              <w:t xml:space="preserve"> assigned or</w:t>
            </w:r>
            <w:r>
              <w:t xml:space="preserve"> crossmatched </w:t>
            </w:r>
            <w:r w:rsidR="001F0C1C">
              <w:t>(electronic</w:t>
            </w:r>
            <w:r w:rsidR="00A9622F">
              <w:t>ally</w:t>
            </w:r>
            <w:r w:rsidR="001F0C1C">
              <w:t xml:space="preserve"> or serologic) </w:t>
            </w:r>
            <w:r>
              <w:t xml:space="preserve">during the period selected by the number of units transfused at the division. </w:t>
            </w:r>
          </w:p>
          <w:p w14:paraId="7D237CB1" w14:textId="77777777" w:rsidR="00727AC7" w:rsidRDefault="00727AC7" w:rsidP="00727AC7">
            <w:pPr>
              <w:pStyle w:val="NotesText"/>
            </w:pPr>
          </w:p>
          <w:p w14:paraId="557382D8" w14:textId="77777777" w:rsidR="002A21AE" w:rsidRDefault="00727AC7" w:rsidP="00727AC7">
            <w:pPr>
              <w:pStyle w:val="NotesText"/>
            </w:pPr>
            <w:r>
              <w:t>This calculation does not include units with a XM result of “Compatible - Don’t Transfuse” or “Incompatible - Unsafe to Transfuse.”</w:t>
            </w:r>
          </w:p>
          <w:p w14:paraId="4B6F6BB7" w14:textId="77777777" w:rsidR="00960693" w:rsidRDefault="00960693" w:rsidP="00960693">
            <w:pPr>
              <w:pStyle w:val="NotesText"/>
            </w:pPr>
          </w:p>
          <w:p w14:paraId="0C841DC1" w14:textId="7BF8A139" w:rsidR="00960693" w:rsidRDefault="00960693" w:rsidP="00960693">
            <w:pPr>
              <w:pStyle w:val="NotesText"/>
            </w:pPr>
            <w:r>
              <w:rPr>
                <w:rFonts w:cs="Arial"/>
                <w:vanish/>
              </w:rPr>
              <w:t xml:space="preserve">BR_104.07 </w:t>
            </w:r>
            <w:r>
              <w:t xml:space="preserve">The detailed C:T ratio report includes a list of units </w:t>
            </w:r>
            <w:r w:rsidR="00834BA7">
              <w:t xml:space="preserve">assigned or </w:t>
            </w:r>
            <w:r>
              <w:t xml:space="preserve">crossmatched </w:t>
            </w:r>
            <w:r w:rsidR="00270ABE">
              <w:t>(electronic</w:t>
            </w:r>
            <w:r w:rsidR="00A9622F">
              <w:t>ally</w:t>
            </w:r>
            <w:r w:rsidR="00270ABE">
              <w:t xml:space="preserve"> or serologic) </w:t>
            </w:r>
            <w:r>
              <w:t xml:space="preserve">for a patient during the selected date range. The report includes the unit ID, </w:t>
            </w:r>
            <w:r w:rsidR="00834BA7">
              <w:t xml:space="preserve">ordering </w:t>
            </w:r>
            <w:r>
              <w:t>physician name,</w:t>
            </w:r>
            <w:r w:rsidR="00834BA7">
              <w:t xml:space="preserve"> unit ABO/Rh,</w:t>
            </w:r>
            <w:r>
              <w:t xml:space="preserve"> treating specialty, XM interpretation, date and time the XM was completed, product short name, and an indication as to whether the unit was transfused or presumed transfused.</w:t>
            </w:r>
          </w:p>
          <w:p w14:paraId="43763986" w14:textId="77777777" w:rsidR="002A21AE" w:rsidRDefault="002A21AE">
            <w:pPr>
              <w:pStyle w:val="NotesText"/>
            </w:pPr>
          </w:p>
          <w:p w14:paraId="29899D4D" w14:textId="36EB3BED" w:rsidR="002A21AE" w:rsidRDefault="002A21AE">
            <w:pPr>
              <w:pStyle w:val="NotesText"/>
            </w:pPr>
            <w:r>
              <w:rPr>
                <w:rFonts w:cs="Arial"/>
                <w:vanish/>
              </w:rPr>
              <w:t xml:space="preserve">BR_104.04 </w:t>
            </w:r>
            <w:r>
              <w:t xml:space="preserve">VBECS determines the C:T ratio for a physician by dividing the number of units that were </w:t>
            </w:r>
            <w:r w:rsidR="00834BA7">
              <w:t xml:space="preserve">assigned or </w:t>
            </w:r>
            <w:r>
              <w:t xml:space="preserve">crossmatched </w:t>
            </w:r>
            <w:r w:rsidR="00270ABE">
              <w:t>(electronic</w:t>
            </w:r>
            <w:r w:rsidR="00A9622F">
              <w:t>ally</w:t>
            </w:r>
            <w:r w:rsidR="00270ABE">
              <w:t xml:space="preserve"> or serologic) </w:t>
            </w:r>
            <w:r>
              <w:t xml:space="preserve">during the period selected by the number of transfused units. </w:t>
            </w:r>
            <w:r w:rsidR="00AF71F0">
              <w:t>When a number of transfused units is 0, the ratio is equal to the number of units assigned and crossmatched.</w:t>
            </w:r>
          </w:p>
          <w:p w14:paraId="1F6461B9" w14:textId="77777777" w:rsidR="002A21AE" w:rsidRDefault="002A21AE">
            <w:pPr>
              <w:pStyle w:val="NotesText"/>
            </w:pPr>
          </w:p>
          <w:p w14:paraId="6905CC5F" w14:textId="33623BA7" w:rsidR="002A21AE" w:rsidRDefault="002A21AE" w:rsidP="00727AC7">
            <w:pPr>
              <w:pStyle w:val="NotesText"/>
            </w:pPr>
            <w:r>
              <w:rPr>
                <w:rFonts w:cs="Arial"/>
                <w:vanish/>
              </w:rPr>
              <w:t xml:space="preserve">BR_104.05 </w:t>
            </w:r>
            <w:r>
              <w:t xml:space="preserve">VBECS determines the C:T ratio for a treating specialty by dividing the number of units </w:t>
            </w:r>
            <w:r w:rsidR="00834BA7">
              <w:t xml:space="preserve">assigned or </w:t>
            </w:r>
            <w:r>
              <w:t xml:space="preserve">crossmatched </w:t>
            </w:r>
            <w:r w:rsidR="00270ABE">
              <w:t>(electronic</w:t>
            </w:r>
            <w:r w:rsidR="00A9622F">
              <w:t>ally</w:t>
            </w:r>
            <w:r w:rsidR="00270ABE">
              <w:t xml:space="preserve"> or serologic) </w:t>
            </w:r>
            <w:r>
              <w:t xml:space="preserve">for all patients listed in that treating specialty by the number of units transfused to all patients listed for that specialty. </w:t>
            </w:r>
            <w:r w:rsidR="00AF71F0">
              <w:t>When a number of transfused units is 0, the ratio is equal to the number of units assigned and crossmatched.</w:t>
            </w:r>
          </w:p>
        </w:tc>
      </w:tr>
      <w:tr w:rsidR="002A21AE" w14:paraId="2BF7BBBE" w14:textId="77777777">
        <w:tc>
          <w:tcPr>
            <w:tcW w:w="3240" w:type="dxa"/>
          </w:tcPr>
          <w:p w14:paraId="6F777DA7"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561C51E6" w14:textId="77777777" w:rsidR="002A21AE" w:rsidRDefault="002A21AE">
            <w:pPr>
              <w:pStyle w:val="TableTextNumbersContinued"/>
            </w:pPr>
          </w:p>
          <w:p w14:paraId="177EC37E"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51E7191" w14:textId="77777777" w:rsidR="005B6A94" w:rsidRDefault="002A21AE" w:rsidP="00AA2B2E">
            <w:pPr>
              <w:pStyle w:val="TableTextBullet"/>
            </w:pPr>
            <w:r>
              <w:t>Compiles and displays the report.</w:t>
            </w:r>
          </w:p>
        </w:tc>
      </w:tr>
      <w:tr w:rsidR="002A21AE" w14:paraId="689A9409" w14:textId="77777777">
        <w:tc>
          <w:tcPr>
            <w:tcW w:w="3240" w:type="dxa"/>
          </w:tcPr>
          <w:p w14:paraId="59EA296F" w14:textId="4ECE7DEB"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32D7F4B4" w14:textId="77777777" w:rsidR="005C22EF" w:rsidRDefault="005C22EF" w:rsidP="005C22EF">
            <w:pPr>
              <w:pStyle w:val="TableTextBullet"/>
            </w:pPr>
            <w:r>
              <w:t>If Print is selected, prints the report on the designated printer.</w:t>
            </w:r>
          </w:p>
          <w:p w14:paraId="21D378BB" w14:textId="77777777" w:rsidR="005C22EF" w:rsidRDefault="005C22EF" w:rsidP="005C22EF">
            <w:pPr>
              <w:pStyle w:val="TableTextBullet"/>
            </w:pPr>
            <w:r>
              <w:t>If Export is selected, exports the report to the designated file.</w:t>
            </w:r>
          </w:p>
          <w:p w14:paraId="0744771F" w14:textId="48CB6185" w:rsidR="002A21AE" w:rsidRDefault="005C22EF" w:rsidP="005C22EF">
            <w:pPr>
              <w:pStyle w:val="TableTextBullet"/>
            </w:pPr>
            <w:r>
              <w:t>If Close is selected, exits the report preview.</w:t>
            </w:r>
          </w:p>
        </w:tc>
      </w:tr>
    </w:tbl>
    <w:p w14:paraId="6A883861" w14:textId="78E91BAE" w:rsidR="00006995" w:rsidRDefault="00006995" w:rsidP="00006995">
      <w:pPr>
        <w:pStyle w:val="Heading2"/>
      </w:pPr>
      <w:bookmarkStart w:id="535" w:name="_Toc149064183"/>
      <w:r>
        <w:t>CPRS Blood Bank Report</w:t>
      </w:r>
      <w:bookmarkEnd w:id="535"/>
      <w:r>
        <w:fldChar w:fldCharType="begin"/>
      </w:r>
      <w:r>
        <w:instrText xml:space="preserve"> XE “CPRS Blood Bank Report” </w:instrText>
      </w:r>
      <w:r>
        <w:fldChar w:fldCharType="end"/>
      </w:r>
      <w:r>
        <w:t xml:space="preserve"> </w:t>
      </w:r>
      <w:r>
        <w:rPr>
          <w:rFonts w:ascii="Times New Roman" w:hAnsi="Times New Roman" w:cs="Times New Roman"/>
          <w:b w:val="0"/>
          <w:i w:val="0"/>
          <w:vanish/>
          <w:sz w:val="22"/>
        </w:rPr>
        <w:t>UC_112</w:t>
      </w:r>
    </w:p>
    <w:p w14:paraId="08EE7BA8" w14:textId="77777777" w:rsidR="00006995" w:rsidRPr="00823F23" w:rsidRDefault="00006995" w:rsidP="00006995">
      <w:pPr>
        <w:pStyle w:val="BodyText"/>
      </w:pPr>
      <w:r w:rsidRPr="00FF0808">
        <w:t xml:space="preserve">CPRS Blood Bank Report provides an overview of </w:t>
      </w:r>
      <w:r>
        <w:t xml:space="preserve">a </w:t>
      </w:r>
      <w:r w:rsidRPr="00FF0808">
        <w:t>patient</w:t>
      </w:r>
      <w:r w:rsidRPr="00D67EC5">
        <w:t>’s blood bank / transfusion information and is available via Computerized Patient Record System</w:t>
      </w:r>
      <w:r>
        <w:t xml:space="preserve"> (CPRS)</w:t>
      </w:r>
      <w:r w:rsidRPr="00D67EC5">
        <w:t>. It is not part of the main VBECS system</w:t>
      </w:r>
      <w:r>
        <w:t>;</w:t>
      </w:r>
      <w:r w:rsidRPr="00D67EC5">
        <w:t xml:space="preserve"> however</w:t>
      </w:r>
      <w:r>
        <w:t>,</w:t>
      </w:r>
      <w:r w:rsidRPr="00D67EC5">
        <w:t xml:space="preserve"> since it fully relies on data stored in VBECS</w:t>
      </w:r>
      <w:r>
        <w:t>,</w:t>
      </w:r>
      <w:r w:rsidRPr="00D67EC5">
        <w:t xml:space="preserve"> it is included in this guide. Being part of CPRS</w:t>
      </w:r>
      <w:r>
        <w:t>,</w:t>
      </w:r>
      <w:r w:rsidRPr="00D67EC5">
        <w:t xml:space="preserve"> this report is available not only to</w:t>
      </w:r>
      <w:r w:rsidRPr="00823F23">
        <w:t xml:space="preserve"> blood bank personnel but to all health providers who utilize CPRS. </w:t>
      </w:r>
    </w:p>
    <w:p w14:paraId="400A99D9" w14:textId="77777777" w:rsidR="00006995" w:rsidRDefault="00006995" w:rsidP="00006995">
      <w:pPr>
        <w:pStyle w:val="Heading4"/>
      </w:pPr>
      <w:r>
        <w:t>Navigation (How to generate a CPRS Blood Bank Report)</w:t>
      </w:r>
      <w:r>
        <w:rPr>
          <w:b w:val="0"/>
        </w:rPr>
        <w:t xml:space="preserve"> </w:t>
      </w:r>
    </w:p>
    <w:p w14:paraId="71BCEE0C" w14:textId="77777777" w:rsidR="00006995" w:rsidRPr="00BE47E0" w:rsidRDefault="00006995" w:rsidP="00006995">
      <w:pPr>
        <w:pStyle w:val="TableText"/>
        <w:ind w:firstLine="360"/>
        <w:rPr>
          <w:rFonts w:ascii="Times New Roman" w:hAnsi="Times New Roman"/>
          <w:sz w:val="22"/>
          <w:szCs w:val="22"/>
        </w:rPr>
      </w:pPr>
      <w:r w:rsidRPr="00BE47E0">
        <w:rPr>
          <w:rFonts w:ascii="Times New Roman" w:hAnsi="Times New Roman"/>
          <w:sz w:val="22"/>
          <w:szCs w:val="22"/>
        </w:rPr>
        <w:t>In CPRS:</w:t>
      </w:r>
    </w:p>
    <w:p w14:paraId="780548DA"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Labs tab, Blood Bank</w:t>
      </w:r>
    </w:p>
    <w:p w14:paraId="7DC8D531"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Reports tab, Blood Bank Report</w:t>
      </w:r>
    </w:p>
    <w:p w14:paraId="1CA7BEB3"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Reports tab, Clinical Reports, Laboratory, Blood Bank Report</w:t>
      </w:r>
    </w:p>
    <w:p w14:paraId="6A4BA347" w14:textId="77777777" w:rsidR="00006995" w:rsidRDefault="00006995" w:rsidP="00006995">
      <w:pPr>
        <w:pStyle w:val="Heading4"/>
      </w:pPr>
      <w:r>
        <w:t xml:space="preserve">Report layout </w:t>
      </w:r>
    </w:p>
    <w:p w14:paraId="72C3DB38" w14:textId="77777777" w:rsidR="00006995" w:rsidRPr="00BE47E0" w:rsidRDefault="00006995" w:rsidP="00006995">
      <w:pPr>
        <w:pStyle w:val="TableText"/>
        <w:ind w:firstLine="360"/>
        <w:rPr>
          <w:rFonts w:ascii="Times New Roman" w:hAnsi="Times New Roman"/>
          <w:sz w:val="22"/>
          <w:szCs w:val="22"/>
        </w:rPr>
      </w:pPr>
      <w:r w:rsidRPr="00BE47E0">
        <w:rPr>
          <w:rFonts w:ascii="Times New Roman" w:hAnsi="Times New Roman"/>
          <w:sz w:val="22"/>
          <w:szCs w:val="22"/>
        </w:rPr>
        <w:t>Report consists of eight sections:</w:t>
      </w:r>
    </w:p>
    <w:p w14:paraId="5EBDD9EB" w14:textId="77777777" w:rsidR="00006995" w:rsidRPr="002D7AAD" w:rsidRDefault="00006995" w:rsidP="00925CAD">
      <w:pPr>
        <w:pStyle w:val="TableText"/>
        <w:numPr>
          <w:ilvl w:val="0"/>
          <w:numId w:val="79"/>
        </w:numPr>
      </w:pPr>
      <w:r w:rsidRPr="00BE47E0">
        <w:rPr>
          <w:rFonts w:ascii="Times New Roman" w:hAnsi="Times New Roman"/>
          <w:sz w:val="22"/>
          <w:szCs w:val="22"/>
        </w:rPr>
        <w:t xml:space="preserve">ABO/Rh - displays </w:t>
      </w:r>
      <w:r>
        <w:rPr>
          <w:rFonts w:ascii="Times New Roman" w:hAnsi="Times New Roman"/>
          <w:sz w:val="22"/>
          <w:szCs w:val="22"/>
        </w:rPr>
        <w:t xml:space="preserve">a </w:t>
      </w:r>
      <w:r w:rsidRPr="00BE47E0">
        <w:rPr>
          <w:rFonts w:ascii="Times New Roman" w:hAnsi="Times New Roman"/>
          <w:sz w:val="22"/>
          <w:szCs w:val="22"/>
        </w:rPr>
        <w:t>patient’s ABO/Rh based on patient’s ABO/Rh testing history.</w:t>
      </w:r>
    </w:p>
    <w:p w14:paraId="345DFFD6" w14:textId="77777777" w:rsidR="00006995" w:rsidRPr="002D7AAD" w:rsidRDefault="00006995" w:rsidP="00925CAD">
      <w:pPr>
        <w:pStyle w:val="TableText"/>
        <w:numPr>
          <w:ilvl w:val="0"/>
          <w:numId w:val="79"/>
        </w:numPr>
      </w:pPr>
      <w:r w:rsidRPr="00BE47E0">
        <w:rPr>
          <w:rFonts w:ascii="Times New Roman" w:hAnsi="Times New Roman"/>
          <w:sz w:val="22"/>
          <w:szCs w:val="22"/>
        </w:rPr>
        <w:t xml:space="preserve">Antibodies Identified and Transfusion Requirements - displays </w:t>
      </w:r>
      <w:r>
        <w:rPr>
          <w:rFonts w:ascii="Times New Roman" w:hAnsi="Times New Roman"/>
          <w:sz w:val="22"/>
          <w:szCs w:val="22"/>
        </w:rPr>
        <w:t xml:space="preserve">a </w:t>
      </w:r>
      <w:r w:rsidRPr="00BE47E0">
        <w:rPr>
          <w:rFonts w:ascii="Times New Roman" w:hAnsi="Times New Roman"/>
          <w:sz w:val="22"/>
          <w:szCs w:val="22"/>
        </w:rPr>
        <w:t>patient’s antibodies, antigen negative requirements and component requirements.</w:t>
      </w:r>
    </w:p>
    <w:p w14:paraId="152C8B10"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 xml:space="preserve">Transfusion Reactions – displays </w:t>
      </w:r>
      <w:r>
        <w:rPr>
          <w:rFonts w:ascii="Times New Roman" w:hAnsi="Times New Roman"/>
          <w:sz w:val="22"/>
          <w:szCs w:val="22"/>
        </w:rPr>
        <w:t xml:space="preserve">the </w:t>
      </w:r>
      <w:r w:rsidRPr="00BE47E0">
        <w:rPr>
          <w:rFonts w:ascii="Times New Roman" w:hAnsi="Times New Roman"/>
          <w:sz w:val="22"/>
          <w:szCs w:val="22"/>
        </w:rPr>
        <w:t xml:space="preserve">history of </w:t>
      </w:r>
      <w:r>
        <w:rPr>
          <w:rFonts w:ascii="Times New Roman" w:hAnsi="Times New Roman"/>
          <w:sz w:val="22"/>
          <w:szCs w:val="22"/>
        </w:rPr>
        <w:t xml:space="preserve">a </w:t>
      </w:r>
      <w:r w:rsidRPr="00BE47E0">
        <w:rPr>
          <w:rFonts w:ascii="Times New Roman" w:hAnsi="Times New Roman"/>
          <w:sz w:val="22"/>
          <w:szCs w:val="22"/>
        </w:rPr>
        <w:t>patient’s transfusion reactions.</w:t>
      </w:r>
    </w:p>
    <w:p w14:paraId="68DFA1E0"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Available/Issued Units - displays a list of units assigned, crossmatched and issued to the patient.</w:t>
      </w:r>
      <w:r>
        <w:rPr>
          <w:rFonts w:ascii="Times New Roman" w:hAnsi="Times New Roman"/>
          <w:sz w:val="22"/>
          <w:szCs w:val="22"/>
        </w:rPr>
        <w:t xml:space="preserve"> Issued units that are indicated as transfused or presumed transfused in VBECS no longer show in this section but instead display in the Transfused Units section.</w:t>
      </w:r>
    </w:p>
    <w:p w14:paraId="66521000"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 xml:space="preserve">Diagnostic Tests - displays a history of the patient’s completed diagnostic tests (TAS, ABO/Rh, ABS, DAT Poly, DAT IgG and DAT Comp). Only the test interpretation is displayed. Invalidated tests are not shown unless the replacement results were entered. In such case, the invalidated test is marked as </w:t>
      </w:r>
      <w:r w:rsidRPr="00BE47E0">
        <w:rPr>
          <w:rFonts w:ascii="Times New Roman" w:hAnsi="Times New Roman"/>
          <w:b/>
          <w:sz w:val="22"/>
          <w:szCs w:val="22"/>
        </w:rPr>
        <w:t xml:space="preserve">** Entered in Error ** </w:t>
      </w:r>
      <w:r w:rsidRPr="00BE47E0">
        <w:rPr>
          <w:rFonts w:ascii="Times New Roman" w:hAnsi="Times New Roman"/>
          <w:sz w:val="22"/>
          <w:szCs w:val="22"/>
        </w:rPr>
        <w:t xml:space="preserve">and a replacement result is marked as </w:t>
      </w:r>
      <w:r w:rsidRPr="00BE47E0">
        <w:rPr>
          <w:rFonts w:ascii="Times New Roman" w:hAnsi="Times New Roman"/>
          <w:b/>
          <w:sz w:val="22"/>
          <w:szCs w:val="22"/>
        </w:rPr>
        <w:t>** Corrected Result **</w:t>
      </w:r>
      <w:r w:rsidRPr="00BE47E0">
        <w:rPr>
          <w:rFonts w:ascii="Times New Roman" w:hAnsi="Times New Roman"/>
          <w:bCs/>
          <w:sz w:val="22"/>
          <w:szCs w:val="22"/>
        </w:rPr>
        <w:t>.</w:t>
      </w:r>
    </w:p>
    <w:p w14:paraId="753CB2FA"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 xml:space="preserve">Component Requests - displays a history of </w:t>
      </w:r>
      <w:r>
        <w:rPr>
          <w:rFonts w:ascii="Times New Roman" w:hAnsi="Times New Roman"/>
          <w:sz w:val="22"/>
          <w:szCs w:val="22"/>
        </w:rPr>
        <w:t xml:space="preserve">the </w:t>
      </w:r>
      <w:r w:rsidRPr="00BE47E0">
        <w:rPr>
          <w:rFonts w:ascii="Times New Roman" w:hAnsi="Times New Roman"/>
          <w:sz w:val="22"/>
          <w:szCs w:val="22"/>
        </w:rPr>
        <w:t>patient’s component orders. Cancelled orders are not included.</w:t>
      </w:r>
    </w:p>
    <w:p w14:paraId="34AB1F00" w14:textId="77777777" w:rsidR="00006995" w:rsidRPr="00BE47E0" w:rsidRDefault="00006995" w:rsidP="00925CAD">
      <w:pPr>
        <w:pStyle w:val="TableText"/>
        <w:numPr>
          <w:ilvl w:val="0"/>
          <w:numId w:val="79"/>
        </w:numPr>
        <w:rPr>
          <w:rFonts w:ascii="Times New Roman" w:hAnsi="Times New Roman"/>
          <w:sz w:val="22"/>
          <w:szCs w:val="22"/>
        </w:rPr>
      </w:pPr>
      <w:r w:rsidRPr="00BE47E0">
        <w:rPr>
          <w:rFonts w:ascii="Times New Roman" w:hAnsi="Times New Roman"/>
          <w:sz w:val="22"/>
          <w:szCs w:val="22"/>
        </w:rPr>
        <w:t xml:space="preserve">Transfused Units - displays </w:t>
      </w:r>
      <w:r>
        <w:rPr>
          <w:rFonts w:ascii="Times New Roman" w:hAnsi="Times New Roman"/>
          <w:sz w:val="22"/>
          <w:szCs w:val="22"/>
        </w:rPr>
        <w:t>the</w:t>
      </w:r>
      <w:r w:rsidRPr="00BE47E0">
        <w:rPr>
          <w:rFonts w:ascii="Times New Roman" w:hAnsi="Times New Roman"/>
          <w:sz w:val="22"/>
          <w:szCs w:val="22"/>
        </w:rPr>
        <w:t xml:space="preserve"> history of </w:t>
      </w:r>
      <w:r>
        <w:rPr>
          <w:rFonts w:ascii="Times New Roman" w:hAnsi="Times New Roman"/>
          <w:sz w:val="22"/>
          <w:szCs w:val="22"/>
        </w:rPr>
        <w:t xml:space="preserve">a </w:t>
      </w:r>
      <w:r w:rsidRPr="00BE47E0">
        <w:rPr>
          <w:rFonts w:ascii="Times New Roman" w:hAnsi="Times New Roman"/>
          <w:sz w:val="22"/>
          <w:szCs w:val="22"/>
        </w:rPr>
        <w:t>patient’s transfusions.</w:t>
      </w:r>
    </w:p>
    <w:p w14:paraId="23D11858" w14:textId="77777777" w:rsidR="00006995" w:rsidRPr="002D7AAD" w:rsidRDefault="00006995" w:rsidP="00925CAD">
      <w:pPr>
        <w:pStyle w:val="TableText"/>
        <w:numPr>
          <w:ilvl w:val="0"/>
          <w:numId w:val="79"/>
        </w:numPr>
      </w:pPr>
      <w:r w:rsidRPr="00BE47E0">
        <w:rPr>
          <w:rFonts w:ascii="Times New Roman" w:hAnsi="Times New Roman"/>
          <w:sz w:val="22"/>
          <w:szCs w:val="22"/>
        </w:rPr>
        <w:t xml:space="preserve">Legacy VistA Blood Bank Report - contains </w:t>
      </w:r>
      <w:r>
        <w:rPr>
          <w:rFonts w:ascii="Times New Roman" w:hAnsi="Times New Roman"/>
          <w:sz w:val="22"/>
          <w:szCs w:val="22"/>
        </w:rPr>
        <w:t xml:space="preserve">a </w:t>
      </w:r>
      <w:r w:rsidRPr="00BE47E0">
        <w:rPr>
          <w:rFonts w:ascii="Times New Roman" w:hAnsi="Times New Roman"/>
          <w:sz w:val="22"/>
          <w:szCs w:val="22"/>
        </w:rPr>
        <w:t>patient’s legacy blood bank information that was not recorded in VBECS.</w:t>
      </w:r>
    </w:p>
    <w:p w14:paraId="279FBD8A" w14:textId="77777777" w:rsidR="00006995" w:rsidRDefault="00006995" w:rsidP="00006995">
      <w:pPr>
        <w:pStyle w:val="Heading4"/>
      </w:pPr>
      <w:r>
        <w:t>Limitations and Restrictions</w:t>
      </w:r>
      <w:r>
        <w:rPr>
          <w:b w:val="0"/>
        </w:rPr>
        <w:t xml:space="preserve"> </w:t>
      </w:r>
    </w:p>
    <w:p w14:paraId="36371B3E" w14:textId="0E8F26A0" w:rsidR="00006995" w:rsidRPr="00BE47E0" w:rsidRDefault="00006995" w:rsidP="00006995">
      <w:pPr>
        <w:pStyle w:val="ListBullet"/>
        <w:rPr>
          <w:rFonts w:ascii="Arial" w:hAnsi="Arial" w:cs="Arial"/>
          <w:b/>
          <w:bCs/>
          <w:kern w:val="32"/>
          <w:sz w:val="36"/>
          <w:szCs w:val="32"/>
        </w:rPr>
      </w:pPr>
      <w:r>
        <w:t>The report is not multidivisional</w:t>
      </w:r>
      <w:r w:rsidR="007E06EE">
        <w:t>,</w:t>
      </w:r>
      <w:r>
        <w:t xml:space="preserve"> meaning it does not combine a patien</w:t>
      </w:r>
      <w:r w:rsidR="00676CAC">
        <w:t>t's</w:t>
      </w:r>
      <w:r>
        <w:t xml:space="preserve"> transfusion information from all VA hospitals.</w:t>
      </w:r>
      <w:r>
        <w:br w:type="page"/>
      </w:r>
    </w:p>
    <w:p w14:paraId="7B1CF7A1" w14:textId="77777777" w:rsidR="00006995" w:rsidRDefault="00006995" w:rsidP="00006995">
      <w:pPr>
        <w:pStyle w:val="Heading4"/>
        <w:tabs>
          <w:tab w:val="left" w:pos="2568"/>
        </w:tabs>
      </w:pPr>
      <w:r>
        <w:t>Troubleshooting</w:t>
      </w:r>
      <w:r>
        <w:rPr>
          <w:b w:val="0"/>
        </w:rPr>
        <w:t xml:space="preserve"> </w:t>
      </w:r>
      <w:r>
        <w:rPr>
          <w:b w:val="0"/>
        </w:rPr>
        <w:tab/>
      </w:r>
    </w:p>
    <w:p w14:paraId="2154E116" w14:textId="5EF95715" w:rsidR="00006995" w:rsidRDefault="00006995" w:rsidP="00565A21">
      <w:pPr>
        <w:pStyle w:val="TableText"/>
        <w:rPr>
          <w:rFonts w:ascii="Times New Roman" w:hAnsi="Times New Roman"/>
          <w:sz w:val="22"/>
          <w:szCs w:val="22"/>
        </w:rPr>
      </w:pPr>
      <w:r>
        <w:rPr>
          <w:rFonts w:ascii="Times New Roman" w:hAnsi="Times New Roman"/>
          <w:sz w:val="22"/>
          <w:szCs w:val="22"/>
        </w:rPr>
        <w:t xml:space="preserve">Since the CPRS Blood Bank Report relies on data stored in VBECS, it is possible for it to malfunction when the network connection to VBECS is disrupted or if there is a problem with VBECS </w:t>
      </w:r>
      <w:r w:rsidR="00F358AF">
        <w:rPr>
          <w:rFonts w:ascii="Times New Roman" w:hAnsi="Times New Roman"/>
          <w:sz w:val="22"/>
          <w:szCs w:val="22"/>
        </w:rPr>
        <w:t xml:space="preserve">VistALink </w:t>
      </w:r>
      <w:r>
        <w:rPr>
          <w:rFonts w:ascii="Times New Roman" w:hAnsi="Times New Roman"/>
          <w:sz w:val="22"/>
          <w:szCs w:val="22"/>
        </w:rPr>
        <w:t>service. If that happens, the report will display a message similar to this one:</w:t>
      </w:r>
    </w:p>
    <w:p w14:paraId="504BDDBC" w14:textId="77777777" w:rsidR="00006995" w:rsidRDefault="00006995" w:rsidP="00006995">
      <w:pPr>
        <w:pStyle w:val="TableText"/>
        <w:ind w:left="360"/>
        <w:rPr>
          <w:rFonts w:ascii="Times New Roman" w:hAnsi="Times New Roman"/>
          <w:sz w:val="22"/>
          <w:szCs w:val="22"/>
        </w:rPr>
      </w:pPr>
    </w:p>
    <w:p w14:paraId="09865FD9" w14:textId="77777777" w:rsidR="00006995" w:rsidRPr="00823F23" w:rsidRDefault="00006995" w:rsidP="00006995">
      <w:pPr>
        <w:autoSpaceDE w:val="0"/>
        <w:autoSpaceDN w:val="0"/>
        <w:adjustRightInd w:val="0"/>
        <w:rPr>
          <w:rFonts w:ascii="Courier New" w:hAnsi="Courier New" w:cs="Courier New"/>
          <w:sz w:val="16"/>
          <w:szCs w:val="16"/>
        </w:rPr>
      </w:pPr>
      <w:r w:rsidRPr="00823F23">
        <w:rPr>
          <w:rFonts w:ascii="Courier New" w:hAnsi="Courier New" w:cs="Courier New"/>
          <w:sz w:val="16"/>
          <w:szCs w:val="16"/>
        </w:rPr>
        <w:t xml:space="preserve">     ******************************************************************</w:t>
      </w:r>
    </w:p>
    <w:p w14:paraId="0317C68D" w14:textId="77777777" w:rsidR="00006995" w:rsidRPr="00823F23" w:rsidRDefault="00006995" w:rsidP="00006995">
      <w:pPr>
        <w:autoSpaceDE w:val="0"/>
        <w:autoSpaceDN w:val="0"/>
        <w:adjustRightInd w:val="0"/>
        <w:rPr>
          <w:rFonts w:ascii="Courier New" w:hAnsi="Courier New" w:cs="Courier New"/>
          <w:sz w:val="16"/>
          <w:szCs w:val="16"/>
        </w:rPr>
      </w:pPr>
      <w:r w:rsidRPr="00823F23">
        <w:rPr>
          <w:rFonts w:ascii="Courier New" w:hAnsi="Courier New" w:cs="Courier New"/>
          <w:sz w:val="16"/>
          <w:szCs w:val="16"/>
        </w:rPr>
        <w:t xml:space="preserve">     *                                                                *</w:t>
      </w:r>
    </w:p>
    <w:p w14:paraId="4228C3F9" w14:textId="77777777" w:rsidR="00006995" w:rsidRPr="00823F23" w:rsidRDefault="00006995" w:rsidP="00006995">
      <w:pPr>
        <w:autoSpaceDE w:val="0"/>
        <w:autoSpaceDN w:val="0"/>
        <w:adjustRightInd w:val="0"/>
        <w:rPr>
          <w:rFonts w:ascii="Courier New" w:hAnsi="Courier New" w:cs="Courier New"/>
          <w:sz w:val="16"/>
          <w:szCs w:val="16"/>
        </w:rPr>
      </w:pPr>
      <w:r w:rsidRPr="00823F23">
        <w:rPr>
          <w:rFonts w:ascii="Courier New" w:hAnsi="Courier New" w:cs="Courier New"/>
          <w:sz w:val="16"/>
          <w:szCs w:val="16"/>
        </w:rPr>
        <w:t xml:space="preserve">     *          Patient data is not available at this time            *</w:t>
      </w:r>
    </w:p>
    <w:p w14:paraId="30F2FC81" w14:textId="77777777" w:rsidR="00006995" w:rsidRPr="00823F23" w:rsidRDefault="00006995" w:rsidP="00006995">
      <w:pPr>
        <w:autoSpaceDE w:val="0"/>
        <w:autoSpaceDN w:val="0"/>
        <w:adjustRightInd w:val="0"/>
        <w:rPr>
          <w:rFonts w:ascii="Courier New" w:hAnsi="Courier New" w:cs="Courier New"/>
          <w:sz w:val="16"/>
          <w:szCs w:val="16"/>
        </w:rPr>
      </w:pPr>
      <w:r w:rsidRPr="00823F23">
        <w:rPr>
          <w:rFonts w:ascii="Courier New" w:hAnsi="Courier New" w:cs="Courier New"/>
          <w:sz w:val="16"/>
          <w:szCs w:val="16"/>
        </w:rPr>
        <w:t xml:space="preserve">     *            due to a VistALink connection failure.              *</w:t>
      </w:r>
    </w:p>
    <w:p w14:paraId="74CDB18F" w14:textId="77777777" w:rsidR="00006995" w:rsidRPr="007903A0" w:rsidRDefault="00006995" w:rsidP="00006995">
      <w:pPr>
        <w:autoSpaceDE w:val="0"/>
        <w:autoSpaceDN w:val="0"/>
        <w:adjustRightInd w:val="0"/>
        <w:rPr>
          <w:rFonts w:ascii="Courier New" w:hAnsi="Courier New" w:cs="Courier New"/>
          <w:sz w:val="16"/>
          <w:szCs w:val="16"/>
        </w:rPr>
      </w:pPr>
      <w:r w:rsidRPr="007903A0">
        <w:rPr>
          <w:rFonts w:ascii="Courier New" w:hAnsi="Courier New" w:cs="Courier New"/>
          <w:sz w:val="16"/>
          <w:szCs w:val="16"/>
        </w:rPr>
        <w:t xml:space="preserve">     *                                                                *</w:t>
      </w:r>
    </w:p>
    <w:p w14:paraId="1221ACD8" w14:textId="77777777" w:rsidR="00006995" w:rsidRPr="007903A0" w:rsidRDefault="00006995" w:rsidP="00006995">
      <w:pPr>
        <w:autoSpaceDE w:val="0"/>
        <w:autoSpaceDN w:val="0"/>
        <w:adjustRightInd w:val="0"/>
        <w:rPr>
          <w:rFonts w:ascii="Courier New" w:hAnsi="Courier New" w:cs="Courier New"/>
          <w:sz w:val="16"/>
          <w:szCs w:val="16"/>
        </w:rPr>
      </w:pPr>
      <w:r w:rsidRPr="007903A0">
        <w:rPr>
          <w:rFonts w:ascii="Courier New" w:hAnsi="Courier New" w:cs="Courier New"/>
          <w:sz w:val="16"/>
          <w:szCs w:val="16"/>
        </w:rPr>
        <w:t xml:space="preserve">     *                                                                *</w:t>
      </w:r>
    </w:p>
    <w:p w14:paraId="30F0918B" w14:textId="77777777" w:rsidR="00006995" w:rsidRPr="007903A0" w:rsidRDefault="00006995" w:rsidP="00006995">
      <w:pPr>
        <w:pStyle w:val="TableText"/>
        <w:ind w:left="360"/>
        <w:rPr>
          <w:rFonts w:ascii="Times New Roman" w:hAnsi="Times New Roman"/>
          <w:sz w:val="22"/>
          <w:szCs w:val="22"/>
        </w:rPr>
      </w:pPr>
      <w:r w:rsidRPr="007903A0">
        <w:rPr>
          <w:rFonts w:ascii="Courier New" w:hAnsi="Courier New" w:cs="Courier New"/>
          <w:sz w:val="16"/>
          <w:szCs w:val="16"/>
        </w:rPr>
        <w:t xml:space="preserve"> ******************************************************************</w:t>
      </w:r>
    </w:p>
    <w:p w14:paraId="180C4862" w14:textId="77777777" w:rsidR="00006995" w:rsidRDefault="00006995" w:rsidP="00006995">
      <w:pPr>
        <w:pStyle w:val="ListBullet"/>
        <w:numPr>
          <w:ilvl w:val="0"/>
          <w:numId w:val="0"/>
        </w:numPr>
      </w:pPr>
    </w:p>
    <w:p w14:paraId="6CFAE075" w14:textId="53D02D4C" w:rsidR="002F7CC9" w:rsidRDefault="00006995" w:rsidP="00006995">
      <w:r w:rsidRPr="00BE47E0">
        <w:t>In such cas</w:t>
      </w:r>
      <w:r>
        <w:t xml:space="preserve">e, </w:t>
      </w:r>
      <w:r w:rsidRPr="00BE47E0">
        <w:t>contact the Service Desk. See</w:t>
      </w:r>
      <w:r>
        <w:t xml:space="preserve"> the</w:t>
      </w:r>
      <w:r w:rsidRPr="00BE47E0">
        <w:t xml:space="preserve"> Customer Support section of this guide for contact information.</w:t>
      </w:r>
    </w:p>
    <w:p w14:paraId="3AA47715" w14:textId="45769971" w:rsidR="00565A21" w:rsidRDefault="00565A21" w:rsidP="00565A21">
      <w:pPr>
        <w:pStyle w:val="Heading4"/>
        <w:tabs>
          <w:tab w:val="left" w:pos="2568"/>
        </w:tabs>
      </w:pPr>
      <w:r>
        <w:t>Missing Division Names</w:t>
      </w:r>
    </w:p>
    <w:p w14:paraId="634900CE" w14:textId="4537E318" w:rsidR="000A0354" w:rsidRPr="00676270" w:rsidRDefault="00565A21" w:rsidP="00676270">
      <w:pPr>
        <w:rPr>
          <w:sz w:val="22"/>
          <w:szCs w:val="22"/>
        </w:rPr>
      </w:pPr>
      <w:r w:rsidRPr="00565A21">
        <w:rPr>
          <w:sz w:val="22"/>
          <w:szCs w:val="22"/>
        </w:rPr>
        <w:t xml:space="preserve">Available/Issued Units and Diagnostic Tests sections of the CPRS Blood Bank Report include the display of the division name. In certain circumstances, the division name might be missing from the report. If that happens, contact the Service Desk and file a ticket for </w:t>
      </w:r>
      <w:r>
        <w:rPr>
          <w:sz w:val="22"/>
          <w:szCs w:val="22"/>
        </w:rPr>
        <w:t xml:space="preserve">the </w:t>
      </w:r>
      <w:r w:rsidRPr="00565A21">
        <w:rPr>
          <w:sz w:val="22"/>
          <w:szCs w:val="22"/>
        </w:rPr>
        <w:t>VBECS team to have it fixed. See the Customer Support section</w:t>
      </w:r>
      <w:r w:rsidR="006F1FB3">
        <w:rPr>
          <w:sz w:val="22"/>
          <w:szCs w:val="22"/>
        </w:rPr>
        <w:t xml:space="preserve"> in </w:t>
      </w:r>
      <w:r w:rsidRPr="00565A21">
        <w:rPr>
          <w:sz w:val="22"/>
          <w:szCs w:val="22"/>
        </w:rPr>
        <w:t>this guide for contact information.</w:t>
      </w:r>
    </w:p>
    <w:p w14:paraId="5C4E844A" w14:textId="77777777" w:rsidR="00676270" w:rsidRDefault="00676270">
      <w:pPr>
        <w:rPr>
          <w:rFonts w:ascii="Arial" w:hAnsi="Arial" w:cs="Arial"/>
          <w:b/>
          <w:bCs/>
          <w:i/>
          <w:iCs/>
          <w:sz w:val="28"/>
          <w:szCs w:val="28"/>
        </w:rPr>
      </w:pPr>
      <w:r>
        <w:br w:type="page"/>
      </w:r>
    </w:p>
    <w:p w14:paraId="3A61BCD5" w14:textId="0C0FFC4B" w:rsidR="002A21AE" w:rsidRDefault="002A21AE">
      <w:pPr>
        <w:pStyle w:val="Heading2"/>
      </w:pPr>
      <w:bookmarkStart w:id="536" w:name="_Toc149064184"/>
      <w:r>
        <w:t>Division Transfusion Report</w:t>
      </w:r>
      <w:bookmarkEnd w:id="536"/>
      <w:r>
        <w:fldChar w:fldCharType="begin"/>
      </w:r>
      <w:r>
        <w:instrText xml:space="preserve"> XE </w:instrText>
      </w:r>
      <w:r w:rsidR="00FA7E65">
        <w:instrText>“</w:instrText>
      </w:r>
      <w:r>
        <w:instrText>Division Transfusion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UC_74</w:t>
      </w:r>
      <w:r>
        <w:rPr>
          <w:rStyle w:val="CommentReference"/>
          <w:rFonts w:ascii="Times New Roman" w:hAnsi="Times New Roman" w:cs="Times New Roman"/>
          <w:b w:val="0"/>
          <w:bCs w:val="0"/>
          <w:vanish/>
        </w:rPr>
        <w:t xml:space="preserve"> </w:t>
      </w:r>
    </w:p>
    <w:p w14:paraId="5296071A" w14:textId="77777777" w:rsidR="002A21AE" w:rsidRDefault="002A21AE" w:rsidP="00FA7E65">
      <w:pPr>
        <w:pStyle w:val="BodyText"/>
      </w:pPr>
      <w:r>
        <w:t xml:space="preserve">The user views </w:t>
      </w:r>
      <w:r w:rsidR="00EB1E5A">
        <w:t xml:space="preserve">and/or </w:t>
      </w:r>
      <w:r>
        <w:t>prints the Division Transfusion Report.</w:t>
      </w:r>
    </w:p>
    <w:p w14:paraId="609B5479" w14:textId="77777777" w:rsidR="002A21AE" w:rsidRDefault="002A21AE">
      <w:pPr>
        <w:pStyle w:val="Heading4"/>
      </w:pPr>
      <w:r>
        <w:t>Assumptions</w:t>
      </w:r>
      <w:r>
        <w:rPr>
          <w:b w:val="0"/>
        </w:rPr>
        <w:t xml:space="preserve"> </w:t>
      </w:r>
    </w:p>
    <w:p w14:paraId="4204929A" w14:textId="77777777" w:rsidR="002A21AE" w:rsidRDefault="002A21AE">
      <w:pPr>
        <w:pStyle w:val="ListBullet"/>
      </w:pPr>
      <w:r>
        <w:t>Transfused unit data for the report were saved in VBECS.</w:t>
      </w:r>
    </w:p>
    <w:p w14:paraId="44790652" w14:textId="77777777" w:rsidR="002A21AE" w:rsidRDefault="002A21AE">
      <w:pPr>
        <w:pStyle w:val="Heading4"/>
      </w:pPr>
      <w:r>
        <w:t xml:space="preserve">Outcome </w:t>
      </w:r>
    </w:p>
    <w:p w14:paraId="71F45299" w14:textId="77777777" w:rsidR="002A21AE" w:rsidRDefault="00AE521B">
      <w:pPr>
        <w:pStyle w:val="ListBullet"/>
      </w:pPr>
      <w:r>
        <w:t>The user views and/or prints the report</w:t>
      </w:r>
      <w:r w:rsidR="002A21AE">
        <w:t xml:space="preserve">. </w:t>
      </w:r>
    </w:p>
    <w:p w14:paraId="4511BD7B" w14:textId="77777777" w:rsidR="002A21AE" w:rsidRDefault="002A21AE">
      <w:pPr>
        <w:pStyle w:val="Heading4"/>
        <w:rPr>
          <w:b w:val="0"/>
        </w:rPr>
      </w:pPr>
      <w:r>
        <w:t>Limitations and Restrictions</w:t>
      </w:r>
      <w:r>
        <w:rPr>
          <w:b w:val="0"/>
        </w:rPr>
        <w:t xml:space="preserve"> </w:t>
      </w:r>
    </w:p>
    <w:p w14:paraId="549EE1F0" w14:textId="77777777" w:rsidR="002A21AE" w:rsidRDefault="002A21AE">
      <w:pPr>
        <w:pStyle w:val="ListBullet"/>
      </w:pPr>
      <w:r>
        <w:t>None</w:t>
      </w:r>
    </w:p>
    <w:p w14:paraId="6E4E8E40" w14:textId="77777777" w:rsidR="002A21AE" w:rsidRDefault="002A21AE">
      <w:pPr>
        <w:pStyle w:val="Heading4"/>
      </w:pPr>
      <w:r>
        <w:t xml:space="preserve">Additional Information </w:t>
      </w:r>
    </w:p>
    <w:p w14:paraId="56B413D3" w14:textId="77777777" w:rsidR="002A21AE" w:rsidRDefault="002A21AE">
      <w:pPr>
        <w:pStyle w:val="ListBullet"/>
      </w:pPr>
      <w:r>
        <w:rPr>
          <w:rFonts w:ascii="Arial" w:hAnsi="Arial" w:cs="Arial"/>
          <w:vanish/>
          <w:spacing w:val="0"/>
          <w:sz w:val="18"/>
        </w:rPr>
        <w:t xml:space="preserve">BR_74.01 </w:t>
      </w:r>
      <w:r>
        <w:t>VBECS compiles data for the report from the user’s login division.</w:t>
      </w:r>
    </w:p>
    <w:p w14:paraId="5569791E" w14:textId="77777777" w:rsidR="002A21AE" w:rsidRDefault="002A21AE">
      <w:pPr>
        <w:pStyle w:val="Heading4"/>
        <w:rPr>
          <w:b w:val="0"/>
        </w:rPr>
      </w:pPr>
      <w:r>
        <w:t xml:space="preserve">User Roles </w:t>
      </w:r>
      <w:r w:rsidRPr="005F46D4">
        <w:rPr>
          <w:rFonts w:ascii="Arial Bold" w:hAnsi="Arial Bold"/>
          <w:vanish/>
        </w:rPr>
        <w:t xml:space="preserve">with </w:t>
      </w:r>
      <w:r>
        <w:t>Access to This Option</w:t>
      </w:r>
      <w:r>
        <w:rPr>
          <w:b w:val="0"/>
        </w:rPr>
        <w:t xml:space="preserve"> </w:t>
      </w:r>
    </w:p>
    <w:p w14:paraId="4A584A37" w14:textId="77777777" w:rsidR="002A21AE" w:rsidRDefault="00606FB0">
      <w:pPr>
        <w:pStyle w:val="Roles"/>
      </w:pPr>
      <w:r>
        <w:t>All users</w:t>
      </w:r>
    </w:p>
    <w:p w14:paraId="38240369" w14:textId="77777777" w:rsidR="002A21AE" w:rsidRDefault="002A21AE">
      <w:pPr>
        <w:pStyle w:val="Heading4"/>
      </w:pPr>
      <w:r>
        <w:t xml:space="preserve">Division Transfusion Report </w:t>
      </w:r>
    </w:p>
    <w:p w14:paraId="58A3AE68" w14:textId="77777777" w:rsidR="002A21AE" w:rsidRDefault="002A21AE" w:rsidP="00FA7E65">
      <w:pPr>
        <w:pStyle w:val="BodyText"/>
      </w:pPr>
      <w:r>
        <w:t xml:space="preserve">The user views </w:t>
      </w:r>
      <w:r w:rsidR="00EB1E5A">
        <w:t xml:space="preserve">and/or </w:t>
      </w:r>
      <w:r>
        <w:t>prints a Division Transfusion Report</w:t>
      </w:r>
      <w:r w:rsidR="000E7CF5">
        <w:t>, which lists details of units transfused during a selected period</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2E27061" w14:textId="77777777">
        <w:trPr>
          <w:cantSplit/>
          <w:tblHeader/>
        </w:trPr>
        <w:tc>
          <w:tcPr>
            <w:tcW w:w="3240" w:type="dxa"/>
            <w:shd w:val="pct30" w:color="auto" w:fill="FFFFFF"/>
            <w:vAlign w:val="bottom"/>
          </w:tcPr>
          <w:p w14:paraId="1A66AEC4" w14:textId="77777777" w:rsidR="002A21AE" w:rsidRDefault="002A21AE">
            <w:pPr>
              <w:pStyle w:val="TableText"/>
              <w:rPr>
                <w:b/>
              </w:rPr>
            </w:pPr>
            <w:r>
              <w:rPr>
                <w:b/>
              </w:rPr>
              <w:t>User Action</w:t>
            </w:r>
          </w:p>
        </w:tc>
        <w:tc>
          <w:tcPr>
            <w:tcW w:w="6120" w:type="dxa"/>
            <w:shd w:val="pct30" w:color="auto" w:fill="FFFFFF"/>
            <w:vAlign w:val="bottom"/>
          </w:tcPr>
          <w:p w14:paraId="704B46A7" w14:textId="77777777" w:rsidR="002A21AE" w:rsidRDefault="002A21AE">
            <w:pPr>
              <w:pStyle w:val="TableText"/>
              <w:rPr>
                <w:b/>
              </w:rPr>
            </w:pPr>
            <w:r>
              <w:rPr>
                <w:b/>
              </w:rPr>
              <w:t>VBECS</w:t>
            </w:r>
          </w:p>
        </w:tc>
      </w:tr>
      <w:tr w:rsidR="002A21AE" w14:paraId="5E49DBA9" w14:textId="77777777">
        <w:tc>
          <w:tcPr>
            <w:tcW w:w="3240" w:type="dxa"/>
            <w:tcBorders>
              <w:top w:val="single" w:sz="4" w:space="0" w:color="auto"/>
              <w:left w:val="single" w:sz="4" w:space="0" w:color="auto"/>
              <w:bottom w:val="single" w:sz="4" w:space="0" w:color="auto"/>
              <w:right w:val="single" w:sz="4" w:space="0" w:color="auto"/>
            </w:tcBorders>
          </w:tcPr>
          <w:p w14:paraId="13FDE885" w14:textId="77777777" w:rsidR="002A21AE" w:rsidRDefault="002A21AE">
            <w:pPr>
              <w:pStyle w:val="TableTextNumbers"/>
            </w:pPr>
            <w:r>
              <w:t xml:space="preserve">Select </w:t>
            </w:r>
            <w:r>
              <w:rPr>
                <w:b/>
              </w:rPr>
              <w:t>Reports</w:t>
            </w:r>
            <w:r>
              <w:t xml:space="preserve"> from the main menu.</w:t>
            </w:r>
          </w:p>
          <w:p w14:paraId="0ECE0166" w14:textId="77777777" w:rsidR="002A21AE" w:rsidRDefault="002A21AE">
            <w:pPr>
              <w:pStyle w:val="TableTextNumbersContinued"/>
            </w:pPr>
          </w:p>
          <w:p w14:paraId="101859AF" w14:textId="77777777" w:rsidR="002A21AE" w:rsidRDefault="002A21AE">
            <w:pPr>
              <w:pStyle w:val="TableTextNumbersContinued"/>
            </w:pPr>
            <w:r>
              <w:t xml:space="preserve">Select </w:t>
            </w:r>
            <w:r>
              <w:rPr>
                <w:b/>
              </w:rPr>
              <w:t>Division Transfusion Report</w:t>
            </w:r>
            <w:r>
              <w:t>.</w:t>
            </w:r>
          </w:p>
        </w:tc>
        <w:tc>
          <w:tcPr>
            <w:tcW w:w="6120" w:type="dxa"/>
            <w:tcBorders>
              <w:top w:val="single" w:sz="4" w:space="0" w:color="auto"/>
              <w:left w:val="single" w:sz="4" w:space="0" w:color="auto"/>
              <w:bottom w:val="single" w:sz="4" w:space="0" w:color="auto"/>
              <w:right w:val="single" w:sz="4" w:space="0" w:color="auto"/>
            </w:tcBorders>
          </w:tcPr>
          <w:p w14:paraId="113547D3" w14:textId="77777777" w:rsidR="002A21AE" w:rsidRDefault="002A21AE">
            <w:pPr>
              <w:pStyle w:val="TableTextBullet"/>
            </w:pPr>
            <w:r>
              <w:t>Lists report names.</w:t>
            </w:r>
          </w:p>
          <w:p w14:paraId="44111470" w14:textId="77777777" w:rsidR="002A21AE" w:rsidRDefault="002A21AE">
            <w:pPr>
              <w:pStyle w:val="TableTextBullet"/>
            </w:pPr>
            <w:r>
              <w:t>Displays fields for entering a report date range.</w:t>
            </w:r>
          </w:p>
        </w:tc>
      </w:tr>
      <w:tr w:rsidR="002A21AE" w14:paraId="5BD79351" w14:textId="77777777">
        <w:tc>
          <w:tcPr>
            <w:tcW w:w="3240" w:type="dxa"/>
          </w:tcPr>
          <w:p w14:paraId="527CCD77" w14:textId="77777777" w:rsidR="002A21AE" w:rsidRDefault="002A21AE">
            <w:pPr>
              <w:pStyle w:val="TableTextNumbers"/>
            </w:pPr>
            <w:r>
              <w:t xml:space="preserve">Enter or select start and end dates. </w:t>
            </w:r>
          </w:p>
          <w:p w14:paraId="18E33DBA" w14:textId="77777777" w:rsidR="002A21AE" w:rsidRDefault="002A21AE">
            <w:pPr>
              <w:pStyle w:val="TableTextNumbersContinued"/>
            </w:pPr>
          </w:p>
          <w:p w14:paraId="2F32D451" w14:textId="77777777" w:rsidR="002A21AE" w:rsidRDefault="002A21AE">
            <w:pPr>
              <w:pStyle w:val="TableTextNumbersContinued"/>
            </w:pPr>
            <w:r>
              <w:t xml:space="preserve">In the Report Type area, select the </w:t>
            </w:r>
            <w:r>
              <w:rPr>
                <w:b/>
              </w:rPr>
              <w:t>Issuing Physician Report</w:t>
            </w:r>
            <w:r>
              <w:t xml:space="preserve">, </w:t>
            </w:r>
            <w:r>
              <w:rPr>
                <w:b/>
              </w:rPr>
              <w:t>Treating Specialty Report</w:t>
            </w:r>
            <w:r>
              <w:t xml:space="preserve">, </w:t>
            </w:r>
            <w:r>
              <w:rPr>
                <w:b/>
              </w:rPr>
              <w:t xml:space="preserve">Issued-To Location Report </w:t>
            </w:r>
            <w:r w:rsidR="00057A94" w:rsidRPr="00057A94">
              <w:t>or</w:t>
            </w:r>
            <w:r w:rsidR="00057A94">
              <w:rPr>
                <w:b/>
              </w:rPr>
              <w:t xml:space="preserve"> Component Class Report </w:t>
            </w:r>
            <w:r w:rsidRPr="00BF2E41">
              <w:t>radio button</w:t>
            </w:r>
            <w:r>
              <w:t>.</w:t>
            </w:r>
          </w:p>
          <w:p w14:paraId="666838D3" w14:textId="77777777" w:rsidR="00057A94" w:rsidRDefault="00057A94">
            <w:pPr>
              <w:pStyle w:val="TableTextNumbersContinued"/>
            </w:pPr>
          </w:p>
          <w:p w14:paraId="60C3C6D6" w14:textId="55959D56" w:rsidR="00057A94" w:rsidRDefault="00057A94">
            <w:pPr>
              <w:pStyle w:val="TableTextNumbersContinued"/>
            </w:pPr>
            <w:r>
              <w:t>May select all or specific items to be included in the report.</w:t>
            </w:r>
          </w:p>
        </w:tc>
        <w:tc>
          <w:tcPr>
            <w:tcW w:w="6120" w:type="dxa"/>
          </w:tcPr>
          <w:p w14:paraId="51AFD768" w14:textId="4DD6FC01" w:rsidR="002A21AE" w:rsidRDefault="002A21AE">
            <w:pPr>
              <w:pStyle w:val="TableTextBullet"/>
            </w:pPr>
            <w:r>
              <w:rPr>
                <w:rFonts w:cs="Arial"/>
                <w:vanish/>
              </w:rPr>
              <w:t xml:space="preserve">BR_74.05 </w:t>
            </w:r>
            <w:r>
              <w:t>Allows the user to compile the report by issuing physician, by treating specialty, or by issued-to location</w:t>
            </w:r>
            <w:r w:rsidR="005F46D4">
              <w:t xml:space="preserve"> or component classes</w:t>
            </w:r>
            <w:r>
              <w:t>.</w:t>
            </w:r>
          </w:p>
          <w:p w14:paraId="502494C9" w14:textId="029707EF" w:rsidR="005F46D4" w:rsidRDefault="002A21AE" w:rsidP="005F46D4">
            <w:pPr>
              <w:pStyle w:val="TableTextBullet"/>
            </w:pPr>
            <w:r>
              <w:rPr>
                <w:rFonts w:cs="Arial"/>
                <w:vanish/>
              </w:rPr>
              <w:t xml:space="preserve">BR_74.06 </w:t>
            </w:r>
            <w:r>
              <w:t xml:space="preserve">Allows the user to include some or all </w:t>
            </w:r>
            <w:r w:rsidR="005F46D4">
              <w:t xml:space="preserve">issuing </w:t>
            </w:r>
            <w:r>
              <w:t>physicians, treating specialties, or issued-to locations</w:t>
            </w:r>
            <w:r w:rsidR="005F46D4">
              <w:t xml:space="preserve"> or component classes</w:t>
            </w:r>
            <w:r>
              <w:t>.</w:t>
            </w:r>
          </w:p>
          <w:p w14:paraId="77180628" w14:textId="3C3E57AB" w:rsidR="005F46D4" w:rsidRDefault="005F46D4" w:rsidP="005F46D4">
            <w:pPr>
              <w:pStyle w:val="TableTextBullet"/>
            </w:pPr>
            <w:r>
              <w:rPr>
                <w:rFonts w:cs="Arial"/>
              </w:rPr>
              <w:t>At the end, there is a summary table with tallies by Unit ABO/Rh and component class.</w:t>
            </w:r>
          </w:p>
          <w:p w14:paraId="0DBA6509" w14:textId="77777777" w:rsidR="002A21AE" w:rsidRDefault="002A21AE">
            <w:pPr>
              <w:pStyle w:val="TableText"/>
            </w:pPr>
          </w:p>
          <w:p w14:paraId="42C2CDA1" w14:textId="036FBEB2" w:rsidR="002A21AE" w:rsidRDefault="002A21AE">
            <w:pPr>
              <w:pStyle w:val="TableText"/>
              <w:rPr>
                <w:b/>
                <w:bCs/>
                <w:szCs w:val="18"/>
              </w:rPr>
            </w:pPr>
            <w:r>
              <w:rPr>
                <w:b/>
                <w:bCs/>
                <w:szCs w:val="18"/>
              </w:rPr>
              <w:t>NOTES</w:t>
            </w:r>
          </w:p>
          <w:p w14:paraId="6A474558" w14:textId="77777777" w:rsidR="00DA42F6" w:rsidRDefault="00DA42F6">
            <w:pPr>
              <w:pStyle w:val="NotesText"/>
            </w:pPr>
          </w:p>
          <w:p w14:paraId="25A23BA9" w14:textId="43B4CEA4" w:rsidR="002A21AE" w:rsidRDefault="00DA42F6" w:rsidP="00DA42F6">
            <w:pPr>
              <w:pStyle w:val="NotesText"/>
            </w:pPr>
            <w:r w:rsidRPr="00DA42F6">
              <w:rPr>
                <w:vanish/>
              </w:rPr>
              <w:t xml:space="preserve">BR_74.08 </w:t>
            </w:r>
            <w:r>
              <w:t>The user has the option to create the report by component class and to select some or all of the component classes for inclusion. The list includes all VBECS component classes.</w:t>
            </w:r>
          </w:p>
        </w:tc>
      </w:tr>
      <w:tr w:rsidR="002A21AE" w14:paraId="5F3D4CFE" w14:textId="77777777" w:rsidTr="00E35FC4">
        <w:trPr>
          <w:cantSplit/>
        </w:trPr>
        <w:tc>
          <w:tcPr>
            <w:tcW w:w="3240" w:type="dxa"/>
          </w:tcPr>
          <w:p w14:paraId="783B6ADB" w14:textId="77777777" w:rsidR="002A21AE" w:rsidRDefault="006738EE">
            <w:pPr>
              <w:pStyle w:val="TableTextNumbers"/>
            </w:pPr>
            <w:r>
              <w:t xml:space="preserve">In the </w:t>
            </w:r>
            <w:r w:rsidRPr="006738EE">
              <w:t>Report Compilation</w:t>
            </w:r>
            <w:r>
              <w:t xml:space="preserve"> area, click the </w:t>
            </w:r>
            <w:r w:rsidRPr="006738EE">
              <w:rPr>
                <w:b/>
              </w:rPr>
              <w:t>Create Report Now</w:t>
            </w:r>
            <w:r>
              <w:t xml:space="preserve"> radio button. Click </w:t>
            </w:r>
            <w:r w:rsidRPr="006738EE">
              <w:rPr>
                <w:b/>
              </w:rPr>
              <w:t>OK</w:t>
            </w:r>
            <w:r>
              <w:t xml:space="preserve"> to review the report, or</w:t>
            </w:r>
          </w:p>
          <w:p w14:paraId="1A7F4AFF" w14:textId="77777777" w:rsidR="006738EE" w:rsidRDefault="006738EE" w:rsidP="006738EE">
            <w:pPr>
              <w:pStyle w:val="TableTextNumbers"/>
              <w:numPr>
                <w:ilvl w:val="0"/>
                <w:numId w:val="0"/>
              </w:numPr>
              <w:ind w:left="288" w:hanging="288"/>
            </w:pPr>
          </w:p>
          <w:p w14:paraId="206CE0CB" w14:textId="77777777" w:rsidR="006738EE" w:rsidRDefault="006738EE" w:rsidP="006738EE">
            <w:pPr>
              <w:pStyle w:val="TableTextNumbers"/>
              <w:numPr>
                <w:ilvl w:val="0"/>
                <w:numId w:val="0"/>
              </w:numPr>
              <w:ind w:left="270" w:firstLine="18"/>
            </w:pPr>
            <w:r>
              <w:t xml:space="preserve">Click the </w:t>
            </w:r>
            <w:r w:rsidRPr="006738EE">
              <w:rPr>
                <w:b/>
              </w:rPr>
              <w:t xml:space="preserve">Schedule Print Job </w:t>
            </w:r>
            <w:r w:rsidRPr="009554A6">
              <w:t xml:space="preserve">radio button </w:t>
            </w:r>
            <w:r>
              <w:t xml:space="preserve">and </w:t>
            </w:r>
            <w:r w:rsidRPr="006738EE">
              <w:rPr>
                <w:b/>
              </w:rPr>
              <w:t>OK</w:t>
            </w:r>
            <w:r>
              <w:t xml:space="preserve">, then enter or select a print date and printer name. Click </w:t>
            </w:r>
            <w:r w:rsidRPr="006738EE">
              <w:rPr>
                <w:b/>
              </w:rPr>
              <w:t>OK</w:t>
            </w:r>
            <w:r>
              <w:t xml:space="preserve"> to view and print the report.</w:t>
            </w:r>
          </w:p>
        </w:tc>
        <w:tc>
          <w:tcPr>
            <w:tcW w:w="6120" w:type="dxa"/>
          </w:tcPr>
          <w:p w14:paraId="0BF8A284" w14:textId="77777777" w:rsidR="002A21AE" w:rsidRDefault="002A21AE">
            <w:pPr>
              <w:pStyle w:val="TableTextBullet"/>
            </w:pPr>
            <w:r>
              <w:t>Compiles and displays the report.</w:t>
            </w:r>
          </w:p>
          <w:p w14:paraId="5C7F6277" w14:textId="77777777" w:rsidR="002A21AE" w:rsidRDefault="002A21AE">
            <w:pPr>
              <w:pStyle w:val="TableText"/>
            </w:pPr>
          </w:p>
          <w:p w14:paraId="1DF15822" w14:textId="70F366BD" w:rsidR="002A21AE" w:rsidRDefault="002A21AE">
            <w:pPr>
              <w:pStyle w:val="TableText"/>
              <w:rPr>
                <w:b/>
                <w:bCs/>
                <w:szCs w:val="18"/>
              </w:rPr>
            </w:pPr>
            <w:r>
              <w:rPr>
                <w:b/>
                <w:bCs/>
                <w:szCs w:val="18"/>
              </w:rPr>
              <w:t>NOTES</w:t>
            </w:r>
          </w:p>
          <w:p w14:paraId="4ECECF37" w14:textId="77777777" w:rsidR="002A21AE" w:rsidRDefault="002A21AE">
            <w:pPr>
              <w:pStyle w:val="NotesText"/>
            </w:pPr>
          </w:p>
          <w:p w14:paraId="6EF05A07" w14:textId="77777777" w:rsidR="002A21AE" w:rsidRDefault="002A21AE">
            <w:pPr>
              <w:pStyle w:val="NotesText"/>
            </w:pPr>
            <w:r>
              <w:rPr>
                <w:rFonts w:cs="Arial"/>
                <w:vanish/>
              </w:rPr>
              <w:t xml:space="preserve">BR_74.03 </w:t>
            </w:r>
            <w:r>
              <w:t>The report displays tallies of units transfused by component class within the date range, by:</w:t>
            </w:r>
          </w:p>
          <w:p w14:paraId="15BAB1B6" w14:textId="77777777" w:rsidR="002A21AE" w:rsidRDefault="002A21AE">
            <w:pPr>
              <w:pStyle w:val="NotesTextBullet"/>
            </w:pPr>
            <w:r>
              <w:t>Physician name</w:t>
            </w:r>
          </w:p>
          <w:p w14:paraId="36404DA3" w14:textId="77777777" w:rsidR="002A21AE" w:rsidRDefault="002A21AE">
            <w:pPr>
              <w:pStyle w:val="NotesTextBullet"/>
            </w:pPr>
            <w:r>
              <w:t>Treating specialty</w:t>
            </w:r>
          </w:p>
          <w:p w14:paraId="5BEF3ABC" w14:textId="1B706107" w:rsidR="002A21AE" w:rsidRDefault="002A21AE">
            <w:pPr>
              <w:pStyle w:val="NotesTextBullet"/>
            </w:pPr>
            <w:r>
              <w:t>Issued-to location</w:t>
            </w:r>
          </w:p>
          <w:p w14:paraId="739180ED" w14:textId="00AAEB75" w:rsidR="002A21AE" w:rsidRDefault="00EA021C" w:rsidP="00EA021C">
            <w:pPr>
              <w:pStyle w:val="NotesTextBullet"/>
            </w:pPr>
            <w:r>
              <w:t>Component class</w:t>
            </w:r>
          </w:p>
          <w:p w14:paraId="38179489" w14:textId="77777777" w:rsidR="00EA021C" w:rsidRPr="00EA021C" w:rsidRDefault="00EA021C" w:rsidP="00EA021C">
            <w:pPr>
              <w:pStyle w:val="NotesTextBullet"/>
              <w:numPr>
                <w:ilvl w:val="0"/>
                <w:numId w:val="0"/>
              </w:numPr>
              <w:ind w:left="720"/>
            </w:pPr>
          </w:p>
          <w:p w14:paraId="300BFB9C" w14:textId="77777777" w:rsidR="002A21AE" w:rsidRDefault="002A21AE">
            <w:pPr>
              <w:pStyle w:val="NotesText"/>
            </w:pPr>
          </w:p>
          <w:p w14:paraId="56C05EB8" w14:textId="77777777" w:rsidR="002A21AE" w:rsidRDefault="002A21AE">
            <w:pPr>
              <w:pStyle w:val="NotesText"/>
            </w:pPr>
            <w:r>
              <w:rPr>
                <w:rFonts w:cs="Arial"/>
                <w:vanish/>
              </w:rPr>
              <w:t xml:space="preserve">BR_74.04 </w:t>
            </w:r>
            <w:r>
              <w:t>Reports include:</w:t>
            </w:r>
          </w:p>
          <w:p w14:paraId="2CFEAAE3" w14:textId="77777777" w:rsidR="002A21AE" w:rsidRDefault="002A21AE">
            <w:pPr>
              <w:pStyle w:val="NotesTextBullet"/>
            </w:pPr>
            <w:r>
              <w:t>Patient name</w:t>
            </w:r>
          </w:p>
          <w:p w14:paraId="40EE8B79" w14:textId="77777777" w:rsidR="002A21AE" w:rsidRDefault="002A21AE">
            <w:pPr>
              <w:pStyle w:val="NotesTextBullet"/>
            </w:pPr>
            <w:r>
              <w:t>Patient ID</w:t>
            </w:r>
          </w:p>
          <w:p w14:paraId="1A6985F7" w14:textId="77777777" w:rsidR="002A21AE" w:rsidRDefault="002A21AE">
            <w:pPr>
              <w:pStyle w:val="NotesTextBullet"/>
            </w:pPr>
            <w:r>
              <w:t>Unit ID</w:t>
            </w:r>
          </w:p>
          <w:p w14:paraId="5D450283" w14:textId="597DEF0B" w:rsidR="002A21AE" w:rsidRDefault="002A21AE">
            <w:pPr>
              <w:pStyle w:val="NotesTextBullet"/>
            </w:pPr>
            <w:r>
              <w:t>Product short name</w:t>
            </w:r>
            <w:r w:rsidR="0060023C">
              <w:t xml:space="preserve"> and product code</w:t>
            </w:r>
          </w:p>
          <w:p w14:paraId="3B7E34C1" w14:textId="4F486591" w:rsidR="002A21AE" w:rsidRDefault="002A21AE">
            <w:pPr>
              <w:pStyle w:val="NotesTextBullet"/>
            </w:pPr>
            <w:r>
              <w:t>If pooled, number of participants in pool</w:t>
            </w:r>
          </w:p>
          <w:p w14:paraId="276D4D16" w14:textId="188A6F37" w:rsidR="0060023C" w:rsidRDefault="0060023C">
            <w:pPr>
              <w:pStyle w:val="NotesTextBullet"/>
            </w:pPr>
            <w:r>
              <w:t>Unit ABO/Rh</w:t>
            </w:r>
          </w:p>
          <w:p w14:paraId="73BAAFCB" w14:textId="77777777" w:rsidR="002A21AE" w:rsidRDefault="002A21AE">
            <w:pPr>
              <w:pStyle w:val="NotesTextBullet"/>
            </w:pPr>
            <w:r>
              <w:t>Date and time Issued</w:t>
            </w:r>
          </w:p>
          <w:p w14:paraId="5BF6FD39" w14:textId="77777777" w:rsidR="002A21AE" w:rsidRDefault="002A21AE">
            <w:pPr>
              <w:pStyle w:val="NotesTextBullet"/>
            </w:pPr>
            <w:r>
              <w:t>Issued-to location</w:t>
            </w:r>
          </w:p>
          <w:p w14:paraId="2D5D64ED" w14:textId="77777777" w:rsidR="002A21AE" w:rsidRDefault="002A21AE">
            <w:pPr>
              <w:pStyle w:val="NotesTextBullet"/>
            </w:pPr>
            <w:r>
              <w:t>Physician</w:t>
            </w:r>
          </w:p>
          <w:p w14:paraId="72F59D2E" w14:textId="77777777" w:rsidR="002A21AE" w:rsidRDefault="002A21AE">
            <w:pPr>
              <w:pStyle w:val="NotesTextBullet"/>
            </w:pPr>
            <w:r>
              <w:t>Treating specialty</w:t>
            </w:r>
          </w:p>
          <w:p w14:paraId="539BD9AF" w14:textId="77777777" w:rsidR="002A21AE" w:rsidRDefault="002A21AE">
            <w:pPr>
              <w:pStyle w:val="NotesTextBullet"/>
            </w:pPr>
            <w:r>
              <w:t>Transfused or presumed transfused indicator, if present</w:t>
            </w:r>
          </w:p>
          <w:p w14:paraId="1CFADEAD" w14:textId="77777777" w:rsidR="00801D1F" w:rsidRPr="00AA2B2E" w:rsidRDefault="002A21AE" w:rsidP="00AA2B2E">
            <w:pPr>
              <w:pStyle w:val="NotesTextBullet"/>
              <w:rPr>
                <w:rFonts w:cs="Arial"/>
              </w:rPr>
            </w:pPr>
            <w:r>
              <w:t>Transfusion comments, if any</w:t>
            </w:r>
          </w:p>
        </w:tc>
      </w:tr>
      <w:tr w:rsidR="002A21AE" w14:paraId="11415545" w14:textId="77777777">
        <w:tc>
          <w:tcPr>
            <w:tcW w:w="3240" w:type="dxa"/>
          </w:tcPr>
          <w:p w14:paraId="4DBF8450" w14:textId="51936285"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000BEBD0" w14:textId="77777777" w:rsidR="005C22EF" w:rsidRDefault="005C22EF" w:rsidP="005C22EF">
            <w:pPr>
              <w:pStyle w:val="TableTextBullet"/>
            </w:pPr>
            <w:r>
              <w:t>If Print is selected, prints the report on the designated printer.</w:t>
            </w:r>
          </w:p>
          <w:p w14:paraId="6462363E" w14:textId="77777777" w:rsidR="005C22EF" w:rsidRDefault="005C22EF" w:rsidP="005C22EF">
            <w:pPr>
              <w:pStyle w:val="TableTextBullet"/>
            </w:pPr>
            <w:r>
              <w:t>If Export is selected, exports the report to the designated file.</w:t>
            </w:r>
          </w:p>
          <w:p w14:paraId="4743DB50" w14:textId="26C7E4C2" w:rsidR="002A21AE" w:rsidRDefault="005C22EF" w:rsidP="005C22EF">
            <w:pPr>
              <w:pStyle w:val="TableTextBullet"/>
            </w:pPr>
            <w:r>
              <w:t>If Close is selected, exits the report preview.</w:t>
            </w:r>
          </w:p>
        </w:tc>
      </w:tr>
    </w:tbl>
    <w:p w14:paraId="13B24685" w14:textId="77777777" w:rsidR="008C5564" w:rsidRDefault="00F55832" w:rsidP="008C5564">
      <w:pPr>
        <w:pStyle w:val="Heading2"/>
      </w:pPr>
      <w:r>
        <w:br w:type="page"/>
      </w:r>
      <w:bookmarkStart w:id="537" w:name="_Toc149064185"/>
      <w:r w:rsidR="008C5564">
        <w:t>Division Workload Report</w:t>
      </w:r>
      <w:bookmarkEnd w:id="537"/>
      <w:r w:rsidR="008C5564">
        <w:fldChar w:fldCharType="begin"/>
      </w:r>
      <w:r w:rsidR="008C5564">
        <w:instrText xml:space="preserve"> XE </w:instrText>
      </w:r>
      <w:r w:rsidR="00FA7E65">
        <w:instrText>“</w:instrText>
      </w:r>
      <w:r w:rsidR="008C5564">
        <w:instrText>Division Workload Report</w:instrText>
      </w:r>
      <w:r w:rsidR="00FA7E65">
        <w:instrText>”</w:instrText>
      </w:r>
      <w:r w:rsidR="008C5564">
        <w:instrText xml:space="preserve"> </w:instrText>
      </w:r>
      <w:r w:rsidR="008C5564">
        <w:fldChar w:fldCharType="end"/>
      </w:r>
      <w:r w:rsidR="008C5564">
        <w:t xml:space="preserve"> </w:t>
      </w:r>
      <w:r w:rsidR="008C5564">
        <w:rPr>
          <w:vanish/>
        </w:rPr>
        <w:t>UC_79</w:t>
      </w:r>
    </w:p>
    <w:p w14:paraId="39482419" w14:textId="77777777" w:rsidR="008C5564" w:rsidRDefault="008C5564" w:rsidP="00FA7E65">
      <w:pPr>
        <w:pStyle w:val="BodyText"/>
      </w:pPr>
      <w:r>
        <w:t xml:space="preserve">The user views </w:t>
      </w:r>
      <w:r w:rsidR="00EB1E5A">
        <w:t xml:space="preserve">and/or </w:t>
      </w:r>
      <w:r>
        <w:t>prints a workload report.</w:t>
      </w:r>
    </w:p>
    <w:p w14:paraId="1F9DAD5F" w14:textId="77777777" w:rsidR="008C5564" w:rsidRDefault="008C5564" w:rsidP="008C5564">
      <w:pPr>
        <w:pStyle w:val="Heading4"/>
      </w:pPr>
      <w:r>
        <w:t>Assumptions</w:t>
      </w:r>
      <w:r>
        <w:rPr>
          <w:b w:val="0"/>
        </w:rPr>
        <w:t xml:space="preserve"> </w:t>
      </w:r>
    </w:p>
    <w:p w14:paraId="7F10EAA0" w14:textId="77777777" w:rsidR="008C5564" w:rsidRDefault="00CA6E27" w:rsidP="008C5564">
      <w:pPr>
        <w:pStyle w:val="ListBullet"/>
        <w:rPr>
          <w:b/>
        </w:rPr>
      </w:pPr>
      <w:r w:rsidRPr="00CA6E27">
        <w:rPr>
          <w:bCs/>
        </w:rPr>
        <w:t>VistA</w:t>
      </w:r>
      <w:r w:rsidR="008C5564">
        <w:t xml:space="preserve"> workload codes were assigned to VBECS processes through Workload Codes.</w:t>
      </w:r>
    </w:p>
    <w:p w14:paraId="47060984" w14:textId="77777777" w:rsidR="008C5564" w:rsidRDefault="008C5564" w:rsidP="008C5564">
      <w:pPr>
        <w:pStyle w:val="ListBullet"/>
      </w:pPr>
      <w:r>
        <w:t xml:space="preserve">Data for the report were saved in VBECS. </w:t>
      </w:r>
    </w:p>
    <w:p w14:paraId="4DA7DD80" w14:textId="77777777" w:rsidR="008C5564" w:rsidRDefault="008C5564" w:rsidP="008C5564">
      <w:pPr>
        <w:pStyle w:val="Heading4"/>
      </w:pPr>
      <w:r>
        <w:t xml:space="preserve">Outcome </w:t>
      </w:r>
    </w:p>
    <w:p w14:paraId="3BE95B74" w14:textId="77777777" w:rsidR="008C5564" w:rsidRDefault="00AE521B" w:rsidP="008C5564">
      <w:pPr>
        <w:pStyle w:val="ListBullet"/>
      </w:pPr>
      <w:r>
        <w:t>The user views and/or prints the report</w:t>
      </w:r>
      <w:r w:rsidR="008C5564">
        <w:t>.</w:t>
      </w:r>
    </w:p>
    <w:p w14:paraId="026656D3" w14:textId="77777777" w:rsidR="008C5564" w:rsidRDefault="008C5564" w:rsidP="008C5564">
      <w:pPr>
        <w:pStyle w:val="Heading4"/>
        <w:rPr>
          <w:b w:val="0"/>
        </w:rPr>
      </w:pPr>
      <w:r>
        <w:t>Limitations and Restrictions</w:t>
      </w:r>
      <w:r>
        <w:rPr>
          <w:b w:val="0"/>
        </w:rPr>
        <w:t xml:space="preserve"> </w:t>
      </w:r>
    </w:p>
    <w:p w14:paraId="2B1D7C6C" w14:textId="6E88B699" w:rsidR="008C5564" w:rsidRDefault="00B413D4" w:rsidP="008C5564">
      <w:pPr>
        <w:pStyle w:val="ListBullet"/>
      </w:pPr>
      <w:r>
        <w:t xml:space="preserve">A report printed with an end date of today or greater does not print “Preliminary” in the header. Check the subsequent pages of the report and write “PRELIMINARY” on the front page of the report prior to filing. The information included in the report is accurate to the time printed. There is a possibility of a gap of information should the user not overlap the print requests. Generally, this report is printed for the day prior or a time period that does not include the current day. </w:t>
      </w:r>
      <w:r w:rsidRPr="00B413D4">
        <w:rPr>
          <w:vanish/>
        </w:rPr>
        <w:t>Defect 213101</w:t>
      </w:r>
    </w:p>
    <w:p w14:paraId="253B15AD" w14:textId="77777777" w:rsidR="008C5564" w:rsidRDefault="008C5564" w:rsidP="008C5564">
      <w:pPr>
        <w:pStyle w:val="Heading4"/>
      </w:pPr>
      <w:r>
        <w:t xml:space="preserve">Additional Information </w:t>
      </w:r>
    </w:p>
    <w:p w14:paraId="66BB618A" w14:textId="21D0F74B" w:rsidR="00991CFE" w:rsidRDefault="00991CFE" w:rsidP="00991CFE">
      <w:pPr>
        <w:pStyle w:val="ListBullet"/>
      </w:pPr>
      <w:r>
        <w:t>The report is available as a single-division or multidivisional (all divisions) report.</w:t>
      </w:r>
    </w:p>
    <w:p w14:paraId="68ABCC50" w14:textId="6013E7E3" w:rsidR="00C17377" w:rsidRDefault="00C17377" w:rsidP="00C17377">
      <w:pPr>
        <w:pStyle w:val="ListBullet"/>
      </w:pPr>
      <w:r>
        <w:t>The r</w:t>
      </w:r>
      <w:r w:rsidRPr="00C17377">
        <w:t>eport will not print as “Preliminary” when the report contains the current day in the range of data requested.</w:t>
      </w:r>
      <w:r w:rsidR="00244AD3">
        <w:t xml:space="preserve"> </w:t>
      </w:r>
      <w:r w:rsidR="00244AD3" w:rsidRPr="00244AD3">
        <w:rPr>
          <w:vanish/>
        </w:rPr>
        <w:t>Defect 209080</w:t>
      </w:r>
    </w:p>
    <w:p w14:paraId="3D99E737" w14:textId="77777777" w:rsidR="008C5564" w:rsidRDefault="008C5564" w:rsidP="008C5564">
      <w:pPr>
        <w:pStyle w:val="Heading4"/>
      </w:pPr>
      <w:r>
        <w:t>User Roles with Access to This Option</w:t>
      </w:r>
    </w:p>
    <w:p w14:paraId="5447FB07" w14:textId="77777777" w:rsidR="008C5564" w:rsidRDefault="00606FB0" w:rsidP="008C5564">
      <w:pPr>
        <w:pStyle w:val="Roles"/>
      </w:pPr>
      <w:r>
        <w:t>All users</w:t>
      </w:r>
    </w:p>
    <w:p w14:paraId="68761169" w14:textId="77777777" w:rsidR="008C5564" w:rsidRDefault="008C5564" w:rsidP="008C5564">
      <w:pPr>
        <w:pStyle w:val="Heading4"/>
      </w:pPr>
      <w:r>
        <w:t>Division Workload Report</w:t>
      </w:r>
      <w:r>
        <w:rPr>
          <w:rStyle w:val="CommentReference"/>
          <w:rFonts w:ascii="Times New Roman" w:hAnsi="Times New Roman"/>
          <w:b w:val="0"/>
          <w:bCs/>
          <w:vanish/>
        </w:rPr>
        <w:t xml:space="preserve"> </w:t>
      </w:r>
    </w:p>
    <w:p w14:paraId="1486C921" w14:textId="77777777" w:rsidR="008C5564" w:rsidRDefault="008C5564" w:rsidP="00FA7E65">
      <w:pPr>
        <w:pStyle w:val="BodyText"/>
      </w:pPr>
      <w:r>
        <w:t xml:space="preserve">The user views </w:t>
      </w:r>
      <w:r w:rsidR="00EB1E5A">
        <w:t xml:space="preserve">and/or </w:t>
      </w:r>
      <w:r w:rsidR="00DC3B23">
        <w:t>prints</w:t>
      </w:r>
      <w:r>
        <w:t xml:space="preserve"> a workload report</w:t>
      </w:r>
      <w:r w:rsidR="00DC3B23">
        <w:t xml:space="preserve">, which includes totals of workload types, for one or </w:t>
      </w:r>
      <w:r w:rsidR="00DD0E58">
        <w:t>all</w:t>
      </w:r>
      <w:r w:rsidR="00DC3B23">
        <w:t xml:space="preserve"> divisions</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8C5564" w14:paraId="19499B27" w14:textId="77777777">
        <w:trPr>
          <w:cantSplit/>
          <w:tblHeader/>
        </w:trPr>
        <w:tc>
          <w:tcPr>
            <w:tcW w:w="3240" w:type="dxa"/>
            <w:shd w:val="pct30" w:color="auto" w:fill="FFFFFF"/>
            <w:vAlign w:val="bottom"/>
          </w:tcPr>
          <w:p w14:paraId="11DEC49E" w14:textId="77777777" w:rsidR="008C5564" w:rsidRDefault="008C5564" w:rsidP="008C5564">
            <w:pPr>
              <w:pStyle w:val="TableText"/>
              <w:rPr>
                <w:b/>
              </w:rPr>
            </w:pPr>
            <w:r>
              <w:rPr>
                <w:b/>
              </w:rPr>
              <w:t>User Action</w:t>
            </w:r>
          </w:p>
        </w:tc>
        <w:tc>
          <w:tcPr>
            <w:tcW w:w="6120" w:type="dxa"/>
            <w:shd w:val="pct30" w:color="auto" w:fill="FFFFFF"/>
            <w:vAlign w:val="bottom"/>
          </w:tcPr>
          <w:p w14:paraId="2A299BC5" w14:textId="77777777" w:rsidR="008C5564" w:rsidRDefault="008C5564" w:rsidP="008C5564">
            <w:pPr>
              <w:pStyle w:val="TableText"/>
              <w:rPr>
                <w:b/>
              </w:rPr>
            </w:pPr>
            <w:r>
              <w:rPr>
                <w:b/>
              </w:rPr>
              <w:t>VBECS</w:t>
            </w:r>
          </w:p>
        </w:tc>
      </w:tr>
      <w:tr w:rsidR="008C5564" w14:paraId="2B10FAB3" w14:textId="77777777">
        <w:tc>
          <w:tcPr>
            <w:tcW w:w="3240" w:type="dxa"/>
          </w:tcPr>
          <w:p w14:paraId="37D1DEB1" w14:textId="77777777" w:rsidR="008C5564" w:rsidRDefault="008C5564" w:rsidP="008C5564">
            <w:pPr>
              <w:pStyle w:val="TableTextNumbers"/>
            </w:pPr>
            <w:r>
              <w:t xml:space="preserve">Select </w:t>
            </w:r>
            <w:r>
              <w:rPr>
                <w:b/>
              </w:rPr>
              <w:t>Reports</w:t>
            </w:r>
            <w:r>
              <w:t xml:space="preserve"> from the main menu.</w:t>
            </w:r>
          </w:p>
          <w:p w14:paraId="0958F6A2" w14:textId="77777777" w:rsidR="008C5564" w:rsidRDefault="008C5564" w:rsidP="008C5564">
            <w:pPr>
              <w:pStyle w:val="TableTextNumbersContinued"/>
            </w:pPr>
          </w:p>
          <w:p w14:paraId="34FA5F85" w14:textId="77777777" w:rsidR="008C5564" w:rsidRDefault="008C5564" w:rsidP="008C5564">
            <w:pPr>
              <w:pStyle w:val="TableTextNumbersContinued"/>
            </w:pPr>
            <w:r>
              <w:t xml:space="preserve">Select </w:t>
            </w:r>
            <w:r>
              <w:rPr>
                <w:b/>
              </w:rPr>
              <w:t>Division Workload Report</w:t>
            </w:r>
            <w:r>
              <w:t>.</w:t>
            </w:r>
          </w:p>
        </w:tc>
        <w:tc>
          <w:tcPr>
            <w:tcW w:w="6120" w:type="dxa"/>
          </w:tcPr>
          <w:p w14:paraId="042F53C7" w14:textId="77777777" w:rsidR="008C5564" w:rsidRDefault="008C5564" w:rsidP="008C5564">
            <w:pPr>
              <w:pStyle w:val="TableTextBullet"/>
            </w:pPr>
            <w:r>
              <w:t>Lists report names.</w:t>
            </w:r>
          </w:p>
          <w:p w14:paraId="26ADA055" w14:textId="77777777" w:rsidR="008C5564" w:rsidRDefault="008C5564" w:rsidP="008C5564">
            <w:pPr>
              <w:pStyle w:val="TableTextBullet"/>
            </w:pPr>
            <w:r>
              <w:t xml:space="preserve">Displays report division and compilation criteria. </w:t>
            </w:r>
          </w:p>
          <w:p w14:paraId="6DECA8B4" w14:textId="77777777" w:rsidR="008C5564" w:rsidRDefault="008C5564" w:rsidP="008C5564">
            <w:pPr>
              <w:pStyle w:val="TableTextBullet"/>
            </w:pPr>
            <w:r>
              <w:t>Displays a date range for selection.</w:t>
            </w:r>
          </w:p>
        </w:tc>
      </w:tr>
      <w:tr w:rsidR="008C5564" w14:paraId="0159AE0D" w14:textId="77777777">
        <w:tc>
          <w:tcPr>
            <w:tcW w:w="3240" w:type="dxa"/>
          </w:tcPr>
          <w:p w14:paraId="456E81DD" w14:textId="77777777" w:rsidR="008C5564" w:rsidRDefault="008C5564" w:rsidP="008C5564">
            <w:pPr>
              <w:pStyle w:val="TableTextNumbers"/>
            </w:pPr>
            <w:r>
              <w:t xml:space="preserve">Click the </w:t>
            </w:r>
            <w:r>
              <w:rPr>
                <w:b/>
              </w:rPr>
              <w:t xml:space="preserve">Current Divisions </w:t>
            </w:r>
            <w:r>
              <w:t>or</w:t>
            </w:r>
            <w:r>
              <w:rPr>
                <w:b/>
              </w:rPr>
              <w:t xml:space="preserve"> All Divisions </w:t>
            </w:r>
            <w:r w:rsidRPr="00BF2E41">
              <w:t>radio button</w:t>
            </w:r>
            <w:r>
              <w:t>.</w:t>
            </w:r>
          </w:p>
        </w:tc>
        <w:tc>
          <w:tcPr>
            <w:tcW w:w="6120" w:type="dxa"/>
          </w:tcPr>
          <w:p w14:paraId="3B78D726" w14:textId="77777777" w:rsidR="008C5564" w:rsidRDefault="008C5564" w:rsidP="008C5564">
            <w:pPr>
              <w:pStyle w:val="TableTextBullet"/>
            </w:pPr>
            <w:r>
              <w:t>Allows the user to select one or all divisions.</w:t>
            </w:r>
          </w:p>
          <w:p w14:paraId="25E29ACF" w14:textId="77777777" w:rsidR="008C5564" w:rsidRDefault="008C5564" w:rsidP="008C5564">
            <w:pPr>
              <w:pStyle w:val="TableTextBullet"/>
            </w:pPr>
            <w:r>
              <w:t>Displays a date range for selection.</w:t>
            </w:r>
          </w:p>
        </w:tc>
      </w:tr>
      <w:tr w:rsidR="008C5564" w14:paraId="4989814E" w14:textId="77777777">
        <w:tc>
          <w:tcPr>
            <w:tcW w:w="3240" w:type="dxa"/>
          </w:tcPr>
          <w:p w14:paraId="6876DAB3" w14:textId="77777777" w:rsidR="008C5564" w:rsidRDefault="008C5564" w:rsidP="008C5564">
            <w:pPr>
              <w:pStyle w:val="TableTextNumbers"/>
            </w:pPr>
            <w:r>
              <w:t>Enter or select start and end dates.</w:t>
            </w:r>
          </w:p>
        </w:tc>
        <w:tc>
          <w:tcPr>
            <w:tcW w:w="6120" w:type="dxa"/>
          </w:tcPr>
          <w:p w14:paraId="32B0E4CA" w14:textId="77777777" w:rsidR="008C5564" w:rsidRDefault="008C5564" w:rsidP="008C5564">
            <w:pPr>
              <w:pStyle w:val="TableTextBullet"/>
            </w:pPr>
            <w:r>
              <w:t>Compiles and displays the report.</w:t>
            </w:r>
          </w:p>
          <w:p w14:paraId="4745DD91" w14:textId="77777777" w:rsidR="008C5564" w:rsidRDefault="008C5564" w:rsidP="008C5564">
            <w:pPr>
              <w:pStyle w:val="TableTextBullet"/>
            </w:pPr>
            <w:r>
              <w:t>Allows the user to print the report.</w:t>
            </w:r>
          </w:p>
          <w:p w14:paraId="5E51E8C1" w14:textId="77777777" w:rsidR="008C5564" w:rsidRDefault="008C5564" w:rsidP="008C5564">
            <w:pPr>
              <w:pStyle w:val="TableText"/>
            </w:pPr>
          </w:p>
          <w:p w14:paraId="075B0F3B" w14:textId="44B943B7" w:rsidR="008C5564" w:rsidRDefault="008C5564" w:rsidP="008C5564">
            <w:pPr>
              <w:pStyle w:val="TableText"/>
              <w:rPr>
                <w:b/>
                <w:bCs/>
                <w:szCs w:val="18"/>
              </w:rPr>
            </w:pPr>
            <w:r>
              <w:rPr>
                <w:b/>
                <w:bCs/>
                <w:szCs w:val="18"/>
              </w:rPr>
              <w:t>NOTES</w:t>
            </w:r>
          </w:p>
          <w:p w14:paraId="4B63F91D" w14:textId="77777777" w:rsidR="008C5564" w:rsidRDefault="008C5564" w:rsidP="008C5564">
            <w:pPr>
              <w:pStyle w:val="NotesText"/>
            </w:pPr>
          </w:p>
          <w:p w14:paraId="5558AD98" w14:textId="77777777" w:rsidR="008C5564" w:rsidRDefault="008C5564" w:rsidP="008C5564">
            <w:pPr>
              <w:pStyle w:val="NotesText"/>
            </w:pPr>
            <w:r>
              <w:rPr>
                <w:rFonts w:cs="Arial"/>
                <w:vanish/>
              </w:rPr>
              <w:t xml:space="preserve">BR_79.03 </w:t>
            </w:r>
            <w:r>
              <w:t>A multiple-division workload report includes totals for each type of workload for each division requested in the report.</w:t>
            </w:r>
          </w:p>
          <w:p w14:paraId="460874D0" w14:textId="77777777" w:rsidR="008C5564" w:rsidRDefault="008C5564" w:rsidP="008C5564">
            <w:pPr>
              <w:pStyle w:val="NotesText"/>
            </w:pPr>
          </w:p>
          <w:p w14:paraId="4D762C2C" w14:textId="77777777" w:rsidR="008C5564" w:rsidRDefault="008C5564" w:rsidP="008C5564">
            <w:pPr>
              <w:pStyle w:val="NotesText"/>
            </w:pPr>
            <w:r>
              <w:rPr>
                <w:rFonts w:cs="Arial"/>
                <w:vanish/>
              </w:rPr>
              <w:t xml:space="preserve">BR_79.04 </w:t>
            </w:r>
            <w:r>
              <w:t>VBECS searches its workload file for entries within the selected date range.</w:t>
            </w:r>
          </w:p>
        </w:tc>
      </w:tr>
      <w:tr w:rsidR="008C5564" w14:paraId="1E838905" w14:textId="77777777" w:rsidTr="00E35FC4">
        <w:trPr>
          <w:cantSplit/>
        </w:trPr>
        <w:tc>
          <w:tcPr>
            <w:tcW w:w="3240" w:type="dxa"/>
          </w:tcPr>
          <w:p w14:paraId="3B3267B3" w14:textId="77777777" w:rsidR="008C5564" w:rsidRDefault="008C5564" w:rsidP="008C5564">
            <w:pPr>
              <w:pStyle w:val="TableTextNumbers"/>
            </w:pPr>
            <w:r>
              <w:t xml:space="preserve">In the Report Compilation area, click the </w:t>
            </w:r>
            <w:r>
              <w:rPr>
                <w:b/>
              </w:rPr>
              <w:t xml:space="preserve">Create Report Now </w:t>
            </w:r>
            <w:r w:rsidRPr="00BF2E41">
              <w:t>radio button</w:t>
            </w:r>
            <w:r>
              <w:t xml:space="preserve">. Click </w:t>
            </w:r>
            <w:r>
              <w:rPr>
                <w:b/>
              </w:rPr>
              <w:t>OK</w:t>
            </w:r>
            <w:r>
              <w:t xml:space="preserve"> to view the report, or</w:t>
            </w:r>
          </w:p>
          <w:p w14:paraId="17C11A1E" w14:textId="77777777" w:rsidR="008C5564" w:rsidRDefault="008C5564" w:rsidP="008C5564">
            <w:pPr>
              <w:pStyle w:val="TableTextNumbersContinued"/>
              <w:rPr>
                <w:b/>
                <w:bCs/>
              </w:rPr>
            </w:pPr>
          </w:p>
          <w:p w14:paraId="6613AD70" w14:textId="77777777" w:rsidR="008C5564" w:rsidRDefault="008C5564" w:rsidP="008C5564">
            <w:pPr>
              <w:pStyle w:val="TableTextNumbersContinued"/>
            </w:pPr>
            <w:r>
              <w:t xml:space="preserve">Click the </w:t>
            </w:r>
            <w:r>
              <w:rPr>
                <w:b/>
              </w:rPr>
              <w:t xml:space="preserve">Schedule Print Job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1BF198E7" w14:textId="77777777" w:rsidR="005B6A94" w:rsidRDefault="00F64B5C" w:rsidP="00AA2B2E">
            <w:pPr>
              <w:pStyle w:val="TableTextBullet"/>
            </w:pPr>
            <w:r>
              <w:t>Compiles and displays the report.</w:t>
            </w:r>
          </w:p>
        </w:tc>
      </w:tr>
      <w:tr w:rsidR="008C5564" w14:paraId="1BD74190" w14:textId="77777777">
        <w:tc>
          <w:tcPr>
            <w:tcW w:w="3240" w:type="dxa"/>
          </w:tcPr>
          <w:p w14:paraId="372C5A03" w14:textId="31213C74" w:rsidR="008C5564" w:rsidRDefault="005C22EF" w:rsidP="008C5564">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671BBA65" w14:textId="77777777" w:rsidR="005C22EF" w:rsidRDefault="005C22EF" w:rsidP="005C22EF">
            <w:pPr>
              <w:pStyle w:val="TableTextBullet"/>
            </w:pPr>
            <w:r>
              <w:t>If Print is selected, prints the report on the designated printer.</w:t>
            </w:r>
          </w:p>
          <w:p w14:paraId="2DCAB4BF" w14:textId="77777777" w:rsidR="005C22EF" w:rsidRDefault="005C22EF" w:rsidP="005C22EF">
            <w:pPr>
              <w:pStyle w:val="TableTextBullet"/>
            </w:pPr>
            <w:r>
              <w:t>If Export is selected, exports the report to the designated file.</w:t>
            </w:r>
          </w:p>
          <w:p w14:paraId="3B85ECB9" w14:textId="5484C71F" w:rsidR="008C5564" w:rsidRDefault="005C22EF" w:rsidP="005C22EF">
            <w:pPr>
              <w:pStyle w:val="TableTextBullet"/>
            </w:pPr>
            <w:r>
              <w:t>If Close is selected, exits the report preview.</w:t>
            </w:r>
          </w:p>
        </w:tc>
      </w:tr>
    </w:tbl>
    <w:p w14:paraId="53AF04FA" w14:textId="77777777" w:rsidR="002A21AE" w:rsidRDefault="00F55832">
      <w:pPr>
        <w:pStyle w:val="Heading2"/>
      </w:pPr>
      <w:r>
        <w:br w:type="page"/>
      </w:r>
      <w:bookmarkStart w:id="538" w:name="_Toc149064186"/>
      <w:r w:rsidR="002A21AE">
        <w:t>Exception Report</w:t>
      </w:r>
      <w:bookmarkEnd w:id="538"/>
      <w:r w:rsidR="002A21AE">
        <w:fldChar w:fldCharType="begin"/>
      </w:r>
      <w:r w:rsidR="002A21AE">
        <w:instrText xml:space="preserve"> XE </w:instrText>
      </w:r>
      <w:r w:rsidR="00FA7E65">
        <w:instrText>“</w:instrText>
      </w:r>
      <w:r w:rsidR="002A21AE">
        <w:instrText>Exception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UC_82</w:t>
      </w:r>
      <w:r w:rsidR="002A21AE">
        <w:rPr>
          <w:rStyle w:val="CommentReference"/>
          <w:b w:val="0"/>
          <w:vanish/>
        </w:rPr>
        <w:t xml:space="preserve"> </w:t>
      </w:r>
    </w:p>
    <w:p w14:paraId="7C5EC255" w14:textId="77777777" w:rsidR="002A21AE" w:rsidRDefault="002A21AE" w:rsidP="00FA7E65">
      <w:pPr>
        <w:pStyle w:val="BodyText"/>
      </w:pPr>
      <w:r>
        <w:t xml:space="preserve">The user views </w:t>
      </w:r>
      <w:r w:rsidR="00EB1E5A">
        <w:t xml:space="preserve">and/or </w:t>
      </w:r>
      <w:r>
        <w:t xml:space="preserve">prints an Exception Report. </w:t>
      </w:r>
    </w:p>
    <w:p w14:paraId="5A523D13" w14:textId="77777777" w:rsidR="002A21AE" w:rsidRDefault="002A21AE">
      <w:pPr>
        <w:pStyle w:val="Heading4"/>
      </w:pPr>
      <w:r>
        <w:t>Assumptions</w:t>
      </w:r>
      <w:r>
        <w:rPr>
          <w:b w:val="0"/>
        </w:rPr>
        <w:t xml:space="preserve"> </w:t>
      </w:r>
    </w:p>
    <w:p w14:paraId="1FFDE808" w14:textId="77777777" w:rsidR="002A21AE" w:rsidRDefault="002A21AE">
      <w:pPr>
        <w:pStyle w:val="ListBullet"/>
      </w:pPr>
      <w:r>
        <w:t>Data are available for inclusion in the report.</w:t>
      </w:r>
    </w:p>
    <w:p w14:paraId="6ABB447C" w14:textId="77777777" w:rsidR="002A21AE" w:rsidRDefault="002A21AE">
      <w:pPr>
        <w:pStyle w:val="ListBullet"/>
      </w:pPr>
      <w:r>
        <w:t>The user must be logged into the division in which the report is to be generated.</w:t>
      </w:r>
    </w:p>
    <w:p w14:paraId="2D3F3120" w14:textId="77777777" w:rsidR="002A21AE" w:rsidRDefault="002A21AE">
      <w:pPr>
        <w:pStyle w:val="Heading4"/>
      </w:pPr>
      <w:r>
        <w:t xml:space="preserve">Outcome </w:t>
      </w:r>
    </w:p>
    <w:p w14:paraId="6C4C5790" w14:textId="77777777" w:rsidR="002A21AE" w:rsidRDefault="00AE521B">
      <w:pPr>
        <w:pStyle w:val="ListBullet"/>
      </w:pPr>
      <w:r>
        <w:t>The user views and/or prints the report</w:t>
      </w:r>
      <w:r w:rsidR="002A21AE">
        <w:t>.</w:t>
      </w:r>
    </w:p>
    <w:p w14:paraId="47C81F55" w14:textId="77777777" w:rsidR="002A21AE" w:rsidRDefault="002A21AE">
      <w:pPr>
        <w:pStyle w:val="Heading4"/>
        <w:rPr>
          <w:b w:val="0"/>
        </w:rPr>
      </w:pPr>
      <w:r>
        <w:t>Limitations and Restrictions</w:t>
      </w:r>
      <w:r>
        <w:rPr>
          <w:b w:val="0"/>
        </w:rPr>
        <w:t xml:space="preserve"> </w:t>
      </w:r>
    </w:p>
    <w:p w14:paraId="6366C8A2" w14:textId="77777777" w:rsidR="002A21AE" w:rsidRDefault="00ED5339">
      <w:pPr>
        <w:pStyle w:val="ListBullet"/>
      </w:pPr>
      <w:r>
        <w:t xml:space="preserve">VBECS does not accommodate online review </w:t>
      </w:r>
      <w:r w:rsidR="006C1277">
        <w:t xml:space="preserve">(verification, signature) </w:t>
      </w:r>
      <w:r>
        <w:t>of reports.</w:t>
      </w:r>
    </w:p>
    <w:p w14:paraId="792BD700" w14:textId="052CE1F2" w:rsidR="00C30F9C" w:rsidRDefault="00C30F9C">
      <w:pPr>
        <w:pStyle w:val="ListBullet"/>
      </w:pPr>
      <w:r>
        <w:t xml:space="preserve">Only the first twenty patient antigens will print on the report when an exception is generated for a unit issued with unsatisfied antigen negative requirements. </w:t>
      </w:r>
      <w:r w:rsidRPr="00C30F9C">
        <w:rPr>
          <w:vanish/>
        </w:rPr>
        <w:t>DR 4820</w:t>
      </w:r>
    </w:p>
    <w:p w14:paraId="25E4B943" w14:textId="1BC0AB7E" w:rsidR="007A0743" w:rsidRDefault="007A0743">
      <w:pPr>
        <w:pStyle w:val="ListBullet"/>
      </w:pPr>
      <w:r>
        <w:t>In some areas of the report, the user ID is displayed instead of the user name.</w:t>
      </w:r>
      <w:r w:rsidR="00703803">
        <w:t xml:space="preserve"> </w:t>
      </w:r>
      <w:r w:rsidR="00703803" w:rsidRPr="00703803">
        <w:rPr>
          <w:vanish/>
        </w:rPr>
        <w:t>Defect 209133</w:t>
      </w:r>
    </w:p>
    <w:p w14:paraId="497FD1D8" w14:textId="0BFC8F91" w:rsidR="00725EA9" w:rsidRDefault="00746F32">
      <w:pPr>
        <w:pStyle w:val="ListBullet"/>
      </w:pPr>
      <w:r>
        <w:t>The Exception Date displayed</w:t>
      </w:r>
      <w:r w:rsidR="002C5A43">
        <w:t xml:space="preserve"> is not consistently recorded to data records. It will either be the time the user entered the exception comment or the time the user saved the data record.</w:t>
      </w:r>
      <w:r w:rsidR="00BA05F4">
        <w:t xml:space="preserve"> </w:t>
      </w:r>
      <w:r w:rsidR="00BA05F4" w:rsidRPr="00BA05F4">
        <w:rPr>
          <w:vanish/>
        </w:rPr>
        <w:t>Defect 208987</w:t>
      </w:r>
    </w:p>
    <w:p w14:paraId="21E40746" w14:textId="77777777" w:rsidR="002A21AE" w:rsidRDefault="002A21AE">
      <w:pPr>
        <w:pStyle w:val="Heading4"/>
      </w:pPr>
      <w:r>
        <w:t xml:space="preserve">Additional Information </w:t>
      </w:r>
    </w:p>
    <w:p w14:paraId="43F7CE0A" w14:textId="77777777" w:rsidR="002A21AE" w:rsidRDefault="00DF389C">
      <w:pPr>
        <w:pStyle w:val="ListBullet"/>
      </w:pPr>
      <w:r>
        <w:t>A supervisor may use a</w:t>
      </w:r>
      <w:r w:rsidRPr="00DF389C">
        <w:t xml:space="preserve"> printed report</w:t>
      </w:r>
      <w:r>
        <w:t xml:space="preserve"> to document</w:t>
      </w:r>
      <w:r w:rsidRPr="00DF389C">
        <w:t xml:space="preserve"> the </w:t>
      </w:r>
      <w:r>
        <w:t>review</w:t>
      </w:r>
      <w:r w:rsidR="002A21AE">
        <w:t xml:space="preserve">. </w:t>
      </w:r>
    </w:p>
    <w:p w14:paraId="14A825A9" w14:textId="77777777" w:rsidR="002A21AE" w:rsidRDefault="002A21AE">
      <w:pPr>
        <w:pStyle w:val="ListBullet"/>
      </w:pPr>
      <w:r>
        <w:t>Exception Report entries reflect the actual date and time an exception occurred.</w:t>
      </w:r>
    </w:p>
    <w:p w14:paraId="11B97793" w14:textId="75EB21F6" w:rsidR="005E27C3" w:rsidRDefault="005E27C3">
      <w:pPr>
        <w:pStyle w:val="ListBullet"/>
      </w:pPr>
      <w:r>
        <w:t xml:space="preserve">Exception report entries associated with testing do not include additional information about method, manual or automated instrument. See the </w:t>
      </w:r>
      <w:r w:rsidRPr="00915EFD">
        <w:rPr>
          <w:i/>
        </w:rPr>
        <w:t xml:space="preserve">Testing Worklist </w:t>
      </w:r>
      <w:r w:rsidR="0024416B" w:rsidRPr="00915EFD">
        <w:rPr>
          <w:i/>
        </w:rPr>
        <w:t>Report,</w:t>
      </w:r>
      <w:r w:rsidRPr="00915EFD">
        <w:rPr>
          <w:i/>
        </w:rPr>
        <w:t xml:space="preserve"> Patient History Report or Unit History Report</w:t>
      </w:r>
      <w:r>
        <w:t xml:space="preserve"> for test method information. </w:t>
      </w:r>
      <w:r w:rsidRPr="005E27C3">
        <w:rPr>
          <w:vanish/>
        </w:rPr>
        <w:t>UC_82</w:t>
      </w:r>
    </w:p>
    <w:p w14:paraId="45CE8F89" w14:textId="156FDD13" w:rsidR="00EE28CF" w:rsidRDefault="00EE28CF" w:rsidP="00EE28CF">
      <w:pPr>
        <w:pStyle w:val="ListBullet"/>
      </w:pPr>
      <w:r>
        <w:t xml:space="preserve">In the Emergency Issue section of the report, </w:t>
      </w:r>
      <w:r w:rsidRPr="00EE28CF">
        <w:t>VBECS displays ISBT unit ID and product short name, but not the product code. See the Unit History report for the missing data saved in other options.</w:t>
      </w:r>
      <w:r w:rsidR="0024416B">
        <w:t xml:space="preserve"> </w:t>
      </w:r>
      <w:r w:rsidR="00CF31B7">
        <w:rPr>
          <w:vanish/>
        </w:rPr>
        <w:t>Bug 70863</w:t>
      </w:r>
    </w:p>
    <w:p w14:paraId="132CF834" w14:textId="77777777" w:rsidR="0087596E" w:rsidRDefault="00497307">
      <w:pPr>
        <w:pStyle w:val="ListBullet"/>
      </w:pPr>
      <w:r>
        <w:t>Issue Blood Component exceptions that include the Testing Status field displays numeric values 0, 1,</w:t>
      </w:r>
      <w:r w:rsidR="00494357">
        <w:t xml:space="preserve"> 2 or 3. Those numbers represent</w:t>
      </w:r>
      <w:r>
        <w:t xml:space="preserve"> the unit’s disease marker testing</w:t>
      </w:r>
      <w:r w:rsidR="00494357">
        <w:t>.</w:t>
      </w:r>
    </w:p>
    <w:p w14:paraId="3F3AA667" w14:textId="77777777" w:rsidR="0087596E" w:rsidRDefault="0087596E" w:rsidP="002F6D7B">
      <w:pPr>
        <w:pStyle w:val="ListBullet"/>
        <w:numPr>
          <w:ilvl w:val="1"/>
          <w:numId w:val="15"/>
        </w:numPr>
      </w:pPr>
      <w:r>
        <w:t xml:space="preserve">(0) – </w:t>
      </w:r>
      <w:r w:rsidR="000876E5">
        <w:t>N/A</w:t>
      </w:r>
      <w:r>
        <w:t xml:space="preserve"> </w:t>
      </w:r>
      <w:r w:rsidR="00497307">
        <w:t>for non-autologous units</w:t>
      </w:r>
      <w:r w:rsidR="00756D8E">
        <w:t>,</w:t>
      </w:r>
    </w:p>
    <w:p w14:paraId="480E8A25" w14:textId="77777777" w:rsidR="0087596E" w:rsidRDefault="0087596E" w:rsidP="002F6D7B">
      <w:pPr>
        <w:pStyle w:val="ListBullet"/>
        <w:numPr>
          <w:ilvl w:val="1"/>
          <w:numId w:val="15"/>
        </w:numPr>
      </w:pPr>
      <w:r>
        <w:t xml:space="preserve">(1) – </w:t>
      </w:r>
      <w:r w:rsidR="00497307">
        <w:t>NEG – Unit fully tested and negat</w:t>
      </w:r>
      <w:r>
        <w:t>ive for all disease markers</w:t>
      </w:r>
      <w:r w:rsidR="00756D8E">
        <w:t>,</w:t>
      </w:r>
    </w:p>
    <w:p w14:paraId="70D68747" w14:textId="77777777" w:rsidR="0087596E" w:rsidRDefault="0087596E" w:rsidP="002F6D7B">
      <w:pPr>
        <w:pStyle w:val="ListBullet"/>
        <w:numPr>
          <w:ilvl w:val="1"/>
          <w:numId w:val="15"/>
        </w:numPr>
      </w:pPr>
      <w:r>
        <w:t xml:space="preserve">(2) – </w:t>
      </w:r>
      <w:r w:rsidR="00497307">
        <w:t>POS – Unit tested and positive for one or more disease markers, Biohazard</w:t>
      </w:r>
      <w:r w:rsidR="00756D8E">
        <w:t>,</w:t>
      </w:r>
    </w:p>
    <w:p w14:paraId="7110A6D3" w14:textId="77777777" w:rsidR="00497307" w:rsidRDefault="0087596E" w:rsidP="002F6D7B">
      <w:pPr>
        <w:pStyle w:val="ListBullet"/>
        <w:numPr>
          <w:ilvl w:val="1"/>
          <w:numId w:val="15"/>
        </w:numPr>
      </w:pPr>
      <w:r>
        <w:t xml:space="preserve">(3) – </w:t>
      </w:r>
      <w:r w:rsidR="00497307">
        <w:t>NFT – Unit not fully tested for one or more disease</w:t>
      </w:r>
      <w:r w:rsidR="00756D8E">
        <w:t xml:space="preserve"> markers, Biohazard.</w:t>
      </w:r>
      <w:r>
        <w:t xml:space="preserve"> </w:t>
      </w:r>
      <w:r w:rsidRPr="00756D8E">
        <w:rPr>
          <w:vanish/>
        </w:rPr>
        <w:t>DR 4883</w:t>
      </w:r>
    </w:p>
    <w:p w14:paraId="26DCEC8F" w14:textId="77777777" w:rsidR="002A21AE" w:rsidRDefault="002A21AE">
      <w:pPr>
        <w:pStyle w:val="Heading4"/>
        <w:rPr>
          <w:b w:val="0"/>
        </w:rPr>
      </w:pPr>
      <w:r>
        <w:t>User Roles with Access to This Option</w:t>
      </w:r>
      <w:r>
        <w:rPr>
          <w:b w:val="0"/>
        </w:rPr>
        <w:t xml:space="preserve"> </w:t>
      </w:r>
    </w:p>
    <w:p w14:paraId="046BDFD4" w14:textId="77777777" w:rsidR="002A21AE" w:rsidRDefault="00606FB0">
      <w:pPr>
        <w:pStyle w:val="Roles"/>
        <w:rPr>
          <w:snapToGrid w:val="0"/>
        </w:rPr>
      </w:pPr>
      <w:r>
        <w:t>All users</w:t>
      </w:r>
    </w:p>
    <w:p w14:paraId="39766C22" w14:textId="77777777" w:rsidR="002A21AE" w:rsidRDefault="002A21AE">
      <w:pPr>
        <w:pStyle w:val="Heading4"/>
      </w:pPr>
      <w:r>
        <w:t>Exception Report</w:t>
      </w:r>
    </w:p>
    <w:p w14:paraId="0F1F1CF6" w14:textId="77777777" w:rsidR="002A21AE" w:rsidRDefault="000054DE" w:rsidP="00FA7E65">
      <w:pPr>
        <w:pStyle w:val="BodyText"/>
      </w:pPr>
      <w:r>
        <w:t xml:space="preserve">The user views </w:t>
      </w:r>
      <w:r w:rsidR="00EB1E5A">
        <w:t xml:space="preserve">and/or </w:t>
      </w:r>
      <w:r>
        <w:t xml:space="preserve">prints an Exception Report. </w:t>
      </w:r>
      <w:r w:rsidR="002A21AE">
        <w:t xml:space="preserve">Exception Reports list details of transactions that involve overrides to warnings and selected transactions of interest to the supervisor (for example, quarantined units).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5B25BEB" w14:textId="77777777">
        <w:trPr>
          <w:cantSplit/>
          <w:tblHeader/>
        </w:trPr>
        <w:tc>
          <w:tcPr>
            <w:tcW w:w="3240" w:type="dxa"/>
            <w:shd w:val="pct30" w:color="auto" w:fill="FFFFFF"/>
            <w:vAlign w:val="bottom"/>
          </w:tcPr>
          <w:p w14:paraId="37A6BD38" w14:textId="77777777" w:rsidR="002A21AE" w:rsidRDefault="002A21AE">
            <w:pPr>
              <w:pStyle w:val="TableText"/>
              <w:rPr>
                <w:b/>
              </w:rPr>
            </w:pPr>
            <w:r>
              <w:t>.</w:t>
            </w:r>
            <w:r>
              <w:rPr>
                <w:b/>
              </w:rPr>
              <w:t>User Action</w:t>
            </w:r>
          </w:p>
        </w:tc>
        <w:tc>
          <w:tcPr>
            <w:tcW w:w="6120" w:type="dxa"/>
            <w:shd w:val="pct30" w:color="auto" w:fill="FFFFFF"/>
            <w:vAlign w:val="bottom"/>
          </w:tcPr>
          <w:p w14:paraId="12B5DB7F" w14:textId="77777777" w:rsidR="002A21AE" w:rsidRDefault="002A21AE">
            <w:pPr>
              <w:pStyle w:val="TableText"/>
              <w:rPr>
                <w:b/>
              </w:rPr>
            </w:pPr>
            <w:r>
              <w:rPr>
                <w:b/>
              </w:rPr>
              <w:t>VBECS</w:t>
            </w:r>
          </w:p>
        </w:tc>
      </w:tr>
      <w:tr w:rsidR="002A21AE" w14:paraId="41C89C4E" w14:textId="77777777">
        <w:tc>
          <w:tcPr>
            <w:tcW w:w="3240" w:type="dxa"/>
          </w:tcPr>
          <w:p w14:paraId="067D3CD6" w14:textId="77777777" w:rsidR="002A21AE" w:rsidRDefault="002A21AE" w:rsidP="00925CAD">
            <w:pPr>
              <w:pStyle w:val="TableTextNumbers"/>
              <w:numPr>
                <w:ilvl w:val="0"/>
                <w:numId w:val="73"/>
              </w:numPr>
            </w:pPr>
            <w:r>
              <w:t xml:space="preserve">Select </w:t>
            </w:r>
            <w:r w:rsidRPr="00946DA2">
              <w:rPr>
                <w:b/>
              </w:rPr>
              <w:t>Reports</w:t>
            </w:r>
            <w:r>
              <w:t xml:space="preserve"> from the main menu.</w:t>
            </w:r>
          </w:p>
          <w:p w14:paraId="0D9397E4" w14:textId="77777777" w:rsidR="002A21AE" w:rsidRDefault="002A21AE">
            <w:pPr>
              <w:pStyle w:val="TableTextNumbersContinued"/>
            </w:pPr>
          </w:p>
          <w:p w14:paraId="7236B781" w14:textId="77777777" w:rsidR="002A21AE" w:rsidRDefault="002A21AE">
            <w:pPr>
              <w:pStyle w:val="TableTextNumbersContinued"/>
            </w:pPr>
            <w:r>
              <w:t xml:space="preserve">Select </w:t>
            </w:r>
            <w:r>
              <w:rPr>
                <w:b/>
              </w:rPr>
              <w:t>Exception Report</w:t>
            </w:r>
            <w:r>
              <w:t>.</w:t>
            </w:r>
          </w:p>
        </w:tc>
        <w:tc>
          <w:tcPr>
            <w:tcW w:w="6120" w:type="dxa"/>
          </w:tcPr>
          <w:p w14:paraId="382ABA1D" w14:textId="77777777" w:rsidR="002A21AE" w:rsidRDefault="002A21AE">
            <w:pPr>
              <w:pStyle w:val="TableTextBullet"/>
            </w:pPr>
            <w:r>
              <w:t>Lists report names.</w:t>
            </w:r>
          </w:p>
          <w:p w14:paraId="5A32B3E4" w14:textId="77777777" w:rsidR="002A21AE" w:rsidRDefault="002A21AE">
            <w:pPr>
              <w:pStyle w:val="TableTextBullet"/>
            </w:pPr>
            <w:r>
              <w:t xml:space="preserve">Displays report compilation criteria. </w:t>
            </w:r>
          </w:p>
          <w:p w14:paraId="662C04FF" w14:textId="77777777" w:rsidR="002A21AE" w:rsidRDefault="002A21AE">
            <w:pPr>
              <w:pStyle w:val="TableTextBullet"/>
            </w:pPr>
            <w:r>
              <w:t>Displays a date range for selection.</w:t>
            </w:r>
          </w:p>
        </w:tc>
      </w:tr>
      <w:tr w:rsidR="002A21AE" w14:paraId="7333C946" w14:textId="77777777">
        <w:tc>
          <w:tcPr>
            <w:tcW w:w="3240" w:type="dxa"/>
          </w:tcPr>
          <w:p w14:paraId="482124DE" w14:textId="77777777" w:rsidR="002A21AE" w:rsidRDefault="002A21AE">
            <w:pPr>
              <w:pStyle w:val="TableTextNumbers"/>
            </w:pPr>
            <w:r>
              <w:t>Enter or select start and end dates.</w:t>
            </w:r>
          </w:p>
        </w:tc>
        <w:tc>
          <w:tcPr>
            <w:tcW w:w="6120" w:type="dxa"/>
          </w:tcPr>
          <w:p w14:paraId="3A902BE5" w14:textId="77777777" w:rsidR="002A21AE" w:rsidRDefault="002A21AE">
            <w:pPr>
              <w:pStyle w:val="TableText"/>
            </w:pPr>
          </w:p>
          <w:p w14:paraId="47F0C276" w14:textId="1267A26B" w:rsidR="002A21AE" w:rsidRDefault="002A21AE">
            <w:pPr>
              <w:pStyle w:val="TableText"/>
              <w:rPr>
                <w:b/>
                <w:bCs/>
                <w:szCs w:val="18"/>
              </w:rPr>
            </w:pPr>
            <w:r>
              <w:rPr>
                <w:b/>
                <w:bCs/>
                <w:szCs w:val="18"/>
              </w:rPr>
              <w:t>NOTES</w:t>
            </w:r>
          </w:p>
          <w:p w14:paraId="7A6113A3" w14:textId="77777777" w:rsidR="002A21AE" w:rsidRDefault="002A21AE">
            <w:pPr>
              <w:pStyle w:val="NotesText"/>
            </w:pPr>
          </w:p>
          <w:p w14:paraId="793B4E32" w14:textId="77777777" w:rsidR="002A21AE" w:rsidRDefault="002A21AE">
            <w:pPr>
              <w:pStyle w:val="NotesText"/>
            </w:pPr>
            <w:r>
              <w:rPr>
                <w:rFonts w:cs="Arial"/>
                <w:vanish/>
              </w:rPr>
              <w:t xml:space="preserve">BR_82.01 </w:t>
            </w:r>
            <w:r>
              <w:t>The report is sorted by exception type. Exception types are in chronological order.</w:t>
            </w:r>
          </w:p>
        </w:tc>
      </w:tr>
      <w:tr w:rsidR="002A21AE" w14:paraId="78FF1172" w14:textId="77777777">
        <w:tc>
          <w:tcPr>
            <w:tcW w:w="3240" w:type="dxa"/>
          </w:tcPr>
          <w:p w14:paraId="24BD7F0A"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14BF58CF" w14:textId="77777777" w:rsidR="002A21AE" w:rsidRDefault="002A21AE">
            <w:pPr>
              <w:pStyle w:val="TableTextNumbersContinued"/>
            </w:pPr>
          </w:p>
          <w:p w14:paraId="0BBEBD31"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2F6CB8EC" w14:textId="77777777" w:rsidR="005B6A94" w:rsidRDefault="00F64B5C" w:rsidP="00AA2B2E">
            <w:pPr>
              <w:pStyle w:val="TableTextBullet"/>
            </w:pPr>
            <w:r>
              <w:t>Compiles and displays the report.</w:t>
            </w:r>
          </w:p>
        </w:tc>
      </w:tr>
      <w:tr w:rsidR="002A21AE" w14:paraId="1FB27CB3" w14:textId="77777777" w:rsidTr="000518ED">
        <w:trPr>
          <w:trHeight w:val="467"/>
        </w:trPr>
        <w:tc>
          <w:tcPr>
            <w:tcW w:w="3240" w:type="dxa"/>
          </w:tcPr>
          <w:p w14:paraId="6C4D28D7" w14:textId="79321CA9" w:rsidR="002A21AE" w:rsidRDefault="005C22EF">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Pr>
                <w:vanish/>
                <w:color w:val="FFFFFF"/>
                <w:szCs w:val="18"/>
              </w:rPr>
              <w:fldChar w:fldCharType="begin"/>
            </w:r>
            <w:r w:rsidR="002A21AE">
              <w:rPr>
                <w:vanish/>
                <w:color w:val="FFFFFF"/>
                <w:szCs w:val="18"/>
              </w:rPr>
              <w:instrText xml:space="preserve"> LISTNUM \l 1 \s 0 </w:instrText>
            </w:r>
            <w:r w:rsidR="002A21AE">
              <w:rPr>
                <w:vanish/>
                <w:color w:val="FFFFFF"/>
                <w:szCs w:val="18"/>
              </w:rPr>
              <w:fldChar w:fldCharType="end"/>
            </w:r>
          </w:p>
        </w:tc>
        <w:tc>
          <w:tcPr>
            <w:tcW w:w="6120" w:type="dxa"/>
          </w:tcPr>
          <w:p w14:paraId="04D7D1E6" w14:textId="77777777" w:rsidR="005C22EF" w:rsidRDefault="005C22EF" w:rsidP="005C22EF">
            <w:pPr>
              <w:pStyle w:val="TableTextBullet"/>
            </w:pPr>
            <w:r>
              <w:t>If Print is selected, prints the report on the designated printer.</w:t>
            </w:r>
          </w:p>
          <w:p w14:paraId="669C0BAA" w14:textId="77777777" w:rsidR="005C22EF" w:rsidRDefault="005C22EF" w:rsidP="005C22EF">
            <w:pPr>
              <w:pStyle w:val="TableTextBullet"/>
            </w:pPr>
            <w:r>
              <w:t>If Export is selected, exports the report to the designated file.</w:t>
            </w:r>
          </w:p>
          <w:p w14:paraId="5868424C" w14:textId="77777777" w:rsidR="005C22EF" w:rsidRDefault="005C22EF" w:rsidP="005C22EF">
            <w:pPr>
              <w:pStyle w:val="TableTextBullet"/>
            </w:pPr>
            <w:r>
              <w:t>If Close is selected, exits the report preview.</w:t>
            </w:r>
          </w:p>
          <w:p w14:paraId="03F3167D" w14:textId="1E0435C5" w:rsidR="002A21AE" w:rsidRDefault="002A21AE" w:rsidP="005C22EF">
            <w:pPr>
              <w:pStyle w:val="TableTextBullet"/>
            </w:pPr>
            <w:r>
              <w:t xml:space="preserve">See </w:t>
            </w:r>
            <w:r w:rsidR="00EE455E">
              <w:t xml:space="preserve">Appendix </w:t>
            </w:r>
            <w:r w:rsidR="00EE455E">
              <w:rPr>
                <w:noProof/>
              </w:rPr>
              <w:t>B</w:t>
            </w:r>
            <w:r>
              <w:t xml:space="preserve">: </w:t>
            </w:r>
            <w:r w:rsidR="00EE455E">
              <w:t xml:space="preserve">Table </w:t>
            </w:r>
            <w:r w:rsidR="00EE455E">
              <w:rPr>
                <w:noProof/>
              </w:rPr>
              <w:t>21</w:t>
            </w:r>
            <w:r w:rsidR="00EE455E">
              <w:t xml:space="preserve">: </w:t>
            </w:r>
            <w:r w:rsidR="00EE455E">
              <w:rPr>
                <w:vanish/>
              </w:rPr>
              <w:t xml:space="preserve">TT_82.01 </w:t>
            </w:r>
            <w:r w:rsidR="00EE455E">
              <w:t>Details in Exception Report</w:t>
            </w:r>
            <w:r>
              <w:t>.</w:t>
            </w:r>
          </w:p>
        </w:tc>
      </w:tr>
    </w:tbl>
    <w:p w14:paraId="03B5E90A" w14:textId="77777777" w:rsidR="00C400F4" w:rsidRPr="00C400F4" w:rsidRDefault="000518ED" w:rsidP="000518ED">
      <w:pPr>
        <w:pStyle w:val="Heading2"/>
      </w:pPr>
      <w:r>
        <w:br w:type="page"/>
      </w:r>
      <w:bookmarkStart w:id="539" w:name="_Toc149064187"/>
      <w:r w:rsidR="00C400F4">
        <w:t xml:space="preserve">Finalize/Print TRW </w:t>
      </w:r>
      <w:r w:rsidR="00C400F4" w:rsidRPr="00C400F4">
        <w:rPr>
          <w:rFonts w:ascii="Arial Bold" w:hAnsi="Arial Bold"/>
          <w:vanish/>
        </w:rPr>
        <w:t>UC_96</w:t>
      </w:r>
      <w:r w:rsidR="00C400F4">
        <w:rPr>
          <w:rFonts w:ascii="Arial Bold" w:hAnsi="Arial Bold"/>
          <w:vanish/>
        </w:rPr>
        <w:t xml:space="preserve"> </w:t>
      </w:r>
      <w:r w:rsidR="00BA595C">
        <w:t>(S</w:t>
      </w:r>
      <w:r w:rsidR="00C400F4">
        <w:t>ee Patient Services</w:t>
      </w:r>
      <w:r w:rsidR="00BC05B4">
        <w:t>, Finalize/Print TRW</w:t>
      </w:r>
      <w:r w:rsidR="00C400F4">
        <w:t>)</w:t>
      </w:r>
      <w:bookmarkEnd w:id="539"/>
    </w:p>
    <w:p w14:paraId="74B9CED1" w14:textId="77777777" w:rsidR="002A21AE" w:rsidRDefault="002A21AE">
      <w:pPr>
        <w:pStyle w:val="Heading2"/>
      </w:pPr>
      <w:bookmarkStart w:id="540" w:name="_Toc149064188"/>
      <w:r>
        <w:t>Inappropriate Transfusion Request Report</w:t>
      </w:r>
      <w:bookmarkEnd w:id="540"/>
      <w:r>
        <w:fldChar w:fldCharType="begin"/>
      </w:r>
      <w:r>
        <w:instrText xml:space="preserve"> XE </w:instrText>
      </w:r>
      <w:r w:rsidR="00FA7E65">
        <w:instrText>“</w:instrText>
      </w:r>
      <w:r>
        <w:instrText>Inappropriate Transfusion Request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UC_96</w:t>
      </w:r>
    </w:p>
    <w:p w14:paraId="17400BE2" w14:textId="77777777" w:rsidR="002A21AE" w:rsidRDefault="002A21AE" w:rsidP="00FA7E65">
      <w:pPr>
        <w:pStyle w:val="BodyText"/>
      </w:pPr>
      <w:r>
        <w:t xml:space="preserve">The user views </w:t>
      </w:r>
      <w:r w:rsidR="00EB1E5A">
        <w:t xml:space="preserve">and/or </w:t>
      </w:r>
      <w:r>
        <w:t>prints the Inappropriate Transfusion Request Report.</w:t>
      </w:r>
    </w:p>
    <w:p w14:paraId="0F149C92" w14:textId="77777777" w:rsidR="002A21AE" w:rsidRDefault="002A21AE">
      <w:pPr>
        <w:pStyle w:val="Heading4"/>
      </w:pPr>
      <w:r>
        <w:t>Assumptions</w:t>
      </w:r>
      <w:r>
        <w:rPr>
          <w:b w:val="0"/>
        </w:rPr>
        <w:t xml:space="preserve"> </w:t>
      </w:r>
    </w:p>
    <w:p w14:paraId="24C73ABF" w14:textId="77777777" w:rsidR="002A21AE" w:rsidRDefault="002A21AE">
      <w:pPr>
        <w:pStyle w:val="ListBullet"/>
      </w:pPr>
      <w:r>
        <w:t xml:space="preserve">The order is flagged as an inappropriate transfusion request during Accepting an Order. </w:t>
      </w:r>
    </w:p>
    <w:p w14:paraId="0A258396" w14:textId="77777777" w:rsidR="002A21AE" w:rsidRDefault="002A21AE">
      <w:pPr>
        <w:pStyle w:val="ListBullet"/>
      </w:pPr>
      <w:r>
        <w:t>Setting Component Requirements was processed and there are inappropriate test indicators associated with the component classes in the login division.</w:t>
      </w:r>
    </w:p>
    <w:p w14:paraId="5C35CEEF" w14:textId="77777777" w:rsidR="002A21AE" w:rsidRDefault="002A21AE">
      <w:pPr>
        <w:pStyle w:val="ListBullet"/>
      </w:pPr>
      <w:r>
        <w:t>Data for the report were saved in VBECS.</w:t>
      </w:r>
    </w:p>
    <w:p w14:paraId="17507E91" w14:textId="77777777" w:rsidR="002A21AE" w:rsidRDefault="002A21AE">
      <w:pPr>
        <w:pStyle w:val="Heading4"/>
      </w:pPr>
      <w:r>
        <w:t xml:space="preserve">Outcome </w:t>
      </w:r>
    </w:p>
    <w:p w14:paraId="06144F0E" w14:textId="77777777" w:rsidR="002A21AE" w:rsidRDefault="002A21AE">
      <w:pPr>
        <w:pStyle w:val="ListBullet"/>
      </w:pPr>
      <w:r>
        <w:t>The user view or prints the report.</w:t>
      </w:r>
    </w:p>
    <w:p w14:paraId="54297F69" w14:textId="77777777" w:rsidR="002A21AE" w:rsidRDefault="002A21AE">
      <w:pPr>
        <w:pStyle w:val="Heading4"/>
        <w:rPr>
          <w:b w:val="0"/>
        </w:rPr>
      </w:pPr>
      <w:r>
        <w:t>Limitations and Restrictions</w:t>
      </w:r>
      <w:r>
        <w:rPr>
          <w:b w:val="0"/>
        </w:rPr>
        <w:t xml:space="preserve"> </w:t>
      </w:r>
    </w:p>
    <w:p w14:paraId="5709C93E" w14:textId="77777777" w:rsidR="002A21AE" w:rsidRDefault="002A21AE">
      <w:pPr>
        <w:pStyle w:val="ListBullet"/>
      </w:pPr>
      <w:r>
        <w:t>None</w:t>
      </w:r>
    </w:p>
    <w:p w14:paraId="2D7A3128" w14:textId="77777777" w:rsidR="002A21AE" w:rsidRDefault="002A21AE">
      <w:pPr>
        <w:pStyle w:val="Heading4"/>
      </w:pPr>
      <w:r>
        <w:t xml:space="preserve">Additional Information </w:t>
      </w:r>
    </w:p>
    <w:p w14:paraId="43BC9902" w14:textId="77777777" w:rsidR="002A21AE" w:rsidRDefault="002A21AE">
      <w:pPr>
        <w:pStyle w:val="ListBullet"/>
      </w:pPr>
      <w:r>
        <w:t>None</w:t>
      </w:r>
    </w:p>
    <w:p w14:paraId="3546B486" w14:textId="77777777" w:rsidR="002A21AE" w:rsidRDefault="002A21AE">
      <w:pPr>
        <w:pStyle w:val="Heading4"/>
        <w:rPr>
          <w:b w:val="0"/>
        </w:rPr>
      </w:pPr>
      <w:r>
        <w:t>User Roles with Access to This Option</w:t>
      </w:r>
      <w:r>
        <w:rPr>
          <w:b w:val="0"/>
        </w:rPr>
        <w:t xml:space="preserve"> </w:t>
      </w:r>
    </w:p>
    <w:p w14:paraId="74884780" w14:textId="77777777" w:rsidR="002A21AE" w:rsidRDefault="00184EA4">
      <w:pPr>
        <w:pStyle w:val="Roles"/>
      </w:pPr>
      <w:r>
        <w:t>All users</w:t>
      </w:r>
    </w:p>
    <w:p w14:paraId="2B2BFD00" w14:textId="77777777" w:rsidR="002A21AE" w:rsidRDefault="002A21AE">
      <w:pPr>
        <w:pStyle w:val="Heading4"/>
      </w:pPr>
      <w:r>
        <w:t xml:space="preserve">Inappropriate Transfusion Request Report </w:t>
      </w:r>
    </w:p>
    <w:p w14:paraId="5195BA72" w14:textId="77777777" w:rsidR="002A21AE" w:rsidRDefault="002A21AE" w:rsidP="00FA7E65">
      <w:pPr>
        <w:pStyle w:val="BodyText"/>
      </w:pPr>
      <w:r>
        <w:t xml:space="preserve">The user views </w:t>
      </w:r>
      <w:r w:rsidR="00EB1E5A">
        <w:t xml:space="preserve">and/or </w:t>
      </w:r>
      <w:r>
        <w:t>prints the Inappropriate Transfusion Request Report</w:t>
      </w:r>
      <w:r w:rsidR="000054DE">
        <w:t>,</w:t>
      </w:r>
      <w:r w:rsidR="000054DE" w:rsidRPr="000054DE">
        <w:t xml:space="preserve"> </w:t>
      </w:r>
      <w:r w:rsidR="000054DE">
        <w:t>which includes inappropriate transfusion orders determined by the division’s configuration of each component class</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823EB2B" w14:textId="77777777">
        <w:trPr>
          <w:cantSplit/>
          <w:tblHeader/>
        </w:trPr>
        <w:tc>
          <w:tcPr>
            <w:tcW w:w="3240" w:type="dxa"/>
            <w:shd w:val="pct30" w:color="auto" w:fill="FFFFFF"/>
            <w:vAlign w:val="bottom"/>
          </w:tcPr>
          <w:p w14:paraId="781E9242" w14:textId="77777777" w:rsidR="002A21AE" w:rsidRDefault="002A21AE">
            <w:pPr>
              <w:pStyle w:val="TableText"/>
              <w:rPr>
                <w:b/>
              </w:rPr>
            </w:pPr>
            <w:bookmarkStart w:id="541" w:name="_Toc43285442"/>
            <w:bookmarkStart w:id="542" w:name="_Toc71363876"/>
            <w:bookmarkStart w:id="543" w:name="_Toc74366719"/>
            <w:r>
              <w:rPr>
                <w:b/>
              </w:rPr>
              <w:t>User Action</w:t>
            </w:r>
          </w:p>
        </w:tc>
        <w:tc>
          <w:tcPr>
            <w:tcW w:w="6120" w:type="dxa"/>
            <w:shd w:val="pct30" w:color="auto" w:fill="FFFFFF"/>
            <w:vAlign w:val="bottom"/>
          </w:tcPr>
          <w:p w14:paraId="47DDEEEE" w14:textId="77777777" w:rsidR="002A21AE" w:rsidRDefault="002A21AE">
            <w:pPr>
              <w:pStyle w:val="TableText"/>
              <w:rPr>
                <w:b/>
              </w:rPr>
            </w:pPr>
            <w:r>
              <w:rPr>
                <w:b/>
              </w:rPr>
              <w:t>VBECS</w:t>
            </w:r>
          </w:p>
        </w:tc>
      </w:tr>
      <w:tr w:rsidR="002A21AE" w14:paraId="00430656" w14:textId="77777777">
        <w:tc>
          <w:tcPr>
            <w:tcW w:w="3240" w:type="dxa"/>
          </w:tcPr>
          <w:p w14:paraId="050187C6" w14:textId="77777777" w:rsidR="002A21AE" w:rsidRDefault="002A21AE">
            <w:pPr>
              <w:pStyle w:val="TableTextNumbers"/>
            </w:pPr>
            <w:r>
              <w:t xml:space="preserve">Select </w:t>
            </w:r>
            <w:r>
              <w:rPr>
                <w:b/>
              </w:rPr>
              <w:t>Reports</w:t>
            </w:r>
            <w:r>
              <w:t xml:space="preserve"> from the main menu.</w:t>
            </w:r>
          </w:p>
          <w:p w14:paraId="26C25E6B" w14:textId="77777777" w:rsidR="002A21AE" w:rsidRDefault="002A21AE">
            <w:pPr>
              <w:pStyle w:val="TableTextNumbersContinued"/>
            </w:pPr>
          </w:p>
          <w:p w14:paraId="09ACFE26" w14:textId="77777777" w:rsidR="002A21AE" w:rsidRDefault="002A21AE">
            <w:pPr>
              <w:pStyle w:val="TableTextNumbersContinued"/>
            </w:pPr>
            <w:r>
              <w:t xml:space="preserve">Select </w:t>
            </w:r>
            <w:r>
              <w:rPr>
                <w:b/>
              </w:rPr>
              <w:t>Inappropriate Transfusion Request Report</w:t>
            </w:r>
            <w:r>
              <w:t>.</w:t>
            </w:r>
          </w:p>
        </w:tc>
        <w:tc>
          <w:tcPr>
            <w:tcW w:w="6120" w:type="dxa"/>
          </w:tcPr>
          <w:p w14:paraId="4C9EB206" w14:textId="77777777" w:rsidR="002A21AE" w:rsidRDefault="002A21AE">
            <w:pPr>
              <w:pStyle w:val="TableTextBullet"/>
            </w:pPr>
            <w:r>
              <w:t>Lists report names.</w:t>
            </w:r>
          </w:p>
          <w:p w14:paraId="7F206F2F" w14:textId="77777777" w:rsidR="002A21AE" w:rsidRDefault="002A21AE">
            <w:pPr>
              <w:pStyle w:val="TableTextBullet"/>
            </w:pPr>
            <w:r>
              <w:t xml:space="preserve">Displays report compilation criteria. </w:t>
            </w:r>
          </w:p>
          <w:p w14:paraId="1A566A91" w14:textId="77777777" w:rsidR="002A21AE" w:rsidRDefault="002A21AE">
            <w:pPr>
              <w:pStyle w:val="TableTextBullet"/>
            </w:pPr>
            <w:r>
              <w:t>Displays a date range for selection.</w:t>
            </w:r>
          </w:p>
        </w:tc>
      </w:tr>
      <w:tr w:rsidR="002A21AE" w14:paraId="321AFBEE" w14:textId="77777777">
        <w:tc>
          <w:tcPr>
            <w:tcW w:w="3240" w:type="dxa"/>
          </w:tcPr>
          <w:p w14:paraId="2656B390" w14:textId="77777777" w:rsidR="002A21AE" w:rsidRDefault="002A21AE">
            <w:pPr>
              <w:pStyle w:val="TableTextNumbers"/>
            </w:pPr>
            <w:r>
              <w:t>Enter or select start and end dates.</w:t>
            </w:r>
          </w:p>
        </w:tc>
        <w:tc>
          <w:tcPr>
            <w:tcW w:w="6120" w:type="dxa"/>
          </w:tcPr>
          <w:p w14:paraId="67335621" w14:textId="77777777" w:rsidR="002A21AE" w:rsidRDefault="002A21AE">
            <w:pPr>
              <w:pStyle w:val="TableTextBullet"/>
            </w:pPr>
            <w:r>
              <w:t xml:space="preserve">Compiles and displays the report. </w:t>
            </w:r>
          </w:p>
          <w:p w14:paraId="377C2EC5" w14:textId="77777777" w:rsidR="002A21AE" w:rsidRDefault="002A21AE" w:rsidP="0006709D">
            <w:pPr>
              <w:pStyle w:val="NotesText"/>
              <w:ind w:left="0"/>
            </w:pPr>
          </w:p>
        </w:tc>
      </w:tr>
      <w:tr w:rsidR="002A21AE" w14:paraId="71064A18" w14:textId="77777777">
        <w:tc>
          <w:tcPr>
            <w:tcW w:w="3240" w:type="dxa"/>
          </w:tcPr>
          <w:p w14:paraId="503FB46C"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6F980B5" w14:textId="77777777" w:rsidR="002A21AE" w:rsidRDefault="002A21AE">
            <w:pPr>
              <w:pStyle w:val="TableTextNumbersContinued"/>
            </w:pPr>
          </w:p>
          <w:p w14:paraId="1CCB61B1"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416F9725" w14:textId="77777777" w:rsidR="005B6A94" w:rsidRDefault="00F64B5C" w:rsidP="00AA2B2E">
            <w:pPr>
              <w:pStyle w:val="TableTextBullet"/>
            </w:pPr>
            <w:r>
              <w:t>Compiles and displays the report.</w:t>
            </w:r>
          </w:p>
        </w:tc>
      </w:tr>
      <w:tr w:rsidR="002A21AE" w14:paraId="78ECA770" w14:textId="77777777">
        <w:tc>
          <w:tcPr>
            <w:tcW w:w="3240" w:type="dxa"/>
          </w:tcPr>
          <w:p w14:paraId="19556AE4" w14:textId="64888F46"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B93B42">
              <w:rPr>
                <w:rStyle w:val="StyleTableTextNumbersWhite1Char"/>
              </w:rPr>
              <w:t xml:space="preserve"> </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r>
          </w:p>
        </w:tc>
        <w:tc>
          <w:tcPr>
            <w:tcW w:w="6120" w:type="dxa"/>
          </w:tcPr>
          <w:p w14:paraId="53D85857" w14:textId="77777777" w:rsidR="00D45D8C" w:rsidRDefault="00D45D8C" w:rsidP="00D45D8C">
            <w:pPr>
              <w:pStyle w:val="TableTextBullet"/>
            </w:pPr>
            <w:r>
              <w:t>If Print is selected, prints the report on the designated printer.</w:t>
            </w:r>
          </w:p>
          <w:p w14:paraId="2DC1F479" w14:textId="77777777" w:rsidR="00D45D8C" w:rsidRDefault="00D45D8C" w:rsidP="00D45D8C">
            <w:pPr>
              <w:pStyle w:val="TableTextBullet"/>
            </w:pPr>
            <w:r>
              <w:t>If Export is selected, exports the report to the designated file.</w:t>
            </w:r>
          </w:p>
          <w:p w14:paraId="7CF25D27" w14:textId="5702F813" w:rsidR="002A21AE" w:rsidRDefault="00D45D8C" w:rsidP="00D45D8C">
            <w:pPr>
              <w:pStyle w:val="TableTextBullet"/>
            </w:pPr>
            <w:r>
              <w:t>If Close is selected, exits the report preview.</w:t>
            </w:r>
          </w:p>
        </w:tc>
      </w:tr>
      <w:bookmarkEnd w:id="541"/>
      <w:bookmarkEnd w:id="542"/>
      <w:bookmarkEnd w:id="543"/>
    </w:tbl>
    <w:p w14:paraId="1FEAE4AF" w14:textId="77777777" w:rsidR="002A21AE" w:rsidRDefault="002A21AE">
      <w:pPr>
        <w:pStyle w:val="Heading2"/>
      </w:pPr>
      <w:r>
        <w:br w:type="page"/>
      </w:r>
      <w:bookmarkStart w:id="544" w:name="_Toc149064189"/>
      <w:r>
        <w:t>Issued/Returned Unit Report</w:t>
      </w:r>
      <w:bookmarkEnd w:id="544"/>
      <w:r>
        <w:fldChar w:fldCharType="begin"/>
      </w:r>
      <w:r>
        <w:instrText xml:space="preserve"> XE </w:instrText>
      </w:r>
      <w:r w:rsidR="00FA7E65">
        <w:instrText>“</w:instrText>
      </w:r>
      <w:r>
        <w:instrText>Issued/Returned Unit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UC_76</w:t>
      </w:r>
    </w:p>
    <w:p w14:paraId="1153DAC1" w14:textId="77777777" w:rsidR="002A21AE" w:rsidRDefault="002A21AE" w:rsidP="00FA7E65">
      <w:pPr>
        <w:pStyle w:val="BodyText"/>
      </w:pPr>
      <w:r>
        <w:t xml:space="preserve">The user views </w:t>
      </w:r>
      <w:r w:rsidR="00EB1E5A">
        <w:t xml:space="preserve">and/or </w:t>
      </w:r>
      <w:r>
        <w:t xml:space="preserve">prints the Issued/Returned Unit Report. </w:t>
      </w:r>
    </w:p>
    <w:p w14:paraId="58FBD509" w14:textId="77777777" w:rsidR="002A21AE" w:rsidRDefault="002A21AE">
      <w:pPr>
        <w:pStyle w:val="Heading4"/>
      </w:pPr>
      <w:r>
        <w:t>Assumptions</w:t>
      </w:r>
      <w:r>
        <w:rPr>
          <w:b w:val="0"/>
        </w:rPr>
        <w:t xml:space="preserve"> </w:t>
      </w:r>
    </w:p>
    <w:p w14:paraId="50289994" w14:textId="77777777" w:rsidR="002A21AE" w:rsidRDefault="002A21AE">
      <w:pPr>
        <w:pStyle w:val="ListBullet"/>
      </w:pPr>
      <w:r>
        <w:t>Data for the report were saved in the VBECS database.</w:t>
      </w:r>
    </w:p>
    <w:p w14:paraId="40989E67" w14:textId="77777777" w:rsidR="002A21AE" w:rsidRDefault="002A21AE">
      <w:pPr>
        <w:pStyle w:val="Heading4"/>
      </w:pPr>
      <w:r>
        <w:t xml:space="preserve">Outcome </w:t>
      </w:r>
    </w:p>
    <w:p w14:paraId="3A01B4E1" w14:textId="77777777" w:rsidR="002A21AE" w:rsidRDefault="00AE521B">
      <w:pPr>
        <w:pStyle w:val="ListBullet"/>
      </w:pPr>
      <w:r>
        <w:t>The user views and/or prints the report</w:t>
      </w:r>
      <w:r w:rsidR="002A21AE">
        <w:t xml:space="preserve">. </w:t>
      </w:r>
    </w:p>
    <w:p w14:paraId="6E84DEF2" w14:textId="77777777" w:rsidR="002A21AE" w:rsidRDefault="002A21AE">
      <w:pPr>
        <w:pStyle w:val="Heading4"/>
        <w:rPr>
          <w:b w:val="0"/>
        </w:rPr>
      </w:pPr>
      <w:r>
        <w:t>Limitations and Restrictions</w:t>
      </w:r>
      <w:r>
        <w:rPr>
          <w:b w:val="0"/>
        </w:rPr>
        <w:t xml:space="preserve"> </w:t>
      </w:r>
    </w:p>
    <w:p w14:paraId="7A69E77E" w14:textId="77777777" w:rsidR="002A21AE" w:rsidRDefault="002A21AE">
      <w:pPr>
        <w:pStyle w:val="ListBullet"/>
      </w:pPr>
      <w:r>
        <w:t>None</w:t>
      </w:r>
    </w:p>
    <w:p w14:paraId="4BE2B719" w14:textId="77777777" w:rsidR="002A21AE" w:rsidRDefault="002A21AE">
      <w:pPr>
        <w:pStyle w:val="Heading4"/>
      </w:pPr>
      <w:r>
        <w:t xml:space="preserve">Additional Information </w:t>
      </w:r>
    </w:p>
    <w:p w14:paraId="647426F5" w14:textId="130C4BCF" w:rsidR="002A21AE" w:rsidRDefault="002A21AE" w:rsidP="0054648D">
      <w:pPr>
        <w:pStyle w:val="ListBullet"/>
      </w:pPr>
      <w:r>
        <w:t>The report is compiled for one division.</w:t>
      </w:r>
    </w:p>
    <w:p w14:paraId="57077B2A" w14:textId="77777777" w:rsidR="002A21AE" w:rsidRDefault="002A21AE">
      <w:pPr>
        <w:pStyle w:val="Heading4"/>
      </w:pPr>
      <w:r>
        <w:t xml:space="preserve">User Roles with Access to This Option </w:t>
      </w:r>
    </w:p>
    <w:p w14:paraId="550CE541" w14:textId="77777777" w:rsidR="002A21AE" w:rsidRDefault="00184EA4">
      <w:pPr>
        <w:pStyle w:val="Roles"/>
      </w:pPr>
      <w:r>
        <w:t>All users</w:t>
      </w:r>
    </w:p>
    <w:p w14:paraId="6AC3D723" w14:textId="77777777" w:rsidR="002A21AE" w:rsidRDefault="002A21AE">
      <w:pPr>
        <w:pStyle w:val="Heading4"/>
      </w:pPr>
      <w:r>
        <w:t xml:space="preserve">Issued/Returned Unit Report </w:t>
      </w:r>
    </w:p>
    <w:p w14:paraId="76214276" w14:textId="77777777" w:rsidR="002A21AE" w:rsidRDefault="002A21AE" w:rsidP="00FA7E65">
      <w:pPr>
        <w:pStyle w:val="BodyText"/>
      </w:pPr>
      <w:r>
        <w:t xml:space="preserve">The user views </w:t>
      </w:r>
      <w:r w:rsidR="00EB1E5A">
        <w:t xml:space="preserve">and/or </w:t>
      </w:r>
      <w:r>
        <w:t>prints a report of units issued and/or returned to patients within a specified date range for a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5855"/>
      </w:tblGrid>
      <w:tr w:rsidR="002A21AE" w14:paraId="4B7965AB" w14:textId="77777777" w:rsidTr="00E35FC4">
        <w:trPr>
          <w:cantSplit/>
          <w:tblHeader/>
        </w:trPr>
        <w:tc>
          <w:tcPr>
            <w:tcW w:w="3505" w:type="dxa"/>
            <w:shd w:val="pct30" w:color="auto" w:fill="FFFFFF"/>
            <w:vAlign w:val="bottom"/>
          </w:tcPr>
          <w:p w14:paraId="74FFA685" w14:textId="77777777" w:rsidR="002A21AE" w:rsidRDefault="002A21AE">
            <w:pPr>
              <w:pStyle w:val="TableText"/>
              <w:rPr>
                <w:b/>
              </w:rPr>
            </w:pPr>
            <w:r>
              <w:rPr>
                <w:b/>
              </w:rPr>
              <w:t>User Action</w:t>
            </w:r>
          </w:p>
        </w:tc>
        <w:tc>
          <w:tcPr>
            <w:tcW w:w="5855" w:type="dxa"/>
            <w:shd w:val="pct30" w:color="auto" w:fill="FFFFFF"/>
            <w:vAlign w:val="bottom"/>
          </w:tcPr>
          <w:p w14:paraId="0EA42DB0" w14:textId="77777777" w:rsidR="002A21AE" w:rsidRDefault="002A21AE">
            <w:pPr>
              <w:pStyle w:val="TableText"/>
              <w:rPr>
                <w:b/>
              </w:rPr>
            </w:pPr>
            <w:r>
              <w:rPr>
                <w:b/>
              </w:rPr>
              <w:t>VBECS</w:t>
            </w:r>
          </w:p>
        </w:tc>
      </w:tr>
      <w:tr w:rsidR="002A21AE" w14:paraId="151804A1" w14:textId="77777777" w:rsidTr="00E35FC4">
        <w:tc>
          <w:tcPr>
            <w:tcW w:w="3505" w:type="dxa"/>
            <w:tcBorders>
              <w:top w:val="single" w:sz="4" w:space="0" w:color="auto"/>
              <w:left w:val="single" w:sz="4" w:space="0" w:color="auto"/>
              <w:bottom w:val="single" w:sz="4" w:space="0" w:color="auto"/>
              <w:right w:val="single" w:sz="4" w:space="0" w:color="auto"/>
            </w:tcBorders>
          </w:tcPr>
          <w:p w14:paraId="0B3E3BD3" w14:textId="77777777" w:rsidR="002A21AE" w:rsidRDefault="002A21AE">
            <w:pPr>
              <w:pStyle w:val="TableTextNumbers"/>
            </w:pPr>
            <w:r>
              <w:t xml:space="preserve">Select </w:t>
            </w:r>
            <w:r>
              <w:rPr>
                <w:b/>
              </w:rPr>
              <w:t>Reports</w:t>
            </w:r>
            <w:r>
              <w:t xml:space="preserve"> from the main menu.</w:t>
            </w:r>
          </w:p>
          <w:p w14:paraId="6D89B3F0" w14:textId="77777777" w:rsidR="002A21AE" w:rsidRDefault="002A21AE">
            <w:pPr>
              <w:pStyle w:val="TableTextNumbersContinued"/>
            </w:pPr>
          </w:p>
          <w:p w14:paraId="56C8F76C" w14:textId="77777777" w:rsidR="002A21AE" w:rsidRDefault="002A21AE">
            <w:pPr>
              <w:pStyle w:val="TableTextNumbersContinued"/>
            </w:pPr>
            <w:r>
              <w:t xml:space="preserve">Select </w:t>
            </w:r>
            <w:r>
              <w:rPr>
                <w:b/>
              </w:rPr>
              <w:t>Issued/Returned Report</w:t>
            </w:r>
            <w:r>
              <w:t>.</w:t>
            </w:r>
          </w:p>
        </w:tc>
        <w:tc>
          <w:tcPr>
            <w:tcW w:w="5855" w:type="dxa"/>
            <w:tcBorders>
              <w:top w:val="single" w:sz="4" w:space="0" w:color="auto"/>
              <w:left w:val="single" w:sz="4" w:space="0" w:color="auto"/>
              <w:bottom w:val="single" w:sz="4" w:space="0" w:color="auto"/>
              <w:right w:val="single" w:sz="4" w:space="0" w:color="auto"/>
            </w:tcBorders>
          </w:tcPr>
          <w:p w14:paraId="76C8C02D" w14:textId="77777777" w:rsidR="002A21AE" w:rsidRDefault="002A21AE">
            <w:pPr>
              <w:pStyle w:val="TableTextBullet"/>
            </w:pPr>
            <w:r>
              <w:t>Lists report names.</w:t>
            </w:r>
          </w:p>
          <w:p w14:paraId="0E81654D" w14:textId="77777777" w:rsidR="002A21AE" w:rsidRDefault="002A21AE">
            <w:pPr>
              <w:pStyle w:val="TableTextBullet"/>
            </w:pPr>
            <w:r>
              <w:t>Displays fields for entering a report date range.</w:t>
            </w:r>
          </w:p>
        </w:tc>
      </w:tr>
      <w:tr w:rsidR="002A21AE" w14:paraId="2EF477DE" w14:textId="77777777" w:rsidTr="00E35FC4">
        <w:tc>
          <w:tcPr>
            <w:tcW w:w="3505" w:type="dxa"/>
          </w:tcPr>
          <w:p w14:paraId="55765D2B" w14:textId="77777777" w:rsidR="002A21AE" w:rsidRDefault="002A21AE">
            <w:pPr>
              <w:pStyle w:val="TableTextNumbers"/>
            </w:pPr>
            <w:r>
              <w:t xml:space="preserve">Enter or select start and end dates. </w:t>
            </w:r>
          </w:p>
        </w:tc>
        <w:tc>
          <w:tcPr>
            <w:tcW w:w="5855" w:type="dxa"/>
          </w:tcPr>
          <w:p w14:paraId="38E11BCE" w14:textId="3099D9E7" w:rsidR="002A21AE" w:rsidRDefault="002A21AE">
            <w:pPr>
              <w:pStyle w:val="TableTextBullet"/>
            </w:pPr>
            <w:r>
              <w:t>Allows the user to sort the report by issued date range</w:t>
            </w:r>
            <w:r w:rsidR="005F46D4">
              <w:t xml:space="preserve">, </w:t>
            </w:r>
            <w:r>
              <w:t>by patien</w:t>
            </w:r>
            <w:r w:rsidR="005F46D4">
              <w:t>t name or by component class</w:t>
            </w:r>
            <w:r>
              <w:t>.</w:t>
            </w:r>
          </w:p>
        </w:tc>
      </w:tr>
      <w:tr w:rsidR="00B33FB0" w14:paraId="6B72A20F" w14:textId="77777777" w:rsidTr="00E35FC4">
        <w:tc>
          <w:tcPr>
            <w:tcW w:w="3505" w:type="dxa"/>
          </w:tcPr>
          <w:p w14:paraId="73A744CE" w14:textId="3F560AA9" w:rsidR="00B33FB0" w:rsidRDefault="00B33FB0">
            <w:pPr>
              <w:pStyle w:val="TableTextNumbers"/>
            </w:pPr>
            <w:r>
              <w:t xml:space="preserve">In the Report Sort Order area, select the </w:t>
            </w:r>
            <w:r w:rsidRPr="000D2373">
              <w:rPr>
                <w:b/>
              </w:rPr>
              <w:t>Issue/Return Date</w:t>
            </w:r>
            <w:r w:rsidR="005F46D4">
              <w:rPr>
                <w:b/>
              </w:rPr>
              <w:t>, Patient Name</w:t>
            </w:r>
            <w:r>
              <w:t xml:space="preserve"> or </w:t>
            </w:r>
            <w:r w:rsidR="005F46D4">
              <w:rPr>
                <w:b/>
              </w:rPr>
              <w:t>Component Class</w:t>
            </w:r>
            <w:r>
              <w:t xml:space="preserve"> radio button.</w:t>
            </w:r>
          </w:p>
        </w:tc>
        <w:tc>
          <w:tcPr>
            <w:tcW w:w="5855" w:type="dxa"/>
          </w:tcPr>
          <w:p w14:paraId="730785C6" w14:textId="1BD26211" w:rsidR="00B33FB0" w:rsidRDefault="000D2373">
            <w:pPr>
              <w:pStyle w:val="TableTextBullet"/>
            </w:pPr>
            <w:r w:rsidRPr="000D2373">
              <w:rPr>
                <w:vanish/>
              </w:rPr>
              <w:t>BR_76</w:t>
            </w:r>
            <w:r w:rsidR="00893E3E">
              <w:rPr>
                <w:vanish/>
              </w:rPr>
              <w:t>.</w:t>
            </w:r>
            <w:r w:rsidRPr="000D2373">
              <w:rPr>
                <w:vanish/>
              </w:rPr>
              <w:t xml:space="preserve">01 </w:t>
            </w:r>
            <w:r>
              <w:t>Compiles the report and, for each unit issued and when units are returned, includes return information.</w:t>
            </w:r>
          </w:p>
          <w:p w14:paraId="02A3EF59" w14:textId="77777777" w:rsidR="000D2373" w:rsidRDefault="000D2373" w:rsidP="000D2373">
            <w:pPr>
              <w:pStyle w:val="TableTextBullet"/>
              <w:numPr>
                <w:ilvl w:val="0"/>
                <w:numId w:val="0"/>
              </w:numPr>
              <w:ind w:left="288" w:hanging="288"/>
            </w:pPr>
          </w:p>
          <w:p w14:paraId="6621EAE4" w14:textId="2CCE9BAB" w:rsidR="000D2373" w:rsidRDefault="000D2373" w:rsidP="000D2373">
            <w:pPr>
              <w:pStyle w:val="TableText"/>
              <w:rPr>
                <w:b/>
                <w:bCs/>
                <w:szCs w:val="18"/>
              </w:rPr>
            </w:pPr>
            <w:r>
              <w:rPr>
                <w:b/>
                <w:bCs/>
                <w:szCs w:val="18"/>
              </w:rPr>
              <w:t>NOTES</w:t>
            </w:r>
          </w:p>
          <w:p w14:paraId="3E3D2A90" w14:textId="77777777" w:rsidR="000D2373" w:rsidRDefault="000D2373" w:rsidP="000D2373">
            <w:pPr>
              <w:pStyle w:val="NotesText"/>
            </w:pPr>
          </w:p>
          <w:p w14:paraId="4B9698D9" w14:textId="69FD8D1D" w:rsidR="00F1278D" w:rsidRDefault="000D2373" w:rsidP="006D2C87">
            <w:pPr>
              <w:pStyle w:val="TableTextBullet"/>
              <w:numPr>
                <w:ilvl w:val="0"/>
                <w:numId w:val="0"/>
              </w:numPr>
              <w:ind w:left="738" w:hanging="18"/>
            </w:pPr>
            <w:r>
              <w:rPr>
                <w:rFonts w:cs="Arial"/>
                <w:vanish/>
              </w:rPr>
              <w:t xml:space="preserve">BR_76.02 </w:t>
            </w:r>
            <w:r>
              <w:t>The report includes a unit that is issued or returned within the entered date range. When a unit is identified as issued or returned during the entered date range, the report also includes unit return and issuance data, respectively, even when they fall outside the date range of the report</w:t>
            </w:r>
            <w:r w:rsidR="006D2C87">
              <w:t>.</w:t>
            </w:r>
          </w:p>
        </w:tc>
      </w:tr>
      <w:tr w:rsidR="00301F2A" w14:paraId="15501C6D" w14:textId="77777777" w:rsidTr="00E35FC4">
        <w:tc>
          <w:tcPr>
            <w:tcW w:w="3505" w:type="dxa"/>
          </w:tcPr>
          <w:p w14:paraId="27C00280" w14:textId="77777777" w:rsidR="00301F2A" w:rsidRDefault="00301F2A">
            <w:pPr>
              <w:pStyle w:val="TableTextNumbers"/>
            </w:pPr>
            <w:r>
              <w:t xml:space="preserve">In the Report Compilation area, click the </w:t>
            </w:r>
            <w:r w:rsidRPr="00B40DDD">
              <w:rPr>
                <w:b/>
              </w:rPr>
              <w:t>Create Report Now</w:t>
            </w:r>
            <w:r>
              <w:t xml:space="preserve"> radio button. Click </w:t>
            </w:r>
            <w:r w:rsidRPr="00B40DDD">
              <w:rPr>
                <w:b/>
              </w:rPr>
              <w:t>OK</w:t>
            </w:r>
            <w:r>
              <w:t xml:space="preserve"> to view the report, or</w:t>
            </w:r>
          </w:p>
          <w:p w14:paraId="0C2CB574" w14:textId="77777777" w:rsidR="00301F2A" w:rsidRDefault="00301F2A" w:rsidP="00301F2A">
            <w:pPr>
              <w:pStyle w:val="TableTextNumbers"/>
              <w:numPr>
                <w:ilvl w:val="0"/>
                <w:numId w:val="0"/>
              </w:numPr>
              <w:ind w:left="288"/>
            </w:pPr>
          </w:p>
          <w:p w14:paraId="2A39EB86" w14:textId="77777777" w:rsidR="00301F2A" w:rsidRDefault="00301F2A" w:rsidP="00301F2A">
            <w:pPr>
              <w:pStyle w:val="TableTextNumbers"/>
              <w:numPr>
                <w:ilvl w:val="0"/>
                <w:numId w:val="0"/>
              </w:numPr>
              <w:ind w:left="288"/>
            </w:pPr>
            <w:r>
              <w:t xml:space="preserve">Click the </w:t>
            </w:r>
            <w:r w:rsidRPr="00B40DDD">
              <w:rPr>
                <w:b/>
              </w:rPr>
              <w:t>Schedule Print Job</w:t>
            </w:r>
            <w:r>
              <w:t xml:space="preserve"> radio button and </w:t>
            </w:r>
            <w:r w:rsidRPr="00B40DDD">
              <w:rPr>
                <w:b/>
              </w:rPr>
              <w:t>OK</w:t>
            </w:r>
            <w:r>
              <w:t xml:space="preserve">, then enter or select a print date and printer name. Click </w:t>
            </w:r>
            <w:r w:rsidRPr="00B40DDD">
              <w:rPr>
                <w:b/>
              </w:rPr>
              <w:t>OK</w:t>
            </w:r>
            <w:r>
              <w:t xml:space="preserve"> to view and print the report.</w:t>
            </w:r>
          </w:p>
        </w:tc>
        <w:tc>
          <w:tcPr>
            <w:tcW w:w="5855" w:type="dxa"/>
          </w:tcPr>
          <w:p w14:paraId="0B0D38FE" w14:textId="77777777" w:rsidR="00B40DDD" w:rsidRDefault="00B40DDD" w:rsidP="00AA2B2E">
            <w:pPr>
              <w:pStyle w:val="TableTextBullet"/>
            </w:pPr>
            <w:r>
              <w:t>Compiles and displays the report.</w:t>
            </w:r>
          </w:p>
        </w:tc>
      </w:tr>
      <w:tr w:rsidR="00301F2A" w14:paraId="535A982D" w14:textId="77777777" w:rsidTr="00E35FC4">
        <w:tc>
          <w:tcPr>
            <w:tcW w:w="3505" w:type="dxa"/>
          </w:tcPr>
          <w:p w14:paraId="3D5F4542" w14:textId="2D09CF01" w:rsidR="00301F2A"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5855" w:type="dxa"/>
          </w:tcPr>
          <w:p w14:paraId="4E3CF220" w14:textId="77777777" w:rsidR="00D45D8C" w:rsidRDefault="00D45D8C" w:rsidP="00D45D8C">
            <w:pPr>
              <w:pStyle w:val="TableTextBullet"/>
            </w:pPr>
            <w:r>
              <w:t>If Print is selected, prints the report on the designated printer.</w:t>
            </w:r>
          </w:p>
          <w:p w14:paraId="1321A2A6" w14:textId="77777777" w:rsidR="00D45D8C" w:rsidRDefault="00D45D8C" w:rsidP="00D45D8C">
            <w:pPr>
              <w:pStyle w:val="TableTextBullet"/>
            </w:pPr>
            <w:r>
              <w:t>If Export is selected, exports the report to the designated file.</w:t>
            </w:r>
          </w:p>
          <w:p w14:paraId="0AF0CFA5" w14:textId="2123977C" w:rsidR="00301F2A" w:rsidRDefault="00D45D8C" w:rsidP="00D45D8C">
            <w:pPr>
              <w:pStyle w:val="TableTextBullet"/>
            </w:pPr>
            <w:r>
              <w:t>If Close is selected, exits the report preview.</w:t>
            </w:r>
          </w:p>
        </w:tc>
      </w:tr>
    </w:tbl>
    <w:p w14:paraId="14FEFFEA" w14:textId="2F0818A6" w:rsidR="00BA595C" w:rsidRDefault="00BA595C">
      <w:pPr>
        <w:pStyle w:val="Heading2"/>
      </w:pPr>
      <w:bookmarkStart w:id="545" w:name="_Toc149064190"/>
      <w:r>
        <w:t xml:space="preserve">Medication Profile </w:t>
      </w:r>
      <w:r w:rsidRPr="00BA595C">
        <w:rPr>
          <w:rFonts w:ascii="Arial Bold" w:hAnsi="Arial Bold"/>
          <w:vanish/>
        </w:rPr>
        <w:t xml:space="preserve">UC_46 </w:t>
      </w:r>
      <w:r>
        <w:t>(</w:t>
      </w:r>
      <w:r w:rsidR="00203702">
        <w:t>See Patient Information Toolbar</w:t>
      </w:r>
      <w:r>
        <w:t>)</w:t>
      </w:r>
      <w:bookmarkEnd w:id="545"/>
    </w:p>
    <w:p w14:paraId="15AC7F63" w14:textId="77777777" w:rsidR="002A21AE" w:rsidRDefault="002A21AE">
      <w:pPr>
        <w:pStyle w:val="Heading2"/>
      </w:pPr>
      <w:bookmarkStart w:id="546" w:name="_Toc149064191"/>
      <w:r>
        <w:t>Order History Report</w:t>
      </w:r>
      <w:bookmarkEnd w:id="546"/>
      <w:r>
        <w:fldChar w:fldCharType="begin"/>
      </w:r>
      <w:r>
        <w:instrText xml:space="preserve"> XE </w:instrText>
      </w:r>
      <w:r w:rsidR="00FA7E65">
        <w:instrText>“</w:instrText>
      </w:r>
      <w:r>
        <w:instrText>Order History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UC_86</w:t>
      </w:r>
      <w:r>
        <w:rPr>
          <w:rStyle w:val="CommentReference"/>
          <w:rFonts w:ascii="Times New Roman" w:hAnsi="Times New Roman" w:cs="Times New Roman"/>
          <w:b w:val="0"/>
          <w:bCs w:val="0"/>
          <w:vanish/>
        </w:rPr>
        <w:t xml:space="preserve"> </w:t>
      </w:r>
    </w:p>
    <w:p w14:paraId="159FC877" w14:textId="12990072" w:rsidR="002A21AE" w:rsidRDefault="002A21AE" w:rsidP="00FA7E65">
      <w:pPr>
        <w:pStyle w:val="BodyText"/>
      </w:pPr>
      <w:r>
        <w:t xml:space="preserve">The user views </w:t>
      </w:r>
      <w:r w:rsidR="00EB1E5A">
        <w:t xml:space="preserve">and/or </w:t>
      </w:r>
      <w:r>
        <w:t>prints a Single-Order History Report or an Order Summary Report.</w:t>
      </w:r>
    </w:p>
    <w:p w14:paraId="2DDA4C5B" w14:textId="77777777" w:rsidR="002A21AE" w:rsidRDefault="002A21AE">
      <w:pPr>
        <w:pStyle w:val="Heading4"/>
      </w:pPr>
      <w:r>
        <w:t>Assumptions</w:t>
      </w:r>
      <w:r>
        <w:rPr>
          <w:b w:val="0"/>
        </w:rPr>
        <w:t xml:space="preserve"> </w:t>
      </w:r>
    </w:p>
    <w:p w14:paraId="2AB011B5" w14:textId="77777777" w:rsidR="002A21AE" w:rsidRDefault="002A21AE">
      <w:pPr>
        <w:pStyle w:val="ListBullet"/>
      </w:pPr>
      <w:r>
        <w:t>Data for the report are available.</w:t>
      </w:r>
    </w:p>
    <w:p w14:paraId="3FA40DA4" w14:textId="77777777" w:rsidR="002A21AE" w:rsidRDefault="002A21AE">
      <w:pPr>
        <w:pStyle w:val="Heading4"/>
      </w:pPr>
      <w:r>
        <w:t xml:space="preserve">Outcome </w:t>
      </w:r>
    </w:p>
    <w:p w14:paraId="13AC31F6" w14:textId="77777777" w:rsidR="002A21AE" w:rsidRDefault="002A21AE">
      <w:pPr>
        <w:pStyle w:val="ListBullet"/>
      </w:pPr>
      <w:r>
        <w:t>The user may view and/or print a report.</w:t>
      </w:r>
    </w:p>
    <w:p w14:paraId="500554A0" w14:textId="77777777" w:rsidR="002A21AE" w:rsidRDefault="002A21AE">
      <w:pPr>
        <w:pStyle w:val="Heading4"/>
        <w:rPr>
          <w:b w:val="0"/>
        </w:rPr>
      </w:pPr>
      <w:r>
        <w:t>Limitations and Restrictions</w:t>
      </w:r>
      <w:r>
        <w:rPr>
          <w:b w:val="0"/>
        </w:rPr>
        <w:t xml:space="preserve"> </w:t>
      </w:r>
    </w:p>
    <w:p w14:paraId="778C690B" w14:textId="5C30B6D4" w:rsidR="002A21AE" w:rsidRDefault="00C43421">
      <w:pPr>
        <w:pStyle w:val="ListBullet"/>
      </w:pPr>
      <w:r>
        <w:t>VBECS does not display the identity of the CPRS user who discontinues a signed order in CPRS.</w:t>
      </w:r>
      <w:r w:rsidR="00DC0F5E">
        <w:t xml:space="preserve"> The CPRS order detail</w:t>
      </w:r>
      <w:r w:rsidR="00DD73AD">
        <w:t>s option contains all pertinent</w:t>
      </w:r>
      <w:r w:rsidR="00DC0F5E">
        <w:t xml:space="preserve"> order information.</w:t>
      </w:r>
      <w:r>
        <w:rPr>
          <w:vanish/>
        </w:rPr>
        <w:t xml:space="preserve"> DR 3766</w:t>
      </w:r>
      <w:r w:rsidR="00DC0F5E">
        <w:t xml:space="preserve"> </w:t>
      </w:r>
    </w:p>
    <w:p w14:paraId="53E2CEB0" w14:textId="5C745EB7" w:rsidR="00D8384F" w:rsidRDefault="000F404E">
      <w:pPr>
        <w:pStyle w:val="ListBullet"/>
      </w:pPr>
      <w:r>
        <w:t>Cancel</w:t>
      </w:r>
      <w:r w:rsidR="002F7E19">
        <w:t>l</w:t>
      </w:r>
      <w:r>
        <w:t>ed orders are included on the Order Summary Report without a column/data to help identify them as cance</w:t>
      </w:r>
      <w:r w:rsidR="002F7E19">
        <w:t>l</w:t>
      </w:r>
      <w:r>
        <w:t>led. The Single Order History Report includes the cance</w:t>
      </w:r>
      <w:r w:rsidR="002F7E19">
        <w:t>l</w:t>
      </w:r>
      <w:r>
        <w:t>led</w:t>
      </w:r>
      <w:r w:rsidR="0043651F">
        <w:t xml:space="preserve"> order information. When the order is also cance</w:t>
      </w:r>
      <w:r w:rsidR="002F7E19">
        <w:t>l</w:t>
      </w:r>
      <w:r w:rsidR="0043651F">
        <w:t>led in VistA, which would be the norm, there is a lab report that can be referenced</w:t>
      </w:r>
      <w:r w:rsidR="002F7E19">
        <w:t xml:space="preserve"> (See </w:t>
      </w:r>
      <w:r w:rsidR="00F97570">
        <w:t xml:space="preserve">FAQ </w:t>
      </w:r>
      <w:r w:rsidR="002F7E19">
        <w:t>Order Status Clarification)</w:t>
      </w:r>
      <w:r w:rsidR="0043651F">
        <w:t xml:space="preserve">. </w:t>
      </w:r>
      <w:r w:rsidRPr="0043651F">
        <w:rPr>
          <w:vanish/>
        </w:rPr>
        <w:t>Defect 2088</w:t>
      </w:r>
      <w:r w:rsidR="00CA4C08">
        <w:rPr>
          <w:vanish/>
        </w:rPr>
        <w:t>7</w:t>
      </w:r>
      <w:r w:rsidRPr="0043651F">
        <w:rPr>
          <w:vanish/>
        </w:rPr>
        <w:t>7</w:t>
      </w:r>
    </w:p>
    <w:p w14:paraId="6F2AEC00" w14:textId="0B725D5E" w:rsidR="00780C90" w:rsidRDefault="00780C90">
      <w:pPr>
        <w:pStyle w:val="ListBullet"/>
      </w:pPr>
      <w:r>
        <w:t>The Order History Report only displays the first twenty (20) characters of an ordering location. Ordering locations in VistA</w:t>
      </w:r>
      <w:r w:rsidR="003209A5">
        <w:t xml:space="preserve"> can be shortened or changed when the uniqueness of a location cannot be determined with the first twenty (20) characters. </w:t>
      </w:r>
      <w:r w:rsidR="003209A5" w:rsidRPr="003209A5">
        <w:rPr>
          <w:vanish/>
        </w:rPr>
        <w:t>Defect 209846</w:t>
      </w:r>
    </w:p>
    <w:p w14:paraId="60A6D2EA" w14:textId="77777777" w:rsidR="002A21AE" w:rsidRDefault="002A21AE">
      <w:pPr>
        <w:pStyle w:val="Heading4"/>
      </w:pPr>
      <w:r>
        <w:t xml:space="preserve">Additional Information </w:t>
      </w:r>
    </w:p>
    <w:p w14:paraId="7AF64806" w14:textId="77777777" w:rsidR="002A21AE" w:rsidRDefault="002A21AE">
      <w:pPr>
        <w:pStyle w:val="ListBullet"/>
      </w:pPr>
      <w:r>
        <w:t>Test counts and workload information for other VBECS processes are in the Workload Report.</w:t>
      </w:r>
    </w:p>
    <w:p w14:paraId="55361965" w14:textId="77777777" w:rsidR="002A21AE" w:rsidRDefault="002A21AE">
      <w:pPr>
        <w:pStyle w:val="Heading4"/>
        <w:rPr>
          <w:b w:val="0"/>
        </w:rPr>
      </w:pPr>
      <w:r>
        <w:t>User Roles with Access to This Option</w:t>
      </w:r>
      <w:r>
        <w:rPr>
          <w:b w:val="0"/>
        </w:rPr>
        <w:t xml:space="preserve"> </w:t>
      </w:r>
    </w:p>
    <w:p w14:paraId="1779246A" w14:textId="77777777" w:rsidR="002A21AE" w:rsidRDefault="00184EA4">
      <w:pPr>
        <w:pStyle w:val="Roles"/>
      </w:pPr>
      <w:r>
        <w:t>All users</w:t>
      </w:r>
    </w:p>
    <w:p w14:paraId="1D76BF7E" w14:textId="77777777" w:rsidR="002A21AE" w:rsidRDefault="002A21AE">
      <w:pPr>
        <w:pStyle w:val="Heading4"/>
      </w:pPr>
      <w:r>
        <w:t>Order History Report</w:t>
      </w:r>
      <w:r>
        <w:rPr>
          <w:rStyle w:val="CommentReference"/>
          <w:rFonts w:ascii="Times New Roman" w:hAnsi="Times New Roman"/>
          <w:b w:val="0"/>
          <w:bCs/>
          <w:vanish/>
        </w:rPr>
        <w:t xml:space="preserve"> </w:t>
      </w:r>
    </w:p>
    <w:p w14:paraId="6F9CF51A" w14:textId="77777777" w:rsidR="002A21AE" w:rsidRDefault="002A21AE" w:rsidP="00FA7E65">
      <w:pPr>
        <w:pStyle w:val="BodyText"/>
      </w:pPr>
      <w:r>
        <w:t>The user views and/or prints an Order History Report.</w:t>
      </w:r>
      <w:r w:rsidR="000054DE">
        <w:t xml:space="preserve"> </w:t>
      </w:r>
      <w:r>
        <w:t xml:space="preserve">The user may retrieve a report for a single order or </w:t>
      </w:r>
      <w:r w:rsidR="00C166BB">
        <w:t xml:space="preserve">a summary report </w:t>
      </w:r>
      <w:r>
        <w:t xml:space="preserve">for all VBECS orders within a date range. The user may sort the Order Summary Report by treating specialty or by patient location.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86AEC69" w14:textId="77777777">
        <w:trPr>
          <w:cantSplit/>
          <w:tblHeader/>
        </w:trPr>
        <w:tc>
          <w:tcPr>
            <w:tcW w:w="3240" w:type="dxa"/>
            <w:shd w:val="pct30" w:color="auto" w:fill="FFFFFF"/>
            <w:vAlign w:val="bottom"/>
          </w:tcPr>
          <w:p w14:paraId="7373C65A" w14:textId="77777777" w:rsidR="002A21AE" w:rsidRDefault="002A21AE">
            <w:pPr>
              <w:pStyle w:val="TableText"/>
              <w:rPr>
                <w:b/>
              </w:rPr>
            </w:pPr>
            <w:r>
              <w:rPr>
                <w:b/>
              </w:rPr>
              <w:t>User Action</w:t>
            </w:r>
          </w:p>
        </w:tc>
        <w:tc>
          <w:tcPr>
            <w:tcW w:w="6120" w:type="dxa"/>
            <w:shd w:val="pct30" w:color="auto" w:fill="FFFFFF"/>
            <w:vAlign w:val="bottom"/>
          </w:tcPr>
          <w:p w14:paraId="3B8D57B7" w14:textId="77777777" w:rsidR="002A21AE" w:rsidRDefault="002A21AE">
            <w:pPr>
              <w:pStyle w:val="TableText"/>
              <w:rPr>
                <w:b/>
              </w:rPr>
            </w:pPr>
            <w:r>
              <w:rPr>
                <w:b/>
              </w:rPr>
              <w:t>VBECS</w:t>
            </w:r>
          </w:p>
        </w:tc>
      </w:tr>
      <w:tr w:rsidR="002A21AE" w14:paraId="15031065" w14:textId="77777777">
        <w:trPr>
          <w:trHeight w:val="773"/>
        </w:trPr>
        <w:tc>
          <w:tcPr>
            <w:tcW w:w="3240" w:type="dxa"/>
          </w:tcPr>
          <w:p w14:paraId="78FC4551" w14:textId="77777777" w:rsidR="002A21AE" w:rsidRDefault="002A21AE" w:rsidP="00925CAD">
            <w:pPr>
              <w:pStyle w:val="TableTextNumbers"/>
              <w:numPr>
                <w:ilvl w:val="0"/>
                <w:numId w:val="39"/>
              </w:numPr>
            </w:pPr>
            <w:r>
              <w:t xml:space="preserve">Select </w:t>
            </w:r>
            <w:r w:rsidRPr="002F2DF7">
              <w:rPr>
                <w:b/>
              </w:rPr>
              <w:t>Reports</w:t>
            </w:r>
            <w:r>
              <w:t xml:space="preserve"> from the main menu.</w:t>
            </w:r>
          </w:p>
          <w:p w14:paraId="00FC3814" w14:textId="77777777" w:rsidR="002A21AE" w:rsidRDefault="002A21AE">
            <w:pPr>
              <w:pStyle w:val="TableTextNumbersContinued"/>
            </w:pPr>
          </w:p>
          <w:p w14:paraId="67001049" w14:textId="77777777" w:rsidR="002A21AE" w:rsidRDefault="002A21AE">
            <w:pPr>
              <w:pStyle w:val="TableTextNumbersContinued"/>
            </w:pPr>
            <w:r>
              <w:t xml:space="preserve">Select </w:t>
            </w:r>
            <w:r>
              <w:rPr>
                <w:b/>
              </w:rPr>
              <w:t>Order History Report</w:t>
            </w:r>
            <w:r>
              <w:t>.</w:t>
            </w:r>
          </w:p>
        </w:tc>
        <w:tc>
          <w:tcPr>
            <w:tcW w:w="6120" w:type="dxa"/>
          </w:tcPr>
          <w:p w14:paraId="087DA321" w14:textId="77777777" w:rsidR="002A21AE" w:rsidRDefault="002A21AE">
            <w:pPr>
              <w:pStyle w:val="TableTextBullet"/>
            </w:pPr>
            <w:r>
              <w:t>Lists report names.</w:t>
            </w:r>
          </w:p>
          <w:p w14:paraId="56E7E96D" w14:textId="77777777" w:rsidR="002A21AE" w:rsidRDefault="002A21AE">
            <w:pPr>
              <w:pStyle w:val="TableTextBullet"/>
            </w:pPr>
            <w:r>
              <w:t>Displays options for generating, viewing, and printing reports.</w:t>
            </w:r>
          </w:p>
          <w:p w14:paraId="19F2DC88" w14:textId="77777777" w:rsidR="002A21AE" w:rsidRDefault="002A21AE">
            <w:pPr>
              <w:pStyle w:val="TableTextBullet"/>
            </w:pPr>
            <w:r>
              <w:t>Displays report type and compilation criteria.</w:t>
            </w:r>
          </w:p>
        </w:tc>
      </w:tr>
      <w:tr w:rsidR="002A21AE" w14:paraId="14E7A9FD" w14:textId="77777777">
        <w:trPr>
          <w:trHeight w:val="773"/>
        </w:trPr>
        <w:tc>
          <w:tcPr>
            <w:tcW w:w="3240" w:type="dxa"/>
            <w:tcBorders>
              <w:top w:val="single" w:sz="4" w:space="0" w:color="auto"/>
              <w:left w:val="single" w:sz="4" w:space="0" w:color="auto"/>
              <w:bottom w:val="single" w:sz="4" w:space="0" w:color="auto"/>
              <w:right w:val="single" w:sz="4" w:space="0" w:color="auto"/>
            </w:tcBorders>
          </w:tcPr>
          <w:p w14:paraId="3198B501" w14:textId="77777777" w:rsidR="002A21AE" w:rsidRDefault="002A21AE">
            <w:pPr>
              <w:pStyle w:val="TableTextNumbers"/>
            </w:pPr>
            <w:r>
              <w:t xml:space="preserve">Click the </w:t>
            </w:r>
            <w:r>
              <w:rPr>
                <w:b/>
              </w:rPr>
              <w:t>Order Summary Repor</w:t>
            </w:r>
            <w:r>
              <w:t xml:space="preserve">t or </w:t>
            </w:r>
            <w:r>
              <w:rPr>
                <w:b/>
              </w:rPr>
              <w:t>Single-Order History Report</w:t>
            </w:r>
            <w:r>
              <w:t xml:space="preserve"> </w:t>
            </w:r>
            <w:r w:rsidRPr="00BF2E41">
              <w:t>radio button</w:t>
            </w:r>
            <w:r>
              <w:t xml:space="preserve"> to select a report type.</w:t>
            </w:r>
          </w:p>
        </w:tc>
        <w:tc>
          <w:tcPr>
            <w:tcW w:w="6120" w:type="dxa"/>
            <w:tcBorders>
              <w:top w:val="single" w:sz="4" w:space="0" w:color="auto"/>
              <w:left w:val="single" w:sz="4" w:space="0" w:color="auto"/>
              <w:bottom w:val="single" w:sz="4" w:space="0" w:color="auto"/>
              <w:right w:val="single" w:sz="4" w:space="0" w:color="auto"/>
            </w:tcBorders>
          </w:tcPr>
          <w:p w14:paraId="4A64B7B0" w14:textId="77777777" w:rsidR="002A21AE" w:rsidRDefault="002A21AE">
            <w:pPr>
              <w:pStyle w:val="TableText"/>
            </w:pPr>
          </w:p>
        </w:tc>
      </w:tr>
      <w:tr w:rsidR="002A21AE" w14:paraId="52391AB0" w14:textId="77777777" w:rsidTr="00E35FC4">
        <w:trPr>
          <w:cantSplit/>
        </w:trPr>
        <w:tc>
          <w:tcPr>
            <w:tcW w:w="3240" w:type="dxa"/>
            <w:tcBorders>
              <w:top w:val="single" w:sz="4" w:space="0" w:color="auto"/>
              <w:left w:val="single" w:sz="4" w:space="0" w:color="auto"/>
              <w:bottom w:val="single" w:sz="4" w:space="0" w:color="auto"/>
              <w:right w:val="single" w:sz="4" w:space="0" w:color="auto"/>
            </w:tcBorders>
          </w:tcPr>
          <w:p w14:paraId="16711A97" w14:textId="77777777" w:rsidR="002A21AE" w:rsidRDefault="002A21AE">
            <w:pPr>
              <w:pStyle w:val="TableTextNumbers"/>
            </w:pPr>
            <w:r>
              <w:t>For an Order Summary Report, create a report date range:</w:t>
            </w:r>
          </w:p>
          <w:p w14:paraId="0C15D7DE" w14:textId="77777777" w:rsidR="002A21AE" w:rsidRDefault="002A21AE">
            <w:pPr>
              <w:pStyle w:val="TableText"/>
            </w:pPr>
          </w:p>
          <w:p w14:paraId="3D071E4A" w14:textId="77777777" w:rsidR="002A21AE" w:rsidRDefault="002A21AE">
            <w:pPr>
              <w:pStyle w:val="TableTextNumbersContinued"/>
            </w:pPr>
            <w:r>
              <w:t xml:space="preserve">Select or edit the dates and times in the </w:t>
            </w:r>
            <w:r w:rsidRPr="00945BF5">
              <w:t>Start Date</w:t>
            </w:r>
            <w:r>
              <w:t xml:space="preserve"> and </w:t>
            </w:r>
            <w:r w:rsidRPr="00945BF5">
              <w:t>End Date</w:t>
            </w:r>
            <w:r>
              <w:t xml:space="preserve"> fields. </w:t>
            </w:r>
          </w:p>
          <w:p w14:paraId="5521D107" w14:textId="77777777" w:rsidR="002A21AE" w:rsidRDefault="002A21AE">
            <w:pPr>
              <w:pStyle w:val="TableTextNumbersContinued"/>
            </w:pPr>
          </w:p>
          <w:p w14:paraId="0D5CD2B6" w14:textId="77777777" w:rsidR="002A21AE" w:rsidRDefault="002A21AE">
            <w:pPr>
              <w:pStyle w:val="TableTextNumbersContinued"/>
            </w:pPr>
            <w:r>
              <w:t xml:space="preserve">In the </w:t>
            </w:r>
            <w:r w:rsidRPr="00E82663">
              <w:rPr>
                <w:b/>
              </w:rPr>
              <w:t>Report Sort Order</w:t>
            </w:r>
            <w:r>
              <w:t xml:space="preserve"> area, click the </w:t>
            </w:r>
            <w:r>
              <w:rPr>
                <w:b/>
              </w:rPr>
              <w:t>Treating Specialty</w:t>
            </w:r>
            <w:r>
              <w:t xml:space="preserve"> or </w:t>
            </w:r>
            <w:r>
              <w:rPr>
                <w:b/>
              </w:rPr>
              <w:t>Ordering Location</w:t>
            </w:r>
            <w:r>
              <w:t xml:space="preserve"> </w:t>
            </w:r>
            <w:r w:rsidRPr="00BF2E41">
              <w:t>radio button</w:t>
            </w:r>
            <w:r>
              <w:t xml:space="preserve"> and continue at Step 5. </w:t>
            </w:r>
          </w:p>
        </w:tc>
        <w:tc>
          <w:tcPr>
            <w:tcW w:w="6120" w:type="dxa"/>
            <w:tcBorders>
              <w:top w:val="single" w:sz="4" w:space="0" w:color="auto"/>
              <w:left w:val="single" w:sz="4" w:space="0" w:color="auto"/>
              <w:bottom w:val="single" w:sz="4" w:space="0" w:color="auto"/>
              <w:right w:val="single" w:sz="4" w:space="0" w:color="auto"/>
            </w:tcBorders>
          </w:tcPr>
          <w:p w14:paraId="3D0C4970" w14:textId="77777777" w:rsidR="002A21AE" w:rsidRDefault="002A21AE">
            <w:pPr>
              <w:pStyle w:val="TableTextBullet"/>
            </w:pPr>
            <w:r>
              <w:t>Displays the option to enter a date range for the report based on the date and time VBECS acknowledged the order.</w:t>
            </w:r>
          </w:p>
          <w:p w14:paraId="1B6A25CE" w14:textId="77777777" w:rsidR="002A21AE" w:rsidRDefault="002A21AE">
            <w:pPr>
              <w:pStyle w:val="TableTextBullet"/>
            </w:pPr>
            <w:r>
              <w:t>Displays an option to sort the report by treating specialty or by ordering location. The report tallies orders in a given date range by ordering location and treating specialty.</w:t>
            </w:r>
          </w:p>
        </w:tc>
      </w:tr>
      <w:tr w:rsidR="002A21AE" w14:paraId="119E5C66" w14:textId="77777777">
        <w:tc>
          <w:tcPr>
            <w:tcW w:w="3240" w:type="dxa"/>
            <w:tcBorders>
              <w:top w:val="single" w:sz="4" w:space="0" w:color="auto"/>
              <w:left w:val="single" w:sz="4" w:space="0" w:color="auto"/>
              <w:bottom w:val="single" w:sz="4" w:space="0" w:color="auto"/>
              <w:right w:val="single" w:sz="4" w:space="0" w:color="auto"/>
            </w:tcBorders>
          </w:tcPr>
          <w:p w14:paraId="73C1BD62" w14:textId="77777777" w:rsidR="002A21AE" w:rsidRDefault="002A21AE">
            <w:pPr>
              <w:pStyle w:val="TableTextNumbers"/>
            </w:pPr>
            <w:r>
              <w:t>For a Single-Order History Report:</w:t>
            </w:r>
          </w:p>
          <w:p w14:paraId="6A8B4492" w14:textId="77777777" w:rsidR="002A21AE" w:rsidRDefault="002A21AE">
            <w:pPr>
              <w:pStyle w:val="TableTextNumbersContinued"/>
            </w:pPr>
          </w:p>
          <w:p w14:paraId="7BD28B7F" w14:textId="77777777" w:rsidR="002A21AE" w:rsidRDefault="002A21AE">
            <w:pPr>
              <w:pStyle w:val="TableTextNumbersContinued"/>
            </w:pPr>
            <w:r>
              <w:t xml:space="preserve">Enter the search criteria and/or click the </w:t>
            </w:r>
            <w:r w:rsidR="00A6373D" w:rsidRPr="00945BF5">
              <w:rPr>
                <w:b/>
              </w:rPr>
              <w:t>find</w:t>
            </w:r>
            <w:r>
              <w:rPr>
                <w:b/>
              </w:rPr>
              <w:t xml:space="preserve"> </w:t>
            </w:r>
            <w:r w:rsidRPr="00D1100E">
              <w:t>button</w:t>
            </w:r>
            <w:r>
              <w:t xml:space="preserve"> to select an order from the list. </w:t>
            </w:r>
          </w:p>
        </w:tc>
        <w:tc>
          <w:tcPr>
            <w:tcW w:w="6120" w:type="dxa"/>
            <w:tcBorders>
              <w:top w:val="single" w:sz="4" w:space="0" w:color="auto"/>
              <w:left w:val="single" w:sz="4" w:space="0" w:color="auto"/>
              <w:bottom w:val="single" w:sz="4" w:space="0" w:color="auto"/>
              <w:right w:val="single" w:sz="4" w:space="0" w:color="auto"/>
            </w:tcBorders>
          </w:tcPr>
          <w:p w14:paraId="573E8E02" w14:textId="77777777" w:rsidR="002A21AE" w:rsidRDefault="002A21AE">
            <w:pPr>
              <w:pStyle w:val="TableTextBullet"/>
              <w:rPr>
                <w:noProof/>
              </w:rPr>
            </w:pPr>
            <w:r>
              <w:rPr>
                <w:noProof/>
              </w:rPr>
              <w:t xml:space="preserve">Displays the </w:t>
            </w:r>
            <w:r>
              <w:t>Select</w:t>
            </w:r>
            <w:r>
              <w:rPr>
                <w:noProof/>
              </w:rPr>
              <w:t xml:space="preserve"> Patient Order window.</w:t>
            </w:r>
          </w:p>
          <w:p w14:paraId="15DABAC5" w14:textId="77777777" w:rsidR="002A21AE" w:rsidRDefault="002A21AE">
            <w:pPr>
              <w:pStyle w:val="TableText"/>
            </w:pPr>
          </w:p>
          <w:p w14:paraId="033BDB75" w14:textId="0D36BCD3" w:rsidR="002A21AE" w:rsidRDefault="002A21AE">
            <w:pPr>
              <w:pStyle w:val="TableText"/>
            </w:pPr>
            <w:r>
              <w:rPr>
                <w:b/>
                <w:bCs/>
                <w:szCs w:val="18"/>
              </w:rPr>
              <w:t>NOTES</w:t>
            </w:r>
          </w:p>
          <w:p w14:paraId="2A5EBA59" w14:textId="77777777" w:rsidR="002A21AE" w:rsidRDefault="002A21AE">
            <w:pPr>
              <w:pStyle w:val="NotesText"/>
            </w:pPr>
          </w:p>
          <w:p w14:paraId="0F1FAD92" w14:textId="77777777" w:rsidR="002A21AE" w:rsidRDefault="002A21AE">
            <w:pPr>
              <w:pStyle w:val="NotesText"/>
            </w:pPr>
            <w:r>
              <w:rPr>
                <w:rFonts w:cs="Arial"/>
                <w:vanish/>
              </w:rPr>
              <w:t xml:space="preserve">BR_86.03 </w:t>
            </w:r>
            <w:r>
              <w:t xml:space="preserve">The user enters a date or a specimen UID, or selects a patient to locate an order. VBECS displays the following information based on the selected search option: </w:t>
            </w:r>
          </w:p>
          <w:p w14:paraId="4D527E39" w14:textId="23BD5A56" w:rsidR="002A21AE" w:rsidRDefault="002A21AE">
            <w:pPr>
              <w:pStyle w:val="NotesTextBullet"/>
            </w:pPr>
            <w:r>
              <w:t>When a user enters a date, VBECS displays orders accepted or cancel</w:t>
            </w:r>
            <w:r w:rsidR="002F7E19">
              <w:t>l</w:t>
            </w:r>
            <w:r>
              <w:t xml:space="preserve">ed by VBECS on that date. </w:t>
            </w:r>
          </w:p>
          <w:p w14:paraId="70C135C8" w14:textId="77777777" w:rsidR="002A21AE" w:rsidRDefault="002A21AE">
            <w:pPr>
              <w:pStyle w:val="NotesTextBullet"/>
            </w:pPr>
            <w:r>
              <w:t>When the specimen UID is entered, VBECS displays only orders associated with that specimen.</w:t>
            </w:r>
          </w:p>
          <w:p w14:paraId="3F393B22" w14:textId="323F5143" w:rsidR="002A21AE" w:rsidRDefault="002A21AE">
            <w:pPr>
              <w:pStyle w:val="NotesTextBullet"/>
              <w:rPr>
                <w:noProof/>
              </w:rPr>
            </w:pPr>
            <w:r>
              <w:t>When a patient name is selected, VBECS displays the patient’s orders listed in reverse chronological order for the last 90 days with an option to display all of the patient’s accepted and cance</w:t>
            </w:r>
            <w:r w:rsidR="002F7E19">
              <w:t>l</w:t>
            </w:r>
            <w:r>
              <w:t>led orders.</w:t>
            </w:r>
          </w:p>
        </w:tc>
      </w:tr>
      <w:tr w:rsidR="002A21AE" w14:paraId="34D67C9E" w14:textId="77777777">
        <w:tc>
          <w:tcPr>
            <w:tcW w:w="3240" w:type="dxa"/>
            <w:tcBorders>
              <w:top w:val="single" w:sz="4" w:space="0" w:color="auto"/>
              <w:left w:val="single" w:sz="4" w:space="0" w:color="auto"/>
              <w:bottom w:val="single" w:sz="4" w:space="0" w:color="auto"/>
              <w:right w:val="single" w:sz="4" w:space="0" w:color="auto"/>
            </w:tcBorders>
          </w:tcPr>
          <w:p w14:paraId="034B6EC1"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and </w:t>
            </w:r>
            <w:r>
              <w:rPr>
                <w:b/>
              </w:rPr>
              <w:t>OK</w:t>
            </w:r>
            <w:r>
              <w:t xml:space="preserve"> to view the report, or </w:t>
            </w:r>
          </w:p>
          <w:p w14:paraId="7FE49057" w14:textId="77777777" w:rsidR="002A21AE" w:rsidRDefault="002A21AE">
            <w:pPr>
              <w:pStyle w:val="TableTextNumbersContinued"/>
            </w:pPr>
          </w:p>
          <w:p w14:paraId="7E825C94"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then click </w:t>
            </w:r>
            <w:r>
              <w:rPr>
                <w:b/>
              </w:rPr>
              <w:t>OK</w:t>
            </w:r>
            <w:r>
              <w:t xml:space="preserve"> to view and print the report.</w:t>
            </w:r>
          </w:p>
        </w:tc>
        <w:tc>
          <w:tcPr>
            <w:tcW w:w="6120" w:type="dxa"/>
            <w:tcBorders>
              <w:top w:val="single" w:sz="4" w:space="0" w:color="auto"/>
              <w:left w:val="single" w:sz="4" w:space="0" w:color="auto"/>
              <w:bottom w:val="single" w:sz="4" w:space="0" w:color="auto"/>
              <w:right w:val="single" w:sz="4" w:space="0" w:color="auto"/>
            </w:tcBorders>
          </w:tcPr>
          <w:p w14:paraId="6A269E29" w14:textId="77777777" w:rsidR="002A21AE" w:rsidRDefault="002A21AE">
            <w:pPr>
              <w:pStyle w:val="TableTextBullet"/>
            </w:pPr>
            <w:r>
              <w:t>Compiles and displays the report.</w:t>
            </w:r>
          </w:p>
          <w:p w14:paraId="668E8999" w14:textId="77777777" w:rsidR="002A21AE" w:rsidRDefault="002A21AE">
            <w:pPr>
              <w:pStyle w:val="TableText"/>
            </w:pPr>
          </w:p>
          <w:p w14:paraId="05419258" w14:textId="07F6ABFE" w:rsidR="002A21AE" w:rsidRDefault="002A21AE">
            <w:pPr>
              <w:pStyle w:val="TableText"/>
              <w:rPr>
                <w:b/>
                <w:bCs/>
                <w:szCs w:val="18"/>
              </w:rPr>
            </w:pPr>
            <w:r>
              <w:rPr>
                <w:b/>
                <w:bCs/>
                <w:szCs w:val="18"/>
              </w:rPr>
              <w:t>NOTES</w:t>
            </w:r>
          </w:p>
          <w:p w14:paraId="3F97F2B1" w14:textId="77777777" w:rsidR="002A21AE" w:rsidRDefault="002A21AE">
            <w:pPr>
              <w:pStyle w:val="NotesText"/>
            </w:pPr>
          </w:p>
          <w:p w14:paraId="43463709" w14:textId="421D3DC6" w:rsidR="002A21AE" w:rsidRDefault="002A21AE">
            <w:pPr>
              <w:pStyle w:val="NotesText"/>
            </w:pPr>
            <w:r>
              <w:rPr>
                <w:rFonts w:cs="Arial"/>
                <w:vanish/>
              </w:rPr>
              <w:t xml:space="preserve">BR_86.04 </w:t>
            </w:r>
            <w:r>
              <w:t>The Order Summary Report includes a section for each treating specialty or ordering location, including accepted and cancel</w:t>
            </w:r>
            <w:r w:rsidR="002F7E19">
              <w:t>l</w:t>
            </w:r>
            <w:r>
              <w:t>ed VBECS orders and the Diagnostic Test or Component Orders for the selected date range. The report lists individual orders by order type, including the Patient Name, ID, CPRS and Lab Order Numbers, and Date.</w:t>
            </w:r>
          </w:p>
          <w:p w14:paraId="77BA19BA" w14:textId="77777777" w:rsidR="002A21AE" w:rsidRDefault="002A21AE">
            <w:pPr>
              <w:pStyle w:val="NotesText"/>
            </w:pPr>
          </w:p>
          <w:p w14:paraId="3979DD05" w14:textId="77777777" w:rsidR="008E4599" w:rsidRDefault="008E4599" w:rsidP="008E4599">
            <w:pPr>
              <w:pStyle w:val="TableText"/>
            </w:pPr>
            <w:r>
              <w:t>The Single-Order History Report contains details of an individual order group, including:</w:t>
            </w:r>
          </w:p>
          <w:p w14:paraId="1320EAC0" w14:textId="77777777" w:rsidR="008E4599" w:rsidRDefault="008E4599" w:rsidP="00925CAD">
            <w:pPr>
              <w:pStyle w:val="TableText"/>
              <w:numPr>
                <w:ilvl w:val="0"/>
                <w:numId w:val="61"/>
              </w:numPr>
            </w:pPr>
            <w:r>
              <w:t>Patient Name</w:t>
            </w:r>
          </w:p>
          <w:p w14:paraId="70DA8ABC" w14:textId="77777777" w:rsidR="008E4599" w:rsidRDefault="008E4599" w:rsidP="00925CAD">
            <w:pPr>
              <w:pStyle w:val="TableText"/>
              <w:numPr>
                <w:ilvl w:val="0"/>
                <w:numId w:val="61"/>
              </w:numPr>
            </w:pPr>
            <w:r>
              <w:t>Patient ID</w:t>
            </w:r>
          </w:p>
          <w:p w14:paraId="0B0936FA" w14:textId="77777777" w:rsidR="008E4599" w:rsidRDefault="008E4599" w:rsidP="00925CAD">
            <w:pPr>
              <w:pStyle w:val="TableText"/>
              <w:numPr>
                <w:ilvl w:val="0"/>
                <w:numId w:val="61"/>
              </w:numPr>
            </w:pPr>
            <w:r>
              <w:t>CPRS Order Name</w:t>
            </w:r>
          </w:p>
          <w:p w14:paraId="7B8EBEDA" w14:textId="77777777" w:rsidR="008E4599" w:rsidRDefault="008E4599" w:rsidP="00925CAD">
            <w:pPr>
              <w:pStyle w:val="TableText"/>
              <w:numPr>
                <w:ilvl w:val="0"/>
                <w:numId w:val="61"/>
              </w:numPr>
            </w:pPr>
            <w:r>
              <w:t xml:space="preserve">CPRS and Lab Order Numbers </w:t>
            </w:r>
          </w:p>
          <w:p w14:paraId="2E3CAD94" w14:textId="77777777" w:rsidR="008E4599" w:rsidRDefault="008E4599" w:rsidP="00925CAD">
            <w:pPr>
              <w:pStyle w:val="TableText"/>
              <w:numPr>
                <w:ilvl w:val="0"/>
                <w:numId w:val="61"/>
              </w:numPr>
            </w:pPr>
            <w:r>
              <w:t xml:space="preserve">Order Urgency </w:t>
            </w:r>
          </w:p>
          <w:p w14:paraId="68DBCE52" w14:textId="77777777" w:rsidR="008E4599" w:rsidRPr="00266E59" w:rsidRDefault="008E4599" w:rsidP="00925CAD">
            <w:pPr>
              <w:pStyle w:val="TableText"/>
              <w:numPr>
                <w:ilvl w:val="0"/>
                <w:numId w:val="61"/>
              </w:numPr>
            </w:pPr>
            <w:r w:rsidRPr="00266E59">
              <w:t>CPRS MODIFIER(S)</w:t>
            </w:r>
          </w:p>
          <w:p w14:paraId="53870B89" w14:textId="77777777" w:rsidR="008E4599" w:rsidRPr="00266E59" w:rsidRDefault="008E4599" w:rsidP="00925CAD">
            <w:pPr>
              <w:pStyle w:val="TableText"/>
              <w:numPr>
                <w:ilvl w:val="0"/>
                <w:numId w:val="61"/>
              </w:numPr>
            </w:pPr>
            <w:r w:rsidRPr="00266E59">
              <w:t>CPRS Reason for Request</w:t>
            </w:r>
          </w:p>
          <w:p w14:paraId="7ED2683F" w14:textId="77777777" w:rsidR="008E4599" w:rsidRPr="00266E59" w:rsidRDefault="008E4599" w:rsidP="00925CAD">
            <w:pPr>
              <w:pStyle w:val="TableText"/>
              <w:numPr>
                <w:ilvl w:val="0"/>
                <w:numId w:val="61"/>
              </w:numPr>
            </w:pPr>
            <w:r w:rsidRPr="00266E59">
              <w:t>CPRS Order Comment(s)</w:t>
            </w:r>
          </w:p>
          <w:p w14:paraId="68F64526" w14:textId="77777777" w:rsidR="008E4599" w:rsidRDefault="008E4599" w:rsidP="00925CAD">
            <w:pPr>
              <w:pStyle w:val="TableText"/>
              <w:numPr>
                <w:ilvl w:val="0"/>
                <w:numId w:val="61"/>
              </w:numPr>
            </w:pPr>
            <w:r>
              <w:t>Specimen Accession Number</w:t>
            </w:r>
          </w:p>
          <w:p w14:paraId="4AC7C435" w14:textId="77777777" w:rsidR="008E4599" w:rsidRDefault="008E4599" w:rsidP="00925CAD">
            <w:pPr>
              <w:pStyle w:val="TableText"/>
              <w:numPr>
                <w:ilvl w:val="0"/>
                <w:numId w:val="61"/>
              </w:numPr>
            </w:pPr>
            <w:r>
              <w:t xml:space="preserve">Specimen UID, if any </w:t>
            </w:r>
          </w:p>
          <w:p w14:paraId="6CBEF354" w14:textId="77777777" w:rsidR="008E4599" w:rsidRDefault="008E4599" w:rsidP="00925CAD">
            <w:pPr>
              <w:pStyle w:val="TableText"/>
              <w:numPr>
                <w:ilvl w:val="0"/>
                <w:numId w:val="61"/>
              </w:numPr>
            </w:pPr>
            <w:r>
              <w:t>Specimen unacceptable comment, if any</w:t>
            </w:r>
          </w:p>
          <w:p w14:paraId="7489C1B1" w14:textId="77777777" w:rsidR="008E4599" w:rsidRDefault="008E4599" w:rsidP="00925CAD">
            <w:pPr>
              <w:pStyle w:val="TableText"/>
              <w:numPr>
                <w:ilvl w:val="0"/>
                <w:numId w:val="61"/>
              </w:numPr>
            </w:pPr>
            <w:r>
              <w:t>Received Date, original and any updates</w:t>
            </w:r>
          </w:p>
          <w:p w14:paraId="63D89DF5" w14:textId="77777777" w:rsidR="008E4599" w:rsidRDefault="008E4599" w:rsidP="00925CAD">
            <w:pPr>
              <w:pStyle w:val="TableText"/>
              <w:numPr>
                <w:ilvl w:val="0"/>
                <w:numId w:val="61"/>
              </w:numPr>
            </w:pPr>
            <w:r>
              <w:t>Expiration Date, original and any updates</w:t>
            </w:r>
          </w:p>
          <w:p w14:paraId="0830A72F" w14:textId="77777777" w:rsidR="008E4599" w:rsidRDefault="008E4599" w:rsidP="00925CAD">
            <w:pPr>
              <w:pStyle w:val="TableText"/>
              <w:numPr>
                <w:ilvl w:val="0"/>
                <w:numId w:val="61"/>
              </w:numPr>
            </w:pPr>
            <w:r>
              <w:t>Accepting Technologist Name</w:t>
            </w:r>
          </w:p>
          <w:p w14:paraId="4D8A6E1F" w14:textId="77777777" w:rsidR="008E4599" w:rsidRDefault="008E4599" w:rsidP="00925CAD">
            <w:pPr>
              <w:pStyle w:val="TableText"/>
              <w:numPr>
                <w:ilvl w:val="0"/>
                <w:numId w:val="61"/>
              </w:numPr>
            </w:pPr>
            <w:r>
              <w:t>Acceptance Date and Time</w:t>
            </w:r>
          </w:p>
          <w:p w14:paraId="52AF7001" w14:textId="77777777" w:rsidR="008E4599" w:rsidRDefault="008E4599" w:rsidP="00925CAD">
            <w:pPr>
              <w:pStyle w:val="TableText"/>
              <w:numPr>
                <w:ilvl w:val="0"/>
                <w:numId w:val="61"/>
              </w:numPr>
            </w:pPr>
            <w:r>
              <w:t>Cancellation Date, if any</w:t>
            </w:r>
          </w:p>
          <w:p w14:paraId="2F68C0EA" w14:textId="77777777" w:rsidR="008E4599" w:rsidRDefault="008E4599" w:rsidP="00925CAD">
            <w:pPr>
              <w:pStyle w:val="TableText"/>
              <w:numPr>
                <w:ilvl w:val="0"/>
                <w:numId w:val="61"/>
              </w:numPr>
            </w:pPr>
            <w:r>
              <w:t>Cancellation Division</w:t>
            </w:r>
          </w:p>
          <w:p w14:paraId="60BD8FB9" w14:textId="77777777" w:rsidR="008E4599" w:rsidRDefault="008E4599" w:rsidP="00925CAD">
            <w:pPr>
              <w:pStyle w:val="TableText"/>
              <w:numPr>
                <w:ilvl w:val="0"/>
                <w:numId w:val="61"/>
              </w:numPr>
            </w:pPr>
            <w:r>
              <w:t>Cancellation Tech ID, if any</w:t>
            </w:r>
          </w:p>
          <w:p w14:paraId="633F8751" w14:textId="77777777" w:rsidR="008E4599" w:rsidRDefault="008E4599" w:rsidP="00925CAD">
            <w:pPr>
              <w:pStyle w:val="TableText"/>
              <w:numPr>
                <w:ilvl w:val="0"/>
                <w:numId w:val="61"/>
              </w:numPr>
            </w:pPr>
            <w:r>
              <w:t>Cancellation Comment, if any</w:t>
            </w:r>
          </w:p>
          <w:p w14:paraId="173729D6" w14:textId="77777777" w:rsidR="008E4599" w:rsidRDefault="008E4599" w:rsidP="00925CAD">
            <w:pPr>
              <w:pStyle w:val="TableText"/>
              <w:numPr>
                <w:ilvl w:val="0"/>
                <w:numId w:val="61"/>
              </w:numPr>
            </w:pPr>
            <w:r>
              <w:t>Ordering Provider</w:t>
            </w:r>
          </w:p>
          <w:p w14:paraId="3A4CB070" w14:textId="77777777" w:rsidR="008E4599" w:rsidRDefault="008E4599" w:rsidP="00925CAD">
            <w:pPr>
              <w:pStyle w:val="TableText"/>
              <w:numPr>
                <w:ilvl w:val="0"/>
                <w:numId w:val="61"/>
              </w:numPr>
            </w:pPr>
            <w:r>
              <w:t>Ordering Location</w:t>
            </w:r>
          </w:p>
          <w:p w14:paraId="2B198D48" w14:textId="77777777" w:rsidR="008E4599" w:rsidRDefault="008E4599" w:rsidP="00925CAD">
            <w:pPr>
              <w:pStyle w:val="TableText"/>
              <w:numPr>
                <w:ilvl w:val="0"/>
                <w:numId w:val="61"/>
              </w:numPr>
            </w:pPr>
            <w:r>
              <w:t>Treating Specialty (patient at time of order)</w:t>
            </w:r>
          </w:p>
          <w:p w14:paraId="0E4DDFC5" w14:textId="77777777" w:rsidR="008E4599" w:rsidRDefault="008E4599" w:rsidP="00925CAD">
            <w:pPr>
              <w:pStyle w:val="TableText"/>
              <w:numPr>
                <w:ilvl w:val="0"/>
                <w:numId w:val="61"/>
              </w:numPr>
            </w:pPr>
            <w:r>
              <w:rPr>
                <w:snapToGrid w:val="0"/>
              </w:rPr>
              <w:t>Component or Diagnostic Test originally ordered</w:t>
            </w:r>
          </w:p>
          <w:p w14:paraId="5C8E4F86" w14:textId="77777777" w:rsidR="008E4599" w:rsidRDefault="008E4599" w:rsidP="00925CAD">
            <w:pPr>
              <w:pStyle w:val="TableText"/>
              <w:numPr>
                <w:ilvl w:val="0"/>
                <w:numId w:val="61"/>
              </w:numPr>
            </w:pPr>
            <w:r>
              <w:t>All Added Reflex Tests, Date(s), and Requesting Tech Name</w:t>
            </w:r>
          </w:p>
          <w:p w14:paraId="5A8DA20B" w14:textId="77777777" w:rsidR="008E4599" w:rsidRDefault="008E4599" w:rsidP="00925CAD">
            <w:pPr>
              <w:pStyle w:val="TableText"/>
              <w:numPr>
                <w:ilvl w:val="0"/>
                <w:numId w:val="61"/>
              </w:numPr>
            </w:pPr>
            <w:r>
              <w:t>Inappropriate Request Information, if any</w:t>
            </w:r>
          </w:p>
          <w:p w14:paraId="068E5C16" w14:textId="77777777" w:rsidR="008E4599" w:rsidRDefault="008E4599" w:rsidP="00925CAD">
            <w:pPr>
              <w:pStyle w:val="TableText"/>
              <w:numPr>
                <w:ilvl w:val="0"/>
                <w:numId w:val="61"/>
              </w:numPr>
            </w:pPr>
            <w:r>
              <w:t>Workload name and VistA (LMIP) code after completion</w:t>
            </w:r>
          </w:p>
          <w:p w14:paraId="1E6F7489" w14:textId="77777777" w:rsidR="005B6A94" w:rsidRDefault="008E4599" w:rsidP="00925CAD">
            <w:pPr>
              <w:pStyle w:val="TableText"/>
              <w:numPr>
                <w:ilvl w:val="0"/>
                <w:numId w:val="61"/>
              </w:numPr>
            </w:pPr>
            <w:r>
              <w:t>Exception report section message: Exception report details are available as part of the patient’s record. Refer to the specimen section of the patient’s record.</w:t>
            </w:r>
          </w:p>
        </w:tc>
      </w:tr>
      <w:tr w:rsidR="00D45D8C" w14:paraId="5A8E1F50" w14:textId="77777777">
        <w:tc>
          <w:tcPr>
            <w:tcW w:w="3240" w:type="dxa"/>
            <w:tcBorders>
              <w:top w:val="single" w:sz="4" w:space="0" w:color="auto"/>
              <w:left w:val="single" w:sz="4" w:space="0" w:color="auto"/>
              <w:bottom w:val="single" w:sz="4" w:space="0" w:color="auto"/>
              <w:right w:val="single" w:sz="4" w:space="0" w:color="auto"/>
            </w:tcBorders>
          </w:tcPr>
          <w:p w14:paraId="237792DD" w14:textId="40528E14" w:rsidR="00D45D8C" w:rsidRDefault="00D45D8C" w:rsidP="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t xml:space="preserve">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2BBAD4C1" w14:textId="77777777" w:rsidR="00D45D8C" w:rsidRDefault="00D45D8C" w:rsidP="00D45D8C">
            <w:pPr>
              <w:pStyle w:val="TableTextBullet"/>
            </w:pPr>
            <w:r>
              <w:t>If Print is selected, prints the report on the designated printer.</w:t>
            </w:r>
          </w:p>
          <w:p w14:paraId="3980B92B" w14:textId="047B99F3" w:rsidR="00D45D8C" w:rsidRDefault="00D45D8C" w:rsidP="00D45D8C">
            <w:pPr>
              <w:pStyle w:val="TableTextBullet"/>
            </w:pPr>
            <w:r>
              <w:t>If Export is selected, exports the report to the designated file.</w:t>
            </w:r>
          </w:p>
          <w:p w14:paraId="3D49FD7B" w14:textId="712EB6FD" w:rsidR="00D45D8C" w:rsidRDefault="00D45D8C" w:rsidP="00D45D8C">
            <w:pPr>
              <w:pStyle w:val="TableTextBullet"/>
            </w:pPr>
            <w:r>
              <w:t>If Close is selected, exits the report preview.</w:t>
            </w:r>
          </w:p>
        </w:tc>
      </w:tr>
    </w:tbl>
    <w:p w14:paraId="4E2CD9A7" w14:textId="77777777" w:rsidR="002A21AE" w:rsidRDefault="00F55832">
      <w:pPr>
        <w:pStyle w:val="Heading2"/>
      </w:pPr>
      <w:r>
        <w:br w:type="page"/>
      </w:r>
      <w:bookmarkStart w:id="547" w:name="_Toc149064192"/>
      <w:r w:rsidR="002A21AE">
        <w:t>Patient History Report</w:t>
      </w:r>
      <w:bookmarkEnd w:id="547"/>
      <w:r w:rsidR="002A21AE">
        <w:fldChar w:fldCharType="begin"/>
      </w:r>
      <w:r w:rsidR="002A21AE">
        <w:instrText xml:space="preserve"> XE </w:instrText>
      </w:r>
      <w:r w:rsidR="00FA7E65">
        <w:instrText>“</w:instrText>
      </w:r>
      <w:r w:rsidR="002A21AE">
        <w:instrText>Patient History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UC_101</w:t>
      </w:r>
    </w:p>
    <w:p w14:paraId="29A6C1F2" w14:textId="77777777" w:rsidR="002A21AE" w:rsidRDefault="002A21AE" w:rsidP="00FA7E65">
      <w:pPr>
        <w:pStyle w:val="BodyText"/>
      </w:pPr>
      <w:r>
        <w:t>The user views and</w:t>
      </w:r>
      <w:r w:rsidR="000054DE">
        <w:t>/or</w:t>
      </w:r>
      <w:r>
        <w:t xml:space="preserve"> prints </w:t>
      </w:r>
      <w:r w:rsidR="000054DE">
        <w:t>the Patient History Report</w:t>
      </w:r>
      <w:r>
        <w:t>.</w:t>
      </w:r>
    </w:p>
    <w:p w14:paraId="7D6B386D" w14:textId="77777777" w:rsidR="002A21AE" w:rsidRDefault="002A21AE">
      <w:pPr>
        <w:pStyle w:val="Heading4"/>
      </w:pPr>
      <w:bookmarkStart w:id="548" w:name="_Toc94349358"/>
      <w:r>
        <w:t>Assumptions</w:t>
      </w:r>
      <w:bookmarkEnd w:id="548"/>
      <w:r>
        <w:rPr>
          <w:b w:val="0"/>
        </w:rPr>
        <w:t xml:space="preserve"> </w:t>
      </w:r>
    </w:p>
    <w:p w14:paraId="1560B3CC" w14:textId="77777777" w:rsidR="002A21AE" w:rsidRDefault="002A21AE">
      <w:pPr>
        <w:pStyle w:val="ListBullet"/>
      </w:pPr>
      <w:r>
        <w:t>VBECS displays the report header even when there is no information in the report.</w:t>
      </w:r>
    </w:p>
    <w:p w14:paraId="39DE58E0" w14:textId="77777777" w:rsidR="002A21AE" w:rsidRDefault="002A21AE">
      <w:pPr>
        <w:pStyle w:val="Heading4"/>
      </w:pPr>
      <w:bookmarkStart w:id="549" w:name="_Toc94349359"/>
      <w:r>
        <w:t>Outcome</w:t>
      </w:r>
      <w:bookmarkEnd w:id="549"/>
      <w:r>
        <w:t xml:space="preserve"> </w:t>
      </w:r>
    </w:p>
    <w:p w14:paraId="220452F5" w14:textId="77777777" w:rsidR="002A21AE" w:rsidRDefault="002A21AE">
      <w:pPr>
        <w:pStyle w:val="ListBullet"/>
      </w:pPr>
      <w:r>
        <w:t>The user views and prints a patient’s VBECS record.</w:t>
      </w:r>
    </w:p>
    <w:p w14:paraId="1AEF42B8" w14:textId="77777777" w:rsidR="002A21AE" w:rsidRDefault="002A21AE">
      <w:pPr>
        <w:pStyle w:val="Heading4"/>
      </w:pPr>
      <w:bookmarkStart w:id="550" w:name="_Toc94349360"/>
      <w:r>
        <w:t>Limitations and Restrictions</w:t>
      </w:r>
      <w:bookmarkEnd w:id="550"/>
      <w:r>
        <w:rPr>
          <w:b w:val="0"/>
        </w:rPr>
        <w:t xml:space="preserve"> </w:t>
      </w:r>
    </w:p>
    <w:p w14:paraId="67DF4BC8" w14:textId="2D98EFCC" w:rsidR="002A21AE" w:rsidRPr="00D94DA3" w:rsidRDefault="00831D8F">
      <w:pPr>
        <w:pStyle w:val="ListBullet"/>
      </w:pPr>
      <w:r>
        <w:t>When units are restricted for a patient during Incoming Shipment, VBECS does not display the</w:t>
      </w:r>
      <w:r w:rsidR="006E3236">
        <w:t>m on the Patient History Report</w:t>
      </w:r>
      <w:r w:rsidR="002A21AE">
        <w:t>.</w:t>
      </w:r>
      <w:r>
        <w:t xml:space="preserve"> </w:t>
      </w:r>
      <w:r w:rsidR="001D3AF6">
        <w:rPr>
          <w:vanish/>
        </w:rPr>
        <w:t>Defect 212160</w:t>
      </w:r>
    </w:p>
    <w:p w14:paraId="7C6B27AC" w14:textId="77777777" w:rsidR="00D94DA3" w:rsidRDefault="00D94DA3" w:rsidP="00D94DA3">
      <w:pPr>
        <w:pStyle w:val="ListBullet"/>
      </w:pPr>
      <w:r>
        <w:t xml:space="preserve">VBECS displays these default values </w:t>
      </w:r>
      <w:r w:rsidR="00FF5006">
        <w:t>for</w:t>
      </w:r>
      <w:r>
        <w:t xml:space="preserve"> transfusion reactions converted from VistA to VBECS. </w:t>
      </w:r>
      <w:r w:rsidR="00FF5006">
        <w:t>They do not</w:t>
      </w:r>
      <w:r>
        <w:t xml:space="preserve"> </w:t>
      </w:r>
      <w:r w:rsidR="00FF5006">
        <w:t>reflect actual interpretations or results:</w:t>
      </w:r>
      <w:r w:rsidR="00FF5006" w:rsidRPr="00FF5006">
        <w:rPr>
          <w:vanish/>
        </w:rPr>
        <w:t xml:space="preserve"> (DR 2,724)</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4"/>
        <w:gridCol w:w="3326"/>
      </w:tblGrid>
      <w:tr w:rsidR="00FF5006" w:rsidRPr="00887834" w14:paraId="19DF46D8" w14:textId="77777777">
        <w:trPr>
          <w:tblHeader/>
        </w:trPr>
        <w:tc>
          <w:tcPr>
            <w:tcW w:w="4428" w:type="dxa"/>
            <w:shd w:val="clear" w:color="auto" w:fill="B3B3B3"/>
          </w:tcPr>
          <w:p w14:paraId="35DDE087" w14:textId="77777777" w:rsidR="00FF5006" w:rsidRPr="00887834" w:rsidRDefault="00FF5006" w:rsidP="00FF5006">
            <w:pPr>
              <w:pStyle w:val="TableText"/>
              <w:rPr>
                <w:b/>
              </w:rPr>
            </w:pPr>
            <w:r w:rsidRPr="00887834">
              <w:rPr>
                <w:b/>
              </w:rPr>
              <w:t>Converted Transfusion Reaction</w:t>
            </w:r>
          </w:p>
        </w:tc>
        <w:tc>
          <w:tcPr>
            <w:tcW w:w="2772" w:type="dxa"/>
            <w:shd w:val="clear" w:color="auto" w:fill="B3B3B3"/>
          </w:tcPr>
          <w:p w14:paraId="1BFB7C61" w14:textId="77777777" w:rsidR="00FF5006" w:rsidRPr="00887834" w:rsidRDefault="00FF5006" w:rsidP="00FF5006">
            <w:pPr>
              <w:pStyle w:val="TableText"/>
              <w:rPr>
                <w:b/>
              </w:rPr>
            </w:pPr>
            <w:r w:rsidRPr="00887834">
              <w:rPr>
                <w:b/>
              </w:rPr>
              <w:t>Default</w:t>
            </w:r>
          </w:p>
        </w:tc>
      </w:tr>
      <w:tr w:rsidR="00FF5006" w14:paraId="78B9CA1A" w14:textId="77777777">
        <w:tc>
          <w:tcPr>
            <w:tcW w:w="4428" w:type="dxa"/>
          </w:tcPr>
          <w:p w14:paraId="25AD8963" w14:textId="77777777" w:rsidR="00FF5006" w:rsidRDefault="00FF5006" w:rsidP="00FF5006">
            <w:pPr>
              <w:pStyle w:val="TableText"/>
            </w:pPr>
            <w:r>
              <w:t xml:space="preserve">Pre-Transfusion Specimen Checks, Hemolysis Checks OK? </w:t>
            </w:r>
          </w:p>
        </w:tc>
        <w:tc>
          <w:tcPr>
            <w:tcW w:w="2772" w:type="dxa"/>
          </w:tcPr>
          <w:p w14:paraId="0D7C684B" w14:textId="77777777" w:rsidR="00FF5006" w:rsidRDefault="00FF5006" w:rsidP="00FF5006">
            <w:pPr>
              <w:pStyle w:val="TableText"/>
            </w:pPr>
            <w:r>
              <w:t>Yes</w:t>
            </w:r>
          </w:p>
        </w:tc>
      </w:tr>
      <w:tr w:rsidR="00FF5006" w14:paraId="33C7CDFF" w14:textId="77777777">
        <w:tc>
          <w:tcPr>
            <w:tcW w:w="4428" w:type="dxa"/>
          </w:tcPr>
          <w:p w14:paraId="0A8B44E1" w14:textId="77777777" w:rsidR="00FF5006" w:rsidRDefault="00FF5006" w:rsidP="00FF5006">
            <w:pPr>
              <w:pStyle w:val="TableText"/>
            </w:pPr>
            <w:r>
              <w:t xml:space="preserve">Post-Transfusion Specimen Checks, Hemolysis Checks OK? </w:t>
            </w:r>
          </w:p>
        </w:tc>
        <w:tc>
          <w:tcPr>
            <w:tcW w:w="2772" w:type="dxa"/>
          </w:tcPr>
          <w:p w14:paraId="1BDE21EA" w14:textId="77777777" w:rsidR="00FF5006" w:rsidRDefault="00FF5006" w:rsidP="00FF5006">
            <w:pPr>
              <w:pStyle w:val="TableText"/>
            </w:pPr>
            <w:r>
              <w:t>Yes</w:t>
            </w:r>
          </w:p>
        </w:tc>
      </w:tr>
      <w:tr w:rsidR="00FF5006" w14:paraId="583934E2" w14:textId="77777777">
        <w:tc>
          <w:tcPr>
            <w:tcW w:w="4428" w:type="dxa"/>
          </w:tcPr>
          <w:p w14:paraId="13368E20" w14:textId="77777777" w:rsidR="00FF5006" w:rsidRDefault="00A1063F" w:rsidP="00FF5006">
            <w:pPr>
              <w:pStyle w:val="TableText"/>
            </w:pPr>
            <w:r>
              <w:t>Symptoms</w:t>
            </w:r>
          </w:p>
        </w:tc>
        <w:tc>
          <w:tcPr>
            <w:tcW w:w="2772" w:type="dxa"/>
          </w:tcPr>
          <w:p w14:paraId="2EF716FA" w14:textId="77777777" w:rsidR="00FF5006" w:rsidRDefault="00FF5006" w:rsidP="00FF5006">
            <w:pPr>
              <w:pStyle w:val="TableText"/>
            </w:pPr>
            <w:r>
              <w:t>No symptoms identified.</w:t>
            </w:r>
          </w:p>
        </w:tc>
      </w:tr>
      <w:tr w:rsidR="00FF5006" w14:paraId="277F0727" w14:textId="77777777">
        <w:tc>
          <w:tcPr>
            <w:tcW w:w="4428" w:type="dxa"/>
          </w:tcPr>
          <w:p w14:paraId="25AEA78E" w14:textId="77777777" w:rsidR="00FF5006" w:rsidRDefault="00FF5006" w:rsidP="00FF5006">
            <w:pPr>
              <w:pStyle w:val="TableText"/>
            </w:pPr>
            <w:r>
              <w:t>Implicated units</w:t>
            </w:r>
          </w:p>
        </w:tc>
        <w:tc>
          <w:tcPr>
            <w:tcW w:w="2772" w:type="dxa"/>
          </w:tcPr>
          <w:p w14:paraId="385ECA2E" w14:textId="77777777" w:rsidR="00FF5006" w:rsidRDefault="00FF5006" w:rsidP="00FF5006">
            <w:pPr>
              <w:pStyle w:val="TableText"/>
            </w:pPr>
            <w:r>
              <w:t>No units implicated in reaction.</w:t>
            </w:r>
          </w:p>
        </w:tc>
      </w:tr>
      <w:tr w:rsidR="00FF5006" w14:paraId="7F3FD19D" w14:textId="77777777">
        <w:tc>
          <w:tcPr>
            <w:tcW w:w="4428" w:type="dxa"/>
          </w:tcPr>
          <w:p w14:paraId="4F421EBC" w14:textId="77777777" w:rsidR="00FF5006" w:rsidRDefault="00FF5006" w:rsidP="00FF5006">
            <w:pPr>
              <w:pStyle w:val="TableText"/>
            </w:pPr>
            <w:r>
              <w:t>Serologic tests</w:t>
            </w:r>
          </w:p>
        </w:tc>
        <w:tc>
          <w:tcPr>
            <w:tcW w:w="2772" w:type="dxa"/>
          </w:tcPr>
          <w:p w14:paraId="36A1FBA6" w14:textId="77777777" w:rsidR="00FF5006" w:rsidRDefault="00FF5006" w:rsidP="00FF5006">
            <w:pPr>
              <w:pStyle w:val="TableText"/>
            </w:pPr>
            <w:r>
              <w:t>No serologic tests performed.</w:t>
            </w:r>
          </w:p>
        </w:tc>
      </w:tr>
    </w:tbl>
    <w:p w14:paraId="4E596AB9" w14:textId="77777777" w:rsidR="002A21AE" w:rsidRDefault="002A21AE">
      <w:pPr>
        <w:pStyle w:val="Heading4"/>
      </w:pPr>
      <w:bookmarkStart w:id="551" w:name="_Toc94349361"/>
      <w:r>
        <w:t>Additional Information</w:t>
      </w:r>
      <w:bookmarkEnd w:id="551"/>
      <w:r>
        <w:t xml:space="preserve"> </w:t>
      </w:r>
    </w:p>
    <w:p w14:paraId="57600A41" w14:textId="77777777" w:rsidR="00831D8F" w:rsidRDefault="00831D8F" w:rsidP="00831D8F">
      <w:pPr>
        <w:pStyle w:val="ListBullet"/>
      </w:pPr>
      <w:r>
        <w:t>The patient record report is divided into sections for report retrieval.</w:t>
      </w:r>
    </w:p>
    <w:p w14:paraId="1A7651A8" w14:textId="77777777" w:rsidR="004F0553" w:rsidRDefault="004F0553">
      <w:pPr>
        <w:pStyle w:val="ListBullet"/>
      </w:pPr>
      <w:r>
        <w:t>This report includes:</w:t>
      </w:r>
    </w:p>
    <w:p w14:paraId="48275F0A" w14:textId="77777777" w:rsidR="004F0553" w:rsidRDefault="004F0553" w:rsidP="004F0553">
      <w:pPr>
        <w:pStyle w:val="ListBullet2"/>
      </w:pPr>
      <w:r>
        <w:t>Post-transfusion details.</w:t>
      </w:r>
    </w:p>
    <w:p w14:paraId="2975E7A3" w14:textId="77777777" w:rsidR="002A21AE" w:rsidRDefault="004F0553" w:rsidP="004F0553">
      <w:pPr>
        <w:pStyle w:val="ListBullet2"/>
      </w:pPr>
      <w:r>
        <w:t>Data</w:t>
      </w:r>
      <w:r w:rsidR="002A21AE">
        <w:t xml:space="preserve"> from all divisions within the database.</w:t>
      </w:r>
    </w:p>
    <w:p w14:paraId="2B442C5C" w14:textId="77777777" w:rsidR="002A21AE" w:rsidRDefault="002A21AE">
      <w:pPr>
        <w:pStyle w:val="Heading4"/>
        <w:rPr>
          <w:b w:val="0"/>
        </w:rPr>
      </w:pPr>
      <w:bookmarkStart w:id="552" w:name="_Toc94349362"/>
      <w:r>
        <w:t>User Roles with Access to This Option</w:t>
      </w:r>
      <w:bookmarkEnd w:id="552"/>
      <w:r>
        <w:rPr>
          <w:b w:val="0"/>
        </w:rPr>
        <w:t xml:space="preserve"> </w:t>
      </w:r>
    </w:p>
    <w:p w14:paraId="71669E95" w14:textId="77777777" w:rsidR="002A21AE" w:rsidRDefault="00184EA4">
      <w:pPr>
        <w:pStyle w:val="Roles"/>
      </w:pPr>
      <w:r>
        <w:t>All users</w:t>
      </w:r>
    </w:p>
    <w:p w14:paraId="08DEC02E" w14:textId="77777777" w:rsidR="002A21AE" w:rsidRDefault="002A21AE">
      <w:pPr>
        <w:pStyle w:val="Heading4"/>
      </w:pPr>
      <w:bookmarkStart w:id="553" w:name="_Toc94349363"/>
      <w:r>
        <w:t>Patient History Report</w:t>
      </w:r>
      <w:bookmarkEnd w:id="553"/>
    </w:p>
    <w:p w14:paraId="647F5689" w14:textId="77777777" w:rsidR="002A21AE" w:rsidRDefault="002A21AE" w:rsidP="00FA7E65">
      <w:pPr>
        <w:pStyle w:val="BodyText"/>
      </w:pPr>
      <w:r>
        <w:t>The user views and/or prints the patient’s VBECS record.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0909013" w14:textId="77777777">
        <w:trPr>
          <w:tblHeader/>
        </w:trPr>
        <w:tc>
          <w:tcPr>
            <w:tcW w:w="3240" w:type="dxa"/>
            <w:shd w:val="pct30" w:color="auto" w:fill="FFFFFF"/>
            <w:vAlign w:val="bottom"/>
          </w:tcPr>
          <w:p w14:paraId="0427BDF5" w14:textId="77777777" w:rsidR="002A21AE" w:rsidRDefault="002A21AE">
            <w:pPr>
              <w:pStyle w:val="TableText"/>
              <w:rPr>
                <w:b/>
              </w:rPr>
            </w:pPr>
            <w:r>
              <w:rPr>
                <w:b/>
              </w:rPr>
              <w:t>User Action</w:t>
            </w:r>
          </w:p>
        </w:tc>
        <w:tc>
          <w:tcPr>
            <w:tcW w:w="6120" w:type="dxa"/>
            <w:shd w:val="pct30" w:color="auto" w:fill="FFFFFF"/>
            <w:vAlign w:val="bottom"/>
          </w:tcPr>
          <w:p w14:paraId="03AF20F9" w14:textId="77777777" w:rsidR="002A21AE" w:rsidRDefault="002A21AE">
            <w:pPr>
              <w:pStyle w:val="TableText"/>
              <w:rPr>
                <w:b/>
              </w:rPr>
            </w:pPr>
            <w:r>
              <w:rPr>
                <w:b/>
              </w:rPr>
              <w:t>VBECS</w:t>
            </w:r>
          </w:p>
        </w:tc>
      </w:tr>
      <w:tr w:rsidR="002A21AE" w14:paraId="6FC27939" w14:textId="77777777">
        <w:tc>
          <w:tcPr>
            <w:tcW w:w="3240" w:type="dxa"/>
          </w:tcPr>
          <w:p w14:paraId="74F41BC4" w14:textId="77777777" w:rsidR="002A21AE" w:rsidRDefault="002A21AE">
            <w:pPr>
              <w:pStyle w:val="TableTextNumbers"/>
            </w:pPr>
            <w:r>
              <w:t xml:space="preserve">Select </w:t>
            </w:r>
            <w:r>
              <w:rPr>
                <w:b/>
              </w:rPr>
              <w:t>Patients</w:t>
            </w:r>
            <w:r>
              <w:t xml:space="preserve"> or </w:t>
            </w:r>
            <w:r>
              <w:rPr>
                <w:b/>
              </w:rPr>
              <w:t>Reports</w:t>
            </w:r>
            <w:r>
              <w:t xml:space="preserve"> from the main menu.</w:t>
            </w:r>
          </w:p>
          <w:p w14:paraId="53DA1993" w14:textId="77777777" w:rsidR="002A21AE" w:rsidRDefault="002A21AE">
            <w:pPr>
              <w:pStyle w:val="TableTextNumbersContinued"/>
            </w:pPr>
          </w:p>
          <w:p w14:paraId="7114017A" w14:textId="77777777" w:rsidR="002A21AE" w:rsidRDefault="002A21AE">
            <w:pPr>
              <w:pStyle w:val="TableTextNumbersContinued"/>
            </w:pPr>
            <w:r>
              <w:t xml:space="preserve">Select </w:t>
            </w:r>
            <w:r>
              <w:rPr>
                <w:b/>
              </w:rPr>
              <w:t>Patient History Report</w:t>
            </w:r>
            <w:r>
              <w:t>.</w:t>
            </w:r>
          </w:p>
        </w:tc>
        <w:tc>
          <w:tcPr>
            <w:tcW w:w="6120" w:type="dxa"/>
          </w:tcPr>
          <w:p w14:paraId="2789A6CC" w14:textId="77777777" w:rsidR="002A21AE" w:rsidRDefault="002A21AE">
            <w:pPr>
              <w:pStyle w:val="TableTextBullet"/>
            </w:pPr>
            <w:r>
              <w:t>Displays options for processing patient-related functions, or for generating, viewing, and printing reports.</w:t>
            </w:r>
          </w:p>
          <w:p w14:paraId="66D0B527" w14:textId="77777777" w:rsidR="002A21AE" w:rsidRDefault="002A21AE">
            <w:pPr>
              <w:pStyle w:val="TableTextBullet"/>
            </w:pPr>
            <w:r>
              <w:t>Displays report sections and compilation criteria.</w:t>
            </w:r>
          </w:p>
        </w:tc>
      </w:tr>
      <w:tr w:rsidR="002A21AE" w14:paraId="115C29AE" w14:textId="77777777" w:rsidTr="00305B16">
        <w:trPr>
          <w:cantSplit/>
        </w:trPr>
        <w:tc>
          <w:tcPr>
            <w:tcW w:w="3240" w:type="dxa"/>
          </w:tcPr>
          <w:p w14:paraId="12B17AAB" w14:textId="77777777" w:rsidR="002A21AE" w:rsidRDefault="002A21AE">
            <w:pPr>
              <w:pStyle w:val="TableTextNumbers"/>
            </w:pPr>
            <w:r>
              <w:t xml:space="preserve">Enter the patient name </w:t>
            </w:r>
            <w:r w:rsidRPr="00945BF5">
              <w:t>and/or ID</w:t>
            </w:r>
            <w:r>
              <w:t xml:space="preserve">, or click the </w:t>
            </w:r>
            <w:r w:rsidR="00A6373D" w:rsidRPr="00945BF5">
              <w:rPr>
                <w:b/>
              </w:rPr>
              <w:t>find</w:t>
            </w:r>
            <w:r>
              <w:rPr>
                <w:b/>
              </w:rPr>
              <w:t xml:space="preserve"> </w:t>
            </w:r>
            <w:r w:rsidRPr="00D1100E">
              <w:t>button</w:t>
            </w:r>
            <w:r>
              <w:t xml:space="preserve"> to search for patient data.</w:t>
            </w:r>
          </w:p>
          <w:p w14:paraId="3DBBA872" w14:textId="77777777" w:rsidR="002A21AE" w:rsidRDefault="002A21AE">
            <w:pPr>
              <w:pStyle w:val="TableTextNumbersContinued"/>
            </w:pPr>
          </w:p>
          <w:p w14:paraId="6339EB56" w14:textId="77777777" w:rsidR="002A21AE" w:rsidRDefault="002A21AE">
            <w:pPr>
              <w:pStyle w:val="TableTextNumbersContinued"/>
            </w:pPr>
            <w:r>
              <w:t xml:space="preserve">Click </w:t>
            </w:r>
            <w:r>
              <w:rPr>
                <w:b/>
              </w:rPr>
              <w:t>OK</w:t>
            </w:r>
            <w:r>
              <w:t>.</w:t>
            </w:r>
          </w:p>
        </w:tc>
        <w:tc>
          <w:tcPr>
            <w:tcW w:w="6120" w:type="dxa"/>
          </w:tcPr>
          <w:p w14:paraId="40063ED9" w14:textId="77777777" w:rsidR="002A21AE" w:rsidRDefault="002A21AE">
            <w:pPr>
              <w:pStyle w:val="TableTextBullet"/>
              <w:tabs>
                <w:tab w:val="num" w:pos="360"/>
              </w:tabs>
            </w:pPr>
            <w:r>
              <w:t>Allows the entry or selection of a patient.</w:t>
            </w:r>
          </w:p>
          <w:p w14:paraId="4AA5E74B" w14:textId="77777777" w:rsidR="002A21AE" w:rsidRDefault="002A21AE">
            <w:pPr>
              <w:pStyle w:val="TableTextBullet"/>
              <w:tabs>
                <w:tab w:val="num" w:pos="360"/>
              </w:tabs>
            </w:pPr>
            <w:r>
              <w:t>Displays the patient report section types for selection:</w:t>
            </w:r>
          </w:p>
          <w:p w14:paraId="59A707A1" w14:textId="77777777" w:rsidR="002A21AE" w:rsidRDefault="002A21AE">
            <w:pPr>
              <w:pStyle w:val="TableTextBullet1"/>
            </w:pPr>
            <w:r>
              <w:t>Patient Demographic History</w:t>
            </w:r>
          </w:p>
          <w:p w14:paraId="77DC8E17" w14:textId="77777777" w:rsidR="002A21AE" w:rsidRDefault="002A21AE">
            <w:pPr>
              <w:pStyle w:val="TableTextBullet1"/>
            </w:pPr>
            <w:r>
              <w:t>Transfusion Requirements</w:t>
            </w:r>
          </w:p>
          <w:p w14:paraId="63440A0E" w14:textId="77777777" w:rsidR="002A21AE" w:rsidRDefault="002A21AE">
            <w:pPr>
              <w:pStyle w:val="TableTextBullet1"/>
            </w:pPr>
            <w:r>
              <w:t>Testing Details</w:t>
            </w:r>
          </w:p>
          <w:p w14:paraId="4442A51C" w14:textId="77777777" w:rsidR="002A21AE" w:rsidRDefault="002A21AE">
            <w:pPr>
              <w:pStyle w:val="TableTextBullet1"/>
            </w:pPr>
            <w:r>
              <w:t>Unit Assignment History</w:t>
            </w:r>
          </w:p>
          <w:p w14:paraId="4BC4FDD6" w14:textId="77777777" w:rsidR="002A21AE" w:rsidRDefault="002A21AE">
            <w:pPr>
              <w:pStyle w:val="TableTextBullet1"/>
            </w:pPr>
            <w:r>
              <w:t>Transfusion History</w:t>
            </w:r>
          </w:p>
          <w:p w14:paraId="5F4ACC56" w14:textId="77777777" w:rsidR="002A21AE" w:rsidRDefault="002A21AE">
            <w:pPr>
              <w:pStyle w:val="TableTextBullet1"/>
            </w:pPr>
            <w:r>
              <w:t>Specimen Details</w:t>
            </w:r>
          </w:p>
          <w:p w14:paraId="538DF807" w14:textId="77777777" w:rsidR="002A21AE" w:rsidRDefault="002A21AE">
            <w:pPr>
              <w:pStyle w:val="TableTextBullet1"/>
            </w:pPr>
            <w:r>
              <w:t>Special Instructions</w:t>
            </w:r>
          </w:p>
          <w:p w14:paraId="0870F6E5" w14:textId="77777777" w:rsidR="002A21AE" w:rsidRDefault="002A21AE">
            <w:pPr>
              <w:pStyle w:val="TableTextBullet1"/>
            </w:pPr>
            <w:r>
              <w:t>Transfusion Reaction Details</w:t>
            </w:r>
          </w:p>
          <w:p w14:paraId="70BC5434" w14:textId="77777777" w:rsidR="002A21AE" w:rsidRDefault="002A21AE">
            <w:pPr>
              <w:pStyle w:val="TableTextBullet1"/>
            </w:pPr>
            <w:r>
              <w:t>Exception Report Entries</w:t>
            </w:r>
          </w:p>
          <w:p w14:paraId="03F744C2" w14:textId="77777777" w:rsidR="002A21AE" w:rsidRDefault="002A21AE">
            <w:pPr>
              <w:pStyle w:val="TableTextBullet1"/>
            </w:pPr>
            <w:r>
              <w:t>Assignments/Releases</w:t>
            </w:r>
          </w:p>
          <w:p w14:paraId="40156F50" w14:textId="77777777" w:rsidR="002A21AE" w:rsidRDefault="002A21AE">
            <w:pPr>
              <w:pStyle w:val="TableTextBullet1"/>
            </w:pPr>
            <w:r>
              <w:t>Audit Trail Report</w:t>
            </w:r>
          </w:p>
        </w:tc>
      </w:tr>
      <w:tr w:rsidR="002A21AE" w14:paraId="01369482" w14:textId="77777777">
        <w:tc>
          <w:tcPr>
            <w:tcW w:w="3240" w:type="dxa"/>
          </w:tcPr>
          <w:p w14:paraId="17B7B4FB" w14:textId="77777777" w:rsidR="002A21AE" w:rsidRDefault="002A21AE">
            <w:pPr>
              <w:pStyle w:val="TableTextNumbers"/>
            </w:pPr>
            <w:r>
              <w:t>Select one or more sections to include in the report.</w:t>
            </w:r>
          </w:p>
        </w:tc>
        <w:tc>
          <w:tcPr>
            <w:tcW w:w="6120" w:type="dxa"/>
          </w:tcPr>
          <w:p w14:paraId="7DA6C092" w14:textId="77777777" w:rsidR="002A21AE" w:rsidRDefault="002A21AE">
            <w:pPr>
              <w:pStyle w:val="TableText"/>
            </w:pPr>
          </w:p>
        </w:tc>
      </w:tr>
      <w:tr w:rsidR="002A21AE" w14:paraId="64011988" w14:textId="77777777">
        <w:tc>
          <w:tcPr>
            <w:tcW w:w="3240" w:type="dxa"/>
          </w:tcPr>
          <w:p w14:paraId="25EBEF42" w14:textId="77777777" w:rsidR="002A21AE" w:rsidRDefault="002A21AE">
            <w:pPr>
              <w:pStyle w:val="TableTextNumbers"/>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7467B03" w14:textId="77777777" w:rsidR="002A21AE" w:rsidRDefault="002A21AE">
            <w:pPr>
              <w:pStyle w:val="TableTextBullet"/>
              <w:tabs>
                <w:tab w:val="num" w:pos="360"/>
              </w:tabs>
            </w:pPr>
            <w:r>
              <w:t>Compiles and displays the report.</w:t>
            </w:r>
          </w:p>
          <w:p w14:paraId="15EA04BC" w14:textId="77777777" w:rsidR="002A21AE" w:rsidRDefault="002A21AE">
            <w:pPr>
              <w:pStyle w:val="TableTextBullet"/>
              <w:tabs>
                <w:tab w:val="num" w:pos="360"/>
              </w:tabs>
            </w:pPr>
            <w:r>
              <w:t xml:space="preserve">Allows the user to print the report. </w:t>
            </w:r>
          </w:p>
          <w:p w14:paraId="4DC46BF9" w14:textId="77777777" w:rsidR="002A21AE" w:rsidRDefault="002A21AE">
            <w:pPr>
              <w:pStyle w:val="TableText"/>
            </w:pPr>
          </w:p>
          <w:p w14:paraId="036F1AD5" w14:textId="1D30F1BD" w:rsidR="002A21AE" w:rsidRDefault="002A21AE">
            <w:pPr>
              <w:pStyle w:val="TableText"/>
              <w:rPr>
                <w:b/>
                <w:bCs/>
              </w:rPr>
            </w:pPr>
            <w:r>
              <w:rPr>
                <w:b/>
                <w:bCs/>
              </w:rPr>
              <w:t>NOTES</w:t>
            </w:r>
          </w:p>
          <w:p w14:paraId="58651C05" w14:textId="77777777" w:rsidR="002A21AE" w:rsidRDefault="002A21AE">
            <w:pPr>
              <w:pStyle w:val="NotesText"/>
            </w:pPr>
          </w:p>
          <w:p w14:paraId="39F0BFF6" w14:textId="77777777" w:rsidR="005B6A94" w:rsidRDefault="002A21AE" w:rsidP="00E90A01">
            <w:pPr>
              <w:pStyle w:val="NotesText"/>
            </w:pPr>
            <w:r>
              <w:rPr>
                <w:rFonts w:cs="Arial"/>
                <w:vanish/>
              </w:rPr>
              <w:t xml:space="preserve">BR_101.04 </w:t>
            </w:r>
            <w:r>
              <w:t xml:space="preserve">When the patient has an ABO/Rh as the result of a conversion, VBECS displays a message in the Transfusion History section instructing the user to check the legacy records for </w:t>
            </w:r>
            <w:r w:rsidR="00E90A01">
              <w:t>additional</w:t>
            </w:r>
            <w:r>
              <w:t xml:space="preserve"> information.</w:t>
            </w:r>
          </w:p>
        </w:tc>
      </w:tr>
      <w:tr w:rsidR="002A21AE" w14:paraId="1EAC54D0" w14:textId="77777777">
        <w:tc>
          <w:tcPr>
            <w:tcW w:w="3240" w:type="dxa"/>
          </w:tcPr>
          <w:p w14:paraId="193D5618" w14:textId="5272BF2A"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t xml:space="preserve"> </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r>
          </w:p>
        </w:tc>
        <w:tc>
          <w:tcPr>
            <w:tcW w:w="6120" w:type="dxa"/>
          </w:tcPr>
          <w:p w14:paraId="4E81DE2D" w14:textId="77777777" w:rsidR="00D45D8C" w:rsidRDefault="00D45D8C" w:rsidP="00D45D8C">
            <w:pPr>
              <w:pStyle w:val="TableTextBullet"/>
            </w:pPr>
            <w:r>
              <w:t>If Print is selected, prints the report on the designated printer.</w:t>
            </w:r>
          </w:p>
          <w:p w14:paraId="6735357E" w14:textId="77777777" w:rsidR="00D45D8C" w:rsidRDefault="00D45D8C" w:rsidP="00D45D8C">
            <w:pPr>
              <w:pStyle w:val="TableTextBullet"/>
            </w:pPr>
            <w:r>
              <w:t>If Export is selected, exports the report to the designated file.</w:t>
            </w:r>
          </w:p>
          <w:p w14:paraId="611C8878" w14:textId="7F52181C" w:rsidR="002A21AE" w:rsidRDefault="00D45D8C" w:rsidP="00D45D8C">
            <w:pPr>
              <w:pStyle w:val="TableTextBullet"/>
            </w:pPr>
            <w:r>
              <w:t>If Close is selected, exits the report preview.</w:t>
            </w:r>
          </w:p>
        </w:tc>
      </w:tr>
    </w:tbl>
    <w:p w14:paraId="6A22DB01" w14:textId="4DE43D83" w:rsidR="002A21AE" w:rsidRDefault="00F55832" w:rsidP="00246E50">
      <w:pPr>
        <w:pStyle w:val="Heading2"/>
      </w:pPr>
      <w:r>
        <w:br w:type="page"/>
      </w:r>
      <w:bookmarkStart w:id="554" w:name="_Toc149064193"/>
      <w:r w:rsidR="000E7760">
        <w:t>Patient Testing Worklist and Testing Worklist Reports</w:t>
      </w:r>
      <w:bookmarkEnd w:id="554"/>
      <w:r w:rsidR="002A21AE">
        <w:fldChar w:fldCharType="begin"/>
      </w:r>
      <w:r w:rsidR="002A21AE">
        <w:instrText xml:space="preserve"> XE </w:instrText>
      </w:r>
      <w:r w:rsidR="00FA7E65">
        <w:instrText>“</w:instrText>
      </w:r>
      <w:r w:rsidR="000E7760">
        <w:instrText>Patient Testing Worklist and Testing Worklist Reports</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UC_48</w:t>
      </w:r>
    </w:p>
    <w:p w14:paraId="5638AB99" w14:textId="77777777" w:rsidR="002A21AE" w:rsidRDefault="002A21AE" w:rsidP="00FA7E65">
      <w:pPr>
        <w:pStyle w:val="BodyText"/>
      </w:pPr>
      <w:r>
        <w:t>The user views and</w:t>
      </w:r>
      <w:r w:rsidR="003A39EF">
        <w:t>/or</w:t>
      </w:r>
      <w:r>
        <w:t xml:space="preserve"> prints the</w:t>
      </w:r>
      <w:r w:rsidR="003D604B">
        <w:t xml:space="preserve"> Patient Testing Worklist and Testing Worklist Reports.</w:t>
      </w:r>
    </w:p>
    <w:p w14:paraId="571BFE8C" w14:textId="77777777" w:rsidR="002A21AE" w:rsidRDefault="002A21AE">
      <w:pPr>
        <w:pStyle w:val="Heading4"/>
      </w:pPr>
      <w:r>
        <w:t>Assumptions</w:t>
      </w:r>
      <w:r>
        <w:rPr>
          <w:b w:val="0"/>
        </w:rPr>
        <w:t xml:space="preserve"> </w:t>
      </w:r>
    </w:p>
    <w:p w14:paraId="68012543" w14:textId="77777777" w:rsidR="002A21AE" w:rsidRDefault="002A21AE">
      <w:pPr>
        <w:pStyle w:val="ListBullet"/>
      </w:pPr>
      <w:r>
        <w:t>The user must be logged into the division in which the report is to be generated.</w:t>
      </w:r>
    </w:p>
    <w:p w14:paraId="0EFF6478" w14:textId="77777777" w:rsidR="002A21AE" w:rsidRDefault="002A21AE">
      <w:pPr>
        <w:pStyle w:val="Heading4"/>
      </w:pPr>
      <w:r>
        <w:t xml:space="preserve">Outcome </w:t>
      </w:r>
    </w:p>
    <w:p w14:paraId="76BDFCFF" w14:textId="77777777" w:rsidR="002A21AE" w:rsidRDefault="002728D7">
      <w:pPr>
        <w:pStyle w:val="ListBullet"/>
      </w:pPr>
      <w:r>
        <w:t>The user views and/or prints</w:t>
      </w:r>
      <w:r w:rsidR="002A21AE">
        <w:t xml:space="preserve"> a report, or schedules a report for future compilation and printing.</w:t>
      </w:r>
    </w:p>
    <w:p w14:paraId="719FC5AF" w14:textId="77777777" w:rsidR="002A21AE" w:rsidRDefault="002A21AE">
      <w:pPr>
        <w:pStyle w:val="Heading4"/>
      </w:pPr>
      <w:r>
        <w:t>Limitations and Restrictions</w:t>
      </w:r>
      <w:r>
        <w:rPr>
          <w:b w:val="0"/>
        </w:rPr>
        <w:t xml:space="preserve"> </w:t>
      </w:r>
    </w:p>
    <w:p w14:paraId="196FBEF1" w14:textId="77777777" w:rsidR="002A21AE" w:rsidRDefault="000A5167">
      <w:pPr>
        <w:pStyle w:val="ListBullet"/>
      </w:pPr>
      <w:r>
        <w:t>Reports do</w:t>
      </w:r>
      <w:r w:rsidR="002A21AE">
        <w:t xml:space="preserve"> not include Transfusion Reaction Workup (TRW) test results.</w:t>
      </w:r>
    </w:p>
    <w:p w14:paraId="6EFCDA78" w14:textId="739386E6" w:rsidR="002A21AE" w:rsidRDefault="00170EEF">
      <w:pPr>
        <w:pStyle w:val="ListBullet"/>
      </w:pPr>
      <w:r>
        <w:t>VBECS does not accommodate online review (verification, signature) of reports.</w:t>
      </w:r>
    </w:p>
    <w:p w14:paraId="7DAB1DE3" w14:textId="351AF668" w:rsidR="00E47EDD" w:rsidRDefault="00E47EDD">
      <w:pPr>
        <w:pStyle w:val="ListBullet"/>
      </w:pPr>
      <w:r>
        <w:t xml:space="preserve">The Rack QC Testing Worklist Report section of the Testing Worklist Report does not contain a Processed By column. Maintain the original testing records for the QC that was performed offline with the testing tech information.  Do not change the testing tech name when entering results in VBECS so that the logged in tech that enters the results is included on the Testing Worklist report. </w:t>
      </w:r>
      <w:r w:rsidRPr="00E47EDD">
        <w:rPr>
          <w:vanish/>
        </w:rPr>
        <w:t>Defect 214073</w:t>
      </w:r>
    </w:p>
    <w:p w14:paraId="75563343" w14:textId="77777777" w:rsidR="002A21AE" w:rsidRDefault="002A21AE">
      <w:pPr>
        <w:pStyle w:val="Heading4"/>
      </w:pPr>
      <w:r>
        <w:t xml:space="preserve">Additional Information </w:t>
      </w:r>
    </w:p>
    <w:p w14:paraId="06F99358" w14:textId="77777777" w:rsidR="002A21AE" w:rsidRDefault="002A21AE">
      <w:pPr>
        <w:pStyle w:val="ListBullet"/>
      </w:pPr>
      <w:r w:rsidRPr="00D231F7">
        <w:rPr>
          <w:vanish/>
        </w:rPr>
        <w:t xml:space="preserve">BR_48.03 </w:t>
      </w:r>
      <w:r w:rsidR="00D231F7" w:rsidRPr="00D231F7">
        <w:t xml:space="preserve">In a </w:t>
      </w:r>
      <w:r w:rsidRPr="00D231F7">
        <w:t>t</w:t>
      </w:r>
      <w:r w:rsidR="00D231F7" w:rsidRPr="00D231F7">
        <w:t>ransfusi</w:t>
      </w:r>
      <w:r w:rsidR="00D231F7">
        <w:t xml:space="preserve">on-only facility, </w:t>
      </w:r>
      <w:r>
        <w:t>VBECS does not populate the test cell or phase results sections.</w:t>
      </w:r>
    </w:p>
    <w:p w14:paraId="2F965024" w14:textId="77777777" w:rsidR="002A21AE" w:rsidRDefault="002A21AE">
      <w:pPr>
        <w:pStyle w:val="ListBullet"/>
      </w:pPr>
      <w:r>
        <w:t>VBECS collates complete, incomplete, and invalidated unit test results entered in the user’s division when the date tested falls within the supplied date range for the unit testing, reagent QC, and patient testing sections of the report.</w:t>
      </w:r>
    </w:p>
    <w:p w14:paraId="348D3F42" w14:textId="77777777" w:rsidR="002A21AE" w:rsidRDefault="002A21AE">
      <w:pPr>
        <w:pStyle w:val="ListBullet"/>
      </w:pPr>
      <w:r w:rsidRPr="007D540F">
        <w:rPr>
          <w:vanish/>
        </w:rPr>
        <w:t xml:space="preserve">BR_48.10 </w:t>
      </w:r>
      <w:r>
        <w:t xml:space="preserve">VBECS includes test results on all units, regardless of status, for the unit testing section. CMV and Sickle Cell test results are not included in the report. </w:t>
      </w:r>
    </w:p>
    <w:p w14:paraId="29C09A13" w14:textId="77777777" w:rsidR="002A21AE" w:rsidRDefault="002A21AE">
      <w:pPr>
        <w:pStyle w:val="ListBullet"/>
      </w:pPr>
      <w:r w:rsidRPr="007D540F">
        <w:rPr>
          <w:vanish/>
        </w:rPr>
        <w:t xml:space="preserve">BR_48.11 </w:t>
      </w:r>
      <w:r>
        <w:t>VBECS includes the results of the daily rack QC and patient and unit control testing for the reagent QC section.</w:t>
      </w:r>
    </w:p>
    <w:p w14:paraId="5CE38F3C" w14:textId="77777777" w:rsidR="002A21AE" w:rsidRDefault="002A21AE">
      <w:pPr>
        <w:pStyle w:val="ListBullet"/>
      </w:pPr>
      <w:r w:rsidRPr="007D540F">
        <w:rPr>
          <w:vanish/>
        </w:rPr>
        <w:t xml:space="preserve">BR_48.06 </w:t>
      </w:r>
      <w:r>
        <w:t xml:space="preserve">For the patient testing section: </w:t>
      </w:r>
    </w:p>
    <w:p w14:paraId="20FAE3D0" w14:textId="77777777" w:rsidR="002A21AE" w:rsidRDefault="002A21AE" w:rsidP="00927C99">
      <w:pPr>
        <w:pStyle w:val="ListBullet2"/>
        <w:ind w:left="900" w:hanging="252"/>
      </w:pPr>
      <w:r>
        <w:t xml:space="preserve">VBECS collates as above for the selected patient specimens </w:t>
      </w:r>
      <w:r w:rsidR="00665443">
        <w:t>within a</w:t>
      </w:r>
      <w:r w:rsidR="00CC0418">
        <w:t xml:space="preserve"> specified </w:t>
      </w:r>
      <w:r w:rsidR="00665443">
        <w:t>date range</w:t>
      </w:r>
      <w:r>
        <w:t>.</w:t>
      </w:r>
    </w:p>
    <w:p w14:paraId="5402756F" w14:textId="77777777" w:rsidR="002A21AE" w:rsidRDefault="002A21AE" w:rsidP="00927C99">
      <w:pPr>
        <w:pStyle w:val="ListBullet2"/>
        <w:ind w:left="900" w:hanging="252"/>
      </w:pPr>
      <w:r>
        <w:t xml:space="preserve">The report does not include TRW test results. </w:t>
      </w:r>
    </w:p>
    <w:p w14:paraId="7D5FF91D" w14:textId="77777777" w:rsidR="004C1952" w:rsidRDefault="002A21AE" w:rsidP="00927C99">
      <w:pPr>
        <w:pStyle w:val="ListBullet2"/>
        <w:ind w:left="900" w:hanging="252"/>
      </w:pPr>
      <w:r w:rsidRPr="0045199E">
        <w:rPr>
          <w:vanish/>
        </w:rPr>
        <w:t xml:space="preserve">BR_48.08 </w:t>
      </w:r>
      <w:r>
        <w:t>VBECS includes XMs only in the patient testing section.</w:t>
      </w:r>
    </w:p>
    <w:p w14:paraId="65E4CCE9" w14:textId="3ED19C8F" w:rsidR="002A21AE" w:rsidRDefault="002A21AE" w:rsidP="004C1952">
      <w:pPr>
        <w:pStyle w:val="ListBullet2"/>
        <w:ind w:left="900" w:hanging="252"/>
      </w:pPr>
      <w:r w:rsidRPr="007D540F">
        <w:rPr>
          <w:vanish/>
          <w:spacing w:val="-5"/>
        </w:rPr>
        <w:t xml:space="preserve">BR_48.12 </w:t>
      </w:r>
      <w:r>
        <w:t>VBECS displays individual tests within the TAS.</w:t>
      </w:r>
    </w:p>
    <w:p w14:paraId="365B1279" w14:textId="77777777" w:rsidR="0088290C" w:rsidRPr="00622C54" w:rsidRDefault="0088290C" w:rsidP="0088290C">
      <w:pPr>
        <w:pStyle w:val="ListBullet"/>
      </w:pPr>
      <w:r w:rsidRPr="00622C54">
        <w:t xml:space="preserve">If a rack has </w:t>
      </w:r>
      <w:r w:rsidR="006D0362">
        <w:t>only</w:t>
      </w:r>
      <w:r w:rsidR="008F5298">
        <w:t xml:space="preserve"> </w:t>
      </w:r>
      <w:r w:rsidRPr="00622C54">
        <w:t xml:space="preserve">been tested offline </w:t>
      </w:r>
      <w:r w:rsidR="006D0362">
        <w:t>(</w:t>
      </w:r>
      <w:r w:rsidR="008F5298">
        <w:t>never tested within VBECS</w:t>
      </w:r>
      <w:r w:rsidR="006D0362">
        <w:t>)</w:t>
      </w:r>
      <w:r w:rsidR="008F5298">
        <w:t xml:space="preserve"> </w:t>
      </w:r>
      <w:r w:rsidRPr="00622C54">
        <w:t>and the QC has expired</w:t>
      </w:r>
      <w:r w:rsidR="006F2884" w:rsidRPr="00622C54">
        <w:t>, the message “Rack was never QC’d and cannot be used.”</w:t>
      </w:r>
      <w:r w:rsidR="00CF410C" w:rsidRPr="00622C54">
        <w:t xml:space="preserve"> is displayed</w:t>
      </w:r>
      <w:r w:rsidR="006F2884" w:rsidRPr="00622C54">
        <w:t>.</w:t>
      </w:r>
      <w:r w:rsidR="001545B8" w:rsidRPr="00622C54">
        <w:t xml:space="preserve"> </w:t>
      </w:r>
      <w:r w:rsidR="001545B8" w:rsidRPr="00622C54">
        <w:rPr>
          <w:vanish/>
        </w:rPr>
        <w:t>DR 4317</w:t>
      </w:r>
    </w:p>
    <w:p w14:paraId="5EE0760F" w14:textId="1F8F2AE4" w:rsidR="00F62041" w:rsidRDefault="00F62041" w:rsidP="0088290C">
      <w:pPr>
        <w:pStyle w:val="ListBullet"/>
      </w:pPr>
      <w:r w:rsidRPr="00622C54">
        <w:t xml:space="preserve">The Testing Worklist Report does not display any information for Rack QC when QC Documentation Offline has been checked for that date. </w:t>
      </w:r>
      <w:r w:rsidRPr="00622C54">
        <w:rPr>
          <w:vanish/>
        </w:rPr>
        <w:t>DR 4317</w:t>
      </w:r>
    </w:p>
    <w:p w14:paraId="641E0FF0" w14:textId="77777777" w:rsidR="002A21AE" w:rsidRDefault="002A21AE">
      <w:pPr>
        <w:pStyle w:val="Heading4"/>
        <w:rPr>
          <w:b w:val="0"/>
          <w:bCs/>
          <w:snapToGrid w:val="0"/>
        </w:rPr>
      </w:pPr>
      <w:r>
        <w:rPr>
          <w:bCs/>
          <w:snapToGrid w:val="0"/>
        </w:rPr>
        <w:t>User Roles with Access to This Option</w:t>
      </w:r>
      <w:r>
        <w:rPr>
          <w:b w:val="0"/>
          <w:bCs/>
          <w:snapToGrid w:val="0"/>
        </w:rPr>
        <w:t xml:space="preserve"> </w:t>
      </w:r>
    </w:p>
    <w:p w14:paraId="70565901" w14:textId="77777777" w:rsidR="002A21AE" w:rsidRDefault="00184EA4">
      <w:pPr>
        <w:pStyle w:val="Roles"/>
      </w:pPr>
      <w:r>
        <w:t>All users</w:t>
      </w:r>
    </w:p>
    <w:p w14:paraId="3BA16E01" w14:textId="77777777" w:rsidR="00752960" w:rsidRDefault="00F55832" w:rsidP="00752960">
      <w:pPr>
        <w:pStyle w:val="Heading4"/>
      </w:pPr>
      <w:r>
        <w:br w:type="page"/>
      </w:r>
      <w:r w:rsidR="00752960">
        <w:t>Patient Testing Worklist and Testing Worklist Reports</w:t>
      </w:r>
    </w:p>
    <w:p w14:paraId="3B05F2E8" w14:textId="52266F07" w:rsidR="002A21AE" w:rsidRDefault="002A21AE" w:rsidP="00FA7E65">
      <w:pPr>
        <w:pStyle w:val="BodyText"/>
      </w:pPr>
      <w:r>
        <w:t xml:space="preserve">The user </w:t>
      </w:r>
      <w:r w:rsidR="003A39EF">
        <w:t>views and/or prints</w:t>
      </w:r>
      <w:r>
        <w:t xml:space="preserve"> a</w:t>
      </w:r>
      <w:r w:rsidR="00455261">
        <w:t xml:space="preserve"> Patient Testing Worklist Report for</w:t>
      </w:r>
      <w:r>
        <w:t xml:space="preserve"> a specific patient</w:t>
      </w:r>
      <w:r w:rsidR="00455261">
        <w:t xml:space="preserve"> or a Testing Worklist Report for a division. </w:t>
      </w:r>
      <w:r>
        <w:t>The report</w:t>
      </w:r>
      <w:r w:rsidR="000E7760">
        <w:t>s</w:t>
      </w:r>
      <w:r>
        <w:t xml:space="preserve"> contain both partially completed and completed testing data entries on patients, units, and reagents created in the same division as the user generating the report.</w:t>
      </w:r>
      <w:r w:rsidR="006C3E9C">
        <w:t xml:space="preserve"> Crossmatch test results</w:t>
      </w:r>
      <w:r w:rsidR="007B4C92" w:rsidRPr="007B4C92">
        <w:t xml:space="preserve"> </w:t>
      </w:r>
      <w:r w:rsidR="006C3E9C">
        <w:t xml:space="preserve">are sequenced </w:t>
      </w:r>
      <w:r w:rsidR="007B4C92" w:rsidRPr="007B4C92">
        <w:t>by date and time on the repor</w:t>
      </w:r>
      <w:r w:rsidR="006C3E9C">
        <w:t xml:space="preserve">t. </w:t>
      </w:r>
      <w:r w:rsidR="00FC3506" w:rsidRPr="00FC3506">
        <w:t>The Interp. Column of the Patient Testing Worklist Report displays "Inc", which</w:t>
      </w:r>
      <w:r w:rsidR="007C00C8">
        <w:t xml:space="preserve"> can </w:t>
      </w:r>
      <w:r w:rsidR="00FC3506" w:rsidRPr="00FC3506">
        <w:t xml:space="preserve">mean </w:t>
      </w:r>
      <w:r w:rsidR="00FC3506">
        <w:t>“</w:t>
      </w:r>
      <w:r w:rsidR="00FC3506" w:rsidRPr="00FC3506">
        <w:t>Incompatible</w:t>
      </w:r>
      <w:r w:rsidR="00FC3506">
        <w:t>”</w:t>
      </w:r>
      <w:r w:rsidR="006C3E9C">
        <w:t xml:space="preserve"> or “Inconclusive</w:t>
      </w:r>
      <w:r w:rsidR="001A1374">
        <w:t>”</w:t>
      </w:r>
      <w:r w:rsidR="006C3E9C">
        <w:t>, depending on the test it is displayed with</w:t>
      </w:r>
      <w:r w:rsidR="00FC3506" w:rsidRPr="00FC3506">
        <w:t>.</w:t>
      </w:r>
      <w:r w:rsidR="00DC3A9D">
        <w:t xml:space="preserve"> </w:t>
      </w:r>
      <w:r w:rsidR="00DC3A9D" w:rsidRPr="00DC3A9D">
        <w:rPr>
          <w:vanish/>
        </w:rPr>
        <w:t>Defect 208964</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7161E1C4" w14:textId="77777777">
        <w:trPr>
          <w:tblHeader/>
        </w:trPr>
        <w:tc>
          <w:tcPr>
            <w:tcW w:w="3240" w:type="dxa"/>
            <w:shd w:val="pct30" w:color="auto" w:fill="FFFFFF"/>
            <w:vAlign w:val="bottom"/>
          </w:tcPr>
          <w:p w14:paraId="6E448040" w14:textId="77777777" w:rsidR="002A21AE" w:rsidRDefault="002A21AE">
            <w:pPr>
              <w:pStyle w:val="TableText"/>
              <w:rPr>
                <w:b/>
              </w:rPr>
            </w:pPr>
            <w:r>
              <w:rPr>
                <w:b/>
              </w:rPr>
              <w:t>User Action</w:t>
            </w:r>
          </w:p>
        </w:tc>
        <w:tc>
          <w:tcPr>
            <w:tcW w:w="6120" w:type="dxa"/>
            <w:shd w:val="pct30" w:color="auto" w:fill="FFFFFF"/>
            <w:vAlign w:val="bottom"/>
          </w:tcPr>
          <w:p w14:paraId="54F90C83" w14:textId="77777777" w:rsidR="002A21AE" w:rsidRDefault="002A21AE">
            <w:pPr>
              <w:pStyle w:val="TableText"/>
              <w:rPr>
                <w:b/>
              </w:rPr>
            </w:pPr>
            <w:r>
              <w:rPr>
                <w:b/>
              </w:rPr>
              <w:t>VBECS</w:t>
            </w:r>
          </w:p>
        </w:tc>
      </w:tr>
      <w:tr w:rsidR="002A21AE" w14:paraId="26F640E9" w14:textId="77777777">
        <w:tc>
          <w:tcPr>
            <w:tcW w:w="3240" w:type="dxa"/>
          </w:tcPr>
          <w:p w14:paraId="531F16C9" w14:textId="77777777" w:rsidR="002A21AE" w:rsidRDefault="002A21AE">
            <w:pPr>
              <w:pStyle w:val="TableTextNumbers"/>
            </w:pPr>
            <w:r>
              <w:t xml:space="preserve">For </w:t>
            </w:r>
            <w:r w:rsidR="00F05FA1">
              <w:t>a Patient Testing Worklist Report (for</w:t>
            </w:r>
            <w:r>
              <w:t xml:space="preserve"> a single patient, select </w:t>
            </w:r>
            <w:r>
              <w:rPr>
                <w:b/>
              </w:rPr>
              <w:t>Patients</w:t>
            </w:r>
            <w:r>
              <w:t xml:space="preserve"> from the main menu. </w:t>
            </w:r>
          </w:p>
          <w:p w14:paraId="6AB9FD26" w14:textId="77777777" w:rsidR="002A21AE" w:rsidRDefault="002A21AE">
            <w:pPr>
              <w:pStyle w:val="TableTextNumbersContinued"/>
            </w:pPr>
          </w:p>
          <w:p w14:paraId="7C319CBA" w14:textId="77777777" w:rsidR="002A21AE" w:rsidRDefault="002A21AE">
            <w:pPr>
              <w:pStyle w:val="TableTextNumbersContinued"/>
            </w:pPr>
            <w:r>
              <w:t xml:space="preserve">Select </w:t>
            </w:r>
            <w:r>
              <w:rPr>
                <w:b/>
              </w:rPr>
              <w:t>Patient</w:t>
            </w:r>
            <w:r>
              <w:t xml:space="preserve"> </w:t>
            </w:r>
            <w:r>
              <w:rPr>
                <w:b/>
              </w:rPr>
              <w:t>Testing Worklist Report</w:t>
            </w:r>
            <w:r>
              <w:t>.</w:t>
            </w:r>
          </w:p>
          <w:p w14:paraId="16568A6D" w14:textId="77777777" w:rsidR="002A21AE" w:rsidRDefault="002A21AE">
            <w:pPr>
              <w:pStyle w:val="TableTextNumbersContinued"/>
            </w:pPr>
          </w:p>
          <w:p w14:paraId="11093F02" w14:textId="77777777" w:rsidR="002A21AE" w:rsidRDefault="002A21AE">
            <w:pPr>
              <w:pStyle w:val="TableTextNumbersContinued"/>
            </w:pPr>
            <w:r>
              <w:t xml:space="preserve">For a </w:t>
            </w:r>
            <w:r w:rsidR="000E7760">
              <w:t>Testing Worklist Report</w:t>
            </w:r>
            <w:r>
              <w:t xml:space="preserve"> for a division, go to Step 5.</w:t>
            </w:r>
          </w:p>
        </w:tc>
        <w:tc>
          <w:tcPr>
            <w:tcW w:w="6120" w:type="dxa"/>
          </w:tcPr>
          <w:p w14:paraId="2AC2E72D" w14:textId="77777777" w:rsidR="002A21AE" w:rsidRDefault="002A21AE">
            <w:pPr>
              <w:pStyle w:val="TableTextBullet"/>
            </w:pPr>
            <w:r>
              <w:t>Displays options for processing patient-related functions.</w:t>
            </w:r>
          </w:p>
          <w:p w14:paraId="122B6CB6" w14:textId="77777777" w:rsidR="002A21AE" w:rsidRDefault="002A21AE">
            <w:pPr>
              <w:pStyle w:val="TableTextBullet"/>
            </w:pPr>
            <w:r>
              <w:t>Displays patient search criteria.</w:t>
            </w:r>
          </w:p>
        </w:tc>
      </w:tr>
      <w:tr w:rsidR="002A21AE" w14:paraId="14BE447E" w14:textId="77777777">
        <w:tc>
          <w:tcPr>
            <w:tcW w:w="3240" w:type="dxa"/>
          </w:tcPr>
          <w:p w14:paraId="5024E65D" w14:textId="77777777" w:rsidR="002A21AE" w:rsidRDefault="002A21AE">
            <w:pPr>
              <w:pStyle w:val="TableTextNumbers"/>
            </w:pPr>
            <w:r>
              <w:t xml:space="preserve">Enter the </w:t>
            </w:r>
            <w:r w:rsidRPr="00945BF5">
              <w:t>patient name or identification number.</w:t>
            </w:r>
            <w:r>
              <w:t xml:space="preserve"> </w:t>
            </w:r>
          </w:p>
          <w:p w14:paraId="32A64EB5" w14:textId="77777777" w:rsidR="002A21AE" w:rsidRDefault="002A21AE">
            <w:pPr>
              <w:pStyle w:val="TableTextNumbersContinued"/>
            </w:pPr>
          </w:p>
          <w:p w14:paraId="31265630" w14:textId="77777777" w:rsidR="002A21AE" w:rsidRDefault="002A21AE">
            <w:pPr>
              <w:pStyle w:val="TableTextNumbersContinued"/>
            </w:pPr>
            <w:r>
              <w:t xml:space="preserve">Click </w:t>
            </w:r>
            <w:r>
              <w:rPr>
                <w:b/>
              </w:rPr>
              <w:t xml:space="preserve">Search, </w:t>
            </w:r>
            <w:r>
              <w:t xml:space="preserve">as required. </w:t>
            </w:r>
          </w:p>
          <w:p w14:paraId="26C54083" w14:textId="77777777" w:rsidR="002A21AE" w:rsidRDefault="002A21AE">
            <w:pPr>
              <w:pStyle w:val="TableTextNumbersContinued"/>
            </w:pPr>
          </w:p>
          <w:p w14:paraId="7848A998" w14:textId="77777777" w:rsidR="002A21AE" w:rsidRDefault="002A21AE">
            <w:pPr>
              <w:pStyle w:val="TableTextNumbersContinued"/>
            </w:pPr>
            <w:r>
              <w:t xml:space="preserve">Select a patient and click </w:t>
            </w:r>
            <w:r>
              <w:rPr>
                <w:b/>
              </w:rPr>
              <w:t>OK</w:t>
            </w:r>
            <w:r>
              <w:t>.</w:t>
            </w:r>
          </w:p>
        </w:tc>
        <w:tc>
          <w:tcPr>
            <w:tcW w:w="6120" w:type="dxa"/>
          </w:tcPr>
          <w:p w14:paraId="169F1B6A" w14:textId="77777777" w:rsidR="002A21AE" w:rsidRDefault="002A21AE">
            <w:pPr>
              <w:pStyle w:val="TableTextBullet"/>
            </w:pPr>
            <w:r>
              <w:t>Requires the user to select a patient.</w:t>
            </w:r>
          </w:p>
          <w:p w14:paraId="70EB7A43" w14:textId="77777777" w:rsidR="002A21AE" w:rsidRDefault="002A21AE">
            <w:pPr>
              <w:pStyle w:val="TableTextBullet"/>
            </w:pPr>
            <w:r>
              <w:t>Displays specimen search criteria.</w:t>
            </w:r>
          </w:p>
        </w:tc>
      </w:tr>
      <w:tr w:rsidR="002A21AE" w14:paraId="29A2A13F" w14:textId="77777777">
        <w:tc>
          <w:tcPr>
            <w:tcW w:w="3240" w:type="dxa"/>
          </w:tcPr>
          <w:p w14:paraId="62565BD4" w14:textId="77777777" w:rsidR="002A21AE" w:rsidRDefault="002A21AE">
            <w:pPr>
              <w:pStyle w:val="TableTextNumbers"/>
            </w:pPr>
            <w:r>
              <w:t>Select or edit the dates and times in the Sp</w:t>
            </w:r>
            <w:r w:rsidRPr="00CE38AA">
              <w:t>ecimen Received Start Date and End Date fields</w:t>
            </w:r>
            <w:r w:rsidRPr="00945BF5">
              <w:t>.</w:t>
            </w:r>
          </w:p>
          <w:p w14:paraId="260DCDDA" w14:textId="77777777" w:rsidR="002A21AE" w:rsidRDefault="002A21AE">
            <w:pPr>
              <w:pStyle w:val="TableTextNumbersContinued"/>
            </w:pPr>
          </w:p>
          <w:p w14:paraId="7A9EE501" w14:textId="77777777" w:rsidR="002A21AE" w:rsidRDefault="002A21AE">
            <w:pPr>
              <w:pStyle w:val="TableTextNumbersContinued"/>
            </w:pPr>
            <w:r>
              <w:t xml:space="preserve">Click </w:t>
            </w:r>
            <w:r>
              <w:rPr>
                <w:b/>
              </w:rPr>
              <w:t>Search</w:t>
            </w:r>
            <w:r>
              <w:t>, as required.</w:t>
            </w:r>
          </w:p>
        </w:tc>
        <w:tc>
          <w:tcPr>
            <w:tcW w:w="6120" w:type="dxa"/>
          </w:tcPr>
          <w:p w14:paraId="3CC45C23" w14:textId="77777777" w:rsidR="002A21AE" w:rsidRDefault="002A21AE">
            <w:pPr>
              <w:pStyle w:val="TableTextBullet"/>
            </w:pPr>
            <w:r>
              <w:t>Allows the user to indicate a date range and patient specimens to include in the report.</w:t>
            </w:r>
          </w:p>
          <w:p w14:paraId="540F7F75" w14:textId="77777777" w:rsidR="002A21AE" w:rsidRDefault="002A21AE">
            <w:pPr>
              <w:pStyle w:val="TableTextBullet"/>
            </w:pPr>
            <w:r>
              <w:t xml:space="preserve">Displays specimens with associated testing for the selected patient. </w:t>
            </w:r>
          </w:p>
          <w:p w14:paraId="7199960D" w14:textId="77777777" w:rsidR="002A21AE" w:rsidRDefault="002A21AE">
            <w:pPr>
              <w:pStyle w:val="TableText"/>
            </w:pPr>
          </w:p>
          <w:p w14:paraId="2C1E55CD" w14:textId="6CE10FC1" w:rsidR="002A21AE" w:rsidRDefault="002A21AE">
            <w:pPr>
              <w:pStyle w:val="TableText"/>
              <w:rPr>
                <w:b/>
                <w:bCs/>
                <w:szCs w:val="18"/>
              </w:rPr>
            </w:pPr>
            <w:r>
              <w:rPr>
                <w:b/>
                <w:bCs/>
                <w:szCs w:val="18"/>
              </w:rPr>
              <w:t>NOTES</w:t>
            </w:r>
          </w:p>
          <w:p w14:paraId="22CE74AA" w14:textId="77777777" w:rsidR="002A21AE" w:rsidRDefault="002A21AE">
            <w:pPr>
              <w:pStyle w:val="NotesText"/>
            </w:pPr>
          </w:p>
          <w:p w14:paraId="655E5368" w14:textId="77777777" w:rsidR="002A21AE" w:rsidRDefault="002A21AE">
            <w:pPr>
              <w:pStyle w:val="NotesText"/>
            </w:pPr>
            <w:r>
              <w:rPr>
                <w:rFonts w:cs="Arial"/>
                <w:vanish/>
              </w:rPr>
              <w:t xml:space="preserve">BR_48.15 </w:t>
            </w:r>
            <w:r>
              <w:t xml:space="preserve">The individual </w:t>
            </w:r>
            <w:r w:rsidR="00F05FA1">
              <w:t xml:space="preserve">Patient Testing Worklist Report </w:t>
            </w:r>
            <w:r>
              <w:t xml:space="preserve">includes VBECS specimen UIDs from the last 90 days, by default. The user may remove one or more specimen UIDs and/or edit the default date range. </w:t>
            </w:r>
          </w:p>
          <w:p w14:paraId="6EB298B7" w14:textId="77777777" w:rsidR="002A21AE" w:rsidRDefault="002A21AE">
            <w:pPr>
              <w:pStyle w:val="NotesText"/>
            </w:pPr>
          </w:p>
          <w:p w14:paraId="54999FD0" w14:textId="77777777" w:rsidR="002A21AE" w:rsidRDefault="002A21AE">
            <w:pPr>
              <w:pStyle w:val="NotesText"/>
            </w:pPr>
            <w:r>
              <w:rPr>
                <w:rFonts w:cs="Arial"/>
                <w:vanish/>
              </w:rPr>
              <w:t xml:space="preserve">BR_48.04 </w:t>
            </w:r>
            <w:r>
              <w:t>When the patient record is not found, VBECS notifies the user that no matching patients were found.</w:t>
            </w:r>
          </w:p>
          <w:p w14:paraId="2494C7CE" w14:textId="77777777" w:rsidR="002A21AE" w:rsidRDefault="002A21AE">
            <w:pPr>
              <w:pStyle w:val="NotesText"/>
            </w:pPr>
          </w:p>
          <w:p w14:paraId="7AC1EA1F" w14:textId="77777777" w:rsidR="00FC3506" w:rsidRDefault="002A21AE" w:rsidP="00FC3506">
            <w:pPr>
              <w:pStyle w:val="NotesText"/>
            </w:pPr>
            <w:r>
              <w:rPr>
                <w:rFonts w:cs="Arial"/>
                <w:vanish/>
              </w:rPr>
              <w:t xml:space="preserve">BR_48.01 </w:t>
            </w:r>
            <w:r>
              <w:t>When the selected patient has no specimen on file within the division, VBECS warns the user and asks the user to select a different patient.</w:t>
            </w:r>
          </w:p>
          <w:p w14:paraId="7C3FA19E" w14:textId="77777777" w:rsidR="002A21AE" w:rsidRDefault="002A21AE">
            <w:pPr>
              <w:pStyle w:val="NotesText"/>
            </w:pPr>
          </w:p>
          <w:p w14:paraId="30281C11" w14:textId="77777777" w:rsidR="002A21AE" w:rsidRDefault="002A21AE">
            <w:pPr>
              <w:pStyle w:val="NotesText"/>
            </w:pPr>
            <w:r>
              <w:t>Requires the user to indicate the format of the report:</w:t>
            </w:r>
          </w:p>
          <w:p w14:paraId="0DC980C9" w14:textId="77777777" w:rsidR="00661E8D" w:rsidRDefault="00661E8D">
            <w:pPr>
              <w:pStyle w:val="NotesTextBullet"/>
            </w:pPr>
            <w:r>
              <w:t>Patient Testing</w:t>
            </w:r>
          </w:p>
          <w:p w14:paraId="065E52E0" w14:textId="77777777" w:rsidR="00661E8D" w:rsidRDefault="00661E8D">
            <w:pPr>
              <w:pStyle w:val="NotesTextBullet"/>
            </w:pPr>
            <w:r>
              <w:t>Unit Testing</w:t>
            </w:r>
          </w:p>
          <w:p w14:paraId="6B9E0329" w14:textId="77777777" w:rsidR="00661E8D" w:rsidRDefault="00661E8D">
            <w:pPr>
              <w:pStyle w:val="NotesTextBullet"/>
            </w:pPr>
            <w:r>
              <w:t>Daily QC</w:t>
            </w:r>
          </w:p>
          <w:p w14:paraId="27EC270B" w14:textId="77777777" w:rsidR="002A21AE" w:rsidRDefault="00661E8D">
            <w:pPr>
              <w:pStyle w:val="NotesTextBullet"/>
            </w:pPr>
            <w:r>
              <w:t>Miscellaneous Reagent QC</w:t>
            </w:r>
          </w:p>
        </w:tc>
      </w:tr>
      <w:tr w:rsidR="002A21AE" w14:paraId="00BC2F18" w14:textId="77777777">
        <w:tc>
          <w:tcPr>
            <w:tcW w:w="3240" w:type="dxa"/>
          </w:tcPr>
          <w:p w14:paraId="5F10B5F7" w14:textId="77777777" w:rsidR="002A21AE" w:rsidRDefault="002A21AE">
            <w:pPr>
              <w:pStyle w:val="TableTextNumbers"/>
            </w:pPr>
            <w:r>
              <w:t>Click one or more check boxes to select specimens.</w:t>
            </w:r>
          </w:p>
          <w:p w14:paraId="1F21BAE5" w14:textId="77777777" w:rsidR="002A21AE" w:rsidRDefault="002A21AE">
            <w:pPr>
              <w:pStyle w:val="TableTextNumbersContinued"/>
            </w:pPr>
          </w:p>
          <w:p w14:paraId="6C0BA7D3" w14:textId="77777777" w:rsidR="002A21AE" w:rsidRDefault="002A21AE">
            <w:pPr>
              <w:pStyle w:val="TableTextNumbersContinued"/>
            </w:pPr>
            <w:r>
              <w:t xml:space="preserve">Click </w:t>
            </w:r>
            <w:r>
              <w:rPr>
                <w:b/>
              </w:rPr>
              <w:t>OK</w:t>
            </w:r>
            <w:r>
              <w:t>.</w:t>
            </w:r>
          </w:p>
          <w:p w14:paraId="1632322E" w14:textId="77777777" w:rsidR="002A21AE" w:rsidRDefault="002A21AE">
            <w:pPr>
              <w:pStyle w:val="TableTextNumbersContinued"/>
            </w:pPr>
          </w:p>
          <w:p w14:paraId="1EBBD12D" w14:textId="77777777" w:rsidR="002A21AE" w:rsidRDefault="002A21AE">
            <w:pPr>
              <w:pStyle w:val="TableTextNumbersContinued"/>
            </w:pPr>
            <w:r>
              <w:t>Go to Step 8.</w:t>
            </w:r>
          </w:p>
        </w:tc>
        <w:tc>
          <w:tcPr>
            <w:tcW w:w="6120" w:type="dxa"/>
          </w:tcPr>
          <w:p w14:paraId="2654633F" w14:textId="77777777" w:rsidR="002A21AE" w:rsidRDefault="002A21AE">
            <w:pPr>
              <w:pStyle w:val="TableTextBullet"/>
            </w:pPr>
            <w:r>
              <w:t>Displays the report.</w:t>
            </w:r>
          </w:p>
          <w:p w14:paraId="0E702EB3" w14:textId="77777777" w:rsidR="002A21AE" w:rsidRDefault="002A21AE">
            <w:pPr>
              <w:pStyle w:val="TableTextBullet"/>
            </w:pPr>
            <w:r>
              <w:t>Allows the user to print the report.</w:t>
            </w:r>
          </w:p>
        </w:tc>
      </w:tr>
      <w:tr w:rsidR="002A21AE" w14:paraId="30092800" w14:textId="77777777" w:rsidTr="00E35FC4">
        <w:trPr>
          <w:cantSplit/>
        </w:trPr>
        <w:tc>
          <w:tcPr>
            <w:tcW w:w="3240" w:type="dxa"/>
          </w:tcPr>
          <w:p w14:paraId="4E6769AF" w14:textId="77777777" w:rsidR="002A21AE" w:rsidRDefault="002A21AE">
            <w:pPr>
              <w:pStyle w:val="TableTextNumbers"/>
            </w:pPr>
            <w:r>
              <w:t xml:space="preserve">For a Testing Worklist Report for a division, select </w:t>
            </w:r>
            <w:r>
              <w:rPr>
                <w:b/>
              </w:rPr>
              <w:t>Reports</w:t>
            </w:r>
            <w:r>
              <w:t xml:space="preserve"> from the main menu.</w:t>
            </w:r>
          </w:p>
          <w:p w14:paraId="704E40BB" w14:textId="77777777" w:rsidR="002A21AE" w:rsidRDefault="002A21AE">
            <w:pPr>
              <w:pStyle w:val="TableTextNumbersContinued"/>
            </w:pPr>
          </w:p>
          <w:p w14:paraId="0516294B" w14:textId="77777777" w:rsidR="002A21AE" w:rsidRDefault="002A21AE">
            <w:pPr>
              <w:pStyle w:val="TableTextNumbersContinued"/>
            </w:pPr>
            <w:r>
              <w:t xml:space="preserve">Select </w:t>
            </w:r>
            <w:r>
              <w:rPr>
                <w:b/>
              </w:rPr>
              <w:t>Testing Worklist Report</w:t>
            </w:r>
            <w:r>
              <w:t>.</w:t>
            </w:r>
          </w:p>
        </w:tc>
        <w:tc>
          <w:tcPr>
            <w:tcW w:w="6120" w:type="dxa"/>
          </w:tcPr>
          <w:p w14:paraId="3E3AD054" w14:textId="77777777" w:rsidR="002A21AE" w:rsidRDefault="002A21AE">
            <w:pPr>
              <w:pStyle w:val="TableTextBullet"/>
            </w:pPr>
            <w:r>
              <w:t>Lists report names.</w:t>
            </w:r>
          </w:p>
          <w:p w14:paraId="7156F530" w14:textId="77777777" w:rsidR="002A21AE" w:rsidRDefault="002A21AE">
            <w:pPr>
              <w:pStyle w:val="TableTextBullet"/>
            </w:pPr>
            <w:r>
              <w:t>Displays the report date range, sections</w:t>
            </w:r>
            <w:r w:rsidR="00E3701B">
              <w:t xml:space="preserve"> (Patient Testing, Unit Testing, Rack QC, and Miscellaneous Reagent QC)</w:t>
            </w:r>
            <w:r>
              <w:t>, and compilation criteria.</w:t>
            </w:r>
          </w:p>
        </w:tc>
      </w:tr>
      <w:tr w:rsidR="002A21AE" w14:paraId="7D0945E6" w14:textId="77777777">
        <w:tc>
          <w:tcPr>
            <w:tcW w:w="3240" w:type="dxa"/>
          </w:tcPr>
          <w:p w14:paraId="6A5061B0" w14:textId="77777777" w:rsidR="002A21AE" w:rsidRDefault="002A21AE">
            <w:pPr>
              <w:pStyle w:val="TableTextNumbers"/>
            </w:pPr>
            <w:r>
              <w:t xml:space="preserve">Select or edit the dates and times in the </w:t>
            </w:r>
            <w:r w:rsidRPr="00945BF5">
              <w:rPr>
                <w:b/>
              </w:rPr>
              <w:t>Start Date</w:t>
            </w:r>
            <w:r w:rsidRPr="00945BF5">
              <w:t xml:space="preserve"> and </w:t>
            </w:r>
            <w:r w:rsidRPr="00945BF5">
              <w:rPr>
                <w:b/>
              </w:rPr>
              <w:t>End Date</w:t>
            </w:r>
            <w:r>
              <w:t xml:space="preserve"> fields.</w:t>
            </w:r>
          </w:p>
        </w:tc>
        <w:tc>
          <w:tcPr>
            <w:tcW w:w="6120" w:type="dxa"/>
          </w:tcPr>
          <w:p w14:paraId="28C0870A" w14:textId="77777777" w:rsidR="002A21AE" w:rsidRDefault="002A21AE">
            <w:pPr>
              <w:pStyle w:val="TableTextBullet"/>
            </w:pPr>
            <w:r>
              <w:t>Displays the option to enter a date range for the report based on the date and time VBECS acknowledged the order.</w:t>
            </w:r>
          </w:p>
        </w:tc>
      </w:tr>
      <w:tr w:rsidR="002A21AE" w14:paraId="2BB2D39A" w14:textId="77777777">
        <w:tc>
          <w:tcPr>
            <w:tcW w:w="3240" w:type="dxa"/>
          </w:tcPr>
          <w:p w14:paraId="67CB7C64" w14:textId="77777777" w:rsidR="002A21AE" w:rsidRDefault="002A21AE" w:rsidP="001D6377">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047001A4" w14:textId="77777777" w:rsidR="002A21AE" w:rsidRDefault="002A21AE">
            <w:pPr>
              <w:pStyle w:val="TableTextNumbersContinued"/>
            </w:pPr>
          </w:p>
          <w:p w14:paraId="57FBA6FA"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C4199B6" w14:textId="77777777" w:rsidR="000566D6" w:rsidRDefault="002A21AE" w:rsidP="00AA2B2E">
            <w:pPr>
              <w:pStyle w:val="TableTextBullet"/>
            </w:pPr>
            <w:r>
              <w:t>Compiles and displays the report.</w:t>
            </w:r>
          </w:p>
        </w:tc>
      </w:tr>
      <w:tr w:rsidR="002A21AE" w14:paraId="34E54F51" w14:textId="77777777">
        <w:tc>
          <w:tcPr>
            <w:tcW w:w="3240" w:type="dxa"/>
          </w:tcPr>
          <w:p w14:paraId="066C97C9" w14:textId="1340FDFB"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29E9E381" w14:textId="77777777" w:rsidR="00D45D8C" w:rsidRDefault="00D45D8C" w:rsidP="00D45D8C">
            <w:pPr>
              <w:pStyle w:val="TableTextBullet"/>
            </w:pPr>
            <w:r>
              <w:t>If Print is selected, prints the report on the designated printer.</w:t>
            </w:r>
          </w:p>
          <w:p w14:paraId="0CC9A3D5" w14:textId="77777777" w:rsidR="00D45D8C" w:rsidRDefault="00D45D8C" w:rsidP="00D45D8C">
            <w:pPr>
              <w:pStyle w:val="TableTextBullet"/>
            </w:pPr>
            <w:r>
              <w:t>If Export is selected, exports the report to the designated file.</w:t>
            </w:r>
          </w:p>
          <w:p w14:paraId="0F07AF86" w14:textId="2E9EDF4C" w:rsidR="002A21AE" w:rsidRDefault="00D45D8C" w:rsidP="00D45D8C">
            <w:pPr>
              <w:pStyle w:val="TableTextBullet"/>
            </w:pPr>
            <w:r>
              <w:t>If Close is selected, exits the report preview.</w:t>
            </w:r>
          </w:p>
        </w:tc>
      </w:tr>
    </w:tbl>
    <w:p w14:paraId="1BD59FBB" w14:textId="77777777" w:rsidR="00246E50" w:rsidRDefault="00F55832" w:rsidP="00246E50">
      <w:pPr>
        <w:pStyle w:val="Heading2"/>
      </w:pPr>
      <w:r>
        <w:br w:type="page"/>
      </w:r>
      <w:bookmarkStart w:id="555" w:name="_Toc149064194"/>
      <w:r w:rsidR="00246E50">
        <w:t>Prolonged Transfusion Time Report</w:t>
      </w:r>
      <w:bookmarkEnd w:id="555"/>
      <w:r w:rsidR="00246E50">
        <w:fldChar w:fldCharType="begin"/>
      </w:r>
      <w:r w:rsidR="00246E50">
        <w:instrText xml:space="preserve"> XE “Prolonged Transfusion Time Report” </w:instrText>
      </w:r>
      <w:r w:rsidR="00246E50">
        <w:fldChar w:fldCharType="end"/>
      </w:r>
      <w:r w:rsidR="00246E50">
        <w:t xml:space="preserve"> </w:t>
      </w:r>
      <w:r w:rsidR="00246E50">
        <w:rPr>
          <w:rFonts w:ascii="Times New Roman" w:hAnsi="Times New Roman" w:cs="Times New Roman"/>
          <w:b w:val="0"/>
          <w:i w:val="0"/>
          <w:vanish/>
          <w:sz w:val="22"/>
        </w:rPr>
        <w:t>UC_105</w:t>
      </w:r>
    </w:p>
    <w:p w14:paraId="6D5D9416" w14:textId="77777777" w:rsidR="00246E50" w:rsidRDefault="00246E50" w:rsidP="00246E50">
      <w:pPr>
        <w:pStyle w:val="BodyText"/>
      </w:pPr>
      <w:r>
        <w:t xml:space="preserve">The user views and/or prints the Prolonged Transfusion Time Report. </w:t>
      </w:r>
    </w:p>
    <w:p w14:paraId="3A06F0F3" w14:textId="77777777" w:rsidR="00246E50" w:rsidRDefault="00246E50" w:rsidP="00246E50">
      <w:pPr>
        <w:pStyle w:val="Heading4"/>
      </w:pPr>
      <w:r>
        <w:t>Assumptions</w:t>
      </w:r>
      <w:r>
        <w:rPr>
          <w:b w:val="0"/>
        </w:rPr>
        <w:t xml:space="preserve"> </w:t>
      </w:r>
    </w:p>
    <w:p w14:paraId="375675EA" w14:textId="77777777" w:rsidR="00246E50" w:rsidRDefault="00246E50" w:rsidP="00246E50">
      <w:pPr>
        <w:pStyle w:val="ListBullet"/>
      </w:pPr>
      <w:r>
        <w:t>Data for the report were saved in VBECS.</w:t>
      </w:r>
    </w:p>
    <w:p w14:paraId="0AF67178" w14:textId="77777777" w:rsidR="00246E50" w:rsidRDefault="00246E50" w:rsidP="00246E50">
      <w:pPr>
        <w:pStyle w:val="Heading4"/>
      </w:pPr>
      <w:r>
        <w:t xml:space="preserve">Outcome </w:t>
      </w:r>
    </w:p>
    <w:p w14:paraId="2B6BCBCE" w14:textId="77777777" w:rsidR="00246E50" w:rsidRDefault="00246E50" w:rsidP="00246E50">
      <w:pPr>
        <w:pStyle w:val="ListBullet"/>
      </w:pPr>
      <w:r>
        <w:t>The user views and prints the report.</w:t>
      </w:r>
    </w:p>
    <w:p w14:paraId="6176750D" w14:textId="77777777" w:rsidR="00246E50" w:rsidRDefault="00246E50" w:rsidP="00246E50">
      <w:pPr>
        <w:pStyle w:val="Heading4"/>
        <w:rPr>
          <w:b w:val="0"/>
        </w:rPr>
      </w:pPr>
      <w:r>
        <w:t>Limitations and Restrictions</w:t>
      </w:r>
      <w:r>
        <w:rPr>
          <w:b w:val="0"/>
        </w:rPr>
        <w:t xml:space="preserve"> </w:t>
      </w:r>
    </w:p>
    <w:p w14:paraId="18755E0C" w14:textId="77777777" w:rsidR="00246E50" w:rsidRDefault="00246E50" w:rsidP="00246E50">
      <w:pPr>
        <w:pStyle w:val="ListBullet"/>
      </w:pPr>
      <w:r>
        <w:t>This report does not include p</w:t>
      </w:r>
      <w:r>
        <w:rPr>
          <w:rStyle w:val="ListBulletChar"/>
        </w:rPr>
        <w:t>r</w:t>
      </w:r>
      <w:r>
        <w:t>esumed transfused units or units issued to a remote storage location.</w:t>
      </w:r>
    </w:p>
    <w:p w14:paraId="69A5C288" w14:textId="77777777" w:rsidR="00246E50" w:rsidRPr="00244DDA" w:rsidRDefault="00246E50" w:rsidP="00246E50">
      <w:pPr>
        <w:pStyle w:val="ListBullet"/>
        <w:rPr>
          <w:sz w:val="20"/>
          <w:szCs w:val="20"/>
        </w:rPr>
      </w:pPr>
      <w:r>
        <w:t xml:space="preserve">Units issued to a remote storage location will display on the report when the transfusion start time is greater than 30 minutes after issue time. </w:t>
      </w:r>
      <w:r w:rsidRPr="00244DDA">
        <w:rPr>
          <w:vanish/>
        </w:rPr>
        <w:t>Defect 209735</w:t>
      </w:r>
    </w:p>
    <w:p w14:paraId="1724C2E3" w14:textId="77777777" w:rsidR="00246E50" w:rsidRDefault="00246E50" w:rsidP="00246E50">
      <w:pPr>
        <w:pStyle w:val="ListBullet"/>
      </w:pPr>
      <w:r>
        <w:t xml:space="preserve">Units issued to a remote storage location should not display to have a prolonged issue time as this setting indicates that the unit is issued to a monitored location maintained at the proper temperature for the product type. </w:t>
      </w:r>
      <w:r w:rsidRPr="00244DDA">
        <w:rPr>
          <w:vanish/>
        </w:rPr>
        <w:t>Defect 209735</w:t>
      </w:r>
    </w:p>
    <w:p w14:paraId="78552C05" w14:textId="77777777" w:rsidR="00246E50" w:rsidRDefault="00246E50" w:rsidP="00246E50">
      <w:pPr>
        <w:pStyle w:val="ListBullet"/>
      </w:pPr>
      <w:r>
        <w:t xml:space="preserve">The Delayed (minutes) column on the report is not subtracting 30 minutes when the Transfusion Start time is greater  than 30 minutes from the time of issue. Handwrite the correct Delayed (minutes) on the printed report. </w:t>
      </w:r>
      <w:r w:rsidRPr="00917168">
        <w:rPr>
          <w:vanish/>
        </w:rPr>
        <w:t>Defect 209431</w:t>
      </w:r>
    </w:p>
    <w:p w14:paraId="7686A670" w14:textId="77777777" w:rsidR="00246E50" w:rsidRDefault="00246E50" w:rsidP="00246E50">
      <w:pPr>
        <w:pStyle w:val="Heading4"/>
      </w:pPr>
      <w:r>
        <w:t xml:space="preserve">Additional Information </w:t>
      </w:r>
    </w:p>
    <w:p w14:paraId="26AC02D0" w14:textId="77777777" w:rsidR="00246E50" w:rsidRPr="00AA647C" w:rsidRDefault="00246E50" w:rsidP="00246E50">
      <w:pPr>
        <w:pStyle w:val="Roles"/>
      </w:pPr>
      <w:r>
        <w:rPr>
          <w:vanish/>
        </w:rPr>
        <w:t xml:space="preserve">PT_105.01 </w:t>
      </w:r>
      <w:r>
        <w:t>None</w:t>
      </w:r>
    </w:p>
    <w:p w14:paraId="2FF49D3C" w14:textId="77777777" w:rsidR="00246E50" w:rsidRDefault="00246E50" w:rsidP="00246E50">
      <w:pPr>
        <w:pStyle w:val="Heading4"/>
      </w:pPr>
      <w:r>
        <w:t xml:space="preserve">User Roles with Access to This Option </w:t>
      </w:r>
    </w:p>
    <w:p w14:paraId="5640DF10" w14:textId="77777777" w:rsidR="00246E50" w:rsidRDefault="00246E50" w:rsidP="00246E50">
      <w:pPr>
        <w:pStyle w:val="Roles"/>
      </w:pPr>
      <w:r>
        <w:t>All users</w:t>
      </w:r>
    </w:p>
    <w:p w14:paraId="11BA419B" w14:textId="77777777" w:rsidR="00246E50" w:rsidRDefault="00246E50" w:rsidP="00246E50">
      <w:pPr>
        <w:pStyle w:val="Heading4"/>
      </w:pPr>
      <w:r>
        <w:t>Prolonged Transfusion Time Report</w:t>
      </w:r>
    </w:p>
    <w:p w14:paraId="31739427" w14:textId="77777777" w:rsidR="00246E50" w:rsidRDefault="00246E50" w:rsidP="00246E50">
      <w:pPr>
        <w:pStyle w:val="BodyText"/>
      </w:pPr>
      <w:r>
        <w:t>The user views and/or prints the Prolonged Transfusion Time Report, which shows transfusions started more than 30 minutes after issue and units transfused for more than the maximum transfusion time set by each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46E50" w14:paraId="7DCA22DE" w14:textId="77777777" w:rsidTr="00246E50">
        <w:trPr>
          <w:cantSplit/>
          <w:tblHeader/>
        </w:trPr>
        <w:tc>
          <w:tcPr>
            <w:tcW w:w="3240" w:type="dxa"/>
            <w:shd w:val="pct30" w:color="auto" w:fill="FFFFFF"/>
            <w:vAlign w:val="bottom"/>
          </w:tcPr>
          <w:p w14:paraId="3A076287" w14:textId="77777777" w:rsidR="00246E50" w:rsidRDefault="00246E50" w:rsidP="00246E50">
            <w:pPr>
              <w:pStyle w:val="TableText"/>
              <w:rPr>
                <w:b/>
              </w:rPr>
            </w:pPr>
            <w:r>
              <w:rPr>
                <w:b/>
              </w:rPr>
              <w:t>User Action</w:t>
            </w:r>
          </w:p>
        </w:tc>
        <w:tc>
          <w:tcPr>
            <w:tcW w:w="6120" w:type="dxa"/>
            <w:shd w:val="pct30" w:color="auto" w:fill="FFFFFF"/>
            <w:vAlign w:val="bottom"/>
          </w:tcPr>
          <w:p w14:paraId="485B9E06" w14:textId="77777777" w:rsidR="00246E50" w:rsidRDefault="00246E50" w:rsidP="00246E50">
            <w:pPr>
              <w:pStyle w:val="TableText"/>
              <w:rPr>
                <w:b/>
              </w:rPr>
            </w:pPr>
            <w:r>
              <w:rPr>
                <w:b/>
              </w:rPr>
              <w:t>VBECS</w:t>
            </w:r>
          </w:p>
        </w:tc>
      </w:tr>
      <w:tr w:rsidR="00246E50" w14:paraId="0C2E780D" w14:textId="77777777" w:rsidTr="00246E50">
        <w:tc>
          <w:tcPr>
            <w:tcW w:w="3240" w:type="dxa"/>
          </w:tcPr>
          <w:p w14:paraId="4EA8A4EB" w14:textId="77777777" w:rsidR="00246E50" w:rsidRDefault="00246E50" w:rsidP="00925CAD">
            <w:pPr>
              <w:pStyle w:val="TableTextNumbers"/>
              <w:numPr>
                <w:ilvl w:val="0"/>
                <w:numId w:val="80"/>
              </w:numPr>
            </w:pPr>
            <w:r>
              <w:t xml:space="preserve">Select </w:t>
            </w:r>
            <w:r w:rsidRPr="00A809BB">
              <w:rPr>
                <w:b/>
              </w:rPr>
              <w:t>Reports</w:t>
            </w:r>
            <w:r>
              <w:t xml:space="preserve"> from the main menu.</w:t>
            </w:r>
          </w:p>
          <w:p w14:paraId="36CBB865" w14:textId="77777777" w:rsidR="00246E50" w:rsidRDefault="00246E50" w:rsidP="00246E50">
            <w:pPr>
              <w:pStyle w:val="TableTextNumbersContinued"/>
            </w:pPr>
          </w:p>
          <w:p w14:paraId="406DB92F" w14:textId="77777777" w:rsidR="00246E50" w:rsidRDefault="00246E50" w:rsidP="00246E50">
            <w:pPr>
              <w:pStyle w:val="TableTextNumbersContinued"/>
            </w:pPr>
            <w:r>
              <w:t xml:space="preserve">Select </w:t>
            </w:r>
            <w:r>
              <w:rPr>
                <w:b/>
              </w:rPr>
              <w:t>Prolonged Transfusion Time Report</w:t>
            </w:r>
            <w:r>
              <w:t>.</w:t>
            </w:r>
          </w:p>
        </w:tc>
        <w:tc>
          <w:tcPr>
            <w:tcW w:w="6120" w:type="dxa"/>
          </w:tcPr>
          <w:p w14:paraId="4C660648" w14:textId="77777777" w:rsidR="00246E50" w:rsidRDefault="00246E50" w:rsidP="00246E50">
            <w:pPr>
              <w:pStyle w:val="TableTextBullet"/>
            </w:pPr>
            <w:r>
              <w:t>Displays options for generating, viewing, and printing reports.</w:t>
            </w:r>
          </w:p>
          <w:p w14:paraId="010BD991" w14:textId="77777777" w:rsidR="00246E50" w:rsidRDefault="00246E50" w:rsidP="00246E50">
            <w:pPr>
              <w:pStyle w:val="TableTextBullet"/>
            </w:pPr>
            <w:r>
              <w:t>Displays a date range for selection.</w:t>
            </w:r>
          </w:p>
          <w:p w14:paraId="3EA6483F" w14:textId="77777777" w:rsidR="00246E50" w:rsidRDefault="00246E50" w:rsidP="00246E50">
            <w:pPr>
              <w:pStyle w:val="TableTextBullet"/>
            </w:pPr>
            <w:r>
              <w:t>Displays report sort order and compilation criteria.</w:t>
            </w:r>
          </w:p>
        </w:tc>
      </w:tr>
      <w:tr w:rsidR="00246E50" w14:paraId="6DCC89FB" w14:textId="77777777" w:rsidTr="00246E50">
        <w:tc>
          <w:tcPr>
            <w:tcW w:w="3240" w:type="dxa"/>
          </w:tcPr>
          <w:p w14:paraId="6DC03D86" w14:textId="77777777" w:rsidR="00246E50" w:rsidRDefault="00246E50" w:rsidP="00246E50">
            <w:pPr>
              <w:pStyle w:val="TableTextNumbers"/>
            </w:pPr>
            <w:r>
              <w:t>Enter a date range.</w:t>
            </w:r>
          </w:p>
          <w:p w14:paraId="03051D5E" w14:textId="77777777" w:rsidR="00246E50" w:rsidRDefault="00246E50" w:rsidP="00246E50">
            <w:pPr>
              <w:pStyle w:val="TableTextNumbersContinued"/>
            </w:pPr>
          </w:p>
          <w:p w14:paraId="764450F9" w14:textId="77777777" w:rsidR="00246E50" w:rsidRDefault="00246E50" w:rsidP="00246E50">
            <w:pPr>
              <w:pStyle w:val="TableTextNumbersContinued"/>
            </w:pPr>
            <w:r>
              <w:t xml:space="preserve">Click the </w:t>
            </w:r>
            <w:r>
              <w:rPr>
                <w:b/>
              </w:rPr>
              <w:t>Transfusion Date (Reverse Chronological)</w:t>
            </w:r>
            <w:r>
              <w:t xml:space="preserve"> or </w:t>
            </w:r>
            <w:r>
              <w:rPr>
                <w:b/>
              </w:rPr>
              <w:t xml:space="preserve">Issue-To Location </w:t>
            </w:r>
            <w:r w:rsidRPr="00BF2E41">
              <w:t>radio button</w:t>
            </w:r>
            <w:r>
              <w:t xml:space="preserve"> to select a sort order.</w:t>
            </w:r>
          </w:p>
        </w:tc>
        <w:tc>
          <w:tcPr>
            <w:tcW w:w="6120" w:type="dxa"/>
          </w:tcPr>
          <w:p w14:paraId="35E358A5" w14:textId="77777777" w:rsidR="00246E50" w:rsidRDefault="00246E50" w:rsidP="00246E50">
            <w:pPr>
              <w:pStyle w:val="TableText"/>
            </w:pPr>
            <w:r>
              <w:t xml:space="preserve"> </w:t>
            </w:r>
          </w:p>
        </w:tc>
      </w:tr>
      <w:tr w:rsidR="00246E50" w14:paraId="277A1001" w14:textId="77777777" w:rsidTr="00246E50">
        <w:tc>
          <w:tcPr>
            <w:tcW w:w="3240" w:type="dxa"/>
          </w:tcPr>
          <w:p w14:paraId="5AD64C6E" w14:textId="77777777" w:rsidR="00246E50" w:rsidRDefault="00246E50" w:rsidP="00246E50">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6A3F07AD" w14:textId="77777777" w:rsidR="00246E50" w:rsidRDefault="00246E50" w:rsidP="00246E50">
            <w:pPr>
              <w:pStyle w:val="TableTextNumbersContinued"/>
            </w:pPr>
          </w:p>
          <w:p w14:paraId="0F167162" w14:textId="77777777" w:rsidR="00246E50" w:rsidRDefault="00246E50" w:rsidP="00246E50">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B0887E7" w14:textId="77777777" w:rsidR="00246E50" w:rsidRDefault="00246E50" w:rsidP="00246E50">
            <w:pPr>
              <w:pStyle w:val="TableTextBullet"/>
              <w:rPr>
                <w:b/>
                <w:bCs/>
                <w:szCs w:val="18"/>
              </w:rPr>
            </w:pPr>
            <w:r>
              <w:t>Compiles and displays the report.</w:t>
            </w:r>
            <w:r>
              <w:rPr>
                <w:b/>
                <w:bCs/>
              </w:rPr>
              <w:t xml:space="preserve"> </w:t>
            </w:r>
          </w:p>
          <w:p w14:paraId="415297D0" w14:textId="77777777" w:rsidR="00246E50" w:rsidRDefault="00246E50" w:rsidP="00246E50">
            <w:pPr>
              <w:pStyle w:val="TableText"/>
            </w:pPr>
          </w:p>
          <w:p w14:paraId="1896D9D0" w14:textId="77777777" w:rsidR="00246E50" w:rsidRDefault="00246E50" w:rsidP="00246E50">
            <w:pPr>
              <w:pStyle w:val="TableText"/>
              <w:rPr>
                <w:b/>
                <w:bCs/>
              </w:rPr>
            </w:pPr>
            <w:r>
              <w:rPr>
                <w:b/>
                <w:bCs/>
              </w:rPr>
              <w:t>NOTES</w:t>
            </w:r>
          </w:p>
          <w:p w14:paraId="6E2EAC78" w14:textId="77777777" w:rsidR="00246E50" w:rsidRDefault="00246E50" w:rsidP="00246E50">
            <w:pPr>
              <w:pStyle w:val="NotesText"/>
            </w:pPr>
          </w:p>
          <w:p w14:paraId="0F9B625F" w14:textId="77777777" w:rsidR="00246E50" w:rsidRDefault="00246E50" w:rsidP="00246E50">
            <w:pPr>
              <w:pStyle w:val="NotesText"/>
              <w:rPr>
                <w:rFonts w:cs="Arial"/>
              </w:rPr>
            </w:pPr>
            <w:r>
              <w:t>The report includes:</w:t>
            </w:r>
            <w:r>
              <w:rPr>
                <w:rFonts w:cs="Arial"/>
              </w:rPr>
              <w:t xml:space="preserve"> </w:t>
            </w:r>
          </w:p>
          <w:p w14:paraId="571983D8" w14:textId="77777777" w:rsidR="00246E50" w:rsidRDefault="00246E50" w:rsidP="00246E50">
            <w:pPr>
              <w:pStyle w:val="NotesTextBullet"/>
            </w:pPr>
            <w:r>
              <w:t>Issue-to location</w:t>
            </w:r>
          </w:p>
          <w:p w14:paraId="08E3CB31" w14:textId="77777777" w:rsidR="00246E50" w:rsidRDefault="00246E50" w:rsidP="00246E50">
            <w:pPr>
              <w:pStyle w:val="NotesTextBullet"/>
            </w:pPr>
            <w:r>
              <w:t>Unit ID</w:t>
            </w:r>
          </w:p>
          <w:p w14:paraId="25F6C27C" w14:textId="77777777" w:rsidR="00246E50" w:rsidRDefault="00246E50" w:rsidP="00246E50">
            <w:pPr>
              <w:pStyle w:val="NotesTextBullet"/>
            </w:pPr>
            <w:r>
              <w:t>Product short name</w:t>
            </w:r>
          </w:p>
          <w:p w14:paraId="068FE4EB" w14:textId="77777777" w:rsidR="00246E50" w:rsidRDefault="00246E50" w:rsidP="00246E50">
            <w:pPr>
              <w:pStyle w:val="NotesTextBullet"/>
            </w:pPr>
            <w:r>
              <w:t>Issue Date/time</w:t>
            </w:r>
          </w:p>
          <w:p w14:paraId="594DC4FD" w14:textId="77777777" w:rsidR="00246E50" w:rsidRDefault="00246E50" w:rsidP="00246E50">
            <w:pPr>
              <w:pStyle w:val="NotesTextBullet"/>
            </w:pPr>
            <w:r>
              <w:t xml:space="preserve">Start Date/time </w:t>
            </w:r>
          </w:p>
          <w:p w14:paraId="178B11E7" w14:textId="77777777" w:rsidR="00246E50" w:rsidRDefault="00246E50" w:rsidP="00246E50">
            <w:pPr>
              <w:pStyle w:val="NotesTextBullet"/>
            </w:pPr>
            <w:r>
              <w:t>End Date/time</w:t>
            </w:r>
          </w:p>
          <w:p w14:paraId="4D3A8549" w14:textId="77777777" w:rsidR="00246E50" w:rsidRDefault="00246E50" w:rsidP="00246E50">
            <w:pPr>
              <w:pStyle w:val="NotesTextBullet"/>
            </w:pPr>
            <w:r>
              <w:t>Number of minutes elapsed between unit issue and start time, when exceeds 30 minutes</w:t>
            </w:r>
          </w:p>
          <w:p w14:paraId="59182E77" w14:textId="77777777" w:rsidR="00246E50" w:rsidRDefault="00246E50" w:rsidP="00246E50">
            <w:pPr>
              <w:pStyle w:val="NotesTextBullet"/>
            </w:pPr>
            <w:r>
              <w:t xml:space="preserve">Number of minutes elapsed between the unit start and end dates and times, when they exceed the maximum transfusion setting for the component class. </w:t>
            </w:r>
          </w:p>
          <w:p w14:paraId="0FBB691E" w14:textId="77777777" w:rsidR="00246E50" w:rsidRDefault="00246E50" w:rsidP="00246E50">
            <w:pPr>
              <w:pStyle w:val="NotesTextBullet"/>
            </w:pPr>
            <w:r>
              <w:t>Patient Name</w:t>
            </w:r>
          </w:p>
          <w:p w14:paraId="23BC6E3B" w14:textId="77777777" w:rsidR="00246E50" w:rsidRDefault="00246E50" w:rsidP="00246E50">
            <w:pPr>
              <w:pStyle w:val="NotesTextBullet"/>
            </w:pPr>
            <w:r>
              <w:t>Patient ID</w:t>
            </w:r>
          </w:p>
          <w:p w14:paraId="0EDD881B" w14:textId="77777777" w:rsidR="00246E50" w:rsidRDefault="00246E50" w:rsidP="00246E50">
            <w:pPr>
              <w:pStyle w:val="NotesTextBullet"/>
            </w:pPr>
            <w:r>
              <w:t>Treating Specialty</w:t>
            </w:r>
          </w:p>
          <w:p w14:paraId="63BB2FE6" w14:textId="77777777" w:rsidR="00246E50" w:rsidRDefault="00246E50" w:rsidP="00246E50">
            <w:pPr>
              <w:pStyle w:val="NotesText"/>
            </w:pPr>
          </w:p>
          <w:p w14:paraId="1F297E52" w14:textId="77777777" w:rsidR="00246E50" w:rsidRDefault="00246E50" w:rsidP="00246E50">
            <w:pPr>
              <w:pStyle w:val="NotesText"/>
            </w:pPr>
            <w:r>
              <w:rPr>
                <w:rFonts w:cs="Arial"/>
                <w:vanish/>
              </w:rPr>
              <w:t xml:space="preserve">BR_105.02 </w:t>
            </w:r>
            <w:r>
              <w:t>The report includes instances of a prolonged start time and/or the prolonged transfusion time.</w:t>
            </w:r>
          </w:p>
          <w:p w14:paraId="15DFDB9F" w14:textId="77777777" w:rsidR="00246E50" w:rsidRDefault="00246E50" w:rsidP="00246E50">
            <w:pPr>
              <w:pStyle w:val="NotesText"/>
            </w:pPr>
          </w:p>
          <w:p w14:paraId="47F90F58" w14:textId="77777777" w:rsidR="00246E50" w:rsidRDefault="00246E50" w:rsidP="00246E50">
            <w:pPr>
              <w:pStyle w:val="NotesText"/>
            </w:pPr>
            <w:r>
              <w:rPr>
                <w:rFonts w:cs="Arial"/>
                <w:vanish/>
              </w:rPr>
              <w:t xml:space="preserve">BR_105.03 </w:t>
            </w:r>
            <w:r>
              <w:t>A prolonged transfusion time is the number of minutes elapsed between the transfusion start and end times and the maximum transfusion time setting for the component class. When the number of minutes exceeds the maximum transfusion time setting for the component class, the unit and its transfusion data are included in the report.</w:t>
            </w:r>
          </w:p>
          <w:p w14:paraId="38CE7FBB" w14:textId="77777777" w:rsidR="00246E50" w:rsidRDefault="00246E50" w:rsidP="00246E50">
            <w:pPr>
              <w:pStyle w:val="NotesText"/>
            </w:pPr>
          </w:p>
          <w:p w14:paraId="6506FDD3" w14:textId="77777777" w:rsidR="00246E50" w:rsidRDefault="00246E50" w:rsidP="00246E50">
            <w:pPr>
              <w:pStyle w:val="NotesText"/>
            </w:pPr>
            <w:r>
              <w:rPr>
                <w:rFonts w:cs="Arial"/>
                <w:vanish/>
              </w:rPr>
              <w:t xml:space="preserve">BR_105.04 </w:t>
            </w:r>
            <w:r>
              <w:t>A delayed start of transfusion is the number of minutes elapsed between the issue time and the transfusion start time. When the start time of the unit’s transfusion is greater than 30 minutes from the unit’s issue time and when no remote storage location is indicated, the unit and its transfusion data are included in the report.</w:t>
            </w:r>
          </w:p>
          <w:p w14:paraId="58448023" w14:textId="77777777" w:rsidR="00246E50" w:rsidRDefault="00246E50" w:rsidP="00246E50">
            <w:pPr>
              <w:pStyle w:val="NotesText"/>
            </w:pPr>
          </w:p>
          <w:p w14:paraId="56F49B8D" w14:textId="77777777" w:rsidR="00246E50" w:rsidRDefault="00246E50" w:rsidP="00246E50">
            <w:pPr>
              <w:pStyle w:val="NotesText"/>
            </w:pPr>
            <w:r>
              <w:rPr>
                <w:rFonts w:cs="Arial"/>
                <w:vanish/>
              </w:rPr>
              <w:t xml:space="preserve">BR_105.06 </w:t>
            </w:r>
            <w:r>
              <w:t>The total transfusion time is the number of minutes elapsed between the issue and end times.</w:t>
            </w:r>
          </w:p>
          <w:p w14:paraId="01004C17" w14:textId="77777777" w:rsidR="00246E50" w:rsidRDefault="00246E50" w:rsidP="00246E50">
            <w:pPr>
              <w:pStyle w:val="NotesText"/>
            </w:pPr>
          </w:p>
          <w:p w14:paraId="0373B5FF" w14:textId="77777777" w:rsidR="00246E50" w:rsidRDefault="00246E50" w:rsidP="00246E50">
            <w:pPr>
              <w:pStyle w:val="NotesText"/>
            </w:pPr>
            <w:r>
              <w:rPr>
                <w:rFonts w:cs="Arial"/>
                <w:vanish/>
              </w:rPr>
              <w:t xml:space="preserve">BR_105.05 </w:t>
            </w:r>
            <w:r>
              <w:t>The report includes:</w:t>
            </w:r>
          </w:p>
          <w:p w14:paraId="0919AE7D" w14:textId="77777777" w:rsidR="00246E50" w:rsidRDefault="00246E50" w:rsidP="00246E50">
            <w:pPr>
              <w:pStyle w:val="NotesTextBullet"/>
            </w:pPr>
            <w:r>
              <w:t>Issue-To Location</w:t>
            </w:r>
          </w:p>
          <w:p w14:paraId="3947AEE3" w14:textId="77777777" w:rsidR="00246E50" w:rsidRDefault="00246E50" w:rsidP="00246E50">
            <w:pPr>
              <w:pStyle w:val="NotesTextBullet"/>
            </w:pPr>
            <w:r>
              <w:t>Unit ID</w:t>
            </w:r>
          </w:p>
          <w:p w14:paraId="0E0CFAE3" w14:textId="77777777" w:rsidR="00246E50" w:rsidRDefault="00246E50" w:rsidP="00246E50">
            <w:pPr>
              <w:pStyle w:val="NotesTextBullet"/>
            </w:pPr>
            <w:r>
              <w:t>Product Short Name</w:t>
            </w:r>
          </w:p>
          <w:p w14:paraId="230199E7" w14:textId="77777777" w:rsidR="00246E50" w:rsidRDefault="00246E50" w:rsidP="00246E50">
            <w:pPr>
              <w:pStyle w:val="NotesTextBullet"/>
            </w:pPr>
            <w:r>
              <w:t>Issue Date/Time</w:t>
            </w:r>
          </w:p>
          <w:p w14:paraId="0F79F8AE" w14:textId="77777777" w:rsidR="00246E50" w:rsidRDefault="00246E50" w:rsidP="00246E50">
            <w:pPr>
              <w:pStyle w:val="NotesTextBullet"/>
            </w:pPr>
            <w:r>
              <w:t xml:space="preserve">Start Date/Time </w:t>
            </w:r>
          </w:p>
          <w:p w14:paraId="5545E2CF" w14:textId="77777777" w:rsidR="00246E50" w:rsidRDefault="00246E50" w:rsidP="00246E50">
            <w:pPr>
              <w:pStyle w:val="NotesTextBullet"/>
            </w:pPr>
            <w:r>
              <w:t>End Date/Time</w:t>
            </w:r>
          </w:p>
          <w:p w14:paraId="751AF07E" w14:textId="77777777" w:rsidR="00246E50" w:rsidRDefault="00246E50" w:rsidP="00246E50">
            <w:pPr>
              <w:pStyle w:val="NotesTextBullet"/>
            </w:pPr>
            <w:r>
              <w:t>Delayed start interval (the number of minutes elapsed between unit issue and start times, when it exceeds 30 minutes)</w:t>
            </w:r>
          </w:p>
          <w:p w14:paraId="2589150D" w14:textId="77777777" w:rsidR="00246E50" w:rsidRDefault="00246E50" w:rsidP="00246E50">
            <w:pPr>
              <w:pStyle w:val="NotesTextBullet"/>
            </w:pPr>
            <w:r>
              <w:t>Prolonged transfusion interval (the number of minutes elapsed between unit start and end dates and times, when they exceed the maximum transfusion setting for the component class)</w:t>
            </w:r>
          </w:p>
          <w:p w14:paraId="16F95031" w14:textId="77777777" w:rsidR="00246E50" w:rsidRDefault="00246E50" w:rsidP="00246E50">
            <w:pPr>
              <w:pStyle w:val="NotesTextBullet"/>
            </w:pPr>
            <w:r>
              <w:t>Patient Name</w:t>
            </w:r>
          </w:p>
          <w:p w14:paraId="758631AD" w14:textId="77777777" w:rsidR="00246E50" w:rsidRDefault="00246E50" w:rsidP="00246E50">
            <w:pPr>
              <w:pStyle w:val="NotesTextBullet"/>
            </w:pPr>
            <w:r>
              <w:t xml:space="preserve">Patient ID </w:t>
            </w:r>
          </w:p>
          <w:p w14:paraId="382CBDCC" w14:textId="77777777" w:rsidR="00246E50" w:rsidRDefault="00246E50" w:rsidP="00246E50">
            <w:pPr>
              <w:pStyle w:val="NotesTextBullet"/>
            </w:pPr>
            <w:r>
              <w:t>Treating Specialty</w:t>
            </w:r>
          </w:p>
        </w:tc>
      </w:tr>
      <w:tr w:rsidR="00246E50" w14:paraId="56908E25" w14:textId="77777777" w:rsidTr="00246E50">
        <w:trPr>
          <w:cantSplit/>
        </w:trPr>
        <w:tc>
          <w:tcPr>
            <w:tcW w:w="3240" w:type="dxa"/>
          </w:tcPr>
          <w:p w14:paraId="10C4C87D" w14:textId="485303F2" w:rsidR="00246E50" w:rsidRDefault="00246E50" w:rsidP="00246E50">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t xml:space="preserve"> </w:t>
            </w:r>
            <w:r w:rsidRPr="009660C3">
              <w:rPr>
                <w:vanish/>
                <w:szCs w:val="18"/>
              </w:rPr>
              <w:fldChar w:fldCharType="begin"/>
            </w:r>
            <w:r w:rsidRPr="009660C3">
              <w:rPr>
                <w:vanish/>
                <w:szCs w:val="18"/>
              </w:rPr>
              <w:instrText xml:space="preserve"> LISTNUM \l 1 \s 0 </w:instrText>
            </w:r>
            <w:r w:rsidRPr="009660C3">
              <w:rPr>
                <w:vanish/>
                <w:szCs w:val="18"/>
              </w:rPr>
              <w:fldChar w:fldCharType="end"/>
            </w:r>
          </w:p>
        </w:tc>
        <w:tc>
          <w:tcPr>
            <w:tcW w:w="6120" w:type="dxa"/>
          </w:tcPr>
          <w:p w14:paraId="684C19E2" w14:textId="77777777" w:rsidR="00246E50" w:rsidRDefault="00246E50" w:rsidP="00246E50">
            <w:pPr>
              <w:pStyle w:val="TableTextBullet"/>
            </w:pPr>
            <w:r>
              <w:t>If Print is selected, prints the report on the designated printer.</w:t>
            </w:r>
          </w:p>
          <w:p w14:paraId="4A89CEF7" w14:textId="77777777" w:rsidR="00246E50" w:rsidRDefault="00246E50" w:rsidP="00246E50">
            <w:pPr>
              <w:pStyle w:val="TableTextBullet"/>
            </w:pPr>
            <w:r>
              <w:t>If Export is selected, exports the report to the designated file.</w:t>
            </w:r>
          </w:p>
          <w:p w14:paraId="23D5A7BC" w14:textId="77777777" w:rsidR="00246E50" w:rsidRDefault="00246E50" w:rsidP="00246E50">
            <w:pPr>
              <w:pStyle w:val="TableTextBullet"/>
            </w:pPr>
            <w:r>
              <w:t>If Close is selected, exits the report preview.</w:t>
            </w:r>
          </w:p>
        </w:tc>
      </w:tr>
    </w:tbl>
    <w:p w14:paraId="6D984C8E" w14:textId="53302593" w:rsidR="002A21AE" w:rsidRDefault="002A21AE">
      <w:pPr>
        <w:pStyle w:val="Heading2"/>
      </w:pPr>
      <w:bookmarkStart w:id="556" w:name="_Toc149064195"/>
      <w:r>
        <w:t>Transfusion Complications Report</w:t>
      </w:r>
      <w:bookmarkEnd w:id="556"/>
      <w:r>
        <w:fldChar w:fldCharType="begin"/>
      </w:r>
      <w:r>
        <w:instrText xml:space="preserve"> XE </w:instrText>
      </w:r>
      <w:r w:rsidR="00FA7E65">
        <w:instrText>“</w:instrText>
      </w:r>
      <w:r>
        <w:instrText>Transfusion Complications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UC_90</w:t>
      </w:r>
    </w:p>
    <w:p w14:paraId="06BDC359" w14:textId="77777777" w:rsidR="002A21AE" w:rsidRDefault="002A21AE" w:rsidP="00FA7E65">
      <w:pPr>
        <w:pStyle w:val="BodyText"/>
      </w:pPr>
      <w:r>
        <w:t xml:space="preserve">The user views </w:t>
      </w:r>
      <w:r w:rsidR="003F3B4B">
        <w:t>and</w:t>
      </w:r>
      <w:r w:rsidR="009162DB">
        <w:t>/or</w:t>
      </w:r>
      <w:r>
        <w:t xml:space="preserve"> prints the T</w:t>
      </w:r>
      <w:r w:rsidR="009162DB">
        <w:t>ransfusion Complications Report</w:t>
      </w:r>
      <w:r>
        <w:t xml:space="preserve">. </w:t>
      </w:r>
    </w:p>
    <w:p w14:paraId="38FBE634" w14:textId="77777777" w:rsidR="002A21AE" w:rsidRDefault="002A21AE">
      <w:pPr>
        <w:pStyle w:val="Heading4"/>
      </w:pPr>
      <w:r>
        <w:t>Assumptions</w:t>
      </w:r>
      <w:r>
        <w:rPr>
          <w:b w:val="0"/>
        </w:rPr>
        <w:t xml:space="preserve"> </w:t>
      </w:r>
    </w:p>
    <w:p w14:paraId="32BB2D90" w14:textId="77777777" w:rsidR="00CA6E27" w:rsidRDefault="00CA6E27">
      <w:pPr>
        <w:pStyle w:val="ListBullet"/>
      </w:pPr>
      <w:r w:rsidRPr="00CA6E27">
        <w:rPr>
          <w:bCs/>
        </w:rPr>
        <w:t>VistA</w:t>
      </w:r>
      <w:r w:rsidR="002A21AE">
        <w:t xml:space="preserve"> tests are defined</w:t>
      </w:r>
      <w:r w:rsidR="00DF389C">
        <w:t xml:space="preserve"> in Transfusion Complications</w:t>
      </w:r>
      <w:r>
        <w:t>.</w:t>
      </w:r>
    </w:p>
    <w:p w14:paraId="51CFAA87" w14:textId="77777777" w:rsidR="002A21AE" w:rsidRDefault="00CA6E27">
      <w:pPr>
        <w:pStyle w:val="ListBullet"/>
      </w:pPr>
      <w:r>
        <w:t>T</w:t>
      </w:r>
      <w:r w:rsidR="002A21AE">
        <w:t xml:space="preserve">he connection to </w:t>
      </w:r>
      <w:r w:rsidRPr="00CA6E27">
        <w:rPr>
          <w:bCs/>
        </w:rPr>
        <w:t>VistA</w:t>
      </w:r>
      <w:r w:rsidR="002A21AE">
        <w:t xml:space="preserve"> is active.</w:t>
      </w:r>
    </w:p>
    <w:p w14:paraId="26CDE63F" w14:textId="77777777" w:rsidR="002A21AE" w:rsidRDefault="002A21AE">
      <w:pPr>
        <w:pStyle w:val="ListBullet"/>
      </w:pPr>
      <w:r>
        <w:t>Transfusion Complications was processed and post-transfusion complication tests are defined.</w:t>
      </w:r>
    </w:p>
    <w:p w14:paraId="4406B343" w14:textId="77777777" w:rsidR="002A21AE" w:rsidRDefault="002A21AE">
      <w:pPr>
        <w:pStyle w:val="ListBullet"/>
      </w:pPr>
      <w:r>
        <w:t>Units have a status of presumed transfused or transfused for the patient.</w:t>
      </w:r>
    </w:p>
    <w:p w14:paraId="5017E9E8" w14:textId="77777777" w:rsidR="002A21AE" w:rsidRDefault="002A21AE">
      <w:pPr>
        <w:pStyle w:val="Heading4"/>
      </w:pPr>
      <w:r>
        <w:t xml:space="preserve">Outcome </w:t>
      </w:r>
    </w:p>
    <w:p w14:paraId="40753795" w14:textId="77777777" w:rsidR="002A21AE" w:rsidRDefault="00AE521B">
      <w:pPr>
        <w:pStyle w:val="ListBullet"/>
      </w:pPr>
      <w:r>
        <w:t>The user views and/or prints the report</w:t>
      </w:r>
      <w:r w:rsidR="002A21AE">
        <w:t xml:space="preserve">. </w:t>
      </w:r>
    </w:p>
    <w:p w14:paraId="6BE221D9" w14:textId="77777777" w:rsidR="002A21AE" w:rsidRDefault="002A21AE">
      <w:pPr>
        <w:pStyle w:val="Heading4"/>
      </w:pPr>
      <w:r>
        <w:t>Limitations and Restrictions</w:t>
      </w:r>
      <w:r>
        <w:rPr>
          <w:b w:val="0"/>
        </w:rPr>
        <w:t xml:space="preserve"> </w:t>
      </w:r>
    </w:p>
    <w:p w14:paraId="5D39700D" w14:textId="77777777" w:rsidR="002A21AE" w:rsidRDefault="002A21AE">
      <w:pPr>
        <w:pStyle w:val="ListBullet"/>
      </w:pPr>
      <w:r>
        <w:t>The report does not include units in an issued status.</w:t>
      </w:r>
    </w:p>
    <w:p w14:paraId="7F8C840D" w14:textId="15DB27E1" w:rsidR="00270D6F" w:rsidRDefault="00270D6F" w:rsidP="00270D6F">
      <w:pPr>
        <w:pStyle w:val="ListBullet"/>
      </w:pPr>
      <w:r>
        <w:t xml:space="preserve">The report cannot be </w:t>
      </w:r>
      <w:r w:rsidR="00C73E0E">
        <w:t>scheduled.</w:t>
      </w:r>
      <w:r w:rsidR="00CD5BA1">
        <w:t xml:space="preserve"> </w:t>
      </w:r>
      <w:r w:rsidR="00CD5BA1" w:rsidRPr="00CD5BA1">
        <w:rPr>
          <w:vanish/>
        </w:rPr>
        <w:t>Defect 210264</w:t>
      </w:r>
    </w:p>
    <w:p w14:paraId="060A0728" w14:textId="13A64A81" w:rsidR="002A21AE" w:rsidRDefault="002A21AE" w:rsidP="005304F5">
      <w:pPr>
        <w:pStyle w:val="Heading4"/>
      </w:pPr>
      <w:r>
        <w:t xml:space="preserve">Additional Information </w:t>
      </w:r>
    </w:p>
    <w:p w14:paraId="49C13E6E" w14:textId="77777777" w:rsidR="002A21AE" w:rsidRDefault="002A21AE">
      <w:pPr>
        <w:pStyle w:val="ListBullet"/>
      </w:pPr>
      <w:r>
        <w:t xml:space="preserve">The report searches for </w:t>
      </w:r>
      <w:r w:rsidR="00CA6E27" w:rsidRPr="00CA6E27">
        <w:rPr>
          <w:bCs/>
        </w:rPr>
        <w:t>VistA</w:t>
      </w:r>
      <w:r>
        <w:t xml:space="preserve"> tests defined in Transfusion Complications when the report is requested.</w:t>
      </w:r>
    </w:p>
    <w:p w14:paraId="1584E4F2" w14:textId="77777777" w:rsidR="002A21AE" w:rsidRDefault="002A21AE">
      <w:pPr>
        <w:pStyle w:val="ListBullet"/>
      </w:pPr>
      <w:r>
        <w:t>If threshold values are words, they are case insensitive.</w:t>
      </w:r>
    </w:p>
    <w:p w14:paraId="264FC95E" w14:textId="77777777" w:rsidR="002A21AE" w:rsidRDefault="002A21AE">
      <w:pPr>
        <w:pStyle w:val="ListBullet"/>
      </w:pPr>
      <w:r>
        <w:t>A patient’s test results and transfusions are not directly linked by date, episode, or admission event.</w:t>
      </w:r>
    </w:p>
    <w:p w14:paraId="5DECF07E" w14:textId="77777777" w:rsidR="002A21AE" w:rsidRDefault="002A21AE">
      <w:pPr>
        <w:pStyle w:val="ListBullet"/>
      </w:pPr>
      <w:r>
        <w:t>Lab test data retrieved for the report are not saved in VBECS.</w:t>
      </w:r>
    </w:p>
    <w:p w14:paraId="65D2E757" w14:textId="77777777" w:rsidR="002A21AE" w:rsidRDefault="002A21AE">
      <w:pPr>
        <w:pStyle w:val="ListBullet"/>
      </w:pPr>
      <w:r>
        <w:t>The report is not saved in VBECS.</w:t>
      </w:r>
    </w:p>
    <w:p w14:paraId="6701DF14" w14:textId="77777777" w:rsidR="002A21AE" w:rsidRDefault="002A21AE">
      <w:pPr>
        <w:pStyle w:val="Heading4"/>
        <w:rPr>
          <w:b w:val="0"/>
        </w:rPr>
      </w:pPr>
      <w:r>
        <w:t>User Roles with Access to This Option</w:t>
      </w:r>
      <w:r>
        <w:rPr>
          <w:b w:val="0"/>
        </w:rPr>
        <w:t xml:space="preserve"> </w:t>
      </w:r>
    </w:p>
    <w:p w14:paraId="4DD7E060" w14:textId="77777777" w:rsidR="002A21AE" w:rsidRDefault="00184EA4">
      <w:pPr>
        <w:pStyle w:val="Roles"/>
      </w:pPr>
      <w:r>
        <w:t>All users</w:t>
      </w:r>
    </w:p>
    <w:p w14:paraId="6DC7A21B" w14:textId="77777777" w:rsidR="002A21AE" w:rsidRDefault="002A21AE">
      <w:pPr>
        <w:pStyle w:val="Heading4"/>
        <w:tabs>
          <w:tab w:val="left" w:pos="6885"/>
        </w:tabs>
      </w:pPr>
      <w:r>
        <w:t xml:space="preserve">Transfusion Complications Report </w:t>
      </w:r>
      <w:r>
        <w:tab/>
      </w:r>
    </w:p>
    <w:p w14:paraId="1EA2E0D8" w14:textId="77777777" w:rsidR="002A21AE" w:rsidRDefault="002A21AE" w:rsidP="00FA7E65">
      <w:pPr>
        <w:pStyle w:val="BodyText"/>
      </w:pPr>
      <w:r>
        <w:t xml:space="preserve">The user views </w:t>
      </w:r>
      <w:r w:rsidR="009162DB">
        <w:t>and/</w:t>
      </w:r>
      <w:r>
        <w:t>or prints the Transfusion Complications Report</w:t>
      </w:r>
      <w:r w:rsidR="009162DB">
        <w:t>, which includes patients transfused in his division with a test result that exceeds the threshold set in Transfusion Complications for that test</w:t>
      </w:r>
      <w:r>
        <w:t>. Tests associated with possible post-transfusion complications are gathered by searching for results in a user-defined date range for the report. The report also includes the documented patient transfusions from 12 months prior to the start date of the report through the end date of the report.</w:t>
      </w:r>
      <w:r w:rsidR="009162DB">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4824773" w14:textId="77777777">
        <w:trPr>
          <w:cantSplit/>
          <w:tblHeader/>
        </w:trPr>
        <w:tc>
          <w:tcPr>
            <w:tcW w:w="3240" w:type="dxa"/>
            <w:shd w:val="pct30" w:color="auto" w:fill="FFFFFF"/>
            <w:vAlign w:val="bottom"/>
          </w:tcPr>
          <w:p w14:paraId="69987BD5" w14:textId="77777777" w:rsidR="002A21AE" w:rsidRDefault="002A21AE">
            <w:pPr>
              <w:pStyle w:val="TableText"/>
              <w:rPr>
                <w:b/>
              </w:rPr>
            </w:pPr>
            <w:r>
              <w:rPr>
                <w:b/>
              </w:rPr>
              <w:t>User Action</w:t>
            </w:r>
          </w:p>
        </w:tc>
        <w:tc>
          <w:tcPr>
            <w:tcW w:w="6120" w:type="dxa"/>
            <w:shd w:val="pct30" w:color="auto" w:fill="FFFFFF"/>
            <w:vAlign w:val="bottom"/>
          </w:tcPr>
          <w:p w14:paraId="19D39184" w14:textId="77777777" w:rsidR="002A21AE" w:rsidRDefault="002A21AE">
            <w:pPr>
              <w:pStyle w:val="TableText"/>
              <w:rPr>
                <w:b/>
              </w:rPr>
            </w:pPr>
            <w:r>
              <w:rPr>
                <w:b/>
              </w:rPr>
              <w:t>VBECS</w:t>
            </w:r>
          </w:p>
        </w:tc>
      </w:tr>
      <w:tr w:rsidR="002A21AE" w14:paraId="63A9D506" w14:textId="77777777">
        <w:tc>
          <w:tcPr>
            <w:tcW w:w="3240" w:type="dxa"/>
            <w:tcBorders>
              <w:top w:val="single" w:sz="4" w:space="0" w:color="auto"/>
              <w:left w:val="single" w:sz="4" w:space="0" w:color="auto"/>
              <w:bottom w:val="single" w:sz="4" w:space="0" w:color="auto"/>
              <w:right w:val="single" w:sz="4" w:space="0" w:color="auto"/>
            </w:tcBorders>
          </w:tcPr>
          <w:p w14:paraId="74FBE017" w14:textId="77777777" w:rsidR="002A21AE" w:rsidRDefault="002A21AE" w:rsidP="00925CAD">
            <w:pPr>
              <w:pStyle w:val="TableTextNumbers"/>
              <w:numPr>
                <w:ilvl w:val="0"/>
                <w:numId w:val="74"/>
              </w:numPr>
            </w:pPr>
            <w:r>
              <w:t xml:space="preserve">Select </w:t>
            </w:r>
            <w:r w:rsidRPr="00946DA2">
              <w:rPr>
                <w:b/>
              </w:rPr>
              <w:t>Reports</w:t>
            </w:r>
            <w:r>
              <w:t xml:space="preserve"> from the main menu.</w:t>
            </w:r>
          </w:p>
          <w:p w14:paraId="7DD0BFF9" w14:textId="77777777" w:rsidR="002A21AE" w:rsidRDefault="002A21AE">
            <w:pPr>
              <w:pStyle w:val="TableTextNumbersContinued"/>
            </w:pPr>
          </w:p>
          <w:p w14:paraId="4C61A9C5" w14:textId="77777777" w:rsidR="002A21AE" w:rsidRDefault="002A21AE">
            <w:pPr>
              <w:pStyle w:val="TableTextNumbersContinued"/>
            </w:pPr>
            <w:r>
              <w:t xml:space="preserve">Select </w:t>
            </w:r>
            <w:r>
              <w:rPr>
                <w:b/>
              </w:rPr>
              <w:t>Transfusion Complications Report</w:t>
            </w:r>
            <w:r>
              <w:t>.</w:t>
            </w:r>
          </w:p>
        </w:tc>
        <w:tc>
          <w:tcPr>
            <w:tcW w:w="6120" w:type="dxa"/>
            <w:tcBorders>
              <w:top w:val="single" w:sz="4" w:space="0" w:color="auto"/>
              <w:left w:val="single" w:sz="4" w:space="0" w:color="auto"/>
              <w:bottom w:val="single" w:sz="4" w:space="0" w:color="auto"/>
              <w:right w:val="single" w:sz="4" w:space="0" w:color="auto"/>
            </w:tcBorders>
          </w:tcPr>
          <w:p w14:paraId="59BABD36" w14:textId="77777777" w:rsidR="002A21AE" w:rsidRDefault="002A21AE">
            <w:pPr>
              <w:pStyle w:val="TableTextBullet"/>
            </w:pPr>
            <w:r>
              <w:t>Lists report names.</w:t>
            </w:r>
          </w:p>
          <w:p w14:paraId="6BF9A7DE" w14:textId="77777777" w:rsidR="002A21AE" w:rsidRDefault="002A21AE">
            <w:pPr>
              <w:pStyle w:val="TableTextBullet"/>
            </w:pPr>
            <w:r>
              <w:t>Displays fields for entering a report date range.</w:t>
            </w:r>
          </w:p>
        </w:tc>
      </w:tr>
      <w:tr w:rsidR="002A21AE" w14:paraId="2686EF75" w14:textId="77777777" w:rsidTr="00305B16">
        <w:trPr>
          <w:cantSplit/>
        </w:trPr>
        <w:tc>
          <w:tcPr>
            <w:tcW w:w="3240" w:type="dxa"/>
          </w:tcPr>
          <w:p w14:paraId="055E3E3F" w14:textId="77777777" w:rsidR="002A21AE" w:rsidRDefault="002A21AE">
            <w:pPr>
              <w:pStyle w:val="TableTextNumbers"/>
            </w:pPr>
            <w:r>
              <w:t>Enter or select start and end dates.</w:t>
            </w:r>
          </w:p>
        </w:tc>
        <w:tc>
          <w:tcPr>
            <w:tcW w:w="6120" w:type="dxa"/>
          </w:tcPr>
          <w:p w14:paraId="0B869C0E" w14:textId="77777777" w:rsidR="002A21AE" w:rsidRDefault="002A21AE">
            <w:pPr>
              <w:pStyle w:val="TableTextBullet"/>
            </w:pPr>
            <w:r>
              <w:t>Compiles and displays the report and allows the user to print it.</w:t>
            </w:r>
          </w:p>
          <w:p w14:paraId="461D7C28" w14:textId="77777777" w:rsidR="002A21AE" w:rsidRDefault="002A21AE">
            <w:pPr>
              <w:pStyle w:val="TableText"/>
            </w:pPr>
          </w:p>
          <w:p w14:paraId="7430F7C6" w14:textId="112651FB" w:rsidR="002A21AE" w:rsidRDefault="002A21AE">
            <w:pPr>
              <w:pStyle w:val="TableText"/>
              <w:rPr>
                <w:b/>
                <w:bCs/>
                <w:szCs w:val="18"/>
              </w:rPr>
            </w:pPr>
            <w:r>
              <w:rPr>
                <w:b/>
                <w:bCs/>
                <w:szCs w:val="18"/>
              </w:rPr>
              <w:t>NOTES</w:t>
            </w:r>
          </w:p>
          <w:p w14:paraId="159E60B1" w14:textId="77777777" w:rsidR="002A21AE" w:rsidRDefault="002A21AE">
            <w:pPr>
              <w:pStyle w:val="NotesText"/>
            </w:pPr>
          </w:p>
          <w:p w14:paraId="77F02038" w14:textId="77777777" w:rsidR="002A21AE" w:rsidRDefault="002A21AE">
            <w:pPr>
              <w:pStyle w:val="NotesText"/>
            </w:pPr>
            <w:r>
              <w:rPr>
                <w:rFonts w:cs="Arial"/>
                <w:vanish/>
              </w:rPr>
              <w:t xml:space="preserve">BR_90.02 </w:t>
            </w:r>
            <w:r>
              <w:t>VBECS searches the Laboratory files (VistALink) and gathers instances of tests that exceed the threshold result of the tests set in Transfusion Complications within the specified date range. Retrieved test results are then filtered so that the report includes results only</w:t>
            </w:r>
            <w:r>
              <w:rPr>
                <w:b/>
              </w:rPr>
              <w:t xml:space="preserve"> </w:t>
            </w:r>
            <w:r>
              <w:t>for patients who have transfusions documented in VBECS within the last 12 months prior to the start date of the report through the end date.</w:t>
            </w:r>
          </w:p>
          <w:p w14:paraId="5210EDD8" w14:textId="77777777" w:rsidR="002A21AE" w:rsidRDefault="002A21AE">
            <w:pPr>
              <w:pStyle w:val="NotesText"/>
            </w:pPr>
          </w:p>
          <w:p w14:paraId="6E8147B7" w14:textId="41E9C47F" w:rsidR="002A21AE" w:rsidRDefault="002A21AE">
            <w:pPr>
              <w:pStyle w:val="NotesText"/>
            </w:pPr>
            <w:r>
              <w:rPr>
                <w:rFonts w:cs="Arial"/>
                <w:vanish/>
              </w:rPr>
              <w:t xml:space="preserve">BR_90.03 </w:t>
            </w:r>
            <w:r>
              <w:t>VBECS includes the evaluated tests and their threshold values in the report criteria section</w:t>
            </w:r>
            <w:r w:rsidR="006E7ECE">
              <w:t xml:space="preserve"> ‘Transfusion Complication Test Name’</w:t>
            </w:r>
            <w:r>
              <w:t>.</w:t>
            </w:r>
            <w:r w:rsidR="006E7ECE">
              <w:t xml:space="preserve"> All complications and thresholds are reported, not just the ones where the threshold is exceeded.</w:t>
            </w:r>
          </w:p>
          <w:p w14:paraId="70A925EC" w14:textId="77777777" w:rsidR="002A21AE" w:rsidRDefault="002A21AE">
            <w:pPr>
              <w:pStyle w:val="NotesText"/>
            </w:pPr>
          </w:p>
          <w:p w14:paraId="2420C50C" w14:textId="77777777" w:rsidR="002A21AE" w:rsidRDefault="002A21AE">
            <w:pPr>
              <w:pStyle w:val="NotesText"/>
            </w:pPr>
            <w:r>
              <w:rPr>
                <w:rFonts w:cs="Arial"/>
                <w:vanish/>
              </w:rPr>
              <w:t xml:space="preserve">BR_90.04 </w:t>
            </w:r>
            <w:r>
              <w:rPr>
                <w:color w:val="000000"/>
              </w:rPr>
              <w:t>Details of the report include</w:t>
            </w:r>
            <w:r>
              <w:t>:</w:t>
            </w:r>
          </w:p>
          <w:p w14:paraId="18343002" w14:textId="77777777" w:rsidR="002A21AE" w:rsidRDefault="002A21AE">
            <w:pPr>
              <w:pStyle w:val="NotesTextBullet"/>
            </w:pPr>
            <w:r>
              <w:t>Patient name</w:t>
            </w:r>
          </w:p>
          <w:p w14:paraId="25227D9E" w14:textId="77777777" w:rsidR="002A21AE" w:rsidRDefault="002A21AE">
            <w:pPr>
              <w:pStyle w:val="NotesTextBullet"/>
            </w:pPr>
            <w:r>
              <w:t>Patient ID</w:t>
            </w:r>
          </w:p>
          <w:p w14:paraId="3739D56A" w14:textId="77777777" w:rsidR="002A21AE" w:rsidRDefault="002A21AE">
            <w:pPr>
              <w:pStyle w:val="NotesTextBullet"/>
            </w:pPr>
            <w:r>
              <w:t>Current hospital location</w:t>
            </w:r>
          </w:p>
          <w:p w14:paraId="40BD1422" w14:textId="77777777" w:rsidR="002A21AE" w:rsidRDefault="002A21AE">
            <w:pPr>
              <w:pStyle w:val="NotesTextBullet"/>
            </w:pPr>
            <w:r>
              <w:t>Date of death (in lieu of location if patient died)</w:t>
            </w:r>
          </w:p>
          <w:p w14:paraId="30BA20EA" w14:textId="77777777" w:rsidR="002A21AE" w:rsidRDefault="002A21AE">
            <w:pPr>
              <w:pStyle w:val="NotesTextBullet"/>
            </w:pPr>
            <w:r>
              <w:t>Unit ID</w:t>
            </w:r>
          </w:p>
          <w:p w14:paraId="6F8D6C33" w14:textId="77777777" w:rsidR="002A21AE" w:rsidRDefault="002A21AE">
            <w:pPr>
              <w:pStyle w:val="NotesTextBullet"/>
            </w:pPr>
            <w:r>
              <w:t>Unit short name</w:t>
            </w:r>
          </w:p>
          <w:p w14:paraId="1F7CCD67" w14:textId="77777777" w:rsidR="002A21AE" w:rsidRDefault="002A21AE">
            <w:pPr>
              <w:pStyle w:val="NotesTextBullet"/>
            </w:pPr>
            <w:r>
              <w:t>End date and time of the unit’s transfusion, if available</w:t>
            </w:r>
          </w:p>
          <w:p w14:paraId="11E0990D" w14:textId="77777777" w:rsidR="002A21AE" w:rsidRDefault="002A21AE">
            <w:pPr>
              <w:pStyle w:val="NotesText"/>
            </w:pPr>
          </w:p>
          <w:p w14:paraId="705C36C6" w14:textId="77777777" w:rsidR="002A21AE" w:rsidRDefault="002A21AE">
            <w:pPr>
              <w:pStyle w:val="NotesText"/>
            </w:pPr>
            <w:r>
              <w:t xml:space="preserve">From </w:t>
            </w:r>
            <w:r w:rsidR="00CA6E27" w:rsidRPr="00CA6E27">
              <w:rPr>
                <w:bCs/>
              </w:rPr>
              <w:t>VistA</w:t>
            </w:r>
            <w:r>
              <w:t xml:space="preserve"> for each patient’s tests:</w:t>
            </w:r>
          </w:p>
          <w:p w14:paraId="1CAE4CD5" w14:textId="77777777" w:rsidR="002A21AE" w:rsidRDefault="002A21AE">
            <w:pPr>
              <w:pStyle w:val="NotesTextBullet"/>
            </w:pPr>
            <w:r>
              <w:t>Test name</w:t>
            </w:r>
          </w:p>
          <w:p w14:paraId="65C64771" w14:textId="77777777" w:rsidR="002A21AE" w:rsidRDefault="002A21AE">
            <w:pPr>
              <w:pStyle w:val="NotesTextBullet"/>
            </w:pPr>
            <w:r>
              <w:t>Associated test result</w:t>
            </w:r>
          </w:p>
          <w:p w14:paraId="02AF9F82" w14:textId="77777777" w:rsidR="002A21AE" w:rsidRDefault="002A21AE">
            <w:pPr>
              <w:pStyle w:val="NotesTextBullet"/>
            </w:pPr>
            <w:r>
              <w:t>Date and time recorded</w:t>
            </w:r>
          </w:p>
        </w:tc>
      </w:tr>
      <w:tr w:rsidR="000D2373" w14:paraId="2B4BA2B3" w14:textId="77777777">
        <w:tc>
          <w:tcPr>
            <w:tcW w:w="3240" w:type="dxa"/>
          </w:tcPr>
          <w:p w14:paraId="219D1BF2" w14:textId="77777777" w:rsidR="000D2373" w:rsidRDefault="000D2373" w:rsidP="000D2373">
            <w:pPr>
              <w:pStyle w:val="TableTextNumbers"/>
            </w:pPr>
            <w:r>
              <w:t xml:space="preserve">In the Report Compilation area, click the </w:t>
            </w:r>
            <w:r w:rsidRPr="00B40DDD">
              <w:rPr>
                <w:b/>
              </w:rPr>
              <w:t>Create Report Now</w:t>
            </w:r>
            <w:r>
              <w:t xml:space="preserve"> radio button. Click </w:t>
            </w:r>
            <w:r w:rsidRPr="00B40DDD">
              <w:rPr>
                <w:b/>
              </w:rPr>
              <w:t>OK</w:t>
            </w:r>
            <w:r>
              <w:t xml:space="preserve"> to view the report, or</w:t>
            </w:r>
          </w:p>
          <w:p w14:paraId="2345E57D" w14:textId="77777777" w:rsidR="000D2373" w:rsidRDefault="000D2373" w:rsidP="000D2373">
            <w:pPr>
              <w:pStyle w:val="TableTextNumbers"/>
              <w:numPr>
                <w:ilvl w:val="0"/>
                <w:numId w:val="0"/>
              </w:numPr>
              <w:ind w:left="288"/>
            </w:pPr>
          </w:p>
          <w:p w14:paraId="4B81A654" w14:textId="77777777" w:rsidR="000D2373" w:rsidRDefault="000D2373" w:rsidP="000D2373">
            <w:pPr>
              <w:pStyle w:val="TableTextNumbers"/>
              <w:numPr>
                <w:ilvl w:val="0"/>
                <w:numId w:val="0"/>
              </w:numPr>
              <w:ind w:left="288"/>
            </w:pPr>
            <w:r>
              <w:t xml:space="preserve">Click the </w:t>
            </w:r>
            <w:r w:rsidRPr="00B40DDD">
              <w:rPr>
                <w:b/>
              </w:rPr>
              <w:t>Schedule Print Job</w:t>
            </w:r>
            <w:r>
              <w:t xml:space="preserve"> radio button and </w:t>
            </w:r>
            <w:r w:rsidRPr="00B40DDD">
              <w:rPr>
                <w:b/>
              </w:rPr>
              <w:t>OK</w:t>
            </w:r>
            <w:r>
              <w:t xml:space="preserve">, then enter or select a print date and printer name. Click </w:t>
            </w:r>
            <w:r w:rsidRPr="00B40DDD">
              <w:rPr>
                <w:b/>
              </w:rPr>
              <w:t>OK</w:t>
            </w:r>
            <w:r>
              <w:t xml:space="preserve"> to view and print the report.</w:t>
            </w:r>
          </w:p>
        </w:tc>
        <w:tc>
          <w:tcPr>
            <w:tcW w:w="6120" w:type="dxa"/>
          </w:tcPr>
          <w:p w14:paraId="47D6CE04" w14:textId="77777777" w:rsidR="000D2373" w:rsidRDefault="000D2373" w:rsidP="000D2373">
            <w:pPr>
              <w:pStyle w:val="TableTextBullet"/>
            </w:pPr>
            <w:r>
              <w:t>Compiles and displays the report.</w:t>
            </w:r>
          </w:p>
          <w:p w14:paraId="16AA3FB4" w14:textId="77777777" w:rsidR="000D2373" w:rsidRDefault="000D2373" w:rsidP="000D2373">
            <w:pPr>
              <w:pStyle w:val="TableText"/>
              <w:rPr>
                <w:b/>
                <w:bCs/>
                <w:szCs w:val="18"/>
              </w:rPr>
            </w:pPr>
          </w:p>
          <w:p w14:paraId="1C5AA479" w14:textId="0623CF32" w:rsidR="000D2373" w:rsidRDefault="000D2373" w:rsidP="000D2373">
            <w:pPr>
              <w:pStyle w:val="TableText"/>
              <w:rPr>
                <w:b/>
                <w:bCs/>
                <w:szCs w:val="18"/>
              </w:rPr>
            </w:pPr>
            <w:r>
              <w:rPr>
                <w:b/>
                <w:bCs/>
                <w:szCs w:val="18"/>
              </w:rPr>
              <w:t>NOTES</w:t>
            </w:r>
          </w:p>
          <w:p w14:paraId="5C6485C1" w14:textId="77777777" w:rsidR="000D2373" w:rsidRDefault="000D2373" w:rsidP="000D2373">
            <w:pPr>
              <w:pStyle w:val="NotesText"/>
            </w:pPr>
          </w:p>
          <w:p w14:paraId="176C281D" w14:textId="77777777" w:rsidR="00CD40A5" w:rsidRDefault="00CD40A5" w:rsidP="000D2373">
            <w:pPr>
              <w:pStyle w:val="TableTextBullet"/>
            </w:pPr>
            <w:r>
              <w:rPr>
                <w:rFonts w:cs="Arial"/>
              </w:rPr>
              <w:t>This report requires a logged on VistA user to retrieve the lab results.</w:t>
            </w:r>
            <w:r>
              <w:t xml:space="preserve"> It cannot be scheduled to print. </w:t>
            </w:r>
            <w:r w:rsidRPr="00124A3D">
              <w:rPr>
                <w:vanish/>
              </w:rPr>
              <w:t>DR 4810</w:t>
            </w:r>
          </w:p>
        </w:tc>
      </w:tr>
      <w:tr w:rsidR="002A21AE" w14:paraId="632FDF66" w14:textId="77777777">
        <w:tc>
          <w:tcPr>
            <w:tcW w:w="3240" w:type="dxa"/>
          </w:tcPr>
          <w:p w14:paraId="0FAD6F6B" w14:textId="48DF0F69"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9660C3">
              <w:rPr>
                <w:vanish/>
                <w:szCs w:val="18"/>
              </w:rPr>
              <w:fldChar w:fldCharType="begin"/>
            </w:r>
            <w:r w:rsidR="002A21AE" w:rsidRPr="009660C3">
              <w:rPr>
                <w:vanish/>
                <w:szCs w:val="18"/>
              </w:rPr>
              <w:instrText xml:space="preserve"> LISTNUM \l 1 \s 0 </w:instrText>
            </w:r>
            <w:r w:rsidR="002A21AE" w:rsidRPr="009660C3">
              <w:rPr>
                <w:vanish/>
                <w:szCs w:val="18"/>
              </w:rPr>
              <w:fldChar w:fldCharType="end"/>
            </w:r>
          </w:p>
        </w:tc>
        <w:tc>
          <w:tcPr>
            <w:tcW w:w="6120" w:type="dxa"/>
          </w:tcPr>
          <w:p w14:paraId="20DFBCC0" w14:textId="77777777" w:rsidR="00D45D8C" w:rsidRDefault="00D45D8C" w:rsidP="00D45D8C">
            <w:pPr>
              <w:pStyle w:val="TableTextBullet"/>
            </w:pPr>
            <w:r>
              <w:t>If Print is selected, prints the report on the designated printer.</w:t>
            </w:r>
          </w:p>
          <w:p w14:paraId="4258C6F3" w14:textId="77777777" w:rsidR="00D45D8C" w:rsidRDefault="00D45D8C" w:rsidP="00D45D8C">
            <w:pPr>
              <w:pStyle w:val="TableTextBullet"/>
            </w:pPr>
            <w:r>
              <w:t>If Export is selected, exports the report to the designated file.</w:t>
            </w:r>
          </w:p>
          <w:p w14:paraId="0B980CCE" w14:textId="62D530C4" w:rsidR="002A21AE" w:rsidRDefault="00D45D8C" w:rsidP="00D45D8C">
            <w:pPr>
              <w:pStyle w:val="TableTextBullet"/>
            </w:pPr>
            <w:r>
              <w:t>If Close is selected, exits the report preview.</w:t>
            </w:r>
          </w:p>
        </w:tc>
      </w:tr>
    </w:tbl>
    <w:p w14:paraId="3E5B6972" w14:textId="77777777" w:rsidR="002A21AE" w:rsidRDefault="00F55832">
      <w:pPr>
        <w:pStyle w:val="Heading2"/>
      </w:pPr>
      <w:r>
        <w:br w:type="page"/>
      </w:r>
      <w:bookmarkStart w:id="557" w:name="_Toc149064196"/>
      <w:r w:rsidR="002A21AE">
        <w:t>Transfusion Effectiveness Report</w:t>
      </w:r>
      <w:bookmarkEnd w:id="557"/>
      <w:r w:rsidR="002A21AE">
        <w:fldChar w:fldCharType="begin"/>
      </w:r>
      <w:r w:rsidR="002A21AE">
        <w:instrText xml:space="preserve"> XE </w:instrText>
      </w:r>
      <w:r w:rsidR="00FA7E65">
        <w:instrText>“</w:instrText>
      </w:r>
      <w:r w:rsidR="002A21AE">
        <w:instrText>Transfusion Effectiveness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UC_91</w:t>
      </w:r>
    </w:p>
    <w:p w14:paraId="53E90AD0" w14:textId="77777777" w:rsidR="002A21AE" w:rsidRDefault="002A21AE" w:rsidP="00FA7E65">
      <w:pPr>
        <w:pStyle w:val="BodyText"/>
      </w:pPr>
      <w:r>
        <w:t>The user views and</w:t>
      </w:r>
      <w:r w:rsidR="00AF59E4">
        <w:t>/or</w:t>
      </w:r>
      <w:r>
        <w:t xml:space="preserve"> prints a Transfusion Effectiveness Report.</w:t>
      </w:r>
    </w:p>
    <w:p w14:paraId="2E50A395" w14:textId="77777777" w:rsidR="002A21AE" w:rsidRDefault="002A21AE">
      <w:pPr>
        <w:pStyle w:val="Heading4"/>
      </w:pPr>
      <w:r>
        <w:t>Assumptions</w:t>
      </w:r>
      <w:r>
        <w:rPr>
          <w:b w:val="0"/>
        </w:rPr>
        <w:t xml:space="preserve"> </w:t>
      </w:r>
    </w:p>
    <w:p w14:paraId="66A052AF" w14:textId="77777777" w:rsidR="007A48D1" w:rsidRDefault="00CA6E27">
      <w:pPr>
        <w:pStyle w:val="ListBullet"/>
      </w:pPr>
      <w:r w:rsidRPr="00CA6E27">
        <w:rPr>
          <w:bCs/>
        </w:rPr>
        <w:t>VistA</w:t>
      </w:r>
      <w:r w:rsidR="002A21AE">
        <w:t xml:space="preserve"> tests are defined </w:t>
      </w:r>
      <w:r w:rsidR="007A48D1">
        <w:t>in Transfusion Effectiveness.</w:t>
      </w:r>
    </w:p>
    <w:p w14:paraId="2F90EF53" w14:textId="77777777" w:rsidR="002A21AE" w:rsidRDefault="007A48D1">
      <w:pPr>
        <w:pStyle w:val="ListBullet"/>
      </w:pPr>
      <w:r>
        <w:t>Th</w:t>
      </w:r>
      <w:r w:rsidR="002A21AE">
        <w:t xml:space="preserve">e connection to </w:t>
      </w:r>
      <w:r w:rsidR="00CA6E27" w:rsidRPr="00CA6E27">
        <w:rPr>
          <w:bCs/>
        </w:rPr>
        <w:t>VistA</w:t>
      </w:r>
      <w:r w:rsidR="002A21AE">
        <w:t xml:space="preserve"> is active.</w:t>
      </w:r>
    </w:p>
    <w:p w14:paraId="6639FE45" w14:textId="77777777" w:rsidR="007A48D1" w:rsidRDefault="007A48D1">
      <w:pPr>
        <w:pStyle w:val="ListBullet"/>
      </w:pPr>
      <w:r>
        <w:t>Units have a status of presumed transfused or transfused for the patient.</w:t>
      </w:r>
    </w:p>
    <w:p w14:paraId="59DC82F8" w14:textId="77777777" w:rsidR="002A21AE" w:rsidRDefault="002A21AE">
      <w:pPr>
        <w:pStyle w:val="ListBullet"/>
      </w:pPr>
      <w:r>
        <w:t xml:space="preserve">Data for the report were saved in VBECS and in </w:t>
      </w:r>
      <w:r w:rsidR="00CA6E27" w:rsidRPr="00CA6E27">
        <w:rPr>
          <w:bCs/>
        </w:rPr>
        <w:t>VistA</w:t>
      </w:r>
      <w:r>
        <w:t>.</w:t>
      </w:r>
    </w:p>
    <w:p w14:paraId="7B993F21" w14:textId="77777777" w:rsidR="002A21AE" w:rsidRDefault="002A21AE">
      <w:pPr>
        <w:pStyle w:val="Heading4"/>
      </w:pPr>
      <w:r>
        <w:t xml:space="preserve">Outcome </w:t>
      </w:r>
    </w:p>
    <w:p w14:paraId="4117C96D" w14:textId="77777777" w:rsidR="002A21AE" w:rsidRDefault="00AE521B">
      <w:pPr>
        <w:pStyle w:val="ListBullet"/>
      </w:pPr>
      <w:r>
        <w:t>The user views and/or prints the report</w:t>
      </w:r>
      <w:r w:rsidR="002A21AE">
        <w:t>.</w:t>
      </w:r>
    </w:p>
    <w:p w14:paraId="48973EED" w14:textId="77777777" w:rsidR="002A21AE" w:rsidRDefault="002A21AE">
      <w:pPr>
        <w:pStyle w:val="Heading4"/>
      </w:pPr>
      <w:r>
        <w:t>Limitations and Restrictions</w:t>
      </w:r>
      <w:r>
        <w:rPr>
          <w:b w:val="0"/>
        </w:rPr>
        <w:t xml:space="preserve"> </w:t>
      </w:r>
    </w:p>
    <w:p w14:paraId="6D55EC40" w14:textId="77777777" w:rsidR="002A21AE" w:rsidRDefault="002A21AE">
      <w:pPr>
        <w:pStyle w:val="ListBullet"/>
      </w:pPr>
      <w:r>
        <w:t>The report does not include VBECS diagnostic tests.</w:t>
      </w:r>
    </w:p>
    <w:p w14:paraId="14555182" w14:textId="77777777" w:rsidR="002A21AE" w:rsidRDefault="002A21AE">
      <w:pPr>
        <w:pStyle w:val="Heading4"/>
      </w:pPr>
      <w:r>
        <w:t xml:space="preserve">Additional Information </w:t>
      </w:r>
    </w:p>
    <w:p w14:paraId="28249E40" w14:textId="77777777" w:rsidR="002A21AE" w:rsidRDefault="002A21AE">
      <w:pPr>
        <w:pStyle w:val="ListBullet"/>
      </w:pPr>
      <w:r>
        <w:rPr>
          <w:rFonts w:ascii="Arial" w:hAnsi="Arial" w:cs="Arial"/>
          <w:vanish/>
          <w:spacing w:val="0"/>
          <w:sz w:val="18"/>
        </w:rPr>
        <w:t xml:space="preserve">BR_91.01 </w:t>
      </w:r>
      <w:r>
        <w:t xml:space="preserve">Only verified Laboratory test results are available from </w:t>
      </w:r>
      <w:r w:rsidR="00CA6E27" w:rsidRPr="00CA6E27">
        <w:rPr>
          <w:bCs/>
        </w:rPr>
        <w:t>VistA</w:t>
      </w:r>
      <w:r>
        <w:t xml:space="preserve">. </w:t>
      </w:r>
    </w:p>
    <w:p w14:paraId="1FD7D5AB" w14:textId="77777777" w:rsidR="002A21AE" w:rsidRDefault="002A21AE">
      <w:pPr>
        <w:pStyle w:val="ListBullet"/>
      </w:pPr>
      <w:r>
        <w:t xml:space="preserve">Laboratory test data retrieved for the report from </w:t>
      </w:r>
      <w:r w:rsidR="00CA6E27" w:rsidRPr="00CA6E27">
        <w:rPr>
          <w:bCs/>
        </w:rPr>
        <w:t>VistA</w:t>
      </w:r>
      <w:r>
        <w:t xml:space="preserve"> are not saved in VBECS. </w:t>
      </w:r>
    </w:p>
    <w:p w14:paraId="362CC17C" w14:textId="77777777" w:rsidR="002A21AE" w:rsidRDefault="002A21AE">
      <w:pPr>
        <w:pStyle w:val="ListBullet"/>
      </w:pPr>
      <w:r>
        <w:rPr>
          <w:rFonts w:ascii="Arial" w:hAnsi="Arial" w:cs="Arial"/>
          <w:vanish/>
          <w:spacing w:val="0"/>
          <w:sz w:val="18"/>
        </w:rPr>
        <w:t xml:space="preserve">BR_91.03 </w:t>
      </w:r>
      <w:r>
        <w:t>A new page is started for each patient in the report.</w:t>
      </w:r>
    </w:p>
    <w:p w14:paraId="6E078D02" w14:textId="77777777" w:rsidR="002A21AE" w:rsidRDefault="002A21AE">
      <w:pPr>
        <w:pStyle w:val="ListBullet"/>
      </w:pPr>
      <w:r>
        <w:t>Test results in the report do not include units of measure or normal ranges.</w:t>
      </w:r>
    </w:p>
    <w:p w14:paraId="32B97333" w14:textId="77777777" w:rsidR="002A21AE" w:rsidRDefault="002A21AE">
      <w:pPr>
        <w:pStyle w:val="Heading4"/>
        <w:rPr>
          <w:b w:val="0"/>
        </w:rPr>
      </w:pPr>
      <w:r>
        <w:t>User Roles with Access to This Option</w:t>
      </w:r>
      <w:r>
        <w:rPr>
          <w:b w:val="0"/>
        </w:rPr>
        <w:t xml:space="preserve"> </w:t>
      </w:r>
    </w:p>
    <w:p w14:paraId="0F852D8B" w14:textId="77777777" w:rsidR="002A21AE" w:rsidRDefault="00184EA4">
      <w:pPr>
        <w:pStyle w:val="Roles"/>
      </w:pPr>
      <w:r>
        <w:t>All users</w:t>
      </w:r>
    </w:p>
    <w:p w14:paraId="0330E1F3" w14:textId="77777777" w:rsidR="002A21AE" w:rsidRDefault="002A21AE">
      <w:pPr>
        <w:pStyle w:val="Heading4"/>
      </w:pPr>
      <w:r>
        <w:t xml:space="preserve">Transfusion Effectiveness Report </w:t>
      </w:r>
    </w:p>
    <w:p w14:paraId="0558E074" w14:textId="77777777" w:rsidR="002A21AE" w:rsidRDefault="002A21AE" w:rsidP="00FA7E65">
      <w:pPr>
        <w:pStyle w:val="BodyText"/>
      </w:pPr>
      <w:r>
        <w:t xml:space="preserve">The user views </w:t>
      </w:r>
      <w:r w:rsidR="00AF59E4">
        <w:t>and/</w:t>
      </w:r>
      <w:r>
        <w:t>or prints the Transfusion Effectiveness Report</w:t>
      </w:r>
      <w:r w:rsidR="00AF59E4">
        <w:t>, which contains transfusion episodes and Laboratory results for patients for a selected period</w:t>
      </w:r>
      <w: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32FD3511" w14:textId="77777777">
        <w:trPr>
          <w:cantSplit/>
          <w:tblHeader/>
        </w:trPr>
        <w:tc>
          <w:tcPr>
            <w:tcW w:w="3240" w:type="dxa"/>
            <w:shd w:val="pct30" w:color="auto" w:fill="FFFFFF"/>
            <w:vAlign w:val="bottom"/>
          </w:tcPr>
          <w:p w14:paraId="3DA765F6" w14:textId="77777777" w:rsidR="002A21AE" w:rsidRDefault="002A21AE">
            <w:pPr>
              <w:pStyle w:val="TableText"/>
              <w:rPr>
                <w:b/>
              </w:rPr>
            </w:pPr>
            <w:r>
              <w:rPr>
                <w:b/>
              </w:rPr>
              <w:t>User Action</w:t>
            </w:r>
          </w:p>
        </w:tc>
        <w:tc>
          <w:tcPr>
            <w:tcW w:w="6120" w:type="dxa"/>
            <w:shd w:val="pct30" w:color="auto" w:fill="FFFFFF"/>
            <w:vAlign w:val="bottom"/>
          </w:tcPr>
          <w:p w14:paraId="59FF5217" w14:textId="77777777" w:rsidR="002A21AE" w:rsidRDefault="002A21AE">
            <w:pPr>
              <w:pStyle w:val="TableText"/>
              <w:rPr>
                <w:b/>
              </w:rPr>
            </w:pPr>
            <w:r>
              <w:rPr>
                <w:b/>
              </w:rPr>
              <w:t>VBECS</w:t>
            </w:r>
          </w:p>
        </w:tc>
      </w:tr>
      <w:tr w:rsidR="002A21AE" w14:paraId="0C7E860B" w14:textId="77777777">
        <w:tc>
          <w:tcPr>
            <w:tcW w:w="3240" w:type="dxa"/>
          </w:tcPr>
          <w:p w14:paraId="36E9988E" w14:textId="77777777" w:rsidR="002A21AE" w:rsidRDefault="002A21AE">
            <w:pPr>
              <w:pStyle w:val="TableTextNumbers"/>
            </w:pPr>
            <w:r>
              <w:t xml:space="preserve">Select </w:t>
            </w:r>
            <w:r>
              <w:rPr>
                <w:b/>
              </w:rPr>
              <w:t>Reports</w:t>
            </w:r>
            <w:r>
              <w:t xml:space="preserve"> from the main menu.</w:t>
            </w:r>
          </w:p>
          <w:p w14:paraId="3A8E4F16" w14:textId="77777777" w:rsidR="002A21AE" w:rsidRDefault="002A21AE">
            <w:pPr>
              <w:pStyle w:val="TableTextNumbersContinued"/>
            </w:pPr>
          </w:p>
          <w:p w14:paraId="007CCE1F" w14:textId="77777777" w:rsidR="002A21AE" w:rsidRDefault="002A21AE">
            <w:pPr>
              <w:pStyle w:val="TableTextNumbersContinued"/>
            </w:pPr>
            <w:r>
              <w:t xml:space="preserve">Select </w:t>
            </w:r>
            <w:r>
              <w:rPr>
                <w:b/>
              </w:rPr>
              <w:t>Transfusion Effectiveness Report</w:t>
            </w:r>
            <w:r>
              <w:t>.</w:t>
            </w:r>
          </w:p>
        </w:tc>
        <w:tc>
          <w:tcPr>
            <w:tcW w:w="6120" w:type="dxa"/>
          </w:tcPr>
          <w:p w14:paraId="4EFC278B" w14:textId="77777777" w:rsidR="002A21AE" w:rsidRDefault="002A21AE">
            <w:pPr>
              <w:pStyle w:val="TableTextBullet"/>
            </w:pPr>
            <w:r>
              <w:t>Lists report names.</w:t>
            </w:r>
          </w:p>
          <w:p w14:paraId="3A85E6C0" w14:textId="77777777" w:rsidR="002A21AE" w:rsidRDefault="002A21AE">
            <w:pPr>
              <w:pStyle w:val="TableTextBullet"/>
            </w:pPr>
            <w:r>
              <w:t xml:space="preserve">Displays report compilation criteria. </w:t>
            </w:r>
          </w:p>
          <w:p w14:paraId="3DF21E3B" w14:textId="77777777" w:rsidR="002A21AE" w:rsidRDefault="002A21AE">
            <w:pPr>
              <w:pStyle w:val="TableTextBullet"/>
            </w:pPr>
            <w:r>
              <w:t>Displays a date range for selection.</w:t>
            </w:r>
          </w:p>
        </w:tc>
      </w:tr>
      <w:tr w:rsidR="002A21AE" w14:paraId="7AF6D167" w14:textId="77777777">
        <w:tc>
          <w:tcPr>
            <w:tcW w:w="3240" w:type="dxa"/>
          </w:tcPr>
          <w:p w14:paraId="6CE907D8" w14:textId="77777777" w:rsidR="002A21AE" w:rsidRDefault="002A21AE">
            <w:pPr>
              <w:pStyle w:val="TableTextNumbers"/>
            </w:pPr>
            <w:r>
              <w:t>Enter or select start and end dates.</w:t>
            </w:r>
          </w:p>
        </w:tc>
        <w:tc>
          <w:tcPr>
            <w:tcW w:w="6120" w:type="dxa"/>
          </w:tcPr>
          <w:p w14:paraId="42DEDDFB" w14:textId="77777777" w:rsidR="002A21AE" w:rsidRDefault="002A21AE">
            <w:pPr>
              <w:pStyle w:val="NotesText"/>
            </w:pPr>
          </w:p>
        </w:tc>
      </w:tr>
      <w:tr w:rsidR="002A21AE" w14:paraId="16296543" w14:textId="77777777">
        <w:tc>
          <w:tcPr>
            <w:tcW w:w="3240" w:type="dxa"/>
          </w:tcPr>
          <w:p w14:paraId="69CC59D9" w14:textId="77777777" w:rsidR="002A21AE" w:rsidRDefault="002A21AE">
            <w:pPr>
              <w:pStyle w:val="TableTextNumbers"/>
            </w:pPr>
            <w:r>
              <w:t xml:space="preserve">In the Report Type area, select the </w:t>
            </w:r>
            <w:r>
              <w:rPr>
                <w:b/>
              </w:rPr>
              <w:t>All Patients</w:t>
            </w:r>
            <w:r>
              <w:t xml:space="preserve"> </w:t>
            </w:r>
            <w:r w:rsidRPr="00BF2E41">
              <w:t>radio button</w:t>
            </w:r>
            <w:r>
              <w:t xml:space="preserve">, or </w:t>
            </w:r>
          </w:p>
          <w:p w14:paraId="5F9FB65E" w14:textId="77777777" w:rsidR="002A21AE" w:rsidRDefault="002A21AE">
            <w:pPr>
              <w:pStyle w:val="TableTextNumbersContinued"/>
            </w:pPr>
          </w:p>
          <w:p w14:paraId="0D241A81" w14:textId="77777777" w:rsidR="002A21AE" w:rsidRDefault="002A21AE">
            <w:pPr>
              <w:pStyle w:val="TableTextNumbersContinued"/>
            </w:pPr>
            <w:r>
              <w:t xml:space="preserve">Click the </w:t>
            </w:r>
            <w:r>
              <w:rPr>
                <w:b/>
              </w:rPr>
              <w:t xml:space="preserve">Individual Patient Report </w:t>
            </w:r>
            <w:r w:rsidRPr="00ED1C1B">
              <w:t>radio</w:t>
            </w:r>
            <w:r>
              <w:rPr>
                <w:b/>
              </w:rPr>
              <w:t xml:space="preserve"> </w:t>
            </w:r>
            <w:r w:rsidRPr="00BF2E41">
              <w:t>button</w:t>
            </w:r>
            <w:r>
              <w:t xml:space="preserve"> and the </w:t>
            </w:r>
            <w:r w:rsidR="00A6373D" w:rsidRPr="00945BF5">
              <w:rPr>
                <w:b/>
              </w:rPr>
              <w:t>find</w:t>
            </w:r>
            <w:r>
              <w:rPr>
                <w:b/>
              </w:rPr>
              <w:t xml:space="preserve"> </w:t>
            </w:r>
            <w:r w:rsidRPr="00BF2E41">
              <w:t>button</w:t>
            </w:r>
            <w:r>
              <w:rPr>
                <w:b/>
              </w:rPr>
              <w:t xml:space="preserve"> </w:t>
            </w:r>
            <w:r>
              <w:t>to search for a patient.</w:t>
            </w:r>
          </w:p>
        </w:tc>
        <w:tc>
          <w:tcPr>
            <w:tcW w:w="6120" w:type="dxa"/>
          </w:tcPr>
          <w:p w14:paraId="3D197EFC" w14:textId="77777777" w:rsidR="002A21AE" w:rsidRDefault="002A21AE">
            <w:pPr>
              <w:pStyle w:val="TableTextBullet"/>
            </w:pPr>
            <w:r>
              <w:t xml:space="preserve">Compiles and displays the report. </w:t>
            </w:r>
          </w:p>
        </w:tc>
      </w:tr>
      <w:tr w:rsidR="002A21AE" w14:paraId="5C3230E4" w14:textId="77777777" w:rsidTr="00305B16">
        <w:trPr>
          <w:cantSplit/>
        </w:trPr>
        <w:tc>
          <w:tcPr>
            <w:tcW w:w="3240" w:type="dxa"/>
          </w:tcPr>
          <w:p w14:paraId="4D1E7B67"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257103DF" w14:textId="77777777" w:rsidR="002A21AE" w:rsidRDefault="002A21AE">
            <w:pPr>
              <w:pStyle w:val="TableTextNumbersContinued"/>
            </w:pPr>
          </w:p>
          <w:p w14:paraId="7BAE5999"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AB04FBF" w14:textId="77777777" w:rsidR="002A21AE" w:rsidRDefault="00F64B5C" w:rsidP="00F64B5C">
            <w:pPr>
              <w:pStyle w:val="TableTextBullet"/>
            </w:pPr>
            <w:r>
              <w:t>Compiles and displays the report.</w:t>
            </w:r>
          </w:p>
          <w:p w14:paraId="08F03452" w14:textId="77777777" w:rsidR="000566D6" w:rsidRDefault="000566D6" w:rsidP="000566D6">
            <w:pPr>
              <w:pStyle w:val="TableTextBullet"/>
              <w:numPr>
                <w:ilvl w:val="0"/>
                <w:numId w:val="0"/>
              </w:numPr>
              <w:ind w:left="288"/>
            </w:pPr>
          </w:p>
          <w:p w14:paraId="0213F0C7" w14:textId="26D06FCE" w:rsidR="000566D6" w:rsidRDefault="000566D6" w:rsidP="000566D6">
            <w:pPr>
              <w:pStyle w:val="TableText"/>
              <w:rPr>
                <w:b/>
                <w:bCs/>
                <w:szCs w:val="18"/>
              </w:rPr>
            </w:pPr>
            <w:r>
              <w:rPr>
                <w:b/>
                <w:bCs/>
                <w:szCs w:val="18"/>
              </w:rPr>
              <w:t>NOTES</w:t>
            </w:r>
          </w:p>
          <w:p w14:paraId="5208C49B" w14:textId="77777777" w:rsidR="00124A3D" w:rsidRDefault="00124A3D" w:rsidP="00AA2B2E">
            <w:pPr>
              <w:pStyle w:val="TableTextBullet"/>
              <w:numPr>
                <w:ilvl w:val="0"/>
                <w:numId w:val="0"/>
              </w:numPr>
              <w:rPr>
                <w:rFonts w:cs="Arial"/>
              </w:rPr>
            </w:pPr>
          </w:p>
          <w:p w14:paraId="356B3EA3" w14:textId="77777777" w:rsidR="00124A3D" w:rsidRPr="00EF5693" w:rsidRDefault="00124A3D" w:rsidP="00EF5693">
            <w:pPr>
              <w:pStyle w:val="TableTextBullet"/>
              <w:rPr>
                <w:rFonts w:cs="Arial"/>
              </w:rPr>
            </w:pPr>
            <w:r>
              <w:rPr>
                <w:rFonts w:cs="Arial"/>
              </w:rPr>
              <w:t>This report requires a logged on VistA user to retrieve the lab results.</w:t>
            </w:r>
            <w:r w:rsidRPr="00EF5693">
              <w:rPr>
                <w:rFonts w:cs="Arial"/>
              </w:rPr>
              <w:t xml:space="preserve"> It cannot be scheduled to print.</w:t>
            </w:r>
            <w:r w:rsidRPr="00EF5693">
              <w:rPr>
                <w:rFonts w:cs="Arial"/>
                <w:vanish/>
              </w:rPr>
              <w:t xml:space="preserve"> DR 4810</w:t>
            </w:r>
          </w:p>
          <w:p w14:paraId="6E4EB2E7" w14:textId="77777777" w:rsidR="000566D6" w:rsidRDefault="000566D6" w:rsidP="000566D6">
            <w:pPr>
              <w:pStyle w:val="TableTextBullet"/>
              <w:numPr>
                <w:ilvl w:val="0"/>
                <w:numId w:val="0"/>
              </w:numPr>
              <w:ind w:left="720"/>
            </w:pPr>
            <w:r>
              <w:rPr>
                <w:rFonts w:cs="Arial"/>
                <w:vanish/>
              </w:rPr>
              <w:t xml:space="preserve"> DR 4013</w:t>
            </w:r>
          </w:p>
        </w:tc>
      </w:tr>
      <w:tr w:rsidR="002A21AE" w14:paraId="40EB273D" w14:textId="77777777">
        <w:tc>
          <w:tcPr>
            <w:tcW w:w="3240" w:type="dxa"/>
          </w:tcPr>
          <w:p w14:paraId="0C8A871A" w14:textId="2145E954"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3F3B4B">
              <w:rPr>
                <w:rFonts w:ascii="Times New Roman" w:hAnsi="Times New Roman"/>
                <w:vanish/>
                <w:szCs w:val="18"/>
              </w:rPr>
              <w:fldChar w:fldCharType="begin"/>
            </w:r>
            <w:r w:rsidR="002A21AE" w:rsidRPr="003F3B4B">
              <w:rPr>
                <w:rFonts w:ascii="Times New Roman" w:hAnsi="Times New Roman"/>
                <w:vanish/>
                <w:szCs w:val="18"/>
              </w:rPr>
              <w:instrText xml:space="preserve"> LISTNUM \l 1 \s 0 </w:instrText>
            </w:r>
            <w:r w:rsidR="002A21AE" w:rsidRPr="003F3B4B">
              <w:rPr>
                <w:rFonts w:ascii="Times New Roman" w:hAnsi="Times New Roman"/>
                <w:vanish/>
                <w:szCs w:val="18"/>
              </w:rPr>
              <w:fldChar w:fldCharType="end"/>
            </w:r>
          </w:p>
        </w:tc>
        <w:tc>
          <w:tcPr>
            <w:tcW w:w="6120" w:type="dxa"/>
          </w:tcPr>
          <w:p w14:paraId="0EA79A66" w14:textId="77777777" w:rsidR="00D45D8C" w:rsidRDefault="00D45D8C" w:rsidP="00D45D8C">
            <w:pPr>
              <w:pStyle w:val="TableTextBullet"/>
            </w:pPr>
            <w:r>
              <w:t>If Print is selected, prints the report on the designated printer.</w:t>
            </w:r>
          </w:p>
          <w:p w14:paraId="4EDB0289" w14:textId="77777777" w:rsidR="00D45D8C" w:rsidRDefault="00D45D8C" w:rsidP="00D45D8C">
            <w:pPr>
              <w:pStyle w:val="TableTextBullet"/>
            </w:pPr>
            <w:r>
              <w:t>If Export is selected, exports the report to the designated file.</w:t>
            </w:r>
          </w:p>
          <w:p w14:paraId="396DB5FB" w14:textId="42FD268C" w:rsidR="002A21AE" w:rsidRDefault="00D45D8C" w:rsidP="00D45D8C">
            <w:pPr>
              <w:pStyle w:val="TableTextBullet"/>
            </w:pPr>
            <w:r>
              <w:t>If Close is selected, exits the report preview.</w:t>
            </w:r>
          </w:p>
        </w:tc>
      </w:tr>
    </w:tbl>
    <w:p w14:paraId="63BD5013" w14:textId="77777777" w:rsidR="002A21AE" w:rsidRDefault="002813A3">
      <w:pPr>
        <w:pStyle w:val="Heading2"/>
      </w:pPr>
      <w:r>
        <w:br w:type="page"/>
      </w:r>
      <w:bookmarkStart w:id="558" w:name="_Toc149064197"/>
      <w:r w:rsidR="002A21AE">
        <w:t>Transfusion Reaction Count Report</w:t>
      </w:r>
      <w:bookmarkEnd w:id="558"/>
      <w:r w:rsidR="002A21AE">
        <w:fldChar w:fldCharType="begin"/>
      </w:r>
      <w:r w:rsidR="002A21AE">
        <w:instrText xml:space="preserve"> XE </w:instrText>
      </w:r>
      <w:r w:rsidR="00FA7E65">
        <w:instrText>“</w:instrText>
      </w:r>
      <w:r w:rsidR="002A21AE">
        <w:instrText>Transfusion Reaction Count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UC_106</w:t>
      </w:r>
    </w:p>
    <w:p w14:paraId="70B5D64C" w14:textId="77777777" w:rsidR="002A21AE" w:rsidRDefault="002A21AE" w:rsidP="00FA7E65">
      <w:pPr>
        <w:pStyle w:val="BodyText"/>
      </w:pPr>
      <w:r>
        <w:t>The user views and</w:t>
      </w:r>
      <w:r w:rsidR="00DD0E58">
        <w:t>/or</w:t>
      </w:r>
      <w:r>
        <w:t xml:space="preserve"> prints a Transfusion Reaction Count Report.</w:t>
      </w:r>
    </w:p>
    <w:p w14:paraId="0AEB02F2" w14:textId="77777777" w:rsidR="002A21AE" w:rsidRDefault="002A21AE">
      <w:pPr>
        <w:pStyle w:val="Heading4"/>
      </w:pPr>
      <w:r>
        <w:t>Assumptions</w:t>
      </w:r>
      <w:r>
        <w:rPr>
          <w:b w:val="0"/>
        </w:rPr>
        <w:t xml:space="preserve"> </w:t>
      </w:r>
    </w:p>
    <w:p w14:paraId="74DCAF97" w14:textId="77777777" w:rsidR="002A21AE" w:rsidRDefault="002A21AE">
      <w:pPr>
        <w:pStyle w:val="ListBullet"/>
      </w:pPr>
      <w:r>
        <w:t>Data for the report were saved in VBECS.</w:t>
      </w:r>
    </w:p>
    <w:p w14:paraId="51491E1A" w14:textId="77777777" w:rsidR="002A21AE" w:rsidRDefault="002A21AE">
      <w:pPr>
        <w:pStyle w:val="Heading4"/>
      </w:pPr>
      <w:r>
        <w:t xml:space="preserve">Outcome </w:t>
      </w:r>
    </w:p>
    <w:p w14:paraId="7D14BB29" w14:textId="77777777" w:rsidR="002A21AE" w:rsidRDefault="00AE521B">
      <w:pPr>
        <w:pStyle w:val="ListBullet"/>
      </w:pPr>
      <w:r>
        <w:t>The user views and/or prints the report</w:t>
      </w:r>
      <w:r w:rsidR="002A21AE">
        <w:t>.</w:t>
      </w:r>
    </w:p>
    <w:p w14:paraId="1F5D0D6E" w14:textId="77777777" w:rsidR="002A21AE" w:rsidRDefault="002A21AE">
      <w:pPr>
        <w:pStyle w:val="Heading4"/>
        <w:rPr>
          <w:b w:val="0"/>
        </w:rPr>
      </w:pPr>
      <w:r>
        <w:t>Limitations and Restrictions</w:t>
      </w:r>
      <w:r>
        <w:rPr>
          <w:b w:val="0"/>
        </w:rPr>
        <w:t xml:space="preserve"> </w:t>
      </w:r>
    </w:p>
    <w:p w14:paraId="4FD9006A" w14:textId="7BAE3775" w:rsidR="002A21AE" w:rsidRDefault="00AC682A">
      <w:pPr>
        <w:pStyle w:val="ListBullet"/>
      </w:pPr>
      <w:r>
        <w:t xml:space="preserve">Transfusion Reactions are only included on the report if the data were entered/updated during the selected date range. This means that retrospective entry of transfusion reactions may not display in the correct date range. The recorded date of the reaction is not considered in the selection criteria. Rerun the report for a date range that includes the date the data was entered or updated. For example, if a transfusion reaction that occurred on February 28 is retrospectively entered on March 1, it will only display on a report that includes March 1 in its date range. </w:t>
      </w:r>
      <w:r w:rsidRPr="00AC682A">
        <w:rPr>
          <w:vanish/>
        </w:rPr>
        <w:t>Defect 209152</w:t>
      </w:r>
    </w:p>
    <w:p w14:paraId="52F1B8F9" w14:textId="77777777" w:rsidR="002A21AE" w:rsidRDefault="002A21AE">
      <w:pPr>
        <w:pStyle w:val="Heading4"/>
      </w:pPr>
      <w:r>
        <w:t xml:space="preserve">Additional Information </w:t>
      </w:r>
    </w:p>
    <w:p w14:paraId="1E5219D3" w14:textId="77777777" w:rsidR="00991CFE" w:rsidRDefault="00991CFE" w:rsidP="00991CFE">
      <w:pPr>
        <w:pStyle w:val="ListBullet"/>
      </w:pPr>
      <w:r>
        <w:t>The report is available as a single-division or multidivisional (all divisions) report.</w:t>
      </w:r>
    </w:p>
    <w:p w14:paraId="4EB586AC" w14:textId="03190B1E" w:rsidR="00B15891" w:rsidRDefault="00B15891" w:rsidP="004210FE">
      <w:pPr>
        <w:pStyle w:val="ListBullet"/>
      </w:pPr>
      <w:r w:rsidRPr="00B15891">
        <w:t>The report only displays text entered in the “details” field of the Finalize T</w:t>
      </w:r>
      <w:r w:rsidR="004210FE">
        <w:t xml:space="preserve">ransfusion </w:t>
      </w:r>
      <w:r w:rsidRPr="00B15891">
        <w:t>R</w:t>
      </w:r>
      <w:r w:rsidR="004210FE">
        <w:t xml:space="preserve">eaction </w:t>
      </w:r>
      <w:r w:rsidRPr="00B15891">
        <w:t>W</w:t>
      </w:r>
      <w:r w:rsidR="004210FE">
        <w:t>orkup</w:t>
      </w:r>
      <w:r w:rsidRPr="00B15891">
        <w:t xml:space="preserve"> screen. The canned comments entered are suppressed on the report.</w:t>
      </w:r>
      <w:r w:rsidR="004210FE">
        <w:t xml:space="preserve"> </w:t>
      </w:r>
      <w:r w:rsidR="004210FE" w:rsidRPr="004210FE">
        <w:t>Enter all comments in the “details” field for them to print on the report.</w:t>
      </w:r>
      <w:r w:rsidR="0045341A">
        <w:t xml:space="preserve"> </w:t>
      </w:r>
      <w:r w:rsidR="0045341A" w:rsidRPr="0045341A">
        <w:rPr>
          <w:vanish/>
        </w:rPr>
        <w:t>Defect 209792</w:t>
      </w:r>
    </w:p>
    <w:p w14:paraId="24FC5837" w14:textId="77777777" w:rsidR="002A21AE" w:rsidRDefault="002A21AE">
      <w:pPr>
        <w:pStyle w:val="Heading4"/>
        <w:tabs>
          <w:tab w:val="left" w:pos="4140"/>
        </w:tabs>
        <w:rPr>
          <w:b w:val="0"/>
        </w:rPr>
      </w:pPr>
      <w:r>
        <w:t>User Roles with Access to This Option</w:t>
      </w:r>
      <w:r>
        <w:rPr>
          <w:b w:val="0"/>
        </w:rPr>
        <w:t xml:space="preserve"> </w:t>
      </w:r>
    </w:p>
    <w:p w14:paraId="7FD106C0" w14:textId="77777777" w:rsidR="002A21AE" w:rsidRDefault="00184EA4">
      <w:pPr>
        <w:pStyle w:val="Roles"/>
      </w:pPr>
      <w:r>
        <w:t>All users</w:t>
      </w:r>
    </w:p>
    <w:p w14:paraId="10FCEC9D" w14:textId="77777777" w:rsidR="002A21AE" w:rsidRDefault="002A21AE">
      <w:pPr>
        <w:pStyle w:val="Heading4"/>
      </w:pPr>
      <w:bookmarkStart w:id="559" w:name="_Hlk523065871"/>
      <w:r>
        <w:t>Transfusion Reaction Count Report</w:t>
      </w:r>
    </w:p>
    <w:bookmarkEnd w:id="559"/>
    <w:p w14:paraId="520DF610" w14:textId="77777777" w:rsidR="002A21AE" w:rsidRDefault="002A21AE" w:rsidP="00FA7E65">
      <w:pPr>
        <w:pStyle w:val="BodyText"/>
      </w:pPr>
      <w:r>
        <w:t>The user views and/or prints the Transfusion Reaction Count Report for a single division or for all divisions in the database.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17388305" w14:textId="77777777">
        <w:trPr>
          <w:cantSplit/>
          <w:tblHeader/>
        </w:trPr>
        <w:tc>
          <w:tcPr>
            <w:tcW w:w="3240" w:type="dxa"/>
            <w:shd w:val="pct30" w:color="auto" w:fill="FFFFFF"/>
            <w:vAlign w:val="bottom"/>
          </w:tcPr>
          <w:p w14:paraId="7CA59209" w14:textId="77777777" w:rsidR="002A21AE" w:rsidRDefault="002A21AE">
            <w:pPr>
              <w:pStyle w:val="TableText"/>
              <w:rPr>
                <w:b/>
              </w:rPr>
            </w:pPr>
            <w:r>
              <w:rPr>
                <w:b/>
              </w:rPr>
              <w:t>User Action</w:t>
            </w:r>
          </w:p>
        </w:tc>
        <w:tc>
          <w:tcPr>
            <w:tcW w:w="6120" w:type="dxa"/>
            <w:shd w:val="pct30" w:color="auto" w:fill="FFFFFF"/>
            <w:vAlign w:val="bottom"/>
          </w:tcPr>
          <w:p w14:paraId="76E05562" w14:textId="77777777" w:rsidR="002A21AE" w:rsidRDefault="002A21AE">
            <w:pPr>
              <w:pStyle w:val="TableText"/>
              <w:rPr>
                <w:b/>
              </w:rPr>
            </w:pPr>
            <w:r>
              <w:rPr>
                <w:b/>
              </w:rPr>
              <w:t>VBECS</w:t>
            </w:r>
          </w:p>
        </w:tc>
      </w:tr>
      <w:tr w:rsidR="002A21AE" w14:paraId="5DAD6685" w14:textId="77777777">
        <w:tc>
          <w:tcPr>
            <w:tcW w:w="3240" w:type="dxa"/>
          </w:tcPr>
          <w:p w14:paraId="6E071860" w14:textId="77777777" w:rsidR="002A21AE" w:rsidRDefault="002A21AE">
            <w:pPr>
              <w:pStyle w:val="TableTextNumbers"/>
            </w:pPr>
            <w:r>
              <w:t xml:space="preserve">Select </w:t>
            </w:r>
            <w:r>
              <w:rPr>
                <w:b/>
              </w:rPr>
              <w:t>Reports</w:t>
            </w:r>
            <w:r>
              <w:t xml:space="preserve"> from the main menu.</w:t>
            </w:r>
          </w:p>
          <w:p w14:paraId="213F189B" w14:textId="77777777" w:rsidR="002A21AE" w:rsidRDefault="002A21AE">
            <w:pPr>
              <w:pStyle w:val="TableTextNumbersContinued"/>
            </w:pPr>
          </w:p>
          <w:p w14:paraId="0C9FC45C" w14:textId="77777777" w:rsidR="002A21AE" w:rsidRDefault="002A21AE">
            <w:pPr>
              <w:pStyle w:val="TableTextNumbersContinued"/>
            </w:pPr>
            <w:r>
              <w:t xml:space="preserve">Select </w:t>
            </w:r>
            <w:r>
              <w:rPr>
                <w:b/>
              </w:rPr>
              <w:t>Transfusion Reaction Count Report</w:t>
            </w:r>
            <w:r>
              <w:t>.</w:t>
            </w:r>
          </w:p>
        </w:tc>
        <w:tc>
          <w:tcPr>
            <w:tcW w:w="6120" w:type="dxa"/>
          </w:tcPr>
          <w:p w14:paraId="683CACED" w14:textId="77777777" w:rsidR="002A21AE" w:rsidRDefault="002A21AE">
            <w:pPr>
              <w:pStyle w:val="TableTextBullet"/>
            </w:pPr>
            <w:r>
              <w:t>Lists report names.</w:t>
            </w:r>
          </w:p>
          <w:p w14:paraId="7AC2E014" w14:textId="77777777" w:rsidR="002A21AE" w:rsidRDefault="002A21AE">
            <w:pPr>
              <w:pStyle w:val="TableTextBullet"/>
            </w:pPr>
            <w:r>
              <w:t xml:space="preserve">Displays report division, format, and compilation criteria. </w:t>
            </w:r>
          </w:p>
          <w:p w14:paraId="211B5342" w14:textId="77777777" w:rsidR="002A21AE" w:rsidRDefault="002A21AE">
            <w:pPr>
              <w:pStyle w:val="TableText"/>
            </w:pPr>
          </w:p>
          <w:p w14:paraId="3055C559" w14:textId="255E05FB" w:rsidR="002A21AE" w:rsidRDefault="002A21AE">
            <w:pPr>
              <w:pStyle w:val="TableText"/>
              <w:rPr>
                <w:b/>
                <w:bCs/>
                <w:szCs w:val="18"/>
              </w:rPr>
            </w:pPr>
            <w:r>
              <w:rPr>
                <w:b/>
                <w:bCs/>
                <w:szCs w:val="18"/>
              </w:rPr>
              <w:t>NOTES</w:t>
            </w:r>
          </w:p>
          <w:p w14:paraId="6580ADEA" w14:textId="77777777" w:rsidR="002A21AE" w:rsidRDefault="002A21AE">
            <w:pPr>
              <w:pStyle w:val="NotesText"/>
            </w:pPr>
          </w:p>
          <w:p w14:paraId="149CC7E5" w14:textId="77777777" w:rsidR="002A21AE" w:rsidRDefault="002A21AE">
            <w:pPr>
              <w:pStyle w:val="NotesText"/>
            </w:pPr>
            <w:r>
              <w:rPr>
                <w:rFonts w:cs="Arial"/>
                <w:vanish/>
              </w:rPr>
              <w:t xml:space="preserve">BR_106.01 </w:t>
            </w:r>
            <w:bookmarkStart w:id="560" w:name="_Hlk523065851"/>
            <w:r>
              <w:t>The report includes transfusion reactions that are ordered, pending, completed, or finalized</w:t>
            </w:r>
            <w:r w:rsidR="00AF0CB8">
              <w:t>, and those indicated during Post-Transfusion Information.</w:t>
            </w:r>
            <w:bookmarkEnd w:id="560"/>
          </w:p>
        </w:tc>
      </w:tr>
      <w:tr w:rsidR="002A21AE" w14:paraId="0E60BDDA" w14:textId="77777777">
        <w:tc>
          <w:tcPr>
            <w:tcW w:w="3240" w:type="dxa"/>
          </w:tcPr>
          <w:p w14:paraId="6042DD59" w14:textId="77777777" w:rsidR="002A21AE" w:rsidRDefault="002A21AE">
            <w:pPr>
              <w:pStyle w:val="TableTextNumbers"/>
            </w:pPr>
            <w:r>
              <w:t>Enter or select start and end dates.</w:t>
            </w:r>
          </w:p>
        </w:tc>
        <w:tc>
          <w:tcPr>
            <w:tcW w:w="6120" w:type="dxa"/>
          </w:tcPr>
          <w:p w14:paraId="003281CB" w14:textId="77777777" w:rsidR="002A21AE" w:rsidRDefault="002A21AE">
            <w:pPr>
              <w:pStyle w:val="TableTextBullet"/>
            </w:pPr>
            <w:r>
              <w:t>Compiles and displays the report.</w:t>
            </w:r>
          </w:p>
          <w:p w14:paraId="2CA9EFC9" w14:textId="77777777" w:rsidR="002A21AE" w:rsidRDefault="002A21AE">
            <w:pPr>
              <w:pStyle w:val="TableTextBullet"/>
            </w:pPr>
            <w:r>
              <w:t>Allows the user to print the report.</w:t>
            </w:r>
          </w:p>
        </w:tc>
      </w:tr>
      <w:tr w:rsidR="002A21AE" w14:paraId="2EEF4632" w14:textId="77777777" w:rsidTr="00305B16">
        <w:trPr>
          <w:cantSplit/>
        </w:trPr>
        <w:tc>
          <w:tcPr>
            <w:tcW w:w="3240" w:type="dxa"/>
          </w:tcPr>
          <w:p w14:paraId="30600F2A" w14:textId="77777777" w:rsidR="002A21AE" w:rsidRDefault="002A21AE">
            <w:pPr>
              <w:pStyle w:val="TableTextNumbers"/>
            </w:pPr>
            <w:r>
              <w:t xml:space="preserve">Click the </w:t>
            </w:r>
            <w:r>
              <w:rPr>
                <w:b/>
              </w:rPr>
              <w:t xml:space="preserve">Current Divisions </w:t>
            </w:r>
            <w:r>
              <w:t>or</w:t>
            </w:r>
            <w:r>
              <w:rPr>
                <w:b/>
              </w:rPr>
              <w:t xml:space="preserve"> All Divisions </w:t>
            </w:r>
            <w:r w:rsidRPr="00BF2E41">
              <w:t>radio button</w:t>
            </w:r>
            <w:r>
              <w:t>.</w:t>
            </w:r>
          </w:p>
        </w:tc>
        <w:tc>
          <w:tcPr>
            <w:tcW w:w="6120" w:type="dxa"/>
          </w:tcPr>
          <w:p w14:paraId="70329639" w14:textId="77777777" w:rsidR="002A21AE" w:rsidRDefault="002A21AE">
            <w:pPr>
              <w:pStyle w:val="TableTextBullet"/>
            </w:pPr>
            <w:r>
              <w:t>Allows the user to select one or all divisions.</w:t>
            </w:r>
          </w:p>
          <w:p w14:paraId="5FB9EBFC" w14:textId="77777777" w:rsidR="002A21AE" w:rsidRDefault="002A21AE">
            <w:pPr>
              <w:pStyle w:val="TableTextBullet"/>
            </w:pPr>
            <w:r>
              <w:t>Displays a date range for selection.</w:t>
            </w:r>
          </w:p>
          <w:p w14:paraId="7A9F164F" w14:textId="77777777" w:rsidR="002A21AE" w:rsidRDefault="002A21AE">
            <w:pPr>
              <w:pStyle w:val="TableText"/>
              <w:rPr>
                <w:b/>
                <w:bCs/>
                <w:szCs w:val="18"/>
              </w:rPr>
            </w:pPr>
          </w:p>
          <w:p w14:paraId="4427C6E4" w14:textId="2318475A" w:rsidR="002A21AE" w:rsidRDefault="002A21AE">
            <w:pPr>
              <w:pStyle w:val="TableText"/>
              <w:rPr>
                <w:b/>
                <w:bCs/>
                <w:szCs w:val="18"/>
              </w:rPr>
            </w:pPr>
            <w:r>
              <w:rPr>
                <w:b/>
                <w:bCs/>
                <w:szCs w:val="18"/>
              </w:rPr>
              <w:t>NOTES</w:t>
            </w:r>
          </w:p>
          <w:p w14:paraId="4505EBC6" w14:textId="77777777" w:rsidR="002A21AE" w:rsidRDefault="002A21AE">
            <w:pPr>
              <w:pStyle w:val="NotesText"/>
            </w:pPr>
          </w:p>
          <w:p w14:paraId="0F32E7B2" w14:textId="77777777" w:rsidR="002A21AE" w:rsidRDefault="002A21AE">
            <w:pPr>
              <w:pStyle w:val="NotesText"/>
            </w:pPr>
            <w:r>
              <w:rPr>
                <w:rFonts w:cs="Arial"/>
                <w:vanish/>
              </w:rPr>
              <w:t xml:space="preserve">BR_106.03 </w:t>
            </w:r>
            <w:r>
              <w:t>The Transfusion Reaction Count Report by type includes specific patient information indicated by the user. The default report setting excludes patient names.</w:t>
            </w:r>
          </w:p>
        </w:tc>
      </w:tr>
      <w:tr w:rsidR="002A21AE" w14:paraId="137C388E" w14:textId="77777777">
        <w:tc>
          <w:tcPr>
            <w:tcW w:w="3240" w:type="dxa"/>
          </w:tcPr>
          <w:p w14:paraId="2C64BE49" w14:textId="77777777" w:rsidR="002A21AE" w:rsidRDefault="002A21AE">
            <w:pPr>
              <w:pStyle w:val="TableTextNumbers"/>
            </w:pPr>
            <w:r>
              <w:t xml:space="preserve">Click the </w:t>
            </w:r>
            <w:r>
              <w:rPr>
                <w:b/>
              </w:rPr>
              <w:t xml:space="preserve">Detailed Report </w:t>
            </w:r>
            <w:r>
              <w:t>or</w:t>
            </w:r>
            <w:r>
              <w:rPr>
                <w:b/>
              </w:rPr>
              <w:t xml:space="preserve"> Summary Report </w:t>
            </w:r>
            <w:r w:rsidRPr="00BF2E41">
              <w:t>radio button</w:t>
            </w:r>
            <w:r>
              <w:t>.</w:t>
            </w:r>
          </w:p>
        </w:tc>
        <w:tc>
          <w:tcPr>
            <w:tcW w:w="6120" w:type="dxa"/>
          </w:tcPr>
          <w:p w14:paraId="2FE4D35B" w14:textId="77777777" w:rsidR="002A21AE" w:rsidRDefault="002A21AE">
            <w:pPr>
              <w:pStyle w:val="TableTextBullet"/>
            </w:pPr>
            <w:r>
              <w:t>Displays an option to compile the report as detailed or summary.</w:t>
            </w:r>
          </w:p>
          <w:p w14:paraId="788D25EB" w14:textId="77777777" w:rsidR="002A21AE" w:rsidRDefault="002A21AE">
            <w:pPr>
              <w:pStyle w:val="TableTextBullet"/>
            </w:pPr>
            <w:r>
              <w:t>Compiles and displays the report.</w:t>
            </w:r>
          </w:p>
          <w:p w14:paraId="59F49CBC" w14:textId="77777777" w:rsidR="002A21AE" w:rsidRDefault="002A21AE">
            <w:pPr>
              <w:pStyle w:val="TableTextBullet"/>
            </w:pPr>
            <w:r>
              <w:t xml:space="preserve">Allows the user to print the report. </w:t>
            </w:r>
          </w:p>
          <w:p w14:paraId="182DB596" w14:textId="77777777" w:rsidR="002A21AE" w:rsidRDefault="002A21AE">
            <w:pPr>
              <w:pStyle w:val="TableText"/>
            </w:pPr>
          </w:p>
          <w:p w14:paraId="2C9BF470" w14:textId="75760103" w:rsidR="002A21AE" w:rsidRDefault="002A21AE">
            <w:pPr>
              <w:pStyle w:val="TableText"/>
              <w:rPr>
                <w:b/>
                <w:bCs/>
                <w:szCs w:val="18"/>
              </w:rPr>
            </w:pPr>
            <w:r>
              <w:rPr>
                <w:b/>
                <w:bCs/>
                <w:szCs w:val="18"/>
              </w:rPr>
              <w:t>NOTES</w:t>
            </w:r>
          </w:p>
          <w:p w14:paraId="75FD4852" w14:textId="77777777" w:rsidR="002A21AE" w:rsidRDefault="002A21AE">
            <w:pPr>
              <w:pStyle w:val="NotesText"/>
            </w:pPr>
          </w:p>
          <w:p w14:paraId="10CC779D" w14:textId="77777777" w:rsidR="002A21AE" w:rsidRDefault="002A21AE">
            <w:pPr>
              <w:pStyle w:val="NotesText"/>
            </w:pPr>
            <w:r>
              <w:rPr>
                <w:rFonts w:cs="Arial"/>
                <w:vanish/>
              </w:rPr>
              <w:t xml:space="preserve">BR_106.04 </w:t>
            </w:r>
            <w:r>
              <w:t>The Transfusion Reaction Count Report prints the implicated unit numbers or “no implicated units,” as appropriate.</w:t>
            </w:r>
          </w:p>
          <w:p w14:paraId="0F158566" w14:textId="77777777" w:rsidR="002A21AE" w:rsidRDefault="002A21AE">
            <w:pPr>
              <w:pStyle w:val="NotesText"/>
            </w:pPr>
          </w:p>
          <w:p w14:paraId="47AB58D8" w14:textId="77777777" w:rsidR="002A21AE" w:rsidRDefault="002A21AE" w:rsidP="0053173B">
            <w:pPr>
              <w:pStyle w:val="NotesText"/>
            </w:pPr>
            <w:r>
              <w:rPr>
                <w:rFonts w:cs="Arial"/>
                <w:vanish/>
              </w:rPr>
              <w:t xml:space="preserve">BR_106.06 </w:t>
            </w:r>
            <w:r>
              <w:t>VBECS reports the total number of patient transfusion reactions in the selected date range.</w:t>
            </w:r>
          </w:p>
        </w:tc>
      </w:tr>
      <w:tr w:rsidR="002A21AE" w14:paraId="1B7171DA" w14:textId="77777777">
        <w:tc>
          <w:tcPr>
            <w:tcW w:w="3240" w:type="dxa"/>
          </w:tcPr>
          <w:p w14:paraId="1F924A26" w14:textId="77777777" w:rsidR="002A21AE" w:rsidRDefault="002A21AE">
            <w:pPr>
              <w:pStyle w:val="TableTextNumbers"/>
            </w:pPr>
            <w:r>
              <w:t xml:space="preserve">In the Report Compilation area, click the </w:t>
            </w:r>
            <w:r>
              <w:rPr>
                <w:b/>
              </w:rPr>
              <w:t xml:space="preserve">Create Report Now </w:t>
            </w:r>
            <w:r w:rsidRPr="00BF2E41">
              <w:t>radio button</w:t>
            </w:r>
            <w:r>
              <w:t xml:space="preserve">. Click </w:t>
            </w:r>
            <w:r>
              <w:rPr>
                <w:b/>
              </w:rPr>
              <w:t>OK</w:t>
            </w:r>
            <w:r>
              <w:t xml:space="preserve"> to view the report, or</w:t>
            </w:r>
          </w:p>
          <w:p w14:paraId="4A334DE0" w14:textId="77777777" w:rsidR="002A21AE" w:rsidRDefault="002A21AE">
            <w:pPr>
              <w:pStyle w:val="TableTextNumbersContinued"/>
              <w:rPr>
                <w:b/>
                <w:bCs/>
              </w:rPr>
            </w:pPr>
          </w:p>
          <w:p w14:paraId="2D3F5B73"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 or click </w:t>
            </w:r>
            <w:r>
              <w:rPr>
                <w:b/>
              </w:rPr>
              <w:t>Close</w:t>
            </w:r>
            <w:r>
              <w:t xml:space="preserve"> to exit without printing.</w:t>
            </w:r>
            <w:r>
              <w:rPr>
                <w:color w:val="FFFFFF"/>
              </w:rPr>
              <w:t xml:space="preserve"> </w:t>
            </w:r>
          </w:p>
        </w:tc>
        <w:tc>
          <w:tcPr>
            <w:tcW w:w="6120" w:type="dxa"/>
          </w:tcPr>
          <w:p w14:paraId="72A412C8" w14:textId="77777777" w:rsidR="000566D6" w:rsidRDefault="00F64B5C" w:rsidP="00AA2B2E">
            <w:pPr>
              <w:pStyle w:val="TableTextBullet"/>
            </w:pPr>
            <w:r>
              <w:t>Compiles and displays the report.</w:t>
            </w:r>
          </w:p>
        </w:tc>
      </w:tr>
      <w:tr w:rsidR="00F64B5C" w14:paraId="4C498BDE" w14:textId="77777777">
        <w:tc>
          <w:tcPr>
            <w:tcW w:w="3240" w:type="dxa"/>
            <w:tcBorders>
              <w:top w:val="single" w:sz="4" w:space="0" w:color="auto"/>
              <w:left w:val="single" w:sz="4" w:space="0" w:color="auto"/>
              <w:bottom w:val="single" w:sz="4" w:space="0" w:color="auto"/>
              <w:right w:val="single" w:sz="4" w:space="0" w:color="auto"/>
            </w:tcBorders>
          </w:tcPr>
          <w:p w14:paraId="6A2980F3" w14:textId="63F94923" w:rsidR="00F64B5C" w:rsidRDefault="00D45D8C" w:rsidP="007E0D91">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F64B5C" w:rsidRPr="00200B6D">
              <w:rPr>
                <w:vanish/>
                <w:szCs w:val="18"/>
              </w:rPr>
              <w:t xml:space="preserve"> </w:t>
            </w:r>
            <w:r w:rsidR="00F64B5C" w:rsidRPr="00200B6D">
              <w:rPr>
                <w:vanish/>
                <w:szCs w:val="18"/>
              </w:rPr>
              <w:fldChar w:fldCharType="begin"/>
            </w:r>
            <w:r w:rsidR="00F64B5C" w:rsidRPr="00200B6D">
              <w:rPr>
                <w:vanish/>
                <w:szCs w:val="18"/>
              </w:rPr>
              <w:instrText xml:space="preserve"> LISTNUM \l 1 \s 0 </w:instrText>
            </w:r>
            <w:r w:rsidR="00F64B5C" w:rsidRPr="00200B6D">
              <w:rPr>
                <w:vanish/>
                <w:szCs w:val="18"/>
              </w:rPr>
              <w:fldChar w:fldCharType="end"/>
            </w:r>
          </w:p>
        </w:tc>
        <w:tc>
          <w:tcPr>
            <w:tcW w:w="6120" w:type="dxa"/>
            <w:tcBorders>
              <w:top w:val="single" w:sz="4" w:space="0" w:color="auto"/>
              <w:left w:val="single" w:sz="4" w:space="0" w:color="auto"/>
              <w:bottom w:val="single" w:sz="4" w:space="0" w:color="auto"/>
              <w:right w:val="single" w:sz="4" w:space="0" w:color="auto"/>
            </w:tcBorders>
          </w:tcPr>
          <w:p w14:paraId="151E0E21" w14:textId="77777777" w:rsidR="00D45D8C" w:rsidRDefault="00D45D8C" w:rsidP="00D45D8C">
            <w:pPr>
              <w:pStyle w:val="TableTextBullet"/>
            </w:pPr>
            <w:r>
              <w:t>If Print is selected, prints the report on the designated printer.</w:t>
            </w:r>
          </w:p>
          <w:p w14:paraId="3D10BE76" w14:textId="77777777" w:rsidR="00D45D8C" w:rsidRDefault="00D45D8C" w:rsidP="00D45D8C">
            <w:pPr>
              <w:pStyle w:val="TableTextBullet"/>
            </w:pPr>
            <w:r>
              <w:t>If Export is selected, exports the report to the designated file.</w:t>
            </w:r>
          </w:p>
          <w:p w14:paraId="5544D26D" w14:textId="466790BB" w:rsidR="00F64B5C" w:rsidRDefault="00D45D8C" w:rsidP="00D45D8C">
            <w:pPr>
              <w:pStyle w:val="TableTextBullet"/>
            </w:pPr>
            <w:r>
              <w:t>If Close is selected, exits the report preview.</w:t>
            </w:r>
          </w:p>
        </w:tc>
      </w:tr>
    </w:tbl>
    <w:p w14:paraId="3C6656EA" w14:textId="77777777" w:rsidR="002A21AE" w:rsidRDefault="002813A3">
      <w:pPr>
        <w:pStyle w:val="Heading2"/>
      </w:pPr>
      <w:r>
        <w:br w:type="page"/>
      </w:r>
      <w:bookmarkStart w:id="561" w:name="_Toc149064198"/>
      <w:r w:rsidR="002A21AE">
        <w:t>Transfusion Requirements Report</w:t>
      </w:r>
      <w:bookmarkEnd w:id="561"/>
      <w:r w:rsidR="002A21AE">
        <w:fldChar w:fldCharType="begin"/>
      </w:r>
      <w:r w:rsidR="002A21AE">
        <w:instrText xml:space="preserve"> XE </w:instrText>
      </w:r>
      <w:r w:rsidR="00FA7E65">
        <w:instrText>“</w:instrText>
      </w:r>
      <w:r w:rsidR="002A21AE">
        <w:instrText>Transfusion Requirements Report</w:instrText>
      </w:r>
      <w:r w:rsidR="00FA7E65">
        <w:instrText>”</w:instrText>
      </w:r>
      <w:r w:rsidR="002A21AE">
        <w:instrText xml:space="preserve"> </w:instrText>
      </w:r>
      <w:r w:rsidR="002A21AE">
        <w:fldChar w:fldCharType="end"/>
      </w:r>
      <w:r w:rsidR="002A21AE">
        <w:t xml:space="preserve"> </w:t>
      </w:r>
      <w:r w:rsidR="002A21AE">
        <w:rPr>
          <w:rFonts w:ascii="Times New Roman" w:hAnsi="Times New Roman" w:cs="Times New Roman"/>
          <w:b w:val="0"/>
          <w:i w:val="0"/>
          <w:vanish/>
          <w:sz w:val="22"/>
        </w:rPr>
        <w:t>UC_89</w:t>
      </w:r>
    </w:p>
    <w:p w14:paraId="3D212CAB" w14:textId="77777777" w:rsidR="002A21AE" w:rsidRDefault="002A21AE" w:rsidP="00FA7E65">
      <w:pPr>
        <w:pStyle w:val="BodyText"/>
      </w:pPr>
      <w:r>
        <w:t xml:space="preserve">The user views </w:t>
      </w:r>
      <w:r w:rsidR="00EB1E5A">
        <w:t xml:space="preserve">and/or </w:t>
      </w:r>
      <w:r>
        <w:t xml:space="preserve">prints a Transfusion Requirements Report. </w:t>
      </w:r>
    </w:p>
    <w:p w14:paraId="3CBB77E9" w14:textId="77777777" w:rsidR="002A21AE" w:rsidRDefault="002A21AE">
      <w:pPr>
        <w:pStyle w:val="Heading4"/>
      </w:pPr>
      <w:r>
        <w:t>Assumptions</w:t>
      </w:r>
      <w:r>
        <w:rPr>
          <w:b w:val="0"/>
        </w:rPr>
        <w:t xml:space="preserve"> </w:t>
      </w:r>
    </w:p>
    <w:p w14:paraId="7EF3ECAC" w14:textId="77777777" w:rsidR="002A21AE" w:rsidRDefault="002A21AE">
      <w:pPr>
        <w:pStyle w:val="ListBullet"/>
      </w:pPr>
      <w:r>
        <w:t xml:space="preserve">The database conversion of </w:t>
      </w:r>
      <w:r w:rsidR="00CA6E27" w:rsidRPr="00CA6E27">
        <w:rPr>
          <w:bCs/>
        </w:rPr>
        <w:t>VistA</w:t>
      </w:r>
      <w:r>
        <w:t xml:space="preserve"> patient files is complete.</w:t>
      </w:r>
    </w:p>
    <w:p w14:paraId="6ECB8A2D" w14:textId="77777777" w:rsidR="002A21AE" w:rsidRDefault="002A21AE">
      <w:pPr>
        <w:pStyle w:val="ListBullet"/>
      </w:pPr>
      <w:r>
        <w:t>Data for the report were saved in VBECS.</w:t>
      </w:r>
    </w:p>
    <w:p w14:paraId="1180DEC1" w14:textId="77777777" w:rsidR="002A21AE" w:rsidRDefault="002A21AE">
      <w:pPr>
        <w:pStyle w:val="Heading4"/>
      </w:pPr>
      <w:r>
        <w:t xml:space="preserve">Outcome </w:t>
      </w:r>
    </w:p>
    <w:p w14:paraId="17EE5613" w14:textId="77777777" w:rsidR="002A21AE" w:rsidRDefault="00AE521B">
      <w:pPr>
        <w:pStyle w:val="ListBullet"/>
      </w:pPr>
      <w:r>
        <w:t>The user views and/or prints the report</w:t>
      </w:r>
      <w:r w:rsidR="002A21AE">
        <w:t>.</w:t>
      </w:r>
    </w:p>
    <w:p w14:paraId="2D68E714" w14:textId="77777777" w:rsidR="002A21AE" w:rsidRDefault="002A21AE">
      <w:pPr>
        <w:pStyle w:val="Heading4"/>
      </w:pPr>
      <w:r>
        <w:t>Limitations and Restrictions</w:t>
      </w:r>
      <w:r>
        <w:rPr>
          <w:b w:val="0"/>
        </w:rPr>
        <w:t xml:space="preserve"> </w:t>
      </w:r>
    </w:p>
    <w:p w14:paraId="2C75AB61" w14:textId="4AEEA982" w:rsidR="002A21AE" w:rsidRPr="00684625" w:rsidRDefault="002A21AE">
      <w:pPr>
        <w:pStyle w:val="ListBullet"/>
      </w:pPr>
      <w:r>
        <w:rPr>
          <w:rFonts w:ascii="Arial" w:hAnsi="Arial" w:cs="Arial"/>
          <w:vanish/>
          <w:spacing w:val="0"/>
          <w:sz w:val="18"/>
        </w:rPr>
        <w:t xml:space="preserve">BR_89.01 </w:t>
      </w:r>
      <w:r w:rsidR="00B93109" w:rsidRPr="00684625">
        <w:rPr>
          <w:spacing w:val="0"/>
        </w:rPr>
        <w:t>Deceased patient records do not appear on the report when they are generated after the patient has been marked</w:t>
      </w:r>
      <w:r w:rsidR="00DB68D8" w:rsidRPr="00684625">
        <w:rPr>
          <w:spacing w:val="0"/>
        </w:rPr>
        <w:t xml:space="preserve"> as deceased</w:t>
      </w:r>
      <w:r w:rsidR="00B93109" w:rsidRPr="00684625">
        <w:rPr>
          <w:spacing w:val="0"/>
        </w:rPr>
        <w:t xml:space="preserve"> in the VBECS database via a VistA Death Notification Update.</w:t>
      </w:r>
      <w:r w:rsidR="00DB68D8" w:rsidRPr="00684625">
        <w:rPr>
          <w:spacing w:val="0"/>
        </w:rPr>
        <w:t xml:space="preserve"> </w:t>
      </w:r>
      <w:r w:rsidR="00DB68D8" w:rsidRPr="00684625">
        <w:rPr>
          <w:vanish/>
          <w:spacing w:val="0"/>
        </w:rPr>
        <w:t>DR 5086</w:t>
      </w:r>
    </w:p>
    <w:p w14:paraId="40E9BFD6" w14:textId="32BFDF97" w:rsidR="00684625" w:rsidRDefault="00684625">
      <w:pPr>
        <w:pStyle w:val="ListBullet"/>
      </w:pPr>
      <w:r w:rsidRPr="00684625">
        <w:rPr>
          <w:spacing w:val="0"/>
        </w:rPr>
        <w:t xml:space="preserve">The cumulative report is not displaying </w:t>
      </w:r>
      <w:r w:rsidRPr="00684625">
        <w:t>all patients on file. A patient with ABO/Rh testing and no other requirement appears on the partial Transfusion Requirements report, but not on the cumulative report.</w:t>
      </w:r>
      <w:r>
        <w:t xml:space="preserve"> </w:t>
      </w:r>
      <w:r w:rsidRPr="00684625">
        <w:rPr>
          <w:vanish/>
        </w:rPr>
        <w:t>Defect 208903</w:t>
      </w:r>
    </w:p>
    <w:p w14:paraId="6BB4EAD9" w14:textId="17712B70" w:rsidR="00684625" w:rsidRPr="00684625" w:rsidRDefault="00684625">
      <w:pPr>
        <w:pStyle w:val="ListBullet"/>
      </w:pPr>
      <w:r>
        <w:t xml:space="preserve">A report printed with an end date of today or greater does not print “Partial” in the header. </w:t>
      </w:r>
      <w:r w:rsidRPr="00684625">
        <w:rPr>
          <w:vanish/>
        </w:rPr>
        <w:t>Defect 208901</w:t>
      </w:r>
    </w:p>
    <w:p w14:paraId="393C7C29" w14:textId="77777777" w:rsidR="002A21AE" w:rsidRDefault="002A21AE">
      <w:pPr>
        <w:pStyle w:val="Heading4"/>
      </w:pPr>
      <w:r>
        <w:t>Additional Information</w:t>
      </w:r>
      <w:r>
        <w:rPr>
          <w:rFonts w:ascii="Times New Roman" w:hAnsi="Times New Roman"/>
          <w:i/>
          <w:sz w:val="24"/>
        </w:rPr>
        <w:t xml:space="preserve"> </w:t>
      </w:r>
    </w:p>
    <w:p w14:paraId="6073F527" w14:textId="0BFD6913" w:rsidR="002A21AE" w:rsidRPr="00E53D6C" w:rsidRDefault="002A21AE" w:rsidP="00684625">
      <w:pPr>
        <w:pStyle w:val="ListBullet"/>
        <w:tabs>
          <w:tab w:val="clear" w:pos="648"/>
          <w:tab w:val="num" w:pos="630"/>
          <w:tab w:val="num" w:pos="720"/>
        </w:tabs>
        <w:ind w:left="720"/>
      </w:pPr>
      <w:r>
        <w:rPr>
          <w:rFonts w:ascii="Arial" w:hAnsi="Arial" w:cs="Arial"/>
          <w:vanish/>
          <w:spacing w:val="0"/>
          <w:sz w:val="18"/>
        </w:rPr>
        <w:t xml:space="preserve">BR_89.06 </w:t>
      </w:r>
      <w:r w:rsidRPr="00F32AB8">
        <w:rPr>
          <w:vanish/>
        </w:rPr>
        <w:t xml:space="preserve"> </w:t>
      </w:r>
      <w:r w:rsidR="00F32AB8" w:rsidRPr="00E53D6C">
        <w:t xml:space="preserve">A </w:t>
      </w:r>
      <w:r w:rsidRPr="00E53D6C">
        <w:t xml:space="preserve">Transfusion Requirements report is compiled </w:t>
      </w:r>
      <w:r w:rsidR="00875D04" w:rsidRPr="00E53D6C">
        <w:t xml:space="preserve">from </w:t>
      </w:r>
      <w:r w:rsidR="00F32AB8" w:rsidRPr="00E53D6C">
        <w:t xml:space="preserve">all VBECS </w:t>
      </w:r>
      <w:r w:rsidRPr="00E53D6C">
        <w:t>divisions</w:t>
      </w:r>
      <w:r w:rsidR="00F32AB8" w:rsidRPr="00E53D6C">
        <w:t xml:space="preserve"> defined in the VBECS</w:t>
      </w:r>
      <w:r w:rsidR="00684625">
        <w:t xml:space="preserve"> </w:t>
      </w:r>
      <w:r w:rsidR="00F32AB8" w:rsidRPr="00E53D6C">
        <w:t>database.</w:t>
      </w:r>
    </w:p>
    <w:p w14:paraId="5B90C537" w14:textId="77777777" w:rsidR="002A21AE" w:rsidRPr="00E53D6C" w:rsidRDefault="002A21AE">
      <w:pPr>
        <w:pStyle w:val="ListBullet"/>
        <w:tabs>
          <w:tab w:val="num" w:pos="720"/>
        </w:tabs>
        <w:ind w:left="720"/>
      </w:pPr>
      <w:r w:rsidRPr="00E53D6C">
        <w:rPr>
          <w:vanish/>
          <w:spacing w:val="0"/>
        </w:rPr>
        <w:t xml:space="preserve">BR_89.02 </w:t>
      </w:r>
      <w:r w:rsidRPr="00E53D6C">
        <w:t>VBECS does not allow a report to be printed when no data are available.</w:t>
      </w:r>
    </w:p>
    <w:p w14:paraId="5BEAA5F9" w14:textId="77777777" w:rsidR="002A21AE" w:rsidRDefault="002A21AE" w:rsidP="00E53D6C">
      <w:pPr>
        <w:pStyle w:val="ListBullet"/>
        <w:tabs>
          <w:tab w:val="clear" w:pos="648"/>
          <w:tab w:val="left" w:pos="630"/>
          <w:tab w:val="num" w:pos="720"/>
        </w:tabs>
        <w:ind w:left="720"/>
      </w:pPr>
      <w:r w:rsidRPr="00E53D6C">
        <w:rPr>
          <w:vanish/>
          <w:spacing w:val="0"/>
        </w:rPr>
        <w:t xml:space="preserve">BR_89.04 </w:t>
      </w:r>
      <w:r w:rsidRPr="00E53D6C">
        <w:t>When the date range includes a future date and time, VBECS displays “Partial” in the report header on each page of the report.</w:t>
      </w:r>
    </w:p>
    <w:p w14:paraId="6ACEF957" w14:textId="0F2F86C9" w:rsidR="00BD4462" w:rsidRPr="00E53D6C" w:rsidRDefault="00721A9D" w:rsidP="001403D9">
      <w:pPr>
        <w:pStyle w:val="ListBullet"/>
        <w:tabs>
          <w:tab w:val="clear" w:pos="648"/>
          <w:tab w:val="left" w:pos="630"/>
          <w:tab w:val="num" w:pos="720"/>
        </w:tabs>
        <w:ind w:left="720"/>
      </w:pPr>
      <w:r w:rsidRPr="00721A9D">
        <w:t xml:space="preserve">The </w:t>
      </w:r>
      <w:r>
        <w:t>“</w:t>
      </w:r>
      <w:r w:rsidRPr="00721A9D">
        <w:t>Partial</w:t>
      </w:r>
      <w:r>
        <w:t>”</w:t>
      </w:r>
      <w:r w:rsidRPr="00721A9D">
        <w:t xml:space="preserve"> format of the report does not allow scheduling to print in the future</w:t>
      </w:r>
      <w:r w:rsidR="001403D9">
        <w:t xml:space="preserve">; a full report </w:t>
      </w:r>
      <w:r w:rsidR="00571BE3">
        <w:t>will print instead.</w:t>
      </w:r>
      <w:r w:rsidR="0045341A">
        <w:t xml:space="preserve"> </w:t>
      </w:r>
      <w:r w:rsidR="0045341A" w:rsidRPr="0045341A">
        <w:rPr>
          <w:vanish/>
        </w:rPr>
        <w:t>Defect 210519</w:t>
      </w:r>
    </w:p>
    <w:p w14:paraId="6FF06BE9" w14:textId="77777777" w:rsidR="007E0D91" w:rsidRPr="00E53D6C" w:rsidRDefault="002A21AE" w:rsidP="007E0D91">
      <w:pPr>
        <w:pStyle w:val="ListBullet"/>
        <w:tabs>
          <w:tab w:val="num" w:pos="720"/>
        </w:tabs>
        <w:ind w:left="720"/>
      </w:pPr>
      <w:r w:rsidRPr="00E53D6C">
        <w:rPr>
          <w:vanish/>
          <w:spacing w:val="0"/>
        </w:rPr>
        <w:t xml:space="preserve">BR_89.05 </w:t>
      </w:r>
      <w:r w:rsidRPr="00E53D6C">
        <w:t>Each page containing patient information includes the patient name.</w:t>
      </w:r>
    </w:p>
    <w:p w14:paraId="7568AFFE" w14:textId="77777777" w:rsidR="007E0D91" w:rsidRPr="00E53D6C" w:rsidRDefault="007E0D91" w:rsidP="007E0D91">
      <w:pPr>
        <w:pStyle w:val="ListBullet"/>
        <w:tabs>
          <w:tab w:val="num" w:pos="720"/>
        </w:tabs>
        <w:ind w:left="720"/>
      </w:pPr>
      <w:r w:rsidRPr="00E53D6C">
        <w:t>Divisions in a multidivisional database may view each other’s Special Instructions (SI) comments.</w:t>
      </w:r>
    </w:p>
    <w:p w14:paraId="4C34A845" w14:textId="7E42D019" w:rsidR="00E53D6C" w:rsidRPr="00E53D6C" w:rsidRDefault="00E53D6C" w:rsidP="00E53D6C">
      <w:pPr>
        <w:pStyle w:val="ListBullet"/>
        <w:tabs>
          <w:tab w:val="clear" w:pos="648"/>
          <w:tab w:val="left" w:pos="630"/>
          <w:tab w:val="num" w:pos="720"/>
        </w:tabs>
        <w:ind w:left="720"/>
      </w:pPr>
      <w:r w:rsidRPr="00E53D6C">
        <w:t>Important transfusion related information for a patient may</w:t>
      </w:r>
      <w:r>
        <w:t xml:space="preserve"> appear on more than one page. </w:t>
      </w:r>
      <w:r w:rsidR="0045341A">
        <w:t xml:space="preserve">Always </w:t>
      </w:r>
      <w:r w:rsidRPr="00E53D6C">
        <w:t>check the next page for additional patient information.</w:t>
      </w:r>
      <w:r>
        <w:t xml:space="preserve"> </w:t>
      </w:r>
      <w:r w:rsidRPr="00E53D6C">
        <w:rPr>
          <w:vanish/>
        </w:rPr>
        <w:t>DR 5125</w:t>
      </w:r>
    </w:p>
    <w:p w14:paraId="1B2848CB" w14:textId="77777777" w:rsidR="002A21AE" w:rsidRDefault="002A21AE">
      <w:pPr>
        <w:pStyle w:val="Heading4"/>
        <w:rPr>
          <w:b w:val="0"/>
        </w:rPr>
      </w:pPr>
      <w:r>
        <w:t>User Roles with Access to This Option</w:t>
      </w:r>
      <w:r>
        <w:rPr>
          <w:b w:val="0"/>
        </w:rPr>
        <w:t xml:space="preserve"> </w:t>
      </w:r>
    </w:p>
    <w:p w14:paraId="737D5288" w14:textId="77777777" w:rsidR="002A21AE" w:rsidRDefault="00184EA4">
      <w:pPr>
        <w:pStyle w:val="Roles"/>
      </w:pPr>
      <w:r>
        <w:t>All users</w:t>
      </w:r>
    </w:p>
    <w:p w14:paraId="29D433DA" w14:textId="77777777" w:rsidR="002A21AE" w:rsidRDefault="002A21AE">
      <w:pPr>
        <w:pStyle w:val="Heading4"/>
      </w:pPr>
      <w:r>
        <w:t xml:space="preserve">Transfusion Requirements Report </w:t>
      </w:r>
    </w:p>
    <w:p w14:paraId="4CD60331" w14:textId="77777777" w:rsidR="002A21AE" w:rsidRDefault="002A21AE" w:rsidP="00FA7E65">
      <w:pPr>
        <w:pStyle w:val="BodyText"/>
      </w:pPr>
      <w:r>
        <w:t xml:space="preserve">The user views </w:t>
      </w:r>
      <w:r w:rsidR="00EB1E5A">
        <w:t xml:space="preserve">and/or </w:t>
      </w:r>
      <w:r>
        <w:t>prints the Transfusion Requirements Report</w:t>
      </w:r>
      <w:r w:rsidR="00B04E4F">
        <w:t xml:space="preserve"> for a division</w:t>
      </w:r>
      <w:r>
        <w:t>. This option describes the continuous compilation of the complete file of patients in the VBECS database</w:t>
      </w:r>
      <w:r w:rsidR="00B04E4F">
        <w:t xml:space="preserve"> for historic record checking during downtime.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620087D9" w14:textId="77777777">
        <w:trPr>
          <w:cantSplit/>
          <w:tblHeader/>
        </w:trPr>
        <w:tc>
          <w:tcPr>
            <w:tcW w:w="3240" w:type="dxa"/>
            <w:shd w:val="pct30" w:color="auto" w:fill="FFFFFF"/>
            <w:vAlign w:val="bottom"/>
          </w:tcPr>
          <w:p w14:paraId="49455634" w14:textId="77777777" w:rsidR="002A21AE" w:rsidRDefault="002A21AE">
            <w:pPr>
              <w:pStyle w:val="TableText"/>
              <w:rPr>
                <w:b/>
              </w:rPr>
            </w:pPr>
            <w:r>
              <w:rPr>
                <w:b/>
              </w:rPr>
              <w:t>User Action</w:t>
            </w:r>
          </w:p>
        </w:tc>
        <w:tc>
          <w:tcPr>
            <w:tcW w:w="6120" w:type="dxa"/>
            <w:shd w:val="pct30" w:color="auto" w:fill="FFFFFF"/>
            <w:vAlign w:val="bottom"/>
          </w:tcPr>
          <w:p w14:paraId="0408D5D9" w14:textId="77777777" w:rsidR="002A21AE" w:rsidRDefault="002A21AE">
            <w:pPr>
              <w:pStyle w:val="TableText"/>
              <w:rPr>
                <w:b/>
              </w:rPr>
            </w:pPr>
            <w:r>
              <w:rPr>
                <w:b/>
              </w:rPr>
              <w:t>VBECS</w:t>
            </w:r>
          </w:p>
        </w:tc>
      </w:tr>
      <w:tr w:rsidR="002A21AE" w14:paraId="1087BECE" w14:textId="77777777">
        <w:tc>
          <w:tcPr>
            <w:tcW w:w="3240" w:type="dxa"/>
          </w:tcPr>
          <w:p w14:paraId="49687B81" w14:textId="77777777" w:rsidR="002A21AE" w:rsidRDefault="002A21AE">
            <w:pPr>
              <w:pStyle w:val="TableTextNumbers"/>
            </w:pPr>
            <w:r>
              <w:t xml:space="preserve">Select </w:t>
            </w:r>
            <w:r>
              <w:rPr>
                <w:b/>
              </w:rPr>
              <w:t>Reports</w:t>
            </w:r>
            <w:r>
              <w:t xml:space="preserve"> from the main menu.</w:t>
            </w:r>
          </w:p>
          <w:p w14:paraId="4856DE60" w14:textId="77777777" w:rsidR="002A21AE" w:rsidRDefault="002A21AE">
            <w:pPr>
              <w:pStyle w:val="TableTextNumbersContinued"/>
            </w:pPr>
          </w:p>
          <w:p w14:paraId="479DF2E6" w14:textId="77777777" w:rsidR="002A21AE" w:rsidRDefault="002A21AE">
            <w:pPr>
              <w:pStyle w:val="TableTextNumbersContinued"/>
            </w:pPr>
            <w:r>
              <w:t xml:space="preserve">Select </w:t>
            </w:r>
            <w:r>
              <w:rPr>
                <w:b/>
              </w:rPr>
              <w:t>Transfusion Requirements Report</w:t>
            </w:r>
            <w:r>
              <w:t>.</w:t>
            </w:r>
          </w:p>
        </w:tc>
        <w:tc>
          <w:tcPr>
            <w:tcW w:w="6120" w:type="dxa"/>
          </w:tcPr>
          <w:p w14:paraId="117C3C39" w14:textId="77777777" w:rsidR="002A21AE" w:rsidRDefault="002A21AE">
            <w:pPr>
              <w:pStyle w:val="TableTextBullet"/>
            </w:pPr>
            <w:r>
              <w:t>Lists report names.</w:t>
            </w:r>
          </w:p>
          <w:p w14:paraId="661F01F0" w14:textId="77777777" w:rsidR="002A21AE" w:rsidRDefault="002A21AE">
            <w:pPr>
              <w:pStyle w:val="TableTextBullet"/>
            </w:pPr>
            <w:r>
              <w:t xml:space="preserve">Displays report compilation criteria. </w:t>
            </w:r>
          </w:p>
          <w:p w14:paraId="4E9A4CF9" w14:textId="77777777" w:rsidR="002A21AE" w:rsidRDefault="002A21AE">
            <w:pPr>
              <w:pStyle w:val="TableTextBullet"/>
            </w:pPr>
            <w:r>
              <w:t>Displays a date range for selection.</w:t>
            </w:r>
          </w:p>
        </w:tc>
      </w:tr>
      <w:tr w:rsidR="002A21AE" w14:paraId="361834BD" w14:textId="77777777">
        <w:tc>
          <w:tcPr>
            <w:tcW w:w="3240" w:type="dxa"/>
          </w:tcPr>
          <w:p w14:paraId="42AFB037" w14:textId="77777777" w:rsidR="002A21AE" w:rsidRDefault="002A21AE">
            <w:pPr>
              <w:pStyle w:val="TableTextNumbers"/>
            </w:pPr>
            <w:r>
              <w:t xml:space="preserve">In the </w:t>
            </w:r>
            <w:r w:rsidRPr="00B46EEA">
              <w:rPr>
                <w:b/>
              </w:rPr>
              <w:t>Report Type</w:t>
            </w:r>
            <w:r>
              <w:t xml:space="preserve"> area, select the </w:t>
            </w:r>
            <w:r>
              <w:rPr>
                <w:b/>
              </w:rPr>
              <w:t>Cumulative Report</w:t>
            </w:r>
            <w:r>
              <w:t xml:space="preserve"> </w:t>
            </w:r>
            <w:r w:rsidRPr="00BF2E41">
              <w:t>radio button</w:t>
            </w:r>
            <w:r>
              <w:t xml:space="preserve">, or </w:t>
            </w:r>
          </w:p>
          <w:p w14:paraId="6907FD7A" w14:textId="77777777" w:rsidR="002A21AE" w:rsidRDefault="002A21AE">
            <w:pPr>
              <w:pStyle w:val="TableTextNumbersContinued"/>
            </w:pPr>
          </w:p>
          <w:p w14:paraId="729426CE" w14:textId="77777777" w:rsidR="002A21AE" w:rsidRDefault="002A21AE">
            <w:pPr>
              <w:pStyle w:val="TableTextNumbersContinued"/>
            </w:pPr>
            <w:r>
              <w:t xml:space="preserve">Click the </w:t>
            </w:r>
            <w:r>
              <w:rPr>
                <w:b/>
              </w:rPr>
              <w:t xml:space="preserve">Partial Report </w:t>
            </w:r>
            <w:r w:rsidRPr="00BF2E41">
              <w:t>radio button</w:t>
            </w:r>
            <w:r>
              <w:t xml:space="preserve"> and enter or select start and end dates.</w:t>
            </w:r>
          </w:p>
        </w:tc>
        <w:tc>
          <w:tcPr>
            <w:tcW w:w="6120" w:type="dxa"/>
          </w:tcPr>
          <w:p w14:paraId="38A1A5D9" w14:textId="77777777" w:rsidR="00811C5F" w:rsidRDefault="002A21AE">
            <w:pPr>
              <w:pStyle w:val="TableTextBullet"/>
            </w:pPr>
            <w:r>
              <w:t>Compiles and displays the report.</w:t>
            </w:r>
          </w:p>
          <w:p w14:paraId="2C6436CC" w14:textId="77777777" w:rsidR="00811C5F" w:rsidRDefault="00811C5F" w:rsidP="00811C5F">
            <w:pPr>
              <w:pStyle w:val="TableText"/>
              <w:rPr>
                <w:b/>
                <w:bCs/>
                <w:szCs w:val="18"/>
              </w:rPr>
            </w:pPr>
          </w:p>
          <w:p w14:paraId="1B96F618" w14:textId="4B11CE92" w:rsidR="00811C5F" w:rsidRDefault="00811C5F" w:rsidP="00811C5F">
            <w:pPr>
              <w:pStyle w:val="TableText"/>
              <w:rPr>
                <w:b/>
                <w:bCs/>
                <w:szCs w:val="18"/>
              </w:rPr>
            </w:pPr>
            <w:r>
              <w:rPr>
                <w:b/>
                <w:bCs/>
                <w:szCs w:val="18"/>
              </w:rPr>
              <w:t>NOTES</w:t>
            </w:r>
          </w:p>
          <w:p w14:paraId="096BC339" w14:textId="77777777" w:rsidR="00811C5F" w:rsidRDefault="00811C5F" w:rsidP="00811C5F">
            <w:pPr>
              <w:pStyle w:val="NotesText"/>
              <w:ind w:left="0"/>
            </w:pPr>
          </w:p>
          <w:p w14:paraId="062D26A5" w14:textId="77777777" w:rsidR="00F9149B" w:rsidRPr="00DC4D3E" w:rsidRDefault="00BC7A6E" w:rsidP="00811C5F">
            <w:pPr>
              <w:pStyle w:val="NotesText"/>
            </w:pPr>
            <w:r>
              <w:t>Patients who do not have a blood type, SI, TR, or Transfusion Reaction in their VBECS record do not display on the Transfusion Requirements Report in either the Cumulative or Partial format.</w:t>
            </w:r>
            <w:r w:rsidR="00DC4D3E">
              <w:rPr>
                <w:vanish/>
              </w:rPr>
              <w:t xml:space="preserve"> DR 3356</w:t>
            </w:r>
          </w:p>
          <w:p w14:paraId="0D303F9E" w14:textId="77777777" w:rsidR="00F9149B" w:rsidRDefault="00F9149B" w:rsidP="00811C5F">
            <w:pPr>
              <w:pStyle w:val="NotesText"/>
            </w:pPr>
          </w:p>
          <w:p w14:paraId="0F05424E" w14:textId="77777777" w:rsidR="00F9149B" w:rsidRDefault="00811C5F" w:rsidP="00811C5F">
            <w:pPr>
              <w:pStyle w:val="NotesText"/>
            </w:pPr>
            <w:r>
              <w:t>The Cumulative Report displays patients that have a blood type, SI, TR</w:t>
            </w:r>
            <w:r w:rsidR="00F9149B">
              <w:t>, or Transfusion Reaction.</w:t>
            </w:r>
          </w:p>
          <w:p w14:paraId="57CD5CC3" w14:textId="77777777" w:rsidR="00F9149B" w:rsidRDefault="00F9149B" w:rsidP="00811C5F">
            <w:pPr>
              <w:pStyle w:val="NotesText"/>
            </w:pPr>
          </w:p>
          <w:p w14:paraId="7C6C880B" w14:textId="77777777" w:rsidR="00811C5F" w:rsidRDefault="00811C5F" w:rsidP="00811C5F">
            <w:pPr>
              <w:pStyle w:val="NotesText"/>
            </w:pPr>
            <w:r>
              <w:t xml:space="preserve">The Partial Report displays </w:t>
            </w:r>
            <w:r w:rsidR="00313C6B">
              <w:t>patient</w:t>
            </w:r>
            <w:r w:rsidR="00F9149B">
              <w:t>s that have a change to their VBECS record within the date range of the requested report.</w:t>
            </w:r>
          </w:p>
          <w:p w14:paraId="6AABFAB7" w14:textId="77777777" w:rsidR="00F9149B" w:rsidRDefault="00F9149B" w:rsidP="00811C5F">
            <w:pPr>
              <w:pStyle w:val="NotesText"/>
            </w:pPr>
            <w:r>
              <w:t>Changes are defined as:</w:t>
            </w:r>
          </w:p>
          <w:p w14:paraId="62BE2DE6" w14:textId="77777777" w:rsidR="00F9149B" w:rsidRDefault="00F9149B" w:rsidP="00F9149B">
            <w:pPr>
              <w:pStyle w:val="NotesTextBullet"/>
            </w:pPr>
            <w:r>
              <w:t>New order</w:t>
            </w:r>
          </w:p>
          <w:p w14:paraId="34F3AE37" w14:textId="77777777" w:rsidR="00F9149B" w:rsidRDefault="00F9149B" w:rsidP="00F9149B">
            <w:pPr>
              <w:pStyle w:val="NotesTextBullet"/>
            </w:pPr>
            <w:r>
              <w:t>Record of testing</w:t>
            </w:r>
          </w:p>
          <w:p w14:paraId="036F4FC6" w14:textId="77777777" w:rsidR="00F9149B" w:rsidRDefault="00F9149B" w:rsidP="00F9149B">
            <w:pPr>
              <w:pStyle w:val="NotesTextBullet"/>
            </w:pPr>
            <w:r>
              <w:t>Patient Update event</w:t>
            </w:r>
          </w:p>
          <w:p w14:paraId="6053FF99" w14:textId="77777777" w:rsidR="00F9149B" w:rsidRDefault="00F9149B" w:rsidP="00F9149B">
            <w:pPr>
              <w:pStyle w:val="NotesTextBullet"/>
            </w:pPr>
            <w:r>
              <w:t>New SI entered</w:t>
            </w:r>
          </w:p>
          <w:p w14:paraId="118171EB" w14:textId="77777777" w:rsidR="00F9149B" w:rsidRDefault="00F9149B" w:rsidP="00F9149B">
            <w:pPr>
              <w:pStyle w:val="NotesTextBullet"/>
            </w:pPr>
            <w:r>
              <w:t>New TR entered</w:t>
            </w:r>
          </w:p>
          <w:p w14:paraId="2DFBF5FA" w14:textId="77777777" w:rsidR="00811C5F" w:rsidRDefault="00F9149B" w:rsidP="00DC4D3E">
            <w:pPr>
              <w:pStyle w:val="NotesTextBullet"/>
            </w:pPr>
            <w:r>
              <w:t>New Transfusion Reaction entered</w:t>
            </w:r>
          </w:p>
        </w:tc>
      </w:tr>
      <w:tr w:rsidR="002A21AE" w14:paraId="0D84C894" w14:textId="77777777">
        <w:tc>
          <w:tcPr>
            <w:tcW w:w="3240" w:type="dxa"/>
          </w:tcPr>
          <w:p w14:paraId="59AC03FC" w14:textId="77777777" w:rsidR="002A21AE" w:rsidRDefault="002A21AE">
            <w:pPr>
              <w:pStyle w:val="TableTextNumbers"/>
            </w:pPr>
            <w:r>
              <w:t xml:space="preserve">In the Report Compilation area, click the </w:t>
            </w:r>
            <w:r>
              <w:rPr>
                <w:b/>
              </w:rPr>
              <w:t>Create Report Now</w:t>
            </w:r>
            <w:r>
              <w:t xml:space="preserve"> </w:t>
            </w:r>
            <w:r w:rsidRPr="00BF2E41">
              <w:t>radio button</w:t>
            </w:r>
            <w:r>
              <w:t xml:space="preserve">. Click </w:t>
            </w:r>
            <w:r>
              <w:rPr>
                <w:b/>
              </w:rPr>
              <w:t>OK</w:t>
            </w:r>
            <w:r>
              <w:t xml:space="preserve"> to view the report, or</w:t>
            </w:r>
          </w:p>
          <w:p w14:paraId="3721C5C5" w14:textId="77777777" w:rsidR="002A21AE" w:rsidRDefault="002A21AE">
            <w:pPr>
              <w:pStyle w:val="TableTextNumbersContinued"/>
            </w:pPr>
          </w:p>
          <w:p w14:paraId="25ACEDA3" w14:textId="77777777" w:rsidR="002A21AE" w:rsidRDefault="002A21AE">
            <w:pPr>
              <w:pStyle w:val="TableTextNumbersContinued"/>
            </w:pPr>
            <w:r>
              <w:t xml:space="preserve">Click the </w:t>
            </w:r>
            <w:r>
              <w:rPr>
                <w:b/>
              </w:rPr>
              <w:t>Schedule Print Job</w:t>
            </w:r>
            <w:r>
              <w:t xml:space="preserve">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76253C3C" w14:textId="77777777" w:rsidR="000566D6" w:rsidRDefault="00F64B5C" w:rsidP="00AA2B2E">
            <w:pPr>
              <w:pStyle w:val="TableTextBullet"/>
            </w:pPr>
            <w:r>
              <w:t>Compiles and displays the report.</w:t>
            </w:r>
          </w:p>
        </w:tc>
      </w:tr>
      <w:tr w:rsidR="002A21AE" w14:paraId="16EB39C0" w14:textId="77777777">
        <w:tc>
          <w:tcPr>
            <w:tcW w:w="3240" w:type="dxa"/>
          </w:tcPr>
          <w:p w14:paraId="3A0F9621" w14:textId="42382FF6" w:rsidR="002A21AE" w:rsidRDefault="00D45D8C">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r w:rsidR="002A21AE" w:rsidRPr="00200B6D">
              <w:rPr>
                <w:rFonts w:cs="Arial"/>
                <w:vanish/>
                <w:szCs w:val="18"/>
              </w:rPr>
              <w:fldChar w:fldCharType="begin"/>
            </w:r>
            <w:r w:rsidR="002A21AE" w:rsidRPr="00200B6D">
              <w:rPr>
                <w:rFonts w:cs="Arial"/>
                <w:vanish/>
                <w:szCs w:val="18"/>
              </w:rPr>
              <w:instrText xml:space="preserve"> LISTNUM \l 1 \s 0 </w:instrText>
            </w:r>
            <w:r w:rsidR="002A21AE" w:rsidRPr="00200B6D">
              <w:rPr>
                <w:rFonts w:cs="Arial"/>
                <w:vanish/>
                <w:szCs w:val="18"/>
              </w:rPr>
              <w:fldChar w:fldCharType="end"/>
            </w:r>
          </w:p>
        </w:tc>
        <w:tc>
          <w:tcPr>
            <w:tcW w:w="6120" w:type="dxa"/>
          </w:tcPr>
          <w:p w14:paraId="34F76509" w14:textId="77777777" w:rsidR="00D45D8C" w:rsidRDefault="00D45D8C" w:rsidP="00D45D8C">
            <w:pPr>
              <w:pStyle w:val="TableTextBullet"/>
            </w:pPr>
            <w:r>
              <w:t>If Print is selected, prints the report on the designated printer.</w:t>
            </w:r>
          </w:p>
          <w:p w14:paraId="11EBE29D" w14:textId="77777777" w:rsidR="00D45D8C" w:rsidRDefault="00D45D8C" w:rsidP="00D45D8C">
            <w:pPr>
              <w:pStyle w:val="TableTextBullet"/>
            </w:pPr>
            <w:r>
              <w:t>If Export is selected, exports the report to the designated file.</w:t>
            </w:r>
          </w:p>
          <w:p w14:paraId="02FF4AF5" w14:textId="21615A6F" w:rsidR="002A21AE" w:rsidRDefault="00D45D8C" w:rsidP="00D45D8C">
            <w:pPr>
              <w:pStyle w:val="TableTextBullet"/>
            </w:pPr>
            <w:r>
              <w:t>If Close is selected, exits the report preview.</w:t>
            </w:r>
          </w:p>
        </w:tc>
      </w:tr>
    </w:tbl>
    <w:p w14:paraId="59133CB0" w14:textId="77777777" w:rsidR="002A21AE" w:rsidRDefault="002A21AE">
      <w:pPr>
        <w:pStyle w:val="Heading2"/>
      </w:pPr>
      <w:r>
        <w:br w:type="page"/>
      </w:r>
      <w:bookmarkStart w:id="562" w:name="_Toc149064199"/>
      <w:r>
        <w:t>Unit History Report</w:t>
      </w:r>
      <w:bookmarkEnd w:id="562"/>
      <w:r>
        <w:fldChar w:fldCharType="begin"/>
      </w:r>
      <w:r>
        <w:instrText xml:space="preserve"> XE </w:instrText>
      </w:r>
      <w:r w:rsidR="00FA7E65">
        <w:instrText>“</w:instrText>
      </w:r>
      <w:r>
        <w:instrText>Unit History Report</w:instrText>
      </w:r>
      <w:r w:rsidR="00FA7E65">
        <w:instrText>”</w:instrText>
      </w:r>
      <w:r>
        <w:instrText xml:space="preserve"> </w:instrText>
      </w:r>
      <w:r>
        <w:fldChar w:fldCharType="end"/>
      </w:r>
      <w:r>
        <w:t xml:space="preserve"> </w:t>
      </w:r>
      <w:r>
        <w:rPr>
          <w:rFonts w:ascii="Times New Roman" w:hAnsi="Times New Roman" w:cs="Times New Roman"/>
          <w:b w:val="0"/>
          <w:i w:val="0"/>
          <w:vanish/>
          <w:sz w:val="22"/>
        </w:rPr>
        <w:t>UC_85</w:t>
      </w:r>
    </w:p>
    <w:p w14:paraId="520C16C9" w14:textId="77777777" w:rsidR="002A21AE" w:rsidRDefault="002A21AE" w:rsidP="00FA7E65">
      <w:pPr>
        <w:pStyle w:val="BodyText"/>
      </w:pPr>
      <w:r>
        <w:t xml:space="preserve">The user views </w:t>
      </w:r>
      <w:r w:rsidR="00EB1E5A">
        <w:t xml:space="preserve">and/or </w:t>
      </w:r>
      <w:r>
        <w:t xml:space="preserve">prints a Unit History Report. </w:t>
      </w:r>
    </w:p>
    <w:p w14:paraId="34D2F79C" w14:textId="77777777" w:rsidR="002A21AE" w:rsidRDefault="002A21AE">
      <w:pPr>
        <w:pStyle w:val="Heading4"/>
      </w:pPr>
      <w:r>
        <w:t>Assumptions</w:t>
      </w:r>
      <w:r>
        <w:rPr>
          <w:b w:val="0"/>
        </w:rPr>
        <w:t xml:space="preserve"> </w:t>
      </w:r>
    </w:p>
    <w:p w14:paraId="1C71E64E" w14:textId="77777777" w:rsidR="002A21AE" w:rsidRDefault="002A21AE">
      <w:pPr>
        <w:pStyle w:val="ListBullet"/>
      </w:pPr>
      <w:r>
        <w:t>The unit exists in the user’s division.</w:t>
      </w:r>
    </w:p>
    <w:p w14:paraId="589CEE83" w14:textId="77777777" w:rsidR="002A21AE" w:rsidRDefault="002A21AE">
      <w:pPr>
        <w:pStyle w:val="Heading4"/>
      </w:pPr>
      <w:r>
        <w:t xml:space="preserve">Outcome </w:t>
      </w:r>
    </w:p>
    <w:p w14:paraId="17770FED" w14:textId="77777777" w:rsidR="002A21AE" w:rsidRDefault="00AE521B">
      <w:pPr>
        <w:pStyle w:val="ListBullet"/>
      </w:pPr>
      <w:r>
        <w:t>The user views and/or prints the report</w:t>
      </w:r>
      <w:r w:rsidR="002A21AE">
        <w:t>.</w:t>
      </w:r>
    </w:p>
    <w:p w14:paraId="4DAAC5FF" w14:textId="77777777" w:rsidR="002A21AE" w:rsidRDefault="002A21AE">
      <w:pPr>
        <w:pStyle w:val="Heading4"/>
      </w:pPr>
      <w:r>
        <w:t>Limitations and Restrictions</w:t>
      </w:r>
      <w:r>
        <w:rPr>
          <w:b w:val="0"/>
        </w:rPr>
        <w:t xml:space="preserve"> </w:t>
      </w:r>
    </w:p>
    <w:p w14:paraId="2B7AABBE" w14:textId="77777777" w:rsidR="002A21AE" w:rsidRDefault="002A21AE">
      <w:pPr>
        <w:pStyle w:val="ListBullet"/>
      </w:pPr>
      <w:r>
        <w:t xml:space="preserve">The report is not multidivisional. </w:t>
      </w:r>
    </w:p>
    <w:p w14:paraId="1C1B6547" w14:textId="77777777" w:rsidR="00DD7CAF" w:rsidRDefault="00DD7CAF">
      <w:pPr>
        <w:pStyle w:val="ListBullet"/>
      </w:pPr>
      <w:r>
        <w:t>When a user retroactively updates a unit status through Discard or Quarantine, the Unit History Report displays the updated information, but does not display the date the change was made.</w:t>
      </w:r>
    </w:p>
    <w:p w14:paraId="620912AF" w14:textId="6B6250F4" w:rsidR="001F1DB9" w:rsidRDefault="001F1DB9" w:rsidP="001F1DB9">
      <w:pPr>
        <w:pStyle w:val="ListBullet"/>
      </w:pPr>
      <w:r>
        <w:t>The r</w:t>
      </w:r>
      <w:r w:rsidRPr="001F1DB9">
        <w:t xml:space="preserve">eport </w:t>
      </w:r>
      <w:r>
        <w:t>will not indicate if a unit was returned to shipper, or shipped to another facility. This information can be found in the Cost Accounting Report.</w:t>
      </w:r>
      <w:r w:rsidR="00CD5BA1">
        <w:t xml:space="preserve"> </w:t>
      </w:r>
      <w:r w:rsidR="00CD5BA1" w:rsidRPr="00CD5BA1">
        <w:rPr>
          <w:vanish/>
        </w:rPr>
        <w:t>Defect 212158</w:t>
      </w:r>
    </w:p>
    <w:p w14:paraId="1235ABF3" w14:textId="53B3CA46" w:rsidR="00CD5BA1" w:rsidRDefault="00CD5BA1" w:rsidP="006B7ADC">
      <w:pPr>
        <w:pStyle w:val="ListBullet"/>
      </w:pPr>
      <w:r>
        <w:t xml:space="preserve">The report does not display the Antigen Testing Phase Change Exception. See the Exception Report for this information. </w:t>
      </w:r>
      <w:r w:rsidRPr="00CD5BA1">
        <w:rPr>
          <w:vanish/>
        </w:rPr>
        <w:t>Defect 209575</w:t>
      </w:r>
    </w:p>
    <w:p w14:paraId="3363C1E3" w14:textId="4268C65D" w:rsidR="00680B7F" w:rsidRDefault="00680B7F" w:rsidP="006B7ADC">
      <w:pPr>
        <w:pStyle w:val="ListBullet"/>
      </w:pPr>
      <w:r>
        <w:t xml:space="preserve">When a user retroactively updates a unit status through the Discard or Quarantine option, the Unit History Report displays the updated information, but does not display the date the change was made. </w:t>
      </w:r>
      <w:r w:rsidRPr="00680B7F">
        <w:rPr>
          <w:vanish/>
        </w:rPr>
        <w:t>Defect 212537</w:t>
      </w:r>
    </w:p>
    <w:p w14:paraId="261ED922" w14:textId="2D8AB749" w:rsidR="002A21AE" w:rsidRDefault="002A21AE" w:rsidP="005B025F">
      <w:pPr>
        <w:pStyle w:val="Heading4"/>
      </w:pPr>
      <w:r>
        <w:t xml:space="preserve">Additional Information </w:t>
      </w:r>
    </w:p>
    <w:p w14:paraId="087CC253" w14:textId="77777777" w:rsidR="002A21AE" w:rsidRDefault="002A21AE">
      <w:pPr>
        <w:pStyle w:val="ListBullet"/>
      </w:pPr>
      <w:r>
        <w:t>There may be multiple instances of the same unit number and product code in the same division. Inactivated unit records may have a unit ID and product code that duplicate an active unit ID and product code.</w:t>
      </w:r>
    </w:p>
    <w:p w14:paraId="35379CE1" w14:textId="77777777" w:rsidR="002A21AE" w:rsidRDefault="002A21AE">
      <w:pPr>
        <w:pStyle w:val="ListBullet"/>
      </w:pPr>
      <w:r>
        <w:t xml:space="preserve">VBECS always displays the current unit status when the user selects a blood unit, so there is no need for a separate report option, as is possible in </w:t>
      </w:r>
      <w:r w:rsidR="00CA6E27" w:rsidRPr="00CA6E27">
        <w:rPr>
          <w:bCs/>
        </w:rPr>
        <w:t>VistA</w:t>
      </w:r>
      <w:r>
        <w:t>.</w:t>
      </w:r>
    </w:p>
    <w:p w14:paraId="318A3C74" w14:textId="77777777" w:rsidR="002A21AE" w:rsidRDefault="002A21AE">
      <w:pPr>
        <w:pStyle w:val="ListBullet"/>
      </w:pPr>
      <w:r>
        <w:t>Unit testing details are included in Testing Worklist Report.</w:t>
      </w:r>
    </w:p>
    <w:p w14:paraId="1F3E0A61" w14:textId="6CF7B245" w:rsidR="002D3BEC" w:rsidRDefault="002D3BEC">
      <w:pPr>
        <w:pStyle w:val="ListBullet"/>
      </w:pPr>
      <w:r>
        <w:t xml:space="preserve">The report header for RBC and WB products does not display the </w:t>
      </w:r>
      <w:r w:rsidR="005E237B">
        <w:t xml:space="preserve">= </w:t>
      </w:r>
      <w:r>
        <w:t>&gt; 2 mL RBC contamination information.</w:t>
      </w:r>
    </w:p>
    <w:p w14:paraId="2A20F5B8" w14:textId="77777777" w:rsidR="002A21AE" w:rsidRDefault="002A21AE">
      <w:pPr>
        <w:pStyle w:val="Heading4"/>
        <w:rPr>
          <w:b w:val="0"/>
        </w:rPr>
      </w:pPr>
      <w:r>
        <w:t>User Roles with Access to This Option</w:t>
      </w:r>
      <w:r>
        <w:rPr>
          <w:b w:val="0"/>
        </w:rPr>
        <w:t xml:space="preserve"> </w:t>
      </w:r>
    </w:p>
    <w:p w14:paraId="4D7F5C73" w14:textId="77777777" w:rsidR="002A21AE" w:rsidRDefault="00184EA4">
      <w:pPr>
        <w:pStyle w:val="Roles"/>
      </w:pPr>
      <w:r>
        <w:t>All users</w:t>
      </w:r>
    </w:p>
    <w:p w14:paraId="2A0A81FE" w14:textId="77777777" w:rsidR="002A21AE" w:rsidRDefault="002A21AE">
      <w:pPr>
        <w:pStyle w:val="Heading4"/>
      </w:pPr>
      <w:r>
        <w:t xml:space="preserve">Unit History Report </w:t>
      </w:r>
    </w:p>
    <w:p w14:paraId="7029BB6C" w14:textId="77777777" w:rsidR="002A21AE" w:rsidRDefault="002A21AE" w:rsidP="00FA7E65">
      <w:pPr>
        <w:pStyle w:val="BodyText"/>
      </w:pPr>
      <w:r>
        <w:t xml:space="preserve">The user views </w:t>
      </w:r>
      <w:r w:rsidR="00EB1E5A">
        <w:t xml:space="preserve">and/or </w:t>
      </w:r>
      <w:r>
        <w:t>prints the complete record for a blood unit</w:t>
      </w:r>
      <w:r w:rsidR="00160D7B">
        <w:t>, from incoming shipment through final status, including unit activities saved in the VBECS database</w:t>
      </w:r>
      <w:r>
        <w:t>. VBECS compiles data for that unit for one division.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120"/>
      </w:tblGrid>
      <w:tr w:rsidR="002A21AE" w14:paraId="20F8A747" w14:textId="77777777">
        <w:trPr>
          <w:cantSplit/>
          <w:tblHeader/>
        </w:trPr>
        <w:tc>
          <w:tcPr>
            <w:tcW w:w="3240" w:type="dxa"/>
            <w:shd w:val="pct30" w:color="auto" w:fill="FFFFFF"/>
            <w:vAlign w:val="bottom"/>
          </w:tcPr>
          <w:p w14:paraId="0C080963" w14:textId="77777777" w:rsidR="002A21AE" w:rsidRDefault="002A21AE">
            <w:pPr>
              <w:pStyle w:val="TableText"/>
              <w:rPr>
                <w:b/>
              </w:rPr>
            </w:pPr>
            <w:r>
              <w:rPr>
                <w:b/>
              </w:rPr>
              <w:t>User Action</w:t>
            </w:r>
          </w:p>
        </w:tc>
        <w:tc>
          <w:tcPr>
            <w:tcW w:w="6120" w:type="dxa"/>
            <w:shd w:val="pct30" w:color="auto" w:fill="FFFFFF"/>
            <w:vAlign w:val="bottom"/>
          </w:tcPr>
          <w:p w14:paraId="2B5CC4DA" w14:textId="77777777" w:rsidR="002A21AE" w:rsidRDefault="002A21AE">
            <w:pPr>
              <w:pStyle w:val="TableText"/>
              <w:rPr>
                <w:b/>
              </w:rPr>
            </w:pPr>
            <w:r>
              <w:rPr>
                <w:b/>
              </w:rPr>
              <w:t>VBECS</w:t>
            </w:r>
          </w:p>
        </w:tc>
      </w:tr>
      <w:tr w:rsidR="002A21AE" w14:paraId="4AC01B50" w14:textId="77777777">
        <w:tc>
          <w:tcPr>
            <w:tcW w:w="3240" w:type="dxa"/>
          </w:tcPr>
          <w:p w14:paraId="7E361E97" w14:textId="77777777" w:rsidR="002A21AE" w:rsidRDefault="002A21AE">
            <w:pPr>
              <w:pStyle w:val="TableTextNumbers"/>
            </w:pPr>
            <w:r>
              <w:t xml:space="preserve">Select </w:t>
            </w:r>
            <w:r>
              <w:rPr>
                <w:b/>
              </w:rPr>
              <w:t>Reports</w:t>
            </w:r>
            <w:r>
              <w:t xml:space="preserve"> from the main menu.</w:t>
            </w:r>
          </w:p>
          <w:p w14:paraId="7D4071DA" w14:textId="77777777" w:rsidR="002A21AE" w:rsidRDefault="002A21AE">
            <w:pPr>
              <w:pStyle w:val="TableTextNumbersContinued"/>
            </w:pPr>
          </w:p>
          <w:p w14:paraId="2C5CA0B9" w14:textId="77777777" w:rsidR="002A21AE" w:rsidRDefault="002A21AE">
            <w:pPr>
              <w:pStyle w:val="TableTextNumbersContinued"/>
            </w:pPr>
            <w:r>
              <w:t xml:space="preserve">Select </w:t>
            </w:r>
            <w:r>
              <w:rPr>
                <w:b/>
              </w:rPr>
              <w:t>Unit History Report</w:t>
            </w:r>
            <w:r>
              <w:t>.</w:t>
            </w:r>
          </w:p>
        </w:tc>
        <w:tc>
          <w:tcPr>
            <w:tcW w:w="6120" w:type="dxa"/>
          </w:tcPr>
          <w:p w14:paraId="788E9BAA" w14:textId="77777777" w:rsidR="002A21AE" w:rsidRDefault="002A21AE">
            <w:pPr>
              <w:pStyle w:val="TableTextBullet"/>
            </w:pPr>
            <w:r>
              <w:t>Lists report names.</w:t>
            </w:r>
          </w:p>
          <w:p w14:paraId="11F6CD62" w14:textId="77777777" w:rsidR="002A21AE" w:rsidRDefault="002A21AE">
            <w:pPr>
              <w:pStyle w:val="TableTextBullet"/>
            </w:pPr>
            <w:r>
              <w:t>Allows the user to scan or enter a unit ID and product code.</w:t>
            </w:r>
          </w:p>
          <w:p w14:paraId="4431EF8F" w14:textId="77777777" w:rsidR="002A21AE" w:rsidRDefault="002A21AE" w:rsidP="009D2266">
            <w:pPr>
              <w:pStyle w:val="TableTextBullet"/>
              <w:numPr>
                <w:ilvl w:val="0"/>
                <w:numId w:val="10"/>
              </w:numPr>
              <w:tabs>
                <w:tab w:val="clear" w:pos="720"/>
                <w:tab w:val="num" w:pos="288"/>
              </w:tabs>
              <w:ind w:left="288" w:hanging="288"/>
            </w:pPr>
            <w:r>
              <w:t xml:space="preserve">Displays compilation criteria. </w:t>
            </w:r>
          </w:p>
        </w:tc>
      </w:tr>
      <w:tr w:rsidR="002A21AE" w14:paraId="06D2C6E4" w14:textId="77777777" w:rsidTr="00E35FC4">
        <w:trPr>
          <w:cantSplit/>
        </w:trPr>
        <w:tc>
          <w:tcPr>
            <w:tcW w:w="3240" w:type="dxa"/>
          </w:tcPr>
          <w:p w14:paraId="46E4A826" w14:textId="77777777" w:rsidR="002A21AE" w:rsidRDefault="002A21AE">
            <w:pPr>
              <w:pStyle w:val="TableTextNumbers"/>
            </w:pPr>
            <w:r>
              <w:t xml:space="preserve">Scan or enter the unit ID and product code, or click the </w:t>
            </w:r>
            <w:r w:rsidR="00A6373D" w:rsidRPr="00945BF5">
              <w:rPr>
                <w:b/>
              </w:rPr>
              <w:t>find</w:t>
            </w:r>
            <w:r>
              <w:rPr>
                <w:b/>
              </w:rPr>
              <w:t xml:space="preserve"> </w:t>
            </w:r>
            <w:r w:rsidRPr="00D1100E">
              <w:t>button</w:t>
            </w:r>
            <w:r>
              <w:t xml:space="preserve"> to search for and select a unit.</w:t>
            </w:r>
          </w:p>
        </w:tc>
        <w:tc>
          <w:tcPr>
            <w:tcW w:w="6120" w:type="dxa"/>
          </w:tcPr>
          <w:p w14:paraId="4D139CB6" w14:textId="77777777" w:rsidR="002A21AE" w:rsidRDefault="002A21AE">
            <w:pPr>
              <w:pStyle w:val="TableText"/>
            </w:pPr>
          </w:p>
          <w:p w14:paraId="046FC2F8" w14:textId="052E81E5" w:rsidR="002A21AE" w:rsidRDefault="002A21AE">
            <w:pPr>
              <w:pStyle w:val="TableText"/>
              <w:rPr>
                <w:b/>
                <w:bCs/>
                <w:szCs w:val="18"/>
              </w:rPr>
            </w:pPr>
            <w:r>
              <w:rPr>
                <w:b/>
                <w:bCs/>
                <w:szCs w:val="18"/>
              </w:rPr>
              <w:t>NOTES</w:t>
            </w:r>
          </w:p>
          <w:p w14:paraId="4E975732" w14:textId="77777777" w:rsidR="002A21AE" w:rsidRDefault="002A21AE">
            <w:pPr>
              <w:pStyle w:val="NotesText"/>
            </w:pPr>
          </w:p>
          <w:p w14:paraId="1EF8EE5C" w14:textId="77777777" w:rsidR="002A21AE" w:rsidRDefault="002A21AE">
            <w:pPr>
              <w:pStyle w:val="NotesText"/>
            </w:pPr>
            <w:r>
              <w:rPr>
                <w:rFonts w:cs="Arial"/>
                <w:vanish/>
              </w:rPr>
              <w:t xml:space="preserve">BR_85.01 </w:t>
            </w:r>
            <w:r>
              <w:t>The user may select any unit (active or inactive) in a division. VBECS marks the units so that the active ones are distinct from the inactive ones.</w:t>
            </w:r>
          </w:p>
          <w:p w14:paraId="4EDD070E" w14:textId="77777777" w:rsidR="005104F5" w:rsidRDefault="005104F5">
            <w:pPr>
              <w:pStyle w:val="NotesText"/>
            </w:pPr>
          </w:p>
          <w:p w14:paraId="10647071" w14:textId="77777777" w:rsidR="005104F5" w:rsidRPr="00FF65BE" w:rsidRDefault="005104F5" w:rsidP="005104F5">
            <w:pPr>
              <w:pStyle w:val="NotesText"/>
            </w:pPr>
            <w:r w:rsidRPr="00FF65BE">
              <w:rPr>
                <w:vanish/>
              </w:rPr>
              <w:t xml:space="preserve">BR_1.34 </w:t>
            </w:r>
            <w:r w:rsidRPr="00FF65BE">
              <w:t xml:space="preserve">When processing an Autologous unit, the user must indicate the testing status of that unit. </w:t>
            </w:r>
          </w:p>
          <w:p w14:paraId="783A560C" w14:textId="77777777" w:rsidR="005104F5" w:rsidRPr="00FF65BE" w:rsidRDefault="005104F5" w:rsidP="005104F5">
            <w:pPr>
              <w:pStyle w:val="NotesText"/>
            </w:pPr>
            <w:r w:rsidRPr="00FF65BE">
              <w:t>There are three valid choices:</w:t>
            </w:r>
          </w:p>
          <w:p w14:paraId="7103F0A2" w14:textId="77777777" w:rsidR="005104F5" w:rsidRPr="00FF65BE" w:rsidRDefault="005104F5" w:rsidP="005104F5">
            <w:pPr>
              <w:pStyle w:val="NotesText"/>
            </w:pPr>
            <w:r w:rsidRPr="00FF65BE">
              <w:t>NEG - Unit fully tested and negative for all disease markers</w:t>
            </w:r>
          </w:p>
          <w:p w14:paraId="3F3374CE" w14:textId="77777777" w:rsidR="005104F5" w:rsidRPr="00FF65BE" w:rsidRDefault="005104F5" w:rsidP="005104F5">
            <w:pPr>
              <w:pStyle w:val="NotesText"/>
            </w:pPr>
            <w:r w:rsidRPr="00FF65BE">
              <w:t xml:space="preserve">POS - Unit tested and positive for one or more disease markers, Biohazard </w:t>
            </w:r>
          </w:p>
          <w:p w14:paraId="3414E9B7" w14:textId="77777777" w:rsidR="005104F5" w:rsidRDefault="005104F5" w:rsidP="005104F5">
            <w:pPr>
              <w:pStyle w:val="NotesText"/>
            </w:pPr>
            <w:r>
              <w:t>NFT - Unit not fully tested for one or more disease markers, Biohazard</w:t>
            </w:r>
          </w:p>
          <w:p w14:paraId="2156D405" w14:textId="77777777" w:rsidR="005104F5" w:rsidRDefault="005104F5" w:rsidP="005104F5">
            <w:pPr>
              <w:pStyle w:val="NotesText"/>
            </w:pPr>
          </w:p>
          <w:p w14:paraId="1B1082AF" w14:textId="77777777" w:rsidR="005104F5" w:rsidRDefault="005104F5" w:rsidP="005104F5">
            <w:pPr>
              <w:pStyle w:val="NotesText"/>
              <w:rPr>
                <w:rFonts w:cs="Arial"/>
                <w:szCs w:val="18"/>
              </w:rPr>
            </w:pPr>
            <w:r w:rsidRPr="00894624">
              <w:rPr>
                <w:rFonts w:cs="Arial"/>
                <w:vanish/>
                <w:szCs w:val="18"/>
              </w:rPr>
              <w:t xml:space="preserve">BR_73.38 </w:t>
            </w:r>
            <w:r>
              <w:rPr>
                <w:rFonts w:cs="Arial"/>
                <w:szCs w:val="18"/>
              </w:rPr>
              <w:t xml:space="preserve">When the component order is for PLATELETS or OTHER the units with = &gt; 2 mL of RBC contamination must be presented </w:t>
            </w:r>
            <w:r w:rsidRPr="005722FA">
              <w:rPr>
                <w:rFonts w:cs="Arial"/>
                <w:szCs w:val="18"/>
              </w:rPr>
              <w:t>and checke</w:t>
            </w:r>
            <w:r>
              <w:rPr>
                <w:rFonts w:cs="Arial"/>
                <w:szCs w:val="18"/>
              </w:rPr>
              <w:t>d for compatibility during Issue Blood Component and will display before products with less than (&lt; ) 2 mL of RBC contamination.</w:t>
            </w:r>
          </w:p>
          <w:p w14:paraId="63723642" w14:textId="77777777" w:rsidR="005104F5" w:rsidRDefault="005104F5" w:rsidP="005104F5">
            <w:pPr>
              <w:pStyle w:val="NotesText"/>
              <w:rPr>
                <w:rFonts w:cs="Arial"/>
                <w:szCs w:val="18"/>
              </w:rPr>
            </w:pPr>
          </w:p>
          <w:p w14:paraId="2F987525" w14:textId="77777777" w:rsidR="005104F5" w:rsidRDefault="005104F5" w:rsidP="005104F5">
            <w:pPr>
              <w:pStyle w:val="NotesText"/>
            </w:pPr>
            <w:r>
              <w:rPr>
                <w:rFonts w:cs="Arial"/>
                <w:szCs w:val="18"/>
              </w:rPr>
              <w:t>The system will present all available units when the Product Type is PLATELETS or OTHER non-plasma components that have &lt; 2 mL RBC contamination.</w:t>
            </w:r>
          </w:p>
        </w:tc>
      </w:tr>
      <w:tr w:rsidR="002A21AE" w14:paraId="2BC06499" w14:textId="77777777">
        <w:tc>
          <w:tcPr>
            <w:tcW w:w="3240" w:type="dxa"/>
          </w:tcPr>
          <w:p w14:paraId="5F24C004" w14:textId="77777777" w:rsidR="002A21AE" w:rsidRDefault="002A21AE">
            <w:pPr>
              <w:pStyle w:val="TableTextNumbers"/>
            </w:pPr>
            <w:r>
              <w:t xml:space="preserve">In the </w:t>
            </w:r>
            <w:r w:rsidRPr="00B46EEA">
              <w:rPr>
                <w:b/>
              </w:rPr>
              <w:t>Include Report Sections</w:t>
            </w:r>
            <w:r>
              <w:t xml:space="preserve"> area, click one or more check boxes to select report sections.</w:t>
            </w:r>
          </w:p>
        </w:tc>
        <w:tc>
          <w:tcPr>
            <w:tcW w:w="6120" w:type="dxa"/>
          </w:tcPr>
          <w:p w14:paraId="1FE73338" w14:textId="77777777" w:rsidR="002A21AE" w:rsidRDefault="002A21AE">
            <w:pPr>
              <w:pStyle w:val="TableTextBullet"/>
            </w:pPr>
            <w:r>
              <w:rPr>
                <w:rFonts w:cs="Arial"/>
                <w:vanish/>
              </w:rPr>
              <w:t xml:space="preserve">BR_85.02 </w:t>
            </w:r>
            <w:r>
              <w:t>Displays the unit report section types for selection:</w:t>
            </w:r>
          </w:p>
          <w:p w14:paraId="03A4B60D" w14:textId="77777777" w:rsidR="00753E10" w:rsidRDefault="00753E10" w:rsidP="00100276">
            <w:pPr>
              <w:pStyle w:val="TableTextBullet1"/>
            </w:pPr>
            <w:r>
              <w:t>Incoming Shipment</w:t>
            </w:r>
          </w:p>
          <w:p w14:paraId="60E8C7DE" w14:textId="77777777" w:rsidR="00753E10" w:rsidRDefault="00753E10" w:rsidP="00AC5D7B">
            <w:pPr>
              <w:pStyle w:val="TableTextBullet1"/>
            </w:pPr>
            <w:r>
              <w:t>Outgoing Shipment</w:t>
            </w:r>
          </w:p>
          <w:p w14:paraId="5D4883DC" w14:textId="77777777" w:rsidR="00753E10" w:rsidRDefault="00753E10" w:rsidP="00AC5D7B">
            <w:pPr>
              <w:pStyle w:val="TableTextBullet1"/>
            </w:pPr>
            <w:r>
              <w:t>Unit Quarantine Information</w:t>
            </w:r>
          </w:p>
          <w:p w14:paraId="41F7848F" w14:textId="77777777" w:rsidR="00753E10" w:rsidRDefault="00753E10" w:rsidP="00AC5D7B">
            <w:pPr>
              <w:pStyle w:val="TableTextBullet1"/>
            </w:pPr>
            <w:r>
              <w:t>Unit Financials</w:t>
            </w:r>
          </w:p>
          <w:p w14:paraId="4FA54288" w14:textId="77777777" w:rsidR="00753E10" w:rsidRDefault="00753E10" w:rsidP="00AC5D7B">
            <w:pPr>
              <w:pStyle w:val="TableTextBullet1"/>
            </w:pPr>
            <w:r>
              <w:t>Patient Associations History</w:t>
            </w:r>
          </w:p>
          <w:p w14:paraId="11F63A6B" w14:textId="77777777" w:rsidR="009D4082" w:rsidRDefault="009D4082" w:rsidP="00AC5D7B">
            <w:pPr>
              <w:pStyle w:val="TableTextBullet1"/>
            </w:pPr>
            <w:r>
              <w:t>Restricted Patient</w:t>
            </w:r>
          </w:p>
          <w:p w14:paraId="2E2BDAA3" w14:textId="77777777" w:rsidR="00753E10" w:rsidRDefault="00753E10" w:rsidP="00AC5D7B">
            <w:pPr>
              <w:pStyle w:val="TableTextBullet1"/>
            </w:pPr>
            <w:r>
              <w:t>Issue Information</w:t>
            </w:r>
          </w:p>
          <w:p w14:paraId="636F68CB" w14:textId="77777777" w:rsidR="00753E10" w:rsidRDefault="00753E10" w:rsidP="00AC5D7B">
            <w:pPr>
              <w:pStyle w:val="TableTextBullet1"/>
            </w:pPr>
            <w:r>
              <w:t>Testing</w:t>
            </w:r>
          </w:p>
          <w:p w14:paraId="44141BD2" w14:textId="77777777" w:rsidR="009D4082" w:rsidRDefault="009D4082" w:rsidP="00AC5D7B">
            <w:pPr>
              <w:pStyle w:val="TableTextBullet1"/>
            </w:pPr>
            <w:r>
              <w:t>Antigen Typing</w:t>
            </w:r>
          </w:p>
          <w:p w14:paraId="527C2C97" w14:textId="77777777" w:rsidR="00753E10" w:rsidRDefault="00753E10" w:rsidP="00AC5D7B">
            <w:pPr>
              <w:pStyle w:val="TableTextBullet1"/>
            </w:pPr>
            <w:r>
              <w:t>Crossmatch</w:t>
            </w:r>
          </w:p>
          <w:p w14:paraId="00C78CE1" w14:textId="77777777" w:rsidR="00753E10" w:rsidRDefault="00753E10" w:rsidP="00AC5D7B">
            <w:pPr>
              <w:pStyle w:val="TableTextBullet1"/>
            </w:pPr>
            <w:r>
              <w:t>Modification</w:t>
            </w:r>
          </w:p>
          <w:p w14:paraId="0274360F" w14:textId="77777777" w:rsidR="00753E10" w:rsidRDefault="00753E10" w:rsidP="00AC5D7B">
            <w:pPr>
              <w:pStyle w:val="TableTextBullet1"/>
            </w:pPr>
            <w:r>
              <w:t>Transfused To</w:t>
            </w:r>
          </w:p>
          <w:p w14:paraId="3F4A9845" w14:textId="77777777" w:rsidR="00753E10" w:rsidRDefault="00753E10" w:rsidP="00AC5D7B">
            <w:pPr>
              <w:pStyle w:val="TableTextBullet1"/>
            </w:pPr>
            <w:r>
              <w:t>Exception Report</w:t>
            </w:r>
          </w:p>
        </w:tc>
      </w:tr>
      <w:tr w:rsidR="002A21AE" w14:paraId="208BD89B" w14:textId="77777777" w:rsidTr="00305B16">
        <w:trPr>
          <w:cantSplit/>
        </w:trPr>
        <w:tc>
          <w:tcPr>
            <w:tcW w:w="3240" w:type="dxa"/>
          </w:tcPr>
          <w:p w14:paraId="0EDFFE6D" w14:textId="77777777" w:rsidR="002A21AE" w:rsidRDefault="002A21AE">
            <w:pPr>
              <w:pStyle w:val="TableTextNumbers"/>
            </w:pPr>
            <w:r>
              <w:t xml:space="preserve">In the </w:t>
            </w:r>
            <w:r w:rsidRPr="009554A6">
              <w:t>Report Compilation</w:t>
            </w:r>
            <w:r>
              <w:t xml:space="preserve"> area, click the </w:t>
            </w:r>
            <w:r>
              <w:rPr>
                <w:b/>
              </w:rPr>
              <w:t xml:space="preserve">Create Report Now </w:t>
            </w:r>
            <w:r w:rsidRPr="00BF2E41">
              <w:t>radio button</w:t>
            </w:r>
            <w:r>
              <w:t xml:space="preserve">. Click </w:t>
            </w:r>
            <w:r>
              <w:rPr>
                <w:b/>
              </w:rPr>
              <w:t>OK</w:t>
            </w:r>
            <w:r>
              <w:t xml:space="preserve"> to view the report, or</w:t>
            </w:r>
          </w:p>
          <w:p w14:paraId="423061F5" w14:textId="77777777" w:rsidR="002A21AE" w:rsidRDefault="002A21AE">
            <w:pPr>
              <w:pStyle w:val="TableTextNumbersContinued"/>
              <w:rPr>
                <w:b/>
                <w:bCs/>
              </w:rPr>
            </w:pPr>
          </w:p>
          <w:p w14:paraId="552ABCFC" w14:textId="77777777" w:rsidR="002A21AE" w:rsidRDefault="002A21AE">
            <w:pPr>
              <w:pStyle w:val="TableTextNumbersContinued"/>
            </w:pPr>
            <w:r>
              <w:t xml:space="preserve">Click the </w:t>
            </w:r>
            <w:r>
              <w:rPr>
                <w:b/>
              </w:rPr>
              <w:t xml:space="preserve">Schedule Print Job </w:t>
            </w:r>
            <w:r w:rsidRPr="00BF2E41">
              <w:t>radio button</w:t>
            </w:r>
            <w:r>
              <w:t xml:space="preserve"> and </w:t>
            </w:r>
            <w:r>
              <w:rPr>
                <w:b/>
              </w:rPr>
              <w:t>OK</w:t>
            </w:r>
            <w:r>
              <w:t xml:space="preserve">, then enter or select a print date and printer name. Click </w:t>
            </w:r>
            <w:r>
              <w:rPr>
                <w:b/>
              </w:rPr>
              <w:t>OK</w:t>
            </w:r>
            <w:r>
              <w:t xml:space="preserve"> to view and print the report.</w:t>
            </w:r>
          </w:p>
        </w:tc>
        <w:tc>
          <w:tcPr>
            <w:tcW w:w="6120" w:type="dxa"/>
          </w:tcPr>
          <w:p w14:paraId="63A0E63D" w14:textId="77777777" w:rsidR="002A21AE" w:rsidRDefault="002A21AE">
            <w:pPr>
              <w:pStyle w:val="TableTextBullet"/>
            </w:pPr>
            <w:r>
              <w:rPr>
                <w:rFonts w:cs="Arial"/>
                <w:vanish/>
              </w:rPr>
              <w:t xml:space="preserve">BR_74.01 </w:t>
            </w:r>
            <w:r>
              <w:t>Compiles and displays the report for the user’s login division.</w:t>
            </w:r>
          </w:p>
          <w:p w14:paraId="2EAD9212" w14:textId="77777777" w:rsidR="002A21AE" w:rsidRDefault="002A21AE">
            <w:pPr>
              <w:pStyle w:val="TableText"/>
            </w:pPr>
          </w:p>
          <w:p w14:paraId="53C98332" w14:textId="6439F346" w:rsidR="002A21AE" w:rsidRDefault="002A21AE">
            <w:pPr>
              <w:pStyle w:val="TableText"/>
              <w:rPr>
                <w:b/>
                <w:bCs/>
                <w:szCs w:val="18"/>
              </w:rPr>
            </w:pPr>
            <w:r>
              <w:rPr>
                <w:b/>
                <w:bCs/>
                <w:szCs w:val="18"/>
              </w:rPr>
              <w:t>NOTES</w:t>
            </w:r>
          </w:p>
          <w:p w14:paraId="74BAFA04" w14:textId="77777777" w:rsidR="002A21AE" w:rsidRDefault="002A21AE" w:rsidP="00AD6A88">
            <w:pPr>
              <w:pStyle w:val="NotesText"/>
            </w:pPr>
          </w:p>
          <w:p w14:paraId="44165806" w14:textId="77777777" w:rsidR="002A21AE" w:rsidRDefault="002A21AE">
            <w:pPr>
              <w:pStyle w:val="NotesText"/>
            </w:pPr>
            <w:r>
              <w:rPr>
                <w:rFonts w:cs="Arial"/>
                <w:vanish/>
              </w:rPr>
              <w:t xml:space="preserve">BR_85.03 </w:t>
            </w:r>
            <w:r>
              <w:t>The page header includes the standard VBECS header, the unit ID, product, donation type, expiration date, restricted for patient, status, ABO/Rh, division, product long name, and user.</w:t>
            </w:r>
          </w:p>
          <w:p w14:paraId="283BBFAA" w14:textId="77777777" w:rsidR="002A21AE" w:rsidRDefault="002A21AE">
            <w:pPr>
              <w:pStyle w:val="NotesText"/>
            </w:pPr>
          </w:p>
          <w:p w14:paraId="17349C4D" w14:textId="77777777" w:rsidR="002A21AE" w:rsidRDefault="002A21AE">
            <w:pPr>
              <w:pStyle w:val="NotesText"/>
            </w:pPr>
            <w:r>
              <w:rPr>
                <w:rFonts w:cs="Arial"/>
                <w:vanish/>
              </w:rPr>
              <w:t xml:space="preserve">BR_85.04 </w:t>
            </w:r>
            <w:r>
              <w:t xml:space="preserve">VBECS displays entries from only the related reports (Audit Trail and Exception Reports) specific to the selected unit or patient. </w:t>
            </w:r>
          </w:p>
          <w:p w14:paraId="585CEAA5" w14:textId="77777777" w:rsidR="002A21AE" w:rsidRDefault="002A21AE">
            <w:pPr>
              <w:pStyle w:val="NotesText"/>
            </w:pPr>
          </w:p>
          <w:p w14:paraId="7FA2B060" w14:textId="77777777" w:rsidR="002A21AE" w:rsidRDefault="002A21AE">
            <w:pPr>
              <w:pStyle w:val="NotesText"/>
            </w:pPr>
            <w:r>
              <w:t>Audit Trail and Exception Reports that record only unit override information are linked to the unit</w:t>
            </w:r>
            <w:r w:rsidR="00FA7E65">
              <w:t>’</w:t>
            </w:r>
            <w:r>
              <w:t xml:space="preserve">s </w:t>
            </w:r>
            <w:r w:rsidR="0051757B">
              <w:t>historic</w:t>
            </w:r>
            <w:r>
              <w:t xml:space="preserve"> record. Those that record only patient override information are linked to the patient</w:t>
            </w:r>
            <w:r w:rsidR="00FA7E65">
              <w:t>’</w:t>
            </w:r>
            <w:r>
              <w:t xml:space="preserve">s </w:t>
            </w:r>
            <w:r w:rsidR="0051757B">
              <w:t>historic</w:t>
            </w:r>
            <w:r>
              <w:t xml:space="preserve"> record. Those that record both are accessible in unit and patient </w:t>
            </w:r>
            <w:r w:rsidR="0051757B">
              <w:t>historic</w:t>
            </w:r>
            <w:r>
              <w:t xml:space="preserve"> records.</w:t>
            </w:r>
          </w:p>
          <w:p w14:paraId="1F555D6B" w14:textId="77777777" w:rsidR="002A21AE" w:rsidRDefault="002A21AE">
            <w:pPr>
              <w:pStyle w:val="NotesText"/>
              <w:rPr>
                <w:rFonts w:eastAsia="Symbol" w:cs="Arial"/>
                <w:sz w:val="20"/>
              </w:rPr>
            </w:pPr>
          </w:p>
          <w:p w14:paraId="28EDA62B" w14:textId="2BC45C14" w:rsidR="002A21AE" w:rsidRDefault="002A21AE">
            <w:pPr>
              <w:pStyle w:val="NotesText"/>
            </w:pPr>
            <w:r>
              <w:t xml:space="preserve">See </w:t>
            </w:r>
            <w:r w:rsidR="00EE455E">
              <w:t xml:space="preserve">Appendix </w:t>
            </w:r>
            <w:r w:rsidR="00EE455E">
              <w:rPr>
                <w:noProof/>
              </w:rPr>
              <w:t>B</w:t>
            </w:r>
            <w:r>
              <w:t xml:space="preserve">: </w:t>
            </w:r>
            <w:r w:rsidR="00EE455E">
              <w:t xml:space="preserve">Table </w:t>
            </w:r>
            <w:r w:rsidR="00EE455E">
              <w:rPr>
                <w:noProof/>
              </w:rPr>
              <w:t>20</w:t>
            </w:r>
            <w:r w:rsidR="00EE455E">
              <w:t xml:space="preserve">: </w:t>
            </w:r>
            <w:r w:rsidR="00EE455E">
              <w:rPr>
                <w:vanish/>
              </w:rPr>
              <w:t xml:space="preserve">TT_77.01 </w:t>
            </w:r>
            <w:r w:rsidR="00EE455E">
              <w:t>Details in Audit Trail Report</w:t>
            </w:r>
            <w:r>
              <w:t xml:space="preserve"> and </w:t>
            </w:r>
            <w:r w:rsidR="00EE455E">
              <w:t xml:space="preserve">Table </w:t>
            </w:r>
            <w:r w:rsidR="00EE455E">
              <w:rPr>
                <w:noProof/>
              </w:rPr>
              <w:t>21</w:t>
            </w:r>
            <w:r w:rsidR="00EE455E">
              <w:t xml:space="preserve">: </w:t>
            </w:r>
            <w:r w:rsidR="00EE455E">
              <w:rPr>
                <w:vanish/>
              </w:rPr>
              <w:t xml:space="preserve">TT_82.01 </w:t>
            </w:r>
            <w:r w:rsidR="00EE455E">
              <w:t>Details in Exception Report</w:t>
            </w:r>
            <w:r>
              <w:t>.</w:t>
            </w:r>
          </w:p>
          <w:p w14:paraId="400C805C" w14:textId="77777777" w:rsidR="002A21AE" w:rsidRDefault="002A21AE">
            <w:pPr>
              <w:pStyle w:val="NotesText"/>
            </w:pPr>
          </w:p>
          <w:p w14:paraId="3AA520DD" w14:textId="77777777" w:rsidR="002A21AE" w:rsidRDefault="002A21AE">
            <w:pPr>
              <w:pStyle w:val="NotesText"/>
              <w:rPr>
                <w:rFonts w:eastAsia="Symbol" w:cs="Arial"/>
                <w:sz w:val="20"/>
              </w:rPr>
            </w:pPr>
            <w:r>
              <w:rPr>
                <w:rFonts w:cs="Arial"/>
                <w:vanish/>
              </w:rPr>
              <w:t xml:space="preserve">BR_85.05 </w:t>
            </w:r>
            <w:r>
              <w:t>The report displays the product long name.</w:t>
            </w:r>
          </w:p>
          <w:p w14:paraId="6BEA9726" w14:textId="77777777" w:rsidR="002A21AE" w:rsidRDefault="002A21AE">
            <w:pPr>
              <w:pStyle w:val="NotesText"/>
            </w:pPr>
          </w:p>
          <w:p w14:paraId="21B576FB" w14:textId="1252B904" w:rsidR="002A21AE" w:rsidRDefault="002A21AE">
            <w:pPr>
              <w:pStyle w:val="NotesText"/>
              <w:rPr>
                <w:rFonts w:eastAsia="Symbol" w:cs="Arial"/>
                <w:sz w:val="20"/>
              </w:rPr>
            </w:pPr>
            <w:r>
              <w:rPr>
                <w:rFonts w:cs="Arial"/>
                <w:vanish/>
              </w:rPr>
              <w:t xml:space="preserve">BR_85.08 </w:t>
            </w:r>
            <w:r>
              <w:t xml:space="preserve">The </w:t>
            </w:r>
            <w:r w:rsidR="00020B22">
              <w:t>report displays “CMV neg”,</w:t>
            </w:r>
            <w:r>
              <w:t xml:space="preserve"> “SC </w:t>
            </w:r>
            <w:r w:rsidR="006549B7">
              <w:t>neg” and</w:t>
            </w:r>
            <w:r w:rsidR="00452A6C">
              <w:t xml:space="preserve">/or </w:t>
            </w:r>
            <w:r w:rsidR="003723D4">
              <w:t xml:space="preserve">= </w:t>
            </w:r>
            <w:r w:rsidR="00452A6C">
              <w:t xml:space="preserve">&gt; </w:t>
            </w:r>
            <w:r w:rsidR="003723D4">
              <w:t>2</w:t>
            </w:r>
            <w:r w:rsidR="00452A6C">
              <w:t xml:space="preserve"> </w:t>
            </w:r>
            <w:r w:rsidR="003723D4">
              <w:t xml:space="preserve">mL RBC contamination </w:t>
            </w:r>
            <w:r w:rsidR="00B62C7E">
              <w:t xml:space="preserve">(which will display only for non-WB and non-RBC blood products) </w:t>
            </w:r>
            <w:r>
              <w:t>in the “Special Testing” column when a unit qualifies.</w:t>
            </w:r>
          </w:p>
          <w:p w14:paraId="49A23D7F" w14:textId="77777777" w:rsidR="002A21AE" w:rsidRDefault="002A21AE">
            <w:pPr>
              <w:pStyle w:val="NotesText"/>
            </w:pPr>
          </w:p>
          <w:p w14:paraId="701E0175" w14:textId="1E8EB06D" w:rsidR="002A21AE" w:rsidRDefault="002A21AE">
            <w:pPr>
              <w:pStyle w:val="NotesText"/>
            </w:pPr>
            <w:r>
              <w:rPr>
                <w:rFonts w:cs="Arial"/>
                <w:vanish/>
              </w:rPr>
              <w:t xml:space="preserve">BR_85.09 </w:t>
            </w:r>
            <w:r>
              <w:t>The report displays the unit’s quarantine indicator in the “Quarantined” column: “Yes” when quarantined, and “No”</w:t>
            </w:r>
            <w:r w:rsidR="00B446F5">
              <w:t xml:space="preserve"> if it was never</w:t>
            </w:r>
            <w:r>
              <w:t xml:space="preserve"> quarantine</w:t>
            </w:r>
            <w:r w:rsidR="00B446F5">
              <w:t>d</w:t>
            </w:r>
            <w:r>
              <w:t>.</w:t>
            </w:r>
          </w:p>
          <w:p w14:paraId="4A2ADAEB" w14:textId="77777777" w:rsidR="002A21AE" w:rsidRDefault="002A21AE">
            <w:pPr>
              <w:pStyle w:val="NotesText"/>
              <w:rPr>
                <w:rFonts w:eastAsia="Symbol" w:cs="Arial"/>
                <w:sz w:val="20"/>
              </w:rPr>
            </w:pPr>
          </w:p>
          <w:p w14:paraId="691D351F" w14:textId="6312F95F" w:rsidR="000566D6" w:rsidRDefault="002A21AE" w:rsidP="00AA2B2E">
            <w:pPr>
              <w:pStyle w:val="NotesText"/>
            </w:pPr>
            <w:r>
              <w:rPr>
                <w:rFonts w:cs="Arial"/>
                <w:vanish/>
              </w:rPr>
              <w:t xml:space="preserve">BR_85.10 </w:t>
            </w:r>
            <w:r>
              <w:t xml:space="preserve">The report displays the unit’s biohazardous indicator in the “Biohazard” column “Yes” when biohazardous, and “No” </w:t>
            </w:r>
            <w:r w:rsidR="00B446F5">
              <w:t>if it was never a biohazard.</w:t>
            </w:r>
          </w:p>
        </w:tc>
      </w:tr>
      <w:tr w:rsidR="00946DA2" w14:paraId="6AE4BE69" w14:textId="77777777">
        <w:tc>
          <w:tcPr>
            <w:tcW w:w="3240" w:type="dxa"/>
          </w:tcPr>
          <w:p w14:paraId="30016CD4" w14:textId="5D419D5F" w:rsidR="00946DA2" w:rsidRDefault="00946DA2" w:rsidP="00946DA2">
            <w:pPr>
              <w:pStyle w:val="TableTextNumbers"/>
            </w:pPr>
            <w:r w:rsidRPr="0076371D">
              <w:t xml:space="preserve">Select </w:t>
            </w:r>
            <w:r w:rsidRPr="0076371D">
              <w:rPr>
                <w:b/>
              </w:rPr>
              <w:t xml:space="preserve">Print </w:t>
            </w:r>
            <w:r w:rsidRPr="0076371D">
              <w:t>to print the repor</w:t>
            </w:r>
            <w:r>
              <w:t>t</w:t>
            </w:r>
            <w:r w:rsidRPr="0076371D">
              <w:t xml:space="preserve">, </w:t>
            </w:r>
            <w:r w:rsidRPr="0076371D">
              <w:rPr>
                <w:b/>
              </w:rPr>
              <w:t>Export</w:t>
            </w:r>
            <w:r w:rsidRPr="0076371D">
              <w:t xml:space="preserve"> </w:t>
            </w:r>
            <w:r>
              <w:t xml:space="preserve">to export the report </w:t>
            </w:r>
            <w:r w:rsidRPr="0076371D">
              <w:rPr>
                <w:szCs w:val="18"/>
              </w:rPr>
              <w:t xml:space="preserve">(See </w:t>
            </w:r>
            <w:r w:rsidR="00EE455E" w:rsidRPr="00EE455E">
              <w:rPr>
                <w:szCs w:val="18"/>
              </w:rPr>
              <w:t>Report Export</w:t>
            </w:r>
            <w:r>
              <w:rPr>
                <w:szCs w:val="18"/>
              </w:rPr>
              <w:t xml:space="preserve"> section</w:t>
            </w:r>
            <w:r w:rsidRPr="0076371D">
              <w:rPr>
                <w:szCs w:val="18"/>
              </w:rPr>
              <w:t>)</w:t>
            </w:r>
            <w:r>
              <w:t xml:space="preserve">, </w:t>
            </w:r>
            <w:r>
              <w:rPr>
                <w:szCs w:val="18"/>
              </w:rPr>
              <w:t xml:space="preserve">or </w:t>
            </w:r>
            <w:r w:rsidRPr="0076371D">
              <w:t xml:space="preserve">click </w:t>
            </w:r>
            <w:r w:rsidRPr="0076371D">
              <w:rPr>
                <w:b/>
              </w:rPr>
              <w:t>Close</w:t>
            </w:r>
            <w:r w:rsidRPr="0076371D">
              <w:t xml:space="preserve"> to exit</w:t>
            </w:r>
            <w:r>
              <w:t xml:space="preserve"> without printing</w:t>
            </w:r>
            <w:r w:rsidRPr="0076371D">
              <w:rPr>
                <w:rStyle w:val="StyleTableTextNumbersWhite1Char"/>
              </w:rPr>
              <w:t xml:space="preserve"> </w:t>
            </w:r>
            <w:r w:rsidRPr="0076371D">
              <w:rPr>
                <w:szCs w:val="18"/>
              </w:rPr>
              <w:t>.</w:t>
            </w:r>
          </w:p>
        </w:tc>
        <w:tc>
          <w:tcPr>
            <w:tcW w:w="6120" w:type="dxa"/>
          </w:tcPr>
          <w:p w14:paraId="78C7865B" w14:textId="77777777" w:rsidR="00946DA2" w:rsidRDefault="00946DA2" w:rsidP="00946DA2">
            <w:pPr>
              <w:pStyle w:val="TableTextBullet"/>
            </w:pPr>
            <w:r>
              <w:t>If Print is selected, prints the report on the designated printer.</w:t>
            </w:r>
          </w:p>
          <w:p w14:paraId="197A4C52" w14:textId="77777777" w:rsidR="00946DA2" w:rsidRDefault="00946DA2" w:rsidP="00946DA2">
            <w:pPr>
              <w:pStyle w:val="TableTextBullet"/>
            </w:pPr>
            <w:r>
              <w:t>If Export is selected, exports the report to the designated file.</w:t>
            </w:r>
          </w:p>
          <w:p w14:paraId="41B8D589" w14:textId="03CEA88E" w:rsidR="00946DA2" w:rsidRDefault="00946DA2" w:rsidP="00946DA2">
            <w:pPr>
              <w:pStyle w:val="TableTextBullet"/>
            </w:pPr>
            <w:r>
              <w:t>If Close is selected, exits the report preview.</w:t>
            </w:r>
          </w:p>
        </w:tc>
      </w:tr>
    </w:tbl>
    <w:p w14:paraId="14798E4D" w14:textId="5E9AB2D6" w:rsidR="00823F23" w:rsidRPr="00BE47E0" w:rsidRDefault="00823F23" w:rsidP="00006995">
      <w:pPr>
        <w:pStyle w:val="Heading2"/>
      </w:pPr>
      <w:r w:rsidRPr="00BE47E0">
        <w:br w:type="page"/>
      </w:r>
    </w:p>
    <w:p w14:paraId="2253269F" w14:textId="77777777" w:rsidR="00823F23" w:rsidRDefault="00823F23" w:rsidP="00BE47E0">
      <w:pPr>
        <w:pStyle w:val="ListBullet"/>
        <w:numPr>
          <w:ilvl w:val="0"/>
          <w:numId w:val="0"/>
        </w:numPr>
        <w:ind w:left="648" w:hanging="360"/>
        <w:rPr>
          <w:rFonts w:ascii="Arial" w:hAnsi="Arial" w:cs="Arial"/>
          <w:b/>
          <w:bCs/>
          <w:kern w:val="32"/>
          <w:sz w:val="36"/>
          <w:szCs w:val="32"/>
        </w:rPr>
      </w:pPr>
    </w:p>
    <w:p w14:paraId="22971D09" w14:textId="3A4AAC65" w:rsidR="002A21AE" w:rsidRDefault="002A21AE" w:rsidP="00A04F10">
      <w:pPr>
        <w:pStyle w:val="Heading1"/>
      </w:pPr>
      <w:bookmarkStart w:id="563" w:name="_Toc149064200"/>
      <w:r>
        <w:t>References</w:t>
      </w:r>
      <w:bookmarkEnd w:id="563"/>
      <w:r>
        <w:fldChar w:fldCharType="begin"/>
      </w:r>
      <w:r>
        <w:instrText xml:space="preserve"> XE </w:instrText>
      </w:r>
      <w:r w:rsidR="00FA7E65">
        <w:instrText>“</w:instrText>
      </w:r>
      <w:r>
        <w:instrText>References</w:instrText>
      </w:r>
      <w:r w:rsidR="00FA7E65">
        <w:instrText>”</w:instrText>
      </w:r>
      <w:r>
        <w:instrText xml:space="preserve"> </w:instrText>
      </w:r>
      <w:r>
        <w:fldChar w:fldCharType="end"/>
      </w:r>
    </w:p>
    <w:p w14:paraId="1A41AB2D" w14:textId="77777777" w:rsidR="002A21AE" w:rsidRDefault="002A21AE">
      <w:pPr>
        <w:pStyle w:val="ListBullet"/>
        <w:rPr>
          <w:i/>
        </w:rPr>
      </w:pPr>
      <w:r>
        <w:t>Association for the Advancement of Medical Instrumentation, Arlington, Virginia.</w:t>
      </w:r>
      <w:r>
        <w:rPr>
          <w:i/>
        </w:rPr>
        <w:t xml:space="preserve"> The Quality System Compendium: GMP Requirements &amp; Industry Practice, </w:t>
      </w:r>
      <w:r>
        <w:t>1998.</w:t>
      </w:r>
    </w:p>
    <w:p w14:paraId="6450AD12" w14:textId="77777777" w:rsidR="002A21AE" w:rsidRPr="0026301E" w:rsidRDefault="002A21AE">
      <w:pPr>
        <w:pStyle w:val="ListBullet"/>
        <w:rPr>
          <w:i/>
        </w:rPr>
      </w:pPr>
      <w:r w:rsidRPr="0026301E">
        <w:t>Association for the Advancement of Medical Instrumentation.</w:t>
      </w:r>
      <w:r>
        <w:rPr>
          <w:i/>
        </w:rPr>
        <w:t xml:space="preserve"> </w:t>
      </w:r>
      <w:r w:rsidRPr="0026301E">
        <w:rPr>
          <w:i/>
        </w:rPr>
        <w:t>Medical device software—Software life cycle processes (ANSI/AAMI SW68:2001), 2001.</w:t>
      </w:r>
    </w:p>
    <w:p w14:paraId="060C6F92" w14:textId="77777777" w:rsidR="002A21AE" w:rsidRDefault="002A21AE">
      <w:pPr>
        <w:pStyle w:val="ListBullet"/>
        <w:rPr>
          <w:i/>
        </w:rPr>
      </w:pPr>
      <w:r w:rsidRPr="0026301E">
        <w:t>Brandt, Gwyneth. ClinicalTrialJobs.com. “Preparing for FDA Inspections.” July 18, 2002.</w:t>
      </w:r>
    </w:p>
    <w:p w14:paraId="2620FA53" w14:textId="77777777" w:rsidR="002A21AE" w:rsidRDefault="002A21AE">
      <w:pPr>
        <w:pStyle w:val="ListBullet"/>
      </w:pPr>
      <w:r>
        <w:rPr>
          <w:i/>
        </w:rPr>
        <w:t>Clinical Laboratory Technical Procedure Manuals</w:t>
      </w:r>
      <w:r>
        <w:rPr>
          <w:i/>
          <w:iCs/>
        </w:rPr>
        <w:t>; Approved Guideline—Fourth Edition</w:t>
      </w:r>
      <w:r>
        <w:t>, NCCLS document GP2-A4 (Wayne, PA: National Committee for Clinical Laboratory Standards, 2002).</w:t>
      </w:r>
    </w:p>
    <w:p w14:paraId="5A30042A" w14:textId="77777777" w:rsidR="002A21AE" w:rsidRDefault="002A21AE">
      <w:pPr>
        <w:pStyle w:val="ListBullet"/>
        <w:rPr>
          <w:i/>
        </w:rPr>
      </w:pPr>
      <w:r w:rsidRPr="0026301E">
        <w:t>CMMI Product Development Team, Carnegie Mellon Software Engineering Institute.</w:t>
      </w:r>
      <w:r>
        <w:rPr>
          <w:i/>
        </w:rPr>
        <w:t xml:space="preserve"> </w:t>
      </w:r>
      <w:r w:rsidRPr="0026301E">
        <w:rPr>
          <w:i/>
        </w:rPr>
        <w:t>CMMI</w:t>
      </w:r>
      <w:r w:rsidRPr="0026301E">
        <w:rPr>
          <w:i/>
          <w:vertAlign w:val="superscript"/>
        </w:rPr>
        <w:t>SM</w:t>
      </w:r>
      <w:r w:rsidRPr="0026301E">
        <w:rPr>
          <w:i/>
        </w:rPr>
        <w:t xml:space="preserve">-SE/SW, V1.0, Capability Maturity Model®—Integrated for Systems Engineering/Software Engineering, Version 1.0 </w:t>
      </w:r>
      <w:r w:rsidRPr="0026301E">
        <w:t>(Pittsburgh, PA: Carnegie Mellon Software Engineering Institute, August 2000).</w:t>
      </w:r>
    </w:p>
    <w:p w14:paraId="7F1C9A11" w14:textId="77777777" w:rsidR="002A21AE" w:rsidRDefault="002A21AE">
      <w:pPr>
        <w:pStyle w:val="ListBullet"/>
      </w:pPr>
      <w:r w:rsidRPr="0026301E">
        <w:t xml:space="preserve">Commission on Laboratory Accreditation, Laboratory Accreditation Program. </w:t>
      </w:r>
      <w:r>
        <w:rPr>
          <w:i/>
        </w:rPr>
        <w:t>Laboratory General Checklist</w:t>
      </w:r>
      <w:r>
        <w:t xml:space="preserve"> (Northfield, IL: </w:t>
      </w:r>
      <w:bookmarkStart w:id="564" w:name="OLE_LINK15"/>
      <w:bookmarkStart w:id="565" w:name="OLE_LINK16"/>
      <w:r>
        <w:t>College of American Pathologists</w:t>
      </w:r>
      <w:bookmarkEnd w:id="564"/>
      <w:bookmarkEnd w:id="565"/>
      <w:r w:rsidR="00680E9A">
        <w:t>, 201</w:t>
      </w:r>
      <w:r w:rsidR="00BE3412">
        <w:t>7</w:t>
      </w:r>
      <w:r>
        <w:t>).</w:t>
      </w:r>
    </w:p>
    <w:p w14:paraId="074F8414" w14:textId="77777777" w:rsidR="002A21AE" w:rsidRDefault="002A21AE">
      <w:pPr>
        <w:pStyle w:val="ListBullet"/>
      </w:pPr>
      <w:r w:rsidRPr="0026301E">
        <w:t xml:space="preserve">Commission on Laboratory Accreditation, Laboratory Accreditation Program. </w:t>
      </w:r>
      <w:r>
        <w:rPr>
          <w:i/>
        </w:rPr>
        <w:t>Transfusion Medicine Checklist</w:t>
      </w:r>
      <w:r>
        <w:t xml:space="preserve"> (Northfield, IL: Colle</w:t>
      </w:r>
      <w:r w:rsidR="00680E9A">
        <w:t>ge of American Pathologists, 201</w:t>
      </w:r>
      <w:r w:rsidR="00BE3412">
        <w:t>7</w:t>
      </w:r>
      <w:r>
        <w:t>).</w:t>
      </w:r>
    </w:p>
    <w:p w14:paraId="108A9729" w14:textId="77777777" w:rsidR="002A21AE" w:rsidRDefault="002A21AE">
      <w:pPr>
        <w:pStyle w:val="ListBullet"/>
        <w:rPr>
          <w:i/>
        </w:rPr>
      </w:pPr>
      <w:r>
        <w:t xml:space="preserve">Joint Commission on Accreditation of Healthcare Organizations. </w:t>
      </w:r>
      <w:r>
        <w:rPr>
          <w:i/>
        </w:rPr>
        <w:t>Comprehensive Accreditation Manual for Hospitals: The Official Handbook (CAMH)</w:t>
      </w:r>
      <w:r>
        <w:t>. (Oakbrook Terrace, Illinois: Joint Commission on Accreditation o</w:t>
      </w:r>
      <w:r w:rsidR="00680E9A">
        <w:t>f Healthcare Organizations, 2013</w:t>
      </w:r>
      <w:r>
        <w:t>).</w:t>
      </w:r>
    </w:p>
    <w:p w14:paraId="2FD5B399" w14:textId="77777777" w:rsidR="00C10667" w:rsidRDefault="00C10667">
      <w:pPr>
        <w:pStyle w:val="ListBullet"/>
      </w:pPr>
      <w:r>
        <w:t xml:space="preserve">Department of Veterans Affairs, </w:t>
      </w:r>
      <w:r w:rsidRPr="005F521F">
        <w:t>Software Engineering Process Group</w:t>
      </w:r>
      <w:r>
        <w:t xml:space="preserve"> (SEPG) and </w:t>
      </w:r>
      <w:r w:rsidRPr="005F521F">
        <w:t>Software Quality Assurance (SQA)</w:t>
      </w:r>
      <w:r>
        <w:t xml:space="preserve">, </w:t>
      </w:r>
      <w:r w:rsidRPr="00FF500D">
        <w:rPr>
          <w:i/>
        </w:rPr>
        <w:t>National Documentation Standards</w:t>
      </w:r>
      <w:r>
        <w:t xml:space="preserve"> (</w:t>
      </w:r>
      <w:r w:rsidR="00C827F9">
        <w:t>October</w:t>
      </w:r>
      <w:r>
        <w:t xml:space="preserve"> 2005).</w:t>
      </w:r>
    </w:p>
    <w:p w14:paraId="3457B4CC" w14:textId="77777777" w:rsidR="00C10667" w:rsidRPr="001C6432" w:rsidRDefault="00C10667">
      <w:pPr>
        <w:pStyle w:val="ListBullet"/>
        <w:rPr>
          <w:i/>
        </w:rPr>
      </w:pPr>
      <w:r>
        <w:t xml:space="preserve">Department of Veterans Affairs, Veterans Health Administration. </w:t>
      </w:r>
      <w:r>
        <w:rPr>
          <w:i/>
        </w:rPr>
        <w:t xml:space="preserve">VHA Directive 99-053, </w:t>
      </w:r>
      <w:r w:rsidR="00DD0D86">
        <w:rPr>
          <w:i/>
        </w:rPr>
        <w:t>VBECS</w:t>
      </w:r>
      <w:r>
        <w:rPr>
          <w:i/>
        </w:rPr>
        <w:t xml:space="preserve"> Blood Bank Software</w:t>
      </w:r>
      <w:r w:rsidR="00DD0D86">
        <w:t>, November 8, 2007</w:t>
      </w:r>
      <w:r>
        <w:t>.</w:t>
      </w:r>
    </w:p>
    <w:p w14:paraId="23BFC323" w14:textId="77777777" w:rsidR="002A21AE" w:rsidRDefault="002A21AE">
      <w:pPr>
        <w:pStyle w:val="ListBullet"/>
        <w:rPr>
          <w:i/>
        </w:rPr>
      </w:pPr>
      <w:r>
        <w:t xml:space="preserve">Galloway, Dianne. </w:t>
      </w:r>
      <w:r>
        <w:rPr>
          <w:i/>
        </w:rPr>
        <w:t>Mapping Work Processes</w:t>
      </w:r>
      <w:r>
        <w:t>. (Milwaukee, Wisconsin: ASQ Quality Press, 1994).</w:t>
      </w:r>
    </w:p>
    <w:p w14:paraId="0EADE511" w14:textId="77777777" w:rsidR="002A21AE" w:rsidRDefault="002A21AE">
      <w:pPr>
        <w:pStyle w:val="ListBullet"/>
        <w:rPr>
          <w:i/>
        </w:rPr>
      </w:pPr>
      <w:r>
        <w:rPr>
          <w:i/>
        </w:rPr>
        <w:t>General Principles of Software Validation; Final Guidance for Industry and FDA Staff</w:t>
      </w:r>
      <w:r>
        <w:t xml:space="preserve"> (U.S. Department Of Health and Human Services, Food and Drug Administration, Center for Devices and Radiological Health, Center for Biologics Evaluation and Research, January 11, 2002).</w:t>
      </w:r>
    </w:p>
    <w:p w14:paraId="40397E5D" w14:textId="77777777" w:rsidR="002A21AE" w:rsidRDefault="002A21AE">
      <w:pPr>
        <w:pStyle w:val="ListBullet"/>
      </w:pPr>
      <w:r>
        <w:rPr>
          <w:i/>
        </w:rPr>
        <w:t>Guidance for Industry and FDA Premarket and Design Control Reviewers, Medical Device Use-Safety: Incorporating Human Factors Engineering into Risk Management</w:t>
      </w:r>
      <w:r>
        <w:t xml:space="preserve"> (U.S. Department of Health and Human Services, Food and Drug Administration, Center for Devices and Radiological Health, Division of Device User Programs and Systems Analysis, Office of Health and Industry Programs, July 18, 2000).</w:t>
      </w:r>
    </w:p>
    <w:p w14:paraId="78B190AC" w14:textId="77777777" w:rsidR="002A21AE" w:rsidRPr="0000295A" w:rsidRDefault="002A21AE">
      <w:pPr>
        <w:pStyle w:val="ListBullet"/>
        <w:rPr>
          <w:i/>
        </w:rPr>
      </w:pPr>
      <w:r>
        <w:rPr>
          <w:i/>
        </w:rPr>
        <w:t>Guidance for Industry, FDA Reviewers and Compliance on Off-The-Shelf Software Use in Medical Devices</w:t>
      </w:r>
      <w:r>
        <w:t xml:space="preserve"> (U.S. Department Of Health And Human Services, Food and Drug Administration, Center for Devices and Radiological Health, Office of Device Evaluation, September 9, 1999).</w:t>
      </w:r>
    </w:p>
    <w:p w14:paraId="4F07FCFC" w14:textId="77777777" w:rsidR="0000295A" w:rsidRDefault="0000295A">
      <w:pPr>
        <w:pStyle w:val="ListBullet"/>
        <w:rPr>
          <w:i/>
        </w:rPr>
      </w:pPr>
      <w:r w:rsidRPr="00257AD6">
        <w:rPr>
          <w:i/>
        </w:rPr>
        <w:t xml:space="preserve">Guidelines for </w:t>
      </w:r>
      <w:r w:rsidRPr="00257AD6">
        <w:rPr>
          <w:bCs/>
          <w:i/>
        </w:rPr>
        <w:t>Implementing the Electronic Crossmatch</w:t>
      </w:r>
      <w:r w:rsidRPr="0026301E">
        <w:t xml:space="preserve"> (Bethesda, MD: American Association of Blood Banks, 200</w:t>
      </w:r>
      <w:r>
        <w:t>3</w:t>
      </w:r>
      <w:r w:rsidRPr="0026301E">
        <w:t>).</w:t>
      </w:r>
    </w:p>
    <w:p w14:paraId="00813BF9" w14:textId="77777777" w:rsidR="002A21AE" w:rsidRPr="0026301E" w:rsidRDefault="002A21AE">
      <w:pPr>
        <w:pStyle w:val="ListBullet"/>
        <w:rPr>
          <w:i/>
        </w:rPr>
      </w:pPr>
      <w:r w:rsidRPr="0026301E">
        <w:rPr>
          <w:i/>
        </w:rPr>
        <w:t xml:space="preserve">Guidelines for the Labeling of Specimens for Compatibility Testing. </w:t>
      </w:r>
      <w:r w:rsidRPr="0026301E">
        <w:t xml:space="preserve">Ed. James P. </w:t>
      </w:r>
      <w:proofErr w:type="spellStart"/>
      <w:r w:rsidRPr="0026301E">
        <w:t>AuBuchon</w:t>
      </w:r>
      <w:proofErr w:type="spellEnd"/>
      <w:r w:rsidRPr="0026301E">
        <w:t>, MD. (Bethesda, MD: American Association of Blood Banks, 2002).</w:t>
      </w:r>
    </w:p>
    <w:p w14:paraId="78E66C90" w14:textId="77777777" w:rsidR="002A21AE" w:rsidRDefault="002A21AE">
      <w:pPr>
        <w:pStyle w:val="ListBullet"/>
        <w:rPr>
          <w:i/>
        </w:rPr>
      </w:pPr>
      <w:r>
        <w:rPr>
          <w:i/>
          <w:iCs/>
        </w:rPr>
        <w:t>Guidelines for the Laboratory Evaluation of Transfusion Reactions</w:t>
      </w:r>
      <w:r>
        <w:t xml:space="preserve"> (Bethesda, MD: American Association of Blood Banks, 2003).</w:t>
      </w:r>
    </w:p>
    <w:p w14:paraId="3ADFB77E" w14:textId="77777777" w:rsidR="002A21AE" w:rsidRDefault="002A21AE">
      <w:pPr>
        <w:pStyle w:val="ListBullet"/>
      </w:pPr>
      <w:r>
        <w:rPr>
          <w:i/>
        </w:rPr>
        <w:t>IEEE Standard for Software Configuration Management Plans</w:t>
      </w:r>
      <w:r>
        <w:rPr>
          <w:iCs/>
        </w:rPr>
        <w:t xml:space="preserve"> (IEEE Std 828-1998) (New York: Institute of Electrical and Electronic Engineers, Inc., 1998).</w:t>
      </w:r>
    </w:p>
    <w:p w14:paraId="338F206F" w14:textId="77777777" w:rsidR="002A21AE" w:rsidRDefault="002A21AE">
      <w:pPr>
        <w:pStyle w:val="ListBullet"/>
      </w:pPr>
      <w:r>
        <w:rPr>
          <w:i/>
        </w:rPr>
        <w:t>ISBT 128 Bar Code Symbology and Application Specification for Labeling of Whole Blood and Blood Components,</w:t>
      </w:r>
      <w:r>
        <w:t xml:space="preserve"> Version Number 1.4.0 [York, PA: International Council for Commonality in Blood Banking Automation (ICCBBA), June 2001].</w:t>
      </w:r>
    </w:p>
    <w:p w14:paraId="14DC1CFE" w14:textId="77777777" w:rsidR="002A21AE" w:rsidRDefault="002A21AE">
      <w:pPr>
        <w:pStyle w:val="ListBullet"/>
        <w:rPr>
          <w:i/>
        </w:rPr>
      </w:pPr>
      <w:r>
        <w:t xml:space="preserve">Jacobson, Ivar, Grady </w:t>
      </w:r>
      <w:proofErr w:type="spellStart"/>
      <w:r>
        <w:t>Booch</w:t>
      </w:r>
      <w:proofErr w:type="spellEnd"/>
      <w:r>
        <w:t xml:space="preserve">, and James Rumbaugh. </w:t>
      </w:r>
      <w:r>
        <w:rPr>
          <w:i/>
        </w:rPr>
        <w:t>The Unified Software Development Process</w:t>
      </w:r>
      <w:r>
        <w:t xml:space="preserve"> (Boston: Addison-Wesley, 1999).</w:t>
      </w:r>
    </w:p>
    <w:p w14:paraId="5B50E781" w14:textId="77777777" w:rsidR="002A21AE" w:rsidRDefault="002A21AE">
      <w:pPr>
        <w:pStyle w:val="ListBullet"/>
        <w:rPr>
          <w:i/>
        </w:rPr>
      </w:pPr>
      <w:r>
        <w:rPr>
          <w:i/>
        </w:rPr>
        <w:t>Medical devices—Application of risk management to medical devices</w:t>
      </w:r>
      <w:r>
        <w:t xml:space="preserve"> (ANSI/AAMI/ISO 14971:2000), 2001. Association for the Advancement of Medical Instrumentation.</w:t>
      </w:r>
    </w:p>
    <w:p w14:paraId="49CE38A6" w14:textId="77777777" w:rsidR="002A21AE" w:rsidRDefault="002A21AE">
      <w:pPr>
        <w:pStyle w:val="ListBullet"/>
      </w:pPr>
      <w:proofErr w:type="spellStart"/>
      <w:r>
        <w:t>Nevalainen</w:t>
      </w:r>
      <w:proofErr w:type="spellEnd"/>
      <w:r>
        <w:t xml:space="preserve">, D. E. and M. F. </w:t>
      </w:r>
      <w:proofErr w:type="spellStart"/>
      <w:r>
        <w:t>Callery</w:t>
      </w:r>
      <w:proofErr w:type="spellEnd"/>
      <w:r>
        <w:t xml:space="preserve">. </w:t>
      </w:r>
      <w:r>
        <w:rPr>
          <w:i/>
        </w:rPr>
        <w:t>Applying Self-Assessment and Process Analysis to Create a Quality System</w:t>
      </w:r>
      <w:r>
        <w:t xml:space="preserve"> (Basel, Switzerland: S. Karger Publishing, 1995).</w:t>
      </w:r>
    </w:p>
    <w:p w14:paraId="07600AA8" w14:textId="77777777" w:rsidR="00994DBA" w:rsidRDefault="00994DBA">
      <w:pPr>
        <w:pStyle w:val="ListBullet"/>
      </w:pPr>
      <w:r>
        <w:t xml:space="preserve">Nozick, Robin F. “Demystifying the Information Systems Validation Process,” </w:t>
      </w:r>
      <w:r w:rsidRPr="008D14C3">
        <w:rPr>
          <w:i/>
        </w:rPr>
        <w:t>AABB News</w:t>
      </w:r>
      <w:r>
        <w:t xml:space="preserve"> 7:6 (</w:t>
      </w:r>
      <w:r w:rsidR="008D14C3">
        <w:t xml:space="preserve">2005): </w:t>
      </w:r>
      <w:r>
        <w:t>50–51.</w:t>
      </w:r>
    </w:p>
    <w:p w14:paraId="0A85740D" w14:textId="77777777" w:rsidR="002A21AE" w:rsidRPr="00BA2FFC" w:rsidRDefault="002A21AE">
      <w:pPr>
        <w:pStyle w:val="ListBullet"/>
      </w:pPr>
      <w:r w:rsidRPr="00BA2FFC">
        <w:rPr>
          <w:i/>
        </w:rPr>
        <w:t>Object-Oriented Analysis and Design Using the UML: Student Manual, Book 1, Version 4.2</w:t>
      </w:r>
      <w:r w:rsidRPr="00BA2FFC">
        <w:t xml:space="preserve"> (Cupertino, CA: Rational Corporation, 1999).</w:t>
      </w:r>
    </w:p>
    <w:p w14:paraId="3CC1BFDC" w14:textId="77777777" w:rsidR="002A21AE" w:rsidRDefault="002A21AE">
      <w:pPr>
        <w:pStyle w:val="ListBullet"/>
      </w:pPr>
      <w:r w:rsidRPr="00BA2FFC">
        <w:rPr>
          <w:i/>
        </w:rPr>
        <w:t xml:space="preserve">Rational </w:t>
      </w:r>
      <w:r w:rsidR="007E56E1">
        <w:rPr>
          <w:i/>
        </w:rPr>
        <w:t>Team Concert. Version 6.0.5</w:t>
      </w:r>
      <w:r w:rsidR="00451526">
        <w:rPr>
          <w:i/>
        </w:rPr>
        <w:t>,</w:t>
      </w:r>
      <w:r w:rsidRPr="00BA2FFC">
        <w:t xml:space="preserve"> Rational Software Corporation.</w:t>
      </w:r>
    </w:p>
    <w:p w14:paraId="6FEA2A0B" w14:textId="77777777" w:rsidR="008D65D0" w:rsidRPr="008D65D0" w:rsidRDefault="008D65D0">
      <w:pPr>
        <w:pStyle w:val="ListBullet"/>
      </w:pPr>
      <w:r w:rsidRPr="008D65D0">
        <w:rPr>
          <w:i/>
        </w:rPr>
        <w:t>Deciding When to Submit a 510(k) for a Software Change to an Existing Device</w:t>
      </w:r>
      <w:r>
        <w:t>, October 25, 2017.</w:t>
      </w:r>
    </w:p>
    <w:p w14:paraId="055BE102" w14:textId="65CD6C30" w:rsidR="002A21AE" w:rsidRDefault="00483FF1">
      <w:pPr>
        <w:pStyle w:val="ListBullet"/>
      </w:pPr>
      <w:r>
        <w:rPr>
          <w:i/>
        </w:rPr>
        <w:t xml:space="preserve">Department of Veterans Affairs, </w:t>
      </w:r>
      <w:r w:rsidR="006549B7">
        <w:rPr>
          <w:i/>
        </w:rPr>
        <w:t>Office</w:t>
      </w:r>
      <w:r>
        <w:rPr>
          <w:i/>
        </w:rPr>
        <w:t xml:space="preserve"> of Information and Technology (OIT) </w:t>
      </w:r>
      <w:r w:rsidR="002A21AE">
        <w:rPr>
          <w:i/>
        </w:rPr>
        <w:t xml:space="preserve">Documentation Style </w:t>
      </w:r>
      <w:r>
        <w:rPr>
          <w:i/>
        </w:rPr>
        <w:t>Guide</w:t>
      </w:r>
      <w:r>
        <w:t>, October 2016</w:t>
      </w:r>
      <w:r w:rsidR="002A21AE">
        <w:t>.</w:t>
      </w:r>
    </w:p>
    <w:p w14:paraId="30D3CAB1" w14:textId="77777777" w:rsidR="002A21AE" w:rsidRDefault="002A21AE">
      <w:pPr>
        <w:pStyle w:val="ListBullet"/>
        <w:rPr>
          <w:i/>
        </w:rPr>
      </w:pPr>
      <w:r>
        <w:rPr>
          <w:i/>
        </w:rPr>
        <w:t xml:space="preserve">Standards for Blood Banks and Transfusion Services. </w:t>
      </w:r>
      <w:r>
        <w:t>Twenty-</w:t>
      </w:r>
      <w:r w:rsidR="00680E9A">
        <w:t>ninth</w:t>
      </w:r>
      <w:r>
        <w:t xml:space="preserve"> edition (Bethesda, MD: American Association </w:t>
      </w:r>
      <w:r w:rsidR="00680E9A">
        <w:t>of Blood Banks, 2014</w:t>
      </w:r>
      <w:r>
        <w:t>).</w:t>
      </w:r>
    </w:p>
    <w:p w14:paraId="4813AE49" w14:textId="77777777" w:rsidR="002A21AE" w:rsidRDefault="002A21AE">
      <w:pPr>
        <w:pStyle w:val="ListBullet"/>
        <w:rPr>
          <w:i/>
        </w:rPr>
      </w:pPr>
      <w:r>
        <w:rPr>
          <w:i/>
        </w:rPr>
        <w:t xml:space="preserve">Technical Manual. </w:t>
      </w:r>
      <w:r w:rsidR="00680E9A">
        <w:rPr>
          <w:i/>
        </w:rPr>
        <w:t>Eighteenth</w:t>
      </w:r>
      <w:r>
        <w:rPr>
          <w:i/>
        </w:rPr>
        <w:t xml:space="preserve"> edition </w:t>
      </w:r>
      <w:r>
        <w:t>(Bethesda, MD: American</w:t>
      </w:r>
      <w:r w:rsidR="00680E9A">
        <w:t xml:space="preserve"> Association of Blood Banks, 2014</w:t>
      </w:r>
      <w:r>
        <w:t>).</w:t>
      </w:r>
    </w:p>
    <w:p w14:paraId="3611F306" w14:textId="77777777" w:rsidR="00D931C3" w:rsidRPr="00D931C3" w:rsidRDefault="00D931C3" w:rsidP="00D931C3">
      <w:pPr>
        <w:pStyle w:val="ListBullet"/>
      </w:pPr>
      <w:r w:rsidRPr="00D931C3">
        <w:rPr>
          <w:i/>
        </w:rPr>
        <w:t>The Chicago Manual of Style</w:t>
      </w:r>
      <w:r w:rsidR="00680E9A">
        <w:t>, 16</w:t>
      </w:r>
      <w:r w:rsidRPr="00D931C3">
        <w:t>th</w:t>
      </w:r>
      <w:r>
        <w:t xml:space="preserve"> ed., (Chicago: The U</w:t>
      </w:r>
      <w:r w:rsidR="00680E9A">
        <w:t>niversity of Chicago Press, 2014</w:t>
      </w:r>
      <w:r>
        <w:t>).</w:t>
      </w:r>
    </w:p>
    <w:p w14:paraId="69A4F21D" w14:textId="77777777" w:rsidR="002A21AE" w:rsidRDefault="002A21AE">
      <w:pPr>
        <w:pStyle w:val="ListBullet"/>
        <w:rPr>
          <w:i/>
        </w:rPr>
      </w:pPr>
      <w:r>
        <w:rPr>
          <w:i/>
        </w:rPr>
        <w:t>Title 21 Code of Federal Regulations,</w:t>
      </w:r>
      <w:r>
        <w:t xml:space="preserve"> Part 11, Electronic Records; Electronic Signatures.</w:t>
      </w:r>
    </w:p>
    <w:p w14:paraId="77E92091" w14:textId="77777777" w:rsidR="002A21AE" w:rsidRDefault="002A21AE">
      <w:pPr>
        <w:pStyle w:val="ListBullet"/>
        <w:rPr>
          <w:i/>
        </w:rPr>
      </w:pPr>
      <w:r>
        <w:rPr>
          <w:i/>
        </w:rPr>
        <w:t xml:space="preserve">Title 21 Code of Federal Regulations, </w:t>
      </w:r>
      <w:r>
        <w:t>Part 803, Medical Device Reporting.</w:t>
      </w:r>
    </w:p>
    <w:p w14:paraId="4593594E" w14:textId="77777777" w:rsidR="002A21AE" w:rsidRDefault="002A21AE">
      <w:pPr>
        <w:pStyle w:val="ListBullet"/>
        <w:rPr>
          <w:i/>
        </w:rPr>
      </w:pPr>
      <w:r>
        <w:rPr>
          <w:i/>
        </w:rPr>
        <w:t xml:space="preserve">Title 21 Code of Federal Regulations, </w:t>
      </w:r>
      <w:r>
        <w:t>Part 806, Medical Devices; Reports of Corrections and Removals.</w:t>
      </w:r>
    </w:p>
    <w:p w14:paraId="40D5DE47" w14:textId="77777777" w:rsidR="002A21AE" w:rsidRDefault="002A21AE">
      <w:pPr>
        <w:pStyle w:val="ListBullet"/>
        <w:rPr>
          <w:i/>
        </w:rPr>
      </w:pPr>
      <w:r>
        <w:rPr>
          <w:i/>
        </w:rPr>
        <w:t>Title 21 Code of Federal Regulations,</w:t>
      </w:r>
      <w:r>
        <w:t xml:space="preserve"> Part 807, Establishment Registration and Device Listing for Manufacturers and Initial Importers of Devices.</w:t>
      </w:r>
    </w:p>
    <w:p w14:paraId="67BD1492" w14:textId="77777777" w:rsidR="002A21AE" w:rsidRDefault="002A21AE">
      <w:pPr>
        <w:pStyle w:val="ListBullet"/>
        <w:rPr>
          <w:i/>
        </w:rPr>
      </w:pPr>
      <w:r>
        <w:rPr>
          <w:i/>
        </w:rPr>
        <w:t>Title 21 Code of Federal Regulations</w:t>
      </w:r>
      <w:r>
        <w:t>, Part 810, Medical Device Recall Authority.</w:t>
      </w:r>
    </w:p>
    <w:p w14:paraId="5BCB0984" w14:textId="77777777" w:rsidR="002A21AE" w:rsidRDefault="002A21AE">
      <w:pPr>
        <w:pStyle w:val="ListBullet"/>
        <w:rPr>
          <w:i/>
        </w:rPr>
      </w:pPr>
      <w:r>
        <w:rPr>
          <w:i/>
        </w:rPr>
        <w:t xml:space="preserve">Title 21 Code of Federal Regulations, </w:t>
      </w:r>
      <w:r>
        <w:t>Part 820, Quality System Regulation.</w:t>
      </w:r>
    </w:p>
    <w:p w14:paraId="1738FD0C" w14:textId="77777777" w:rsidR="002A21AE" w:rsidRDefault="002A21AE">
      <w:pPr>
        <w:pStyle w:val="ListBullet"/>
        <w:rPr>
          <w:i/>
        </w:rPr>
      </w:pPr>
      <w:r>
        <w:rPr>
          <w:i/>
        </w:rPr>
        <w:t>Title 21 Code of Federal Regulations,</w:t>
      </w:r>
      <w:r>
        <w:t xml:space="preserve"> Parts 200 to 299, Food and Drugs.</w:t>
      </w:r>
    </w:p>
    <w:p w14:paraId="00508503" w14:textId="77777777" w:rsidR="002A21AE" w:rsidRDefault="002A21AE">
      <w:pPr>
        <w:pStyle w:val="ListBullet"/>
        <w:rPr>
          <w:i/>
        </w:rPr>
      </w:pPr>
      <w:r>
        <w:rPr>
          <w:i/>
        </w:rPr>
        <w:t>Title 21 Code of Federal Regulations,</w:t>
      </w:r>
      <w:r>
        <w:t xml:space="preserve"> Parts 600 to 799, Food and Drugs.</w:t>
      </w:r>
    </w:p>
    <w:p w14:paraId="2C0B7ACA" w14:textId="77777777" w:rsidR="002A21AE" w:rsidRDefault="002A21AE">
      <w:pPr>
        <w:pStyle w:val="ListBullet"/>
        <w:rPr>
          <w:i/>
        </w:rPr>
      </w:pPr>
      <w:r>
        <w:rPr>
          <w:i/>
        </w:rPr>
        <w:t>Title 21 Code of Federal Regulations,</w:t>
      </w:r>
      <w:r>
        <w:t xml:space="preserve"> Parts 800 to 1299, Food and Drugs.</w:t>
      </w:r>
    </w:p>
    <w:p w14:paraId="4F7261CA" w14:textId="77777777" w:rsidR="002A21AE" w:rsidRDefault="002A21AE">
      <w:pPr>
        <w:pStyle w:val="ListBullet"/>
      </w:pPr>
      <w:r>
        <w:t xml:space="preserve">Trautman, Kimberly A. </w:t>
      </w:r>
      <w:r>
        <w:rPr>
          <w:i/>
        </w:rPr>
        <w:t xml:space="preserve">The FDA and Worldwide Quality System Requirements Guidebook for Medical Devices </w:t>
      </w:r>
      <w:r>
        <w:t>(Milwaukee, Wisconsin: ASQ Quality Press, 1997).</w:t>
      </w:r>
    </w:p>
    <w:p w14:paraId="721E5267" w14:textId="77777777" w:rsidR="002A21AE" w:rsidRDefault="002A21AE">
      <w:pPr>
        <w:pStyle w:val="ListBullet"/>
      </w:pPr>
      <w:r>
        <w:t xml:space="preserve">U.S. Department Of Health and Human Services, Food and Drug Administration, Center for Devices and Radiological Health. </w:t>
      </w:r>
      <w:r>
        <w:rPr>
          <w:i/>
        </w:rPr>
        <w:t>Design Control Guidance for Medical Device Manufacturers</w:t>
      </w:r>
      <w:r>
        <w:t>, March 11, 1997.</w:t>
      </w:r>
    </w:p>
    <w:p w14:paraId="104C3953" w14:textId="77777777" w:rsidR="002A21AE" w:rsidRDefault="002A21AE">
      <w:pPr>
        <w:pStyle w:val="ListBullet"/>
      </w:pPr>
      <w:r>
        <w:t xml:space="preserve">U.S. Department Of Health and Human Services, Food and Drug Administration, Center for Devices and Radiological Health. </w:t>
      </w:r>
      <w:r>
        <w:rPr>
          <w:i/>
        </w:rPr>
        <w:t>Inspection of Medical Device Manufacturers, Final Guidance for Industry and FDA</w:t>
      </w:r>
      <w:r>
        <w:t>, February 7, 2001.</w:t>
      </w:r>
    </w:p>
    <w:p w14:paraId="573FDB06" w14:textId="77777777" w:rsidR="002A21AE" w:rsidRDefault="002A21AE">
      <w:pPr>
        <w:pStyle w:val="ListBullet"/>
      </w:pPr>
      <w:r>
        <w:t xml:space="preserve">U.S. Department Of Health and Human Services, Food and Drug Administration, Center for Devices and Radiological Health. </w:t>
      </w:r>
      <w:r>
        <w:rPr>
          <w:i/>
        </w:rPr>
        <w:t>Medical Device Quality Systems Manual: A Small Entity Compliance Guide</w:t>
      </w:r>
      <w:r>
        <w:t>. First edition, December 1996.</w:t>
      </w:r>
    </w:p>
    <w:p w14:paraId="47C26606" w14:textId="77777777" w:rsidR="002A21AE" w:rsidRDefault="002A21AE">
      <w:pPr>
        <w:pStyle w:val="ListBullet"/>
        <w:rPr>
          <w:i/>
        </w:rPr>
      </w:pPr>
      <w:r>
        <w:t xml:space="preserve">U.S. Department Of Health And Human Services, Food and Drug Administration, Center for Devices and Radiological Health, Office of Device Evaluation. </w:t>
      </w:r>
      <w:r>
        <w:rPr>
          <w:i/>
        </w:rPr>
        <w:t>Guidance for the Content of Premarket Submissions for Software Contained in Medical Devices</w:t>
      </w:r>
      <w:r>
        <w:t>, May 29, 1998.</w:t>
      </w:r>
    </w:p>
    <w:p w14:paraId="07D0BCCA" w14:textId="77777777" w:rsidR="002A21AE" w:rsidRDefault="002A21AE">
      <w:pPr>
        <w:pStyle w:val="ListBullet"/>
        <w:rPr>
          <w:i/>
        </w:rPr>
      </w:pPr>
      <w:r>
        <w:t xml:space="preserve">U.S. Department Of Health And Human Services, Food and Drug Administration, Center for Devices and Radiological Health, Office of Regulatory Affairs. </w:t>
      </w:r>
      <w:r>
        <w:rPr>
          <w:i/>
        </w:rPr>
        <w:t>Glossary of Computerized System and Software Development Terminology</w:t>
      </w:r>
      <w:r>
        <w:t>, August 1995.</w:t>
      </w:r>
    </w:p>
    <w:p w14:paraId="6DE7453B" w14:textId="77777777" w:rsidR="002A21AE" w:rsidRDefault="002A21AE">
      <w:pPr>
        <w:pStyle w:val="ListBullet"/>
        <w:rPr>
          <w:i/>
        </w:rPr>
      </w:pPr>
      <w:r>
        <w:t xml:space="preserve">U.S. Department Of Health and Human Services, Food and Drug Administration, Center for Devices and Radiological Health. </w:t>
      </w:r>
      <w:r>
        <w:rPr>
          <w:i/>
        </w:rPr>
        <w:t>Premarket Approval Manual</w:t>
      </w:r>
      <w:r>
        <w:t>. January 1998.</w:t>
      </w:r>
    </w:p>
    <w:p w14:paraId="5C57DCF2" w14:textId="77777777" w:rsidR="002A21AE" w:rsidRDefault="002A21AE">
      <w:pPr>
        <w:pStyle w:val="ListBullet"/>
      </w:pPr>
      <w:r>
        <w:t>U.S. Food and Drug Administration, Office of Regulatory Affairs and the Center for Devices and Radiological Health</w:t>
      </w:r>
      <w:r w:rsidR="00845D52">
        <w:t>.</w:t>
      </w:r>
      <w:r>
        <w:t xml:space="preserve"> </w:t>
      </w:r>
      <w:r>
        <w:rPr>
          <w:i/>
        </w:rPr>
        <w:t>Guide to Inspections of Medical Device Manufacturers</w:t>
      </w:r>
      <w:r>
        <w:t>,</w:t>
      </w:r>
      <w:r>
        <w:rPr>
          <w:i/>
        </w:rPr>
        <w:t xml:space="preserve"> </w:t>
      </w:r>
      <w:r>
        <w:t>December 1997.</w:t>
      </w:r>
    </w:p>
    <w:p w14:paraId="31C41B23" w14:textId="77777777" w:rsidR="002A21AE" w:rsidRDefault="002A21AE">
      <w:pPr>
        <w:pStyle w:val="ListBullet"/>
      </w:pPr>
      <w:r>
        <w:t xml:space="preserve">U.S. Food and Drug Administration, ORA Inspectional References, Quality Inspection System Technique. </w:t>
      </w:r>
      <w:r>
        <w:rPr>
          <w:i/>
        </w:rPr>
        <w:t>Guide to Inspections of Quality Systems</w:t>
      </w:r>
      <w:r>
        <w:t>, August 1999.</w:t>
      </w:r>
    </w:p>
    <w:p w14:paraId="4B51E4C8" w14:textId="77777777" w:rsidR="002A21AE" w:rsidRDefault="002A21AE">
      <w:pPr>
        <w:pStyle w:val="ListBullet"/>
      </w:pPr>
      <w:r>
        <w:rPr>
          <w:i/>
        </w:rPr>
        <w:t>United States Industry Consensus Standard for the Uniform Labeling of Blood and Blood Components Using</w:t>
      </w:r>
      <w:r w:rsidRPr="00845D52">
        <w:rPr>
          <w:i/>
        </w:rPr>
        <w:t xml:space="preserve"> ISBT 128, Version 1.2.0</w:t>
      </w:r>
      <w:r>
        <w:t>, prepared by the International Council for Commonality in Blood Banking Automation, Inc. (U.S. Department of Health and Human Services, Food and Drug Administration, Center for Biologics Evaluation and Research, November 1999).</w:t>
      </w:r>
    </w:p>
    <w:p w14:paraId="1FC2A90C" w14:textId="77777777" w:rsidR="00FE1B9A" w:rsidRDefault="00782012">
      <w:pPr>
        <w:pStyle w:val="ListBullet"/>
      </w:pPr>
      <w:r>
        <w:rPr>
          <w:i/>
        </w:rPr>
        <w:t>Office of Enterprise Developme</w:t>
      </w:r>
      <w:r w:rsidR="00FE1B9A">
        <w:rPr>
          <w:i/>
        </w:rPr>
        <w:t>nt Documentation Standards, Version 1</w:t>
      </w:r>
      <w:r w:rsidR="00FE1B9A" w:rsidRPr="00FE1B9A">
        <w:t>.</w:t>
      </w:r>
      <w:r w:rsidR="00FE1B9A">
        <w:t>4, June 2009.</w:t>
      </w:r>
    </w:p>
    <w:p w14:paraId="09DBE36A" w14:textId="77777777" w:rsidR="002A21AE" w:rsidRDefault="002A21AE">
      <w:pPr>
        <w:pStyle w:val="ListBullet"/>
      </w:pPr>
      <w:r>
        <w:t xml:space="preserve">Wilson, Paul F., Larry D. Dell, and Gaylord F. Anderson. </w:t>
      </w:r>
      <w:r>
        <w:rPr>
          <w:i/>
        </w:rPr>
        <w:t>Root Cause Analysis: A Tool for Total Quality Management</w:t>
      </w:r>
      <w:r>
        <w:t xml:space="preserve"> (Milwaukee, Wisconsin: ASQ Quality Press, 1993).</w:t>
      </w:r>
    </w:p>
    <w:p w14:paraId="53B019DF" w14:textId="77777777" w:rsidR="002A21AE" w:rsidRDefault="002A21AE">
      <w:pPr>
        <w:pStyle w:val="ListBullet"/>
      </w:pPr>
      <w:r>
        <w:rPr>
          <w:i/>
        </w:rPr>
        <w:t>ZPL II Programming Guide</w:t>
      </w:r>
      <w:r>
        <w:t>, Customer order # 46530L, Manufacturer part # 46530LB (Zebr</w:t>
      </w:r>
      <w:r w:rsidR="00845B27">
        <w:t>a Technologies Corporation, November 18, 201</w:t>
      </w:r>
      <w:r w:rsidR="00680E9A">
        <w:t>6</w:t>
      </w:r>
      <w:r>
        <w:t>).</w:t>
      </w:r>
    </w:p>
    <w:p w14:paraId="37F7EFEE" w14:textId="77777777" w:rsidR="002A21AE" w:rsidRDefault="002A21AE">
      <w:pPr>
        <w:pStyle w:val="Heading1"/>
      </w:pPr>
      <w:r>
        <w:br w:type="page"/>
      </w:r>
      <w:bookmarkStart w:id="566" w:name="_Toc149064201"/>
      <w:r>
        <w:t>Glossary</w:t>
      </w:r>
      <w:bookmarkEnd w:id="566"/>
      <w:r>
        <w:fldChar w:fldCharType="begin"/>
      </w:r>
      <w:r>
        <w:instrText xml:space="preserve"> XE </w:instrText>
      </w:r>
      <w:r w:rsidR="00FA7E65">
        <w:instrText>“</w:instrText>
      </w:r>
      <w:r>
        <w:instrText>Glossary</w:instrText>
      </w:r>
      <w:r w:rsidR="00FA7E65">
        <w:instrText>”</w:instrText>
      </w:r>
      <w:r>
        <w:instrText xml:space="preserve"> </w:instrText>
      </w:r>
      <w:r>
        <w:fldChar w:fldCharType="end"/>
      </w:r>
    </w:p>
    <w:tbl>
      <w:tblPr>
        <w:tblW w:w="4944" w:type="pct"/>
        <w:tblLook w:val="0000" w:firstRow="0" w:lastRow="0" w:firstColumn="0" w:lastColumn="0" w:noHBand="0" w:noVBand="0"/>
      </w:tblPr>
      <w:tblGrid>
        <w:gridCol w:w="3097"/>
        <w:gridCol w:w="6158"/>
      </w:tblGrid>
      <w:tr w:rsidR="00AF274B" w14:paraId="14DDFE36" w14:textId="77777777">
        <w:trPr>
          <w:cantSplit/>
          <w:trHeight w:val="403"/>
          <w:tblHeader/>
        </w:trPr>
        <w:tc>
          <w:tcPr>
            <w:tcW w:w="1673" w:type="pct"/>
            <w:shd w:val="clear" w:color="auto" w:fill="B3B3B3"/>
            <w:vAlign w:val="bottom"/>
          </w:tcPr>
          <w:p w14:paraId="3DBC3F66" w14:textId="77777777" w:rsidR="00AF274B" w:rsidRDefault="00AF274B">
            <w:pPr>
              <w:pStyle w:val="GlossaryTableText"/>
              <w:rPr>
                <w:b/>
                <w:bCs/>
              </w:rPr>
            </w:pPr>
            <w:r>
              <w:rPr>
                <w:b/>
                <w:bCs/>
              </w:rPr>
              <w:t>Acronym, Term</w:t>
            </w:r>
          </w:p>
        </w:tc>
        <w:tc>
          <w:tcPr>
            <w:tcW w:w="3327" w:type="pct"/>
            <w:shd w:val="clear" w:color="auto" w:fill="B3B3B3"/>
            <w:vAlign w:val="bottom"/>
          </w:tcPr>
          <w:p w14:paraId="79D8FFE5" w14:textId="77777777" w:rsidR="00AF274B" w:rsidRDefault="00AF274B">
            <w:pPr>
              <w:pStyle w:val="GlossaryTableText"/>
              <w:rPr>
                <w:b/>
                <w:bCs/>
              </w:rPr>
            </w:pPr>
            <w:r>
              <w:rPr>
                <w:b/>
                <w:bCs/>
              </w:rPr>
              <w:t>Definition</w:t>
            </w:r>
          </w:p>
        </w:tc>
      </w:tr>
      <w:tr w:rsidR="00AF274B" w14:paraId="5D4AC7EA" w14:textId="77777777">
        <w:trPr>
          <w:cantSplit/>
        </w:trPr>
        <w:tc>
          <w:tcPr>
            <w:tcW w:w="1673" w:type="pct"/>
          </w:tcPr>
          <w:p w14:paraId="236E2793" w14:textId="77777777" w:rsidR="00AF274B" w:rsidRDefault="00AF274B">
            <w:pPr>
              <w:pStyle w:val="GlossaryTableText"/>
              <w:rPr>
                <w:rFonts w:ascii="Symbol"/>
                <w:b/>
              </w:rPr>
            </w:pPr>
            <w:r>
              <w:rPr>
                <w:b/>
              </w:rPr>
              <w:t>AABB</w:t>
            </w:r>
          </w:p>
        </w:tc>
        <w:tc>
          <w:tcPr>
            <w:tcW w:w="3327" w:type="pct"/>
          </w:tcPr>
          <w:p w14:paraId="53F0F098" w14:textId="77777777" w:rsidR="00AF274B" w:rsidRDefault="00AF274B">
            <w:pPr>
              <w:pStyle w:val="GlossaryTableText"/>
            </w:pPr>
            <w:r>
              <w:t>American Association of Blood Banks.</w:t>
            </w:r>
          </w:p>
        </w:tc>
      </w:tr>
      <w:tr w:rsidR="001A1559" w14:paraId="0CF5D029" w14:textId="77777777">
        <w:trPr>
          <w:cantSplit/>
        </w:trPr>
        <w:tc>
          <w:tcPr>
            <w:tcW w:w="1673" w:type="pct"/>
          </w:tcPr>
          <w:p w14:paraId="18E44DE7" w14:textId="77777777" w:rsidR="001A1559" w:rsidRDefault="001A1559">
            <w:pPr>
              <w:pStyle w:val="GlossaryTableText"/>
              <w:rPr>
                <w:b/>
              </w:rPr>
            </w:pPr>
            <w:r>
              <w:rPr>
                <w:b/>
              </w:rPr>
              <w:t>ABID</w:t>
            </w:r>
          </w:p>
        </w:tc>
        <w:tc>
          <w:tcPr>
            <w:tcW w:w="3327" w:type="pct"/>
          </w:tcPr>
          <w:p w14:paraId="098D4DFE" w14:textId="77777777" w:rsidR="001A1559" w:rsidRDefault="001A1559">
            <w:pPr>
              <w:pStyle w:val="GlossaryTableText"/>
            </w:pPr>
            <w:r>
              <w:t>Antibody identification.</w:t>
            </w:r>
          </w:p>
        </w:tc>
      </w:tr>
      <w:tr w:rsidR="00AF274B" w14:paraId="7AE50FDD" w14:textId="77777777">
        <w:trPr>
          <w:cantSplit/>
        </w:trPr>
        <w:tc>
          <w:tcPr>
            <w:tcW w:w="1673" w:type="pct"/>
          </w:tcPr>
          <w:p w14:paraId="4D3F61ED" w14:textId="77777777" w:rsidR="00AF274B" w:rsidRDefault="00AF274B">
            <w:pPr>
              <w:pStyle w:val="GlossaryTableText"/>
              <w:rPr>
                <w:b/>
              </w:rPr>
            </w:pPr>
            <w:r>
              <w:rPr>
                <w:b/>
              </w:rPr>
              <w:t>ABO</w:t>
            </w:r>
          </w:p>
        </w:tc>
        <w:tc>
          <w:tcPr>
            <w:tcW w:w="3327" w:type="pct"/>
          </w:tcPr>
          <w:p w14:paraId="139CA14F" w14:textId="77777777" w:rsidR="00AF274B" w:rsidRDefault="00AF274B">
            <w:pPr>
              <w:pStyle w:val="GlossaryTableText"/>
            </w:pPr>
            <w:r>
              <w:t>A group for classifying human blood, based on the presence or absence of specific antigens in the blood, which contains four blood types: A, B, AB, and O. The ABO group is the most critical of the human blood systems. It is used to determine general compatibility of donor units to a recipient.</w:t>
            </w:r>
          </w:p>
        </w:tc>
      </w:tr>
      <w:tr w:rsidR="00AF274B" w14:paraId="2EF29EBE" w14:textId="77777777">
        <w:trPr>
          <w:cantSplit/>
        </w:trPr>
        <w:tc>
          <w:tcPr>
            <w:tcW w:w="1673" w:type="pct"/>
          </w:tcPr>
          <w:p w14:paraId="409E8C05" w14:textId="77777777" w:rsidR="00AF274B" w:rsidRDefault="00AF274B">
            <w:pPr>
              <w:pStyle w:val="GlossaryTableText"/>
              <w:rPr>
                <w:b/>
              </w:rPr>
            </w:pPr>
            <w:r>
              <w:rPr>
                <w:b/>
              </w:rPr>
              <w:t>ABS</w:t>
            </w:r>
          </w:p>
        </w:tc>
        <w:tc>
          <w:tcPr>
            <w:tcW w:w="3327" w:type="pct"/>
          </w:tcPr>
          <w:p w14:paraId="1D6E63AD" w14:textId="77777777" w:rsidR="00AF274B" w:rsidRDefault="00AF274B">
            <w:pPr>
              <w:pStyle w:val="GlossaryTableText"/>
            </w:pPr>
            <w:r>
              <w:t xml:space="preserve">Antibody screen, </w:t>
            </w:r>
            <w:r w:rsidR="008E2E30">
              <w:t>Antibody Screen Test</w:t>
            </w:r>
            <w:r>
              <w:t>.</w:t>
            </w:r>
          </w:p>
        </w:tc>
      </w:tr>
      <w:tr w:rsidR="00AF274B" w14:paraId="2B0F0C4C" w14:textId="77777777">
        <w:trPr>
          <w:cantSplit/>
        </w:trPr>
        <w:tc>
          <w:tcPr>
            <w:tcW w:w="1673" w:type="pct"/>
          </w:tcPr>
          <w:p w14:paraId="2CC0B006" w14:textId="77777777" w:rsidR="00AF274B" w:rsidRDefault="00AF274B">
            <w:pPr>
              <w:pStyle w:val="GlossaryTableText"/>
              <w:rPr>
                <w:b/>
              </w:rPr>
            </w:pPr>
            <w:r>
              <w:rPr>
                <w:b/>
              </w:rPr>
              <w:t>Access Code</w:t>
            </w:r>
          </w:p>
        </w:tc>
        <w:tc>
          <w:tcPr>
            <w:tcW w:w="3327" w:type="pct"/>
          </w:tcPr>
          <w:p w14:paraId="772D9737" w14:textId="77777777" w:rsidR="00AF274B" w:rsidRDefault="00AF274B">
            <w:pPr>
              <w:pStyle w:val="GlossaryTableText"/>
            </w:pPr>
            <w:r>
              <w:t xml:space="preserve">A field in the </w:t>
            </w:r>
            <w:r w:rsidRPr="00CA6E27">
              <w:rPr>
                <w:bCs/>
              </w:rPr>
              <w:t>VistA</w:t>
            </w:r>
            <w:r>
              <w:t xml:space="preserve"> New Person file used to uniquely identify a user on the </w:t>
            </w:r>
            <w:r w:rsidRPr="00CA6E27">
              <w:rPr>
                <w:bCs/>
              </w:rPr>
              <w:t>VistA</w:t>
            </w:r>
            <w:r>
              <w:t xml:space="preserve"> system.</w:t>
            </w:r>
          </w:p>
        </w:tc>
      </w:tr>
      <w:tr w:rsidR="00AF274B" w14:paraId="25E2F8AF" w14:textId="77777777">
        <w:trPr>
          <w:cantSplit/>
        </w:trPr>
        <w:tc>
          <w:tcPr>
            <w:tcW w:w="1673" w:type="pct"/>
          </w:tcPr>
          <w:p w14:paraId="7B578810" w14:textId="77777777" w:rsidR="00AF274B" w:rsidRDefault="00AF274B">
            <w:pPr>
              <w:pStyle w:val="GlossaryTableText"/>
              <w:rPr>
                <w:b/>
              </w:rPr>
            </w:pPr>
            <w:r>
              <w:rPr>
                <w:b/>
              </w:rPr>
              <w:t>Accessioned</w:t>
            </w:r>
          </w:p>
        </w:tc>
        <w:tc>
          <w:tcPr>
            <w:tcW w:w="3327" w:type="pct"/>
          </w:tcPr>
          <w:p w14:paraId="680BC073" w14:textId="77777777" w:rsidR="00AF274B" w:rsidRDefault="00AF274B">
            <w:pPr>
              <w:pStyle w:val="GlossaryTableText"/>
            </w:pPr>
            <w:r>
              <w:t xml:space="preserve">Describes an order when a specimen has been collected or has been placed on a current collection list by the </w:t>
            </w:r>
            <w:r w:rsidRPr="00CA6E27">
              <w:rPr>
                <w:bCs/>
              </w:rPr>
              <w:t>VistA</w:t>
            </w:r>
            <w:r>
              <w:t xml:space="preserve"> Laboratory software. </w:t>
            </w:r>
            <w:r>
              <w:rPr>
                <w:i/>
              </w:rPr>
              <w:t>A mechanism for accessioning orders for blood components that do not require a specimen needs to be designed.</w:t>
            </w:r>
          </w:p>
        </w:tc>
      </w:tr>
      <w:tr w:rsidR="00AF274B" w14:paraId="4B3B7695" w14:textId="77777777">
        <w:trPr>
          <w:cantSplit/>
        </w:trPr>
        <w:tc>
          <w:tcPr>
            <w:tcW w:w="1673" w:type="pct"/>
          </w:tcPr>
          <w:p w14:paraId="0F6B238D" w14:textId="77777777" w:rsidR="00AF274B" w:rsidRDefault="00AF274B">
            <w:pPr>
              <w:pStyle w:val="GlossaryTableText"/>
              <w:rPr>
                <w:b/>
              </w:rPr>
            </w:pPr>
            <w:r>
              <w:rPr>
                <w:b/>
                <w:snapToGrid w:val="0"/>
              </w:rPr>
              <w:t>Active order</w:t>
            </w:r>
          </w:p>
        </w:tc>
        <w:tc>
          <w:tcPr>
            <w:tcW w:w="3327" w:type="pct"/>
          </w:tcPr>
          <w:p w14:paraId="1C3F80C3" w14:textId="77777777" w:rsidR="00AF274B" w:rsidRDefault="00AF274B">
            <w:pPr>
              <w:pStyle w:val="GlossaryTableText"/>
            </w:pPr>
            <w:r>
              <w:t>A patient order for blood product(s) that is not completed or expired. Depending on the component class, an accompanying specimen may be required.</w:t>
            </w:r>
          </w:p>
        </w:tc>
      </w:tr>
      <w:tr w:rsidR="00AF274B" w14:paraId="118F8CF7" w14:textId="77777777">
        <w:trPr>
          <w:cantSplit/>
        </w:trPr>
        <w:tc>
          <w:tcPr>
            <w:tcW w:w="1673" w:type="pct"/>
          </w:tcPr>
          <w:p w14:paraId="4340FF61" w14:textId="77777777" w:rsidR="00AF274B" w:rsidRDefault="00AF274B">
            <w:pPr>
              <w:pStyle w:val="GlossaryTableText"/>
              <w:rPr>
                <w:b/>
              </w:rPr>
            </w:pPr>
            <w:r>
              <w:rPr>
                <w:b/>
              </w:rPr>
              <w:t>Active user</w:t>
            </w:r>
          </w:p>
        </w:tc>
        <w:tc>
          <w:tcPr>
            <w:tcW w:w="3327" w:type="pct"/>
          </w:tcPr>
          <w:p w14:paraId="2F92107E" w14:textId="77777777" w:rsidR="00AF274B" w:rsidRDefault="00AF274B">
            <w:pPr>
              <w:pStyle w:val="GlossaryTableText"/>
            </w:pPr>
            <w:r>
              <w:t xml:space="preserve">A user with a setting in </w:t>
            </w:r>
            <w:r w:rsidRPr="00CA6E27">
              <w:t>VistA</w:t>
            </w:r>
            <w:r>
              <w:t xml:space="preserve"> that allows him to access VBECS. Inactive use</w:t>
            </w:r>
            <w:r w:rsidR="000D6CFB">
              <w:t>rs may no longer access VBECS.</w:t>
            </w:r>
          </w:p>
        </w:tc>
      </w:tr>
      <w:tr w:rsidR="00AF274B" w14:paraId="7CD24150" w14:textId="77777777">
        <w:trPr>
          <w:cantSplit/>
        </w:trPr>
        <w:tc>
          <w:tcPr>
            <w:tcW w:w="1673" w:type="pct"/>
          </w:tcPr>
          <w:p w14:paraId="4B1F9561" w14:textId="77777777" w:rsidR="00AF274B" w:rsidRDefault="00AF274B">
            <w:pPr>
              <w:pStyle w:val="GlossaryTableText"/>
              <w:rPr>
                <w:b/>
              </w:rPr>
            </w:pPr>
            <w:r>
              <w:rPr>
                <w:b/>
              </w:rPr>
              <w:t>Activities</w:t>
            </w:r>
          </w:p>
        </w:tc>
        <w:tc>
          <w:tcPr>
            <w:tcW w:w="3327" w:type="pct"/>
          </w:tcPr>
          <w:p w14:paraId="15B2862E" w14:textId="77777777" w:rsidR="00AF274B" w:rsidRDefault="00AF274B">
            <w:pPr>
              <w:pStyle w:val="GlossaryTableText"/>
            </w:pPr>
            <w:r>
              <w:t>Business processes that the product supports.</w:t>
            </w:r>
          </w:p>
        </w:tc>
      </w:tr>
      <w:tr w:rsidR="00AF274B" w14:paraId="50509D3A" w14:textId="77777777">
        <w:trPr>
          <w:cantSplit/>
        </w:trPr>
        <w:tc>
          <w:tcPr>
            <w:tcW w:w="1673" w:type="pct"/>
          </w:tcPr>
          <w:p w14:paraId="29209984" w14:textId="77777777" w:rsidR="00AF274B" w:rsidRDefault="00AF274B">
            <w:pPr>
              <w:pStyle w:val="GlossaryTableText"/>
              <w:rPr>
                <w:b/>
              </w:rPr>
            </w:pPr>
            <w:r>
              <w:rPr>
                <w:b/>
              </w:rPr>
              <w:t>Activity</w:t>
            </w:r>
          </w:p>
        </w:tc>
        <w:tc>
          <w:tcPr>
            <w:tcW w:w="3327" w:type="pct"/>
          </w:tcPr>
          <w:p w14:paraId="62AE35BE" w14:textId="77777777" w:rsidR="00AF274B" w:rsidRDefault="00AF274B">
            <w:pPr>
              <w:pStyle w:val="GlossaryTableText"/>
            </w:pPr>
            <w:r>
              <w:t>An identified verification and validation task.</w:t>
            </w:r>
          </w:p>
        </w:tc>
      </w:tr>
      <w:tr w:rsidR="00AF274B" w14:paraId="02C7DC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C441A3F" w14:textId="77777777" w:rsidR="00AF274B" w:rsidRDefault="00AF274B">
            <w:pPr>
              <w:pStyle w:val="GlossaryTableText"/>
              <w:rPr>
                <w:b/>
              </w:rPr>
            </w:pPr>
            <w:r>
              <w:rPr>
                <w:b/>
              </w:rPr>
              <w:t>AHG</w:t>
            </w:r>
          </w:p>
        </w:tc>
        <w:tc>
          <w:tcPr>
            <w:tcW w:w="3327" w:type="pct"/>
            <w:tcBorders>
              <w:top w:val="nil"/>
              <w:left w:val="nil"/>
              <w:bottom w:val="nil"/>
              <w:right w:val="nil"/>
            </w:tcBorders>
          </w:tcPr>
          <w:p w14:paraId="5BAFCFE8" w14:textId="77777777" w:rsidR="00AF274B" w:rsidRDefault="00AF274B">
            <w:pPr>
              <w:pStyle w:val="GlossaryTableText"/>
            </w:pPr>
            <w:r>
              <w:t>Anti-Human Globulin.</w:t>
            </w:r>
          </w:p>
        </w:tc>
      </w:tr>
      <w:tr w:rsidR="00AF274B" w14:paraId="381FFE3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857D0CB" w14:textId="77777777" w:rsidR="00AF274B" w:rsidRDefault="00AF274B">
            <w:pPr>
              <w:pStyle w:val="GlossaryTableText"/>
              <w:rPr>
                <w:b/>
              </w:rPr>
            </w:pPr>
            <w:r>
              <w:rPr>
                <w:b/>
              </w:rPr>
              <w:t>Aliquot</w:t>
            </w:r>
          </w:p>
        </w:tc>
        <w:tc>
          <w:tcPr>
            <w:tcW w:w="3327" w:type="pct"/>
            <w:tcBorders>
              <w:top w:val="nil"/>
              <w:left w:val="nil"/>
              <w:bottom w:val="nil"/>
              <w:right w:val="nil"/>
            </w:tcBorders>
          </w:tcPr>
          <w:p w14:paraId="6BF1D908" w14:textId="77777777" w:rsidR="00AF274B" w:rsidRDefault="00AF274B">
            <w:pPr>
              <w:pStyle w:val="GlossaryTableText"/>
            </w:pPr>
            <w:r>
              <w:t>A sample/portion divided off or separated as a part of a whole.</w:t>
            </w:r>
          </w:p>
        </w:tc>
      </w:tr>
      <w:tr w:rsidR="00AF274B" w14:paraId="2F2453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687CFD" w14:textId="77777777" w:rsidR="00AF274B" w:rsidRDefault="00AF274B">
            <w:pPr>
              <w:pStyle w:val="GlossaryTableText"/>
              <w:rPr>
                <w:b/>
              </w:rPr>
            </w:pPr>
            <w:r>
              <w:rPr>
                <w:b/>
              </w:rPr>
              <w:t>Allogeneic</w:t>
            </w:r>
          </w:p>
        </w:tc>
        <w:tc>
          <w:tcPr>
            <w:tcW w:w="3327" w:type="pct"/>
            <w:tcBorders>
              <w:top w:val="nil"/>
              <w:left w:val="nil"/>
              <w:bottom w:val="nil"/>
              <w:right w:val="nil"/>
            </w:tcBorders>
          </w:tcPr>
          <w:p w14:paraId="498FDD29" w14:textId="77777777" w:rsidR="00AF274B" w:rsidRDefault="00AF274B">
            <w:pPr>
              <w:pStyle w:val="GlossaryTableText"/>
            </w:pPr>
            <w:r>
              <w:t>See “Homologous.”</w:t>
            </w:r>
          </w:p>
        </w:tc>
      </w:tr>
      <w:tr w:rsidR="00AF274B" w14:paraId="05C9C18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F9B750E" w14:textId="77777777" w:rsidR="00AF274B" w:rsidRDefault="00AF274B">
            <w:pPr>
              <w:pStyle w:val="GlossaryTableText"/>
              <w:rPr>
                <w:b/>
              </w:rPr>
            </w:pPr>
            <w:r>
              <w:rPr>
                <w:b/>
                <w:snapToGrid w:val="0"/>
              </w:rPr>
              <w:t>Antibody</w:t>
            </w:r>
          </w:p>
        </w:tc>
        <w:tc>
          <w:tcPr>
            <w:tcW w:w="3327" w:type="pct"/>
            <w:tcBorders>
              <w:top w:val="nil"/>
              <w:left w:val="nil"/>
              <w:bottom w:val="nil"/>
              <w:right w:val="nil"/>
            </w:tcBorders>
          </w:tcPr>
          <w:p w14:paraId="29E65EA6" w14:textId="77777777" w:rsidR="00AF274B" w:rsidRDefault="00AF274B">
            <w:pPr>
              <w:pStyle w:val="GlossaryTableText"/>
            </w:pPr>
            <w:r>
              <w:rPr>
                <w:snapToGrid w:val="0"/>
              </w:rPr>
              <w:t xml:space="preserve">A protein in the serum of some people that will react to a specific antigen on the blood cells. </w:t>
            </w:r>
            <w:r>
              <w:rPr>
                <w:i/>
                <w:snapToGrid w:val="0"/>
              </w:rPr>
              <w:t>In the case of a red blood cell transfusion, a patient with a clinically significant (leading to a transfusion reaction and possible patient harm) identified antibody must receive only red cells that are typed and found negative for the associated antigen. Once a clinically significant antibody is identified, antigen-negative cells must always be transfused even if a current specimen no longer shows the presence of the antibody. The antibody table in VBECS addresses the antibodies associated with red cell antigens. Though many antibodies are considered clinically significant, some are more of a nuisance to testing than a problem for transfusion. Many antibodies have documentation that defines their clinical significance; that information is used to define the VBECS table system warnings and overrides.</w:t>
            </w:r>
          </w:p>
        </w:tc>
      </w:tr>
      <w:tr w:rsidR="00AF274B" w14:paraId="5FCE61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8111202" w14:textId="77777777" w:rsidR="00AF274B" w:rsidRDefault="00AF274B">
            <w:pPr>
              <w:pStyle w:val="GlossaryTableText"/>
              <w:rPr>
                <w:b/>
                <w:snapToGrid w:val="0"/>
              </w:rPr>
            </w:pPr>
            <w:r>
              <w:rPr>
                <w:b/>
              </w:rPr>
              <w:t>Antigen</w:t>
            </w:r>
          </w:p>
        </w:tc>
        <w:tc>
          <w:tcPr>
            <w:tcW w:w="3327" w:type="pct"/>
            <w:tcBorders>
              <w:top w:val="nil"/>
              <w:left w:val="nil"/>
              <w:bottom w:val="nil"/>
              <w:right w:val="nil"/>
            </w:tcBorders>
          </w:tcPr>
          <w:p w14:paraId="31ECADA5" w14:textId="77777777" w:rsidR="00AF274B" w:rsidRDefault="00AF274B">
            <w:pPr>
              <w:pStyle w:val="GlossaryTableText"/>
              <w:rPr>
                <w:snapToGrid w:val="0"/>
              </w:rPr>
            </w:pPr>
            <w:r>
              <w:t>A substance on the surface of a red cell that stimulates an immune response (formation of an antibody).</w:t>
            </w:r>
          </w:p>
        </w:tc>
      </w:tr>
      <w:tr w:rsidR="00AF274B" w14:paraId="0DB9FC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7B19FD" w14:textId="77777777" w:rsidR="00AF274B" w:rsidRDefault="00AF274B">
            <w:pPr>
              <w:pStyle w:val="GlossaryTableText"/>
              <w:rPr>
                <w:b/>
                <w:snapToGrid w:val="0"/>
              </w:rPr>
            </w:pPr>
            <w:r>
              <w:rPr>
                <w:b/>
                <w:snapToGrid w:val="0"/>
              </w:rPr>
              <w:t>Antigen negative requirement</w:t>
            </w:r>
          </w:p>
        </w:tc>
        <w:tc>
          <w:tcPr>
            <w:tcW w:w="3327" w:type="pct"/>
            <w:tcBorders>
              <w:top w:val="nil"/>
              <w:left w:val="nil"/>
              <w:bottom w:val="nil"/>
              <w:right w:val="nil"/>
            </w:tcBorders>
          </w:tcPr>
          <w:p w14:paraId="0CA0BE87" w14:textId="77777777" w:rsidR="00AF274B" w:rsidRDefault="00AF274B">
            <w:pPr>
              <w:pStyle w:val="GlossaryTableText"/>
              <w:rPr>
                <w:snapToGrid w:val="0"/>
              </w:rPr>
            </w:pPr>
            <w:r>
              <w:rPr>
                <w:snapToGrid w:val="0"/>
              </w:rPr>
              <w:t>A prerequisite that specified blood product categories must not contain stated characteristics.</w:t>
            </w:r>
          </w:p>
        </w:tc>
      </w:tr>
      <w:tr w:rsidR="00AF274B" w14:paraId="0EF410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31FB5E5" w14:textId="77777777" w:rsidR="00AF274B" w:rsidRDefault="00AF274B">
            <w:pPr>
              <w:pStyle w:val="GlossaryTableText"/>
              <w:rPr>
                <w:b/>
              </w:rPr>
            </w:pPr>
            <w:r>
              <w:rPr>
                <w:b/>
              </w:rPr>
              <w:t>Antigen typing</w:t>
            </w:r>
          </w:p>
        </w:tc>
        <w:tc>
          <w:tcPr>
            <w:tcW w:w="3327" w:type="pct"/>
            <w:tcBorders>
              <w:top w:val="nil"/>
              <w:left w:val="nil"/>
              <w:bottom w:val="nil"/>
              <w:right w:val="nil"/>
            </w:tcBorders>
          </w:tcPr>
          <w:p w14:paraId="6291D061" w14:textId="77777777" w:rsidR="00AF274B" w:rsidRDefault="00AF274B">
            <w:pPr>
              <w:pStyle w:val="GlossaryTableText"/>
            </w:pPr>
            <w:r>
              <w:t>Testing for the presence or absence of an antigen on a red blood cell.</w:t>
            </w:r>
          </w:p>
        </w:tc>
      </w:tr>
      <w:tr w:rsidR="00AF274B" w14:paraId="0696CA1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4222580" w14:textId="77777777" w:rsidR="00AF274B" w:rsidRDefault="00AF274B">
            <w:pPr>
              <w:pStyle w:val="GlossaryTableText"/>
              <w:rPr>
                <w:b/>
                <w:snapToGrid w:val="0"/>
              </w:rPr>
            </w:pPr>
            <w:r>
              <w:rPr>
                <w:b/>
              </w:rPr>
              <w:t>Antiglobulin</w:t>
            </w:r>
          </w:p>
        </w:tc>
        <w:tc>
          <w:tcPr>
            <w:tcW w:w="3327" w:type="pct"/>
            <w:tcBorders>
              <w:top w:val="nil"/>
              <w:left w:val="nil"/>
              <w:bottom w:val="nil"/>
              <w:right w:val="nil"/>
            </w:tcBorders>
          </w:tcPr>
          <w:p w14:paraId="6D057CEF" w14:textId="77777777" w:rsidR="00AF274B" w:rsidRDefault="00AF274B">
            <w:pPr>
              <w:pStyle w:val="GlossaryTableText"/>
              <w:rPr>
                <w:snapToGrid w:val="0"/>
              </w:rPr>
            </w:pPr>
            <w:r>
              <w:t>An antibody that combines with a specific protein on a different type of antibody.</w:t>
            </w:r>
          </w:p>
        </w:tc>
      </w:tr>
      <w:tr w:rsidR="00AF274B" w14:paraId="6EB395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D2E815" w14:textId="77777777" w:rsidR="00AF274B" w:rsidRDefault="00AF274B">
            <w:pPr>
              <w:pStyle w:val="GlossaryTableText"/>
              <w:rPr>
                <w:b/>
              </w:rPr>
            </w:pPr>
            <w:r>
              <w:rPr>
                <w:b/>
                <w:snapToGrid w:val="0"/>
              </w:rPr>
              <w:t>Anti-Human Globulin</w:t>
            </w:r>
          </w:p>
        </w:tc>
        <w:tc>
          <w:tcPr>
            <w:tcW w:w="3327" w:type="pct"/>
            <w:tcBorders>
              <w:top w:val="nil"/>
              <w:left w:val="nil"/>
              <w:bottom w:val="nil"/>
              <w:right w:val="nil"/>
            </w:tcBorders>
          </w:tcPr>
          <w:p w14:paraId="731E5BC5" w14:textId="77777777" w:rsidR="00AF274B" w:rsidRDefault="00AF274B">
            <w:pPr>
              <w:pStyle w:val="GlossaryTableText"/>
            </w:pPr>
            <w:r>
              <w:rPr>
                <w:snapToGrid w:val="0"/>
              </w:rPr>
              <w:t>A commercial reagent that binds to immunoglobulin molecules attached to the surface of a red blood cell.</w:t>
            </w:r>
          </w:p>
        </w:tc>
      </w:tr>
      <w:tr w:rsidR="00AF274B" w14:paraId="285B368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705A89" w14:textId="77777777" w:rsidR="00AF274B" w:rsidRDefault="00AF274B">
            <w:pPr>
              <w:pStyle w:val="GlossaryTableText"/>
              <w:rPr>
                <w:b/>
              </w:rPr>
            </w:pPr>
            <w:r>
              <w:rPr>
                <w:b/>
              </w:rPr>
              <w:t>Antisera</w:t>
            </w:r>
          </w:p>
        </w:tc>
        <w:tc>
          <w:tcPr>
            <w:tcW w:w="3327" w:type="pct"/>
            <w:tcBorders>
              <w:top w:val="nil"/>
              <w:left w:val="nil"/>
              <w:bottom w:val="nil"/>
              <w:right w:val="nil"/>
            </w:tcBorders>
          </w:tcPr>
          <w:p w14:paraId="434E27D7" w14:textId="77777777" w:rsidR="00AF274B" w:rsidRDefault="00AF274B">
            <w:pPr>
              <w:pStyle w:val="GlossaryTableText"/>
            </w:pPr>
            <w:r>
              <w:t>Plural of “antiserum.”</w:t>
            </w:r>
          </w:p>
        </w:tc>
      </w:tr>
      <w:tr w:rsidR="00AF274B" w14:paraId="5F658A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E46ACB5" w14:textId="77777777" w:rsidR="00AF274B" w:rsidRDefault="00AF274B">
            <w:pPr>
              <w:pStyle w:val="GlossaryTableText"/>
              <w:rPr>
                <w:b/>
              </w:rPr>
            </w:pPr>
            <w:r>
              <w:rPr>
                <w:b/>
              </w:rPr>
              <w:t>Antiserum</w:t>
            </w:r>
          </w:p>
        </w:tc>
        <w:tc>
          <w:tcPr>
            <w:tcW w:w="3327" w:type="pct"/>
            <w:tcBorders>
              <w:top w:val="nil"/>
              <w:left w:val="nil"/>
              <w:bottom w:val="nil"/>
              <w:right w:val="nil"/>
            </w:tcBorders>
          </w:tcPr>
          <w:p w14:paraId="085C7E4A" w14:textId="77777777" w:rsidR="00AF274B" w:rsidRDefault="00AF274B">
            <w:pPr>
              <w:pStyle w:val="GlossaryTableText"/>
            </w:pPr>
            <w:r>
              <w:t>Blood serum (human, animal, monoclonal) containing antibodies that are specific for one or more antigens.</w:t>
            </w:r>
          </w:p>
        </w:tc>
      </w:tr>
      <w:tr w:rsidR="00AF274B" w14:paraId="67020E9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8E1489" w14:textId="77777777" w:rsidR="00AF274B" w:rsidRDefault="00AF274B">
            <w:pPr>
              <w:pStyle w:val="GlossaryTableText"/>
              <w:rPr>
                <w:b/>
              </w:rPr>
            </w:pPr>
            <w:r>
              <w:rPr>
                <w:b/>
              </w:rPr>
              <w:t>Assigned</w:t>
            </w:r>
          </w:p>
        </w:tc>
        <w:tc>
          <w:tcPr>
            <w:tcW w:w="3327" w:type="pct"/>
            <w:tcBorders>
              <w:top w:val="nil"/>
              <w:left w:val="nil"/>
              <w:bottom w:val="nil"/>
              <w:right w:val="nil"/>
            </w:tcBorders>
          </w:tcPr>
          <w:p w14:paraId="46B69F17" w14:textId="77777777" w:rsidR="00AF274B" w:rsidRDefault="00AF274B">
            <w:pPr>
              <w:pStyle w:val="GlossaryTableText"/>
            </w:pPr>
            <w:r>
              <w:t>Describes a unit of blood in a state that can be issued for transfusion and assign</w:t>
            </w:r>
            <w:r w:rsidR="00534B75">
              <w:t>ed to a patient.</w:t>
            </w:r>
          </w:p>
        </w:tc>
      </w:tr>
      <w:tr w:rsidR="00AF274B" w14:paraId="38EA15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4F6C3DF" w14:textId="77777777" w:rsidR="00AF274B" w:rsidRDefault="00AF274B">
            <w:pPr>
              <w:pStyle w:val="GlossaryTableText"/>
              <w:rPr>
                <w:b/>
              </w:rPr>
            </w:pPr>
            <w:r>
              <w:rPr>
                <w:b/>
              </w:rPr>
              <w:t>Attribute</w:t>
            </w:r>
          </w:p>
        </w:tc>
        <w:tc>
          <w:tcPr>
            <w:tcW w:w="3327" w:type="pct"/>
            <w:tcBorders>
              <w:top w:val="nil"/>
              <w:left w:val="nil"/>
              <w:bottom w:val="nil"/>
              <w:right w:val="nil"/>
            </w:tcBorders>
          </w:tcPr>
          <w:p w14:paraId="19C51602" w14:textId="77777777" w:rsidR="00AF274B" w:rsidRDefault="00AF274B">
            <w:pPr>
              <w:pStyle w:val="GlossaryTableText"/>
            </w:pPr>
            <w:r>
              <w:t xml:space="preserve">ISBT 128 term that describes a property of a collected blood product. </w:t>
            </w:r>
            <w:r>
              <w:rPr>
                <w:i/>
              </w:rPr>
              <w:t>Examples include “Irradiated” and “Residual Leukocyte Content” (Leukopoor).</w:t>
            </w:r>
          </w:p>
        </w:tc>
      </w:tr>
      <w:tr w:rsidR="00AF274B" w14:paraId="4BB322E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7591992" w14:textId="77777777" w:rsidR="00AF274B" w:rsidRDefault="00AF274B">
            <w:pPr>
              <w:pStyle w:val="GlossaryTableText"/>
              <w:rPr>
                <w:b/>
              </w:rPr>
            </w:pPr>
            <w:r>
              <w:rPr>
                <w:b/>
              </w:rPr>
              <w:t>Audit Trail Report</w:t>
            </w:r>
          </w:p>
        </w:tc>
        <w:tc>
          <w:tcPr>
            <w:tcW w:w="3327" w:type="pct"/>
            <w:tcBorders>
              <w:top w:val="nil"/>
              <w:left w:val="nil"/>
              <w:bottom w:val="nil"/>
              <w:right w:val="nil"/>
            </w:tcBorders>
          </w:tcPr>
          <w:p w14:paraId="0036A70C" w14:textId="77777777" w:rsidR="00AF274B" w:rsidRDefault="00AF274B">
            <w:pPr>
              <w:pStyle w:val="GlossaryTableText"/>
            </w:pPr>
            <w:r>
              <w:t xml:space="preserve">The report of changes made to previously verified data. </w:t>
            </w:r>
            <w:r>
              <w:rPr>
                <w:i/>
              </w:rPr>
              <w:t>Regulations require that a mechanism be in place to prevent “electronic white-out.” An audit report contains details of the change, before and after data, date, and who made the change.</w:t>
            </w:r>
          </w:p>
        </w:tc>
      </w:tr>
      <w:tr w:rsidR="00AF274B" w14:paraId="4514F37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4E7320" w14:textId="77777777" w:rsidR="00AF274B" w:rsidRDefault="00AF274B">
            <w:pPr>
              <w:pStyle w:val="GlossaryTableText"/>
              <w:rPr>
                <w:b/>
                <w:snapToGrid w:val="0"/>
              </w:rPr>
            </w:pPr>
            <w:r>
              <w:rPr>
                <w:b/>
                <w:snapToGrid w:val="0"/>
              </w:rPr>
              <w:t>Autocontrol</w:t>
            </w:r>
          </w:p>
        </w:tc>
        <w:tc>
          <w:tcPr>
            <w:tcW w:w="3327" w:type="pct"/>
            <w:tcBorders>
              <w:top w:val="nil"/>
              <w:left w:val="nil"/>
              <w:bottom w:val="nil"/>
              <w:right w:val="nil"/>
            </w:tcBorders>
          </w:tcPr>
          <w:p w14:paraId="06A362E1" w14:textId="77777777" w:rsidR="00AF274B" w:rsidRDefault="00AF274B">
            <w:pPr>
              <w:pStyle w:val="GlossaryTableText"/>
              <w:rPr>
                <w:snapToGrid w:val="0"/>
              </w:rPr>
            </w:pPr>
            <w:r>
              <w:rPr>
                <w:snapToGrid w:val="0"/>
              </w:rPr>
              <w:t>A test using a patient’s serum (plasma) and cells under the same conditions as the accompanying test.</w:t>
            </w:r>
          </w:p>
        </w:tc>
      </w:tr>
      <w:tr w:rsidR="00AF274B" w14:paraId="6E580D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FCC9F4D" w14:textId="77777777" w:rsidR="00AF274B" w:rsidRDefault="00AF274B">
            <w:pPr>
              <w:pStyle w:val="GlossaryTableText"/>
              <w:rPr>
                <w:b/>
                <w:snapToGrid w:val="0"/>
              </w:rPr>
            </w:pPr>
            <w:r>
              <w:rPr>
                <w:b/>
              </w:rPr>
              <w:t>Autodiscriminate</w:t>
            </w:r>
          </w:p>
        </w:tc>
        <w:tc>
          <w:tcPr>
            <w:tcW w:w="3327" w:type="pct"/>
            <w:tcBorders>
              <w:top w:val="nil"/>
              <w:left w:val="nil"/>
              <w:bottom w:val="nil"/>
              <w:right w:val="nil"/>
            </w:tcBorders>
          </w:tcPr>
          <w:p w14:paraId="780837F8" w14:textId="77777777" w:rsidR="00AF274B" w:rsidRDefault="00AF274B">
            <w:pPr>
              <w:pStyle w:val="GlossaryTableText"/>
              <w:rPr>
                <w:snapToGrid w:val="0"/>
              </w:rPr>
            </w:pPr>
            <w:r>
              <w:t>Describes the ability of a barcode scanner to identify and interpret more than one barcode symbology without having to adjust any software or hardware parameters.</w:t>
            </w:r>
          </w:p>
        </w:tc>
      </w:tr>
      <w:tr w:rsidR="00AF274B" w14:paraId="04C39F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30F4F39" w14:textId="77777777" w:rsidR="00AF274B" w:rsidRDefault="00AF274B">
            <w:pPr>
              <w:pStyle w:val="GlossaryTableText"/>
              <w:rPr>
                <w:b/>
                <w:snapToGrid w:val="0"/>
              </w:rPr>
            </w:pPr>
            <w:r>
              <w:rPr>
                <w:b/>
              </w:rPr>
              <w:t>Autologous</w:t>
            </w:r>
          </w:p>
        </w:tc>
        <w:tc>
          <w:tcPr>
            <w:tcW w:w="3327" w:type="pct"/>
            <w:tcBorders>
              <w:top w:val="nil"/>
              <w:left w:val="nil"/>
              <w:bottom w:val="nil"/>
              <w:right w:val="nil"/>
            </w:tcBorders>
          </w:tcPr>
          <w:p w14:paraId="3D5F1C0B" w14:textId="77777777" w:rsidR="00AF274B" w:rsidRDefault="00AF274B">
            <w:pPr>
              <w:pStyle w:val="GlossaryTableText"/>
              <w:rPr>
                <w:snapToGrid w:val="0"/>
              </w:rPr>
            </w:pPr>
            <w:r>
              <w:t xml:space="preserve">Describes blood donated in advance for use by the donor in the future, often for elective surgery. </w:t>
            </w:r>
            <w:r>
              <w:rPr>
                <w:i/>
              </w:rPr>
              <w:t>Regulations allow for processing patients with diseases that otherwise would preclude them from donating blood to donate for themselves autologously. It is imperative that software guarantee that such blood is never available for use by anyone other than the intended recipient.</w:t>
            </w:r>
          </w:p>
        </w:tc>
      </w:tr>
      <w:tr w:rsidR="00AF274B" w14:paraId="62A2562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FD5373C" w14:textId="77777777" w:rsidR="00AF274B" w:rsidRDefault="00AF274B">
            <w:pPr>
              <w:pStyle w:val="GlossaryTableText"/>
              <w:rPr>
                <w:b/>
              </w:rPr>
            </w:pPr>
            <w:r>
              <w:rPr>
                <w:b/>
              </w:rPr>
              <w:t>Barcode scanner</w:t>
            </w:r>
          </w:p>
        </w:tc>
        <w:tc>
          <w:tcPr>
            <w:tcW w:w="3327" w:type="pct"/>
            <w:tcBorders>
              <w:top w:val="nil"/>
              <w:left w:val="nil"/>
              <w:bottom w:val="nil"/>
              <w:right w:val="nil"/>
            </w:tcBorders>
          </w:tcPr>
          <w:p w14:paraId="11B4DD81" w14:textId="77777777" w:rsidR="00AF274B" w:rsidRDefault="00AF274B">
            <w:pPr>
              <w:pStyle w:val="GlossaryTableText"/>
            </w:pPr>
            <w:r>
              <w:t>An electronic device that uses a finely focused beam of light to sense and transmit the data in a barcode image.</w:t>
            </w:r>
          </w:p>
        </w:tc>
      </w:tr>
      <w:tr w:rsidR="00AF274B" w14:paraId="0B26B3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C288F58" w14:textId="77777777" w:rsidR="00AF274B" w:rsidRDefault="00AF274B">
            <w:pPr>
              <w:pStyle w:val="GlossaryTableText"/>
              <w:rPr>
                <w:b/>
              </w:rPr>
            </w:pPr>
            <w:r>
              <w:rPr>
                <w:b/>
              </w:rPr>
              <w:t>Billable</w:t>
            </w:r>
          </w:p>
        </w:tc>
        <w:tc>
          <w:tcPr>
            <w:tcW w:w="3327" w:type="pct"/>
            <w:tcBorders>
              <w:top w:val="nil"/>
              <w:left w:val="nil"/>
              <w:bottom w:val="nil"/>
              <w:right w:val="nil"/>
            </w:tcBorders>
          </w:tcPr>
          <w:p w14:paraId="5B0FE08F" w14:textId="77777777" w:rsidR="00AF274B" w:rsidRDefault="00AF274B">
            <w:pPr>
              <w:pStyle w:val="GlossaryTableText"/>
            </w:pPr>
            <w:r>
              <w:t>A characteristic of an LMIP workload code that determines if statistics gathered as a result of that workload code should be included in the monthly report to the Austin Automation Center.</w:t>
            </w:r>
          </w:p>
        </w:tc>
      </w:tr>
      <w:tr w:rsidR="00AF274B" w14:paraId="0D9BD29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6C5ED9E" w14:textId="77777777" w:rsidR="00AF274B" w:rsidRDefault="00AF274B">
            <w:pPr>
              <w:pStyle w:val="GlossaryTableText"/>
              <w:rPr>
                <w:b/>
              </w:rPr>
            </w:pPr>
            <w:r>
              <w:rPr>
                <w:b/>
              </w:rPr>
              <w:t>Blood product</w:t>
            </w:r>
          </w:p>
        </w:tc>
        <w:tc>
          <w:tcPr>
            <w:tcW w:w="3327" w:type="pct"/>
            <w:tcBorders>
              <w:top w:val="nil"/>
              <w:left w:val="nil"/>
              <w:bottom w:val="nil"/>
              <w:right w:val="nil"/>
            </w:tcBorders>
          </w:tcPr>
          <w:p w14:paraId="5239C733" w14:textId="77777777" w:rsidR="00AF274B" w:rsidRDefault="00534B75">
            <w:pPr>
              <w:pStyle w:val="GlossaryTableText"/>
            </w:pPr>
            <w:r>
              <w:t>A specific example of a blood component class (e.g.,</w:t>
            </w:r>
            <w:r>
              <w:rPr>
                <w:i/>
              </w:rPr>
              <w:t xml:space="preserve"> AS-1 Red Blood Cells in the component class Red Blood Cells. (</w:t>
            </w:r>
            <w:r>
              <w:t>BloodProduct</w:t>
            </w:r>
            <w:r>
              <w:rPr>
                <w:i/>
              </w:rPr>
              <w:t xml:space="preserve"> in VBECS model).</w:t>
            </w:r>
          </w:p>
        </w:tc>
      </w:tr>
      <w:tr w:rsidR="00AF274B" w14:paraId="45AE23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DEA7CEA" w14:textId="77777777" w:rsidR="00AF274B" w:rsidRDefault="00AF274B">
            <w:pPr>
              <w:pStyle w:val="GlossaryTableText"/>
              <w:rPr>
                <w:b/>
              </w:rPr>
            </w:pPr>
            <w:r>
              <w:rPr>
                <w:b/>
              </w:rPr>
              <w:t>Blood Transfusion Record Form (BTRF)</w:t>
            </w:r>
          </w:p>
        </w:tc>
        <w:tc>
          <w:tcPr>
            <w:tcW w:w="3327" w:type="pct"/>
            <w:tcBorders>
              <w:top w:val="nil"/>
              <w:left w:val="nil"/>
              <w:bottom w:val="nil"/>
              <w:right w:val="nil"/>
            </w:tcBorders>
          </w:tcPr>
          <w:p w14:paraId="17C6EE3C" w14:textId="77777777" w:rsidR="00AF274B" w:rsidRDefault="00AF274B">
            <w:pPr>
              <w:pStyle w:val="GlossaryTableText"/>
              <w:rPr>
                <w:b/>
                <w:i/>
              </w:rPr>
            </w:pPr>
            <w:r>
              <w:t xml:space="preserve">A form printed in the blood bank used to record the actual events of a transfusion. </w:t>
            </w:r>
            <w:r>
              <w:rPr>
                <w:i/>
              </w:rPr>
              <w:t>Examples: start/stop time, transfusionists, vitals, reaction information. Formerly “SF 518 equivalent”</w:t>
            </w:r>
            <w:r>
              <w:t xml:space="preserve"> (</w:t>
            </w:r>
            <w:r w:rsidRPr="00CA6E27">
              <w:rPr>
                <w:bCs/>
                <w:i/>
              </w:rPr>
              <w:t>VistA</w:t>
            </w:r>
            <w:r>
              <w:rPr>
                <w:i/>
              </w:rPr>
              <w:t xml:space="preserve"> nomenclature).</w:t>
            </w:r>
          </w:p>
        </w:tc>
      </w:tr>
      <w:tr w:rsidR="00AF274B" w14:paraId="3C7465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49000D4" w14:textId="77777777" w:rsidR="00AF274B" w:rsidRDefault="00AF274B">
            <w:pPr>
              <w:pStyle w:val="GlossaryTableText"/>
              <w:rPr>
                <w:b/>
              </w:rPr>
            </w:pPr>
            <w:r>
              <w:rPr>
                <w:b/>
              </w:rPr>
              <w:t>Blood type (blood group)</w:t>
            </w:r>
          </w:p>
        </w:tc>
        <w:tc>
          <w:tcPr>
            <w:tcW w:w="3327" w:type="pct"/>
            <w:tcBorders>
              <w:top w:val="nil"/>
              <w:left w:val="nil"/>
              <w:bottom w:val="nil"/>
              <w:right w:val="nil"/>
            </w:tcBorders>
          </w:tcPr>
          <w:p w14:paraId="637C8E85" w14:textId="77777777" w:rsidR="00AF274B" w:rsidRDefault="00AF274B">
            <w:pPr>
              <w:pStyle w:val="GlossaryTableText"/>
            </w:pPr>
            <w:r>
              <w:t>The ABO and Rh type of blood determined by testing.</w:t>
            </w:r>
          </w:p>
        </w:tc>
      </w:tr>
      <w:tr w:rsidR="00AF274B" w14:paraId="28E4B6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863C9A8" w14:textId="77777777" w:rsidR="00AF274B" w:rsidRDefault="00AF274B">
            <w:pPr>
              <w:pStyle w:val="GlossaryTableText"/>
              <w:rPr>
                <w:b/>
                <w:bCs/>
              </w:rPr>
            </w:pPr>
            <w:r>
              <w:rPr>
                <w:b/>
                <w:bCs/>
              </w:rPr>
              <w:t>Canned comment</w:t>
            </w:r>
          </w:p>
        </w:tc>
        <w:tc>
          <w:tcPr>
            <w:tcW w:w="3327" w:type="pct"/>
            <w:tcBorders>
              <w:top w:val="nil"/>
              <w:left w:val="nil"/>
              <w:bottom w:val="nil"/>
              <w:right w:val="nil"/>
            </w:tcBorders>
          </w:tcPr>
          <w:p w14:paraId="073C21AE" w14:textId="77777777" w:rsidR="00AF274B" w:rsidRDefault="00AF274B">
            <w:pPr>
              <w:pStyle w:val="GlossaryTableText"/>
            </w:pPr>
            <w:r>
              <w:t xml:space="preserve">Defined comments, entered in abbreviated form and displayed as expanded text, used to enter supporting information at a variety of data entry points. </w:t>
            </w:r>
          </w:p>
        </w:tc>
      </w:tr>
      <w:tr w:rsidR="00AF274B" w14:paraId="0D55892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928E025" w14:textId="77777777" w:rsidR="00AF274B" w:rsidRDefault="00AF274B">
            <w:pPr>
              <w:pStyle w:val="GlossaryTableText"/>
              <w:rPr>
                <w:b/>
                <w:bCs/>
              </w:rPr>
            </w:pPr>
            <w:r>
              <w:rPr>
                <w:b/>
                <w:bCs/>
                <w:snapToGrid w:val="0"/>
              </w:rPr>
              <w:t>Category type</w:t>
            </w:r>
          </w:p>
        </w:tc>
        <w:tc>
          <w:tcPr>
            <w:tcW w:w="3327" w:type="pct"/>
            <w:tcBorders>
              <w:top w:val="nil"/>
              <w:left w:val="nil"/>
              <w:bottom w:val="nil"/>
              <w:right w:val="nil"/>
            </w:tcBorders>
          </w:tcPr>
          <w:p w14:paraId="602BD9F6" w14:textId="77777777" w:rsidR="00AF274B" w:rsidRDefault="00AF274B">
            <w:pPr>
              <w:pStyle w:val="GlossaryTableText"/>
            </w:pPr>
            <w:r>
              <w:rPr>
                <w:snapToGrid w:val="0"/>
              </w:rPr>
              <w:t>When used in relation to the file of canned comments, the category of the comment that determines in which functionality the comment may be selected and associated with other data.</w:t>
            </w:r>
          </w:p>
        </w:tc>
      </w:tr>
      <w:tr w:rsidR="00AF274B" w14:paraId="72D8885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57AC43B" w14:textId="77777777" w:rsidR="00AF274B" w:rsidRDefault="00AF274B">
            <w:pPr>
              <w:pStyle w:val="GlossaryTableText"/>
              <w:rPr>
                <w:b/>
                <w:bCs/>
              </w:rPr>
            </w:pPr>
            <w:r>
              <w:rPr>
                <w:b/>
                <w:bCs/>
              </w:rPr>
              <w:t>Caution Tag</w:t>
            </w:r>
          </w:p>
        </w:tc>
        <w:tc>
          <w:tcPr>
            <w:tcW w:w="3327" w:type="pct"/>
            <w:tcBorders>
              <w:top w:val="nil"/>
              <w:left w:val="nil"/>
              <w:bottom w:val="nil"/>
              <w:right w:val="nil"/>
            </w:tcBorders>
          </w:tcPr>
          <w:p w14:paraId="71C6CDF8" w14:textId="77777777" w:rsidR="00AF274B" w:rsidRDefault="00AF274B">
            <w:pPr>
              <w:pStyle w:val="GlossaryTableText"/>
            </w:pPr>
            <w:r>
              <w:t>A blood bank-generated form attached to a unit of blood when the unit is assigned or crossmatched.</w:t>
            </w:r>
          </w:p>
        </w:tc>
      </w:tr>
      <w:tr w:rsidR="00AF274B" w14:paraId="46984CE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7F29AE9" w14:textId="77777777" w:rsidR="00AF274B" w:rsidRDefault="00AF274B">
            <w:pPr>
              <w:pStyle w:val="GlossaryTableText"/>
              <w:rPr>
                <w:b/>
                <w:bCs/>
              </w:rPr>
            </w:pPr>
            <w:r>
              <w:rPr>
                <w:b/>
                <w:bCs/>
              </w:rPr>
              <w:t>CC</w:t>
            </w:r>
          </w:p>
        </w:tc>
        <w:tc>
          <w:tcPr>
            <w:tcW w:w="3327" w:type="pct"/>
            <w:tcBorders>
              <w:top w:val="nil"/>
              <w:left w:val="nil"/>
              <w:bottom w:val="nil"/>
              <w:right w:val="nil"/>
            </w:tcBorders>
          </w:tcPr>
          <w:p w14:paraId="312DD6DB" w14:textId="77777777" w:rsidR="00AF274B" w:rsidRDefault="00AF274B">
            <w:pPr>
              <w:pStyle w:val="GlossaryTableText"/>
            </w:pPr>
            <w:r>
              <w:t>Check Cell.</w:t>
            </w:r>
          </w:p>
        </w:tc>
      </w:tr>
      <w:tr w:rsidR="00AF274B" w14:paraId="0B49ED8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BCBF0DE" w14:textId="77777777" w:rsidR="00AF274B" w:rsidRDefault="00AF274B">
            <w:pPr>
              <w:pStyle w:val="GlossaryTableText"/>
              <w:rPr>
                <w:b/>
                <w:bCs/>
              </w:rPr>
            </w:pPr>
            <w:r>
              <w:rPr>
                <w:b/>
                <w:bCs/>
              </w:rPr>
              <w:t>Check Cell (CC)</w:t>
            </w:r>
          </w:p>
        </w:tc>
        <w:tc>
          <w:tcPr>
            <w:tcW w:w="3327" w:type="pct"/>
            <w:tcBorders>
              <w:top w:val="nil"/>
              <w:left w:val="nil"/>
              <w:bottom w:val="nil"/>
              <w:right w:val="nil"/>
            </w:tcBorders>
          </w:tcPr>
          <w:p w14:paraId="39E46D82" w14:textId="77777777" w:rsidR="00AF274B" w:rsidRDefault="00AF274B">
            <w:pPr>
              <w:pStyle w:val="GlossaryTableText"/>
            </w:pPr>
            <w:r>
              <w:t xml:space="preserve">A type of reagent red cell used in the blood bank to verify the reactivity of antiglobulin antisera when the results of an antiglobulin test are negative. </w:t>
            </w:r>
            <w:r>
              <w:rPr>
                <w:i/>
              </w:rPr>
              <w:t>Also referred to as “Coombs Control cells.”</w:t>
            </w:r>
          </w:p>
        </w:tc>
      </w:tr>
      <w:tr w:rsidR="00BE425A" w14:paraId="3D88F8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2AB4C1" w14:textId="77777777" w:rsidR="00BE425A" w:rsidRDefault="00BE425A">
            <w:pPr>
              <w:pStyle w:val="GlossaryTableText"/>
              <w:rPr>
                <w:b/>
                <w:bCs/>
              </w:rPr>
            </w:pPr>
            <w:r>
              <w:rPr>
                <w:b/>
                <w:bCs/>
              </w:rPr>
              <w:t>Check character</w:t>
            </w:r>
          </w:p>
        </w:tc>
        <w:tc>
          <w:tcPr>
            <w:tcW w:w="3327" w:type="pct"/>
            <w:tcBorders>
              <w:top w:val="nil"/>
              <w:left w:val="nil"/>
              <w:bottom w:val="nil"/>
              <w:right w:val="nil"/>
            </w:tcBorders>
          </w:tcPr>
          <w:p w14:paraId="37651FFD" w14:textId="77777777" w:rsidR="00BE425A" w:rsidRDefault="00BE425A">
            <w:pPr>
              <w:pStyle w:val="GlossaryTableText"/>
            </w:pPr>
            <w:r>
              <w:rPr>
                <w:rFonts w:cs="Arial"/>
              </w:rPr>
              <w:t>A character used to check the integrity of a barcode</w:t>
            </w:r>
            <w:r w:rsidR="005C2D6C">
              <w:rPr>
                <w:rFonts w:cs="Arial"/>
              </w:rPr>
              <w:t xml:space="preserve"> symbol.</w:t>
            </w:r>
          </w:p>
        </w:tc>
      </w:tr>
      <w:tr w:rsidR="00AF274B" w14:paraId="34BCD6D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AB29DFE" w14:textId="77777777" w:rsidR="00AF274B" w:rsidRDefault="00AF274B">
            <w:pPr>
              <w:pStyle w:val="GlossaryTableText"/>
              <w:rPr>
                <w:b/>
                <w:bCs/>
              </w:rPr>
            </w:pPr>
            <w:r>
              <w:rPr>
                <w:b/>
                <w:bCs/>
              </w:rPr>
              <w:t>Clinically significant antibodies</w:t>
            </w:r>
          </w:p>
        </w:tc>
        <w:tc>
          <w:tcPr>
            <w:tcW w:w="3327" w:type="pct"/>
            <w:tcBorders>
              <w:top w:val="nil"/>
              <w:left w:val="nil"/>
              <w:bottom w:val="nil"/>
              <w:right w:val="nil"/>
            </w:tcBorders>
          </w:tcPr>
          <w:p w14:paraId="41640266" w14:textId="77777777" w:rsidR="00AF274B" w:rsidRDefault="00AF274B">
            <w:pPr>
              <w:pStyle w:val="GlossaryTableText"/>
              <w:rPr>
                <w:i/>
              </w:rPr>
            </w:pPr>
            <w:r>
              <w:t xml:space="preserve">If there is a chance of an adverse reaction to a transfusion, the antibodies associated with the antigens in that unit are considered clinically significant. </w:t>
            </w:r>
            <w:r>
              <w:rPr>
                <w:i/>
              </w:rPr>
              <w:t>Only clinically significant antibodies require that the patient receive red cells that have been phenotyped as negative for the associated antigen.</w:t>
            </w:r>
          </w:p>
        </w:tc>
      </w:tr>
      <w:tr w:rsidR="00AF274B" w14:paraId="2C0A13A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B8A3957" w14:textId="77777777" w:rsidR="00AF274B" w:rsidRDefault="00AF274B">
            <w:pPr>
              <w:pStyle w:val="GlossaryTableText"/>
              <w:rPr>
                <w:b/>
                <w:bCs/>
              </w:rPr>
            </w:pPr>
            <w:r>
              <w:rPr>
                <w:b/>
                <w:bCs/>
              </w:rPr>
              <w:t>CMS</w:t>
            </w:r>
          </w:p>
        </w:tc>
        <w:tc>
          <w:tcPr>
            <w:tcW w:w="3327" w:type="pct"/>
            <w:tcBorders>
              <w:top w:val="nil"/>
              <w:left w:val="nil"/>
              <w:bottom w:val="nil"/>
              <w:right w:val="nil"/>
            </w:tcBorders>
          </w:tcPr>
          <w:p w14:paraId="10C68C89" w14:textId="77777777" w:rsidR="00AF274B" w:rsidRDefault="00AF274B">
            <w:pPr>
              <w:pStyle w:val="GlossaryTableText"/>
            </w:pPr>
            <w:r>
              <w:t xml:space="preserve">Centers for Medicare and Medicaid Services. </w:t>
            </w:r>
            <w:r w:rsidR="00F13656">
              <w:t xml:space="preserve">The federal agency responsible for administering the Medicare and Medicaid programs as well as certain other healthcare entitlement programs. </w:t>
            </w:r>
            <w:r w:rsidR="00A42B8B">
              <w:t>“</w:t>
            </w:r>
            <w:r w:rsidR="00F13656">
              <w:t>CMS</w:t>
            </w:r>
            <w:r w:rsidR="00A42B8B">
              <w:t>”</w:t>
            </w:r>
            <w:r>
              <w:t xml:space="preserve"> is the new name for HCFA (Health Care Financing Administration) under the Bush administration.</w:t>
            </w:r>
          </w:p>
        </w:tc>
      </w:tr>
      <w:tr w:rsidR="00AF274B" w14:paraId="1326DE1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9A0A3C5" w14:textId="77777777" w:rsidR="00AF274B" w:rsidRDefault="00AF274B">
            <w:pPr>
              <w:pStyle w:val="GlossaryTableText"/>
              <w:rPr>
                <w:b/>
                <w:bCs/>
              </w:rPr>
            </w:pPr>
            <w:r>
              <w:rPr>
                <w:b/>
                <w:bCs/>
              </w:rPr>
              <w:t>CMV</w:t>
            </w:r>
          </w:p>
        </w:tc>
        <w:tc>
          <w:tcPr>
            <w:tcW w:w="3327" w:type="pct"/>
            <w:tcBorders>
              <w:top w:val="nil"/>
              <w:left w:val="nil"/>
              <w:bottom w:val="nil"/>
              <w:right w:val="nil"/>
            </w:tcBorders>
          </w:tcPr>
          <w:p w14:paraId="42B77596" w14:textId="77777777" w:rsidR="00AF274B" w:rsidRDefault="00AF274B">
            <w:pPr>
              <w:pStyle w:val="GlossaryTableText"/>
            </w:pPr>
            <w:r>
              <w:t>Cytomegalovirus. Some patients should receive only blood units that have been tested and found negative for CMV.</w:t>
            </w:r>
          </w:p>
        </w:tc>
      </w:tr>
      <w:tr w:rsidR="00083B7D" w14:paraId="5F8975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23406B" w14:textId="77777777" w:rsidR="00083B7D" w:rsidRDefault="00083B7D">
            <w:pPr>
              <w:pStyle w:val="GlossaryTableText"/>
              <w:rPr>
                <w:b/>
                <w:bCs/>
              </w:rPr>
            </w:pPr>
            <w:r>
              <w:rPr>
                <w:b/>
                <w:bCs/>
              </w:rPr>
              <w:t>COTS</w:t>
            </w:r>
          </w:p>
        </w:tc>
        <w:tc>
          <w:tcPr>
            <w:tcW w:w="3327" w:type="pct"/>
            <w:tcBorders>
              <w:top w:val="nil"/>
              <w:left w:val="nil"/>
              <w:bottom w:val="nil"/>
              <w:right w:val="nil"/>
            </w:tcBorders>
          </w:tcPr>
          <w:p w14:paraId="446B32D2" w14:textId="77777777" w:rsidR="00083B7D" w:rsidRDefault="00083B7D">
            <w:pPr>
              <w:pStyle w:val="GlossaryTableText"/>
            </w:pPr>
            <w:r>
              <w:t>Commercial-Off-The-Shelf.</w:t>
            </w:r>
          </w:p>
        </w:tc>
      </w:tr>
      <w:tr w:rsidR="00AF274B" w14:paraId="119A6AC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D9EF061" w14:textId="77777777" w:rsidR="00AF274B" w:rsidRDefault="00AF274B">
            <w:pPr>
              <w:pStyle w:val="GlossaryTableText"/>
              <w:rPr>
                <w:b/>
                <w:bCs/>
              </w:rPr>
            </w:pPr>
            <w:r>
              <w:rPr>
                <w:b/>
                <w:bCs/>
              </w:rPr>
              <w:t>Compatibility testing</w:t>
            </w:r>
          </w:p>
        </w:tc>
        <w:tc>
          <w:tcPr>
            <w:tcW w:w="3327" w:type="pct"/>
            <w:tcBorders>
              <w:top w:val="nil"/>
              <w:left w:val="nil"/>
              <w:bottom w:val="nil"/>
              <w:right w:val="nil"/>
            </w:tcBorders>
          </w:tcPr>
          <w:p w14:paraId="5578AD3A" w14:textId="77777777" w:rsidR="00AF274B" w:rsidRDefault="00AF274B">
            <w:pPr>
              <w:pStyle w:val="GlossaryTableText"/>
            </w:pPr>
            <w:r>
              <w:t xml:space="preserve">Tests performed in the blood bank to determine the suitability of a unit of blood for a patient. </w:t>
            </w:r>
            <w:r>
              <w:rPr>
                <w:i/>
              </w:rPr>
              <w:t>Depending on the component class, compatibility testing can be as limited as comparing donor and patient ABO/Rh or as complex as requiring crossmatch.</w:t>
            </w:r>
          </w:p>
        </w:tc>
      </w:tr>
      <w:tr w:rsidR="00AF274B" w14:paraId="40B709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C00276B" w14:textId="77777777" w:rsidR="00AF274B" w:rsidRDefault="00AF274B">
            <w:pPr>
              <w:pStyle w:val="GlossaryTableText"/>
              <w:rPr>
                <w:b/>
                <w:bCs/>
              </w:rPr>
            </w:pPr>
            <w:r>
              <w:rPr>
                <w:b/>
                <w:bCs/>
              </w:rPr>
              <w:t>Completed TRW</w:t>
            </w:r>
          </w:p>
        </w:tc>
        <w:tc>
          <w:tcPr>
            <w:tcW w:w="3327" w:type="pct"/>
            <w:tcBorders>
              <w:top w:val="nil"/>
              <w:left w:val="nil"/>
              <w:bottom w:val="nil"/>
              <w:right w:val="nil"/>
            </w:tcBorders>
          </w:tcPr>
          <w:p w14:paraId="5CF511C1" w14:textId="77777777" w:rsidR="00AF274B" w:rsidRDefault="00AF274B">
            <w:pPr>
              <w:pStyle w:val="GlossaryTableText"/>
            </w:pPr>
            <w:r w:rsidRPr="007F427E">
              <w:t xml:space="preserve">A completed TRW indicates that serologic testing was completed. </w:t>
            </w:r>
          </w:p>
        </w:tc>
      </w:tr>
      <w:tr w:rsidR="00AF274B" w14:paraId="27E278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902E4BD" w14:textId="77777777" w:rsidR="00AF274B" w:rsidRDefault="00AF274B">
            <w:pPr>
              <w:pStyle w:val="GlossaryTableText"/>
              <w:rPr>
                <w:b/>
                <w:bCs/>
              </w:rPr>
            </w:pPr>
            <w:r>
              <w:rPr>
                <w:b/>
                <w:bCs/>
              </w:rPr>
              <w:t>Component</w:t>
            </w:r>
          </w:p>
        </w:tc>
        <w:tc>
          <w:tcPr>
            <w:tcW w:w="3327" w:type="pct"/>
            <w:tcBorders>
              <w:top w:val="nil"/>
              <w:left w:val="nil"/>
              <w:bottom w:val="nil"/>
              <w:right w:val="nil"/>
            </w:tcBorders>
          </w:tcPr>
          <w:p w14:paraId="0F0E0500" w14:textId="77777777" w:rsidR="00AF274B" w:rsidRDefault="00AF274B">
            <w:pPr>
              <w:pStyle w:val="GlossaryTableText"/>
            </w:pPr>
            <w:r>
              <w:t>Any raw material, substance, piece, part, software, firmware, labeling, or assembly that is intended to be included as part of the finished, packaged, and labeled device.</w:t>
            </w:r>
          </w:p>
        </w:tc>
      </w:tr>
      <w:tr w:rsidR="00AF274B" w14:paraId="6AA8B1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63242D1" w14:textId="77777777" w:rsidR="00AF274B" w:rsidRDefault="00AF274B">
            <w:pPr>
              <w:pStyle w:val="GlossaryTableText"/>
              <w:rPr>
                <w:b/>
                <w:bCs/>
              </w:rPr>
            </w:pPr>
            <w:r>
              <w:rPr>
                <w:b/>
                <w:bCs/>
              </w:rPr>
              <w:t>Component class</w:t>
            </w:r>
          </w:p>
        </w:tc>
        <w:tc>
          <w:tcPr>
            <w:tcW w:w="3327" w:type="pct"/>
            <w:tcBorders>
              <w:top w:val="nil"/>
              <w:left w:val="nil"/>
              <w:bottom w:val="nil"/>
              <w:right w:val="nil"/>
            </w:tcBorders>
          </w:tcPr>
          <w:p w14:paraId="413A0A44" w14:textId="77777777" w:rsidR="00AF274B" w:rsidRDefault="00AF274B">
            <w:pPr>
              <w:pStyle w:val="GlossaryTableText"/>
            </w:pPr>
            <w:r>
              <w:t xml:space="preserve">The general form of a specific product produced by a blood supplier. </w:t>
            </w:r>
            <w:r>
              <w:rPr>
                <w:i/>
              </w:rPr>
              <w:t>Example: Red Blood Cells, Fresh Frozen Plasma, and Platelets. (</w:t>
            </w:r>
            <w:r>
              <w:t>Product Type</w:t>
            </w:r>
            <w:r>
              <w:rPr>
                <w:i/>
              </w:rPr>
              <w:t xml:space="preserve"> in VBECS model)</w:t>
            </w:r>
          </w:p>
        </w:tc>
      </w:tr>
      <w:tr w:rsidR="00AF274B" w14:paraId="3FEA3F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4A819E4" w14:textId="77777777" w:rsidR="00AF274B" w:rsidRDefault="00AF274B">
            <w:pPr>
              <w:pStyle w:val="GlossaryTableText"/>
              <w:rPr>
                <w:b/>
                <w:bCs/>
              </w:rPr>
            </w:pPr>
            <w:r>
              <w:rPr>
                <w:b/>
                <w:bCs/>
              </w:rPr>
              <w:t>Coombs test</w:t>
            </w:r>
          </w:p>
        </w:tc>
        <w:tc>
          <w:tcPr>
            <w:tcW w:w="3327" w:type="pct"/>
            <w:tcBorders>
              <w:top w:val="nil"/>
              <w:left w:val="nil"/>
              <w:bottom w:val="nil"/>
              <w:right w:val="nil"/>
            </w:tcBorders>
          </w:tcPr>
          <w:p w14:paraId="1FF61E04" w14:textId="77777777" w:rsidR="00AF274B" w:rsidRPr="00366313" w:rsidRDefault="00AF274B" w:rsidP="00366313">
            <w:pPr>
              <w:pStyle w:val="GlossaryTableText"/>
            </w:pPr>
            <w:r w:rsidRPr="00366313">
              <w:t xml:space="preserve">See </w:t>
            </w:r>
            <w:r>
              <w:t>“</w:t>
            </w:r>
            <w:r w:rsidRPr="00366313">
              <w:t>Anti-Human Globulin.</w:t>
            </w:r>
            <w:r>
              <w:t>”</w:t>
            </w:r>
          </w:p>
        </w:tc>
      </w:tr>
      <w:tr w:rsidR="00AF274B" w14:paraId="4FE3DBB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88AF0CC" w14:textId="77777777" w:rsidR="00AF274B" w:rsidRDefault="00AF274B">
            <w:pPr>
              <w:pStyle w:val="GlossaryTableText"/>
              <w:rPr>
                <w:b/>
                <w:bCs/>
              </w:rPr>
            </w:pPr>
            <w:r>
              <w:rPr>
                <w:b/>
                <w:bCs/>
              </w:rPr>
              <w:t>CPRS</w:t>
            </w:r>
          </w:p>
        </w:tc>
        <w:tc>
          <w:tcPr>
            <w:tcW w:w="3327" w:type="pct"/>
            <w:tcBorders>
              <w:top w:val="nil"/>
              <w:left w:val="nil"/>
              <w:bottom w:val="nil"/>
              <w:right w:val="nil"/>
            </w:tcBorders>
          </w:tcPr>
          <w:p w14:paraId="25447FB4" w14:textId="77777777" w:rsidR="00AF274B" w:rsidRDefault="00AF274B">
            <w:pPr>
              <w:pStyle w:val="GlossaryTableText"/>
            </w:pPr>
            <w:r>
              <w:t xml:space="preserve">Computerized Patient Record System. A </w:t>
            </w:r>
            <w:r w:rsidRPr="00CA6E27">
              <w:rPr>
                <w:bCs/>
              </w:rPr>
              <w:t>VistA</w:t>
            </w:r>
            <w:r>
              <w:t xml:space="preserve"> software application that provides an integrated patient record system for use by clinicians, managers, quality assurance staff, and researchers.</w:t>
            </w:r>
          </w:p>
        </w:tc>
      </w:tr>
      <w:tr w:rsidR="00AF274B" w14:paraId="25193B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7074E2" w14:textId="77777777" w:rsidR="00AF274B" w:rsidRDefault="00AF274B">
            <w:pPr>
              <w:pStyle w:val="GlossaryTableText"/>
              <w:rPr>
                <w:b/>
                <w:bCs/>
              </w:rPr>
            </w:pPr>
            <w:r>
              <w:rPr>
                <w:b/>
                <w:bCs/>
              </w:rPr>
              <w:t>CPT</w:t>
            </w:r>
          </w:p>
        </w:tc>
        <w:tc>
          <w:tcPr>
            <w:tcW w:w="3327" w:type="pct"/>
            <w:tcBorders>
              <w:top w:val="nil"/>
              <w:left w:val="nil"/>
              <w:bottom w:val="nil"/>
              <w:right w:val="nil"/>
            </w:tcBorders>
          </w:tcPr>
          <w:p w14:paraId="3C4102E7" w14:textId="77777777" w:rsidR="00AF274B" w:rsidRDefault="00AF274B">
            <w:pPr>
              <w:pStyle w:val="GlossaryTableText"/>
              <w:rPr>
                <w:i/>
              </w:rPr>
            </w:pPr>
            <w:r>
              <w:t xml:space="preserve">Current Procedural Terminology. A proprietary terminology system owned by the AMA that enumerates medical and surgical services typically provided by physicians. </w:t>
            </w:r>
            <w:r>
              <w:rPr>
                <w:i/>
                <w:iCs/>
              </w:rPr>
              <w:t>Although CPT is proprietary, CMS (formerly HCFA) includes it in HCPCS and requires its use for outpatient claims submitted for Medicare and Medicaid beneficiaries.</w:t>
            </w:r>
          </w:p>
        </w:tc>
      </w:tr>
      <w:tr w:rsidR="00AF274B" w14:paraId="72679D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FB211C" w14:textId="77777777" w:rsidR="00AF274B" w:rsidRDefault="00AF274B">
            <w:pPr>
              <w:pStyle w:val="GlossaryTableText"/>
              <w:rPr>
                <w:b/>
                <w:bCs/>
              </w:rPr>
            </w:pPr>
            <w:r>
              <w:rPr>
                <w:b/>
                <w:bCs/>
              </w:rPr>
              <w:t>Crossmatch</w:t>
            </w:r>
          </w:p>
        </w:tc>
        <w:tc>
          <w:tcPr>
            <w:tcW w:w="3327" w:type="pct"/>
            <w:tcBorders>
              <w:top w:val="nil"/>
              <w:left w:val="nil"/>
              <w:bottom w:val="nil"/>
              <w:right w:val="nil"/>
            </w:tcBorders>
          </w:tcPr>
          <w:p w14:paraId="643222A2" w14:textId="77777777" w:rsidR="00AF274B" w:rsidRDefault="00AF274B">
            <w:pPr>
              <w:pStyle w:val="GlossaryTableText"/>
            </w:pPr>
            <w:r>
              <w:t xml:space="preserve">A procedure that demonstrates ABO compatibility and the absence of clinically significant antibody reactions between a patient and a unit of blood. </w:t>
            </w:r>
            <w:r>
              <w:rPr>
                <w:i/>
              </w:rPr>
              <w:t>Traditionally, a crossmatch consists of a serological test between the patient’s blood and a sample of the blood unit to be transfused. New regulations allow for what is called “computer/electronic crossmatch” in defined circumstances.</w:t>
            </w:r>
          </w:p>
        </w:tc>
      </w:tr>
      <w:tr w:rsidR="00AF274B" w14:paraId="5390773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C134DD7" w14:textId="77777777" w:rsidR="00AF274B" w:rsidRDefault="00AF274B">
            <w:pPr>
              <w:pStyle w:val="GlossaryTableText"/>
              <w:rPr>
                <w:b/>
                <w:bCs/>
              </w:rPr>
            </w:pPr>
            <w:r>
              <w:rPr>
                <w:b/>
                <w:bCs/>
              </w:rPr>
              <w:t>Crossover</w:t>
            </w:r>
          </w:p>
        </w:tc>
        <w:tc>
          <w:tcPr>
            <w:tcW w:w="3327" w:type="pct"/>
            <w:tcBorders>
              <w:top w:val="nil"/>
              <w:left w:val="nil"/>
              <w:bottom w:val="nil"/>
              <w:right w:val="nil"/>
            </w:tcBorders>
          </w:tcPr>
          <w:p w14:paraId="5B9DE614" w14:textId="77777777" w:rsidR="00AF274B" w:rsidRDefault="00AF274B">
            <w:pPr>
              <w:pStyle w:val="GlossaryTableText"/>
              <w:rPr>
                <w:i/>
              </w:rPr>
            </w:pPr>
            <w:r>
              <w:t xml:space="preserve">A process by which an autologous or directed donor unit is released from the intended recipient and made available for general transfusion. </w:t>
            </w:r>
            <w:r>
              <w:rPr>
                <w:i/>
              </w:rPr>
              <w:t>VBECS supports only directed unit crossover.</w:t>
            </w:r>
          </w:p>
        </w:tc>
      </w:tr>
      <w:tr w:rsidR="00AF274B" w14:paraId="4CE4B2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83A4CAC" w14:textId="77777777" w:rsidR="00AF274B" w:rsidRDefault="00AF274B">
            <w:pPr>
              <w:pStyle w:val="GlossaryTableText"/>
              <w:rPr>
                <w:b/>
                <w:bCs/>
              </w:rPr>
            </w:pPr>
            <w:r>
              <w:rPr>
                <w:b/>
                <w:bCs/>
              </w:rPr>
              <w:t>D</w:t>
            </w:r>
          </w:p>
        </w:tc>
        <w:tc>
          <w:tcPr>
            <w:tcW w:w="3327" w:type="pct"/>
            <w:tcBorders>
              <w:top w:val="nil"/>
              <w:left w:val="nil"/>
              <w:bottom w:val="nil"/>
              <w:right w:val="nil"/>
            </w:tcBorders>
          </w:tcPr>
          <w:p w14:paraId="1F9C5E91" w14:textId="77777777" w:rsidR="00AF274B" w:rsidRDefault="00AF274B">
            <w:pPr>
              <w:pStyle w:val="GlossaryTableText"/>
            </w:pPr>
            <w:r>
              <w:t>The major antigen of the Rh system. Also “Rh</w:t>
            </w:r>
            <w:r>
              <w:rPr>
                <w:vertAlign w:val="subscript"/>
              </w:rPr>
              <w:t>o</w:t>
            </w:r>
            <w:r>
              <w:t xml:space="preserve">.” </w:t>
            </w:r>
            <w:r>
              <w:rPr>
                <w:i/>
              </w:rPr>
              <w:t>The presence of this antigen on red blood cells determines if a patient or donor is Rh Pos or Rh Neg. A weak expression of the D antigen, referred to as “Du” or “weak D,” may require additional testing to determine its presence. “D negative” is another term for “Rh negative”; “D control” is another term for “Rh control.” The convention for VBECS GUIs is D control.</w:t>
            </w:r>
          </w:p>
        </w:tc>
      </w:tr>
      <w:tr w:rsidR="00AF274B" w14:paraId="1C276B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CA93912" w14:textId="77777777" w:rsidR="00AF274B" w:rsidRDefault="00AF274B">
            <w:pPr>
              <w:pStyle w:val="GlossaryTableText"/>
              <w:rPr>
                <w:b/>
              </w:rPr>
            </w:pPr>
            <w:r>
              <w:rPr>
                <w:b/>
                <w:snapToGrid w:val="0"/>
              </w:rPr>
              <w:t>Data entry grid</w:t>
            </w:r>
          </w:p>
        </w:tc>
        <w:tc>
          <w:tcPr>
            <w:tcW w:w="3327" w:type="pct"/>
            <w:tcBorders>
              <w:top w:val="nil"/>
              <w:left w:val="nil"/>
              <w:bottom w:val="nil"/>
              <w:right w:val="nil"/>
            </w:tcBorders>
          </w:tcPr>
          <w:p w14:paraId="02FF6DE4" w14:textId="77777777" w:rsidR="00AF274B" w:rsidRDefault="00AF274B">
            <w:pPr>
              <w:pStyle w:val="GlossaryTableText"/>
              <w:rPr>
                <w:snapToGrid w:val="0"/>
              </w:rPr>
            </w:pPr>
            <w:r>
              <w:rPr>
                <w:snapToGrid w:val="0"/>
              </w:rPr>
              <w:t>A grid that contains observations and interpretations of observations.</w:t>
            </w:r>
          </w:p>
        </w:tc>
      </w:tr>
      <w:tr w:rsidR="00AF274B" w14:paraId="229937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F4711F6" w14:textId="77777777" w:rsidR="00AF274B" w:rsidRDefault="00AF274B">
            <w:pPr>
              <w:pStyle w:val="GlossaryTableText"/>
              <w:rPr>
                <w:b/>
              </w:rPr>
            </w:pPr>
            <w:r>
              <w:rPr>
                <w:b/>
              </w:rPr>
              <w:t>Database</w:t>
            </w:r>
          </w:p>
        </w:tc>
        <w:tc>
          <w:tcPr>
            <w:tcW w:w="3327" w:type="pct"/>
            <w:tcBorders>
              <w:top w:val="nil"/>
              <w:left w:val="nil"/>
              <w:bottom w:val="nil"/>
              <w:right w:val="nil"/>
            </w:tcBorders>
          </w:tcPr>
          <w:p w14:paraId="5488E3D5" w14:textId="77777777" w:rsidR="00AF274B" w:rsidRDefault="00AF274B">
            <w:pPr>
              <w:pStyle w:val="GlossaryTableText"/>
            </w:pPr>
            <w:r>
              <w:t>A collection of data arranged for ease and speed of retrieval that may or may not contain data from multiple VBECS divisions.</w:t>
            </w:r>
          </w:p>
        </w:tc>
      </w:tr>
      <w:tr w:rsidR="00AF274B" w14:paraId="2FE3BC3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F5CA08" w14:textId="77777777" w:rsidR="00AF274B" w:rsidRDefault="00AF274B">
            <w:pPr>
              <w:pStyle w:val="GlossaryTableText"/>
              <w:rPr>
                <w:b/>
              </w:rPr>
            </w:pPr>
            <w:r>
              <w:rPr>
                <w:b/>
              </w:rPr>
              <w:t>Day of use</w:t>
            </w:r>
          </w:p>
        </w:tc>
        <w:tc>
          <w:tcPr>
            <w:tcW w:w="3327" w:type="pct"/>
            <w:tcBorders>
              <w:top w:val="nil"/>
              <w:left w:val="nil"/>
              <w:bottom w:val="nil"/>
              <w:right w:val="nil"/>
            </w:tcBorders>
          </w:tcPr>
          <w:p w14:paraId="7254879E" w14:textId="77777777" w:rsidR="00AF274B" w:rsidRDefault="00AF274B">
            <w:pPr>
              <w:pStyle w:val="GlossaryTableText"/>
              <w:rPr>
                <w:snapToGrid w:val="0"/>
              </w:rPr>
            </w:pPr>
            <w:r>
              <w:t>The calendar date times (0000–2359) a reagent is used.</w:t>
            </w:r>
          </w:p>
        </w:tc>
      </w:tr>
      <w:tr w:rsidR="00AF274B" w14:paraId="195B9A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EB7B77C" w14:textId="77777777" w:rsidR="00AF274B" w:rsidRDefault="00AF274B">
            <w:pPr>
              <w:pStyle w:val="GlossaryTableText"/>
              <w:rPr>
                <w:b/>
              </w:rPr>
            </w:pPr>
            <w:r>
              <w:rPr>
                <w:b/>
              </w:rPr>
              <w:t>DDE</w:t>
            </w:r>
          </w:p>
        </w:tc>
        <w:tc>
          <w:tcPr>
            <w:tcW w:w="3327" w:type="pct"/>
            <w:tcBorders>
              <w:top w:val="nil"/>
              <w:left w:val="nil"/>
              <w:bottom w:val="nil"/>
              <w:right w:val="nil"/>
            </w:tcBorders>
          </w:tcPr>
          <w:p w14:paraId="7906EA68" w14:textId="77777777" w:rsidR="00AF274B" w:rsidRDefault="00AF274B">
            <w:pPr>
              <w:pStyle w:val="GlossaryTableText"/>
            </w:pPr>
            <w:r>
              <w:t xml:space="preserve">Direct data entry. </w:t>
            </w:r>
          </w:p>
        </w:tc>
      </w:tr>
      <w:tr w:rsidR="00AF274B" w14:paraId="499FE3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38AC69" w14:textId="77777777" w:rsidR="00AF274B" w:rsidRDefault="00AF274B">
            <w:pPr>
              <w:pStyle w:val="GlossaryTableText"/>
              <w:rPr>
                <w:b/>
              </w:rPr>
            </w:pPr>
            <w:r>
              <w:rPr>
                <w:b/>
              </w:rPr>
              <w:t>Delete</w:t>
            </w:r>
          </w:p>
        </w:tc>
        <w:tc>
          <w:tcPr>
            <w:tcW w:w="3327" w:type="pct"/>
            <w:tcBorders>
              <w:top w:val="nil"/>
              <w:left w:val="nil"/>
              <w:bottom w:val="nil"/>
              <w:right w:val="nil"/>
            </w:tcBorders>
          </w:tcPr>
          <w:p w14:paraId="1B3B3654" w14:textId="77777777" w:rsidR="00AF274B" w:rsidRPr="007A099E" w:rsidRDefault="00AF274B" w:rsidP="007A099E">
            <w:pPr>
              <w:pStyle w:val="TableText"/>
            </w:pPr>
            <w:r>
              <w:t>Remove a VBECS record from user access and keep it in the database.</w:t>
            </w:r>
          </w:p>
        </w:tc>
      </w:tr>
      <w:tr w:rsidR="00AF274B" w14:paraId="0C02676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5E754B5" w14:textId="77777777" w:rsidR="00AF274B" w:rsidRDefault="00AF274B">
            <w:pPr>
              <w:pStyle w:val="GlossaryTableText"/>
              <w:rPr>
                <w:b/>
              </w:rPr>
            </w:pPr>
            <w:r>
              <w:rPr>
                <w:b/>
              </w:rPr>
              <w:t>Direct Antiglobulin Test (DAT)</w:t>
            </w:r>
          </w:p>
        </w:tc>
        <w:tc>
          <w:tcPr>
            <w:tcW w:w="3327" w:type="pct"/>
            <w:tcBorders>
              <w:top w:val="nil"/>
              <w:left w:val="nil"/>
              <w:bottom w:val="nil"/>
              <w:right w:val="nil"/>
            </w:tcBorders>
          </w:tcPr>
          <w:p w14:paraId="66A967DD" w14:textId="77777777" w:rsidR="00AF274B" w:rsidRDefault="00AF274B">
            <w:pPr>
              <w:pStyle w:val="GlossaryTableText"/>
              <w:rPr>
                <w:b/>
              </w:rPr>
            </w:pPr>
            <w:r>
              <w:t xml:space="preserve">A laboratory test performed in a blood bank in conjunction with pre-transfusion testing or as a diagnostic test. </w:t>
            </w:r>
            <w:r>
              <w:rPr>
                <w:i/>
              </w:rPr>
              <w:t>A positive DAT indicates that an antibody-antigen reaction may have occurred in vivo, which may be related to medications or previous transfusions. “Direct Coombs” and “DAT” are used interchangeably.</w:t>
            </w:r>
          </w:p>
        </w:tc>
      </w:tr>
      <w:tr w:rsidR="00AF274B" w14:paraId="5F0806C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456CED" w14:textId="77777777" w:rsidR="00AF274B" w:rsidRDefault="00AF274B">
            <w:pPr>
              <w:pStyle w:val="GlossaryTableText"/>
              <w:rPr>
                <w:b/>
              </w:rPr>
            </w:pPr>
            <w:r>
              <w:rPr>
                <w:b/>
              </w:rPr>
              <w:t>Direct data entry (DDE)</w:t>
            </w:r>
          </w:p>
        </w:tc>
        <w:tc>
          <w:tcPr>
            <w:tcW w:w="3327" w:type="pct"/>
            <w:tcBorders>
              <w:top w:val="nil"/>
              <w:left w:val="nil"/>
              <w:bottom w:val="nil"/>
              <w:right w:val="nil"/>
            </w:tcBorders>
          </w:tcPr>
          <w:p w14:paraId="297094C5" w14:textId="77777777" w:rsidR="00AF274B" w:rsidRDefault="00AF274B">
            <w:pPr>
              <w:pStyle w:val="GlossaryTableText"/>
            </w:pPr>
            <w:r>
              <w:t>The process of entering test results in a computer rather than recording them on paper.</w:t>
            </w:r>
          </w:p>
        </w:tc>
      </w:tr>
      <w:tr w:rsidR="00AF274B" w14:paraId="2FD77F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F90FDB" w14:textId="77777777" w:rsidR="00AF274B" w:rsidRDefault="00AF274B">
            <w:pPr>
              <w:pStyle w:val="GlossaryTableText"/>
              <w:rPr>
                <w:b/>
              </w:rPr>
            </w:pPr>
            <w:r>
              <w:rPr>
                <w:b/>
              </w:rPr>
              <w:t>Directed</w:t>
            </w:r>
          </w:p>
        </w:tc>
        <w:tc>
          <w:tcPr>
            <w:tcW w:w="3327" w:type="pct"/>
            <w:tcBorders>
              <w:top w:val="nil"/>
              <w:left w:val="nil"/>
              <w:bottom w:val="nil"/>
              <w:right w:val="nil"/>
            </w:tcBorders>
          </w:tcPr>
          <w:p w14:paraId="5AE21F4C" w14:textId="77777777" w:rsidR="00AF274B" w:rsidRDefault="00AF274B">
            <w:pPr>
              <w:pStyle w:val="GlossaryTableText"/>
            </w:pPr>
            <w:r>
              <w:t xml:space="preserve">Blood that is donated in advance to be set aside for a specific patient. </w:t>
            </w:r>
            <w:r>
              <w:rPr>
                <w:i/>
              </w:rPr>
              <w:t>Directed donation units must meet all of the requirements of any regular unit of donated blood (all disease marker testing must be negative). If not needed by the intended recipient, a directed unit may be released for general use.</w:t>
            </w:r>
          </w:p>
        </w:tc>
      </w:tr>
      <w:tr w:rsidR="00AF274B" w14:paraId="2C7442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936AFA5" w14:textId="77777777" w:rsidR="00AF274B" w:rsidRDefault="00AF274B">
            <w:pPr>
              <w:pStyle w:val="GlossaryTableText"/>
              <w:rPr>
                <w:b/>
              </w:rPr>
            </w:pPr>
            <w:r>
              <w:rPr>
                <w:b/>
              </w:rPr>
              <w:t>Disposition</w:t>
            </w:r>
          </w:p>
        </w:tc>
        <w:tc>
          <w:tcPr>
            <w:tcW w:w="3327" w:type="pct"/>
            <w:tcBorders>
              <w:top w:val="nil"/>
              <w:left w:val="nil"/>
              <w:bottom w:val="nil"/>
              <w:right w:val="nil"/>
            </w:tcBorders>
          </w:tcPr>
          <w:p w14:paraId="41FD4607" w14:textId="77777777" w:rsidR="00AF274B" w:rsidRDefault="00AF274B">
            <w:pPr>
              <w:pStyle w:val="GlossaryTableText"/>
            </w:pPr>
            <w:r>
              <w:t xml:space="preserve">The recorded final state of a blood unit. </w:t>
            </w:r>
            <w:r>
              <w:rPr>
                <w:i/>
              </w:rPr>
              <w:t>A blood unit with a disposition is no longer available for routine processing.</w:t>
            </w:r>
          </w:p>
        </w:tc>
      </w:tr>
      <w:tr w:rsidR="00AF274B" w14:paraId="239A40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3242451" w14:textId="77777777" w:rsidR="00AF274B" w:rsidRDefault="00AF274B">
            <w:pPr>
              <w:pStyle w:val="GlossaryTableText"/>
              <w:rPr>
                <w:b/>
                <w:bCs/>
              </w:rPr>
            </w:pPr>
            <w:r>
              <w:rPr>
                <w:b/>
                <w:bCs/>
              </w:rPr>
              <w:t>Edit</w:t>
            </w:r>
          </w:p>
        </w:tc>
        <w:tc>
          <w:tcPr>
            <w:tcW w:w="3327" w:type="pct"/>
            <w:tcBorders>
              <w:top w:val="nil"/>
              <w:left w:val="nil"/>
              <w:bottom w:val="nil"/>
              <w:right w:val="nil"/>
            </w:tcBorders>
          </w:tcPr>
          <w:p w14:paraId="1C91E210" w14:textId="77777777" w:rsidR="00AF274B" w:rsidRDefault="00AF274B">
            <w:pPr>
              <w:pStyle w:val="GlossaryTableText"/>
            </w:pPr>
            <w:r>
              <w:t xml:space="preserve">To enter or change previously saved information. </w:t>
            </w:r>
            <w:r>
              <w:rPr>
                <w:i/>
              </w:rPr>
              <w:t>VistA overwrites the data and does not create an audit trail. VBECS overlays the data and creates an audit trail.</w:t>
            </w:r>
          </w:p>
        </w:tc>
      </w:tr>
      <w:tr w:rsidR="00AF274B" w14:paraId="689A92E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E5A4805" w14:textId="77777777" w:rsidR="00AF274B" w:rsidRDefault="00AF274B">
            <w:pPr>
              <w:pStyle w:val="GlossaryTableText"/>
              <w:rPr>
                <w:b/>
                <w:bCs/>
              </w:rPr>
            </w:pPr>
            <w:r>
              <w:rPr>
                <w:b/>
                <w:bCs/>
              </w:rPr>
              <w:t>Emergency issue</w:t>
            </w:r>
          </w:p>
        </w:tc>
        <w:tc>
          <w:tcPr>
            <w:tcW w:w="3327" w:type="pct"/>
            <w:tcBorders>
              <w:top w:val="nil"/>
              <w:left w:val="nil"/>
              <w:bottom w:val="nil"/>
              <w:right w:val="nil"/>
            </w:tcBorders>
          </w:tcPr>
          <w:p w14:paraId="4889C6C0" w14:textId="77777777" w:rsidR="00AF274B" w:rsidRDefault="00AF274B">
            <w:pPr>
              <w:pStyle w:val="GlossaryTableText"/>
            </w:pPr>
            <w:r>
              <w:t xml:space="preserve">The release of blood prior to pre-transfusion testing and crossmatch. </w:t>
            </w:r>
          </w:p>
        </w:tc>
      </w:tr>
      <w:tr w:rsidR="00AF274B" w14:paraId="516F35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D02C259" w14:textId="77777777" w:rsidR="00AF274B" w:rsidRDefault="00AF274B">
            <w:pPr>
              <w:pStyle w:val="GlossaryTableText"/>
              <w:rPr>
                <w:b/>
                <w:bCs/>
              </w:rPr>
            </w:pPr>
            <w:r>
              <w:rPr>
                <w:b/>
                <w:bCs/>
              </w:rPr>
              <w:t>Exception Report</w:t>
            </w:r>
          </w:p>
        </w:tc>
        <w:tc>
          <w:tcPr>
            <w:tcW w:w="3327" w:type="pct"/>
            <w:tcBorders>
              <w:top w:val="nil"/>
              <w:left w:val="nil"/>
              <w:bottom w:val="nil"/>
              <w:right w:val="nil"/>
            </w:tcBorders>
          </w:tcPr>
          <w:p w14:paraId="3DE691AC" w14:textId="77777777" w:rsidR="00AF274B" w:rsidRDefault="00AF274B">
            <w:pPr>
              <w:pStyle w:val="GlossaryTableText"/>
            </w:pPr>
            <w:r>
              <w:t xml:space="preserve">A report that details a user deviation from a standard process. </w:t>
            </w:r>
            <w:r>
              <w:rPr>
                <w:i/>
              </w:rPr>
              <w:t>Example: a user overrides a warning and is required to enter a justification for continuing.</w:t>
            </w:r>
            <w:r>
              <w:t xml:space="preserve"> </w:t>
            </w:r>
          </w:p>
        </w:tc>
      </w:tr>
      <w:tr w:rsidR="00AF274B" w14:paraId="7C29D6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75632D" w14:textId="77777777" w:rsidR="00AF274B" w:rsidRDefault="00AF274B">
            <w:pPr>
              <w:pStyle w:val="GlossaryTableText"/>
              <w:rPr>
                <w:b/>
                <w:bCs/>
              </w:rPr>
            </w:pPr>
            <w:r>
              <w:rPr>
                <w:b/>
                <w:bCs/>
                <w:snapToGrid w:val="0"/>
              </w:rPr>
              <w:t>eXM</w:t>
            </w:r>
          </w:p>
        </w:tc>
        <w:tc>
          <w:tcPr>
            <w:tcW w:w="3327" w:type="pct"/>
            <w:tcBorders>
              <w:top w:val="nil"/>
              <w:left w:val="nil"/>
              <w:bottom w:val="nil"/>
              <w:right w:val="nil"/>
            </w:tcBorders>
          </w:tcPr>
          <w:p w14:paraId="5C6A7C27" w14:textId="77777777" w:rsidR="00AF274B" w:rsidRDefault="00AF274B">
            <w:pPr>
              <w:pStyle w:val="GlossaryTableText"/>
              <w:rPr>
                <w:b/>
              </w:rPr>
            </w:pPr>
            <w:r>
              <w:rPr>
                <w:snapToGrid w:val="0"/>
              </w:rPr>
              <w:t>Electronic crossmatch.</w:t>
            </w:r>
          </w:p>
        </w:tc>
      </w:tr>
      <w:tr w:rsidR="00AF274B" w14:paraId="5D5CB5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C285955" w14:textId="77777777" w:rsidR="00AF274B" w:rsidRDefault="00AF274B">
            <w:pPr>
              <w:pStyle w:val="GlossaryTableText"/>
              <w:rPr>
                <w:b/>
                <w:bCs/>
              </w:rPr>
            </w:pPr>
            <w:r>
              <w:rPr>
                <w:b/>
                <w:bCs/>
              </w:rPr>
              <w:t>Expiration date</w:t>
            </w:r>
          </w:p>
        </w:tc>
        <w:tc>
          <w:tcPr>
            <w:tcW w:w="3327" w:type="pct"/>
            <w:tcBorders>
              <w:top w:val="nil"/>
              <w:left w:val="nil"/>
              <w:bottom w:val="nil"/>
              <w:right w:val="nil"/>
            </w:tcBorders>
          </w:tcPr>
          <w:p w14:paraId="62F7F41C" w14:textId="7BA88A13" w:rsidR="00AF274B" w:rsidRDefault="00AF274B">
            <w:pPr>
              <w:pStyle w:val="GlossaryTableText"/>
            </w:pPr>
            <w:r>
              <w:t xml:space="preserve">The last date during which a blood component can be considered safe for transfusion. </w:t>
            </w:r>
            <w:r>
              <w:rPr>
                <w:i/>
              </w:rPr>
              <w:t>If the expiration date does not include a time, the time is assumed to be</w:t>
            </w:r>
            <w:r w:rsidR="00143C19">
              <w:rPr>
                <w:i/>
              </w:rPr>
              <w:t xml:space="preserve"> at</w:t>
            </w:r>
            <w:r>
              <w:rPr>
                <w:i/>
              </w:rPr>
              <w:t xml:space="preserve"> </w:t>
            </w:r>
            <w:r w:rsidR="00143C19">
              <w:rPr>
                <w:i/>
              </w:rPr>
              <w:t>23:59</w:t>
            </w:r>
            <w:r>
              <w:rPr>
                <w:i/>
              </w:rPr>
              <w:t>.</w:t>
            </w:r>
          </w:p>
        </w:tc>
      </w:tr>
      <w:tr w:rsidR="00AF274B" w14:paraId="1FF4B3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06A6B3D" w14:textId="77777777" w:rsidR="00AF274B" w:rsidRDefault="00AF274B">
            <w:pPr>
              <w:pStyle w:val="GlossaryTableText"/>
              <w:rPr>
                <w:b/>
                <w:bCs/>
              </w:rPr>
            </w:pPr>
            <w:r>
              <w:rPr>
                <w:b/>
                <w:bCs/>
              </w:rPr>
              <w:t>Facility (see “Site”)</w:t>
            </w:r>
          </w:p>
        </w:tc>
        <w:tc>
          <w:tcPr>
            <w:tcW w:w="3327" w:type="pct"/>
            <w:tcBorders>
              <w:top w:val="nil"/>
              <w:left w:val="nil"/>
              <w:bottom w:val="nil"/>
              <w:right w:val="nil"/>
            </w:tcBorders>
          </w:tcPr>
          <w:p w14:paraId="7DA0E16B" w14:textId="77777777" w:rsidR="00AF274B" w:rsidRDefault="00AF274B">
            <w:pPr>
              <w:pStyle w:val="GlossaryTableText"/>
            </w:pPr>
            <w:r>
              <w:t>A blood bank laboratory where a blood unit is located.</w:t>
            </w:r>
          </w:p>
        </w:tc>
      </w:tr>
      <w:tr w:rsidR="00AF274B" w14:paraId="7EEBC8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9857980" w14:textId="77777777" w:rsidR="00AF274B" w:rsidRDefault="00AF274B">
            <w:pPr>
              <w:pStyle w:val="GlossaryTableText"/>
              <w:rPr>
                <w:b/>
                <w:bCs/>
              </w:rPr>
            </w:pPr>
            <w:r>
              <w:rPr>
                <w:b/>
                <w:bCs/>
              </w:rPr>
              <w:t>FDA</w:t>
            </w:r>
          </w:p>
        </w:tc>
        <w:tc>
          <w:tcPr>
            <w:tcW w:w="3327" w:type="pct"/>
            <w:tcBorders>
              <w:top w:val="nil"/>
              <w:left w:val="nil"/>
              <w:bottom w:val="nil"/>
              <w:right w:val="nil"/>
            </w:tcBorders>
          </w:tcPr>
          <w:p w14:paraId="6092E86F" w14:textId="77777777" w:rsidR="00AF274B" w:rsidRDefault="00AF274B">
            <w:pPr>
              <w:pStyle w:val="GlossaryTableText"/>
            </w:pPr>
            <w:r>
              <w:t>Food and Drug Administration.</w:t>
            </w:r>
          </w:p>
        </w:tc>
      </w:tr>
      <w:tr w:rsidR="00AF274B" w14:paraId="7BD907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4B84B6E" w14:textId="77777777" w:rsidR="00AF274B" w:rsidRDefault="00AF274B">
            <w:pPr>
              <w:pStyle w:val="GlossaryTableText"/>
              <w:rPr>
                <w:b/>
                <w:bCs/>
              </w:rPr>
            </w:pPr>
            <w:r>
              <w:rPr>
                <w:b/>
                <w:bCs/>
              </w:rPr>
              <w:t>File</w:t>
            </w:r>
          </w:p>
        </w:tc>
        <w:tc>
          <w:tcPr>
            <w:tcW w:w="3327" w:type="pct"/>
            <w:tcBorders>
              <w:top w:val="nil"/>
              <w:left w:val="nil"/>
              <w:bottom w:val="nil"/>
              <w:right w:val="nil"/>
            </w:tcBorders>
          </w:tcPr>
          <w:p w14:paraId="5D32AB0D" w14:textId="77777777" w:rsidR="00AF274B" w:rsidRDefault="00AF274B">
            <w:pPr>
              <w:pStyle w:val="GlossaryTableText"/>
            </w:pPr>
            <w:r>
              <w:t>Source code, data, and documentation.</w:t>
            </w:r>
          </w:p>
        </w:tc>
      </w:tr>
      <w:tr w:rsidR="00AF274B" w14:paraId="793DE16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00A945B" w14:textId="77777777" w:rsidR="00AF274B" w:rsidRDefault="00AF274B">
            <w:pPr>
              <w:pStyle w:val="GlossaryTableText"/>
              <w:rPr>
                <w:b/>
                <w:bCs/>
              </w:rPr>
            </w:pPr>
            <w:r>
              <w:rPr>
                <w:b/>
                <w:bCs/>
              </w:rPr>
              <w:t>Finalized TRW</w:t>
            </w:r>
          </w:p>
        </w:tc>
        <w:tc>
          <w:tcPr>
            <w:tcW w:w="3327" w:type="pct"/>
            <w:tcBorders>
              <w:top w:val="nil"/>
              <w:left w:val="nil"/>
              <w:bottom w:val="nil"/>
              <w:right w:val="nil"/>
            </w:tcBorders>
          </w:tcPr>
          <w:p w14:paraId="40EA57FA" w14:textId="77777777" w:rsidR="00AF274B" w:rsidRDefault="00AF274B">
            <w:pPr>
              <w:pStyle w:val="GlossaryTableText"/>
            </w:pPr>
            <w:r w:rsidRPr="007F427E">
              <w:t>A finalized TRW indicates that the medical director reviewed the TRW, classified the reaction, and may make recommendations for future transfusions.</w:t>
            </w:r>
          </w:p>
        </w:tc>
      </w:tr>
      <w:tr w:rsidR="001A1559" w14:paraId="78F5D1F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5FCB5C8" w14:textId="77777777" w:rsidR="001A1559" w:rsidRDefault="001A1559">
            <w:pPr>
              <w:pStyle w:val="GlossaryTableText"/>
              <w:rPr>
                <w:b/>
                <w:bCs/>
              </w:rPr>
            </w:pPr>
            <w:r>
              <w:rPr>
                <w:b/>
                <w:bCs/>
              </w:rPr>
              <w:t>FOIA</w:t>
            </w:r>
          </w:p>
        </w:tc>
        <w:tc>
          <w:tcPr>
            <w:tcW w:w="3327" w:type="pct"/>
            <w:tcBorders>
              <w:top w:val="nil"/>
              <w:left w:val="nil"/>
              <w:bottom w:val="nil"/>
              <w:right w:val="nil"/>
            </w:tcBorders>
          </w:tcPr>
          <w:p w14:paraId="5AD6AE9E" w14:textId="77777777" w:rsidR="001A1559" w:rsidRDefault="001A1559">
            <w:pPr>
              <w:pStyle w:val="GlossaryTableText"/>
            </w:pPr>
            <w:r>
              <w:t>Freedom of Information Act.</w:t>
            </w:r>
          </w:p>
        </w:tc>
      </w:tr>
      <w:tr w:rsidR="00AF274B" w14:paraId="15AE3D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985DB03" w14:textId="77777777" w:rsidR="00AF274B" w:rsidRDefault="00AF274B">
            <w:pPr>
              <w:pStyle w:val="GlossaryTableText"/>
              <w:rPr>
                <w:b/>
                <w:bCs/>
              </w:rPr>
            </w:pPr>
            <w:r>
              <w:rPr>
                <w:b/>
                <w:bCs/>
              </w:rPr>
              <w:t>HCPCS</w:t>
            </w:r>
          </w:p>
        </w:tc>
        <w:tc>
          <w:tcPr>
            <w:tcW w:w="3327" w:type="pct"/>
            <w:tcBorders>
              <w:top w:val="nil"/>
              <w:left w:val="nil"/>
              <w:bottom w:val="nil"/>
              <w:right w:val="nil"/>
            </w:tcBorders>
          </w:tcPr>
          <w:p w14:paraId="6F2FBE8E" w14:textId="77777777" w:rsidR="00AF274B" w:rsidRDefault="00AF274B">
            <w:pPr>
              <w:pStyle w:val="GlossaryTableText"/>
              <w:rPr>
                <w:b/>
              </w:rPr>
            </w:pPr>
            <w:r>
              <w:t xml:space="preserve">Healthcare Common Procedure Coding System. Codes used to enumerate medical and surgical services and supplies in the outpatient setting. </w:t>
            </w:r>
            <w:r>
              <w:rPr>
                <w:i/>
                <w:iCs/>
              </w:rPr>
              <w:t>CMS (formerly HCFA) uses HCPCS for Medicare and Medicaid reimbursement. HCPCS are the required code set for medical and surgical services and supplies for the outpatient setting under the final code set standards for HIPAA. There are three levels of HCPCS codes: level I are CPT codes from AMA; level II are additional codes developed by HCFA for services and supplies not covered by CPT; level III are local codes assigned by individual state Medicare carriers. Level III codes are scheduled to be phased out under HIPAA.</w:t>
            </w:r>
          </w:p>
        </w:tc>
      </w:tr>
      <w:tr w:rsidR="00AF274B" w14:paraId="22E6A92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886CBC0" w14:textId="77777777" w:rsidR="00AF274B" w:rsidRDefault="00AF274B">
            <w:pPr>
              <w:pStyle w:val="GlossaryTableText"/>
              <w:rPr>
                <w:b/>
                <w:bCs/>
              </w:rPr>
            </w:pPr>
            <w:r>
              <w:rPr>
                <w:b/>
                <w:bCs/>
              </w:rPr>
              <w:t>HIPAA</w:t>
            </w:r>
          </w:p>
        </w:tc>
        <w:tc>
          <w:tcPr>
            <w:tcW w:w="3327" w:type="pct"/>
            <w:tcBorders>
              <w:top w:val="nil"/>
              <w:left w:val="nil"/>
              <w:bottom w:val="nil"/>
              <w:right w:val="nil"/>
            </w:tcBorders>
          </w:tcPr>
          <w:p w14:paraId="46436781" w14:textId="77777777" w:rsidR="00AF274B" w:rsidRDefault="00AF274B">
            <w:pPr>
              <w:pStyle w:val="GlossaryTableText"/>
            </w:pPr>
            <w:r>
              <w:rPr>
                <w:bCs/>
              </w:rPr>
              <w:t>Health Insurance Portability and Accountability Act</w:t>
            </w:r>
            <w:r w:rsidR="00F717BC">
              <w:rPr>
                <w:bCs/>
              </w:rPr>
              <w:t xml:space="preserve"> of 1996</w:t>
            </w:r>
            <w:r>
              <w:rPr>
                <w:bCs/>
              </w:rPr>
              <w:t>.</w:t>
            </w:r>
          </w:p>
        </w:tc>
      </w:tr>
      <w:tr w:rsidR="00AF274B" w14:paraId="738765E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5F3856D" w14:textId="77777777" w:rsidR="00AF274B" w:rsidRDefault="00AF274B">
            <w:pPr>
              <w:pStyle w:val="GlossaryTableText"/>
              <w:rPr>
                <w:b/>
                <w:bCs/>
              </w:rPr>
            </w:pPr>
            <w:r>
              <w:rPr>
                <w:b/>
                <w:bCs/>
              </w:rPr>
              <w:t>Historical ABO/Rh</w:t>
            </w:r>
          </w:p>
        </w:tc>
        <w:tc>
          <w:tcPr>
            <w:tcW w:w="3327" w:type="pct"/>
            <w:tcBorders>
              <w:top w:val="nil"/>
              <w:left w:val="nil"/>
              <w:bottom w:val="nil"/>
              <w:right w:val="nil"/>
            </w:tcBorders>
          </w:tcPr>
          <w:p w14:paraId="6A5254AD" w14:textId="77777777" w:rsidR="00AF274B" w:rsidRDefault="00AF274B">
            <w:pPr>
              <w:pStyle w:val="GlossaryTableText"/>
              <w:rPr>
                <w:rFonts w:ascii="Symbol"/>
              </w:rPr>
            </w:pPr>
            <w:r>
              <w:t>The most recent valid entry entered in the same division as the current order/treatment record, not from the database conversion.</w:t>
            </w:r>
          </w:p>
        </w:tc>
      </w:tr>
      <w:tr w:rsidR="00AF274B" w14:paraId="4673CA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C5C84AA" w14:textId="77777777" w:rsidR="00AF274B" w:rsidRDefault="00AF274B" w:rsidP="005957FF">
            <w:pPr>
              <w:pStyle w:val="GlossaryTableText"/>
              <w:rPr>
                <w:b/>
                <w:bCs/>
              </w:rPr>
            </w:pPr>
            <w:r>
              <w:rPr>
                <w:b/>
                <w:bCs/>
              </w:rPr>
              <w:t>Historical record</w:t>
            </w:r>
          </w:p>
        </w:tc>
        <w:tc>
          <w:tcPr>
            <w:tcW w:w="3327" w:type="pct"/>
            <w:tcBorders>
              <w:top w:val="nil"/>
              <w:left w:val="nil"/>
              <w:bottom w:val="nil"/>
              <w:right w:val="nil"/>
            </w:tcBorders>
          </w:tcPr>
          <w:p w14:paraId="745A4772" w14:textId="77777777" w:rsidR="00AF274B" w:rsidRDefault="00AF274B" w:rsidP="005957FF">
            <w:pPr>
              <w:pStyle w:val="GlossaryTableText"/>
            </w:pPr>
            <w:r>
              <w:t>Cumulative, redundant data, referenced continually throughout VBECS.</w:t>
            </w:r>
          </w:p>
        </w:tc>
      </w:tr>
      <w:tr w:rsidR="00AF274B" w14:paraId="7B35A2D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32CE538" w14:textId="77777777" w:rsidR="00AF274B" w:rsidRDefault="00AF274B">
            <w:pPr>
              <w:pStyle w:val="GlossaryTableText"/>
              <w:rPr>
                <w:b/>
                <w:bCs/>
              </w:rPr>
            </w:pPr>
            <w:r>
              <w:rPr>
                <w:b/>
                <w:bCs/>
              </w:rPr>
              <w:t>HL7</w:t>
            </w:r>
          </w:p>
        </w:tc>
        <w:tc>
          <w:tcPr>
            <w:tcW w:w="3327" w:type="pct"/>
            <w:tcBorders>
              <w:top w:val="nil"/>
              <w:left w:val="nil"/>
              <w:bottom w:val="nil"/>
              <w:right w:val="nil"/>
            </w:tcBorders>
          </w:tcPr>
          <w:p w14:paraId="4C62892F" w14:textId="77777777" w:rsidR="00AF274B" w:rsidRDefault="00AF274B">
            <w:pPr>
              <w:pStyle w:val="GlossaryTableText"/>
            </w:pPr>
            <w:r>
              <w:t>Health Level 7. An international messaging standard used predominantly in the healthcare industry.</w:t>
            </w:r>
          </w:p>
        </w:tc>
      </w:tr>
      <w:tr w:rsidR="00AF274B" w14:paraId="78D0EA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B613D6" w14:textId="77777777" w:rsidR="00AF274B" w:rsidRDefault="00AF274B">
            <w:pPr>
              <w:pStyle w:val="GlossaryTableText"/>
              <w:rPr>
                <w:b/>
                <w:bCs/>
              </w:rPr>
            </w:pPr>
            <w:r>
              <w:rPr>
                <w:b/>
                <w:bCs/>
                <w:snapToGrid w:val="0"/>
              </w:rPr>
              <w:t>HLA (histocompatibility locus antigens)</w:t>
            </w:r>
          </w:p>
        </w:tc>
        <w:tc>
          <w:tcPr>
            <w:tcW w:w="3327" w:type="pct"/>
            <w:tcBorders>
              <w:top w:val="nil"/>
              <w:left w:val="nil"/>
              <w:bottom w:val="nil"/>
              <w:right w:val="nil"/>
            </w:tcBorders>
          </w:tcPr>
          <w:p w14:paraId="0B23D5E2" w14:textId="77777777" w:rsidR="00AF274B" w:rsidRDefault="00AF274B">
            <w:pPr>
              <w:pStyle w:val="GlossaryTableText"/>
              <w:rPr>
                <w:b/>
              </w:rPr>
            </w:pPr>
            <w:r>
              <w:rPr>
                <w:snapToGrid w:val="0"/>
              </w:rPr>
              <w:t>Antigens associated with cellular immunity.</w:t>
            </w:r>
          </w:p>
        </w:tc>
      </w:tr>
      <w:tr w:rsidR="00AF274B" w14:paraId="5B151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B2180E" w14:textId="77777777" w:rsidR="00AF274B" w:rsidRDefault="00AF274B">
            <w:pPr>
              <w:pStyle w:val="GlossaryTableText"/>
              <w:rPr>
                <w:b/>
                <w:bCs/>
              </w:rPr>
            </w:pPr>
            <w:r>
              <w:rPr>
                <w:b/>
                <w:bCs/>
              </w:rPr>
              <w:t>Homologous (also “allogeneic”)</w:t>
            </w:r>
          </w:p>
        </w:tc>
        <w:tc>
          <w:tcPr>
            <w:tcW w:w="3327" w:type="pct"/>
            <w:tcBorders>
              <w:top w:val="nil"/>
              <w:left w:val="nil"/>
              <w:bottom w:val="nil"/>
              <w:right w:val="nil"/>
            </w:tcBorders>
          </w:tcPr>
          <w:p w14:paraId="28518982" w14:textId="77777777" w:rsidR="00AF274B" w:rsidRDefault="00AF274B">
            <w:pPr>
              <w:pStyle w:val="GlossaryTableText"/>
            </w:pPr>
            <w:r>
              <w:t>The standard type of blood donation: a volunteer donor reports to a blood collection facility and donates a unit of blood. The blood is tested and released for general use.</w:t>
            </w:r>
          </w:p>
        </w:tc>
      </w:tr>
      <w:tr w:rsidR="00B85400" w14:paraId="251FFB0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4B55B9" w14:textId="77777777" w:rsidR="00B85400" w:rsidRDefault="00B85400">
            <w:pPr>
              <w:pStyle w:val="GlossaryTableText"/>
              <w:rPr>
                <w:b/>
                <w:bCs/>
              </w:rPr>
            </w:pPr>
            <w:r>
              <w:rPr>
                <w:b/>
                <w:bCs/>
              </w:rPr>
              <w:t>I</w:t>
            </w:r>
            <w:r w:rsidR="00072167">
              <w:rPr>
                <w:b/>
                <w:bCs/>
              </w:rPr>
              <w:t>AM</w:t>
            </w:r>
          </w:p>
        </w:tc>
        <w:tc>
          <w:tcPr>
            <w:tcW w:w="3327" w:type="pct"/>
            <w:tcBorders>
              <w:top w:val="nil"/>
              <w:left w:val="nil"/>
              <w:bottom w:val="nil"/>
              <w:right w:val="nil"/>
            </w:tcBorders>
          </w:tcPr>
          <w:p w14:paraId="2F247818" w14:textId="77777777" w:rsidR="00B85400" w:rsidRDefault="00072167">
            <w:pPr>
              <w:pStyle w:val="GlossaryTableText"/>
            </w:pPr>
            <w:r>
              <w:t>Identity and Access Management</w:t>
            </w:r>
          </w:p>
        </w:tc>
      </w:tr>
      <w:tr w:rsidR="00AF274B" w14:paraId="55354E6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EEDC64" w14:textId="77777777" w:rsidR="00AF274B" w:rsidRDefault="00AF274B">
            <w:pPr>
              <w:pStyle w:val="GlossaryTableText"/>
              <w:rPr>
                <w:b/>
                <w:bCs/>
              </w:rPr>
            </w:pPr>
            <w:r>
              <w:rPr>
                <w:b/>
                <w:bCs/>
              </w:rPr>
              <w:t>ICCBBA</w:t>
            </w:r>
          </w:p>
        </w:tc>
        <w:tc>
          <w:tcPr>
            <w:tcW w:w="3327" w:type="pct"/>
            <w:tcBorders>
              <w:top w:val="nil"/>
              <w:left w:val="nil"/>
              <w:bottom w:val="nil"/>
              <w:right w:val="nil"/>
            </w:tcBorders>
          </w:tcPr>
          <w:p w14:paraId="2489CAC9" w14:textId="77777777" w:rsidR="00AF274B" w:rsidRDefault="00AF274B">
            <w:pPr>
              <w:pStyle w:val="GlossaryTableText"/>
            </w:pPr>
            <w:r>
              <w:t>International Council for Commonality in Blood Banking Automation, Inc. The governing body that developed and maintained the database that governs the ISBT 128 blood labeling system.</w:t>
            </w:r>
          </w:p>
        </w:tc>
      </w:tr>
      <w:tr w:rsidR="001A1559" w14:paraId="3F0BE0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90E510F" w14:textId="77777777" w:rsidR="001A1559" w:rsidRDefault="001A1559">
            <w:pPr>
              <w:pStyle w:val="GlossaryTableText"/>
              <w:rPr>
                <w:b/>
                <w:bCs/>
                <w:snapToGrid w:val="0"/>
              </w:rPr>
            </w:pPr>
            <w:r>
              <w:rPr>
                <w:b/>
                <w:bCs/>
                <w:snapToGrid w:val="0"/>
              </w:rPr>
              <w:t>IEN</w:t>
            </w:r>
          </w:p>
        </w:tc>
        <w:tc>
          <w:tcPr>
            <w:tcW w:w="3327" w:type="pct"/>
            <w:tcBorders>
              <w:top w:val="nil"/>
              <w:left w:val="nil"/>
              <w:bottom w:val="nil"/>
              <w:right w:val="nil"/>
            </w:tcBorders>
          </w:tcPr>
          <w:p w14:paraId="3548A5C2" w14:textId="77777777" w:rsidR="001A1559" w:rsidRDefault="001A1559">
            <w:pPr>
              <w:pStyle w:val="GlossaryTableText"/>
              <w:rPr>
                <w:snapToGrid w:val="0"/>
              </w:rPr>
            </w:pPr>
            <w:r>
              <w:rPr>
                <w:snapToGrid w:val="0"/>
              </w:rPr>
              <w:t xml:space="preserve">Internal Entry Number. </w:t>
            </w:r>
          </w:p>
        </w:tc>
      </w:tr>
      <w:tr w:rsidR="00AF274B" w14:paraId="0FFF5E4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5A938ED" w14:textId="77777777" w:rsidR="00AF274B" w:rsidRDefault="00AF274B">
            <w:pPr>
              <w:pStyle w:val="GlossaryTableText"/>
              <w:rPr>
                <w:b/>
                <w:bCs/>
              </w:rPr>
            </w:pPr>
            <w:r>
              <w:rPr>
                <w:b/>
                <w:bCs/>
                <w:snapToGrid w:val="0"/>
              </w:rPr>
              <w:t>IgA (Immunoglobulin A)</w:t>
            </w:r>
          </w:p>
        </w:tc>
        <w:tc>
          <w:tcPr>
            <w:tcW w:w="3327" w:type="pct"/>
            <w:tcBorders>
              <w:top w:val="nil"/>
              <w:left w:val="nil"/>
              <w:bottom w:val="nil"/>
              <w:right w:val="nil"/>
            </w:tcBorders>
          </w:tcPr>
          <w:p w14:paraId="07F9AA1A" w14:textId="77777777" w:rsidR="00AF274B" w:rsidRDefault="00AF274B">
            <w:pPr>
              <w:pStyle w:val="GlossaryTableText"/>
              <w:rPr>
                <w:b/>
              </w:rPr>
            </w:pPr>
            <w:r>
              <w:rPr>
                <w:snapToGrid w:val="0"/>
              </w:rPr>
              <w:t>Immune protein usually associated with tissue response (hypersensitivity).</w:t>
            </w:r>
          </w:p>
        </w:tc>
      </w:tr>
      <w:tr w:rsidR="00AF274B" w14:paraId="3A207B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D13B96" w14:textId="77777777" w:rsidR="00AF274B" w:rsidRDefault="00AF274B">
            <w:pPr>
              <w:pStyle w:val="GlossaryTableText"/>
              <w:rPr>
                <w:b/>
                <w:bCs/>
              </w:rPr>
            </w:pPr>
            <w:r>
              <w:rPr>
                <w:b/>
                <w:bCs/>
              </w:rPr>
              <w:t>In-date</w:t>
            </w:r>
          </w:p>
        </w:tc>
        <w:tc>
          <w:tcPr>
            <w:tcW w:w="3327" w:type="pct"/>
            <w:tcBorders>
              <w:top w:val="nil"/>
              <w:left w:val="nil"/>
              <w:bottom w:val="nil"/>
              <w:right w:val="nil"/>
            </w:tcBorders>
          </w:tcPr>
          <w:p w14:paraId="3FE7C940" w14:textId="77777777" w:rsidR="00AF274B" w:rsidRDefault="00AF274B">
            <w:pPr>
              <w:pStyle w:val="GlossaryTableText"/>
            </w:pPr>
            <w:r>
              <w:t xml:space="preserve">Describes the state of a unit of blood when the expiration date/time of the unit is in the future. </w:t>
            </w:r>
          </w:p>
        </w:tc>
      </w:tr>
      <w:tr w:rsidR="00AF274B" w14:paraId="24E470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2858FA" w14:textId="77777777" w:rsidR="00AF274B" w:rsidRDefault="00AF274B">
            <w:pPr>
              <w:pStyle w:val="GlossaryTableText"/>
              <w:rPr>
                <w:b/>
                <w:bCs/>
              </w:rPr>
            </w:pPr>
            <w:r>
              <w:rPr>
                <w:b/>
                <w:bCs/>
              </w:rPr>
              <w:t>Interpretation</w:t>
            </w:r>
          </w:p>
        </w:tc>
        <w:tc>
          <w:tcPr>
            <w:tcW w:w="3327" w:type="pct"/>
            <w:tcBorders>
              <w:top w:val="nil"/>
              <w:left w:val="nil"/>
              <w:bottom w:val="nil"/>
              <w:right w:val="nil"/>
            </w:tcBorders>
          </w:tcPr>
          <w:p w14:paraId="25EA3448" w14:textId="77777777" w:rsidR="00AF274B" w:rsidRDefault="00AF274B">
            <w:pPr>
              <w:pStyle w:val="GlossaryTableText"/>
            </w:pPr>
            <w:r>
              <w:t>The evaluation of serologic test reactions.</w:t>
            </w:r>
          </w:p>
        </w:tc>
      </w:tr>
      <w:tr w:rsidR="00AF274B" w14:paraId="0E90CB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B2DC4D" w14:textId="77777777" w:rsidR="00AF274B" w:rsidRDefault="00AF274B">
            <w:pPr>
              <w:pStyle w:val="GlossaryTableText"/>
              <w:rPr>
                <w:b/>
                <w:bCs/>
              </w:rPr>
            </w:pPr>
            <w:r>
              <w:rPr>
                <w:b/>
                <w:bCs/>
              </w:rPr>
              <w:t>IRM</w:t>
            </w:r>
          </w:p>
        </w:tc>
        <w:tc>
          <w:tcPr>
            <w:tcW w:w="3327" w:type="pct"/>
            <w:tcBorders>
              <w:top w:val="nil"/>
              <w:left w:val="nil"/>
              <w:bottom w:val="nil"/>
              <w:right w:val="nil"/>
            </w:tcBorders>
          </w:tcPr>
          <w:p w14:paraId="6ABA77BF" w14:textId="77777777" w:rsidR="00AF274B" w:rsidRDefault="00AF274B">
            <w:pPr>
              <w:pStyle w:val="GlossaryTableText"/>
              <w:rPr>
                <w:rFonts w:ascii="Symbol"/>
              </w:rPr>
            </w:pPr>
            <w:r>
              <w:t>Information Resource Management.</w:t>
            </w:r>
          </w:p>
        </w:tc>
      </w:tr>
      <w:tr w:rsidR="00AF274B" w14:paraId="676C8F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3D43EE8" w14:textId="77777777" w:rsidR="00AF274B" w:rsidRDefault="00AF274B">
            <w:pPr>
              <w:pStyle w:val="GlossaryTableText"/>
              <w:rPr>
                <w:b/>
                <w:bCs/>
              </w:rPr>
            </w:pPr>
            <w:r>
              <w:rPr>
                <w:b/>
                <w:bCs/>
                <w:snapToGrid w:val="0"/>
              </w:rPr>
              <w:t>Irradiate</w:t>
            </w:r>
          </w:p>
        </w:tc>
        <w:tc>
          <w:tcPr>
            <w:tcW w:w="3327" w:type="pct"/>
            <w:tcBorders>
              <w:top w:val="nil"/>
              <w:left w:val="nil"/>
              <w:bottom w:val="nil"/>
              <w:right w:val="nil"/>
            </w:tcBorders>
          </w:tcPr>
          <w:p w14:paraId="607E46BC" w14:textId="77777777" w:rsidR="00C64C05" w:rsidRPr="00C64C05" w:rsidRDefault="00BB6868" w:rsidP="00BB6868">
            <w:pPr>
              <w:pStyle w:val="GlossaryTableText"/>
            </w:pPr>
            <w:r>
              <w:t xml:space="preserve">To expose blood products to radiation to damage white cells and </w:t>
            </w:r>
            <w:r w:rsidR="00A77C51">
              <w:t>avoid graft-versus-</w:t>
            </w:r>
            <w:r>
              <w:t>host disease.</w:t>
            </w:r>
          </w:p>
        </w:tc>
      </w:tr>
      <w:tr w:rsidR="00AF274B" w14:paraId="197CF1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ABDE5B3" w14:textId="77777777" w:rsidR="00AF274B" w:rsidRDefault="00AF274B">
            <w:pPr>
              <w:pStyle w:val="GlossaryTableText"/>
              <w:rPr>
                <w:b/>
                <w:bCs/>
              </w:rPr>
            </w:pPr>
            <w:r>
              <w:rPr>
                <w:b/>
                <w:bCs/>
              </w:rPr>
              <w:t>ISBT</w:t>
            </w:r>
          </w:p>
        </w:tc>
        <w:tc>
          <w:tcPr>
            <w:tcW w:w="3327" w:type="pct"/>
            <w:tcBorders>
              <w:top w:val="nil"/>
              <w:left w:val="nil"/>
              <w:bottom w:val="nil"/>
              <w:right w:val="nil"/>
            </w:tcBorders>
          </w:tcPr>
          <w:p w14:paraId="7221E5E2" w14:textId="77777777" w:rsidR="00AF274B" w:rsidRDefault="00AF274B">
            <w:pPr>
              <w:pStyle w:val="GlossaryTableText"/>
            </w:pPr>
            <w:r>
              <w:t>International Society of Blood Transfusion.</w:t>
            </w:r>
          </w:p>
        </w:tc>
      </w:tr>
      <w:tr w:rsidR="00AF274B" w14:paraId="1C7F31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948E88D" w14:textId="77777777" w:rsidR="00AF274B" w:rsidRDefault="00AF274B">
            <w:pPr>
              <w:pStyle w:val="GlossaryTableText"/>
              <w:rPr>
                <w:b/>
                <w:bCs/>
              </w:rPr>
            </w:pPr>
            <w:r>
              <w:rPr>
                <w:b/>
                <w:bCs/>
              </w:rPr>
              <w:t>ISBT 128</w:t>
            </w:r>
          </w:p>
        </w:tc>
        <w:tc>
          <w:tcPr>
            <w:tcW w:w="3327" w:type="pct"/>
            <w:tcBorders>
              <w:top w:val="nil"/>
              <w:left w:val="nil"/>
              <w:bottom w:val="nil"/>
              <w:right w:val="nil"/>
            </w:tcBorders>
          </w:tcPr>
          <w:p w14:paraId="2D0E6681" w14:textId="3F9C2811" w:rsidR="00AF274B" w:rsidRDefault="00AF274B">
            <w:pPr>
              <w:pStyle w:val="GlossaryTableText"/>
            </w:pPr>
            <w:r>
              <w:t>New standardized method for labeling blood units</w:t>
            </w:r>
            <w:r w:rsidR="002A6AEA">
              <w:t>,</w:t>
            </w:r>
            <w:r w:rsidR="00646D98">
              <w:t xml:space="preserve"> </w:t>
            </w:r>
            <w:r w:rsidR="0050114F">
              <w:t>that has replaced Codabar</w:t>
            </w:r>
            <w:r>
              <w:t xml:space="preserve"> </w:t>
            </w:r>
            <w:r>
              <w:rPr>
                <w:i/>
              </w:rPr>
              <w:t>It includes much more information within the barcodes than is possible with Codabar. Its rules are much more structured than Codabar. It is not backwards compatible with Codabar.</w:t>
            </w:r>
          </w:p>
        </w:tc>
      </w:tr>
      <w:tr w:rsidR="00AF274B" w14:paraId="4F226C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93AAB8" w14:textId="77777777" w:rsidR="00AF274B" w:rsidRDefault="00AF274B">
            <w:pPr>
              <w:pStyle w:val="GlossaryTableText"/>
              <w:rPr>
                <w:b/>
                <w:bCs/>
                <w:snapToGrid w:val="0"/>
              </w:rPr>
            </w:pPr>
            <w:r>
              <w:rPr>
                <w:b/>
                <w:bCs/>
                <w:snapToGrid w:val="0"/>
              </w:rPr>
              <w:t>Leukopoor</w:t>
            </w:r>
          </w:p>
        </w:tc>
        <w:tc>
          <w:tcPr>
            <w:tcW w:w="3327" w:type="pct"/>
            <w:tcBorders>
              <w:top w:val="nil"/>
              <w:left w:val="nil"/>
              <w:bottom w:val="nil"/>
              <w:right w:val="nil"/>
            </w:tcBorders>
          </w:tcPr>
          <w:p w14:paraId="7A093AD1" w14:textId="77777777" w:rsidR="00AF274B" w:rsidRDefault="00AF274B">
            <w:pPr>
              <w:pStyle w:val="GlossaryTableText"/>
            </w:pPr>
            <w:r>
              <w:t>See “leukoreduce.”</w:t>
            </w:r>
          </w:p>
        </w:tc>
      </w:tr>
      <w:tr w:rsidR="00E85CF4" w14:paraId="10D2C7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6A16990" w14:textId="77777777" w:rsidR="00E85CF4" w:rsidRDefault="00E85CF4" w:rsidP="00AD0B01">
            <w:pPr>
              <w:pStyle w:val="GlossaryTableText"/>
              <w:rPr>
                <w:b/>
                <w:bCs/>
                <w:snapToGrid w:val="0"/>
              </w:rPr>
            </w:pPr>
          </w:p>
          <w:p w14:paraId="295B9DDE" w14:textId="77777777" w:rsidR="00E85CF4" w:rsidRDefault="00E85CF4" w:rsidP="00AD0B01">
            <w:pPr>
              <w:pStyle w:val="GlossaryTableText"/>
              <w:rPr>
                <w:b/>
                <w:bCs/>
                <w:snapToGrid w:val="0"/>
              </w:rPr>
            </w:pPr>
            <w:r>
              <w:rPr>
                <w:b/>
                <w:bCs/>
                <w:snapToGrid w:val="0"/>
              </w:rPr>
              <w:t>Leukoreduce</w:t>
            </w:r>
          </w:p>
        </w:tc>
        <w:tc>
          <w:tcPr>
            <w:tcW w:w="3327" w:type="pct"/>
            <w:tcBorders>
              <w:top w:val="nil"/>
              <w:left w:val="nil"/>
              <w:bottom w:val="nil"/>
              <w:right w:val="nil"/>
            </w:tcBorders>
          </w:tcPr>
          <w:p w14:paraId="3AC41E7F" w14:textId="77777777" w:rsidR="00E85CF4" w:rsidRDefault="00E85CF4" w:rsidP="00AD0B01">
            <w:pPr>
              <w:pStyle w:val="GlossaryTableText"/>
            </w:pPr>
            <w:r>
              <w:t>To remove white cells from a cellular product through filtration. The resulting product is considered “leukoreduced” or “leukopoor.”</w:t>
            </w:r>
          </w:p>
        </w:tc>
      </w:tr>
      <w:tr w:rsidR="0003186D" w14:paraId="5116E2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403425" w14:textId="77777777" w:rsidR="0003186D" w:rsidRDefault="0003186D">
            <w:pPr>
              <w:pStyle w:val="GlossaryTableText"/>
              <w:rPr>
                <w:b/>
                <w:bCs/>
              </w:rPr>
            </w:pPr>
            <w:r>
              <w:rPr>
                <w:b/>
                <w:bCs/>
              </w:rPr>
              <w:t>ListServ</w:t>
            </w:r>
          </w:p>
        </w:tc>
        <w:tc>
          <w:tcPr>
            <w:tcW w:w="3327" w:type="pct"/>
            <w:tcBorders>
              <w:top w:val="nil"/>
              <w:left w:val="nil"/>
              <w:bottom w:val="nil"/>
              <w:right w:val="nil"/>
            </w:tcBorders>
          </w:tcPr>
          <w:p w14:paraId="171D10B6" w14:textId="77777777" w:rsidR="0003186D" w:rsidRDefault="0003186D">
            <w:pPr>
              <w:pStyle w:val="GlossaryTableText"/>
            </w:pPr>
            <w:r>
              <w:t>A</w:t>
            </w:r>
            <w:r w:rsidRPr="00F05B26">
              <w:t>n email distribution list to manage discussion groups</w:t>
            </w:r>
            <w:r>
              <w:t>.</w:t>
            </w:r>
          </w:p>
        </w:tc>
      </w:tr>
      <w:tr w:rsidR="00AF274B" w14:paraId="6794FD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5FAFE74" w14:textId="77777777" w:rsidR="00AF274B" w:rsidRDefault="00AF274B">
            <w:pPr>
              <w:pStyle w:val="GlossaryTableText"/>
              <w:rPr>
                <w:b/>
                <w:bCs/>
              </w:rPr>
            </w:pPr>
            <w:r>
              <w:rPr>
                <w:b/>
                <w:bCs/>
              </w:rPr>
              <w:t>LMIP</w:t>
            </w:r>
          </w:p>
        </w:tc>
        <w:tc>
          <w:tcPr>
            <w:tcW w:w="3327" w:type="pct"/>
            <w:tcBorders>
              <w:top w:val="nil"/>
              <w:left w:val="nil"/>
              <w:bottom w:val="nil"/>
              <w:right w:val="nil"/>
            </w:tcBorders>
          </w:tcPr>
          <w:p w14:paraId="39009D08" w14:textId="77777777" w:rsidR="00AF274B" w:rsidRDefault="00AF274B">
            <w:pPr>
              <w:pStyle w:val="GlossaryTableText"/>
            </w:pPr>
            <w:r>
              <w:t>Laboratory Management Index Program</w:t>
            </w:r>
            <w:r w:rsidR="003D16EE">
              <w:t xml:space="preserve"> (LMIP) is the name given to the functionality in Veterans Health Information and Technology Architecture (VistA) software designed to capture and tabulate both technical and professional workload as it relates to the performance of ordered/billable tests in VA laboratories</w:t>
            </w:r>
            <w:r>
              <w:t>.</w:t>
            </w:r>
          </w:p>
        </w:tc>
      </w:tr>
      <w:tr w:rsidR="003D16EE" w14:paraId="7BBA1D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9C13C7A" w14:textId="77777777" w:rsidR="003D16EE" w:rsidRDefault="003D16EE">
            <w:pPr>
              <w:pStyle w:val="GlossaryTableText"/>
              <w:rPr>
                <w:b/>
                <w:bCs/>
              </w:rPr>
            </w:pPr>
            <w:r>
              <w:rPr>
                <w:b/>
                <w:bCs/>
              </w:rPr>
              <w:t>Managerial Cost Accounting</w:t>
            </w:r>
          </w:p>
        </w:tc>
        <w:tc>
          <w:tcPr>
            <w:tcW w:w="3327" w:type="pct"/>
            <w:tcBorders>
              <w:top w:val="nil"/>
              <w:left w:val="nil"/>
              <w:bottom w:val="nil"/>
              <w:right w:val="nil"/>
            </w:tcBorders>
          </w:tcPr>
          <w:p w14:paraId="6539F6B3" w14:textId="77777777" w:rsidR="003D16EE" w:rsidRDefault="003D16EE">
            <w:pPr>
              <w:pStyle w:val="GlossaryTableText"/>
            </w:pPr>
            <w:r>
              <w:t>MCA means the process of accumulating, measuring, analyzing, interpreting and reporting cost information useful to both internal and external groups concerned with the way the organization uses, accounts for, safeguards and controls its resources to meet its objectives. MCA assists budgeting, financial accounting and reporting and provides useful information to leadership.</w:t>
            </w:r>
          </w:p>
        </w:tc>
      </w:tr>
      <w:tr w:rsidR="00AF274B" w14:paraId="38B505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16F79A" w14:textId="77777777" w:rsidR="00AF274B" w:rsidRDefault="00AF274B" w:rsidP="003004A7">
            <w:pPr>
              <w:pStyle w:val="GlossaryTableText"/>
              <w:rPr>
                <w:b/>
              </w:rPr>
            </w:pPr>
            <w:r>
              <w:rPr>
                <w:b/>
              </w:rPr>
              <w:t>Medical device</w:t>
            </w:r>
          </w:p>
        </w:tc>
        <w:tc>
          <w:tcPr>
            <w:tcW w:w="3327" w:type="pct"/>
            <w:tcBorders>
              <w:top w:val="nil"/>
              <w:left w:val="nil"/>
              <w:bottom w:val="nil"/>
              <w:right w:val="nil"/>
            </w:tcBorders>
          </w:tcPr>
          <w:p w14:paraId="4225A197" w14:textId="77777777" w:rsidR="00AF274B" w:rsidRDefault="00142B16" w:rsidP="00142B16">
            <w:pPr>
              <w:pStyle w:val="GlossaryTableText"/>
            </w:pPr>
            <w:r>
              <w:t>An instrument, apparatus, implement, machine, contrivance, implant, in vitro reagent, or other similar or related article, including a component part, or accessory that is intended for use in the diagnosis of disease or other conditions, or in the cure, mitigation, treatment, or prevention of disease.</w:t>
            </w:r>
          </w:p>
        </w:tc>
      </w:tr>
      <w:tr w:rsidR="00AF274B" w14:paraId="214B366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391C231" w14:textId="77777777" w:rsidR="00AF274B" w:rsidRDefault="00AF274B">
            <w:pPr>
              <w:pStyle w:val="GlossaryTableText"/>
              <w:rPr>
                <w:b/>
                <w:bCs/>
              </w:rPr>
            </w:pPr>
            <w:r>
              <w:rPr>
                <w:b/>
                <w:bCs/>
              </w:rPr>
              <w:t>Modifier</w:t>
            </w:r>
          </w:p>
        </w:tc>
        <w:tc>
          <w:tcPr>
            <w:tcW w:w="3327" w:type="pct"/>
            <w:tcBorders>
              <w:top w:val="nil"/>
              <w:left w:val="nil"/>
              <w:bottom w:val="nil"/>
              <w:right w:val="nil"/>
            </w:tcBorders>
          </w:tcPr>
          <w:p w14:paraId="59D37C0F" w14:textId="77777777" w:rsidR="00AF274B" w:rsidRDefault="00AF274B">
            <w:pPr>
              <w:pStyle w:val="GlossaryTableText"/>
            </w:pPr>
            <w:r>
              <w:t xml:space="preserve">An ISBT 128 term that describes a characteristic of a donated unit of blood that distinguishes it from other members of the component class. </w:t>
            </w:r>
            <w:r>
              <w:rPr>
                <w:i/>
              </w:rPr>
              <w:t>The VBECS application is concerned with the modifiers “Washed,” “Thawed,” “Liquid,” “Frozen,” “Rejuvenated,” and “Deglycerolized.”</w:t>
            </w:r>
          </w:p>
        </w:tc>
      </w:tr>
      <w:tr w:rsidR="00AF274B" w14:paraId="55BC34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D71BC11" w14:textId="77777777" w:rsidR="00AF274B" w:rsidRDefault="00AF274B" w:rsidP="005957FF">
            <w:pPr>
              <w:pStyle w:val="GlossaryTableText"/>
              <w:rPr>
                <w:b/>
                <w:bCs/>
              </w:rPr>
            </w:pPr>
            <w:r>
              <w:rPr>
                <w:b/>
                <w:bCs/>
              </w:rPr>
              <w:t>Modifier (order)</w:t>
            </w:r>
          </w:p>
        </w:tc>
        <w:tc>
          <w:tcPr>
            <w:tcW w:w="3327" w:type="pct"/>
            <w:tcBorders>
              <w:top w:val="nil"/>
              <w:left w:val="nil"/>
              <w:bottom w:val="nil"/>
              <w:right w:val="nil"/>
            </w:tcBorders>
          </w:tcPr>
          <w:p w14:paraId="6F48C50B" w14:textId="77777777" w:rsidR="00AF274B" w:rsidRDefault="00AF274B" w:rsidP="005957FF">
            <w:pPr>
              <w:pStyle w:val="GlossaryTableText"/>
            </w:pPr>
            <w:r>
              <w:t xml:space="preserve">Component requirements associated with a specific component order. </w:t>
            </w:r>
            <w:r>
              <w:rPr>
                <w:i/>
              </w:rPr>
              <w:t>Example: a component order where red blood cells must be leukoreduced. When a component order is accompanied by special requirements, units issued for transfusion must meet specific criteria that translate into “Modifiers” or “Attributes” in ISBT 128.</w:t>
            </w:r>
            <w:r>
              <w:t xml:space="preserve"> </w:t>
            </w:r>
          </w:p>
        </w:tc>
      </w:tr>
      <w:tr w:rsidR="00AF274B" w14:paraId="7062EF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02E563F" w14:textId="77777777" w:rsidR="00AF274B" w:rsidRDefault="00AF274B">
            <w:pPr>
              <w:pStyle w:val="GlossaryTableText"/>
              <w:rPr>
                <w:b/>
                <w:bCs/>
              </w:rPr>
            </w:pPr>
            <w:r>
              <w:rPr>
                <w:b/>
                <w:bCs/>
              </w:rPr>
              <w:t>MSBOS</w:t>
            </w:r>
          </w:p>
        </w:tc>
        <w:tc>
          <w:tcPr>
            <w:tcW w:w="3327" w:type="pct"/>
            <w:tcBorders>
              <w:top w:val="nil"/>
              <w:left w:val="nil"/>
              <w:bottom w:val="nil"/>
              <w:right w:val="nil"/>
            </w:tcBorders>
          </w:tcPr>
          <w:p w14:paraId="7CAF692D" w14:textId="77777777" w:rsidR="00AF274B" w:rsidRDefault="00AF274B">
            <w:pPr>
              <w:pStyle w:val="GlossaryTableText"/>
            </w:pPr>
            <w:r>
              <w:t xml:space="preserve">Maximum Surgical Blood Ordering Schedule. The appropriate number of specific blood components to be ordered for selected surgeries at a facility. </w:t>
            </w:r>
            <w:r>
              <w:rPr>
                <w:i/>
              </w:rPr>
              <w:t>Preoperative blood component orders are compared with this list and details of orders falling outside of these established criteria are recorded and reportable.</w:t>
            </w:r>
          </w:p>
        </w:tc>
      </w:tr>
      <w:tr w:rsidR="00AF274B" w14:paraId="77ACDFF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E921505" w14:textId="77777777" w:rsidR="00AF274B" w:rsidRDefault="00AF274B">
            <w:pPr>
              <w:pStyle w:val="GlossaryTableText"/>
              <w:rPr>
                <w:b/>
                <w:bCs/>
              </w:rPr>
            </w:pPr>
            <w:r>
              <w:rPr>
                <w:b/>
                <w:bCs/>
              </w:rPr>
              <w:t>Multidivisional database</w:t>
            </w:r>
          </w:p>
        </w:tc>
        <w:tc>
          <w:tcPr>
            <w:tcW w:w="3327" w:type="pct"/>
            <w:tcBorders>
              <w:top w:val="nil"/>
              <w:left w:val="nil"/>
              <w:bottom w:val="nil"/>
              <w:right w:val="nil"/>
            </w:tcBorders>
          </w:tcPr>
          <w:p w14:paraId="653D31D0" w14:textId="77777777" w:rsidR="00AF274B" w:rsidRDefault="00AF274B">
            <w:pPr>
              <w:pStyle w:val="GlossaryTableText"/>
            </w:pPr>
            <w:r>
              <w:t>More than one separate transfusion services share a database.</w:t>
            </w:r>
          </w:p>
        </w:tc>
      </w:tr>
      <w:tr w:rsidR="00AF274B" w14:paraId="2372357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18D3AF" w14:textId="77777777" w:rsidR="00AF274B" w:rsidRDefault="00AF274B">
            <w:pPr>
              <w:pStyle w:val="GlossaryTableText"/>
              <w:rPr>
                <w:b/>
                <w:bCs/>
              </w:rPr>
            </w:pPr>
            <w:r>
              <w:rPr>
                <w:b/>
                <w:bCs/>
              </w:rPr>
              <w:t>Negative control</w:t>
            </w:r>
          </w:p>
        </w:tc>
        <w:tc>
          <w:tcPr>
            <w:tcW w:w="3327" w:type="pct"/>
            <w:tcBorders>
              <w:top w:val="nil"/>
              <w:left w:val="nil"/>
              <w:bottom w:val="nil"/>
              <w:right w:val="nil"/>
            </w:tcBorders>
          </w:tcPr>
          <w:p w14:paraId="597DA907" w14:textId="77777777" w:rsidR="00AF274B" w:rsidRDefault="00AF274B">
            <w:pPr>
              <w:pStyle w:val="GlossaryTableText"/>
            </w:pPr>
            <w:r>
              <w:t>The negative control cell is known to lack the antigen the antiserum type is to detect. This cell should demonstrate negative serologic reaction, and, therefore, have a valid negative interpretation.</w:t>
            </w:r>
          </w:p>
          <w:p w14:paraId="44CA642F" w14:textId="77777777" w:rsidR="00AF274B" w:rsidRDefault="00AF274B">
            <w:pPr>
              <w:pStyle w:val="GlossaryTableText"/>
            </w:pPr>
            <w:r>
              <w:t>The positive and negative control cells must demonstrate a valid positive or negative set of serologic reactions and interpretations for the test of the unit or patient to be considered valid, regardless of the row validation of the unit test itself. (See “Positive control.”</w:t>
            </w:r>
          </w:p>
        </w:tc>
      </w:tr>
      <w:tr w:rsidR="00AF274B" w14:paraId="0D06BE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7A00A0" w14:textId="77777777" w:rsidR="00AF274B" w:rsidRDefault="00AF274B">
            <w:pPr>
              <w:pStyle w:val="GlossaryTableText"/>
              <w:rPr>
                <w:b/>
                <w:bCs/>
              </w:rPr>
            </w:pPr>
            <w:r>
              <w:rPr>
                <w:b/>
                <w:bCs/>
              </w:rPr>
              <w:t>NFT</w:t>
            </w:r>
          </w:p>
        </w:tc>
        <w:tc>
          <w:tcPr>
            <w:tcW w:w="3327" w:type="pct"/>
            <w:tcBorders>
              <w:top w:val="nil"/>
              <w:left w:val="nil"/>
              <w:bottom w:val="nil"/>
              <w:right w:val="nil"/>
            </w:tcBorders>
          </w:tcPr>
          <w:p w14:paraId="3676F7A1" w14:textId="77777777" w:rsidR="00AF274B" w:rsidRDefault="00AF274B">
            <w:pPr>
              <w:pStyle w:val="GlossaryTableText"/>
              <w:rPr>
                <w:b/>
              </w:rPr>
            </w:pPr>
            <w:r>
              <w:t>Not fully tested.</w:t>
            </w:r>
          </w:p>
        </w:tc>
      </w:tr>
      <w:tr w:rsidR="00AF274B" w14:paraId="5F5C80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D718A2" w14:textId="77777777" w:rsidR="00AF274B" w:rsidRDefault="00AF274B">
            <w:pPr>
              <w:pStyle w:val="GlossaryTableText"/>
              <w:rPr>
                <w:b/>
                <w:bCs/>
              </w:rPr>
            </w:pPr>
            <w:r>
              <w:rPr>
                <w:b/>
                <w:bCs/>
              </w:rPr>
              <w:t>NLT</w:t>
            </w:r>
          </w:p>
        </w:tc>
        <w:tc>
          <w:tcPr>
            <w:tcW w:w="3327" w:type="pct"/>
            <w:tcBorders>
              <w:top w:val="nil"/>
              <w:left w:val="nil"/>
              <w:bottom w:val="nil"/>
              <w:right w:val="nil"/>
            </w:tcBorders>
          </w:tcPr>
          <w:p w14:paraId="14D8E1D6" w14:textId="77777777" w:rsidR="00AF274B" w:rsidRDefault="00AF274B">
            <w:pPr>
              <w:pStyle w:val="GlossaryTableText"/>
            </w:pPr>
            <w:r>
              <w:t xml:space="preserve">National Laboratory Test code. Coding schema used by the </w:t>
            </w:r>
            <w:r w:rsidRPr="00CA6E27">
              <w:rPr>
                <w:bCs/>
              </w:rPr>
              <w:t>VistA</w:t>
            </w:r>
            <w:r>
              <w:t xml:space="preserve"> Laboratory software to assign numeric </w:t>
            </w:r>
            <w:r>
              <w:rPr>
                <w:color w:val="000000"/>
              </w:rPr>
              <w:t>identifier</w:t>
            </w:r>
            <w:r>
              <w:t xml:space="preserve"> code to specific tests. Also known as Workload Code (WKLD CODE).</w:t>
            </w:r>
          </w:p>
        </w:tc>
      </w:tr>
      <w:tr w:rsidR="00AF274B" w14:paraId="13D3115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AED381" w14:textId="77777777" w:rsidR="00AF274B" w:rsidRDefault="00AF274B">
            <w:pPr>
              <w:pStyle w:val="GlossaryTableText"/>
              <w:rPr>
                <w:b/>
                <w:bCs/>
              </w:rPr>
            </w:pPr>
            <w:r>
              <w:rPr>
                <w:b/>
                <w:bCs/>
              </w:rPr>
              <w:t>Order</w:t>
            </w:r>
          </w:p>
        </w:tc>
        <w:tc>
          <w:tcPr>
            <w:tcW w:w="3327" w:type="pct"/>
            <w:tcBorders>
              <w:top w:val="nil"/>
              <w:left w:val="nil"/>
              <w:bottom w:val="nil"/>
              <w:right w:val="nil"/>
            </w:tcBorders>
          </w:tcPr>
          <w:p w14:paraId="1FF4F7CC" w14:textId="77777777" w:rsidR="00AF274B" w:rsidRDefault="00AF274B">
            <w:pPr>
              <w:pStyle w:val="GlossaryTableText"/>
            </w:pPr>
            <w:r>
              <w:t xml:space="preserve">Request for a service. </w:t>
            </w:r>
            <w:r>
              <w:rPr>
                <w:i/>
              </w:rPr>
              <w:t>The request may specify when the order is to be completed, e.g., immediately (STAT). VBECS acts on the order when it has been “accessioned.”</w:t>
            </w:r>
          </w:p>
        </w:tc>
      </w:tr>
      <w:tr w:rsidR="001A1559" w14:paraId="78299B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34E2F32" w14:textId="77777777" w:rsidR="001A1559" w:rsidRDefault="001A1559">
            <w:pPr>
              <w:pStyle w:val="GlossaryTableText"/>
              <w:rPr>
                <w:b/>
                <w:bCs/>
              </w:rPr>
            </w:pPr>
            <w:r>
              <w:rPr>
                <w:b/>
                <w:bCs/>
              </w:rPr>
              <w:t>Original unit</w:t>
            </w:r>
          </w:p>
        </w:tc>
        <w:tc>
          <w:tcPr>
            <w:tcW w:w="3327" w:type="pct"/>
            <w:tcBorders>
              <w:top w:val="nil"/>
              <w:left w:val="nil"/>
              <w:bottom w:val="nil"/>
              <w:right w:val="nil"/>
            </w:tcBorders>
          </w:tcPr>
          <w:p w14:paraId="09756829" w14:textId="77777777" w:rsidR="001A1559" w:rsidRDefault="001A1559">
            <w:pPr>
              <w:pStyle w:val="GlossaryTableText"/>
            </w:pPr>
            <w:r>
              <w:rPr>
                <w:snapToGrid w:val="0"/>
              </w:rPr>
              <w:t xml:space="preserve">A unit </w:t>
            </w:r>
            <w:r w:rsidR="004974ED">
              <w:rPr>
                <w:snapToGrid w:val="0"/>
              </w:rPr>
              <w:t>before modification</w:t>
            </w:r>
            <w:r>
              <w:rPr>
                <w:snapToGrid w:val="0"/>
              </w:rPr>
              <w:t>.</w:t>
            </w:r>
          </w:p>
        </w:tc>
      </w:tr>
      <w:tr w:rsidR="00AF274B" w14:paraId="1400F9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F5095D0" w14:textId="77777777" w:rsidR="00AF274B" w:rsidRDefault="00AF274B">
            <w:pPr>
              <w:pStyle w:val="GlossaryTableText"/>
              <w:rPr>
                <w:b/>
                <w:bCs/>
              </w:rPr>
            </w:pPr>
            <w:r>
              <w:rPr>
                <w:b/>
                <w:bCs/>
              </w:rPr>
              <w:t>Outdated</w:t>
            </w:r>
          </w:p>
        </w:tc>
        <w:tc>
          <w:tcPr>
            <w:tcW w:w="3327" w:type="pct"/>
            <w:tcBorders>
              <w:top w:val="nil"/>
              <w:left w:val="nil"/>
              <w:bottom w:val="nil"/>
              <w:right w:val="nil"/>
            </w:tcBorders>
          </w:tcPr>
          <w:p w14:paraId="019032FE" w14:textId="77777777" w:rsidR="00AF274B" w:rsidRDefault="00AF274B">
            <w:pPr>
              <w:pStyle w:val="GlossaryTableText"/>
            </w:pPr>
            <w:r>
              <w:t xml:space="preserve">Describes the state of a unit of blood that has passed the expiration date/time. </w:t>
            </w:r>
          </w:p>
        </w:tc>
      </w:tr>
      <w:tr w:rsidR="00AF274B" w14:paraId="6D69FC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46E1C41" w14:textId="77777777" w:rsidR="00AF274B" w:rsidRDefault="00AF274B">
            <w:pPr>
              <w:pStyle w:val="GlossaryTableText"/>
              <w:rPr>
                <w:b/>
                <w:bCs/>
              </w:rPr>
            </w:pPr>
            <w:r>
              <w:rPr>
                <w:b/>
                <w:bCs/>
              </w:rPr>
              <w:t>Patch</w:t>
            </w:r>
          </w:p>
        </w:tc>
        <w:tc>
          <w:tcPr>
            <w:tcW w:w="3327" w:type="pct"/>
            <w:tcBorders>
              <w:top w:val="nil"/>
              <w:left w:val="nil"/>
              <w:bottom w:val="nil"/>
              <w:right w:val="nil"/>
            </w:tcBorders>
          </w:tcPr>
          <w:p w14:paraId="0F3E8B12" w14:textId="77777777" w:rsidR="00AF274B" w:rsidRDefault="00AF274B">
            <w:pPr>
              <w:pStyle w:val="GlossaryTableText"/>
            </w:pPr>
            <w:r>
              <w:rPr>
                <w:color w:val="000000"/>
              </w:rPr>
              <w:t>Software developed and released to correct a defect, or change or enhance existing functionality; usually a modified subset or small addition to existing software.</w:t>
            </w:r>
          </w:p>
        </w:tc>
      </w:tr>
      <w:tr w:rsidR="00AF274B" w14:paraId="5FF0CB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5FA643B" w14:textId="77777777" w:rsidR="00AF274B" w:rsidRDefault="00AF274B">
            <w:pPr>
              <w:pStyle w:val="GlossaryTableText"/>
              <w:rPr>
                <w:b/>
                <w:bCs/>
              </w:rPr>
            </w:pPr>
            <w:r>
              <w:rPr>
                <w:b/>
                <w:bCs/>
                <w:snapToGrid w:val="0"/>
              </w:rPr>
              <w:t>Patient care encounter (PCE)</w:t>
            </w:r>
          </w:p>
        </w:tc>
        <w:tc>
          <w:tcPr>
            <w:tcW w:w="3327" w:type="pct"/>
            <w:tcBorders>
              <w:top w:val="nil"/>
              <w:left w:val="nil"/>
              <w:bottom w:val="nil"/>
              <w:right w:val="nil"/>
            </w:tcBorders>
          </w:tcPr>
          <w:p w14:paraId="41E3EC66" w14:textId="77777777" w:rsidR="00AF274B" w:rsidRDefault="00AF274B">
            <w:pPr>
              <w:pStyle w:val="GlossaryTableText"/>
              <w:rPr>
                <w:snapToGrid w:val="0"/>
              </w:rPr>
            </w:pPr>
            <w:r>
              <w:rPr>
                <w:snapToGrid w:val="0"/>
              </w:rPr>
              <w:t>A contact with a patient documented in the patient’s record.</w:t>
            </w:r>
          </w:p>
        </w:tc>
      </w:tr>
      <w:tr w:rsidR="00AF274B" w14:paraId="6CC478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3AA0B23" w14:textId="77777777" w:rsidR="00AF274B" w:rsidRDefault="00AF274B">
            <w:pPr>
              <w:pStyle w:val="GlossaryTableText"/>
              <w:rPr>
                <w:b/>
                <w:bCs/>
              </w:rPr>
            </w:pPr>
            <w:r>
              <w:rPr>
                <w:b/>
                <w:bCs/>
                <w:snapToGrid w:val="0"/>
              </w:rPr>
              <w:t>Pending Order List (POL)</w:t>
            </w:r>
          </w:p>
        </w:tc>
        <w:tc>
          <w:tcPr>
            <w:tcW w:w="3327" w:type="pct"/>
            <w:tcBorders>
              <w:top w:val="nil"/>
              <w:left w:val="nil"/>
              <w:bottom w:val="nil"/>
              <w:right w:val="nil"/>
            </w:tcBorders>
          </w:tcPr>
          <w:p w14:paraId="1D7A02A7" w14:textId="77777777" w:rsidR="00AF274B" w:rsidRDefault="00AF274B">
            <w:pPr>
              <w:pStyle w:val="GlossaryTableText"/>
              <w:rPr>
                <w:snapToGrid w:val="0"/>
              </w:rPr>
            </w:pPr>
            <w:r>
              <w:rPr>
                <w:snapToGrid w:val="0"/>
              </w:rPr>
              <w:t>A list of orders transmitted from CPRS waiting to be processed.</w:t>
            </w:r>
          </w:p>
        </w:tc>
      </w:tr>
      <w:tr w:rsidR="00AF274B" w14:paraId="1FF6B3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84979DF" w14:textId="77777777" w:rsidR="00AF274B" w:rsidRDefault="00AF274B">
            <w:pPr>
              <w:pStyle w:val="GlossaryTableText"/>
              <w:rPr>
                <w:b/>
                <w:bCs/>
              </w:rPr>
            </w:pPr>
            <w:r>
              <w:rPr>
                <w:b/>
                <w:bCs/>
                <w:snapToGrid w:val="0"/>
              </w:rPr>
              <w:t>Pending Task List (PTL)</w:t>
            </w:r>
          </w:p>
        </w:tc>
        <w:tc>
          <w:tcPr>
            <w:tcW w:w="3327" w:type="pct"/>
            <w:tcBorders>
              <w:top w:val="nil"/>
              <w:left w:val="nil"/>
              <w:bottom w:val="nil"/>
              <w:right w:val="nil"/>
            </w:tcBorders>
          </w:tcPr>
          <w:p w14:paraId="45D538F4" w14:textId="77777777" w:rsidR="00AF274B" w:rsidRDefault="00AF274B">
            <w:pPr>
              <w:pStyle w:val="GlossaryTableText"/>
              <w:rPr>
                <w:snapToGrid w:val="0"/>
              </w:rPr>
            </w:pPr>
            <w:r>
              <w:t>A list of tasks to be processed in the blood bank.</w:t>
            </w:r>
          </w:p>
        </w:tc>
      </w:tr>
      <w:tr w:rsidR="00AF274B" w14:paraId="366527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4DF459" w14:textId="77777777" w:rsidR="00AF274B" w:rsidRDefault="00AF274B">
            <w:pPr>
              <w:pStyle w:val="GlossaryTableText"/>
              <w:rPr>
                <w:b/>
                <w:bCs/>
              </w:rPr>
            </w:pPr>
            <w:r>
              <w:rPr>
                <w:b/>
                <w:bCs/>
              </w:rPr>
              <w:t>Phenotype</w:t>
            </w:r>
          </w:p>
        </w:tc>
        <w:tc>
          <w:tcPr>
            <w:tcW w:w="3327" w:type="pct"/>
            <w:tcBorders>
              <w:top w:val="nil"/>
              <w:left w:val="nil"/>
              <w:bottom w:val="nil"/>
              <w:right w:val="nil"/>
            </w:tcBorders>
          </w:tcPr>
          <w:p w14:paraId="07A3EA6E" w14:textId="77777777" w:rsidR="00AF274B" w:rsidRDefault="00AF274B">
            <w:pPr>
              <w:pStyle w:val="GlossaryTableText"/>
            </w:pPr>
            <w:r>
              <w:t>Describes the presence or absence of specific antigens.</w:t>
            </w:r>
          </w:p>
        </w:tc>
      </w:tr>
      <w:tr w:rsidR="00AF274B" w14:paraId="338C173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9F78F2" w14:textId="77777777" w:rsidR="00AF274B" w:rsidRDefault="00AF274B">
            <w:pPr>
              <w:pStyle w:val="GlossaryTableText"/>
              <w:rPr>
                <w:b/>
                <w:bCs/>
              </w:rPr>
            </w:pPr>
            <w:r>
              <w:rPr>
                <w:b/>
                <w:bCs/>
              </w:rPr>
              <w:t>Phenotyping</w:t>
            </w:r>
          </w:p>
        </w:tc>
        <w:tc>
          <w:tcPr>
            <w:tcW w:w="3327" w:type="pct"/>
            <w:tcBorders>
              <w:top w:val="nil"/>
              <w:left w:val="nil"/>
              <w:bottom w:val="nil"/>
              <w:right w:val="nil"/>
            </w:tcBorders>
          </w:tcPr>
          <w:p w14:paraId="3DEFCCAE" w14:textId="77777777" w:rsidR="00AF274B" w:rsidRDefault="00AF274B">
            <w:pPr>
              <w:pStyle w:val="GlossaryTableText"/>
            </w:pPr>
            <w:r>
              <w:t>Testing for the presence or absence of specific antigens. See “Antigen typing.”</w:t>
            </w:r>
          </w:p>
        </w:tc>
      </w:tr>
      <w:tr w:rsidR="00AF274B" w14:paraId="4009C72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06350F4" w14:textId="77777777" w:rsidR="00AF274B" w:rsidRDefault="00AF274B">
            <w:pPr>
              <w:pStyle w:val="GlossaryTableText"/>
              <w:rPr>
                <w:b/>
                <w:bCs/>
              </w:rPr>
            </w:pPr>
            <w:r>
              <w:rPr>
                <w:b/>
                <w:bCs/>
                <w:snapToGrid w:val="0"/>
              </w:rPr>
              <w:t>Pick list</w:t>
            </w:r>
          </w:p>
        </w:tc>
        <w:tc>
          <w:tcPr>
            <w:tcW w:w="3327" w:type="pct"/>
            <w:tcBorders>
              <w:top w:val="nil"/>
              <w:left w:val="nil"/>
              <w:bottom w:val="nil"/>
              <w:right w:val="nil"/>
            </w:tcBorders>
          </w:tcPr>
          <w:p w14:paraId="1D256E6B" w14:textId="77777777" w:rsidR="00AF274B" w:rsidRDefault="00AF274B">
            <w:pPr>
              <w:pStyle w:val="GlossaryTableText"/>
              <w:rPr>
                <w:snapToGrid w:val="0"/>
              </w:rPr>
            </w:pPr>
            <w:r>
              <w:rPr>
                <w:snapToGrid w:val="0"/>
              </w:rPr>
              <w:t>A system-generated list that allows a user to select one or more entries.</w:t>
            </w:r>
          </w:p>
        </w:tc>
      </w:tr>
      <w:tr w:rsidR="00AF274B" w14:paraId="69ED57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2AEE0D" w14:textId="77777777" w:rsidR="00AF274B" w:rsidRDefault="00AF274B">
            <w:pPr>
              <w:pStyle w:val="GlossaryTableText"/>
              <w:rPr>
                <w:b/>
                <w:bCs/>
              </w:rPr>
            </w:pPr>
            <w:r>
              <w:rPr>
                <w:b/>
                <w:bCs/>
              </w:rPr>
              <w:t>Pool</w:t>
            </w:r>
          </w:p>
        </w:tc>
        <w:tc>
          <w:tcPr>
            <w:tcW w:w="3327" w:type="pct"/>
            <w:tcBorders>
              <w:top w:val="nil"/>
              <w:left w:val="nil"/>
              <w:bottom w:val="nil"/>
              <w:right w:val="nil"/>
            </w:tcBorders>
          </w:tcPr>
          <w:p w14:paraId="53FB475B" w14:textId="77777777" w:rsidR="008A6FC3" w:rsidRPr="008A6FC3" w:rsidRDefault="008A6FC3" w:rsidP="008A6FC3">
            <w:pPr>
              <w:pStyle w:val="GlossaryTableText"/>
            </w:pPr>
            <w:r>
              <w:t>A blood product from many donors stored for later use.</w:t>
            </w:r>
          </w:p>
        </w:tc>
      </w:tr>
      <w:tr w:rsidR="00AF274B" w14:paraId="094B0E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4A98F0" w14:textId="77777777" w:rsidR="00AF274B" w:rsidRDefault="00AF274B">
            <w:pPr>
              <w:pStyle w:val="GlossaryTableText"/>
              <w:rPr>
                <w:b/>
                <w:bCs/>
              </w:rPr>
            </w:pPr>
            <w:r>
              <w:rPr>
                <w:b/>
                <w:bCs/>
              </w:rPr>
              <w:t>Positive control</w:t>
            </w:r>
          </w:p>
        </w:tc>
        <w:tc>
          <w:tcPr>
            <w:tcW w:w="3327" w:type="pct"/>
            <w:tcBorders>
              <w:top w:val="nil"/>
              <w:left w:val="nil"/>
              <w:bottom w:val="nil"/>
              <w:right w:val="nil"/>
            </w:tcBorders>
          </w:tcPr>
          <w:p w14:paraId="35DA1564" w14:textId="77777777" w:rsidR="00AF274B" w:rsidRDefault="00AF274B">
            <w:pPr>
              <w:pStyle w:val="GlossaryTableText"/>
            </w:pPr>
            <w:r>
              <w:t xml:space="preserve">The positive control cell is known to have the antigen that the reagent antiserum type is to detect. This cell should demonstrate positive serologic reaction and, therefore, have a valid positive interpretation. </w:t>
            </w:r>
          </w:p>
          <w:p w14:paraId="0A736DE1" w14:textId="77777777" w:rsidR="00AF274B" w:rsidRDefault="00AF274B">
            <w:pPr>
              <w:pStyle w:val="GlossaryTableText"/>
            </w:pPr>
            <w:r>
              <w:t>The positive and negative control cells must demonstrate a valid positive or negative set of serologic reactions and interpretations for the test of the unit or patient to be considered valid, regardless of the row validation of the unit test itself. (See “Negative control.”)</w:t>
            </w:r>
          </w:p>
        </w:tc>
      </w:tr>
      <w:tr w:rsidR="00AF274B" w14:paraId="6A829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F719232" w14:textId="77777777" w:rsidR="00AF274B" w:rsidRDefault="00AF274B">
            <w:pPr>
              <w:pStyle w:val="GlossaryTableText"/>
              <w:rPr>
                <w:b/>
                <w:bCs/>
              </w:rPr>
            </w:pPr>
            <w:r>
              <w:rPr>
                <w:b/>
                <w:bCs/>
              </w:rPr>
              <w:t>Potential hazard</w:t>
            </w:r>
          </w:p>
        </w:tc>
        <w:tc>
          <w:tcPr>
            <w:tcW w:w="3327" w:type="pct"/>
            <w:tcBorders>
              <w:top w:val="nil"/>
              <w:left w:val="nil"/>
              <w:bottom w:val="nil"/>
              <w:right w:val="nil"/>
            </w:tcBorders>
          </w:tcPr>
          <w:p w14:paraId="63024E4C" w14:textId="77777777" w:rsidR="00AF274B" w:rsidRDefault="00AF274B">
            <w:pPr>
              <w:pStyle w:val="GlossaryTableText"/>
            </w:pPr>
            <w:r>
              <w:t>An event that compromises the safety of the patient or blood supply.</w:t>
            </w:r>
          </w:p>
        </w:tc>
      </w:tr>
      <w:tr w:rsidR="00AF274B" w14:paraId="741776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76736A" w14:textId="77777777" w:rsidR="00AF274B" w:rsidRDefault="00AF274B">
            <w:pPr>
              <w:pStyle w:val="GlossaryTableText"/>
              <w:rPr>
                <w:b/>
                <w:bCs/>
              </w:rPr>
            </w:pPr>
            <w:r>
              <w:rPr>
                <w:b/>
                <w:bCs/>
              </w:rPr>
              <w:t>Pre-transfusion testing</w:t>
            </w:r>
          </w:p>
        </w:tc>
        <w:tc>
          <w:tcPr>
            <w:tcW w:w="3327" w:type="pct"/>
            <w:tcBorders>
              <w:top w:val="nil"/>
              <w:left w:val="nil"/>
              <w:bottom w:val="nil"/>
              <w:right w:val="nil"/>
            </w:tcBorders>
          </w:tcPr>
          <w:p w14:paraId="1136884C" w14:textId="77777777" w:rsidR="00AF274B" w:rsidRDefault="00AF274B">
            <w:pPr>
              <w:pStyle w:val="GlossaryTableText"/>
            </w:pPr>
            <w:r>
              <w:t>A group of tests, including ABO/Rh and an antibody screen, that must be performed on a sample of blood prior to crossmatching red cells for transfusion.</w:t>
            </w:r>
          </w:p>
        </w:tc>
      </w:tr>
      <w:tr w:rsidR="00AF274B" w14:paraId="41C8BF9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328AF89" w14:textId="77777777" w:rsidR="00AF274B" w:rsidRDefault="00AF274B">
            <w:pPr>
              <w:pStyle w:val="GlossaryTableText"/>
              <w:rPr>
                <w:b/>
                <w:bCs/>
              </w:rPr>
            </w:pPr>
            <w:r>
              <w:rPr>
                <w:b/>
                <w:bCs/>
              </w:rPr>
              <w:t>Product</w:t>
            </w:r>
          </w:p>
        </w:tc>
        <w:tc>
          <w:tcPr>
            <w:tcW w:w="3327" w:type="pct"/>
            <w:tcBorders>
              <w:top w:val="nil"/>
              <w:left w:val="nil"/>
              <w:bottom w:val="nil"/>
              <w:right w:val="nil"/>
            </w:tcBorders>
          </w:tcPr>
          <w:p w14:paraId="0AE301CD" w14:textId="77777777" w:rsidR="00AF274B" w:rsidRDefault="00AF274B">
            <w:pPr>
              <w:pStyle w:val="GlossaryTableText"/>
            </w:pPr>
            <w:r>
              <w:t>Components, manufacturing materials, in-process devices, finished devices, and returned devices.</w:t>
            </w:r>
          </w:p>
        </w:tc>
      </w:tr>
      <w:tr w:rsidR="00AF274B" w14:paraId="641CD7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D6A941D" w14:textId="77777777" w:rsidR="00AF274B" w:rsidRDefault="00AF274B">
            <w:pPr>
              <w:pStyle w:val="GlossaryTableText"/>
              <w:rPr>
                <w:b/>
                <w:bCs/>
              </w:rPr>
            </w:pPr>
            <w:r>
              <w:rPr>
                <w:b/>
                <w:bCs/>
              </w:rPr>
              <w:t>Product type</w:t>
            </w:r>
          </w:p>
        </w:tc>
        <w:tc>
          <w:tcPr>
            <w:tcW w:w="3327" w:type="pct"/>
            <w:tcBorders>
              <w:top w:val="nil"/>
              <w:left w:val="nil"/>
              <w:bottom w:val="nil"/>
              <w:right w:val="nil"/>
            </w:tcBorders>
          </w:tcPr>
          <w:p w14:paraId="0CC10656" w14:textId="77777777" w:rsidR="00AF274B" w:rsidRDefault="00AF274B">
            <w:pPr>
              <w:pStyle w:val="GlossaryTableText"/>
            </w:pPr>
            <w:r>
              <w:t>See “Component class.”</w:t>
            </w:r>
          </w:p>
        </w:tc>
      </w:tr>
      <w:tr w:rsidR="00542729" w14:paraId="2CD144A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170F8F6" w14:textId="77777777" w:rsidR="00542729" w:rsidRDefault="00542729">
            <w:pPr>
              <w:pStyle w:val="GlossaryTableText"/>
              <w:rPr>
                <w:b/>
                <w:bCs/>
              </w:rPr>
            </w:pPr>
            <w:r>
              <w:rPr>
                <w:b/>
                <w:bCs/>
              </w:rPr>
              <w:t>Presumed transfused</w:t>
            </w:r>
          </w:p>
        </w:tc>
        <w:tc>
          <w:tcPr>
            <w:tcW w:w="3327" w:type="pct"/>
            <w:tcBorders>
              <w:top w:val="nil"/>
              <w:left w:val="nil"/>
              <w:bottom w:val="nil"/>
              <w:right w:val="nil"/>
            </w:tcBorders>
          </w:tcPr>
          <w:p w14:paraId="260BC6AB" w14:textId="77777777" w:rsidR="00542729" w:rsidRDefault="00542729">
            <w:pPr>
              <w:pStyle w:val="GlossaryTableText"/>
            </w:pPr>
            <w:r>
              <w:t>Unit status that VBECS assigns 48 hours after issue of a bl</w:t>
            </w:r>
            <w:r w:rsidR="006B7AA9">
              <w:t>ood product.</w:t>
            </w:r>
          </w:p>
        </w:tc>
      </w:tr>
      <w:tr w:rsidR="00AF274B" w14:paraId="75D6E40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4436F3" w14:textId="77777777" w:rsidR="00AF274B" w:rsidRDefault="00AF274B">
            <w:pPr>
              <w:pStyle w:val="GlossaryTableText"/>
              <w:rPr>
                <w:b/>
                <w:bCs/>
              </w:rPr>
            </w:pPr>
            <w:r>
              <w:rPr>
                <w:b/>
                <w:bCs/>
              </w:rPr>
              <w:t>QC</w:t>
            </w:r>
          </w:p>
        </w:tc>
        <w:tc>
          <w:tcPr>
            <w:tcW w:w="3327" w:type="pct"/>
            <w:tcBorders>
              <w:top w:val="nil"/>
              <w:left w:val="nil"/>
              <w:bottom w:val="nil"/>
              <w:right w:val="nil"/>
            </w:tcBorders>
          </w:tcPr>
          <w:p w14:paraId="1AFCF886" w14:textId="77777777" w:rsidR="00AF274B" w:rsidRDefault="00AF274B">
            <w:pPr>
              <w:pStyle w:val="GlossaryTableText"/>
            </w:pPr>
            <w:r>
              <w:t xml:space="preserve">Quality control. Testing routinely performed to ensure the proper functioning of materials, equipment, and methods. </w:t>
            </w:r>
          </w:p>
        </w:tc>
      </w:tr>
      <w:tr w:rsidR="00AF274B" w14:paraId="4EFCE6A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FF7A97A" w14:textId="77777777" w:rsidR="00AF274B" w:rsidRDefault="00AF274B">
            <w:pPr>
              <w:pStyle w:val="GlossaryTableText"/>
              <w:rPr>
                <w:b/>
                <w:bCs/>
              </w:rPr>
            </w:pPr>
            <w:r>
              <w:rPr>
                <w:b/>
                <w:bCs/>
              </w:rPr>
              <w:t>Quality</w:t>
            </w:r>
          </w:p>
        </w:tc>
        <w:tc>
          <w:tcPr>
            <w:tcW w:w="3327" w:type="pct"/>
            <w:tcBorders>
              <w:top w:val="nil"/>
              <w:left w:val="nil"/>
              <w:bottom w:val="nil"/>
              <w:right w:val="nil"/>
            </w:tcBorders>
          </w:tcPr>
          <w:p w14:paraId="6B2D96BE" w14:textId="77777777" w:rsidR="00AF274B" w:rsidRDefault="00AF274B">
            <w:pPr>
              <w:pStyle w:val="GlossaryTableText"/>
            </w:pPr>
            <w:r>
              <w:t>The totality of features and characteristics that affect the ability of a device to satisfy fitness-for-use, including safety and performance.</w:t>
            </w:r>
          </w:p>
        </w:tc>
      </w:tr>
      <w:tr w:rsidR="00AF274B" w14:paraId="02BCF6B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729FA79" w14:textId="77777777" w:rsidR="00AF274B" w:rsidRDefault="00AF274B">
            <w:pPr>
              <w:pStyle w:val="GlossaryTableText"/>
              <w:rPr>
                <w:b/>
                <w:bCs/>
              </w:rPr>
            </w:pPr>
            <w:r>
              <w:rPr>
                <w:b/>
                <w:bCs/>
              </w:rPr>
              <w:t>Reagent rack (also “rack”)</w:t>
            </w:r>
          </w:p>
        </w:tc>
        <w:tc>
          <w:tcPr>
            <w:tcW w:w="3327" w:type="pct"/>
            <w:tcBorders>
              <w:top w:val="nil"/>
              <w:left w:val="nil"/>
              <w:bottom w:val="nil"/>
              <w:right w:val="nil"/>
            </w:tcBorders>
          </w:tcPr>
          <w:p w14:paraId="007AD152" w14:textId="77777777" w:rsidR="00AF274B" w:rsidRDefault="00AF274B">
            <w:pPr>
              <w:pStyle w:val="GlossaryTableText"/>
            </w:pPr>
            <w:r>
              <w:t>A group of reagents used in routine blood bank testing.</w:t>
            </w:r>
          </w:p>
        </w:tc>
      </w:tr>
      <w:tr w:rsidR="00AF274B" w14:paraId="662415B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6512EE9" w14:textId="77777777" w:rsidR="00AF274B" w:rsidRDefault="00AF274B">
            <w:pPr>
              <w:pStyle w:val="GlossaryTableText"/>
              <w:rPr>
                <w:b/>
                <w:bCs/>
              </w:rPr>
            </w:pPr>
            <w:r>
              <w:rPr>
                <w:b/>
                <w:bCs/>
              </w:rPr>
              <w:t>Reagent red blood cells</w:t>
            </w:r>
          </w:p>
        </w:tc>
        <w:tc>
          <w:tcPr>
            <w:tcW w:w="3327" w:type="pct"/>
            <w:tcBorders>
              <w:top w:val="nil"/>
              <w:left w:val="nil"/>
              <w:bottom w:val="nil"/>
              <w:right w:val="nil"/>
            </w:tcBorders>
          </w:tcPr>
          <w:p w14:paraId="1381659E" w14:textId="77777777" w:rsidR="00AF274B" w:rsidRDefault="00AF274B">
            <w:pPr>
              <w:pStyle w:val="GlossaryTableText"/>
            </w:pPr>
            <w:r>
              <w:t>Non-patient testing materials, usually from a commercial source.</w:t>
            </w:r>
          </w:p>
        </w:tc>
      </w:tr>
      <w:tr w:rsidR="00AF274B" w14:paraId="285147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1629964" w14:textId="77777777" w:rsidR="00AF274B" w:rsidRDefault="00AF274B">
            <w:pPr>
              <w:pStyle w:val="GlossaryTableText"/>
              <w:rPr>
                <w:b/>
                <w:bCs/>
              </w:rPr>
            </w:pPr>
            <w:r>
              <w:rPr>
                <w:b/>
                <w:bCs/>
              </w:rPr>
              <w:t>Reflex order</w:t>
            </w:r>
          </w:p>
        </w:tc>
        <w:tc>
          <w:tcPr>
            <w:tcW w:w="3327" w:type="pct"/>
            <w:tcBorders>
              <w:top w:val="nil"/>
              <w:left w:val="nil"/>
              <w:bottom w:val="nil"/>
              <w:right w:val="nil"/>
            </w:tcBorders>
          </w:tcPr>
          <w:p w14:paraId="0EA34315" w14:textId="77777777" w:rsidR="00AF274B" w:rsidRDefault="00AF274B">
            <w:pPr>
              <w:pStyle w:val="GlossaryTableText"/>
            </w:pPr>
            <w:r>
              <w:t>An order for additional testing to be performed resulting from observations of previous testing.</w:t>
            </w:r>
          </w:p>
        </w:tc>
      </w:tr>
      <w:tr w:rsidR="00AF274B" w14:paraId="7C9B036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302521" w14:textId="77777777" w:rsidR="00AF274B" w:rsidRDefault="00AF274B">
            <w:pPr>
              <w:pStyle w:val="GlossaryTableText"/>
              <w:rPr>
                <w:b/>
                <w:bCs/>
              </w:rPr>
            </w:pPr>
            <w:r>
              <w:rPr>
                <w:b/>
                <w:bCs/>
              </w:rPr>
              <w:t>Reflex test</w:t>
            </w:r>
          </w:p>
        </w:tc>
        <w:tc>
          <w:tcPr>
            <w:tcW w:w="3327" w:type="pct"/>
            <w:tcBorders>
              <w:top w:val="nil"/>
              <w:left w:val="nil"/>
              <w:bottom w:val="nil"/>
              <w:right w:val="nil"/>
            </w:tcBorders>
          </w:tcPr>
          <w:p w14:paraId="3F0D4EF6" w14:textId="77777777" w:rsidR="00AF274B" w:rsidRDefault="00AF274B">
            <w:pPr>
              <w:pStyle w:val="GlossaryTableText"/>
            </w:pPr>
            <w:r>
              <w:t>A laboratory test not ordered by a physician but performed in response to results of other laboratory tests.</w:t>
            </w:r>
          </w:p>
        </w:tc>
      </w:tr>
      <w:tr w:rsidR="00AF274B" w14:paraId="162ABA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1DDECDE" w14:textId="77777777" w:rsidR="00AF274B" w:rsidRDefault="00AF274B">
            <w:pPr>
              <w:pStyle w:val="GlossaryTableText"/>
              <w:rPr>
                <w:b/>
                <w:bCs/>
              </w:rPr>
            </w:pPr>
            <w:r>
              <w:rPr>
                <w:b/>
                <w:bCs/>
                <w:snapToGrid w:val="0"/>
              </w:rPr>
              <w:t>Rh (also “Rh factor”)</w:t>
            </w:r>
          </w:p>
        </w:tc>
        <w:tc>
          <w:tcPr>
            <w:tcW w:w="3327" w:type="pct"/>
            <w:tcBorders>
              <w:top w:val="nil"/>
              <w:left w:val="nil"/>
              <w:bottom w:val="nil"/>
              <w:right w:val="nil"/>
            </w:tcBorders>
          </w:tcPr>
          <w:p w14:paraId="19D4DCE3" w14:textId="77777777" w:rsidR="00AF274B" w:rsidRDefault="00AF274B">
            <w:pPr>
              <w:pStyle w:val="GlossaryTableText"/>
              <w:rPr>
                <w:snapToGrid w:val="0"/>
              </w:rPr>
            </w:pPr>
            <w:r>
              <w:rPr>
                <w:snapToGrid w:val="0"/>
              </w:rPr>
              <w:t xml:space="preserve">Rhesus factor. </w:t>
            </w:r>
            <w:r>
              <w:t>The major antigen of the Rh system. Also “D.”</w:t>
            </w:r>
            <w:r>
              <w:rPr>
                <w:i/>
              </w:rPr>
              <w:t xml:space="preserve"> The presence of this antigen on red blood cells determines if a patient or donor is Rh Pos or Rh Neg. A weak expression of the D antigen, referred to as “Du” or “weak D,” may require additional testing to determine its presence.</w:t>
            </w:r>
          </w:p>
        </w:tc>
      </w:tr>
      <w:tr w:rsidR="00AF274B" w14:paraId="753DE5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0529E86" w14:textId="77777777" w:rsidR="00AF274B" w:rsidRDefault="00AF274B">
            <w:pPr>
              <w:pStyle w:val="GlossaryTableText"/>
              <w:rPr>
                <w:b/>
                <w:bCs/>
              </w:rPr>
            </w:pPr>
            <w:r>
              <w:rPr>
                <w:b/>
                <w:bCs/>
                <w:snapToGrid w:val="0"/>
              </w:rPr>
              <w:t>SCD</w:t>
            </w:r>
          </w:p>
        </w:tc>
        <w:tc>
          <w:tcPr>
            <w:tcW w:w="3327" w:type="pct"/>
            <w:tcBorders>
              <w:top w:val="nil"/>
              <w:left w:val="nil"/>
              <w:bottom w:val="nil"/>
              <w:right w:val="nil"/>
            </w:tcBorders>
          </w:tcPr>
          <w:p w14:paraId="7C982E87" w14:textId="77777777" w:rsidR="00AF274B" w:rsidRDefault="00AF274B">
            <w:pPr>
              <w:pStyle w:val="GlossaryTableText"/>
              <w:rPr>
                <w:snapToGrid w:val="0"/>
              </w:rPr>
            </w:pPr>
            <w:r>
              <w:rPr>
                <w:snapToGrid w:val="0"/>
              </w:rPr>
              <w:t>Sterile connection device.</w:t>
            </w:r>
          </w:p>
        </w:tc>
      </w:tr>
      <w:tr w:rsidR="00AF274B" w14:paraId="7060FEF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74137D2" w14:textId="77777777" w:rsidR="00AF274B" w:rsidRDefault="00AF274B">
            <w:pPr>
              <w:pStyle w:val="GlossaryTableText"/>
              <w:rPr>
                <w:b/>
                <w:bCs/>
                <w:snapToGrid w:val="0"/>
              </w:rPr>
            </w:pPr>
            <w:r>
              <w:rPr>
                <w:b/>
                <w:bCs/>
                <w:snapToGrid w:val="0"/>
              </w:rPr>
              <w:t>Screening cell (SC)</w:t>
            </w:r>
          </w:p>
          <w:p w14:paraId="629C7231" w14:textId="68D18599" w:rsidR="0022026D" w:rsidRPr="0022026D" w:rsidRDefault="0022026D" w:rsidP="0022026D">
            <w:pPr>
              <w:pStyle w:val="TableText"/>
              <w:rPr>
                <w:b/>
                <w:sz w:val="20"/>
                <w:szCs w:val="20"/>
              </w:rPr>
            </w:pPr>
            <w:r w:rsidRPr="0022026D">
              <w:rPr>
                <w:b/>
                <w:sz w:val="20"/>
                <w:szCs w:val="20"/>
              </w:rPr>
              <w:t>SD</w:t>
            </w:r>
          </w:p>
        </w:tc>
        <w:tc>
          <w:tcPr>
            <w:tcW w:w="3327" w:type="pct"/>
            <w:tcBorders>
              <w:top w:val="nil"/>
              <w:left w:val="nil"/>
              <w:bottom w:val="nil"/>
              <w:right w:val="nil"/>
            </w:tcBorders>
          </w:tcPr>
          <w:p w14:paraId="247FA565" w14:textId="77777777" w:rsidR="00AF274B" w:rsidRDefault="00AF274B">
            <w:pPr>
              <w:pStyle w:val="GlossaryTableText"/>
              <w:rPr>
                <w:snapToGrid w:val="0"/>
              </w:rPr>
            </w:pPr>
            <w:r>
              <w:rPr>
                <w:snapToGrid w:val="0"/>
              </w:rPr>
              <w:t>Antigenically defined cells used to detect alloantibodies.</w:t>
            </w:r>
          </w:p>
          <w:p w14:paraId="26D5BA83" w14:textId="3CE79ADE" w:rsidR="0022026D" w:rsidRPr="0022026D" w:rsidRDefault="0022026D" w:rsidP="0022026D">
            <w:pPr>
              <w:pStyle w:val="TableText"/>
              <w:rPr>
                <w:sz w:val="20"/>
                <w:szCs w:val="20"/>
              </w:rPr>
            </w:pPr>
            <w:r w:rsidRPr="0022026D">
              <w:rPr>
                <w:sz w:val="20"/>
                <w:szCs w:val="20"/>
              </w:rPr>
              <w:t>Service Desk (formerly National Help Desk).</w:t>
            </w:r>
          </w:p>
        </w:tc>
      </w:tr>
      <w:tr w:rsidR="00AF274B" w14:paraId="17B4D77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4223F97" w14:textId="77777777" w:rsidR="00AF274B" w:rsidRDefault="00AF274B">
            <w:pPr>
              <w:pStyle w:val="GlossaryTableText"/>
              <w:rPr>
                <w:b/>
                <w:bCs/>
              </w:rPr>
            </w:pPr>
            <w:r>
              <w:rPr>
                <w:b/>
                <w:bCs/>
              </w:rPr>
              <w:t>Selected</w:t>
            </w:r>
          </w:p>
        </w:tc>
        <w:tc>
          <w:tcPr>
            <w:tcW w:w="3327" w:type="pct"/>
            <w:tcBorders>
              <w:top w:val="nil"/>
              <w:left w:val="nil"/>
              <w:bottom w:val="nil"/>
              <w:right w:val="nil"/>
            </w:tcBorders>
          </w:tcPr>
          <w:p w14:paraId="40EE796B" w14:textId="77777777" w:rsidR="00AF274B" w:rsidRDefault="00AF274B">
            <w:pPr>
              <w:pStyle w:val="GlossaryTableText"/>
            </w:pPr>
            <w:r>
              <w:t xml:space="preserve">Status of a unit of red cells when the blood bank technician selects it from available inventory to be crossmatched with a patient specimen. </w:t>
            </w:r>
            <w:r>
              <w:rPr>
                <w:i/>
              </w:rPr>
              <w:t>A unit in “selected” state is not available to be issued for transfusion. By entering a crossmatch result of “compatible,” the state changes from “selected” to “assigned.”</w:t>
            </w:r>
          </w:p>
        </w:tc>
      </w:tr>
      <w:tr w:rsidR="00AF274B" w14:paraId="5E58B1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FBB932E" w14:textId="77777777" w:rsidR="00AF274B" w:rsidRDefault="00AF274B">
            <w:pPr>
              <w:pStyle w:val="GlossaryTableText"/>
              <w:rPr>
                <w:b/>
                <w:bCs/>
              </w:rPr>
            </w:pPr>
            <w:r>
              <w:rPr>
                <w:b/>
                <w:bCs/>
                <w:snapToGrid w:val="0"/>
              </w:rPr>
              <w:t>Serologic crossmatch</w:t>
            </w:r>
          </w:p>
        </w:tc>
        <w:tc>
          <w:tcPr>
            <w:tcW w:w="3327" w:type="pct"/>
            <w:tcBorders>
              <w:top w:val="nil"/>
              <w:left w:val="nil"/>
              <w:bottom w:val="nil"/>
              <w:right w:val="nil"/>
            </w:tcBorders>
          </w:tcPr>
          <w:p w14:paraId="2A0A0B1A" w14:textId="77777777" w:rsidR="00AF274B" w:rsidRDefault="00AF274B">
            <w:pPr>
              <w:pStyle w:val="GlossaryTableText"/>
              <w:rPr>
                <w:b/>
              </w:rPr>
            </w:pPr>
            <w:r>
              <w:rPr>
                <w:snapToGrid w:val="0"/>
              </w:rPr>
              <w:t>Performance of a laboratory test to predict post-transfusion survival of transfused blood.</w:t>
            </w:r>
          </w:p>
        </w:tc>
      </w:tr>
      <w:tr w:rsidR="00AF274B" w14:paraId="140FB8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BA01E2E" w14:textId="77777777" w:rsidR="00AF274B" w:rsidRDefault="00AF274B">
            <w:pPr>
              <w:pStyle w:val="GlossaryTableText"/>
              <w:rPr>
                <w:b/>
                <w:bCs/>
              </w:rPr>
            </w:pPr>
            <w:r>
              <w:rPr>
                <w:b/>
                <w:bCs/>
              </w:rPr>
              <w:t>Serum</w:t>
            </w:r>
          </w:p>
        </w:tc>
        <w:tc>
          <w:tcPr>
            <w:tcW w:w="3327" w:type="pct"/>
            <w:tcBorders>
              <w:top w:val="nil"/>
              <w:left w:val="nil"/>
              <w:bottom w:val="nil"/>
              <w:right w:val="nil"/>
            </w:tcBorders>
          </w:tcPr>
          <w:p w14:paraId="18B287C8" w14:textId="77777777" w:rsidR="00AF274B" w:rsidRDefault="00AF274B">
            <w:pPr>
              <w:pStyle w:val="GlossaryTableText"/>
            </w:pPr>
            <w:r>
              <w:t>The liquid portion of blood used to detect antibodies.</w:t>
            </w:r>
          </w:p>
        </w:tc>
      </w:tr>
      <w:tr w:rsidR="00AF274B" w14:paraId="493E531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A280291" w14:textId="77777777" w:rsidR="00AF274B" w:rsidRDefault="00AF274B">
            <w:pPr>
              <w:pStyle w:val="GlossaryTableText"/>
              <w:rPr>
                <w:b/>
                <w:bCs/>
              </w:rPr>
            </w:pPr>
            <w:r>
              <w:rPr>
                <w:b/>
                <w:bCs/>
              </w:rPr>
              <w:t>Server</w:t>
            </w:r>
          </w:p>
        </w:tc>
        <w:tc>
          <w:tcPr>
            <w:tcW w:w="3327" w:type="pct"/>
            <w:tcBorders>
              <w:top w:val="nil"/>
              <w:left w:val="nil"/>
              <w:bottom w:val="nil"/>
              <w:right w:val="nil"/>
            </w:tcBorders>
          </w:tcPr>
          <w:p w14:paraId="2BF74C7E" w14:textId="77777777" w:rsidR="00AF274B" w:rsidRDefault="00AF274B">
            <w:pPr>
              <w:pStyle w:val="GlossaryTableText"/>
            </w:pPr>
            <w:r>
              <w:t>A computer system in a network shared by multiple users.</w:t>
            </w:r>
          </w:p>
        </w:tc>
      </w:tr>
      <w:tr w:rsidR="00AF274B" w14:paraId="455BCD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7077B77" w14:textId="77777777" w:rsidR="00AF274B" w:rsidRDefault="00AF274B">
            <w:pPr>
              <w:pStyle w:val="GlossaryTableText"/>
              <w:rPr>
                <w:b/>
                <w:bCs/>
              </w:rPr>
            </w:pPr>
            <w:r>
              <w:rPr>
                <w:b/>
                <w:bCs/>
              </w:rPr>
              <w:t>SF 518 equivalent</w:t>
            </w:r>
          </w:p>
        </w:tc>
        <w:tc>
          <w:tcPr>
            <w:tcW w:w="3327" w:type="pct"/>
            <w:tcBorders>
              <w:top w:val="nil"/>
              <w:left w:val="nil"/>
              <w:bottom w:val="nil"/>
              <w:right w:val="nil"/>
            </w:tcBorders>
          </w:tcPr>
          <w:p w14:paraId="75186EB3" w14:textId="77777777" w:rsidR="00AF274B" w:rsidRDefault="00AF274B">
            <w:pPr>
              <w:pStyle w:val="GlossaryTableText"/>
            </w:pPr>
            <w:r>
              <w:t>See “Blood Transfusion Reaction Form.”</w:t>
            </w:r>
          </w:p>
        </w:tc>
      </w:tr>
      <w:tr w:rsidR="00AF274B" w14:paraId="335FD76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DEA66AD" w14:textId="77777777" w:rsidR="00AF274B" w:rsidRDefault="00AF274B">
            <w:pPr>
              <w:pStyle w:val="GlossaryTableText"/>
              <w:rPr>
                <w:b/>
                <w:bCs/>
              </w:rPr>
            </w:pPr>
            <w:r>
              <w:rPr>
                <w:b/>
                <w:bCs/>
              </w:rPr>
              <w:t>Site (see also “Facility”)</w:t>
            </w:r>
          </w:p>
        </w:tc>
        <w:tc>
          <w:tcPr>
            <w:tcW w:w="3327" w:type="pct"/>
            <w:tcBorders>
              <w:top w:val="nil"/>
              <w:left w:val="nil"/>
              <w:bottom w:val="nil"/>
              <w:right w:val="nil"/>
            </w:tcBorders>
          </w:tcPr>
          <w:p w14:paraId="5471F8BA" w14:textId="77777777" w:rsidR="00AF274B" w:rsidRDefault="00AF274B">
            <w:pPr>
              <w:pStyle w:val="GlossaryTableText"/>
            </w:pPr>
            <w:r>
              <w:t>A blood bank laboratory where a blood unit is located.</w:t>
            </w:r>
          </w:p>
        </w:tc>
      </w:tr>
      <w:tr w:rsidR="001A1559" w14:paraId="400A6AF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ED77077" w14:textId="77777777" w:rsidR="001A1559" w:rsidRDefault="001A1559">
            <w:pPr>
              <w:pStyle w:val="GlossaryTableText"/>
              <w:rPr>
                <w:b/>
                <w:bCs/>
              </w:rPr>
            </w:pPr>
            <w:r>
              <w:rPr>
                <w:b/>
                <w:bCs/>
              </w:rPr>
              <w:t>SME</w:t>
            </w:r>
          </w:p>
        </w:tc>
        <w:tc>
          <w:tcPr>
            <w:tcW w:w="3327" w:type="pct"/>
            <w:tcBorders>
              <w:top w:val="nil"/>
              <w:left w:val="nil"/>
              <w:bottom w:val="nil"/>
              <w:right w:val="nil"/>
            </w:tcBorders>
          </w:tcPr>
          <w:p w14:paraId="2A029492" w14:textId="77777777" w:rsidR="001A1559" w:rsidRDefault="001A1559">
            <w:pPr>
              <w:pStyle w:val="GlossaryTableText"/>
            </w:pPr>
            <w:r>
              <w:t>Subject matter expert.</w:t>
            </w:r>
          </w:p>
        </w:tc>
      </w:tr>
      <w:tr w:rsidR="00AF274B" w14:paraId="7BA928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AB5B1CF" w14:textId="77777777" w:rsidR="00AF274B" w:rsidRDefault="00AF274B">
            <w:pPr>
              <w:pStyle w:val="GlossaryTableText"/>
              <w:rPr>
                <w:b/>
                <w:bCs/>
              </w:rPr>
            </w:pPr>
            <w:r>
              <w:rPr>
                <w:b/>
                <w:bCs/>
              </w:rPr>
              <w:t>Software</w:t>
            </w:r>
          </w:p>
        </w:tc>
        <w:tc>
          <w:tcPr>
            <w:tcW w:w="3327" w:type="pct"/>
            <w:tcBorders>
              <w:top w:val="nil"/>
              <w:left w:val="nil"/>
              <w:bottom w:val="nil"/>
              <w:right w:val="nil"/>
            </w:tcBorders>
          </w:tcPr>
          <w:p w14:paraId="5773419E" w14:textId="77777777" w:rsidR="00AF274B" w:rsidRDefault="00AF274B">
            <w:pPr>
              <w:pStyle w:val="GlossaryTableText"/>
              <w:rPr>
                <w:b/>
              </w:rPr>
            </w:pPr>
            <w:r>
              <w:t>Computer programs and associated documentation pertaining to the operation of a system.</w:t>
            </w:r>
          </w:p>
        </w:tc>
      </w:tr>
      <w:tr w:rsidR="00AF274B" w14:paraId="474873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372A33D" w14:textId="77777777" w:rsidR="00AF274B" w:rsidRDefault="00AF274B">
            <w:pPr>
              <w:pStyle w:val="GlossaryTableText"/>
              <w:rPr>
                <w:b/>
                <w:bCs/>
              </w:rPr>
            </w:pPr>
            <w:r>
              <w:rPr>
                <w:b/>
                <w:bCs/>
                <w:snapToGrid w:val="0"/>
              </w:rPr>
              <w:t>Special Instructions (SIs)</w:t>
            </w:r>
          </w:p>
        </w:tc>
        <w:tc>
          <w:tcPr>
            <w:tcW w:w="3327" w:type="pct"/>
            <w:tcBorders>
              <w:top w:val="nil"/>
              <w:left w:val="nil"/>
              <w:bottom w:val="nil"/>
              <w:right w:val="nil"/>
            </w:tcBorders>
          </w:tcPr>
          <w:p w14:paraId="7FED2243" w14:textId="77777777" w:rsidR="00AF274B" w:rsidRDefault="00AF274B">
            <w:pPr>
              <w:pStyle w:val="GlossaryTableText"/>
              <w:rPr>
                <w:snapToGrid w:val="0"/>
              </w:rPr>
            </w:pPr>
            <w:r>
              <w:rPr>
                <w:snapToGrid w:val="0"/>
              </w:rPr>
              <w:t>Free-text or canned comments entered by the Blood Bank Technologist to communicate problems, restrictions, and considerations not otherwise documented in a patient’s record.</w:t>
            </w:r>
          </w:p>
        </w:tc>
      </w:tr>
      <w:tr w:rsidR="00AF274B" w14:paraId="283D41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170C135" w14:textId="77777777" w:rsidR="00AF274B" w:rsidRDefault="00AF274B">
            <w:pPr>
              <w:pStyle w:val="GlossaryTableText"/>
              <w:rPr>
                <w:b/>
                <w:bCs/>
              </w:rPr>
            </w:pPr>
            <w:r>
              <w:rPr>
                <w:b/>
                <w:bCs/>
              </w:rPr>
              <w:t>Status</w:t>
            </w:r>
          </w:p>
        </w:tc>
        <w:tc>
          <w:tcPr>
            <w:tcW w:w="3327" w:type="pct"/>
            <w:tcBorders>
              <w:top w:val="nil"/>
              <w:left w:val="nil"/>
              <w:bottom w:val="nil"/>
              <w:right w:val="nil"/>
            </w:tcBorders>
          </w:tcPr>
          <w:p w14:paraId="1DB0F1E9" w14:textId="77777777" w:rsidR="00AF274B" w:rsidRDefault="00AF274B">
            <w:pPr>
              <w:pStyle w:val="GlossaryTableText"/>
            </w:pPr>
            <w:r>
              <w:t>The disposition of a unit of blood.</w:t>
            </w:r>
          </w:p>
        </w:tc>
      </w:tr>
      <w:tr w:rsidR="00AF274B" w14:paraId="3E71A7A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104AF65" w14:textId="77777777" w:rsidR="00AF274B" w:rsidRDefault="00AF274B">
            <w:pPr>
              <w:pStyle w:val="GlossaryTableText"/>
              <w:rPr>
                <w:b/>
                <w:bCs/>
              </w:rPr>
            </w:pPr>
            <w:r>
              <w:rPr>
                <w:b/>
                <w:bCs/>
                <w:snapToGrid w:val="0"/>
              </w:rPr>
              <w:t>Sterile connection device</w:t>
            </w:r>
          </w:p>
        </w:tc>
        <w:tc>
          <w:tcPr>
            <w:tcW w:w="3327" w:type="pct"/>
            <w:tcBorders>
              <w:top w:val="nil"/>
              <w:left w:val="nil"/>
              <w:bottom w:val="nil"/>
              <w:right w:val="nil"/>
            </w:tcBorders>
          </w:tcPr>
          <w:p w14:paraId="3BC98EA2" w14:textId="77777777" w:rsidR="00AF274B" w:rsidRDefault="00AF274B">
            <w:pPr>
              <w:pStyle w:val="GlossaryTableText"/>
              <w:rPr>
                <w:snapToGrid w:val="0"/>
              </w:rPr>
            </w:pPr>
            <w:r>
              <w:rPr>
                <w:snapToGrid w:val="0"/>
              </w:rPr>
              <w:t>An instrument that connects two plastic tubes while maintaining sterility.</w:t>
            </w:r>
          </w:p>
        </w:tc>
      </w:tr>
      <w:tr w:rsidR="009A6A1E" w14:paraId="2E181C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938AFF8" w14:textId="77777777" w:rsidR="009A6A1E" w:rsidRDefault="009A6A1E">
            <w:pPr>
              <w:pStyle w:val="GlossaryTableText"/>
              <w:rPr>
                <w:b/>
                <w:bCs/>
                <w:snapToGrid w:val="0"/>
              </w:rPr>
            </w:pPr>
            <w:r>
              <w:rPr>
                <w:b/>
                <w:bCs/>
                <w:snapToGrid w:val="0"/>
              </w:rPr>
              <w:t>SSRS</w:t>
            </w:r>
          </w:p>
        </w:tc>
        <w:tc>
          <w:tcPr>
            <w:tcW w:w="3327" w:type="pct"/>
            <w:tcBorders>
              <w:top w:val="nil"/>
              <w:left w:val="nil"/>
              <w:bottom w:val="nil"/>
              <w:right w:val="nil"/>
            </w:tcBorders>
          </w:tcPr>
          <w:p w14:paraId="7EC386D2" w14:textId="77777777" w:rsidR="009A6A1E" w:rsidRDefault="009A6A1E">
            <w:pPr>
              <w:pStyle w:val="GlossaryTableText"/>
              <w:rPr>
                <w:snapToGrid w:val="0"/>
              </w:rPr>
            </w:pPr>
            <w:r>
              <w:rPr>
                <w:snapToGrid w:val="0"/>
              </w:rPr>
              <w:t>SQL Server Reporting Services.</w:t>
            </w:r>
          </w:p>
        </w:tc>
      </w:tr>
      <w:tr w:rsidR="00AF274B" w14:paraId="6A4E3A8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E02931B" w14:textId="77777777" w:rsidR="00AF274B" w:rsidRDefault="00AF274B">
            <w:pPr>
              <w:pStyle w:val="GlossaryTableText"/>
              <w:rPr>
                <w:b/>
                <w:bCs/>
                <w:snapToGrid w:val="0"/>
              </w:rPr>
            </w:pPr>
            <w:r>
              <w:rPr>
                <w:b/>
                <w:bCs/>
                <w:snapToGrid w:val="0"/>
              </w:rPr>
              <w:t>Target unit</w:t>
            </w:r>
          </w:p>
        </w:tc>
        <w:tc>
          <w:tcPr>
            <w:tcW w:w="3327" w:type="pct"/>
            <w:tcBorders>
              <w:top w:val="nil"/>
              <w:left w:val="nil"/>
              <w:bottom w:val="nil"/>
              <w:right w:val="nil"/>
            </w:tcBorders>
          </w:tcPr>
          <w:p w14:paraId="73D26A8B" w14:textId="77777777" w:rsidR="00AF274B" w:rsidRDefault="00AF274B">
            <w:pPr>
              <w:pStyle w:val="GlossaryTableText"/>
              <w:rPr>
                <w:snapToGrid w:val="0"/>
              </w:rPr>
            </w:pPr>
            <w:r>
              <w:rPr>
                <w:snapToGrid w:val="0"/>
              </w:rPr>
              <w:t>A unit formed as a result of a pool or split.</w:t>
            </w:r>
          </w:p>
        </w:tc>
      </w:tr>
      <w:tr w:rsidR="00AF274B" w14:paraId="0D2A62C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6281366" w14:textId="77777777" w:rsidR="00AF274B" w:rsidRDefault="00AF274B">
            <w:pPr>
              <w:pStyle w:val="GlossaryTableText"/>
              <w:rPr>
                <w:b/>
                <w:bCs/>
              </w:rPr>
            </w:pPr>
            <w:r>
              <w:rPr>
                <w:b/>
                <w:bCs/>
                <w:snapToGrid w:val="0"/>
              </w:rPr>
              <w:t>TAS</w:t>
            </w:r>
          </w:p>
        </w:tc>
        <w:tc>
          <w:tcPr>
            <w:tcW w:w="3327" w:type="pct"/>
            <w:tcBorders>
              <w:top w:val="nil"/>
              <w:left w:val="nil"/>
              <w:bottom w:val="nil"/>
              <w:right w:val="nil"/>
            </w:tcBorders>
          </w:tcPr>
          <w:p w14:paraId="5A7D1F66" w14:textId="77777777" w:rsidR="00AF274B" w:rsidRDefault="00AF274B">
            <w:pPr>
              <w:pStyle w:val="GlossaryTableText"/>
              <w:rPr>
                <w:snapToGrid w:val="0"/>
              </w:rPr>
            </w:pPr>
            <w:r>
              <w:rPr>
                <w:snapToGrid w:val="0"/>
              </w:rPr>
              <w:t>Type &amp; Screen.</w:t>
            </w:r>
          </w:p>
        </w:tc>
      </w:tr>
      <w:tr w:rsidR="00AF274B" w14:paraId="64D5F8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1B194C" w14:textId="77777777" w:rsidR="00AF274B" w:rsidRDefault="00AF274B">
            <w:pPr>
              <w:pStyle w:val="GlossaryTableText"/>
              <w:rPr>
                <w:b/>
                <w:bCs/>
              </w:rPr>
            </w:pPr>
            <w:r w:rsidRPr="00741C68">
              <w:rPr>
                <w:b/>
                <w:bCs/>
                <w:snapToGrid w:val="0"/>
              </w:rPr>
              <w:t>TCP/IP</w:t>
            </w:r>
          </w:p>
        </w:tc>
        <w:tc>
          <w:tcPr>
            <w:tcW w:w="3327" w:type="pct"/>
            <w:tcBorders>
              <w:top w:val="nil"/>
              <w:left w:val="nil"/>
              <w:bottom w:val="nil"/>
              <w:right w:val="nil"/>
            </w:tcBorders>
          </w:tcPr>
          <w:p w14:paraId="60A63F44" w14:textId="77777777" w:rsidR="00AF274B" w:rsidRDefault="00AF274B">
            <w:pPr>
              <w:pStyle w:val="GlossaryTableText"/>
            </w:pPr>
            <w:r>
              <w:t>Transmission Control Protocol/Internet Protocol.</w:t>
            </w:r>
          </w:p>
        </w:tc>
      </w:tr>
      <w:tr w:rsidR="00AF274B" w14:paraId="225285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FAD4C27" w14:textId="77777777" w:rsidR="00AF274B" w:rsidRDefault="00AF274B">
            <w:pPr>
              <w:pStyle w:val="GlossaryTableText"/>
              <w:rPr>
                <w:b/>
                <w:bCs/>
              </w:rPr>
            </w:pPr>
            <w:r>
              <w:rPr>
                <w:b/>
                <w:bCs/>
              </w:rPr>
              <w:t>Test (in general and laboratory contexts)</w:t>
            </w:r>
          </w:p>
        </w:tc>
        <w:tc>
          <w:tcPr>
            <w:tcW w:w="3327" w:type="pct"/>
            <w:tcBorders>
              <w:top w:val="nil"/>
              <w:left w:val="nil"/>
              <w:bottom w:val="nil"/>
              <w:right w:val="nil"/>
            </w:tcBorders>
          </w:tcPr>
          <w:p w14:paraId="364F7BF0" w14:textId="77777777" w:rsidR="00AF274B" w:rsidRDefault="00AF274B">
            <w:pPr>
              <w:pStyle w:val="GlossaryTableText"/>
            </w:pPr>
            <w:r>
              <w:t>A means of examination to determine a property. In the context of the VBECS database, the contents of a single grid entry (test cell).</w:t>
            </w:r>
          </w:p>
        </w:tc>
      </w:tr>
      <w:tr w:rsidR="00AF274B" w14:paraId="2FD9818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2C9D56B" w14:textId="77777777" w:rsidR="00AF274B" w:rsidRDefault="00AF274B">
            <w:pPr>
              <w:pStyle w:val="GlossaryTableText"/>
              <w:rPr>
                <w:b/>
                <w:bCs/>
              </w:rPr>
            </w:pPr>
            <w:r>
              <w:rPr>
                <w:b/>
                <w:bCs/>
              </w:rPr>
              <w:t>Test cell</w:t>
            </w:r>
          </w:p>
        </w:tc>
        <w:tc>
          <w:tcPr>
            <w:tcW w:w="3327" w:type="pct"/>
            <w:tcBorders>
              <w:top w:val="nil"/>
              <w:left w:val="nil"/>
              <w:bottom w:val="nil"/>
              <w:right w:val="nil"/>
            </w:tcBorders>
          </w:tcPr>
          <w:p w14:paraId="240D5DF0" w14:textId="77777777" w:rsidR="00AF274B" w:rsidRDefault="00AF274B">
            <w:pPr>
              <w:pStyle w:val="GlossaryTableText"/>
              <w:rPr>
                <w:b/>
              </w:rPr>
            </w:pPr>
            <w:r>
              <w:t>In the context of the VBECS database: A grid space. In a laboratory: Red cells, in a reagent vial, used in a test.</w:t>
            </w:r>
          </w:p>
        </w:tc>
      </w:tr>
      <w:tr w:rsidR="00AF274B" w14:paraId="570D43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64ADA81" w14:textId="77777777" w:rsidR="00AF274B" w:rsidRDefault="00AF274B">
            <w:pPr>
              <w:pStyle w:val="GlossaryTableText"/>
              <w:rPr>
                <w:b/>
                <w:bCs/>
              </w:rPr>
            </w:pPr>
            <w:r>
              <w:rPr>
                <w:b/>
                <w:bCs/>
              </w:rPr>
              <w:t>Testing phase</w:t>
            </w:r>
          </w:p>
        </w:tc>
        <w:tc>
          <w:tcPr>
            <w:tcW w:w="3327" w:type="pct"/>
            <w:tcBorders>
              <w:top w:val="nil"/>
              <w:left w:val="nil"/>
              <w:bottom w:val="nil"/>
              <w:right w:val="nil"/>
            </w:tcBorders>
          </w:tcPr>
          <w:p w14:paraId="40AD6520" w14:textId="77777777" w:rsidR="00AF274B" w:rsidRDefault="00AF274B">
            <w:pPr>
              <w:pStyle w:val="GlossaryTableText"/>
            </w:pPr>
            <w:r>
              <w:t>1. The portion of a laboratory test in which an interpretation is recorded. 2. The phase of the development process in which the functionality is available for testing.</w:t>
            </w:r>
          </w:p>
        </w:tc>
      </w:tr>
      <w:tr w:rsidR="00AF274B" w14:paraId="075A506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2E0C5C1" w14:textId="77777777" w:rsidR="00AF274B" w:rsidRDefault="00AF274B">
            <w:pPr>
              <w:pStyle w:val="GlossaryTableText"/>
              <w:rPr>
                <w:b/>
                <w:bCs/>
              </w:rPr>
            </w:pPr>
            <w:r>
              <w:rPr>
                <w:b/>
                <w:bCs/>
                <w:snapToGrid w:val="0"/>
              </w:rPr>
              <w:t>Transfusion Requirements (TRs)</w:t>
            </w:r>
          </w:p>
        </w:tc>
        <w:tc>
          <w:tcPr>
            <w:tcW w:w="3327" w:type="pct"/>
            <w:tcBorders>
              <w:top w:val="nil"/>
              <w:left w:val="nil"/>
              <w:bottom w:val="nil"/>
              <w:right w:val="nil"/>
            </w:tcBorders>
          </w:tcPr>
          <w:p w14:paraId="740F3B13" w14:textId="77777777" w:rsidR="00AF274B" w:rsidRDefault="00AF274B">
            <w:pPr>
              <w:pStyle w:val="GlossaryTableText"/>
              <w:rPr>
                <w:snapToGrid w:val="0"/>
              </w:rPr>
            </w:pPr>
            <w:r>
              <w:rPr>
                <w:snapToGrid w:val="0"/>
              </w:rPr>
              <w:t>Mandatory blood product attributes applied to every transfusion.</w:t>
            </w:r>
          </w:p>
        </w:tc>
      </w:tr>
      <w:tr w:rsidR="00AF274B" w14:paraId="002A566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ECC1747" w14:textId="77777777" w:rsidR="00AF274B" w:rsidRDefault="00AF274B">
            <w:pPr>
              <w:pStyle w:val="GlossaryTableText"/>
              <w:rPr>
                <w:b/>
                <w:bCs/>
              </w:rPr>
            </w:pPr>
            <w:r>
              <w:rPr>
                <w:b/>
                <w:bCs/>
              </w:rPr>
              <w:t>Truth table</w:t>
            </w:r>
          </w:p>
        </w:tc>
        <w:tc>
          <w:tcPr>
            <w:tcW w:w="3327" w:type="pct"/>
            <w:tcBorders>
              <w:top w:val="nil"/>
              <w:left w:val="nil"/>
              <w:bottom w:val="nil"/>
              <w:right w:val="nil"/>
            </w:tcBorders>
          </w:tcPr>
          <w:p w14:paraId="66A5C2AD" w14:textId="77777777" w:rsidR="00AF274B" w:rsidRDefault="00AF274B">
            <w:pPr>
              <w:pStyle w:val="GlossaryTableText"/>
            </w:pPr>
            <w:r>
              <w:t>A table, specific to a test or action, listing all possible combinations of user inputs and the corresponding acceptable results and/or interpretations. It allows the system to verify user input based on established parameters.</w:t>
            </w:r>
          </w:p>
        </w:tc>
      </w:tr>
      <w:tr w:rsidR="00AF274B" w14:paraId="270CE84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3420C1A" w14:textId="77777777" w:rsidR="00AF274B" w:rsidRDefault="00AF274B">
            <w:pPr>
              <w:pStyle w:val="GlossaryTableText"/>
              <w:rPr>
                <w:b/>
                <w:bCs/>
              </w:rPr>
            </w:pPr>
            <w:r>
              <w:rPr>
                <w:b/>
                <w:bCs/>
              </w:rPr>
              <w:t>TRW</w:t>
            </w:r>
          </w:p>
        </w:tc>
        <w:tc>
          <w:tcPr>
            <w:tcW w:w="3327" w:type="pct"/>
            <w:tcBorders>
              <w:top w:val="nil"/>
              <w:left w:val="nil"/>
              <w:bottom w:val="nil"/>
              <w:right w:val="nil"/>
            </w:tcBorders>
          </w:tcPr>
          <w:p w14:paraId="47D73B5B" w14:textId="77777777" w:rsidR="00AF274B" w:rsidRDefault="00AF274B">
            <w:pPr>
              <w:pStyle w:val="GlossaryTableText"/>
            </w:pPr>
            <w:r>
              <w:t>Transfusion reaction workup.</w:t>
            </w:r>
          </w:p>
        </w:tc>
      </w:tr>
      <w:tr w:rsidR="00AF274B" w14:paraId="49FC7D5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538AE6F" w14:textId="77777777" w:rsidR="00AF274B" w:rsidRDefault="00AF274B">
            <w:pPr>
              <w:pStyle w:val="GlossaryTableText"/>
              <w:rPr>
                <w:b/>
                <w:bCs/>
              </w:rPr>
            </w:pPr>
            <w:r>
              <w:rPr>
                <w:b/>
                <w:bCs/>
              </w:rPr>
              <w:t>UID</w:t>
            </w:r>
          </w:p>
        </w:tc>
        <w:tc>
          <w:tcPr>
            <w:tcW w:w="3327" w:type="pct"/>
            <w:tcBorders>
              <w:top w:val="nil"/>
              <w:left w:val="nil"/>
              <w:bottom w:val="nil"/>
              <w:right w:val="nil"/>
            </w:tcBorders>
          </w:tcPr>
          <w:p w14:paraId="5A88B7B5" w14:textId="77777777" w:rsidR="00AF274B" w:rsidRDefault="00AF274B">
            <w:pPr>
              <w:pStyle w:val="GlossaryTableText"/>
              <w:rPr>
                <w:i/>
              </w:rPr>
            </w:pPr>
            <w:r>
              <w:t xml:space="preserve">Universal ID. An eye-readable and barcode-scannable coded representation of the Accession Number assigned by the laboratory package. </w:t>
            </w:r>
            <w:r>
              <w:rPr>
                <w:i/>
              </w:rPr>
              <w:t>UID is unique to the generating information system where the specimen was received.</w:t>
            </w:r>
          </w:p>
        </w:tc>
      </w:tr>
      <w:tr w:rsidR="00AF274B" w14:paraId="3E5AEA7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6620DC2" w14:textId="77777777" w:rsidR="00AF274B" w:rsidRDefault="00AF274B">
            <w:pPr>
              <w:pStyle w:val="GlossaryTableText"/>
              <w:rPr>
                <w:b/>
                <w:bCs/>
              </w:rPr>
            </w:pPr>
            <w:r>
              <w:rPr>
                <w:b/>
                <w:bCs/>
              </w:rPr>
              <w:t>Unit</w:t>
            </w:r>
          </w:p>
        </w:tc>
        <w:tc>
          <w:tcPr>
            <w:tcW w:w="3327" w:type="pct"/>
            <w:tcBorders>
              <w:top w:val="nil"/>
              <w:left w:val="nil"/>
              <w:bottom w:val="nil"/>
              <w:right w:val="nil"/>
            </w:tcBorders>
          </w:tcPr>
          <w:p w14:paraId="2AB6B56D" w14:textId="77777777" w:rsidR="00AF274B" w:rsidRDefault="00AF274B">
            <w:pPr>
              <w:pStyle w:val="GlossaryTableText"/>
            </w:pPr>
            <w:r>
              <w:t>A single example of a blood component type. Example: a single unit of red cells, a unit of plasma, a unit of platelets.</w:t>
            </w:r>
          </w:p>
        </w:tc>
      </w:tr>
      <w:tr w:rsidR="00AF274B" w14:paraId="7E425D9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40E0D4B5" w14:textId="77777777" w:rsidR="00AF274B" w:rsidRDefault="00AF274B">
            <w:pPr>
              <w:pStyle w:val="GlossaryTableText"/>
              <w:rPr>
                <w:b/>
                <w:bCs/>
              </w:rPr>
            </w:pPr>
            <w:r>
              <w:rPr>
                <w:b/>
                <w:bCs/>
              </w:rPr>
              <w:t>Unit ID</w:t>
            </w:r>
          </w:p>
        </w:tc>
        <w:tc>
          <w:tcPr>
            <w:tcW w:w="3327" w:type="pct"/>
            <w:tcBorders>
              <w:top w:val="nil"/>
              <w:left w:val="nil"/>
              <w:bottom w:val="nil"/>
              <w:right w:val="nil"/>
            </w:tcBorders>
          </w:tcPr>
          <w:p w14:paraId="0C4CED90" w14:textId="77777777" w:rsidR="00AF274B" w:rsidRDefault="00AF274B">
            <w:pPr>
              <w:pStyle w:val="GlossaryTableText"/>
            </w:pPr>
            <w:r>
              <w:t>The label identifier, consisting of a string of characters, of the unit of blood, barcoded on the blood bag label and scanned when a blood unit is received in the blood bank in a shipment.</w:t>
            </w:r>
          </w:p>
        </w:tc>
      </w:tr>
      <w:tr w:rsidR="00AF274B" w14:paraId="585BAF8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30C5C9D" w14:textId="77777777" w:rsidR="00AF274B" w:rsidRDefault="00AF274B">
            <w:pPr>
              <w:pStyle w:val="GlossaryTableText"/>
              <w:rPr>
                <w:b/>
                <w:bCs/>
              </w:rPr>
            </w:pPr>
            <w:r>
              <w:rPr>
                <w:b/>
                <w:bCs/>
              </w:rPr>
              <w:t>Unit status</w:t>
            </w:r>
          </w:p>
        </w:tc>
        <w:tc>
          <w:tcPr>
            <w:tcW w:w="3327" w:type="pct"/>
            <w:tcBorders>
              <w:top w:val="nil"/>
              <w:left w:val="nil"/>
              <w:bottom w:val="nil"/>
              <w:right w:val="nil"/>
            </w:tcBorders>
          </w:tcPr>
          <w:p w14:paraId="1C49E441" w14:textId="77777777" w:rsidR="00AF274B" w:rsidRDefault="00AF274B">
            <w:pPr>
              <w:pStyle w:val="GlossaryTableText"/>
              <w:rPr>
                <w:u w:val="single"/>
              </w:rPr>
            </w:pPr>
            <w:r>
              <w:t>The state of a unit of blood at any given time.</w:t>
            </w:r>
          </w:p>
          <w:p w14:paraId="59C656B2" w14:textId="77777777" w:rsidR="00AF274B" w:rsidRDefault="00AF274B">
            <w:pPr>
              <w:pStyle w:val="GlossaryTableTextBullets"/>
            </w:pPr>
            <w:r>
              <w:t>Available: Required processing is complete.</w:t>
            </w:r>
          </w:p>
          <w:p w14:paraId="28F8D6A3" w14:textId="77777777" w:rsidR="00AF274B" w:rsidRDefault="00AF274B">
            <w:pPr>
              <w:pStyle w:val="GlossaryTableTextBullets"/>
            </w:pPr>
            <w:r>
              <w:t>Crossmatched/Assigned: The unit is immediately available for transfusion. All required compatibility testing, including crossmatch if indicated, is performed.</w:t>
            </w:r>
          </w:p>
          <w:p w14:paraId="6D4EFB3C" w14:textId="77777777" w:rsidR="00AF274B" w:rsidRDefault="00AF274B">
            <w:pPr>
              <w:pStyle w:val="GlossaryTableTextBullets"/>
            </w:pPr>
            <w:r>
              <w:t>Discarded: The unit has been destroyed and is no longer available.</w:t>
            </w:r>
          </w:p>
          <w:p w14:paraId="0A092CB4" w14:textId="77777777" w:rsidR="00AF274B" w:rsidRDefault="00AF274B">
            <w:pPr>
              <w:pStyle w:val="GlossaryTableTextBullets"/>
            </w:pPr>
            <w:r>
              <w:t xml:space="preserve">Issued: The unit is not currently located in the blood bank. </w:t>
            </w:r>
          </w:p>
          <w:p w14:paraId="1D04AB44" w14:textId="77777777" w:rsidR="00AF274B" w:rsidRDefault="00AF274B">
            <w:pPr>
              <w:pStyle w:val="GlossaryTableTextBullets"/>
            </w:pPr>
            <w:r>
              <w:t>Limited: Required processing is complete, except for ABO/Rh confirmation</w:t>
            </w:r>
            <w:r w:rsidR="009204CC">
              <w:t>.</w:t>
            </w:r>
          </w:p>
          <w:p w14:paraId="572B1A2E" w14:textId="77777777" w:rsidR="00AF274B" w:rsidRDefault="00AF274B">
            <w:pPr>
              <w:pStyle w:val="GlossaryTableTextBullets"/>
            </w:pPr>
            <w:r>
              <w:t>Quarantine: The unit cannot be selected.</w:t>
            </w:r>
          </w:p>
          <w:p w14:paraId="2B9845AE" w14:textId="77777777" w:rsidR="00AF274B" w:rsidRDefault="00AF274B">
            <w:pPr>
              <w:pStyle w:val="GlossaryTableTextBullets"/>
            </w:pPr>
            <w:r>
              <w:t>Selected: The unit is reserved for one or more patients. Additional compatibility testing is required, such as antigen phenotype, crossmatch, and unit ABO/Rh confirmation.</w:t>
            </w:r>
          </w:p>
          <w:p w14:paraId="0BB5FE6E" w14:textId="77777777" w:rsidR="00AF274B" w:rsidRDefault="00AF274B">
            <w:pPr>
              <w:pStyle w:val="GlossaryTableTextBullets"/>
              <w:rPr>
                <w:b/>
              </w:rPr>
            </w:pPr>
            <w:r>
              <w:t>Transferred: The unit has been returned to the original supplier or transferred to a different facility.</w:t>
            </w:r>
          </w:p>
          <w:p w14:paraId="5FEE69BF" w14:textId="77777777" w:rsidR="00AF274B" w:rsidRDefault="00AF274B">
            <w:pPr>
              <w:pStyle w:val="GlossaryTableTextBullets"/>
              <w:rPr>
                <w:b/>
              </w:rPr>
            </w:pPr>
            <w:r>
              <w:t>Transfused: The unit has been infused into a patient and is no longer available.</w:t>
            </w:r>
          </w:p>
        </w:tc>
      </w:tr>
      <w:tr w:rsidR="0064398B" w14:paraId="47FC34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DAA8F2F" w14:textId="2E720649" w:rsidR="0064398B" w:rsidRDefault="0064398B">
            <w:pPr>
              <w:pStyle w:val="GlossaryTableText"/>
              <w:rPr>
                <w:b/>
                <w:bCs/>
              </w:rPr>
            </w:pPr>
            <w:r>
              <w:rPr>
                <w:b/>
                <w:bCs/>
              </w:rPr>
              <w:t>UTC</w:t>
            </w:r>
          </w:p>
        </w:tc>
        <w:tc>
          <w:tcPr>
            <w:tcW w:w="3327" w:type="pct"/>
            <w:tcBorders>
              <w:top w:val="nil"/>
              <w:left w:val="nil"/>
              <w:bottom w:val="nil"/>
              <w:right w:val="nil"/>
            </w:tcBorders>
          </w:tcPr>
          <w:p w14:paraId="3343B825" w14:textId="4C0CE83C" w:rsidR="0064398B" w:rsidRDefault="003D267D">
            <w:pPr>
              <w:pStyle w:val="GlossaryTableText"/>
            </w:pPr>
            <w:r>
              <w:t xml:space="preserve">Coordinated </w:t>
            </w:r>
            <w:r w:rsidR="0064398B">
              <w:t>Universal Time</w:t>
            </w:r>
          </w:p>
        </w:tc>
      </w:tr>
      <w:tr w:rsidR="00AF274B" w14:paraId="3F3F019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069EADE" w14:textId="77777777" w:rsidR="00AF274B" w:rsidRDefault="00AF274B">
            <w:pPr>
              <w:pStyle w:val="GlossaryTableText"/>
              <w:rPr>
                <w:b/>
                <w:bCs/>
              </w:rPr>
            </w:pPr>
            <w:r>
              <w:rPr>
                <w:b/>
                <w:bCs/>
              </w:rPr>
              <w:t>Validation</w:t>
            </w:r>
          </w:p>
        </w:tc>
        <w:tc>
          <w:tcPr>
            <w:tcW w:w="3327" w:type="pct"/>
            <w:tcBorders>
              <w:top w:val="nil"/>
              <w:left w:val="nil"/>
              <w:bottom w:val="nil"/>
              <w:right w:val="nil"/>
            </w:tcBorders>
          </w:tcPr>
          <w:p w14:paraId="0A642729" w14:textId="77777777" w:rsidR="00AF274B" w:rsidRDefault="00AF274B">
            <w:pPr>
              <w:pStyle w:val="GlossaryTableText"/>
            </w:pPr>
            <w:r>
              <w:t>Establishment by objective evidence that a specific process or device specification conforms to user needs and intended use.</w:t>
            </w:r>
          </w:p>
        </w:tc>
      </w:tr>
      <w:tr w:rsidR="001A1559" w14:paraId="796CD9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16FF746" w14:textId="77777777" w:rsidR="001A1559" w:rsidRDefault="004974ED">
            <w:pPr>
              <w:pStyle w:val="GlossaryTableText"/>
              <w:rPr>
                <w:b/>
                <w:bCs/>
              </w:rPr>
            </w:pPr>
            <w:r>
              <w:rPr>
                <w:b/>
                <w:bCs/>
              </w:rPr>
              <w:t>VDL</w:t>
            </w:r>
          </w:p>
        </w:tc>
        <w:tc>
          <w:tcPr>
            <w:tcW w:w="3327" w:type="pct"/>
            <w:tcBorders>
              <w:top w:val="nil"/>
              <w:left w:val="nil"/>
              <w:bottom w:val="nil"/>
              <w:right w:val="nil"/>
            </w:tcBorders>
          </w:tcPr>
          <w:p w14:paraId="3F6DFC17" w14:textId="77777777" w:rsidR="001A1559" w:rsidRDefault="004974ED">
            <w:pPr>
              <w:pStyle w:val="GlossaryTableText"/>
            </w:pPr>
            <w:r w:rsidRPr="000C7684">
              <w:rPr>
                <w:bCs/>
              </w:rPr>
              <w:t>VistA</w:t>
            </w:r>
            <w:r>
              <w:t xml:space="preserve"> Documentation Library.</w:t>
            </w:r>
          </w:p>
        </w:tc>
      </w:tr>
      <w:tr w:rsidR="00AF274B" w14:paraId="53CCFF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FCE71E0" w14:textId="77777777" w:rsidR="00AF274B" w:rsidRDefault="00AF274B">
            <w:pPr>
              <w:pStyle w:val="GlossaryTableText"/>
              <w:rPr>
                <w:b/>
                <w:bCs/>
              </w:rPr>
            </w:pPr>
            <w:r>
              <w:rPr>
                <w:b/>
                <w:bCs/>
              </w:rPr>
              <w:t>Verification</w:t>
            </w:r>
          </w:p>
        </w:tc>
        <w:tc>
          <w:tcPr>
            <w:tcW w:w="3327" w:type="pct"/>
            <w:tcBorders>
              <w:top w:val="nil"/>
              <w:left w:val="nil"/>
              <w:bottom w:val="nil"/>
              <w:right w:val="nil"/>
            </w:tcBorders>
          </w:tcPr>
          <w:p w14:paraId="0DF38F4C" w14:textId="77777777" w:rsidR="00AF274B" w:rsidRDefault="00AF274B">
            <w:pPr>
              <w:pStyle w:val="GlossaryTableText"/>
            </w:pPr>
            <w:r>
              <w:t>Confirmation by examination and provision of objective evidence that requirements were fulfilled.</w:t>
            </w:r>
          </w:p>
        </w:tc>
      </w:tr>
      <w:tr w:rsidR="00AF274B" w14:paraId="3D5AB2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A7EF161" w14:textId="77777777" w:rsidR="00AF274B" w:rsidRDefault="00AF274B">
            <w:pPr>
              <w:pStyle w:val="GlossaryTableText"/>
              <w:rPr>
                <w:b/>
                <w:bCs/>
              </w:rPr>
            </w:pPr>
            <w:r>
              <w:rPr>
                <w:b/>
                <w:bCs/>
              </w:rPr>
              <w:t>Verify Code</w:t>
            </w:r>
          </w:p>
        </w:tc>
        <w:tc>
          <w:tcPr>
            <w:tcW w:w="3327" w:type="pct"/>
            <w:tcBorders>
              <w:top w:val="nil"/>
              <w:left w:val="nil"/>
              <w:bottom w:val="nil"/>
              <w:right w:val="nil"/>
            </w:tcBorders>
          </w:tcPr>
          <w:p w14:paraId="72FF0B20" w14:textId="77777777" w:rsidR="00AF274B" w:rsidRDefault="00AF274B">
            <w:pPr>
              <w:pStyle w:val="GlossaryTableText"/>
              <w:rPr>
                <w:b/>
              </w:rPr>
            </w:pPr>
            <w:r>
              <w:t xml:space="preserve">A field in the </w:t>
            </w:r>
            <w:r w:rsidRPr="00CA6E27">
              <w:rPr>
                <w:bCs/>
              </w:rPr>
              <w:t>VistA</w:t>
            </w:r>
            <w:r>
              <w:t xml:space="preserve"> New Person file used to verify the identity of a user associated with an Access Code.</w:t>
            </w:r>
          </w:p>
        </w:tc>
      </w:tr>
      <w:tr w:rsidR="00AF274B" w14:paraId="48A4792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5B75232E" w14:textId="77777777" w:rsidR="00AF274B" w:rsidRDefault="00AF274B">
            <w:pPr>
              <w:pStyle w:val="GlossaryTableText"/>
              <w:rPr>
                <w:b/>
                <w:bCs/>
              </w:rPr>
            </w:pPr>
            <w:r>
              <w:rPr>
                <w:b/>
                <w:bCs/>
              </w:rPr>
              <w:t>Vial identifier</w:t>
            </w:r>
          </w:p>
        </w:tc>
        <w:tc>
          <w:tcPr>
            <w:tcW w:w="3327" w:type="pct"/>
            <w:tcBorders>
              <w:top w:val="nil"/>
              <w:left w:val="nil"/>
              <w:bottom w:val="nil"/>
              <w:right w:val="nil"/>
            </w:tcBorders>
          </w:tcPr>
          <w:p w14:paraId="37D38510" w14:textId="77777777" w:rsidR="00AF274B" w:rsidRDefault="00AF274B">
            <w:pPr>
              <w:pStyle w:val="GlossaryTableText"/>
              <w:rPr>
                <w:b/>
              </w:rPr>
            </w:pPr>
            <w:r>
              <w:t xml:space="preserve">A one- or two-character number that identifies a specific vial contained within a kit of reagents. </w:t>
            </w:r>
            <w:r>
              <w:rPr>
                <w:i/>
              </w:rPr>
              <w:t>A vial contains antigen positive or antigen negative blood cells to be used in quality control of antisera. Also referred to as “cell identifier.”</w:t>
            </w:r>
          </w:p>
        </w:tc>
      </w:tr>
      <w:tr w:rsidR="00AF274B" w14:paraId="547127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68C790F2" w14:textId="77777777" w:rsidR="00AF274B" w:rsidRDefault="00AF274B">
            <w:pPr>
              <w:pStyle w:val="GlossaryTableText"/>
              <w:rPr>
                <w:b/>
                <w:bCs/>
              </w:rPr>
            </w:pPr>
            <w:r>
              <w:rPr>
                <w:b/>
                <w:bCs/>
              </w:rPr>
              <w:t>VISN</w:t>
            </w:r>
          </w:p>
        </w:tc>
        <w:tc>
          <w:tcPr>
            <w:tcW w:w="3327" w:type="pct"/>
            <w:tcBorders>
              <w:top w:val="nil"/>
              <w:left w:val="nil"/>
              <w:bottom w:val="nil"/>
              <w:right w:val="nil"/>
            </w:tcBorders>
          </w:tcPr>
          <w:p w14:paraId="4B108954" w14:textId="77777777" w:rsidR="00AF274B" w:rsidRDefault="00AF274B">
            <w:pPr>
              <w:pStyle w:val="GlossaryTableText"/>
            </w:pPr>
            <w:r>
              <w:t>Veterans Integrated Services Network.</w:t>
            </w:r>
          </w:p>
        </w:tc>
      </w:tr>
      <w:tr w:rsidR="00AF274B" w14:paraId="3CBC28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3F96E2D" w14:textId="77777777" w:rsidR="00AF274B" w:rsidRPr="00CA6E27" w:rsidRDefault="00AF274B">
            <w:pPr>
              <w:pStyle w:val="GlossaryTableText"/>
              <w:rPr>
                <w:b/>
                <w:bCs/>
              </w:rPr>
            </w:pPr>
            <w:r w:rsidRPr="00CA6E27">
              <w:rPr>
                <w:b/>
                <w:bCs/>
              </w:rPr>
              <w:t>VistA</w:t>
            </w:r>
          </w:p>
        </w:tc>
        <w:tc>
          <w:tcPr>
            <w:tcW w:w="3327" w:type="pct"/>
            <w:tcBorders>
              <w:top w:val="nil"/>
              <w:left w:val="nil"/>
              <w:bottom w:val="nil"/>
              <w:right w:val="nil"/>
            </w:tcBorders>
          </w:tcPr>
          <w:p w14:paraId="630472FC" w14:textId="77777777" w:rsidR="00AF274B" w:rsidRDefault="00AF274B">
            <w:pPr>
              <w:pStyle w:val="GlossaryTableText"/>
            </w:pPr>
            <w:r>
              <w:t>Veterans Health Information Systems and Technology Architecture.</w:t>
            </w:r>
          </w:p>
        </w:tc>
      </w:tr>
      <w:tr w:rsidR="00AF274B" w14:paraId="443050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19597A41" w14:textId="77777777" w:rsidR="00AF274B" w:rsidRDefault="00AF274B">
            <w:pPr>
              <w:pStyle w:val="GlossaryTableText"/>
              <w:rPr>
                <w:b/>
                <w:bCs/>
              </w:rPr>
            </w:pPr>
            <w:r>
              <w:rPr>
                <w:b/>
                <w:bCs/>
              </w:rPr>
              <w:t>VistALink</w:t>
            </w:r>
          </w:p>
        </w:tc>
        <w:tc>
          <w:tcPr>
            <w:tcW w:w="3327" w:type="pct"/>
            <w:tcBorders>
              <w:top w:val="nil"/>
              <w:left w:val="nil"/>
              <w:bottom w:val="nil"/>
              <w:right w:val="nil"/>
            </w:tcBorders>
          </w:tcPr>
          <w:p w14:paraId="18B3C8F0" w14:textId="77777777" w:rsidR="00AF274B" w:rsidRDefault="00AF274B">
            <w:pPr>
              <w:pStyle w:val="GlossaryTableText"/>
            </w:pPr>
            <w:r>
              <w:t xml:space="preserve">A real-time communication link that provides connectivity and utilities for data exchange between </w:t>
            </w:r>
            <w:r w:rsidRPr="00CA6E27">
              <w:rPr>
                <w:bCs/>
              </w:rPr>
              <w:t>VistA</w:t>
            </w:r>
            <w:r>
              <w:t xml:space="preserve"> and VBECS.</w:t>
            </w:r>
          </w:p>
        </w:tc>
      </w:tr>
      <w:tr w:rsidR="004974ED" w14:paraId="39F6744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0C9DF868" w14:textId="77777777" w:rsidR="004974ED" w:rsidRDefault="004974ED">
            <w:pPr>
              <w:pStyle w:val="GlossaryTableText"/>
              <w:rPr>
                <w:b/>
                <w:bCs/>
                <w:snapToGrid w:val="0"/>
              </w:rPr>
            </w:pPr>
            <w:r>
              <w:rPr>
                <w:b/>
                <w:bCs/>
                <w:snapToGrid w:val="0"/>
              </w:rPr>
              <w:t>WAN</w:t>
            </w:r>
          </w:p>
        </w:tc>
        <w:tc>
          <w:tcPr>
            <w:tcW w:w="3327" w:type="pct"/>
            <w:tcBorders>
              <w:top w:val="nil"/>
              <w:left w:val="nil"/>
              <w:bottom w:val="nil"/>
              <w:right w:val="nil"/>
            </w:tcBorders>
          </w:tcPr>
          <w:p w14:paraId="234F72DE" w14:textId="77777777" w:rsidR="004974ED" w:rsidRDefault="004974ED">
            <w:pPr>
              <w:pStyle w:val="GlossaryTableText"/>
              <w:rPr>
                <w:snapToGrid w:val="0"/>
              </w:rPr>
            </w:pPr>
            <w:r>
              <w:rPr>
                <w:snapToGrid w:val="0"/>
              </w:rPr>
              <w:t>Wide Area Network.</w:t>
            </w:r>
          </w:p>
        </w:tc>
      </w:tr>
      <w:tr w:rsidR="00AF274B" w14:paraId="7329F74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ED6D800" w14:textId="77777777" w:rsidR="00AF274B" w:rsidRDefault="00AF274B">
            <w:pPr>
              <w:pStyle w:val="GlossaryTableText"/>
              <w:rPr>
                <w:b/>
                <w:bCs/>
              </w:rPr>
            </w:pPr>
            <w:r>
              <w:rPr>
                <w:b/>
                <w:bCs/>
                <w:snapToGrid w:val="0"/>
              </w:rPr>
              <w:t>Worklist</w:t>
            </w:r>
          </w:p>
        </w:tc>
        <w:tc>
          <w:tcPr>
            <w:tcW w:w="3327" w:type="pct"/>
            <w:tcBorders>
              <w:top w:val="nil"/>
              <w:left w:val="nil"/>
              <w:bottom w:val="nil"/>
              <w:right w:val="nil"/>
            </w:tcBorders>
          </w:tcPr>
          <w:p w14:paraId="5329518A" w14:textId="77777777" w:rsidR="00AF274B" w:rsidRDefault="00AF274B">
            <w:pPr>
              <w:pStyle w:val="GlossaryTableText"/>
              <w:rPr>
                <w:snapToGrid w:val="0"/>
              </w:rPr>
            </w:pPr>
            <w:r>
              <w:rPr>
                <w:snapToGrid w:val="0"/>
              </w:rPr>
              <w:t>A list detailing work to be performed.</w:t>
            </w:r>
          </w:p>
        </w:tc>
      </w:tr>
      <w:tr w:rsidR="00AF274B" w14:paraId="58DD22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2C00E21F" w14:textId="77777777" w:rsidR="00AF274B" w:rsidRDefault="00AF274B">
            <w:pPr>
              <w:pStyle w:val="GlossaryTableText"/>
              <w:rPr>
                <w:b/>
                <w:bCs/>
              </w:rPr>
            </w:pPr>
            <w:r>
              <w:rPr>
                <w:b/>
                <w:bCs/>
              </w:rPr>
              <w:t>Workload</w:t>
            </w:r>
          </w:p>
        </w:tc>
        <w:tc>
          <w:tcPr>
            <w:tcW w:w="3327" w:type="pct"/>
            <w:tcBorders>
              <w:top w:val="nil"/>
              <w:left w:val="nil"/>
              <w:bottom w:val="nil"/>
              <w:right w:val="nil"/>
            </w:tcBorders>
          </w:tcPr>
          <w:p w14:paraId="38EF8C10" w14:textId="77777777" w:rsidR="00AF274B" w:rsidRDefault="00AF274B">
            <w:pPr>
              <w:pStyle w:val="GlossaryTableText"/>
            </w:pPr>
            <w:r>
              <w:t>Statistical data used to calculate productivity.</w:t>
            </w:r>
          </w:p>
        </w:tc>
      </w:tr>
      <w:tr w:rsidR="00AF274B" w14:paraId="217760B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3685FB50" w14:textId="77777777" w:rsidR="00AF274B" w:rsidRDefault="00AF274B">
            <w:pPr>
              <w:pStyle w:val="GlossaryTableText"/>
              <w:rPr>
                <w:b/>
                <w:bCs/>
              </w:rPr>
            </w:pPr>
            <w:r>
              <w:rPr>
                <w:b/>
                <w:bCs/>
                <w:snapToGrid w:val="0"/>
              </w:rPr>
              <w:t>XM</w:t>
            </w:r>
          </w:p>
        </w:tc>
        <w:tc>
          <w:tcPr>
            <w:tcW w:w="3327" w:type="pct"/>
            <w:tcBorders>
              <w:top w:val="nil"/>
              <w:left w:val="nil"/>
              <w:bottom w:val="nil"/>
              <w:right w:val="nil"/>
            </w:tcBorders>
          </w:tcPr>
          <w:p w14:paraId="4D0705D3" w14:textId="77777777" w:rsidR="00AF274B" w:rsidRDefault="00AF274B">
            <w:pPr>
              <w:pStyle w:val="GlossaryTableText"/>
              <w:rPr>
                <w:snapToGrid w:val="0"/>
              </w:rPr>
            </w:pPr>
            <w:r>
              <w:rPr>
                <w:snapToGrid w:val="0"/>
              </w:rPr>
              <w:t>Crossmatch.</w:t>
            </w:r>
          </w:p>
        </w:tc>
      </w:tr>
      <w:tr w:rsidR="004974ED" w14:paraId="282F39F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673" w:type="pct"/>
            <w:tcBorders>
              <w:top w:val="nil"/>
              <w:left w:val="nil"/>
              <w:bottom w:val="nil"/>
              <w:right w:val="nil"/>
            </w:tcBorders>
          </w:tcPr>
          <w:p w14:paraId="7BC6505A" w14:textId="77777777" w:rsidR="004974ED" w:rsidRDefault="004974ED">
            <w:pPr>
              <w:pStyle w:val="GlossaryTableText"/>
              <w:rPr>
                <w:b/>
                <w:bCs/>
                <w:snapToGrid w:val="0"/>
              </w:rPr>
            </w:pPr>
            <w:r>
              <w:rPr>
                <w:b/>
                <w:bCs/>
                <w:snapToGrid w:val="0"/>
              </w:rPr>
              <w:t>XML</w:t>
            </w:r>
          </w:p>
        </w:tc>
        <w:tc>
          <w:tcPr>
            <w:tcW w:w="3327" w:type="pct"/>
            <w:tcBorders>
              <w:top w:val="nil"/>
              <w:left w:val="nil"/>
              <w:bottom w:val="nil"/>
              <w:right w:val="nil"/>
            </w:tcBorders>
          </w:tcPr>
          <w:p w14:paraId="020580EA" w14:textId="77777777" w:rsidR="004974ED" w:rsidRDefault="004974ED">
            <w:pPr>
              <w:pStyle w:val="GlossaryTableText"/>
              <w:rPr>
                <w:snapToGrid w:val="0"/>
              </w:rPr>
            </w:pPr>
            <w:r>
              <w:t>Extensible Markup Language.</w:t>
            </w:r>
          </w:p>
        </w:tc>
      </w:tr>
    </w:tbl>
    <w:p w14:paraId="6F97546E" w14:textId="77777777" w:rsidR="00B27FE8" w:rsidRDefault="00B27FE8">
      <w:pPr>
        <w:rPr>
          <w:rFonts w:ascii="Arial" w:hAnsi="Arial" w:cs="Arial"/>
          <w:b/>
          <w:bCs/>
          <w:kern w:val="32"/>
          <w:sz w:val="36"/>
          <w:szCs w:val="32"/>
        </w:rPr>
      </w:pPr>
      <w:r>
        <w:br w:type="page"/>
      </w:r>
    </w:p>
    <w:p w14:paraId="7E830C8A" w14:textId="12BCC9D3" w:rsidR="002A21AE" w:rsidRDefault="002A21AE" w:rsidP="0086066C">
      <w:pPr>
        <w:pStyle w:val="Heading1"/>
      </w:pPr>
      <w:bookmarkStart w:id="567" w:name="_Toc149064202"/>
      <w:r>
        <w:t>Appendices</w:t>
      </w:r>
      <w:bookmarkEnd w:id="567"/>
    </w:p>
    <w:p w14:paraId="04850DF0" w14:textId="1009BCBA" w:rsidR="002A21AE" w:rsidRDefault="002A21AE">
      <w:pPr>
        <w:pStyle w:val="Heading2"/>
      </w:pPr>
      <w:bookmarkStart w:id="568" w:name="_Toc149064203"/>
      <w:r>
        <w:t xml:space="preserve">Appendix </w:t>
      </w:r>
      <w:r w:rsidR="004E20BD">
        <w:rPr>
          <w:noProof/>
        </w:rPr>
        <w:fldChar w:fldCharType="begin"/>
      </w:r>
      <w:r w:rsidR="004E20BD">
        <w:rPr>
          <w:noProof/>
        </w:rPr>
        <w:instrText xml:space="preserve"> SEQ Appendix \* ALPHABETIC </w:instrText>
      </w:r>
      <w:r w:rsidR="004E20BD">
        <w:rPr>
          <w:noProof/>
        </w:rPr>
        <w:fldChar w:fldCharType="separate"/>
      </w:r>
      <w:r w:rsidR="00ED2D38">
        <w:rPr>
          <w:noProof/>
        </w:rPr>
        <w:t>A</w:t>
      </w:r>
      <w:r w:rsidR="004E20BD">
        <w:rPr>
          <w:noProof/>
        </w:rPr>
        <w:fldChar w:fldCharType="end"/>
      </w:r>
      <w:r>
        <w:t>: Downtime Forms and Instructions</w:t>
      </w:r>
      <w:bookmarkEnd w:id="568"/>
      <w:r>
        <w:fldChar w:fldCharType="begin"/>
      </w:r>
      <w:r>
        <w:instrText xml:space="preserve"> XE </w:instrText>
      </w:r>
      <w:r w:rsidR="00FA7E65">
        <w:instrText>“</w:instrText>
      </w:r>
      <w:r>
        <w:instrText>Downtime Forms and Instructions</w:instrText>
      </w:r>
      <w:r w:rsidR="00FA7E65">
        <w:instrText>”</w:instrText>
      </w:r>
      <w:r>
        <w:instrText xml:space="preserve"> </w:instrText>
      </w:r>
      <w:r>
        <w:fldChar w:fldCharType="end"/>
      </w:r>
    </w:p>
    <w:p w14:paraId="7F7450C7" w14:textId="77777777" w:rsidR="00270245" w:rsidRDefault="00270245" w:rsidP="00E35FC4">
      <w:pPr>
        <w:pStyle w:val="BodyText"/>
        <w:spacing w:before="0" w:after="0"/>
      </w:pPr>
      <w:r>
        <w:t>Each site establishes its own policies, procedures, and processes to address unexpected VBECS downtime issues such as:</w:t>
      </w:r>
      <w:r>
        <w:rPr>
          <w:rStyle w:val="CommentReference"/>
          <w:b/>
          <w:bCs/>
          <w:vanish/>
        </w:rPr>
        <w:t xml:space="preserve"> </w:t>
      </w:r>
    </w:p>
    <w:p w14:paraId="2C4BE305" w14:textId="77777777" w:rsidR="00270245" w:rsidRDefault="00270245" w:rsidP="00270245">
      <w:pPr>
        <w:pStyle w:val="ListBullet"/>
      </w:pPr>
      <w:r>
        <w:t>The interface is unavailable. It is recommended that blood bank staff notify clinicians when messaging between CPRS and VBECS fails during order completion: clinicians may need to know that blood units are ready for pickup and transfusion.</w:t>
      </w:r>
      <w:r>
        <w:rPr>
          <w:vanish/>
        </w:rPr>
        <w:t xml:space="preserve"> (ClearQuest Task 386)</w:t>
      </w:r>
    </w:p>
    <w:p w14:paraId="7651130D" w14:textId="77777777" w:rsidR="00270245" w:rsidRDefault="00270245" w:rsidP="00270245">
      <w:pPr>
        <w:pStyle w:val="ListBullet"/>
      </w:pPr>
      <w:r>
        <w:rPr>
          <w:szCs w:val="20"/>
        </w:rPr>
        <w:t>T</w:t>
      </w:r>
      <w:r>
        <w:t>est order handling and completion when the serologic testing is performed off-site or in a non-VA facility. The CPRS test order must be processed and completed even when testing is done off-site.</w:t>
      </w:r>
    </w:p>
    <w:p w14:paraId="1F54CA91" w14:textId="77777777" w:rsidR="00270245" w:rsidRDefault="00270245" w:rsidP="00270245">
      <w:pPr>
        <w:pStyle w:val="ListBullet"/>
      </w:pPr>
      <w:r>
        <w:t xml:space="preserve">The physical handling of a blood unit when it </w:t>
      </w:r>
      <w:r w:rsidR="00313C6B">
        <w:t>cannot</w:t>
      </w:r>
      <w:r>
        <w:t xml:space="preserve"> be logged into inventory because VistALink is down and the patient is not in the VBECS database. The unit does not exist in VBECS until it is logged in, but is physically available.</w:t>
      </w:r>
      <w:r>
        <w:rPr>
          <w:vanish/>
        </w:rPr>
        <w:t xml:space="preserve"> (ClearQuest Task 387)</w:t>
      </w:r>
    </w:p>
    <w:p w14:paraId="12EBE56F" w14:textId="77777777" w:rsidR="00270245" w:rsidRDefault="00270245" w:rsidP="00270245">
      <w:pPr>
        <w:pStyle w:val="ListBullet"/>
      </w:pPr>
      <w:r>
        <w:t>Manual blood labeling, verification of labels, and tracking documentation of the downtime labeling.</w:t>
      </w:r>
      <w:r>
        <w:rPr>
          <w:vanish/>
        </w:rPr>
        <w:t xml:space="preserve"> (ClearQuest Task 521)</w:t>
      </w:r>
    </w:p>
    <w:p w14:paraId="7ECD951C" w14:textId="77777777" w:rsidR="00270245" w:rsidRDefault="00270245" w:rsidP="00270245">
      <w:pPr>
        <w:pStyle w:val="ListBullet"/>
      </w:pPr>
      <w:r>
        <w:t>Some Special Instructions (SIs) that were moved to VBECS during the database conversion must be entered as Transfusion Requirements (TRs) in VBECS. Inactivate the old SI and create a TR and new updated SI: the database conversion software cannot automatically translate the SI from database conversion into a rule-based TR.</w:t>
      </w:r>
    </w:p>
    <w:p w14:paraId="2FDE3F72" w14:textId="77777777" w:rsidR="00270245" w:rsidRDefault="00270245" w:rsidP="00270245">
      <w:pPr>
        <w:pStyle w:val="ListBullet"/>
      </w:pPr>
      <w:r>
        <w:t>Creating the Audit Trail, Exception, and Testing Worklist Reports.</w:t>
      </w:r>
    </w:p>
    <w:p w14:paraId="7C34BE05" w14:textId="77777777" w:rsidR="00270245" w:rsidRDefault="00270245" w:rsidP="00270245">
      <w:pPr>
        <w:pStyle w:val="ListBullet"/>
      </w:pPr>
      <w:r>
        <w:t>Mitigation of the risk of patient identification conflicts due to patient merge issues (changing patient name or ID). It is recommended that staff submit the patient name and ID in writing to the blood bank when picking up blood products.</w:t>
      </w:r>
      <w:r>
        <w:rPr>
          <w:vanish/>
        </w:rPr>
        <w:t xml:space="preserve"> (ClearQuest Task 395)</w:t>
      </w:r>
    </w:p>
    <w:p w14:paraId="0E6ABC35" w14:textId="77777777" w:rsidR="00270245" w:rsidRDefault="00270245" w:rsidP="00270245">
      <w:pPr>
        <w:pStyle w:val="ListBullet"/>
      </w:pPr>
      <w:r>
        <w:t xml:space="preserve">VBECS is unavailable. To ensure accurate entry of information when VBECS is running, users must record the unit number and ID on their downtime form. </w:t>
      </w:r>
    </w:p>
    <w:p w14:paraId="2FC2F06E" w14:textId="77777777" w:rsidR="00E27E7A" w:rsidRDefault="00640159" w:rsidP="00E35FC4">
      <w:pPr>
        <w:pStyle w:val="BodyText"/>
        <w:spacing w:after="0"/>
      </w:pPr>
      <w:r>
        <w:t>It is recommended that e</w:t>
      </w:r>
      <w:r w:rsidR="00780A01">
        <w:t xml:space="preserve">ach site have </w:t>
      </w:r>
      <w:r w:rsidR="001B6D4B">
        <w:t>available</w:t>
      </w:r>
      <w:r w:rsidR="00780A01">
        <w:t>:</w:t>
      </w:r>
    </w:p>
    <w:p w14:paraId="648E881F" w14:textId="77777777" w:rsidR="00112590" w:rsidRDefault="00112590" w:rsidP="00780A01">
      <w:pPr>
        <w:pStyle w:val="ListBullet"/>
      </w:pPr>
      <w:r>
        <w:t>Antibody Workup Forms</w:t>
      </w:r>
    </w:p>
    <w:p w14:paraId="4B08F723" w14:textId="77777777" w:rsidR="00112590" w:rsidRDefault="00112590" w:rsidP="00780A01">
      <w:pPr>
        <w:pStyle w:val="ListBullet"/>
      </w:pPr>
      <w:r>
        <w:t>Antigen Typing Forms (for patient)</w:t>
      </w:r>
    </w:p>
    <w:p w14:paraId="31FDC671" w14:textId="77777777" w:rsidR="00112590" w:rsidRDefault="00112590" w:rsidP="00780A01">
      <w:pPr>
        <w:pStyle w:val="ListBullet"/>
      </w:pPr>
      <w:r>
        <w:t>Antigen Typing Forms (for unit)</w:t>
      </w:r>
    </w:p>
    <w:p w14:paraId="6FB2B6E3" w14:textId="77777777" w:rsidR="00112590" w:rsidRDefault="00112590" w:rsidP="00780A01">
      <w:pPr>
        <w:pStyle w:val="ListBullet"/>
      </w:pPr>
      <w:r>
        <w:t>Blood Transfusion Record Forms</w:t>
      </w:r>
    </w:p>
    <w:p w14:paraId="361F1A80" w14:textId="77777777" w:rsidR="00112590" w:rsidRDefault="00112590" w:rsidP="00780A01">
      <w:pPr>
        <w:pStyle w:val="ListBullet"/>
      </w:pPr>
      <w:r>
        <w:t>Caution Tags</w:t>
      </w:r>
    </w:p>
    <w:p w14:paraId="62487A0A" w14:textId="77777777" w:rsidR="00112590" w:rsidRDefault="00112590" w:rsidP="00780A01">
      <w:pPr>
        <w:pStyle w:val="ListBullet"/>
      </w:pPr>
      <w:r>
        <w:t>Daily QC Forms</w:t>
      </w:r>
    </w:p>
    <w:p w14:paraId="117EADCC" w14:textId="77777777" w:rsidR="00112590" w:rsidRDefault="00112590" w:rsidP="0095796B">
      <w:pPr>
        <w:pStyle w:val="ListBullet"/>
      </w:pPr>
      <w:r>
        <w:t>Emergency Issue Forms: developed by each site to reflect site-specific emergency issue policies and procedures</w:t>
      </w:r>
    </w:p>
    <w:p w14:paraId="43DE2E9F" w14:textId="77777777" w:rsidR="00112590" w:rsidRDefault="00112590" w:rsidP="00780A01">
      <w:pPr>
        <w:pStyle w:val="ListBullet"/>
      </w:pPr>
      <w:r>
        <w:t>Reagent Receipt Log</w:t>
      </w:r>
    </w:p>
    <w:p w14:paraId="3DAF567D" w14:textId="77777777" w:rsidR="00112590" w:rsidRDefault="00112590" w:rsidP="00780A01">
      <w:pPr>
        <w:pStyle w:val="ListBullet"/>
      </w:pPr>
      <w:r>
        <w:t>Supply Receipt Log</w:t>
      </w:r>
    </w:p>
    <w:p w14:paraId="0A95D341" w14:textId="77777777" w:rsidR="00112590" w:rsidRDefault="00112590" w:rsidP="00780A01">
      <w:pPr>
        <w:pStyle w:val="ListBullet"/>
      </w:pPr>
      <w:r>
        <w:t>Transfusion Reaction Forms</w:t>
      </w:r>
    </w:p>
    <w:p w14:paraId="30D60FEC" w14:textId="6BE19D74" w:rsidR="00112590" w:rsidRDefault="00112590" w:rsidP="0095796B">
      <w:pPr>
        <w:pStyle w:val="ListBullet"/>
      </w:pPr>
      <w:r>
        <w:t>Transfusion Requirements Report: current printed version must be available at all times for user</w:t>
      </w:r>
      <w:r w:rsidR="004C1E6C">
        <w:t>s to check patient historic records and Transfusion Requirements</w:t>
      </w:r>
      <w:r>
        <w:t>. (See</w:t>
      </w:r>
      <w:r w:rsidR="00EE4647">
        <w:t xml:space="preserve"> </w:t>
      </w:r>
      <w:r w:rsidR="00EE455E">
        <w:t xml:space="preserve">Appendix </w:t>
      </w:r>
      <w:r w:rsidR="00EE455E">
        <w:rPr>
          <w:noProof/>
        </w:rPr>
        <w:t>J</w:t>
      </w:r>
      <w:r w:rsidR="00EE455E">
        <w:t>: Recommended Report Usage</w:t>
      </w:r>
      <w:r>
        <w:t xml:space="preserve">: </w:t>
      </w:r>
      <w:r w:rsidR="00EE455E">
        <w:t xml:space="preserve">Table </w:t>
      </w:r>
      <w:r w:rsidR="00EE455E">
        <w:rPr>
          <w:noProof/>
        </w:rPr>
        <w:t>36</w:t>
      </w:r>
      <w:r w:rsidR="00EE455E">
        <w:t>: Recommended Report Usage</w:t>
      </w:r>
      <w:r>
        <w:t>.)</w:t>
      </w:r>
    </w:p>
    <w:p w14:paraId="1F2DAA20" w14:textId="77777777" w:rsidR="004C542E" w:rsidRDefault="0000620B" w:rsidP="00E35FC4">
      <w:pPr>
        <w:pStyle w:val="BodyText"/>
        <w:spacing w:after="0"/>
      </w:pPr>
      <w:r>
        <w:t>Each site may use</w:t>
      </w:r>
      <w:r w:rsidR="004C542E">
        <w:t xml:space="preserve"> and modify</w:t>
      </w:r>
      <w:r>
        <w:t xml:space="preserve"> (included in this appendix)</w:t>
      </w:r>
      <w:r w:rsidR="004C542E">
        <w:t>:</w:t>
      </w:r>
      <w:r w:rsidR="001D72C9">
        <w:t xml:space="preserve"> </w:t>
      </w:r>
    </w:p>
    <w:p w14:paraId="35E45BDA" w14:textId="77777777" w:rsidR="0000620B" w:rsidRDefault="0000620B" w:rsidP="004C542E">
      <w:pPr>
        <w:pStyle w:val="ListBullet"/>
      </w:pPr>
      <w:r>
        <w:t>Patient Testing Forms</w:t>
      </w:r>
    </w:p>
    <w:p w14:paraId="14A485F3" w14:textId="77777777" w:rsidR="0000620B" w:rsidRDefault="0000620B" w:rsidP="004C542E">
      <w:pPr>
        <w:pStyle w:val="ListBullet"/>
      </w:pPr>
      <w:r>
        <w:t>Unit ABO/Rh Confirmation Forms</w:t>
      </w:r>
    </w:p>
    <w:p w14:paraId="06B38742" w14:textId="77777777" w:rsidR="0000620B" w:rsidRDefault="0000620B" w:rsidP="004C542E">
      <w:pPr>
        <w:pStyle w:val="ListBullet"/>
      </w:pPr>
      <w:r>
        <w:t>Unit Issue and Inspection Logs</w:t>
      </w:r>
    </w:p>
    <w:p w14:paraId="3058A97F" w14:textId="77777777" w:rsidR="0000620B" w:rsidRDefault="0000620B" w:rsidP="004C542E">
      <w:pPr>
        <w:pStyle w:val="ListBullet"/>
      </w:pPr>
      <w:r>
        <w:t>Unit Modification Forms</w:t>
      </w:r>
    </w:p>
    <w:p w14:paraId="546B41A8" w14:textId="77777777" w:rsidR="004C542E" w:rsidRDefault="004C542E" w:rsidP="00E35FC4">
      <w:pPr>
        <w:pStyle w:val="BodyText"/>
        <w:spacing w:before="0" w:after="60"/>
      </w:pPr>
      <w:r>
        <w:t>The information on these forms match</w:t>
      </w:r>
      <w:r w:rsidR="00672426">
        <w:t>es</w:t>
      </w:r>
      <w:r>
        <w:t xml:space="preserve"> information to be input in VBECS.</w:t>
      </w:r>
    </w:p>
    <w:p w14:paraId="31C29FAD" w14:textId="77777777" w:rsidR="002A21AE" w:rsidRDefault="002A21AE">
      <w:pPr>
        <w:pStyle w:val="ListBullet"/>
        <w:numPr>
          <w:ilvl w:val="0"/>
          <w:numId w:val="0"/>
        </w:numPr>
        <w:ind w:left="576" w:hanging="288"/>
        <w:sectPr w:rsidR="002A21AE" w:rsidSect="00EE771C">
          <w:pgSz w:w="12240" w:h="15840" w:code="1"/>
          <w:pgMar w:top="1440" w:right="1440" w:bottom="1440" w:left="1440" w:header="720" w:footer="720" w:gutter="0"/>
          <w:cols w:space="720"/>
          <w:docGrid w:linePitch="360"/>
        </w:sectPr>
      </w:pPr>
    </w:p>
    <w:p w14:paraId="12747AEE" w14:textId="77777777" w:rsidR="004A6408" w:rsidRDefault="004A6408" w:rsidP="00266EAB">
      <w:pPr>
        <w:pStyle w:val="Heading3"/>
      </w:pPr>
      <w:bookmarkStart w:id="569" w:name="_Toc149064204"/>
      <w:r w:rsidRPr="009244E2">
        <w:t>Patient Testing Form</w:t>
      </w:r>
      <w:bookmarkEnd w:id="569"/>
      <w:r w:rsidR="00246F04">
        <w:fldChar w:fldCharType="begin"/>
      </w:r>
      <w:r w:rsidR="00246F04">
        <w:instrText xml:space="preserve"> XE "</w:instrText>
      </w:r>
      <w:r w:rsidR="00246F04" w:rsidRPr="004C6254">
        <w:instrText>Patient Testing Form</w:instrText>
      </w:r>
      <w:r w:rsidR="00246F04">
        <w:instrText xml:space="preserve">" </w:instrText>
      </w:r>
      <w:r w:rsidR="00246F04">
        <w:fldChar w:fldCharType="end"/>
      </w:r>
      <w:r w:rsidR="00A95965">
        <w:fldChar w:fldCharType="begin"/>
      </w:r>
      <w:r w:rsidR="00A95965">
        <w:instrText xml:space="preserve"> XE “Forms:Patient Testing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2189"/>
        <w:gridCol w:w="1244"/>
        <w:gridCol w:w="1420"/>
        <w:gridCol w:w="897"/>
        <w:gridCol w:w="603"/>
        <w:gridCol w:w="1020"/>
        <w:gridCol w:w="694"/>
        <w:gridCol w:w="457"/>
        <w:gridCol w:w="702"/>
        <w:gridCol w:w="1459"/>
      </w:tblGrid>
      <w:tr w:rsidR="003F4F8B" w14:paraId="2B1C1B9A" w14:textId="77777777">
        <w:tc>
          <w:tcPr>
            <w:tcW w:w="12960" w:type="dxa"/>
            <w:gridSpan w:val="11"/>
          </w:tcPr>
          <w:p w14:paraId="199CB017" w14:textId="77777777" w:rsidR="003F4F8B" w:rsidRPr="003F4F8B" w:rsidRDefault="003F4F8B" w:rsidP="00FC4396">
            <w:pPr>
              <w:pStyle w:val="TableText"/>
            </w:pPr>
            <w:r w:rsidRPr="00887834">
              <w:rPr>
                <w:b/>
              </w:rPr>
              <w:t xml:space="preserve">Facility Name: </w:t>
            </w:r>
          </w:p>
        </w:tc>
      </w:tr>
      <w:tr w:rsidR="003F4F8B" w14:paraId="0918CBB2" w14:textId="77777777">
        <w:tc>
          <w:tcPr>
            <w:tcW w:w="12960" w:type="dxa"/>
            <w:gridSpan w:val="11"/>
          </w:tcPr>
          <w:p w14:paraId="705BB417" w14:textId="77777777" w:rsidR="003F4F8B" w:rsidRPr="003F4F8B" w:rsidRDefault="003F4F8B" w:rsidP="00FC4396">
            <w:pPr>
              <w:pStyle w:val="TableText"/>
            </w:pPr>
            <w:r w:rsidRPr="00887834">
              <w:rPr>
                <w:b/>
              </w:rPr>
              <w:t xml:space="preserve">Address: </w:t>
            </w:r>
          </w:p>
        </w:tc>
      </w:tr>
      <w:tr w:rsidR="003F4F8B" w14:paraId="3A915BBF" w14:textId="77777777">
        <w:tc>
          <w:tcPr>
            <w:tcW w:w="12960" w:type="dxa"/>
            <w:gridSpan w:val="11"/>
          </w:tcPr>
          <w:p w14:paraId="174B3087" w14:textId="77777777" w:rsidR="003F4F8B" w:rsidRPr="003F4F8B" w:rsidRDefault="003F4F8B" w:rsidP="00FC4396">
            <w:pPr>
              <w:pStyle w:val="TableText"/>
            </w:pPr>
            <w:r w:rsidRPr="00887834">
              <w:rPr>
                <w:b/>
              </w:rPr>
              <w:t>City, State, Zip Code:</w:t>
            </w:r>
            <w:r>
              <w:t xml:space="preserve"> </w:t>
            </w:r>
          </w:p>
        </w:tc>
      </w:tr>
      <w:tr w:rsidR="004A6408" w:rsidRPr="0085788A" w14:paraId="5D07378C"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231"/>
        </w:trPr>
        <w:tc>
          <w:tcPr>
            <w:tcW w:w="2275" w:type="dxa"/>
            <w:tcBorders>
              <w:bottom w:val="single" w:sz="2" w:space="0" w:color="auto"/>
            </w:tcBorders>
            <w:shd w:val="clear" w:color="auto" w:fill="B3B3B3"/>
            <w:noWrap/>
          </w:tcPr>
          <w:p w14:paraId="75798AC5" w14:textId="77777777" w:rsidR="004A6408" w:rsidRPr="0085788A" w:rsidRDefault="004A6408" w:rsidP="00A95965">
            <w:pPr>
              <w:pStyle w:val="TableText"/>
              <w:rPr>
                <w:b/>
              </w:rPr>
            </w:pPr>
            <w:r w:rsidRPr="0085788A">
              <w:rPr>
                <w:b/>
              </w:rPr>
              <w:t>Patient Name</w:t>
            </w:r>
          </w:p>
        </w:tc>
        <w:tc>
          <w:tcPr>
            <w:tcW w:w="2189" w:type="dxa"/>
            <w:tcBorders>
              <w:bottom w:val="single" w:sz="2" w:space="0" w:color="auto"/>
            </w:tcBorders>
            <w:shd w:val="clear" w:color="auto" w:fill="B3B3B3"/>
            <w:noWrap/>
          </w:tcPr>
          <w:p w14:paraId="52CDA658" w14:textId="77777777" w:rsidR="004A6408" w:rsidRPr="0085788A" w:rsidRDefault="004A6408" w:rsidP="00A95965">
            <w:pPr>
              <w:pStyle w:val="TableText"/>
              <w:rPr>
                <w:b/>
              </w:rPr>
            </w:pPr>
            <w:r w:rsidRPr="0085788A">
              <w:rPr>
                <w:b/>
              </w:rPr>
              <w:t xml:space="preserve">Patient </w:t>
            </w:r>
            <w:r>
              <w:rPr>
                <w:b/>
                <w:szCs w:val="20"/>
              </w:rPr>
              <w:t>Identification Number</w:t>
            </w:r>
            <w:r w:rsidRPr="0085788A">
              <w:rPr>
                <w:b/>
              </w:rPr>
              <w:t xml:space="preserve"> </w:t>
            </w:r>
          </w:p>
        </w:tc>
        <w:tc>
          <w:tcPr>
            <w:tcW w:w="1244" w:type="dxa"/>
            <w:tcBorders>
              <w:bottom w:val="single" w:sz="2" w:space="0" w:color="auto"/>
            </w:tcBorders>
            <w:shd w:val="clear" w:color="auto" w:fill="B3B3B3"/>
            <w:noWrap/>
          </w:tcPr>
          <w:p w14:paraId="367364B2" w14:textId="77777777" w:rsidR="004A6408" w:rsidRPr="0085788A" w:rsidRDefault="004A6408" w:rsidP="00A95965">
            <w:pPr>
              <w:pStyle w:val="TableText"/>
              <w:rPr>
                <w:b/>
              </w:rPr>
            </w:pPr>
            <w:r w:rsidRPr="0085788A">
              <w:rPr>
                <w:b/>
              </w:rPr>
              <w:t>Location</w:t>
            </w:r>
          </w:p>
        </w:tc>
        <w:tc>
          <w:tcPr>
            <w:tcW w:w="2317" w:type="dxa"/>
            <w:gridSpan w:val="2"/>
            <w:tcBorders>
              <w:bottom w:val="single" w:sz="2" w:space="0" w:color="auto"/>
            </w:tcBorders>
            <w:shd w:val="clear" w:color="auto" w:fill="B3B3B3"/>
            <w:noWrap/>
          </w:tcPr>
          <w:p w14:paraId="03EADBA2" w14:textId="77777777" w:rsidR="004A6408" w:rsidRPr="0085788A" w:rsidRDefault="004A6408" w:rsidP="00A95965">
            <w:pPr>
              <w:pStyle w:val="TableText"/>
              <w:rPr>
                <w:b/>
              </w:rPr>
            </w:pPr>
            <w:r w:rsidRPr="0085788A">
              <w:rPr>
                <w:b/>
              </w:rPr>
              <w:t>CPRS Order Number</w:t>
            </w:r>
          </w:p>
        </w:tc>
        <w:tc>
          <w:tcPr>
            <w:tcW w:w="2317" w:type="dxa"/>
            <w:gridSpan w:val="3"/>
            <w:tcBorders>
              <w:bottom w:val="single" w:sz="2" w:space="0" w:color="auto"/>
            </w:tcBorders>
            <w:shd w:val="clear" w:color="auto" w:fill="B3B3B3"/>
            <w:noWrap/>
          </w:tcPr>
          <w:p w14:paraId="63F87698" w14:textId="77777777" w:rsidR="004A6408" w:rsidRPr="0085788A" w:rsidRDefault="004A6408" w:rsidP="00A95965">
            <w:pPr>
              <w:pStyle w:val="TableText"/>
              <w:rPr>
                <w:b/>
              </w:rPr>
            </w:pPr>
            <w:r w:rsidRPr="0085788A">
              <w:rPr>
                <w:b/>
              </w:rPr>
              <w:t>Lab Order Number</w:t>
            </w:r>
          </w:p>
        </w:tc>
        <w:tc>
          <w:tcPr>
            <w:tcW w:w="1159" w:type="dxa"/>
            <w:gridSpan w:val="2"/>
            <w:tcBorders>
              <w:bottom w:val="single" w:sz="2" w:space="0" w:color="auto"/>
            </w:tcBorders>
            <w:shd w:val="clear" w:color="auto" w:fill="B3B3B3"/>
            <w:noWrap/>
          </w:tcPr>
          <w:p w14:paraId="4DEA8D85" w14:textId="77777777" w:rsidR="004A6408" w:rsidRPr="0085788A" w:rsidRDefault="004A6408" w:rsidP="00A95965">
            <w:pPr>
              <w:pStyle w:val="TableText"/>
              <w:rPr>
                <w:b/>
              </w:rPr>
            </w:pPr>
            <w:r w:rsidRPr="0085788A">
              <w:rPr>
                <w:b/>
              </w:rPr>
              <w:t>Urgency</w:t>
            </w:r>
          </w:p>
        </w:tc>
        <w:tc>
          <w:tcPr>
            <w:tcW w:w="1459" w:type="dxa"/>
            <w:tcBorders>
              <w:bottom w:val="single" w:sz="2" w:space="0" w:color="auto"/>
            </w:tcBorders>
            <w:shd w:val="clear" w:color="auto" w:fill="B3B3B3"/>
            <w:noWrap/>
          </w:tcPr>
          <w:p w14:paraId="3A43FB29" w14:textId="77777777" w:rsidR="004A6408" w:rsidRPr="0085788A" w:rsidRDefault="004A6408" w:rsidP="00A95965">
            <w:pPr>
              <w:pStyle w:val="TableText"/>
              <w:rPr>
                <w:b/>
              </w:rPr>
            </w:pPr>
            <w:r w:rsidRPr="0085788A">
              <w:rPr>
                <w:b/>
              </w:rPr>
              <w:t>Appropriate?</w:t>
            </w:r>
            <w:r>
              <w:rPr>
                <w:b/>
              </w:rPr>
              <w:t xml:space="preserve"> (Yes, No)</w:t>
            </w:r>
          </w:p>
        </w:tc>
      </w:tr>
      <w:tr w:rsidR="004A6408" w:rsidRPr="004603A1" w14:paraId="26A35F9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auto"/>
            <w:noWrap/>
          </w:tcPr>
          <w:p w14:paraId="78EAE606" w14:textId="77777777" w:rsidR="004A6408" w:rsidRPr="004603A1" w:rsidRDefault="004A6408" w:rsidP="00A95965">
            <w:pPr>
              <w:pStyle w:val="TableText"/>
            </w:pPr>
          </w:p>
        </w:tc>
        <w:tc>
          <w:tcPr>
            <w:tcW w:w="2189" w:type="dxa"/>
            <w:tcBorders>
              <w:top w:val="single" w:sz="2" w:space="0" w:color="auto"/>
              <w:left w:val="single" w:sz="2" w:space="0" w:color="auto"/>
              <w:bottom w:val="single" w:sz="2" w:space="0" w:color="auto"/>
              <w:right w:val="single" w:sz="2" w:space="0" w:color="auto"/>
            </w:tcBorders>
            <w:shd w:val="clear" w:color="auto" w:fill="auto"/>
            <w:noWrap/>
          </w:tcPr>
          <w:p w14:paraId="66877128" w14:textId="77777777" w:rsidR="004A6408" w:rsidRPr="004603A1" w:rsidRDefault="004A6408" w:rsidP="00A95965">
            <w:pPr>
              <w:pStyle w:val="TableText"/>
            </w:pPr>
          </w:p>
        </w:tc>
        <w:tc>
          <w:tcPr>
            <w:tcW w:w="1244" w:type="dxa"/>
            <w:tcBorders>
              <w:top w:val="single" w:sz="2" w:space="0" w:color="auto"/>
              <w:left w:val="single" w:sz="2" w:space="0" w:color="auto"/>
              <w:bottom w:val="single" w:sz="2" w:space="0" w:color="auto"/>
              <w:right w:val="single" w:sz="2" w:space="0" w:color="auto"/>
            </w:tcBorders>
            <w:shd w:val="clear" w:color="auto" w:fill="auto"/>
            <w:noWrap/>
          </w:tcPr>
          <w:p w14:paraId="750D0AD5" w14:textId="77777777" w:rsidR="004A6408" w:rsidRPr="004603A1" w:rsidRDefault="004A6408" w:rsidP="00A95965">
            <w:pPr>
              <w:pStyle w:val="TableText"/>
            </w:pPr>
          </w:p>
        </w:tc>
        <w:tc>
          <w:tcPr>
            <w:tcW w:w="2317" w:type="dxa"/>
            <w:gridSpan w:val="2"/>
            <w:tcBorders>
              <w:top w:val="single" w:sz="2" w:space="0" w:color="auto"/>
              <w:left w:val="single" w:sz="2" w:space="0" w:color="auto"/>
              <w:bottom w:val="single" w:sz="2" w:space="0" w:color="auto"/>
              <w:right w:val="single" w:sz="2" w:space="0" w:color="auto"/>
            </w:tcBorders>
            <w:shd w:val="clear" w:color="auto" w:fill="auto"/>
            <w:noWrap/>
          </w:tcPr>
          <w:p w14:paraId="10657E86" w14:textId="77777777" w:rsidR="004A6408" w:rsidRPr="004603A1" w:rsidRDefault="004A6408" w:rsidP="00A95965">
            <w:pPr>
              <w:pStyle w:val="TableText"/>
            </w:pPr>
          </w:p>
        </w:tc>
        <w:tc>
          <w:tcPr>
            <w:tcW w:w="2317" w:type="dxa"/>
            <w:gridSpan w:val="3"/>
            <w:tcBorders>
              <w:top w:val="single" w:sz="2" w:space="0" w:color="auto"/>
              <w:left w:val="single" w:sz="2" w:space="0" w:color="auto"/>
              <w:bottom w:val="single" w:sz="2" w:space="0" w:color="auto"/>
              <w:right w:val="single" w:sz="2" w:space="0" w:color="auto"/>
            </w:tcBorders>
            <w:shd w:val="clear" w:color="auto" w:fill="auto"/>
            <w:noWrap/>
          </w:tcPr>
          <w:p w14:paraId="20B398F3" w14:textId="77777777" w:rsidR="004A6408" w:rsidRPr="004603A1" w:rsidRDefault="004A6408" w:rsidP="00A95965">
            <w:pPr>
              <w:pStyle w:val="TableText"/>
            </w:pPr>
          </w:p>
        </w:tc>
        <w:tc>
          <w:tcPr>
            <w:tcW w:w="1159" w:type="dxa"/>
            <w:gridSpan w:val="2"/>
            <w:tcBorders>
              <w:top w:val="single" w:sz="2" w:space="0" w:color="auto"/>
              <w:left w:val="single" w:sz="2" w:space="0" w:color="auto"/>
              <w:bottom w:val="single" w:sz="2" w:space="0" w:color="auto"/>
              <w:right w:val="single" w:sz="2" w:space="0" w:color="auto"/>
            </w:tcBorders>
            <w:shd w:val="clear" w:color="auto" w:fill="auto"/>
            <w:noWrap/>
          </w:tcPr>
          <w:p w14:paraId="24FF5395" w14:textId="77777777" w:rsidR="004A6408" w:rsidRPr="004603A1" w:rsidRDefault="004A6408" w:rsidP="00A95965">
            <w:pPr>
              <w:pStyle w:val="TableText"/>
            </w:pPr>
          </w:p>
        </w:tc>
        <w:tc>
          <w:tcPr>
            <w:tcW w:w="1459" w:type="dxa"/>
            <w:tcBorders>
              <w:top w:val="single" w:sz="2" w:space="0" w:color="auto"/>
              <w:left w:val="single" w:sz="2" w:space="0" w:color="auto"/>
              <w:bottom w:val="single" w:sz="2" w:space="0" w:color="auto"/>
              <w:right w:val="single" w:sz="2" w:space="0" w:color="auto"/>
            </w:tcBorders>
            <w:shd w:val="clear" w:color="auto" w:fill="auto"/>
            <w:noWrap/>
          </w:tcPr>
          <w:p w14:paraId="72364288" w14:textId="77777777" w:rsidR="004A6408" w:rsidRPr="004603A1" w:rsidRDefault="004A6408" w:rsidP="00A95965">
            <w:pPr>
              <w:pStyle w:val="TableText"/>
            </w:pPr>
          </w:p>
        </w:tc>
      </w:tr>
      <w:tr w:rsidR="004A6408" w:rsidRPr="004603A1" w14:paraId="2AEFEB7A"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B3B3B3"/>
            <w:noWrap/>
          </w:tcPr>
          <w:p w14:paraId="64969A7D" w14:textId="77777777" w:rsidR="004A6408" w:rsidRPr="0085788A" w:rsidRDefault="004A6408" w:rsidP="00A95965">
            <w:pPr>
              <w:pStyle w:val="TableText"/>
              <w:rPr>
                <w:b/>
              </w:rPr>
            </w:pPr>
            <w:r w:rsidRPr="0085788A">
              <w:rPr>
                <w:b/>
              </w:rPr>
              <w:t>Specimen UID</w:t>
            </w:r>
          </w:p>
        </w:tc>
        <w:tc>
          <w:tcPr>
            <w:tcW w:w="2189" w:type="dxa"/>
            <w:tcBorders>
              <w:top w:val="single" w:sz="2" w:space="0" w:color="auto"/>
              <w:left w:val="single" w:sz="2" w:space="0" w:color="auto"/>
              <w:bottom w:val="single" w:sz="2" w:space="0" w:color="auto"/>
              <w:right w:val="single" w:sz="2" w:space="0" w:color="auto"/>
            </w:tcBorders>
            <w:shd w:val="clear" w:color="auto" w:fill="B3B3B3"/>
            <w:noWrap/>
          </w:tcPr>
          <w:p w14:paraId="00B19291" w14:textId="77777777" w:rsidR="004A6408" w:rsidRPr="0085788A" w:rsidRDefault="004A6408" w:rsidP="00A95965">
            <w:pPr>
              <w:pStyle w:val="TableText"/>
              <w:rPr>
                <w:b/>
              </w:rPr>
            </w:pPr>
            <w:r w:rsidRPr="0085788A">
              <w:rPr>
                <w:rFonts w:eastAsia="Symbol"/>
                <w:b/>
              </w:rPr>
              <w:t>Date</w:t>
            </w:r>
            <w:r>
              <w:rPr>
                <w:rFonts w:eastAsia="Symbol"/>
                <w:b/>
              </w:rPr>
              <w:t xml:space="preserve"> and </w:t>
            </w:r>
            <w:r w:rsidRPr="0085788A">
              <w:rPr>
                <w:rFonts w:eastAsia="Symbol"/>
                <w:b/>
              </w:rPr>
              <w:t>Time Collected</w:t>
            </w:r>
          </w:p>
        </w:tc>
        <w:tc>
          <w:tcPr>
            <w:tcW w:w="2664" w:type="dxa"/>
            <w:gridSpan w:val="2"/>
            <w:tcBorders>
              <w:top w:val="single" w:sz="2" w:space="0" w:color="auto"/>
              <w:left w:val="single" w:sz="2" w:space="0" w:color="auto"/>
              <w:bottom w:val="single" w:sz="2" w:space="0" w:color="auto"/>
              <w:right w:val="single" w:sz="2" w:space="0" w:color="auto"/>
            </w:tcBorders>
            <w:shd w:val="clear" w:color="auto" w:fill="B3B3B3"/>
            <w:noWrap/>
          </w:tcPr>
          <w:p w14:paraId="37508065" w14:textId="77777777" w:rsidR="004A6408" w:rsidRPr="004603A1" w:rsidRDefault="004A6408" w:rsidP="00A95965">
            <w:pPr>
              <w:pStyle w:val="TableText"/>
            </w:pPr>
            <w:r w:rsidRPr="0085788A">
              <w:rPr>
                <w:b/>
              </w:rPr>
              <w:t xml:space="preserve">Phlebotomist </w:t>
            </w:r>
            <w:r>
              <w:rPr>
                <w:b/>
                <w:szCs w:val="20"/>
              </w:rPr>
              <w:t>Name</w:t>
            </w:r>
          </w:p>
        </w:tc>
        <w:tc>
          <w:tcPr>
            <w:tcW w:w="2520" w:type="dxa"/>
            <w:gridSpan w:val="3"/>
            <w:tcBorders>
              <w:top w:val="single" w:sz="2" w:space="0" w:color="auto"/>
              <w:left w:val="single" w:sz="2" w:space="0" w:color="auto"/>
              <w:bottom w:val="single" w:sz="2" w:space="0" w:color="auto"/>
              <w:right w:val="single" w:sz="2" w:space="0" w:color="auto"/>
            </w:tcBorders>
            <w:shd w:val="clear" w:color="auto" w:fill="B3B3B3"/>
            <w:noWrap/>
          </w:tcPr>
          <w:p w14:paraId="265A739E" w14:textId="77777777" w:rsidR="004A6408" w:rsidRPr="004603A1" w:rsidRDefault="004A6408" w:rsidP="00A95965">
            <w:pPr>
              <w:pStyle w:val="TableText"/>
            </w:pPr>
            <w:r w:rsidRPr="0085788A">
              <w:rPr>
                <w:b/>
              </w:rPr>
              <w:t>Date</w:t>
            </w:r>
            <w:r>
              <w:rPr>
                <w:b/>
              </w:rPr>
              <w:t xml:space="preserve"> and </w:t>
            </w:r>
            <w:r w:rsidRPr="0085788A">
              <w:rPr>
                <w:b/>
              </w:rPr>
              <w:t>Time Received</w:t>
            </w:r>
          </w:p>
        </w:tc>
        <w:tc>
          <w:tcPr>
            <w:tcW w:w="1853" w:type="dxa"/>
            <w:gridSpan w:val="3"/>
            <w:tcBorders>
              <w:top w:val="single" w:sz="2" w:space="0" w:color="auto"/>
              <w:left w:val="single" w:sz="2" w:space="0" w:color="auto"/>
              <w:bottom w:val="single" w:sz="2" w:space="0" w:color="auto"/>
              <w:right w:val="single" w:sz="2" w:space="0" w:color="auto"/>
            </w:tcBorders>
            <w:shd w:val="clear" w:color="auto" w:fill="B3B3B3"/>
            <w:noWrap/>
          </w:tcPr>
          <w:p w14:paraId="771239EE" w14:textId="77777777" w:rsidR="004A6408" w:rsidRPr="004603A1" w:rsidRDefault="004A6408" w:rsidP="00A95965">
            <w:pPr>
              <w:pStyle w:val="TableText"/>
            </w:pPr>
            <w:r w:rsidRPr="0085788A">
              <w:rPr>
                <w:b/>
              </w:rPr>
              <w:t xml:space="preserve">Processed </w:t>
            </w:r>
            <w:r>
              <w:rPr>
                <w:b/>
              </w:rPr>
              <w:t>B</w:t>
            </w:r>
            <w:r w:rsidRPr="0085788A">
              <w:rPr>
                <w:b/>
              </w:rPr>
              <w:t>y:</w:t>
            </w:r>
          </w:p>
        </w:tc>
        <w:tc>
          <w:tcPr>
            <w:tcW w:w="1459" w:type="dxa"/>
            <w:tcBorders>
              <w:top w:val="single" w:sz="2" w:space="0" w:color="auto"/>
              <w:left w:val="single" w:sz="2" w:space="0" w:color="auto"/>
              <w:bottom w:val="single" w:sz="2" w:space="0" w:color="auto"/>
              <w:right w:val="single" w:sz="2" w:space="0" w:color="auto"/>
            </w:tcBorders>
            <w:shd w:val="clear" w:color="auto" w:fill="B3B3B3"/>
            <w:noWrap/>
          </w:tcPr>
          <w:p w14:paraId="11454EE2" w14:textId="77777777" w:rsidR="004A6408" w:rsidRPr="004603A1" w:rsidRDefault="004A6408" w:rsidP="00A95965">
            <w:pPr>
              <w:pStyle w:val="TableText"/>
            </w:pPr>
            <w:r w:rsidRPr="0085788A">
              <w:rPr>
                <w:b/>
              </w:rPr>
              <w:t>Acceptable?</w:t>
            </w:r>
            <w:r>
              <w:rPr>
                <w:b/>
              </w:rPr>
              <w:t xml:space="preserve"> (Yes, No)</w:t>
            </w:r>
          </w:p>
        </w:tc>
      </w:tr>
      <w:tr w:rsidR="004A6408" w:rsidRPr="004603A1" w14:paraId="2543F8A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2275" w:type="dxa"/>
            <w:tcBorders>
              <w:top w:val="single" w:sz="2" w:space="0" w:color="auto"/>
              <w:left w:val="single" w:sz="2" w:space="0" w:color="auto"/>
              <w:bottom w:val="single" w:sz="2" w:space="0" w:color="auto"/>
              <w:right w:val="single" w:sz="2" w:space="0" w:color="auto"/>
            </w:tcBorders>
            <w:shd w:val="clear" w:color="auto" w:fill="auto"/>
            <w:noWrap/>
          </w:tcPr>
          <w:p w14:paraId="512963B6" w14:textId="77777777" w:rsidR="004A6408" w:rsidRPr="004603A1" w:rsidRDefault="004A6408" w:rsidP="00A95965">
            <w:pPr>
              <w:pStyle w:val="TableText"/>
            </w:pPr>
          </w:p>
        </w:tc>
        <w:tc>
          <w:tcPr>
            <w:tcW w:w="2189" w:type="dxa"/>
            <w:tcBorders>
              <w:top w:val="single" w:sz="2" w:space="0" w:color="auto"/>
              <w:left w:val="single" w:sz="2" w:space="0" w:color="auto"/>
              <w:bottom w:val="single" w:sz="2" w:space="0" w:color="auto"/>
              <w:right w:val="single" w:sz="2" w:space="0" w:color="auto"/>
            </w:tcBorders>
            <w:shd w:val="clear" w:color="auto" w:fill="auto"/>
            <w:noWrap/>
          </w:tcPr>
          <w:p w14:paraId="3BE32664" w14:textId="77777777" w:rsidR="004A6408" w:rsidRPr="004603A1" w:rsidRDefault="004A6408" w:rsidP="00A95965">
            <w:pPr>
              <w:pStyle w:val="TableText"/>
            </w:pPr>
          </w:p>
        </w:tc>
        <w:tc>
          <w:tcPr>
            <w:tcW w:w="2664" w:type="dxa"/>
            <w:gridSpan w:val="2"/>
            <w:tcBorders>
              <w:top w:val="single" w:sz="2" w:space="0" w:color="auto"/>
              <w:left w:val="single" w:sz="2" w:space="0" w:color="auto"/>
              <w:bottom w:val="single" w:sz="2" w:space="0" w:color="auto"/>
              <w:right w:val="single" w:sz="2" w:space="0" w:color="auto"/>
            </w:tcBorders>
            <w:shd w:val="clear" w:color="auto" w:fill="auto"/>
            <w:noWrap/>
          </w:tcPr>
          <w:p w14:paraId="1444AC0A" w14:textId="77777777" w:rsidR="004A6408" w:rsidRPr="004603A1" w:rsidRDefault="004A6408" w:rsidP="00A95965">
            <w:pPr>
              <w:pStyle w:val="TableText"/>
            </w:pPr>
          </w:p>
        </w:tc>
        <w:tc>
          <w:tcPr>
            <w:tcW w:w="2520" w:type="dxa"/>
            <w:gridSpan w:val="3"/>
            <w:tcBorders>
              <w:top w:val="single" w:sz="2" w:space="0" w:color="auto"/>
              <w:left w:val="single" w:sz="2" w:space="0" w:color="auto"/>
              <w:bottom w:val="single" w:sz="2" w:space="0" w:color="auto"/>
              <w:right w:val="single" w:sz="2" w:space="0" w:color="auto"/>
            </w:tcBorders>
            <w:shd w:val="clear" w:color="auto" w:fill="auto"/>
            <w:noWrap/>
          </w:tcPr>
          <w:p w14:paraId="2988A9B7" w14:textId="77777777" w:rsidR="004A6408" w:rsidRPr="004603A1" w:rsidRDefault="004A6408" w:rsidP="00A95965">
            <w:pPr>
              <w:pStyle w:val="TableText"/>
            </w:pPr>
          </w:p>
        </w:tc>
        <w:tc>
          <w:tcPr>
            <w:tcW w:w="1853" w:type="dxa"/>
            <w:gridSpan w:val="3"/>
            <w:tcBorders>
              <w:top w:val="single" w:sz="2" w:space="0" w:color="auto"/>
              <w:left w:val="single" w:sz="2" w:space="0" w:color="auto"/>
              <w:bottom w:val="single" w:sz="2" w:space="0" w:color="auto"/>
              <w:right w:val="single" w:sz="2" w:space="0" w:color="auto"/>
            </w:tcBorders>
            <w:shd w:val="clear" w:color="auto" w:fill="auto"/>
            <w:noWrap/>
          </w:tcPr>
          <w:p w14:paraId="7AE3A027" w14:textId="77777777" w:rsidR="004A6408" w:rsidRPr="004603A1" w:rsidRDefault="004A6408" w:rsidP="00A95965">
            <w:pPr>
              <w:pStyle w:val="TableText"/>
            </w:pPr>
          </w:p>
        </w:tc>
        <w:tc>
          <w:tcPr>
            <w:tcW w:w="1459" w:type="dxa"/>
            <w:tcBorders>
              <w:top w:val="single" w:sz="2" w:space="0" w:color="auto"/>
              <w:left w:val="single" w:sz="2" w:space="0" w:color="auto"/>
              <w:bottom w:val="single" w:sz="2" w:space="0" w:color="auto"/>
              <w:right w:val="single" w:sz="2" w:space="0" w:color="auto"/>
            </w:tcBorders>
            <w:shd w:val="clear" w:color="auto" w:fill="auto"/>
            <w:noWrap/>
          </w:tcPr>
          <w:p w14:paraId="0983EDBC" w14:textId="77777777" w:rsidR="004A6408" w:rsidRPr="004603A1" w:rsidRDefault="004A6408" w:rsidP="00A95965">
            <w:pPr>
              <w:pStyle w:val="TableText"/>
            </w:pPr>
          </w:p>
        </w:tc>
      </w:tr>
      <w:tr w:rsidR="004A6408" w14:paraId="640A3A8D"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12960" w:type="dxa"/>
            <w:gridSpan w:val="11"/>
            <w:noWrap/>
          </w:tcPr>
          <w:p w14:paraId="3BA5D5DC" w14:textId="77777777" w:rsidR="004A6408" w:rsidRPr="00547668" w:rsidRDefault="004A6408" w:rsidP="00A95965">
            <w:pPr>
              <w:pStyle w:val="TableText"/>
              <w:rPr>
                <w:b/>
                <w:szCs w:val="20"/>
              </w:rPr>
            </w:pPr>
            <w:r w:rsidRPr="00547668">
              <w:rPr>
                <w:b/>
                <w:szCs w:val="20"/>
              </w:rPr>
              <w:t>Ordered Tests:</w:t>
            </w:r>
          </w:p>
        </w:tc>
      </w:tr>
      <w:tr w:rsidR="004A6408" w14:paraId="1A4E932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8628" w:type="dxa"/>
            <w:gridSpan w:val="6"/>
            <w:noWrap/>
          </w:tcPr>
          <w:p w14:paraId="7775270F" w14:textId="77777777" w:rsidR="004A6408" w:rsidRPr="00547668" w:rsidRDefault="004A6408" w:rsidP="00A95965">
            <w:pPr>
              <w:pStyle w:val="TableText"/>
              <w:rPr>
                <w:b/>
                <w:szCs w:val="20"/>
              </w:rPr>
            </w:pPr>
            <w:r w:rsidRPr="00547668">
              <w:rPr>
                <w:b/>
                <w:szCs w:val="20"/>
              </w:rPr>
              <w:t>Comments:</w:t>
            </w:r>
          </w:p>
        </w:tc>
        <w:tc>
          <w:tcPr>
            <w:tcW w:w="2171" w:type="dxa"/>
            <w:gridSpan w:val="3"/>
          </w:tcPr>
          <w:p w14:paraId="6468639B" w14:textId="77777777" w:rsidR="004A6408" w:rsidRPr="00547668" w:rsidRDefault="004A6408" w:rsidP="00A95965">
            <w:pPr>
              <w:pStyle w:val="TableText"/>
              <w:rPr>
                <w:b/>
                <w:szCs w:val="20"/>
              </w:rPr>
            </w:pPr>
            <w:r w:rsidRPr="00547668">
              <w:rPr>
                <w:b/>
                <w:szCs w:val="20"/>
              </w:rPr>
              <w:t>Entered By:</w:t>
            </w:r>
          </w:p>
        </w:tc>
        <w:tc>
          <w:tcPr>
            <w:tcW w:w="2161" w:type="dxa"/>
            <w:gridSpan w:val="2"/>
          </w:tcPr>
          <w:p w14:paraId="13C22693" w14:textId="77777777" w:rsidR="004A6408" w:rsidRPr="00547668" w:rsidRDefault="004A6408" w:rsidP="00A95965">
            <w:pPr>
              <w:pStyle w:val="TableText"/>
              <w:rPr>
                <w:b/>
                <w:szCs w:val="20"/>
              </w:rPr>
            </w:pPr>
            <w:r w:rsidRPr="00547668">
              <w:rPr>
                <w:b/>
                <w:szCs w:val="20"/>
              </w:rPr>
              <w:t>Date and Time</w:t>
            </w:r>
            <w:r>
              <w:rPr>
                <w:b/>
                <w:szCs w:val="20"/>
              </w:rPr>
              <w:t>:</w:t>
            </w:r>
          </w:p>
        </w:tc>
      </w:tr>
    </w:tbl>
    <w:p w14:paraId="536FBFB1" w14:textId="77777777" w:rsidR="004A6408" w:rsidRDefault="004A6408"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1455"/>
        <w:gridCol w:w="897"/>
        <w:gridCol w:w="546"/>
        <w:gridCol w:w="1407"/>
        <w:gridCol w:w="28"/>
        <w:gridCol w:w="1434"/>
        <w:gridCol w:w="1434"/>
        <w:gridCol w:w="1441"/>
        <w:gridCol w:w="1433"/>
        <w:gridCol w:w="1433"/>
        <w:gridCol w:w="1452"/>
      </w:tblGrid>
      <w:tr w:rsidR="004A6408" w14:paraId="4D3DC2F4" w14:textId="77777777">
        <w:trPr>
          <w:cantSplit/>
          <w:trHeight w:val="230"/>
        </w:trPr>
        <w:tc>
          <w:tcPr>
            <w:tcW w:w="2352" w:type="dxa"/>
            <w:gridSpan w:val="2"/>
            <w:shd w:val="clear" w:color="auto" w:fill="B3B3B3"/>
            <w:noWrap/>
          </w:tcPr>
          <w:p w14:paraId="0119CD8F" w14:textId="77777777" w:rsidR="004A6408" w:rsidRPr="00DD058C" w:rsidRDefault="004A6408" w:rsidP="00A95965">
            <w:pPr>
              <w:pStyle w:val="TableText"/>
              <w:rPr>
                <w:b/>
                <w:szCs w:val="20"/>
              </w:rPr>
            </w:pPr>
            <w:r>
              <w:rPr>
                <w:b/>
                <w:szCs w:val="20"/>
              </w:rPr>
              <w:t>Reagent Rack</w:t>
            </w:r>
          </w:p>
        </w:tc>
        <w:tc>
          <w:tcPr>
            <w:tcW w:w="1953" w:type="dxa"/>
            <w:gridSpan w:val="2"/>
            <w:shd w:val="clear" w:color="auto" w:fill="B3B3B3"/>
          </w:tcPr>
          <w:p w14:paraId="55EF9BC6" w14:textId="77777777" w:rsidR="004A6408" w:rsidRPr="00DD058C" w:rsidRDefault="004A6408" w:rsidP="00A95965">
            <w:pPr>
              <w:pStyle w:val="TableText"/>
              <w:rPr>
                <w:b/>
                <w:szCs w:val="20"/>
              </w:rPr>
            </w:pPr>
            <w:r>
              <w:rPr>
                <w:b/>
                <w:szCs w:val="20"/>
              </w:rPr>
              <w:t>Date and Time</w:t>
            </w:r>
          </w:p>
        </w:tc>
        <w:tc>
          <w:tcPr>
            <w:tcW w:w="8655" w:type="dxa"/>
            <w:gridSpan w:val="7"/>
            <w:shd w:val="clear" w:color="auto" w:fill="B3B3B3"/>
          </w:tcPr>
          <w:p w14:paraId="6437D6F1" w14:textId="77777777" w:rsidR="004A6408" w:rsidRPr="00DD058C" w:rsidRDefault="004A6408" w:rsidP="00A95965">
            <w:pPr>
              <w:pStyle w:val="TableText"/>
              <w:rPr>
                <w:b/>
                <w:szCs w:val="20"/>
              </w:rPr>
            </w:pPr>
            <w:r>
              <w:rPr>
                <w:b/>
                <w:szCs w:val="20"/>
              </w:rPr>
              <w:t>Tech Name</w:t>
            </w:r>
          </w:p>
        </w:tc>
      </w:tr>
      <w:tr w:rsidR="004A6408" w14:paraId="71E8E720" w14:textId="77777777">
        <w:tblPrEx>
          <w:shd w:val="clear" w:color="auto" w:fill="auto"/>
        </w:tblPrEx>
        <w:trPr>
          <w:cantSplit/>
          <w:trHeight w:val="432"/>
        </w:trPr>
        <w:tc>
          <w:tcPr>
            <w:tcW w:w="2352" w:type="dxa"/>
            <w:gridSpan w:val="2"/>
            <w:noWrap/>
          </w:tcPr>
          <w:p w14:paraId="556CD797" w14:textId="77777777" w:rsidR="004A6408" w:rsidRDefault="004A6408" w:rsidP="00A95965">
            <w:pPr>
              <w:pStyle w:val="TableText"/>
              <w:rPr>
                <w:szCs w:val="20"/>
              </w:rPr>
            </w:pPr>
          </w:p>
        </w:tc>
        <w:tc>
          <w:tcPr>
            <w:tcW w:w="1953" w:type="dxa"/>
            <w:gridSpan w:val="2"/>
          </w:tcPr>
          <w:p w14:paraId="4B97AA99" w14:textId="77777777" w:rsidR="004A6408" w:rsidRDefault="004A6408" w:rsidP="00A95965">
            <w:pPr>
              <w:pStyle w:val="TableText"/>
              <w:rPr>
                <w:szCs w:val="20"/>
              </w:rPr>
            </w:pPr>
          </w:p>
        </w:tc>
        <w:tc>
          <w:tcPr>
            <w:tcW w:w="8655" w:type="dxa"/>
            <w:gridSpan w:val="7"/>
          </w:tcPr>
          <w:p w14:paraId="14789B42" w14:textId="77777777" w:rsidR="004A6408" w:rsidRDefault="004A6408" w:rsidP="00A95965">
            <w:pPr>
              <w:pStyle w:val="TableText"/>
              <w:rPr>
                <w:szCs w:val="20"/>
              </w:rPr>
            </w:pPr>
          </w:p>
        </w:tc>
      </w:tr>
      <w:tr w:rsidR="004A6408" w14:paraId="4E8EB06F" w14:textId="77777777">
        <w:tblPrEx>
          <w:shd w:val="clear" w:color="auto" w:fill="auto"/>
        </w:tblPrEx>
        <w:trPr>
          <w:cantSplit/>
          <w:trHeight w:val="230"/>
          <w:tblHeader/>
        </w:trPr>
        <w:tc>
          <w:tcPr>
            <w:tcW w:w="1455" w:type="dxa"/>
            <w:vMerge w:val="restart"/>
            <w:shd w:val="clear" w:color="auto" w:fill="B3B3B3"/>
            <w:noWrap/>
          </w:tcPr>
          <w:p w14:paraId="0EF7A0A7" w14:textId="77777777" w:rsidR="004A6408" w:rsidRPr="00E42FCF" w:rsidRDefault="004A6408" w:rsidP="00A95965">
            <w:pPr>
              <w:pStyle w:val="TableText"/>
              <w:rPr>
                <w:b/>
                <w:szCs w:val="20"/>
              </w:rPr>
            </w:pPr>
            <w:r>
              <w:rPr>
                <w:b/>
                <w:szCs w:val="20"/>
              </w:rPr>
              <w:t>Historic ABO/Rh Check</w:t>
            </w:r>
          </w:p>
        </w:tc>
        <w:tc>
          <w:tcPr>
            <w:tcW w:w="4312" w:type="dxa"/>
            <w:gridSpan w:val="5"/>
            <w:tcBorders>
              <w:bottom w:val="single" w:sz="2" w:space="0" w:color="auto"/>
            </w:tcBorders>
            <w:shd w:val="clear" w:color="auto" w:fill="B3B3B3"/>
          </w:tcPr>
          <w:p w14:paraId="4CDADB0B" w14:textId="77777777" w:rsidR="004A6408" w:rsidRPr="00E42FCF" w:rsidRDefault="004A6408" w:rsidP="00FC4396">
            <w:pPr>
              <w:pStyle w:val="TableText"/>
              <w:rPr>
                <w:b/>
                <w:szCs w:val="20"/>
              </w:rPr>
            </w:pPr>
            <w:r w:rsidRPr="00E42FCF">
              <w:rPr>
                <w:b/>
                <w:szCs w:val="20"/>
              </w:rPr>
              <w:t>Forward ABO Grouping</w:t>
            </w:r>
          </w:p>
        </w:tc>
        <w:tc>
          <w:tcPr>
            <w:tcW w:w="2875" w:type="dxa"/>
            <w:gridSpan w:val="2"/>
            <w:tcBorders>
              <w:bottom w:val="single" w:sz="2" w:space="0" w:color="auto"/>
            </w:tcBorders>
            <w:shd w:val="clear" w:color="auto" w:fill="B3B3B3"/>
          </w:tcPr>
          <w:p w14:paraId="03120D91" w14:textId="77777777" w:rsidR="004A6408" w:rsidRPr="00E42FCF" w:rsidRDefault="004A6408" w:rsidP="00FC4396">
            <w:pPr>
              <w:pStyle w:val="TableText"/>
              <w:rPr>
                <w:b/>
                <w:szCs w:val="20"/>
              </w:rPr>
            </w:pPr>
            <w:r w:rsidRPr="00E42FCF">
              <w:rPr>
                <w:b/>
                <w:szCs w:val="20"/>
              </w:rPr>
              <w:t>Rh Typing</w:t>
            </w:r>
          </w:p>
        </w:tc>
        <w:tc>
          <w:tcPr>
            <w:tcW w:w="2866" w:type="dxa"/>
            <w:gridSpan w:val="2"/>
            <w:tcBorders>
              <w:bottom w:val="single" w:sz="2" w:space="0" w:color="auto"/>
            </w:tcBorders>
            <w:shd w:val="clear" w:color="auto" w:fill="B3B3B3"/>
          </w:tcPr>
          <w:p w14:paraId="669F1B9C" w14:textId="77777777" w:rsidR="004A6408" w:rsidRPr="00E42FCF" w:rsidRDefault="004A6408" w:rsidP="00FC4396">
            <w:pPr>
              <w:pStyle w:val="TableText"/>
              <w:rPr>
                <w:b/>
                <w:szCs w:val="20"/>
              </w:rPr>
            </w:pPr>
            <w:r w:rsidRPr="00E42FCF">
              <w:rPr>
                <w:b/>
                <w:szCs w:val="20"/>
              </w:rPr>
              <w:t>Reverse ABO Grouping</w:t>
            </w:r>
          </w:p>
        </w:tc>
        <w:tc>
          <w:tcPr>
            <w:tcW w:w="1452" w:type="dxa"/>
            <w:vMerge w:val="restart"/>
            <w:shd w:val="clear" w:color="auto" w:fill="B3B3B3"/>
          </w:tcPr>
          <w:p w14:paraId="00F328C3" w14:textId="77777777" w:rsidR="004A6408" w:rsidRDefault="004A6408" w:rsidP="00A95965">
            <w:pPr>
              <w:pStyle w:val="TableText"/>
              <w:rPr>
                <w:b/>
                <w:szCs w:val="20"/>
              </w:rPr>
            </w:pPr>
            <w:r w:rsidRPr="00E42FCF">
              <w:rPr>
                <w:b/>
                <w:szCs w:val="20"/>
              </w:rPr>
              <w:t>ABO/Rh</w:t>
            </w:r>
          </w:p>
          <w:p w14:paraId="0B6F7957" w14:textId="77777777" w:rsidR="004A6408" w:rsidRPr="00E42FCF" w:rsidRDefault="004A6408" w:rsidP="00A95965">
            <w:pPr>
              <w:pStyle w:val="TableText"/>
              <w:rPr>
                <w:b/>
                <w:szCs w:val="20"/>
              </w:rPr>
            </w:pPr>
            <w:r>
              <w:rPr>
                <w:b/>
                <w:szCs w:val="20"/>
              </w:rPr>
              <w:t>Interpretation</w:t>
            </w:r>
          </w:p>
        </w:tc>
      </w:tr>
      <w:tr w:rsidR="004A6408" w14:paraId="1D5F4665" w14:textId="77777777">
        <w:tblPrEx>
          <w:shd w:val="clear" w:color="auto" w:fill="auto"/>
        </w:tblPrEx>
        <w:trPr>
          <w:cantSplit/>
          <w:trHeight w:val="230"/>
          <w:tblHeader/>
        </w:trPr>
        <w:tc>
          <w:tcPr>
            <w:tcW w:w="1455" w:type="dxa"/>
            <w:vMerge/>
            <w:noWrap/>
          </w:tcPr>
          <w:p w14:paraId="53136FA6" w14:textId="77777777" w:rsidR="004A6408" w:rsidRDefault="004A6408" w:rsidP="00A95965">
            <w:pPr>
              <w:pStyle w:val="TableText"/>
              <w:rPr>
                <w:szCs w:val="20"/>
              </w:rPr>
            </w:pPr>
          </w:p>
        </w:tc>
        <w:tc>
          <w:tcPr>
            <w:tcW w:w="1443" w:type="dxa"/>
            <w:gridSpan w:val="2"/>
            <w:shd w:val="clear" w:color="auto" w:fill="B3B3B3"/>
          </w:tcPr>
          <w:p w14:paraId="2BAF02E1" w14:textId="77777777" w:rsidR="004A6408" w:rsidRPr="00C3237D" w:rsidRDefault="004A6408" w:rsidP="000D14B2">
            <w:pPr>
              <w:pStyle w:val="TableText"/>
              <w:jc w:val="center"/>
              <w:rPr>
                <w:b/>
                <w:szCs w:val="20"/>
              </w:rPr>
            </w:pPr>
            <w:r>
              <w:rPr>
                <w:b/>
                <w:szCs w:val="20"/>
              </w:rPr>
              <w:t>Anti-A</w:t>
            </w:r>
          </w:p>
        </w:tc>
        <w:tc>
          <w:tcPr>
            <w:tcW w:w="1435" w:type="dxa"/>
            <w:gridSpan w:val="2"/>
            <w:shd w:val="clear" w:color="auto" w:fill="B3B3B3"/>
          </w:tcPr>
          <w:p w14:paraId="740E47D4" w14:textId="77777777" w:rsidR="004A6408" w:rsidRPr="00C3237D" w:rsidRDefault="004A6408" w:rsidP="000D14B2">
            <w:pPr>
              <w:pStyle w:val="TableText"/>
              <w:jc w:val="center"/>
              <w:rPr>
                <w:b/>
                <w:szCs w:val="20"/>
              </w:rPr>
            </w:pPr>
            <w:r>
              <w:rPr>
                <w:b/>
                <w:szCs w:val="20"/>
              </w:rPr>
              <w:t>Anti-B</w:t>
            </w:r>
          </w:p>
        </w:tc>
        <w:tc>
          <w:tcPr>
            <w:tcW w:w="1434" w:type="dxa"/>
            <w:shd w:val="clear" w:color="auto" w:fill="B3B3B3"/>
          </w:tcPr>
          <w:p w14:paraId="62E684E7" w14:textId="77777777" w:rsidR="004A6408" w:rsidRPr="00C3237D" w:rsidRDefault="004A6408" w:rsidP="000D14B2">
            <w:pPr>
              <w:pStyle w:val="TableText"/>
              <w:jc w:val="center"/>
              <w:rPr>
                <w:b/>
                <w:szCs w:val="20"/>
              </w:rPr>
            </w:pPr>
            <w:r>
              <w:rPr>
                <w:b/>
                <w:szCs w:val="20"/>
              </w:rPr>
              <w:t>Anti-A,B</w:t>
            </w:r>
          </w:p>
        </w:tc>
        <w:tc>
          <w:tcPr>
            <w:tcW w:w="1434" w:type="dxa"/>
            <w:shd w:val="clear" w:color="auto" w:fill="B3B3B3"/>
          </w:tcPr>
          <w:p w14:paraId="4085798B" w14:textId="77777777" w:rsidR="004A6408" w:rsidRPr="00C3237D" w:rsidRDefault="004A6408" w:rsidP="000D14B2">
            <w:pPr>
              <w:pStyle w:val="TableText"/>
              <w:jc w:val="center"/>
              <w:rPr>
                <w:b/>
                <w:szCs w:val="20"/>
              </w:rPr>
            </w:pPr>
            <w:r>
              <w:rPr>
                <w:b/>
                <w:szCs w:val="20"/>
              </w:rPr>
              <w:t>Anti-D</w:t>
            </w:r>
          </w:p>
        </w:tc>
        <w:tc>
          <w:tcPr>
            <w:tcW w:w="1441" w:type="dxa"/>
            <w:shd w:val="clear" w:color="auto" w:fill="B3B3B3"/>
          </w:tcPr>
          <w:p w14:paraId="5B94AB5A" w14:textId="77777777" w:rsidR="004A6408" w:rsidRPr="00C3237D" w:rsidRDefault="004A6408" w:rsidP="000D14B2">
            <w:pPr>
              <w:pStyle w:val="TableText"/>
              <w:jc w:val="center"/>
              <w:rPr>
                <w:b/>
                <w:szCs w:val="20"/>
              </w:rPr>
            </w:pPr>
            <w:r>
              <w:rPr>
                <w:b/>
                <w:szCs w:val="20"/>
              </w:rPr>
              <w:t>Rh Control</w:t>
            </w:r>
          </w:p>
        </w:tc>
        <w:tc>
          <w:tcPr>
            <w:tcW w:w="1433" w:type="dxa"/>
            <w:shd w:val="clear" w:color="auto" w:fill="B3B3B3"/>
          </w:tcPr>
          <w:p w14:paraId="717E7E13" w14:textId="77777777" w:rsidR="004A6408" w:rsidRPr="00C3237D" w:rsidRDefault="004A6408" w:rsidP="000D14B2">
            <w:pPr>
              <w:pStyle w:val="TableText"/>
              <w:jc w:val="center"/>
              <w:rPr>
                <w:b/>
                <w:szCs w:val="20"/>
              </w:rPr>
            </w:pPr>
            <w:r>
              <w:rPr>
                <w:b/>
                <w:szCs w:val="20"/>
              </w:rPr>
              <w:t>A1 Cell</w:t>
            </w:r>
          </w:p>
        </w:tc>
        <w:tc>
          <w:tcPr>
            <w:tcW w:w="1433" w:type="dxa"/>
            <w:shd w:val="clear" w:color="auto" w:fill="B3B3B3"/>
          </w:tcPr>
          <w:p w14:paraId="1CB78BB3" w14:textId="77777777" w:rsidR="004A6408" w:rsidRPr="00C3237D" w:rsidRDefault="004A6408" w:rsidP="000D14B2">
            <w:pPr>
              <w:pStyle w:val="TableText"/>
              <w:jc w:val="center"/>
              <w:rPr>
                <w:b/>
                <w:szCs w:val="20"/>
              </w:rPr>
            </w:pPr>
            <w:r>
              <w:rPr>
                <w:b/>
                <w:szCs w:val="20"/>
              </w:rPr>
              <w:t>B Cell</w:t>
            </w:r>
          </w:p>
        </w:tc>
        <w:tc>
          <w:tcPr>
            <w:tcW w:w="1452" w:type="dxa"/>
            <w:vMerge/>
          </w:tcPr>
          <w:p w14:paraId="487721FA" w14:textId="77777777" w:rsidR="004A6408" w:rsidRDefault="004A6408" w:rsidP="00A95965">
            <w:pPr>
              <w:pStyle w:val="TableText"/>
              <w:rPr>
                <w:szCs w:val="20"/>
              </w:rPr>
            </w:pPr>
          </w:p>
        </w:tc>
      </w:tr>
      <w:tr w:rsidR="00041C69" w14:paraId="7054D68E" w14:textId="77777777">
        <w:tblPrEx>
          <w:shd w:val="clear" w:color="auto" w:fill="auto"/>
        </w:tblPrEx>
        <w:trPr>
          <w:cantSplit/>
          <w:trHeight w:val="432"/>
        </w:trPr>
        <w:tc>
          <w:tcPr>
            <w:tcW w:w="1455" w:type="dxa"/>
            <w:noWrap/>
          </w:tcPr>
          <w:p w14:paraId="6B1C4A9C" w14:textId="77777777" w:rsidR="00041C69" w:rsidRDefault="00041C69" w:rsidP="00A95965">
            <w:pPr>
              <w:pStyle w:val="TableText"/>
              <w:rPr>
                <w:szCs w:val="20"/>
              </w:rPr>
            </w:pPr>
          </w:p>
        </w:tc>
        <w:tc>
          <w:tcPr>
            <w:tcW w:w="1443" w:type="dxa"/>
            <w:gridSpan w:val="2"/>
          </w:tcPr>
          <w:p w14:paraId="37672C2C" w14:textId="77777777" w:rsidR="00041C69" w:rsidRDefault="00041C69" w:rsidP="00A95965">
            <w:pPr>
              <w:pStyle w:val="TableText"/>
              <w:rPr>
                <w:szCs w:val="20"/>
              </w:rPr>
            </w:pPr>
          </w:p>
        </w:tc>
        <w:tc>
          <w:tcPr>
            <w:tcW w:w="1435" w:type="dxa"/>
            <w:gridSpan w:val="2"/>
          </w:tcPr>
          <w:p w14:paraId="0C16643C" w14:textId="77777777" w:rsidR="00041C69" w:rsidRDefault="00041C69" w:rsidP="00A95965">
            <w:pPr>
              <w:pStyle w:val="TableText"/>
              <w:rPr>
                <w:szCs w:val="20"/>
              </w:rPr>
            </w:pPr>
          </w:p>
        </w:tc>
        <w:tc>
          <w:tcPr>
            <w:tcW w:w="1434" w:type="dxa"/>
          </w:tcPr>
          <w:p w14:paraId="521019E1" w14:textId="77777777" w:rsidR="00041C69" w:rsidRDefault="00041C69" w:rsidP="00A95965">
            <w:pPr>
              <w:pStyle w:val="TableText"/>
              <w:rPr>
                <w:szCs w:val="20"/>
              </w:rPr>
            </w:pPr>
          </w:p>
        </w:tc>
        <w:tc>
          <w:tcPr>
            <w:tcW w:w="1434" w:type="dxa"/>
          </w:tcPr>
          <w:p w14:paraId="4EBD9C89" w14:textId="77777777" w:rsidR="00041C69" w:rsidRDefault="00041C69" w:rsidP="00A95965">
            <w:pPr>
              <w:pStyle w:val="TableText"/>
              <w:rPr>
                <w:szCs w:val="20"/>
              </w:rPr>
            </w:pPr>
          </w:p>
        </w:tc>
        <w:tc>
          <w:tcPr>
            <w:tcW w:w="1441" w:type="dxa"/>
          </w:tcPr>
          <w:p w14:paraId="5B2B1EC4" w14:textId="77777777" w:rsidR="00041C69" w:rsidRDefault="00041C69" w:rsidP="00A95965">
            <w:pPr>
              <w:pStyle w:val="TableText"/>
              <w:rPr>
                <w:szCs w:val="20"/>
              </w:rPr>
            </w:pPr>
          </w:p>
        </w:tc>
        <w:tc>
          <w:tcPr>
            <w:tcW w:w="1433" w:type="dxa"/>
          </w:tcPr>
          <w:p w14:paraId="20482DBB" w14:textId="77777777" w:rsidR="00041C69" w:rsidRDefault="00041C69" w:rsidP="00A95965">
            <w:pPr>
              <w:pStyle w:val="TableText"/>
              <w:rPr>
                <w:szCs w:val="20"/>
              </w:rPr>
            </w:pPr>
          </w:p>
        </w:tc>
        <w:tc>
          <w:tcPr>
            <w:tcW w:w="1433" w:type="dxa"/>
          </w:tcPr>
          <w:p w14:paraId="0C0F2153" w14:textId="77777777" w:rsidR="00041C69" w:rsidRDefault="00041C69" w:rsidP="00A95965">
            <w:pPr>
              <w:pStyle w:val="TableText"/>
              <w:rPr>
                <w:szCs w:val="20"/>
              </w:rPr>
            </w:pPr>
          </w:p>
        </w:tc>
        <w:tc>
          <w:tcPr>
            <w:tcW w:w="1452" w:type="dxa"/>
          </w:tcPr>
          <w:p w14:paraId="3B7E1E15" w14:textId="77777777" w:rsidR="00041C69" w:rsidRDefault="00041C69" w:rsidP="00A95965">
            <w:pPr>
              <w:pStyle w:val="TableText"/>
              <w:rPr>
                <w:szCs w:val="20"/>
              </w:rPr>
            </w:pPr>
          </w:p>
        </w:tc>
      </w:tr>
      <w:tr w:rsidR="00041C69" w14:paraId="5958216A" w14:textId="77777777">
        <w:tblPrEx>
          <w:shd w:val="clear" w:color="auto" w:fill="auto"/>
        </w:tblPrEx>
        <w:trPr>
          <w:cantSplit/>
          <w:trHeight w:val="432"/>
        </w:trPr>
        <w:tc>
          <w:tcPr>
            <w:tcW w:w="1455" w:type="dxa"/>
            <w:noWrap/>
          </w:tcPr>
          <w:p w14:paraId="01B7F801" w14:textId="77777777" w:rsidR="00041C69" w:rsidRDefault="00041C69" w:rsidP="00A95965">
            <w:pPr>
              <w:pStyle w:val="TableText"/>
              <w:rPr>
                <w:szCs w:val="20"/>
              </w:rPr>
            </w:pPr>
          </w:p>
        </w:tc>
        <w:tc>
          <w:tcPr>
            <w:tcW w:w="1443" w:type="dxa"/>
            <w:gridSpan w:val="2"/>
          </w:tcPr>
          <w:p w14:paraId="09B1FFEE" w14:textId="77777777" w:rsidR="00041C69" w:rsidRDefault="00041C69" w:rsidP="00A95965">
            <w:pPr>
              <w:pStyle w:val="TableText"/>
              <w:rPr>
                <w:szCs w:val="20"/>
              </w:rPr>
            </w:pPr>
          </w:p>
        </w:tc>
        <w:tc>
          <w:tcPr>
            <w:tcW w:w="1435" w:type="dxa"/>
            <w:gridSpan w:val="2"/>
          </w:tcPr>
          <w:p w14:paraId="0CB3FE78" w14:textId="77777777" w:rsidR="00041C69" w:rsidRDefault="00041C69" w:rsidP="00A95965">
            <w:pPr>
              <w:pStyle w:val="TableText"/>
              <w:rPr>
                <w:szCs w:val="20"/>
              </w:rPr>
            </w:pPr>
          </w:p>
        </w:tc>
        <w:tc>
          <w:tcPr>
            <w:tcW w:w="1434" w:type="dxa"/>
          </w:tcPr>
          <w:p w14:paraId="7036041E" w14:textId="77777777" w:rsidR="00041C69" w:rsidRDefault="00041C69" w:rsidP="00A95965">
            <w:pPr>
              <w:pStyle w:val="TableText"/>
              <w:rPr>
                <w:szCs w:val="20"/>
              </w:rPr>
            </w:pPr>
          </w:p>
        </w:tc>
        <w:tc>
          <w:tcPr>
            <w:tcW w:w="1434" w:type="dxa"/>
          </w:tcPr>
          <w:p w14:paraId="6348EF3B" w14:textId="77777777" w:rsidR="00041C69" w:rsidRDefault="00041C69" w:rsidP="00A95965">
            <w:pPr>
              <w:pStyle w:val="TableText"/>
              <w:rPr>
                <w:szCs w:val="20"/>
              </w:rPr>
            </w:pPr>
          </w:p>
        </w:tc>
        <w:tc>
          <w:tcPr>
            <w:tcW w:w="1441" w:type="dxa"/>
          </w:tcPr>
          <w:p w14:paraId="000E98CF" w14:textId="77777777" w:rsidR="00041C69" w:rsidRDefault="00041C69" w:rsidP="00A95965">
            <w:pPr>
              <w:pStyle w:val="TableText"/>
              <w:rPr>
                <w:szCs w:val="20"/>
              </w:rPr>
            </w:pPr>
          </w:p>
        </w:tc>
        <w:tc>
          <w:tcPr>
            <w:tcW w:w="1433" w:type="dxa"/>
          </w:tcPr>
          <w:p w14:paraId="4B08DFAA" w14:textId="77777777" w:rsidR="00041C69" w:rsidRDefault="00041C69" w:rsidP="00A95965">
            <w:pPr>
              <w:pStyle w:val="TableText"/>
              <w:rPr>
                <w:szCs w:val="20"/>
              </w:rPr>
            </w:pPr>
          </w:p>
        </w:tc>
        <w:tc>
          <w:tcPr>
            <w:tcW w:w="1433" w:type="dxa"/>
          </w:tcPr>
          <w:p w14:paraId="2E796BE1" w14:textId="77777777" w:rsidR="00041C69" w:rsidRDefault="00041C69" w:rsidP="00A95965">
            <w:pPr>
              <w:pStyle w:val="TableText"/>
              <w:rPr>
                <w:szCs w:val="20"/>
              </w:rPr>
            </w:pPr>
          </w:p>
        </w:tc>
        <w:tc>
          <w:tcPr>
            <w:tcW w:w="1452" w:type="dxa"/>
          </w:tcPr>
          <w:p w14:paraId="032C662B" w14:textId="77777777" w:rsidR="00041C69" w:rsidRDefault="00041C69" w:rsidP="00A95965">
            <w:pPr>
              <w:pStyle w:val="TableText"/>
              <w:rPr>
                <w:szCs w:val="20"/>
              </w:rPr>
            </w:pPr>
          </w:p>
        </w:tc>
      </w:tr>
    </w:tbl>
    <w:p w14:paraId="2506B647" w14:textId="77777777" w:rsidR="00140686" w:rsidRDefault="00140686" w:rsidP="00DD75E5">
      <w:pPr>
        <w:pStyle w:val="BodyText"/>
      </w:pPr>
    </w:p>
    <w:p w14:paraId="0D8B9950" w14:textId="77777777" w:rsidR="003F3F74" w:rsidRDefault="00140686" w:rsidP="00DD75E5">
      <w:pPr>
        <w:pStyle w:val="BodyText"/>
      </w:pPr>
      <w:r>
        <w:br w:type="page"/>
      </w: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746"/>
        <w:gridCol w:w="641"/>
        <w:gridCol w:w="686"/>
        <w:gridCol w:w="643"/>
        <w:gridCol w:w="681"/>
        <w:gridCol w:w="641"/>
        <w:gridCol w:w="650"/>
        <w:gridCol w:w="639"/>
        <w:gridCol w:w="681"/>
        <w:gridCol w:w="641"/>
        <w:gridCol w:w="650"/>
        <w:gridCol w:w="641"/>
        <w:gridCol w:w="681"/>
        <w:gridCol w:w="641"/>
        <w:gridCol w:w="650"/>
        <w:gridCol w:w="639"/>
        <w:gridCol w:w="2409"/>
      </w:tblGrid>
      <w:tr w:rsidR="004A6408" w14:paraId="77AF8675" w14:textId="77777777">
        <w:trPr>
          <w:cantSplit/>
          <w:trHeight w:val="230"/>
          <w:tblHeader/>
        </w:trPr>
        <w:tc>
          <w:tcPr>
            <w:tcW w:w="12888" w:type="dxa"/>
            <w:gridSpan w:val="17"/>
            <w:shd w:val="clear" w:color="auto" w:fill="B3B3B3"/>
            <w:noWrap/>
          </w:tcPr>
          <w:p w14:paraId="3F854B88" w14:textId="77777777" w:rsidR="004A6408" w:rsidRPr="006A7FD3" w:rsidRDefault="004A6408" w:rsidP="00FC4396">
            <w:pPr>
              <w:pStyle w:val="TableText"/>
              <w:rPr>
                <w:b/>
                <w:szCs w:val="20"/>
              </w:rPr>
            </w:pPr>
            <w:r>
              <w:rPr>
                <w:b/>
                <w:szCs w:val="20"/>
              </w:rPr>
              <w:t>Antibody Screening</w:t>
            </w:r>
          </w:p>
        </w:tc>
      </w:tr>
      <w:tr w:rsidR="004A6408" w14:paraId="0E4DD13E" w14:textId="77777777">
        <w:tblPrEx>
          <w:shd w:val="clear" w:color="auto" w:fill="auto"/>
        </w:tblPrEx>
        <w:trPr>
          <w:cantSplit/>
          <w:trHeight w:val="230"/>
          <w:tblHeader/>
        </w:trPr>
        <w:tc>
          <w:tcPr>
            <w:tcW w:w="2704" w:type="dxa"/>
            <w:gridSpan w:val="4"/>
            <w:tcBorders>
              <w:top w:val="single" w:sz="2" w:space="0" w:color="auto"/>
              <w:left w:val="single" w:sz="2" w:space="0" w:color="auto"/>
              <w:bottom w:val="single" w:sz="2" w:space="0" w:color="auto"/>
              <w:right w:val="single" w:sz="2" w:space="0" w:color="auto"/>
            </w:tcBorders>
            <w:shd w:val="clear" w:color="auto" w:fill="B3B3B3"/>
            <w:noWrap/>
          </w:tcPr>
          <w:p w14:paraId="23C61F7B" w14:textId="77777777" w:rsidR="004A6408" w:rsidRPr="006A7FD3" w:rsidRDefault="004A6408" w:rsidP="00FC4396">
            <w:pPr>
              <w:pStyle w:val="TableText"/>
              <w:rPr>
                <w:b/>
                <w:szCs w:val="20"/>
              </w:rPr>
            </w:pPr>
            <w:r>
              <w:rPr>
                <w:b/>
                <w:szCs w:val="20"/>
              </w:rPr>
              <w:t>Screen Cell 1</w:t>
            </w:r>
          </w:p>
        </w:tc>
        <w:tc>
          <w:tcPr>
            <w:tcW w:w="2596" w:type="dxa"/>
            <w:gridSpan w:val="4"/>
            <w:tcBorders>
              <w:top w:val="single" w:sz="2" w:space="0" w:color="auto"/>
              <w:left w:val="single" w:sz="2" w:space="0" w:color="auto"/>
              <w:bottom w:val="single" w:sz="2" w:space="0" w:color="auto"/>
              <w:right w:val="single" w:sz="2" w:space="0" w:color="auto"/>
            </w:tcBorders>
            <w:shd w:val="clear" w:color="auto" w:fill="B3B3B3"/>
          </w:tcPr>
          <w:p w14:paraId="02B27799" w14:textId="77777777" w:rsidR="004A6408" w:rsidRPr="006A7FD3" w:rsidRDefault="004A6408" w:rsidP="00FC4396">
            <w:pPr>
              <w:pStyle w:val="TableText"/>
              <w:rPr>
                <w:b/>
                <w:szCs w:val="20"/>
              </w:rPr>
            </w:pPr>
            <w:r>
              <w:rPr>
                <w:b/>
                <w:szCs w:val="20"/>
              </w:rPr>
              <w:t>Screen Cell 2</w:t>
            </w:r>
          </w:p>
        </w:tc>
        <w:tc>
          <w:tcPr>
            <w:tcW w:w="2597" w:type="dxa"/>
            <w:gridSpan w:val="4"/>
            <w:tcBorders>
              <w:top w:val="single" w:sz="2" w:space="0" w:color="auto"/>
              <w:left w:val="single" w:sz="2" w:space="0" w:color="auto"/>
              <w:bottom w:val="single" w:sz="2" w:space="0" w:color="auto"/>
              <w:right w:val="single" w:sz="2" w:space="0" w:color="auto"/>
            </w:tcBorders>
            <w:shd w:val="clear" w:color="auto" w:fill="B3B3B3"/>
          </w:tcPr>
          <w:p w14:paraId="13A2C7C1" w14:textId="77777777" w:rsidR="004A6408" w:rsidRPr="006A7FD3" w:rsidRDefault="004A6408" w:rsidP="00FC4396">
            <w:pPr>
              <w:pStyle w:val="TableText"/>
              <w:rPr>
                <w:b/>
                <w:szCs w:val="20"/>
              </w:rPr>
            </w:pPr>
            <w:r>
              <w:rPr>
                <w:b/>
                <w:szCs w:val="20"/>
              </w:rPr>
              <w:t>Screen Cell 3</w:t>
            </w:r>
          </w:p>
        </w:tc>
        <w:tc>
          <w:tcPr>
            <w:tcW w:w="2595" w:type="dxa"/>
            <w:gridSpan w:val="4"/>
            <w:tcBorders>
              <w:top w:val="single" w:sz="2" w:space="0" w:color="auto"/>
              <w:left w:val="single" w:sz="2" w:space="0" w:color="auto"/>
              <w:bottom w:val="single" w:sz="2" w:space="0" w:color="auto"/>
              <w:right w:val="single" w:sz="2" w:space="0" w:color="auto"/>
            </w:tcBorders>
            <w:shd w:val="clear" w:color="auto" w:fill="B3B3B3"/>
          </w:tcPr>
          <w:p w14:paraId="66D6002B" w14:textId="77777777" w:rsidR="004A6408" w:rsidRPr="006A7FD3" w:rsidRDefault="004A6408" w:rsidP="00FC4396">
            <w:pPr>
              <w:pStyle w:val="TableText"/>
              <w:rPr>
                <w:b/>
                <w:szCs w:val="20"/>
              </w:rPr>
            </w:pPr>
            <w:r>
              <w:rPr>
                <w:b/>
                <w:szCs w:val="20"/>
              </w:rPr>
              <w:t>Screen Cell 4</w:t>
            </w:r>
          </w:p>
        </w:tc>
        <w:tc>
          <w:tcPr>
            <w:tcW w:w="2396" w:type="dxa"/>
            <w:vMerge w:val="restart"/>
            <w:tcBorders>
              <w:top w:val="single" w:sz="2" w:space="0" w:color="auto"/>
              <w:left w:val="single" w:sz="2" w:space="0" w:color="auto"/>
              <w:right w:val="single" w:sz="2" w:space="0" w:color="auto"/>
            </w:tcBorders>
            <w:shd w:val="clear" w:color="auto" w:fill="B3B3B3"/>
          </w:tcPr>
          <w:p w14:paraId="3AD16649" w14:textId="77777777" w:rsidR="004A6408" w:rsidRPr="006A7FD3" w:rsidRDefault="004A6408" w:rsidP="00FC4396">
            <w:pPr>
              <w:pStyle w:val="TableText"/>
              <w:rPr>
                <w:b/>
                <w:szCs w:val="20"/>
              </w:rPr>
            </w:pPr>
            <w:r>
              <w:rPr>
                <w:b/>
                <w:szCs w:val="20"/>
              </w:rPr>
              <w:t>Screen Interpretation</w:t>
            </w:r>
          </w:p>
        </w:tc>
      </w:tr>
      <w:tr w:rsidR="004A6408" w14:paraId="20F9E86A" w14:textId="77777777">
        <w:tblPrEx>
          <w:shd w:val="clear" w:color="auto" w:fill="auto"/>
        </w:tblPrEx>
        <w:trPr>
          <w:cantSplit/>
          <w:trHeight w:val="230"/>
          <w:tblHeader/>
        </w:trPr>
        <w:tc>
          <w:tcPr>
            <w:tcW w:w="743" w:type="dxa"/>
            <w:shd w:val="clear" w:color="auto" w:fill="B3B3B3"/>
            <w:noWrap/>
          </w:tcPr>
          <w:p w14:paraId="5A60FF61" w14:textId="77777777" w:rsidR="004A6408" w:rsidRPr="006A7FD3" w:rsidRDefault="004A6408" w:rsidP="00FC4396">
            <w:pPr>
              <w:pStyle w:val="TableText"/>
              <w:jc w:val="both"/>
              <w:rPr>
                <w:b/>
                <w:szCs w:val="20"/>
              </w:rPr>
            </w:pPr>
            <w:r w:rsidRPr="006A7FD3">
              <w:rPr>
                <w:b/>
                <w:szCs w:val="20"/>
              </w:rPr>
              <w:t>RT/IS</w:t>
            </w:r>
            <w:r>
              <w:rPr>
                <w:rStyle w:val="FootnoteReference"/>
                <w:b/>
                <w:szCs w:val="20"/>
              </w:rPr>
              <w:footnoteReference w:id="4"/>
            </w:r>
          </w:p>
        </w:tc>
        <w:tc>
          <w:tcPr>
            <w:tcW w:w="638" w:type="dxa"/>
            <w:shd w:val="clear" w:color="auto" w:fill="B3B3B3"/>
          </w:tcPr>
          <w:p w14:paraId="56320D7F"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83" w:type="dxa"/>
            <w:shd w:val="clear" w:color="auto" w:fill="B3B3B3"/>
          </w:tcPr>
          <w:p w14:paraId="593C9222" w14:textId="77777777" w:rsidR="004A6408" w:rsidRPr="006A7FD3" w:rsidRDefault="004A6408" w:rsidP="00FC4396">
            <w:pPr>
              <w:pStyle w:val="TableText"/>
              <w:jc w:val="both"/>
              <w:rPr>
                <w:b/>
                <w:szCs w:val="20"/>
              </w:rPr>
            </w:pPr>
            <w:r w:rsidRPr="006A7FD3">
              <w:rPr>
                <w:b/>
                <w:szCs w:val="20"/>
              </w:rPr>
              <w:t>AHG</w:t>
            </w:r>
            <w:r>
              <w:rPr>
                <w:rStyle w:val="FootnoteReference"/>
                <w:b/>
                <w:szCs w:val="20"/>
              </w:rPr>
              <w:footnoteReference w:id="5"/>
            </w:r>
          </w:p>
        </w:tc>
        <w:tc>
          <w:tcPr>
            <w:tcW w:w="640" w:type="dxa"/>
            <w:shd w:val="clear" w:color="auto" w:fill="B3B3B3"/>
          </w:tcPr>
          <w:p w14:paraId="03BF09C2" w14:textId="77777777" w:rsidR="004A6408" w:rsidRPr="006A7FD3" w:rsidRDefault="004A6408" w:rsidP="00FC4396">
            <w:pPr>
              <w:pStyle w:val="TableText"/>
              <w:jc w:val="both"/>
              <w:rPr>
                <w:b/>
                <w:szCs w:val="20"/>
              </w:rPr>
            </w:pPr>
            <w:r w:rsidRPr="006A7FD3">
              <w:rPr>
                <w:b/>
                <w:szCs w:val="20"/>
              </w:rPr>
              <w:t>CC</w:t>
            </w:r>
            <w:r>
              <w:rPr>
                <w:rStyle w:val="FootnoteReference"/>
                <w:b/>
                <w:szCs w:val="20"/>
              </w:rPr>
              <w:footnoteReference w:id="6"/>
            </w:r>
          </w:p>
        </w:tc>
        <w:tc>
          <w:tcPr>
            <w:tcW w:w="678" w:type="dxa"/>
            <w:shd w:val="clear" w:color="auto" w:fill="B3B3B3"/>
          </w:tcPr>
          <w:p w14:paraId="52E5FE10"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5C509A8E"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B462543" w14:textId="77777777" w:rsidR="004A6408" w:rsidRPr="006A7FD3" w:rsidRDefault="004A6408" w:rsidP="00FC4396">
            <w:pPr>
              <w:pStyle w:val="TableText"/>
              <w:jc w:val="both"/>
              <w:rPr>
                <w:b/>
                <w:szCs w:val="20"/>
              </w:rPr>
            </w:pPr>
            <w:r w:rsidRPr="006A7FD3">
              <w:rPr>
                <w:b/>
                <w:szCs w:val="20"/>
              </w:rPr>
              <w:t>AHG</w:t>
            </w:r>
          </w:p>
        </w:tc>
        <w:tc>
          <w:tcPr>
            <w:tcW w:w="635" w:type="dxa"/>
            <w:shd w:val="clear" w:color="auto" w:fill="B3B3B3"/>
          </w:tcPr>
          <w:p w14:paraId="6D102F7D" w14:textId="77777777" w:rsidR="004A6408" w:rsidRPr="006A7FD3" w:rsidRDefault="004A6408" w:rsidP="00FC4396">
            <w:pPr>
              <w:pStyle w:val="TableText"/>
              <w:jc w:val="both"/>
              <w:rPr>
                <w:b/>
                <w:szCs w:val="20"/>
              </w:rPr>
            </w:pPr>
            <w:r w:rsidRPr="006A7FD3">
              <w:rPr>
                <w:b/>
                <w:szCs w:val="20"/>
              </w:rPr>
              <w:t>CC</w:t>
            </w:r>
          </w:p>
        </w:tc>
        <w:tc>
          <w:tcPr>
            <w:tcW w:w="677" w:type="dxa"/>
            <w:shd w:val="clear" w:color="auto" w:fill="B3B3B3"/>
          </w:tcPr>
          <w:p w14:paraId="20FAB870"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4D825510"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C061F61" w14:textId="77777777" w:rsidR="004A6408" w:rsidRPr="006A7FD3" w:rsidRDefault="004A6408" w:rsidP="00FC4396">
            <w:pPr>
              <w:pStyle w:val="TableText"/>
              <w:jc w:val="both"/>
              <w:rPr>
                <w:b/>
                <w:szCs w:val="20"/>
              </w:rPr>
            </w:pPr>
            <w:r w:rsidRPr="006A7FD3">
              <w:rPr>
                <w:b/>
                <w:szCs w:val="20"/>
              </w:rPr>
              <w:t>AHG</w:t>
            </w:r>
          </w:p>
        </w:tc>
        <w:tc>
          <w:tcPr>
            <w:tcW w:w="637" w:type="dxa"/>
            <w:shd w:val="clear" w:color="auto" w:fill="B3B3B3"/>
          </w:tcPr>
          <w:p w14:paraId="31EE9A8A" w14:textId="77777777" w:rsidR="004A6408" w:rsidRPr="006A7FD3" w:rsidRDefault="004A6408" w:rsidP="00FC4396">
            <w:pPr>
              <w:pStyle w:val="TableText"/>
              <w:jc w:val="both"/>
              <w:rPr>
                <w:b/>
                <w:szCs w:val="20"/>
              </w:rPr>
            </w:pPr>
            <w:r w:rsidRPr="006A7FD3">
              <w:rPr>
                <w:b/>
                <w:szCs w:val="20"/>
              </w:rPr>
              <w:t>CC</w:t>
            </w:r>
          </w:p>
        </w:tc>
        <w:tc>
          <w:tcPr>
            <w:tcW w:w="677" w:type="dxa"/>
            <w:shd w:val="clear" w:color="auto" w:fill="B3B3B3"/>
          </w:tcPr>
          <w:p w14:paraId="29AB72DB" w14:textId="77777777" w:rsidR="004A6408" w:rsidRPr="006A7FD3" w:rsidRDefault="004A6408" w:rsidP="00FC4396">
            <w:pPr>
              <w:pStyle w:val="TableText"/>
              <w:jc w:val="both"/>
              <w:rPr>
                <w:b/>
                <w:szCs w:val="20"/>
              </w:rPr>
            </w:pPr>
            <w:r w:rsidRPr="006A7FD3">
              <w:rPr>
                <w:b/>
                <w:szCs w:val="20"/>
              </w:rPr>
              <w:t>RT/IS</w:t>
            </w:r>
          </w:p>
        </w:tc>
        <w:tc>
          <w:tcPr>
            <w:tcW w:w="637" w:type="dxa"/>
            <w:shd w:val="clear" w:color="auto" w:fill="B3B3B3"/>
          </w:tcPr>
          <w:p w14:paraId="3162036B" w14:textId="77777777" w:rsidR="004A6408" w:rsidRPr="006A7FD3" w:rsidRDefault="004A6408" w:rsidP="00FC4396">
            <w:pPr>
              <w:pStyle w:val="TableText"/>
              <w:jc w:val="both"/>
              <w:rPr>
                <w:b/>
                <w:szCs w:val="20"/>
              </w:rPr>
            </w:pPr>
            <w:r w:rsidRPr="006A7FD3">
              <w:rPr>
                <w:b/>
                <w:szCs w:val="20"/>
              </w:rPr>
              <w:t>37</w:t>
            </w:r>
            <w:r w:rsidRPr="006A7FD3">
              <w:rPr>
                <w:rFonts w:cs="Arial"/>
                <w:b/>
                <w:szCs w:val="20"/>
              </w:rPr>
              <w:t>°</w:t>
            </w:r>
          </w:p>
        </w:tc>
        <w:tc>
          <w:tcPr>
            <w:tcW w:w="646" w:type="dxa"/>
            <w:shd w:val="clear" w:color="auto" w:fill="B3B3B3"/>
          </w:tcPr>
          <w:p w14:paraId="1829DAC4" w14:textId="77777777" w:rsidR="004A6408" w:rsidRPr="006A7FD3" w:rsidRDefault="004A6408" w:rsidP="00FC4396">
            <w:pPr>
              <w:pStyle w:val="TableText"/>
              <w:jc w:val="both"/>
              <w:rPr>
                <w:b/>
                <w:szCs w:val="20"/>
              </w:rPr>
            </w:pPr>
            <w:r w:rsidRPr="006A7FD3">
              <w:rPr>
                <w:b/>
                <w:szCs w:val="20"/>
              </w:rPr>
              <w:t>AHG</w:t>
            </w:r>
          </w:p>
        </w:tc>
        <w:tc>
          <w:tcPr>
            <w:tcW w:w="635" w:type="dxa"/>
            <w:tcBorders>
              <w:right w:val="single" w:sz="2" w:space="0" w:color="auto"/>
            </w:tcBorders>
            <w:shd w:val="clear" w:color="auto" w:fill="B3B3B3"/>
          </w:tcPr>
          <w:p w14:paraId="18BA6234" w14:textId="77777777" w:rsidR="004A6408" w:rsidRPr="006A7FD3" w:rsidRDefault="004A6408" w:rsidP="00FC4396">
            <w:pPr>
              <w:pStyle w:val="TableText"/>
              <w:jc w:val="both"/>
              <w:rPr>
                <w:b/>
                <w:szCs w:val="20"/>
              </w:rPr>
            </w:pPr>
            <w:r w:rsidRPr="006A7FD3">
              <w:rPr>
                <w:b/>
                <w:szCs w:val="20"/>
              </w:rPr>
              <w:t>CC</w:t>
            </w:r>
          </w:p>
        </w:tc>
        <w:tc>
          <w:tcPr>
            <w:tcW w:w="2396" w:type="dxa"/>
            <w:vMerge/>
            <w:tcBorders>
              <w:left w:val="single" w:sz="2" w:space="0" w:color="auto"/>
              <w:right w:val="single" w:sz="2" w:space="0" w:color="auto"/>
            </w:tcBorders>
          </w:tcPr>
          <w:p w14:paraId="415625EE" w14:textId="77777777" w:rsidR="004A6408" w:rsidRPr="006A7FD3" w:rsidRDefault="004A6408" w:rsidP="00FC4396">
            <w:pPr>
              <w:pStyle w:val="TableText"/>
              <w:jc w:val="both"/>
              <w:rPr>
                <w:b/>
                <w:szCs w:val="20"/>
              </w:rPr>
            </w:pPr>
          </w:p>
        </w:tc>
      </w:tr>
      <w:tr w:rsidR="004A6408" w14:paraId="172CE6F9" w14:textId="77777777">
        <w:tblPrEx>
          <w:shd w:val="clear" w:color="auto" w:fill="auto"/>
        </w:tblPrEx>
        <w:trPr>
          <w:cantSplit/>
          <w:trHeight w:val="432"/>
        </w:trPr>
        <w:tc>
          <w:tcPr>
            <w:tcW w:w="743" w:type="dxa"/>
            <w:noWrap/>
          </w:tcPr>
          <w:p w14:paraId="2E55F2E4" w14:textId="77777777" w:rsidR="004A6408" w:rsidRDefault="004A6408" w:rsidP="00A95965">
            <w:pPr>
              <w:pStyle w:val="TableText"/>
              <w:rPr>
                <w:szCs w:val="20"/>
              </w:rPr>
            </w:pPr>
          </w:p>
        </w:tc>
        <w:tc>
          <w:tcPr>
            <w:tcW w:w="638" w:type="dxa"/>
          </w:tcPr>
          <w:p w14:paraId="3253DA23" w14:textId="77777777" w:rsidR="004A6408" w:rsidRDefault="004A6408" w:rsidP="00A95965">
            <w:pPr>
              <w:pStyle w:val="TableText"/>
              <w:rPr>
                <w:szCs w:val="20"/>
              </w:rPr>
            </w:pPr>
          </w:p>
        </w:tc>
        <w:tc>
          <w:tcPr>
            <w:tcW w:w="683" w:type="dxa"/>
          </w:tcPr>
          <w:p w14:paraId="55E44B3A" w14:textId="77777777" w:rsidR="004A6408" w:rsidRDefault="004A6408" w:rsidP="00A95965">
            <w:pPr>
              <w:pStyle w:val="TableText"/>
              <w:rPr>
                <w:szCs w:val="20"/>
              </w:rPr>
            </w:pPr>
          </w:p>
        </w:tc>
        <w:tc>
          <w:tcPr>
            <w:tcW w:w="640" w:type="dxa"/>
          </w:tcPr>
          <w:p w14:paraId="3226DA18" w14:textId="77777777" w:rsidR="004A6408" w:rsidRDefault="004A6408" w:rsidP="00A95965">
            <w:pPr>
              <w:pStyle w:val="TableText"/>
              <w:rPr>
                <w:szCs w:val="20"/>
              </w:rPr>
            </w:pPr>
          </w:p>
        </w:tc>
        <w:tc>
          <w:tcPr>
            <w:tcW w:w="678" w:type="dxa"/>
          </w:tcPr>
          <w:p w14:paraId="1789A563" w14:textId="77777777" w:rsidR="004A6408" w:rsidRDefault="004A6408" w:rsidP="00A95965">
            <w:pPr>
              <w:pStyle w:val="TableText"/>
              <w:rPr>
                <w:szCs w:val="20"/>
              </w:rPr>
            </w:pPr>
          </w:p>
        </w:tc>
        <w:tc>
          <w:tcPr>
            <w:tcW w:w="637" w:type="dxa"/>
          </w:tcPr>
          <w:p w14:paraId="169A7234" w14:textId="77777777" w:rsidR="004A6408" w:rsidRDefault="004A6408" w:rsidP="00A95965">
            <w:pPr>
              <w:pStyle w:val="TableText"/>
              <w:rPr>
                <w:szCs w:val="20"/>
              </w:rPr>
            </w:pPr>
          </w:p>
        </w:tc>
        <w:tc>
          <w:tcPr>
            <w:tcW w:w="646" w:type="dxa"/>
          </w:tcPr>
          <w:p w14:paraId="3E1BE0F3" w14:textId="77777777" w:rsidR="004A6408" w:rsidRDefault="004A6408" w:rsidP="00A95965">
            <w:pPr>
              <w:pStyle w:val="TableText"/>
              <w:rPr>
                <w:szCs w:val="20"/>
              </w:rPr>
            </w:pPr>
          </w:p>
        </w:tc>
        <w:tc>
          <w:tcPr>
            <w:tcW w:w="635" w:type="dxa"/>
          </w:tcPr>
          <w:p w14:paraId="4E919C9F" w14:textId="77777777" w:rsidR="004A6408" w:rsidRDefault="004A6408" w:rsidP="00A95965">
            <w:pPr>
              <w:pStyle w:val="TableText"/>
              <w:rPr>
                <w:szCs w:val="20"/>
              </w:rPr>
            </w:pPr>
          </w:p>
        </w:tc>
        <w:tc>
          <w:tcPr>
            <w:tcW w:w="677" w:type="dxa"/>
          </w:tcPr>
          <w:p w14:paraId="43327181" w14:textId="77777777" w:rsidR="004A6408" w:rsidRDefault="004A6408" w:rsidP="00A95965">
            <w:pPr>
              <w:pStyle w:val="TableText"/>
              <w:rPr>
                <w:szCs w:val="20"/>
              </w:rPr>
            </w:pPr>
          </w:p>
        </w:tc>
        <w:tc>
          <w:tcPr>
            <w:tcW w:w="637" w:type="dxa"/>
          </w:tcPr>
          <w:p w14:paraId="0139315E" w14:textId="77777777" w:rsidR="004A6408" w:rsidRDefault="004A6408" w:rsidP="00A95965">
            <w:pPr>
              <w:pStyle w:val="TableText"/>
              <w:rPr>
                <w:szCs w:val="20"/>
              </w:rPr>
            </w:pPr>
          </w:p>
        </w:tc>
        <w:tc>
          <w:tcPr>
            <w:tcW w:w="646" w:type="dxa"/>
          </w:tcPr>
          <w:p w14:paraId="0A278BEA" w14:textId="77777777" w:rsidR="004A6408" w:rsidRDefault="004A6408" w:rsidP="00A95965">
            <w:pPr>
              <w:pStyle w:val="TableText"/>
              <w:rPr>
                <w:szCs w:val="20"/>
              </w:rPr>
            </w:pPr>
          </w:p>
        </w:tc>
        <w:tc>
          <w:tcPr>
            <w:tcW w:w="637" w:type="dxa"/>
          </w:tcPr>
          <w:p w14:paraId="2A2F3C4B" w14:textId="77777777" w:rsidR="004A6408" w:rsidRDefault="004A6408" w:rsidP="00A95965">
            <w:pPr>
              <w:pStyle w:val="TableText"/>
              <w:rPr>
                <w:szCs w:val="20"/>
              </w:rPr>
            </w:pPr>
          </w:p>
        </w:tc>
        <w:tc>
          <w:tcPr>
            <w:tcW w:w="677" w:type="dxa"/>
          </w:tcPr>
          <w:p w14:paraId="7128D5A2" w14:textId="77777777" w:rsidR="004A6408" w:rsidRDefault="004A6408" w:rsidP="00A95965">
            <w:pPr>
              <w:pStyle w:val="TableText"/>
              <w:rPr>
                <w:szCs w:val="20"/>
              </w:rPr>
            </w:pPr>
          </w:p>
        </w:tc>
        <w:tc>
          <w:tcPr>
            <w:tcW w:w="637" w:type="dxa"/>
          </w:tcPr>
          <w:p w14:paraId="46989BE1" w14:textId="77777777" w:rsidR="004A6408" w:rsidRDefault="004A6408" w:rsidP="00A95965">
            <w:pPr>
              <w:pStyle w:val="TableText"/>
              <w:rPr>
                <w:szCs w:val="20"/>
              </w:rPr>
            </w:pPr>
          </w:p>
        </w:tc>
        <w:tc>
          <w:tcPr>
            <w:tcW w:w="646" w:type="dxa"/>
          </w:tcPr>
          <w:p w14:paraId="67A0D7E2" w14:textId="77777777" w:rsidR="004A6408" w:rsidRDefault="004A6408" w:rsidP="00A95965">
            <w:pPr>
              <w:pStyle w:val="TableText"/>
              <w:rPr>
                <w:szCs w:val="20"/>
              </w:rPr>
            </w:pPr>
          </w:p>
        </w:tc>
        <w:tc>
          <w:tcPr>
            <w:tcW w:w="635" w:type="dxa"/>
          </w:tcPr>
          <w:p w14:paraId="2086EE71" w14:textId="77777777" w:rsidR="004A6408" w:rsidRDefault="004A6408" w:rsidP="00A95965">
            <w:pPr>
              <w:pStyle w:val="TableText"/>
              <w:rPr>
                <w:szCs w:val="20"/>
              </w:rPr>
            </w:pPr>
          </w:p>
        </w:tc>
        <w:tc>
          <w:tcPr>
            <w:tcW w:w="2396" w:type="dxa"/>
          </w:tcPr>
          <w:p w14:paraId="737629C2" w14:textId="77777777" w:rsidR="004A6408" w:rsidRDefault="004A6408" w:rsidP="00A95965">
            <w:pPr>
              <w:pStyle w:val="TableText"/>
              <w:rPr>
                <w:szCs w:val="20"/>
              </w:rPr>
            </w:pPr>
          </w:p>
        </w:tc>
      </w:tr>
      <w:tr w:rsidR="004A6408" w14:paraId="67711F5F" w14:textId="77777777">
        <w:tblPrEx>
          <w:shd w:val="clear" w:color="auto" w:fill="auto"/>
        </w:tblPrEx>
        <w:trPr>
          <w:cantSplit/>
          <w:trHeight w:val="432"/>
        </w:trPr>
        <w:tc>
          <w:tcPr>
            <w:tcW w:w="743" w:type="dxa"/>
            <w:noWrap/>
          </w:tcPr>
          <w:p w14:paraId="30A59CB9" w14:textId="77777777" w:rsidR="004A6408" w:rsidRDefault="004A6408" w:rsidP="00A95965">
            <w:pPr>
              <w:pStyle w:val="TableText"/>
              <w:rPr>
                <w:szCs w:val="20"/>
              </w:rPr>
            </w:pPr>
          </w:p>
        </w:tc>
        <w:tc>
          <w:tcPr>
            <w:tcW w:w="638" w:type="dxa"/>
          </w:tcPr>
          <w:p w14:paraId="5C7A3CDF" w14:textId="77777777" w:rsidR="004A6408" w:rsidRDefault="004A6408" w:rsidP="00A95965">
            <w:pPr>
              <w:pStyle w:val="TableText"/>
              <w:rPr>
                <w:szCs w:val="20"/>
              </w:rPr>
            </w:pPr>
          </w:p>
        </w:tc>
        <w:tc>
          <w:tcPr>
            <w:tcW w:w="683" w:type="dxa"/>
          </w:tcPr>
          <w:p w14:paraId="587E24C8" w14:textId="77777777" w:rsidR="004A6408" w:rsidRDefault="004A6408" w:rsidP="00A95965">
            <w:pPr>
              <w:pStyle w:val="TableText"/>
              <w:rPr>
                <w:szCs w:val="20"/>
              </w:rPr>
            </w:pPr>
          </w:p>
        </w:tc>
        <w:tc>
          <w:tcPr>
            <w:tcW w:w="640" w:type="dxa"/>
          </w:tcPr>
          <w:p w14:paraId="7A55EA77" w14:textId="77777777" w:rsidR="004A6408" w:rsidRDefault="004A6408" w:rsidP="00A95965">
            <w:pPr>
              <w:pStyle w:val="TableText"/>
              <w:rPr>
                <w:szCs w:val="20"/>
              </w:rPr>
            </w:pPr>
          </w:p>
        </w:tc>
        <w:tc>
          <w:tcPr>
            <w:tcW w:w="678" w:type="dxa"/>
          </w:tcPr>
          <w:p w14:paraId="4D10C0F4" w14:textId="77777777" w:rsidR="004A6408" w:rsidRDefault="004A6408" w:rsidP="00A95965">
            <w:pPr>
              <w:pStyle w:val="TableText"/>
              <w:rPr>
                <w:szCs w:val="20"/>
              </w:rPr>
            </w:pPr>
          </w:p>
        </w:tc>
        <w:tc>
          <w:tcPr>
            <w:tcW w:w="637" w:type="dxa"/>
          </w:tcPr>
          <w:p w14:paraId="16C735DF" w14:textId="77777777" w:rsidR="004A6408" w:rsidRDefault="004A6408" w:rsidP="00A95965">
            <w:pPr>
              <w:pStyle w:val="TableText"/>
              <w:rPr>
                <w:szCs w:val="20"/>
              </w:rPr>
            </w:pPr>
          </w:p>
        </w:tc>
        <w:tc>
          <w:tcPr>
            <w:tcW w:w="646" w:type="dxa"/>
          </w:tcPr>
          <w:p w14:paraId="736A6EB2" w14:textId="77777777" w:rsidR="004A6408" w:rsidRDefault="004A6408" w:rsidP="00A95965">
            <w:pPr>
              <w:pStyle w:val="TableText"/>
              <w:rPr>
                <w:szCs w:val="20"/>
              </w:rPr>
            </w:pPr>
          </w:p>
        </w:tc>
        <w:tc>
          <w:tcPr>
            <w:tcW w:w="635" w:type="dxa"/>
          </w:tcPr>
          <w:p w14:paraId="552595D4" w14:textId="77777777" w:rsidR="004A6408" w:rsidRDefault="004A6408" w:rsidP="00A95965">
            <w:pPr>
              <w:pStyle w:val="TableText"/>
              <w:rPr>
                <w:szCs w:val="20"/>
              </w:rPr>
            </w:pPr>
          </w:p>
        </w:tc>
        <w:tc>
          <w:tcPr>
            <w:tcW w:w="677" w:type="dxa"/>
          </w:tcPr>
          <w:p w14:paraId="1DF1C6E6" w14:textId="77777777" w:rsidR="004A6408" w:rsidRDefault="004A6408" w:rsidP="00A95965">
            <w:pPr>
              <w:pStyle w:val="TableText"/>
              <w:rPr>
                <w:szCs w:val="20"/>
              </w:rPr>
            </w:pPr>
          </w:p>
        </w:tc>
        <w:tc>
          <w:tcPr>
            <w:tcW w:w="637" w:type="dxa"/>
          </w:tcPr>
          <w:p w14:paraId="5F683A12" w14:textId="77777777" w:rsidR="004A6408" w:rsidRDefault="004A6408" w:rsidP="00A95965">
            <w:pPr>
              <w:pStyle w:val="TableText"/>
              <w:rPr>
                <w:szCs w:val="20"/>
              </w:rPr>
            </w:pPr>
          </w:p>
        </w:tc>
        <w:tc>
          <w:tcPr>
            <w:tcW w:w="646" w:type="dxa"/>
          </w:tcPr>
          <w:p w14:paraId="3C88C08C" w14:textId="77777777" w:rsidR="004A6408" w:rsidRDefault="004A6408" w:rsidP="00A95965">
            <w:pPr>
              <w:pStyle w:val="TableText"/>
              <w:rPr>
                <w:szCs w:val="20"/>
              </w:rPr>
            </w:pPr>
          </w:p>
        </w:tc>
        <w:tc>
          <w:tcPr>
            <w:tcW w:w="637" w:type="dxa"/>
          </w:tcPr>
          <w:p w14:paraId="654F85F0" w14:textId="77777777" w:rsidR="004A6408" w:rsidRDefault="004A6408" w:rsidP="00A95965">
            <w:pPr>
              <w:pStyle w:val="TableText"/>
              <w:rPr>
                <w:szCs w:val="20"/>
              </w:rPr>
            </w:pPr>
          </w:p>
        </w:tc>
        <w:tc>
          <w:tcPr>
            <w:tcW w:w="677" w:type="dxa"/>
          </w:tcPr>
          <w:p w14:paraId="36D2222D" w14:textId="77777777" w:rsidR="004A6408" w:rsidRDefault="004A6408" w:rsidP="00A95965">
            <w:pPr>
              <w:pStyle w:val="TableText"/>
              <w:rPr>
                <w:szCs w:val="20"/>
              </w:rPr>
            </w:pPr>
          </w:p>
        </w:tc>
        <w:tc>
          <w:tcPr>
            <w:tcW w:w="637" w:type="dxa"/>
          </w:tcPr>
          <w:p w14:paraId="3675F7F5" w14:textId="77777777" w:rsidR="004A6408" w:rsidRDefault="004A6408" w:rsidP="00A95965">
            <w:pPr>
              <w:pStyle w:val="TableText"/>
              <w:rPr>
                <w:szCs w:val="20"/>
              </w:rPr>
            </w:pPr>
          </w:p>
        </w:tc>
        <w:tc>
          <w:tcPr>
            <w:tcW w:w="646" w:type="dxa"/>
          </w:tcPr>
          <w:p w14:paraId="66B64326" w14:textId="77777777" w:rsidR="004A6408" w:rsidRDefault="004A6408" w:rsidP="00A95965">
            <w:pPr>
              <w:pStyle w:val="TableText"/>
              <w:rPr>
                <w:szCs w:val="20"/>
              </w:rPr>
            </w:pPr>
          </w:p>
        </w:tc>
        <w:tc>
          <w:tcPr>
            <w:tcW w:w="635" w:type="dxa"/>
          </w:tcPr>
          <w:p w14:paraId="793AFE24" w14:textId="77777777" w:rsidR="004A6408" w:rsidRDefault="004A6408" w:rsidP="00A95965">
            <w:pPr>
              <w:pStyle w:val="TableText"/>
              <w:rPr>
                <w:szCs w:val="20"/>
              </w:rPr>
            </w:pPr>
          </w:p>
        </w:tc>
        <w:tc>
          <w:tcPr>
            <w:tcW w:w="2396" w:type="dxa"/>
          </w:tcPr>
          <w:p w14:paraId="67349626" w14:textId="77777777" w:rsidR="004A6408" w:rsidRDefault="004A6408" w:rsidP="00A95965">
            <w:pPr>
              <w:pStyle w:val="TableText"/>
              <w:rPr>
                <w:szCs w:val="20"/>
              </w:rPr>
            </w:pPr>
          </w:p>
        </w:tc>
      </w:tr>
      <w:tr w:rsidR="004A6408" w14:paraId="5892E4B7" w14:textId="77777777">
        <w:tblPrEx>
          <w:shd w:val="clear" w:color="auto" w:fill="auto"/>
        </w:tblPrEx>
        <w:trPr>
          <w:cantSplit/>
          <w:trHeight w:val="432"/>
        </w:trPr>
        <w:tc>
          <w:tcPr>
            <w:tcW w:w="12888" w:type="dxa"/>
            <w:gridSpan w:val="17"/>
            <w:noWrap/>
          </w:tcPr>
          <w:p w14:paraId="79CD6B1B" w14:textId="77777777" w:rsidR="004A6408" w:rsidRPr="00AC5C64" w:rsidRDefault="004A6408" w:rsidP="00A95965">
            <w:pPr>
              <w:pStyle w:val="TableText"/>
              <w:rPr>
                <w:b/>
                <w:szCs w:val="20"/>
              </w:rPr>
            </w:pPr>
            <w:r>
              <w:rPr>
                <w:b/>
                <w:szCs w:val="20"/>
              </w:rPr>
              <w:t>Comments:</w:t>
            </w:r>
          </w:p>
        </w:tc>
      </w:tr>
    </w:tbl>
    <w:p w14:paraId="165D2EB4" w14:textId="77777777" w:rsidR="003F3F74" w:rsidRDefault="003F3F74"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402"/>
        <w:gridCol w:w="19"/>
        <w:gridCol w:w="969"/>
        <w:gridCol w:w="970"/>
        <w:gridCol w:w="970"/>
        <w:gridCol w:w="971"/>
        <w:gridCol w:w="970"/>
        <w:gridCol w:w="970"/>
        <w:gridCol w:w="21"/>
        <w:gridCol w:w="1938"/>
        <w:gridCol w:w="1760"/>
      </w:tblGrid>
      <w:tr w:rsidR="004A6408" w14:paraId="1344A179" w14:textId="77777777">
        <w:trPr>
          <w:cantSplit/>
          <w:trHeight w:val="230"/>
        </w:trPr>
        <w:tc>
          <w:tcPr>
            <w:tcW w:w="3402" w:type="dxa"/>
            <w:shd w:val="clear" w:color="auto" w:fill="B3B3B3"/>
            <w:noWrap/>
          </w:tcPr>
          <w:p w14:paraId="0FD56A4A" w14:textId="77777777" w:rsidR="004A6408" w:rsidRPr="00AC5C64" w:rsidRDefault="004A6408" w:rsidP="00A95965">
            <w:pPr>
              <w:pStyle w:val="TableText"/>
              <w:rPr>
                <w:b/>
                <w:szCs w:val="20"/>
              </w:rPr>
            </w:pPr>
            <w:r>
              <w:rPr>
                <w:b/>
                <w:szCs w:val="20"/>
              </w:rPr>
              <w:t>Patient Name</w:t>
            </w:r>
          </w:p>
        </w:tc>
        <w:tc>
          <w:tcPr>
            <w:tcW w:w="3899" w:type="dxa"/>
            <w:gridSpan w:val="5"/>
            <w:shd w:val="clear" w:color="auto" w:fill="B3B3B3"/>
          </w:tcPr>
          <w:p w14:paraId="095B4385" w14:textId="77777777" w:rsidR="004A6408" w:rsidRPr="00AC5C64" w:rsidRDefault="004A6408" w:rsidP="00A95965">
            <w:pPr>
              <w:pStyle w:val="TableText"/>
              <w:rPr>
                <w:b/>
                <w:szCs w:val="20"/>
              </w:rPr>
            </w:pPr>
            <w:r>
              <w:rPr>
                <w:b/>
                <w:szCs w:val="20"/>
              </w:rPr>
              <w:t>Patient Identification Number</w:t>
            </w:r>
          </w:p>
        </w:tc>
        <w:tc>
          <w:tcPr>
            <w:tcW w:w="1961" w:type="dxa"/>
            <w:gridSpan w:val="3"/>
            <w:shd w:val="clear" w:color="auto" w:fill="B3B3B3"/>
          </w:tcPr>
          <w:p w14:paraId="0D3A065C" w14:textId="77777777" w:rsidR="004A6408" w:rsidRPr="00AC5C64" w:rsidRDefault="004A6408" w:rsidP="00A95965">
            <w:pPr>
              <w:pStyle w:val="TableText"/>
              <w:rPr>
                <w:b/>
                <w:szCs w:val="20"/>
              </w:rPr>
            </w:pPr>
            <w:r>
              <w:rPr>
                <w:b/>
                <w:szCs w:val="20"/>
              </w:rPr>
              <w:t>Location</w:t>
            </w:r>
          </w:p>
        </w:tc>
        <w:tc>
          <w:tcPr>
            <w:tcW w:w="3698" w:type="dxa"/>
            <w:gridSpan w:val="2"/>
            <w:shd w:val="clear" w:color="auto" w:fill="B3B3B3"/>
          </w:tcPr>
          <w:p w14:paraId="06129E04" w14:textId="77777777" w:rsidR="004A6408" w:rsidRPr="00AC5C64" w:rsidRDefault="004A6408" w:rsidP="00A95965">
            <w:pPr>
              <w:pStyle w:val="TableText"/>
              <w:rPr>
                <w:b/>
                <w:szCs w:val="20"/>
              </w:rPr>
            </w:pPr>
            <w:r>
              <w:rPr>
                <w:b/>
                <w:szCs w:val="20"/>
              </w:rPr>
              <w:t>Specimen UID</w:t>
            </w:r>
          </w:p>
        </w:tc>
      </w:tr>
      <w:tr w:rsidR="004A6408" w14:paraId="4E105E03" w14:textId="77777777">
        <w:trPr>
          <w:cantSplit/>
          <w:trHeight w:val="432"/>
        </w:trPr>
        <w:tc>
          <w:tcPr>
            <w:tcW w:w="3402" w:type="dxa"/>
            <w:noWrap/>
          </w:tcPr>
          <w:p w14:paraId="4AF36444" w14:textId="77777777" w:rsidR="004A6408" w:rsidRDefault="004A6408" w:rsidP="00A95965">
            <w:pPr>
              <w:pStyle w:val="TableText"/>
              <w:rPr>
                <w:szCs w:val="20"/>
              </w:rPr>
            </w:pPr>
          </w:p>
        </w:tc>
        <w:tc>
          <w:tcPr>
            <w:tcW w:w="3899" w:type="dxa"/>
            <w:gridSpan w:val="5"/>
          </w:tcPr>
          <w:p w14:paraId="765A5F37" w14:textId="77777777" w:rsidR="004A6408" w:rsidRDefault="004A6408" w:rsidP="00A95965">
            <w:pPr>
              <w:pStyle w:val="TableText"/>
              <w:rPr>
                <w:szCs w:val="20"/>
              </w:rPr>
            </w:pPr>
          </w:p>
        </w:tc>
        <w:tc>
          <w:tcPr>
            <w:tcW w:w="1961" w:type="dxa"/>
            <w:gridSpan w:val="3"/>
          </w:tcPr>
          <w:p w14:paraId="0403AB02" w14:textId="77777777" w:rsidR="004A6408" w:rsidRDefault="004A6408" w:rsidP="00A95965">
            <w:pPr>
              <w:pStyle w:val="TableText"/>
              <w:rPr>
                <w:szCs w:val="20"/>
              </w:rPr>
            </w:pPr>
          </w:p>
        </w:tc>
        <w:tc>
          <w:tcPr>
            <w:tcW w:w="3698" w:type="dxa"/>
            <w:gridSpan w:val="2"/>
          </w:tcPr>
          <w:p w14:paraId="1BC4201B" w14:textId="77777777" w:rsidR="004A6408" w:rsidRDefault="004A6408" w:rsidP="00A95965">
            <w:pPr>
              <w:pStyle w:val="TableText"/>
              <w:rPr>
                <w:szCs w:val="20"/>
              </w:rPr>
            </w:pPr>
          </w:p>
        </w:tc>
      </w:tr>
      <w:tr w:rsidR="004A6408" w14:paraId="68D23A0C" w14:textId="77777777">
        <w:trPr>
          <w:cantSplit/>
          <w:trHeight w:val="230"/>
          <w:tblHeader/>
        </w:trPr>
        <w:tc>
          <w:tcPr>
            <w:tcW w:w="12960" w:type="dxa"/>
            <w:gridSpan w:val="11"/>
            <w:shd w:val="clear" w:color="auto" w:fill="B3B3B3"/>
            <w:noWrap/>
          </w:tcPr>
          <w:p w14:paraId="64F36763" w14:textId="77777777" w:rsidR="004A6408" w:rsidRPr="00035A4D" w:rsidRDefault="004A6408" w:rsidP="00FC4396">
            <w:pPr>
              <w:pStyle w:val="TableText"/>
              <w:rPr>
                <w:b/>
                <w:szCs w:val="20"/>
              </w:rPr>
            </w:pPr>
            <w:r>
              <w:rPr>
                <w:b/>
                <w:szCs w:val="20"/>
              </w:rPr>
              <w:t>Compatibility Testing</w:t>
            </w:r>
          </w:p>
        </w:tc>
      </w:tr>
      <w:tr w:rsidR="006304EB" w14:paraId="5135CEE4" w14:textId="77777777">
        <w:trPr>
          <w:cantSplit/>
          <w:trHeight w:val="230"/>
          <w:tblHeader/>
        </w:trPr>
        <w:tc>
          <w:tcPr>
            <w:tcW w:w="3421" w:type="dxa"/>
            <w:gridSpan w:val="2"/>
            <w:shd w:val="clear" w:color="auto" w:fill="B3B3B3"/>
            <w:noWrap/>
          </w:tcPr>
          <w:p w14:paraId="6409CC94" w14:textId="77777777" w:rsidR="006304EB" w:rsidRPr="00035A4D" w:rsidRDefault="006304EB" w:rsidP="00FC4396">
            <w:pPr>
              <w:pStyle w:val="TableText"/>
              <w:rPr>
                <w:b/>
                <w:szCs w:val="20"/>
              </w:rPr>
            </w:pPr>
            <w:r w:rsidRPr="00035A4D">
              <w:rPr>
                <w:b/>
                <w:szCs w:val="20"/>
              </w:rPr>
              <w:t>Unit Identification Number</w:t>
            </w:r>
          </w:p>
        </w:tc>
        <w:tc>
          <w:tcPr>
            <w:tcW w:w="969" w:type="dxa"/>
            <w:shd w:val="clear" w:color="auto" w:fill="B3B3B3"/>
          </w:tcPr>
          <w:p w14:paraId="66FA2B05" w14:textId="77777777" w:rsidR="006304EB" w:rsidRPr="00035A4D" w:rsidRDefault="006304EB" w:rsidP="00FC4396">
            <w:pPr>
              <w:pStyle w:val="TableText"/>
              <w:rPr>
                <w:b/>
                <w:szCs w:val="20"/>
              </w:rPr>
            </w:pPr>
            <w:r>
              <w:rPr>
                <w:b/>
                <w:szCs w:val="20"/>
              </w:rPr>
              <w:t>Product Code</w:t>
            </w:r>
          </w:p>
        </w:tc>
        <w:tc>
          <w:tcPr>
            <w:tcW w:w="970" w:type="dxa"/>
            <w:shd w:val="clear" w:color="auto" w:fill="B3B3B3"/>
          </w:tcPr>
          <w:p w14:paraId="2651562E" w14:textId="77777777" w:rsidR="006304EB" w:rsidRPr="00035A4D" w:rsidRDefault="006304EB" w:rsidP="00FC4396">
            <w:pPr>
              <w:pStyle w:val="TableText"/>
              <w:rPr>
                <w:b/>
                <w:szCs w:val="20"/>
              </w:rPr>
            </w:pPr>
            <w:r w:rsidRPr="00035A4D">
              <w:rPr>
                <w:b/>
                <w:szCs w:val="20"/>
              </w:rPr>
              <w:t>ABO/Rh</w:t>
            </w:r>
          </w:p>
        </w:tc>
        <w:tc>
          <w:tcPr>
            <w:tcW w:w="970" w:type="dxa"/>
            <w:shd w:val="clear" w:color="auto" w:fill="B3B3B3"/>
          </w:tcPr>
          <w:p w14:paraId="1963E3C0" w14:textId="77777777" w:rsidR="006304EB" w:rsidRPr="00035A4D" w:rsidRDefault="006304EB" w:rsidP="00FC4396">
            <w:pPr>
              <w:pStyle w:val="TableText"/>
              <w:rPr>
                <w:b/>
                <w:szCs w:val="20"/>
              </w:rPr>
            </w:pPr>
            <w:r w:rsidRPr="00035A4D">
              <w:rPr>
                <w:b/>
                <w:szCs w:val="20"/>
              </w:rPr>
              <w:t>RT/IS</w:t>
            </w:r>
          </w:p>
        </w:tc>
        <w:tc>
          <w:tcPr>
            <w:tcW w:w="971" w:type="dxa"/>
            <w:shd w:val="clear" w:color="auto" w:fill="B3B3B3"/>
          </w:tcPr>
          <w:p w14:paraId="282509B4" w14:textId="77777777" w:rsidR="006304EB" w:rsidRPr="00035A4D" w:rsidRDefault="006304EB" w:rsidP="00FC4396">
            <w:pPr>
              <w:pStyle w:val="TableText"/>
              <w:rPr>
                <w:b/>
                <w:szCs w:val="20"/>
              </w:rPr>
            </w:pPr>
            <w:r w:rsidRPr="00035A4D">
              <w:rPr>
                <w:b/>
                <w:szCs w:val="20"/>
              </w:rPr>
              <w:t>37</w:t>
            </w:r>
            <w:r w:rsidRPr="00035A4D">
              <w:rPr>
                <w:rFonts w:cs="Arial"/>
                <w:b/>
                <w:szCs w:val="20"/>
              </w:rPr>
              <w:t>°</w:t>
            </w:r>
          </w:p>
        </w:tc>
        <w:tc>
          <w:tcPr>
            <w:tcW w:w="970" w:type="dxa"/>
            <w:shd w:val="clear" w:color="auto" w:fill="B3B3B3"/>
          </w:tcPr>
          <w:p w14:paraId="2FF206C6" w14:textId="77777777" w:rsidR="006304EB" w:rsidRPr="00035A4D" w:rsidRDefault="006304EB" w:rsidP="00FC4396">
            <w:pPr>
              <w:pStyle w:val="TableText"/>
              <w:rPr>
                <w:b/>
                <w:szCs w:val="20"/>
              </w:rPr>
            </w:pPr>
            <w:r w:rsidRPr="00035A4D">
              <w:rPr>
                <w:b/>
                <w:szCs w:val="20"/>
              </w:rPr>
              <w:t>AHG</w:t>
            </w:r>
          </w:p>
        </w:tc>
        <w:tc>
          <w:tcPr>
            <w:tcW w:w="970" w:type="dxa"/>
            <w:shd w:val="clear" w:color="auto" w:fill="B3B3B3"/>
          </w:tcPr>
          <w:p w14:paraId="72FA9F3C" w14:textId="77777777" w:rsidR="006304EB" w:rsidRPr="00035A4D" w:rsidRDefault="006304EB" w:rsidP="00FC4396">
            <w:pPr>
              <w:pStyle w:val="TableText"/>
              <w:rPr>
                <w:b/>
                <w:szCs w:val="20"/>
              </w:rPr>
            </w:pPr>
            <w:r w:rsidRPr="00035A4D">
              <w:rPr>
                <w:b/>
                <w:szCs w:val="20"/>
              </w:rPr>
              <w:t>CC</w:t>
            </w:r>
          </w:p>
        </w:tc>
        <w:tc>
          <w:tcPr>
            <w:tcW w:w="1959" w:type="dxa"/>
            <w:gridSpan w:val="2"/>
            <w:shd w:val="clear" w:color="auto" w:fill="B3B3B3"/>
          </w:tcPr>
          <w:p w14:paraId="13BBC1AD" w14:textId="77777777" w:rsidR="006304EB" w:rsidRPr="00035A4D" w:rsidRDefault="006304EB" w:rsidP="00FC4396">
            <w:pPr>
              <w:pStyle w:val="TableText"/>
              <w:rPr>
                <w:b/>
                <w:szCs w:val="20"/>
              </w:rPr>
            </w:pPr>
            <w:r w:rsidRPr="00035A4D">
              <w:rPr>
                <w:b/>
                <w:szCs w:val="20"/>
              </w:rPr>
              <w:t>Interpretation</w:t>
            </w:r>
          </w:p>
        </w:tc>
        <w:tc>
          <w:tcPr>
            <w:tcW w:w="1760" w:type="dxa"/>
            <w:shd w:val="clear" w:color="auto" w:fill="B3B3B3"/>
          </w:tcPr>
          <w:p w14:paraId="2501CD83" w14:textId="77777777" w:rsidR="006304EB" w:rsidRPr="00035A4D" w:rsidRDefault="006304EB" w:rsidP="00FC4396">
            <w:pPr>
              <w:pStyle w:val="TableText"/>
              <w:rPr>
                <w:b/>
                <w:szCs w:val="20"/>
              </w:rPr>
            </w:pPr>
            <w:r w:rsidRPr="00035A4D">
              <w:rPr>
                <w:b/>
                <w:szCs w:val="20"/>
              </w:rPr>
              <w:t>Tech Name</w:t>
            </w:r>
          </w:p>
        </w:tc>
      </w:tr>
      <w:tr w:rsidR="006304EB" w14:paraId="6E9BC5E0" w14:textId="77777777">
        <w:trPr>
          <w:cantSplit/>
          <w:trHeight w:val="432"/>
        </w:trPr>
        <w:tc>
          <w:tcPr>
            <w:tcW w:w="3421" w:type="dxa"/>
            <w:gridSpan w:val="2"/>
            <w:noWrap/>
          </w:tcPr>
          <w:p w14:paraId="184ED26E" w14:textId="77777777" w:rsidR="006304EB" w:rsidRDefault="006304EB" w:rsidP="00A95965">
            <w:pPr>
              <w:pStyle w:val="TableText"/>
              <w:rPr>
                <w:szCs w:val="20"/>
              </w:rPr>
            </w:pPr>
          </w:p>
        </w:tc>
        <w:tc>
          <w:tcPr>
            <w:tcW w:w="969" w:type="dxa"/>
          </w:tcPr>
          <w:p w14:paraId="22EB7205" w14:textId="77777777" w:rsidR="006304EB" w:rsidRDefault="006304EB" w:rsidP="00A95965">
            <w:pPr>
              <w:pStyle w:val="TableText"/>
              <w:rPr>
                <w:szCs w:val="20"/>
              </w:rPr>
            </w:pPr>
          </w:p>
        </w:tc>
        <w:tc>
          <w:tcPr>
            <w:tcW w:w="970" w:type="dxa"/>
          </w:tcPr>
          <w:p w14:paraId="3D81FC2A" w14:textId="77777777" w:rsidR="006304EB" w:rsidRDefault="006304EB" w:rsidP="00A95965">
            <w:pPr>
              <w:pStyle w:val="TableText"/>
              <w:rPr>
                <w:szCs w:val="20"/>
              </w:rPr>
            </w:pPr>
          </w:p>
        </w:tc>
        <w:tc>
          <w:tcPr>
            <w:tcW w:w="970" w:type="dxa"/>
          </w:tcPr>
          <w:p w14:paraId="3EB3A2A3" w14:textId="77777777" w:rsidR="006304EB" w:rsidRDefault="006304EB" w:rsidP="00A95965">
            <w:pPr>
              <w:pStyle w:val="TableText"/>
              <w:rPr>
                <w:szCs w:val="20"/>
              </w:rPr>
            </w:pPr>
          </w:p>
        </w:tc>
        <w:tc>
          <w:tcPr>
            <w:tcW w:w="971" w:type="dxa"/>
          </w:tcPr>
          <w:p w14:paraId="0C7316B8" w14:textId="77777777" w:rsidR="006304EB" w:rsidRPr="006A7FD3" w:rsidRDefault="006304EB" w:rsidP="00A95965">
            <w:pPr>
              <w:pStyle w:val="TableText"/>
              <w:jc w:val="center"/>
              <w:rPr>
                <w:b/>
                <w:szCs w:val="20"/>
              </w:rPr>
            </w:pPr>
          </w:p>
        </w:tc>
        <w:tc>
          <w:tcPr>
            <w:tcW w:w="970" w:type="dxa"/>
          </w:tcPr>
          <w:p w14:paraId="363B399B" w14:textId="77777777" w:rsidR="006304EB" w:rsidRPr="006A7FD3" w:rsidRDefault="006304EB" w:rsidP="00A95965">
            <w:pPr>
              <w:pStyle w:val="TableText"/>
              <w:jc w:val="center"/>
              <w:rPr>
                <w:b/>
                <w:szCs w:val="20"/>
              </w:rPr>
            </w:pPr>
          </w:p>
        </w:tc>
        <w:tc>
          <w:tcPr>
            <w:tcW w:w="970" w:type="dxa"/>
          </w:tcPr>
          <w:p w14:paraId="191DC1F5" w14:textId="77777777" w:rsidR="006304EB" w:rsidRPr="006A7FD3" w:rsidRDefault="006304EB" w:rsidP="00A95965">
            <w:pPr>
              <w:pStyle w:val="TableText"/>
              <w:jc w:val="center"/>
              <w:rPr>
                <w:b/>
                <w:szCs w:val="20"/>
              </w:rPr>
            </w:pPr>
          </w:p>
        </w:tc>
        <w:tc>
          <w:tcPr>
            <w:tcW w:w="1959" w:type="dxa"/>
            <w:gridSpan w:val="2"/>
          </w:tcPr>
          <w:p w14:paraId="25A694E5" w14:textId="77777777" w:rsidR="006304EB" w:rsidRDefault="006304EB" w:rsidP="00A95965">
            <w:pPr>
              <w:pStyle w:val="TableText"/>
              <w:rPr>
                <w:szCs w:val="20"/>
              </w:rPr>
            </w:pPr>
          </w:p>
        </w:tc>
        <w:tc>
          <w:tcPr>
            <w:tcW w:w="1760" w:type="dxa"/>
          </w:tcPr>
          <w:p w14:paraId="02AAD436" w14:textId="77777777" w:rsidR="006304EB" w:rsidRDefault="006304EB" w:rsidP="00A95965">
            <w:pPr>
              <w:pStyle w:val="TableText"/>
              <w:rPr>
                <w:szCs w:val="20"/>
              </w:rPr>
            </w:pPr>
          </w:p>
        </w:tc>
      </w:tr>
      <w:tr w:rsidR="006304EB" w14:paraId="688116C3" w14:textId="77777777">
        <w:trPr>
          <w:cantSplit/>
          <w:trHeight w:val="432"/>
        </w:trPr>
        <w:tc>
          <w:tcPr>
            <w:tcW w:w="3421" w:type="dxa"/>
            <w:gridSpan w:val="2"/>
            <w:noWrap/>
          </w:tcPr>
          <w:p w14:paraId="69030D4C" w14:textId="77777777" w:rsidR="006304EB" w:rsidRDefault="006304EB" w:rsidP="00A95965">
            <w:pPr>
              <w:pStyle w:val="TableText"/>
              <w:rPr>
                <w:szCs w:val="20"/>
              </w:rPr>
            </w:pPr>
          </w:p>
        </w:tc>
        <w:tc>
          <w:tcPr>
            <w:tcW w:w="969" w:type="dxa"/>
          </w:tcPr>
          <w:p w14:paraId="3522152C" w14:textId="77777777" w:rsidR="006304EB" w:rsidRDefault="006304EB" w:rsidP="00A95965">
            <w:pPr>
              <w:pStyle w:val="TableText"/>
              <w:rPr>
                <w:szCs w:val="20"/>
              </w:rPr>
            </w:pPr>
          </w:p>
        </w:tc>
        <w:tc>
          <w:tcPr>
            <w:tcW w:w="970" w:type="dxa"/>
          </w:tcPr>
          <w:p w14:paraId="7792F66C" w14:textId="77777777" w:rsidR="006304EB" w:rsidRDefault="006304EB" w:rsidP="00A95965">
            <w:pPr>
              <w:pStyle w:val="TableText"/>
              <w:rPr>
                <w:szCs w:val="20"/>
              </w:rPr>
            </w:pPr>
          </w:p>
        </w:tc>
        <w:tc>
          <w:tcPr>
            <w:tcW w:w="970" w:type="dxa"/>
          </w:tcPr>
          <w:p w14:paraId="5C048B56" w14:textId="77777777" w:rsidR="006304EB" w:rsidRDefault="006304EB" w:rsidP="00A95965">
            <w:pPr>
              <w:pStyle w:val="TableText"/>
              <w:rPr>
                <w:szCs w:val="20"/>
              </w:rPr>
            </w:pPr>
          </w:p>
        </w:tc>
        <w:tc>
          <w:tcPr>
            <w:tcW w:w="971" w:type="dxa"/>
          </w:tcPr>
          <w:p w14:paraId="3562570E" w14:textId="77777777" w:rsidR="006304EB" w:rsidRPr="006A7FD3" w:rsidRDefault="006304EB" w:rsidP="00A95965">
            <w:pPr>
              <w:pStyle w:val="TableText"/>
              <w:jc w:val="center"/>
              <w:rPr>
                <w:b/>
                <w:szCs w:val="20"/>
              </w:rPr>
            </w:pPr>
          </w:p>
        </w:tc>
        <w:tc>
          <w:tcPr>
            <w:tcW w:w="970" w:type="dxa"/>
          </w:tcPr>
          <w:p w14:paraId="18B294BF" w14:textId="77777777" w:rsidR="006304EB" w:rsidRPr="006A7FD3" w:rsidRDefault="006304EB" w:rsidP="00A95965">
            <w:pPr>
              <w:pStyle w:val="TableText"/>
              <w:jc w:val="center"/>
              <w:rPr>
                <w:b/>
                <w:szCs w:val="20"/>
              </w:rPr>
            </w:pPr>
          </w:p>
        </w:tc>
        <w:tc>
          <w:tcPr>
            <w:tcW w:w="970" w:type="dxa"/>
          </w:tcPr>
          <w:p w14:paraId="16012301" w14:textId="77777777" w:rsidR="006304EB" w:rsidRPr="006A7FD3" w:rsidRDefault="006304EB" w:rsidP="00A95965">
            <w:pPr>
              <w:pStyle w:val="TableText"/>
              <w:jc w:val="center"/>
              <w:rPr>
                <w:b/>
                <w:szCs w:val="20"/>
              </w:rPr>
            </w:pPr>
          </w:p>
        </w:tc>
        <w:tc>
          <w:tcPr>
            <w:tcW w:w="1959" w:type="dxa"/>
            <w:gridSpan w:val="2"/>
          </w:tcPr>
          <w:p w14:paraId="44A89902" w14:textId="77777777" w:rsidR="006304EB" w:rsidRDefault="006304EB" w:rsidP="00A95965">
            <w:pPr>
              <w:pStyle w:val="TableText"/>
              <w:rPr>
                <w:szCs w:val="20"/>
              </w:rPr>
            </w:pPr>
          </w:p>
        </w:tc>
        <w:tc>
          <w:tcPr>
            <w:tcW w:w="1760" w:type="dxa"/>
          </w:tcPr>
          <w:p w14:paraId="1302ABAF" w14:textId="77777777" w:rsidR="006304EB" w:rsidRDefault="006304EB" w:rsidP="00A95965">
            <w:pPr>
              <w:pStyle w:val="TableText"/>
              <w:rPr>
                <w:szCs w:val="20"/>
              </w:rPr>
            </w:pPr>
          </w:p>
        </w:tc>
      </w:tr>
      <w:tr w:rsidR="006304EB" w14:paraId="7D09D4DE" w14:textId="77777777">
        <w:trPr>
          <w:cantSplit/>
          <w:trHeight w:val="432"/>
        </w:trPr>
        <w:tc>
          <w:tcPr>
            <w:tcW w:w="3421" w:type="dxa"/>
            <w:gridSpan w:val="2"/>
            <w:noWrap/>
          </w:tcPr>
          <w:p w14:paraId="3B532DE7" w14:textId="77777777" w:rsidR="006304EB" w:rsidRDefault="006304EB" w:rsidP="00A95965">
            <w:pPr>
              <w:pStyle w:val="TableText"/>
              <w:rPr>
                <w:szCs w:val="20"/>
              </w:rPr>
            </w:pPr>
          </w:p>
        </w:tc>
        <w:tc>
          <w:tcPr>
            <w:tcW w:w="969" w:type="dxa"/>
          </w:tcPr>
          <w:p w14:paraId="0114C273" w14:textId="77777777" w:rsidR="006304EB" w:rsidRDefault="006304EB" w:rsidP="00A95965">
            <w:pPr>
              <w:pStyle w:val="TableText"/>
              <w:rPr>
                <w:szCs w:val="20"/>
              </w:rPr>
            </w:pPr>
          </w:p>
        </w:tc>
        <w:tc>
          <w:tcPr>
            <w:tcW w:w="970" w:type="dxa"/>
          </w:tcPr>
          <w:p w14:paraId="14746CDA" w14:textId="77777777" w:rsidR="006304EB" w:rsidRDefault="006304EB" w:rsidP="00A95965">
            <w:pPr>
              <w:pStyle w:val="TableText"/>
              <w:rPr>
                <w:szCs w:val="20"/>
              </w:rPr>
            </w:pPr>
          </w:p>
        </w:tc>
        <w:tc>
          <w:tcPr>
            <w:tcW w:w="970" w:type="dxa"/>
          </w:tcPr>
          <w:p w14:paraId="5180AE14" w14:textId="77777777" w:rsidR="006304EB" w:rsidRDefault="006304EB" w:rsidP="00A95965">
            <w:pPr>
              <w:pStyle w:val="TableText"/>
              <w:rPr>
                <w:szCs w:val="20"/>
              </w:rPr>
            </w:pPr>
          </w:p>
        </w:tc>
        <w:tc>
          <w:tcPr>
            <w:tcW w:w="971" w:type="dxa"/>
          </w:tcPr>
          <w:p w14:paraId="50A31429" w14:textId="77777777" w:rsidR="006304EB" w:rsidRPr="006A7FD3" w:rsidRDefault="006304EB" w:rsidP="00A95965">
            <w:pPr>
              <w:pStyle w:val="TableText"/>
              <w:jc w:val="center"/>
              <w:rPr>
                <w:b/>
                <w:szCs w:val="20"/>
              </w:rPr>
            </w:pPr>
          </w:p>
        </w:tc>
        <w:tc>
          <w:tcPr>
            <w:tcW w:w="970" w:type="dxa"/>
          </w:tcPr>
          <w:p w14:paraId="1B4957CA" w14:textId="77777777" w:rsidR="006304EB" w:rsidRPr="006A7FD3" w:rsidRDefault="006304EB" w:rsidP="00A95965">
            <w:pPr>
              <w:pStyle w:val="TableText"/>
              <w:jc w:val="center"/>
              <w:rPr>
                <w:b/>
                <w:szCs w:val="20"/>
              </w:rPr>
            </w:pPr>
          </w:p>
        </w:tc>
        <w:tc>
          <w:tcPr>
            <w:tcW w:w="970" w:type="dxa"/>
          </w:tcPr>
          <w:p w14:paraId="67B9B3A0" w14:textId="77777777" w:rsidR="006304EB" w:rsidRPr="006A7FD3" w:rsidRDefault="006304EB" w:rsidP="00A95965">
            <w:pPr>
              <w:pStyle w:val="TableText"/>
              <w:jc w:val="center"/>
              <w:rPr>
                <w:b/>
                <w:szCs w:val="20"/>
              </w:rPr>
            </w:pPr>
          </w:p>
        </w:tc>
        <w:tc>
          <w:tcPr>
            <w:tcW w:w="1959" w:type="dxa"/>
            <w:gridSpan w:val="2"/>
          </w:tcPr>
          <w:p w14:paraId="5A2CF9C2" w14:textId="77777777" w:rsidR="006304EB" w:rsidRDefault="006304EB" w:rsidP="00A95965">
            <w:pPr>
              <w:pStyle w:val="TableText"/>
              <w:rPr>
                <w:szCs w:val="20"/>
              </w:rPr>
            </w:pPr>
          </w:p>
        </w:tc>
        <w:tc>
          <w:tcPr>
            <w:tcW w:w="1760" w:type="dxa"/>
          </w:tcPr>
          <w:p w14:paraId="0A767241" w14:textId="77777777" w:rsidR="006304EB" w:rsidRDefault="006304EB" w:rsidP="00A95965">
            <w:pPr>
              <w:pStyle w:val="TableText"/>
              <w:rPr>
                <w:szCs w:val="20"/>
              </w:rPr>
            </w:pPr>
          </w:p>
        </w:tc>
      </w:tr>
      <w:tr w:rsidR="006304EB" w14:paraId="302873A3" w14:textId="77777777">
        <w:trPr>
          <w:cantSplit/>
          <w:trHeight w:val="432"/>
        </w:trPr>
        <w:tc>
          <w:tcPr>
            <w:tcW w:w="3421" w:type="dxa"/>
            <w:gridSpan w:val="2"/>
            <w:noWrap/>
          </w:tcPr>
          <w:p w14:paraId="7D383DC2" w14:textId="77777777" w:rsidR="006304EB" w:rsidRDefault="006304EB" w:rsidP="00A95965">
            <w:pPr>
              <w:pStyle w:val="TableText"/>
              <w:rPr>
                <w:szCs w:val="20"/>
              </w:rPr>
            </w:pPr>
          </w:p>
        </w:tc>
        <w:tc>
          <w:tcPr>
            <w:tcW w:w="969" w:type="dxa"/>
          </w:tcPr>
          <w:p w14:paraId="71A63814" w14:textId="77777777" w:rsidR="006304EB" w:rsidRDefault="006304EB" w:rsidP="00A95965">
            <w:pPr>
              <w:pStyle w:val="TableText"/>
              <w:rPr>
                <w:szCs w:val="20"/>
              </w:rPr>
            </w:pPr>
          </w:p>
        </w:tc>
        <w:tc>
          <w:tcPr>
            <w:tcW w:w="970" w:type="dxa"/>
          </w:tcPr>
          <w:p w14:paraId="10C25A2B" w14:textId="77777777" w:rsidR="006304EB" w:rsidRDefault="006304EB" w:rsidP="00A95965">
            <w:pPr>
              <w:pStyle w:val="TableText"/>
              <w:rPr>
                <w:szCs w:val="20"/>
              </w:rPr>
            </w:pPr>
          </w:p>
        </w:tc>
        <w:tc>
          <w:tcPr>
            <w:tcW w:w="970" w:type="dxa"/>
          </w:tcPr>
          <w:p w14:paraId="0B09E3B0" w14:textId="77777777" w:rsidR="006304EB" w:rsidRDefault="006304EB" w:rsidP="00A95965">
            <w:pPr>
              <w:pStyle w:val="TableText"/>
              <w:rPr>
                <w:szCs w:val="20"/>
              </w:rPr>
            </w:pPr>
          </w:p>
        </w:tc>
        <w:tc>
          <w:tcPr>
            <w:tcW w:w="971" w:type="dxa"/>
          </w:tcPr>
          <w:p w14:paraId="15709608" w14:textId="77777777" w:rsidR="006304EB" w:rsidRPr="006A7FD3" w:rsidRDefault="006304EB" w:rsidP="00A95965">
            <w:pPr>
              <w:pStyle w:val="TableText"/>
              <w:jc w:val="center"/>
              <w:rPr>
                <w:b/>
                <w:szCs w:val="20"/>
              </w:rPr>
            </w:pPr>
          </w:p>
        </w:tc>
        <w:tc>
          <w:tcPr>
            <w:tcW w:w="970" w:type="dxa"/>
          </w:tcPr>
          <w:p w14:paraId="1B386223" w14:textId="77777777" w:rsidR="006304EB" w:rsidRPr="006A7FD3" w:rsidRDefault="006304EB" w:rsidP="00A95965">
            <w:pPr>
              <w:pStyle w:val="TableText"/>
              <w:jc w:val="center"/>
              <w:rPr>
                <w:b/>
                <w:szCs w:val="20"/>
              </w:rPr>
            </w:pPr>
          </w:p>
        </w:tc>
        <w:tc>
          <w:tcPr>
            <w:tcW w:w="970" w:type="dxa"/>
          </w:tcPr>
          <w:p w14:paraId="5D199927" w14:textId="77777777" w:rsidR="006304EB" w:rsidRPr="006A7FD3" w:rsidRDefault="006304EB" w:rsidP="00A95965">
            <w:pPr>
              <w:pStyle w:val="TableText"/>
              <w:jc w:val="center"/>
              <w:rPr>
                <w:b/>
                <w:szCs w:val="20"/>
              </w:rPr>
            </w:pPr>
          </w:p>
        </w:tc>
        <w:tc>
          <w:tcPr>
            <w:tcW w:w="1959" w:type="dxa"/>
            <w:gridSpan w:val="2"/>
          </w:tcPr>
          <w:p w14:paraId="3A154F1A" w14:textId="77777777" w:rsidR="006304EB" w:rsidRDefault="006304EB" w:rsidP="00A95965">
            <w:pPr>
              <w:pStyle w:val="TableText"/>
              <w:rPr>
                <w:szCs w:val="20"/>
              </w:rPr>
            </w:pPr>
          </w:p>
        </w:tc>
        <w:tc>
          <w:tcPr>
            <w:tcW w:w="1760" w:type="dxa"/>
          </w:tcPr>
          <w:p w14:paraId="5E885B6E" w14:textId="77777777" w:rsidR="006304EB" w:rsidRDefault="006304EB" w:rsidP="00A95965">
            <w:pPr>
              <w:pStyle w:val="TableText"/>
              <w:rPr>
                <w:szCs w:val="20"/>
              </w:rPr>
            </w:pPr>
          </w:p>
        </w:tc>
      </w:tr>
      <w:tr w:rsidR="006304EB" w14:paraId="217B9172" w14:textId="77777777">
        <w:trPr>
          <w:cantSplit/>
          <w:trHeight w:val="432"/>
        </w:trPr>
        <w:tc>
          <w:tcPr>
            <w:tcW w:w="3421" w:type="dxa"/>
            <w:gridSpan w:val="2"/>
            <w:noWrap/>
          </w:tcPr>
          <w:p w14:paraId="1AE9048A" w14:textId="77777777" w:rsidR="006304EB" w:rsidRDefault="006304EB" w:rsidP="00A95965">
            <w:pPr>
              <w:pStyle w:val="TableText"/>
              <w:rPr>
                <w:szCs w:val="20"/>
              </w:rPr>
            </w:pPr>
          </w:p>
        </w:tc>
        <w:tc>
          <w:tcPr>
            <w:tcW w:w="969" w:type="dxa"/>
          </w:tcPr>
          <w:p w14:paraId="785FF12E" w14:textId="77777777" w:rsidR="006304EB" w:rsidRDefault="006304EB" w:rsidP="00A95965">
            <w:pPr>
              <w:pStyle w:val="TableText"/>
              <w:rPr>
                <w:szCs w:val="20"/>
              </w:rPr>
            </w:pPr>
          </w:p>
        </w:tc>
        <w:tc>
          <w:tcPr>
            <w:tcW w:w="970" w:type="dxa"/>
          </w:tcPr>
          <w:p w14:paraId="13B463C1" w14:textId="77777777" w:rsidR="006304EB" w:rsidRDefault="006304EB" w:rsidP="00A95965">
            <w:pPr>
              <w:pStyle w:val="TableText"/>
              <w:rPr>
                <w:szCs w:val="20"/>
              </w:rPr>
            </w:pPr>
          </w:p>
        </w:tc>
        <w:tc>
          <w:tcPr>
            <w:tcW w:w="970" w:type="dxa"/>
          </w:tcPr>
          <w:p w14:paraId="0A63A847" w14:textId="77777777" w:rsidR="006304EB" w:rsidRDefault="006304EB" w:rsidP="00A95965">
            <w:pPr>
              <w:pStyle w:val="TableText"/>
              <w:rPr>
                <w:szCs w:val="20"/>
              </w:rPr>
            </w:pPr>
          </w:p>
        </w:tc>
        <w:tc>
          <w:tcPr>
            <w:tcW w:w="971" w:type="dxa"/>
          </w:tcPr>
          <w:p w14:paraId="2C3B5202" w14:textId="77777777" w:rsidR="006304EB" w:rsidRPr="006A7FD3" w:rsidRDefault="006304EB" w:rsidP="00A95965">
            <w:pPr>
              <w:pStyle w:val="TableText"/>
              <w:jc w:val="center"/>
              <w:rPr>
                <w:b/>
                <w:szCs w:val="20"/>
              </w:rPr>
            </w:pPr>
          </w:p>
        </w:tc>
        <w:tc>
          <w:tcPr>
            <w:tcW w:w="970" w:type="dxa"/>
          </w:tcPr>
          <w:p w14:paraId="7AC5E2A0" w14:textId="77777777" w:rsidR="006304EB" w:rsidRPr="006A7FD3" w:rsidRDefault="006304EB" w:rsidP="00A95965">
            <w:pPr>
              <w:pStyle w:val="TableText"/>
              <w:jc w:val="center"/>
              <w:rPr>
                <w:b/>
                <w:szCs w:val="20"/>
              </w:rPr>
            </w:pPr>
          </w:p>
        </w:tc>
        <w:tc>
          <w:tcPr>
            <w:tcW w:w="970" w:type="dxa"/>
          </w:tcPr>
          <w:p w14:paraId="14941468" w14:textId="77777777" w:rsidR="006304EB" w:rsidRPr="006A7FD3" w:rsidRDefault="006304EB" w:rsidP="00A95965">
            <w:pPr>
              <w:pStyle w:val="TableText"/>
              <w:jc w:val="center"/>
              <w:rPr>
                <w:b/>
                <w:szCs w:val="20"/>
              </w:rPr>
            </w:pPr>
          </w:p>
        </w:tc>
        <w:tc>
          <w:tcPr>
            <w:tcW w:w="1959" w:type="dxa"/>
            <w:gridSpan w:val="2"/>
          </w:tcPr>
          <w:p w14:paraId="0FDF8C10" w14:textId="77777777" w:rsidR="006304EB" w:rsidRDefault="006304EB" w:rsidP="00A95965">
            <w:pPr>
              <w:pStyle w:val="TableText"/>
              <w:rPr>
                <w:szCs w:val="20"/>
              </w:rPr>
            </w:pPr>
          </w:p>
        </w:tc>
        <w:tc>
          <w:tcPr>
            <w:tcW w:w="1760" w:type="dxa"/>
          </w:tcPr>
          <w:p w14:paraId="0E0CF0B9" w14:textId="77777777" w:rsidR="006304EB" w:rsidRDefault="006304EB" w:rsidP="00A95965">
            <w:pPr>
              <w:pStyle w:val="TableText"/>
              <w:rPr>
                <w:szCs w:val="20"/>
              </w:rPr>
            </w:pPr>
          </w:p>
        </w:tc>
      </w:tr>
      <w:tr w:rsidR="006304EB" w14:paraId="5F48C799" w14:textId="77777777">
        <w:trPr>
          <w:cantSplit/>
          <w:trHeight w:val="432"/>
        </w:trPr>
        <w:tc>
          <w:tcPr>
            <w:tcW w:w="3421" w:type="dxa"/>
            <w:gridSpan w:val="2"/>
            <w:noWrap/>
          </w:tcPr>
          <w:p w14:paraId="1C878AA6" w14:textId="77777777" w:rsidR="006304EB" w:rsidRDefault="006304EB" w:rsidP="00A95965">
            <w:pPr>
              <w:pStyle w:val="TableText"/>
              <w:rPr>
                <w:szCs w:val="20"/>
              </w:rPr>
            </w:pPr>
          </w:p>
        </w:tc>
        <w:tc>
          <w:tcPr>
            <w:tcW w:w="969" w:type="dxa"/>
          </w:tcPr>
          <w:p w14:paraId="16DEB9AE" w14:textId="77777777" w:rsidR="006304EB" w:rsidRDefault="006304EB" w:rsidP="00A95965">
            <w:pPr>
              <w:pStyle w:val="TableText"/>
              <w:rPr>
                <w:szCs w:val="20"/>
              </w:rPr>
            </w:pPr>
          </w:p>
        </w:tc>
        <w:tc>
          <w:tcPr>
            <w:tcW w:w="970" w:type="dxa"/>
          </w:tcPr>
          <w:p w14:paraId="7986049A" w14:textId="77777777" w:rsidR="006304EB" w:rsidRDefault="006304EB" w:rsidP="00A95965">
            <w:pPr>
              <w:pStyle w:val="TableText"/>
              <w:rPr>
                <w:szCs w:val="20"/>
              </w:rPr>
            </w:pPr>
          </w:p>
        </w:tc>
        <w:tc>
          <w:tcPr>
            <w:tcW w:w="970" w:type="dxa"/>
          </w:tcPr>
          <w:p w14:paraId="256B7139" w14:textId="77777777" w:rsidR="006304EB" w:rsidRDefault="006304EB" w:rsidP="00A95965">
            <w:pPr>
              <w:pStyle w:val="TableText"/>
              <w:rPr>
                <w:szCs w:val="20"/>
              </w:rPr>
            </w:pPr>
          </w:p>
        </w:tc>
        <w:tc>
          <w:tcPr>
            <w:tcW w:w="971" w:type="dxa"/>
          </w:tcPr>
          <w:p w14:paraId="25E35321" w14:textId="77777777" w:rsidR="006304EB" w:rsidRPr="006A7FD3" w:rsidRDefault="006304EB" w:rsidP="00A95965">
            <w:pPr>
              <w:pStyle w:val="TableText"/>
              <w:jc w:val="center"/>
              <w:rPr>
                <w:b/>
                <w:szCs w:val="20"/>
              </w:rPr>
            </w:pPr>
          </w:p>
        </w:tc>
        <w:tc>
          <w:tcPr>
            <w:tcW w:w="970" w:type="dxa"/>
          </w:tcPr>
          <w:p w14:paraId="1CF8CE0A" w14:textId="77777777" w:rsidR="006304EB" w:rsidRPr="006A7FD3" w:rsidRDefault="006304EB" w:rsidP="00A95965">
            <w:pPr>
              <w:pStyle w:val="TableText"/>
              <w:jc w:val="center"/>
              <w:rPr>
                <w:b/>
                <w:szCs w:val="20"/>
              </w:rPr>
            </w:pPr>
          </w:p>
        </w:tc>
        <w:tc>
          <w:tcPr>
            <w:tcW w:w="970" w:type="dxa"/>
          </w:tcPr>
          <w:p w14:paraId="10052031" w14:textId="77777777" w:rsidR="006304EB" w:rsidRPr="006A7FD3" w:rsidRDefault="006304EB" w:rsidP="00A95965">
            <w:pPr>
              <w:pStyle w:val="TableText"/>
              <w:jc w:val="center"/>
              <w:rPr>
                <w:b/>
                <w:szCs w:val="20"/>
              </w:rPr>
            </w:pPr>
          </w:p>
        </w:tc>
        <w:tc>
          <w:tcPr>
            <w:tcW w:w="1959" w:type="dxa"/>
            <w:gridSpan w:val="2"/>
          </w:tcPr>
          <w:p w14:paraId="2FB0A103" w14:textId="77777777" w:rsidR="006304EB" w:rsidRDefault="006304EB" w:rsidP="00A95965">
            <w:pPr>
              <w:pStyle w:val="TableText"/>
              <w:rPr>
                <w:szCs w:val="20"/>
              </w:rPr>
            </w:pPr>
          </w:p>
        </w:tc>
        <w:tc>
          <w:tcPr>
            <w:tcW w:w="1760" w:type="dxa"/>
          </w:tcPr>
          <w:p w14:paraId="261DC62F" w14:textId="77777777" w:rsidR="006304EB" w:rsidRDefault="006304EB" w:rsidP="00A95965">
            <w:pPr>
              <w:pStyle w:val="TableText"/>
              <w:rPr>
                <w:szCs w:val="20"/>
              </w:rPr>
            </w:pPr>
          </w:p>
        </w:tc>
      </w:tr>
      <w:tr w:rsidR="006304EB" w14:paraId="735C6AE2" w14:textId="77777777">
        <w:trPr>
          <w:cantSplit/>
          <w:trHeight w:val="432"/>
        </w:trPr>
        <w:tc>
          <w:tcPr>
            <w:tcW w:w="3421" w:type="dxa"/>
            <w:gridSpan w:val="2"/>
            <w:noWrap/>
          </w:tcPr>
          <w:p w14:paraId="061E2036" w14:textId="77777777" w:rsidR="006304EB" w:rsidRDefault="006304EB" w:rsidP="00A95965">
            <w:pPr>
              <w:pStyle w:val="TableText"/>
              <w:rPr>
                <w:szCs w:val="20"/>
              </w:rPr>
            </w:pPr>
          </w:p>
        </w:tc>
        <w:tc>
          <w:tcPr>
            <w:tcW w:w="969" w:type="dxa"/>
          </w:tcPr>
          <w:p w14:paraId="4CC6731C" w14:textId="77777777" w:rsidR="006304EB" w:rsidRDefault="006304EB" w:rsidP="00A95965">
            <w:pPr>
              <w:pStyle w:val="TableText"/>
              <w:rPr>
                <w:szCs w:val="20"/>
              </w:rPr>
            </w:pPr>
          </w:p>
        </w:tc>
        <w:tc>
          <w:tcPr>
            <w:tcW w:w="970" w:type="dxa"/>
          </w:tcPr>
          <w:p w14:paraId="743ADB8D" w14:textId="77777777" w:rsidR="006304EB" w:rsidRDefault="006304EB" w:rsidP="00A95965">
            <w:pPr>
              <w:pStyle w:val="TableText"/>
              <w:rPr>
                <w:szCs w:val="20"/>
              </w:rPr>
            </w:pPr>
          </w:p>
        </w:tc>
        <w:tc>
          <w:tcPr>
            <w:tcW w:w="970" w:type="dxa"/>
          </w:tcPr>
          <w:p w14:paraId="11059D06" w14:textId="77777777" w:rsidR="006304EB" w:rsidRDefault="006304EB" w:rsidP="00A95965">
            <w:pPr>
              <w:pStyle w:val="TableText"/>
              <w:rPr>
                <w:szCs w:val="20"/>
              </w:rPr>
            </w:pPr>
          </w:p>
        </w:tc>
        <w:tc>
          <w:tcPr>
            <w:tcW w:w="971" w:type="dxa"/>
          </w:tcPr>
          <w:p w14:paraId="1F6598C4" w14:textId="77777777" w:rsidR="006304EB" w:rsidRPr="006A7FD3" w:rsidRDefault="006304EB" w:rsidP="00A95965">
            <w:pPr>
              <w:pStyle w:val="TableText"/>
              <w:jc w:val="center"/>
              <w:rPr>
                <w:b/>
                <w:szCs w:val="20"/>
              </w:rPr>
            </w:pPr>
          </w:p>
        </w:tc>
        <w:tc>
          <w:tcPr>
            <w:tcW w:w="970" w:type="dxa"/>
          </w:tcPr>
          <w:p w14:paraId="17A269C7" w14:textId="77777777" w:rsidR="006304EB" w:rsidRPr="006A7FD3" w:rsidRDefault="006304EB" w:rsidP="00A95965">
            <w:pPr>
              <w:pStyle w:val="TableText"/>
              <w:jc w:val="center"/>
              <w:rPr>
                <w:b/>
                <w:szCs w:val="20"/>
              </w:rPr>
            </w:pPr>
          </w:p>
        </w:tc>
        <w:tc>
          <w:tcPr>
            <w:tcW w:w="970" w:type="dxa"/>
          </w:tcPr>
          <w:p w14:paraId="4CC0B136" w14:textId="77777777" w:rsidR="006304EB" w:rsidRPr="006A7FD3" w:rsidRDefault="006304EB" w:rsidP="00A95965">
            <w:pPr>
              <w:pStyle w:val="TableText"/>
              <w:jc w:val="center"/>
              <w:rPr>
                <w:b/>
                <w:szCs w:val="20"/>
              </w:rPr>
            </w:pPr>
          </w:p>
        </w:tc>
        <w:tc>
          <w:tcPr>
            <w:tcW w:w="1959" w:type="dxa"/>
            <w:gridSpan w:val="2"/>
          </w:tcPr>
          <w:p w14:paraId="175B4E1E" w14:textId="77777777" w:rsidR="006304EB" w:rsidRDefault="006304EB" w:rsidP="00A95965">
            <w:pPr>
              <w:pStyle w:val="TableText"/>
              <w:rPr>
                <w:szCs w:val="20"/>
              </w:rPr>
            </w:pPr>
          </w:p>
        </w:tc>
        <w:tc>
          <w:tcPr>
            <w:tcW w:w="1760" w:type="dxa"/>
          </w:tcPr>
          <w:p w14:paraId="24D0A526" w14:textId="77777777" w:rsidR="006304EB" w:rsidRDefault="006304EB" w:rsidP="00A95965">
            <w:pPr>
              <w:pStyle w:val="TableText"/>
              <w:rPr>
                <w:szCs w:val="20"/>
              </w:rPr>
            </w:pPr>
          </w:p>
        </w:tc>
      </w:tr>
    </w:tbl>
    <w:p w14:paraId="3B7D5644" w14:textId="77777777" w:rsidR="004A6408" w:rsidRDefault="004A6408" w:rsidP="00DD75E5">
      <w:pPr>
        <w:pStyle w:val="BodyText"/>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044"/>
        <w:gridCol w:w="2044"/>
        <w:gridCol w:w="1973"/>
        <w:gridCol w:w="2432"/>
        <w:gridCol w:w="2091"/>
      </w:tblGrid>
      <w:tr w:rsidR="00902D46" w:rsidRPr="00887834" w14:paraId="42B832A3" w14:textId="77777777">
        <w:trPr>
          <w:tblHeader/>
        </w:trPr>
        <w:tc>
          <w:tcPr>
            <w:tcW w:w="12960" w:type="dxa"/>
            <w:gridSpan w:val="6"/>
            <w:shd w:val="clear" w:color="auto" w:fill="B3B3B3"/>
          </w:tcPr>
          <w:p w14:paraId="52633369" w14:textId="77777777" w:rsidR="00902D46" w:rsidRPr="00887834" w:rsidRDefault="00902D46" w:rsidP="00FC4396">
            <w:pPr>
              <w:pStyle w:val="TableText"/>
              <w:rPr>
                <w:b/>
              </w:rPr>
            </w:pPr>
            <w:r w:rsidRPr="00887834">
              <w:rPr>
                <w:b/>
              </w:rPr>
              <w:t>Direct Antiglobulin Test</w:t>
            </w:r>
          </w:p>
        </w:tc>
      </w:tr>
      <w:tr w:rsidR="00887834" w:rsidRPr="00887834" w14:paraId="3AAE88DB" w14:textId="77777777">
        <w:trPr>
          <w:tblHeader/>
        </w:trPr>
        <w:tc>
          <w:tcPr>
            <w:tcW w:w="2376" w:type="dxa"/>
            <w:shd w:val="clear" w:color="auto" w:fill="B3B3B3"/>
          </w:tcPr>
          <w:p w14:paraId="2F7B7BD8" w14:textId="77777777" w:rsidR="008B5CC4" w:rsidRPr="00887834" w:rsidRDefault="008B5CC4" w:rsidP="00FC4396">
            <w:pPr>
              <w:pStyle w:val="TableText"/>
              <w:rPr>
                <w:b/>
              </w:rPr>
            </w:pPr>
            <w:r w:rsidRPr="00887834">
              <w:rPr>
                <w:b/>
              </w:rPr>
              <w:t>Reagent</w:t>
            </w:r>
            <w:r w:rsidR="00CB127B" w:rsidRPr="00887834">
              <w:rPr>
                <w:b/>
              </w:rPr>
              <w:t xml:space="preserve"> Antiserum</w:t>
            </w:r>
          </w:p>
        </w:tc>
        <w:tc>
          <w:tcPr>
            <w:tcW w:w="2044" w:type="dxa"/>
            <w:shd w:val="clear" w:color="auto" w:fill="B3B3B3"/>
          </w:tcPr>
          <w:p w14:paraId="2F4AE523" w14:textId="77777777" w:rsidR="008B5CC4" w:rsidRPr="00887834" w:rsidRDefault="008B5CC4" w:rsidP="00FC4396">
            <w:pPr>
              <w:pStyle w:val="TableText"/>
              <w:rPr>
                <w:b/>
              </w:rPr>
            </w:pPr>
            <w:r w:rsidRPr="00887834">
              <w:rPr>
                <w:b/>
                <w:szCs w:val="20"/>
              </w:rPr>
              <w:t>Lot Number</w:t>
            </w:r>
          </w:p>
        </w:tc>
        <w:tc>
          <w:tcPr>
            <w:tcW w:w="2044" w:type="dxa"/>
            <w:shd w:val="clear" w:color="auto" w:fill="B3B3B3"/>
          </w:tcPr>
          <w:p w14:paraId="6745371F" w14:textId="77777777" w:rsidR="008B5CC4" w:rsidRPr="00887834" w:rsidRDefault="008B5CC4" w:rsidP="00FC4396">
            <w:pPr>
              <w:pStyle w:val="TableText"/>
              <w:rPr>
                <w:b/>
              </w:rPr>
            </w:pPr>
            <w:r w:rsidRPr="00887834">
              <w:rPr>
                <w:b/>
                <w:szCs w:val="20"/>
              </w:rPr>
              <w:t>AHG</w:t>
            </w:r>
          </w:p>
        </w:tc>
        <w:tc>
          <w:tcPr>
            <w:tcW w:w="1973" w:type="dxa"/>
            <w:shd w:val="clear" w:color="auto" w:fill="B3B3B3"/>
          </w:tcPr>
          <w:p w14:paraId="65607E12" w14:textId="77777777" w:rsidR="008B5CC4" w:rsidRPr="00887834" w:rsidRDefault="008B5CC4" w:rsidP="00FC4396">
            <w:pPr>
              <w:pStyle w:val="TableText"/>
              <w:rPr>
                <w:b/>
              </w:rPr>
            </w:pPr>
            <w:r w:rsidRPr="00887834">
              <w:rPr>
                <w:b/>
                <w:szCs w:val="20"/>
              </w:rPr>
              <w:t>CC</w:t>
            </w:r>
          </w:p>
        </w:tc>
        <w:tc>
          <w:tcPr>
            <w:tcW w:w="2432" w:type="dxa"/>
            <w:shd w:val="clear" w:color="auto" w:fill="B3B3B3"/>
          </w:tcPr>
          <w:p w14:paraId="41D16243" w14:textId="77777777" w:rsidR="008B5CC4" w:rsidRPr="00887834" w:rsidRDefault="008B5CC4" w:rsidP="00FC4396">
            <w:pPr>
              <w:pStyle w:val="TableText"/>
              <w:rPr>
                <w:b/>
              </w:rPr>
            </w:pPr>
            <w:r w:rsidRPr="00887834">
              <w:rPr>
                <w:b/>
                <w:szCs w:val="20"/>
              </w:rPr>
              <w:t>Interpretation</w:t>
            </w:r>
          </w:p>
        </w:tc>
        <w:tc>
          <w:tcPr>
            <w:tcW w:w="2091" w:type="dxa"/>
            <w:shd w:val="clear" w:color="auto" w:fill="B3B3B3"/>
          </w:tcPr>
          <w:p w14:paraId="18B3897F" w14:textId="77777777" w:rsidR="008B5CC4" w:rsidRPr="00887834" w:rsidRDefault="008B5CC4" w:rsidP="00FC4396">
            <w:pPr>
              <w:pStyle w:val="TableText"/>
              <w:rPr>
                <w:b/>
              </w:rPr>
            </w:pPr>
            <w:r w:rsidRPr="00887834">
              <w:rPr>
                <w:b/>
                <w:szCs w:val="20"/>
              </w:rPr>
              <w:t>Tech Name</w:t>
            </w:r>
          </w:p>
        </w:tc>
      </w:tr>
      <w:tr w:rsidR="00887834" w14:paraId="382D7AD4" w14:textId="77777777">
        <w:trPr>
          <w:trHeight w:val="432"/>
        </w:trPr>
        <w:tc>
          <w:tcPr>
            <w:tcW w:w="2376" w:type="dxa"/>
          </w:tcPr>
          <w:p w14:paraId="54C50A7B" w14:textId="77777777" w:rsidR="008B5CC4" w:rsidRPr="00887834" w:rsidRDefault="008B5CC4" w:rsidP="00902D46">
            <w:pPr>
              <w:pStyle w:val="TableText"/>
              <w:rPr>
                <w:b/>
              </w:rPr>
            </w:pPr>
            <w:r w:rsidRPr="00887834">
              <w:rPr>
                <w:b/>
              </w:rPr>
              <w:t>Polyspecific</w:t>
            </w:r>
          </w:p>
        </w:tc>
        <w:tc>
          <w:tcPr>
            <w:tcW w:w="2044" w:type="dxa"/>
          </w:tcPr>
          <w:p w14:paraId="262FF11E" w14:textId="77777777" w:rsidR="008B5CC4" w:rsidRDefault="008B5CC4" w:rsidP="00571D70">
            <w:pPr>
              <w:pStyle w:val="TableText"/>
            </w:pPr>
          </w:p>
        </w:tc>
        <w:tc>
          <w:tcPr>
            <w:tcW w:w="2044" w:type="dxa"/>
          </w:tcPr>
          <w:p w14:paraId="1841DCF9" w14:textId="77777777" w:rsidR="008B5CC4" w:rsidRDefault="008B5CC4" w:rsidP="00902D46">
            <w:pPr>
              <w:pStyle w:val="TableText"/>
            </w:pPr>
          </w:p>
        </w:tc>
        <w:tc>
          <w:tcPr>
            <w:tcW w:w="1973" w:type="dxa"/>
          </w:tcPr>
          <w:p w14:paraId="31C70477" w14:textId="77777777" w:rsidR="008B5CC4" w:rsidRDefault="008B5CC4" w:rsidP="00902D46">
            <w:pPr>
              <w:pStyle w:val="TableText"/>
            </w:pPr>
          </w:p>
        </w:tc>
        <w:tc>
          <w:tcPr>
            <w:tcW w:w="2432" w:type="dxa"/>
          </w:tcPr>
          <w:p w14:paraId="3B031210" w14:textId="77777777" w:rsidR="008B5CC4" w:rsidRDefault="008B5CC4" w:rsidP="00902D46">
            <w:pPr>
              <w:pStyle w:val="TableText"/>
            </w:pPr>
          </w:p>
        </w:tc>
        <w:tc>
          <w:tcPr>
            <w:tcW w:w="2091" w:type="dxa"/>
          </w:tcPr>
          <w:p w14:paraId="7FD8B890" w14:textId="77777777" w:rsidR="008B5CC4" w:rsidRDefault="008B5CC4" w:rsidP="00902D46">
            <w:pPr>
              <w:pStyle w:val="TableText"/>
            </w:pPr>
          </w:p>
        </w:tc>
      </w:tr>
      <w:tr w:rsidR="00887834" w14:paraId="570534BA" w14:textId="77777777">
        <w:trPr>
          <w:trHeight w:val="432"/>
        </w:trPr>
        <w:tc>
          <w:tcPr>
            <w:tcW w:w="2376" w:type="dxa"/>
          </w:tcPr>
          <w:p w14:paraId="43CDDD13" w14:textId="77777777" w:rsidR="008B5CC4" w:rsidRPr="00887834" w:rsidRDefault="008B5CC4" w:rsidP="00902D46">
            <w:pPr>
              <w:pStyle w:val="TableText"/>
              <w:rPr>
                <w:b/>
              </w:rPr>
            </w:pPr>
            <w:r w:rsidRPr="00887834">
              <w:rPr>
                <w:b/>
              </w:rPr>
              <w:t>Anti-IgG</w:t>
            </w:r>
          </w:p>
        </w:tc>
        <w:tc>
          <w:tcPr>
            <w:tcW w:w="2044" w:type="dxa"/>
          </w:tcPr>
          <w:p w14:paraId="4BA6F55F" w14:textId="77777777" w:rsidR="008B5CC4" w:rsidRDefault="008B5CC4" w:rsidP="00571D70">
            <w:pPr>
              <w:pStyle w:val="TableText"/>
            </w:pPr>
          </w:p>
        </w:tc>
        <w:tc>
          <w:tcPr>
            <w:tcW w:w="2044" w:type="dxa"/>
          </w:tcPr>
          <w:p w14:paraId="5F2024B0" w14:textId="77777777" w:rsidR="008B5CC4" w:rsidRDefault="008B5CC4" w:rsidP="00902D46">
            <w:pPr>
              <w:pStyle w:val="TableText"/>
            </w:pPr>
          </w:p>
        </w:tc>
        <w:tc>
          <w:tcPr>
            <w:tcW w:w="1973" w:type="dxa"/>
          </w:tcPr>
          <w:p w14:paraId="6F2C5258" w14:textId="77777777" w:rsidR="008B5CC4" w:rsidRDefault="008B5CC4" w:rsidP="00902D46">
            <w:pPr>
              <w:pStyle w:val="TableText"/>
            </w:pPr>
          </w:p>
        </w:tc>
        <w:tc>
          <w:tcPr>
            <w:tcW w:w="2432" w:type="dxa"/>
          </w:tcPr>
          <w:p w14:paraId="125FF514" w14:textId="77777777" w:rsidR="008B5CC4" w:rsidRDefault="008B5CC4" w:rsidP="00902D46">
            <w:pPr>
              <w:pStyle w:val="TableText"/>
            </w:pPr>
          </w:p>
        </w:tc>
        <w:tc>
          <w:tcPr>
            <w:tcW w:w="2091" w:type="dxa"/>
          </w:tcPr>
          <w:p w14:paraId="0649C487" w14:textId="77777777" w:rsidR="008B5CC4" w:rsidRDefault="008B5CC4" w:rsidP="00902D46">
            <w:pPr>
              <w:pStyle w:val="TableText"/>
            </w:pPr>
          </w:p>
        </w:tc>
      </w:tr>
      <w:tr w:rsidR="00887834" w14:paraId="65B081D5" w14:textId="77777777">
        <w:trPr>
          <w:trHeight w:val="432"/>
        </w:trPr>
        <w:tc>
          <w:tcPr>
            <w:tcW w:w="2376" w:type="dxa"/>
          </w:tcPr>
          <w:p w14:paraId="7DC49A8F" w14:textId="77777777" w:rsidR="008B5CC4" w:rsidRPr="00887834" w:rsidRDefault="008B5CC4" w:rsidP="00902D46">
            <w:pPr>
              <w:pStyle w:val="TableText"/>
              <w:rPr>
                <w:b/>
              </w:rPr>
            </w:pPr>
            <w:r w:rsidRPr="00887834">
              <w:rPr>
                <w:b/>
              </w:rPr>
              <w:t>Anti-C3d</w:t>
            </w:r>
          </w:p>
        </w:tc>
        <w:tc>
          <w:tcPr>
            <w:tcW w:w="2044" w:type="dxa"/>
          </w:tcPr>
          <w:p w14:paraId="7A6A5BBA" w14:textId="77777777" w:rsidR="008B5CC4" w:rsidRDefault="008B5CC4" w:rsidP="00571D70">
            <w:pPr>
              <w:pStyle w:val="TableText"/>
            </w:pPr>
          </w:p>
        </w:tc>
        <w:tc>
          <w:tcPr>
            <w:tcW w:w="2044" w:type="dxa"/>
          </w:tcPr>
          <w:p w14:paraId="5D4DF178" w14:textId="77777777" w:rsidR="008B5CC4" w:rsidRDefault="008B5CC4" w:rsidP="00902D46">
            <w:pPr>
              <w:pStyle w:val="TableText"/>
            </w:pPr>
          </w:p>
        </w:tc>
        <w:tc>
          <w:tcPr>
            <w:tcW w:w="1973" w:type="dxa"/>
          </w:tcPr>
          <w:p w14:paraId="12356F06" w14:textId="77777777" w:rsidR="008B5CC4" w:rsidRDefault="008B5CC4" w:rsidP="00902D46">
            <w:pPr>
              <w:pStyle w:val="TableText"/>
            </w:pPr>
          </w:p>
        </w:tc>
        <w:tc>
          <w:tcPr>
            <w:tcW w:w="2432" w:type="dxa"/>
          </w:tcPr>
          <w:p w14:paraId="26F0F845" w14:textId="77777777" w:rsidR="008B5CC4" w:rsidRDefault="008B5CC4" w:rsidP="00902D46">
            <w:pPr>
              <w:pStyle w:val="TableText"/>
            </w:pPr>
          </w:p>
        </w:tc>
        <w:tc>
          <w:tcPr>
            <w:tcW w:w="2091" w:type="dxa"/>
          </w:tcPr>
          <w:p w14:paraId="057146A9" w14:textId="77777777" w:rsidR="008B5CC4" w:rsidRDefault="008B5CC4" w:rsidP="00902D46">
            <w:pPr>
              <w:pStyle w:val="TableText"/>
            </w:pPr>
          </w:p>
        </w:tc>
      </w:tr>
    </w:tbl>
    <w:p w14:paraId="3F71AA4F" w14:textId="77777777" w:rsidR="00902D46" w:rsidRDefault="00902D46" w:rsidP="00902D46">
      <w:pPr>
        <w:rPr>
          <w:rFonts w:ascii="Arial" w:hAnsi="Arial" w:cs="Arial"/>
          <w:sz w:val="18"/>
          <w:szCs w:val="18"/>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8"/>
        <w:gridCol w:w="1099"/>
        <w:gridCol w:w="1099"/>
        <w:gridCol w:w="1100"/>
        <w:gridCol w:w="1100"/>
        <w:gridCol w:w="1100"/>
        <w:gridCol w:w="1100"/>
        <w:gridCol w:w="1100"/>
        <w:gridCol w:w="1410"/>
        <w:gridCol w:w="1434"/>
      </w:tblGrid>
      <w:tr w:rsidR="00C54677" w:rsidRPr="00887834" w14:paraId="304CEF09" w14:textId="77777777">
        <w:trPr>
          <w:tblHeader/>
        </w:trPr>
        <w:tc>
          <w:tcPr>
            <w:tcW w:w="12960" w:type="dxa"/>
            <w:gridSpan w:val="10"/>
            <w:shd w:val="clear" w:color="auto" w:fill="B3B3B3"/>
          </w:tcPr>
          <w:p w14:paraId="069F820D" w14:textId="77777777" w:rsidR="00C54677" w:rsidRPr="00887834" w:rsidRDefault="00C54677" w:rsidP="00FC4396">
            <w:pPr>
              <w:pStyle w:val="TableText"/>
              <w:rPr>
                <w:b/>
              </w:rPr>
            </w:pPr>
            <w:r w:rsidRPr="00887834">
              <w:rPr>
                <w:b/>
              </w:rPr>
              <w:t>Direct Antiglobulin QC</w:t>
            </w:r>
          </w:p>
        </w:tc>
      </w:tr>
      <w:tr w:rsidR="00887834" w:rsidRPr="00887834" w14:paraId="6A0C388A" w14:textId="77777777">
        <w:trPr>
          <w:tblHeader/>
        </w:trPr>
        <w:tc>
          <w:tcPr>
            <w:tcW w:w="2418" w:type="dxa"/>
            <w:shd w:val="clear" w:color="auto" w:fill="B3B3B3"/>
          </w:tcPr>
          <w:p w14:paraId="127AFC99" w14:textId="77777777" w:rsidR="007375B1" w:rsidRPr="00887834" w:rsidRDefault="007375B1" w:rsidP="00FC4396">
            <w:pPr>
              <w:pStyle w:val="TableText"/>
              <w:rPr>
                <w:b/>
              </w:rPr>
            </w:pPr>
            <w:r w:rsidRPr="00887834">
              <w:rPr>
                <w:b/>
              </w:rPr>
              <w:t>Reagent Antiserum</w:t>
            </w:r>
          </w:p>
        </w:tc>
        <w:tc>
          <w:tcPr>
            <w:tcW w:w="1099" w:type="dxa"/>
            <w:shd w:val="clear" w:color="auto" w:fill="B3B3B3"/>
          </w:tcPr>
          <w:p w14:paraId="13392245" w14:textId="77777777" w:rsidR="007375B1" w:rsidRPr="00887834" w:rsidRDefault="007375B1" w:rsidP="00FC4396">
            <w:pPr>
              <w:pStyle w:val="TableText"/>
              <w:rPr>
                <w:b/>
              </w:rPr>
            </w:pPr>
            <w:r w:rsidRPr="00887834">
              <w:rPr>
                <w:b/>
                <w:szCs w:val="20"/>
              </w:rPr>
              <w:t>Lot Number</w:t>
            </w:r>
          </w:p>
        </w:tc>
        <w:tc>
          <w:tcPr>
            <w:tcW w:w="1099" w:type="dxa"/>
            <w:shd w:val="clear" w:color="auto" w:fill="B3B3B3"/>
          </w:tcPr>
          <w:p w14:paraId="11E47CBF" w14:textId="77777777" w:rsidR="007375B1" w:rsidRPr="00887834" w:rsidRDefault="007375B1" w:rsidP="00FC4396">
            <w:pPr>
              <w:pStyle w:val="TableText"/>
              <w:rPr>
                <w:b/>
                <w:szCs w:val="20"/>
              </w:rPr>
            </w:pPr>
            <w:r w:rsidRPr="00887834">
              <w:rPr>
                <w:b/>
                <w:szCs w:val="20"/>
              </w:rPr>
              <w:t>Expiration Date</w:t>
            </w:r>
          </w:p>
        </w:tc>
        <w:tc>
          <w:tcPr>
            <w:tcW w:w="1100" w:type="dxa"/>
            <w:shd w:val="clear" w:color="auto" w:fill="B3B3B3"/>
          </w:tcPr>
          <w:p w14:paraId="05927066" w14:textId="77777777" w:rsidR="007375B1" w:rsidRPr="00887834" w:rsidRDefault="007375B1" w:rsidP="00FC4396">
            <w:pPr>
              <w:pStyle w:val="TableText"/>
              <w:rPr>
                <w:b/>
                <w:szCs w:val="20"/>
              </w:rPr>
            </w:pPr>
            <w:r w:rsidRPr="00887834">
              <w:rPr>
                <w:b/>
                <w:szCs w:val="20"/>
              </w:rPr>
              <w:t>Reagent Red Cells</w:t>
            </w:r>
          </w:p>
        </w:tc>
        <w:tc>
          <w:tcPr>
            <w:tcW w:w="1100" w:type="dxa"/>
            <w:shd w:val="clear" w:color="auto" w:fill="B3B3B3"/>
          </w:tcPr>
          <w:p w14:paraId="5DEEB7B1" w14:textId="77777777" w:rsidR="007375B1" w:rsidRPr="00887834" w:rsidRDefault="007375B1" w:rsidP="00FC4396">
            <w:pPr>
              <w:pStyle w:val="TableText"/>
              <w:rPr>
                <w:b/>
                <w:szCs w:val="20"/>
              </w:rPr>
            </w:pPr>
            <w:r w:rsidRPr="00887834">
              <w:rPr>
                <w:b/>
                <w:szCs w:val="20"/>
              </w:rPr>
              <w:t>Lot Number</w:t>
            </w:r>
          </w:p>
        </w:tc>
        <w:tc>
          <w:tcPr>
            <w:tcW w:w="1100" w:type="dxa"/>
            <w:shd w:val="clear" w:color="auto" w:fill="B3B3B3"/>
          </w:tcPr>
          <w:p w14:paraId="2A09FBCF" w14:textId="77777777" w:rsidR="007375B1" w:rsidRPr="00887834" w:rsidRDefault="007375B1" w:rsidP="00FC4396">
            <w:pPr>
              <w:pStyle w:val="TableText"/>
              <w:rPr>
                <w:b/>
                <w:szCs w:val="20"/>
              </w:rPr>
            </w:pPr>
            <w:r w:rsidRPr="00887834">
              <w:rPr>
                <w:b/>
                <w:szCs w:val="20"/>
              </w:rPr>
              <w:t>Expiration Date</w:t>
            </w:r>
          </w:p>
        </w:tc>
        <w:tc>
          <w:tcPr>
            <w:tcW w:w="1100" w:type="dxa"/>
            <w:shd w:val="clear" w:color="auto" w:fill="B3B3B3"/>
          </w:tcPr>
          <w:p w14:paraId="5C0E0D5D" w14:textId="77777777" w:rsidR="007375B1" w:rsidRPr="00887834" w:rsidRDefault="007375B1" w:rsidP="00FC4396">
            <w:pPr>
              <w:pStyle w:val="TableText"/>
              <w:rPr>
                <w:b/>
              </w:rPr>
            </w:pPr>
            <w:r w:rsidRPr="00887834">
              <w:rPr>
                <w:b/>
                <w:szCs w:val="20"/>
              </w:rPr>
              <w:t>AHG</w:t>
            </w:r>
          </w:p>
        </w:tc>
        <w:tc>
          <w:tcPr>
            <w:tcW w:w="1100" w:type="dxa"/>
            <w:shd w:val="clear" w:color="auto" w:fill="B3B3B3"/>
          </w:tcPr>
          <w:p w14:paraId="22238879" w14:textId="77777777" w:rsidR="007375B1" w:rsidRPr="00887834" w:rsidRDefault="007375B1" w:rsidP="00FC4396">
            <w:pPr>
              <w:pStyle w:val="TableText"/>
              <w:rPr>
                <w:b/>
              </w:rPr>
            </w:pPr>
            <w:r w:rsidRPr="00887834">
              <w:rPr>
                <w:b/>
                <w:szCs w:val="20"/>
              </w:rPr>
              <w:t>CC</w:t>
            </w:r>
          </w:p>
        </w:tc>
        <w:tc>
          <w:tcPr>
            <w:tcW w:w="1410" w:type="dxa"/>
            <w:shd w:val="clear" w:color="auto" w:fill="B3B3B3"/>
          </w:tcPr>
          <w:p w14:paraId="48373BB6" w14:textId="77777777" w:rsidR="007375B1" w:rsidRPr="00887834" w:rsidRDefault="007375B1" w:rsidP="00FC4396">
            <w:pPr>
              <w:pStyle w:val="TableText"/>
              <w:rPr>
                <w:b/>
              </w:rPr>
            </w:pPr>
            <w:r w:rsidRPr="00887834">
              <w:rPr>
                <w:b/>
                <w:szCs w:val="20"/>
              </w:rPr>
              <w:t>Interpretation</w:t>
            </w:r>
          </w:p>
        </w:tc>
        <w:tc>
          <w:tcPr>
            <w:tcW w:w="1434" w:type="dxa"/>
            <w:shd w:val="clear" w:color="auto" w:fill="B3B3B3"/>
          </w:tcPr>
          <w:p w14:paraId="09FA7FF9" w14:textId="77777777" w:rsidR="007375B1" w:rsidRPr="00887834" w:rsidRDefault="007375B1" w:rsidP="00FC4396">
            <w:pPr>
              <w:pStyle w:val="TableText"/>
              <w:rPr>
                <w:b/>
              </w:rPr>
            </w:pPr>
            <w:r w:rsidRPr="00887834">
              <w:rPr>
                <w:b/>
                <w:szCs w:val="20"/>
              </w:rPr>
              <w:t>Tech Name</w:t>
            </w:r>
          </w:p>
        </w:tc>
      </w:tr>
      <w:tr w:rsidR="00887834" w14:paraId="39F05340" w14:textId="77777777">
        <w:trPr>
          <w:trHeight w:val="432"/>
        </w:trPr>
        <w:tc>
          <w:tcPr>
            <w:tcW w:w="2418" w:type="dxa"/>
          </w:tcPr>
          <w:p w14:paraId="71E1F21A" w14:textId="77777777" w:rsidR="007375B1" w:rsidRPr="00887834" w:rsidRDefault="007375B1" w:rsidP="00DF12C8">
            <w:pPr>
              <w:pStyle w:val="TableText"/>
              <w:rPr>
                <w:b/>
              </w:rPr>
            </w:pPr>
            <w:r w:rsidRPr="00887834">
              <w:rPr>
                <w:b/>
              </w:rPr>
              <w:t>Polyspecific</w:t>
            </w:r>
          </w:p>
        </w:tc>
        <w:tc>
          <w:tcPr>
            <w:tcW w:w="1099" w:type="dxa"/>
          </w:tcPr>
          <w:p w14:paraId="0411C5D6" w14:textId="77777777" w:rsidR="007375B1" w:rsidRDefault="007375B1" w:rsidP="00DF12C8">
            <w:pPr>
              <w:pStyle w:val="TableText"/>
            </w:pPr>
          </w:p>
        </w:tc>
        <w:tc>
          <w:tcPr>
            <w:tcW w:w="1099" w:type="dxa"/>
          </w:tcPr>
          <w:p w14:paraId="38DF55EB" w14:textId="77777777" w:rsidR="007375B1" w:rsidRDefault="007375B1" w:rsidP="00DF12C8">
            <w:pPr>
              <w:pStyle w:val="TableText"/>
            </w:pPr>
          </w:p>
        </w:tc>
        <w:tc>
          <w:tcPr>
            <w:tcW w:w="1100" w:type="dxa"/>
          </w:tcPr>
          <w:p w14:paraId="6AEFF488" w14:textId="77777777" w:rsidR="007375B1" w:rsidRDefault="007375B1" w:rsidP="00DF12C8">
            <w:pPr>
              <w:pStyle w:val="TableText"/>
            </w:pPr>
          </w:p>
        </w:tc>
        <w:tc>
          <w:tcPr>
            <w:tcW w:w="1100" w:type="dxa"/>
          </w:tcPr>
          <w:p w14:paraId="1284EF48" w14:textId="77777777" w:rsidR="007375B1" w:rsidRDefault="007375B1" w:rsidP="00DF12C8">
            <w:pPr>
              <w:pStyle w:val="TableText"/>
            </w:pPr>
          </w:p>
        </w:tc>
        <w:tc>
          <w:tcPr>
            <w:tcW w:w="1100" w:type="dxa"/>
          </w:tcPr>
          <w:p w14:paraId="10DC69F6" w14:textId="77777777" w:rsidR="007375B1" w:rsidRDefault="007375B1" w:rsidP="00DF12C8">
            <w:pPr>
              <w:pStyle w:val="TableText"/>
            </w:pPr>
          </w:p>
        </w:tc>
        <w:tc>
          <w:tcPr>
            <w:tcW w:w="1100" w:type="dxa"/>
          </w:tcPr>
          <w:p w14:paraId="72D9BCCF" w14:textId="77777777" w:rsidR="007375B1" w:rsidRDefault="007375B1" w:rsidP="00DF12C8">
            <w:pPr>
              <w:pStyle w:val="TableText"/>
            </w:pPr>
          </w:p>
        </w:tc>
        <w:tc>
          <w:tcPr>
            <w:tcW w:w="1100" w:type="dxa"/>
          </w:tcPr>
          <w:p w14:paraId="262D451D" w14:textId="77777777" w:rsidR="007375B1" w:rsidRDefault="007375B1" w:rsidP="00DF12C8">
            <w:pPr>
              <w:pStyle w:val="TableText"/>
            </w:pPr>
          </w:p>
        </w:tc>
        <w:tc>
          <w:tcPr>
            <w:tcW w:w="1410" w:type="dxa"/>
          </w:tcPr>
          <w:p w14:paraId="31C14360" w14:textId="77777777" w:rsidR="007375B1" w:rsidRDefault="007375B1" w:rsidP="00DF12C8">
            <w:pPr>
              <w:pStyle w:val="TableText"/>
            </w:pPr>
          </w:p>
        </w:tc>
        <w:tc>
          <w:tcPr>
            <w:tcW w:w="1434" w:type="dxa"/>
          </w:tcPr>
          <w:p w14:paraId="5E428B8C" w14:textId="77777777" w:rsidR="007375B1" w:rsidRDefault="007375B1" w:rsidP="00DF12C8">
            <w:pPr>
              <w:pStyle w:val="TableText"/>
            </w:pPr>
          </w:p>
        </w:tc>
      </w:tr>
      <w:tr w:rsidR="00887834" w14:paraId="07769D52" w14:textId="77777777">
        <w:trPr>
          <w:trHeight w:val="432"/>
        </w:trPr>
        <w:tc>
          <w:tcPr>
            <w:tcW w:w="2418" w:type="dxa"/>
          </w:tcPr>
          <w:p w14:paraId="53B68C79" w14:textId="77777777" w:rsidR="007375B1" w:rsidRPr="00887834" w:rsidRDefault="007375B1" w:rsidP="00DF12C8">
            <w:pPr>
              <w:pStyle w:val="TableText"/>
              <w:rPr>
                <w:b/>
              </w:rPr>
            </w:pPr>
            <w:r w:rsidRPr="00887834">
              <w:rPr>
                <w:b/>
              </w:rPr>
              <w:t>Anti-IgG</w:t>
            </w:r>
          </w:p>
        </w:tc>
        <w:tc>
          <w:tcPr>
            <w:tcW w:w="1099" w:type="dxa"/>
          </w:tcPr>
          <w:p w14:paraId="1D37F013" w14:textId="77777777" w:rsidR="007375B1" w:rsidRDefault="007375B1" w:rsidP="00DF12C8">
            <w:pPr>
              <w:pStyle w:val="TableText"/>
            </w:pPr>
          </w:p>
        </w:tc>
        <w:tc>
          <w:tcPr>
            <w:tcW w:w="1099" w:type="dxa"/>
          </w:tcPr>
          <w:p w14:paraId="0601D4E2" w14:textId="77777777" w:rsidR="007375B1" w:rsidRDefault="007375B1" w:rsidP="00DF12C8">
            <w:pPr>
              <w:pStyle w:val="TableText"/>
            </w:pPr>
          </w:p>
        </w:tc>
        <w:tc>
          <w:tcPr>
            <w:tcW w:w="1100" w:type="dxa"/>
          </w:tcPr>
          <w:p w14:paraId="0F509CA0" w14:textId="77777777" w:rsidR="007375B1" w:rsidRDefault="007375B1" w:rsidP="00DF12C8">
            <w:pPr>
              <w:pStyle w:val="TableText"/>
            </w:pPr>
          </w:p>
        </w:tc>
        <w:tc>
          <w:tcPr>
            <w:tcW w:w="1100" w:type="dxa"/>
          </w:tcPr>
          <w:p w14:paraId="22955448" w14:textId="77777777" w:rsidR="007375B1" w:rsidRDefault="007375B1" w:rsidP="00DF12C8">
            <w:pPr>
              <w:pStyle w:val="TableText"/>
            </w:pPr>
          </w:p>
        </w:tc>
        <w:tc>
          <w:tcPr>
            <w:tcW w:w="1100" w:type="dxa"/>
          </w:tcPr>
          <w:p w14:paraId="55CF23CC" w14:textId="77777777" w:rsidR="007375B1" w:rsidRDefault="007375B1" w:rsidP="00DF12C8">
            <w:pPr>
              <w:pStyle w:val="TableText"/>
            </w:pPr>
          </w:p>
        </w:tc>
        <w:tc>
          <w:tcPr>
            <w:tcW w:w="1100" w:type="dxa"/>
          </w:tcPr>
          <w:p w14:paraId="069D3A8E" w14:textId="77777777" w:rsidR="007375B1" w:rsidRDefault="007375B1" w:rsidP="00DF12C8">
            <w:pPr>
              <w:pStyle w:val="TableText"/>
            </w:pPr>
          </w:p>
        </w:tc>
        <w:tc>
          <w:tcPr>
            <w:tcW w:w="1100" w:type="dxa"/>
          </w:tcPr>
          <w:p w14:paraId="58DC0D36" w14:textId="77777777" w:rsidR="007375B1" w:rsidRDefault="007375B1" w:rsidP="00DF12C8">
            <w:pPr>
              <w:pStyle w:val="TableText"/>
            </w:pPr>
          </w:p>
        </w:tc>
        <w:tc>
          <w:tcPr>
            <w:tcW w:w="1410" w:type="dxa"/>
          </w:tcPr>
          <w:p w14:paraId="0CF3B03B" w14:textId="77777777" w:rsidR="007375B1" w:rsidRDefault="007375B1" w:rsidP="00DF12C8">
            <w:pPr>
              <w:pStyle w:val="TableText"/>
            </w:pPr>
          </w:p>
        </w:tc>
        <w:tc>
          <w:tcPr>
            <w:tcW w:w="1434" w:type="dxa"/>
          </w:tcPr>
          <w:p w14:paraId="7BBC7237" w14:textId="77777777" w:rsidR="007375B1" w:rsidRDefault="007375B1" w:rsidP="00DF12C8">
            <w:pPr>
              <w:pStyle w:val="TableText"/>
            </w:pPr>
          </w:p>
        </w:tc>
      </w:tr>
      <w:tr w:rsidR="00887834" w14:paraId="7E125E34" w14:textId="77777777">
        <w:trPr>
          <w:trHeight w:val="432"/>
        </w:trPr>
        <w:tc>
          <w:tcPr>
            <w:tcW w:w="2418" w:type="dxa"/>
          </w:tcPr>
          <w:p w14:paraId="6C7E17A5" w14:textId="77777777" w:rsidR="007375B1" w:rsidRPr="00887834" w:rsidRDefault="007375B1" w:rsidP="00DF12C8">
            <w:pPr>
              <w:pStyle w:val="TableText"/>
              <w:rPr>
                <w:b/>
              </w:rPr>
            </w:pPr>
            <w:r w:rsidRPr="00887834">
              <w:rPr>
                <w:b/>
              </w:rPr>
              <w:t>Anti-C3d</w:t>
            </w:r>
          </w:p>
        </w:tc>
        <w:tc>
          <w:tcPr>
            <w:tcW w:w="1099" w:type="dxa"/>
          </w:tcPr>
          <w:p w14:paraId="3C5E125F" w14:textId="77777777" w:rsidR="007375B1" w:rsidRDefault="007375B1" w:rsidP="00DF12C8">
            <w:pPr>
              <w:pStyle w:val="TableText"/>
            </w:pPr>
          </w:p>
        </w:tc>
        <w:tc>
          <w:tcPr>
            <w:tcW w:w="1099" w:type="dxa"/>
          </w:tcPr>
          <w:p w14:paraId="7FF3A30B" w14:textId="77777777" w:rsidR="007375B1" w:rsidRDefault="007375B1" w:rsidP="00DF12C8">
            <w:pPr>
              <w:pStyle w:val="TableText"/>
            </w:pPr>
          </w:p>
        </w:tc>
        <w:tc>
          <w:tcPr>
            <w:tcW w:w="1100" w:type="dxa"/>
          </w:tcPr>
          <w:p w14:paraId="40C2E9B6" w14:textId="77777777" w:rsidR="007375B1" w:rsidRDefault="007375B1" w:rsidP="00DF12C8">
            <w:pPr>
              <w:pStyle w:val="TableText"/>
            </w:pPr>
          </w:p>
        </w:tc>
        <w:tc>
          <w:tcPr>
            <w:tcW w:w="1100" w:type="dxa"/>
          </w:tcPr>
          <w:p w14:paraId="108CC9C1" w14:textId="77777777" w:rsidR="007375B1" w:rsidRDefault="007375B1" w:rsidP="00DF12C8">
            <w:pPr>
              <w:pStyle w:val="TableText"/>
            </w:pPr>
          </w:p>
        </w:tc>
        <w:tc>
          <w:tcPr>
            <w:tcW w:w="1100" w:type="dxa"/>
          </w:tcPr>
          <w:p w14:paraId="0424B467" w14:textId="77777777" w:rsidR="007375B1" w:rsidRDefault="007375B1" w:rsidP="00DF12C8">
            <w:pPr>
              <w:pStyle w:val="TableText"/>
            </w:pPr>
          </w:p>
        </w:tc>
        <w:tc>
          <w:tcPr>
            <w:tcW w:w="1100" w:type="dxa"/>
          </w:tcPr>
          <w:p w14:paraId="0F298B3E" w14:textId="77777777" w:rsidR="007375B1" w:rsidRDefault="007375B1" w:rsidP="00DF12C8">
            <w:pPr>
              <w:pStyle w:val="TableText"/>
            </w:pPr>
          </w:p>
        </w:tc>
        <w:tc>
          <w:tcPr>
            <w:tcW w:w="1100" w:type="dxa"/>
          </w:tcPr>
          <w:p w14:paraId="47CF895D" w14:textId="77777777" w:rsidR="007375B1" w:rsidRDefault="007375B1" w:rsidP="00DF12C8">
            <w:pPr>
              <w:pStyle w:val="TableText"/>
            </w:pPr>
          </w:p>
        </w:tc>
        <w:tc>
          <w:tcPr>
            <w:tcW w:w="1410" w:type="dxa"/>
          </w:tcPr>
          <w:p w14:paraId="7FD58554" w14:textId="77777777" w:rsidR="007375B1" w:rsidRDefault="007375B1" w:rsidP="00DF12C8">
            <w:pPr>
              <w:pStyle w:val="TableText"/>
            </w:pPr>
          </w:p>
        </w:tc>
        <w:tc>
          <w:tcPr>
            <w:tcW w:w="1434" w:type="dxa"/>
          </w:tcPr>
          <w:p w14:paraId="3D68F1D5" w14:textId="77777777" w:rsidR="007375B1" w:rsidRDefault="007375B1" w:rsidP="00DF12C8">
            <w:pPr>
              <w:pStyle w:val="TableText"/>
            </w:pPr>
          </w:p>
        </w:tc>
      </w:tr>
    </w:tbl>
    <w:p w14:paraId="21B4EB53" w14:textId="77777777" w:rsidR="00C54677" w:rsidRDefault="00C54677" w:rsidP="00C54677">
      <w:pPr>
        <w:pStyle w:val="BodyText"/>
      </w:pPr>
      <w:r>
        <w:t>Test Results: Positive, Graded = M, F, W, 1+, 2+, 3+, 4+; Negative = 0; NT = Not Tested</w:t>
      </w:r>
    </w:p>
    <w:p w14:paraId="34B4A180" w14:textId="77777777" w:rsidR="0050722E" w:rsidRDefault="0050722E" w:rsidP="00C54677">
      <w:pPr>
        <w:pStyle w:val="BodyText"/>
      </w:pPr>
    </w:p>
    <w:p w14:paraId="10A476E2" w14:textId="77777777" w:rsidR="00E7240A" w:rsidRDefault="00E7240A" w:rsidP="0050722E">
      <w:pPr>
        <w:pStyle w:val="Heading3"/>
      </w:pPr>
      <w:r>
        <w:br w:type="page"/>
      </w:r>
      <w:bookmarkStart w:id="570" w:name="_Toc149064205"/>
      <w:r>
        <w:t>Unit ABO/Rh Confirmation Form</w:t>
      </w:r>
      <w:bookmarkEnd w:id="570"/>
      <w:r w:rsidR="00246F04">
        <w:fldChar w:fldCharType="begin"/>
      </w:r>
      <w:r w:rsidR="00246F04">
        <w:instrText xml:space="preserve"> XE "</w:instrText>
      </w:r>
      <w:r w:rsidR="00246F04" w:rsidRPr="005960AD">
        <w:instrText>Unit ABO/Rh Confirmation Form</w:instrText>
      </w:r>
      <w:r w:rsidR="00246F04">
        <w:instrText xml:space="preserve">" </w:instrText>
      </w:r>
      <w:r w:rsidR="00246F04">
        <w:fldChar w:fldCharType="end"/>
      </w:r>
      <w:r w:rsidR="00A95965">
        <w:fldChar w:fldCharType="begin"/>
      </w:r>
      <w:r w:rsidR="00A95965">
        <w:instrText xml:space="preserve"> XE “Forms:Unit ABO/Rh Confirmation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0"/>
        <w:gridCol w:w="3161"/>
        <w:gridCol w:w="1588"/>
        <w:gridCol w:w="1584"/>
        <w:gridCol w:w="3157"/>
      </w:tblGrid>
      <w:tr w:rsidR="003F4F8B" w14:paraId="6945A448" w14:textId="77777777">
        <w:tc>
          <w:tcPr>
            <w:tcW w:w="12960" w:type="dxa"/>
            <w:gridSpan w:val="5"/>
          </w:tcPr>
          <w:p w14:paraId="1071653E" w14:textId="77777777" w:rsidR="003F4F8B" w:rsidRPr="003F4F8B" w:rsidRDefault="003F4F8B" w:rsidP="003F4F8B">
            <w:pPr>
              <w:pStyle w:val="TableText"/>
            </w:pPr>
            <w:r w:rsidRPr="00887834">
              <w:rPr>
                <w:b/>
              </w:rPr>
              <w:t xml:space="preserve">Facility Name: </w:t>
            </w:r>
          </w:p>
        </w:tc>
      </w:tr>
      <w:tr w:rsidR="003F4F8B" w14:paraId="6768CD82" w14:textId="77777777">
        <w:tc>
          <w:tcPr>
            <w:tcW w:w="12960" w:type="dxa"/>
            <w:gridSpan w:val="5"/>
          </w:tcPr>
          <w:p w14:paraId="2FBC572B" w14:textId="77777777" w:rsidR="003F4F8B" w:rsidRPr="003F4F8B" w:rsidRDefault="003F4F8B" w:rsidP="003F4F8B">
            <w:pPr>
              <w:pStyle w:val="TableText"/>
            </w:pPr>
            <w:r w:rsidRPr="00887834">
              <w:rPr>
                <w:b/>
              </w:rPr>
              <w:t xml:space="preserve">Address: </w:t>
            </w:r>
          </w:p>
        </w:tc>
      </w:tr>
      <w:tr w:rsidR="003F4F8B" w14:paraId="47C8DFEE" w14:textId="77777777">
        <w:tc>
          <w:tcPr>
            <w:tcW w:w="12960" w:type="dxa"/>
            <w:gridSpan w:val="5"/>
          </w:tcPr>
          <w:p w14:paraId="3AA0D99B" w14:textId="77777777" w:rsidR="003F4F8B" w:rsidRPr="003F4F8B" w:rsidRDefault="003F4F8B" w:rsidP="003F4F8B">
            <w:pPr>
              <w:pStyle w:val="TableText"/>
            </w:pPr>
            <w:r w:rsidRPr="00887834">
              <w:rPr>
                <w:b/>
              </w:rPr>
              <w:t>City, State, Zip Code:</w:t>
            </w:r>
            <w:r>
              <w:t xml:space="preserve"> </w:t>
            </w:r>
          </w:p>
        </w:tc>
      </w:tr>
      <w:tr w:rsidR="00E7240A" w14:paraId="6675C4F7"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230"/>
        </w:trPr>
        <w:tc>
          <w:tcPr>
            <w:tcW w:w="3470" w:type="dxa"/>
            <w:tcBorders>
              <w:bottom w:val="single" w:sz="2" w:space="0" w:color="auto"/>
            </w:tcBorders>
            <w:shd w:val="clear" w:color="auto" w:fill="B3B3B3"/>
            <w:noWrap/>
          </w:tcPr>
          <w:p w14:paraId="00439863" w14:textId="77777777" w:rsidR="00E7240A" w:rsidRPr="00E8564A" w:rsidRDefault="00E7240A" w:rsidP="00A95965">
            <w:pPr>
              <w:pStyle w:val="TableText"/>
              <w:rPr>
                <w:b/>
                <w:szCs w:val="20"/>
              </w:rPr>
            </w:pPr>
            <w:r w:rsidRPr="00E8564A">
              <w:rPr>
                <w:b/>
                <w:szCs w:val="20"/>
              </w:rPr>
              <w:t>Invoice Number</w:t>
            </w:r>
          </w:p>
        </w:tc>
        <w:tc>
          <w:tcPr>
            <w:tcW w:w="3161" w:type="dxa"/>
            <w:tcBorders>
              <w:bottom w:val="single" w:sz="2" w:space="0" w:color="auto"/>
            </w:tcBorders>
            <w:shd w:val="clear" w:color="auto" w:fill="B3B3B3"/>
          </w:tcPr>
          <w:p w14:paraId="3C39C929" w14:textId="77777777" w:rsidR="00E7240A" w:rsidRPr="00E8564A" w:rsidRDefault="00E7240A" w:rsidP="00A95965">
            <w:pPr>
              <w:pStyle w:val="TableText"/>
              <w:rPr>
                <w:b/>
                <w:szCs w:val="20"/>
              </w:rPr>
            </w:pPr>
            <w:r w:rsidRPr="00E8564A">
              <w:rPr>
                <w:b/>
                <w:szCs w:val="20"/>
              </w:rPr>
              <w:t>Source (Shipper) Name</w:t>
            </w:r>
          </w:p>
        </w:tc>
        <w:tc>
          <w:tcPr>
            <w:tcW w:w="1588" w:type="dxa"/>
            <w:tcBorders>
              <w:bottom w:val="single" w:sz="2" w:space="0" w:color="auto"/>
            </w:tcBorders>
            <w:shd w:val="clear" w:color="auto" w:fill="B3B3B3"/>
          </w:tcPr>
          <w:p w14:paraId="0FE6F068" w14:textId="77777777" w:rsidR="00E7240A" w:rsidRPr="00E8564A" w:rsidRDefault="00E7240A" w:rsidP="00A95965">
            <w:pPr>
              <w:pStyle w:val="TableText"/>
              <w:rPr>
                <w:b/>
                <w:szCs w:val="20"/>
              </w:rPr>
            </w:pPr>
            <w:r w:rsidRPr="00E8564A">
              <w:rPr>
                <w:b/>
                <w:szCs w:val="20"/>
              </w:rPr>
              <w:t>Reagent Rack</w:t>
            </w:r>
          </w:p>
        </w:tc>
        <w:tc>
          <w:tcPr>
            <w:tcW w:w="1584" w:type="dxa"/>
            <w:tcBorders>
              <w:bottom w:val="single" w:sz="2" w:space="0" w:color="auto"/>
            </w:tcBorders>
            <w:shd w:val="clear" w:color="auto" w:fill="B3B3B3"/>
          </w:tcPr>
          <w:p w14:paraId="29A184B9" w14:textId="77777777" w:rsidR="00E7240A" w:rsidRPr="00E8564A" w:rsidRDefault="00E7240A" w:rsidP="00A95965">
            <w:pPr>
              <w:pStyle w:val="TableText"/>
              <w:rPr>
                <w:b/>
                <w:szCs w:val="20"/>
              </w:rPr>
            </w:pPr>
            <w:r w:rsidRPr="00E8564A">
              <w:rPr>
                <w:b/>
                <w:szCs w:val="20"/>
              </w:rPr>
              <w:t>Date</w:t>
            </w:r>
            <w:r>
              <w:rPr>
                <w:b/>
                <w:szCs w:val="20"/>
              </w:rPr>
              <w:t xml:space="preserve"> and Time</w:t>
            </w:r>
          </w:p>
        </w:tc>
        <w:tc>
          <w:tcPr>
            <w:tcW w:w="3157" w:type="dxa"/>
            <w:tcBorders>
              <w:bottom w:val="single" w:sz="2" w:space="0" w:color="auto"/>
            </w:tcBorders>
            <w:shd w:val="clear" w:color="auto" w:fill="B3B3B3"/>
          </w:tcPr>
          <w:p w14:paraId="346D76DD" w14:textId="77777777" w:rsidR="00E7240A" w:rsidRPr="00E8564A" w:rsidRDefault="00E7240A" w:rsidP="00A95965">
            <w:pPr>
              <w:pStyle w:val="TableText"/>
              <w:rPr>
                <w:b/>
                <w:szCs w:val="20"/>
              </w:rPr>
            </w:pPr>
            <w:r w:rsidRPr="00E8564A">
              <w:rPr>
                <w:b/>
                <w:szCs w:val="20"/>
              </w:rPr>
              <w:t>Tech Name</w:t>
            </w:r>
          </w:p>
        </w:tc>
      </w:tr>
      <w:tr w:rsidR="00E7240A" w14:paraId="1064CDBF"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432"/>
        </w:trPr>
        <w:tc>
          <w:tcPr>
            <w:tcW w:w="3470" w:type="dxa"/>
            <w:shd w:val="clear" w:color="auto" w:fill="auto"/>
            <w:noWrap/>
          </w:tcPr>
          <w:p w14:paraId="4F1218E9" w14:textId="77777777" w:rsidR="00E7240A" w:rsidRPr="00E8564A" w:rsidRDefault="00E7240A" w:rsidP="00A95965">
            <w:pPr>
              <w:pStyle w:val="TableText"/>
              <w:rPr>
                <w:b/>
                <w:szCs w:val="20"/>
              </w:rPr>
            </w:pPr>
          </w:p>
        </w:tc>
        <w:tc>
          <w:tcPr>
            <w:tcW w:w="3161" w:type="dxa"/>
            <w:shd w:val="clear" w:color="auto" w:fill="auto"/>
          </w:tcPr>
          <w:p w14:paraId="0452930A" w14:textId="77777777" w:rsidR="00E7240A" w:rsidRPr="00E8564A" w:rsidRDefault="00E7240A" w:rsidP="00A95965">
            <w:pPr>
              <w:pStyle w:val="TableText"/>
              <w:rPr>
                <w:b/>
                <w:szCs w:val="20"/>
              </w:rPr>
            </w:pPr>
          </w:p>
        </w:tc>
        <w:tc>
          <w:tcPr>
            <w:tcW w:w="1588" w:type="dxa"/>
            <w:shd w:val="clear" w:color="auto" w:fill="auto"/>
          </w:tcPr>
          <w:p w14:paraId="6EDFABCA" w14:textId="77777777" w:rsidR="00E7240A" w:rsidRPr="00E8564A" w:rsidRDefault="00E7240A" w:rsidP="00A95965">
            <w:pPr>
              <w:pStyle w:val="TableText"/>
              <w:rPr>
                <w:b/>
                <w:szCs w:val="20"/>
              </w:rPr>
            </w:pPr>
          </w:p>
        </w:tc>
        <w:tc>
          <w:tcPr>
            <w:tcW w:w="1584" w:type="dxa"/>
            <w:shd w:val="clear" w:color="auto" w:fill="auto"/>
          </w:tcPr>
          <w:p w14:paraId="15CE5753" w14:textId="77777777" w:rsidR="00E7240A" w:rsidRPr="00E8564A" w:rsidRDefault="00E7240A" w:rsidP="00A95965">
            <w:pPr>
              <w:pStyle w:val="TableText"/>
              <w:rPr>
                <w:b/>
                <w:szCs w:val="20"/>
              </w:rPr>
            </w:pPr>
          </w:p>
        </w:tc>
        <w:tc>
          <w:tcPr>
            <w:tcW w:w="3157" w:type="dxa"/>
            <w:shd w:val="clear" w:color="auto" w:fill="auto"/>
          </w:tcPr>
          <w:p w14:paraId="27F8D735" w14:textId="77777777" w:rsidR="00E7240A" w:rsidRPr="00E8564A" w:rsidRDefault="00E7240A" w:rsidP="00A95965">
            <w:pPr>
              <w:pStyle w:val="TableText"/>
              <w:rPr>
                <w:b/>
                <w:szCs w:val="20"/>
              </w:rPr>
            </w:pPr>
          </w:p>
        </w:tc>
      </w:tr>
    </w:tbl>
    <w:p w14:paraId="0635C26D"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973"/>
        <w:gridCol w:w="1127"/>
        <w:gridCol w:w="1132"/>
        <w:gridCol w:w="971"/>
        <w:gridCol w:w="971"/>
        <w:gridCol w:w="971"/>
        <w:gridCol w:w="971"/>
        <w:gridCol w:w="1103"/>
        <w:gridCol w:w="1741"/>
      </w:tblGrid>
      <w:tr w:rsidR="006304EB" w14:paraId="10B5B47E" w14:textId="77777777">
        <w:trPr>
          <w:cantSplit/>
          <w:trHeight w:val="230"/>
          <w:tblHeader/>
        </w:trPr>
        <w:tc>
          <w:tcPr>
            <w:tcW w:w="3973" w:type="dxa"/>
            <w:shd w:val="clear" w:color="auto" w:fill="B3B3B3"/>
            <w:noWrap/>
          </w:tcPr>
          <w:p w14:paraId="57707F40" w14:textId="77777777" w:rsidR="006304EB" w:rsidRPr="005F4649" w:rsidRDefault="006304EB" w:rsidP="00A95965">
            <w:pPr>
              <w:pStyle w:val="TableText"/>
              <w:rPr>
                <w:b/>
                <w:szCs w:val="20"/>
              </w:rPr>
            </w:pPr>
            <w:r w:rsidRPr="005F4649">
              <w:rPr>
                <w:b/>
                <w:szCs w:val="20"/>
              </w:rPr>
              <w:t>Unit Identification Number</w:t>
            </w:r>
          </w:p>
        </w:tc>
        <w:tc>
          <w:tcPr>
            <w:tcW w:w="1127" w:type="dxa"/>
            <w:shd w:val="clear" w:color="auto" w:fill="B3B3B3"/>
          </w:tcPr>
          <w:p w14:paraId="11CEA82C" w14:textId="77777777" w:rsidR="006304EB" w:rsidRPr="005F4649" w:rsidRDefault="006304EB" w:rsidP="006304EB">
            <w:pPr>
              <w:pStyle w:val="TableText"/>
              <w:rPr>
                <w:b/>
                <w:szCs w:val="20"/>
              </w:rPr>
            </w:pPr>
            <w:r>
              <w:rPr>
                <w:b/>
                <w:szCs w:val="20"/>
              </w:rPr>
              <w:t xml:space="preserve">Product Code </w:t>
            </w:r>
          </w:p>
        </w:tc>
        <w:tc>
          <w:tcPr>
            <w:tcW w:w="1132" w:type="dxa"/>
            <w:shd w:val="clear" w:color="auto" w:fill="B3B3B3"/>
          </w:tcPr>
          <w:p w14:paraId="4016655E" w14:textId="77777777" w:rsidR="006304EB" w:rsidRPr="005F4649" w:rsidRDefault="006304EB" w:rsidP="00A95965">
            <w:pPr>
              <w:pStyle w:val="TableText"/>
              <w:rPr>
                <w:b/>
                <w:szCs w:val="20"/>
              </w:rPr>
            </w:pPr>
            <w:r w:rsidRPr="005F4649">
              <w:rPr>
                <w:b/>
                <w:szCs w:val="20"/>
              </w:rPr>
              <w:t>Unit ABO/Rh</w:t>
            </w:r>
          </w:p>
        </w:tc>
        <w:tc>
          <w:tcPr>
            <w:tcW w:w="971" w:type="dxa"/>
            <w:shd w:val="clear" w:color="auto" w:fill="B3B3B3"/>
          </w:tcPr>
          <w:p w14:paraId="363BA8A2" w14:textId="77777777" w:rsidR="006304EB" w:rsidRPr="005F4649" w:rsidRDefault="006304EB" w:rsidP="00A95965">
            <w:pPr>
              <w:pStyle w:val="TableText"/>
              <w:rPr>
                <w:b/>
                <w:szCs w:val="20"/>
              </w:rPr>
            </w:pPr>
            <w:r w:rsidRPr="005F4649">
              <w:rPr>
                <w:b/>
                <w:szCs w:val="20"/>
              </w:rPr>
              <w:t>Anti-A</w:t>
            </w:r>
          </w:p>
        </w:tc>
        <w:tc>
          <w:tcPr>
            <w:tcW w:w="971" w:type="dxa"/>
            <w:shd w:val="clear" w:color="auto" w:fill="B3B3B3"/>
          </w:tcPr>
          <w:p w14:paraId="29C10E64" w14:textId="77777777" w:rsidR="006304EB" w:rsidRPr="005F4649" w:rsidRDefault="006304EB" w:rsidP="00A95965">
            <w:pPr>
              <w:pStyle w:val="TableText"/>
              <w:rPr>
                <w:b/>
                <w:szCs w:val="20"/>
              </w:rPr>
            </w:pPr>
            <w:r w:rsidRPr="005F4649">
              <w:rPr>
                <w:b/>
                <w:szCs w:val="20"/>
              </w:rPr>
              <w:t>Anti-B</w:t>
            </w:r>
          </w:p>
        </w:tc>
        <w:tc>
          <w:tcPr>
            <w:tcW w:w="971" w:type="dxa"/>
            <w:shd w:val="clear" w:color="auto" w:fill="B3B3B3"/>
          </w:tcPr>
          <w:p w14:paraId="6E51ED5D" w14:textId="77777777" w:rsidR="006304EB" w:rsidRPr="005F4649" w:rsidRDefault="006304EB" w:rsidP="00A95965">
            <w:pPr>
              <w:pStyle w:val="TableText"/>
              <w:rPr>
                <w:b/>
                <w:szCs w:val="20"/>
              </w:rPr>
            </w:pPr>
            <w:r w:rsidRPr="005F4649">
              <w:rPr>
                <w:b/>
                <w:szCs w:val="20"/>
              </w:rPr>
              <w:t>Anti-A,B</w:t>
            </w:r>
          </w:p>
        </w:tc>
        <w:tc>
          <w:tcPr>
            <w:tcW w:w="971" w:type="dxa"/>
            <w:shd w:val="clear" w:color="auto" w:fill="B3B3B3"/>
          </w:tcPr>
          <w:p w14:paraId="580BFD39" w14:textId="77777777" w:rsidR="006304EB" w:rsidRPr="005F4649" w:rsidRDefault="006304EB" w:rsidP="00A95965">
            <w:pPr>
              <w:pStyle w:val="TableText"/>
              <w:rPr>
                <w:b/>
                <w:szCs w:val="20"/>
              </w:rPr>
            </w:pPr>
            <w:r w:rsidRPr="005F4649">
              <w:rPr>
                <w:b/>
                <w:szCs w:val="20"/>
              </w:rPr>
              <w:t>Anti-D</w:t>
            </w:r>
          </w:p>
        </w:tc>
        <w:tc>
          <w:tcPr>
            <w:tcW w:w="1103" w:type="dxa"/>
            <w:shd w:val="clear" w:color="auto" w:fill="B3B3B3"/>
          </w:tcPr>
          <w:p w14:paraId="5EFE5809" w14:textId="77777777" w:rsidR="006304EB" w:rsidRPr="005F4649" w:rsidRDefault="006304EB" w:rsidP="00A95965">
            <w:pPr>
              <w:pStyle w:val="TableText"/>
              <w:rPr>
                <w:b/>
                <w:szCs w:val="20"/>
              </w:rPr>
            </w:pPr>
            <w:r>
              <w:rPr>
                <w:b/>
                <w:szCs w:val="20"/>
              </w:rPr>
              <w:t>Rh C</w:t>
            </w:r>
            <w:r w:rsidRPr="005F4649">
              <w:rPr>
                <w:b/>
                <w:szCs w:val="20"/>
              </w:rPr>
              <w:t>ontrol</w:t>
            </w:r>
          </w:p>
        </w:tc>
        <w:tc>
          <w:tcPr>
            <w:tcW w:w="1741" w:type="dxa"/>
            <w:shd w:val="clear" w:color="auto" w:fill="B3B3B3"/>
          </w:tcPr>
          <w:p w14:paraId="5E84336D" w14:textId="77777777" w:rsidR="006304EB" w:rsidRPr="005F4649" w:rsidRDefault="006304EB" w:rsidP="00A95965">
            <w:pPr>
              <w:pStyle w:val="TableText"/>
              <w:rPr>
                <w:b/>
                <w:szCs w:val="20"/>
              </w:rPr>
            </w:pPr>
            <w:r w:rsidRPr="005F4649">
              <w:rPr>
                <w:b/>
                <w:szCs w:val="20"/>
              </w:rPr>
              <w:t>ABO/Rh Interpretation</w:t>
            </w:r>
          </w:p>
        </w:tc>
      </w:tr>
      <w:tr w:rsidR="006304EB" w14:paraId="772D3865" w14:textId="77777777">
        <w:trPr>
          <w:cantSplit/>
          <w:trHeight w:val="432"/>
        </w:trPr>
        <w:tc>
          <w:tcPr>
            <w:tcW w:w="3973" w:type="dxa"/>
            <w:noWrap/>
          </w:tcPr>
          <w:p w14:paraId="25D9FBB9" w14:textId="77777777" w:rsidR="006304EB" w:rsidRPr="005F4649" w:rsidRDefault="006304EB" w:rsidP="00A95965">
            <w:pPr>
              <w:pStyle w:val="TableText"/>
              <w:rPr>
                <w:b/>
                <w:szCs w:val="20"/>
              </w:rPr>
            </w:pPr>
          </w:p>
        </w:tc>
        <w:tc>
          <w:tcPr>
            <w:tcW w:w="1127" w:type="dxa"/>
          </w:tcPr>
          <w:p w14:paraId="369AB9A8" w14:textId="77777777" w:rsidR="006304EB" w:rsidRPr="005F4649" w:rsidRDefault="006304EB" w:rsidP="006304EB">
            <w:pPr>
              <w:pStyle w:val="TableText"/>
              <w:rPr>
                <w:b/>
                <w:szCs w:val="20"/>
              </w:rPr>
            </w:pPr>
          </w:p>
        </w:tc>
        <w:tc>
          <w:tcPr>
            <w:tcW w:w="1132" w:type="dxa"/>
          </w:tcPr>
          <w:p w14:paraId="68D12683" w14:textId="77777777" w:rsidR="006304EB" w:rsidRPr="005F4649" w:rsidRDefault="006304EB" w:rsidP="00A95965">
            <w:pPr>
              <w:pStyle w:val="TableText"/>
              <w:rPr>
                <w:b/>
                <w:szCs w:val="20"/>
              </w:rPr>
            </w:pPr>
          </w:p>
        </w:tc>
        <w:tc>
          <w:tcPr>
            <w:tcW w:w="971" w:type="dxa"/>
          </w:tcPr>
          <w:p w14:paraId="3ABF708B" w14:textId="77777777" w:rsidR="006304EB" w:rsidRPr="005F4649" w:rsidRDefault="006304EB" w:rsidP="00A95965">
            <w:pPr>
              <w:pStyle w:val="TableText"/>
              <w:rPr>
                <w:b/>
                <w:szCs w:val="20"/>
              </w:rPr>
            </w:pPr>
          </w:p>
        </w:tc>
        <w:tc>
          <w:tcPr>
            <w:tcW w:w="971" w:type="dxa"/>
          </w:tcPr>
          <w:p w14:paraId="5D4D4F20" w14:textId="77777777" w:rsidR="006304EB" w:rsidRPr="005F4649" w:rsidRDefault="006304EB" w:rsidP="00A95965">
            <w:pPr>
              <w:pStyle w:val="TableText"/>
              <w:rPr>
                <w:b/>
                <w:szCs w:val="20"/>
              </w:rPr>
            </w:pPr>
          </w:p>
        </w:tc>
        <w:tc>
          <w:tcPr>
            <w:tcW w:w="971" w:type="dxa"/>
          </w:tcPr>
          <w:p w14:paraId="79E1552A" w14:textId="77777777" w:rsidR="006304EB" w:rsidRPr="005F4649" w:rsidRDefault="006304EB" w:rsidP="00A95965">
            <w:pPr>
              <w:pStyle w:val="TableText"/>
              <w:rPr>
                <w:b/>
                <w:szCs w:val="20"/>
              </w:rPr>
            </w:pPr>
          </w:p>
        </w:tc>
        <w:tc>
          <w:tcPr>
            <w:tcW w:w="971" w:type="dxa"/>
          </w:tcPr>
          <w:p w14:paraId="548D2497" w14:textId="77777777" w:rsidR="006304EB" w:rsidRPr="005F4649" w:rsidRDefault="006304EB" w:rsidP="00A95965">
            <w:pPr>
              <w:pStyle w:val="TableText"/>
              <w:rPr>
                <w:b/>
                <w:szCs w:val="20"/>
              </w:rPr>
            </w:pPr>
          </w:p>
        </w:tc>
        <w:tc>
          <w:tcPr>
            <w:tcW w:w="1103" w:type="dxa"/>
          </w:tcPr>
          <w:p w14:paraId="45C1AA45" w14:textId="77777777" w:rsidR="006304EB" w:rsidRDefault="006304EB" w:rsidP="00A95965">
            <w:pPr>
              <w:pStyle w:val="TableText"/>
              <w:rPr>
                <w:b/>
                <w:szCs w:val="20"/>
              </w:rPr>
            </w:pPr>
          </w:p>
        </w:tc>
        <w:tc>
          <w:tcPr>
            <w:tcW w:w="1741" w:type="dxa"/>
          </w:tcPr>
          <w:p w14:paraId="31ADE4BF" w14:textId="77777777" w:rsidR="006304EB" w:rsidRPr="005F4649" w:rsidRDefault="006304EB" w:rsidP="00A95965">
            <w:pPr>
              <w:pStyle w:val="TableText"/>
              <w:rPr>
                <w:b/>
                <w:szCs w:val="20"/>
              </w:rPr>
            </w:pPr>
          </w:p>
        </w:tc>
      </w:tr>
      <w:tr w:rsidR="006304EB" w14:paraId="7D363DC9" w14:textId="77777777">
        <w:trPr>
          <w:cantSplit/>
          <w:trHeight w:val="432"/>
        </w:trPr>
        <w:tc>
          <w:tcPr>
            <w:tcW w:w="3973" w:type="dxa"/>
            <w:noWrap/>
          </w:tcPr>
          <w:p w14:paraId="1CD95FB2" w14:textId="77777777" w:rsidR="006304EB" w:rsidRPr="005F4649" w:rsidRDefault="006304EB" w:rsidP="00A95965">
            <w:pPr>
              <w:pStyle w:val="TableText"/>
              <w:rPr>
                <w:b/>
                <w:szCs w:val="20"/>
              </w:rPr>
            </w:pPr>
          </w:p>
        </w:tc>
        <w:tc>
          <w:tcPr>
            <w:tcW w:w="1127" w:type="dxa"/>
          </w:tcPr>
          <w:p w14:paraId="5A3903CF" w14:textId="77777777" w:rsidR="006304EB" w:rsidRPr="005F4649" w:rsidRDefault="006304EB" w:rsidP="006304EB">
            <w:pPr>
              <w:pStyle w:val="TableText"/>
              <w:rPr>
                <w:b/>
                <w:szCs w:val="20"/>
              </w:rPr>
            </w:pPr>
          </w:p>
        </w:tc>
        <w:tc>
          <w:tcPr>
            <w:tcW w:w="1132" w:type="dxa"/>
          </w:tcPr>
          <w:p w14:paraId="5853F55D" w14:textId="77777777" w:rsidR="006304EB" w:rsidRPr="005F4649" w:rsidRDefault="006304EB" w:rsidP="00A95965">
            <w:pPr>
              <w:pStyle w:val="TableText"/>
              <w:rPr>
                <w:b/>
                <w:szCs w:val="20"/>
              </w:rPr>
            </w:pPr>
          </w:p>
        </w:tc>
        <w:tc>
          <w:tcPr>
            <w:tcW w:w="971" w:type="dxa"/>
          </w:tcPr>
          <w:p w14:paraId="27F8D078" w14:textId="77777777" w:rsidR="006304EB" w:rsidRPr="005F4649" w:rsidRDefault="006304EB" w:rsidP="00A95965">
            <w:pPr>
              <w:pStyle w:val="TableText"/>
              <w:rPr>
                <w:b/>
                <w:szCs w:val="20"/>
              </w:rPr>
            </w:pPr>
          </w:p>
        </w:tc>
        <w:tc>
          <w:tcPr>
            <w:tcW w:w="971" w:type="dxa"/>
          </w:tcPr>
          <w:p w14:paraId="0F6263B6" w14:textId="77777777" w:rsidR="006304EB" w:rsidRPr="005F4649" w:rsidRDefault="006304EB" w:rsidP="00A95965">
            <w:pPr>
              <w:pStyle w:val="TableText"/>
              <w:rPr>
                <w:b/>
                <w:szCs w:val="20"/>
              </w:rPr>
            </w:pPr>
          </w:p>
        </w:tc>
        <w:tc>
          <w:tcPr>
            <w:tcW w:w="971" w:type="dxa"/>
          </w:tcPr>
          <w:p w14:paraId="4C9807F8" w14:textId="77777777" w:rsidR="006304EB" w:rsidRPr="005F4649" w:rsidRDefault="006304EB" w:rsidP="00A95965">
            <w:pPr>
              <w:pStyle w:val="TableText"/>
              <w:rPr>
                <w:b/>
                <w:szCs w:val="20"/>
              </w:rPr>
            </w:pPr>
          </w:p>
        </w:tc>
        <w:tc>
          <w:tcPr>
            <w:tcW w:w="971" w:type="dxa"/>
          </w:tcPr>
          <w:p w14:paraId="7F76A08A" w14:textId="77777777" w:rsidR="006304EB" w:rsidRPr="005F4649" w:rsidRDefault="006304EB" w:rsidP="00A95965">
            <w:pPr>
              <w:pStyle w:val="TableText"/>
              <w:rPr>
                <w:b/>
                <w:szCs w:val="20"/>
              </w:rPr>
            </w:pPr>
          </w:p>
        </w:tc>
        <w:tc>
          <w:tcPr>
            <w:tcW w:w="1103" w:type="dxa"/>
          </w:tcPr>
          <w:p w14:paraId="04F9BA1C" w14:textId="77777777" w:rsidR="006304EB" w:rsidRDefault="006304EB" w:rsidP="00A95965">
            <w:pPr>
              <w:pStyle w:val="TableText"/>
              <w:rPr>
                <w:b/>
                <w:szCs w:val="20"/>
              </w:rPr>
            </w:pPr>
          </w:p>
        </w:tc>
        <w:tc>
          <w:tcPr>
            <w:tcW w:w="1741" w:type="dxa"/>
          </w:tcPr>
          <w:p w14:paraId="7B656DE7" w14:textId="77777777" w:rsidR="006304EB" w:rsidRPr="005F4649" w:rsidRDefault="006304EB" w:rsidP="00A95965">
            <w:pPr>
              <w:pStyle w:val="TableText"/>
              <w:rPr>
                <w:b/>
                <w:szCs w:val="20"/>
              </w:rPr>
            </w:pPr>
          </w:p>
        </w:tc>
      </w:tr>
      <w:tr w:rsidR="006304EB" w14:paraId="4AD12AE5" w14:textId="77777777">
        <w:trPr>
          <w:cantSplit/>
          <w:trHeight w:val="432"/>
        </w:trPr>
        <w:tc>
          <w:tcPr>
            <w:tcW w:w="3973" w:type="dxa"/>
            <w:noWrap/>
          </w:tcPr>
          <w:p w14:paraId="24ED466D" w14:textId="77777777" w:rsidR="006304EB" w:rsidRPr="005F4649" w:rsidRDefault="006304EB" w:rsidP="00A95965">
            <w:pPr>
              <w:pStyle w:val="TableText"/>
              <w:rPr>
                <w:b/>
                <w:szCs w:val="20"/>
              </w:rPr>
            </w:pPr>
          </w:p>
        </w:tc>
        <w:tc>
          <w:tcPr>
            <w:tcW w:w="1127" w:type="dxa"/>
          </w:tcPr>
          <w:p w14:paraId="3DB3878F" w14:textId="77777777" w:rsidR="006304EB" w:rsidRPr="005F4649" w:rsidRDefault="006304EB" w:rsidP="006304EB">
            <w:pPr>
              <w:pStyle w:val="TableText"/>
              <w:rPr>
                <w:b/>
                <w:szCs w:val="20"/>
              </w:rPr>
            </w:pPr>
          </w:p>
        </w:tc>
        <w:tc>
          <w:tcPr>
            <w:tcW w:w="1132" w:type="dxa"/>
          </w:tcPr>
          <w:p w14:paraId="2B644920" w14:textId="77777777" w:rsidR="006304EB" w:rsidRPr="005F4649" w:rsidRDefault="006304EB" w:rsidP="00A95965">
            <w:pPr>
              <w:pStyle w:val="TableText"/>
              <w:rPr>
                <w:b/>
                <w:szCs w:val="20"/>
              </w:rPr>
            </w:pPr>
          </w:p>
        </w:tc>
        <w:tc>
          <w:tcPr>
            <w:tcW w:w="971" w:type="dxa"/>
          </w:tcPr>
          <w:p w14:paraId="415611BD" w14:textId="77777777" w:rsidR="006304EB" w:rsidRPr="005F4649" w:rsidRDefault="006304EB" w:rsidP="00A95965">
            <w:pPr>
              <w:pStyle w:val="TableText"/>
              <w:rPr>
                <w:b/>
                <w:szCs w:val="20"/>
              </w:rPr>
            </w:pPr>
          </w:p>
        </w:tc>
        <w:tc>
          <w:tcPr>
            <w:tcW w:w="971" w:type="dxa"/>
          </w:tcPr>
          <w:p w14:paraId="1DF35395" w14:textId="77777777" w:rsidR="006304EB" w:rsidRPr="005F4649" w:rsidRDefault="006304EB" w:rsidP="00A95965">
            <w:pPr>
              <w:pStyle w:val="TableText"/>
              <w:rPr>
                <w:b/>
                <w:szCs w:val="20"/>
              </w:rPr>
            </w:pPr>
          </w:p>
        </w:tc>
        <w:tc>
          <w:tcPr>
            <w:tcW w:w="971" w:type="dxa"/>
          </w:tcPr>
          <w:p w14:paraId="1ADA3F64" w14:textId="77777777" w:rsidR="006304EB" w:rsidRPr="005F4649" w:rsidRDefault="006304EB" w:rsidP="00A95965">
            <w:pPr>
              <w:pStyle w:val="TableText"/>
              <w:rPr>
                <w:b/>
                <w:szCs w:val="20"/>
              </w:rPr>
            </w:pPr>
          </w:p>
        </w:tc>
        <w:tc>
          <w:tcPr>
            <w:tcW w:w="971" w:type="dxa"/>
          </w:tcPr>
          <w:p w14:paraId="41BEA503" w14:textId="77777777" w:rsidR="006304EB" w:rsidRPr="005F4649" w:rsidRDefault="006304EB" w:rsidP="00A95965">
            <w:pPr>
              <w:pStyle w:val="TableText"/>
              <w:rPr>
                <w:b/>
                <w:szCs w:val="20"/>
              </w:rPr>
            </w:pPr>
          </w:p>
        </w:tc>
        <w:tc>
          <w:tcPr>
            <w:tcW w:w="1103" w:type="dxa"/>
          </w:tcPr>
          <w:p w14:paraId="49CD3B15" w14:textId="77777777" w:rsidR="006304EB" w:rsidRDefault="006304EB" w:rsidP="00A95965">
            <w:pPr>
              <w:pStyle w:val="TableText"/>
              <w:rPr>
                <w:b/>
                <w:szCs w:val="20"/>
              </w:rPr>
            </w:pPr>
          </w:p>
        </w:tc>
        <w:tc>
          <w:tcPr>
            <w:tcW w:w="1741" w:type="dxa"/>
          </w:tcPr>
          <w:p w14:paraId="61606A0C" w14:textId="77777777" w:rsidR="006304EB" w:rsidRPr="005F4649" w:rsidRDefault="006304EB" w:rsidP="00A95965">
            <w:pPr>
              <w:pStyle w:val="TableText"/>
              <w:rPr>
                <w:b/>
                <w:szCs w:val="20"/>
              </w:rPr>
            </w:pPr>
          </w:p>
        </w:tc>
      </w:tr>
      <w:tr w:rsidR="006304EB" w14:paraId="6C15B4F9" w14:textId="77777777">
        <w:trPr>
          <w:cantSplit/>
          <w:trHeight w:val="432"/>
        </w:trPr>
        <w:tc>
          <w:tcPr>
            <w:tcW w:w="3973" w:type="dxa"/>
            <w:noWrap/>
          </w:tcPr>
          <w:p w14:paraId="5567798B" w14:textId="77777777" w:rsidR="006304EB" w:rsidRPr="005F4649" w:rsidRDefault="006304EB" w:rsidP="00A95965">
            <w:pPr>
              <w:pStyle w:val="TableText"/>
              <w:rPr>
                <w:b/>
                <w:szCs w:val="20"/>
              </w:rPr>
            </w:pPr>
          </w:p>
        </w:tc>
        <w:tc>
          <w:tcPr>
            <w:tcW w:w="1127" w:type="dxa"/>
          </w:tcPr>
          <w:p w14:paraId="7DAEA7FA" w14:textId="77777777" w:rsidR="006304EB" w:rsidRPr="005F4649" w:rsidRDefault="006304EB" w:rsidP="006304EB">
            <w:pPr>
              <w:pStyle w:val="TableText"/>
              <w:rPr>
                <w:b/>
                <w:szCs w:val="20"/>
              </w:rPr>
            </w:pPr>
          </w:p>
        </w:tc>
        <w:tc>
          <w:tcPr>
            <w:tcW w:w="1132" w:type="dxa"/>
          </w:tcPr>
          <w:p w14:paraId="306F23E6" w14:textId="77777777" w:rsidR="006304EB" w:rsidRPr="005F4649" w:rsidRDefault="006304EB" w:rsidP="00A95965">
            <w:pPr>
              <w:pStyle w:val="TableText"/>
              <w:rPr>
                <w:b/>
                <w:szCs w:val="20"/>
              </w:rPr>
            </w:pPr>
          </w:p>
        </w:tc>
        <w:tc>
          <w:tcPr>
            <w:tcW w:w="971" w:type="dxa"/>
          </w:tcPr>
          <w:p w14:paraId="32C0EE9F" w14:textId="77777777" w:rsidR="006304EB" w:rsidRPr="005F4649" w:rsidRDefault="006304EB" w:rsidP="00A95965">
            <w:pPr>
              <w:pStyle w:val="TableText"/>
              <w:rPr>
                <w:b/>
                <w:szCs w:val="20"/>
              </w:rPr>
            </w:pPr>
          </w:p>
        </w:tc>
        <w:tc>
          <w:tcPr>
            <w:tcW w:w="971" w:type="dxa"/>
          </w:tcPr>
          <w:p w14:paraId="2E8F08DA" w14:textId="77777777" w:rsidR="006304EB" w:rsidRPr="005F4649" w:rsidRDefault="006304EB" w:rsidP="00A95965">
            <w:pPr>
              <w:pStyle w:val="TableText"/>
              <w:rPr>
                <w:b/>
                <w:szCs w:val="20"/>
              </w:rPr>
            </w:pPr>
          </w:p>
        </w:tc>
        <w:tc>
          <w:tcPr>
            <w:tcW w:w="971" w:type="dxa"/>
          </w:tcPr>
          <w:p w14:paraId="40536AC9" w14:textId="77777777" w:rsidR="006304EB" w:rsidRPr="005F4649" w:rsidRDefault="006304EB" w:rsidP="00A95965">
            <w:pPr>
              <w:pStyle w:val="TableText"/>
              <w:rPr>
                <w:b/>
                <w:szCs w:val="20"/>
              </w:rPr>
            </w:pPr>
          </w:p>
        </w:tc>
        <w:tc>
          <w:tcPr>
            <w:tcW w:w="971" w:type="dxa"/>
          </w:tcPr>
          <w:p w14:paraId="5B3487D2" w14:textId="77777777" w:rsidR="006304EB" w:rsidRPr="005F4649" w:rsidRDefault="006304EB" w:rsidP="00A95965">
            <w:pPr>
              <w:pStyle w:val="TableText"/>
              <w:rPr>
                <w:b/>
                <w:szCs w:val="20"/>
              </w:rPr>
            </w:pPr>
          </w:p>
        </w:tc>
        <w:tc>
          <w:tcPr>
            <w:tcW w:w="1103" w:type="dxa"/>
          </w:tcPr>
          <w:p w14:paraId="094B6539" w14:textId="77777777" w:rsidR="006304EB" w:rsidRDefault="006304EB" w:rsidP="00A95965">
            <w:pPr>
              <w:pStyle w:val="TableText"/>
              <w:rPr>
                <w:b/>
                <w:szCs w:val="20"/>
              </w:rPr>
            </w:pPr>
          </w:p>
        </w:tc>
        <w:tc>
          <w:tcPr>
            <w:tcW w:w="1741" w:type="dxa"/>
          </w:tcPr>
          <w:p w14:paraId="2C76FEB2" w14:textId="77777777" w:rsidR="006304EB" w:rsidRPr="005F4649" w:rsidRDefault="006304EB" w:rsidP="00A95965">
            <w:pPr>
              <w:pStyle w:val="TableText"/>
              <w:rPr>
                <w:b/>
                <w:szCs w:val="20"/>
              </w:rPr>
            </w:pPr>
          </w:p>
        </w:tc>
      </w:tr>
      <w:tr w:rsidR="006304EB" w14:paraId="714F72D1" w14:textId="77777777">
        <w:trPr>
          <w:cantSplit/>
          <w:trHeight w:val="432"/>
        </w:trPr>
        <w:tc>
          <w:tcPr>
            <w:tcW w:w="3973" w:type="dxa"/>
            <w:noWrap/>
          </w:tcPr>
          <w:p w14:paraId="17CCAB25" w14:textId="77777777" w:rsidR="006304EB" w:rsidRPr="005F4649" w:rsidRDefault="006304EB" w:rsidP="00A95965">
            <w:pPr>
              <w:pStyle w:val="TableText"/>
              <w:rPr>
                <w:b/>
                <w:szCs w:val="20"/>
              </w:rPr>
            </w:pPr>
          </w:p>
        </w:tc>
        <w:tc>
          <w:tcPr>
            <w:tcW w:w="1127" w:type="dxa"/>
          </w:tcPr>
          <w:p w14:paraId="21CE797E" w14:textId="77777777" w:rsidR="006304EB" w:rsidRPr="005F4649" w:rsidRDefault="006304EB" w:rsidP="006304EB">
            <w:pPr>
              <w:pStyle w:val="TableText"/>
              <w:rPr>
                <w:b/>
                <w:szCs w:val="20"/>
              </w:rPr>
            </w:pPr>
          </w:p>
        </w:tc>
        <w:tc>
          <w:tcPr>
            <w:tcW w:w="1132" w:type="dxa"/>
          </w:tcPr>
          <w:p w14:paraId="0917A274" w14:textId="77777777" w:rsidR="006304EB" w:rsidRPr="005F4649" w:rsidRDefault="006304EB" w:rsidP="00A95965">
            <w:pPr>
              <w:pStyle w:val="TableText"/>
              <w:rPr>
                <w:b/>
                <w:szCs w:val="20"/>
              </w:rPr>
            </w:pPr>
          </w:p>
        </w:tc>
        <w:tc>
          <w:tcPr>
            <w:tcW w:w="971" w:type="dxa"/>
          </w:tcPr>
          <w:p w14:paraId="6AC00126" w14:textId="77777777" w:rsidR="006304EB" w:rsidRPr="005F4649" w:rsidRDefault="006304EB" w:rsidP="00A95965">
            <w:pPr>
              <w:pStyle w:val="TableText"/>
              <w:rPr>
                <w:b/>
                <w:szCs w:val="20"/>
              </w:rPr>
            </w:pPr>
          </w:p>
        </w:tc>
        <w:tc>
          <w:tcPr>
            <w:tcW w:w="971" w:type="dxa"/>
          </w:tcPr>
          <w:p w14:paraId="62F8F3CE" w14:textId="77777777" w:rsidR="006304EB" w:rsidRPr="005F4649" w:rsidRDefault="006304EB" w:rsidP="00A95965">
            <w:pPr>
              <w:pStyle w:val="TableText"/>
              <w:rPr>
                <w:b/>
                <w:szCs w:val="20"/>
              </w:rPr>
            </w:pPr>
          </w:p>
        </w:tc>
        <w:tc>
          <w:tcPr>
            <w:tcW w:w="971" w:type="dxa"/>
          </w:tcPr>
          <w:p w14:paraId="03AE2059" w14:textId="77777777" w:rsidR="006304EB" w:rsidRPr="005F4649" w:rsidRDefault="006304EB" w:rsidP="00A95965">
            <w:pPr>
              <w:pStyle w:val="TableText"/>
              <w:rPr>
                <w:b/>
                <w:szCs w:val="20"/>
              </w:rPr>
            </w:pPr>
          </w:p>
        </w:tc>
        <w:tc>
          <w:tcPr>
            <w:tcW w:w="971" w:type="dxa"/>
          </w:tcPr>
          <w:p w14:paraId="4A1BA922" w14:textId="77777777" w:rsidR="006304EB" w:rsidRPr="005F4649" w:rsidRDefault="006304EB" w:rsidP="00A95965">
            <w:pPr>
              <w:pStyle w:val="TableText"/>
              <w:rPr>
                <w:b/>
                <w:szCs w:val="20"/>
              </w:rPr>
            </w:pPr>
          </w:p>
        </w:tc>
        <w:tc>
          <w:tcPr>
            <w:tcW w:w="1103" w:type="dxa"/>
          </w:tcPr>
          <w:p w14:paraId="22345D0A" w14:textId="77777777" w:rsidR="006304EB" w:rsidRDefault="006304EB" w:rsidP="00A95965">
            <w:pPr>
              <w:pStyle w:val="TableText"/>
              <w:rPr>
                <w:b/>
                <w:szCs w:val="20"/>
              </w:rPr>
            </w:pPr>
          </w:p>
        </w:tc>
        <w:tc>
          <w:tcPr>
            <w:tcW w:w="1741" w:type="dxa"/>
          </w:tcPr>
          <w:p w14:paraId="4DE1FA62" w14:textId="77777777" w:rsidR="006304EB" w:rsidRPr="005F4649" w:rsidRDefault="006304EB" w:rsidP="00A95965">
            <w:pPr>
              <w:pStyle w:val="TableText"/>
              <w:rPr>
                <w:b/>
                <w:szCs w:val="20"/>
              </w:rPr>
            </w:pPr>
          </w:p>
        </w:tc>
      </w:tr>
      <w:tr w:rsidR="006304EB" w14:paraId="33626256" w14:textId="77777777">
        <w:trPr>
          <w:cantSplit/>
          <w:trHeight w:val="432"/>
        </w:trPr>
        <w:tc>
          <w:tcPr>
            <w:tcW w:w="3973" w:type="dxa"/>
            <w:noWrap/>
          </w:tcPr>
          <w:p w14:paraId="0FF4A760" w14:textId="77777777" w:rsidR="006304EB" w:rsidRPr="005F4649" w:rsidRDefault="006304EB" w:rsidP="00A95965">
            <w:pPr>
              <w:pStyle w:val="TableText"/>
              <w:rPr>
                <w:b/>
                <w:szCs w:val="20"/>
              </w:rPr>
            </w:pPr>
          </w:p>
        </w:tc>
        <w:tc>
          <w:tcPr>
            <w:tcW w:w="1127" w:type="dxa"/>
          </w:tcPr>
          <w:p w14:paraId="37C5D3A2" w14:textId="77777777" w:rsidR="006304EB" w:rsidRPr="005F4649" w:rsidRDefault="006304EB" w:rsidP="006304EB">
            <w:pPr>
              <w:pStyle w:val="TableText"/>
              <w:rPr>
                <w:b/>
                <w:szCs w:val="20"/>
              </w:rPr>
            </w:pPr>
          </w:p>
        </w:tc>
        <w:tc>
          <w:tcPr>
            <w:tcW w:w="1132" w:type="dxa"/>
          </w:tcPr>
          <w:p w14:paraId="3B54CBD0" w14:textId="77777777" w:rsidR="006304EB" w:rsidRPr="005F4649" w:rsidRDefault="006304EB" w:rsidP="00A95965">
            <w:pPr>
              <w:pStyle w:val="TableText"/>
              <w:rPr>
                <w:b/>
                <w:szCs w:val="20"/>
              </w:rPr>
            </w:pPr>
          </w:p>
        </w:tc>
        <w:tc>
          <w:tcPr>
            <w:tcW w:w="971" w:type="dxa"/>
          </w:tcPr>
          <w:p w14:paraId="3F1BBBDC" w14:textId="77777777" w:rsidR="006304EB" w:rsidRPr="005F4649" w:rsidRDefault="006304EB" w:rsidP="00A95965">
            <w:pPr>
              <w:pStyle w:val="TableText"/>
              <w:rPr>
                <w:b/>
                <w:szCs w:val="20"/>
              </w:rPr>
            </w:pPr>
          </w:p>
        </w:tc>
        <w:tc>
          <w:tcPr>
            <w:tcW w:w="971" w:type="dxa"/>
          </w:tcPr>
          <w:p w14:paraId="2602C3D6" w14:textId="77777777" w:rsidR="006304EB" w:rsidRPr="005F4649" w:rsidRDefault="006304EB" w:rsidP="00A95965">
            <w:pPr>
              <w:pStyle w:val="TableText"/>
              <w:rPr>
                <w:b/>
                <w:szCs w:val="20"/>
              </w:rPr>
            </w:pPr>
          </w:p>
        </w:tc>
        <w:tc>
          <w:tcPr>
            <w:tcW w:w="971" w:type="dxa"/>
          </w:tcPr>
          <w:p w14:paraId="531FA535" w14:textId="77777777" w:rsidR="006304EB" w:rsidRPr="005F4649" w:rsidRDefault="006304EB" w:rsidP="00A95965">
            <w:pPr>
              <w:pStyle w:val="TableText"/>
              <w:rPr>
                <w:b/>
                <w:szCs w:val="20"/>
              </w:rPr>
            </w:pPr>
          </w:p>
        </w:tc>
        <w:tc>
          <w:tcPr>
            <w:tcW w:w="971" w:type="dxa"/>
          </w:tcPr>
          <w:p w14:paraId="0011D280" w14:textId="77777777" w:rsidR="006304EB" w:rsidRPr="005F4649" w:rsidRDefault="006304EB" w:rsidP="00A95965">
            <w:pPr>
              <w:pStyle w:val="TableText"/>
              <w:rPr>
                <w:b/>
                <w:szCs w:val="20"/>
              </w:rPr>
            </w:pPr>
          </w:p>
        </w:tc>
        <w:tc>
          <w:tcPr>
            <w:tcW w:w="1103" w:type="dxa"/>
          </w:tcPr>
          <w:p w14:paraId="46C52FB9" w14:textId="77777777" w:rsidR="006304EB" w:rsidRDefault="006304EB" w:rsidP="00A95965">
            <w:pPr>
              <w:pStyle w:val="TableText"/>
              <w:rPr>
                <w:b/>
                <w:szCs w:val="20"/>
              </w:rPr>
            </w:pPr>
          </w:p>
        </w:tc>
        <w:tc>
          <w:tcPr>
            <w:tcW w:w="1741" w:type="dxa"/>
          </w:tcPr>
          <w:p w14:paraId="15C4A108" w14:textId="77777777" w:rsidR="006304EB" w:rsidRPr="005F4649" w:rsidRDefault="006304EB" w:rsidP="00A95965">
            <w:pPr>
              <w:pStyle w:val="TableText"/>
              <w:rPr>
                <w:b/>
                <w:szCs w:val="20"/>
              </w:rPr>
            </w:pPr>
          </w:p>
        </w:tc>
      </w:tr>
      <w:tr w:rsidR="006304EB" w14:paraId="3FB535F2" w14:textId="77777777">
        <w:trPr>
          <w:cantSplit/>
          <w:trHeight w:val="432"/>
        </w:trPr>
        <w:tc>
          <w:tcPr>
            <w:tcW w:w="3973" w:type="dxa"/>
            <w:noWrap/>
          </w:tcPr>
          <w:p w14:paraId="60633A15" w14:textId="77777777" w:rsidR="006304EB" w:rsidRPr="005F4649" w:rsidRDefault="006304EB" w:rsidP="00A95965">
            <w:pPr>
              <w:pStyle w:val="TableText"/>
              <w:rPr>
                <w:b/>
                <w:szCs w:val="20"/>
              </w:rPr>
            </w:pPr>
          </w:p>
        </w:tc>
        <w:tc>
          <w:tcPr>
            <w:tcW w:w="1127" w:type="dxa"/>
          </w:tcPr>
          <w:p w14:paraId="59B82459" w14:textId="77777777" w:rsidR="006304EB" w:rsidRPr="005F4649" w:rsidRDefault="006304EB" w:rsidP="006304EB">
            <w:pPr>
              <w:pStyle w:val="TableText"/>
              <w:rPr>
                <w:b/>
                <w:szCs w:val="20"/>
              </w:rPr>
            </w:pPr>
          </w:p>
        </w:tc>
        <w:tc>
          <w:tcPr>
            <w:tcW w:w="1132" w:type="dxa"/>
          </w:tcPr>
          <w:p w14:paraId="085759AE" w14:textId="77777777" w:rsidR="006304EB" w:rsidRPr="005F4649" w:rsidRDefault="006304EB" w:rsidP="00A95965">
            <w:pPr>
              <w:pStyle w:val="TableText"/>
              <w:rPr>
                <w:b/>
                <w:szCs w:val="20"/>
              </w:rPr>
            </w:pPr>
          </w:p>
        </w:tc>
        <w:tc>
          <w:tcPr>
            <w:tcW w:w="971" w:type="dxa"/>
          </w:tcPr>
          <w:p w14:paraId="1A18188B" w14:textId="77777777" w:rsidR="006304EB" w:rsidRPr="005F4649" w:rsidRDefault="006304EB" w:rsidP="00A95965">
            <w:pPr>
              <w:pStyle w:val="TableText"/>
              <w:rPr>
                <w:b/>
                <w:szCs w:val="20"/>
              </w:rPr>
            </w:pPr>
          </w:p>
        </w:tc>
        <w:tc>
          <w:tcPr>
            <w:tcW w:w="971" w:type="dxa"/>
          </w:tcPr>
          <w:p w14:paraId="2972460B" w14:textId="77777777" w:rsidR="006304EB" w:rsidRPr="005F4649" w:rsidRDefault="006304EB" w:rsidP="00A95965">
            <w:pPr>
              <w:pStyle w:val="TableText"/>
              <w:rPr>
                <w:b/>
                <w:szCs w:val="20"/>
              </w:rPr>
            </w:pPr>
          </w:p>
        </w:tc>
        <w:tc>
          <w:tcPr>
            <w:tcW w:w="971" w:type="dxa"/>
          </w:tcPr>
          <w:p w14:paraId="1FF5DAA8" w14:textId="77777777" w:rsidR="006304EB" w:rsidRPr="005F4649" w:rsidRDefault="006304EB" w:rsidP="00A95965">
            <w:pPr>
              <w:pStyle w:val="TableText"/>
              <w:rPr>
                <w:b/>
                <w:szCs w:val="20"/>
              </w:rPr>
            </w:pPr>
          </w:p>
        </w:tc>
        <w:tc>
          <w:tcPr>
            <w:tcW w:w="971" w:type="dxa"/>
          </w:tcPr>
          <w:p w14:paraId="35D21D86" w14:textId="77777777" w:rsidR="006304EB" w:rsidRPr="005F4649" w:rsidRDefault="006304EB" w:rsidP="00A95965">
            <w:pPr>
              <w:pStyle w:val="TableText"/>
              <w:rPr>
                <w:b/>
                <w:szCs w:val="20"/>
              </w:rPr>
            </w:pPr>
          </w:p>
        </w:tc>
        <w:tc>
          <w:tcPr>
            <w:tcW w:w="1103" w:type="dxa"/>
          </w:tcPr>
          <w:p w14:paraId="58C363E3" w14:textId="77777777" w:rsidR="006304EB" w:rsidRDefault="006304EB" w:rsidP="00A95965">
            <w:pPr>
              <w:pStyle w:val="TableText"/>
              <w:rPr>
                <w:b/>
                <w:szCs w:val="20"/>
              </w:rPr>
            </w:pPr>
          </w:p>
        </w:tc>
        <w:tc>
          <w:tcPr>
            <w:tcW w:w="1741" w:type="dxa"/>
          </w:tcPr>
          <w:p w14:paraId="5ADBDCDF" w14:textId="77777777" w:rsidR="006304EB" w:rsidRPr="005F4649" w:rsidRDefault="006304EB" w:rsidP="00A95965">
            <w:pPr>
              <w:pStyle w:val="TableText"/>
              <w:rPr>
                <w:b/>
                <w:szCs w:val="20"/>
              </w:rPr>
            </w:pPr>
          </w:p>
        </w:tc>
      </w:tr>
      <w:tr w:rsidR="006304EB" w14:paraId="04CD2994" w14:textId="77777777">
        <w:trPr>
          <w:cantSplit/>
          <w:trHeight w:val="432"/>
        </w:trPr>
        <w:tc>
          <w:tcPr>
            <w:tcW w:w="3973" w:type="dxa"/>
            <w:noWrap/>
          </w:tcPr>
          <w:p w14:paraId="25E36413" w14:textId="77777777" w:rsidR="006304EB" w:rsidRPr="005F4649" w:rsidRDefault="006304EB" w:rsidP="00A95965">
            <w:pPr>
              <w:pStyle w:val="TableText"/>
              <w:rPr>
                <w:b/>
                <w:szCs w:val="20"/>
              </w:rPr>
            </w:pPr>
          </w:p>
        </w:tc>
        <w:tc>
          <w:tcPr>
            <w:tcW w:w="1127" w:type="dxa"/>
          </w:tcPr>
          <w:p w14:paraId="1F82FA9B" w14:textId="77777777" w:rsidR="006304EB" w:rsidRPr="005F4649" w:rsidRDefault="006304EB" w:rsidP="006304EB">
            <w:pPr>
              <w:pStyle w:val="TableText"/>
              <w:rPr>
                <w:b/>
                <w:szCs w:val="20"/>
              </w:rPr>
            </w:pPr>
          </w:p>
        </w:tc>
        <w:tc>
          <w:tcPr>
            <w:tcW w:w="1132" w:type="dxa"/>
          </w:tcPr>
          <w:p w14:paraId="7ED4CDA4" w14:textId="77777777" w:rsidR="006304EB" w:rsidRPr="005F4649" w:rsidRDefault="006304EB" w:rsidP="00A95965">
            <w:pPr>
              <w:pStyle w:val="TableText"/>
              <w:rPr>
                <w:b/>
                <w:szCs w:val="20"/>
              </w:rPr>
            </w:pPr>
          </w:p>
        </w:tc>
        <w:tc>
          <w:tcPr>
            <w:tcW w:w="971" w:type="dxa"/>
          </w:tcPr>
          <w:p w14:paraId="44E21BC4" w14:textId="77777777" w:rsidR="006304EB" w:rsidRPr="005F4649" w:rsidRDefault="006304EB" w:rsidP="00A95965">
            <w:pPr>
              <w:pStyle w:val="TableText"/>
              <w:rPr>
                <w:b/>
                <w:szCs w:val="20"/>
              </w:rPr>
            </w:pPr>
          </w:p>
        </w:tc>
        <w:tc>
          <w:tcPr>
            <w:tcW w:w="971" w:type="dxa"/>
          </w:tcPr>
          <w:p w14:paraId="31500C8A" w14:textId="77777777" w:rsidR="006304EB" w:rsidRPr="005F4649" w:rsidRDefault="006304EB" w:rsidP="00A95965">
            <w:pPr>
              <w:pStyle w:val="TableText"/>
              <w:rPr>
                <w:b/>
                <w:szCs w:val="20"/>
              </w:rPr>
            </w:pPr>
          </w:p>
        </w:tc>
        <w:tc>
          <w:tcPr>
            <w:tcW w:w="971" w:type="dxa"/>
          </w:tcPr>
          <w:p w14:paraId="66FDD7E8" w14:textId="77777777" w:rsidR="006304EB" w:rsidRPr="005F4649" w:rsidRDefault="006304EB" w:rsidP="00A95965">
            <w:pPr>
              <w:pStyle w:val="TableText"/>
              <w:rPr>
                <w:b/>
                <w:szCs w:val="20"/>
              </w:rPr>
            </w:pPr>
          </w:p>
        </w:tc>
        <w:tc>
          <w:tcPr>
            <w:tcW w:w="971" w:type="dxa"/>
          </w:tcPr>
          <w:p w14:paraId="3350CDF4" w14:textId="77777777" w:rsidR="006304EB" w:rsidRPr="005F4649" w:rsidRDefault="006304EB" w:rsidP="00A95965">
            <w:pPr>
              <w:pStyle w:val="TableText"/>
              <w:rPr>
                <w:b/>
                <w:szCs w:val="20"/>
              </w:rPr>
            </w:pPr>
          </w:p>
        </w:tc>
        <w:tc>
          <w:tcPr>
            <w:tcW w:w="1103" w:type="dxa"/>
          </w:tcPr>
          <w:p w14:paraId="3DF9C7FB" w14:textId="77777777" w:rsidR="006304EB" w:rsidRDefault="006304EB" w:rsidP="00A95965">
            <w:pPr>
              <w:pStyle w:val="TableText"/>
              <w:rPr>
                <w:b/>
                <w:szCs w:val="20"/>
              </w:rPr>
            </w:pPr>
          </w:p>
        </w:tc>
        <w:tc>
          <w:tcPr>
            <w:tcW w:w="1741" w:type="dxa"/>
          </w:tcPr>
          <w:p w14:paraId="3279C6D2" w14:textId="77777777" w:rsidR="006304EB" w:rsidRPr="005F4649" w:rsidRDefault="006304EB" w:rsidP="00A95965">
            <w:pPr>
              <w:pStyle w:val="TableText"/>
              <w:rPr>
                <w:b/>
                <w:szCs w:val="20"/>
              </w:rPr>
            </w:pPr>
          </w:p>
        </w:tc>
      </w:tr>
      <w:tr w:rsidR="006304EB" w14:paraId="2B8332EE" w14:textId="77777777">
        <w:trPr>
          <w:cantSplit/>
          <w:trHeight w:val="432"/>
        </w:trPr>
        <w:tc>
          <w:tcPr>
            <w:tcW w:w="3973" w:type="dxa"/>
            <w:noWrap/>
          </w:tcPr>
          <w:p w14:paraId="4DC0CA96" w14:textId="77777777" w:rsidR="006304EB" w:rsidRPr="005F4649" w:rsidRDefault="006304EB" w:rsidP="00A95965">
            <w:pPr>
              <w:pStyle w:val="TableText"/>
              <w:rPr>
                <w:b/>
                <w:szCs w:val="20"/>
              </w:rPr>
            </w:pPr>
          </w:p>
        </w:tc>
        <w:tc>
          <w:tcPr>
            <w:tcW w:w="1127" w:type="dxa"/>
          </w:tcPr>
          <w:p w14:paraId="7828C2B1" w14:textId="77777777" w:rsidR="006304EB" w:rsidRPr="005F4649" w:rsidRDefault="006304EB" w:rsidP="006304EB">
            <w:pPr>
              <w:pStyle w:val="TableText"/>
              <w:rPr>
                <w:b/>
                <w:szCs w:val="20"/>
              </w:rPr>
            </w:pPr>
          </w:p>
        </w:tc>
        <w:tc>
          <w:tcPr>
            <w:tcW w:w="1132" w:type="dxa"/>
          </w:tcPr>
          <w:p w14:paraId="4EC1F736" w14:textId="77777777" w:rsidR="006304EB" w:rsidRPr="005F4649" w:rsidRDefault="006304EB" w:rsidP="00A95965">
            <w:pPr>
              <w:pStyle w:val="TableText"/>
              <w:rPr>
                <w:b/>
                <w:szCs w:val="20"/>
              </w:rPr>
            </w:pPr>
          </w:p>
        </w:tc>
        <w:tc>
          <w:tcPr>
            <w:tcW w:w="971" w:type="dxa"/>
          </w:tcPr>
          <w:p w14:paraId="0235B6A7" w14:textId="77777777" w:rsidR="006304EB" w:rsidRPr="005F4649" w:rsidRDefault="006304EB" w:rsidP="00A95965">
            <w:pPr>
              <w:pStyle w:val="TableText"/>
              <w:rPr>
                <w:b/>
                <w:szCs w:val="20"/>
              </w:rPr>
            </w:pPr>
          </w:p>
        </w:tc>
        <w:tc>
          <w:tcPr>
            <w:tcW w:w="971" w:type="dxa"/>
          </w:tcPr>
          <w:p w14:paraId="61ACC496" w14:textId="77777777" w:rsidR="006304EB" w:rsidRPr="005F4649" w:rsidRDefault="006304EB" w:rsidP="00A95965">
            <w:pPr>
              <w:pStyle w:val="TableText"/>
              <w:rPr>
                <w:b/>
                <w:szCs w:val="20"/>
              </w:rPr>
            </w:pPr>
          </w:p>
        </w:tc>
        <w:tc>
          <w:tcPr>
            <w:tcW w:w="971" w:type="dxa"/>
          </w:tcPr>
          <w:p w14:paraId="3BFE96DF" w14:textId="77777777" w:rsidR="006304EB" w:rsidRPr="005F4649" w:rsidRDefault="006304EB" w:rsidP="00A95965">
            <w:pPr>
              <w:pStyle w:val="TableText"/>
              <w:rPr>
                <w:b/>
                <w:szCs w:val="20"/>
              </w:rPr>
            </w:pPr>
          </w:p>
        </w:tc>
        <w:tc>
          <w:tcPr>
            <w:tcW w:w="971" w:type="dxa"/>
          </w:tcPr>
          <w:p w14:paraId="30EEB477" w14:textId="77777777" w:rsidR="006304EB" w:rsidRPr="005F4649" w:rsidRDefault="006304EB" w:rsidP="00A95965">
            <w:pPr>
              <w:pStyle w:val="TableText"/>
              <w:rPr>
                <w:b/>
                <w:szCs w:val="20"/>
              </w:rPr>
            </w:pPr>
          </w:p>
        </w:tc>
        <w:tc>
          <w:tcPr>
            <w:tcW w:w="1103" w:type="dxa"/>
          </w:tcPr>
          <w:p w14:paraId="508E0FB2" w14:textId="77777777" w:rsidR="006304EB" w:rsidRDefault="006304EB" w:rsidP="00A95965">
            <w:pPr>
              <w:pStyle w:val="TableText"/>
              <w:rPr>
                <w:b/>
                <w:szCs w:val="20"/>
              </w:rPr>
            </w:pPr>
          </w:p>
        </w:tc>
        <w:tc>
          <w:tcPr>
            <w:tcW w:w="1741" w:type="dxa"/>
          </w:tcPr>
          <w:p w14:paraId="74FD1107" w14:textId="77777777" w:rsidR="006304EB" w:rsidRPr="005F4649" w:rsidRDefault="006304EB" w:rsidP="00A95965">
            <w:pPr>
              <w:pStyle w:val="TableText"/>
              <w:rPr>
                <w:b/>
                <w:szCs w:val="20"/>
              </w:rPr>
            </w:pPr>
          </w:p>
        </w:tc>
      </w:tr>
      <w:tr w:rsidR="006304EB" w14:paraId="000F378F" w14:textId="77777777">
        <w:trPr>
          <w:cantSplit/>
          <w:trHeight w:val="432"/>
        </w:trPr>
        <w:tc>
          <w:tcPr>
            <w:tcW w:w="3973" w:type="dxa"/>
            <w:noWrap/>
          </w:tcPr>
          <w:p w14:paraId="634591D3" w14:textId="77777777" w:rsidR="006304EB" w:rsidRPr="005F4649" w:rsidRDefault="006304EB" w:rsidP="00A95965">
            <w:pPr>
              <w:pStyle w:val="TableText"/>
              <w:rPr>
                <w:b/>
                <w:szCs w:val="20"/>
              </w:rPr>
            </w:pPr>
          </w:p>
        </w:tc>
        <w:tc>
          <w:tcPr>
            <w:tcW w:w="1127" w:type="dxa"/>
          </w:tcPr>
          <w:p w14:paraId="7EF842C9" w14:textId="77777777" w:rsidR="006304EB" w:rsidRPr="005F4649" w:rsidRDefault="006304EB" w:rsidP="006304EB">
            <w:pPr>
              <w:pStyle w:val="TableText"/>
              <w:rPr>
                <w:b/>
                <w:szCs w:val="20"/>
              </w:rPr>
            </w:pPr>
          </w:p>
        </w:tc>
        <w:tc>
          <w:tcPr>
            <w:tcW w:w="1132" w:type="dxa"/>
          </w:tcPr>
          <w:p w14:paraId="152711E2" w14:textId="77777777" w:rsidR="006304EB" w:rsidRPr="005F4649" w:rsidRDefault="006304EB" w:rsidP="00A95965">
            <w:pPr>
              <w:pStyle w:val="TableText"/>
              <w:rPr>
                <w:b/>
                <w:szCs w:val="20"/>
              </w:rPr>
            </w:pPr>
          </w:p>
        </w:tc>
        <w:tc>
          <w:tcPr>
            <w:tcW w:w="971" w:type="dxa"/>
          </w:tcPr>
          <w:p w14:paraId="16E5BE21" w14:textId="77777777" w:rsidR="006304EB" w:rsidRPr="005F4649" w:rsidRDefault="006304EB" w:rsidP="00A95965">
            <w:pPr>
              <w:pStyle w:val="TableText"/>
              <w:rPr>
                <w:b/>
                <w:szCs w:val="20"/>
              </w:rPr>
            </w:pPr>
          </w:p>
        </w:tc>
        <w:tc>
          <w:tcPr>
            <w:tcW w:w="971" w:type="dxa"/>
          </w:tcPr>
          <w:p w14:paraId="06BBC638" w14:textId="77777777" w:rsidR="006304EB" w:rsidRPr="005F4649" w:rsidRDefault="006304EB" w:rsidP="00A95965">
            <w:pPr>
              <w:pStyle w:val="TableText"/>
              <w:rPr>
                <w:b/>
                <w:szCs w:val="20"/>
              </w:rPr>
            </w:pPr>
          </w:p>
        </w:tc>
        <w:tc>
          <w:tcPr>
            <w:tcW w:w="971" w:type="dxa"/>
          </w:tcPr>
          <w:p w14:paraId="6CAFF7BB" w14:textId="77777777" w:rsidR="006304EB" w:rsidRPr="005F4649" w:rsidRDefault="006304EB" w:rsidP="00A95965">
            <w:pPr>
              <w:pStyle w:val="TableText"/>
              <w:rPr>
                <w:b/>
                <w:szCs w:val="20"/>
              </w:rPr>
            </w:pPr>
          </w:p>
        </w:tc>
        <w:tc>
          <w:tcPr>
            <w:tcW w:w="971" w:type="dxa"/>
          </w:tcPr>
          <w:p w14:paraId="35BFB346" w14:textId="77777777" w:rsidR="006304EB" w:rsidRPr="005F4649" w:rsidRDefault="006304EB" w:rsidP="00A95965">
            <w:pPr>
              <w:pStyle w:val="TableText"/>
              <w:rPr>
                <w:b/>
                <w:szCs w:val="20"/>
              </w:rPr>
            </w:pPr>
          </w:p>
        </w:tc>
        <w:tc>
          <w:tcPr>
            <w:tcW w:w="1103" w:type="dxa"/>
          </w:tcPr>
          <w:p w14:paraId="164D6577" w14:textId="77777777" w:rsidR="006304EB" w:rsidRDefault="006304EB" w:rsidP="00A95965">
            <w:pPr>
              <w:pStyle w:val="TableText"/>
              <w:rPr>
                <w:b/>
                <w:szCs w:val="20"/>
              </w:rPr>
            </w:pPr>
          </w:p>
        </w:tc>
        <w:tc>
          <w:tcPr>
            <w:tcW w:w="1741" w:type="dxa"/>
          </w:tcPr>
          <w:p w14:paraId="323A4253" w14:textId="77777777" w:rsidR="006304EB" w:rsidRPr="005F4649" w:rsidRDefault="006304EB" w:rsidP="00A95965">
            <w:pPr>
              <w:pStyle w:val="TableText"/>
              <w:rPr>
                <w:b/>
                <w:szCs w:val="20"/>
              </w:rPr>
            </w:pPr>
          </w:p>
        </w:tc>
      </w:tr>
      <w:tr w:rsidR="006304EB" w14:paraId="43198127" w14:textId="77777777">
        <w:trPr>
          <w:cantSplit/>
          <w:trHeight w:val="432"/>
        </w:trPr>
        <w:tc>
          <w:tcPr>
            <w:tcW w:w="3973" w:type="dxa"/>
            <w:noWrap/>
          </w:tcPr>
          <w:p w14:paraId="62D30E69" w14:textId="77777777" w:rsidR="006304EB" w:rsidRPr="005F4649" w:rsidRDefault="006304EB" w:rsidP="00A95965">
            <w:pPr>
              <w:pStyle w:val="TableText"/>
              <w:rPr>
                <w:b/>
                <w:szCs w:val="20"/>
              </w:rPr>
            </w:pPr>
          </w:p>
        </w:tc>
        <w:tc>
          <w:tcPr>
            <w:tcW w:w="1127" w:type="dxa"/>
          </w:tcPr>
          <w:p w14:paraId="55DCCB74" w14:textId="77777777" w:rsidR="006304EB" w:rsidRPr="005F4649" w:rsidRDefault="006304EB" w:rsidP="006304EB">
            <w:pPr>
              <w:pStyle w:val="TableText"/>
              <w:rPr>
                <w:b/>
                <w:szCs w:val="20"/>
              </w:rPr>
            </w:pPr>
          </w:p>
        </w:tc>
        <w:tc>
          <w:tcPr>
            <w:tcW w:w="1132" w:type="dxa"/>
          </w:tcPr>
          <w:p w14:paraId="12760B8B" w14:textId="77777777" w:rsidR="006304EB" w:rsidRPr="005F4649" w:rsidRDefault="006304EB" w:rsidP="00A95965">
            <w:pPr>
              <w:pStyle w:val="TableText"/>
              <w:rPr>
                <w:b/>
                <w:szCs w:val="20"/>
              </w:rPr>
            </w:pPr>
          </w:p>
        </w:tc>
        <w:tc>
          <w:tcPr>
            <w:tcW w:w="971" w:type="dxa"/>
          </w:tcPr>
          <w:p w14:paraId="55A58446" w14:textId="77777777" w:rsidR="006304EB" w:rsidRPr="005F4649" w:rsidRDefault="006304EB" w:rsidP="00A95965">
            <w:pPr>
              <w:pStyle w:val="TableText"/>
              <w:rPr>
                <w:b/>
                <w:szCs w:val="20"/>
              </w:rPr>
            </w:pPr>
          </w:p>
        </w:tc>
        <w:tc>
          <w:tcPr>
            <w:tcW w:w="971" w:type="dxa"/>
          </w:tcPr>
          <w:p w14:paraId="49D054C9" w14:textId="77777777" w:rsidR="006304EB" w:rsidRPr="005F4649" w:rsidRDefault="006304EB" w:rsidP="00A95965">
            <w:pPr>
              <w:pStyle w:val="TableText"/>
              <w:rPr>
                <w:b/>
                <w:szCs w:val="20"/>
              </w:rPr>
            </w:pPr>
          </w:p>
        </w:tc>
        <w:tc>
          <w:tcPr>
            <w:tcW w:w="971" w:type="dxa"/>
          </w:tcPr>
          <w:p w14:paraId="58517750" w14:textId="77777777" w:rsidR="006304EB" w:rsidRPr="005F4649" w:rsidRDefault="006304EB" w:rsidP="00A95965">
            <w:pPr>
              <w:pStyle w:val="TableText"/>
              <w:rPr>
                <w:b/>
                <w:szCs w:val="20"/>
              </w:rPr>
            </w:pPr>
          </w:p>
        </w:tc>
        <w:tc>
          <w:tcPr>
            <w:tcW w:w="971" w:type="dxa"/>
          </w:tcPr>
          <w:p w14:paraId="485B1F2A" w14:textId="77777777" w:rsidR="006304EB" w:rsidRPr="005F4649" w:rsidRDefault="006304EB" w:rsidP="00A95965">
            <w:pPr>
              <w:pStyle w:val="TableText"/>
              <w:rPr>
                <w:b/>
                <w:szCs w:val="20"/>
              </w:rPr>
            </w:pPr>
          </w:p>
        </w:tc>
        <w:tc>
          <w:tcPr>
            <w:tcW w:w="1103" w:type="dxa"/>
          </w:tcPr>
          <w:p w14:paraId="6AC765B2" w14:textId="77777777" w:rsidR="006304EB" w:rsidRDefault="006304EB" w:rsidP="00A95965">
            <w:pPr>
              <w:pStyle w:val="TableText"/>
              <w:rPr>
                <w:b/>
                <w:szCs w:val="20"/>
              </w:rPr>
            </w:pPr>
          </w:p>
        </w:tc>
        <w:tc>
          <w:tcPr>
            <w:tcW w:w="1741" w:type="dxa"/>
          </w:tcPr>
          <w:p w14:paraId="7E955CE4" w14:textId="77777777" w:rsidR="006304EB" w:rsidRPr="005F4649" w:rsidRDefault="006304EB" w:rsidP="00A95965">
            <w:pPr>
              <w:pStyle w:val="TableText"/>
              <w:rPr>
                <w:b/>
                <w:szCs w:val="20"/>
              </w:rPr>
            </w:pPr>
          </w:p>
        </w:tc>
      </w:tr>
      <w:tr w:rsidR="006304EB" w14:paraId="79A0BBD2" w14:textId="77777777">
        <w:trPr>
          <w:cantSplit/>
          <w:trHeight w:val="432"/>
        </w:trPr>
        <w:tc>
          <w:tcPr>
            <w:tcW w:w="3973" w:type="dxa"/>
            <w:noWrap/>
          </w:tcPr>
          <w:p w14:paraId="447C856B" w14:textId="77777777" w:rsidR="006304EB" w:rsidRPr="005F4649" w:rsidRDefault="006304EB" w:rsidP="00A95965">
            <w:pPr>
              <w:pStyle w:val="TableText"/>
              <w:rPr>
                <w:b/>
                <w:szCs w:val="20"/>
              </w:rPr>
            </w:pPr>
          </w:p>
        </w:tc>
        <w:tc>
          <w:tcPr>
            <w:tcW w:w="1127" w:type="dxa"/>
          </w:tcPr>
          <w:p w14:paraId="781721F3" w14:textId="77777777" w:rsidR="006304EB" w:rsidRPr="005F4649" w:rsidRDefault="006304EB" w:rsidP="006304EB">
            <w:pPr>
              <w:pStyle w:val="TableText"/>
              <w:rPr>
                <w:b/>
                <w:szCs w:val="20"/>
              </w:rPr>
            </w:pPr>
          </w:p>
        </w:tc>
        <w:tc>
          <w:tcPr>
            <w:tcW w:w="1132" w:type="dxa"/>
          </w:tcPr>
          <w:p w14:paraId="2A7E5D71" w14:textId="77777777" w:rsidR="006304EB" w:rsidRPr="005F4649" w:rsidRDefault="006304EB" w:rsidP="00A95965">
            <w:pPr>
              <w:pStyle w:val="TableText"/>
              <w:rPr>
                <w:b/>
                <w:szCs w:val="20"/>
              </w:rPr>
            </w:pPr>
          </w:p>
        </w:tc>
        <w:tc>
          <w:tcPr>
            <w:tcW w:w="971" w:type="dxa"/>
          </w:tcPr>
          <w:p w14:paraId="4CD37CC2" w14:textId="77777777" w:rsidR="006304EB" w:rsidRPr="005F4649" w:rsidRDefault="006304EB" w:rsidP="00A95965">
            <w:pPr>
              <w:pStyle w:val="TableText"/>
              <w:rPr>
                <w:b/>
                <w:szCs w:val="20"/>
              </w:rPr>
            </w:pPr>
          </w:p>
        </w:tc>
        <w:tc>
          <w:tcPr>
            <w:tcW w:w="971" w:type="dxa"/>
          </w:tcPr>
          <w:p w14:paraId="68660DF8" w14:textId="77777777" w:rsidR="006304EB" w:rsidRPr="005F4649" w:rsidRDefault="006304EB" w:rsidP="00A95965">
            <w:pPr>
              <w:pStyle w:val="TableText"/>
              <w:rPr>
                <w:b/>
                <w:szCs w:val="20"/>
              </w:rPr>
            </w:pPr>
          </w:p>
        </w:tc>
        <w:tc>
          <w:tcPr>
            <w:tcW w:w="971" w:type="dxa"/>
          </w:tcPr>
          <w:p w14:paraId="2E32C7B9" w14:textId="77777777" w:rsidR="006304EB" w:rsidRPr="005F4649" w:rsidRDefault="006304EB" w:rsidP="00A95965">
            <w:pPr>
              <w:pStyle w:val="TableText"/>
              <w:rPr>
                <w:b/>
                <w:szCs w:val="20"/>
              </w:rPr>
            </w:pPr>
          </w:p>
        </w:tc>
        <w:tc>
          <w:tcPr>
            <w:tcW w:w="971" w:type="dxa"/>
          </w:tcPr>
          <w:p w14:paraId="6D24DBDF" w14:textId="77777777" w:rsidR="006304EB" w:rsidRPr="005F4649" w:rsidRDefault="006304EB" w:rsidP="00A95965">
            <w:pPr>
              <w:pStyle w:val="TableText"/>
              <w:rPr>
                <w:b/>
                <w:szCs w:val="20"/>
              </w:rPr>
            </w:pPr>
          </w:p>
        </w:tc>
        <w:tc>
          <w:tcPr>
            <w:tcW w:w="1103" w:type="dxa"/>
          </w:tcPr>
          <w:p w14:paraId="3A13E7C8" w14:textId="77777777" w:rsidR="006304EB" w:rsidRDefault="006304EB" w:rsidP="00A95965">
            <w:pPr>
              <w:pStyle w:val="TableText"/>
              <w:rPr>
                <w:b/>
                <w:szCs w:val="20"/>
              </w:rPr>
            </w:pPr>
          </w:p>
        </w:tc>
        <w:tc>
          <w:tcPr>
            <w:tcW w:w="1741" w:type="dxa"/>
          </w:tcPr>
          <w:p w14:paraId="28AFC18B" w14:textId="77777777" w:rsidR="006304EB" w:rsidRPr="005F4649" w:rsidRDefault="006304EB" w:rsidP="00A95965">
            <w:pPr>
              <w:pStyle w:val="TableText"/>
              <w:rPr>
                <w:b/>
                <w:szCs w:val="20"/>
              </w:rPr>
            </w:pPr>
          </w:p>
        </w:tc>
      </w:tr>
    </w:tbl>
    <w:p w14:paraId="26526EB0" w14:textId="77777777" w:rsidR="00E7240A" w:rsidRDefault="00E7240A" w:rsidP="00E7240A">
      <w:pPr>
        <w:pStyle w:val="Heading3"/>
      </w:pPr>
      <w:bookmarkStart w:id="571" w:name="_Toc149064206"/>
      <w:r>
        <w:t>Unit Issue and Inspection Log</w:t>
      </w:r>
      <w:bookmarkEnd w:id="571"/>
      <w:r w:rsidR="00246F04">
        <w:fldChar w:fldCharType="begin"/>
      </w:r>
      <w:r w:rsidR="00246F04">
        <w:instrText xml:space="preserve"> XE "</w:instrText>
      </w:r>
      <w:r w:rsidR="00246F04" w:rsidRPr="003C3810">
        <w:instrText>Unit Issue and Inspection Log</w:instrText>
      </w:r>
      <w:r w:rsidR="00246F04">
        <w:instrText xml:space="preserve">" </w:instrText>
      </w:r>
      <w:r w:rsidR="00246F04">
        <w:fldChar w:fldCharType="end"/>
      </w:r>
      <w:r w:rsidR="00A95965">
        <w:fldChar w:fldCharType="begin"/>
      </w:r>
      <w:r w:rsidR="00A95965">
        <w:instrText xml:space="preserve"> XE “Forms:Unit Issue and Inspection Log”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8"/>
        <w:gridCol w:w="2290"/>
        <w:gridCol w:w="897"/>
        <w:gridCol w:w="797"/>
        <w:gridCol w:w="835"/>
        <w:gridCol w:w="905"/>
        <w:gridCol w:w="1357"/>
        <w:gridCol w:w="747"/>
        <w:gridCol w:w="708"/>
        <w:gridCol w:w="1026"/>
      </w:tblGrid>
      <w:tr w:rsidR="003F4F8B" w14:paraId="4A5C6A2D" w14:textId="77777777">
        <w:tc>
          <w:tcPr>
            <w:tcW w:w="12960" w:type="dxa"/>
            <w:gridSpan w:val="10"/>
          </w:tcPr>
          <w:p w14:paraId="436D121B" w14:textId="77777777" w:rsidR="003F4F8B" w:rsidRPr="003F4F8B" w:rsidRDefault="003F4F8B" w:rsidP="003F4F8B">
            <w:pPr>
              <w:pStyle w:val="TableText"/>
            </w:pPr>
            <w:r w:rsidRPr="00887834">
              <w:rPr>
                <w:b/>
              </w:rPr>
              <w:t xml:space="preserve">Facility Name: </w:t>
            </w:r>
          </w:p>
        </w:tc>
      </w:tr>
      <w:tr w:rsidR="003F4F8B" w14:paraId="0F9B9232" w14:textId="77777777">
        <w:tc>
          <w:tcPr>
            <w:tcW w:w="12960" w:type="dxa"/>
            <w:gridSpan w:val="10"/>
          </w:tcPr>
          <w:p w14:paraId="56622E6B" w14:textId="77777777" w:rsidR="003F4F8B" w:rsidRPr="003F4F8B" w:rsidRDefault="003F4F8B" w:rsidP="003F4F8B">
            <w:pPr>
              <w:pStyle w:val="TableText"/>
            </w:pPr>
            <w:r w:rsidRPr="00887834">
              <w:rPr>
                <w:b/>
              </w:rPr>
              <w:t xml:space="preserve">Address: </w:t>
            </w:r>
          </w:p>
        </w:tc>
      </w:tr>
      <w:tr w:rsidR="003F4F8B" w14:paraId="7A99D548" w14:textId="77777777">
        <w:tc>
          <w:tcPr>
            <w:tcW w:w="12960" w:type="dxa"/>
            <w:gridSpan w:val="10"/>
          </w:tcPr>
          <w:p w14:paraId="5E443B0A" w14:textId="77777777" w:rsidR="003F4F8B" w:rsidRPr="003F4F8B" w:rsidRDefault="003F4F8B" w:rsidP="003F4F8B">
            <w:pPr>
              <w:pStyle w:val="TableText"/>
            </w:pPr>
            <w:r w:rsidRPr="00887834">
              <w:rPr>
                <w:b/>
              </w:rPr>
              <w:t>City, State, Zip Code:</w:t>
            </w:r>
            <w:r>
              <w:t xml:space="preserve"> </w:t>
            </w:r>
          </w:p>
        </w:tc>
      </w:tr>
      <w:tr w:rsidR="00695EBA" w14:paraId="54FBB57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230"/>
          <w:tblHeader/>
        </w:trPr>
        <w:tc>
          <w:tcPr>
            <w:tcW w:w="3398" w:type="dxa"/>
            <w:vMerge w:val="restart"/>
            <w:shd w:val="clear" w:color="auto" w:fill="B3B3B3"/>
            <w:noWrap/>
          </w:tcPr>
          <w:p w14:paraId="7A982583" w14:textId="77777777" w:rsidR="00695EBA" w:rsidRPr="003521C6" w:rsidRDefault="00695EBA" w:rsidP="00F72DE4">
            <w:pPr>
              <w:pStyle w:val="TableText"/>
              <w:rPr>
                <w:b/>
                <w:szCs w:val="20"/>
              </w:rPr>
            </w:pPr>
            <w:r w:rsidRPr="003521C6">
              <w:rPr>
                <w:b/>
                <w:szCs w:val="20"/>
              </w:rPr>
              <w:t>Patient Last Name</w:t>
            </w:r>
            <w:r>
              <w:rPr>
                <w:b/>
                <w:szCs w:val="20"/>
              </w:rPr>
              <w:t>, Last Four Digits</w:t>
            </w:r>
            <w:r w:rsidRPr="003521C6">
              <w:rPr>
                <w:b/>
                <w:szCs w:val="20"/>
              </w:rPr>
              <w:t xml:space="preserve"> of SSN</w:t>
            </w:r>
          </w:p>
        </w:tc>
        <w:tc>
          <w:tcPr>
            <w:tcW w:w="2290" w:type="dxa"/>
            <w:vMerge w:val="restart"/>
            <w:shd w:val="clear" w:color="auto" w:fill="B3B3B3"/>
          </w:tcPr>
          <w:p w14:paraId="39E40442" w14:textId="77777777" w:rsidR="00695EBA" w:rsidRPr="003521C6" w:rsidRDefault="00695EBA" w:rsidP="00F72DE4">
            <w:pPr>
              <w:pStyle w:val="TableText"/>
              <w:rPr>
                <w:b/>
                <w:szCs w:val="20"/>
              </w:rPr>
            </w:pPr>
            <w:r w:rsidRPr="003521C6">
              <w:rPr>
                <w:b/>
                <w:szCs w:val="20"/>
              </w:rPr>
              <w:t>Unit Number</w:t>
            </w:r>
          </w:p>
        </w:tc>
        <w:tc>
          <w:tcPr>
            <w:tcW w:w="897" w:type="dxa"/>
            <w:vMerge w:val="restart"/>
            <w:shd w:val="clear" w:color="auto" w:fill="B3B3B3"/>
          </w:tcPr>
          <w:p w14:paraId="7B842094" w14:textId="77777777" w:rsidR="00695EBA" w:rsidRPr="003521C6" w:rsidRDefault="00695EBA" w:rsidP="00F72DE4">
            <w:pPr>
              <w:pStyle w:val="TableText"/>
              <w:rPr>
                <w:b/>
                <w:szCs w:val="20"/>
              </w:rPr>
            </w:pPr>
            <w:r>
              <w:rPr>
                <w:b/>
                <w:szCs w:val="20"/>
              </w:rPr>
              <w:t>Product Code</w:t>
            </w:r>
          </w:p>
        </w:tc>
        <w:tc>
          <w:tcPr>
            <w:tcW w:w="797" w:type="dxa"/>
            <w:vMerge w:val="restart"/>
            <w:shd w:val="clear" w:color="auto" w:fill="B3B3B3"/>
          </w:tcPr>
          <w:p w14:paraId="16E2CE58" w14:textId="77777777" w:rsidR="00695EBA" w:rsidRPr="003521C6" w:rsidRDefault="00695EBA" w:rsidP="00F72DE4">
            <w:pPr>
              <w:pStyle w:val="TableText"/>
              <w:rPr>
                <w:b/>
                <w:szCs w:val="20"/>
              </w:rPr>
            </w:pPr>
            <w:r w:rsidRPr="003521C6">
              <w:rPr>
                <w:b/>
                <w:szCs w:val="20"/>
              </w:rPr>
              <w:t>Date</w:t>
            </w:r>
          </w:p>
        </w:tc>
        <w:tc>
          <w:tcPr>
            <w:tcW w:w="1740" w:type="dxa"/>
            <w:gridSpan w:val="2"/>
            <w:tcBorders>
              <w:bottom w:val="single" w:sz="2" w:space="0" w:color="auto"/>
            </w:tcBorders>
            <w:shd w:val="clear" w:color="auto" w:fill="B3B3B3"/>
          </w:tcPr>
          <w:p w14:paraId="1612D41F" w14:textId="77777777" w:rsidR="00695EBA" w:rsidRPr="003521C6" w:rsidRDefault="00695EBA" w:rsidP="00F72DE4">
            <w:pPr>
              <w:pStyle w:val="TableText"/>
              <w:rPr>
                <w:b/>
                <w:szCs w:val="20"/>
              </w:rPr>
            </w:pPr>
            <w:r w:rsidRPr="003521C6">
              <w:rPr>
                <w:b/>
                <w:szCs w:val="20"/>
              </w:rPr>
              <w:t>Time</w:t>
            </w:r>
          </w:p>
        </w:tc>
        <w:tc>
          <w:tcPr>
            <w:tcW w:w="1357" w:type="dxa"/>
            <w:vMerge w:val="restart"/>
            <w:shd w:val="clear" w:color="auto" w:fill="B3B3B3"/>
          </w:tcPr>
          <w:p w14:paraId="6B606E0B" w14:textId="77777777" w:rsidR="00695EBA" w:rsidRPr="003521C6" w:rsidRDefault="00695EBA" w:rsidP="00F72DE4">
            <w:pPr>
              <w:pStyle w:val="TableText"/>
              <w:rPr>
                <w:b/>
                <w:szCs w:val="20"/>
              </w:rPr>
            </w:pPr>
            <w:r>
              <w:rPr>
                <w:b/>
                <w:szCs w:val="20"/>
              </w:rPr>
              <w:t xml:space="preserve">Unit </w:t>
            </w:r>
            <w:r w:rsidRPr="003521C6">
              <w:rPr>
                <w:b/>
                <w:szCs w:val="20"/>
              </w:rPr>
              <w:t>Satisfactory</w:t>
            </w:r>
            <w:r>
              <w:rPr>
                <w:b/>
                <w:szCs w:val="20"/>
              </w:rPr>
              <w:t>?</w:t>
            </w:r>
          </w:p>
          <w:p w14:paraId="6D6A9275" w14:textId="77777777" w:rsidR="00695EBA" w:rsidRPr="003521C6" w:rsidRDefault="00695EBA" w:rsidP="00F72DE4">
            <w:pPr>
              <w:pStyle w:val="TableText"/>
              <w:rPr>
                <w:b/>
                <w:szCs w:val="20"/>
              </w:rPr>
            </w:pPr>
            <w:r w:rsidRPr="003521C6">
              <w:rPr>
                <w:b/>
                <w:szCs w:val="20"/>
              </w:rPr>
              <w:t>(Yes</w:t>
            </w:r>
            <w:r>
              <w:rPr>
                <w:b/>
                <w:szCs w:val="20"/>
              </w:rPr>
              <w:t>,</w:t>
            </w:r>
            <w:r w:rsidRPr="003521C6">
              <w:rPr>
                <w:b/>
                <w:szCs w:val="20"/>
              </w:rPr>
              <w:t xml:space="preserve"> No)</w:t>
            </w:r>
          </w:p>
        </w:tc>
        <w:tc>
          <w:tcPr>
            <w:tcW w:w="747" w:type="dxa"/>
            <w:vMerge w:val="restart"/>
            <w:shd w:val="clear" w:color="auto" w:fill="B3B3B3"/>
          </w:tcPr>
          <w:p w14:paraId="2C817317" w14:textId="77777777" w:rsidR="00695EBA" w:rsidRPr="003521C6" w:rsidRDefault="00695EBA" w:rsidP="00F72DE4">
            <w:pPr>
              <w:pStyle w:val="TableText"/>
              <w:rPr>
                <w:b/>
                <w:szCs w:val="20"/>
              </w:rPr>
            </w:pPr>
            <w:r w:rsidRPr="003521C6">
              <w:rPr>
                <w:b/>
                <w:szCs w:val="20"/>
              </w:rPr>
              <w:t>Ward</w:t>
            </w:r>
          </w:p>
        </w:tc>
        <w:tc>
          <w:tcPr>
            <w:tcW w:w="708" w:type="dxa"/>
            <w:vMerge w:val="restart"/>
            <w:shd w:val="clear" w:color="auto" w:fill="B3B3B3"/>
          </w:tcPr>
          <w:p w14:paraId="7D28F213" w14:textId="77777777" w:rsidR="00695EBA" w:rsidRPr="003521C6" w:rsidRDefault="00695EBA" w:rsidP="00F72DE4">
            <w:pPr>
              <w:pStyle w:val="TableText"/>
              <w:rPr>
                <w:b/>
                <w:szCs w:val="20"/>
              </w:rPr>
            </w:pPr>
            <w:r w:rsidRPr="003521C6">
              <w:rPr>
                <w:b/>
                <w:szCs w:val="20"/>
              </w:rPr>
              <w:t>Tech</w:t>
            </w:r>
          </w:p>
        </w:tc>
        <w:tc>
          <w:tcPr>
            <w:tcW w:w="1026" w:type="dxa"/>
            <w:vMerge w:val="restart"/>
            <w:shd w:val="clear" w:color="auto" w:fill="B3B3B3"/>
          </w:tcPr>
          <w:p w14:paraId="26DBB000" w14:textId="77777777" w:rsidR="00695EBA" w:rsidRPr="003521C6" w:rsidRDefault="00695EBA" w:rsidP="00F72DE4">
            <w:pPr>
              <w:pStyle w:val="TableText"/>
              <w:rPr>
                <w:b/>
                <w:szCs w:val="20"/>
              </w:rPr>
            </w:pPr>
            <w:r w:rsidRPr="003521C6">
              <w:rPr>
                <w:b/>
                <w:szCs w:val="20"/>
              </w:rPr>
              <w:t>Issued To</w:t>
            </w:r>
            <w:r>
              <w:rPr>
                <w:b/>
                <w:szCs w:val="20"/>
              </w:rPr>
              <w:t>:</w:t>
            </w:r>
          </w:p>
        </w:tc>
      </w:tr>
      <w:tr w:rsidR="00695EBA" w14:paraId="11501E35"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230"/>
          <w:tblHeader/>
        </w:trPr>
        <w:tc>
          <w:tcPr>
            <w:tcW w:w="3398" w:type="dxa"/>
            <w:vMerge/>
            <w:noWrap/>
          </w:tcPr>
          <w:p w14:paraId="576D31F4" w14:textId="77777777" w:rsidR="00695EBA" w:rsidRDefault="00695EBA" w:rsidP="00F72DE4">
            <w:pPr>
              <w:pStyle w:val="TableText"/>
              <w:rPr>
                <w:szCs w:val="20"/>
              </w:rPr>
            </w:pPr>
          </w:p>
        </w:tc>
        <w:tc>
          <w:tcPr>
            <w:tcW w:w="2290" w:type="dxa"/>
            <w:vMerge/>
          </w:tcPr>
          <w:p w14:paraId="13223F6D" w14:textId="77777777" w:rsidR="00695EBA" w:rsidRDefault="00695EBA" w:rsidP="00F72DE4">
            <w:pPr>
              <w:pStyle w:val="TableText"/>
              <w:rPr>
                <w:szCs w:val="20"/>
              </w:rPr>
            </w:pPr>
          </w:p>
        </w:tc>
        <w:tc>
          <w:tcPr>
            <w:tcW w:w="897" w:type="dxa"/>
            <w:vMerge/>
          </w:tcPr>
          <w:p w14:paraId="23E7EDA6" w14:textId="77777777" w:rsidR="00695EBA" w:rsidRDefault="00695EBA" w:rsidP="00F72DE4">
            <w:pPr>
              <w:pStyle w:val="TableText"/>
              <w:rPr>
                <w:szCs w:val="20"/>
              </w:rPr>
            </w:pPr>
          </w:p>
        </w:tc>
        <w:tc>
          <w:tcPr>
            <w:tcW w:w="797" w:type="dxa"/>
            <w:vMerge/>
          </w:tcPr>
          <w:p w14:paraId="1394C3DD" w14:textId="77777777" w:rsidR="00695EBA" w:rsidRDefault="00695EBA" w:rsidP="00F72DE4">
            <w:pPr>
              <w:pStyle w:val="TableText"/>
              <w:rPr>
                <w:szCs w:val="20"/>
              </w:rPr>
            </w:pPr>
          </w:p>
        </w:tc>
        <w:tc>
          <w:tcPr>
            <w:tcW w:w="835" w:type="dxa"/>
            <w:shd w:val="clear" w:color="auto" w:fill="B3B3B3"/>
          </w:tcPr>
          <w:p w14:paraId="4D2A9E7F" w14:textId="77777777" w:rsidR="00695EBA" w:rsidRPr="003521C6" w:rsidRDefault="00695EBA" w:rsidP="00F72DE4">
            <w:pPr>
              <w:pStyle w:val="TableText"/>
              <w:rPr>
                <w:b/>
                <w:szCs w:val="20"/>
              </w:rPr>
            </w:pPr>
            <w:r w:rsidRPr="003521C6">
              <w:rPr>
                <w:b/>
                <w:szCs w:val="20"/>
              </w:rPr>
              <w:t>Issue</w:t>
            </w:r>
          </w:p>
        </w:tc>
        <w:tc>
          <w:tcPr>
            <w:tcW w:w="905" w:type="dxa"/>
            <w:shd w:val="clear" w:color="auto" w:fill="B3B3B3"/>
          </w:tcPr>
          <w:p w14:paraId="770F443A" w14:textId="77777777" w:rsidR="00695EBA" w:rsidRPr="003521C6" w:rsidRDefault="00695EBA" w:rsidP="00F72DE4">
            <w:pPr>
              <w:pStyle w:val="TableText"/>
              <w:rPr>
                <w:b/>
                <w:szCs w:val="20"/>
              </w:rPr>
            </w:pPr>
            <w:r w:rsidRPr="003521C6">
              <w:rPr>
                <w:b/>
                <w:szCs w:val="20"/>
              </w:rPr>
              <w:t>Return</w:t>
            </w:r>
          </w:p>
        </w:tc>
        <w:tc>
          <w:tcPr>
            <w:tcW w:w="1357" w:type="dxa"/>
            <w:vMerge/>
          </w:tcPr>
          <w:p w14:paraId="1FB959F6" w14:textId="77777777" w:rsidR="00695EBA" w:rsidRDefault="00695EBA" w:rsidP="00F72DE4">
            <w:pPr>
              <w:pStyle w:val="TableText"/>
              <w:rPr>
                <w:szCs w:val="20"/>
              </w:rPr>
            </w:pPr>
          </w:p>
        </w:tc>
        <w:tc>
          <w:tcPr>
            <w:tcW w:w="747" w:type="dxa"/>
            <w:vMerge/>
          </w:tcPr>
          <w:p w14:paraId="24BCF3A2" w14:textId="77777777" w:rsidR="00695EBA" w:rsidRDefault="00695EBA" w:rsidP="00F72DE4">
            <w:pPr>
              <w:pStyle w:val="TableText"/>
              <w:rPr>
                <w:szCs w:val="20"/>
              </w:rPr>
            </w:pPr>
          </w:p>
        </w:tc>
        <w:tc>
          <w:tcPr>
            <w:tcW w:w="708" w:type="dxa"/>
            <w:vMerge/>
          </w:tcPr>
          <w:p w14:paraId="7FDB4957" w14:textId="77777777" w:rsidR="00695EBA" w:rsidRDefault="00695EBA" w:rsidP="00F72DE4">
            <w:pPr>
              <w:pStyle w:val="TableText"/>
              <w:rPr>
                <w:szCs w:val="20"/>
              </w:rPr>
            </w:pPr>
          </w:p>
        </w:tc>
        <w:tc>
          <w:tcPr>
            <w:tcW w:w="1026" w:type="dxa"/>
            <w:vMerge/>
          </w:tcPr>
          <w:p w14:paraId="1A99975A" w14:textId="77777777" w:rsidR="00695EBA" w:rsidRDefault="00695EBA" w:rsidP="00F72DE4">
            <w:pPr>
              <w:pStyle w:val="TableText"/>
              <w:rPr>
                <w:szCs w:val="20"/>
              </w:rPr>
            </w:pPr>
          </w:p>
        </w:tc>
      </w:tr>
      <w:tr w:rsidR="00695EBA" w14:paraId="609C234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9A387CF" w14:textId="77777777" w:rsidR="00695EBA" w:rsidRDefault="00695EBA" w:rsidP="00A95965">
            <w:pPr>
              <w:pStyle w:val="TableText"/>
              <w:rPr>
                <w:szCs w:val="20"/>
              </w:rPr>
            </w:pPr>
          </w:p>
        </w:tc>
        <w:tc>
          <w:tcPr>
            <w:tcW w:w="2290" w:type="dxa"/>
          </w:tcPr>
          <w:p w14:paraId="219DDEA7" w14:textId="77777777" w:rsidR="00695EBA" w:rsidRDefault="00695EBA" w:rsidP="00A95965">
            <w:pPr>
              <w:pStyle w:val="TableText"/>
              <w:rPr>
                <w:szCs w:val="20"/>
              </w:rPr>
            </w:pPr>
          </w:p>
        </w:tc>
        <w:tc>
          <w:tcPr>
            <w:tcW w:w="897" w:type="dxa"/>
          </w:tcPr>
          <w:p w14:paraId="407366F6" w14:textId="77777777" w:rsidR="00695EBA" w:rsidRDefault="00695EBA" w:rsidP="00571D70">
            <w:pPr>
              <w:pStyle w:val="TableText"/>
              <w:rPr>
                <w:szCs w:val="20"/>
              </w:rPr>
            </w:pPr>
          </w:p>
        </w:tc>
        <w:tc>
          <w:tcPr>
            <w:tcW w:w="797" w:type="dxa"/>
          </w:tcPr>
          <w:p w14:paraId="2641D159" w14:textId="77777777" w:rsidR="00695EBA" w:rsidRDefault="00695EBA" w:rsidP="00A95965">
            <w:pPr>
              <w:pStyle w:val="TableText"/>
              <w:rPr>
                <w:szCs w:val="20"/>
              </w:rPr>
            </w:pPr>
          </w:p>
        </w:tc>
        <w:tc>
          <w:tcPr>
            <w:tcW w:w="835" w:type="dxa"/>
          </w:tcPr>
          <w:p w14:paraId="4608FEFA" w14:textId="77777777" w:rsidR="00695EBA" w:rsidRDefault="00695EBA" w:rsidP="00A95965">
            <w:pPr>
              <w:pStyle w:val="TableText"/>
              <w:rPr>
                <w:szCs w:val="20"/>
              </w:rPr>
            </w:pPr>
          </w:p>
        </w:tc>
        <w:tc>
          <w:tcPr>
            <w:tcW w:w="905" w:type="dxa"/>
          </w:tcPr>
          <w:p w14:paraId="622A86C6" w14:textId="77777777" w:rsidR="00695EBA" w:rsidRDefault="00695EBA" w:rsidP="00A95965">
            <w:pPr>
              <w:pStyle w:val="TableText"/>
              <w:rPr>
                <w:szCs w:val="20"/>
              </w:rPr>
            </w:pPr>
          </w:p>
        </w:tc>
        <w:tc>
          <w:tcPr>
            <w:tcW w:w="1357" w:type="dxa"/>
          </w:tcPr>
          <w:p w14:paraId="14813E7D" w14:textId="77777777" w:rsidR="00695EBA" w:rsidRDefault="00695EBA" w:rsidP="00A95965">
            <w:pPr>
              <w:pStyle w:val="TableText"/>
              <w:rPr>
                <w:szCs w:val="20"/>
              </w:rPr>
            </w:pPr>
          </w:p>
        </w:tc>
        <w:tc>
          <w:tcPr>
            <w:tcW w:w="747" w:type="dxa"/>
          </w:tcPr>
          <w:p w14:paraId="3D46EBBF" w14:textId="77777777" w:rsidR="00695EBA" w:rsidRDefault="00695EBA" w:rsidP="00A95965">
            <w:pPr>
              <w:pStyle w:val="TableText"/>
              <w:rPr>
                <w:szCs w:val="20"/>
              </w:rPr>
            </w:pPr>
          </w:p>
        </w:tc>
        <w:tc>
          <w:tcPr>
            <w:tcW w:w="708" w:type="dxa"/>
          </w:tcPr>
          <w:p w14:paraId="64CEC9EA" w14:textId="77777777" w:rsidR="00695EBA" w:rsidRDefault="00695EBA" w:rsidP="00A95965">
            <w:pPr>
              <w:pStyle w:val="TableText"/>
              <w:rPr>
                <w:szCs w:val="20"/>
              </w:rPr>
            </w:pPr>
          </w:p>
        </w:tc>
        <w:tc>
          <w:tcPr>
            <w:tcW w:w="1026" w:type="dxa"/>
          </w:tcPr>
          <w:p w14:paraId="6C24F371" w14:textId="77777777" w:rsidR="00695EBA" w:rsidRDefault="00695EBA" w:rsidP="00A95965">
            <w:pPr>
              <w:pStyle w:val="TableText"/>
              <w:rPr>
                <w:szCs w:val="20"/>
              </w:rPr>
            </w:pPr>
          </w:p>
        </w:tc>
      </w:tr>
      <w:tr w:rsidR="00695EBA" w14:paraId="749DD2B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6102EE27" w14:textId="77777777" w:rsidR="00695EBA" w:rsidRDefault="00695EBA" w:rsidP="00A95965">
            <w:pPr>
              <w:pStyle w:val="TableText"/>
              <w:rPr>
                <w:szCs w:val="20"/>
              </w:rPr>
            </w:pPr>
          </w:p>
        </w:tc>
        <w:tc>
          <w:tcPr>
            <w:tcW w:w="2290" w:type="dxa"/>
          </w:tcPr>
          <w:p w14:paraId="48773C50" w14:textId="77777777" w:rsidR="00695EBA" w:rsidRDefault="00695EBA" w:rsidP="00A95965">
            <w:pPr>
              <w:pStyle w:val="TableText"/>
              <w:rPr>
                <w:szCs w:val="20"/>
              </w:rPr>
            </w:pPr>
          </w:p>
        </w:tc>
        <w:tc>
          <w:tcPr>
            <w:tcW w:w="897" w:type="dxa"/>
          </w:tcPr>
          <w:p w14:paraId="2151A35A" w14:textId="77777777" w:rsidR="00695EBA" w:rsidRDefault="00695EBA" w:rsidP="00571D70">
            <w:pPr>
              <w:pStyle w:val="TableText"/>
              <w:rPr>
                <w:szCs w:val="20"/>
              </w:rPr>
            </w:pPr>
          </w:p>
        </w:tc>
        <w:tc>
          <w:tcPr>
            <w:tcW w:w="797" w:type="dxa"/>
          </w:tcPr>
          <w:p w14:paraId="53F488D0" w14:textId="77777777" w:rsidR="00695EBA" w:rsidRDefault="00695EBA" w:rsidP="00A95965">
            <w:pPr>
              <w:pStyle w:val="TableText"/>
              <w:rPr>
                <w:szCs w:val="20"/>
              </w:rPr>
            </w:pPr>
          </w:p>
        </w:tc>
        <w:tc>
          <w:tcPr>
            <w:tcW w:w="835" w:type="dxa"/>
          </w:tcPr>
          <w:p w14:paraId="67317A96" w14:textId="77777777" w:rsidR="00695EBA" w:rsidRDefault="00695EBA" w:rsidP="00A95965">
            <w:pPr>
              <w:pStyle w:val="TableText"/>
              <w:rPr>
                <w:szCs w:val="20"/>
              </w:rPr>
            </w:pPr>
          </w:p>
        </w:tc>
        <w:tc>
          <w:tcPr>
            <w:tcW w:w="905" w:type="dxa"/>
          </w:tcPr>
          <w:p w14:paraId="7038C353" w14:textId="77777777" w:rsidR="00695EBA" w:rsidRDefault="00695EBA" w:rsidP="00A95965">
            <w:pPr>
              <w:pStyle w:val="TableText"/>
              <w:rPr>
                <w:szCs w:val="20"/>
              </w:rPr>
            </w:pPr>
          </w:p>
        </w:tc>
        <w:tc>
          <w:tcPr>
            <w:tcW w:w="1357" w:type="dxa"/>
          </w:tcPr>
          <w:p w14:paraId="4CAA4A80" w14:textId="77777777" w:rsidR="00695EBA" w:rsidRDefault="00695EBA" w:rsidP="00A95965">
            <w:pPr>
              <w:pStyle w:val="TableText"/>
              <w:rPr>
                <w:szCs w:val="20"/>
              </w:rPr>
            </w:pPr>
          </w:p>
        </w:tc>
        <w:tc>
          <w:tcPr>
            <w:tcW w:w="747" w:type="dxa"/>
          </w:tcPr>
          <w:p w14:paraId="3BF8FA60" w14:textId="77777777" w:rsidR="00695EBA" w:rsidRDefault="00695EBA" w:rsidP="00A95965">
            <w:pPr>
              <w:pStyle w:val="TableText"/>
              <w:rPr>
                <w:szCs w:val="20"/>
              </w:rPr>
            </w:pPr>
          </w:p>
        </w:tc>
        <w:tc>
          <w:tcPr>
            <w:tcW w:w="708" w:type="dxa"/>
          </w:tcPr>
          <w:p w14:paraId="59AA019A" w14:textId="77777777" w:rsidR="00695EBA" w:rsidRDefault="00695EBA" w:rsidP="00A95965">
            <w:pPr>
              <w:pStyle w:val="TableText"/>
              <w:rPr>
                <w:szCs w:val="20"/>
              </w:rPr>
            </w:pPr>
          </w:p>
        </w:tc>
        <w:tc>
          <w:tcPr>
            <w:tcW w:w="1026" w:type="dxa"/>
          </w:tcPr>
          <w:p w14:paraId="6A0C4AC8" w14:textId="77777777" w:rsidR="00695EBA" w:rsidRDefault="00695EBA" w:rsidP="00A95965">
            <w:pPr>
              <w:pStyle w:val="TableText"/>
              <w:rPr>
                <w:szCs w:val="20"/>
              </w:rPr>
            </w:pPr>
          </w:p>
        </w:tc>
      </w:tr>
      <w:tr w:rsidR="00695EBA" w14:paraId="2258F60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65A8A9B0" w14:textId="77777777" w:rsidR="00695EBA" w:rsidRDefault="00695EBA" w:rsidP="00A95965">
            <w:pPr>
              <w:pStyle w:val="TableText"/>
              <w:rPr>
                <w:szCs w:val="20"/>
              </w:rPr>
            </w:pPr>
          </w:p>
        </w:tc>
        <w:tc>
          <w:tcPr>
            <w:tcW w:w="2290" w:type="dxa"/>
          </w:tcPr>
          <w:p w14:paraId="1282B99B" w14:textId="77777777" w:rsidR="00695EBA" w:rsidRDefault="00695EBA" w:rsidP="00A95965">
            <w:pPr>
              <w:pStyle w:val="TableText"/>
              <w:rPr>
                <w:szCs w:val="20"/>
              </w:rPr>
            </w:pPr>
          </w:p>
        </w:tc>
        <w:tc>
          <w:tcPr>
            <w:tcW w:w="897" w:type="dxa"/>
          </w:tcPr>
          <w:p w14:paraId="3C171BAB" w14:textId="77777777" w:rsidR="00695EBA" w:rsidRDefault="00695EBA" w:rsidP="00571D70">
            <w:pPr>
              <w:pStyle w:val="TableText"/>
              <w:rPr>
                <w:szCs w:val="20"/>
              </w:rPr>
            </w:pPr>
          </w:p>
        </w:tc>
        <w:tc>
          <w:tcPr>
            <w:tcW w:w="797" w:type="dxa"/>
          </w:tcPr>
          <w:p w14:paraId="5D8D36FA" w14:textId="77777777" w:rsidR="00695EBA" w:rsidRDefault="00695EBA" w:rsidP="00A95965">
            <w:pPr>
              <w:pStyle w:val="TableText"/>
              <w:rPr>
                <w:szCs w:val="20"/>
              </w:rPr>
            </w:pPr>
          </w:p>
        </w:tc>
        <w:tc>
          <w:tcPr>
            <w:tcW w:w="835" w:type="dxa"/>
          </w:tcPr>
          <w:p w14:paraId="0D82F615" w14:textId="77777777" w:rsidR="00695EBA" w:rsidRDefault="00695EBA" w:rsidP="00A95965">
            <w:pPr>
              <w:pStyle w:val="TableText"/>
              <w:rPr>
                <w:szCs w:val="20"/>
              </w:rPr>
            </w:pPr>
          </w:p>
        </w:tc>
        <w:tc>
          <w:tcPr>
            <w:tcW w:w="905" w:type="dxa"/>
          </w:tcPr>
          <w:p w14:paraId="74272E43" w14:textId="77777777" w:rsidR="00695EBA" w:rsidRDefault="00695EBA" w:rsidP="00A95965">
            <w:pPr>
              <w:pStyle w:val="TableText"/>
              <w:rPr>
                <w:szCs w:val="20"/>
              </w:rPr>
            </w:pPr>
          </w:p>
        </w:tc>
        <w:tc>
          <w:tcPr>
            <w:tcW w:w="1357" w:type="dxa"/>
          </w:tcPr>
          <w:p w14:paraId="1E26A7BE" w14:textId="77777777" w:rsidR="00695EBA" w:rsidRDefault="00695EBA" w:rsidP="00A95965">
            <w:pPr>
              <w:pStyle w:val="TableText"/>
              <w:rPr>
                <w:szCs w:val="20"/>
              </w:rPr>
            </w:pPr>
          </w:p>
        </w:tc>
        <w:tc>
          <w:tcPr>
            <w:tcW w:w="747" w:type="dxa"/>
          </w:tcPr>
          <w:p w14:paraId="4BFDF0F9" w14:textId="77777777" w:rsidR="00695EBA" w:rsidRDefault="00695EBA" w:rsidP="00A95965">
            <w:pPr>
              <w:pStyle w:val="TableText"/>
              <w:rPr>
                <w:szCs w:val="20"/>
              </w:rPr>
            </w:pPr>
          </w:p>
        </w:tc>
        <w:tc>
          <w:tcPr>
            <w:tcW w:w="708" w:type="dxa"/>
          </w:tcPr>
          <w:p w14:paraId="68126F33" w14:textId="77777777" w:rsidR="00695EBA" w:rsidRDefault="00695EBA" w:rsidP="00A95965">
            <w:pPr>
              <w:pStyle w:val="TableText"/>
              <w:rPr>
                <w:szCs w:val="20"/>
              </w:rPr>
            </w:pPr>
          </w:p>
        </w:tc>
        <w:tc>
          <w:tcPr>
            <w:tcW w:w="1026" w:type="dxa"/>
          </w:tcPr>
          <w:p w14:paraId="2640E334" w14:textId="77777777" w:rsidR="00695EBA" w:rsidRDefault="00695EBA" w:rsidP="00A95965">
            <w:pPr>
              <w:pStyle w:val="TableText"/>
              <w:rPr>
                <w:szCs w:val="20"/>
              </w:rPr>
            </w:pPr>
          </w:p>
        </w:tc>
      </w:tr>
      <w:tr w:rsidR="00695EBA" w14:paraId="545C7FCB"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9E3C7A8" w14:textId="77777777" w:rsidR="00695EBA" w:rsidRDefault="00695EBA" w:rsidP="00A95965">
            <w:pPr>
              <w:pStyle w:val="TableText"/>
              <w:rPr>
                <w:szCs w:val="20"/>
              </w:rPr>
            </w:pPr>
          </w:p>
        </w:tc>
        <w:tc>
          <w:tcPr>
            <w:tcW w:w="2290" w:type="dxa"/>
          </w:tcPr>
          <w:p w14:paraId="426F52B2" w14:textId="77777777" w:rsidR="00695EBA" w:rsidRDefault="00695EBA" w:rsidP="00A95965">
            <w:pPr>
              <w:pStyle w:val="TableText"/>
              <w:rPr>
                <w:szCs w:val="20"/>
              </w:rPr>
            </w:pPr>
          </w:p>
        </w:tc>
        <w:tc>
          <w:tcPr>
            <w:tcW w:w="897" w:type="dxa"/>
          </w:tcPr>
          <w:p w14:paraId="43C44843" w14:textId="77777777" w:rsidR="00695EBA" w:rsidRDefault="00695EBA" w:rsidP="00571D70">
            <w:pPr>
              <w:pStyle w:val="TableText"/>
              <w:rPr>
                <w:szCs w:val="20"/>
              </w:rPr>
            </w:pPr>
          </w:p>
        </w:tc>
        <w:tc>
          <w:tcPr>
            <w:tcW w:w="797" w:type="dxa"/>
          </w:tcPr>
          <w:p w14:paraId="5C1504C2" w14:textId="77777777" w:rsidR="00695EBA" w:rsidRDefault="00695EBA" w:rsidP="00A95965">
            <w:pPr>
              <w:pStyle w:val="TableText"/>
              <w:rPr>
                <w:szCs w:val="20"/>
              </w:rPr>
            </w:pPr>
          </w:p>
        </w:tc>
        <w:tc>
          <w:tcPr>
            <w:tcW w:w="835" w:type="dxa"/>
          </w:tcPr>
          <w:p w14:paraId="2D647F30" w14:textId="77777777" w:rsidR="00695EBA" w:rsidRDefault="00695EBA" w:rsidP="00A95965">
            <w:pPr>
              <w:pStyle w:val="TableText"/>
              <w:rPr>
                <w:szCs w:val="20"/>
              </w:rPr>
            </w:pPr>
          </w:p>
        </w:tc>
        <w:tc>
          <w:tcPr>
            <w:tcW w:w="905" w:type="dxa"/>
          </w:tcPr>
          <w:p w14:paraId="03701FD2" w14:textId="77777777" w:rsidR="00695EBA" w:rsidRDefault="00695EBA" w:rsidP="00A95965">
            <w:pPr>
              <w:pStyle w:val="TableText"/>
              <w:rPr>
                <w:szCs w:val="20"/>
              </w:rPr>
            </w:pPr>
          </w:p>
        </w:tc>
        <w:tc>
          <w:tcPr>
            <w:tcW w:w="1357" w:type="dxa"/>
          </w:tcPr>
          <w:p w14:paraId="7F81646C" w14:textId="77777777" w:rsidR="00695EBA" w:rsidRDefault="00695EBA" w:rsidP="00A95965">
            <w:pPr>
              <w:pStyle w:val="TableText"/>
              <w:rPr>
                <w:szCs w:val="20"/>
              </w:rPr>
            </w:pPr>
          </w:p>
        </w:tc>
        <w:tc>
          <w:tcPr>
            <w:tcW w:w="747" w:type="dxa"/>
          </w:tcPr>
          <w:p w14:paraId="21F678B9" w14:textId="77777777" w:rsidR="00695EBA" w:rsidRDefault="00695EBA" w:rsidP="00A95965">
            <w:pPr>
              <w:pStyle w:val="TableText"/>
              <w:rPr>
                <w:szCs w:val="20"/>
              </w:rPr>
            </w:pPr>
          </w:p>
        </w:tc>
        <w:tc>
          <w:tcPr>
            <w:tcW w:w="708" w:type="dxa"/>
          </w:tcPr>
          <w:p w14:paraId="078223DB" w14:textId="77777777" w:rsidR="00695EBA" w:rsidRDefault="00695EBA" w:rsidP="00A95965">
            <w:pPr>
              <w:pStyle w:val="TableText"/>
              <w:rPr>
                <w:szCs w:val="20"/>
              </w:rPr>
            </w:pPr>
          </w:p>
        </w:tc>
        <w:tc>
          <w:tcPr>
            <w:tcW w:w="1026" w:type="dxa"/>
          </w:tcPr>
          <w:p w14:paraId="26A64973" w14:textId="77777777" w:rsidR="00695EBA" w:rsidRDefault="00695EBA" w:rsidP="00A95965">
            <w:pPr>
              <w:pStyle w:val="TableText"/>
              <w:rPr>
                <w:szCs w:val="20"/>
              </w:rPr>
            </w:pPr>
          </w:p>
        </w:tc>
      </w:tr>
      <w:tr w:rsidR="00695EBA" w14:paraId="3F72F76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7B9F5F5E" w14:textId="77777777" w:rsidR="00695EBA" w:rsidRDefault="00695EBA" w:rsidP="00A95965">
            <w:pPr>
              <w:pStyle w:val="TableText"/>
              <w:rPr>
                <w:szCs w:val="20"/>
              </w:rPr>
            </w:pPr>
          </w:p>
        </w:tc>
        <w:tc>
          <w:tcPr>
            <w:tcW w:w="2290" w:type="dxa"/>
          </w:tcPr>
          <w:p w14:paraId="2C1A8413" w14:textId="77777777" w:rsidR="00695EBA" w:rsidRDefault="00695EBA" w:rsidP="00A95965">
            <w:pPr>
              <w:pStyle w:val="TableText"/>
              <w:rPr>
                <w:szCs w:val="20"/>
              </w:rPr>
            </w:pPr>
          </w:p>
        </w:tc>
        <w:tc>
          <w:tcPr>
            <w:tcW w:w="897" w:type="dxa"/>
          </w:tcPr>
          <w:p w14:paraId="1049882D" w14:textId="77777777" w:rsidR="00695EBA" w:rsidRDefault="00695EBA" w:rsidP="00571D70">
            <w:pPr>
              <w:pStyle w:val="TableText"/>
              <w:rPr>
                <w:szCs w:val="20"/>
              </w:rPr>
            </w:pPr>
          </w:p>
        </w:tc>
        <w:tc>
          <w:tcPr>
            <w:tcW w:w="797" w:type="dxa"/>
          </w:tcPr>
          <w:p w14:paraId="6FF9CD75" w14:textId="77777777" w:rsidR="00695EBA" w:rsidRDefault="00695EBA" w:rsidP="00A95965">
            <w:pPr>
              <w:pStyle w:val="TableText"/>
              <w:rPr>
                <w:szCs w:val="20"/>
              </w:rPr>
            </w:pPr>
          </w:p>
        </w:tc>
        <w:tc>
          <w:tcPr>
            <w:tcW w:w="835" w:type="dxa"/>
          </w:tcPr>
          <w:p w14:paraId="5D4BFAA9" w14:textId="77777777" w:rsidR="00695EBA" w:rsidRDefault="00695EBA" w:rsidP="00A95965">
            <w:pPr>
              <w:pStyle w:val="TableText"/>
              <w:rPr>
                <w:szCs w:val="20"/>
              </w:rPr>
            </w:pPr>
          </w:p>
        </w:tc>
        <w:tc>
          <w:tcPr>
            <w:tcW w:w="905" w:type="dxa"/>
          </w:tcPr>
          <w:p w14:paraId="46DC1AA8" w14:textId="77777777" w:rsidR="00695EBA" w:rsidRDefault="00695EBA" w:rsidP="00A95965">
            <w:pPr>
              <w:pStyle w:val="TableText"/>
              <w:rPr>
                <w:szCs w:val="20"/>
              </w:rPr>
            </w:pPr>
          </w:p>
        </w:tc>
        <w:tc>
          <w:tcPr>
            <w:tcW w:w="1357" w:type="dxa"/>
          </w:tcPr>
          <w:p w14:paraId="04F78324" w14:textId="77777777" w:rsidR="00695EBA" w:rsidRDefault="00695EBA" w:rsidP="00A95965">
            <w:pPr>
              <w:pStyle w:val="TableText"/>
              <w:rPr>
                <w:szCs w:val="20"/>
              </w:rPr>
            </w:pPr>
          </w:p>
        </w:tc>
        <w:tc>
          <w:tcPr>
            <w:tcW w:w="747" w:type="dxa"/>
          </w:tcPr>
          <w:p w14:paraId="266EA2F8" w14:textId="77777777" w:rsidR="00695EBA" w:rsidRDefault="00695EBA" w:rsidP="00A95965">
            <w:pPr>
              <w:pStyle w:val="TableText"/>
              <w:rPr>
                <w:szCs w:val="20"/>
              </w:rPr>
            </w:pPr>
          </w:p>
        </w:tc>
        <w:tc>
          <w:tcPr>
            <w:tcW w:w="708" w:type="dxa"/>
          </w:tcPr>
          <w:p w14:paraId="7D6EC1FB" w14:textId="77777777" w:rsidR="00695EBA" w:rsidRDefault="00695EBA" w:rsidP="00A95965">
            <w:pPr>
              <w:pStyle w:val="TableText"/>
              <w:rPr>
                <w:szCs w:val="20"/>
              </w:rPr>
            </w:pPr>
          </w:p>
        </w:tc>
        <w:tc>
          <w:tcPr>
            <w:tcW w:w="1026" w:type="dxa"/>
          </w:tcPr>
          <w:p w14:paraId="1D14BBBD" w14:textId="77777777" w:rsidR="00695EBA" w:rsidRDefault="00695EBA" w:rsidP="00A95965">
            <w:pPr>
              <w:pStyle w:val="TableText"/>
              <w:rPr>
                <w:szCs w:val="20"/>
              </w:rPr>
            </w:pPr>
          </w:p>
        </w:tc>
      </w:tr>
      <w:tr w:rsidR="00695EBA" w14:paraId="7C061EE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38894D82" w14:textId="77777777" w:rsidR="00695EBA" w:rsidRDefault="00695EBA" w:rsidP="00A95965">
            <w:pPr>
              <w:pStyle w:val="TableText"/>
              <w:rPr>
                <w:szCs w:val="20"/>
              </w:rPr>
            </w:pPr>
          </w:p>
        </w:tc>
        <w:tc>
          <w:tcPr>
            <w:tcW w:w="2290" w:type="dxa"/>
          </w:tcPr>
          <w:p w14:paraId="066F4514" w14:textId="77777777" w:rsidR="00695EBA" w:rsidRDefault="00695EBA" w:rsidP="00A95965">
            <w:pPr>
              <w:pStyle w:val="TableText"/>
              <w:rPr>
                <w:szCs w:val="20"/>
              </w:rPr>
            </w:pPr>
          </w:p>
        </w:tc>
        <w:tc>
          <w:tcPr>
            <w:tcW w:w="897" w:type="dxa"/>
          </w:tcPr>
          <w:p w14:paraId="75B9C35D" w14:textId="77777777" w:rsidR="00695EBA" w:rsidRDefault="00695EBA" w:rsidP="00571D70">
            <w:pPr>
              <w:pStyle w:val="TableText"/>
              <w:rPr>
                <w:szCs w:val="20"/>
              </w:rPr>
            </w:pPr>
          </w:p>
        </w:tc>
        <w:tc>
          <w:tcPr>
            <w:tcW w:w="797" w:type="dxa"/>
          </w:tcPr>
          <w:p w14:paraId="7288C257" w14:textId="77777777" w:rsidR="00695EBA" w:rsidRDefault="00695EBA" w:rsidP="00A95965">
            <w:pPr>
              <w:pStyle w:val="TableText"/>
              <w:rPr>
                <w:szCs w:val="20"/>
              </w:rPr>
            </w:pPr>
          </w:p>
        </w:tc>
        <w:tc>
          <w:tcPr>
            <w:tcW w:w="835" w:type="dxa"/>
          </w:tcPr>
          <w:p w14:paraId="039471AE" w14:textId="77777777" w:rsidR="00695EBA" w:rsidRDefault="00695EBA" w:rsidP="00A95965">
            <w:pPr>
              <w:pStyle w:val="TableText"/>
              <w:rPr>
                <w:szCs w:val="20"/>
              </w:rPr>
            </w:pPr>
          </w:p>
        </w:tc>
        <w:tc>
          <w:tcPr>
            <w:tcW w:w="905" w:type="dxa"/>
          </w:tcPr>
          <w:p w14:paraId="70D9CD3D" w14:textId="77777777" w:rsidR="00695EBA" w:rsidRDefault="00695EBA" w:rsidP="00A95965">
            <w:pPr>
              <w:pStyle w:val="TableText"/>
              <w:rPr>
                <w:szCs w:val="20"/>
              </w:rPr>
            </w:pPr>
          </w:p>
        </w:tc>
        <w:tc>
          <w:tcPr>
            <w:tcW w:w="1357" w:type="dxa"/>
          </w:tcPr>
          <w:p w14:paraId="6EA3A3BB" w14:textId="77777777" w:rsidR="00695EBA" w:rsidRDefault="00695EBA" w:rsidP="00A95965">
            <w:pPr>
              <w:pStyle w:val="TableText"/>
              <w:rPr>
                <w:szCs w:val="20"/>
              </w:rPr>
            </w:pPr>
          </w:p>
        </w:tc>
        <w:tc>
          <w:tcPr>
            <w:tcW w:w="747" w:type="dxa"/>
          </w:tcPr>
          <w:p w14:paraId="16CD1F78" w14:textId="77777777" w:rsidR="00695EBA" w:rsidRDefault="00695EBA" w:rsidP="00A95965">
            <w:pPr>
              <w:pStyle w:val="TableText"/>
              <w:rPr>
                <w:szCs w:val="20"/>
              </w:rPr>
            </w:pPr>
          </w:p>
        </w:tc>
        <w:tc>
          <w:tcPr>
            <w:tcW w:w="708" w:type="dxa"/>
          </w:tcPr>
          <w:p w14:paraId="563CECAC" w14:textId="77777777" w:rsidR="00695EBA" w:rsidRDefault="00695EBA" w:rsidP="00A95965">
            <w:pPr>
              <w:pStyle w:val="TableText"/>
              <w:rPr>
                <w:szCs w:val="20"/>
              </w:rPr>
            </w:pPr>
          </w:p>
        </w:tc>
        <w:tc>
          <w:tcPr>
            <w:tcW w:w="1026" w:type="dxa"/>
          </w:tcPr>
          <w:p w14:paraId="7A507785" w14:textId="77777777" w:rsidR="00695EBA" w:rsidRDefault="00695EBA" w:rsidP="00A95965">
            <w:pPr>
              <w:pStyle w:val="TableText"/>
              <w:rPr>
                <w:szCs w:val="20"/>
              </w:rPr>
            </w:pPr>
          </w:p>
        </w:tc>
      </w:tr>
      <w:tr w:rsidR="00695EBA" w14:paraId="2383ACD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11DB776E" w14:textId="77777777" w:rsidR="00695EBA" w:rsidRDefault="00695EBA" w:rsidP="00A95965">
            <w:pPr>
              <w:pStyle w:val="TableText"/>
              <w:rPr>
                <w:szCs w:val="20"/>
              </w:rPr>
            </w:pPr>
          </w:p>
        </w:tc>
        <w:tc>
          <w:tcPr>
            <w:tcW w:w="2290" w:type="dxa"/>
          </w:tcPr>
          <w:p w14:paraId="2B817AC6" w14:textId="77777777" w:rsidR="00695EBA" w:rsidRDefault="00695EBA" w:rsidP="00A95965">
            <w:pPr>
              <w:pStyle w:val="TableText"/>
              <w:rPr>
                <w:szCs w:val="20"/>
              </w:rPr>
            </w:pPr>
          </w:p>
        </w:tc>
        <w:tc>
          <w:tcPr>
            <w:tcW w:w="897" w:type="dxa"/>
          </w:tcPr>
          <w:p w14:paraId="214FC02B" w14:textId="77777777" w:rsidR="00695EBA" w:rsidRDefault="00695EBA" w:rsidP="00571D70">
            <w:pPr>
              <w:pStyle w:val="TableText"/>
              <w:rPr>
                <w:szCs w:val="20"/>
              </w:rPr>
            </w:pPr>
          </w:p>
        </w:tc>
        <w:tc>
          <w:tcPr>
            <w:tcW w:w="797" w:type="dxa"/>
          </w:tcPr>
          <w:p w14:paraId="0B8BFAFB" w14:textId="77777777" w:rsidR="00695EBA" w:rsidRDefault="00695EBA" w:rsidP="00A95965">
            <w:pPr>
              <w:pStyle w:val="TableText"/>
              <w:rPr>
                <w:szCs w:val="20"/>
              </w:rPr>
            </w:pPr>
          </w:p>
        </w:tc>
        <w:tc>
          <w:tcPr>
            <w:tcW w:w="835" w:type="dxa"/>
          </w:tcPr>
          <w:p w14:paraId="14281BFE" w14:textId="77777777" w:rsidR="00695EBA" w:rsidRDefault="00695EBA" w:rsidP="00A95965">
            <w:pPr>
              <w:pStyle w:val="TableText"/>
              <w:rPr>
                <w:szCs w:val="20"/>
              </w:rPr>
            </w:pPr>
          </w:p>
        </w:tc>
        <w:tc>
          <w:tcPr>
            <w:tcW w:w="905" w:type="dxa"/>
          </w:tcPr>
          <w:p w14:paraId="61C6AA93" w14:textId="77777777" w:rsidR="00695EBA" w:rsidRDefault="00695EBA" w:rsidP="00A95965">
            <w:pPr>
              <w:pStyle w:val="TableText"/>
              <w:rPr>
                <w:szCs w:val="20"/>
              </w:rPr>
            </w:pPr>
          </w:p>
        </w:tc>
        <w:tc>
          <w:tcPr>
            <w:tcW w:w="1357" w:type="dxa"/>
          </w:tcPr>
          <w:p w14:paraId="1D8AB84C" w14:textId="77777777" w:rsidR="00695EBA" w:rsidRDefault="00695EBA" w:rsidP="00A95965">
            <w:pPr>
              <w:pStyle w:val="TableText"/>
              <w:rPr>
                <w:szCs w:val="20"/>
              </w:rPr>
            </w:pPr>
          </w:p>
        </w:tc>
        <w:tc>
          <w:tcPr>
            <w:tcW w:w="747" w:type="dxa"/>
          </w:tcPr>
          <w:p w14:paraId="6DCD0EDA" w14:textId="77777777" w:rsidR="00695EBA" w:rsidRDefault="00695EBA" w:rsidP="00A95965">
            <w:pPr>
              <w:pStyle w:val="TableText"/>
              <w:rPr>
                <w:szCs w:val="20"/>
              </w:rPr>
            </w:pPr>
          </w:p>
        </w:tc>
        <w:tc>
          <w:tcPr>
            <w:tcW w:w="708" w:type="dxa"/>
          </w:tcPr>
          <w:p w14:paraId="6EBFB9D4" w14:textId="77777777" w:rsidR="00695EBA" w:rsidRDefault="00695EBA" w:rsidP="00A95965">
            <w:pPr>
              <w:pStyle w:val="TableText"/>
              <w:rPr>
                <w:szCs w:val="20"/>
              </w:rPr>
            </w:pPr>
          </w:p>
        </w:tc>
        <w:tc>
          <w:tcPr>
            <w:tcW w:w="1026" w:type="dxa"/>
          </w:tcPr>
          <w:p w14:paraId="4C48E4F0" w14:textId="77777777" w:rsidR="00695EBA" w:rsidRDefault="00695EBA" w:rsidP="00A95965">
            <w:pPr>
              <w:pStyle w:val="TableText"/>
              <w:rPr>
                <w:szCs w:val="20"/>
              </w:rPr>
            </w:pPr>
          </w:p>
        </w:tc>
      </w:tr>
      <w:tr w:rsidR="00695EBA" w14:paraId="6F578B19"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D89C1C5" w14:textId="77777777" w:rsidR="00695EBA" w:rsidRDefault="00695EBA" w:rsidP="00A95965">
            <w:pPr>
              <w:pStyle w:val="TableText"/>
              <w:rPr>
                <w:szCs w:val="20"/>
              </w:rPr>
            </w:pPr>
          </w:p>
        </w:tc>
        <w:tc>
          <w:tcPr>
            <w:tcW w:w="2290" w:type="dxa"/>
          </w:tcPr>
          <w:p w14:paraId="78DB4EFF" w14:textId="77777777" w:rsidR="00695EBA" w:rsidRDefault="00695EBA" w:rsidP="00A95965">
            <w:pPr>
              <w:pStyle w:val="TableText"/>
              <w:rPr>
                <w:szCs w:val="20"/>
              </w:rPr>
            </w:pPr>
          </w:p>
        </w:tc>
        <w:tc>
          <w:tcPr>
            <w:tcW w:w="897" w:type="dxa"/>
          </w:tcPr>
          <w:p w14:paraId="107281D4" w14:textId="77777777" w:rsidR="00695EBA" w:rsidRDefault="00695EBA" w:rsidP="00571D70">
            <w:pPr>
              <w:pStyle w:val="TableText"/>
              <w:rPr>
                <w:szCs w:val="20"/>
              </w:rPr>
            </w:pPr>
          </w:p>
        </w:tc>
        <w:tc>
          <w:tcPr>
            <w:tcW w:w="797" w:type="dxa"/>
          </w:tcPr>
          <w:p w14:paraId="13EB58CB" w14:textId="77777777" w:rsidR="00695EBA" w:rsidRDefault="00695EBA" w:rsidP="00A95965">
            <w:pPr>
              <w:pStyle w:val="TableText"/>
              <w:rPr>
                <w:szCs w:val="20"/>
              </w:rPr>
            </w:pPr>
          </w:p>
        </w:tc>
        <w:tc>
          <w:tcPr>
            <w:tcW w:w="835" w:type="dxa"/>
          </w:tcPr>
          <w:p w14:paraId="46BA0EC1" w14:textId="77777777" w:rsidR="00695EBA" w:rsidRDefault="00695EBA" w:rsidP="00A95965">
            <w:pPr>
              <w:pStyle w:val="TableText"/>
              <w:rPr>
                <w:szCs w:val="20"/>
              </w:rPr>
            </w:pPr>
          </w:p>
        </w:tc>
        <w:tc>
          <w:tcPr>
            <w:tcW w:w="905" w:type="dxa"/>
          </w:tcPr>
          <w:p w14:paraId="6AD4E5FE" w14:textId="77777777" w:rsidR="00695EBA" w:rsidRDefault="00695EBA" w:rsidP="00A95965">
            <w:pPr>
              <w:pStyle w:val="TableText"/>
              <w:rPr>
                <w:szCs w:val="20"/>
              </w:rPr>
            </w:pPr>
          </w:p>
        </w:tc>
        <w:tc>
          <w:tcPr>
            <w:tcW w:w="1357" w:type="dxa"/>
          </w:tcPr>
          <w:p w14:paraId="04881FFD" w14:textId="77777777" w:rsidR="00695EBA" w:rsidRDefault="00695EBA" w:rsidP="00A95965">
            <w:pPr>
              <w:pStyle w:val="TableText"/>
              <w:rPr>
                <w:szCs w:val="20"/>
              </w:rPr>
            </w:pPr>
          </w:p>
        </w:tc>
        <w:tc>
          <w:tcPr>
            <w:tcW w:w="747" w:type="dxa"/>
          </w:tcPr>
          <w:p w14:paraId="753FD0CC" w14:textId="77777777" w:rsidR="00695EBA" w:rsidRDefault="00695EBA" w:rsidP="00A95965">
            <w:pPr>
              <w:pStyle w:val="TableText"/>
              <w:rPr>
                <w:szCs w:val="20"/>
              </w:rPr>
            </w:pPr>
          </w:p>
        </w:tc>
        <w:tc>
          <w:tcPr>
            <w:tcW w:w="708" w:type="dxa"/>
          </w:tcPr>
          <w:p w14:paraId="2C3A228A" w14:textId="77777777" w:rsidR="00695EBA" w:rsidRDefault="00695EBA" w:rsidP="00A95965">
            <w:pPr>
              <w:pStyle w:val="TableText"/>
              <w:rPr>
                <w:szCs w:val="20"/>
              </w:rPr>
            </w:pPr>
          </w:p>
        </w:tc>
        <w:tc>
          <w:tcPr>
            <w:tcW w:w="1026" w:type="dxa"/>
          </w:tcPr>
          <w:p w14:paraId="4D4BC87F" w14:textId="77777777" w:rsidR="00695EBA" w:rsidRDefault="00695EBA" w:rsidP="00A95965">
            <w:pPr>
              <w:pStyle w:val="TableText"/>
              <w:rPr>
                <w:szCs w:val="20"/>
              </w:rPr>
            </w:pPr>
          </w:p>
        </w:tc>
      </w:tr>
      <w:tr w:rsidR="00695EBA" w14:paraId="3E70C289"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C802B8E" w14:textId="77777777" w:rsidR="00695EBA" w:rsidRDefault="00695EBA" w:rsidP="00A95965">
            <w:pPr>
              <w:pStyle w:val="TableText"/>
              <w:rPr>
                <w:szCs w:val="20"/>
              </w:rPr>
            </w:pPr>
          </w:p>
        </w:tc>
        <w:tc>
          <w:tcPr>
            <w:tcW w:w="2290" w:type="dxa"/>
          </w:tcPr>
          <w:p w14:paraId="2C13A899" w14:textId="77777777" w:rsidR="00695EBA" w:rsidRDefault="00695EBA" w:rsidP="00A95965">
            <w:pPr>
              <w:pStyle w:val="TableText"/>
              <w:rPr>
                <w:szCs w:val="20"/>
              </w:rPr>
            </w:pPr>
          </w:p>
        </w:tc>
        <w:tc>
          <w:tcPr>
            <w:tcW w:w="897" w:type="dxa"/>
          </w:tcPr>
          <w:p w14:paraId="0937D066" w14:textId="77777777" w:rsidR="00695EBA" w:rsidRDefault="00695EBA" w:rsidP="00571D70">
            <w:pPr>
              <w:pStyle w:val="TableText"/>
              <w:rPr>
                <w:szCs w:val="20"/>
              </w:rPr>
            </w:pPr>
          </w:p>
        </w:tc>
        <w:tc>
          <w:tcPr>
            <w:tcW w:w="797" w:type="dxa"/>
          </w:tcPr>
          <w:p w14:paraId="3D42923A" w14:textId="77777777" w:rsidR="00695EBA" w:rsidRDefault="00695EBA" w:rsidP="00A95965">
            <w:pPr>
              <w:pStyle w:val="TableText"/>
              <w:rPr>
                <w:szCs w:val="20"/>
              </w:rPr>
            </w:pPr>
          </w:p>
        </w:tc>
        <w:tc>
          <w:tcPr>
            <w:tcW w:w="835" w:type="dxa"/>
          </w:tcPr>
          <w:p w14:paraId="3DF08540" w14:textId="77777777" w:rsidR="00695EBA" w:rsidRDefault="00695EBA" w:rsidP="00A95965">
            <w:pPr>
              <w:pStyle w:val="TableText"/>
              <w:rPr>
                <w:szCs w:val="20"/>
              </w:rPr>
            </w:pPr>
          </w:p>
        </w:tc>
        <w:tc>
          <w:tcPr>
            <w:tcW w:w="905" w:type="dxa"/>
          </w:tcPr>
          <w:p w14:paraId="4F34BB58" w14:textId="77777777" w:rsidR="00695EBA" w:rsidRDefault="00695EBA" w:rsidP="00A95965">
            <w:pPr>
              <w:pStyle w:val="TableText"/>
              <w:rPr>
                <w:szCs w:val="20"/>
              </w:rPr>
            </w:pPr>
          </w:p>
        </w:tc>
        <w:tc>
          <w:tcPr>
            <w:tcW w:w="1357" w:type="dxa"/>
          </w:tcPr>
          <w:p w14:paraId="350409AB" w14:textId="77777777" w:rsidR="00695EBA" w:rsidRDefault="00695EBA" w:rsidP="00A95965">
            <w:pPr>
              <w:pStyle w:val="TableText"/>
              <w:rPr>
                <w:szCs w:val="20"/>
              </w:rPr>
            </w:pPr>
          </w:p>
        </w:tc>
        <w:tc>
          <w:tcPr>
            <w:tcW w:w="747" w:type="dxa"/>
          </w:tcPr>
          <w:p w14:paraId="76F3B1C5" w14:textId="77777777" w:rsidR="00695EBA" w:rsidRDefault="00695EBA" w:rsidP="00A95965">
            <w:pPr>
              <w:pStyle w:val="TableText"/>
              <w:rPr>
                <w:szCs w:val="20"/>
              </w:rPr>
            </w:pPr>
          </w:p>
        </w:tc>
        <w:tc>
          <w:tcPr>
            <w:tcW w:w="708" w:type="dxa"/>
          </w:tcPr>
          <w:p w14:paraId="7DF7CBCC" w14:textId="77777777" w:rsidR="00695EBA" w:rsidRDefault="00695EBA" w:rsidP="00A95965">
            <w:pPr>
              <w:pStyle w:val="TableText"/>
              <w:rPr>
                <w:szCs w:val="20"/>
              </w:rPr>
            </w:pPr>
          </w:p>
        </w:tc>
        <w:tc>
          <w:tcPr>
            <w:tcW w:w="1026" w:type="dxa"/>
          </w:tcPr>
          <w:p w14:paraId="26524D6B" w14:textId="77777777" w:rsidR="00695EBA" w:rsidRDefault="00695EBA" w:rsidP="00A95965">
            <w:pPr>
              <w:pStyle w:val="TableText"/>
              <w:rPr>
                <w:szCs w:val="20"/>
              </w:rPr>
            </w:pPr>
          </w:p>
        </w:tc>
      </w:tr>
      <w:tr w:rsidR="00695EBA" w14:paraId="3E1AFC0E"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06E3D23F" w14:textId="77777777" w:rsidR="00695EBA" w:rsidRDefault="00695EBA" w:rsidP="00A95965">
            <w:pPr>
              <w:pStyle w:val="TableText"/>
              <w:rPr>
                <w:szCs w:val="20"/>
              </w:rPr>
            </w:pPr>
          </w:p>
        </w:tc>
        <w:tc>
          <w:tcPr>
            <w:tcW w:w="2290" w:type="dxa"/>
          </w:tcPr>
          <w:p w14:paraId="6D057182" w14:textId="77777777" w:rsidR="00695EBA" w:rsidRDefault="00695EBA" w:rsidP="00A95965">
            <w:pPr>
              <w:pStyle w:val="TableText"/>
              <w:rPr>
                <w:szCs w:val="20"/>
              </w:rPr>
            </w:pPr>
          </w:p>
        </w:tc>
        <w:tc>
          <w:tcPr>
            <w:tcW w:w="897" w:type="dxa"/>
          </w:tcPr>
          <w:p w14:paraId="04E07207" w14:textId="77777777" w:rsidR="00695EBA" w:rsidRDefault="00695EBA" w:rsidP="00571D70">
            <w:pPr>
              <w:pStyle w:val="TableText"/>
              <w:rPr>
                <w:szCs w:val="20"/>
              </w:rPr>
            </w:pPr>
          </w:p>
        </w:tc>
        <w:tc>
          <w:tcPr>
            <w:tcW w:w="797" w:type="dxa"/>
          </w:tcPr>
          <w:p w14:paraId="31833C4D" w14:textId="77777777" w:rsidR="00695EBA" w:rsidRDefault="00695EBA" w:rsidP="00A95965">
            <w:pPr>
              <w:pStyle w:val="TableText"/>
              <w:rPr>
                <w:szCs w:val="20"/>
              </w:rPr>
            </w:pPr>
          </w:p>
        </w:tc>
        <w:tc>
          <w:tcPr>
            <w:tcW w:w="835" w:type="dxa"/>
          </w:tcPr>
          <w:p w14:paraId="12AD33F0" w14:textId="77777777" w:rsidR="00695EBA" w:rsidRDefault="00695EBA" w:rsidP="00A95965">
            <w:pPr>
              <w:pStyle w:val="TableText"/>
              <w:rPr>
                <w:szCs w:val="20"/>
              </w:rPr>
            </w:pPr>
          </w:p>
        </w:tc>
        <w:tc>
          <w:tcPr>
            <w:tcW w:w="905" w:type="dxa"/>
          </w:tcPr>
          <w:p w14:paraId="19AE2920" w14:textId="77777777" w:rsidR="00695EBA" w:rsidRDefault="00695EBA" w:rsidP="00A95965">
            <w:pPr>
              <w:pStyle w:val="TableText"/>
              <w:rPr>
                <w:szCs w:val="20"/>
              </w:rPr>
            </w:pPr>
          </w:p>
        </w:tc>
        <w:tc>
          <w:tcPr>
            <w:tcW w:w="1357" w:type="dxa"/>
          </w:tcPr>
          <w:p w14:paraId="496C672C" w14:textId="77777777" w:rsidR="00695EBA" w:rsidRDefault="00695EBA" w:rsidP="00A95965">
            <w:pPr>
              <w:pStyle w:val="TableText"/>
              <w:rPr>
                <w:szCs w:val="20"/>
              </w:rPr>
            </w:pPr>
          </w:p>
        </w:tc>
        <w:tc>
          <w:tcPr>
            <w:tcW w:w="747" w:type="dxa"/>
          </w:tcPr>
          <w:p w14:paraId="5EBEE5D0" w14:textId="77777777" w:rsidR="00695EBA" w:rsidRDefault="00695EBA" w:rsidP="00A95965">
            <w:pPr>
              <w:pStyle w:val="TableText"/>
              <w:rPr>
                <w:szCs w:val="20"/>
              </w:rPr>
            </w:pPr>
          </w:p>
        </w:tc>
        <w:tc>
          <w:tcPr>
            <w:tcW w:w="708" w:type="dxa"/>
          </w:tcPr>
          <w:p w14:paraId="5C834CCE" w14:textId="77777777" w:rsidR="00695EBA" w:rsidRDefault="00695EBA" w:rsidP="00A95965">
            <w:pPr>
              <w:pStyle w:val="TableText"/>
              <w:rPr>
                <w:szCs w:val="20"/>
              </w:rPr>
            </w:pPr>
          </w:p>
        </w:tc>
        <w:tc>
          <w:tcPr>
            <w:tcW w:w="1026" w:type="dxa"/>
          </w:tcPr>
          <w:p w14:paraId="3426586C" w14:textId="77777777" w:rsidR="00695EBA" w:rsidRDefault="00695EBA" w:rsidP="00A95965">
            <w:pPr>
              <w:pStyle w:val="TableText"/>
              <w:rPr>
                <w:szCs w:val="20"/>
              </w:rPr>
            </w:pPr>
          </w:p>
        </w:tc>
      </w:tr>
      <w:tr w:rsidR="00695EBA" w14:paraId="4D9E2BD7"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2C44703E" w14:textId="77777777" w:rsidR="00695EBA" w:rsidRDefault="00695EBA" w:rsidP="00A95965">
            <w:pPr>
              <w:pStyle w:val="TableText"/>
              <w:rPr>
                <w:szCs w:val="20"/>
              </w:rPr>
            </w:pPr>
          </w:p>
        </w:tc>
        <w:tc>
          <w:tcPr>
            <w:tcW w:w="2290" w:type="dxa"/>
          </w:tcPr>
          <w:p w14:paraId="5892B51E" w14:textId="77777777" w:rsidR="00695EBA" w:rsidRDefault="00695EBA" w:rsidP="00A95965">
            <w:pPr>
              <w:pStyle w:val="TableText"/>
              <w:rPr>
                <w:szCs w:val="20"/>
              </w:rPr>
            </w:pPr>
          </w:p>
        </w:tc>
        <w:tc>
          <w:tcPr>
            <w:tcW w:w="897" w:type="dxa"/>
          </w:tcPr>
          <w:p w14:paraId="0F3B1B64" w14:textId="77777777" w:rsidR="00695EBA" w:rsidRDefault="00695EBA" w:rsidP="00571D70">
            <w:pPr>
              <w:pStyle w:val="TableText"/>
              <w:rPr>
                <w:szCs w:val="20"/>
              </w:rPr>
            </w:pPr>
          </w:p>
        </w:tc>
        <w:tc>
          <w:tcPr>
            <w:tcW w:w="797" w:type="dxa"/>
          </w:tcPr>
          <w:p w14:paraId="6996767C" w14:textId="77777777" w:rsidR="00695EBA" w:rsidRDefault="00695EBA" w:rsidP="00A95965">
            <w:pPr>
              <w:pStyle w:val="TableText"/>
              <w:rPr>
                <w:szCs w:val="20"/>
              </w:rPr>
            </w:pPr>
          </w:p>
        </w:tc>
        <w:tc>
          <w:tcPr>
            <w:tcW w:w="835" w:type="dxa"/>
          </w:tcPr>
          <w:p w14:paraId="4C4C64DD" w14:textId="77777777" w:rsidR="00695EBA" w:rsidRDefault="00695EBA" w:rsidP="00A95965">
            <w:pPr>
              <w:pStyle w:val="TableText"/>
              <w:rPr>
                <w:szCs w:val="20"/>
              </w:rPr>
            </w:pPr>
          </w:p>
        </w:tc>
        <w:tc>
          <w:tcPr>
            <w:tcW w:w="905" w:type="dxa"/>
          </w:tcPr>
          <w:p w14:paraId="29C648C1" w14:textId="77777777" w:rsidR="00695EBA" w:rsidRDefault="00695EBA" w:rsidP="00A95965">
            <w:pPr>
              <w:pStyle w:val="TableText"/>
              <w:rPr>
                <w:szCs w:val="20"/>
              </w:rPr>
            </w:pPr>
          </w:p>
        </w:tc>
        <w:tc>
          <w:tcPr>
            <w:tcW w:w="1357" w:type="dxa"/>
          </w:tcPr>
          <w:p w14:paraId="36E1DF1E" w14:textId="77777777" w:rsidR="00695EBA" w:rsidRDefault="00695EBA" w:rsidP="00A95965">
            <w:pPr>
              <w:pStyle w:val="TableText"/>
              <w:rPr>
                <w:szCs w:val="20"/>
              </w:rPr>
            </w:pPr>
          </w:p>
        </w:tc>
        <w:tc>
          <w:tcPr>
            <w:tcW w:w="747" w:type="dxa"/>
          </w:tcPr>
          <w:p w14:paraId="123954EC" w14:textId="77777777" w:rsidR="00695EBA" w:rsidRDefault="00695EBA" w:rsidP="00A95965">
            <w:pPr>
              <w:pStyle w:val="TableText"/>
              <w:rPr>
                <w:szCs w:val="20"/>
              </w:rPr>
            </w:pPr>
          </w:p>
        </w:tc>
        <w:tc>
          <w:tcPr>
            <w:tcW w:w="708" w:type="dxa"/>
          </w:tcPr>
          <w:p w14:paraId="3C7B9F1A" w14:textId="77777777" w:rsidR="00695EBA" w:rsidRDefault="00695EBA" w:rsidP="00A95965">
            <w:pPr>
              <w:pStyle w:val="TableText"/>
              <w:rPr>
                <w:szCs w:val="20"/>
              </w:rPr>
            </w:pPr>
          </w:p>
        </w:tc>
        <w:tc>
          <w:tcPr>
            <w:tcW w:w="1026" w:type="dxa"/>
          </w:tcPr>
          <w:p w14:paraId="6D937937" w14:textId="77777777" w:rsidR="00695EBA" w:rsidRDefault="00695EBA" w:rsidP="00A95965">
            <w:pPr>
              <w:pStyle w:val="TableText"/>
              <w:rPr>
                <w:szCs w:val="20"/>
              </w:rPr>
            </w:pPr>
          </w:p>
        </w:tc>
      </w:tr>
      <w:tr w:rsidR="00695EBA" w14:paraId="4721B9B4"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4804B07F" w14:textId="77777777" w:rsidR="00695EBA" w:rsidRDefault="00695EBA" w:rsidP="00A95965">
            <w:pPr>
              <w:pStyle w:val="TableText"/>
              <w:rPr>
                <w:szCs w:val="20"/>
              </w:rPr>
            </w:pPr>
          </w:p>
        </w:tc>
        <w:tc>
          <w:tcPr>
            <w:tcW w:w="2290" w:type="dxa"/>
          </w:tcPr>
          <w:p w14:paraId="76F3C65C" w14:textId="77777777" w:rsidR="00695EBA" w:rsidRDefault="00695EBA" w:rsidP="00A95965">
            <w:pPr>
              <w:pStyle w:val="TableText"/>
              <w:rPr>
                <w:szCs w:val="20"/>
              </w:rPr>
            </w:pPr>
          </w:p>
        </w:tc>
        <w:tc>
          <w:tcPr>
            <w:tcW w:w="897" w:type="dxa"/>
          </w:tcPr>
          <w:p w14:paraId="010DA98B" w14:textId="77777777" w:rsidR="00695EBA" w:rsidRDefault="00695EBA" w:rsidP="00571D70">
            <w:pPr>
              <w:pStyle w:val="TableText"/>
              <w:rPr>
                <w:szCs w:val="20"/>
              </w:rPr>
            </w:pPr>
          </w:p>
        </w:tc>
        <w:tc>
          <w:tcPr>
            <w:tcW w:w="797" w:type="dxa"/>
          </w:tcPr>
          <w:p w14:paraId="042DDF30" w14:textId="77777777" w:rsidR="00695EBA" w:rsidRDefault="00695EBA" w:rsidP="00A95965">
            <w:pPr>
              <w:pStyle w:val="TableText"/>
              <w:rPr>
                <w:szCs w:val="20"/>
              </w:rPr>
            </w:pPr>
          </w:p>
        </w:tc>
        <w:tc>
          <w:tcPr>
            <w:tcW w:w="835" w:type="dxa"/>
          </w:tcPr>
          <w:p w14:paraId="6ED7F5EC" w14:textId="77777777" w:rsidR="00695EBA" w:rsidRDefault="00695EBA" w:rsidP="00A95965">
            <w:pPr>
              <w:pStyle w:val="TableText"/>
              <w:rPr>
                <w:szCs w:val="20"/>
              </w:rPr>
            </w:pPr>
          </w:p>
        </w:tc>
        <w:tc>
          <w:tcPr>
            <w:tcW w:w="905" w:type="dxa"/>
          </w:tcPr>
          <w:p w14:paraId="6E0260FD" w14:textId="77777777" w:rsidR="00695EBA" w:rsidRDefault="00695EBA" w:rsidP="00A95965">
            <w:pPr>
              <w:pStyle w:val="TableText"/>
              <w:rPr>
                <w:szCs w:val="20"/>
              </w:rPr>
            </w:pPr>
          </w:p>
        </w:tc>
        <w:tc>
          <w:tcPr>
            <w:tcW w:w="1357" w:type="dxa"/>
          </w:tcPr>
          <w:p w14:paraId="6C4FCD68" w14:textId="77777777" w:rsidR="00695EBA" w:rsidRDefault="00695EBA" w:rsidP="00A95965">
            <w:pPr>
              <w:pStyle w:val="TableText"/>
              <w:rPr>
                <w:szCs w:val="20"/>
              </w:rPr>
            </w:pPr>
          </w:p>
        </w:tc>
        <w:tc>
          <w:tcPr>
            <w:tcW w:w="747" w:type="dxa"/>
          </w:tcPr>
          <w:p w14:paraId="4C880697" w14:textId="77777777" w:rsidR="00695EBA" w:rsidRDefault="00695EBA" w:rsidP="00A95965">
            <w:pPr>
              <w:pStyle w:val="TableText"/>
              <w:rPr>
                <w:szCs w:val="20"/>
              </w:rPr>
            </w:pPr>
          </w:p>
        </w:tc>
        <w:tc>
          <w:tcPr>
            <w:tcW w:w="708" w:type="dxa"/>
          </w:tcPr>
          <w:p w14:paraId="1971B9C8" w14:textId="77777777" w:rsidR="00695EBA" w:rsidRDefault="00695EBA" w:rsidP="00A95965">
            <w:pPr>
              <w:pStyle w:val="TableText"/>
              <w:rPr>
                <w:szCs w:val="20"/>
              </w:rPr>
            </w:pPr>
          </w:p>
        </w:tc>
        <w:tc>
          <w:tcPr>
            <w:tcW w:w="1026" w:type="dxa"/>
          </w:tcPr>
          <w:p w14:paraId="3AF0E8DA" w14:textId="77777777" w:rsidR="00695EBA" w:rsidRDefault="00695EBA" w:rsidP="00A95965">
            <w:pPr>
              <w:pStyle w:val="TableText"/>
              <w:rPr>
                <w:szCs w:val="20"/>
              </w:rPr>
            </w:pPr>
          </w:p>
        </w:tc>
      </w:tr>
      <w:tr w:rsidR="00695EBA" w14:paraId="30A3D660"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73DE054E" w14:textId="77777777" w:rsidR="00695EBA" w:rsidRDefault="00695EBA" w:rsidP="00A95965">
            <w:pPr>
              <w:pStyle w:val="TableText"/>
              <w:rPr>
                <w:szCs w:val="20"/>
              </w:rPr>
            </w:pPr>
          </w:p>
        </w:tc>
        <w:tc>
          <w:tcPr>
            <w:tcW w:w="2290" w:type="dxa"/>
          </w:tcPr>
          <w:p w14:paraId="277E7627" w14:textId="77777777" w:rsidR="00695EBA" w:rsidRDefault="00695EBA" w:rsidP="00A95965">
            <w:pPr>
              <w:pStyle w:val="TableText"/>
              <w:rPr>
                <w:szCs w:val="20"/>
              </w:rPr>
            </w:pPr>
          </w:p>
        </w:tc>
        <w:tc>
          <w:tcPr>
            <w:tcW w:w="897" w:type="dxa"/>
          </w:tcPr>
          <w:p w14:paraId="3987708A" w14:textId="77777777" w:rsidR="00695EBA" w:rsidRDefault="00695EBA" w:rsidP="00571D70">
            <w:pPr>
              <w:pStyle w:val="TableText"/>
              <w:rPr>
                <w:szCs w:val="20"/>
              </w:rPr>
            </w:pPr>
          </w:p>
        </w:tc>
        <w:tc>
          <w:tcPr>
            <w:tcW w:w="797" w:type="dxa"/>
          </w:tcPr>
          <w:p w14:paraId="1BF524B8" w14:textId="77777777" w:rsidR="00695EBA" w:rsidRDefault="00695EBA" w:rsidP="00A95965">
            <w:pPr>
              <w:pStyle w:val="TableText"/>
              <w:rPr>
                <w:szCs w:val="20"/>
              </w:rPr>
            </w:pPr>
          </w:p>
        </w:tc>
        <w:tc>
          <w:tcPr>
            <w:tcW w:w="835" w:type="dxa"/>
          </w:tcPr>
          <w:p w14:paraId="268E5E5E" w14:textId="77777777" w:rsidR="00695EBA" w:rsidRDefault="00695EBA" w:rsidP="00A95965">
            <w:pPr>
              <w:pStyle w:val="TableText"/>
              <w:rPr>
                <w:szCs w:val="20"/>
              </w:rPr>
            </w:pPr>
          </w:p>
        </w:tc>
        <w:tc>
          <w:tcPr>
            <w:tcW w:w="905" w:type="dxa"/>
          </w:tcPr>
          <w:p w14:paraId="3EC7067A" w14:textId="77777777" w:rsidR="00695EBA" w:rsidRDefault="00695EBA" w:rsidP="00A95965">
            <w:pPr>
              <w:pStyle w:val="TableText"/>
              <w:rPr>
                <w:szCs w:val="20"/>
              </w:rPr>
            </w:pPr>
          </w:p>
        </w:tc>
        <w:tc>
          <w:tcPr>
            <w:tcW w:w="1357" w:type="dxa"/>
          </w:tcPr>
          <w:p w14:paraId="74505759" w14:textId="77777777" w:rsidR="00695EBA" w:rsidRDefault="00695EBA" w:rsidP="00A95965">
            <w:pPr>
              <w:pStyle w:val="TableText"/>
              <w:rPr>
                <w:szCs w:val="20"/>
              </w:rPr>
            </w:pPr>
          </w:p>
        </w:tc>
        <w:tc>
          <w:tcPr>
            <w:tcW w:w="747" w:type="dxa"/>
          </w:tcPr>
          <w:p w14:paraId="4933FA27" w14:textId="77777777" w:rsidR="00695EBA" w:rsidRDefault="00695EBA" w:rsidP="00A95965">
            <w:pPr>
              <w:pStyle w:val="TableText"/>
              <w:rPr>
                <w:szCs w:val="20"/>
              </w:rPr>
            </w:pPr>
          </w:p>
        </w:tc>
        <w:tc>
          <w:tcPr>
            <w:tcW w:w="708" w:type="dxa"/>
          </w:tcPr>
          <w:p w14:paraId="6A1077B7" w14:textId="77777777" w:rsidR="00695EBA" w:rsidRDefault="00695EBA" w:rsidP="00A95965">
            <w:pPr>
              <w:pStyle w:val="TableText"/>
              <w:rPr>
                <w:szCs w:val="20"/>
              </w:rPr>
            </w:pPr>
          </w:p>
        </w:tc>
        <w:tc>
          <w:tcPr>
            <w:tcW w:w="1026" w:type="dxa"/>
          </w:tcPr>
          <w:p w14:paraId="14CDA79C" w14:textId="77777777" w:rsidR="00695EBA" w:rsidRDefault="00695EBA" w:rsidP="00A95965">
            <w:pPr>
              <w:pStyle w:val="TableText"/>
              <w:rPr>
                <w:szCs w:val="20"/>
              </w:rPr>
            </w:pPr>
          </w:p>
        </w:tc>
      </w:tr>
      <w:tr w:rsidR="00695EBA" w14:paraId="61634816"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trHeight w:val="432"/>
        </w:trPr>
        <w:tc>
          <w:tcPr>
            <w:tcW w:w="3398" w:type="dxa"/>
            <w:noWrap/>
          </w:tcPr>
          <w:p w14:paraId="1863FE63" w14:textId="77777777" w:rsidR="00695EBA" w:rsidRDefault="00695EBA" w:rsidP="00A95965">
            <w:pPr>
              <w:pStyle w:val="TableText"/>
              <w:rPr>
                <w:szCs w:val="20"/>
              </w:rPr>
            </w:pPr>
          </w:p>
        </w:tc>
        <w:tc>
          <w:tcPr>
            <w:tcW w:w="2290" w:type="dxa"/>
          </w:tcPr>
          <w:p w14:paraId="4F22E9D1" w14:textId="77777777" w:rsidR="00695EBA" w:rsidRDefault="00695EBA" w:rsidP="00A95965">
            <w:pPr>
              <w:pStyle w:val="TableText"/>
              <w:rPr>
                <w:szCs w:val="20"/>
              </w:rPr>
            </w:pPr>
          </w:p>
        </w:tc>
        <w:tc>
          <w:tcPr>
            <w:tcW w:w="897" w:type="dxa"/>
          </w:tcPr>
          <w:p w14:paraId="0970C634" w14:textId="77777777" w:rsidR="00695EBA" w:rsidRDefault="00695EBA" w:rsidP="00571D70">
            <w:pPr>
              <w:pStyle w:val="TableText"/>
              <w:rPr>
                <w:szCs w:val="20"/>
              </w:rPr>
            </w:pPr>
          </w:p>
        </w:tc>
        <w:tc>
          <w:tcPr>
            <w:tcW w:w="797" w:type="dxa"/>
          </w:tcPr>
          <w:p w14:paraId="4670731C" w14:textId="77777777" w:rsidR="00695EBA" w:rsidRDefault="00695EBA" w:rsidP="00A95965">
            <w:pPr>
              <w:pStyle w:val="TableText"/>
              <w:rPr>
                <w:szCs w:val="20"/>
              </w:rPr>
            </w:pPr>
          </w:p>
        </w:tc>
        <w:tc>
          <w:tcPr>
            <w:tcW w:w="835" w:type="dxa"/>
          </w:tcPr>
          <w:p w14:paraId="62FCD82E" w14:textId="77777777" w:rsidR="00695EBA" w:rsidRDefault="00695EBA" w:rsidP="00A95965">
            <w:pPr>
              <w:pStyle w:val="TableText"/>
              <w:rPr>
                <w:szCs w:val="20"/>
              </w:rPr>
            </w:pPr>
          </w:p>
        </w:tc>
        <w:tc>
          <w:tcPr>
            <w:tcW w:w="905" w:type="dxa"/>
          </w:tcPr>
          <w:p w14:paraId="18FE42D7" w14:textId="77777777" w:rsidR="00695EBA" w:rsidRDefault="00695EBA" w:rsidP="00A95965">
            <w:pPr>
              <w:pStyle w:val="TableText"/>
              <w:rPr>
                <w:szCs w:val="20"/>
              </w:rPr>
            </w:pPr>
          </w:p>
        </w:tc>
        <w:tc>
          <w:tcPr>
            <w:tcW w:w="1357" w:type="dxa"/>
          </w:tcPr>
          <w:p w14:paraId="6D56FBAF" w14:textId="77777777" w:rsidR="00695EBA" w:rsidRDefault="00695EBA" w:rsidP="00A95965">
            <w:pPr>
              <w:pStyle w:val="TableText"/>
              <w:rPr>
                <w:szCs w:val="20"/>
              </w:rPr>
            </w:pPr>
          </w:p>
        </w:tc>
        <w:tc>
          <w:tcPr>
            <w:tcW w:w="747" w:type="dxa"/>
          </w:tcPr>
          <w:p w14:paraId="3D0250A6" w14:textId="77777777" w:rsidR="00695EBA" w:rsidRDefault="00695EBA" w:rsidP="00A95965">
            <w:pPr>
              <w:pStyle w:val="TableText"/>
              <w:rPr>
                <w:szCs w:val="20"/>
              </w:rPr>
            </w:pPr>
          </w:p>
        </w:tc>
        <w:tc>
          <w:tcPr>
            <w:tcW w:w="708" w:type="dxa"/>
          </w:tcPr>
          <w:p w14:paraId="1CDCD5AF" w14:textId="77777777" w:rsidR="00695EBA" w:rsidRDefault="00695EBA" w:rsidP="00A95965">
            <w:pPr>
              <w:pStyle w:val="TableText"/>
              <w:rPr>
                <w:szCs w:val="20"/>
              </w:rPr>
            </w:pPr>
          </w:p>
        </w:tc>
        <w:tc>
          <w:tcPr>
            <w:tcW w:w="1026" w:type="dxa"/>
          </w:tcPr>
          <w:p w14:paraId="5EFE6B32" w14:textId="77777777" w:rsidR="00695EBA" w:rsidRDefault="00695EBA" w:rsidP="00A95965">
            <w:pPr>
              <w:pStyle w:val="TableText"/>
              <w:rPr>
                <w:szCs w:val="20"/>
              </w:rPr>
            </w:pPr>
          </w:p>
        </w:tc>
      </w:tr>
    </w:tbl>
    <w:p w14:paraId="38D1558D" w14:textId="77777777" w:rsidR="00E7240A" w:rsidRDefault="00E7240A" w:rsidP="00DD75E5">
      <w:pPr>
        <w:pStyle w:val="BodyText"/>
      </w:pPr>
    </w:p>
    <w:p w14:paraId="51CBC8BB" w14:textId="77777777" w:rsidR="00E7240A" w:rsidRDefault="00E7240A" w:rsidP="00E7240A">
      <w:pPr>
        <w:pStyle w:val="Heading3"/>
      </w:pPr>
      <w:r>
        <w:br w:type="page"/>
      </w:r>
      <w:bookmarkStart w:id="572" w:name="_Toc149064207"/>
      <w:r>
        <w:t>Unit Modification Form</w:t>
      </w:r>
      <w:bookmarkEnd w:id="572"/>
      <w:r w:rsidR="00246F04">
        <w:fldChar w:fldCharType="begin"/>
      </w:r>
      <w:r w:rsidR="00246F04">
        <w:instrText xml:space="preserve"> XE "</w:instrText>
      </w:r>
      <w:r w:rsidR="00246F04" w:rsidRPr="00775C8B">
        <w:instrText>Unit Modification Form</w:instrText>
      </w:r>
      <w:r w:rsidR="00246F04">
        <w:instrText xml:space="preserve">" </w:instrText>
      </w:r>
      <w:r w:rsidR="00246F04">
        <w:fldChar w:fldCharType="end"/>
      </w:r>
      <w:r w:rsidR="00A95965">
        <w:fldChar w:fldCharType="begin"/>
      </w:r>
      <w:r w:rsidR="00A95965">
        <w:instrText xml:space="preserve"> XE “Forms:Unit Modification Form” </w:instrText>
      </w:r>
      <w:r w:rsidR="00A95965">
        <w:fldChar w:fldCharType="end"/>
      </w: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1609"/>
        <w:gridCol w:w="2039"/>
        <w:gridCol w:w="1201"/>
        <w:gridCol w:w="2639"/>
        <w:gridCol w:w="600"/>
        <w:gridCol w:w="3240"/>
      </w:tblGrid>
      <w:tr w:rsidR="003F4F8B" w14:paraId="6D556DA5" w14:textId="77777777">
        <w:tc>
          <w:tcPr>
            <w:tcW w:w="12960" w:type="dxa"/>
            <w:gridSpan w:val="7"/>
          </w:tcPr>
          <w:p w14:paraId="11E084DB" w14:textId="77777777" w:rsidR="003F4F8B" w:rsidRPr="003F4F8B" w:rsidRDefault="003F4F8B" w:rsidP="003F4F8B">
            <w:pPr>
              <w:pStyle w:val="TableText"/>
            </w:pPr>
            <w:r w:rsidRPr="00887834">
              <w:rPr>
                <w:b/>
              </w:rPr>
              <w:t xml:space="preserve">Facility Name: </w:t>
            </w:r>
          </w:p>
        </w:tc>
      </w:tr>
      <w:tr w:rsidR="003F4F8B" w14:paraId="49345AB6" w14:textId="77777777">
        <w:tc>
          <w:tcPr>
            <w:tcW w:w="12960" w:type="dxa"/>
            <w:gridSpan w:val="7"/>
          </w:tcPr>
          <w:p w14:paraId="015C339A" w14:textId="77777777" w:rsidR="003F4F8B" w:rsidRPr="003F4F8B" w:rsidRDefault="003F4F8B" w:rsidP="003F4F8B">
            <w:pPr>
              <w:pStyle w:val="TableText"/>
            </w:pPr>
            <w:r w:rsidRPr="00887834">
              <w:rPr>
                <w:b/>
              </w:rPr>
              <w:t xml:space="preserve">Address: </w:t>
            </w:r>
          </w:p>
        </w:tc>
      </w:tr>
      <w:tr w:rsidR="003F4F8B" w14:paraId="317BBD34" w14:textId="77777777">
        <w:tc>
          <w:tcPr>
            <w:tcW w:w="12960" w:type="dxa"/>
            <w:gridSpan w:val="7"/>
          </w:tcPr>
          <w:p w14:paraId="7888C1B2" w14:textId="77777777" w:rsidR="003F4F8B" w:rsidRPr="003F4F8B" w:rsidRDefault="003F4F8B" w:rsidP="003F4F8B">
            <w:pPr>
              <w:pStyle w:val="TableText"/>
            </w:pPr>
            <w:r w:rsidRPr="00887834">
              <w:rPr>
                <w:b/>
              </w:rPr>
              <w:t>City, State, Zip Code:</w:t>
            </w:r>
            <w:r>
              <w:t xml:space="preserve"> </w:t>
            </w:r>
          </w:p>
        </w:tc>
      </w:tr>
      <w:tr w:rsidR="00E7240A" w14:paraId="46653702"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230"/>
        </w:trPr>
        <w:tc>
          <w:tcPr>
            <w:tcW w:w="3241" w:type="dxa"/>
            <w:gridSpan w:val="2"/>
            <w:shd w:val="clear" w:color="auto" w:fill="B3B3B3"/>
            <w:noWrap/>
          </w:tcPr>
          <w:p w14:paraId="73165153" w14:textId="77777777" w:rsidR="00E7240A" w:rsidRPr="005F4649" w:rsidRDefault="00E7240A" w:rsidP="00A95965">
            <w:pPr>
              <w:pStyle w:val="TableText"/>
              <w:rPr>
                <w:b/>
                <w:szCs w:val="20"/>
              </w:rPr>
            </w:pPr>
            <w:r>
              <w:rPr>
                <w:b/>
                <w:szCs w:val="20"/>
              </w:rPr>
              <w:t>Modification Date and Time</w:t>
            </w:r>
          </w:p>
        </w:tc>
        <w:tc>
          <w:tcPr>
            <w:tcW w:w="3240" w:type="dxa"/>
            <w:gridSpan w:val="2"/>
            <w:shd w:val="clear" w:color="auto" w:fill="B3B3B3"/>
          </w:tcPr>
          <w:p w14:paraId="3A3ACA66" w14:textId="77777777" w:rsidR="00E7240A" w:rsidRPr="005F4649" w:rsidRDefault="00E7240A" w:rsidP="00A95965">
            <w:pPr>
              <w:pStyle w:val="TableText"/>
              <w:rPr>
                <w:b/>
                <w:szCs w:val="20"/>
              </w:rPr>
            </w:pPr>
            <w:r>
              <w:rPr>
                <w:b/>
                <w:szCs w:val="20"/>
              </w:rPr>
              <w:t>Modification Type</w:t>
            </w:r>
          </w:p>
        </w:tc>
        <w:tc>
          <w:tcPr>
            <w:tcW w:w="3239" w:type="dxa"/>
            <w:gridSpan w:val="2"/>
            <w:shd w:val="clear" w:color="auto" w:fill="B3B3B3"/>
          </w:tcPr>
          <w:p w14:paraId="7C737E99" w14:textId="77777777" w:rsidR="00E7240A" w:rsidRDefault="00E7240A" w:rsidP="00A95965">
            <w:pPr>
              <w:pStyle w:val="TableText"/>
              <w:rPr>
                <w:b/>
                <w:szCs w:val="20"/>
              </w:rPr>
            </w:pPr>
            <w:r>
              <w:rPr>
                <w:b/>
                <w:szCs w:val="20"/>
              </w:rPr>
              <w:t>Method (Open, Closed, SCD)</w:t>
            </w:r>
          </w:p>
        </w:tc>
        <w:tc>
          <w:tcPr>
            <w:tcW w:w="3240" w:type="dxa"/>
            <w:shd w:val="clear" w:color="auto" w:fill="B3B3B3"/>
          </w:tcPr>
          <w:p w14:paraId="75CCA1B9" w14:textId="77777777" w:rsidR="00E7240A" w:rsidRPr="005F4649" w:rsidRDefault="00E7240A" w:rsidP="00A95965">
            <w:pPr>
              <w:pStyle w:val="TableText"/>
              <w:rPr>
                <w:b/>
                <w:szCs w:val="20"/>
              </w:rPr>
            </w:pPr>
            <w:r>
              <w:rPr>
                <w:b/>
                <w:szCs w:val="20"/>
              </w:rPr>
              <w:t>Modified By:</w:t>
            </w:r>
          </w:p>
        </w:tc>
      </w:tr>
      <w:tr w:rsidR="00E7240A" w14:paraId="4B383EB4"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Ex>
        <w:trPr>
          <w:cantSplit/>
          <w:trHeight w:val="432"/>
        </w:trPr>
        <w:tc>
          <w:tcPr>
            <w:tcW w:w="3241" w:type="dxa"/>
            <w:gridSpan w:val="2"/>
            <w:noWrap/>
          </w:tcPr>
          <w:p w14:paraId="33FC2ADC" w14:textId="77777777" w:rsidR="00E7240A" w:rsidRDefault="00E7240A" w:rsidP="00A95965">
            <w:pPr>
              <w:pStyle w:val="TableText"/>
              <w:rPr>
                <w:b/>
                <w:szCs w:val="20"/>
              </w:rPr>
            </w:pPr>
          </w:p>
        </w:tc>
        <w:tc>
          <w:tcPr>
            <w:tcW w:w="3240" w:type="dxa"/>
            <w:gridSpan w:val="2"/>
          </w:tcPr>
          <w:p w14:paraId="6C04F94F" w14:textId="77777777" w:rsidR="00E7240A" w:rsidRDefault="00E7240A" w:rsidP="00A95965">
            <w:pPr>
              <w:pStyle w:val="TableText"/>
              <w:rPr>
                <w:b/>
                <w:szCs w:val="20"/>
              </w:rPr>
            </w:pPr>
          </w:p>
        </w:tc>
        <w:tc>
          <w:tcPr>
            <w:tcW w:w="3239" w:type="dxa"/>
            <w:gridSpan w:val="2"/>
          </w:tcPr>
          <w:p w14:paraId="15DD3F2B" w14:textId="77777777" w:rsidR="00E7240A" w:rsidRDefault="00E7240A" w:rsidP="00A95965">
            <w:pPr>
              <w:pStyle w:val="TableText"/>
              <w:rPr>
                <w:b/>
                <w:szCs w:val="20"/>
              </w:rPr>
            </w:pPr>
          </w:p>
        </w:tc>
        <w:tc>
          <w:tcPr>
            <w:tcW w:w="3240" w:type="dxa"/>
          </w:tcPr>
          <w:p w14:paraId="63CD04A6" w14:textId="77777777" w:rsidR="00E7240A" w:rsidRDefault="00E7240A" w:rsidP="00A95965">
            <w:pPr>
              <w:pStyle w:val="TableText"/>
              <w:rPr>
                <w:b/>
                <w:szCs w:val="20"/>
              </w:rPr>
            </w:pPr>
          </w:p>
        </w:tc>
      </w:tr>
      <w:tr w:rsidR="00E7240A" w14:paraId="04AF9B96"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230"/>
        </w:trPr>
        <w:tc>
          <w:tcPr>
            <w:tcW w:w="1632" w:type="dxa"/>
            <w:tcBorders>
              <w:bottom w:val="single" w:sz="2" w:space="0" w:color="auto"/>
            </w:tcBorders>
            <w:shd w:val="clear" w:color="auto" w:fill="B3B3B3"/>
            <w:noWrap/>
          </w:tcPr>
          <w:p w14:paraId="47CA5688" w14:textId="77777777" w:rsidR="00E7240A" w:rsidRDefault="00E7240A" w:rsidP="00A95965">
            <w:pPr>
              <w:pStyle w:val="TableText"/>
              <w:rPr>
                <w:b/>
                <w:szCs w:val="20"/>
              </w:rPr>
            </w:pPr>
            <w:r>
              <w:rPr>
                <w:b/>
                <w:szCs w:val="20"/>
              </w:rPr>
              <w:t>Unit Assigned? (Yes, No)</w:t>
            </w:r>
          </w:p>
        </w:tc>
        <w:tc>
          <w:tcPr>
            <w:tcW w:w="3648" w:type="dxa"/>
            <w:gridSpan w:val="2"/>
            <w:tcBorders>
              <w:bottom w:val="single" w:sz="2" w:space="0" w:color="auto"/>
            </w:tcBorders>
            <w:shd w:val="clear" w:color="auto" w:fill="B3B3B3"/>
          </w:tcPr>
          <w:p w14:paraId="386682C3" w14:textId="77777777" w:rsidR="00E7240A" w:rsidRDefault="00E7240A" w:rsidP="00A95965">
            <w:pPr>
              <w:pStyle w:val="TableText"/>
              <w:rPr>
                <w:b/>
                <w:szCs w:val="20"/>
              </w:rPr>
            </w:pPr>
            <w:r>
              <w:rPr>
                <w:b/>
                <w:szCs w:val="20"/>
              </w:rPr>
              <w:t>Patient Name</w:t>
            </w:r>
          </w:p>
        </w:tc>
        <w:tc>
          <w:tcPr>
            <w:tcW w:w="3840" w:type="dxa"/>
            <w:gridSpan w:val="2"/>
            <w:tcBorders>
              <w:bottom w:val="single" w:sz="2" w:space="0" w:color="auto"/>
            </w:tcBorders>
            <w:shd w:val="clear" w:color="auto" w:fill="B3B3B3"/>
          </w:tcPr>
          <w:p w14:paraId="4FB34722" w14:textId="77777777" w:rsidR="00E7240A" w:rsidRDefault="00E7240A" w:rsidP="00A95965">
            <w:pPr>
              <w:pStyle w:val="TableText"/>
              <w:rPr>
                <w:b/>
                <w:szCs w:val="20"/>
              </w:rPr>
            </w:pPr>
            <w:r>
              <w:rPr>
                <w:b/>
                <w:szCs w:val="20"/>
              </w:rPr>
              <w:t>Patient Identification Number</w:t>
            </w:r>
          </w:p>
        </w:tc>
        <w:tc>
          <w:tcPr>
            <w:tcW w:w="3840" w:type="dxa"/>
            <w:gridSpan w:val="2"/>
            <w:tcBorders>
              <w:bottom w:val="single" w:sz="2" w:space="0" w:color="auto"/>
            </w:tcBorders>
            <w:shd w:val="clear" w:color="auto" w:fill="B3B3B3"/>
          </w:tcPr>
          <w:p w14:paraId="2BBCCA74" w14:textId="77777777" w:rsidR="00E7240A" w:rsidRDefault="00E7240A" w:rsidP="00A95965">
            <w:pPr>
              <w:pStyle w:val="TableText"/>
              <w:rPr>
                <w:b/>
                <w:szCs w:val="20"/>
              </w:rPr>
            </w:pPr>
            <w:r>
              <w:rPr>
                <w:b/>
                <w:szCs w:val="20"/>
              </w:rPr>
              <w:t>Specimen UID</w:t>
            </w:r>
          </w:p>
        </w:tc>
      </w:tr>
      <w:tr w:rsidR="00E7240A" w14:paraId="3AC72D5F" w14:textId="7777777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Ex>
        <w:trPr>
          <w:cantSplit/>
          <w:trHeight w:val="432"/>
        </w:trPr>
        <w:tc>
          <w:tcPr>
            <w:tcW w:w="1632" w:type="dxa"/>
            <w:shd w:val="clear" w:color="auto" w:fill="auto"/>
            <w:noWrap/>
          </w:tcPr>
          <w:p w14:paraId="5FF07BFE" w14:textId="77777777" w:rsidR="00E7240A" w:rsidRDefault="00E7240A" w:rsidP="00A95965">
            <w:pPr>
              <w:pStyle w:val="TableText"/>
              <w:rPr>
                <w:b/>
                <w:szCs w:val="20"/>
              </w:rPr>
            </w:pPr>
          </w:p>
        </w:tc>
        <w:tc>
          <w:tcPr>
            <w:tcW w:w="3648" w:type="dxa"/>
            <w:gridSpan w:val="2"/>
            <w:shd w:val="clear" w:color="auto" w:fill="auto"/>
          </w:tcPr>
          <w:p w14:paraId="27D1A973" w14:textId="77777777" w:rsidR="00E7240A" w:rsidRDefault="00E7240A" w:rsidP="00A95965">
            <w:pPr>
              <w:pStyle w:val="TableText"/>
              <w:rPr>
                <w:b/>
                <w:szCs w:val="20"/>
              </w:rPr>
            </w:pPr>
          </w:p>
        </w:tc>
        <w:tc>
          <w:tcPr>
            <w:tcW w:w="3840" w:type="dxa"/>
            <w:gridSpan w:val="2"/>
            <w:shd w:val="clear" w:color="auto" w:fill="auto"/>
          </w:tcPr>
          <w:p w14:paraId="315E6304" w14:textId="77777777" w:rsidR="00E7240A" w:rsidRDefault="00E7240A" w:rsidP="00A95965">
            <w:pPr>
              <w:pStyle w:val="TableText"/>
              <w:rPr>
                <w:b/>
                <w:szCs w:val="20"/>
              </w:rPr>
            </w:pPr>
          </w:p>
        </w:tc>
        <w:tc>
          <w:tcPr>
            <w:tcW w:w="3840" w:type="dxa"/>
            <w:gridSpan w:val="2"/>
            <w:shd w:val="clear" w:color="auto" w:fill="auto"/>
          </w:tcPr>
          <w:p w14:paraId="0D0959D0" w14:textId="77777777" w:rsidR="00E7240A" w:rsidRDefault="00E7240A" w:rsidP="00A95965">
            <w:pPr>
              <w:pStyle w:val="TableText"/>
              <w:rPr>
                <w:b/>
                <w:szCs w:val="20"/>
              </w:rPr>
            </w:pPr>
          </w:p>
        </w:tc>
      </w:tr>
    </w:tbl>
    <w:p w14:paraId="062460D2"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3793"/>
        <w:gridCol w:w="2330"/>
        <w:gridCol w:w="2111"/>
        <w:gridCol w:w="2330"/>
        <w:gridCol w:w="2396"/>
      </w:tblGrid>
      <w:tr w:rsidR="00E7240A" w14:paraId="536F2DC0" w14:textId="77777777">
        <w:trPr>
          <w:cantSplit/>
          <w:trHeight w:val="235"/>
          <w:tblHeader/>
        </w:trPr>
        <w:tc>
          <w:tcPr>
            <w:tcW w:w="12960" w:type="dxa"/>
            <w:gridSpan w:val="5"/>
            <w:shd w:val="clear" w:color="auto" w:fill="B3B3B3"/>
            <w:noWrap/>
          </w:tcPr>
          <w:p w14:paraId="3CA2FA75" w14:textId="77777777" w:rsidR="00E7240A" w:rsidRPr="005F4649" w:rsidRDefault="00E7240A" w:rsidP="00CA119C">
            <w:pPr>
              <w:pStyle w:val="TableText"/>
              <w:rPr>
                <w:b/>
                <w:szCs w:val="20"/>
              </w:rPr>
            </w:pPr>
            <w:r>
              <w:rPr>
                <w:b/>
                <w:szCs w:val="20"/>
              </w:rPr>
              <w:t>Unit(s) to Be Modified</w:t>
            </w:r>
          </w:p>
        </w:tc>
      </w:tr>
      <w:tr w:rsidR="00E7240A" w14:paraId="3218E773" w14:textId="77777777">
        <w:tblPrEx>
          <w:shd w:val="clear" w:color="auto" w:fill="auto"/>
        </w:tblPrEx>
        <w:trPr>
          <w:cantSplit/>
          <w:trHeight w:val="230"/>
          <w:tblHeader/>
        </w:trPr>
        <w:tc>
          <w:tcPr>
            <w:tcW w:w="3793" w:type="dxa"/>
            <w:shd w:val="clear" w:color="auto" w:fill="B3B3B3"/>
            <w:noWrap/>
          </w:tcPr>
          <w:p w14:paraId="6B3AF105" w14:textId="77777777" w:rsidR="00E7240A" w:rsidRPr="005F4649" w:rsidRDefault="00E7240A" w:rsidP="00CA119C">
            <w:pPr>
              <w:pStyle w:val="TableText"/>
              <w:rPr>
                <w:b/>
                <w:szCs w:val="20"/>
              </w:rPr>
            </w:pPr>
            <w:r>
              <w:rPr>
                <w:b/>
                <w:szCs w:val="20"/>
              </w:rPr>
              <w:t>Unit Identification Number</w:t>
            </w:r>
          </w:p>
        </w:tc>
        <w:tc>
          <w:tcPr>
            <w:tcW w:w="2330" w:type="dxa"/>
            <w:shd w:val="clear" w:color="auto" w:fill="B3B3B3"/>
          </w:tcPr>
          <w:p w14:paraId="4F3D3797" w14:textId="77777777" w:rsidR="00E7240A" w:rsidRPr="005F4649" w:rsidRDefault="00E7240A" w:rsidP="00CA119C">
            <w:pPr>
              <w:pStyle w:val="TableText"/>
              <w:rPr>
                <w:b/>
                <w:szCs w:val="20"/>
              </w:rPr>
            </w:pPr>
            <w:r>
              <w:rPr>
                <w:b/>
                <w:szCs w:val="20"/>
              </w:rPr>
              <w:t>Product Code</w:t>
            </w:r>
          </w:p>
        </w:tc>
        <w:tc>
          <w:tcPr>
            <w:tcW w:w="2111" w:type="dxa"/>
            <w:shd w:val="clear" w:color="auto" w:fill="B3B3B3"/>
          </w:tcPr>
          <w:p w14:paraId="7A8A6F8C" w14:textId="77777777" w:rsidR="00E7240A" w:rsidRDefault="00E7240A" w:rsidP="00CA119C">
            <w:pPr>
              <w:pStyle w:val="TableText"/>
              <w:rPr>
                <w:b/>
                <w:szCs w:val="20"/>
              </w:rPr>
            </w:pPr>
            <w:r>
              <w:rPr>
                <w:b/>
                <w:szCs w:val="20"/>
              </w:rPr>
              <w:t>ABO/Rh</w:t>
            </w:r>
          </w:p>
        </w:tc>
        <w:tc>
          <w:tcPr>
            <w:tcW w:w="2330" w:type="dxa"/>
            <w:shd w:val="clear" w:color="auto" w:fill="B3B3B3"/>
          </w:tcPr>
          <w:p w14:paraId="2BE649F1" w14:textId="77777777" w:rsidR="00E7240A" w:rsidRPr="005F4649" w:rsidRDefault="00E7240A" w:rsidP="00CA119C">
            <w:pPr>
              <w:pStyle w:val="TableText"/>
              <w:rPr>
                <w:b/>
                <w:szCs w:val="20"/>
              </w:rPr>
            </w:pPr>
            <w:r>
              <w:rPr>
                <w:b/>
                <w:szCs w:val="20"/>
              </w:rPr>
              <w:t>Container Lot Number</w:t>
            </w:r>
          </w:p>
        </w:tc>
        <w:tc>
          <w:tcPr>
            <w:tcW w:w="2396" w:type="dxa"/>
            <w:shd w:val="clear" w:color="auto" w:fill="B3B3B3"/>
          </w:tcPr>
          <w:p w14:paraId="3CAF7499" w14:textId="77777777" w:rsidR="00E7240A" w:rsidRPr="005F4649" w:rsidRDefault="00E7240A" w:rsidP="00CA119C">
            <w:pPr>
              <w:pStyle w:val="TableText"/>
              <w:rPr>
                <w:b/>
                <w:szCs w:val="20"/>
              </w:rPr>
            </w:pPr>
            <w:r>
              <w:rPr>
                <w:b/>
                <w:szCs w:val="20"/>
              </w:rPr>
              <w:t>Expiration Date and Time</w:t>
            </w:r>
          </w:p>
        </w:tc>
      </w:tr>
      <w:tr w:rsidR="00E7240A" w14:paraId="77FC1AA8" w14:textId="77777777">
        <w:tblPrEx>
          <w:shd w:val="clear" w:color="auto" w:fill="auto"/>
        </w:tblPrEx>
        <w:trPr>
          <w:cantSplit/>
          <w:trHeight w:val="432"/>
        </w:trPr>
        <w:tc>
          <w:tcPr>
            <w:tcW w:w="3793" w:type="dxa"/>
            <w:noWrap/>
          </w:tcPr>
          <w:p w14:paraId="007406C4" w14:textId="77777777" w:rsidR="00E7240A" w:rsidRDefault="00E7240A" w:rsidP="00A95965">
            <w:pPr>
              <w:pStyle w:val="TableText"/>
              <w:rPr>
                <w:b/>
                <w:szCs w:val="20"/>
              </w:rPr>
            </w:pPr>
          </w:p>
        </w:tc>
        <w:tc>
          <w:tcPr>
            <w:tcW w:w="2330" w:type="dxa"/>
          </w:tcPr>
          <w:p w14:paraId="7E343476" w14:textId="77777777" w:rsidR="00E7240A" w:rsidRDefault="00E7240A" w:rsidP="00A95965">
            <w:pPr>
              <w:pStyle w:val="TableText"/>
              <w:rPr>
                <w:b/>
                <w:szCs w:val="20"/>
              </w:rPr>
            </w:pPr>
          </w:p>
        </w:tc>
        <w:tc>
          <w:tcPr>
            <w:tcW w:w="2111" w:type="dxa"/>
          </w:tcPr>
          <w:p w14:paraId="33CD99F7" w14:textId="77777777" w:rsidR="00E7240A" w:rsidRDefault="00E7240A" w:rsidP="00A95965">
            <w:pPr>
              <w:pStyle w:val="TableText"/>
              <w:rPr>
                <w:b/>
                <w:szCs w:val="20"/>
              </w:rPr>
            </w:pPr>
          </w:p>
        </w:tc>
        <w:tc>
          <w:tcPr>
            <w:tcW w:w="2330" w:type="dxa"/>
          </w:tcPr>
          <w:p w14:paraId="71986AED" w14:textId="77777777" w:rsidR="00E7240A" w:rsidRDefault="00E7240A" w:rsidP="00A95965">
            <w:pPr>
              <w:pStyle w:val="TableText"/>
              <w:rPr>
                <w:b/>
                <w:szCs w:val="20"/>
              </w:rPr>
            </w:pPr>
          </w:p>
        </w:tc>
        <w:tc>
          <w:tcPr>
            <w:tcW w:w="2396" w:type="dxa"/>
          </w:tcPr>
          <w:p w14:paraId="7F4AE9E6" w14:textId="77777777" w:rsidR="00E7240A" w:rsidRDefault="00E7240A" w:rsidP="00A95965">
            <w:pPr>
              <w:pStyle w:val="TableText"/>
              <w:rPr>
                <w:b/>
                <w:szCs w:val="20"/>
              </w:rPr>
            </w:pPr>
          </w:p>
        </w:tc>
      </w:tr>
      <w:tr w:rsidR="00E7240A" w14:paraId="1C5BA426" w14:textId="77777777">
        <w:tblPrEx>
          <w:shd w:val="clear" w:color="auto" w:fill="auto"/>
        </w:tblPrEx>
        <w:trPr>
          <w:cantSplit/>
          <w:trHeight w:val="432"/>
        </w:trPr>
        <w:tc>
          <w:tcPr>
            <w:tcW w:w="3793" w:type="dxa"/>
            <w:noWrap/>
          </w:tcPr>
          <w:p w14:paraId="1D9793D9" w14:textId="77777777" w:rsidR="00E7240A" w:rsidRDefault="00E7240A" w:rsidP="00A95965">
            <w:pPr>
              <w:pStyle w:val="TableText"/>
              <w:rPr>
                <w:b/>
                <w:szCs w:val="20"/>
              </w:rPr>
            </w:pPr>
          </w:p>
        </w:tc>
        <w:tc>
          <w:tcPr>
            <w:tcW w:w="2330" w:type="dxa"/>
          </w:tcPr>
          <w:p w14:paraId="5B0FA633" w14:textId="77777777" w:rsidR="00E7240A" w:rsidRDefault="00E7240A" w:rsidP="00A95965">
            <w:pPr>
              <w:pStyle w:val="TableText"/>
              <w:rPr>
                <w:b/>
                <w:szCs w:val="20"/>
              </w:rPr>
            </w:pPr>
          </w:p>
        </w:tc>
        <w:tc>
          <w:tcPr>
            <w:tcW w:w="2111" w:type="dxa"/>
          </w:tcPr>
          <w:p w14:paraId="0267DF7A" w14:textId="77777777" w:rsidR="00E7240A" w:rsidRDefault="00E7240A" w:rsidP="00A95965">
            <w:pPr>
              <w:pStyle w:val="TableText"/>
              <w:rPr>
                <w:b/>
                <w:szCs w:val="20"/>
              </w:rPr>
            </w:pPr>
          </w:p>
        </w:tc>
        <w:tc>
          <w:tcPr>
            <w:tcW w:w="2330" w:type="dxa"/>
          </w:tcPr>
          <w:p w14:paraId="65F502D7" w14:textId="77777777" w:rsidR="00E7240A" w:rsidRDefault="00E7240A" w:rsidP="00A95965">
            <w:pPr>
              <w:pStyle w:val="TableText"/>
              <w:rPr>
                <w:b/>
                <w:szCs w:val="20"/>
              </w:rPr>
            </w:pPr>
          </w:p>
        </w:tc>
        <w:tc>
          <w:tcPr>
            <w:tcW w:w="2396" w:type="dxa"/>
          </w:tcPr>
          <w:p w14:paraId="037AE2CE" w14:textId="77777777" w:rsidR="00E7240A" w:rsidRDefault="00E7240A" w:rsidP="00A95965">
            <w:pPr>
              <w:pStyle w:val="TableText"/>
              <w:rPr>
                <w:b/>
                <w:szCs w:val="20"/>
              </w:rPr>
            </w:pPr>
          </w:p>
        </w:tc>
      </w:tr>
      <w:tr w:rsidR="00E7240A" w14:paraId="08F307A9" w14:textId="77777777">
        <w:tblPrEx>
          <w:shd w:val="clear" w:color="auto" w:fill="auto"/>
        </w:tblPrEx>
        <w:trPr>
          <w:cantSplit/>
          <w:trHeight w:val="432"/>
        </w:trPr>
        <w:tc>
          <w:tcPr>
            <w:tcW w:w="3793" w:type="dxa"/>
            <w:noWrap/>
          </w:tcPr>
          <w:p w14:paraId="02B4F8D6" w14:textId="77777777" w:rsidR="00E7240A" w:rsidRDefault="00E7240A" w:rsidP="00A95965">
            <w:pPr>
              <w:pStyle w:val="TableText"/>
              <w:rPr>
                <w:b/>
                <w:szCs w:val="20"/>
              </w:rPr>
            </w:pPr>
          </w:p>
        </w:tc>
        <w:tc>
          <w:tcPr>
            <w:tcW w:w="2330" w:type="dxa"/>
          </w:tcPr>
          <w:p w14:paraId="73BAD19A" w14:textId="77777777" w:rsidR="00E7240A" w:rsidRDefault="00E7240A" w:rsidP="00A95965">
            <w:pPr>
              <w:pStyle w:val="TableText"/>
              <w:rPr>
                <w:b/>
                <w:szCs w:val="20"/>
              </w:rPr>
            </w:pPr>
          </w:p>
        </w:tc>
        <w:tc>
          <w:tcPr>
            <w:tcW w:w="2111" w:type="dxa"/>
          </w:tcPr>
          <w:p w14:paraId="6107F310" w14:textId="77777777" w:rsidR="00E7240A" w:rsidRDefault="00E7240A" w:rsidP="00A95965">
            <w:pPr>
              <w:pStyle w:val="TableText"/>
              <w:rPr>
                <w:b/>
                <w:szCs w:val="20"/>
              </w:rPr>
            </w:pPr>
          </w:p>
        </w:tc>
        <w:tc>
          <w:tcPr>
            <w:tcW w:w="2330" w:type="dxa"/>
          </w:tcPr>
          <w:p w14:paraId="09048FCC" w14:textId="77777777" w:rsidR="00E7240A" w:rsidRDefault="00E7240A" w:rsidP="00A95965">
            <w:pPr>
              <w:pStyle w:val="TableText"/>
              <w:rPr>
                <w:b/>
                <w:szCs w:val="20"/>
              </w:rPr>
            </w:pPr>
          </w:p>
        </w:tc>
        <w:tc>
          <w:tcPr>
            <w:tcW w:w="2396" w:type="dxa"/>
          </w:tcPr>
          <w:p w14:paraId="0F0D3691" w14:textId="77777777" w:rsidR="00E7240A" w:rsidRDefault="00E7240A" w:rsidP="00A95965">
            <w:pPr>
              <w:pStyle w:val="TableText"/>
              <w:rPr>
                <w:b/>
                <w:szCs w:val="20"/>
              </w:rPr>
            </w:pPr>
          </w:p>
        </w:tc>
      </w:tr>
      <w:tr w:rsidR="00E7240A" w14:paraId="14212F11" w14:textId="77777777">
        <w:tblPrEx>
          <w:shd w:val="clear" w:color="auto" w:fill="auto"/>
        </w:tblPrEx>
        <w:trPr>
          <w:cantSplit/>
          <w:trHeight w:val="432"/>
        </w:trPr>
        <w:tc>
          <w:tcPr>
            <w:tcW w:w="3793" w:type="dxa"/>
            <w:noWrap/>
          </w:tcPr>
          <w:p w14:paraId="6E798D99" w14:textId="77777777" w:rsidR="00E7240A" w:rsidRDefault="00E7240A" w:rsidP="00A95965">
            <w:pPr>
              <w:pStyle w:val="TableText"/>
              <w:rPr>
                <w:b/>
                <w:szCs w:val="20"/>
              </w:rPr>
            </w:pPr>
          </w:p>
        </w:tc>
        <w:tc>
          <w:tcPr>
            <w:tcW w:w="2330" w:type="dxa"/>
          </w:tcPr>
          <w:p w14:paraId="483A110E" w14:textId="77777777" w:rsidR="00E7240A" w:rsidRDefault="00E7240A" w:rsidP="00A95965">
            <w:pPr>
              <w:pStyle w:val="TableText"/>
              <w:rPr>
                <w:b/>
                <w:szCs w:val="20"/>
              </w:rPr>
            </w:pPr>
          </w:p>
        </w:tc>
        <w:tc>
          <w:tcPr>
            <w:tcW w:w="2111" w:type="dxa"/>
          </w:tcPr>
          <w:p w14:paraId="76AD2445" w14:textId="77777777" w:rsidR="00E7240A" w:rsidRDefault="00E7240A" w:rsidP="00A95965">
            <w:pPr>
              <w:pStyle w:val="TableText"/>
              <w:rPr>
                <w:b/>
                <w:szCs w:val="20"/>
              </w:rPr>
            </w:pPr>
          </w:p>
        </w:tc>
        <w:tc>
          <w:tcPr>
            <w:tcW w:w="2330" w:type="dxa"/>
          </w:tcPr>
          <w:p w14:paraId="6B555144" w14:textId="77777777" w:rsidR="00E7240A" w:rsidRDefault="00E7240A" w:rsidP="00A95965">
            <w:pPr>
              <w:pStyle w:val="TableText"/>
              <w:rPr>
                <w:b/>
                <w:szCs w:val="20"/>
              </w:rPr>
            </w:pPr>
          </w:p>
        </w:tc>
        <w:tc>
          <w:tcPr>
            <w:tcW w:w="2396" w:type="dxa"/>
          </w:tcPr>
          <w:p w14:paraId="431B949D" w14:textId="77777777" w:rsidR="00E7240A" w:rsidRDefault="00E7240A" w:rsidP="00A95965">
            <w:pPr>
              <w:pStyle w:val="TableText"/>
              <w:rPr>
                <w:b/>
                <w:szCs w:val="20"/>
              </w:rPr>
            </w:pPr>
          </w:p>
        </w:tc>
      </w:tr>
      <w:tr w:rsidR="00E7240A" w14:paraId="1C6BB747" w14:textId="77777777">
        <w:tblPrEx>
          <w:shd w:val="clear" w:color="auto" w:fill="auto"/>
        </w:tblPrEx>
        <w:trPr>
          <w:cantSplit/>
          <w:trHeight w:val="432"/>
        </w:trPr>
        <w:tc>
          <w:tcPr>
            <w:tcW w:w="3793" w:type="dxa"/>
            <w:noWrap/>
          </w:tcPr>
          <w:p w14:paraId="58176575" w14:textId="77777777" w:rsidR="00E7240A" w:rsidRDefault="00E7240A" w:rsidP="00A95965">
            <w:pPr>
              <w:pStyle w:val="TableText"/>
              <w:rPr>
                <w:b/>
                <w:szCs w:val="20"/>
              </w:rPr>
            </w:pPr>
          </w:p>
        </w:tc>
        <w:tc>
          <w:tcPr>
            <w:tcW w:w="2330" w:type="dxa"/>
          </w:tcPr>
          <w:p w14:paraId="149C21E2" w14:textId="77777777" w:rsidR="00E7240A" w:rsidRDefault="00E7240A" w:rsidP="00A95965">
            <w:pPr>
              <w:pStyle w:val="TableText"/>
              <w:rPr>
                <w:b/>
                <w:szCs w:val="20"/>
              </w:rPr>
            </w:pPr>
          </w:p>
        </w:tc>
        <w:tc>
          <w:tcPr>
            <w:tcW w:w="2111" w:type="dxa"/>
          </w:tcPr>
          <w:p w14:paraId="44CC8F8D" w14:textId="77777777" w:rsidR="00E7240A" w:rsidRDefault="00E7240A" w:rsidP="00A95965">
            <w:pPr>
              <w:pStyle w:val="TableText"/>
              <w:rPr>
                <w:b/>
                <w:szCs w:val="20"/>
              </w:rPr>
            </w:pPr>
          </w:p>
        </w:tc>
        <w:tc>
          <w:tcPr>
            <w:tcW w:w="2330" w:type="dxa"/>
          </w:tcPr>
          <w:p w14:paraId="76ABF3C1" w14:textId="77777777" w:rsidR="00E7240A" w:rsidRDefault="00E7240A" w:rsidP="00A95965">
            <w:pPr>
              <w:pStyle w:val="TableText"/>
              <w:rPr>
                <w:b/>
                <w:szCs w:val="20"/>
              </w:rPr>
            </w:pPr>
          </w:p>
        </w:tc>
        <w:tc>
          <w:tcPr>
            <w:tcW w:w="2396" w:type="dxa"/>
          </w:tcPr>
          <w:p w14:paraId="3DB323A8" w14:textId="77777777" w:rsidR="00E7240A" w:rsidRDefault="00E7240A" w:rsidP="00A95965">
            <w:pPr>
              <w:pStyle w:val="TableText"/>
              <w:rPr>
                <w:b/>
                <w:szCs w:val="20"/>
              </w:rPr>
            </w:pPr>
          </w:p>
        </w:tc>
      </w:tr>
      <w:tr w:rsidR="00E7240A" w14:paraId="09A305B6" w14:textId="77777777">
        <w:tblPrEx>
          <w:shd w:val="clear" w:color="auto" w:fill="auto"/>
        </w:tblPrEx>
        <w:trPr>
          <w:cantSplit/>
          <w:trHeight w:val="432"/>
        </w:trPr>
        <w:tc>
          <w:tcPr>
            <w:tcW w:w="3793" w:type="dxa"/>
            <w:noWrap/>
          </w:tcPr>
          <w:p w14:paraId="6B62F110" w14:textId="77777777" w:rsidR="00E7240A" w:rsidRDefault="00E7240A" w:rsidP="00A95965">
            <w:pPr>
              <w:pStyle w:val="TableText"/>
              <w:rPr>
                <w:b/>
                <w:szCs w:val="20"/>
              </w:rPr>
            </w:pPr>
          </w:p>
        </w:tc>
        <w:tc>
          <w:tcPr>
            <w:tcW w:w="2330" w:type="dxa"/>
          </w:tcPr>
          <w:p w14:paraId="4DC6DD96" w14:textId="77777777" w:rsidR="00E7240A" w:rsidRDefault="00E7240A" w:rsidP="00A95965">
            <w:pPr>
              <w:pStyle w:val="TableText"/>
              <w:rPr>
                <w:b/>
                <w:szCs w:val="20"/>
              </w:rPr>
            </w:pPr>
          </w:p>
        </w:tc>
        <w:tc>
          <w:tcPr>
            <w:tcW w:w="2111" w:type="dxa"/>
          </w:tcPr>
          <w:p w14:paraId="612F972F" w14:textId="77777777" w:rsidR="00E7240A" w:rsidRDefault="00E7240A" w:rsidP="00A95965">
            <w:pPr>
              <w:pStyle w:val="TableText"/>
              <w:rPr>
                <w:b/>
                <w:szCs w:val="20"/>
              </w:rPr>
            </w:pPr>
          </w:p>
        </w:tc>
        <w:tc>
          <w:tcPr>
            <w:tcW w:w="2330" w:type="dxa"/>
          </w:tcPr>
          <w:p w14:paraId="79C7E227" w14:textId="77777777" w:rsidR="00E7240A" w:rsidRDefault="00E7240A" w:rsidP="00A95965">
            <w:pPr>
              <w:pStyle w:val="TableText"/>
              <w:rPr>
                <w:b/>
                <w:szCs w:val="20"/>
              </w:rPr>
            </w:pPr>
          </w:p>
        </w:tc>
        <w:tc>
          <w:tcPr>
            <w:tcW w:w="2396" w:type="dxa"/>
          </w:tcPr>
          <w:p w14:paraId="043BEA95" w14:textId="77777777" w:rsidR="00E7240A" w:rsidRDefault="00E7240A" w:rsidP="00A95965">
            <w:pPr>
              <w:pStyle w:val="TableText"/>
              <w:rPr>
                <w:b/>
                <w:szCs w:val="20"/>
              </w:rPr>
            </w:pPr>
          </w:p>
        </w:tc>
      </w:tr>
      <w:tr w:rsidR="00E7240A" w14:paraId="15DCE05A" w14:textId="77777777">
        <w:tblPrEx>
          <w:shd w:val="clear" w:color="auto" w:fill="auto"/>
        </w:tblPrEx>
        <w:trPr>
          <w:cantSplit/>
          <w:trHeight w:val="432"/>
        </w:trPr>
        <w:tc>
          <w:tcPr>
            <w:tcW w:w="3793" w:type="dxa"/>
            <w:noWrap/>
          </w:tcPr>
          <w:p w14:paraId="4E1ED7B4" w14:textId="77777777" w:rsidR="00E7240A" w:rsidRDefault="00E7240A" w:rsidP="00A95965">
            <w:pPr>
              <w:pStyle w:val="TableText"/>
              <w:rPr>
                <w:b/>
                <w:szCs w:val="20"/>
              </w:rPr>
            </w:pPr>
          </w:p>
        </w:tc>
        <w:tc>
          <w:tcPr>
            <w:tcW w:w="2330" w:type="dxa"/>
          </w:tcPr>
          <w:p w14:paraId="10460443" w14:textId="77777777" w:rsidR="00E7240A" w:rsidRDefault="00E7240A" w:rsidP="00A95965">
            <w:pPr>
              <w:pStyle w:val="TableText"/>
              <w:rPr>
                <w:b/>
                <w:szCs w:val="20"/>
              </w:rPr>
            </w:pPr>
          </w:p>
        </w:tc>
        <w:tc>
          <w:tcPr>
            <w:tcW w:w="2111" w:type="dxa"/>
          </w:tcPr>
          <w:p w14:paraId="691E3915" w14:textId="77777777" w:rsidR="00E7240A" w:rsidRDefault="00E7240A" w:rsidP="00A95965">
            <w:pPr>
              <w:pStyle w:val="TableText"/>
              <w:rPr>
                <w:b/>
                <w:szCs w:val="20"/>
              </w:rPr>
            </w:pPr>
          </w:p>
        </w:tc>
        <w:tc>
          <w:tcPr>
            <w:tcW w:w="2330" w:type="dxa"/>
          </w:tcPr>
          <w:p w14:paraId="4780C40E" w14:textId="77777777" w:rsidR="00E7240A" w:rsidRDefault="00E7240A" w:rsidP="00A95965">
            <w:pPr>
              <w:pStyle w:val="TableText"/>
              <w:rPr>
                <w:b/>
                <w:szCs w:val="20"/>
              </w:rPr>
            </w:pPr>
          </w:p>
        </w:tc>
        <w:tc>
          <w:tcPr>
            <w:tcW w:w="2396" w:type="dxa"/>
          </w:tcPr>
          <w:p w14:paraId="31EE165E" w14:textId="77777777" w:rsidR="00E7240A" w:rsidRDefault="00E7240A" w:rsidP="00A95965">
            <w:pPr>
              <w:pStyle w:val="TableText"/>
              <w:rPr>
                <w:b/>
                <w:szCs w:val="20"/>
              </w:rPr>
            </w:pPr>
          </w:p>
        </w:tc>
      </w:tr>
      <w:tr w:rsidR="00E7240A" w14:paraId="0F7439D8" w14:textId="77777777">
        <w:tblPrEx>
          <w:shd w:val="clear" w:color="auto" w:fill="auto"/>
        </w:tblPrEx>
        <w:trPr>
          <w:cantSplit/>
          <w:trHeight w:val="432"/>
        </w:trPr>
        <w:tc>
          <w:tcPr>
            <w:tcW w:w="3793" w:type="dxa"/>
            <w:noWrap/>
          </w:tcPr>
          <w:p w14:paraId="5597AC1E" w14:textId="77777777" w:rsidR="00E7240A" w:rsidRDefault="00E7240A" w:rsidP="00A95965">
            <w:pPr>
              <w:pStyle w:val="TableText"/>
              <w:rPr>
                <w:b/>
                <w:szCs w:val="20"/>
              </w:rPr>
            </w:pPr>
          </w:p>
        </w:tc>
        <w:tc>
          <w:tcPr>
            <w:tcW w:w="2330" w:type="dxa"/>
          </w:tcPr>
          <w:p w14:paraId="36B2E96B" w14:textId="77777777" w:rsidR="00E7240A" w:rsidRDefault="00E7240A" w:rsidP="00A95965">
            <w:pPr>
              <w:pStyle w:val="TableText"/>
              <w:rPr>
                <w:b/>
                <w:szCs w:val="20"/>
              </w:rPr>
            </w:pPr>
          </w:p>
        </w:tc>
        <w:tc>
          <w:tcPr>
            <w:tcW w:w="2111" w:type="dxa"/>
          </w:tcPr>
          <w:p w14:paraId="08B184A4" w14:textId="77777777" w:rsidR="00E7240A" w:rsidRDefault="00E7240A" w:rsidP="00A95965">
            <w:pPr>
              <w:pStyle w:val="TableText"/>
              <w:rPr>
                <w:b/>
                <w:szCs w:val="20"/>
              </w:rPr>
            </w:pPr>
          </w:p>
        </w:tc>
        <w:tc>
          <w:tcPr>
            <w:tcW w:w="2330" w:type="dxa"/>
          </w:tcPr>
          <w:p w14:paraId="1D3A4818" w14:textId="77777777" w:rsidR="00E7240A" w:rsidRDefault="00E7240A" w:rsidP="00A95965">
            <w:pPr>
              <w:pStyle w:val="TableText"/>
              <w:rPr>
                <w:b/>
                <w:szCs w:val="20"/>
              </w:rPr>
            </w:pPr>
          </w:p>
        </w:tc>
        <w:tc>
          <w:tcPr>
            <w:tcW w:w="2396" w:type="dxa"/>
          </w:tcPr>
          <w:p w14:paraId="5FEC8341" w14:textId="77777777" w:rsidR="00E7240A" w:rsidRDefault="00E7240A" w:rsidP="00A95965">
            <w:pPr>
              <w:pStyle w:val="TableText"/>
              <w:rPr>
                <w:b/>
                <w:szCs w:val="20"/>
              </w:rPr>
            </w:pPr>
          </w:p>
        </w:tc>
      </w:tr>
      <w:tr w:rsidR="00E7240A" w14:paraId="3DCC3941" w14:textId="77777777">
        <w:tblPrEx>
          <w:shd w:val="clear" w:color="auto" w:fill="auto"/>
        </w:tblPrEx>
        <w:trPr>
          <w:cantSplit/>
          <w:trHeight w:val="432"/>
        </w:trPr>
        <w:tc>
          <w:tcPr>
            <w:tcW w:w="3793" w:type="dxa"/>
            <w:noWrap/>
          </w:tcPr>
          <w:p w14:paraId="78DBD627" w14:textId="77777777" w:rsidR="00E7240A" w:rsidRDefault="00E7240A" w:rsidP="00A95965">
            <w:pPr>
              <w:pStyle w:val="TableText"/>
              <w:rPr>
                <w:b/>
                <w:szCs w:val="20"/>
              </w:rPr>
            </w:pPr>
          </w:p>
        </w:tc>
        <w:tc>
          <w:tcPr>
            <w:tcW w:w="2330" w:type="dxa"/>
          </w:tcPr>
          <w:p w14:paraId="24B38956" w14:textId="77777777" w:rsidR="00E7240A" w:rsidRDefault="00E7240A" w:rsidP="00A95965">
            <w:pPr>
              <w:pStyle w:val="TableText"/>
              <w:rPr>
                <w:b/>
                <w:szCs w:val="20"/>
              </w:rPr>
            </w:pPr>
          </w:p>
        </w:tc>
        <w:tc>
          <w:tcPr>
            <w:tcW w:w="2111" w:type="dxa"/>
          </w:tcPr>
          <w:p w14:paraId="16A862C4" w14:textId="77777777" w:rsidR="00E7240A" w:rsidRDefault="00E7240A" w:rsidP="00A95965">
            <w:pPr>
              <w:pStyle w:val="TableText"/>
              <w:rPr>
                <w:b/>
                <w:szCs w:val="20"/>
              </w:rPr>
            </w:pPr>
          </w:p>
        </w:tc>
        <w:tc>
          <w:tcPr>
            <w:tcW w:w="2330" w:type="dxa"/>
          </w:tcPr>
          <w:p w14:paraId="54E1A75C" w14:textId="77777777" w:rsidR="00E7240A" w:rsidRDefault="00E7240A" w:rsidP="00A95965">
            <w:pPr>
              <w:pStyle w:val="TableText"/>
              <w:rPr>
                <w:b/>
                <w:szCs w:val="20"/>
              </w:rPr>
            </w:pPr>
          </w:p>
        </w:tc>
        <w:tc>
          <w:tcPr>
            <w:tcW w:w="2396" w:type="dxa"/>
          </w:tcPr>
          <w:p w14:paraId="6FDE4A10" w14:textId="77777777" w:rsidR="00E7240A" w:rsidRDefault="00E7240A" w:rsidP="00A95965">
            <w:pPr>
              <w:pStyle w:val="TableText"/>
              <w:rPr>
                <w:b/>
                <w:szCs w:val="20"/>
              </w:rPr>
            </w:pPr>
          </w:p>
        </w:tc>
      </w:tr>
      <w:tr w:rsidR="00E7240A" w14:paraId="23320386" w14:textId="77777777">
        <w:tblPrEx>
          <w:shd w:val="clear" w:color="auto" w:fill="auto"/>
        </w:tblPrEx>
        <w:trPr>
          <w:cantSplit/>
          <w:trHeight w:val="432"/>
        </w:trPr>
        <w:tc>
          <w:tcPr>
            <w:tcW w:w="3793" w:type="dxa"/>
            <w:noWrap/>
          </w:tcPr>
          <w:p w14:paraId="5EBD4CC0" w14:textId="77777777" w:rsidR="00E7240A" w:rsidRDefault="00E7240A" w:rsidP="00A95965">
            <w:pPr>
              <w:pStyle w:val="TableText"/>
              <w:rPr>
                <w:b/>
                <w:szCs w:val="20"/>
              </w:rPr>
            </w:pPr>
          </w:p>
        </w:tc>
        <w:tc>
          <w:tcPr>
            <w:tcW w:w="2330" w:type="dxa"/>
          </w:tcPr>
          <w:p w14:paraId="1F364F4C" w14:textId="77777777" w:rsidR="00E7240A" w:rsidRDefault="00E7240A" w:rsidP="00A95965">
            <w:pPr>
              <w:pStyle w:val="TableText"/>
              <w:rPr>
                <w:b/>
                <w:szCs w:val="20"/>
              </w:rPr>
            </w:pPr>
          </w:p>
        </w:tc>
        <w:tc>
          <w:tcPr>
            <w:tcW w:w="2111" w:type="dxa"/>
          </w:tcPr>
          <w:p w14:paraId="018CDF85" w14:textId="77777777" w:rsidR="00E7240A" w:rsidRDefault="00E7240A" w:rsidP="00A95965">
            <w:pPr>
              <w:pStyle w:val="TableText"/>
              <w:rPr>
                <w:b/>
                <w:szCs w:val="20"/>
              </w:rPr>
            </w:pPr>
          </w:p>
        </w:tc>
        <w:tc>
          <w:tcPr>
            <w:tcW w:w="2330" w:type="dxa"/>
          </w:tcPr>
          <w:p w14:paraId="14679AAE" w14:textId="77777777" w:rsidR="00E7240A" w:rsidRDefault="00E7240A" w:rsidP="00A95965">
            <w:pPr>
              <w:pStyle w:val="TableText"/>
              <w:rPr>
                <w:b/>
                <w:szCs w:val="20"/>
              </w:rPr>
            </w:pPr>
          </w:p>
        </w:tc>
        <w:tc>
          <w:tcPr>
            <w:tcW w:w="2396" w:type="dxa"/>
          </w:tcPr>
          <w:p w14:paraId="65A5C2E0" w14:textId="77777777" w:rsidR="00E7240A" w:rsidRDefault="00E7240A" w:rsidP="00A95965">
            <w:pPr>
              <w:pStyle w:val="TableText"/>
              <w:rPr>
                <w:b/>
                <w:szCs w:val="20"/>
              </w:rPr>
            </w:pPr>
          </w:p>
        </w:tc>
      </w:tr>
      <w:tr w:rsidR="00246F04" w14:paraId="659897A4" w14:textId="77777777">
        <w:tblPrEx>
          <w:shd w:val="clear" w:color="auto" w:fill="auto"/>
        </w:tblPrEx>
        <w:trPr>
          <w:cantSplit/>
          <w:trHeight w:val="432"/>
        </w:trPr>
        <w:tc>
          <w:tcPr>
            <w:tcW w:w="3793" w:type="dxa"/>
            <w:noWrap/>
          </w:tcPr>
          <w:p w14:paraId="50BDFC4D" w14:textId="77777777" w:rsidR="00246F04" w:rsidRDefault="00246F04" w:rsidP="00A95965">
            <w:pPr>
              <w:pStyle w:val="TableText"/>
              <w:rPr>
                <w:b/>
                <w:szCs w:val="20"/>
              </w:rPr>
            </w:pPr>
          </w:p>
        </w:tc>
        <w:tc>
          <w:tcPr>
            <w:tcW w:w="2330" w:type="dxa"/>
          </w:tcPr>
          <w:p w14:paraId="238500E6" w14:textId="77777777" w:rsidR="00246F04" w:rsidRDefault="00246F04" w:rsidP="00A95965">
            <w:pPr>
              <w:pStyle w:val="TableText"/>
              <w:rPr>
                <w:b/>
                <w:szCs w:val="20"/>
              </w:rPr>
            </w:pPr>
          </w:p>
        </w:tc>
        <w:tc>
          <w:tcPr>
            <w:tcW w:w="2111" w:type="dxa"/>
          </w:tcPr>
          <w:p w14:paraId="408032C0" w14:textId="77777777" w:rsidR="00246F04" w:rsidRDefault="00246F04" w:rsidP="00A95965">
            <w:pPr>
              <w:pStyle w:val="TableText"/>
              <w:rPr>
                <w:b/>
                <w:szCs w:val="20"/>
              </w:rPr>
            </w:pPr>
          </w:p>
        </w:tc>
        <w:tc>
          <w:tcPr>
            <w:tcW w:w="2330" w:type="dxa"/>
          </w:tcPr>
          <w:p w14:paraId="1127B643" w14:textId="77777777" w:rsidR="00246F04" w:rsidRDefault="00246F04" w:rsidP="00A95965">
            <w:pPr>
              <w:pStyle w:val="TableText"/>
              <w:rPr>
                <w:b/>
                <w:szCs w:val="20"/>
              </w:rPr>
            </w:pPr>
          </w:p>
        </w:tc>
        <w:tc>
          <w:tcPr>
            <w:tcW w:w="2396" w:type="dxa"/>
          </w:tcPr>
          <w:p w14:paraId="3B87D8E5" w14:textId="77777777" w:rsidR="00246F04" w:rsidRDefault="00246F04" w:rsidP="00A95965">
            <w:pPr>
              <w:pStyle w:val="TableText"/>
              <w:rPr>
                <w:b/>
                <w:szCs w:val="20"/>
              </w:rPr>
            </w:pPr>
          </w:p>
        </w:tc>
      </w:tr>
      <w:tr w:rsidR="00E7240A" w14:paraId="1B075C8D" w14:textId="77777777">
        <w:tblPrEx>
          <w:shd w:val="clear" w:color="auto" w:fill="auto"/>
        </w:tblPrEx>
        <w:trPr>
          <w:cantSplit/>
          <w:trHeight w:val="432"/>
        </w:trPr>
        <w:tc>
          <w:tcPr>
            <w:tcW w:w="3793" w:type="dxa"/>
            <w:noWrap/>
          </w:tcPr>
          <w:p w14:paraId="29FE4F3D" w14:textId="77777777" w:rsidR="00E7240A" w:rsidRDefault="00E7240A" w:rsidP="00A95965">
            <w:pPr>
              <w:pStyle w:val="TableText"/>
              <w:rPr>
                <w:b/>
                <w:szCs w:val="20"/>
              </w:rPr>
            </w:pPr>
          </w:p>
        </w:tc>
        <w:tc>
          <w:tcPr>
            <w:tcW w:w="2330" w:type="dxa"/>
          </w:tcPr>
          <w:p w14:paraId="1C3296C7" w14:textId="77777777" w:rsidR="00E7240A" w:rsidRDefault="00E7240A" w:rsidP="00A95965">
            <w:pPr>
              <w:pStyle w:val="TableText"/>
              <w:rPr>
                <w:b/>
                <w:szCs w:val="20"/>
              </w:rPr>
            </w:pPr>
          </w:p>
        </w:tc>
        <w:tc>
          <w:tcPr>
            <w:tcW w:w="2111" w:type="dxa"/>
          </w:tcPr>
          <w:p w14:paraId="5BCF0BEF" w14:textId="77777777" w:rsidR="00E7240A" w:rsidRDefault="00E7240A" w:rsidP="00A95965">
            <w:pPr>
              <w:pStyle w:val="TableText"/>
              <w:rPr>
                <w:b/>
                <w:szCs w:val="20"/>
              </w:rPr>
            </w:pPr>
          </w:p>
        </w:tc>
        <w:tc>
          <w:tcPr>
            <w:tcW w:w="2330" w:type="dxa"/>
          </w:tcPr>
          <w:p w14:paraId="3109C025" w14:textId="77777777" w:rsidR="00E7240A" w:rsidRDefault="00E7240A" w:rsidP="00A95965">
            <w:pPr>
              <w:pStyle w:val="TableText"/>
              <w:rPr>
                <w:b/>
                <w:szCs w:val="20"/>
              </w:rPr>
            </w:pPr>
          </w:p>
        </w:tc>
        <w:tc>
          <w:tcPr>
            <w:tcW w:w="2396" w:type="dxa"/>
          </w:tcPr>
          <w:p w14:paraId="5E1D09A1" w14:textId="77777777" w:rsidR="00E7240A" w:rsidRDefault="00E7240A" w:rsidP="00A95965">
            <w:pPr>
              <w:pStyle w:val="TableText"/>
              <w:rPr>
                <w:b/>
                <w:szCs w:val="20"/>
              </w:rPr>
            </w:pPr>
          </w:p>
        </w:tc>
      </w:tr>
      <w:tr w:rsidR="00E7240A" w14:paraId="0B3D33B1" w14:textId="77777777">
        <w:tblPrEx>
          <w:shd w:val="clear" w:color="auto" w:fill="auto"/>
        </w:tblPrEx>
        <w:trPr>
          <w:cantSplit/>
          <w:trHeight w:val="432"/>
        </w:trPr>
        <w:tc>
          <w:tcPr>
            <w:tcW w:w="3793" w:type="dxa"/>
            <w:noWrap/>
          </w:tcPr>
          <w:p w14:paraId="047658C1" w14:textId="77777777" w:rsidR="00E7240A" w:rsidRDefault="00E7240A" w:rsidP="00A95965">
            <w:pPr>
              <w:pStyle w:val="TableText"/>
              <w:rPr>
                <w:b/>
                <w:szCs w:val="20"/>
              </w:rPr>
            </w:pPr>
          </w:p>
        </w:tc>
        <w:tc>
          <w:tcPr>
            <w:tcW w:w="2330" w:type="dxa"/>
          </w:tcPr>
          <w:p w14:paraId="4B379B2F" w14:textId="77777777" w:rsidR="00E7240A" w:rsidRDefault="00E7240A" w:rsidP="00A95965">
            <w:pPr>
              <w:pStyle w:val="TableText"/>
              <w:rPr>
                <w:b/>
                <w:szCs w:val="20"/>
              </w:rPr>
            </w:pPr>
          </w:p>
        </w:tc>
        <w:tc>
          <w:tcPr>
            <w:tcW w:w="2111" w:type="dxa"/>
          </w:tcPr>
          <w:p w14:paraId="2F494752" w14:textId="77777777" w:rsidR="00E7240A" w:rsidRDefault="00E7240A" w:rsidP="00A95965">
            <w:pPr>
              <w:pStyle w:val="TableText"/>
              <w:rPr>
                <w:b/>
                <w:szCs w:val="20"/>
              </w:rPr>
            </w:pPr>
          </w:p>
        </w:tc>
        <w:tc>
          <w:tcPr>
            <w:tcW w:w="2330" w:type="dxa"/>
          </w:tcPr>
          <w:p w14:paraId="2941E830" w14:textId="77777777" w:rsidR="00E7240A" w:rsidRDefault="00E7240A" w:rsidP="00A95965">
            <w:pPr>
              <w:pStyle w:val="TableText"/>
              <w:rPr>
                <w:b/>
                <w:szCs w:val="20"/>
              </w:rPr>
            </w:pPr>
          </w:p>
        </w:tc>
        <w:tc>
          <w:tcPr>
            <w:tcW w:w="2396" w:type="dxa"/>
          </w:tcPr>
          <w:p w14:paraId="60753348" w14:textId="77777777" w:rsidR="00E7240A" w:rsidRDefault="00E7240A" w:rsidP="00A95965">
            <w:pPr>
              <w:pStyle w:val="TableText"/>
              <w:rPr>
                <w:b/>
                <w:szCs w:val="20"/>
              </w:rPr>
            </w:pPr>
          </w:p>
        </w:tc>
      </w:tr>
    </w:tbl>
    <w:p w14:paraId="45F4BB4F"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ayout w:type="fixed"/>
        <w:tblLook w:val="0000" w:firstRow="0" w:lastRow="0" w:firstColumn="0" w:lastColumn="0" w:noHBand="0" w:noVBand="0"/>
      </w:tblPr>
      <w:tblGrid>
        <w:gridCol w:w="1632"/>
        <w:gridCol w:w="3648"/>
        <w:gridCol w:w="3840"/>
        <w:gridCol w:w="3840"/>
      </w:tblGrid>
      <w:tr w:rsidR="00E7240A" w14:paraId="479D7D11" w14:textId="77777777">
        <w:trPr>
          <w:cantSplit/>
          <w:trHeight w:val="230"/>
        </w:trPr>
        <w:tc>
          <w:tcPr>
            <w:tcW w:w="1632" w:type="dxa"/>
            <w:tcBorders>
              <w:bottom w:val="single" w:sz="2" w:space="0" w:color="auto"/>
            </w:tcBorders>
            <w:shd w:val="clear" w:color="auto" w:fill="B3B3B3"/>
            <w:noWrap/>
          </w:tcPr>
          <w:p w14:paraId="58C28D68" w14:textId="77777777" w:rsidR="00E7240A" w:rsidRDefault="00E7240A" w:rsidP="00A95965">
            <w:pPr>
              <w:pStyle w:val="TableText"/>
              <w:rPr>
                <w:b/>
                <w:szCs w:val="20"/>
              </w:rPr>
            </w:pPr>
            <w:r>
              <w:br w:type="page"/>
            </w:r>
            <w:r>
              <w:rPr>
                <w:b/>
                <w:szCs w:val="20"/>
              </w:rPr>
              <w:t xml:space="preserve"> Unit Assigned? (Yes, No)</w:t>
            </w:r>
          </w:p>
        </w:tc>
        <w:tc>
          <w:tcPr>
            <w:tcW w:w="3648" w:type="dxa"/>
            <w:tcBorders>
              <w:bottom w:val="single" w:sz="2" w:space="0" w:color="auto"/>
            </w:tcBorders>
            <w:shd w:val="clear" w:color="auto" w:fill="B3B3B3"/>
          </w:tcPr>
          <w:p w14:paraId="3AB7A21A" w14:textId="77777777" w:rsidR="00E7240A" w:rsidRDefault="00E7240A" w:rsidP="00A95965">
            <w:pPr>
              <w:pStyle w:val="TableText"/>
              <w:rPr>
                <w:b/>
                <w:szCs w:val="20"/>
              </w:rPr>
            </w:pPr>
            <w:r>
              <w:rPr>
                <w:b/>
                <w:szCs w:val="20"/>
              </w:rPr>
              <w:t>Patient Name</w:t>
            </w:r>
          </w:p>
        </w:tc>
        <w:tc>
          <w:tcPr>
            <w:tcW w:w="3840" w:type="dxa"/>
            <w:tcBorders>
              <w:bottom w:val="single" w:sz="2" w:space="0" w:color="auto"/>
            </w:tcBorders>
            <w:shd w:val="clear" w:color="auto" w:fill="B3B3B3"/>
          </w:tcPr>
          <w:p w14:paraId="31D298B0" w14:textId="77777777" w:rsidR="00E7240A" w:rsidRDefault="00E7240A" w:rsidP="00A95965">
            <w:pPr>
              <w:pStyle w:val="TableText"/>
              <w:rPr>
                <w:b/>
                <w:szCs w:val="20"/>
              </w:rPr>
            </w:pPr>
            <w:r>
              <w:rPr>
                <w:b/>
                <w:szCs w:val="20"/>
              </w:rPr>
              <w:t>Patient Identification Number</w:t>
            </w:r>
          </w:p>
        </w:tc>
        <w:tc>
          <w:tcPr>
            <w:tcW w:w="3840" w:type="dxa"/>
            <w:tcBorders>
              <w:bottom w:val="single" w:sz="2" w:space="0" w:color="auto"/>
            </w:tcBorders>
            <w:shd w:val="clear" w:color="auto" w:fill="B3B3B3"/>
          </w:tcPr>
          <w:p w14:paraId="77385839" w14:textId="77777777" w:rsidR="00E7240A" w:rsidRDefault="00E7240A" w:rsidP="00A95965">
            <w:pPr>
              <w:pStyle w:val="TableText"/>
              <w:rPr>
                <w:b/>
                <w:szCs w:val="20"/>
              </w:rPr>
            </w:pPr>
            <w:r>
              <w:rPr>
                <w:b/>
                <w:szCs w:val="20"/>
              </w:rPr>
              <w:t>Specimen UID</w:t>
            </w:r>
          </w:p>
        </w:tc>
      </w:tr>
      <w:tr w:rsidR="00E7240A" w14:paraId="712A973F" w14:textId="77777777">
        <w:trPr>
          <w:cantSplit/>
          <w:trHeight w:val="432"/>
        </w:trPr>
        <w:tc>
          <w:tcPr>
            <w:tcW w:w="1632" w:type="dxa"/>
            <w:shd w:val="clear" w:color="auto" w:fill="auto"/>
            <w:noWrap/>
          </w:tcPr>
          <w:p w14:paraId="7FD3C07A" w14:textId="77777777" w:rsidR="00E7240A" w:rsidRDefault="00E7240A" w:rsidP="00A95965">
            <w:pPr>
              <w:pStyle w:val="TableText"/>
              <w:rPr>
                <w:b/>
                <w:szCs w:val="20"/>
              </w:rPr>
            </w:pPr>
          </w:p>
        </w:tc>
        <w:tc>
          <w:tcPr>
            <w:tcW w:w="3648" w:type="dxa"/>
            <w:shd w:val="clear" w:color="auto" w:fill="auto"/>
          </w:tcPr>
          <w:p w14:paraId="798BF736" w14:textId="77777777" w:rsidR="00E7240A" w:rsidRDefault="00E7240A" w:rsidP="00A95965">
            <w:pPr>
              <w:pStyle w:val="TableText"/>
              <w:rPr>
                <w:b/>
                <w:szCs w:val="20"/>
              </w:rPr>
            </w:pPr>
          </w:p>
        </w:tc>
        <w:tc>
          <w:tcPr>
            <w:tcW w:w="3840" w:type="dxa"/>
            <w:shd w:val="clear" w:color="auto" w:fill="auto"/>
          </w:tcPr>
          <w:p w14:paraId="0997CC3B" w14:textId="77777777" w:rsidR="00E7240A" w:rsidRDefault="00E7240A" w:rsidP="00A95965">
            <w:pPr>
              <w:pStyle w:val="TableText"/>
              <w:rPr>
                <w:b/>
                <w:szCs w:val="20"/>
              </w:rPr>
            </w:pPr>
          </w:p>
        </w:tc>
        <w:tc>
          <w:tcPr>
            <w:tcW w:w="3840" w:type="dxa"/>
            <w:shd w:val="clear" w:color="auto" w:fill="auto"/>
          </w:tcPr>
          <w:p w14:paraId="1F829F6B" w14:textId="77777777" w:rsidR="00E7240A" w:rsidRDefault="00E7240A" w:rsidP="00A95965">
            <w:pPr>
              <w:pStyle w:val="TableText"/>
              <w:rPr>
                <w:b/>
                <w:szCs w:val="20"/>
              </w:rPr>
            </w:pPr>
          </w:p>
        </w:tc>
      </w:tr>
    </w:tbl>
    <w:p w14:paraId="09F941C1" w14:textId="77777777" w:rsidR="00E7240A" w:rsidRDefault="00E7240A" w:rsidP="00DD75E5">
      <w:pPr>
        <w:pStyle w:val="BodyText"/>
      </w:pPr>
    </w:p>
    <w:tbl>
      <w:tblPr>
        <w:tblW w:w="1296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B3B3B3"/>
        <w:tblLook w:val="0000" w:firstRow="0" w:lastRow="0" w:firstColumn="0" w:lastColumn="0" w:noHBand="0" w:noVBand="0"/>
      </w:tblPr>
      <w:tblGrid>
        <w:gridCol w:w="3793"/>
        <w:gridCol w:w="2330"/>
        <w:gridCol w:w="2111"/>
        <w:gridCol w:w="2330"/>
        <w:gridCol w:w="2396"/>
      </w:tblGrid>
      <w:tr w:rsidR="00E7240A" w14:paraId="7DF510E3" w14:textId="77777777">
        <w:trPr>
          <w:cantSplit/>
          <w:trHeight w:val="235"/>
          <w:tblHeader/>
        </w:trPr>
        <w:tc>
          <w:tcPr>
            <w:tcW w:w="12960" w:type="dxa"/>
            <w:gridSpan w:val="5"/>
            <w:shd w:val="clear" w:color="auto" w:fill="B3B3B3"/>
            <w:noWrap/>
          </w:tcPr>
          <w:p w14:paraId="3A5C31F3" w14:textId="77777777" w:rsidR="00E7240A" w:rsidRPr="005F4649" w:rsidRDefault="00E7240A" w:rsidP="00CA119C">
            <w:pPr>
              <w:pStyle w:val="TableText"/>
              <w:rPr>
                <w:b/>
                <w:szCs w:val="20"/>
              </w:rPr>
            </w:pPr>
            <w:r>
              <w:rPr>
                <w:b/>
                <w:szCs w:val="20"/>
              </w:rPr>
              <w:t>Modified Unit(s)</w:t>
            </w:r>
          </w:p>
        </w:tc>
      </w:tr>
      <w:tr w:rsidR="00E7240A" w14:paraId="78A2AB14" w14:textId="77777777">
        <w:tblPrEx>
          <w:shd w:val="clear" w:color="auto" w:fill="auto"/>
        </w:tblPrEx>
        <w:trPr>
          <w:cantSplit/>
          <w:trHeight w:val="230"/>
          <w:tblHeader/>
        </w:trPr>
        <w:tc>
          <w:tcPr>
            <w:tcW w:w="3793" w:type="dxa"/>
            <w:shd w:val="clear" w:color="auto" w:fill="B3B3B3"/>
            <w:noWrap/>
          </w:tcPr>
          <w:p w14:paraId="3D95DDF5" w14:textId="77777777" w:rsidR="00E7240A" w:rsidRPr="005F4649" w:rsidRDefault="00E7240A" w:rsidP="00CA119C">
            <w:pPr>
              <w:pStyle w:val="TableText"/>
              <w:rPr>
                <w:b/>
                <w:szCs w:val="20"/>
              </w:rPr>
            </w:pPr>
            <w:r>
              <w:rPr>
                <w:b/>
                <w:szCs w:val="20"/>
              </w:rPr>
              <w:t>Unit Identification Number</w:t>
            </w:r>
          </w:p>
        </w:tc>
        <w:tc>
          <w:tcPr>
            <w:tcW w:w="2330" w:type="dxa"/>
            <w:shd w:val="clear" w:color="auto" w:fill="B3B3B3"/>
          </w:tcPr>
          <w:p w14:paraId="3970E5D5" w14:textId="77777777" w:rsidR="00E7240A" w:rsidRPr="005F4649" w:rsidRDefault="00E7240A" w:rsidP="00CA119C">
            <w:pPr>
              <w:pStyle w:val="TableText"/>
              <w:rPr>
                <w:b/>
                <w:szCs w:val="20"/>
              </w:rPr>
            </w:pPr>
            <w:r>
              <w:rPr>
                <w:b/>
                <w:szCs w:val="20"/>
              </w:rPr>
              <w:t>Product Code</w:t>
            </w:r>
          </w:p>
        </w:tc>
        <w:tc>
          <w:tcPr>
            <w:tcW w:w="2111" w:type="dxa"/>
            <w:shd w:val="clear" w:color="auto" w:fill="B3B3B3"/>
          </w:tcPr>
          <w:p w14:paraId="3B2DF073" w14:textId="77777777" w:rsidR="00E7240A" w:rsidRDefault="00E7240A" w:rsidP="00CA119C">
            <w:pPr>
              <w:pStyle w:val="TableText"/>
              <w:rPr>
                <w:b/>
                <w:szCs w:val="20"/>
              </w:rPr>
            </w:pPr>
            <w:r>
              <w:rPr>
                <w:b/>
                <w:szCs w:val="20"/>
              </w:rPr>
              <w:t>ABO/Rh</w:t>
            </w:r>
          </w:p>
        </w:tc>
        <w:tc>
          <w:tcPr>
            <w:tcW w:w="2330" w:type="dxa"/>
            <w:shd w:val="clear" w:color="auto" w:fill="B3B3B3"/>
          </w:tcPr>
          <w:p w14:paraId="6C6E3DF9" w14:textId="77777777" w:rsidR="00E7240A" w:rsidRPr="005F4649" w:rsidRDefault="00E7240A" w:rsidP="00CA119C">
            <w:pPr>
              <w:pStyle w:val="TableText"/>
              <w:rPr>
                <w:b/>
                <w:szCs w:val="20"/>
              </w:rPr>
            </w:pPr>
            <w:r>
              <w:rPr>
                <w:b/>
                <w:szCs w:val="20"/>
              </w:rPr>
              <w:t>Container Lot Number</w:t>
            </w:r>
          </w:p>
        </w:tc>
        <w:tc>
          <w:tcPr>
            <w:tcW w:w="2396" w:type="dxa"/>
            <w:shd w:val="clear" w:color="auto" w:fill="B3B3B3"/>
          </w:tcPr>
          <w:p w14:paraId="5C4C5D43" w14:textId="77777777" w:rsidR="00E7240A" w:rsidRPr="005F4649" w:rsidRDefault="00E7240A" w:rsidP="00CA119C">
            <w:pPr>
              <w:pStyle w:val="TableText"/>
              <w:rPr>
                <w:b/>
                <w:szCs w:val="20"/>
              </w:rPr>
            </w:pPr>
            <w:r>
              <w:rPr>
                <w:b/>
                <w:szCs w:val="20"/>
              </w:rPr>
              <w:t>Expiration Date and Time</w:t>
            </w:r>
          </w:p>
        </w:tc>
      </w:tr>
      <w:tr w:rsidR="00E7240A" w14:paraId="584DFC26" w14:textId="77777777">
        <w:tblPrEx>
          <w:shd w:val="clear" w:color="auto" w:fill="auto"/>
        </w:tblPrEx>
        <w:trPr>
          <w:cantSplit/>
          <w:trHeight w:val="432"/>
        </w:trPr>
        <w:tc>
          <w:tcPr>
            <w:tcW w:w="3793" w:type="dxa"/>
            <w:noWrap/>
          </w:tcPr>
          <w:p w14:paraId="138A1302" w14:textId="77777777" w:rsidR="00E7240A" w:rsidRDefault="00E7240A" w:rsidP="00A95965">
            <w:pPr>
              <w:pStyle w:val="TableText"/>
              <w:rPr>
                <w:b/>
                <w:szCs w:val="20"/>
              </w:rPr>
            </w:pPr>
          </w:p>
        </w:tc>
        <w:tc>
          <w:tcPr>
            <w:tcW w:w="2330" w:type="dxa"/>
          </w:tcPr>
          <w:p w14:paraId="3307E734" w14:textId="77777777" w:rsidR="00E7240A" w:rsidRDefault="00E7240A" w:rsidP="00A95965">
            <w:pPr>
              <w:pStyle w:val="TableText"/>
              <w:rPr>
                <w:b/>
                <w:szCs w:val="20"/>
              </w:rPr>
            </w:pPr>
          </w:p>
        </w:tc>
        <w:tc>
          <w:tcPr>
            <w:tcW w:w="2111" w:type="dxa"/>
          </w:tcPr>
          <w:p w14:paraId="513D8790" w14:textId="77777777" w:rsidR="00E7240A" w:rsidRDefault="00E7240A" w:rsidP="00A95965">
            <w:pPr>
              <w:pStyle w:val="TableText"/>
              <w:rPr>
                <w:b/>
                <w:szCs w:val="20"/>
              </w:rPr>
            </w:pPr>
          </w:p>
        </w:tc>
        <w:tc>
          <w:tcPr>
            <w:tcW w:w="2330" w:type="dxa"/>
          </w:tcPr>
          <w:p w14:paraId="408678B4" w14:textId="77777777" w:rsidR="00E7240A" w:rsidRDefault="00E7240A" w:rsidP="00A95965">
            <w:pPr>
              <w:pStyle w:val="TableText"/>
              <w:rPr>
                <w:b/>
                <w:szCs w:val="20"/>
              </w:rPr>
            </w:pPr>
          </w:p>
        </w:tc>
        <w:tc>
          <w:tcPr>
            <w:tcW w:w="2396" w:type="dxa"/>
          </w:tcPr>
          <w:p w14:paraId="01D15F9F" w14:textId="77777777" w:rsidR="00E7240A" w:rsidRDefault="00E7240A" w:rsidP="00A95965">
            <w:pPr>
              <w:pStyle w:val="TableText"/>
              <w:rPr>
                <w:b/>
                <w:szCs w:val="20"/>
              </w:rPr>
            </w:pPr>
          </w:p>
        </w:tc>
      </w:tr>
      <w:tr w:rsidR="00E7240A" w14:paraId="311F8130" w14:textId="77777777">
        <w:tblPrEx>
          <w:shd w:val="clear" w:color="auto" w:fill="auto"/>
        </w:tblPrEx>
        <w:trPr>
          <w:cantSplit/>
          <w:trHeight w:val="432"/>
        </w:trPr>
        <w:tc>
          <w:tcPr>
            <w:tcW w:w="3793" w:type="dxa"/>
            <w:noWrap/>
          </w:tcPr>
          <w:p w14:paraId="42CF3026" w14:textId="77777777" w:rsidR="00E7240A" w:rsidRDefault="00E7240A" w:rsidP="00A95965">
            <w:pPr>
              <w:pStyle w:val="TableText"/>
              <w:rPr>
                <w:b/>
                <w:szCs w:val="20"/>
              </w:rPr>
            </w:pPr>
          </w:p>
        </w:tc>
        <w:tc>
          <w:tcPr>
            <w:tcW w:w="2330" w:type="dxa"/>
          </w:tcPr>
          <w:p w14:paraId="2176F354" w14:textId="77777777" w:rsidR="00E7240A" w:rsidRDefault="00E7240A" w:rsidP="00A95965">
            <w:pPr>
              <w:pStyle w:val="TableText"/>
              <w:rPr>
                <w:b/>
                <w:szCs w:val="20"/>
              </w:rPr>
            </w:pPr>
          </w:p>
        </w:tc>
        <w:tc>
          <w:tcPr>
            <w:tcW w:w="2111" w:type="dxa"/>
          </w:tcPr>
          <w:p w14:paraId="6B61A8F7" w14:textId="77777777" w:rsidR="00E7240A" w:rsidRDefault="00E7240A" w:rsidP="00A95965">
            <w:pPr>
              <w:pStyle w:val="TableText"/>
              <w:rPr>
                <w:b/>
                <w:szCs w:val="20"/>
              </w:rPr>
            </w:pPr>
          </w:p>
        </w:tc>
        <w:tc>
          <w:tcPr>
            <w:tcW w:w="2330" w:type="dxa"/>
          </w:tcPr>
          <w:p w14:paraId="1C9C0890" w14:textId="77777777" w:rsidR="00E7240A" w:rsidRDefault="00E7240A" w:rsidP="00A95965">
            <w:pPr>
              <w:pStyle w:val="TableText"/>
              <w:rPr>
                <w:b/>
                <w:szCs w:val="20"/>
              </w:rPr>
            </w:pPr>
          </w:p>
        </w:tc>
        <w:tc>
          <w:tcPr>
            <w:tcW w:w="2396" w:type="dxa"/>
          </w:tcPr>
          <w:p w14:paraId="29014778" w14:textId="77777777" w:rsidR="00E7240A" w:rsidRDefault="00E7240A" w:rsidP="00A95965">
            <w:pPr>
              <w:pStyle w:val="TableText"/>
              <w:rPr>
                <w:b/>
                <w:szCs w:val="20"/>
              </w:rPr>
            </w:pPr>
          </w:p>
        </w:tc>
      </w:tr>
      <w:tr w:rsidR="00E7240A" w14:paraId="69684C91" w14:textId="77777777">
        <w:tblPrEx>
          <w:shd w:val="clear" w:color="auto" w:fill="auto"/>
        </w:tblPrEx>
        <w:trPr>
          <w:cantSplit/>
          <w:trHeight w:val="432"/>
        </w:trPr>
        <w:tc>
          <w:tcPr>
            <w:tcW w:w="3793" w:type="dxa"/>
            <w:noWrap/>
          </w:tcPr>
          <w:p w14:paraId="20ABE9ED" w14:textId="77777777" w:rsidR="00E7240A" w:rsidRDefault="00E7240A" w:rsidP="00A95965">
            <w:pPr>
              <w:pStyle w:val="TableText"/>
              <w:rPr>
                <w:b/>
                <w:szCs w:val="20"/>
              </w:rPr>
            </w:pPr>
          </w:p>
        </w:tc>
        <w:tc>
          <w:tcPr>
            <w:tcW w:w="2330" w:type="dxa"/>
          </w:tcPr>
          <w:p w14:paraId="7E39FA9E" w14:textId="77777777" w:rsidR="00E7240A" w:rsidRDefault="00E7240A" w:rsidP="00A95965">
            <w:pPr>
              <w:pStyle w:val="TableText"/>
              <w:rPr>
                <w:b/>
                <w:szCs w:val="20"/>
              </w:rPr>
            </w:pPr>
          </w:p>
        </w:tc>
        <w:tc>
          <w:tcPr>
            <w:tcW w:w="2111" w:type="dxa"/>
          </w:tcPr>
          <w:p w14:paraId="11507138" w14:textId="77777777" w:rsidR="00E7240A" w:rsidRDefault="00E7240A" w:rsidP="00A95965">
            <w:pPr>
              <w:pStyle w:val="TableText"/>
              <w:rPr>
                <w:b/>
                <w:szCs w:val="20"/>
              </w:rPr>
            </w:pPr>
          </w:p>
        </w:tc>
        <w:tc>
          <w:tcPr>
            <w:tcW w:w="2330" w:type="dxa"/>
          </w:tcPr>
          <w:p w14:paraId="56142186" w14:textId="77777777" w:rsidR="00E7240A" w:rsidRDefault="00E7240A" w:rsidP="00A95965">
            <w:pPr>
              <w:pStyle w:val="TableText"/>
              <w:rPr>
                <w:b/>
                <w:szCs w:val="20"/>
              </w:rPr>
            </w:pPr>
          </w:p>
        </w:tc>
        <w:tc>
          <w:tcPr>
            <w:tcW w:w="2396" w:type="dxa"/>
          </w:tcPr>
          <w:p w14:paraId="5D56E3A6" w14:textId="77777777" w:rsidR="00E7240A" w:rsidRDefault="00E7240A" w:rsidP="00A95965">
            <w:pPr>
              <w:pStyle w:val="TableText"/>
              <w:rPr>
                <w:b/>
                <w:szCs w:val="20"/>
              </w:rPr>
            </w:pPr>
          </w:p>
        </w:tc>
      </w:tr>
      <w:tr w:rsidR="00246F04" w14:paraId="1AD19D65" w14:textId="77777777">
        <w:tblPrEx>
          <w:shd w:val="clear" w:color="auto" w:fill="auto"/>
        </w:tblPrEx>
        <w:trPr>
          <w:cantSplit/>
          <w:trHeight w:val="432"/>
        </w:trPr>
        <w:tc>
          <w:tcPr>
            <w:tcW w:w="3793" w:type="dxa"/>
            <w:noWrap/>
          </w:tcPr>
          <w:p w14:paraId="614E3AC7" w14:textId="77777777" w:rsidR="00246F04" w:rsidRDefault="00246F04" w:rsidP="00A95965">
            <w:pPr>
              <w:pStyle w:val="TableText"/>
              <w:rPr>
                <w:b/>
                <w:szCs w:val="20"/>
              </w:rPr>
            </w:pPr>
          </w:p>
        </w:tc>
        <w:tc>
          <w:tcPr>
            <w:tcW w:w="2330" w:type="dxa"/>
          </w:tcPr>
          <w:p w14:paraId="1131D7E9" w14:textId="77777777" w:rsidR="00246F04" w:rsidRDefault="00246F04" w:rsidP="00A95965">
            <w:pPr>
              <w:pStyle w:val="TableText"/>
              <w:rPr>
                <w:b/>
                <w:szCs w:val="20"/>
              </w:rPr>
            </w:pPr>
          </w:p>
        </w:tc>
        <w:tc>
          <w:tcPr>
            <w:tcW w:w="2111" w:type="dxa"/>
          </w:tcPr>
          <w:p w14:paraId="4034C389" w14:textId="77777777" w:rsidR="00246F04" w:rsidRDefault="00246F04" w:rsidP="00A95965">
            <w:pPr>
              <w:pStyle w:val="TableText"/>
              <w:rPr>
                <w:b/>
                <w:szCs w:val="20"/>
              </w:rPr>
            </w:pPr>
          </w:p>
        </w:tc>
        <w:tc>
          <w:tcPr>
            <w:tcW w:w="2330" w:type="dxa"/>
          </w:tcPr>
          <w:p w14:paraId="433E39F5" w14:textId="77777777" w:rsidR="00246F04" w:rsidRDefault="00246F04" w:rsidP="00A95965">
            <w:pPr>
              <w:pStyle w:val="TableText"/>
              <w:rPr>
                <w:b/>
                <w:szCs w:val="20"/>
              </w:rPr>
            </w:pPr>
          </w:p>
        </w:tc>
        <w:tc>
          <w:tcPr>
            <w:tcW w:w="2396" w:type="dxa"/>
          </w:tcPr>
          <w:p w14:paraId="45424804" w14:textId="77777777" w:rsidR="00246F04" w:rsidRDefault="00246F04" w:rsidP="00A95965">
            <w:pPr>
              <w:pStyle w:val="TableText"/>
              <w:rPr>
                <w:b/>
                <w:szCs w:val="20"/>
              </w:rPr>
            </w:pPr>
          </w:p>
        </w:tc>
      </w:tr>
      <w:tr w:rsidR="00246F04" w14:paraId="0400771A" w14:textId="77777777">
        <w:tblPrEx>
          <w:shd w:val="clear" w:color="auto" w:fill="auto"/>
        </w:tblPrEx>
        <w:trPr>
          <w:cantSplit/>
          <w:trHeight w:val="432"/>
        </w:trPr>
        <w:tc>
          <w:tcPr>
            <w:tcW w:w="3793" w:type="dxa"/>
            <w:noWrap/>
          </w:tcPr>
          <w:p w14:paraId="768FDA4B" w14:textId="77777777" w:rsidR="00246F04" w:rsidRDefault="00246F04" w:rsidP="00A95965">
            <w:pPr>
              <w:pStyle w:val="TableText"/>
              <w:rPr>
                <w:b/>
                <w:szCs w:val="20"/>
              </w:rPr>
            </w:pPr>
          </w:p>
        </w:tc>
        <w:tc>
          <w:tcPr>
            <w:tcW w:w="2330" w:type="dxa"/>
          </w:tcPr>
          <w:p w14:paraId="07B66EB4" w14:textId="77777777" w:rsidR="00246F04" w:rsidRDefault="00246F04" w:rsidP="00A95965">
            <w:pPr>
              <w:pStyle w:val="TableText"/>
              <w:rPr>
                <w:b/>
                <w:szCs w:val="20"/>
              </w:rPr>
            </w:pPr>
          </w:p>
        </w:tc>
        <w:tc>
          <w:tcPr>
            <w:tcW w:w="2111" w:type="dxa"/>
          </w:tcPr>
          <w:p w14:paraId="7CC1A1D0" w14:textId="77777777" w:rsidR="00246F04" w:rsidRDefault="00246F04" w:rsidP="00A95965">
            <w:pPr>
              <w:pStyle w:val="TableText"/>
              <w:rPr>
                <w:b/>
                <w:szCs w:val="20"/>
              </w:rPr>
            </w:pPr>
          </w:p>
        </w:tc>
        <w:tc>
          <w:tcPr>
            <w:tcW w:w="2330" w:type="dxa"/>
          </w:tcPr>
          <w:p w14:paraId="2B69B222" w14:textId="77777777" w:rsidR="00246F04" w:rsidRDefault="00246F04" w:rsidP="00A95965">
            <w:pPr>
              <w:pStyle w:val="TableText"/>
              <w:rPr>
                <w:b/>
                <w:szCs w:val="20"/>
              </w:rPr>
            </w:pPr>
          </w:p>
        </w:tc>
        <w:tc>
          <w:tcPr>
            <w:tcW w:w="2396" w:type="dxa"/>
          </w:tcPr>
          <w:p w14:paraId="10E388B6" w14:textId="77777777" w:rsidR="00246F04" w:rsidRDefault="00246F04" w:rsidP="00A95965">
            <w:pPr>
              <w:pStyle w:val="TableText"/>
              <w:rPr>
                <w:b/>
                <w:szCs w:val="20"/>
              </w:rPr>
            </w:pPr>
          </w:p>
        </w:tc>
      </w:tr>
      <w:tr w:rsidR="00246F04" w14:paraId="2F693C29" w14:textId="77777777">
        <w:tblPrEx>
          <w:shd w:val="clear" w:color="auto" w:fill="auto"/>
        </w:tblPrEx>
        <w:trPr>
          <w:cantSplit/>
          <w:trHeight w:val="432"/>
        </w:trPr>
        <w:tc>
          <w:tcPr>
            <w:tcW w:w="3793" w:type="dxa"/>
            <w:noWrap/>
          </w:tcPr>
          <w:p w14:paraId="20E5D0C7" w14:textId="77777777" w:rsidR="00246F04" w:rsidRDefault="00246F04" w:rsidP="00A95965">
            <w:pPr>
              <w:pStyle w:val="TableText"/>
              <w:rPr>
                <w:b/>
                <w:szCs w:val="20"/>
              </w:rPr>
            </w:pPr>
          </w:p>
        </w:tc>
        <w:tc>
          <w:tcPr>
            <w:tcW w:w="2330" w:type="dxa"/>
          </w:tcPr>
          <w:p w14:paraId="2B871BD7" w14:textId="77777777" w:rsidR="00246F04" w:rsidRDefault="00246F04" w:rsidP="00A95965">
            <w:pPr>
              <w:pStyle w:val="TableText"/>
              <w:rPr>
                <w:b/>
                <w:szCs w:val="20"/>
              </w:rPr>
            </w:pPr>
          </w:p>
        </w:tc>
        <w:tc>
          <w:tcPr>
            <w:tcW w:w="2111" w:type="dxa"/>
          </w:tcPr>
          <w:p w14:paraId="7943CDC2" w14:textId="77777777" w:rsidR="00246F04" w:rsidRDefault="00246F04" w:rsidP="00A95965">
            <w:pPr>
              <w:pStyle w:val="TableText"/>
              <w:rPr>
                <w:b/>
                <w:szCs w:val="20"/>
              </w:rPr>
            </w:pPr>
          </w:p>
        </w:tc>
        <w:tc>
          <w:tcPr>
            <w:tcW w:w="2330" w:type="dxa"/>
          </w:tcPr>
          <w:p w14:paraId="393996B2" w14:textId="77777777" w:rsidR="00246F04" w:rsidRDefault="00246F04" w:rsidP="00A95965">
            <w:pPr>
              <w:pStyle w:val="TableText"/>
              <w:rPr>
                <w:b/>
                <w:szCs w:val="20"/>
              </w:rPr>
            </w:pPr>
          </w:p>
        </w:tc>
        <w:tc>
          <w:tcPr>
            <w:tcW w:w="2396" w:type="dxa"/>
          </w:tcPr>
          <w:p w14:paraId="7156F105" w14:textId="77777777" w:rsidR="00246F04" w:rsidRDefault="00246F04" w:rsidP="00A95965">
            <w:pPr>
              <w:pStyle w:val="TableText"/>
              <w:rPr>
                <w:b/>
                <w:szCs w:val="20"/>
              </w:rPr>
            </w:pPr>
          </w:p>
        </w:tc>
      </w:tr>
      <w:tr w:rsidR="00E7240A" w14:paraId="33B74B18" w14:textId="77777777">
        <w:tblPrEx>
          <w:shd w:val="clear" w:color="auto" w:fill="auto"/>
        </w:tblPrEx>
        <w:trPr>
          <w:cantSplit/>
          <w:trHeight w:val="432"/>
        </w:trPr>
        <w:tc>
          <w:tcPr>
            <w:tcW w:w="3793" w:type="dxa"/>
            <w:noWrap/>
          </w:tcPr>
          <w:p w14:paraId="7335C7BC" w14:textId="77777777" w:rsidR="00E7240A" w:rsidRDefault="00E7240A" w:rsidP="00A95965">
            <w:pPr>
              <w:pStyle w:val="TableText"/>
              <w:rPr>
                <w:b/>
                <w:szCs w:val="20"/>
              </w:rPr>
            </w:pPr>
          </w:p>
        </w:tc>
        <w:tc>
          <w:tcPr>
            <w:tcW w:w="2330" w:type="dxa"/>
          </w:tcPr>
          <w:p w14:paraId="713C6524" w14:textId="77777777" w:rsidR="00E7240A" w:rsidRDefault="00E7240A" w:rsidP="00A95965">
            <w:pPr>
              <w:pStyle w:val="TableText"/>
              <w:rPr>
                <w:b/>
                <w:szCs w:val="20"/>
              </w:rPr>
            </w:pPr>
          </w:p>
        </w:tc>
        <w:tc>
          <w:tcPr>
            <w:tcW w:w="2111" w:type="dxa"/>
          </w:tcPr>
          <w:p w14:paraId="3500FB02" w14:textId="77777777" w:rsidR="00E7240A" w:rsidRDefault="00E7240A" w:rsidP="00A95965">
            <w:pPr>
              <w:pStyle w:val="TableText"/>
              <w:rPr>
                <w:b/>
                <w:szCs w:val="20"/>
              </w:rPr>
            </w:pPr>
          </w:p>
        </w:tc>
        <w:tc>
          <w:tcPr>
            <w:tcW w:w="2330" w:type="dxa"/>
          </w:tcPr>
          <w:p w14:paraId="01AA48FB" w14:textId="77777777" w:rsidR="00E7240A" w:rsidRDefault="00E7240A" w:rsidP="00A95965">
            <w:pPr>
              <w:pStyle w:val="TableText"/>
              <w:rPr>
                <w:b/>
                <w:szCs w:val="20"/>
              </w:rPr>
            </w:pPr>
          </w:p>
        </w:tc>
        <w:tc>
          <w:tcPr>
            <w:tcW w:w="2396" w:type="dxa"/>
          </w:tcPr>
          <w:p w14:paraId="7CBE8312" w14:textId="77777777" w:rsidR="00E7240A" w:rsidRDefault="00E7240A" w:rsidP="00A95965">
            <w:pPr>
              <w:pStyle w:val="TableText"/>
              <w:rPr>
                <w:b/>
                <w:szCs w:val="20"/>
              </w:rPr>
            </w:pPr>
          </w:p>
        </w:tc>
      </w:tr>
      <w:tr w:rsidR="00E7240A" w14:paraId="59B9A127" w14:textId="77777777">
        <w:tblPrEx>
          <w:shd w:val="clear" w:color="auto" w:fill="auto"/>
        </w:tblPrEx>
        <w:trPr>
          <w:cantSplit/>
          <w:trHeight w:val="432"/>
        </w:trPr>
        <w:tc>
          <w:tcPr>
            <w:tcW w:w="3793" w:type="dxa"/>
            <w:noWrap/>
          </w:tcPr>
          <w:p w14:paraId="19C898FC" w14:textId="77777777" w:rsidR="00E7240A" w:rsidRDefault="00E7240A" w:rsidP="00A95965">
            <w:pPr>
              <w:pStyle w:val="TableText"/>
              <w:rPr>
                <w:b/>
                <w:szCs w:val="20"/>
              </w:rPr>
            </w:pPr>
          </w:p>
        </w:tc>
        <w:tc>
          <w:tcPr>
            <w:tcW w:w="2330" w:type="dxa"/>
          </w:tcPr>
          <w:p w14:paraId="3FA1B70A" w14:textId="77777777" w:rsidR="00E7240A" w:rsidRDefault="00E7240A" w:rsidP="00A95965">
            <w:pPr>
              <w:pStyle w:val="TableText"/>
              <w:rPr>
                <w:b/>
                <w:szCs w:val="20"/>
              </w:rPr>
            </w:pPr>
          </w:p>
        </w:tc>
        <w:tc>
          <w:tcPr>
            <w:tcW w:w="2111" w:type="dxa"/>
          </w:tcPr>
          <w:p w14:paraId="39F7DD04" w14:textId="77777777" w:rsidR="00E7240A" w:rsidRDefault="00E7240A" w:rsidP="00A95965">
            <w:pPr>
              <w:pStyle w:val="TableText"/>
              <w:rPr>
                <w:b/>
                <w:szCs w:val="20"/>
              </w:rPr>
            </w:pPr>
          </w:p>
        </w:tc>
        <w:tc>
          <w:tcPr>
            <w:tcW w:w="2330" w:type="dxa"/>
          </w:tcPr>
          <w:p w14:paraId="74E6A8E2" w14:textId="77777777" w:rsidR="00E7240A" w:rsidRDefault="00E7240A" w:rsidP="00A95965">
            <w:pPr>
              <w:pStyle w:val="TableText"/>
              <w:rPr>
                <w:b/>
                <w:szCs w:val="20"/>
              </w:rPr>
            </w:pPr>
          </w:p>
        </w:tc>
        <w:tc>
          <w:tcPr>
            <w:tcW w:w="2396" w:type="dxa"/>
          </w:tcPr>
          <w:p w14:paraId="4FE9DC6A" w14:textId="77777777" w:rsidR="00E7240A" w:rsidRDefault="00E7240A" w:rsidP="00A95965">
            <w:pPr>
              <w:pStyle w:val="TableText"/>
              <w:rPr>
                <w:b/>
                <w:szCs w:val="20"/>
              </w:rPr>
            </w:pPr>
          </w:p>
        </w:tc>
      </w:tr>
      <w:tr w:rsidR="00E7240A" w14:paraId="0231BA1D" w14:textId="77777777">
        <w:tblPrEx>
          <w:shd w:val="clear" w:color="auto" w:fill="auto"/>
        </w:tblPrEx>
        <w:trPr>
          <w:cantSplit/>
          <w:trHeight w:val="432"/>
        </w:trPr>
        <w:tc>
          <w:tcPr>
            <w:tcW w:w="3793" w:type="dxa"/>
            <w:noWrap/>
          </w:tcPr>
          <w:p w14:paraId="41683C6B" w14:textId="77777777" w:rsidR="00E7240A" w:rsidRDefault="00E7240A" w:rsidP="00A95965">
            <w:pPr>
              <w:pStyle w:val="TableText"/>
              <w:rPr>
                <w:b/>
                <w:szCs w:val="20"/>
              </w:rPr>
            </w:pPr>
          </w:p>
        </w:tc>
        <w:tc>
          <w:tcPr>
            <w:tcW w:w="2330" w:type="dxa"/>
          </w:tcPr>
          <w:p w14:paraId="56E2BA3F" w14:textId="77777777" w:rsidR="00E7240A" w:rsidRDefault="00E7240A" w:rsidP="00A95965">
            <w:pPr>
              <w:pStyle w:val="TableText"/>
              <w:rPr>
                <w:b/>
                <w:szCs w:val="20"/>
              </w:rPr>
            </w:pPr>
          </w:p>
        </w:tc>
        <w:tc>
          <w:tcPr>
            <w:tcW w:w="2111" w:type="dxa"/>
          </w:tcPr>
          <w:p w14:paraId="530FF9DF" w14:textId="77777777" w:rsidR="00E7240A" w:rsidRDefault="00E7240A" w:rsidP="00A95965">
            <w:pPr>
              <w:pStyle w:val="TableText"/>
              <w:rPr>
                <w:b/>
                <w:szCs w:val="20"/>
              </w:rPr>
            </w:pPr>
          </w:p>
        </w:tc>
        <w:tc>
          <w:tcPr>
            <w:tcW w:w="2330" w:type="dxa"/>
          </w:tcPr>
          <w:p w14:paraId="26F1CAF0" w14:textId="77777777" w:rsidR="00E7240A" w:rsidRDefault="00E7240A" w:rsidP="00A95965">
            <w:pPr>
              <w:pStyle w:val="TableText"/>
              <w:rPr>
                <w:b/>
                <w:szCs w:val="20"/>
              </w:rPr>
            </w:pPr>
          </w:p>
        </w:tc>
        <w:tc>
          <w:tcPr>
            <w:tcW w:w="2396" w:type="dxa"/>
          </w:tcPr>
          <w:p w14:paraId="25031462" w14:textId="77777777" w:rsidR="00E7240A" w:rsidRDefault="00E7240A" w:rsidP="00A95965">
            <w:pPr>
              <w:pStyle w:val="TableText"/>
              <w:rPr>
                <w:b/>
                <w:szCs w:val="20"/>
              </w:rPr>
            </w:pPr>
          </w:p>
        </w:tc>
      </w:tr>
    </w:tbl>
    <w:p w14:paraId="48BD9B17" w14:textId="77777777" w:rsidR="00902D46" w:rsidRDefault="00902D46" w:rsidP="00CF32F4">
      <w:pPr>
        <w:pStyle w:val="BodyText"/>
        <w:jc w:val="center"/>
        <w:sectPr w:rsidR="00902D46" w:rsidSect="00EE771C">
          <w:footerReference w:type="default" r:id="rId210"/>
          <w:pgSz w:w="15840" w:h="12240" w:orient="landscape" w:code="1"/>
          <w:pgMar w:top="1440" w:right="1440" w:bottom="1440" w:left="1440" w:header="720" w:footer="720" w:gutter="0"/>
          <w:cols w:space="720"/>
          <w:docGrid w:linePitch="360"/>
        </w:sectPr>
      </w:pPr>
    </w:p>
    <w:p w14:paraId="16E0C980" w14:textId="298C5905" w:rsidR="002A21AE" w:rsidRDefault="002A21AE">
      <w:pPr>
        <w:pStyle w:val="Heading2"/>
      </w:pPr>
      <w:bookmarkStart w:id="573" w:name="_Ref170004931"/>
      <w:bookmarkStart w:id="574" w:name="_Toc149064208"/>
      <w:r>
        <w:t xml:space="preserve">Appendix </w:t>
      </w:r>
      <w:r w:rsidR="004E20BD">
        <w:rPr>
          <w:noProof/>
        </w:rPr>
        <w:fldChar w:fldCharType="begin"/>
      </w:r>
      <w:r w:rsidR="004E20BD">
        <w:rPr>
          <w:noProof/>
        </w:rPr>
        <w:instrText xml:space="preserve"> SEQ Appendix \* ALPHABETIC </w:instrText>
      </w:r>
      <w:r w:rsidR="004E20BD">
        <w:rPr>
          <w:noProof/>
        </w:rPr>
        <w:fldChar w:fldCharType="separate"/>
      </w:r>
      <w:r w:rsidR="00ED2D38">
        <w:rPr>
          <w:noProof/>
        </w:rPr>
        <w:t>B</w:t>
      </w:r>
      <w:r w:rsidR="004E20BD">
        <w:rPr>
          <w:noProof/>
        </w:rPr>
        <w:fldChar w:fldCharType="end"/>
      </w:r>
      <w:bookmarkEnd w:id="573"/>
      <w:r>
        <w:t>: Database Table Information</w:t>
      </w:r>
      <w:bookmarkEnd w:id="574"/>
      <w:r w:rsidR="00681D23">
        <w:fldChar w:fldCharType="begin"/>
      </w:r>
      <w:r w:rsidR="00681D23">
        <w:instrText xml:space="preserve"> XE "</w:instrText>
      </w:r>
      <w:r w:rsidR="00681D23" w:rsidRPr="00FB2A0A">
        <w:instrText>Database Table Information</w:instrText>
      </w:r>
      <w:r w:rsidR="00681D23">
        <w:instrText xml:space="preserve">" </w:instrText>
      </w:r>
      <w:r w:rsidR="00681D23">
        <w:fldChar w:fldCharType="end"/>
      </w:r>
    </w:p>
    <w:p w14:paraId="489EEA0C" w14:textId="77777777" w:rsidR="002A21AE" w:rsidRDefault="002A21AE">
      <w:pPr>
        <w:pStyle w:val="Heading3"/>
      </w:pPr>
      <w:bookmarkStart w:id="575" w:name="_Toc77663546"/>
      <w:bookmarkStart w:id="576" w:name="_Toc91323761"/>
      <w:bookmarkStart w:id="577" w:name="_Toc77663549"/>
      <w:bookmarkStart w:id="578" w:name="_Toc91323764"/>
      <w:bookmarkStart w:id="579" w:name="_Toc91323735"/>
      <w:r w:rsidRPr="00302434">
        <w:rPr>
          <w:rFonts w:ascii="Arial Bold" w:hAnsi="Arial Bold"/>
          <w:vanish/>
        </w:rPr>
        <w:t xml:space="preserve">TT_23.01 </w:t>
      </w:r>
      <w:bookmarkStart w:id="580" w:name="_Toc149064209"/>
      <w:r>
        <w:t>Antibody and Antigen Tables</w:t>
      </w:r>
      <w:bookmarkEnd w:id="575"/>
      <w:bookmarkEnd w:id="576"/>
      <w:bookmarkEnd w:id="580"/>
    </w:p>
    <w:p w14:paraId="1385B131" w14:textId="77777777" w:rsidR="002A21AE" w:rsidRDefault="002A21AE" w:rsidP="0065062F">
      <w:pPr>
        <w:pStyle w:val="Heading3"/>
      </w:pPr>
      <w:bookmarkStart w:id="581" w:name="table13"/>
      <w:bookmarkStart w:id="582" w:name="_Toc77663547"/>
      <w:bookmarkStart w:id="583" w:name="_Toc91323762"/>
      <w:bookmarkStart w:id="584" w:name="_Toc149064210"/>
      <w:bookmarkEnd w:id="581"/>
      <w:r>
        <w:t>Antibody and Antigen Table: Irregular Antibodies</w:t>
      </w:r>
      <w:bookmarkEnd w:id="582"/>
      <w:bookmarkEnd w:id="583"/>
      <w:bookmarkEnd w:id="584"/>
      <w:r>
        <w:fldChar w:fldCharType="begin"/>
      </w:r>
      <w:r>
        <w:instrText xml:space="preserve"> XE </w:instrText>
      </w:r>
      <w:r w:rsidR="00FA7E65">
        <w:instrText>“</w:instrText>
      </w:r>
      <w:r>
        <w:instrText>Tables:Antibody and Antigen Table, Irregular Antibodies</w:instrText>
      </w:r>
      <w:r w:rsidR="00FA7E65">
        <w:instrText>”</w:instrText>
      </w:r>
      <w:r>
        <w:instrText xml:space="preserve"> </w:instrText>
      </w:r>
      <w:r>
        <w:fldChar w:fldCharType="end"/>
      </w:r>
    </w:p>
    <w:p w14:paraId="0AEB6EAF" w14:textId="77777777" w:rsidR="006C5E3A" w:rsidRDefault="00247207" w:rsidP="006C5E3A">
      <w:pPr>
        <w:pStyle w:val="BodyText"/>
      </w:pPr>
      <w:r>
        <w:t xml:space="preserve">VBECS </w:t>
      </w:r>
      <w:r w:rsidR="006C5E3A">
        <w:t xml:space="preserve">creates a division-specific copy in each division in the database. Setting Antibody Parameters allows the division to reset the calculated antigen negative requirement of antibodies to its medical director’s policy. </w:t>
      </w:r>
      <w:r w:rsidR="009A11C7">
        <w:t>Each orderable test name has a corresponding repeat test.</w:t>
      </w:r>
    </w:p>
    <w:p w14:paraId="0501E6CD" w14:textId="77777777" w:rsidR="002A21AE" w:rsidRDefault="002A21AE" w:rsidP="00FA7E65">
      <w:pPr>
        <w:pStyle w:val="BodyText"/>
      </w:pPr>
      <w:r>
        <w:t>Clinical significance of antibody specificity is set using the 14th edition of the AABB Technical Manual. A specific instance of an antibody for certain patients or different treatment conditions may behave quite differently, requiring antigen negative or crossmatch-compatible blood for the patient. The user may edit these settings for an individual patient.</w:t>
      </w:r>
    </w:p>
    <w:p w14:paraId="34FFF4EE" w14:textId="77777777" w:rsidR="002A21AE" w:rsidRDefault="002A21AE" w:rsidP="00FA7E65">
      <w:pPr>
        <w:pStyle w:val="BodyText"/>
      </w:pPr>
      <w:r>
        <w:t xml:space="preserve">The antigen negative required settings apply to all instances of the antibody. Individual hospital policy may indicate that a setting of “OPT” should be made “REQ.” A policy of a global OPT may remain in the event of a specific clinically significant instance of a specificity in a particular patient. The individual patient’s antigen negative requirement may be set for the specificity in Entering and Removing Transfusion Requirements. </w:t>
      </w:r>
      <w:r>
        <w:rPr>
          <w:szCs w:val="16"/>
        </w:rPr>
        <w:t>In the Antigen Negative Requirement column:</w:t>
      </w:r>
    </w:p>
    <w:p w14:paraId="5A64199D" w14:textId="77777777" w:rsidR="002A21AE" w:rsidRDefault="002A21AE">
      <w:pPr>
        <w:pStyle w:val="ListBullet"/>
      </w:pPr>
      <w:r>
        <w:t>“REQ” sets an antigen negative requirement that is not editable because these are generally considered to require the provision of antigen negative blood for patient transfusion.</w:t>
      </w:r>
    </w:p>
    <w:p w14:paraId="4D377CFE" w14:textId="77777777" w:rsidR="002A21AE" w:rsidRDefault="002A21AE">
      <w:pPr>
        <w:pStyle w:val="ListBullet"/>
      </w:pPr>
      <w:r>
        <w:t xml:space="preserve">“NO” does not set an antigen negative requirement and is not editable. </w:t>
      </w:r>
    </w:p>
    <w:p w14:paraId="64C2F7C2" w14:textId="77777777" w:rsidR="002A21AE" w:rsidRDefault="002A21AE">
      <w:pPr>
        <w:pStyle w:val="ListBullet"/>
      </w:pPr>
      <w:r>
        <w:t xml:space="preserve">“OPT” in the Antibody sets an antigen negative requirement is editable and may be reset repeatedly on the division’s copy of the table. </w:t>
      </w:r>
    </w:p>
    <w:p w14:paraId="26A7C55D" w14:textId="22EEF7A0" w:rsidR="002A21AE" w:rsidRDefault="00896B41">
      <w:pPr>
        <w:pStyle w:val="Caption"/>
      </w:pPr>
      <w:bookmarkStart w:id="585" w:name="_Toc97523630"/>
      <w:bookmarkStart w:id="586" w:name="_Toc97527600"/>
      <w:r>
        <w:br w:type="page"/>
      </w:r>
      <w:bookmarkStart w:id="587" w:name="_Ref126730855"/>
      <w:bookmarkStart w:id="588" w:name="_Ref126484449"/>
      <w:r w:rsidR="002A21AE">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14</w:t>
      </w:r>
      <w:r w:rsidR="004E20BD">
        <w:rPr>
          <w:noProof/>
        </w:rPr>
        <w:fldChar w:fldCharType="end"/>
      </w:r>
      <w:bookmarkEnd w:id="587"/>
      <w:r w:rsidR="002A21AE">
        <w:t xml:space="preserve">: </w:t>
      </w:r>
      <w:r w:rsidR="002A21AE">
        <w:rPr>
          <w:vanish/>
        </w:rPr>
        <w:t xml:space="preserve">TT_23.01A </w:t>
      </w:r>
      <w:r w:rsidR="002A21AE">
        <w:t>Antibody and Antigen Table: Irregular Antibodies</w:t>
      </w:r>
      <w:bookmarkEnd w:id="585"/>
      <w:bookmarkEnd w:id="586"/>
      <w:bookmarkEnd w:id="588"/>
    </w:p>
    <w:tbl>
      <w:tblPr>
        <w:tblW w:w="1008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75"/>
        <w:gridCol w:w="1710"/>
        <w:gridCol w:w="878"/>
        <w:gridCol w:w="878"/>
        <w:gridCol w:w="1253"/>
        <w:gridCol w:w="1253"/>
        <w:gridCol w:w="1296"/>
        <w:gridCol w:w="841"/>
      </w:tblGrid>
      <w:tr w:rsidR="00B769D3" w:rsidRPr="00F77B4F" w14:paraId="7760C45D" w14:textId="77777777" w:rsidTr="00031618">
        <w:trPr>
          <w:cantSplit/>
          <w:tblHeader/>
        </w:trPr>
        <w:tc>
          <w:tcPr>
            <w:tcW w:w="3685" w:type="dxa"/>
            <w:gridSpan w:val="2"/>
            <w:tcBorders>
              <w:top w:val="single" w:sz="4" w:space="0" w:color="auto"/>
              <w:left w:val="single" w:sz="4" w:space="0" w:color="auto"/>
              <w:bottom w:val="single" w:sz="4" w:space="0" w:color="auto"/>
              <w:right w:val="single" w:sz="4" w:space="0" w:color="auto"/>
            </w:tcBorders>
            <w:shd w:val="clear" w:color="auto" w:fill="B3B3B3"/>
          </w:tcPr>
          <w:p w14:paraId="0D4B4C3E" w14:textId="77777777" w:rsidR="00824338" w:rsidRPr="00F77B4F" w:rsidRDefault="00824338" w:rsidP="004D0818">
            <w:pPr>
              <w:pStyle w:val="TableText"/>
              <w:jc w:val="center"/>
              <w:rPr>
                <w:b/>
              </w:rPr>
            </w:pPr>
            <w:r w:rsidRPr="00F77B4F">
              <w:rPr>
                <w:b/>
              </w:rPr>
              <w:t>Antibody Name</w:t>
            </w:r>
          </w:p>
        </w:tc>
        <w:tc>
          <w:tcPr>
            <w:tcW w:w="878" w:type="dxa"/>
            <w:vMerge w:val="restart"/>
            <w:tcBorders>
              <w:top w:val="single" w:sz="4" w:space="0" w:color="auto"/>
              <w:left w:val="single" w:sz="4" w:space="0" w:color="auto"/>
              <w:right w:val="single" w:sz="4" w:space="0" w:color="auto"/>
            </w:tcBorders>
            <w:shd w:val="clear" w:color="auto" w:fill="B3B3B3"/>
            <w:textDirection w:val="btLr"/>
          </w:tcPr>
          <w:p w14:paraId="1CB896A1" w14:textId="77777777" w:rsidR="00824338" w:rsidRPr="00F77B4F" w:rsidRDefault="00824338" w:rsidP="0088039E">
            <w:pPr>
              <w:pStyle w:val="TableText"/>
              <w:rPr>
                <w:b/>
                <w:szCs w:val="16"/>
              </w:rPr>
            </w:pPr>
            <w:r>
              <w:rPr>
                <w:b/>
                <w:szCs w:val="16"/>
              </w:rPr>
              <w:t>Clinically Significant?</w:t>
            </w:r>
            <w:r w:rsidR="00F528F3" w:rsidRPr="00191509">
              <w:rPr>
                <w:rFonts w:ascii="Arial Bold" w:hAnsi="Arial Bold"/>
                <w:b/>
                <w:szCs w:val="18"/>
              </w:rPr>
              <w:t>§</w:t>
            </w:r>
            <w:r w:rsidR="00191509" w:rsidRPr="00191509">
              <w:rPr>
                <w:rFonts w:ascii="Arial Bold" w:hAnsi="Arial Bold"/>
                <w:b/>
                <w:vanish/>
                <w:szCs w:val="18"/>
              </w:rPr>
              <w:t>UserDoc Task 1096</w:t>
            </w:r>
          </w:p>
        </w:tc>
        <w:tc>
          <w:tcPr>
            <w:tcW w:w="878" w:type="dxa"/>
            <w:vMerge w:val="restart"/>
            <w:tcBorders>
              <w:top w:val="single" w:sz="4" w:space="0" w:color="auto"/>
              <w:left w:val="single" w:sz="4" w:space="0" w:color="auto"/>
              <w:right w:val="single" w:sz="4" w:space="0" w:color="auto"/>
            </w:tcBorders>
            <w:shd w:val="clear" w:color="auto" w:fill="B3B3B3"/>
            <w:textDirection w:val="btLr"/>
          </w:tcPr>
          <w:p w14:paraId="7077697D" w14:textId="77777777" w:rsidR="00824338" w:rsidRPr="00F77B4F" w:rsidRDefault="00824338" w:rsidP="0088039E">
            <w:pPr>
              <w:pStyle w:val="TableText"/>
              <w:rPr>
                <w:b/>
                <w:szCs w:val="16"/>
              </w:rPr>
            </w:pPr>
            <w:r w:rsidRPr="00F77B4F">
              <w:rPr>
                <w:b/>
                <w:szCs w:val="16"/>
              </w:rPr>
              <w:t>Does Antibody Set a</w:t>
            </w:r>
            <w:r>
              <w:rPr>
                <w:b/>
                <w:szCs w:val="16"/>
              </w:rPr>
              <w:t>n Antigen Negative Requirement?</w:t>
            </w:r>
          </w:p>
        </w:tc>
        <w:tc>
          <w:tcPr>
            <w:tcW w:w="2506" w:type="dxa"/>
            <w:gridSpan w:val="2"/>
            <w:tcBorders>
              <w:top w:val="single" w:sz="4" w:space="0" w:color="auto"/>
              <w:left w:val="single" w:sz="4" w:space="0" w:color="auto"/>
              <w:bottom w:val="single" w:sz="4" w:space="0" w:color="auto"/>
              <w:right w:val="single" w:sz="4" w:space="0" w:color="auto"/>
            </w:tcBorders>
            <w:shd w:val="clear" w:color="auto" w:fill="B3B3B3"/>
          </w:tcPr>
          <w:p w14:paraId="3016D9CC" w14:textId="77777777" w:rsidR="00824338" w:rsidRPr="00F77B4F" w:rsidRDefault="00824338" w:rsidP="004D0818">
            <w:pPr>
              <w:pStyle w:val="TableText"/>
              <w:jc w:val="center"/>
              <w:rPr>
                <w:b/>
              </w:rPr>
            </w:pPr>
            <w:r w:rsidRPr="00F77B4F">
              <w:rPr>
                <w:b/>
              </w:rPr>
              <w:t>Associated Antigen</w:t>
            </w:r>
          </w:p>
        </w:tc>
        <w:tc>
          <w:tcPr>
            <w:tcW w:w="1296" w:type="dxa"/>
            <w:vMerge w:val="restart"/>
            <w:tcBorders>
              <w:top w:val="single" w:sz="4" w:space="0" w:color="auto"/>
              <w:left w:val="single" w:sz="4" w:space="0" w:color="auto"/>
              <w:right w:val="single" w:sz="4" w:space="0" w:color="auto"/>
            </w:tcBorders>
            <w:shd w:val="clear" w:color="auto" w:fill="B3B3B3"/>
            <w:textDirection w:val="btLr"/>
          </w:tcPr>
          <w:p w14:paraId="77AE2479" w14:textId="77777777" w:rsidR="00824338" w:rsidRPr="00F77B4F" w:rsidRDefault="00824338" w:rsidP="0088039E">
            <w:pPr>
              <w:pStyle w:val="TableText"/>
              <w:rPr>
                <w:b/>
              </w:rPr>
            </w:pPr>
            <w:r w:rsidRPr="00F77B4F">
              <w:rPr>
                <w:b/>
              </w:rPr>
              <w:t>Antigen Negative Compatibility Percentage</w:t>
            </w:r>
          </w:p>
        </w:tc>
        <w:tc>
          <w:tcPr>
            <w:tcW w:w="841" w:type="dxa"/>
            <w:vMerge w:val="restart"/>
            <w:tcBorders>
              <w:top w:val="single" w:sz="4" w:space="0" w:color="auto"/>
              <w:left w:val="single" w:sz="4" w:space="0" w:color="auto"/>
              <w:right w:val="single" w:sz="4" w:space="0" w:color="auto"/>
            </w:tcBorders>
            <w:shd w:val="clear" w:color="auto" w:fill="B3B3B3"/>
            <w:textDirection w:val="btLr"/>
          </w:tcPr>
          <w:p w14:paraId="6EBA2D17" w14:textId="77777777" w:rsidR="00824338" w:rsidRPr="00F77B4F" w:rsidRDefault="00824338" w:rsidP="0088039E">
            <w:pPr>
              <w:pStyle w:val="TableText"/>
              <w:rPr>
                <w:b/>
              </w:rPr>
            </w:pPr>
            <w:r w:rsidRPr="00F77B4F">
              <w:rPr>
                <w:b/>
              </w:rPr>
              <w:t>VBECS Antigen Typing Orderable Test</w:t>
            </w:r>
          </w:p>
        </w:tc>
      </w:tr>
      <w:tr w:rsidR="00824338" w:rsidRPr="00F77B4F" w14:paraId="2A445DF4" w14:textId="77777777" w:rsidTr="00031618">
        <w:trPr>
          <w:cantSplit/>
          <w:trHeight w:val="1358"/>
          <w:tblHeader/>
        </w:trPr>
        <w:tc>
          <w:tcPr>
            <w:tcW w:w="1975" w:type="dxa"/>
            <w:tcBorders>
              <w:top w:val="single" w:sz="4" w:space="0" w:color="auto"/>
              <w:left w:val="single" w:sz="4" w:space="0" w:color="auto"/>
              <w:bottom w:val="single" w:sz="4" w:space="0" w:color="auto"/>
              <w:right w:val="single" w:sz="4" w:space="0" w:color="auto"/>
            </w:tcBorders>
            <w:shd w:val="clear" w:color="auto" w:fill="B3B3B3"/>
            <w:vAlign w:val="bottom"/>
          </w:tcPr>
          <w:p w14:paraId="565A0B1C" w14:textId="77777777" w:rsidR="00824338" w:rsidRPr="00F77B4F" w:rsidRDefault="00824338" w:rsidP="00AD0B01">
            <w:pPr>
              <w:pStyle w:val="TableText"/>
              <w:rPr>
                <w:rFonts w:eastAsia="Symbol"/>
                <w:b/>
              </w:rPr>
            </w:pPr>
            <w:r w:rsidRPr="00F77B4F">
              <w:rPr>
                <w:b/>
              </w:rPr>
              <w:t>VBECS*</w:t>
            </w:r>
          </w:p>
        </w:tc>
        <w:tc>
          <w:tcPr>
            <w:tcW w:w="1710" w:type="dxa"/>
            <w:tcBorders>
              <w:top w:val="single" w:sz="4" w:space="0" w:color="auto"/>
              <w:left w:val="single" w:sz="4" w:space="0" w:color="auto"/>
              <w:bottom w:val="single" w:sz="4" w:space="0" w:color="auto"/>
              <w:right w:val="single" w:sz="4" w:space="0" w:color="auto"/>
            </w:tcBorders>
            <w:shd w:val="clear" w:color="auto" w:fill="B3B3B3"/>
            <w:vAlign w:val="bottom"/>
          </w:tcPr>
          <w:p w14:paraId="57691D98" w14:textId="77777777" w:rsidR="00824338" w:rsidRPr="00F77B4F" w:rsidRDefault="00824338" w:rsidP="00AD0B01">
            <w:pPr>
              <w:pStyle w:val="TableText"/>
              <w:rPr>
                <w:b/>
              </w:rPr>
            </w:pPr>
            <w:r w:rsidRPr="00F77B4F">
              <w:rPr>
                <w:b/>
              </w:rPr>
              <w:t>VistA</w:t>
            </w:r>
            <w:r>
              <w:rPr>
                <w:b/>
              </w:rPr>
              <w:t>†</w:t>
            </w:r>
          </w:p>
        </w:tc>
        <w:tc>
          <w:tcPr>
            <w:tcW w:w="878" w:type="dxa"/>
            <w:vMerge/>
            <w:tcBorders>
              <w:left w:val="single" w:sz="4" w:space="0" w:color="auto"/>
              <w:bottom w:val="single" w:sz="4" w:space="0" w:color="auto"/>
              <w:right w:val="single" w:sz="4" w:space="0" w:color="auto"/>
            </w:tcBorders>
            <w:shd w:val="clear" w:color="auto" w:fill="B3B3B3"/>
            <w:textDirection w:val="btLr"/>
          </w:tcPr>
          <w:p w14:paraId="76A123B0" w14:textId="77777777" w:rsidR="00824338" w:rsidRPr="00F77B4F" w:rsidRDefault="00824338" w:rsidP="00AD0B01">
            <w:pPr>
              <w:pStyle w:val="TableText"/>
              <w:rPr>
                <w:b/>
                <w:szCs w:val="16"/>
              </w:rPr>
            </w:pPr>
          </w:p>
        </w:tc>
        <w:tc>
          <w:tcPr>
            <w:tcW w:w="878" w:type="dxa"/>
            <w:vMerge/>
            <w:tcBorders>
              <w:left w:val="single" w:sz="4" w:space="0" w:color="auto"/>
              <w:bottom w:val="single" w:sz="4" w:space="0" w:color="auto"/>
              <w:right w:val="single" w:sz="4" w:space="0" w:color="auto"/>
            </w:tcBorders>
            <w:shd w:val="clear" w:color="auto" w:fill="B3B3B3"/>
            <w:textDirection w:val="btLr"/>
          </w:tcPr>
          <w:p w14:paraId="1EE2FE1E" w14:textId="77777777" w:rsidR="00824338" w:rsidRPr="00F77B4F" w:rsidRDefault="00824338" w:rsidP="00AD0B01">
            <w:pPr>
              <w:pStyle w:val="TableText"/>
              <w:rPr>
                <w:rFonts w:eastAsia="Symbol"/>
                <w:b/>
                <w:szCs w:val="16"/>
              </w:rPr>
            </w:pP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053B7D06" w14:textId="77777777" w:rsidR="00824338" w:rsidRPr="006831BE" w:rsidRDefault="00824338" w:rsidP="006831BE">
            <w:pPr>
              <w:pStyle w:val="TableText"/>
              <w:rPr>
                <w:b/>
              </w:rPr>
            </w:pPr>
            <w:r w:rsidRPr="006831BE">
              <w:rPr>
                <w:b/>
              </w:rPr>
              <w:t>VBECS</w:t>
            </w:r>
          </w:p>
        </w:tc>
        <w:tc>
          <w:tcPr>
            <w:tcW w:w="1253" w:type="dxa"/>
            <w:tcBorders>
              <w:top w:val="single" w:sz="4" w:space="0" w:color="auto"/>
              <w:left w:val="single" w:sz="4" w:space="0" w:color="auto"/>
              <w:bottom w:val="single" w:sz="4" w:space="0" w:color="auto"/>
              <w:right w:val="single" w:sz="4" w:space="0" w:color="auto"/>
            </w:tcBorders>
            <w:shd w:val="clear" w:color="auto" w:fill="B3B3B3"/>
            <w:vAlign w:val="bottom"/>
          </w:tcPr>
          <w:p w14:paraId="56380487" w14:textId="77777777" w:rsidR="00824338" w:rsidRPr="006831BE" w:rsidRDefault="00824338" w:rsidP="006831BE">
            <w:pPr>
              <w:pStyle w:val="TableText"/>
              <w:rPr>
                <w:b/>
              </w:rPr>
            </w:pPr>
            <w:r w:rsidRPr="006831BE">
              <w:rPr>
                <w:b/>
              </w:rPr>
              <w:t>VistA†</w:t>
            </w:r>
          </w:p>
        </w:tc>
        <w:tc>
          <w:tcPr>
            <w:tcW w:w="1296" w:type="dxa"/>
            <w:vMerge/>
            <w:tcBorders>
              <w:left w:val="single" w:sz="4" w:space="0" w:color="auto"/>
              <w:bottom w:val="single" w:sz="4" w:space="0" w:color="auto"/>
              <w:right w:val="single" w:sz="4" w:space="0" w:color="auto"/>
            </w:tcBorders>
            <w:shd w:val="clear" w:color="auto" w:fill="B3B3B3"/>
            <w:textDirection w:val="btLr"/>
          </w:tcPr>
          <w:p w14:paraId="3E129578" w14:textId="77777777" w:rsidR="00824338" w:rsidRPr="00F77B4F" w:rsidRDefault="00824338" w:rsidP="00AD0B01">
            <w:pPr>
              <w:pStyle w:val="TableText"/>
              <w:rPr>
                <w:rFonts w:eastAsia="Symbol"/>
                <w:b/>
              </w:rPr>
            </w:pPr>
          </w:p>
        </w:tc>
        <w:tc>
          <w:tcPr>
            <w:tcW w:w="841" w:type="dxa"/>
            <w:vMerge/>
            <w:tcBorders>
              <w:left w:val="single" w:sz="4" w:space="0" w:color="auto"/>
              <w:bottom w:val="single" w:sz="4" w:space="0" w:color="auto"/>
              <w:right w:val="single" w:sz="4" w:space="0" w:color="auto"/>
            </w:tcBorders>
            <w:shd w:val="clear" w:color="auto" w:fill="B3B3B3"/>
            <w:textDirection w:val="btLr"/>
          </w:tcPr>
          <w:p w14:paraId="69FD020B" w14:textId="77777777" w:rsidR="00824338" w:rsidRPr="00F77B4F" w:rsidRDefault="00824338" w:rsidP="00AD0B01">
            <w:pPr>
              <w:pStyle w:val="TableText"/>
              <w:rPr>
                <w:b/>
              </w:rPr>
            </w:pPr>
          </w:p>
        </w:tc>
      </w:tr>
      <w:tr w:rsidR="00824338" w14:paraId="5A4E9F51" w14:textId="77777777" w:rsidTr="00031618">
        <w:tblPrEx>
          <w:tblBorders>
            <w:insideH w:val="single" w:sz="4" w:space="0" w:color="auto"/>
            <w:insideV w:val="single" w:sz="4" w:space="0" w:color="auto"/>
          </w:tblBorders>
        </w:tblPrEx>
        <w:tc>
          <w:tcPr>
            <w:tcW w:w="1975" w:type="dxa"/>
            <w:shd w:val="clear" w:color="auto" w:fill="auto"/>
          </w:tcPr>
          <w:p w14:paraId="1BD51A15" w14:textId="77777777" w:rsidR="003E3D07" w:rsidRDefault="003E3D07">
            <w:pPr>
              <w:pStyle w:val="TableText"/>
              <w:rPr>
                <w:rFonts w:eastAsia="Symbol"/>
              </w:rPr>
            </w:pPr>
            <w:bookmarkStart w:id="589" w:name="_Toc77663548"/>
            <w:r>
              <w:t>Anti-D</w:t>
            </w:r>
          </w:p>
        </w:tc>
        <w:tc>
          <w:tcPr>
            <w:tcW w:w="1710" w:type="dxa"/>
            <w:shd w:val="clear" w:color="auto" w:fill="auto"/>
          </w:tcPr>
          <w:p w14:paraId="59565332" w14:textId="77777777" w:rsidR="003E3D07" w:rsidRDefault="003E3D07">
            <w:pPr>
              <w:pStyle w:val="TableText"/>
              <w:rPr>
                <w:rFonts w:eastAsia="Symbol"/>
              </w:rPr>
            </w:pPr>
            <w:r>
              <w:t>Anti-D</w:t>
            </w:r>
          </w:p>
        </w:tc>
        <w:tc>
          <w:tcPr>
            <w:tcW w:w="878" w:type="dxa"/>
            <w:shd w:val="clear" w:color="auto" w:fill="auto"/>
          </w:tcPr>
          <w:p w14:paraId="5FC28E83" w14:textId="77777777" w:rsidR="003E3D07" w:rsidRDefault="003E3D07">
            <w:pPr>
              <w:pStyle w:val="TableText"/>
              <w:rPr>
                <w:b/>
                <w:bCs/>
              </w:rPr>
            </w:pPr>
            <w:r>
              <w:rPr>
                <w:bCs/>
              </w:rPr>
              <w:t>Yes</w:t>
            </w:r>
          </w:p>
        </w:tc>
        <w:tc>
          <w:tcPr>
            <w:tcW w:w="878" w:type="dxa"/>
            <w:shd w:val="clear" w:color="auto" w:fill="auto"/>
          </w:tcPr>
          <w:p w14:paraId="45E22044" w14:textId="77777777" w:rsidR="003E3D07" w:rsidRDefault="003E3D07">
            <w:pPr>
              <w:pStyle w:val="TableText"/>
              <w:rPr>
                <w:rFonts w:eastAsia="Symbol"/>
                <w:b/>
                <w:bCs/>
              </w:rPr>
            </w:pPr>
            <w:r>
              <w:rPr>
                <w:bCs/>
              </w:rPr>
              <w:t>Yes</w:t>
            </w:r>
          </w:p>
        </w:tc>
        <w:tc>
          <w:tcPr>
            <w:tcW w:w="1253" w:type="dxa"/>
            <w:shd w:val="clear" w:color="auto" w:fill="auto"/>
          </w:tcPr>
          <w:p w14:paraId="0EFCA108" w14:textId="77777777" w:rsidR="003E3D07" w:rsidRDefault="003E3D07">
            <w:pPr>
              <w:pStyle w:val="TableText"/>
              <w:rPr>
                <w:rFonts w:eastAsia="Symbol"/>
              </w:rPr>
            </w:pPr>
            <w:r>
              <w:t>D</w:t>
            </w:r>
          </w:p>
        </w:tc>
        <w:tc>
          <w:tcPr>
            <w:tcW w:w="1253" w:type="dxa"/>
            <w:shd w:val="clear" w:color="auto" w:fill="auto"/>
          </w:tcPr>
          <w:p w14:paraId="0CBA5899" w14:textId="77777777" w:rsidR="003E3D07" w:rsidRDefault="003E3D07">
            <w:pPr>
              <w:pStyle w:val="TableText"/>
              <w:rPr>
                <w:rFonts w:eastAsia="Symbol"/>
              </w:rPr>
            </w:pPr>
            <w:r>
              <w:t>D</w:t>
            </w:r>
          </w:p>
        </w:tc>
        <w:tc>
          <w:tcPr>
            <w:tcW w:w="1296" w:type="dxa"/>
            <w:shd w:val="clear" w:color="auto" w:fill="auto"/>
          </w:tcPr>
          <w:p w14:paraId="63E58AE5" w14:textId="77777777" w:rsidR="003E3D07" w:rsidRDefault="003E3D07">
            <w:pPr>
              <w:pStyle w:val="TableText"/>
              <w:rPr>
                <w:rFonts w:eastAsia="Symbol"/>
              </w:rPr>
            </w:pPr>
            <w:r>
              <w:t>13</w:t>
            </w:r>
          </w:p>
        </w:tc>
        <w:tc>
          <w:tcPr>
            <w:tcW w:w="841" w:type="dxa"/>
            <w:shd w:val="clear" w:color="auto" w:fill="auto"/>
          </w:tcPr>
          <w:p w14:paraId="780E5E90" w14:textId="77777777" w:rsidR="003E3D07" w:rsidRDefault="003E3D07">
            <w:pPr>
              <w:pStyle w:val="TableText"/>
              <w:rPr>
                <w:rFonts w:eastAsia="Symbol"/>
              </w:rPr>
            </w:pPr>
            <w:r>
              <w:t>AGD</w:t>
            </w:r>
          </w:p>
        </w:tc>
      </w:tr>
      <w:tr w:rsidR="00824338" w14:paraId="774ED68D" w14:textId="77777777" w:rsidTr="00031618">
        <w:tblPrEx>
          <w:tblBorders>
            <w:insideH w:val="single" w:sz="4" w:space="0" w:color="auto"/>
            <w:insideV w:val="single" w:sz="4" w:space="0" w:color="auto"/>
          </w:tblBorders>
        </w:tblPrEx>
        <w:tc>
          <w:tcPr>
            <w:tcW w:w="1975" w:type="dxa"/>
            <w:shd w:val="clear" w:color="auto" w:fill="auto"/>
          </w:tcPr>
          <w:p w14:paraId="1542BA93" w14:textId="77777777" w:rsidR="003E3D07" w:rsidRDefault="003E3D07">
            <w:pPr>
              <w:pStyle w:val="TableText"/>
            </w:pPr>
            <w:r>
              <w:t>N/A</w:t>
            </w:r>
          </w:p>
        </w:tc>
        <w:tc>
          <w:tcPr>
            <w:tcW w:w="1710" w:type="dxa"/>
            <w:shd w:val="clear" w:color="auto" w:fill="auto"/>
          </w:tcPr>
          <w:p w14:paraId="3BFC4C34" w14:textId="77777777" w:rsidR="003E3D07" w:rsidRDefault="003E3D07">
            <w:pPr>
              <w:pStyle w:val="TableText"/>
            </w:pPr>
            <w:r>
              <w:t>N/A</w:t>
            </w:r>
          </w:p>
        </w:tc>
        <w:tc>
          <w:tcPr>
            <w:tcW w:w="878" w:type="dxa"/>
            <w:shd w:val="clear" w:color="auto" w:fill="auto"/>
          </w:tcPr>
          <w:p w14:paraId="59044693" w14:textId="77777777" w:rsidR="003E3D07" w:rsidRDefault="003E3D07">
            <w:pPr>
              <w:pStyle w:val="TableText"/>
              <w:rPr>
                <w:b/>
                <w:bCs/>
              </w:rPr>
            </w:pPr>
            <w:r>
              <w:t>N/A</w:t>
            </w:r>
          </w:p>
        </w:tc>
        <w:tc>
          <w:tcPr>
            <w:tcW w:w="878" w:type="dxa"/>
            <w:shd w:val="clear" w:color="auto" w:fill="auto"/>
          </w:tcPr>
          <w:p w14:paraId="14144D85" w14:textId="77777777" w:rsidR="003E3D07" w:rsidRDefault="003E3D07">
            <w:pPr>
              <w:pStyle w:val="TableText"/>
              <w:rPr>
                <w:b/>
                <w:bCs/>
              </w:rPr>
            </w:pPr>
            <w:r>
              <w:t>N/A</w:t>
            </w:r>
          </w:p>
        </w:tc>
        <w:tc>
          <w:tcPr>
            <w:tcW w:w="1253" w:type="dxa"/>
            <w:shd w:val="clear" w:color="auto" w:fill="auto"/>
          </w:tcPr>
          <w:p w14:paraId="69EEB22B" w14:textId="77777777" w:rsidR="003E3D07" w:rsidRDefault="003E3D07">
            <w:pPr>
              <w:pStyle w:val="TableText"/>
            </w:pPr>
            <w:r>
              <w:t>N/A</w:t>
            </w:r>
          </w:p>
        </w:tc>
        <w:tc>
          <w:tcPr>
            <w:tcW w:w="1253" w:type="dxa"/>
            <w:shd w:val="clear" w:color="auto" w:fill="auto"/>
          </w:tcPr>
          <w:p w14:paraId="05360712" w14:textId="77777777" w:rsidR="003E3D07" w:rsidRDefault="003E3D07">
            <w:pPr>
              <w:pStyle w:val="TableText"/>
            </w:pPr>
            <w:r>
              <w:t>N/A</w:t>
            </w:r>
          </w:p>
        </w:tc>
        <w:tc>
          <w:tcPr>
            <w:tcW w:w="1296" w:type="dxa"/>
            <w:shd w:val="clear" w:color="auto" w:fill="auto"/>
          </w:tcPr>
          <w:p w14:paraId="04BA0327" w14:textId="77777777" w:rsidR="003E3D07" w:rsidRDefault="003E3D07">
            <w:pPr>
              <w:pStyle w:val="TableText"/>
            </w:pPr>
            <w:r>
              <w:t>N/A</w:t>
            </w:r>
          </w:p>
        </w:tc>
        <w:tc>
          <w:tcPr>
            <w:tcW w:w="841" w:type="dxa"/>
            <w:shd w:val="clear" w:color="auto" w:fill="auto"/>
          </w:tcPr>
          <w:p w14:paraId="6F1798D3" w14:textId="77777777" w:rsidR="003E3D07" w:rsidRDefault="003E3D07">
            <w:pPr>
              <w:pStyle w:val="TableText"/>
            </w:pPr>
            <w:r>
              <w:t>AGwD</w:t>
            </w:r>
          </w:p>
        </w:tc>
      </w:tr>
      <w:tr w:rsidR="00824338" w14:paraId="3C767DF3" w14:textId="77777777" w:rsidTr="00031618">
        <w:tblPrEx>
          <w:tblBorders>
            <w:insideH w:val="single" w:sz="4" w:space="0" w:color="auto"/>
            <w:insideV w:val="single" w:sz="4" w:space="0" w:color="auto"/>
          </w:tblBorders>
        </w:tblPrEx>
        <w:tc>
          <w:tcPr>
            <w:tcW w:w="1975" w:type="dxa"/>
            <w:shd w:val="clear" w:color="auto" w:fill="auto"/>
          </w:tcPr>
          <w:p w14:paraId="2689E1D3" w14:textId="77777777" w:rsidR="003E3D07" w:rsidRDefault="003E3D07">
            <w:pPr>
              <w:pStyle w:val="TableText"/>
              <w:rPr>
                <w:rFonts w:eastAsia="Symbol"/>
              </w:rPr>
            </w:pPr>
            <w:r>
              <w:t>Anti-C</w:t>
            </w:r>
          </w:p>
        </w:tc>
        <w:tc>
          <w:tcPr>
            <w:tcW w:w="1710" w:type="dxa"/>
            <w:shd w:val="clear" w:color="auto" w:fill="auto"/>
          </w:tcPr>
          <w:p w14:paraId="12A92636" w14:textId="77777777" w:rsidR="003E3D07" w:rsidRDefault="003E3D07">
            <w:pPr>
              <w:pStyle w:val="TableText"/>
              <w:rPr>
                <w:rFonts w:eastAsia="Symbol"/>
              </w:rPr>
            </w:pPr>
            <w:r>
              <w:t>Anti-C</w:t>
            </w:r>
          </w:p>
        </w:tc>
        <w:tc>
          <w:tcPr>
            <w:tcW w:w="878" w:type="dxa"/>
            <w:shd w:val="clear" w:color="auto" w:fill="auto"/>
          </w:tcPr>
          <w:p w14:paraId="7E2B8ED3" w14:textId="77777777" w:rsidR="003E3D07" w:rsidRDefault="003E3D07">
            <w:pPr>
              <w:pStyle w:val="TableText"/>
              <w:rPr>
                <w:b/>
                <w:bCs/>
              </w:rPr>
            </w:pPr>
            <w:r>
              <w:rPr>
                <w:bCs/>
              </w:rPr>
              <w:t>Yes</w:t>
            </w:r>
          </w:p>
        </w:tc>
        <w:tc>
          <w:tcPr>
            <w:tcW w:w="878" w:type="dxa"/>
            <w:shd w:val="clear" w:color="auto" w:fill="auto"/>
          </w:tcPr>
          <w:p w14:paraId="6813311B" w14:textId="77777777" w:rsidR="003E3D07" w:rsidRDefault="003E3D07">
            <w:pPr>
              <w:pStyle w:val="TableText"/>
              <w:rPr>
                <w:rFonts w:eastAsia="Symbol"/>
                <w:b/>
                <w:bCs/>
              </w:rPr>
            </w:pPr>
            <w:r>
              <w:rPr>
                <w:bCs/>
              </w:rPr>
              <w:t>Yes</w:t>
            </w:r>
          </w:p>
        </w:tc>
        <w:tc>
          <w:tcPr>
            <w:tcW w:w="1253" w:type="dxa"/>
            <w:shd w:val="clear" w:color="auto" w:fill="auto"/>
          </w:tcPr>
          <w:p w14:paraId="434FCDC6" w14:textId="77777777" w:rsidR="003E3D07" w:rsidRDefault="003E3D07">
            <w:pPr>
              <w:pStyle w:val="TableText"/>
              <w:rPr>
                <w:rFonts w:eastAsia="Symbol"/>
              </w:rPr>
            </w:pPr>
            <w:r>
              <w:t>C</w:t>
            </w:r>
          </w:p>
        </w:tc>
        <w:tc>
          <w:tcPr>
            <w:tcW w:w="1253" w:type="dxa"/>
            <w:shd w:val="clear" w:color="auto" w:fill="auto"/>
          </w:tcPr>
          <w:p w14:paraId="6795ED29" w14:textId="77777777" w:rsidR="003E3D07" w:rsidRDefault="003E3D07">
            <w:pPr>
              <w:pStyle w:val="TableText"/>
              <w:rPr>
                <w:rFonts w:eastAsia="Symbol"/>
              </w:rPr>
            </w:pPr>
            <w:r>
              <w:t>C</w:t>
            </w:r>
          </w:p>
        </w:tc>
        <w:tc>
          <w:tcPr>
            <w:tcW w:w="1296" w:type="dxa"/>
            <w:shd w:val="clear" w:color="auto" w:fill="auto"/>
          </w:tcPr>
          <w:p w14:paraId="7DB81BA0" w14:textId="77777777" w:rsidR="003E3D07" w:rsidRDefault="003E3D07">
            <w:pPr>
              <w:pStyle w:val="TableText"/>
              <w:rPr>
                <w:rFonts w:eastAsia="Symbol"/>
              </w:rPr>
            </w:pPr>
            <w:r>
              <w:t>53</w:t>
            </w:r>
          </w:p>
        </w:tc>
        <w:tc>
          <w:tcPr>
            <w:tcW w:w="841" w:type="dxa"/>
            <w:shd w:val="clear" w:color="auto" w:fill="auto"/>
          </w:tcPr>
          <w:p w14:paraId="1B08D23F" w14:textId="77777777" w:rsidR="003E3D07" w:rsidRDefault="003E3D07">
            <w:pPr>
              <w:pStyle w:val="TableText"/>
              <w:rPr>
                <w:rFonts w:eastAsia="Symbol"/>
              </w:rPr>
            </w:pPr>
            <w:r>
              <w:t>AGC</w:t>
            </w:r>
          </w:p>
        </w:tc>
      </w:tr>
      <w:tr w:rsidR="00824338" w14:paraId="60CE930B" w14:textId="77777777" w:rsidTr="00031618">
        <w:tblPrEx>
          <w:tblBorders>
            <w:insideH w:val="single" w:sz="4" w:space="0" w:color="auto"/>
            <w:insideV w:val="single" w:sz="4" w:space="0" w:color="auto"/>
          </w:tblBorders>
        </w:tblPrEx>
        <w:tc>
          <w:tcPr>
            <w:tcW w:w="1975" w:type="dxa"/>
            <w:shd w:val="clear" w:color="auto" w:fill="auto"/>
          </w:tcPr>
          <w:p w14:paraId="28CA9C8F" w14:textId="77777777" w:rsidR="003E3D07" w:rsidRDefault="003E3D07">
            <w:pPr>
              <w:pStyle w:val="TableText"/>
              <w:rPr>
                <w:rFonts w:eastAsia="Symbol"/>
              </w:rPr>
            </w:pPr>
            <w:r>
              <w:t>Anti-E</w:t>
            </w:r>
          </w:p>
        </w:tc>
        <w:tc>
          <w:tcPr>
            <w:tcW w:w="1710" w:type="dxa"/>
            <w:shd w:val="clear" w:color="auto" w:fill="auto"/>
          </w:tcPr>
          <w:p w14:paraId="7FE4E626" w14:textId="77777777" w:rsidR="003E3D07" w:rsidRDefault="003E3D07">
            <w:pPr>
              <w:pStyle w:val="TableText"/>
              <w:rPr>
                <w:rFonts w:eastAsia="Symbol"/>
              </w:rPr>
            </w:pPr>
            <w:r>
              <w:t>Anti-E</w:t>
            </w:r>
          </w:p>
        </w:tc>
        <w:tc>
          <w:tcPr>
            <w:tcW w:w="878" w:type="dxa"/>
            <w:shd w:val="clear" w:color="auto" w:fill="auto"/>
          </w:tcPr>
          <w:p w14:paraId="0B5E3598" w14:textId="77777777" w:rsidR="003E3D07" w:rsidRDefault="003E3D07">
            <w:pPr>
              <w:pStyle w:val="TableText"/>
              <w:rPr>
                <w:b/>
                <w:bCs/>
              </w:rPr>
            </w:pPr>
            <w:r>
              <w:rPr>
                <w:bCs/>
              </w:rPr>
              <w:t>Yes</w:t>
            </w:r>
          </w:p>
        </w:tc>
        <w:tc>
          <w:tcPr>
            <w:tcW w:w="878" w:type="dxa"/>
            <w:shd w:val="clear" w:color="auto" w:fill="auto"/>
          </w:tcPr>
          <w:p w14:paraId="383AD060" w14:textId="77777777" w:rsidR="003E3D07" w:rsidRDefault="003E3D07">
            <w:pPr>
              <w:pStyle w:val="TableText"/>
              <w:rPr>
                <w:rFonts w:eastAsia="Symbol"/>
                <w:b/>
                <w:bCs/>
              </w:rPr>
            </w:pPr>
            <w:r>
              <w:rPr>
                <w:bCs/>
              </w:rPr>
              <w:t>Yes</w:t>
            </w:r>
          </w:p>
        </w:tc>
        <w:tc>
          <w:tcPr>
            <w:tcW w:w="1253" w:type="dxa"/>
            <w:shd w:val="clear" w:color="auto" w:fill="auto"/>
          </w:tcPr>
          <w:p w14:paraId="4358C9A4" w14:textId="77777777" w:rsidR="003E3D07" w:rsidRDefault="003E3D07">
            <w:pPr>
              <w:pStyle w:val="TableText"/>
              <w:rPr>
                <w:rFonts w:eastAsia="Symbol"/>
              </w:rPr>
            </w:pPr>
            <w:r>
              <w:t>E</w:t>
            </w:r>
          </w:p>
        </w:tc>
        <w:tc>
          <w:tcPr>
            <w:tcW w:w="1253" w:type="dxa"/>
            <w:shd w:val="clear" w:color="auto" w:fill="auto"/>
          </w:tcPr>
          <w:p w14:paraId="403C7F74" w14:textId="77777777" w:rsidR="003E3D07" w:rsidRDefault="003E3D07">
            <w:pPr>
              <w:pStyle w:val="TableText"/>
              <w:rPr>
                <w:rFonts w:eastAsia="Symbol"/>
              </w:rPr>
            </w:pPr>
            <w:r>
              <w:t>E</w:t>
            </w:r>
          </w:p>
        </w:tc>
        <w:tc>
          <w:tcPr>
            <w:tcW w:w="1296" w:type="dxa"/>
            <w:shd w:val="clear" w:color="auto" w:fill="auto"/>
          </w:tcPr>
          <w:p w14:paraId="6BF26E0A" w14:textId="77777777" w:rsidR="003E3D07" w:rsidRDefault="003E3D07">
            <w:pPr>
              <w:pStyle w:val="TableText"/>
              <w:rPr>
                <w:rFonts w:eastAsia="Symbol"/>
              </w:rPr>
            </w:pPr>
            <w:r>
              <w:t>75</w:t>
            </w:r>
          </w:p>
        </w:tc>
        <w:tc>
          <w:tcPr>
            <w:tcW w:w="841" w:type="dxa"/>
            <w:shd w:val="clear" w:color="auto" w:fill="auto"/>
          </w:tcPr>
          <w:p w14:paraId="4E745ADC" w14:textId="77777777" w:rsidR="003E3D07" w:rsidRDefault="003E3D07">
            <w:pPr>
              <w:pStyle w:val="TableText"/>
              <w:rPr>
                <w:rFonts w:eastAsia="Symbol"/>
              </w:rPr>
            </w:pPr>
            <w:r>
              <w:t>AGE</w:t>
            </w:r>
          </w:p>
        </w:tc>
      </w:tr>
      <w:tr w:rsidR="00824338" w14:paraId="060D2408" w14:textId="77777777" w:rsidTr="00031618">
        <w:tblPrEx>
          <w:tblBorders>
            <w:insideH w:val="single" w:sz="4" w:space="0" w:color="auto"/>
            <w:insideV w:val="single" w:sz="4" w:space="0" w:color="auto"/>
          </w:tblBorders>
        </w:tblPrEx>
        <w:tc>
          <w:tcPr>
            <w:tcW w:w="1975" w:type="dxa"/>
            <w:shd w:val="clear" w:color="auto" w:fill="auto"/>
          </w:tcPr>
          <w:p w14:paraId="6FEC0720" w14:textId="77777777" w:rsidR="003E3D07" w:rsidRDefault="003E3D07">
            <w:pPr>
              <w:pStyle w:val="TableText"/>
              <w:rPr>
                <w:rFonts w:eastAsia="Symbol"/>
              </w:rPr>
            </w:pPr>
            <w:r>
              <w:t>Anti-c</w:t>
            </w:r>
          </w:p>
        </w:tc>
        <w:tc>
          <w:tcPr>
            <w:tcW w:w="1710" w:type="dxa"/>
            <w:shd w:val="clear" w:color="auto" w:fill="auto"/>
          </w:tcPr>
          <w:p w14:paraId="4CDA59AD" w14:textId="77777777" w:rsidR="003E3D07" w:rsidRDefault="003E3D07">
            <w:pPr>
              <w:pStyle w:val="TableText"/>
              <w:rPr>
                <w:rFonts w:eastAsia="Symbol"/>
              </w:rPr>
            </w:pPr>
            <w:r>
              <w:t>Anti-c</w:t>
            </w:r>
          </w:p>
        </w:tc>
        <w:tc>
          <w:tcPr>
            <w:tcW w:w="878" w:type="dxa"/>
            <w:shd w:val="clear" w:color="auto" w:fill="auto"/>
          </w:tcPr>
          <w:p w14:paraId="6FAF0FD8" w14:textId="77777777" w:rsidR="003E3D07" w:rsidRDefault="003E3D07">
            <w:pPr>
              <w:pStyle w:val="TableText"/>
              <w:rPr>
                <w:b/>
                <w:bCs/>
              </w:rPr>
            </w:pPr>
            <w:r>
              <w:rPr>
                <w:bCs/>
              </w:rPr>
              <w:t>Yes</w:t>
            </w:r>
          </w:p>
        </w:tc>
        <w:tc>
          <w:tcPr>
            <w:tcW w:w="878" w:type="dxa"/>
            <w:shd w:val="clear" w:color="auto" w:fill="auto"/>
          </w:tcPr>
          <w:p w14:paraId="29FFD50B" w14:textId="77777777" w:rsidR="003E3D07" w:rsidRDefault="003E3D07">
            <w:pPr>
              <w:pStyle w:val="TableText"/>
              <w:rPr>
                <w:rFonts w:eastAsia="Symbol"/>
                <w:b/>
                <w:bCs/>
              </w:rPr>
            </w:pPr>
            <w:r>
              <w:rPr>
                <w:bCs/>
              </w:rPr>
              <w:t>Yes</w:t>
            </w:r>
          </w:p>
        </w:tc>
        <w:tc>
          <w:tcPr>
            <w:tcW w:w="1253" w:type="dxa"/>
            <w:shd w:val="clear" w:color="auto" w:fill="auto"/>
          </w:tcPr>
          <w:p w14:paraId="569CDF56" w14:textId="77777777" w:rsidR="003E3D07" w:rsidRDefault="003E3D07">
            <w:pPr>
              <w:pStyle w:val="TableText"/>
              <w:rPr>
                <w:rFonts w:eastAsia="Symbol"/>
              </w:rPr>
            </w:pPr>
            <w:r>
              <w:t>c</w:t>
            </w:r>
          </w:p>
        </w:tc>
        <w:tc>
          <w:tcPr>
            <w:tcW w:w="1253" w:type="dxa"/>
            <w:shd w:val="clear" w:color="auto" w:fill="auto"/>
          </w:tcPr>
          <w:p w14:paraId="5B30C600" w14:textId="77777777" w:rsidR="003E3D07" w:rsidRDefault="003E3D07">
            <w:pPr>
              <w:pStyle w:val="TableText"/>
              <w:rPr>
                <w:rFonts w:eastAsia="Symbol"/>
              </w:rPr>
            </w:pPr>
            <w:r>
              <w:t>c</w:t>
            </w:r>
          </w:p>
        </w:tc>
        <w:tc>
          <w:tcPr>
            <w:tcW w:w="1296" w:type="dxa"/>
            <w:shd w:val="clear" w:color="auto" w:fill="auto"/>
          </w:tcPr>
          <w:p w14:paraId="7928CD15" w14:textId="77777777" w:rsidR="003E3D07" w:rsidRDefault="003E3D07">
            <w:pPr>
              <w:pStyle w:val="TableText"/>
              <w:rPr>
                <w:rFonts w:eastAsia="Symbol"/>
              </w:rPr>
            </w:pPr>
            <w:r>
              <w:t>12</w:t>
            </w:r>
          </w:p>
        </w:tc>
        <w:tc>
          <w:tcPr>
            <w:tcW w:w="841" w:type="dxa"/>
            <w:shd w:val="clear" w:color="auto" w:fill="auto"/>
          </w:tcPr>
          <w:p w14:paraId="2D508BBA" w14:textId="77777777" w:rsidR="003E3D07" w:rsidRDefault="003E3D07">
            <w:pPr>
              <w:pStyle w:val="TableText"/>
              <w:rPr>
                <w:rFonts w:eastAsia="Symbol"/>
              </w:rPr>
            </w:pPr>
            <w:r>
              <w:t>AGc</w:t>
            </w:r>
          </w:p>
        </w:tc>
      </w:tr>
      <w:tr w:rsidR="00824338" w14:paraId="0563970B" w14:textId="77777777" w:rsidTr="00031618">
        <w:tblPrEx>
          <w:tblBorders>
            <w:insideH w:val="single" w:sz="4" w:space="0" w:color="auto"/>
            <w:insideV w:val="single" w:sz="4" w:space="0" w:color="auto"/>
          </w:tblBorders>
        </w:tblPrEx>
        <w:tc>
          <w:tcPr>
            <w:tcW w:w="1975" w:type="dxa"/>
            <w:shd w:val="clear" w:color="auto" w:fill="auto"/>
          </w:tcPr>
          <w:p w14:paraId="412C08FE" w14:textId="77777777" w:rsidR="003E3D07" w:rsidRDefault="003E3D07">
            <w:pPr>
              <w:pStyle w:val="TableText"/>
              <w:rPr>
                <w:rFonts w:eastAsia="Symbol"/>
              </w:rPr>
            </w:pPr>
            <w:r>
              <w:t>Anti-e</w:t>
            </w:r>
          </w:p>
        </w:tc>
        <w:tc>
          <w:tcPr>
            <w:tcW w:w="1710" w:type="dxa"/>
            <w:shd w:val="clear" w:color="auto" w:fill="auto"/>
          </w:tcPr>
          <w:p w14:paraId="5161DA0E" w14:textId="77777777" w:rsidR="003E3D07" w:rsidRDefault="003E3D07">
            <w:pPr>
              <w:pStyle w:val="TableText"/>
              <w:rPr>
                <w:rFonts w:eastAsia="Symbol"/>
              </w:rPr>
            </w:pPr>
            <w:r>
              <w:t>Anti-e</w:t>
            </w:r>
          </w:p>
        </w:tc>
        <w:tc>
          <w:tcPr>
            <w:tcW w:w="878" w:type="dxa"/>
            <w:shd w:val="clear" w:color="auto" w:fill="auto"/>
          </w:tcPr>
          <w:p w14:paraId="31F72680" w14:textId="77777777" w:rsidR="003E3D07" w:rsidRDefault="003E3D07">
            <w:pPr>
              <w:pStyle w:val="TableText"/>
              <w:rPr>
                <w:b/>
                <w:bCs/>
              </w:rPr>
            </w:pPr>
            <w:r>
              <w:rPr>
                <w:bCs/>
              </w:rPr>
              <w:t>Yes</w:t>
            </w:r>
          </w:p>
        </w:tc>
        <w:tc>
          <w:tcPr>
            <w:tcW w:w="878" w:type="dxa"/>
            <w:shd w:val="clear" w:color="auto" w:fill="auto"/>
          </w:tcPr>
          <w:p w14:paraId="718CC70D" w14:textId="77777777" w:rsidR="003E3D07" w:rsidRDefault="003E3D07">
            <w:pPr>
              <w:pStyle w:val="TableText"/>
              <w:rPr>
                <w:rFonts w:eastAsia="Symbol"/>
                <w:b/>
                <w:bCs/>
              </w:rPr>
            </w:pPr>
            <w:r>
              <w:rPr>
                <w:bCs/>
              </w:rPr>
              <w:t>Yes</w:t>
            </w:r>
          </w:p>
        </w:tc>
        <w:tc>
          <w:tcPr>
            <w:tcW w:w="1253" w:type="dxa"/>
            <w:shd w:val="clear" w:color="auto" w:fill="auto"/>
          </w:tcPr>
          <w:p w14:paraId="40BD33A9" w14:textId="77777777" w:rsidR="003E3D07" w:rsidRDefault="003E3D07">
            <w:pPr>
              <w:pStyle w:val="TableText"/>
              <w:rPr>
                <w:rFonts w:eastAsia="Symbol"/>
              </w:rPr>
            </w:pPr>
            <w:r>
              <w:t>e</w:t>
            </w:r>
          </w:p>
        </w:tc>
        <w:tc>
          <w:tcPr>
            <w:tcW w:w="1253" w:type="dxa"/>
            <w:shd w:val="clear" w:color="auto" w:fill="auto"/>
          </w:tcPr>
          <w:p w14:paraId="3573B0A3" w14:textId="77777777" w:rsidR="003E3D07" w:rsidRDefault="003E3D07">
            <w:pPr>
              <w:pStyle w:val="TableText"/>
              <w:rPr>
                <w:rFonts w:eastAsia="Symbol"/>
              </w:rPr>
            </w:pPr>
            <w:r>
              <w:t>e</w:t>
            </w:r>
          </w:p>
        </w:tc>
        <w:tc>
          <w:tcPr>
            <w:tcW w:w="1296" w:type="dxa"/>
            <w:shd w:val="clear" w:color="auto" w:fill="auto"/>
          </w:tcPr>
          <w:p w14:paraId="324C39AD" w14:textId="77777777" w:rsidR="003E3D07" w:rsidRDefault="003E3D07">
            <w:pPr>
              <w:pStyle w:val="TableText"/>
              <w:rPr>
                <w:rFonts w:eastAsia="Symbol"/>
              </w:rPr>
            </w:pPr>
            <w:r>
              <w:t>2</w:t>
            </w:r>
          </w:p>
        </w:tc>
        <w:tc>
          <w:tcPr>
            <w:tcW w:w="841" w:type="dxa"/>
            <w:shd w:val="clear" w:color="auto" w:fill="auto"/>
          </w:tcPr>
          <w:p w14:paraId="314D813C" w14:textId="77777777" w:rsidR="003E3D07" w:rsidRDefault="003E3D07">
            <w:pPr>
              <w:pStyle w:val="TableText"/>
              <w:rPr>
                <w:rFonts w:eastAsia="Symbol"/>
              </w:rPr>
            </w:pPr>
            <w:r>
              <w:t>AGe</w:t>
            </w:r>
          </w:p>
        </w:tc>
      </w:tr>
      <w:tr w:rsidR="00824338" w14:paraId="582E595A" w14:textId="77777777" w:rsidTr="00031618">
        <w:tblPrEx>
          <w:tblBorders>
            <w:insideH w:val="single" w:sz="4" w:space="0" w:color="auto"/>
            <w:insideV w:val="single" w:sz="4" w:space="0" w:color="auto"/>
          </w:tblBorders>
        </w:tblPrEx>
        <w:tc>
          <w:tcPr>
            <w:tcW w:w="1975" w:type="dxa"/>
            <w:shd w:val="clear" w:color="auto" w:fill="auto"/>
          </w:tcPr>
          <w:p w14:paraId="58A635F8" w14:textId="0EE3CB5C" w:rsidR="007408F1" w:rsidRDefault="003E3D07" w:rsidP="00F358AF">
            <w:pPr>
              <w:pStyle w:val="TableText"/>
              <w:rPr>
                <w:rFonts w:eastAsia="Symbol"/>
              </w:rPr>
            </w:pPr>
            <w:r>
              <w:t>Anti-f</w:t>
            </w:r>
          </w:p>
        </w:tc>
        <w:tc>
          <w:tcPr>
            <w:tcW w:w="1710" w:type="dxa"/>
            <w:shd w:val="clear" w:color="auto" w:fill="auto"/>
          </w:tcPr>
          <w:p w14:paraId="7B71550A" w14:textId="77777777" w:rsidR="003E3D07" w:rsidRDefault="003E3D07">
            <w:pPr>
              <w:pStyle w:val="TableText"/>
              <w:rPr>
                <w:rFonts w:eastAsia="Symbol"/>
              </w:rPr>
            </w:pPr>
            <w:r>
              <w:t>Anti-f</w:t>
            </w:r>
          </w:p>
        </w:tc>
        <w:tc>
          <w:tcPr>
            <w:tcW w:w="878" w:type="dxa"/>
            <w:shd w:val="clear" w:color="auto" w:fill="auto"/>
          </w:tcPr>
          <w:p w14:paraId="45D85AB1" w14:textId="77777777" w:rsidR="003E3D07" w:rsidRDefault="003E3D07">
            <w:pPr>
              <w:pStyle w:val="TableText"/>
              <w:rPr>
                <w:b/>
                <w:bCs/>
              </w:rPr>
            </w:pPr>
            <w:r>
              <w:rPr>
                <w:bCs/>
              </w:rPr>
              <w:t>Yes</w:t>
            </w:r>
          </w:p>
        </w:tc>
        <w:tc>
          <w:tcPr>
            <w:tcW w:w="878" w:type="dxa"/>
            <w:shd w:val="clear" w:color="auto" w:fill="auto"/>
          </w:tcPr>
          <w:p w14:paraId="181C0E19" w14:textId="77777777" w:rsidR="003E3D07" w:rsidRDefault="003E3D07">
            <w:pPr>
              <w:pStyle w:val="TableText"/>
              <w:rPr>
                <w:rFonts w:eastAsia="Symbol"/>
                <w:b/>
                <w:bCs/>
              </w:rPr>
            </w:pPr>
            <w:r>
              <w:rPr>
                <w:bCs/>
              </w:rPr>
              <w:t>Yes</w:t>
            </w:r>
          </w:p>
        </w:tc>
        <w:tc>
          <w:tcPr>
            <w:tcW w:w="1253" w:type="dxa"/>
            <w:shd w:val="clear" w:color="auto" w:fill="auto"/>
          </w:tcPr>
          <w:p w14:paraId="075587BD" w14:textId="0ADA7C08" w:rsidR="003E3D07" w:rsidRDefault="003E3D07">
            <w:pPr>
              <w:pStyle w:val="TableText"/>
              <w:rPr>
                <w:rFonts w:eastAsia="Symbol"/>
              </w:rPr>
            </w:pPr>
            <w:r>
              <w:t>c and e</w:t>
            </w:r>
            <w:r w:rsidR="00F358AF">
              <w:br/>
              <w:t>(only one needs to be negative, neither can be positive)</w:t>
            </w:r>
          </w:p>
        </w:tc>
        <w:tc>
          <w:tcPr>
            <w:tcW w:w="1253" w:type="dxa"/>
            <w:shd w:val="clear" w:color="auto" w:fill="auto"/>
          </w:tcPr>
          <w:p w14:paraId="7745090A" w14:textId="77777777" w:rsidR="003E3D07" w:rsidRDefault="003E3D07">
            <w:pPr>
              <w:pStyle w:val="TableText"/>
              <w:rPr>
                <w:rFonts w:eastAsia="Symbol"/>
              </w:rPr>
            </w:pPr>
            <w:r>
              <w:t>f</w:t>
            </w:r>
          </w:p>
        </w:tc>
        <w:tc>
          <w:tcPr>
            <w:tcW w:w="1296" w:type="dxa"/>
            <w:shd w:val="clear" w:color="auto" w:fill="auto"/>
          </w:tcPr>
          <w:p w14:paraId="2E78CB5B" w14:textId="77777777" w:rsidR="003E3D07" w:rsidRDefault="003E3D07">
            <w:pPr>
              <w:pStyle w:val="TableText"/>
              <w:rPr>
                <w:rFonts w:eastAsia="Symbol"/>
              </w:rPr>
            </w:pPr>
            <w:r>
              <w:t>N/A</w:t>
            </w:r>
          </w:p>
        </w:tc>
        <w:tc>
          <w:tcPr>
            <w:tcW w:w="841" w:type="dxa"/>
            <w:shd w:val="clear" w:color="auto" w:fill="auto"/>
          </w:tcPr>
          <w:p w14:paraId="6B1E2C4F" w14:textId="77777777" w:rsidR="003E3D07" w:rsidRDefault="003E3D07">
            <w:pPr>
              <w:pStyle w:val="TableText"/>
            </w:pPr>
            <w:r>
              <w:t>AGc</w:t>
            </w:r>
          </w:p>
          <w:p w14:paraId="7F96D31F" w14:textId="77777777" w:rsidR="003E3D07" w:rsidRDefault="003E3D07">
            <w:pPr>
              <w:pStyle w:val="TableText"/>
              <w:rPr>
                <w:rFonts w:eastAsia="Symbol"/>
              </w:rPr>
            </w:pPr>
            <w:r>
              <w:t>AGe</w:t>
            </w:r>
          </w:p>
        </w:tc>
      </w:tr>
      <w:tr w:rsidR="00824338" w14:paraId="5A7FA011" w14:textId="77777777" w:rsidTr="00031618">
        <w:tblPrEx>
          <w:tblBorders>
            <w:insideH w:val="single" w:sz="4" w:space="0" w:color="auto"/>
            <w:insideV w:val="single" w:sz="4" w:space="0" w:color="auto"/>
          </w:tblBorders>
        </w:tblPrEx>
        <w:tc>
          <w:tcPr>
            <w:tcW w:w="1975" w:type="dxa"/>
            <w:shd w:val="clear" w:color="auto" w:fill="auto"/>
          </w:tcPr>
          <w:p w14:paraId="0526ACBD" w14:textId="77777777" w:rsidR="003E3D07" w:rsidRDefault="003E3D07">
            <w:pPr>
              <w:pStyle w:val="TableText"/>
              <w:rPr>
                <w:rFonts w:eastAsia="Symbol"/>
              </w:rPr>
            </w:pPr>
            <w:r>
              <w:t>Anti-G</w:t>
            </w:r>
          </w:p>
        </w:tc>
        <w:tc>
          <w:tcPr>
            <w:tcW w:w="1710" w:type="dxa"/>
            <w:shd w:val="clear" w:color="auto" w:fill="auto"/>
          </w:tcPr>
          <w:p w14:paraId="37BD765F" w14:textId="77777777" w:rsidR="003E3D07" w:rsidRDefault="003E3D07">
            <w:pPr>
              <w:pStyle w:val="TableText"/>
              <w:rPr>
                <w:rFonts w:eastAsia="Symbol"/>
              </w:rPr>
            </w:pPr>
            <w:r>
              <w:t>Anti-G</w:t>
            </w:r>
          </w:p>
        </w:tc>
        <w:tc>
          <w:tcPr>
            <w:tcW w:w="878" w:type="dxa"/>
            <w:shd w:val="clear" w:color="auto" w:fill="auto"/>
          </w:tcPr>
          <w:p w14:paraId="7A72FEB0" w14:textId="77777777" w:rsidR="003E3D07" w:rsidRDefault="003E3D07">
            <w:pPr>
              <w:pStyle w:val="TableText"/>
              <w:rPr>
                <w:b/>
                <w:bCs/>
              </w:rPr>
            </w:pPr>
            <w:r>
              <w:rPr>
                <w:bCs/>
              </w:rPr>
              <w:t>Yes</w:t>
            </w:r>
          </w:p>
        </w:tc>
        <w:tc>
          <w:tcPr>
            <w:tcW w:w="878" w:type="dxa"/>
            <w:shd w:val="clear" w:color="auto" w:fill="auto"/>
          </w:tcPr>
          <w:p w14:paraId="28A1A086" w14:textId="77777777" w:rsidR="003E3D07" w:rsidRDefault="003E3D07">
            <w:pPr>
              <w:pStyle w:val="TableText"/>
              <w:rPr>
                <w:rFonts w:eastAsia="Symbol"/>
                <w:b/>
                <w:bCs/>
              </w:rPr>
            </w:pPr>
            <w:r>
              <w:rPr>
                <w:bCs/>
              </w:rPr>
              <w:t>Yes</w:t>
            </w:r>
          </w:p>
        </w:tc>
        <w:tc>
          <w:tcPr>
            <w:tcW w:w="1253" w:type="dxa"/>
            <w:shd w:val="clear" w:color="auto" w:fill="auto"/>
          </w:tcPr>
          <w:p w14:paraId="5B97EE73" w14:textId="77777777" w:rsidR="003E3D07" w:rsidRDefault="003E3D07">
            <w:pPr>
              <w:pStyle w:val="TableText"/>
              <w:rPr>
                <w:rFonts w:eastAsia="Symbol"/>
              </w:rPr>
            </w:pPr>
            <w:r>
              <w:rPr>
                <w:rFonts w:eastAsia="Symbol"/>
              </w:rPr>
              <w:t>C and D</w:t>
            </w:r>
          </w:p>
        </w:tc>
        <w:tc>
          <w:tcPr>
            <w:tcW w:w="1253" w:type="dxa"/>
            <w:shd w:val="clear" w:color="auto" w:fill="auto"/>
          </w:tcPr>
          <w:p w14:paraId="6EA38D56" w14:textId="77777777" w:rsidR="003E3D07" w:rsidRDefault="003E3D07">
            <w:pPr>
              <w:pStyle w:val="TableText"/>
              <w:rPr>
                <w:rFonts w:eastAsia="Symbol"/>
              </w:rPr>
            </w:pPr>
            <w:r>
              <w:t>G</w:t>
            </w:r>
          </w:p>
        </w:tc>
        <w:tc>
          <w:tcPr>
            <w:tcW w:w="1296" w:type="dxa"/>
            <w:shd w:val="clear" w:color="auto" w:fill="auto"/>
          </w:tcPr>
          <w:p w14:paraId="13721B19" w14:textId="77777777" w:rsidR="003E3D07" w:rsidRDefault="003E3D07">
            <w:pPr>
              <w:pStyle w:val="TableText"/>
              <w:rPr>
                <w:rFonts w:eastAsia="Symbol"/>
              </w:rPr>
            </w:pPr>
            <w:r>
              <w:t>N/A</w:t>
            </w:r>
          </w:p>
        </w:tc>
        <w:tc>
          <w:tcPr>
            <w:tcW w:w="841" w:type="dxa"/>
            <w:shd w:val="clear" w:color="auto" w:fill="auto"/>
          </w:tcPr>
          <w:p w14:paraId="1B86557E" w14:textId="77777777" w:rsidR="003E3D07" w:rsidRDefault="003E3D07">
            <w:pPr>
              <w:pStyle w:val="TableText"/>
            </w:pPr>
            <w:r>
              <w:t>AGD</w:t>
            </w:r>
          </w:p>
          <w:p w14:paraId="0B8A7A39" w14:textId="77777777" w:rsidR="003E3D07" w:rsidRDefault="003E3D07">
            <w:pPr>
              <w:pStyle w:val="TableText"/>
              <w:rPr>
                <w:rFonts w:eastAsia="Symbol"/>
              </w:rPr>
            </w:pPr>
            <w:r>
              <w:t>AGC</w:t>
            </w:r>
          </w:p>
        </w:tc>
      </w:tr>
      <w:tr w:rsidR="00824338" w14:paraId="15659884" w14:textId="77777777" w:rsidTr="00031618">
        <w:tblPrEx>
          <w:tblBorders>
            <w:insideH w:val="single" w:sz="4" w:space="0" w:color="auto"/>
            <w:insideV w:val="single" w:sz="4" w:space="0" w:color="auto"/>
          </w:tblBorders>
        </w:tblPrEx>
        <w:tc>
          <w:tcPr>
            <w:tcW w:w="1975" w:type="dxa"/>
            <w:shd w:val="clear" w:color="auto" w:fill="auto"/>
          </w:tcPr>
          <w:p w14:paraId="6D2C9154" w14:textId="77777777" w:rsidR="003E3D07" w:rsidRDefault="003E3D07">
            <w:pPr>
              <w:pStyle w:val="TableText"/>
              <w:rPr>
                <w:rFonts w:eastAsia="Symbol"/>
              </w:rPr>
            </w:pPr>
            <w:r>
              <w:t>Anti-K</w:t>
            </w:r>
          </w:p>
        </w:tc>
        <w:tc>
          <w:tcPr>
            <w:tcW w:w="1710" w:type="dxa"/>
            <w:shd w:val="clear" w:color="auto" w:fill="auto"/>
          </w:tcPr>
          <w:p w14:paraId="61D02598" w14:textId="77777777" w:rsidR="003E3D07" w:rsidRDefault="003E3D07">
            <w:pPr>
              <w:pStyle w:val="TableText"/>
              <w:rPr>
                <w:b/>
                <w:bCs/>
              </w:rPr>
            </w:pPr>
            <w:r>
              <w:t>Anti-K</w:t>
            </w:r>
          </w:p>
        </w:tc>
        <w:tc>
          <w:tcPr>
            <w:tcW w:w="878" w:type="dxa"/>
            <w:shd w:val="clear" w:color="auto" w:fill="auto"/>
          </w:tcPr>
          <w:p w14:paraId="093F2F95" w14:textId="77777777" w:rsidR="003E3D07" w:rsidRDefault="003E3D07">
            <w:pPr>
              <w:pStyle w:val="TableText"/>
              <w:rPr>
                <w:b/>
                <w:bCs/>
              </w:rPr>
            </w:pPr>
            <w:r>
              <w:rPr>
                <w:bCs/>
              </w:rPr>
              <w:t>Yes</w:t>
            </w:r>
          </w:p>
        </w:tc>
        <w:tc>
          <w:tcPr>
            <w:tcW w:w="878" w:type="dxa"/>
            <w:shd w:val="clear" w:color="auto" w:fill="auto"/>
          </w:tcPr>
          <w:p w14:paraId="5811282A" w14:textId="77777777" w:rsidR="003E3D07" w:rsidRDefault="003E3D07">
            <w:pPr>
              <w:pStyle w:val="TableText"/>
              <w:rPr>
                <w:rFonts w:eastAsia="Symbol"/>
                <w:b/>
                <w:bCs/>
              </w:rPr>
            </w:pPr>
            <w:r>
              <w:rPr>
                <w:bCs/>
              </w:rPr>
              <w:t>Yes</w:t>
            </w:r>
          </w:p>
        </w:tc>
        <w:tc>
          <w:tcPr>
            <w:tcW w:w="1253" w:type="dxa"/>
            <w:shd w:val="clear" w:color="auto" w:fill="auto"/>
          </w:tcPr>
          <w:p w14:paraId="253EC693" w14:textId="77777777" w:rsidR="003E3D07" w:rsidRDefault="003E3D07">
            <w:pPr>
              <w:pStyle w:val="TableText"/>
              <w:rPr>
                <w:rFonts w:eastAsia="Symbol"/>
              </w:rPr>
            </w:pPr>
            <w:r>
              <w:t>K</w:t>
            </w:r>
          </w:p>
        </w:tc>
        <w:tc>
          <w:tcPr>
            <w:tcW w:w="1253" w:type="dxa"/>
            <w:shd w:val="clear" w:color="auto" w:fill="auto"/>
          </w:tcPr>
          <w:p w14:paraId="7454BDC8" w14:textId="77777777" w:rsidR="003E3D07" w:rsidRDefault="003E3D07">
            <w:pPr>
              <w:pStyle w:val="TableText"/>
            </w:pPr>
            <w:r>
              <w:t>K</w:t>
            </w:r>
          </w:p>
        </w:tc>
        <w:tc>
          <w:tcPr>
            <w:tcW w:w="1296" w:type="dxa"/>
            <w:shd w:val="clear" w:color="auto" w:fill="auto"/>
          </w:tcPr>
          <w:p w14:paraId="72018D53" w14:textId="77777777" w:rsidR="003E3D07" w:rsidRDefault="003E3D07">
            <w:pPr>
              <w:pStyle w:val="TableText"/>
              <w:rPr>
                <w:rFonts w:eastAsia="Symbol"/>
              </w:rPr>
            </w:pPr>
            <w:r>
              <w:t>91</w:t>
            </w:r>
          </w:p>
        </w:tc>
        <w:tc>
          <w:tcPr>
            <w:tcW w:w="841" w:type="dxa"/>
            <w:shd w:val="clear" w:color="auto" w:fill="auto"/>
          </w:tcPr>
          <w:p w14:paraId="4097AA1B" w14:textId="77777777" w:rsidR="003E3D07" w:rsidRDefault="003E3D07">
            <w:pPr>
              <w:pStyle w:val="TableText"/>
              <w:rPr>
                <w:rFonts w:eastAsia="Symbol"/>
              </w:rPr>
            </w:pPr>
            <w:r>
              <w:t>AGK</w:t>
            </w:r>
          </w:p>
        </w:tc>
      </w:tr>
      <w:tr w:rsidR="00824338" w14:paraId="5AF96BC2" w14:textId="77777777" w:rsidTr="00031618">
        <w:tblPrEx>
          <w:tblBorders>
            <w:insideH w:val="single" w:sz="4" w:space="0" w:color="auto"/>
            <w:insideV w:val="single" w:sz="4" w:space="0" w:color="auto"/>
          </w:tblBorders>
        </w:tblPrEx>
        <w:tc>
          <w:tcPr>
            <w:tcW w:w="1975" w:type="dxa"/>
            <w:shd w:val="clear" w:color="auto" w:fill="auto"/>
          </w:tcPr>
          <w:p w14:paraId="7598B719" w14:textId="77777777" w:rsidR="003E3D07" w:rsidRDefault="003E3D07">
            <w:pPr>
              <w:pStyle w:val="TableText"/>
              <w:rPr>
                <w:rFonts w:eastAsia="Symbol"/>
              </w:rPr>
            </w:pPr>
            <w:r>
              <w:t>Anti-k</w:t>
            </w:r>
          </w:p>
        </w:tc>
        <w:tc>
          <w:tcPr>
            <w:tcW w:w="1710" w:type="dxa"/>
            <w:shd w:val="clear" w:color="auto" w:fill="auto"/>
          </w:tcPr>
          <w:p w14:paraId="7EB52E4B" w14:textId="77777777" w:rsidR="003E3D07" w:rsidRDefault="003E3D07">
            <w:pPr>
              <w:pStyle w:val="TableText"/>
              <w:rPr>
                <w:rFonts w:eastAsia="Symbol"/>
              </w:rPr>
            </w:pPr>
            <w:r>
              <w:t>Anti-k</w:t>
            </w:r>
          </w:p>
        </w:tc>
        <w:tc>
          <w:tcPr>
            <w:tcW w:w="878" w:type="dxa"/>
            <w:shd w:val="clear" w:color="auto" w:fill="auto"/>
          </w:tcPr>
          <w:p w14:paraId="07BDE8F6" w14:textId="77777777" w:rsidR="003E3D07" w:rsidRDefault="003E3D07">
            <w:pPr>
              <w:pStyle w:val="TableText"/>
              <w:rPr>
                <w:b/>
                <w:bCs/>
              </w:rPr>
            </w:pPr>
            <w:r>
              <w:rPr>
                <w:bCs/>
              </w:rPr>
              <w:t>Yes</w:t>
            </w:r>
          </w:p>
        </w:tc>
        <w:tc>
          <w:tcPr>
            <w:tcW w:w="878" w:type="dxa"/>
            <w:shd w:val="clear" w:color="auto" w:fill="auto"/>
          </w:tcPr>
          <w:p w14:paraId="1B9EE6A2" w14:textId="77777777" w:rsidR="003E3D07" w:rsidRDefault="003E3D07">
            <w:pPr>
              <w:pStyle w:val="TableText"/>
              <w:rPr>
                <w:rFonts w:eastAsia="Symbol"/>
                <w:b/>
                <w:bCs/>
              </w:rPr>
            </w:pPr>
            <w:r>
              <w:rPr>
                <w:bCs/>
              </w:rPr>
              <w:t>Yes</w:t>
            </w:r>
          </w:p>
        </w:tc>
        <w:tc>
          <w:tcPr>
            <w:tcW w:w="1253" w:type="dxa"/>
            <w:shd w:val="clear" w:color="auto" w:fill="auto"/>
          </w:tcPr>
          <w:p w14:paraId="3A029058" w14:textId="77777777" w:rsidR="003E3D07" w:rsidRDefault="003E3D07">
            <w:pPr>
              <w:pStyle w:val="TableText"/>
              <w:rPr>
                <w:rFonts w:eastAsia="Symbol"/>
              </w:rPr>
            </w:pPr>
            <w:r>
              <w:t>k</w:t>
            </w:r>
          </w:p>
        </w:tc>
        <w:tc>
          <w:tcPr>
            <w:tcW w:w="1253" w:type="dxa"/>
            <w:shd w:val="clear" w:color="auto" w:fill="auto"/>
          </w:tcPr>
          <w:p w14:paraId="0F68625A" w14:textId="77777777" w:rsidR="003E3D07" w:rsidRDefault="003E3D07">
            <w:pPr>
              <w:pStyle w:val="TableText"/>
              <w:rPr>
                <w:rFonts w:eastAsia="Symbol"/>
              </w:rPr>
            </w:pPr>
            <w:r>
              <w:t>k</w:t>
            </w:r>
          </w:p>
        </w:tc>
        <w:tc>
          <w:tcPr>
            <w:tcW w:w="1296" w:type="dxa"/>
            <w:shd w:val="clear" w:color="auto" w:fill="auto"/>
          </w:tcPr>
          <w:p w14:paraId="3291DD21" w14:textId="77777777" w:rsidR="003E3D07" w:rsidRDefault="003E3D07">
            <w:pPr>
              <w:pStyle w:val="TableText"/>
              <w:rPr>
                <w:rFonts w:eastAsia="Symbol"/>
              </w:rPr>
            </w:pPr>
            <w:r>
              <w:t>1</w:t>
            </w:r>
          </w:p>
        </w:tc>
        <w:tc>
          <w:tcPr>
            <w:tcW w:w="841" w:type="dxa"/>
            <w:shd w:val="clear" w:color="auto" w:fill="auto"/>
          </w:tcPr>
          <w:p w14:paraId="20DD0AF0" w14:textId="77777777" w:rsidR="003E3D07" w:rsidRDefault="003E3D07">
            <w:pPr>
              <w:pStyle w:val="TableText"/>
              <w:rPr>
                <w:rFonts w:eastAsia="Symbol"/>
              </w:rPr>
            </w:pPr>
            <w:r>
              <w:t>AGk</w:t>
            </w:r>
          </w:p>
        </w:tc>
      </w:tr>
      <w:tr w:rsidR="00824338" w14:paraId="657F0CEC" w14:textId="77777777" w:rsidTr="00031618">
        <w:tblPrEx>
          <w:tblBorders>
            <w:insideH w:val="single" w:sz="4" w:space="0" w:color="auto"/>
            <w:insideV w:val="single" w:sz="4" w:space="0" w:color="auto"/>
          </w:tblBorders>
        </w:tblPrEx>
        <w:tc>
          <w:tcPr>
            <w:tcW w:w="1975" w:type="dxa"/>
            <w:shd w:val="clear" w:color="auto" w:fill="auto"/>
          </w:tcPr>
          <w:p w14:paraId="2DA7D1C3" w14:textId="77777777" w:rsidR="003E3D07" w:rsidRDefault="003E3D07">
            <w:pPr>
              <w:pStyle w:val="TableText"/>
              <w:rPr>
                <w:rFonts w:eastAsia="Symbol"/>
              </w:rPr>
            </w:pPr>
            <w:r>
              <w:t xml:space="preserve">Anti-Kp(a) </w:t>
            </w:r>
          </w:p>
        </w:tc>
        <w:tc>
          <w:tcPr>
            <w:tcW w:w="1710" w:type="dxa"/>
            <w:shd w:val="clear" w:color="auto" w:fill="auto"/>
          </w:tcPr>
          <w:p w14:paraId="1A26E8FA" w14:textId="77777777" w:rsidR="003E3D07" w:rsidRDefault="003E3D07">
            <w:pPr>
              <w:pStyle w:val="TableText"/>
              <w:rPr>
                <w:rFonts w:eastAsia="Symbol"/>
              </w:rPr>
            </w:pPr>
            <w:r>
              <w:t>Anti-Kp(a)</w:t>
            </w:r>
          </w:p>
        </w:tc>
        <w:tc>
          <w:tcPr>
            <w:tcW w:w="878" w:type="dxa"/>
            <w:shd w:val="clear" w:color="auto" w:fill="auto"/>
          </w:tcPr>
          <w:p w14:paraId="61C48F11" w14:textId="77777777" w:rsidR="003E3D07" w:rsidRDefault="003E3D07">
            <w:pPr>
              <w:pStyle w:val="TableText"/>
              <w:rPr>
                <w:b/>
                <w:bCs/>
              </w:rPr>
            </w:pPr>
            <w:r>
              <w:rPr>
                <w:bCs/>
              </w:rPr>
              <w:t>Yes</w:t>
            </w:r>
          </w:p>
        </w:tc>
        <w:tc>
          <w:tcPr>
            <w:tcW w:w="878" w:type="dxa"/>
            <w:shd w:val="clear" w:color="auto" w:fill="auto"/>
          </w:tcPr>
          <w:p w14:paraId="4CB16D9F" w14:textId="77777777" w:rsidR="003E3D07" w:rsidRDefault="003E3D07">
            <w:pPr>
              <w:pStyle w:val="TableText"/>
              <w:rPr>
                <w:rFonts w:eastAsia="Symbol"/>
              </w:rPr>
            </w:pPr>
            <w:r>
              <w:t>Optional</w:t>
            </w:r>
          </w:p>
        </w:tc>
        <w:tc>
          <w:tcPr>
            <w:tcW w:w="1253" w:type="dxa"/>
            <w:shd w:val="clear" w:color="auto" w:fill="auto"/>
          </w:tcPr>
          <w:p w14:paraId="4DC73C8F" w14:textId="77777777" w:rsidR="003E3D07" w:rsidRDefault="003E3D07">
            <w:pPr>
              <w:pStyle w:val="TableText"/>
              <w:rPr>
                <w:rFonts w:eastAsia="Symbol"/>
              </w:rPr>
            </w:pPr>
            <w:r>
              <w:t>Kp(a)</w:t>
            </w:r>
          </w:p>
        </w:tc>
        <w:tc>
          <w:tcPr>
            <w:tcW w:w="1253" w:type="dxa"/>
            <w:shd w:val="clear" w:color="auto" w:fill="auto"/>
          </w:tcPr>
          <w:p w14:paraId="6F6B24F2" w14:textId="77777777" w:rsidR="003E3D07" w:rsidRDefault="003E3D07">
            <w:pPr>
              <w:pStyle w:val="TableText"/>
              <w:rPr>
                <w:rFonts w:eastAsia="Symbol"/>
              </w:rPr>
            </w:pPr>
            <w:r>
              <w:t>Kp(a)</w:t>
            </w:r>
          </w:p>
        </w:tc>
        <w:tc>
          <w:tcPr>
            <w:tcW w:w="1296" w:type="dxa"/>
            <w:shd w:val="clear" w:color="auto" w:fill="auto"/>
          </w:tcPr>
          <w:p w14:paraId="7C754070" w14:textId="77777777" w:rsidR="003E3D07" w:rsidRDefault="003E3D07">
            <w:pPr>
              <w:pStyle w:val="TableText"/>
              <w:rPr>
                <w:rFonts w:eastAsia="Symbol"/>
              </w:rPr>
            </w:pPr>
            <w:r>
              <w:t>98</w:t>
            </w:r>
          </w:p>
        </w:tc>
        <w:tc>
          <w:tcPr>
            <w:tcW w:w="841" w:type="dxa"/>
            <w:shd w:val="clear" w:color="auto" w:fill="auto"/>
          </w:tcPr>
          <w:p w14:paraId="3935F183" w14:textId="77777777" w:rsidR="003E3D07" w:rsidRDefault="003E3D07">
            <w:pPr>
              <w:pStyle w:val="TableText"/>
              <w:rPr>
                <w:rFonts w:eastAsia="Symbol"/>
              </w:rPr>
            </w:pPr>
            <w:r>
              <w:t xml:space="preserve">AGKp(a) </w:t>
            </w:r>
          </w:p>
        </w:tc>
      </w:tr>
      <w:tr w:rsidR="00824338" w14:paraId="45858648" w14:textId="77777777" w:rsidTr="00031618">
        <w:tblPrEx>
          <w:tblBorders>
            <w:insideH w:val="single" w:sz="4" w:space="0" w:color="auto"/>
            <w:insideV w:val="single" w:sz="4" w:space="0" w:color="auto"/>
          </w:tblBorders>
        </w:tblPrEx>
        <w:tc>
          <w:tcPr>
            <w:tcW w:w="1975" w:type="dxa"/>
            <w:shd w:val="clear" w:color="auto" w:fill="auto"/>
          </w:tcPr>
          <w:p w14:paraId="561FADDF" w14:textId="77777777" w:rsidR="003E3D07" w:rsidRDefault="003E3D07">
            <w:pPr>
              <w:pStyle w:val="TableText"/>
              <w:rPr>
                <w:rFonts w:eastAsia="Symbol"/>
              </w:rPr>
            </w:pPr>
            <w:r>
              <w:t>Anti-Kp(b)</w:t>
            </w:r>
          </w:p>
        </w:tc>
        <w:tc>
          <w:tcPr>
            <w:tcW w:w="1710" w:type="dxa"/>
            <w:shd w:val="clear" w:color="auto" w:fill="auto"/>
          </w:tcPr>
          <w:p w14:paraId="185E32AF" w14:textId="77777777" w:rsidR="003E3D07" w:rsidRDefault="003E3D07">
            <w:pPr>
              <w:pStyle w:val="TableText"/>
              <w:rPr>
                <w:rFonts w:eastAsia="Symbol"/>
              </w:rPr>
            </w:pPr>
            <w:r>
              <w:t>Anti-Kp(b)</w:t>
            </w:r>
          </w:p>
        </w:tc>
        <w:tc>
          <w:tcPr>
            <w:tcW w:w="878" w:type="dxa"/>
            <w:shd w:val="clear" w:color="auto" w:fill="auto"/>
          </w:tcPr>
          <w:p w14:paraId="70CB21E9" w14:textId="77777777" w:rsidR="003E3D07" w:rsidRDefault="003E3D07">
            <w:pPr>
              <w:pStyle w:val="TableText"/>
              <w:rPr>
                <w:b/>
                <w:bCs/>
              </w:rPr>
            </w:pPr>
            <w:r>
              <w:rPr>
                <w:bCs/>
              </w:rPr>
              <w:t>Yes</w:t>
            </w:r>
          </w:p>
        </w:tc>
        <w:tc>
          <w:tcPr>
            <w:tcW w:w="878" w:type="dxa"/>
            <w:shd w:val="clear" w:color="auto" w:fill="auto"/>
          </w:tcPr>
          <w:p w14:paraId="3BE0ECA5" w14:textId="77777777" w:rsidR="003E3D07" w:rsidRDefault="003E3D07">
            <w:pPr>
              <w:pStyle w:val="TableText"/>
              <w:rPr>
                <w:rFonts w:eastAsia="Symbol"/>
              </w:rPr>
            </w:pPr>
            <w:r>
              <w:t>Optional</w:t>
            </w:r>
          </w:p>
        </w:tc>
        <w:tc>
          <w:tcPr>
            <w:tcW w:w="1253" w:type="dxa"/>
            <w:shd w:val="clear" w:color="auto" w:fill="auto"/>
          </w:tcPr>
          <w:p w14:paraId="3EE3394D" w14:textId="77777777" w:rsidR="003E3D07" w:rsidRDefault="003E3D07">
            <w:pPr>
              <w:pStyle w:val="TableText"/>
              <w:rPr>
                <w:rFonts w:eastAsia="Symbol"/>
              </w:rPr>
            </w:pPr>
            <w:r>
              <w:t>Kp(b)</w:t>
            </w:r>
          </w:p>
        </w:tc>
        <w:tc>
          <w:tcPr>
            <w:tcW w:w="1253" w:type="dxa"/>
            <w:shd w:val="clear" w:color="auto" w:fill="auto"/>
          </w:tcPr>
          <w:p w14:paraId="2E1A2421" w14:textId="77777777" w:rsidR="003E3D07" w:rsidRDefault="003E3D07">
            <w:pPr>
              <w:pStyle w:val="TableText"/>
              <w:rPr>
                <w:rFonts w:eastAsia="Symbol"/>
              </w:rPr>
            </w:pPr>
            <w:r>
              <w:t>Kp(b)</w:t>
            </w:r>
          </w:p>
        </w:tc>
        <w:tc>
          <w:tcPr>
            <w:tcW w:w="1296" w:type="dxa"/>
            <w:shd w:val="clear" w:color="auto" w:fill="auto"/>
          </w:tcPr>
          <w:p w14:paraId="3BE8C1B5" w14:textId="77777777" w:rsidR="003E3D07" w:rsidRDefault="003E3D07">
            <w:pPr>
              <w:pStyle w:val="TableText"/>
              <w:rPr>
                <w:rFonts w:eastAsia="Symbol"/>
              </w:rPr>
            </w:pPr>
            <w:r>
              <w:t>2</w:t>
            </w:r>
          </w:p>
        </w:tc>
        <w:tc>
          <w:tcPr>
            <w:tcW w:w="841" w:type="dxa"/>
            <w:shd w:val="clear" w:color="auto" w:fill="auto"/>
          </w:tcPr>
          <w:p w14:paraId="6B5C0DAD" w14:textId="77777777" w:rsidR="003E3D07" w:rsidRDefault="003E3D07">
            <w:pPr>
              <w:pStyle w:val="TableText"/>
              <w:rPr>
                <w:rFonts w:eastAsia="Symbol"/>
              </w:rPr>
            </w:pPr>
            <w:r>
              <w:t>AGKp(b)</w:t>
            </w:r>
          </w:p>
        </w:tc>
      </w:tr>
      <w:tr w:rsidR="00824338" w14:paraId="40995D3F" w14:textId="77777777" w:rsidTr="00031618">
        <w:tblPrEx>
          <w:tblBorders>
            <w:insideH w:val="single" w:sz="4" w:space="0" w:color="auto"/>
            <w:insideV w:val="single" w:sz="4" w:space="0" w:color="auto"/>
          </w:tblBorders>
        </w:tblPrEx>
        <w:tc>
          <w:tcPr>
            <w:tcW w:w="1975" w:type="dxa"/>
            <w:shd w:val="clear" w:color="auto" w:fill="auto"/>
          </w:tcPr>
          <w:p w14:paraId="2E7D494E" w14:textId="77777777" w:rsidR="003E3D07" w:rsidRDefault="003E3D07">
            <w:pPr>
              <w:pStyle w:val="TableText"/>
              <w:rPr>
                <w:rFonts w:eastAsia="Symbol"/>
              </w:rPr>
            </w:pPr>
            <w:r>
              <w:t>Anti-Jk(a)</w:t>
            </w:r>
          </w:p>
        </w:tc>
        <w:tc>
          <w:tcPr>
            <w:tcW w:w="1710" w:type="dxa"/>
            <w:shd w:val="clear" w:color="auto" w:fill="auto"/>
          </w:tcPr>
          <w:p w14:paraId="17720450" w14:textId="77777777" w:rsidR="003E3D07" w:rsidRDefault="003E3D07">
            <w:pPr>
              <w:pStyle w:val="TableText"/>
              <w:rPr>
                <w:rFonts w:eastAsia="Symbol"/>
              </w:rPr>
            </w:pPr>
            <w:r>
              <w:t>Anti-Jk(a)</w:t>
            </w:r>
          </w:p>
        </w:tc>
        <w:tc>
          <w:tcPr>
            <w:tcW w:w="878" w:type="dxa"/>
            <w:shd w:val="clear" w:color="auto" w:fill="auto"/>
          </w:tcPr>
          <w:p w14:paraId="0C1C35C6" w14:textId="77777777" w:rsidR="003E3D07" w:rsidRDefault="003E3D07">
            <w:pPr>
              <w:pStyle w:val="TableText"/>
              <w:rPr>
                <w:b/>
                <w:bCs/>
              </w:rPr>
            </w:pPr>
            <w:r>
              <w:rPr>
                <w:bCs/>
              </w:rPr>
              <w:t>Yes</w:t>
            </w:r>
          </w:p>
        </w:tc>
        <w:tc>
          <w:tcPr>
            <w:tcW w:w="878" w:type="dxa"/>
            <w:shd w:val="clear" w:color="auto" w:fill="auto"/>
          </w:tcPr>
          <w:p w14:paraId="3147B610" w14:textId="77777777" w:rsidR="003E3D07" w:rsidRDefault="003E3D07">
            <w:pPr>
              <w:pStyle w:val="TableText"/>
              <w:rPr>
                <w:rFonts w:eastAsia="Symbol"/>
                <w:b/>
                <w:bCs/>
              </w:rPr>
            </w:pPr>
            <w:r>
              <w:rPr>
                <w:bCs/>
              </w:rPr>
              <w:t>Yes</w:t>
            </w:r>
          </w:p>
        </w:tc>
        <w:tc>
          <w:tcPr>
            <w:tcW w:w="1253" w:type="dxa"/>
            <w:shd w:val="clear" w:color="auto" w:fill="auto"/>
          </w:tcPr>
          <w:p w14:paraId="27204214" w14:textId="77777777" w:rsidR="003E3D07" w:rsidRDefault="003E3D07">
            <w:pPr>
              <w:pStyle w:val="TableText"/>
              <w:rPr>
                <w:rFonts w:eastAsia="Symbol"/>
              </w:rPr>
            </w:pPr>
            <w:r>
              <w:t>Jk(a)</w:t>
            </w:r>
          </w:p>
        </w:tc>
        <w:tc>
          <w:tcPr>
            <w:tcW w:w="1253" w:type="dxa"/>
            <w:shd w:val="clear" w:color="auto" w:fill="auto"/>
          </w:tcPr>
          <w:p w14:paraId="1B93D0EF" w14:textId="77777777" w:rsidR="003E3D07" w:rsidRDefault="003E3D07">
            <w:pPr>
              <w:pStyle w:val="TableText"/>
              <w:rPr>
                <w:rFonts w:eastAsia="Symbol"/>
              </w:rPr>
            </w:pPr>
            <w:r>
              <w:t>Jk(a)</w:t>
            </w:r>
          </w:p>
        </w:tc>
        <w:tc>
          <w:tcPr>
            <w:tcW w:w="1296" w:type="dxa"/>
            <w:shd w:val="clear" w:color="auto" w:fill="auto"/>
          </w:tcPr>
          <w:p w14:paraId="10C3283C" w14:textId="77777777" w:rsidR="003E3D07" w:rsidRDefault="003E3D07">
            <w:pPr>
              <w:pStyle w:val="TableText"/>
              <w:rPr>
                <w:rFonts w:eastAsia="Symbol"/>
              </w:rPr>
            </w:pPr>
            <w:r>
              <w:t>15</w:t>
            </w:r>
          </w:p>
        </w:tc>
        <w:tc>
          <w:tcPr>
            <w:tcW w:w="841" w:type="dxa"/>
            <w:shd w:val="clear" w:color="auto" w:fill="auto"/>
          </w:tcPr>
          <w:p w14:paraId="29EB3D3F" w14:textId="77777777" w:rsidR="003E3D07" w:rsidRDefault="003E3D07">
            <w:pPr>
              <w:pStyle w:val="TableText"/>
              <w:rPr>
                <w:rFonts w:eastAsia="Symbol"/>
              </w:rPr>
            </w:pPr>
            <w:r>
              <w:t>AGJk(a)</w:t>
            </w:r>
          </w:p>
        </w:tc>
      </w:tr>
      <w:tr w:rsidR="00824338" w14:paraId="7EACA7DF" w14:textId="77777777" w:rsidTr="00031618">
        <w:tblPrEx>
          <w:tblBorders>
            <w:insideH w:val="single" w:sz="4" w:space="0" w:color="auto"/>
            <w:insideV w:val="single" w:sz="4" w:space="0" w:color="auto"/>
          </w:tblBorders>
        </w:tblPrEx>
        <w:tc>
          <w:tcPr>
            <w:tcW w:w="1975" w:type="dxa"/>
            <w:shd w:val="clear" w:color="auto" w:fill="auto"/>
          </w:tcPr>
          <w:p w14:paraId="569B1F0A" w14:textId="77777777" w:rsidR="003E3D07" w:rsidRDefault="003E3D07">
            <w:pPr>
              <w:pStyle w:val="TableText"/>
              <w:rPr>
                <w:rFonts w:eastAsia="Symbol"/>
              </w:rPr>
            </w:pPr>
            <w:r>
              <w:t>Anti-Jk(b)</w:t>
            </w:r>
          </w:p>
        </w:tc>
        <w:tc>
          <w:tcPr>
            <w:tcW w:w="1710" w:type="dxa"/>
            <w:shd w:val="clear" w:color="auto" w:fill="auto"/>
          </w:tcPr>
          <w:p w14:paraId="1802A4B7" w14:textId="77777777" w:rsidR="003E3D07" w:rsidRDefault="003E3D07">
            <w:pPr>
              <w:pStyle w:val="TableText"/>
              <w:rPr>
                <w:rFonts w:eastAsia="Symbol"/>
              </w:rPr>
            </w:pPr>
            <w:r>
              <w:t>Anti-Jk(b)</w:t>
            </w:r>
          </w:p>
        </w:tc>
        <w:tc>
          <w:tcPr>
            <w:tcW w:w="878" w:type="dxa"/>
            <w:shd w:val="clear" w:color="auto" w:fill="auto"/>
          </w:tcPr>
          <w:p w14:paraId="3875D167" w14:textId="77777777" w:rsidR="003E3D07" w:rsidRDefault="003E3D07">
            <w:pPr>
              <w:pStyle w:val="TableText"/>
              <w:rPr>
                <w:b/>
                <w:bCs/>
              </w:rPr>
            </w:pPr>
            <w:r>
              <w:rPr>
                <w:bCs/>
              </w:rPr>
              <w:t>Yes</w:t>
            </w:r>
          </w:p>
        </w:tc>
        <w:tc>
          <w:tcPr>
            <w:tcW w:w="878" w:type="dxa"/>
            <w:shd w:val="clear" w:color="auto" w:fill="auto"/>
          </w:tcPr>
          <w:p w14:paraId="1AEF3CDA" w14:textId="77777777" w:rsidR="003E3D07" w:rsidRDefault="003E3D07">
            <w:pPr>
              <w:pStyle w:val="TableText"/>
              <w:rPr>
                <w:rFonts w:eastAsia="Symbol"/>
                <w:b/>
                <w:bCs/>
              </w:rPr>
            </w:pPr>
            <w:r>
              <w:rPr>
                <w:bCs/>
              </w:rPr>
              <w:t>Yes</w:t>
            </w:r>
          </w:p>
        </w:tc>
        <w:tc>
          <w:tcPr>
            <w:tcW w:w="1253" w:type="dxa"/>
            <w:shd w:val="clear" w:color="auto" w:fill="auto"/>
          </w:tcPr>
          <w:p w14:paraId="66FE4844" w14:textId="77777777" w:rsidR="003E3D07" w:rsidRDefault="003E3D07">
            <w:pPr>
              <w:pStyle w:val="TableText"/>
              <w:rPr>
                <w:rFonts w:eastAsia="Symbol"/>
              </w:rPr>
            </w:pPr>
            <w:r>
              <w:t>Jk(b)</w:t>
            </w:r>
          </w:p>
        </w:tc>
        <w:tc>
          <w:tcPr>
            <w:tcW w:w="1253" w:type="dxa"/>
            <w:shd w:val="clear" w:color="auto" w:fill="auto"/>
          </w:tcPr>
          <w:p w14:paraId="44274713" w14:textId="77777777" w:rsidR="003E3D07" w:rsidRDefault="003E3D07">
            <w:pPr>
              <w:pStyle w:val="TableText"/>
              <w:rPr>
                <w:rFonts w:eastAsia="Symbol"/>
              </w:rPr>
            </w:pPr>
            <w:r>
              <w:t>Jk(b)</w:t>
            </w:r>
          </w:p>
        </w:tc>
        <w:tc>
          <w:tcPr>
            <w:tcW w:w="1296" w:type="dxa"/>
            <w:shd w:val="clear" w:color="auto" w:fill="auto"/>
          </w:tcPr>
          <w:p w14:paraId="31DE6CBC" w14:textId="77777777" w:rsidR="003E3D07" w:rsidRDefault="003E3D07">
            <w:pPr>
              <w:pStyle w:val="TableText"/>
              <w:rPr>
                <w:rFonts w:eastAsia="Symbol"/>
              </w:rPr>
            </w:pPr>
            <w:r>
              <w:t>42</w:t>
            </w:r>
          </w:p>
        </w:tc>
        <w:tc>
          <w:tcPr>
            <w:tcW w:w="841" w:type="dxa"/>
            <w:shd w:val="clear" w:color="auto" w:fill="auto"/>
          </w:tcPr>
          <w:p w14:paraId="3CFE310E" w14:textId="77777777" w:rsidR="003E3D07" w:rsidRDefault="003E3D07">
            <w:pPr>
              <w:pStyle w:val="TableText"/>
              <w:rPr>
                <w:rFonts w:eastAsia="Symbol"/>
              </w:rPr>
            </w:pPr>
            <w:r>
              <w:t>AGJk(b)</w:t>
            </w:r>
          </w:p>
        </w:tc>
      </w:tr>
      <w:tr w:rsidR="00824338" w14:paraId="64C487C6" w14:textId="77777777" w:rsidTr="00031618">
        <w:tblPrEx>
          <w:tblBorders>
            <w:insideH w:val="single" w:sz="4" w:space="0" w:color="auto"/>
            <w:insideV w:val="single" w:sz="4" w:space="0" w:color="auto"/>
          </w:tblBorders>
        </w:tblPrEx>
        <w:tc>
          <w:tcPr>
            <w:tcW w:w="1975" w:type="dxa"/>
            <w:shd w:val="clear" w:color="auto" w:fill="auto"/>
          </w:tcPr>
          <w:p w14:paraId="40B10249" w14:textId="77777777" w:rsidR="003E3D07" w:rsidRDefault="003E3D07">
            <w:pPr>
              <w:pStyle w:val="TableText"/>
              <w:rPr>
                <w:rFonts w:eastAsia="Symbol"/>
              </w:rPr>
            </w:pPr>
            <w:r>
              <w:t>Anti-Jk3</w:t>
            </w:r>
          </w:p>
        </w:tc>
        <w:tc>
          <w:tcPr>
            <w:tcW w:w="1710" w:type="dxa"/>
            <w:shd w:val="clear" w:color="auto" w:fill="auto"/>
          </w:tcPr>
          <w:p w14:paraId="61B17020" w14:textId="77777777" w:rsidR="003E3D07" w:rsidRDefault="003E3D07">
            <w:pPr>
              <w:pStyle w:val="TableText"/>
              <w:rPr>
                <w:rFonts w:eastAsia="Symbol"/>
              </w:rPr>
            </w:pPr>
            <w:r>
              <w:rPr>
                <w:rFonts w:eastAsia="Symbol"/>
              </w:rPr>
              <w:t>Anti-Jk(a)Jk(b)</w:t>
            </w:r>
          </w:p>
        </w:tc>
        <w:tc>
          <w:tcPr>
            <w:tcW w:w="878" w:type="dxa"/>
            <w:shd w:val="clear" w:color="auto" w:fill="auto"/>
          </w:tcPr>
          <w:p w14:paraId="6F277202" w14:textId="77777777" w:rsidR="003E3D07" w:rsidRDefault="003E3D07">
            <w:pPr>
              <w:pStyle w:val="TableText"/>
              <w:rPr>
                <w:rFonts w:eastAsia="Symbol"/>
              </w:rPr>
            </w:pPr>
            <w:r>
              <w:rPr>
                <w:bCs/>
              </w:rPr>
              <w:t>Yes</w:t>
            </w:r>
          </w:p>
        </w:tc>
        <w:tc>
          <w:tcPr>
            <w:tcW w:w="878" w:type="dxa"/>
            <w:shd w:val="clear" w:color="auto" w:fill="auto"/>
          </w:tcPr>
          <w:p w14:paraId="574DB6A1" w14:textId="77777777" w:rsidR="003E3D07" w:rsidRDefault="003E3D07">
            <w:pPr>
              <w:pStyle w:val="TableText"/>
              <w:rPr>
                <w:rFonts w:eastAsia="Symbol"/>
              </w:rPr>
            </w:pPr>
            <w:r>
              <w:rPr>
                <w:bCs/>
              </w:rPr>
              <w:t>Yes</w:t>
            </w:r>
          </w:p>
        </w:tc>
        <w:tc>
          <w:tcPr>
            <w:tcW w:w="1253" w:type="dxa"/>
            <w:shd w:val="clear" w:color="auto" w:fill="auto"/>
          </w:tcPr>
          <w:p w14:paraId="5B641AB9" w14:textId="77777777" w:rsidR="003E3D07" w:rsidRDefault="003E3D07">
            <w:pPr>
              <w:pStyle w:val="TableText"/>
              <w:rPr>
                <w:rFonts w:eastAsia="Symbol"/>
              </w:rPr>
            </w:pPr>
            <w:r>
              <w:t>Jk(a) and Jk(b)</w:t>
            </w:r>
          </w:p>
        </w:tc>
        <w:tc>
          <w:tcPr>
            <w:tcW w:w="1253" w:type="dxa"/>
            <w:shd w:val="clear" w:color="auto" w:fill="auto"/>
          </w:tcPr>
          <w:p w14:paraId="2A621C0D" w14:textId="77777777" w:rsidR="003E3D07" w:rsidRDefault="003E3D07">
            <w:pPr>
              <w:pStyle w:val="TableText"/>
              <w:rPr>
                <w:rFonts w:eastAsia="Symbol"/>
              </w:rPr>
            </w:pPr>
            <w:r>
              <w:rPr>
                <w:rFonts w:eastAsia="Symbol"/>
              </w:rPr>
              <w:t>None</w:t>
            </w:r>
          </w:p>
        </w:tc>
        <w:tc>
          <w:tcPr>
            <w:tcW w:w="1296" w:type="dxa"/>
            <w:shd w:val="clear" w:color="auto" w:fill="auto"/>
          </w:tcPr>
          <w:p w14:paraId="10DAE755" w14:textId="77777777" w:rsidR="003E3D07" w:rsidRDefault="003E3D07">
            <w:pPr>
              <w:pStyle w:val="TableText"/>
              <w:rPr>
                <w:rFonts w:eastAsia="Symbol"/>
              </w:rPr>
            </w:pPr>
            <w:r>
              <w:t>N/A</w:t>
            </w:r>
          </w:p>
        </w:tc>
        <w:tc>
          <w:tcPr>
            <w:tcW w:w="841" w:type="dxa"/>
            <w:shd w:val="clear" w:color="auto" w:fill="auto"/>
          </w:tcPr>
          <w:p w14:paraId="38E95BBB" w14:textId="77777777" w:rsidR="003E3D07" w:rsidRDefault="003E3D07">
            <w:pPr>
              <w:pStyle w:val="TableText"/>
            </w:pPr>
            <w:r>
              <w:t>AGJk(a)</w:t>
            </w:r>
          </w:p>
          <w:p w14:paraId="6B70E315" w14:textId="77777777" w:rsidR="003E3D07" w:rsidRDefault="003E3D07">
            <w:pPr>
              <w:pStyle w:val="TableText"/>
              <w:rPr>
                <w:rFonts w:eastAsia="Symbol"/>
              </w:rPr>
            </w:pPr>
            <w:r>
              <w:t>AGJk(b)</w:t>
            </w:r>
          </w:p>
        </w:tc>
      </w:tr>
      <w:tr w:rsidR="00824338" w14:paraId="3D9D9A8E" w14:textId="77777777" w:rsidTr="00031618">
        <w:tblPrEx>
          <w:tblBorders>
            <w:insideH w:val="single" w:sz="4" w:space="0" w:color="auto"/>
            <w:insideV w:val="single" w:sz="4" w:space="0" w:color="auto"/>
          </w:tblBorders>
        </w:tblPrEx>
        <w:tc>
          <w:tcPr>
            <w:tcW w:w="1975" w:type="dxa"/>
            <w:shd w:val="clear" w:color="auto" w:fill="auto"/>
          </w:tcPr>
          <w:p w14:paraId="6299AD8A" w14:textId="77777777" w:rsidR="003E3D07" w:rsidRDefault="003E3D07">
            <w:pPr>
              <w:pStyle w:val="TableText"/>
              <w:rPr>
                <w:rFonts w:eastAsia="Symbol"/>
              </w:rPr>
            </w:pPr>
            <w:r>
              <w:t>Anti-Fy(a)</w:t>
            </w:r>
          </w:p>
        </w:tc>
        <w:tc>
          <w:tcPr>
            <w:tcW w:w="1710" w:type="dxa"/>
            <w:shd w:val="clear" w:color="auto" w:fill="auto"/>
          </w:tcPr>
          <w:p w14:paraId="3CA37594" w14:textId="77777777" w:rsidR="003E3D07" w:rsidRDefault="003E3D07">
            <w:pPr>
              <w:pStyle w:val="TableText"/>
              <w:rPr>
                <w:rFonts w:eastAsia="Symbol"/>
              </w:rPr>
            </w:pPr>
            <w:r>
              <w:t>Anti-Fy(a)</w:t>
            </w:r>
          </w:p>
        </w:tc>
        <w:tc>
          <w:tcPr>
            <w:tcW w:w="878" w:type="dxa"/>
            <w:shd w:val="clear" w:color="auto" w:fill="auto"/>
          </w:tcPr>
          <w:p w14:paraId="65E27E90" w14:textId="77777777" w:rsidR="003E3D07" w:rsidRDefault="003E3D07">
            <w:pPr>
              <w:pStyle w:val="TableText"/>
              <w:rPr>
                <w:b/>
                <w:bCs/>
              </w:rPr>
            </w:pPr>
            <w:r>
              <w:rPr>
                <w:bCs/>
              </w:rPr>
              <w:t>Yes</w:t>
            </w:r>
          </w:p>
        </w:tc>
        <w:tc>
          <w:tcPr>
            <w:tcW w:w="878" w:type="dxa"/>
            <w:shd w:val="clear" w:color="auto" w:fill="auto"/>
          </w:tcPr>
          <w:p w14:paraId="3D1E4550" w14:textId="77777777" w:rsidR="003E3D07" w:rsidRDefault="003E3D07">
            <w:pPr>
              <w:pStyle w:val="TableText"/>
              <w:rPr>
                <w:rFonts w:eastAsia="Symbol"/>
                <w:b/>
                <w:bCs/>
              </w:rPr>
            </w:pPr>
            <w:r>
              <w:rPr>
                <w:bCs/>
              </w:rPr>
              <w:t>Yes</w:t>
            </w:r>
          </w:p>
        </w:tc>
        <w:tc>
          <w:tcPr>
            <w:tcW w:w="1253" w:type="dxa"/>
            <w:shd w:val="clear" w:color="auto" w:fill="auto"/>
          </w:tcPr>
          <w:p w14:paraId="4D55D039" w14:textId="77777777" w:rsidR="003E3D07" w:rsidRDefault="003E3D07">
            <w:pPr>
              <w:pStyle w:val="TableText"/>
              <w:rPr>
                <w:rFonts w:eastAsia="Symbol"/>
              </w:rPr>
            </w:pPr>
            <w:r>
              <w:t>Fy(a)</w:t>
            </w:r>
          </w:p>
        </w:tc>
        <w:tc>
          <w:tcPr>
            <w:tcW w:w="1253" w:type="dxa"/>
            <w:shd w:val="clear" w:color="auto" w:fill="auto"/>
          </w:tcPr>
          <w:p w14:paraId="70220374" w14:textId="77777777" w:rsidR="003E3D07" w:rsidRDefault="003E3D07">
            <w:pPr>
              <w:pStyle w:val="TableText"/>
              <w:rPr>
                <w:rFonts w:eastAsia="Symbol"/>
              </w:rPr>
            </w:pPr>
            <w:r>
              <w:t>Fy(a)</w:t>
            </w:r>
          </w:p>
        </w:tc>
        <w:tc>
          <w:tcPr>
            <w:tcW w:w="1296" w:type="dxa"/>
            <w:shd w:val="clear" w:color="auto" w:fill="auto"/>
          </w:tcPr>
          <w:p w14:paraId="63EB76CB" w14:textId="77777777" w:rsidR="003E3D07" w:rsidRDefault="003E3D07">
            <w:pPr>
              <w:pStyle w:val="TableText"/>
              <w:rPr>
                <w:rFonts w:eastAsia="Symbol"/>
              </w:rPr>
            </w:pPr>
            <w:r>
              <w:t>63</w:t>
            </w:r>
          </w:p>
        </w:tc>
        <w:tc>
          <w:tcPr>
            <w:tcW w:w="841" w:type="dxa"/>
            <w:shd w:val="clear" w:color="auto" w:fill="auto"/>
          </w:tcPr>
          <w:p w14:paraId="5B393B1C" w14:textId="77777777" w:rsidR="003E3D07" w:rsidRDefault="003E3D07">
            <w:pPr>
              <w:pStyle w:val="TableText"/>
              <w:rPr>
                <w:rFonts w:eastAsia="Symbol"/>
              </w:rPr>
            </w:pPr>
            <w:r>
              <w:t>AGFy(a)</w:t>
            </w:r>
          </w:p>
        </w:tc>
      </w:tr>
      <w:tr w:rsidR="00824338" w14:paraId="50724538" w14:textId="77777777" w:rsidTr="00031618">
        <w:tblPrEx>
          <w:tblBorders>
            <w:insideH w:val="single" w:sz="4" w:space="0" w:color="auto"/>
            <w:insideV w:val="single" w:sz="4" w:space="0" w:color="auto"/>
          </w:tblBorders>
        </w:tblPrEx>
        <w:tc>
          <w:tcPr>
            <w:tcW w:w="1975" w:type="dxa"/>
            <w:shd w:val="clear" w:color="auto" w:fill="auto"/>
          </w:tcPr>
          <w:p w14:paraId="623F1D50" w14:textId="77777777" w:rsidR="003E3D07" w:rsidRDefault="003E3D07">
            <w:pPr>
              <w:pStyle w:val="TableText"/>
              <w:rPr>
                <w:rFonts w:eastAsia="Symbol"/>
              </w:rPr>
            </w:pPr>
            <w:r>
              <w:t>Anti-Fy(b)</w:t>
            </w:r>
          </w:p>
        </w:tc>
        <w:tc>
          <w:tcPr>
            <w:tcW w:w="1710" w:type="dxa"/>
            <w:shd w:val="clear" w:color="auto" w:fill="auto"/>
          </w:tcPr>
          <w:p w14:paraId="2A547D33" w14:textId="77777777" w:rsidR="003E3D07" w:rsidRDefault="003E3D07">
            <w:pPr>
              <w:pStyle w:val="TableText"/>
              <w:rPr>
                <w:rFonts w:eastAsia="Symbol"/>
              </w:rPr>
            </w:pPr>
            <w:r>
              <w:t>Anti-Fy(b)</w:t>
            </w:r>
          </w:p>
        </w:tc>
        <w:tc>
          <w:tcPr>
            <w:tcW w:w="878" w:type="dxa"/>
            <w:shd w:val="clear" w:color="auto" w:fill="auto"/>
          </w:tcPr>
          <w:p w14:paraId="0653E007" w14:textId="77777777" w:rsidR="003E3D07" w:rsidRDefault="003E3D07">
            <w:pPr>
              <w:pStyle w:val="TableText"/>
              <w:rPr>
                <w:b/>
                <w:bCs/>
              </w:rPr>
            </w:pPr>
            <w:r>
              <w:rPr>
                <w:bCs/>
              </w:rPr>
              <w:t>Yes</w:t>
            </w:r>
          </w:p>
        </w:tc>
        <w:tc>
          <w:tcPr>
            <w:tcW w:w="878" w:type="dxa"/>
            <w:shd w:val="clear" w:color="auto" w:fill="auto"/>
          </w:tcPr>
          <w:p w14:paraId="5AC61F7E" w14:textId="77777777" w:rsidR="003E3D07" w:rsidRDefault="003E3D07">
            <w:pPr>
              <w:pStyle w:val="TableText"/>
              <w:rPr>
                <w:rFonts w:eastAsia="Symbol"/>
                <w:b/>
                <w:bCs/>
              </w:rPr>
            </w:pPr>
            <w:r>
              <w:rPr>
                <w:bCs/>
              </w:rPr>
              <w:t>Yes</w:t>
            </w:r>
          </w:p>
        </w:tc>
        <w:tc>
          <w:tcPr>
            <w:tcW w:w="1253" w:type="dxa"/>
            <w:shd w:val="clear" w:color="auto" w:fill="auto"/>
          </w:tcPr>
          <w:p w14:paraId="7DB31264" w14:textId="77777777" w:rsidR="003E3D07" w:rsidRDefault="003E3D07">
            <w:pPr>
              <w:pStyle w:val="TableText"/>
              <w:rPr>
                <w:rFonts w:eastAsia="Symbol"/>
              </w:rPr>
            </w:pPr>
            <w:r>
              <w:t>Fy(b)</w:t>
            </w:r>
          </w:p>
        </w:tc>
        <w:tc>
          <w:tcPr>
            <w:tcW w:w="1253" w:type="dxa"/>
            <w:shd w:val="clear" w:color="auto" w:fill="auto"/>
          </w:tcPr>
          <w:p w14:paraId="59D57C90" w14:textId="77777777" w:rsidR="003E3D07" w:rsidRDefault="003E3D07">
            <w:pPr>
              <w:pStyle w:val="TableText"/>
              <w:rPr>
                <w:rFonts w:eastAsia="Symbol"/>
              </w:rPr>
            </w:pPr>
            <w:r>
              <w:t>Fy(b)</w:t>
            </w:r>
          </w:p>
        </w:tc>
        <w:tc>
          <w:tcPr>
            <w:tcW w:w="1296" w:type="dxa"/>
            <w:shd w:val="clear" w:color="auto" w:fill="auto"/>
          </w:tcPr>
          <w:p w14:paraId="6E18926D" w14:textId="77777777" w:rsidR="003E3D07" w:rsidRDefault="003E3D07">
            <w:pPr>
              <w:pStyle w:val="TableText"/>
              <w:rPr>
                <w:rFonts w:eastAsia="Symbol"/>
              </w:rPr>
            </w:pPr>
            <w:r>
              <w:t>47</w:t>
            </w:r>
          </w:p>
        </w:tc>
        <w:tc>
          <w:tcPr>
            <w:tcW w:w="841" w:type="dxa"/>
            <w:shd w:val="clear" w:color="auto" w:fill="auto"/>
          </w:tcPr>
          <w:p w14:paraId="3FB651F0" w14:textId="77777777" w:rsidR="003E3D07" w:rsidRDefault="003E3D07">
            <w:pPr>
              <w:pStyle w:val="TableText"/>
              <w:rPr>
                <w:rFonts w:eastAsia="Symbol"/>
              </w:rPr>
            </w:pPr>
            <w:r>
              <w:t>AGFy(b)</w:t>
            </w:r>
          </w:p>
        </w:tc>
      </w:tr>
      <w:tr w:rsidR="00824338" w14:paraId="7BB473CE" w14:textId="77777777" w:rsidTr="00031618">
        <w:tblPrEx>
          <w:tblBorders>
            <w:insideH w:val="single" w:sz="4" w:space="0" w:color="auto"/>
            <w:insideV w:val="single" w:sz="4" w:space="0" w:color="auto"/>
          </w:tblBorders>
        </w:tblPrEx>
        <w:tc>
          <w:tcPr>
            <w:tcW w:w="1975" w:type="dxa"/>
            <w:shd w:val="clear" w:color="auto" w:fill="auto"/>
          </w:tcPr>
          <w:p w14:paraId="4AD657CD" w14:textId="77777777" w:rsidR="003E3D07" w:rsidRDefault="003E3D07">
            <w:pPr>
              <w:pStyle w:val="TableText"/>
              <w:rPr>
                <w:rFonts w:eastAsia="Symbol"/>
              </w:rPr>
            </w:pPr>
            <w:r>
              <w:t>Anti-M</w:t>
            </w:r>
          </w:p>
        </w:tc>
        <w:tc>
          <w:tcPr>
            <w:tcW w:w="1710" w:type="dxa"/>
            <w:shd w:val="clear" w:color="auto" w:fill="auto"/>
          </w:tcPr>
          <w:p w14:paraId="1BF320E0" w14:textId="77777777" w:rsidR="003E3D07" w:rsidRDefault="003E3D07">
            <w:pPr>
              <w:pStyle w:val="TableText"/>
            </w:pPr>
            <w:r>
              <w:t>Anti-M</w:t>
            </w:r>
          </w:p>
        </w:tc>
        <w:tc>
          <w:tcPr>
            <w:tcW w:w="878" w:type="dxa"/>
            <w:shd w:val="clear" w:color="auto" w:fill="auto"/>
          </w:tcPr>
          <w:p w14:paraId="5940FD34" w14:textId="77777777" w:rsidR="003E3D07" w:rsidRDefault="003E3D07">
            <w:pPr>
              <w:pStyle w:val="TableText"/>
            </w:pPr>
            <w:r>
              <w:t>No</w:t>
            </w:r>
          </w:p>
        </w:tc>
        <w:tc>
          <w:tcPr>
            <w:tcW w:w="878" w:type="dxa"/>
            <w:shd w:val="clear" w:color="auto" w:fill="auto"/>
          </w:tcPr>
          <w:p w14:paraId="2D3E86D6" w14:textId="77777777" w:rsidR="003E3D07" w:rsidRDefault="003E3D07">
            <w:pPr>
              <w:pStyle w:val="TableText"/>
              <w:rPr>
                <w:rFonts w:eastAsia="Symbol"/>
              </w:rPr>
            </w:pPr>
            <w:r w:rsidRPr="00035BA7">
              <w:t>Optional</w:t>
            </w:r>
          </w:p>
        </w:tc>
        <w:tc>
          <w:tcPr>
            <w:tcW w:w="1253" w:type="dxa"/>
            <w:shd w:val="clear" w:color="auto" w:fill="auto"/>
          </w:tcPr>
          <w:p w14:paraId="52C79C81" w14:textId="77777777" w:rsidR="003E3D07" w:rsidRDefault="003E3D07">
            <w:pPr>
              <w:pStyle w:val="TableText"/>
              <w:rPr>
                <w:rFonts w:eastAsia="Symbol"/>
              </w:rPr>
            </w:pPr>
            <w:r>
              <w:t>M</w:t>
            </w:r>
          </w:p>
        </w:tc>
        <w:tc>
          <w:tcPr>
            <w:tcW w:w="1253" w:type="dxa"/>
            <w:shd w:val="clear" w:color="auto" w:fill="auto"/>
          </w:tcPr>
          <w:p w14:paraId="4ECBD5C2" w14:textId="77777777" w:rsidR="003E3D07" w:rsidRDefault="003E3D07">
            <w:pPr>
              <w:pStyle w:val="TableText"/>
            </w:pPr>
            <w:r>
              <w:t>M</w:t>
            </w:r>
          </w:p>
        </w:tc>
        <w:tc>
          <w:tcPr>
            <w:tcW w:w="1296" w:type="dxa"/>
            <w:shd w:val="clear" w:color="auto" w:fill="auto"/>
          </w:tcPr>
          <w:p w14:paraId="7CD44598" w14:textId="77777777" w:rsidR="003E3D07" w:rsidRDefault="003E3D07">
            <w:pPr>
              <w:pStyle w:val="TableText"/>
              <w:rPr>
                <w:rFonts w:eastAsia="Symbol"/>
              </w:rPr>
            </w:pPr>
            <w:r>
              <w:t>26</w:t>
            </w:r>
          </w:p>
        </w:tc>
        <w:tc>
          <w:tcPr>
            <w:tcW w:w="841" w:type="dxa"/>
            <w:shd w:val="clear" w:color="auto" w:fill="auto"/>
          </w:tcPr>
          <w:p w14:paraId="767EDB6A" w14:textId="77777777" w:rsidR="003E3D07" w:rsidRDefault="003E3D07">
            <w:pPr>
              <w:pStyle w:val="TableText"/>
              <w:rPr>
                <w:rFonts w:eastAsia="Symbol"/>
              </w:rPr>
            </w:pPr>
            <w:r>
              <w:t>AGM</w:t>
            </w:r>
          </w:p>
        </w:tc>
      </w:tr>
      <w:tr w:rsidR="00824338" w14:paraId="3986DA93" w14:textId="77777777" w:rsidTr="00031618">
        <w:tblPrEx>
          <w:tblBorders>
            <w:insideH w:val="single" w:sz="4" w:space="0" w:color="auto"/>
            <w:insideV w:val="single" w:sz="4" w:space="0" w:color="auto"/>
          </w:tblBorders>
        </w:tblPrEx>
        <w:tc>
          <w:tcPr>
            <w:tcW w:w="1975" w:type="dxa"/>
            <w:shd w:val="clear" w:color="auto" w:fill="auto"/>
          </w:tcPr>
          <w:p w14:paraId="54CBA13E" w14:textId="77777777" w:rsidR="003E3D07" w:rsidRDefault="003E3D07">
            <w:pPr>
              <w:pStyle w:val="TableText"/>
              <w:rPr>
                <w:rFonts w:eastAsia="Symbol"/>
              </w:rPr>
            </w:pPr>
            <w:r>
              <w:t>Anti-N</w:t>
            </w:r>
          </w:p>
        </w:tc>
        <w:tc>
          <w:tcPr>
            <w:tcW w:w="1710" w:type="dxa"/>
            <w:shd w:val="clear" w:color="auto" w:fill="auto"/>
          </w:tcPr>
          <w:p w14:paraId="22F5A7A9" w14:textId="77777777" w:rsidR="003E3D07" w:rsidRDefault="003E3D07">
            <w:pPr>
              <w:pStyle w:val="TableText"/>
            </w:pPr>
            <w:r>
              <w:t>Anti-N</w:t>
            </w:r>
          </w:p>
        </w:tc>
        <w:tc>
          <w:tcPr>
            <w:tcW w:w="878" w:type="dxa"/>
            <w:shd w:val="clear" w:color="auto" w:fill="auto"/>
          </w:tcPr>
          <w:p w14:paraId="452DB398" w14:textId="77777777" w:rsidR="003E3D07" w:rsidRDefault="003E3D07">
            <w:pPr>
              <w:pStyle w:val="TableText"/>
            </w:pPr>
            <w:r>
              <w:t>No</w:t>
            </w:r>
          </w:p>
        </w:tc>
        <w:tc>
          <w:tcPr>
            <w:tcW w:w="878" w:type="dxa"/>
            <w:shd w:val="clear" w:color="auto" w:fill="auto"/>
          </w:tcPr>
          <w:p w14:paraId="054FA6B7" w14:textId="77777777" w:rsidR="003E3D07" w:rsidRDefault="003E3D07">
            <w:pPr>
              <w:pStyle w:val="TableText"/>
              <w:rPr>
                <w:rFonts w:eastAsia="Symbol"/>
              </w:rPr>
            </w:pPr>
            <w:r>
              <w:t>Optional</w:t>
            </w:r>
          </w:p>
        </w:tc>
        <w:tc>
          <w:tcPr>
            <w:tcW w:w="1253" w:type="dxa"/>
            <w:shd w:val="clear" w:color="auto" w:fill="auto"/>
          </w:tcPr>
          <w:p w14:paraId="5BBB5B73" w14:textId="77777777" w:rsidR="003E3D07" w:rsidRDefault="003E3D07">
            <w:pPr>
              <w:pStyle w:val="TableText"/>
              <w:rPr>
                <w:rFonts w:eastAsia="Symbol"/>
              </w:rPr>
            </w:pPr>
            <w:r>
              <w:t>N</w:t>
            </w:r>
          </w:p>
        </w:tc>
        <w:tc>
          <w:tcPr>
            <w:tcW w:w="1253" w:type="dxa"/>
            <w:shd w:val="clear" w:color="auto" w:fill="auto"/>
          </w:tcPr>
          <w:p w14:paraId="3DB0219F" w14:textId="77777777" w:rsidR="003E3D07" w:rsidRDefault="003E3D07">
            <w:pPr>
              <w:pStyle w:val="TableText"/>
            </w:pPr>
            <w:r>
              <w:t>N</w:t>
            </w:r>
          </w:p>
        </w:tc>
        <w:tc>
          <w:tcPr>
            <w:tcW w:w="1296" w:type="dxa"/>
            <w:shd w:val="clear" w:color="auto" w:fill="auto"/>
          </w:tcPr>
          <w:p w14:paraId="2906983F" w14:textId="77777777" w:rsidR="003E3D07" w:rsidRDefault="003E3D07">
            <w:pPr>
              <w:pStyle w:val="TableText"/>
              <w:rPr>
                <w:rFonts w:eastAsia="Symbol"/>
              </w:rPr>
            </w:pPr>
            <w:r>
              <w:t>27</w:t>
            </w:r>
          </w:p>
        </w:tc>
        <w:tc>
          <w:tcPr>
            <w:tcW w:w="841" w:type="dxa"/>
            <w:shd w:val="clear" w:color="auto" w:fill="auto"/>
          </w:tcPr>
          <w:p w14:paraId="7D0B674C" w14:textId="77777777" w:rsidR="003E3D07" w:rsidRDefault="003E3D07">
            <w:pPr>
              <w:pStyle w:val="TableText"/>
              <w:rPr>
                <w:rFonts w:eastAsia="Symbol"/>
              </w:rPr>
            </w:pPr>
            <w:r>
              <w:t>AGN</w:t>
            </w:r>
          </w:p>
        </w:tc>
      </w:tr>
      <w:tr w:rsidR="00824338" w14:paraId="10FD6535" w14:textId="77777777" w:rsidTr="00031618">
        <w:tblPrEx>
          <w:tblBorders>
            <w:insideH w:val="single" w:sz="4" w:space="0" w:color="auto"/>
            <w:insideV w:val="single" w:sz="4" w:space="0" w:color="auto"/>
          </w:tblBorders>
        </w:tblPrEx>
        <w:tc>
          <w:tcPr>
            <w:tcW w:w="1975" w:type="dxa"/>
            <w:shd w:val="clear" w:color="auto" w:fill="auto"/>
          </w:tcPr>
          <w:p w14:paraId="057C1EEF" w14:textId="77777777" w:rsidR="003E3D07" w:rsidRDefault="003E3D07">
            <w:pPr>
              <w:pStyle w:val="TableText"/>
              <w:rPr>
                <w:rFonts w:eastAsia="Symbol"/>
              </w:rPr>
            </w:pPr>
            <w:r>
              <w:t>Anti-S</w:t>
            </w:r>
          </w:p>
        </w:tc>
        <w:tc>
          <w:tcPr>
            <w:tcW w:w="1710" w:type="dxa"/>
            <w:shd w:val="clear" w:color="auto" w:fill="auto"/>
          </w:tcPr>
          <w:p w14:paraId="05BB6F06" w14:textId="77777777" w:rsidR="003E3D07" w:rsidRDefault="003E3D07">
            <w:pPr>
              <w:pStyle w:val="TableText"/>
              <w:rPr>
                <w:rFonts w:eastAsia="Symbol"/>
              </w:rPr>
            </w:pPr>
            <w:r>
              <w:t>Anti-S</w:t>
            </w:r>
          </w:p>
        </w:tc>
        <w:tc>
          <w:tcPr>
            <w:tcW w:w="878" w:type="dxa"/>
            <w:shd w:val="clear" w:color="auto" w:fill="auto"/>
          </w:tcPr>
          <w:p w14:paraId="029EF580" w14:textId="77777777" w:rsidR="003E3D07" w:rsidRDefault="003E3D07">
            <w:pPr>
              <w:pStyle w:val="TableText"/>
              <w:rPr>
                <w:b/>
                <w:bCs/>
              </w:rPr>
            </w:pPr>
            <w:r>
              <w:rPr>
                <w:bCs/>
              </w:rPr>
              <w:t>Yes</w:t>
            </w:r>
          </w:p>
        </w:tc>
        <w:tc>
          <w:tcPr>
            <w:tcW w:w="878" w:type="dxa"/>
            <w:shd w:val="clear" w:color="auto" w:fill="auto"/>
          </w:tcPr>
          <w:p w14:paraId="273CEB72" w14:textId="77777777" w:rsidR="003E3D07" w:rsidRDefault="003E3D07">
            <w:pPr>
              <w:pStyle w:val="TableText"/>
              <w:rPr>
                <w:rFonts w:eastAsia="Symbol"/>
                <w:b/>
                <w:bCs/>
              </w:rPr>
            </w:pPr>
            <w:r>
              <w:rPr>
                <w:bCs/>
              </w:rPr>
              <w:t>Yes</w:t>
            </w:r>
          </w:p>
        </w:tc>
        <w:tc>
          <w:tcPr>
            <w:tcW w:w="1253" w:type="dxa"/>
            <w:shd w:val="clear" w:color="auto" w:fill="auto"/>
          </w:tcPr>
          <w:p w14:paraId="672133E1" w14:textId="77777777" w:rsidR="003E3D07" w:rsidRDefault="003E3D07">
            <w:pPr>
              <w:pStyle w:val="TableText"/>
              <w:rPr>
                <w:rFonts w:eastAsia="Symbol"/>
              </w:rPr>
            </w:pPr>
            <w:r>
              <w:t>S</w:t>
            </w:r>
          </w:p>
        </w:tc>
        <w:tc>
          <w:tcPr>
            <w:tcW w:w="1253" w:type="dxa"/>
            <w:shd w:val="clear" w:color="auto" w:fill="auto"/>
          </w:tcPr>
          <w:p w14:paraId="7FD029CF" w14:textId="77777777" w:rsidR="003E3D07" w:rsidRDefault="003E3D07">
            <w:pPr>
              <w:pStyle w:val="TableText"/>
              <w:rPr>
                <w:rFonts w:eastAsia="Symbol"/>
              </w:rPr>
            </w:pPr>
            <w:r>
              <w:t>S</w:t>
            </w:r>
          </w:p>
        </w:tc>
        <w:tc>
          <w:tcPr>
            <w:tcW w:w="1296" w:type="dxa"/>
            <w:shd w:val="clear" w:color="auto" w:fill="auto"/>
          </w:tcPr>
          <w:p w14:paraId="6FE0D9B1" w14:textId="77777777" w:rsidR="003E3D07" w:rsidRDefault="003E3D07">
            <w:pPr>
              <w:pStyle w:val="TableText"/>
              <w:rPr>
                <w:rFonts w:eastAsia="Symbol"/>
              </w:rPr>
            </w:pPr>
            <w:r>
              <w:t>58</w:t>
            </w:r>
          </w:p>
        </w:tc>
        <w:tc>
          <w:tcPr>
            <w:tcW w:w="841" w:type="dxa"/>
            <w:shd w:val="clear" w:color="auto" w:fill="auto"/>
          </w:tcPr>
          <w:p w14:paraId="200C3FEF" w14:textId="77777777" w:rsidR="003E3D07" w:rsidRDefault="003E3D07">
            <w:pPr>
              <w:pStyle w:val="TableText"/>
              <w:rPr>
                <w:rFonts w:eastAsia="Symbol"/>
              </w:rPr>
            </w:pPr>
            <w:r>
              <w:t>AGS</w:t>
            </w:r>
          </w:p>
        </w:tc>
      </w:tr>
      <w:tr w:rsidR="00824338" w14:paraId="42DB3B35" w14:textId="77777777" w:rsidTr="00031618">
        <w:tblPrEx>
          <w:tblBorders>
            <w:insideH w:val="single" w:sz="4" w:space="0" w:color="auto"/>
            <w:insideV w:val="single" w:sz="4" w:space="0" w:color="auto"/>
          </w:tblBorders>
        </w:tblPrEx>
        <w:tc>
          <w:tcPr>
            <w:tcW w:w="1975" w:type="dxa"/>
            <w:shd w:val="clear" w:color="auto" w:fill="auto"/>
          </w:tcPr>
          <w:p w14:paraId="64204A44" w14:textId="77777777" w:rsidR="003E3D07" w:rsidRDefault="003E3D07">
            <w:pPr>
              <w:pStyle w:val="TableText"/>
              <w:rPr>
                <w:rFonts w:eastAsia="Symbol"/>
              </w:rPr>
            </w:pPr>
            <w:r>
              <w:t>Anti-s</w:t>
            </w:r>
          </w:p>
        </w:tc>
        <w:tc>
          <w:tcPr>
            <w:tcW w:w="1710" w:type="dxa"/>
            <w:shd w:val="clear" w:color="auto" w:fill="auto"/>
          </w:tcPr>
          <w:p w14:paraId="45CDEC64" w14:textId="77777777" w:rsidR="003E3D07" w:rsidRDefault="003E3D07">
            <w:pPr>
              <w:pStyle w:val="TableText"/>
              <w:rPr>
                <w:rFonts w:eastAsia="Symbol"/>
              </w:rPr>
            </w:pPr>
            <w:r>
              <w:t>Anti-s</w:t>
            </w:r>
          </w:p>
        </w:tc>
        <w:tc>
          <w:tcPr>
            <w:tcW w:w="878" w:type="dxa"/>
            <w:shd w:val="clear" w:color="auto" w:fill="auto"/>
          </w:tcPr>
          <w:p w14:paraId="07F2A26E" w14:textId="77777777" w:rsidR="003E3D07" w:rsidRDefault="003E3D07">
            <w:pPr>
              <w:pStyle w:val="TableText"/>
              <w:rPr>
                <w:b/>
                <w:bCs/>
              </w:rPr>
            </w:pPr>
            <w:r>
              <w:rPr>
                <w:bCs/>
              </w:rPr>
              <w:t>Yes</w:t>
            </w:r>
          </w:p>
        </w:tc>
        <w:tc>
          <w:tcPr>
            <w:tcW w:w="878" w:type="dxa"/>
            <w:shd w:val="clear" w:color="auto" w:fill="auto"/>
          </w:tcPr>
          <w:p w14:paraId="024E113C" w14:textId="77777777" w:rsidR="003E3D07" w:rsidRDefault="003E3D07">
            <w:pPr>
              <w:pStyle w:val="TableText"/>
              <w:rPr>
                <w:rFonts w:eastAsia="Symbol"/>
                <w:b/>
                <w:bCs/>
              </w:rPr>
            </w:pPr>
            <w:r>
              <w:rPr>
                <w:bCs/>
              </w:rPr>
              <w:t>Yes</w:t>
            </w:r>
          </w:p>
        </w:tc>
        <w:tc>
          <w:tcPr>
            <w:tcW w:w="1253" w:type="dxa"/>
            <w:shd w:val="clear" w:color="auto" w:fill="auto"/>
          </w:tcPr>
          <w:p w14:paraId="07F7D1EA" w14:textId="77777777" w:rsidR="003E3D07" w:rsidRDefault="003E3D07">
            <w:pPr>
              <w:pStyle w:val="TableText"/>
              <w:rPr>
                <w:rFonts w:eastAsia="Symbol"/>
              </w:rPr>
            </w:pPr>
            <w:r>
              <w:t>s</w:t>
            </w:r>
          </w:p>
        </w:tc>
        <w:tc>
          <w:tcPr>
            <w:tcW w:w="1253" w:type="dxa"/>
            <w:shd w:val="clear" w:color="auto" w:fill="auto"/>
          </w:tcPr>
          <w:p w14:paraId="493CAA71" w14:textId="77777777" w:rsidR="003E3D07" w:rsidRDefault="003E3D07">
            <w:pPr>
              <w:pStyle w:val="TableText"/>
              <w:rPr>
                <w:rFonts w:eastAsia="Symbol"/>
              </w:rPr>
            </w:pPr>
            <w:r>
              <w:t>s</w:t>
            </w:r>
          </w:p>
        </w:tc>
        <w:tc>
          <w:tcPr>
            <w:tcW w:w="1296" w:type="dxa"/>
            <w:shd w:val="clear" w:color="auto" w:fill="auto"/>
          </w:tcPr>
          <w:p w14:paraId="376396DF" w14:textId="77777777" w:rsidR="003E3D07" w:rsidRDefault="003E3D07">
            <w:pPr>
              <w:pStyle w:val="TableText"/>
              <w:rPr>
                <w:rFonts w:eastAsia="Symbol"/>
              </w:rPr>
            </w:pPr>
            <w:r>
              <w:t>7</w:t>
            </w:r>
          </w:p>
        </w:tc>
        <w:tc>
          <w:tcPr>
            <w:tcW w:w="841" w:type="dxa"/>
            <w:shd w:val="clear" w:color="auto" w:fill="auto"/>
          </w:tcPr>
          <w:p w14:paraId="029FADCD" w14:textId="77777777" w:rsidR="003E3D07" w:rsidRDefault="003E3D07">
            <w:pPr>
              <w:pStyle w:val="TableText"/>
              <w:rPr>
                <w:rFonts w:eastAsia="Symbol"/>
              </w:rPr>
            </w:pPr>
            <w:r>
              <w:t>AGs</w:t>
            </w:r>
          </w:p>
        </w:tc>
      </w:tr>
      <w:tr w:rsidR="00824338" w14:paraId="13473369" w14:textId="77777777" w:rsidTr="00031618">
        <w:tblPrEx>
          <w:tblBorders>
            <w:insideH w:val="single" w:sz="4" w:space="0" w:color="auto"/>
            <w:insideV w:val="single" w:sz="4" w:space="0" w:color="auto"/>
          </w:tblBorders>
        </w:tblPrEx>
        <w:tc>
          <w:tcPr>
            <w:tcW w:w="1975" w:type="dxa"/>
            <w:shd w:val="clear" w:color="auto" w:fill="auto"/>
          </w:tcPr>
          <w:p w14:paraId="6F7B40C3" w14:textId="77777777" w:rsidR="003E3D07" w:rsidRDefault="003E3D07">
            <w:pPr>
              <w:pStyle w:val="TableText"/>
              <w:rPr>
                <w:rFonts w:eastAsia="Symbol"/>
              </w:rPr>
            </w:pPr>
            <w:r>
              <w:t>Anti-U</w:t>
            </w:r>
          </w:p>
        </w:tc>
        <w:tc>
          <w:tcPr>
            <w:tcW w:w="1710" w:type="dxa"/>
            <w:shd w:val="clear" w:color="auto" w:fill="auto"/>
          </w:tcPr>
          <w:p w14:paraId="667067E2" w14:textId="77777777" w:rsidR="003E3D07" w:rsidRDefault="003E3D07">
            <w:pPr>
              <w:pStyle w:val="TableText"/>
              <w:rPr>
                <w:b/>
                <w:bCs/>
              </w:rPr>
            </w:pPr>
            <w:r>
              <w:t>Anti-U</w:t>
            </w:r>
          </w:p>
        </w:tc>
        <w:tc>
          <w:tcPr>
            <w:tcW w:w="878" w:type="dxa"/>
            <w:shd w:val="clear" w:color="auto" w:fill="auto"/>
          </w:tcPr>
          <w:p w14:paraId="014E2A70" w14:textId="77777777" w:rsidR="003E3D07" w:rsidRDefault="003E3D07">
            <w:pPr>
              <w:pStyle w:val="TableText"/>
              <w:rPr>
                <w:b/>
                <w:bCs/>
              </w:rPr>
            </w:pPr>
            <w:r>
              <w:rPr>
                <w:bCs/>
              </w:rPr>
              <w:t>Yes</w:t>
            </w:r>
          </w:p>
        </w:tc>
        <w:tc>
          <w:tcPr>
            <w:tcW w:w="878" w:type="dxa"/>
            <w:shd w:val="clear" w:color="auto" w:fill="auto"/>
          </w:tcPr>
          <w:p w14:paraId="2EBEBC4B" w14:textId="77777777" w:rsidR="003E3D07" w:rsidRDefault="003E3D07">
            <w:pPr>
              <w:pStyle w:val="TableText"/>
              <w:rPr>
                <w:rFonts w:eastAsia="Symbol"/>
              </w:rPr>
            </w:pPr>
            <w:r>
              <w:t>Optional</w:t>
            </w:r>
          </w:p>
        </w:tc>
        <w:tc>
          <w:tcPr>
            <w:tcW w:w="1253" w:type="dxa"/>
            <w:shd w:val="clear" w:color="auto" w:fill="auto"/>
          </w:tcPr>
          <w:p w14:paraId="664A4629" w14:textId="77777777" w:rsidR="003E3D07" w:rsidRDefault="003E3D07">
            <w:pPr>
              <w:pStyle w:val="TableText"/>
              <w:rPr>
                <w:rFonts w:eastAsia="Symbol"/>
              </w:rPr>
            </w:pPr>
            <w:r>
              <w:t>U</w:t>
            </w:r>
          </w:p>
        </w:tc>
        <w:tc>
          <w:tcPr>
            <w:tcW w:w="1253" w:type="dxa"/>
            <w:shd w:val="clear" w:color="auto" w:fill="auto"/>
          </w:tcPr>
          <w:p w14:paraId="4A729216" w14:textId="77777777" w:rsidR="003E3D07" w:rsidRDefault="003E3D07">
            <w:pPr>
              <w:pStyle w:val="TableText"/>
            </w:pPr>
            <w:r>
              <w:t>U</w:t>
            </w:r>
          </w:p>
        </w:tc>
        <w:tc>
          <w:tcPr>
            <w:tcW w:w="1296" w:type="dxa"/>
            <w:shd w:val="clear" w:color="auto" w:fill="auto"/>
          </w:tcPr>
          <w:p w14:paraId="285B2977" w14:textId="77777777" w:rsidR="003E3D07" w:rsidRDefault="003E3D07">
            <w:pPr>
              <w:pStyle w:val="TableText"/>
              <w:rPr>
                <w:rFonts w:eastAsia="Symbol"/>
              </w:rPr>
            </w:pPr>
            <w:r>
              <w:t>0</w:t>
            </w:r>
          </w:p>
        </w:tc>
        <w:tc>
          <w:tcPr>
            <w:tcW w:w="841" w:type="dxa"/>
            <w:shd w:val="clear" w:color="auto" w:fill="auto"/>
          </w:tcPr>
          <w:p w14:paraId="4C527B0B" w14:textId="77777777" w:rsidR="003E3D07" w:rsidRDefault="003E3D07">
            <w:pPr>
              <w:pStyle w:val="TableText"/>
              <w:rPr>
                <w:rFonts w:eastAsia="Symbol"/>
              </w:rPr>
            </w:pPr>
            <w:r>
              <w:t>AGU</w:t>
            </w:r>
          </w:p>
        </w:tc>
      </w:tr>
      <w:tr w:rsidR="00824338" w14:paraId="79275613" w14:textId="77777777" w:rsidTr="00031618">
        <w:tblPrEx>
          <w:tblBorders>
            <w:insideH w:val="single" w:sz="4" w:space="0" w:color="auto"/>
            <w:insideV w:val="single" w:sz="4" w:space="0" w:color="auto"/>
          </w:tblBorders>
        </w:tblPrEx>
        <w:tc>
          <w:tcPr>
            <w:tcW w:w="1975" w:type="dxa"/>
            <w:shd w:val="clear" w:color="auto" w:fill="auto"/>
          </w:tcPr>
          <w:p w14:paraId="2D8BF187" w14:textId="77777777" w:rsidR="003E3D07" w:rsidRDefault="003E3D07">
            <w:pPr>
              <w:pStyle w:val="TableText"/>
              <w:rPr>
                <w:rFonts w:eastAsia="Symbol"/>
              </w:rPr>
            </w:pPr>
            <w:r>
              <w:t>Anti-P1</w:t>
            </w:r>
          </w:p>
        </w:tc>
        <w:tc>
          <w:tcPr>
            <w:tcW w:w="1710" w:type="dxa"/>
            <w:shd w:val="clear" w:color="auto" w:fill="auto"/>
          </w:tcPr>
          <w:p w14:paraId="6CBD8C3A" w14:textId="77777777" w:rsidR="003E3D07" w:rsidRDefault="003E3D07">
            <w:pPr>
              <w:pStyle w:val="TableText"/>
            </w:pPr>
            <w:r>
              <w:t>Anti-P1</w:t>
            </w:r>
          </w:p>
        </w:tc>
        <w:tc>
          <w:tcPr>
            <w:tcW w:w="878" w:type="dxa"/>
            <w:shd w:val="clear" w:color="auto" w:fill="auto"/>
          </w:tcPr>
          <w:p w14:paraId="3EB97226" w14:textId="77777777" w:rsidR="003E3D07" w:rsidRDefault="003E3D07">
            <w:pPr>
              <w:pStyle w:val="TableText"/>
            </w:pPr>
            <w:r>
              <w:t>No</w:t>
            </w:r>
          </w:p>
        </w:tc>
        <w:tc>
          <w:tcPr>
            <w:tcW w:w="878" w:type="dxa"/>
            <w:shd w:val="clear" w:color="auto" w:fill="auto"/>
          </w:tcPr>
          <w:p w14:paraId="6B5CF6FD" w14:textId="77777777" w:rsidR="003E3D07" w:rsidRDefault="003E3D07">
            <w:pPr>
              <w:pStyle w:val="TableText"/>
              <w:rPr>
                <w:rFonts w:eastAsia="Symbol"/>
              </w:rPr>
            </w:pPr>
            <w:r>
              <w:t>Optional</w:t>
            </w:r>
          </w:p>
        </w:tc>
        <w:tc>
          <w:tcPr>
            <w:tcW w:w="1253" w:type="dxa"/>
            <w:shd w:val="clear" w:color="auto" w:fill="auto"/>
          </w:tcPr>
          <w:p w14:paraId="687C4A49" w14:textId="77777777" w:rsidR="003E3D07" w:rsidRDefault="003E3D07">
            <w:pPr>
              <w:pStyle w:val="TableText"/>
              <w:rPr>
                <w:rFonts w:eastAsia="Symbol"/>
              </w:rPr>
            </w:pPr>
            <w:r>
              <w:t>P1</w:t>
            </w:r>
          </w:p>
        </w:tc>
        <w:tc>
          <w:tcPr>
            <w:tcW w:w="1253" w:type="dxa"/>
            <w:shd w:val="clear" w:color="auto" w:fill="auto"/>
          </w:tcPr>
          <w:p w14:paraId="033AAE76" w14:textId="77777777" w:rsidR="003E3D07" w:rsidRDefault="003E3D07">
            <w:pPr>
              <w:pStyle w:val="TableText"/>
              <w:rPr>
                <w:rFonts w:eastAsia="Symbol"/>
              </w:rPr>
            </w:pPr>
            <w:r>
              <w:t>P1</w:t>
            </w:r>
          </w:p>
        </w:tc>
        <w:tc>
          <w:tcPr>
            <w:tcW w:w="1296" w:type="dxa"/>
            <w:shd w:val="clear" w:color="auto" w:fill="auto"/>
          </w:tcPr>
          <w:p w14:paraId="7D439378" w14:textId="77777777" w:rsidR="003E3D07" w:rsidRDefault="003E3D07">
            <w:pPr>
              <w:pStyle w:val="TableText"/>
              <w:rPr>
                <w:rFonts w:eastAsia="Symbol"/>
              </w:rPr>
            </w:pPr>
            <w:r>
              <w:rPr>
                <w:rFonts w:eastAsia="Symbol"/>
              </w:rPr>
              <w:t>21</w:t>
            </w:r>
          </w:p>
        </w:tc>
        <w:tc>
          <w:tcPr>
            <w:tcW w:w="841" w:type="dxa"/>
            <w:shd w:val="clear" w:color="auto" w:fill="auto"/>
          </w:tcPr>
          <w:p w14:paraId="247D620D" w14:textId="77777777" w:rsidR="003E3D07" w:rsidRDefault="003E3D07">
            <w:pPr>
              <w:pStyle w:val="TableText"/>
              <w:rPr>
                <w:rFonts w:eastAsia="Symbol"/>
              </w:rPr>
            </w:pPr>
            <w:r>
              <w:t>AGP1</w:t>
            </w:r>
          </w:p>
        </w:tc>
      </w:tr>
      <w:tr w:rsidR="00824338" w14:paraId="498FCCEB" w14:textId="77777777" w:rsidTr="00031618">
        <w:tblPrEx>
          <w:tblBorders>
            <w:insideH w:val="single" w:sz="4" w:space="0" w:color="auto"/>
            <w:insideV w:val="single" w:sz="4" w:space="0" w:color="auto"/>
          </w:tblBorders>
        </w:tblPrEx>
        <w:tc>
          <w:tcPr>
            <w:tcW w:w="1975" w:type="dxa"/>
            <w:shd w:val="clear" w:color="auto" w:fill="auto"/>
          </w:tcPr>
          <w:p w14:paraId="751E106F" w14:textId="77777777" w:rsidR="003E3D07" w:rsidRDefault="003E3D07">
            <w:pPr>
              <w:pStyle w:val="TableText"/>
              <w:rPr>
                <w:rFonts w:eastAsia="Symbol"/>
              </w:rPr>
            </w:pPr>
            <w:r>
              <w:t>Anti-Le(a)</w:t>
            </w:r>
          </w:p>
        </w:tc>
        <w:tc>
          <w:tcPr>
            <w:tcW w:w="1710" w:type="dxa"/>
            <w:shd w:val="clear" w:color="auto" w:fill="auto"/>
          </w:tcPr>
          <w:p w14:paraId="1D696425" w14:textId="77777777" w:rsidR="003E3D07" w:rsidRDefault="003E3D07">
            <w:pPr>
              <w:pStyle w:val="TableText"/>
              <w:rPr>
                <w:rFonts w:eastAsia="Symbol"/>
              </w:rPr>
            </w:pPr>
            <w:r>
              <w:t>Anti-Le(a)</w:t>
            </w:r>
          </w:p>
        </w:tc>
        <w:tc>
          <w:tcPr>
            <w:tcW w:w="878" w:type="dxa"/>
            <w:shd w:val="clear" w:color="auto" w:fill="auto"/>
          </w:tcPr>
          <w:p w14:paraId="6F338F9E" w14:textId="77777777" w:rsidR="003E3D07" w:rsidRDefault="003E3D07">
            <w:pPr>
              <w:pStyle w:val="TableText"/>
            </w:pPr>
            <w:r>
              <w:t>No</w:t>
            </w:r>
          </w:p>
        </w:tc>
        <w:tc>
          <w:tcPr>
            <w:tcW w:w="878" w:type="dxa"/>
            <w:shd w:val="clear" w:color="auto" w:fill="auto"/>
          </w:tcPr>
          <w:p w14:paraId="281998BC" w14:textId="77777777" w:rsidR="003E3D07" w:rsidRDefault="003E3D07">
            <w:pPr>
              <w:pStyle w:val="TableText"/>
              <w:rPr>
                <w:rFonts w:eastAsia="Symbol"/>
              </w:rPr>
            </w:pPr>
            <w:r>
              <w:t>Optional</w:t>
            </w:r>
          </w:p>
        </w:tc>
        <w:tc>
          <w:tcPr>
            <w:tcW w:w="1253" w:type="dxa"/>
            <w:shd w:val="clear" w:color="auto" w:fill="auto"/>
          </w:tcPr>
          <w:p w14:paraId="79053358" w14:textId="77777777" w:rsidR="003E3D07" w:rsidRDefault="003E3D07">
            <w:pPr>
              <w:pStyle w:val="TableText"/>
              <w:rPr>
                <w:rFonts w:eastAsia="Symbol"/>
              </w:rPr>
            </w:pPr>
            <w:r>
              <w:t>Le(a)</w:t>
            </w:r>
          </w:p>
        </w:tc>
        <w:tc>
          <w:tcPr>
            <w:tcW w:w="1253" w:type="dxa"/>
            <w:shd w:val="clear" w:color="auto" w:fill="auto"/>
          </w:tcPr>
          <w:p w14:paraId="578FA902" w14:textId="77777777" w:rsidR="003E3D07" w:rsidRDefault="003E3D07">
            <w:pPr>
              <w:pStyle w:val="TableText"/>
              <w:rPr>
                <w:rFonts w:eastAsia="Symbol"/>
              </w:rPr>
            </w:pPr>
            <w:r>
              <w:t>Le(a)</w:t>
            </w:r>
          </w:p>
        </w:tc>
        <w:tc>
          <w:tcPr>
            <w:tcW w:w="1296" w:type="dxa"/>
            <w:shd w:val="clear" w:color="auto" w:fill="auto"/>
          </w:tcPr>
          <w:p w14:paraId="3D539D40" w14:textId="77777777" w:rsidR="003E3D07" w:rsidRDefault="003E3D07">
            <w:pPr>
              <w:pStyle w:val="TableText"/>
              <w:rPr>
                <w:rFonts w:eastAsia="Symbol"/>
              </w:rPr>
            </w:pPr>
            <w:r>
              <w:t>78</w:t>
            </w:r>
          </w:p>
        </w:tc>
        <w:tc>
          <w:tcPr>
            <w:tcW w:w="841" w:type="dxa"/>
            <w:shd w:val="clear" w:color="auto" w:fill="auto"/>
          </w:tcPr>
          <w:p w14:paraId="4BC46CD4" w14:textId="77777777" w:rsidR="003E3D07" w:rsidRDefault="003E3D07">
            <w:pPr>
              <w:pStyle w:val="TableText"/>
              <w:rPr>
                <w:rFonts w:eastAsia="Symbol"/>
              </w:rPr>
            </w:pPr>
            <w:r>
              <w:t>AGLe(a)</w:t>
            </w:r>
          </w:p>
        </w:tc>
      </w:tr>
      <w:tr w:rsidR="00824338" w14:paraId="4444A92F" w14:textId="77777777" w:rsidTr="00031618">
        <w:tblPrEx>
          <w:tblBorders>
            <w:insideH w:val="single" w:sz="4" w:space="0" w:color="auto"/>
            <w:insideV w:val="single" w:sz="4" w:space="0" w:color="auto"/>
          </w:tblBorders>
        </w:tblPrEx>
        <w:tc>
          <w:tcPr>
            <w:tcW w:w="1975" w:type="dxa"/>
            <w:shd w:val="clear" w:color="auto" w:fill="auto"/>
          </w:tcPr>
          <w:p w14:paraId="2CB52D49" w14:textId="77777777" w:rsidR="003E3D07" w:rsidRDefault="003E3D07">
            <w:pPr>
              <w:pStyle w:val="TableText"/>
              <w:rPr>
                <w:rFonts w:eastAsia="Symbol"/>
              </w:rPr>
            </w:pPr>
            <w:r>
              <w:t>Anti-Le(b)</w:t>
            </w:r>
          </w:p>
        </w:tc>
        <w:tc>
          <w:tcPr>
            <w:tcW w:w="1710" w:type="dxa"/>
            <w:shd w:val="clear" w:color="auto" w:fill="auto"/>
          </w:tcPr>
          <w:p w14:paraId="3D972229" w14:textId="77777777" w:rsidR="003E3D07" w:rsidRDefault="003E3D07">
            <w:pPr>
              <w:pStyle w:val="TableText"/>
              <w:rPr>
                <w:rFonts w:eastAsia="Symbol"/>
              </w:rPr>
            </w:pPr>
            <w:r>
              <w:t>Anti-Le(b)</w:t>
            </w:r>
          </w:p>
        </w:tc>
        <w:tc>
          <w:tcPr>
            <w:tcW w:w="878" w:type="dxa"/>
            <w:shd w:val="clear" w:color="auto" w:fill="auto"/>
          </w:tcPr>
          <w:p w14:paraId="6A065429" w14:textId="77777777" w:rsidR="003E3D07" w:rsidRDefault="003E3D07">
            <w:pPr>
              <w:pStyle w:val="TableText"/>
            </w:pPr>
            <w:r>
              <w:t>No</w:t>
            </w:r>
          </w:p>
        </w:tc>
        <w:tc>
          <w:tcPr>
            <w:tcW w:w="878" w:type="dxa"/>
            <w:shd w:val="clear" w:color="auto" w:fill="auto"/>
          </w:tcPr>
          <w:p w14:paraId="0FD79DDC" w14:textId="77777777" w:rsidR="003E3D07" w:rsidRDefault="003E3D07">
            <w:pPr>
              <w:pStyle w:val="TableText"/>
              <w:rPr>
                <w:rFonts w:eastAsia="Symbol"/>
              </w:rPr>
            </w:pPr>
            <w:r>
              <w:t>Optional</w:t>
            </w:r>
          </w:p>
        </w:tc>
        <w:tc>
          <w:tcPr>
            <w:tcW w:w="1253" w:type="dxa"/>
            <w:shd w:val="clear" w:color="auto" w:fill="auto"/>
          </w:tcPr>
          <w:p w14:paraId="5DCFC927" w14:textId="77777777" w:rsidR="003E3D07" w:rsidRDefault="003E3D07">
            <w:pPr>
              <w:pStyle w:val="TableText"/>
              <w:rPr>
                <w:rFonts w:eastAsia="Symbol"/>
              </w:rPr>
            </w:pPr>
            <w:r>
              <w:t>Le(b)</w:t>
            </w:r>
          </w:p>
        </w:tc>
        <w:tc>
          <w:tcPr>
            <w:tcW w:w="1253" w:type="dxa"/>
            <w:shd w:val="clear" w:color="auto" w:fill="auto"/>
          </w:tcPr>
          <w:p w14:paraId="0764BAE8" w14:textId="77777777" w:rsidR="003E3D07" w:rsidRDefault="003E3D07">
            <w:pPr>
              <w:pStyle w:val="TableText"/>
              <w:rPr>
                <w:rFonts w:eastAsia="Symbol"/>
              </w:rPr>
            </w:pPr>
            <w:r>
              <w:t>Le(b)</w:t>
            </w:r>
          </w:p>
        </w:tc>
        <w:tc>
          <w:tcPr>
            <w:tcW w:w="1296" w:type="dxa"/>
            <w:shd w:val="clear" w:color="auto" w:fill="auto"/>
          </w:tcPr>
          <w:p w14:paraId="3E6312AD" w14:textId="77777777" w:rsidR="003E3D07" w:rsidRDefault="003E3D07">
            <w:pPr>
              <w:pStyle w:val="TableText"/>
              <w:rPr>
                <w:rFonts w:eastAsia="Symbol"/>
              </w:rPr>
            </w:pPr>
            <w:r>
              <w:t>37</w:t>
            </w:r>
          </w:p>
        </w:tc>
        <w:tc>
          <w:tcPr>
            <w:tcW w:w="841" w:type="dxa"/>
            <w:shd w:val="clear" w:color="auto" w:fill="auto"/>
          </w:tcPr>
          <w:p w14:paraId="79D039C1" w14:textId="77777777" w:rsidR="003E3D07" w:rsidRDefault="003E3D07">
            <w:pPr>
              <w:pStyle w:val="TableText"/>
              <w:rPr>
                <w:rFonts w:eastAsia="Symbol"/>
              </w:rPr>
            </w:pPr>
            <w:r>
              <w:t>AGLe(b)</w:t>
            </w:r>
          </w:p>
        </w:tc>
      </w:tr>
      <w:tr w:rsidR="00824338" w14:paraId="6CCDEF03" w14:textId="77777777" w:rsidTr="00031618">
        <w:tblPrEx>
          <w:tblBorders>
            <w:insideH w:val="single" w:sz="4" w:space="0" w:color="auto"/>
            <w:insideV w:val="single" w:sz="4" w:space="0" w:color="auto"/>
          </w:tblBorders>
        </w:tblPrEx>
        <w:tc>
          <w:tcPr>
            <w:tcW w:w="1975" w:type="dxa"/>
            <w:shd w:val="clear" w:color="auto" w:fill="auto"/>
          </w:tcPr>
          <w:p w14:paraId="191B4485" w14:textId="77777777" w:rsidR="003E3D07" w:rsidRDefault="003E3D07">
            <w:pPr>
              <w:pStyle w:val="TableText"/>
              <w:rPr>
                <w:rFonts w:eastAsia="Symbol"/>
              </w:rPr>
            </w:pPr>
            <w:r>
              <w:t>Anti-</w:t>
            </w:r>
            <w:proofErr w:type="spellStart"/>
            <w:r>
              <w:t>Js</w:t>
            </w:r>
            <w:proofErr w:type="spellEnd"/>
            <w:r>
              <w:t>(a)</w:t>
            </w:r>
          </w:p>
        </w:tc>
        <w:tc>
          <w:tcPr>
            <w:tcW w:w="1710" w:type="dxa"/>
            <w:shd w:val="clear" w:color="auto" w:fill="auto"/>
          </w:tcPr>
          <w:p w14:paraId="462070FE" w14:textId="77777777" w:rsidR="003E3D07" w:rsidRDefault="003E3D07">
            <w:pPr>
              <w:pStyle w:val="TableText"/>
              <w:rPr>
                <w:rFonts w:eastAsia="Symbol"/>
              </w:rPr>
            </w:pPr>
            <w:r>
              <w:t>Anti-</w:t>
            </w:r>
            <w:proofErr w:type="spellStart"/>
            <w:r>
              <w:t>Js</w:t>
            </w:r>
            <w:proofErr w:type="spellEnd"/>
            <w:r>
              <w:t>(a)</w:t>
            </w:r>
          </w:p>
        </w:tc>
        <w:tc>
          <w:tcPr>
            <w:tcW w:w="878" w:type="dxa"/>
            <w:shd w:val="clear" w:color="auto" w:fill="auto"/>
          </w:tcPr>
          <w:p w14:paraId="659B8F78" w14:textId="77777777" w:rsidR="003E3D07" w:rsidRDefault="003E3D07">
            <w:pPr>
              <w:pStyle w:val="TableText"/>
              <w:rPr>
                <w:b/>
                <w:bCs/>
              </w:rPr>
            </w:pPr>
            <w:r>
              <w:rPr>
                <w:bCs/>
              </w:rPr>
              <w:t>Yes</w:t>
            </w:r>
          </w:p>
        </w:tc>
        <w:tc>
          <w:tcPr>
            <w:tcW w:w="878" w:type="dxa"/>
            <w:shd w:val="clear" w:color="auto" w:fill="auto"/>
          </w:tcPr>
          <w:p w14:paraId="1BDBEE93" w14:textId="77777777" w:rsidR="003E3D07" w:rsidRDefault="003E3D07">
            <w:pPr>
              <w:pStyle w:val="TableText"/>
              <w:rPr>
                <w:rFonts w:eastAsia="Symbol"/>
              </w:rPr>
            </w:pPr>
            <w:r>
              <w:t>Optional</w:t>
            </w:r>
          </w:p>
        </w:tc>
        <w:tc>
          <w:tcPr>
            <w:tcW w:w="1253" w:type="dxa"/>
            <w:shd w:val="clear" w:color="auto" w:fill="auto"/>
          </w:tcPr>
          <w:p w14:paraId="5F5C3A2B" w14:textId="77777777" w:rsidR="003E3D07" w:rsidRDefault="003E3D07">
            <w:pPr>
              <w:pStyle w:val="TableText"/>
              <w:rPr>
                <w:rFonts w:eastAsia="Symbol"/>
              </w:rPr>
            </w:pPr>
            <w:proofErr w:type="spellStart"/>
            <w:r>
              <w:t>Js</w:t>
            </w:r>
            <w:proofErr w:type="spellEnd"/>
            <w:r>
              <w:t>(a)</w:t>
            </w:r>
          </w:p>
        </w:tc>
        <w:tc>
          <w:tcPr>
            <w:tcW w:w="1253" w:type="dxa"/>
            <w:shd w:val="clear" w:color="auto" w:fill="auto"/>
          </w:tcPr>
          <w:p w14:paraId="7030695F" w14:textId="77777777" w:rsidR="003E3D07" w:rsidRDefault="003E3D07">
            <w:pPr>
              <w:pStyle w:val="TableText"/>
              <w:rPr>
                <w:rFonts w:eastAsia="Symbol"/>
              </w:rPr>
            </w:pPr>
            <w:proofErr w:type="spellStart"/>
            <w:r>
              <w:t>Js</w:t>
            </w:r>
            <w:proofErr w:type="spellEnd"/>
            <w:r>
              <w:t>(a)</w:t>
            </w:r>
          </w:p>
        </w:tc>
        <w:tc>
          <w:tcPr>
            <w:tcW w:w="1296" w:type="dxa"/>
            <w:shd w:val="clear" w:color="auto" w:fill="auto"/>
          </w:tcPr>
          <w:p w14:paraId="0C4754FB" w14:textId="77777777" w:rsidR="003E3D07" w:rsidRDefault="003E3D07">
            <w:pPr>
              <w:pStyle w:val="TableText"/>
              <w:rPr>
                <w:rFonts w:eastAsia="Symbol"/>
              </w:rPr>
            </w:pPr>
            <w:r>
              <w:t>90</w:t>
            </w:r>
          </w:p>
        </w:tc>
        <w:tc>
          <w:tcPr>
            <w:tcW w:w="841" w:type="dxa"/>
            <w:shd w:val="clear" w:color="auto" w:fill="auto"/>
          </w:tcPr>
          <w:p w14:paraId="2793D137" w14:textId="77777777" w:rsidR="003E3D07" w:rsidRDefault="003E3D07">
            <w:pPr>
              <w:pStyle w:val="TableText"/>
              <w:rPr>
                <w:rFonts w:eastAsia="Symbol"/>
              </w:rPr>
            </w:pPr>
            <w:r>
              <w:t>AGJs(a)</w:t>
            </w:r>
          </w:p>
        </w:tc>
      </w:tr>
      <w:tr w:rsidR="00824338" w14:paraId="483CC55D" w14:textId="77777777" w:rsidTr="00031618">
        <w:tblPrEx>
          <w:tblBorders>
            <w:insideH w:val="single" w:sz="4" w:space="0" w:color="auto"/>
            <w:insideV w:val="single" w:sz="4" w:space="0" w:color="auto"/>
          </w:tblBorders>
        </w:tblPrEx>
        <w:tc>
          <w:tcPr>
            <w:tcW w:w="1975" w:type="dxa"/>
            <w:shd w:val="clear" w:color="auto" w:fill="auto"/>
          </w:tcPr>
          <w:p w14:paraId="33574399" w14:textId="77777777" w:rsidR="003E3D07" w:rsidRDefault="003E3D07">
            <w:pPr>
              <w:pStyle w:val="TableText"/>
              <w:rPr>
                <w:rFonts w:eastAsia="Symbol"/>
              </w:rPr>
            </w:pPr>
            <w:r>
              <w:t>Anti-</w:t>
            </w:r>
            <w:proofErr w:type="spellStart"/>
            <w:r>
              <w:t>Js</w:t>
            </w:r>
            <w:proofErr w:type="spellEnd"/>
            <w:r>
              <w:t>(b)</w:t>
            </w:r>
          </w:p>
        </w:tc>
        <w:tc>
          <w:tcPr>
            <w:tcW w:w="1710" w:type="dxa"/>
            <w:shd w:val="clear" w:color="auto" w:fill="auto"/>
          </w:tcPr>
          <w:p w14:paraId="35C901A6" w14:textId="77777777" w:rsidR="003E3D07" w:rsidRDefault="003E3D07">
            <w:pPr>
              <w:pStyle w:val="TableText"/>
              <w:rPr>
                <w:rFonts w:eastAsia="Symbol"/>
              </w:rPr>
            </w:pPr>
            <w:r>
              <w:t>Anti-</w:t>
            </w:r>
            <w:proofErr w:type="spellStart"/>
            <w:r>
              <w:t>Js</w:t>
            </w:r>
            <w:proofErr w:type="spellEnd"/>
            <w:r>
              <w:t>(b)</w:t>
            </w:r>
          </w:p>
        </w:tc>
        <w:tc>
          <w:tcPr>
            <w:tcW w:w="878" w:type="dxa"/>
            <w:shd w:val="clear" w:color="auto" w:fill="auto"/>
          </w:tcPr>
          <w:p w14:paraId="7B511890" w14:textId="77777777" w:rsidR="003E3D07" w:rsidRDefault="003E3D07">
            <w:pPr>
              <w:pStyle w:val="TableText"/>
              <w:rPr>
                <w:b/>
                <w:bCs/>
              </w:rPr>
            </w:pPr>
            <w:r>
              <w:rPr>
                <w:bCs/>
              </w:rPr>
              <w:t>Yes</w:t>
            </w:r>
          </w:p>
        </w:tc>
        <w:tc>
          <w:tcPr>
            <w:tcW w:w="878" w:type="dxa"/>
            <w:shd w:val="clear" w:color="auto" w:fill="auto"/>
          </w:tcPr>
          <w:p w14:paraId="712855A7" w14:textId="77777777" w:rsidR="003E3D07" w:rsidRDefault="003E3D07">
            <w:pPr>
              <w:pStyle w:val="TableText"/>
              <w:rPr>
                <w:rFonts w:eastAsia="Symbol"/>
              </w:rPr>
            </w:pPr>
            <w:r>
              <w:t>Optional</w:t>
            </w:r>
          </w:p>
        </w:tc>
        <w:tc>
          <w:tcPr>
            <w:tcW w:w="1253" w:type="dxa"/>
            <w:shd w:val="clear" w:color="auto" w:fill="auto"/>
          </w:tcPr>
          <w:p w14:paraId="336AE5EC" w14:textId="77777777" w:rsidR="003E3D07" w:rsidRDefault="003E3D07">
            <w:pPr>
              <w:pStyle w:val="TableText"/>
              <w:rPr>
                <w:rFonts w:eastAsia="Symbol"/>
              </w:rPr>
            </w:pPr>
            <w:proofErr w:type="spellStart"/>
            <w:r>
              <w:t>Js</w:t>
            </w:r>
            <w:proofErr w:type="spellEnd"/>
            <w:r>
              <w:t>(b)</w:t>
            </w:r>
          </w:p>
        </w:tc>
        <w:tc>
          <w:tcPr>
            <w:tcW w:w="1253" w:type="dxa"/>
            <w:shd w:val="clear" w:color="auto" w:fill="auto"/>
          </w:tcPr>
          <w:p w14:paraId="27036B1F" w14:textId="77777777" w:rsidR="003E3D07" w:rsidRDefault="003E3D07">
            <w:pPr>
              <w:pStyle w:val="TableText"/>
              <w:rPr>
                <w:rFonts w:eastAsia="Symbol"/>
              </w:rPr>
            </w:pPr>
            <w:proofErr w:type="spellStart"/>
            <w:r>
              <w:t>Js</w:t>
            </w:r>
            <w:proofErr w:type="spellEnd"/>
            <w:r>
              <w:t>(b)</w:t>
            </w:r>
          </w:p>
        </w:tc>
        <w:tc>
          <w:tcPr>
            <w:tcW w:w="1296" w:type="dxa"/>
            <w:shd w:val="clear" w:color="auto" w:fill="auto"/>
          </w:tcPr>
          <w:p w14:paraId="49315CAD" w14:textId="77777777" w:rsidR="003E3D07" w:rsidRDefault="003E3D07">
            <w:pPr>
              <w:pStyle w:val="TableText"/>
              <w:rPr>
                <w:rFonts w:eastAsia="Symbol"/>
              </w:rPr>
            </w:pPr>
            <w:r>
              <w:t>10</w:t>
            </w:r>
          </w:p>
        </w:tc>
        <w:tc>
          <w:tcPr>
            <w:tcW w:w="841" w:type="dxa"/>
            <w:shd w:val="clear" w:color="auto" w:fill="auto"/>
          </w:tcPr>
          <w:p w14:paraId="05BD3F94" w14:textId="77777777" w:rsidR="003E3D07" w:rsidRDefault="003E3D07">
            <w:pPr>
              <w:pStyle w:val="TableText"/>
              <w:rPr>
                <w:rFonts w:eastAsia="Symbol"/>
              </w:rPr>
            </w:pPr>
            <w:r>
              <w:t>AGJs(b)</w:t>
            </w:r>
          </w:p>
        </w:tc>
      </w:tr>
      <w:tr w:rsidR="00824338" w14:paraId="48713D53" w14:textId="77777777" w:rsidTr="00031618">
        <w:tblPrEx>
          <w:tblBorders>
            <w:insideH w:val="single" w:sz="4" w:space="0" w:color="auto"/>
            <w:insideV w:val="single" w:sz="4" w:space="0" w:color="auto"/>
          </w:tblBorders>
        </w:tblPrEx>
        <w:tc>
          <w:tcPr>
            <w:tcW w:w="1975" w:type="dxa"/>
            <w:shd w:val="clear" w:color="auto" w:fill="auto"/>
          </w:tcPr>
          <w:p w14:paraId="5E6C6E41" w14:textId="77777777" w:rsidR="003E3D07" w:rsidRDefault="003E3D07">
            <w:pPr>
              <w:pStyle w:val="TableText"/>
              <w:rPr>
                <w:rFonts w:eastAsia="Symbol"/>
              </w:rPr>
            </w:pPr>
            <w:r>
              <w:t>Anti-Lu(a)</w:t>
            </w:r>
          </w:p>
        </w:tc>
        <w:tc>
          <w:tcPr>
            <w:tcW w:w="1710" w:type="dxa"/>
            <w:shd w:val="clear" w:color="auto" w:fill="auto"/>
          </w:tcPr>
          <w:p w14:paraId="00CE9BEB" w14:textId="77777777" w:rsidR="003E3D07" w:rsidRDefault="003E3D07">
            <w:pPr>
              <w:pStyle w:val="TableText"/>
            </w:pPr>
            <w:r>
              <w:t>Anti-Lu(a)</w:t>
            </w:r>
          </w:p>
        </w:tc>
        <w:tc>
          <w:tcPr>
            <w:tcW w:w="878" w:type="dxa"/>
            <w:shd w:val="clear" w:color="auto" w:fill="auto"/>
          </w:tcPr>
          <w:p w14:paraId="114033DB" w14:textId="77777777" w:rsidR="003E3D07" w:rsidRDefault="003E3D07">
            <w:pPr>
              <w:pStyle w:val="TableText"/>
            </w:pPr>
            <w:r>
              <w:t>No</w:t>
            </w:r>
          </w:p>
        </w:tc>
        <w:tc>
          <w:tcPr>
            <w:tcW w:w="878" w:type="dxa"/>
            <w:shd w:val="clear" w:color="auto" w:fill="auto"/>
          </w:tcPr>
          <w:p w14:paraId="671215D9" w14:textId="77777777" w:rsidR="003E3D07" w:rsidRDefault="003E3D07">
            <w:pPr>
              <w:pStyle w:val="TableText"/>
              <w:rPr>
                <w:rFonts w:eastAsia="Symbol"/>
              </w:rPr>
            </w:pPr>
            <w:r>
              <w:t>Optional</w:t>
            </w:r>
          </w:p>
        </w:tc>
        <w:tc>
          <w:tcPr>
            <w:tcW w:w="1253" w:type="dxa"/>
            <w:shd w:val="clear" w:color="auto" w:fill="auto"/>
          </w:tcPr>
          <w:p w14:paraId="3BDD2180" w14:textId="77777777" w:rsidR="003E3D07" w:rsidRDefault="003E3D07">
            <w:pPr>
              <w:pStyle w:val="TableText"/>
              <w:rPr>
                <w:rFonts w:eastAsia="Symbol"/>
              </w:rPr>
            </w:pPr>
            <w:r>
              <w:t>Lu(a)</w:t>
            </w:r>
          </w:p>
        </w:tc>
        <w:tc>
          <w:tcPr>
            <w:tcW w:w="1253" w:type="dxa"/>
            <w:shd w:val="clear" w:color="auto" w:fill="auto"/>
          </w:tcPr>
          <w:p w14:paraId="2D5B10CE" w14:textId="77777777" w:rsidR="003E3D07" w:rsidRDefault="003E3D07">
            <w:pPr>
              <w:pStyle w:val="TableText"/>
            </w:pPr>
            <w:r>
              <w:t>Lu(a)</w:t>
            </w:r>
          </w:p>
        </w:tc>
        <w:tc>
          <w:tcPr>
            <w:tcW w:w="1296" w:type="dxa"/>
            <w:shd w:val="clear" w:color="auto" w:fill="auto"/>
          </w:tcPr>
          <w:p w14:paraId="19A0787E" w14:textId="77777777" w:rsidR="003E3D07" w:rsidRDefault="003E3D07">
            <w:pPr>
              <w:pStyle w:val="TableText"/>
              <w:rPr>
                <w:rFonts w:eastAsia="Symbol"/>
              </w:rPr>
            </w:pPr>
            <w:r>
              <w:t>92</w:t>
            </w:r>
          </w:p>
        </w:tc>
        <w:tc>
          <w:tcPr>
            <w:tcW w:w="841" w:type="dxa"/>
            <w:shd w:val="clear" w:color="auto" w:fill="auto"/>
          </w:tcPr>
          <w:p w14:paraId="3C3B4274" w14:textId="77777777" w:rsidR="003E3D07" w:rsidRDefault="003E3D07">
            <w:pPr>
              <w:pStyle w:val="TableText"/>
              <w:rPr>
                <w:rFonts w:eastAsia="Symbol"/>
              </w:rPr>
            </w:pPr>
            <w:r>
              <w:t>AGLu(a)</w:t>
            </w:r>
          </w:p>
        </w:tc>
      </w:tr>
      <w:tr w:rsidR="00824338" w14:paraId="309FFED3" w14:textId="77777777" w:rsidTr="00031618">
        <w:tblPrEx>
          <w:tblBorders>
            <w:insideH w:val="single" w:sz="4" w:space="0" w:color="auto"/>
            <w:insideV w:val="single" w:sz="4" w:space="0" w:color="auto"/>
          </w:tblBorders>
        </w:tblPrEx>
        <w:tc>
          <w:tcPr>
            <w:tcW w:w="1975" w:type="dxa"/>
            <w:shd w:val="clear" w:color="auto" w:fill="auto"/>
          </w:tcPr>
          <w:p w14:paraId="3B4A632F" w14:textId="77777777" w:rsidR="003E3D07" w:rsidRDefault="003E3D07">
            <w:pPr>
              <w:pStyle w:val="TableText"/>
              <w:rPr>
                <w:rFonts w:eastAsia="Symbol"/>
              </w:rPr>
            </w:pPr>
            <w:r>
              <w:t>Anti-Lu(b)</w:t>
            </w:r>
          </w:p>
        </w:tc>
        <w:tc>
          <w:tcPr>
            <w:tcW w:w="1710" w:type="dxa"/>
            <w:shd w:val="clear" w:color="auto" w:fill="auto"/>
          </w:tcPr>
          <w:p w14:paraId="2FCBC73C" w14:textId="77777777" w:rsidR="003E3D07" w:rsidRDefault="003E3D07">
            <w:pPr>
              <w:pStyle w:val="TableText"/>
            </w:pPr>
            <w:r>
              <w:t>Anti-Lu(b)</w:t>
            </w:r>
          </w:p>
        </w:tc>
        <w:tc>
          <w:tcPr>
            <w:tcW w:w="878" w:type="dxa"/>
            <w:shd w:val="clear" w:color="auto" w:fill="auto"/>
          </w:tcPr>
          <w:p w14:paraId="37A71560" w14:textId="77777777" w:rsidR="003E3D07" w:rsidRDefault="003E3D07">
            <w:pPr>
              <w:pStyle w:val="TableText"/>
            </w:pPr>
            <w:r>
              <w:t>No</w:t>
            </w:r>
          </w:p>
        </w:tc>
        <w:tc>
          <w:tcPr>
            <w:tcW w:w="878" w:type="dxa"/>
            <w:shd w:val="clear" w:color="auto" w:fill="auto"/>
          </w:tcPr>
          <w:p w14:paraId="1FEBCFC8" w14:textId="77777777" w:rsidR="003E3D07" w:rsidRDefault="003E3D07">
            <w:pPr>
              <w:pStyle w:val="TableText"/>
              <w:rPr>
                <w:rFonts w:eastAsia="Symbol"/>
              </w:rPr>
            </w:pPr>
            <w:r>
              <w:t>Optional</w:t>
            </w:r>
          </w:p>
        </w:tc>
        <w:tc>
          <w:tcPr>
            <w:tcW w:w="1253" w:type="dxa"/>
            <w:shd w:val="clear" w:color="auto" w:fill="auto"/>
          </w:tcPr>
          <w:p w14:paraId="348EDF35" w14:textId="77777777" w:rsidR="003E3D07" w:rsidRDefault="003E3D07">
            <w:pPr>
              <w:pStyle w:val="TableText"/>
              <w:rPr>
                <w:rFonts w:eastAsia="Symbol"/>
              </w:rPr>
            </w:pPr>
            <w:r>
              <w:t>Lu(b)</w:t>
            </w:r>
          </w:p>
        </w:tc>
        <w:tc>
          <w:tcPr>
            <w:tcW w:w="1253" w:type="dxa"/>
            <w:shd w:val="clear" w:color="auto" w:fill="auto"/>
          </w:tcPr>
          <w:p w14:paraId="6815CCE4" w14:textId="77777777" w:rsidR="003E3D07" w:rsidRDefault="003E3D07">
            <w:pPr>
              <w:pStyle w:val="TableText"/>
            </w:pPr>
            <w:r>
              <w:t>Lu(b)</w:t>
            </w:r>
          </w:p>
        </w:tc>
        <w:tc>
          <w:tcPr>
            <w:tcW w:w="1296" w:type="dxa"/>
            <w:shd w:val="clear" w:color="auto" w:fill="auto"/>
          </w:tcPr>
          <w:p w14:paraId="27624276" w14:textId="77777777" w:rsidR="003E3D07" w:rsidRDefault="003E3D07">
            <w:pPr>
              <w:pStyle w:val="TableText"/>
              <w:rPr>
                <w:rFonts w:eastAsia="Symbol"/>
              </w:rPr>
            </w:pPr>
            <w:r>
              <w:t>2</w:t>
            </w:r>
          </w:p>
        </w:tc>
        <w:tc>
          <w:tcPr>
            <w:tcW w:w="841" w:type="dxa"/>
            <w:shd w:val="clear" w:color="auto" w:fill="auto"/>
          </w:tcPr>
          <w:p w14:paraId="7F9C7777" w14:textId="77777777" w:rsidR="003E3D07" w:rsidRDefault="003E3D07">
            <w:pPr>
              <w:pStyle w:val="TableText"/>
              <w:rPr>
                <w:rFonts w:eastAsia="Symbol"/>
              </w:rPr>
            </w:pPr>
            <w:r>
              <w:t>AGLu(b)</w:t>
            </w:r>
          </w:p>
        </w:tc>
      </w:tr>
      <w:tr w:rsidR="00824338" w:rsidRPr="00584AF9" w14:paraId="4A4B6F06" w14:textId="77777777" w:rsidTr="00031618">
        <w:tblPrEx>
          <w:tblBorders>
            <w:insideH w:val="single" w:sz="4" w:space="0" w:color="auto"/>
            <w:insideV w:val="single" w:sz="4" w:space="0" w:color="auto"/>
          </w:tblBorders>
        </w:tblPrEx>
        <w:tc>
          <w:tcPr>
            <w:tcW w:w="1975" w:type="dxa"/>
            <w:shd w:val="clear" w:color="auto" w:fill="auto"/>
          </w:tcPr>
          <w:p w14:paraId="04FFC264" w14:textId="77777777" w:rsidR="003E3D07" w:rsidRPr="00584AF9" w:rsidRDefault="003E3D07" w:rsidP="00584AF9">
            <w:pPr>
              <w:pStyle w:val="TableText"/>
              <w:rPr>
                <w:rFonts w:eastAsia="Symbol"/>
              </w:rPr>
            </w:pPr>
            <w:r w:rsidRPr="00584AF9">
              <w:t>Anti-Lu3</w:t>
            </w:r>
          </w:p>
        </w:tc>
        <w:tc>
          <w:tcPr>
            <w:tcW w:w="1710" w:type="dxa"/>
            <w:shd w:val="clear" w:color="auto" w:fill="auto"/>
          </w:tcPr>
          <w:p w14:paraId="62D132B8" w14:textId="77777777" w:rsidR="003E3D07" w:rsidRPr="006E05B3" w:rsidRDefault="003E3D07" w:rsidP="00584AF9">
            <w:pPr>
              <w:pStyle w:val="TableText"/>
              <w:rPr>
                <w:lang w:val="fr-FR"/>
              </w:rPr>
            </w:pPr>
            <w:r w:rsidRPr="006E05B3">
              <w:rPr>
                <w:lang w:val="fr-FR"/>
              </w:rPr>
              <w:t>Anti-Lu(a)Lu(b)</w:t>
            </w:r>
          </w:p>
        </w:tc>
        <w:tc>
          <w:tcPr>
            <w:tcW w:w="878" w:type="dxa"/>
            <w:shd w:val="clear" w:color="auto" w:fill="auto"/>
          </w:tcPr>
          <w:p w14:paraId="0E93A61F" w14:textId="77777777" w:rsidR="003E3D07" w:rsidRPr="00584AF9" w:rsidRDefault="003E3D07" w:rsidP="00584AF9">
            <w:pPr>
              <w:pStyle w:val="TableText"/>
            </w:pPr>
            <w:r w:rsidRPr="00584AF9">
              <w:t>No</w:t>
            </w:r>
          </w:p>
        </w:tc>
        <w:tc>
          <w:tcPr>
            <w:tcW w:w="878" w:type="dxa"/>
            <w:shd w:val="clear" w:color="auto" w:fill="auto"/>
          </w:tcPr>
          <w:p w14:paraId="5158AE9B" w14:textId="77777777" w:rsidR="003E3D07" w:rsidRPr="00584AF9" w:rsidRDefault="003E3D07" w:rsidP="00584AF9">
            <w:pPr>
              <w:pStyle w:val="TableText"/>
              <w:rPr>
                <w:rFonts w:eastAsia="Symbol"/>
              </w:rPr>
            </w:pPr>
            <w:r w:rsidRPr="00584AF9">
              <w:t>Optional</w:t>
            </w:r>
          </w:p>
        </w:tc>
        <w:tc>
          <w:tcPr>
            <w:tcW w:w="1253" w:type="dxa"/>
            <w:shd w:val="clear" w:color="auto" w:fill="auto"/>
          </w:tcPr>
          <w:p w14:paraId="522F44C1" w14:textId="77777777" w:rsidR="003E3D07" w:rsidRPr="00584AF9" w:rsidRDefault="003E3D07" w:rsidP="00584AF9">
            <w:pPr>
              <w:pStyle w:val="TableText"/>
              <w:rPr>
                <w:rFonts w:eastAsia="Symbol"/>
              </w:rPr>
            </w:pPr>
            <w:r w:rsidRPr="00584AF9">
              <w:t>Lu (a) and Lu(b)</w:t>
            </w:r>
          </w:p>
        </w:tc>
        <w:tc>
          <w:tcPr>
            <w:tcW w:w="1253" w:type="dxa"/>
            <w:shd w:val="clear" w:color="auto" w:fill="auto"/>
          </w:tcPr>
          <w:p w14:paraId="7A6D6EC9" w14:textId="77777777" w:rsidR="003E3D07" w:rsidRPr="00584AF9" w:rsidRDefault="003E3D07" w:rsidP="00584AF9">
            <w:pPr>
              <w:pStyle w:val="TableText"/>
              <w:rPr>
                <w:rFonts w:eastAsia="Symbol"/>
              </w:rPr>
            </w:pPr>
            <w:r w:rsidRPr="00584AF9">
              <w:rPr>
                <w:rFonts w:eastAsia="Symbol"/>
              </w:rPr>
              <w:t>None</w:t>
            </w:r>
          </w:p>
        </w:tc>
        <w:tc>
          <w:tcPr>
            <w:tcW w:w="1296" w:type="dxa"/>
            <w:shd w:val="clear" w:color="auto" w:fill="auto"/>
          </w:tcPr>
          <w:p w14:paraId="53400A95" w14:textId="77777777" w:rsidR="003E3D07" w:rsidRPr="00584AF9" w:rsidRDefault="003E3D07" w:rsidP="00584AF9">
            <w:pPr>
              <w:pStyle w:val="TableText"/>
              <w:rPr>
                <w:rFonts w:eastAsia="Symbol"/>
              </w:rPr>
            </w:pPr>
            <w:r w:rsidRPr="00584AF9">
              <w:t>N/A</w:t>
            </w:r>
          </w:p>
        </w:tc>
        <w:tc>
          <w:tcPr>
            <w:tcW w:w="841" w:type="dxa"/>
            <w:shd w:val="clear" w:color="auto" w:fill="auto"/>
          </w:tcPr>
          <w:p w14:paraId="5AE2CFD1" w14:textId="77777777" w:rsidR="003E3D07" w:rsidRPr="00584AF9" w:rsidRDefault="003E3D07" w:rsidP="00584AF9">
            <w:pPr>
              <w:pStyle w:val="TableText"/>
              <w:rPr>
                <w:rFonts w:eastAsia="Symbol"/>
              </w:rPr>
            </w:pPr>
            <w:r w:rsidRPr="00584AF9">
              <w:t>AGLu(a) AGLu(b)</w:t>
            </w:r>
          </w:p>
        </w:tc>
      </w:tr>
      <w:tr w:rsidR="00824338" w14:paraId="63EC4D8B" w14:textId="77777777" w:rsidTr="00031618">
        <w:tblPrEx>
          <w:tblBorders>
            <w:insideH w:val="single" w:sz="4" w:space="0" w:color="auto"/>
            <w:insideV w:val="single" w:sz="4" w:space="0" w:color="auto"/>
          </w:tblBorders>
        </w:tblPrEx>
        <w:tc>
          <w:tcPr>
            <w:tcW w:w="1975" w:type="dxa"/>
            <w:shd w:val="clear" w:color="auto" w:fill="auto"/>
          </w:tcPr>
          <w:p w14:paraId="4AEF1AD0" w14:textId="77777777" w:rsidR="003E3D07" w:rsidRDefault="003E3D07">
            <w:pPr>
              <w:pStyle w:val="TableText"/>
              <w:rPr>
                <w:rFonts w:eastAsia="Symbol"/>
              </w:rPr>
            </w:pPr>
            <w:r>
              <w:t>Anti-C(w)</w:t>
            </w:r>
          </w:p>
        </w:tc>
        <w:tc>
          <w:tcPr>
            <w:tcW w:w="1710" w:type="dxa"/>
            <w:shd w:val="clear" w:color="auto" w:fill="auto"/>
          </w:tcPr>
          <w:p w14:paraId="51E46B0A" w14:textId="77777777" w:rsidR="003E3D07" w:rsidRDefault="003E3D07">
            <w:pPr>
              <w:pStyle w:val="TableText"/>
            </w:pPr>
            <w:r>
              <w:t>Anti-Cw</w:t>
            </w:r>
          </w:p>
        </w:tc>
        <w:tc>
          <w:tcPr>
            <w:tcW w:w="878" w:type="dxa"/>
            <w:shd w:val="clear" w:color="auto" w:fill="auto"/>
          </w:tcPr>
          <w:p w14:paraId="42EB316E" w14:textId="77777777" w:rsidR="003E3D07" w:rsidRDefault="003E3D07">
            <w:pPr>
              <w:pStyle w:val="TableText"/>
            </w:pPr>
            <w:r>
              <w:rPr>
                <w:bCs/>
              </w:rPr>
              <w:t>Yes</w:t>
            </w:r>
          </w:p>
        </w:tc>
        <w:tc>
          <w:tcPr>
            <w:tcW w:w="878" w:type="dxa"/>
            <w:shd w:val="clear" w:color="auto" w:fill="auto"/>
          </w:tcPr>
          <w:p w14:paraId="53D417C9" w14:textId="77777777" w:rsidR="003E3D07" w:rsidRDefault="003E3D07">
            <w:pPr>
              <w:pStyle w:val="TableText"/>
              <w:rPr>
                <w:rFonts w:eastAsia="Symbol"/>
              </w:rPr>
            </w:pPr>
            <w:r>
              <w:t>Optional</w:t>
            </w:r>
          </w:p>
        </w:tc>
        <w:tc>
          <w:tcPr>
            <w:tcW w:w="1253" w:type="dxa"/>
            <w:shd w:val="clear" w:color="auto" w:fill="auto"/>
          </w:tcPr>
          <w:p w14:paraId="0AA15729" w14:textId="77777777" w:rsidR="003E3D07" w:rsidRDefault="003E3D07">
            <w:pPr>
              <w:pStyle w:val="TableText"/>
              <w:rPr>
                <w:rFonts w:eastAsia="Symbol"/>
              </w:rPr>
            </w:pPr>
            <w:r>
              <w:t>C(w)</w:t>
            </w:r>
          </w:p>
        </w:tc>
        <w:tc>
          <w:tcPr>
            <w:tcW w:w="1253" w:type="dxa"/>
            <w:shd w:val="clear" w:color="auto" w:fill="auto"/>
          </w:tcPr>
          <w:p w14:paraId="6A996AE7" w14:textId="77777777" w:rsidR="003E3D07" w:rsidRDefault="003E3D07">
            <w:pPr>
              <w:pStyle w:val="TableText"/>
            </w:pPr>
            <w:r>
              <w:t>Cw</w:t>
            </w:r>
          </w:p>
        </w:tc>
        <w:tc>
          <w:tcPr>
            <w:tcW w:w="1296" w:type="dxa"/>
            <w:shd w:val="clear" w:color="auto" w:fill="auto"/>
          </w:tcPr>
          <w:p w14:paraId="1AA703CD" w14:textId="77777777" w:rsidR="003E3D07" w:rsidRDefault="003E3D07">
            <w:pPr>
              <w:pStyle w:val="TableText"/>
              <w:rPr>
                <w:rFonts w:eastAsia="Symbol"/>
              </w:rPr>
            </w:pPr>
            <w:r>
              <w:t>99</w:t>
            </w:r>
          </w:p>
        </w:tc>
        <w:tc>
          <w:tcPr>
            <w:tcW w:w="841" w:type="dxa"/>
            <w:shd w:val="clear" w:color="auto" w:fill="auto"/>
          </w:tcPr>
          <w:p w14:paraId="144987D2" w14:textId="77777777" w:rsidR="003E3D07" w:rsidRDefault="003E3D07">
            <w:pPr>
              <w:pStyle w:val="TableText"/>
              <w:rPr>
                <w:rFonts w:eastAsia="Symbol"/>
              </w:rPr>
            </w:pPr>
            <w:r>
              <w:t>AGC(w)</w:t>
            </w:r>
          </w:p>
        </w:tc>
      </w:tr>
      <w:tr w:rsidR="00824338" w14:paraId="08EB2C05" w14:textId="77777777" w:rsidTr="00031618">
        <w:tblPrEx>
          <w:tblBorders>
            <w:insideH w:val="single" w:sz="4" w:space="0" w:color="auto"/>
            <w:insideV w:val="single" w:sz="4" w:space="0" w:color="auto"/>
          </w:tblBorders>
        </w:tblPrEx>
        <w:tc>
          <w:tcPr>
            <w:tcW w:w="1975" w:type="dxa"/>
            <w:shd w:val="clear" w:color="auto" w:fill="auto"/>
          </w:tcPr>
          <w:p w14:paraId="7B67A78E" w14:textId="77777777" w:rsidR="003E3D07" w:rsidRDefault="003E3D07">
            <w:pPr>
              <w:pStyle w:val="TableText"/>
              <w:rPr>
                <w:rFonts w:eastAsia="Symbol"/>
              </w:rPr>
            </w:pPr>
            <w:r>
              <w:t>Anti-Ce</w:t>
            </w:r>
          </w:p>
        </w:tc>
        <w:tc>
          <w:tcPr>
            <w:tcW w:w="1710" w:type="dxa"/>
            <w:shd w:val="clear" w:color="auto" w:fill="auto"/>
          </w:tcPr>
          <w:p w14:paraId="5293FF86" w14:textId="77777777" w:rsidR="003E3D07" w:rsidRDefault="003E3D07">
            <w:pPr>
              <w:pStyle w:val="TableText"/>
              <w:rPr>
                <w:rFonts w:eastAsia="Symbol"/>
              </w:rPr>
            </w:pPr>
            <w:r>
              <w:t>Anti-Ce</w:t>
            </w:r>
          </w:p>
        </w:tc>
        <w:tc>
          <w:tcPr>
            <w:tcW w:w="878" w:type="dxa"/>
            <w:shd w:val="clear" w:color="auto" w:fill="auto"/>
          </w:tcPr>
          <w:p w14:paraId="12BEAB26" w14:textId="77777777" w:rsidR="003E3D07" w:rsidRDefault="003E3D07">
            <w:pPr>
              <w:pStyle w:val="TableText"/>
            </w:pPr>
            <w:r>
              <w:rPr>
                <w:bCs/>
              </w:rPr>
              <w:t>Yes</w:t>
            </w:r>
          </w:p>
        </w:tc>
        <w:tc>
          <w:tcPr>
            <w:tcW w:w="878" w:type="dxa"/>
            <w:shd w:val="clear" w:color="auto" w:fill="auto"/>
          </w:tcPr>
          <w:p w14:paraId="37B880C2" w14:textId="77777777" w:rsidR="003E3D07" w:rsidRDefault="003E3D07">
            <w:pPr>
              <w:pStyle w:val="TableText"/>
              <w:rPr>
                <w:rFonts w:eastAsia="Symbol"/>
              </w:rPr>
            </w:pPr>
            <w:r>
              <w:rPr>
                <w:bCs/>
              </w:rPr>
              <w:t>Yes</w:t>
            </w:r>
          </w:p>
        </w:tc>
        <w:tc>
          <w:tcPr>
            <w:tcW w:w="1253" w:type="dxa"/>
            <w:shd w:val="clear" w:color="auto" w:fill="auto"/>
          </w:tcPr>
          <w:p w14:paraId="3C3075E8" w14:textId="77777777" w:rsidR="003E3D07" w:rsidRDefault="003E3D07">
            <w:pPr>
              <w:pStyle w:val="TableText"/>
              <w:rPr>
                <w:rFonts w:eastAsia="Symbol"/>
              </w:rPr>
            </w:pPr>
            <w:r>
              <w:t>C and e</w:t>
            </w:r>
          </w:p>
        </w:tc>
        <w:tc>
          <w:tcPr>
            <w:tcW w:w="1253" w:type="dxa"/>
            <w:shd w:val="clear" w:color="auto" w:fill="auto"/>
          </w:tcPr>
          <w:p w14:paraId="2A28208C" w14:textId="77777777" w:rsidR="003E3D07" w:rsidRDefault="003E3D07">
            <w:pPr>
              <w:pStyle w:val="TableText"/>
              <w:rPr>
                <w:rFonts w:eastAsia="Symbol"/>
              </w:rPr>
            </w:pPr>
            <w:r>
              <w:t>Ce</w:t>
            </w:r>
          </w:p>
        </w:tc>
        <w:tc>
          <w:tcPr>
            <w:tcW w:w="1296" w:type="dxa"/>
            <w:shd w:val="clear" w:color="auto" w:fill="auto"/>
          </w:tcPr>
          <w:p w14:paraId="6075577A" w14:textId="77777777" w:rsidR="003E3D07" w:rsidRDefault="003E3D07">
            <w:pPr>
              <w:pStyle w:val="TableText"/>
              <w:rPr>
                <w:rFonts w:eastAsia="Symbol"/>
              </w:rPr>
            </w:pPr>
            <w:r>
              <w:t>N/A</w:t>
            </w:r>
          </w:p>
        </w:tc>
        <w:tc>
          <w:tcPr>
            <w:tcW w:w="841" w:type="dxa"/>
            <w:shd w:val="clear" w:color="auto" w:fill="auto"/>
          </w:tcPr>
          <w:p w14:paraId="10A9BB24" w14:textId="77777777" w:rsidR="003E3D07" w:rsidRDefault="003E3D07">
            <w:pPr>
              <w:pStyle w:val="TableText"/>
            </w:pPr>
            <w:r>
              <w:t>AGC</w:t>
            </w:r>
          </w:p>
          <w:p w14:paraId="5A7D030F" w14:textId="77777777" w:rsidR="003E3D07" w:rsidRDefault="003E3D07">
            <w:pPr>
              <w:pStyle w:val="TableText"/>
              <w:rPr>
                <w:rFonts w:eastAsia="Symbol"/>
              </w:rPr>
            </w:pPr>
            <w:r>
              <w:t>AGe</w:t>
            </w:r>
          </w:p>
        </w:tc>
      </w:tr>
      <w:tr w:rsidR="00824338" w14:paraId="765E51DB" w14:textId="77777777" w:rsidTr="00031618">
        <w:tblPrEx>
          <w:tblBorders>
            <w:insideH w:val="single" w:sz="4" w:space="0" w:color="auto"/>
            <w:insideV w:val="single" w:sz="4" w:space="0" w:color="auto"/>
          </w:tblBorders>
        </w:tblPrEx>
        <w:tc>
          <w:tcPr>
            <w:tcW w:w="1975" w:type="dxa"/>
            <w:shd w:val="clear" w:color="auto" w:fill="auto"/>
          </w:tcPr>
          <w:p w14:paraId="41047FED" w14:textId="77777777" w:rsidR="003E3D07" w:rsidRDefault="003E3D07">
            <w:pPr>
              <w:pStyle w:val="TableText"/>
              <w:rPr>
                <w:rFonts w:eastAsia="Symbol"/>
              </w:rPr>
            </w:pPr>
            <w:r>
              <w:t>Anti-C(x)</w:t>
            </w:r>
          </w:p>
        </w:tc>
        <w:tc>
          <w:tcPr>
            <w:tcW w:w="1710" w:type="dxa"/>
            <w:shd w:val="clear" w:color="auto" w:fill="auto"/>
          </w:tcPr>
          <w:p w14:paraId="64AC8535" w14:textId="77777777" w:rsidR="003E3D07" w:rsidRDefault="003E3D07">
            <w:pPr>
              <w:pStyle w:val="TableText"/>
              <w:rPr>
                <w:rFonts w:eastAsia="Symbol"/>
              </w:rPr>
            </w:pPr>
            <w:r>
              <w:t>Anti-Cx</w:t>
            </w:r>
          </w:p>
        </w:tc>
        <w:tc>
          <w:tcPr>
            <w:tcW w:w="878" w:type="dxa"/>
            <w:shd w:val="clear" w:color="auto" w:fill="auto"/>
          </w:tcPr>
          <w:p w14:paraId="497F217D" w14:textId="77777777" w:rsidR="003E3D07" w:rsidRDefault="003E3D07">
            <w:pPr>
              <w:pStyle w:val="TableText"/>
            </w:pPr>
            <w:r>
              <w:rPr>
                <w:bCs/>
              </w:rPr>
              <w:t>Yes</w:t>
            </w:r>
          </w:p>
        </w:tc>
        <w:tc>
          <w:tcPr>
            <w:tcW w:w="878" w:type="dxa"/>
            <w:shd w:val="clear" w:color="auto" w:fill="auto"/>
          </w:tcPr>
          <w:p w14:paraId="2D348D15" w14:textId="77777777" w:rsidR="003E3D07" w:rsidRDefault="003E3D07">
            <w:pPr>
              <w:pStyle w:val="TableText"/>
              <w:rPr>
                <w:rFonts w:eastAsia="Symbol"/>
              </w:rPr>
            </w:pPr>
            <w:r>
              <w:t>Optional</w:t>
            </w:r>
          </w:p>
        </w:tc>
        <w:tc>
          <w:tcPr>
            <w:tcW w:w="1253" w:type="dxa"/>
            <w:shd w:val="clear" w:color="auto" w:fill="auto"/>
          </w:tcPr>
          <w:p w14:paraId="54151BD8" w14:textId="77777777" w:rsidR="003E3D07" w:rsidRDefault="003E3D07">
            <w:pPr>
              <w:pStyle w:val="TableText"/>
              <w:rPr>
                <w:rFonts w:eastAsia="Symbol"/>
              </w:rPr>
            </w:pPr>
            <w:r>
              <w:t>C(x)</w:t>
            </w:r>
          </w:p>
        </w:tc>
        <w:tc>
          <w:tcPr>
            <w:tcW w:w="1253" w:type="dxa"/>
            <w:shd w:val="clear" w:color="auto" w:fill="auto"/>
          </w:tcPr>
          <w:p w14:paraId="48DA16AB" w14:textId="77777777" w:rsidR="003E3D07" w:rsidRDefault="003E3D07">
            <w:pPr>
              <w:pStyle w:val="TableText"/>
              <w:rPr>
                <w:rFonts w:eastAsia="Symbol"/>
              </w:rPr>
            </w:pPr>
            <w:r>
              <w:t>Cx</w:t>
            </w:r>
          </w:p>
        </w:tc>
        <w:tc>
          <w:tcPr>
            <w:tcW w:w="1296" w:type="dxa"/>
            <w:shd w:val="clear" w:color="auto" w:fill="auto"/>
          </w:tcPr>
          <w:p w14:paraId="71A478DB" w14:textId="77777777" w:rsidR="003E3D07" w:rsidRDefault="003E3D07">
            <w:pPr>
              <w:pStyle w:val="TableText"/>
              <w:rPr>
                <w:rFonts w:eastAsia="Symbol"/>
              </w:rPr>
            </w:pPr>
            <w:r>
              <w:t>99</w:t>
            </w:r>
          </w:p>
        </w:tc>
        <w:tc>
          <w:tcPr>
            <w:tcW w:w="841" w:type="dxa"/>
            <w:shd w:val="clear" w:color="auto" w:fill="auto"/>
          </w:tcPr>
          <w:p w14:paraId="4DBD687D" w14:textId="77777777" w:rsidR="003E3D07" w:rsidRDefault="003E3D07">
            <w:pPr>
              <w:pStyle w:val="TableText"/>
              <w:rPr>
                <w:rFonts w:eastAsia="Symbol"/>
              </w:rPr>
            </w:pPr>
            <w:r>
              <w:rPr>
                <w:rFonts w:eastAsia="Symbol"/>
              </w:rPr>
              <w:t>AGC(x)</w:t>
            </w:r>
          </w:p>
        </w:tc>
      </w:tr>
      <w:tr w:rsidR="00824338" w14:paraId="7EEDCE82" w14:textId="77777777" w:rsidTr="00031618">
        <w:tblPrEx>
          <w:tblBorders>
            <w:insideH w:val="single" w:sz="4" w:space="0" w:color="auto"/>
            <w:insideV w:val="single" w:sz="4" w:space="0" w:color="auto"/>
          </w:tblBorders>
        </w:tblPrEx>
        <w:tc>
          <w:tcPr>
            <w:tcW w:w="1975" w:type="dxa"/>
            <w:shd w:val="clear" w:color="auto" w:fill="auto"/>
          </w:tcPr>
          <w:p w14:paraId="1B774595" w14:textId="77777777" w:rsidR="003E3D07" w:rsidRDefault="003E3D07">
            <w:pPr>
              <w:pStyle w:val="TableText"/>
              <w:rPr>
                <w:rFonts w:eastAsia="Symbol"/>
              </w:rPr>
            </w:pPr>
            <w:r>
              <w:t>Anti-E(w)</w:t>
            </w:r>
          </w:p>
        </w:tc>
        <w:tc>
          <w:tcPr>
            <w:tcW w:w="1710" w:type="dxa"/>
            <w:shd w:val="clear" w:color="auto" w:fill="auto"/>
          </w:tcPr>
          <w:p w14:paraId="49B524E5" w14:textId="77777777" w:rsidR="003E3D07" w:rsidRDefault="003E3D07">
            <w:pPr>
              <w:pStyle w:val="TableText"/>
              <w:rPr>
                <w:rFonts w:eastAsia="Symbol"/>
              </w:rPr>
            </w:pPr>
            <w:r>
              <w:t>Anti-E(w)</w:t>
            </w:r>
          </w:p>
        </w:tc>
        <w:tc>
          <w:tcPr>
            <w:tcW w:w="878" w:type="dxa"/>
            <w:shd w:val="clear" w:color="auto" w:fill="auto"/>
          </w:tcPr>
          <w:p w14:paraId="45552EC5" w14:textId="77777777" w:rsidR="003E3D07" w:rsidRDefault="003E3D07">
            <w:pPr>
              <w:pStyle w:val="TableText"/>
            </w:pPr>
            <w:r>
              <w:rPr>
                <w:bCs/>
              </w:rPr>
              <w:t>Yes</w:t>
            </w:r>
          </w:p>
        </w:tc>
        <w:tc>
          <w:tcPr>
            <w:tcW w:w="878" w:type="dxa"/>
            <w:shd w:val="clear" w:color="auto" w:fill="auto"/>
          </w:tcPr>
          <w:p w14:paraId="6FF023A4" w14:textId="77777777" w:rsidR="003E3D07" w:rsidRDefault="003E3D07">
            <w:pPr>
              <w:pStyle w:val="TableText"/>
              <w:rPr>
                <w:rFonts w:eastAsia="Symbol"/>
              </w:rPr>
            </w:pPr>
            <w:r>
              <w:t>Optional</w:t>
            </w:r>
          </w:p>
        </w:tc>
        <w:tc>
          <w:tcPr>
            <w:tcW w:w="1253" w:type="dxa"/>
            <w:shd w:val="clear" w:color="auto" w:fill="auto"/>
          </w:tcPr>
          <w:p w14:paraId="6A942FE1" w14:textId="77777777" w:rsidR="003E3D07" w:rsidRDefault="003E3D07">
            <w:pPr>
              <w:pStyle w:val="TableText"/>
              <w:rPr>
                <w:rFonts w:eastAsia="Symbol"/>
              </w:rPr>
            </w:pPr>
            <w:r>
              <w:t>E(w)</w:t>
            </w:r>
          </w:p>
        </w:tc>
        <w:tc>
          <w:tcPr>
            <w:tcW w:w="1253" w:type="dxa"/>
            <w:shd w:val="clear" w:color="auto" w:fill="auto"/>
          </w:tcPr>
          <w:p w14:paraId="51FDBAC1" w14:textId="77777777" w:rsidR="003E3D07" w:rsidRDefault="003E3D07">
            <w:pPr>
              <w:pStyle w:val="TableText"/>
              <w:rPr>
                <w:rFonts w:eastAsia="Symbol"/>
              </w:rPr>
            </w:pPr>
            <w:r>
              <w:t>E(w)</w:t>
            </w:r>
          </w:p>
        </w:tc>
        <w:tc>
          <w:tcPr>
            <w:tcW w:w="1296" w:type="dxa"/>
            <w:shd w:val="clear" w:color="auto" w:fill="auto"/>
          </w:tcPr>
          <w:p w14:paraId="0DF26D29" w14:textId="77777777" w:rsidR="003E3D07" w:rsidRDefault="003E3D07">
            <w:pPr>
              <w:pStyle w:val="TableText"/>
              <w:rPr>
                <w:rFonts w:eastAsia="Symbol"/>
              </w:rPr>
            </w:pPr>
            <w:r>
              <w:t>99</w:t>
            </w:r>
          </w:p>
        </w:tc>
        <w:tc>
          <w:tcPr>
            <w:tcW w:w="841" w:type="dxa"/>
            <w:shd w:val="clear" w:color="auto" w:fill="auto"/>
          </w:tcPr>
          <w:p w14:paraId="285278B7" w14:textId="77777777" w:rsidR="003E3D07" w:rsidRDefault="003E3D07">
            <w:pPr>
              <w:pStyle w:val="TableText"/>
              <w:rPr>
                <w:rFonts w:eastAsia="Symbol"/>
              </w:rPr>
            </w:pPr>
            <w:r>
              <w:rPr>
                <w:rFonts w:eastAsia="Symbol"/>
              </w:rPr>
              <w:t>AGE(w)</w:t>
            </w:r>
          </w:p>
        </w:tc>
      </w:tr>
      <w:tr w:rsidR="00824338" w14:paraId="2E30B754" w14:textId="77777777" w:rsidTr="00031618">
        <w:tblPrEx>
          <w:tblBorders>
            <w:insideH w:val="single" w:sz="4" w:space="0" w:color="auto"/>
            <w:insideV w:val="single" w:sz="4" w:space="0" w:color="auto"/>
          </w:tblBorders>
        </w:tblPrEx>
        <w:tc>
          <w:tcPr>
            <w:tcW w:w="1975" w:type="dxa"/>
            <w:shd w:val="clear" w:color="auto" w:fill="auto"/>
          </w:tcPr>
          <w:p w14:paraId="04183CC1" w14:textId="77777777" w:rsidR="003E3D07" w:rsidRDefault="003E3D07">
            <w:pPr>
              <w:pStyle w:val="TableText"/>
              <w:rPr>
                <w:rFonts w:eastAsia="Symbol"/>
              </w:rPr>
            </w:pPr>
            <w:r>
              <w:t>Anti-V</w:t>
            </w:r>
          </w:p>
        </w:tc>
        <w:tc>
          <w:tcPr>
            <w:tcW w:w="1710" w:type="dxa"/>
            <w:shd w:val="clear" w:color="auto" w:fill="auto"/>
          </w:tcPr>
          <w:p w14:paraId="30DF5E67" w14:textId="77777777" w:rsidR="003E3D07" w:rsidRDefault="003E3D07">
            <w:pPr>
              <w:pStyle w:val="TableText"/>
            </w:pPr>
            <w:r>
              <w:t>Anti-V</w:t>
            </w:r>
          </w:p>
        </w:tc>
        <w:tc>
          <w:tcPr>
            <w:tcW w:w="878" w:type="dxa"/>
            <w:shd w:val="clear" w:color="auto" w:fill="auto"/>
          </w:tcPr>
          <w:p w14:paraId="0435684B" w14:textId="77777777" w:rsidR="003E3D07" w:rsidRDefault="003E3D07">
            <w:pPr>
              <w:pStyle w:val="TableText"/>
            </w:pPr>
            <w:r>
              <w:rPr>
                <w:bCs/>
              </w:rPr>
              <w:t>Yes</w:t>
            </w:r>
          </w:p>
        </w:tc>
        <w:tc>
          <w:tcPr>
            <w:tcW w:w="878" w:type="dxa"/>
            <w:shd w:val="clear" w:color="auto" w:fill="auto"/>
          </w:tcPr>
          <w:p w14:paraId="0FEEB4AE" w14:textId="77777777" w:rsidR="003E3D07" w:rsidRDefault="003E3D07">
            <w:pPr>
              <w:pStyle w:val="TableText"/>
              <w:rPr>
                <w:rFonts w:eastAsia="Symbol"/>
              </w:rPr>
            </w:pPr>
            <w:r>
              <w:t>Optional</w:t>
            </w:r>
          </w:p>
        </w:tc>
        <w:tc>
          <w:tcPr>
            <w:tcW w:w="1253" w:type="dxa"/>
            <w:shd w:val="clear" w:color="auto" w:fill="auto"/>
          </w:tcPr>
          <w:p w14:paraId="539629DD" w14:textId="77777777" w:rsidR="003E3D07" w:rsidRDefault="003E3D07">
            <w:pPr>
              <w:pStyle w:val="TableText"/>
              <w:rPr>
                <w:rFonts w:eastAsia="Symbol"/>
              </w:rPr>
            </w:pPr>
            <w:r>
              <w:t>V</w:t>
            </w:r>
          </w:p>
        </w:tc>
        <w:tc>
          <w:tcPr>
            <w:tcW w:w="1253" w:type="dxa"/>
            <w:shd w:val="clear" w:color="auto" w:fill="auto"/>
          </w:tcPr>
          <w:p w14:paraId="42D0D508" w14:textId="77777777" w:rsidR="003E3D07" w:rsidRDefault="003E3D07">
            <w:pPr>
              <w:pStyle w:val="TableText"/>
              <w:rPr>
                <w:rFonts w:eastAsia="Symbol"/>
              </w:rPr>
            </w:pPr>
            <w:r>
              <w:t>V</w:t>
            </w:r>
          </w:p>
        </w:tc>
        <w:tc>
          <w:tcPr>
            <w:tcW w:w="1296" w:type="dxa"/>
            <w:shd w:val="clear" w:color="auto" w:fill="auto"/>
          </w:tcPr>
          <w:p w14:paraId="60897443" w14:textId="77777777" w:rsidR="003E3D07" w:rsidRDefault="003E3D07">
            <w:pPr>
              <w:pStyle w:val="TableText"/>
              <w:rPr>
                <w:rFonts w:eastAsia="Symbol"/>
              </w:rPr>
            </w:pPr>
            <w:r>
              <w:t>85</w:t>
            </w:r>
          </w:p>
        </w:tc>
        <w:tc>
          <w:tcPr>
            <w:tcW w:w="841" w:type="dxa"/>
            <w:shd w:val="clear" w:color="auto" w:fill="auto"/>
          </w:tcPr>
          <w:p w14:paraId="143E1ECF" w14:textId="77777777" w:rsidR="003E3D07" w:rsidRDefault="003E3D07">
            <w:pPr>
              <w:pStyle w:val="TableText"/>
              <w:rPr>
                <w:rFonts w:eastAsia="Symbol"/>
              </w:rPr>
            </w:pPr>
            <w:r>
              <w:rPr>
                <w:rFonts w:eastAsia="Symbol"/>
              </w:rPr>
              <w:t>AGV</w:t>
            </w:r>
          </w:p>
        </w:tc>
      </w:tr>
      <w:tr w:rsidR="00824338" w14:paraId="50219277" w14:textId="77777777" w:rsidTr="00031618">
        <w:tblPrEx>
          <w:tblBorders>
            <w:insideH w:val="single" w:sz="4" w:space="0" w:color="auto"/>
            <w:insideV w:val="single" w:sz="4" w:space="0" w:color="auto"/>
          </w:tblBorders>
        </w:tblPrEx>
        <w:tc>
          <w:tcPr>
            <w:tcW w:w="1975" w:type="dxa"/>
            <w:shd w:val="clear" w:color="auto" w:fill="auto"/>
          </w:tcPr>
          <w:p w14:paraId="1DF5D9F9" w14:textId="77777777" w:rsidR="003E3D07" w:rsidRDefault="003E3D07">
            <w:pPr>
              <w:pStyle w:val="TableText"/>
              <w:rPr>
                <w:rFonts w:eastAsia="Symbol"/>
              </w:rPr>
            </w:pPr>
            <w:r>
              <w:t>Anti-Xg(a)</w:t>
            </w:r>
          </w:p>
        </w:tc>
        <w:tc>
          <w:tcPr>
            <w:tcW w:w="1710" w:type="dxa"/>
            <w:shd w:val="clear" w:color="auto" w:fill="auto"/>
          </w:tcPr>
          <w:p w14:paraId="7BB7F1BB" w14:textId="77777777" w:rsidR="003E3D07" w:rsidRDefault="003E3D07">
            <w:pPr>
              <w:pStyle w:val="TableText"/>
            </w:pPr>
            <w:r>
              <w:t>Anti-Xg(a)</w:t>
            </w:r>
          </w:p>
        </w:tc>
        <w:tc>
          <w:tcPr>
            <w:tcW w:w="878" w:type="dxa"/>
            <w:shd w:val="clear" w:color="auto" w:fill="auto"/>
          </w:tcPr>
          <w:p w14:paraId="5AC18FB0" w14:textId="77777777" w:rsidR="003E3D07" w:rsidRDefault="003E3D07">
            <w:pPr>
              <w:pStyle w:val="TableText"/>
            </w:pPr>
            <w:r>
              <w:t>No</w:t>
            </w:r>
          </w:p>
        </w:tc>
        <w:tc>
          <w:tcPr>
            <w:tcW w:w="878" w:type="dxa"/>
            <w:shd w:val="clear" w:color="auto" w:fill="auto"/>
          </w:tcPr>
          <w:p w14:paraId="4EB23D69" w14:textId="77777777" w:rsidR="003E3D07" w:rsidRDefault="003E3D07">
            <w:pPr>
              <w:pStyle w:val="TableText"/>
              <w:rPr>
                <w:rFonts w:eastAsia="Symbol"/>
              </w:rPr>
            </w:pPr>
            <w:r>
              <w:t>Optional</w:t>
            </w:r>
          </w:p>
        </w:tc>
        <w:tc>
          <w:tcPr>
            <w:tcW w:w="1253" w:type="dxa"/>
            <w:shd w:val="clear" w:color="auto" w:fill="auto"/>
          </w:tcPr>
          <w:p w14:paraId="26EAC342" w14:textId="77777777" w:rsidR="003E3D07" w:rsidRDefault="003E3D07">
            <w:pPr>
              <w:pStyle w:val="TableText"/>
              <w:rPr>
                <w:rFonts w:eastAsia="Symbol"/>
              </w:rPr>
            </w:pPr>
            <w:r>
              <w:t>Xg(a)</w:t>
            </w:r>
          </w:p>
        </w:tc>
        <w:tc>
          <w:tcPr>
            <w:tcW w:w="1253" w:type="dxa"/>
            <w:shd w:val="clear" w:color="auto" w:fill="auto"/>
          </w:tcPr>
          <w:p w14:paraId="175173DA" w14:textId="77777777" w:rsidR="003E3D07" w:rsidRDefault="003E3D07">
            <w:pPr>
              <w:pStyle w:val="TableText"/>
            </w:pPr>
            <w:r>
              <w:t>Xg(a)</w:t>
            </w:r>
          </w:p>
        </w:tc>
        <w:tc>
          <w:tcPr>
            <w:tcW w:w="1296" w:type="dxa"/>
            <w:shd w:val="clear" w:color="auto" w:fill="auto"/>
          </w:tcPr>
          <w:p w14:paraId="2AD62081" w14:textId="77777777" w:rsidR="003E3D07" w:rsidRDefault="003E3D07">
            <w:pPr>
              <w:pStyle w:val="TableText"/>
              <w:rPr>
                <w:rFonts w:eastAsia="Symbol"/>
              </w:rPr>
            </w:pPr>
            <w:r>
              <w:t>25</w:t>
            </w:r>
          </w:p>
        </w:tc>
        <w:tc>
          <w:tcPr>
            <w:tcW w:w="841" w:type="dxa"/>
            <w:shd w:val="clear" w:color="auto" w:fill="auto"/>
          </w:tcPr>
          <w:p w14:paraId="73A9B214" w14:textId="77777777" w:rsidR="003E3D07" w:rsidRDefault="003E3D07">
            <w:pPr>
              <w:pStyle w:val="TableText"/>
              <w:rPr>
                <w:rFonts w:eastAsia="Symbol"/>
              </w:rPr>
            </w:pPr>
            <w:r>
              <w:t>AGXg(a)</w:t>
            </w:r>
          </w:p>
        </w:tc>
      </w:tr>
      <w:tr w:rsidR="00824338" w14:paraId="64BF1E51" w14:textId="77777777" w:rsidTr="00031618">
        <w:tblPrEx>
          <w:tblBorders>
            <w:insideH w:val="single" w:sz="4" w:space="0" w:color="auto"/>
            <w:insideV w:val="single" w:sz="4" w:space="0" w:color="auto"/>
          </w:tblBorders>
        </w:tblPrEx>
        <w:tc>
          <w:tcPr>
            <w:tcW w:w="1975" w:type="dxa"/>
            <w:shd w:val="clear" w:color="auto" w:fill="auto"/>
          </w:tcPr>
          <w:p w14:paraId="32FCB9F8" w14:textId="77777777" w:rsidR="003E3D07" w:rsidRDefault="003E3D07">
            <w:pPr>
              <w:pStyle w:val="TableText"/>
              <w:rPr>
                <w:rFonts w:eastAsia="Symbol"/>
              </w:rPr>
            </w:pPr>
            <w:r>
              <w:t>Anti-M(g)</w:t>
            </w:r>
          </w:p>
        </w:tc>
        <w:tc>
          <w:tcPr>
            <w:tcW w:w="1710" w:type="dxa"/>
            <w:shd w:val="clear" w:color="auto" w:fill="auto"/>
          </w:tcPr>
          <w:p w14:paraId="247737A9" w14:textId="77777777" w:rsidR="003E3D07" w:rsidRDefault="003E3D07">
            <w:pPr>
              <w:pStyle w:val="TableText"/>
            </w:pPr>
            <w:r>
              <w:t>Anti-M(g)</w:t>
            </w:r>
          </w:p>
        </w:tc>
        <w:tc>
          <w:tcPr>
            <w:tcW w:w="878" w:type="dxa"/>
            <w:shd w:val="clear" w:color="auto" w:fill="auto"/>
          </w:tcPr>
          <w:p w14:paraId="0C9F1CB3" w14:textId="77777777" w:rsidR="003E3D07" w:rsidRDefault="003E3D07">
            <w:pPr>
              <w:pStyle w:val="TableText"/>
            </w:pPr>
            <w:r>
              <w:t>No</w:t>
            </w:r>
          </w:p>
        </w:tc>
        <w:tc>
          <w:tcPr>
            <w:tcW w:w="878" w:type="dxa"/>
            <w:shd w:val="clear" w:color="auto" w:fill="auto"/>
          </w:tcPr>
          <w:p w14:paraId="4F1CAB62" w14:textId="77777777" w:rsidR="003E3D07" w:rsidRDefault="003E3D07">
            <w:pPr>
              <w:pStyle w:val="TableText"/>
              <w:rPr>
                <w:rFonts w:eastAsia="Symbol"/>
              </w:rPr>
            </w:pPr>
            <w:r>
              <w:t>Optional</w:t>
            </w:r>
          </w:p>
        </w:tc>
        <w:tc>
          <w:tcPr>
            <w:tcW w:w="1253" w:type="dxa"/>
            <w:shd w:val="clear" w:color="auto" w:fill="auto"/>
          </w:tcPr>
          <w:p w14:paraId="19E7BCD3" w14:textId="77777777" w:rsidR="003E3D07" w:rsidRDefault="003E3D07">
            <w:pPr>
              <w:pStyle w:val="TableText"/>
              <w:rPr>
                <w:rFonts w:eastAsia="Symbol"/>
              </w:rPr>
            </w:pPr>
            <w:r>
              <w:t>M(g)</w:t>
            </w:r>
          </w:p>
        </w:tc>
        <w:tc>
          <w:tcPr>
            <w:tcW w:w="1253" w:type="dxa"/>
            <w:shd w:val="clear" w:color="auto" w:fill="auto"/>
          </w:tcPr>
          <w:p w14:paraId="6A43A58B" w14:textId="77777777" w:rsidR="003E3D07" w:rsidRDefault="003E3D07">
            <w:pPr>
              <w:pStyle w:val="TableText"/>
              <w:rPr>
                <w:rFonts w:eastAsia="Symbol"/>
              </w:rPr>
            </w:pPr>
            <w:r>
              <w:t>M(g)</w:t>
            </w:r>
          </w:p>
        </w:tc>
        <w:tc>
          <w:tcPr>
            <w:tcW w:w="1296" w:type="dxa"/>
            <w:shd w:val="clear" w:color="auto" w:fill="auto"/>
          </w:tcPr>
          <w:p w14:paraId="4032BCDB" w14:textId="77777777" w:rsidR="003E3D07" w:rsidRDefault="003E3D07">
            <w:pPr>
              <w:pStyle w:val="TableText"/>
              <w:rPr>
                <w:rFonts w:eastAsia="Symbol"/>
              </w:rPr>
            </w:pPr>
            <w:r>
              <w:rPr>
                <w:rFonts w:eastAsia="Symbol"/>
              </w:rPr>
              <w:t>99</w:t>
            </w:r>
          </w:p>
        </w:tc>
        <w:tc>
          <w:tcPr>
            <w:tcW w:w="841" w:type="dxa"/>
            <w:shd w:val="clear" w:color="auto" w:fill="auto"/>
          </w:tcPr>
          <w:p w14:paraId="758404F5" w14:textId="77777777" w:rsidR="003E3D07" w:rsidRDefault="003E3D07">
            <w:pPr>
              <w:pStyle w:val="TableText"/>
              <w:rPr>
                <w:rFonts w:eastAsia="Symbol"/>
              </w:rPr>
            </w:pPr>
            <w:r>
              <w:rPr>
                <w:rFonts w:eastAsia="Symbol"/>
              </w:rPr>
              <w:t>AGM(g)</w:t>
            </w:r>
          </w:p>
        </w:tc>
      </w:tr>
      <w:tr w:rsidR="00824338" w14:paraId="71D46994" w14:textId="77777777" w:rsidTr="00031618">
        <w:tblPrEx>
          <w:tblBorders>
            <w:insideH w:val="single" w:sz="4" w:space="0" w:color="auto"/>
            <w:insideV w:val="single" w:sz="4" w:space="0" w:color="auto"/>
          </w:tblBorders>
        </w:tblPrEx>
        <w:tc>
          <w:tcPr>
            <w:tcW w:w="1975" w:type="dxa"/>
            <w:shd w:val="clear" w:color="auto" w:fill="auto"/>
          </w:tcPr>
          <w:p w14:paraId="12FAF83F" w14:textId="77777777" w:rsidR="003E3D07" w:rsidRDefault="003E3D07">
            <w:pPr>
              <w:pStyle w:val="TableText"/>
              <w:rPr>
                <w:rFonts w:eastAsia="Symbol"/>
              </w:rPr>
            </w:pPr>
            <w:r>
              <w:t>Anti-Mi(a)</w:t>
            </w:r>
          </w:p>
        </w:tc>
        <w:tc>
          <w:tcPr>
            <w:tcW w:w="1710" w:type="dxa"/>
            <w:shd w:val="clear" w:color="auto" w:fill="auto"/>
          </w:tcPr>
          <w:p w14:paraId="4112552A" w14:textId="77777777" w:rsidR="003E3D07" w:rsidRDefault="003E3D07">
            <w:pPr>
              <w:pStyle w:val="TableText"/>
            </w:pPr>
            <w:r>
              <w:t>Anti-Mi(a)</w:t>
            </w:r>
          </w:p>
        </w:tc>
        <w:tc>
          <w:tcPr>
            <w:tcW w:w="878" w:type="dxa"/>
            <w:shd w:val="clear" w:color="auto" w:fill="auto"/>
          </w:tcPr>
          <w:p w14:paraId="775A02A6" w14:textId="77777777" w:rsidR="003E3D07" w:rsidRDefault="003E3D07">
            <w:pPr>
              <w:pStyle w:val="TableText"/>
            </w:pPr>
            <w:r>
              <w:t>No</w:t>
            </w:r>
          </w:p>
        </w:tc>
        <w:tc>
          <w:tcPr>
            <w:tcW w:w="878" w:type="dxa"/>
            <w:shd w:val="clear" w:color="auto" w:fill="auto"/>
          </w:tcPr>
          <w:p w14:paraId="532484B4" w14:textId="77777777" w:rsidR="003E3D07" w:rsidRDefault="003E3D07">
            <w:pPr>
              <w:pStyle w:val="TableText"/>
              <w:rPr>
                <w:rFonts w:eastAsia="Symbol"/>
              </w:rPr>
            </w:pPr>
            <w:r>
              <w:t>Optional</w:t>
            </w:r>
          </w:p>
        </w:tc>
        <w:tc>
          <w:tcPr>
            <w:tcW w:w="1253" w:type="dxa"/>
            <w:shd w:val="clear" w:color="auto" w:fill="auto"/>
          </w:tcPr>
          <w:p w14:paraId="3B03C488" w14:textId="77777777" w:rsidR="003E3D07" w:rsidRDefault="003E3D07">
            <w:pPr>
              <w:pStyle w:val="TableText"/>
              <w:rPr>
                <w:rFonts w:eastAsia="Symbol"/>
              </w:rPr>
            </w:pPr>
            <w:r>
              <w:t>Mi(a)</w:t>
            </w:r>
          </w:p>
        </w:tc>
        <w:tc>
          <w:tcPr>
            <w:tcW w:w="1253" w:type="dxa"/>
            <w:shd w:val="clear" w:color="auto" w:fill="auto"/>
          </w:tcPr>
          <w:p w14:paraId="1A9778C4" w14:textId="77777777" w:rsidR="003E3D07" w:rsidRDefault="003E3D07">
            <w:pPr>
              <w:pStyle w:val="TableText"/>
              <w:rPr>
                <w:rFonts w:eastAsia="Symbol"/>
              </w:rPr>
            </w:pPr>
            <w:r>
              <w:t>Mi(a)</w:t>
            </w:r>
          </w:p>
        </w:tc>
        <w:tc>
          <w:tcPr>
            <w:tcW w:w="1296" w:type="dxa"/>
            <w:shd w:val="clear" w:color="auto" w:fill="auto"/>
          </w:tcPr>
          <w:p w14:paraId="4000A522" w14:textId="77777777" w:rsidR="003E3D07" w:rsidRDefault="003E3D07">
            <w:pPr>
              <w:pStyle w:val="TableText"/>
              <w:rPr>
                <w:rFonts w:eastAsia="Symbol"/>
              </w:rPr>
            </w:pPr>
            <w:r>
              <w:rPr>
                <w:rFonts w:eastAsia="Symbol"/>
              </w:rPr>
              <w:t>99</w:t>
            </w:r>
          </w:p>
        </w:tc>
        <w:tc>
          <w:tcPr>
            <w:tcW w:w="841" w:type="dxa"/>
            <w:shd w:val="clear" w:color="auto" w:fill="auto"/>
          </w:tcPr>
          <w:p w14:paraId="73CBF073" w14:textId="77777777" w:rsidR="003E3D07" w:rsidRDefault="003E3D07">
            <w:pPr>
              <w:pStyle w:val="TableText"/>
              <w:rPr>
                <w:rFonts w:eastAsia="Symbol"/>
              </w:rPr>
            </w:pPr>
            <w:r>
              <w:rPr>
                <w:rFonts w:eastAsia="Symbol"/>
              </w:rPr>
              <w:t>AGMi(a)</w:t>
            </w:r>
          </w:p>
        </w:tc>
      </w:tr>
      <w:tr w:rsidR="00824338" w14:paraId="4907B9C4" w14:textId="77777777" w:rsidTr="00031618">
        <w:tblPrEx>
          <w:tblBorders>
            <w:insideH w:val="single" w:sz="4" w:space="0" w:color="auto"/>
            <w:insideV w:val="single" w:sz="4" w:space="0" w:color="auto"/>
          </w:tblBorders>
        </w:tblPrEx>
        <w:tc>
          <w:tcPr>
            <w:tcW w:w="1975" w:type="dxa"/>
            <w:shd w:val="clear" w:color="auto" w:fill="auto"/>
          </w:tcPr>
          <w:p w14:paraId="7CE35211" w14:textId="77777777" w:rsidR="003E3D07" w:rsidRDefault="003E3D07">
            <w:pPr>
              <w:pStyle w:val="TableText"/>
              <w:rPr>
                <w:rFonts w:eastAsia="Symbol"/>
              </w:rPr>
            </w:pPr>
            <w:r>
              <w:t>Anti-P</w:t>
            </w:r>
          </w:p>
        </w:tc>
        <w:tc>
          <w:tcPr>
            <w:tcW w:w="1710" w:type="dxa"/>
            <w:shd w:val="clear" w:color="auto" w:fill="auto"/>
          </w:tcPr>
          <w:p w14:paraId="37D04765" w14:textId="77777777" w:rsidR="003E3D07" w:rsidRDefault="003E3D07">
            <w:pPr>
              <w:pStyle w:val="TableText"/>
            </w:pPr>
            <w:r>
              <w:t>Anti-P</w:t>
            </w:r>
          </w:p>
        </w:tc>
        <w:tc>
          <w:tcPr>
            <w:tcW w:w="878" w:type="dxa"/>
            <w:shd w:val="clear" w:color="auto" w:fill="auto"/>
          </w:tcPr>
          <w:p w14:paraId="4C4FB2DA" w14:textId="77777777" w:rsidR="003E3D07" w:rsidRDefault="003E3D07">
            <w:pPr>
              <w:pStyle w:val="TableText"/>
            </w:pPr>
            <w:r>
              <w:t>No</w:t>
            </w:r>
          </w:p>
        </w:tc>
        <w:tc>
          <w:tcPr>
            <w:tcW w:w="878" w:type="dxa"/>
            <w:shd w:val="clear" w:color="auto" w:fill="auto"/>
          </w:tcPr>
          <w:p w14:paraId="288D21C6" w14:textId="77777777" w:rsidR="003E3D07" w:rsidRDefault="003E3D07">
            <w:pPr>
              <w:pStyle w:val="TableText"/>
              <w:rPr>
                <w:rFonts w:eastAsia="Symbol"/>
              </w:rPr>
            </w:pPr>
            <w:r>
              <w:t>Optional</w:t>
            </w:r>
          </w:p>
        </w:tc>
        <w:tc>
          <w:tcPr>
            <w:tcW w:w="1253" w:type="dxa"/>
            <w:shd w:val="clear" w:color="auto" w:fill="auto"/>
          </w:tcPr>
          <w:p w14:paraId="495574D5" w14:textId="77777777" w:rsidR="003E3D07" w:rsidRDefault="003E3D07">
            <w:pPr>
              <w:pStyle w:val="TableText"/>
              <w:rPr>
                <w:rFonts w:eastAsia="Symbol"/>
              </w:rPr>
            </w:pPr>
            <w:r>
              <w:t>P</w:t>
            </w:r>
          </w:p>
        </w:tc>
        <w:tc>
          <w:tcPr>
            <w:tcW w:w="1253" w:type="dxa"/>
            <w:shd w:val="clear" w:color="auto" w:fill="auto"/>
          </w:tcPr>
          <w:p w14:paraId="6E6FE94A" w14:textId="77777777" w:rsidR="003E3D07" w:rsidRDefault="003E3D07">
            <w:pPr>
              <w:pStyle w:val="TableText"/>
              <w:rPr>
                <w:rFonts w:eastAsia="Symbol"/>
              </w:rPr>
            </w:pPr>
            <w:r>
              <w:t>P (not otherwise specified)</w:t>
            </w:r>
          </w:p>
        </w:tc>
        <w:tc>
          <w:tcPr>
            <w:tcW w:w="1296" w:type="dxa"/>
            <w:shd w:val="clear" w:color="auto" w:fill="auto"/>
          </w:tcPr>
          <w:p w14:paraId="5655BAE3" w14:textId="77777777" w:rsidR="003E3D07" w:rsidRDefault="003E3D07">
            <w:pPr>
              <w:pStyle w:val="TableText"/>
              <w:rPr>
                <w:rFonts w:eastAsia="Symbol"/>
              </w:rPr>
            </w:pPr>
            <w:r>
              <w:rPr>
                <w:rFonts w:eastAsia="Symbol"/>
              </w:rPr>
              <w:t>25</w:t>
            </w:r>
          </w:p>
        </w:tc>
        <w:tc>
          <w:tcPr>
            <w:tcW w:w="841" w:type="dxa"/>
            <w:shd w:val="clear" w:color="auto" w:fill="auto"/>
          </w:tcPr>
          <w:p w14:paraId="31EF6BCF" w14:textId="77777777" w:rsidR="003E3D07" w:rsidRDefault="003E3D07">
            <w:pPr>
              <w:pStyle w:val="TableText"/>
              <w:rPr>
                <w:rFonts w:eastAsia="Symbol"/>
              </w:rPr>
            </w:pPr>
            <w:r>
              <w:t>AGP</w:t>
            </w:r>
          </w:p>
        </w:tc>
      </w:tr>
      <w:tr w:rsidR="00824338" w14:paraId="5FB98875" w14:textId="77777777" w:rsidTr="00031618">
        <w:tblPrEx>
          <w:tblBorders>
            <w:insideH w:val="single" w:sz="4" w:space="0" w:color="auto"/>
            <w:insideV w:val="single" w:sz="4" w:space="0" w:color="auto"/>
          </w:tblBorders>
        </w:tblPrEx>
        <w:tc>
          <w:tcPr>
            <w:tcW w:w="1975" w:type="dxa"/>
            <w:shd w:val="clear" w:color="auto" w:fill="auto"/>
          </w:tcPr>
          <w:p w14:paraId="486E7EAD" w14:textId="77777777" w:rsidR="003E3D07" w:rsidRDefault="003E3D07">
            <w:pPr>
              <w:pStyle w:val="TableText"/>
              <w:rPr>
                <w:rFonts w:eastAsia="Symbol"/>
              </w:rPr>
            </w:pPr>
            <w:r>
              <w:t>Anti-A1</w:t>
            </w:r>
          </w:p>
        </w:tc>
        <w:tc>
          <w:tcPr>
            <w:tcW w:w="1710" w:type="dxa"/>
            <w:shd w:val="clear" w:color="auto" w:fill="auto"/>
          </w:tcPr>
          <w:p w14:paraId="51FE90F5" w14:textId="77777777" w:rsidR="003E3D07" w:rsidRDefault="003E3D07">
            <w:pPr>
              <w:pStyle w:val="TableText"/>
            </w:pPr>
            <w:r>
              <w:t>Anti-A-1</w:t>
            </w:r>
          </w:p>
        </w:tc>
        <w:tc>
          <w:tcPr>
            <w:tcW w:w="878" w:type="dxa"/>
            <w:shd w:val="clear" w:color="auto" w:fill="auto"/>
          </w:tcPr>
          <w:p w14:paraId="2E0BE63D" w14:textId="77777777" w:rsidR="003E3D07" w:rsidRDefault="003E3D07">
            <w:pPr>
              <w:pStyle w:val="TableText"/>
            </w:pPr>
            <w:r>
              <w:t>No</w:t>
            </w:r>
          </w:p>
        </w:tc>
        <w:tc>
          <w:tcPr>
            <w:tcW w:w="878" w:type="dxa"/>
            <w:shd w:val="clear" w:color="auto" w:fill="auto"/>
          </w:tcPr>
          <w:p w14:paraId="198C86D5" w14:textId="77777777" w:rsidR="003E3D07" w:rsidRDefault="003E3D07">
            <w:pPr>
              <w:pStyle w:val="TableText"/>
              <w:rPr>
                <w:rFonts w:eastAsia="Symbol"/>
              </w:rPr>
            </w:pPr>
            <w:r>
              <w:t>Optional</w:t>
            </w:r>
          </w:p>
        </w:tc>
        <w:tc>
          <w:tcPr>
            <w:tcW w:w="1253" w:type="dxa"/>
            <w:shd w:val="clear" w:color="auto" w:fill="auto"/>
          </w:tcPr>
          <w:p w14:paraId="3F1D5699" w14:textId="77777777" w:rsidR="003E3D07" w:rsidRDefault="003E3D07">
            <w:pPr>
              <w:pStyle w:val="TableText"/>
              <w:rPr>
                <w:rFonts w:eastAsia="Symbol"/>
              </w:rPr>
            </w:pPr>
            <w:r>
              <w:t>A1</w:t>
            </w:r>
          </w:p>
        </w:tc>
        <w:tc>
          <w:tcPr>
            <w:tcW w:w="1253" w:type="dxa"/>
            <w:shd w:val="clear" w:color="auto" w:fill="auto"/>
          </w:tcPr>
          <w:p w14:paraId="638FEE6B" w14:textId="77777777" w:rsidR="003E3D07" w:rsidRDefault="003E3D07">
            <w:pPr>
              <w:pStyle w:val="TableText"/>
              <w:rPr>
                <w:rFonts w:eastAsia="Symbol"/>
              </w:rPr>
            </w:pPr>
            <w:r>
              <w:t>A-1</w:t>
            </w:r>
          </w:p>
        </w:tc>
        <w:tc>
          <w:tcPr>
            <w:tcW w:w="1296" w:type="dxa"/>
            <w:shd w:val="clear" w:color="auto" w:fill="auto"/>
          </w:tcPr>
          <w:p w14:paraId="23BA599C" w14:textId="77777777" w:rsidR="003E3D07" w:rsidRDefault="003E3D07">
            <w:pPr>
              <w:pStyle w:val="TableText"/>
              <w:rPr>
                <w:rFonts w:eastAsia="Symbol"/>
              </w:rPr>
            </w:pPr>
            <w:r>
              <w:rPr>
                <w:rFonts w:eastAsia="Symbol"/>
              </w:rPr>
              <w:t>10</w:t>
            </w:r>
          </w:p>
        </w:tc>
        <w:tc>
          <w:tcPr>
            <w:tcW w:w="841" w:type="dxa"/>
            <w:shd w:val="clear" w:color="auto" w:fill="auto"/>
          </w:tcPr>
          <w:p w14:paraId="3F0C8E3D" w14:textId="77777777" w:rsidR="003E3D07" w:rsidRDefault="003E3D07">
            <w:pPr>
              <w:pStyle w:val="TableText"/>
              <w:rPr>
                <w:rFonts w:eastAsia="Symbol"/>
              </w:rPr>
            </w:pPr>
            <w:r>
              <w:t>AGA1</w:t>
            </w:r>
          </w:p>
        </w:tc>
      </w:tr>
      <w:tr w:rsidR="00824338" w14:paraId="63C3A7D1" w14:textId="77777777" w:rsidTr="00031618">
        <w:tblPrEx>
          <w:tblBorders>
            <w:insideH w:val="single" w:sz="4" w:space="0" w:color="auto"/>
            <w:insideV w:val="single" w:sz="4" w:space="0" w:color="auto"/>
          </w:tblBorders>
        </w:tblPrEx>
        <w:tc>
          <w:tcPr>
            <w:tcW w:w="1975" w:type="dxa"/>
            <w:shd w:val="clear" w:color="auto" w:fill="auto"/>
          </w:tcPr>
          <w:p w14:paraId="6BB4E996" w14:textId="77777777" w:rsidR="003E3D07" w:rsidRDefault="003E3D07">
            <w:pPr>
              <w:pStyle w:val="TableText"/>
              <w:rPr>
                <w:rFonts w:eastAsia="Symbol"/>
              </w:rPr>
            </w:pPr>
            <w:r>
              <w:t>Anti-H</w:t>
            </w:r>
          </w:p>
        </w:tc>
        <w:tc>
          <w:tcPr>
            <w:tcW w:w="1710" w:type="dxa"/>
            <w:shd w:val="clear" w:color="auto" w:fill="auto"/>
          </w:tcPr>
          <w:p w14:paraId="16720DB7" w14:textId="77777777" w:rsidR="003E3D07" w:rsidRDefault="003E3D07">
            <w:pPr>
              <w:pStyle w:val="TableText"/>
              <w:rPr>
                <w:rFonts w:eastAsia="Symbol"/>
              </w:rPr>
            </w:pPr>
            <w:r>
              <w:t>Anti-H</w:t>
            </w:r>
          </w:p>
        </w:tc>
        <w:tc>
          <w:tcPr>
            <w:tcW w:w="878" w:type="dxa"/>
            <w:shd w:val="clear" w:color="auto" w:fill="auto"/>
          </w:tcPr>
          <w:p w14:paraId="3084E073" w14:textId="77777777" w:rsidR="003E3D07" w:rsidRDefault="003E3D07">
            <w:pPr>
              <w:pStyle w:val="TableText"/>
            </w:pPr>
            <w:r>
              <w:t>No</w:t>
            </w:r>
          </w:p>
        </w:tc>
        <w:tc>
          <w:tcPr>
            <w:tcW w:w="878" w:type="dxa"/>
            <w:shd w:val="clear" w:color="auto" w:fill="auto"/>
          </w:tcPr>
          <w:p w14:paraId="74A373BE" w14:textId="77777777" w:rsidR="003E3D07" w:rsidRDefault="003E3D07">
            <w:pPr>
              <w:pStyle w:val="TableText"/>
              <w:rPr>
                <w:rFonts w:eastAsia="Symbol"/>
              </w:rPr>
            </w:pPr>
            <w:r>
              <w:t>Optional</w:t>
            </w:r>
          </w:p>
        </w:tc>
        <w:tc>
          <w:tcPr>
            <w:tcW w:w="1253" w:type="dxa"/>
            <w:shd w:val="clear" w:color="auto" w:fill="auto"/>
          </w:tcPr>
          <w:p w14:paraId="3D9C234E" w14:textId="77777777" w:rsidR="003E3D07" w:rsidRDefault="003E3D07">
            <w:pPr>
              <w:pStyle w:val="TableText"/>
              <w:rPr>
                <w:rFonts w:eastAsia="Symbol"/>
              </w:rPr>
            </w:pPr>
            <w:r>
              <w:t>H</w:t>
            </w:r>
          </w:p>
        </w:tc>
        <w:tc>
          <w:tcPr>
            <w:tcW w:w="1253" w:type="dxa"/>
            <w:shd w:val="clear" w:color="auto" w:fill="auto"/>
          </w:tcPr>
          <w:p w14:paraId="2A0334BD" w14:textId="77777777" w:rsidR="003E3D07" w:rsidRDefault="003E3D07">
            <w:pPr>
              <w:pStyle w:val="TableText"/>
              <w:rPr>
                <w:rFonts w:eastAsia="Symbol"/>
              </w:rPr>
            </w:pPr>
            <w:r>
              <w:t>H</w:t>
            </w:r>
          </w:p>
        </w:tc>
        <w:tc>
          <w:tcPr>
            <w:tcW w:w="1296" w:type="dxa"/>
            <w:shd w:val="clear" w:color="auto" w:fill="auto"/>
          </w:tcPr>
          <w:p w14:paraId="580B027D" w14:textId="77777777" w:rsidR="003E3D07" w:rsidRDefault="003E3D07">
            <w:pPr>
              <w:pStyle w:val="TableText"/>
              <w:rPr>
                <w:rFonts w:eastAsia="Symbol"/>
              </w:rPr>
            </w:pPr>
            <w:r>
              <w:t>0</w:t>
            </w:r>
          </w:p>
        </w:tc>
        <w:tc>
          <w:tcPr>
            <w:tcW w:w="841" w:type="dxa"/>
            <w:shd w:val="clear" w:color="auto" w:fill="auto"/>
          </w:tcPr>
          <w:p w14:paraId="396B485B" w14:textId="77777777" w:rsidR="003E3D07" w:rsidRDefault="003E3D07">
            <w:pPr>
              <w:pStyle w:val="TableText"/>
              <w:rPr>
                <w:rFonts w:eastAsia="Symbol"/>
              </w:rPr>
            </w:pPr>
            <w:r>
              <w:rPr>
                <w:rFonts w:eastAsia="Symbol"/>
              </w:rPr>
              <w:t>AGH</w:t>
            </w:r>
          </w:p>
        </w:tc>
      </w:tr>
      <w:tr w:rsidR="00824338" w14:paraId="4C6B89D6" w14:textId="77777777" w:rsidTr="00031618">
        <w:tblPrEx>
          <w:tblBorders>
            <w:insideH w:val="single" w:sz="4" w:space="0" w:color="auto"/>
            <w:insideV w:val="single" w:sz="4" w:space="0" w:color="auto"/>
          </w:tblBorders>
        </w:tblPrEx>
        <w:trPr>
          <w:trHeight w:val="720"/>
        </w:trPr>
        <w:tc>
          <w:tcPr>
            <w:tcW w:w="1975" w:type="dxa"/>
            <w:shd w:val="clear" w:color="auto" w:fill="auto"/>
          </w:tcPr>
          <w:p w14:paraId="6409F82E" w14:textId="77777777" w:rsidR="003E3D07" w:rsidRDefault="003E3D07">
            <w:pPr>
              <w:pStyle w:val="TableText"/>
              <w:rPr>
                <w:rFonts w:eastAsia="Symbol"/>
              </w:rPr>
            </w:pPr>
            <w:r>
              <w:t>Anti-I</w:t>
            </w:r>
          </w:p>
        </w:tc>
        <w:tc>
          <w:tcPr>
            <w:tcW w:w="1710" w:type="dxa"/>
            <w:shd w:val="clear" w:color="auto" w:fill="auto"/>
          </w:tcPr>
          <w:p w14:paraId="6D82F531" w14:textId="77777777" w:rsidR="003E3D07" w:rsidRDefault="003E3D07">
            <w:pPr>
              <w:pStyle w:val="TableText"/>
              <w:rPr>
                <w:rFonts w:eastAsia="Symbol"/>
              </w:rPr>
            </w:pPr>
            <w:r>
              <w:t>Anti-I</w:t>
            </w:r>
          </w:p>
        </w:tc>
        <w:tc>
          <w:tcPr>
            <w:tcW w:w="878" w:type="dxa"/>
            <w:shd w:val="clear" w:color="auto" w:fill="auto"/>
          </w:tcPr>
          <w:p w14:paraId="54055C00" w14:textId="77777777" w:rsidR="003E3D07" w:rsidRDefault="003E3D07">
            <w:pPr>
              <w:pStyle w:val="TableText"/>
            </w:pPr>
            <w:r>
              <w:t>No</w:t>
            </w:r>
          </w:p>
        </w:tc>
        <w:tc>
          <w:tcPr>
            <w:tcW w:w="878" w:type="dxa"/>
            <w:shd w:val="clear" w:color="auto" w:fill="auto"/>
          </w:tcPr>
          <w:p w14:paraId="6CA747EF" w14:textId="77777777" w:rsidR="003E3D07" w:rsidRDefault="003E3D07">
            <w:pPr>
              <w:pStyle w:val="TableText"/>
              <w:rPr>
                <w:rFonts w:eastAsia="Symbol"/>
              </w:rPr>
            </w:pPr>
            <w:r>
              <w:t>No</w:t>
            </w:r>
          </w:p>
        </w:tc>
        <w:tc>
          <w:tcPr>
            <w:tcW w:w="1253" w:type="dxa"/>
            <w:shd w:val="clear" w:color="auto" w:fill="auto"/>
          </w:tcPr>
          <w:p w14:paraId="687F9727" w14:textId="77777777" w:rsidR="003E3D07" w:rsidRDefault="003E3D07">
            <w:pPr>
              <w:pStyle w:val="TableText"/>
              <w:rPr>
                <w:rFonts w:eastAsia="Symbol"/>
              </w:rPr>
            </w:pPr>
            <w:r>
              <w:t>None</w:t>
            </w:r>
          </w:p>
        </w:tc>
        <w:tc>
          <w:tcPr>
            <w:tcW w:w="1253" w:type="dxa"/>
            <w:shd w:val="clear" w:color="auto" w:fill="auto"/>
          </w:tcPr>
          <w:p w14:paraId="01D6B2C6" w14:textId="77777777" w:rsidR="003E3D07" w:rsidRDefault="003E3D07">
            <w:pPr>
              <w:pStyle w:val="TableText"/>
              <w:rPr>
                <w:rFonts w:eastAsia="Symbol"/>
              </w:rPr>
            </w:pPr>
            <w:r>
              <w:t>None</w:t>
            </w:r>
          </w:p>
        </w:tc>
        <w:tc>
          <w:tcPr>
            <w:tcW w:w="1296" w:type="dxa"/>
            <w:shd w:val="clear" w:color="auto" w:fill="auto"/>
          </w:tcPr>
          <w:p w14:paraId="24951638" w14:textId="77777777" w:rsidR="003E3D07" w:rsidRDefault="003E3D07">
            <w:pPr>
              <w:pStyle w:val="TableText"/>
              <w:rPr>
                <w:rFonts w:eastAsia="Symbol"/>
              </w:rPr>
            </w:pPr>
            <w:r>
              <w:t>0</w:t>
            </w:r>
          </w:p>
        </w:tc>
        <w:tc>
          <w:tcPr>
            <w:tcW w:w="841" w:type="dxa"/>
            <w:vMerge w:val="restart"/>
            <w:shd w:val="clear" w:color="auto" w:fill="auto"/>
          </w:tcPr>
          <w:p w14:paraId="06823658" w14:textId="77777777" w:rsidR="003E3D07" w:rsidRDefault="003E3D07">
            <w:pPr>
              <w:pStyle w:val="TableText"/>
              <w:rPr>
                <w:rFonts w:eastAsia="Symbol"/>
              </w:rPr>
            </w:pPr>
            <w:r>
              <w:rPr>
                <w:rFonts w:eastAsia="Symbol"/>
              </w:rPr>
              <w:t>None</w:t>
            </w:r>
          </w:p>
        </w:tc>
      </w:tr>
      <w:tr w:rsidR="00824338" w14:paraId="0B07AE97" w14:textId="77777777" w:rsidTr="00031618">
        <w:tblPrEx>
          <w:tblBorders>
            <w:insideH w:val="single" w:sz="4" w:space="0" w:color="auto"/>
            <w:insideV w:val="single" w:sz="4" w:space="0" w:color="auto"/>
          </w:tblBorders>
        </w:tblPrEx>
        <w:trPr>
          <w:trHeight w:val="720"/>
        </w:trPr>
        <w:tc>
          <w:tcPr>
            <w:tcW w:w="1975" w:type="dxa"/>
            <w:shd w:val="clear" w:color="auto" w:fill="auto"/>
          </w:tcPr>
          <w:p w14:paraId="5493B59A" w14:textId="77777777" w:rsidR="003E3D07" w:rsidRDefault="003E3D07">
            <w:pPr>
              <w:pStyle w:val="TableText"/>
              <w:rPr>
                <w:rFonts w:eastAsia="Symbol"/>
              </w:rPr>
            </w:pPr>
            <w:r>
              <w:t>Anti-i</w:t>
            </w:r>
          </w:p>
        </w:tc>
        <w:tc>
          <w:tcPr>
            <w:tcW w:w="1710" w:type="dxa"/>
            <w:shd w:val="clear" w:color="auto" w:fill="auto"/>
          </w:tcPr>
          <w:p w14:paraId="41AAAD23" w14:textId="77777777" w:rsidR="003E3D07" w:rsidRDefault="003E3D07">
            <w:pPr>
              <w:pStyle w:val="TableText"/>
              <w:rPr>
                <w:rFonts w:eastAsia="Symbol"/>
              </w:rPr>
            </w:pPr>
            <w:r>
              <w:t>Anti-i</w:t>
            </w:r>
          </w:p>
        </w:tc>
        <w:tc>
          <w:tcPr>
            <w:tcW w:w="878" w:type="dxa"/>
            <w:shd w:val="clear" w:color="auto" w:fill="auto"/>
          </w:tcPr>
          <w:p w14:paraId="4BC0E989" w14:textId="77777777" w:rsidR="003E3D07" w:rsidRDefault="003E3D07">
            <w:pPr>
              <w:pStyle w:val="TableText"/>
            </w:pPr>
            <w:r>
              <w:t>No</w:t>
            </w:r>
          </w:p>
        </w:tc>
        <w:tc>
          <w:tcPr>
            <w:tcW w:w="878" w:type="dxa"/>
            <w:shd w:val="clear" w:color="auto" w:fill="auto"/>
          </w:tcPr>
          <w:p w14:paraId="42CC1419" w14:textId="77777777" w:rsidR="003E3D07" w:rsidRDefault="003E3D07">
            <w:pPr>
              <w:pStyle w:val="TableText"/>
              <w:rPr>
                <w:rFonts w:eastAsia="Symbol"/>
              </w:rPr>
            </w:pPr>
            <w:r>
              <w:t>No</w:t>
            </w:r>
          </w:p>
        </w:tc>
        <w:tc>
          <w:tcPr>
            <w:tcW w:w="1253" w:type="dxa"/>
            <w:shd w:val="clear" w:color="auto" w:fill="auto"/>
          </w:tcPr>
          <w:p w14:paraId="2A2BC911" w14:textId="77777777" w:rsidR="003E3D07" w:rsidRDefault="003E3D07">
            <w:pPr>
              <w:pStyle w:val="TableText"/>
              <w:rPr>
                <w:rFonts w:eastAsia="Symbol"/>
              </w:rPr>
            </w:pPr>
            <w:r>
              <w:t>None</w:t>
            </w:r>
          </w:p>
        </w:tc>
        <w:tc>
          <w:tcPr>
            <w:tcW w:w="1253" w:type="dxa"/>
            <w:shd w:val="clear" w:color="auto" w:fill="auto"/>
          </w:tcPr>
          <w:p w14:paraId="6CCD5DAD" w14:textId="77777777" w:rsidR="003E3D07" w:rsidRDefault="003E3D07">
            <w:pPr>
              <w:pStyle w:val="TableText"/>
              <w:rPr>
                <w:rFonts w:eastAsia="Symbol"/>
              </w:rPr>
            </w:pPr>
            <w:r>
              <w:t>None</w:t>
            </w:r>
          </w:p>
        </w:tc>
        <w:tc>
          <w:tcPr>
            <w:tcW w:w="1296" w:type="dxa"/>
            <w:shd w:val="clear" w:color="auto" w:fill="auto"/>
          </w:tcPr>
          <w:p w14:paraId="1D8FA126" w14:textId="77777777" w:rsidR="003E3D07" w:rsidRDefault="003E3D07">
            <w:pPr>
              <w:pStyle w:val="TableText"/>
              <w:rPr>
                <w:rFonts w:eastAsia="Symbol"/>
              </w:rPr>
            </w:pPr>
            <w:r>
              <w:rPr>
                <w:rFonts w:eastAsia="Symbol"/>
              </w:rPr>
              <w:t>99</w:t>
            </w:r>
          </w:p>
        </w:tc>
        <w:tc>
          <w:tcPr>
            <w:tcW w:w="841" w:type="dxa"/>
            <w:vMerge/>
            <w:shd w:val="clear" w:color="auto" w:fill="auto"/>
          </w:tcPr>
          <w:p w14:paraId="2A25E67A" w14:textId="77777777" w:rsidR="003E3D07" w:rsidRDefault="003E3D07">
            <w:pPr>
              <w:pStyle w:val="TableText"/>
              <w:rPr>
                <w:rFonts w:eastAsia="Symbol"/>
              </w:rPr>
            </w:pPr>
          </w:p>
        </w:tc>
      </w:tr>
      <w:tr w:rsidR="00824338" w14:paraId="01F2EAB7" w14:textId="77777777" w:rsidTr="00031618">
        <w:tblPrEx>
          <w:tblBorders>
            <w:insideH w:val="single" w:sz="4" w:space="0" w:color="auto"/>
            <w:insideV w:val="single" w:sz="4" w:space="0" w:color="auto"/>
          </w:tblBorders>
        </w:tblPrEx>
        <w:trPr>
          <w:trHeight w:val="720"/>
        </w:trPr>
        <w:tc>
          <w:tcPr>
            <w:tcW w:w="1975" w:type="dxa"/>
            <w:shd w:val="clear" w:color="auto" w:fill="auto"/>
          </w:tcPr>
          <w:p w14:paraId="40C18948" w14:textId="77777777" w:rsidR="003E3D07" w:rsidRDefault="003E3D07">
            <w:pPr>
              <w:pStyle w:val="TableText"/>
            </w:pPr>
            <w:r>
              <w:t>Warm autoantibody</w:t>
            </w:r>
          </w:p>
        </w:tc>
        <w:tc>
          <w:tcPr>
            <w:tcW w:w="1710" w:type="dxa"/>
            <w:shd w:val="clear" w:color="auto" w:fill="auto"/>
          </w:tcPr>
          <w:p w14:paraId="5BBC725C" w14:textId="77777777" w:rsidR="003E3D07" w:rsidRDefault="003E3D07">
            <w:pPr>
              <w:pStyle w:val="TableText"/>
            </w:pPr>
            <w:r>
              <w:t>Warm autoantibody</w:t>
            </w:r>
          </w:p>
        </w:tc>
        <w:tc>
          <w:tcPr>
            <w:tcW w:w="878" w:type="dxa"/>
            <w:shd w:val="clear" w:color="auto" w:fill="auto"/>
          </w:tcPr>
          <w:p w14:paraId="677C2024" w14:textId="77777777" w:rsidR="003E3D07" w:rsidRDefault="003E3D07">
            <w:pPr>
              <w:pStyle w:val="TableText"/>
            </w:pPr>
            <w:r>
              <w:t>Unknown</w:t>
            </w:r>
            <w:r w:rsidR="00F528F3" w:rsidRPr="00191509">
              <w:rPr>
                <w:szCs w:val="18"/>
              </w:rPr>
              <w:t>§</w:t>
            </w:r>
          </w:p>
        </w:tc>
        <w:tc>
          <w:tcPr>
            <w:tcW w:w="878" w:type="dxa"/>
            <w:shd w:val="clear" w:color="auto" w:fill="auto"/>
          </w:tcPr>
          <w:p w14:paraId="1FE9F46D" w14:textId="77777777" w:rsidR="003E3D07" w:rsidRDefault="003E3D07">
            <w:pPr>
              <w:pStyle w:val="TableText"/>
            </w:pPr>
            <w:r>
              <w:t>No</w:t>
            </w:r>
          </w:p>
        </w:tc>
        <w:tc>
          <w:tcPr>
            <w:tcW w:w="1253" w:type="dxa"/>
            <w:shd w:val="clear" w:color="auto" w:fill="auto"/>
          </w:tcPr>
          <w:p w14:paraId="6D52A9ED" w14:textId="77777777" w:rsidR="003E3D07" w:rsidRDefault="003E3D07">
            <w:pPr>
              <w:pStyle w:val="TableText"/>
              <w:rPr>
                <w:rFonts w:eastAsia="Symbol"/>
              </w:rPr>
            </w:pPr>
            <w:r>
              <w:rPr>
                <w:rFonts w:eastAsia="Symbol"/>
              </w:rPr>
              <w:t>None</w:t>
            </w:r>
          </w:p>
        </w:tc>
        <w:tc>
          <w:tcPr>
            <w:tcW w:w="1253" w:type="dxa"/>
            <w:shd w:val="clear" w:color="auto" w:fill="auto"/>
          </w:tcPr>
          <w:p w14:paraId="174DC902" w14:textId="77777777" w:rsidR="003E3D07" w:rsidRDefault="003E3D07">
            <w:pPr>
              <w:pStyle w:val="TableText"/>
              <w:rPr>
                <w:rFonts w:eastAsia="Symbol"/>
              </w:rPr>
            </w:pPr>
            <w:r>
              <w:rPr>
                <w:rFonts w:eastAsia="Symbol"/>
              </w:rPr>
              <w:t>None</w:t>
            </w:r>
          </w:p>
        </w:tc>
        <w:tc>
          <w:tcPr>
            <w:tcW w:w="1296" w:type="dxa"/>
            <w:shd w:val="clear" w:color="auto" w:fill="auto"/>
          </w:tcPr>
          <w:p w14:paraId="1E251863" w14:textId="77777777" w:rsidR="003E3D07" w:rsidRDefault="003E3D07">
            <w:pPr>
              <w:pStyle w:val="TableText"/>
            </w:pPr>
            <w:r>
              <w:rPr>
                <w:rFonts w:eastAsia="Symbol"/>
              </w:rPr>
              <w:t>0</w:t>
            </w:r>
          </w:p>
        </w:tc>
        <w:tc>
          <w:tcPr>
            <w:tcW w:w="841" w:type="dxa"/>
            <w:vMerge/>
            <w:shd w:val="clear" w:color="auto" w:fill="auto"/>
          </w:tcPr>
          <w:p w14:paraId="10254C75" w14:textId="77777777" w:rsidR="003E3D07" w:rsidRDefault="003E3D07">
            <w:pPr>
              <w:pStyle w:val="TableText"/>
              <w:rPr>
                <w:rFonts w:eastAsia="Symbol"/>
              </w:rPr>
            </w:pPr>
          </w:p>
        </w:tc>
      </w:tr>
      <w:tr w:rsidR="00824338" w14:paraId="0912AA9A" w14:textId="77777777" w:rsidTr="00031618">
        <w:tblPrEx>
          <w:tblBorders>
            <w:insideH w:val="single" w:sz="4" w:space="0" w:color="auto"/>
            <w:insideV w:val="single" w:sz="4" w:space="0" w:color="auto"/>
          </w:tblBorders>
        </w:tblPrEx>
        <w:trPr>
          <w:trHeight w:val="720"/>
        </w:trPr>
        <w:tc>
          <w:tcPr>
            <w:tcW w:w="1975" w:type="dxa"/>
            <w:shd w:val="clear" w:color="auto" w:fill="auto"/>
          </w:tcPr>
          <w:p w14:paraId="5F232986" w14:textId="77777777" w:rsidR="003E3D07" w:rsidRDefault="003E3D07">
            <w:pPr>
              <w:pStyle w:val="TableText"/>
              <w:rPr>
                <w:rFonts w:eastAsia="Symbol"/>
              </w:rPr>
            </w:pPr>
            <w:r>
              <w:t>Cold autoantibody</w:t>
            </w:r>
          </w:p>
        </w:tc>
        <w:tc>
          <w:tcPr>
            <w:tcW w:w="1710" w:type="dxa"/>
            <w:shd w:val="clear" w:color="auto" w:fill="auto"/>
          </w:tcPr>
          <w:p w14:paraId="62FCD89D" w14:textId="77777777" w:rsidR="003E3D07" w:rsidRDefault="003E3D07">
            <w:pPr>
              <w:pStyle w:val="TableText"/>
            </w:pPr>
            <w:r>
              <w:t>Cold autoantibody</w:t>
            </w:r>
          </w:p>
        </w:tc>
        <w:tc>
          <w:tcPr>
            <w:tcW w:w="878" w:type="dxa"/>
            <w:shd w:val="clear" w:color="auto" w:fill="auto"/>
          </w:tcPr>
          <w:p w14:paraId="190EF533" w14:textId="77777777" w:rsidR="003E3D07" w:rsidRDefault="003E3D07">
            <w:pPr>
              <w:pStyle w:val="TableText"/>
            </w:pPr>
            <w:r>
              <w:t>No</w:t>
            </w:r>
          </w:p>
        </w:tc>
        <w:tc>
          <w:tcPr>
            <w:tcW w:w="878" w:type="dxa"/>
            <w:shd w:val="clear" w:color="auto" w:fill="auto"/>
          </w:tcPr>
          <w:p w14:paraId="6DE16A29" w14:textId="77777777" w:rsidR="003E3D07" w:rsidRDefault="003E3D07">
            <w:pPr>
              <w:pStyle w:val="TableText"/>
              <w:rPr>
                <w:rFonts w:eastAsia="Symbol"/>
              </w:rPr>
            </w:pPr>
            <w:r>
              <w:t>No</w:t>
            </w:r>
          </w:p>
        </w:tc>
        <w:tc>
          <w:tcPr>
            <w:tcW w:w="1253" w:type="dxa"/>
            <w:shd w:val="clear" w:color="auto" w:fill="auto"/>
          </w:tcPr>
          <w:p w14:paraId="7BB28F6B" w14:textId="77777777" w:rsidR="003E3D07" w:rsidRDefault="003E3D07">
            <w:pPr>
              <w:pStyle w:val="TableText"/>
              <w:rPr>
                <w:rFonts w:eastAsia="Symbol"/>
              </w:rPr>
            </w:pPr>
            <w:r>
              <w:rPr>
                <w:rFonts w:eastAsia="Symbol"/>
              </w:rPr>
              <w:t>None</w:t>
            </w:r>
          </w:p>
        </w:tc>
        <w:tc>
          <w:tcPr>
            <w:tcW w:w="1253" w:type="dxa"/>
            <w:shd w:val="clear" w:color="auto" w:fill="auto"/>
          </w:tcPr>
          <w:p w14:paraId="0C34E4B3" w14:textId="77777777" w:rsidR="003E3D07" w:rsidRDefault="003E3D07">
            <w:pPr>
              <w:pStyle w:val="TableText"/>
              <w:rPr>
                <w:rFonts w:eastAsia="Symbol"/>
              </w:rPr>
            </w:pPr>
            <w:r>
              <w:rPr>
                <w:rFonts w:eastAsia="Symbol"/>
              </w:rPr>
              <w:t>None</w:t>
            </w:r>
          </w:p>
        </w:tc>
        <w:tc>
          <w:tcPr>
            <w:tcW w:w="1296" w:type="dxa"/>
            <w:shd w:val="clear" w:color="auto" w:fill="auto"/>
          </w:tcPr>
          <w:p w14:paraId="64365EFF" w14:textId="77777777" w:rsidR="003E3D07" w:rsidRDefault="003E3D07">
            <w:pPr>
              <w:pStyle w:val="TableText"/>
              <w:rPr>
                <w:rFonts w:eastAsia="Symbol"/>
              </w:rPr>
            </w:pPr>
            <w:r>
              <w:t>0</w:t>
            </w:r>
          </w:p>
        </w:tc>
        <w:tc>
          <w:tcPr>
            <w:tcW w:w="841" w:type="dxa"/>
            <w:vMerge/>
            <w:shd w:val="clear" w:color="auto" w:fill="auto"/>
          </w:tcPr>
          <w:p w14:paraId="14E750C7" w14:textId="77777777" w:rsidR="003E3D07" w:rsidRDefault="003E3D07">
            <w:pPr>
              <w:pStyle w:val="TableText"/>
              <w:rPr>
                <w:rFonts w:eastAsia="Symbol"/>
              </w:rPr>
            </w:pPr>
          </w:p>
        </w:tc>
      </w:tr>
      <w:tr w:rsidR="00824338" w14:paraId="0B275F59" w14:textId="77777777" w:rsidTr="00031618">
        <w:tblPrEx>
          <w:tblBorders>
            <w:insideH w:val="single" w:sz="4" w:space="0" w:color="auto"/>
            <w:insideV w:val="single" w:sz="4" w:space="0" w:color="auto"/>
          </w:tblBorders>
        </w:tblPrEx>
        <w:tc>
          <w:tcPr>
            <w:tcW w:w="1975" w:type="dxa"/>
            <w:shd w:val="clear" w:color="auto" w:fill="auto"/>
          </w:tcPr>
          <w:p w14:paraId="2C27944A" w14:textId="77777777" w:rsidR="003E3D07" w:rsidRDefault="003E3D07">
            <w:pPr>
              <w:pStyle w:val="TableText"/>
              <w:rPr>
                <w:rFonts w:eastAsia="Symbol"/>
              </w:rPr>
            </w:pPr>
            <w:r>
              <w:t>Anti-Le(ab)</w:t>
            </w:r>
          </w:p>
        </w:tc>
        <w:tc>
          <w:tcPr>
            <w:tcW w:w="1710" w:type="dxa"/>
            <w:shd w:val="clear" w:color="auto" w:fill="auto"/>
          </w:tcPr>
          <w:p w14:paraId="05709328" w14:textId="77777777" w:rsidR="003E3D07" w:rsidRDefault="003E3D07">
            <w:pPr>
              <w:pStyle w:val="TableText"/>
            </w:pPr>
            <w:r>
              <w:t>Anti-Le(x)</w:t>
            </w:r>
          </w:p>
        </w:tc>
        <w:tc>
          <w:tcPr>
            <w:tcW w:w="878" w:type="dxa"/>
            <w:shd w:val="clear" w:color="auto" w:fill="auto"/>
          </w:tcPr>
          <w:p w14:paraId="4ACA28D1" w14:textId="77777777" w:rsidR="003E3D07" w:rsidRDefault="003E3D07">
            <w:pPr>
              <w:pStyle w:val="TableText"/>
            </w:pPr>
            <w:r>
              <w:t>N</w:t>
            </w:r>
            <w:r w:rsidR="004D0818">
              <w:t>o</w:t>
            </w:r>
          </w:p>
        </w:tc>
        <w:tc>
          <w:tcPr>
            <w:tcW w:w="878" w:type="dxa"/>
            <w:shd w:val="clear" w:color="auto" w:fill="auto"/>
          </w:tcPr>
          <w:p w14:paraId="488CB81C" w14:textId="77777777" w:rsidR="003E3D07" w:rsidRDefault="003E3D07">
            <w:pPr>
              <w:pStyle w:val="TableText"/>
              <w:rPr>
                <w:rFonts w:eastAsia="Symbol"/>
              </w:rPr>
            </w:pPr>
            <w:r>
              <w:t>Optional</w:t>
            </w:r>
          </w:p>
        </w:tc>
        <w:tc>
          <w:tcPr>
            <w:tcW w:w="1253" w:type="dxa"/>
            <w:shd w:val="clear" w:color="auto" w:fill="auto"/>
          </w:tcPr>
          <w:p w14:paraId="597FF05F" w14:textId="77777777" w:rsidR="003E3D07" w:rsidRDefault="003E3D07">
            <w:pPr>
              <w:pStyle w:val="TableText"/>
              <w:rPr>
                <w:rFonts w:eastAsia="Symbol"/>
              </w:rPr>
            </w:pPr>
            <w:r>
              <w:rPr>
                <w:rFonts w:eastAsia="Symbol"/>
              </w:rPr>
              <w:t>Le(a) and Le(b)</w:t>
            </w:r>
          </w:p>
        </w:tc>
        <w:tc>
          <w:tcPr>
            <w:tcW w:w="1253" w:type="dxa"/>
            <w:shd w:val="clear" w:color="auto" w:fill="auto"/>
          </w:tcPr>
          <w:p w14:paraId="1C35636D" w14:textId="77777777" w:rsidR="003E3D07" w:rsidRDefault="003E3D07">
            <w:pPr>
              <w:pStyle w:val="TableText"/>
              <w:rPr>
                <w:rFonts w:eastAsia="Symbol"/>
              </w:rPr>
            </w:pPr>
            <w:r>
              <w:rPr>
                <w:rFonts w:eastAsia="Symbol"/>
              </w:rPr>
              <w:t>None</w:t>
            </w:r>
          </w:p>
        </w:tc>
        <w:tc>
          <w:tcPr>
            <w:tcW w:w="1296" w:type="dxa"/>
            <w:shd w:val="clear" w:color="auto" w:fill="auto"/>
          </w:tcPr>
          <w:p w14:paraId="47340A30" w14:textId="77777777" w:rsidR="003E3D07" w:rsidRDefault="003E3D07">
            <w:pPr>
              <w:pStyle w:val="TableText"/>
              <w:rPr>
                <w:rFonts w:eastAsia="Symbol"/>
              </w:rPr>
            </w:pPr>
            <w:r>
              <w:t>N/A</w:t>
            </w:r>
          </w:p>
        </w:tc>
        <w:tc>
          <w:tcPr>
            <w:tcW w:w="841" w:type="dxa"/>
            <w:shd w:val="clear" w:color="auto" w:fill="auto"/>
          </w:tcPr>
          <w:p w14:paraId="3277B91E" w14:textId="77777777" w:rsidR="003E3D07" w:rsidRDefault="003E3D07">
            <w:pPr>
              <w:pStyle w:val="TableText"/>
            </w:pPr>
            <w:r>
              <w:t>AGLe(a)</w:t>
            </w:r>
          </w:p>
          <w:p w14:paraId="36057A08" w14:textId="77777777" w:rsidR="003E3D07" w:rsidRDefault="003E3D07">
            <w:pPr>
              <w:pStyle w:val="TableText"/>
              <w:rPr>
                <w:rFonts w:eastAsia="Symbol"/>
              </w:rPr>
            </w:pPr>
            <w:r>
              <w:t>AGLe(b)</w:t>
            </w:r>
          </w:p>
        </w:tc>
      </w:tr>
      <w:tr w:rsidR="00824338" w14:paraId="556A385E" w14:textId="77777777" w:rsidTr="00031618">
        <w:tblPrEx>
          <w:tblBorders>
            <w:insideH w:val="single" w:sz="4" w:space="0" w:color="auto"/>
            <w:insideV w:val="single" w:sz="4" w:space="0" w:color="auto"/>
          </w:tblBorders>
        </w:tblPrEx>
        <w:tc>
          <w:tcPr>
            <w:tcW w:w="1975" w:type="dxa"/>
            <w:shd w:val="clear" w:color="auto" w:fill="auto"/>
          </w:tcPr>
          <w:p w14:paraId="00819607" w14:textId="77777777" w:rsidR="003E3D07" w:rsidRDefault="003E3D07">
            <w:pPr>
              <w:pStyle w:val="TableText"/>
              <w:rPr>
                <w:rFonts w:eastAsia="Symbol"/>
              </w:rPr>
            </w:pPr>
            <w:r>
              <w:t>Anti-Di(a)</w:t>
            </w:r>
          </w:p>
        </w:tc>
        <w:tc>
          <w:tcPr>
            <w:tcW w:w="1710" w:type="dxa"/>
            <w:shd w:val="clear" w:color="auto" w:fill="auto"/>
          </w:tcPr>
          <w:p w14:paraId="066542F8" w14:textId="77777777" w:rsidR="003E3D07" w:rsidRDefault="003E3D07">
            <w:pPr>
              <w:pStyle w:val="TableText"/>
              <w:rPr>
                <w:rFonts w:eastAsia="Symbol"/>
              </w:rPr>
            </w:pPr>
            <w:r>
              <w:t>Anti-Di(a)</w:t>
            </w:r>
          </w:p>
        </w:tc>
        <w:tc>
          <w:tcPr>
            <w:tcW w:w="878" w:type="dxa"/>
            <w:shd w:val="clear" w:color="auto" w:fill="auto"/>
          </w:tcPr>
          <w:p w14:paraId="75C6CEF3" w14:textId="77777777" w:rsidR="003E3D07" w:rsidRDefault="003E3D07">
            <w:pPr>
              <w:pStyle w:val="TableText"/>
            </w:pPr>
            <w:r>
              <w:t>No</w:t>
            </w:r>
          </w:p>
        </w:tc>
        <w:tc>
          <w:tcPr>
            <w:tcW w:w="878" w:type="dxa"/>
            <w:shd w:val="clear" w:color="auto" w:fill="auto"/>
          </w:tcPr>
          <w:p w14:paraId="66FE4814" w14:textId="77777777" w:rsidR="003E3D07" w:rsidRDefault="003E3D07">
            <w:pPr>
              <w:pStyle w:val="TableText"/>
              <w:rPr>
                <w:rFonts w:eastAsia="Symbol"/>
              </w:rPr>
            </w:pPr>
            <w:r>
              <w:t>Optional</w:t>
            </w:r>
          </w:p>
        </w:tc>
        <w:tc>
          <w:tcPr>
            <w:tcW w:w="1253" w:type="dxa"/>
            <w:shd w:val="clear" w:color="auto" w:fill="auto"/>
          </w:tcPr>
          <w:p w14:paraId="44201556" w14:textId="77777777" w:rsidR="003E3D07" w:rsidRDefault="003E3D07">
            <w:pPr>
              <w:pStyle w:val="TableText"/>
              <w:rPr>
                <w:rFonts w:eastAsia="Symbol"/>
              </w:rPr>
            </w:pPr>
            <w:r>
              <w:t>Di(a)</w:t>
            </w:r>
          </w:p>
        </w:tc>
        <w:tc>
          <w:tcPr>
            <w:tcW w:w="1253" w:type="dxa"/>
            <w:shd w:val="clear" w:color="auto" w:fill="auto"/>
          </w:tcPr>
          <w:p w14:paraId="1DDF5791" w14:textId="77777777" w:rsidR="003E3D07" w:rsidRDefault="003E3D07">
            <w:pPr>
              <w:pStyle w:val="TableText"/>
              <w:rPr>
                <w:rFonts w:eastAsia="Symbol"/>
              </w:rPr>
            </w:pPr>
            <w:r>
              <w:t>Di(a)</w:t>
            </w:r>
          </w:p>
        </w:tc>
        <w:tc>
          <w:tcPr>
            <w:tcW w:w="1296" w:type="dxa"/>
            <w:shd w:val="clear" w:color="auto" w:fill="auto"/>
          </w:tcPr>
          <w:p w14:paraId="1C2F088E" w14:textId="77777777" w:rsidR="003E3D07" w:rsidRDefault="003E3D07">
            <w:pPr>
              <w:pStyle w:val="TableText"/>
              <w:rPr>
                <w:rFonts w:eastAsia="Symbol"/>
              </w:rPr>
            </w:pPr>
            <w:r>
              <w:t>0</w:t>
            </w:r>
          </w:p>
        </w:tc>
        <w:tc>
          <w:tcPr>
            <w:tcW w:w="841" w:type="dxa"/>
            <w:shd w:val="clear" w:color="auto" w:fill="auto"/>
          </w:tcPr>
          <w:p w14:paraId="5367EFE0" w14:textId="77777777" w:rsidR="003E3D07" w:rsidRDefault="003E3D07">
            <w:pPr>
              <w:pStyle w:val="TableText"/>
              <w:rPr>
                <w:rFonts w:eastAsia="Symbol"/>
              </w:rPr>
            </w:pPr>
            <w:r>
              <w:t>AGDi(a)</w:t>
            </w:r>
          </w:p>
        </w:tc>
      </w:tr>
      <w:tr w:rsidR="00824338" w14:paraId="1F99D031" w14:textId="77777777" w:rsidTr="00031618">
        <w:tblPrEx>
          <w:tblBorders>
            <w:insideH w:val="single" w:sz="4" w:space="0" w:color="auto"/>
            <w:insideV w:val="single" w:sz="4" w:space="0" w:color="auto"/>
          </w:tblBorders>
        </w:tblPrEx>
        <w:tc>
          <w:tcPr>
            <w:tcW w:w="1975" w:type="dxa"/>
            <w:shd w:val="clear" w:color="auto" w:fill="auto"/>
          </w:tcPr>
          <w:p w14:paraId="67015FBD" w14:textId="77777777" w:rsidR="003E3D07" w:rsidRDefault="003E3D07">
            <w:pPr>
              <w:pStyle w:val="TableText"/>
              <w:rPr>
                <w:rFonts w:eastAsia="Symbol"/>
              </w:rPr>
            </w:pPr>
            <w:r>
              <w:t>Anti-Di(b)</w:t>
            </w:r>
          </w:p>
        </w:tc>
        <w:tc>
          <w:tcPr>
            <w:tcW w:w="1710" w:type="dxa"/>
            <w:shd w:val="clear" w:color="auto" w:fill="auto"/>
          </w:tcPr>
          <w:p w14:paraId="3AC2BD96" w14:textId="77777777" w:rsidR="003E3D07" w:rsidRDefault="003E3D07">
            <w:pPr>
              <w:pStyle w:val="TableText"/>
              <w:rPr>
                <w:rFonts w:eastAsia="Symbol"/>
              </w:rPr>
            </w:pPr>
            <w:r>
              <w:t>Anti-Di(b)</w:t>
            </w:r>
          </w:p>
        </w:tc>
        <w:tc>
          <w:tcPr>
            <w:tcW w:w="878" w:type="dxa"/>
            <w:shd w:val="clear" w:color="auto" w:fill="auto"/>
          </w:tcPr>
          <w:p w14:paraId="5BEFFADB" w14:textId="77777777" w:rsidR="003E3D07" w:rsidRDefault="003E3D07">
            <w:pPr>
              <w:pStyle w:val="TableText"/>
            </w:pPr>
            <w:r>
              <w:t>No</w:t>
            </w:r>
          </w:p>
        </w:tc>
        <w:tc>
          <w:tcPr>
            <w:tcW w:w="878" w:type="dxa"/>
            <w:shd w:val="clear" w:color="auto" w:fill="auto"/>
          </w:tcPr>
          <w:p w14:paraId="20779BD2" w14:textId="77777777" w:rsidR="003E3D07" w:rsidRDefault="003E3D07">
            <w:pPr>
              <w:pStyle w:val="TableText"/>
              <w:rPr>
                <w:rFonts w:eastAsia="Symbol"/>
              </w:rPr>
            </w:pPr>
            <w:r>
              <w:t>Optional</w:t>
            </w:r>
          </w:p>
        </w:tc>
        <w:tc>
          <w:tcPr>
            <w:tcW w:w="1253" w:type="dxa"/>
            <w:shd w:val="clear" w:color="auto" w:fill="auto"/>
          </w:tcPr>
          <w:p w14:paraId="27A18F39" w14:textId="77777777" w:rsidR="003E3D07" w:rsidRDefault="003E3D07">
            <w:pPr>
              <w:pStyle w:val="TableText"/>
              <w:rPr>
                <w:rFonts w:eastAsia="Symbol"/>
              </w:rPr>
            </w:pPr>
            <w:r>
              <w:t>Di(b)</w:t>
            </w:r>
          </w:p>
        </w:tc>
        <w:tc>
          <w:tcPr>
            <w:tcW w:w="1253" w:type="dxa"/>
            <w:shd w:val="clear" w:color="auto" w:fill="auto"/>
          </w:tcPr>
          <w:p w14:paraId="7C003F91" w14:textId="77777777" w:rsidR="003E3D07" w:rsidRDefault="003E3D07">
            <w:pPr>
              <w:pStyle w:val="TableText"/>
              <w:rPr>
                <w:rFonts w:eastAsia="Symbol"/>
              </w:rPr>
            </w:pPr>
            <w:r>
              <w:t>Di(b)</w:t>
            </w:r>
          </w:p>
        </w:tc>
        <w:tc>
          <w:tcPr>
            <w:tcW w:w="1296" w:type="dxa"/>
            <w:shd w:val="clear" w:color="auto" w:fill="auto"/>
          </w:tcPr>
          <w:p w14:paraId="309390EB" w14:textId="77777777" w:rsidR="003E3D07" w:rsidRDefault="003E3D07">
            <w:pPr>
              <w:pStyle w:val="TableText"/>
              <w:rPr>
                <w:rFonts w:eastAsia="Symbol"/>
              </w:rPr>
            </w:pPr>
            <w:r>
              <w:rPr>
                <w:rFonts w:eastAsia="Symbol"/>
              </w:rPr>
              <w:t>99</w:t>
            </w:r>
          </w:p>
        </w:tc>
        <w:tc>
          <w:tcPr>
            <w:tcW w:w="841" w:type="dxa"/>
            <w:shd w:val="clear" w:color="auto" w:fill="auto"/>
          </w:tcPr>
          <w:p w14:paraId="282B48EF" w14:textId="77777777" w:rsidR="003E3D07" w:rsidRDefault="003E3D07">
            <w:pPr>
              <w:pStyle w:val="TableText"/>
              <w:rPr>
                <w:rFonts w:eastAsia="Symbol"/>
              </w:rPr>
            </w:pPr>
            <w:r>
              <w:t>AGDi(b)</w:t>
            </w:r>
          </w:p>
        </w:tc>
      </w:tr>
      <w:tr w:rsidR="00824338" w14:paraId="012E08E8" w14:textId="77777777" w:rsidTr="00031618">
        <w:tblPrEx>
          <w:tblBorders>
            <w:insideH w:val="single" w:sz="4" w:space="0" w:color="auto"/>
            <w:insideV w:val="single" w:sz="4" w:space="0" w:color="auto"/>
          </w:tblBorders>
        </w:tblPrEx>
        <w:tc>
          <w:tcPr>
            <w:tcW w:w="1975" w:type="dxa"/>
            <w:shd w:val="clear" w:color="auto" w:fill="auto"/>
          </w:tcPr>
          <w:p w14:paraId="6AD4B9B2" w14:textId="77777777" w:rsidR="003E3D07" w:rsidRDefault="003E3D07">
            <w:pPr>
              <w:pStyle w:val="TableText"/>
              <w:rPr>
                <w:rFonts w:eastAsia="Symbol"/>
              </w:rPr>
            </w:pPr>
            <w:r>
              <w:t>Anti-Do(a)</w:t>
            </w:r>
          </w:p>
        </w:tc>
        <w:tc>
          <w:tcPr>
            <w:tcW w:w="1710" w:type="dxa"/>
            <w:shd w:val="clear" w:color="auto" w:fill="auto"/>
          </w:tcPr>
          <w:p w14:paraId="7DE4CFF4" w14:textId="77777777" w:rsidR="003E3D07" w:rsidRDefault="003E3D07">
            <w:pPr>
              <w:pStyle w:val="TableText"/>
              <w:rPr>
                <w:rFonts w:eastAsia="Symbol"/>
              </w:rPr>
            </w:pPr>
            <w:r>
              <w:t>Anti-Do(a)</w:t>
            </w:r>
          </w:p>
        </w:tc>
        <w:tc>
          <w:tcPr>
            <w:tcW w:w="878" w:type="dxa"/>
            <w:shd w:val="clear" w:color="auto" w:fill="auto"/>
          </w:tcPr>
          <w:p w14:paraId="4E0AD23B" w14:textId="77777777" w:rsidR="003E3D07" w:rsidRDefault="003E3D07">
            <w:pPr>
              <w:pStyle w:val="TableText"/>
            </w:pPr>
            <w:r>
              <w:t>No</w:t>
            </w:r>
          </w:p>
        </w:tc>
        <w:tc>
          <w:tcPr>
            <w:tcW w:w="878" w:type="dxa"/>
            <w:shd w:val="clear" w:color="auto" w:fill="auto"/>
          </w:tcPr>
          <w:p w14:paraId="102FEE63" w14:textId="77777777" w:rsidR="003E3D07" w:rsidRDefault="003E3D07">
            <w:pPr>
              <w:pStyle w:val="TableText"/>
              <w:rPr>
                <w:rFonts w:eastAsia="Symbol"/>
              </w:rPr>
            </w:pPr>
            <w:r>
              <w:t>Optional</w:t>
            </w:r>
          </w:p>
        </w:tc>
        <w:tc>
          <w:tcPr>
            <w:tcW w:w="1253" w:type="dxa"/>
            <w:shd w:val="clear" w:color="auto" w:fill="auto"/>
          </w:tcPr>
          <w:p w14:paraId="19D91459" w14:textId="77777777" w:rsidR="003E3D07" w:rsidRDefault="003E3D07">
            <w:pPr>
              <w:pStyle w:val="TableText"/>
              <w:rPr>
                <w:rFonts w:eastAsia="Symbol"/>
              </w:rPr>
            </w:pPr>
            <w:r>
              <w:t>Do(a)</w:t>
            </w:r>
          </w:p>
        </w:tc>
        <w:tc>
          <w:tcPr>
            <w:tcW w:w="1253" w:type="dxa"/>
            <w:shd w:val="clear" w:color="auto" w:fill="auto"/>
          </w:tcPr>
          <w:p w14:paraId="37EE5FA4" w14:textId="77777777" w:rsidR="003E3D07" w:rsidRDefault="003E3D07">
            <w:pPr>
              <w:pStyle w:val="TableText"/>
              <w:rPr>
                <w:rFonts w:eastAsia="Symbol"/>
              </w:rPr>
            </w:pPr>
            <w:r>
              <w:t>Do(a)</w:t>
            </w:r>
          </w:p>
        </w:tc>
        <w:tc>
          <w:tcPr>
            <w:tcW w:w="1296" w:type="dxa"/>
            <w:shd w:val="clear" w:color="auto" w:fill="auto"/>
          </w:tcPr>
          <w:p w14:paraId="4ED7F117" w14:textId="77777777" w:rsidR="003E3D07" w:rsidRDefault="003E3D07">
            <w:pPr>
              <w:pStyle w:val="TableText"/>
              <w:rPr>
                <w:rFonts w:eastAsia="Symbol"/>
              </w:rPr>
            </w:pPr>
            <w:r>
              <w:t>33</w:t>
            </w:r>
          </w:p>
        </w:tc>
        <w:tc>
          <w:tcPr>
            <w:tcW w:w="841" w:type="dxa"/>
            <w:shd w:val="clear" w:color="auto" w:fill="auto"/>
          </w:tcPr>
          <w:p w14:paraId="4D48E961" w14:textId="77777777" w:rsidR="003E3D07" w:rsidRDefault="003E3D07">
            <w:pPr>
              <w:pStyle w:val="TableText"/>
            </w:pPr>
            <w:r>
              <w:t>AGDo(a)</w:t>
            </w:r>
          </w:p>
        </w:tc>
      </w:tr>
      <w:tr w:rsidR="00824338" w14:paraId="0C18C74E" w14:textId="77777777" w:rsidTr="00031618">
        <w:tblPrEx>
          <w:tblBorders>
            <w:insideH w:val="single" w:sz="4" w:space="0" w:color="auto"/>
            <w:insideV w:val="single" w:sz="4" w:space="0" w:color="auto"/>
          </w:tblBorders>
        </w:tblPrEx>
        <w:tc>
          <w:tcPr>
            <w:tcW w:w="1975" w:type="dxa"/>
            <w:shd w:val="clear" w:color="auto" w:fill="auto"/>
          </w:tcPr>
          <w:p w14:paraId="5E185783" w14:textId="77777777" w:rsidR="003E3D07" w:rsidRDefault="003E3D07">
            <w:pPr>
              <w:pStyle w:val="TableText"/>
              <w:rPr>
                <w:rFonts w:eastAsia="Symbol"/>
              </w:rPr>
            </w:pPr>
            <w:r>
              <w:t>Anti-Do(b)</w:t>
            </w:r>
          </w:p>
        </w:tc>
        <w:tc>
          <w:tcPr>
            <w:tcW w:w="1710" w:type="dxa"/>
            <w:shd w:val="clear" w:color="auto" w:fill="auto"/>
          </w:tcPr>
          <w:p w14:paraId="66E23560" w14:textId="77777777" w:rsidR="003E3D07" w:rsidRDefault="003E3D07">
            <w:pPr>
              <w:pStyle w:val="TableText"/>
              <w:rPr>
                <w:rFonts w:eastAsia="Symbol"/>
              </w:rPr>
            </w:pPr>
            <w:r>
              <w:t>None</w:t>
            </w:r>
          </w:p>
        </w:tc>
        <w:tc>
          <w:tcPr>
            <w:tcW w:w="878" w:type="dxa"/>
            <w:shd w:val="clear" w:color="auto" w:fill="auto"/>
          </w:tcPr>
          <w:p w14:paraId="0F2681B0" w14:textId="77777777" w:rsidR="003E3D07" w:rsidRDefault="003E3D07">
            <w:pPr>
              <w:pStyle w:val="TableText"/>
            </w:pPr>
            <w:r>
              <w:t>No</w:t>
            </w:r>
          </w:p>
        </w:tc>
        <w:tc>
          <w:tcPr>
            <w:tcW w:w="878" w:type="dxa"/>
            <w:shd w:val="clear" w:color="auto" w:fill="auto"/>
          </w:tcPr>
          <w:p w14:paraId="534A004C" w14:textId="77777777" w:rsidR="003E3D07" w:rsidRDefault="003E3D07">
            <w:pPr>
              <w:pStyle w:val="TableText"/>
              <w:rPr>
                <w:rFonts w:eastAsia="Symbol"/>
              </w:rPr>
            </w:pPr>
            <w:r>
              <w:t>Optional</w:t>
            </w:r>
          </w:p>
        </w:tc>
        <w:tc>
          <w:tcPr>
            <w:tcW w:w="1253" w:type="dxa"/>
            <w:shd w:val="clear" w:color="auto" w:fill="auto"/>
          </w:tcPr>
          <w:p w14:paraId="58FA48C3" w14:textId="77777777" w:rsidR="003E3D07" w:rsidRDefault="003E3D07">
            <w:pPr>
              <w:pStyle w:val="TableText"/>
              <w:rPr>
                <w:rFonts w:eastAsia="Symbol"/>
              </w:rPr>
            </w:pPr>
            <w:r>
              <w:t>Do(b)</w:t>
            </w:r>
          </w:p>
        </w:tc>
        <w:tc>
          <w:tcPr>
            <w:tcW w:w="1253" w:type="dxa"/>
            <w:shd w:val="clear" w:color="auto" w:fill="auto"/>
          </w:tcPr>
          <w:p w14:paraId="14C642ED" w14:textId="77777777" w:rsidR="003E3D07" w:rsidRDefault="003E3D07">
            <w:pPr>
              <w:pStyle w:val="TableText"/>
              <w:rPr>
                <w:rFonts w:eastAsia="Symbol"/>
              </w:rPr>
            </w:pPr>
            <w:r>
              <w:t>None</w:t>
            </w:r>
          </w:p>
        </w:tc>
        <w:tc>
          <w:tcPr>
            <w:tcW w:w="1296" w:type="dxa"/>
            <w:shd w:val="clear" w:color="auto" w:fill="auto"/>
          </w:tcPr>
          <w:p w14:paraId="150228A9" w14:textId="77777777" w:rsidR="003E3D07" w:rsidRDefault="003E3D07">
            <w:pPr>
              <w:pStyle w:val="TableText"/>
              <w:rPr>
                <w:rFonts w:eastAsia="Symbol"/>
              </w:rPr>
            </w:pPr>
            <w:r>
              <w:t>17</w:t>
            </w:r>
          </w:p>
        </w:tc>
        <w:tc>
          <w:tcPr>
            <w:tcW w:w="841" w:type="dxa"/>
            <w:shd w:val="clear" w:color="auto" w:fill="auto"/>
          </w:tcPr>
          <w:p w14:paraId="0EDE9578" w14:textId="77777777" w:rsidR="003E3D07" w:rsidRDefault="003E3D07">
            <w:pPr>
              <w:pStyle w:val="TableText"/>
            </w:pPr>
            <w:r>
              <w:t>AGDo(b)</w:t>
            </w:r>
          </w:p>
        </w:tc>
      </w:tr>
      <w:tr w:rsidR="00824338" w14:paraId="6E9829D7" w14:textId="77777777" w:rsidTr="00031618">
        <w:tblPrEx>
          <w:tblBorders>
            <w:insideH w:val="single" w:sz="4" w:space="0" w:color="auto"/>
            <w:insideV w:val="single" w:sz="4" w:space="0" w:color="auto"/>
          </w:tblBorders>
        </w:tblPrEx>
        <w:tc>
          <w:tcPr>
            <w:tcW w:w="1975" w:type="dxa"/>
            <w:shd w:val="clear" w:color="auto" w:fill="auto"/>
          </w:tcPr>
          <w:p w14:paraId="2DA2C358" w14:textId="77777777" w:rsidR="003E3D07" w:rsidRDefault="003E3D07">
            <w:pPr>
              <w:pStyle w:val="TableText"/>
              <w:rPr>
                <w:rFonts w:eastAsia="Symbol"/>
              </w:rPr>
            </w:pPr>
            <w:r>
              <w:t>Anti-Co(a)</w:t>
            </w:r>
          </w:p>
        </w:tc>
        <w:tc>
          <w:tcPr>
            <w:tcW w:w="1710" w:type="dxa"/>
            <w:shd w:val="clear" w:color="auto" w:fill="auto"/>
          </w:tcPr>
          <w:p w14:paraId="582CCFCC" w14:textId="77777777" w:rsidR="003E3D07" w:rsidRDefault="003E3D07">
            <w:pPr>
              <w:pStyle w:val="TableText"/>
              <w:rPr>
                <w:rFonts w:eastAsia="Symbol"/>
              </w:rPr>
            </w:pPr>
            <w:r>
              <w:t>None</w:t>
            </w:r>
          </w:p>
        </w:tc>
        <w:tc>
          <w:tcPr>
            <w:tcW w:w="878" w:type="dxa"/>
            <w:shd w:val="clear" w:color="auto" w:fill="auto"/>
          </w:tcPr>
          <w:p w14:paraId="4A2CB43A" w14:textId="77777777" w:rsidR="003E3D07" w:rsidRDefault="003E3D07">
            <w:pPr>
              <w:pStyle w:val="TableText"/>
            </w:pPr>
            <w:r>
              <w:t>No</w:t>
            </w:r>
          </w:p>
        </w:tc>
        <w:tc>
          <w:tcPr>
            <w:tcW w:w="878" w:type="dxa"/>
            <w:shd w:val="clear" w:color="auto" w:fill="auto"/>
          </w:tcPr>
          <w:p w14:paraId="300AFD39" w14:textId="77777777" w:rsidR="003E3D07" w:rsidRDefault="003E3D07">
            <w:pPr>
              <w:pStyle w:val="TableText"/>
              <w:rPr>
                <w:rFonts w:eastAsia="Symbol"/>
              </w:rPr>
            </w:pPr>
            <w:r>
              <w:t>Optional</w:t>
            </w:r>
          </w:p>
        </w:tc>
        <w:tc>
          <w:tcPr>
            <w:tcW w:w="1253" w:type="dxa"/>
            <w:shd w:val="clear" w:color="auto" w:fill="auto"/>
          </w:tcPr>
          <w:p w14:paraId="30A1399E" w14:textId="77777777" w:rsidR="003E3D07" w:rsidRDefault="003E3D07">
            <w:pPr>
              <w:pStyle w:val="TableText"/>
              <w:rPr>
                <w:rFonts w:eastAsia="Symbol"/>
              </w:rPr>
            </w:pPr>
            <w:r>
              <w:t>Co(a)</w:t>
            </w:r>
          </w:p>
        </w:tc>
        <w:tc>
          <w:tcPr>
            <w:tcW w:w="1253" w:type="dxa"/>
            <w:shd w:val="clear" w:color="auto" w:fill="auto"/>
          </w:tcPr>
          <w:p w14:paraId="342C27EF" w14:textId="77777777" w:rsidR="003E3D07" w:rsidRDefault="003E3D07">
            <w:pPr>
              <w:pStyle w:val="TableText"/>
              <w:rPr>
                <w:rFonts w:eastAsia="Symbol"/>
              </w:rPr>
            </w:pPr>
            <w:r>
              <w:t>None</w:t>
            </w:r>
          </w:p>
        </w:tc>
        <w:tc>
          <w:tcPr>
            <w:tcW w:w="1296" w:type="dxa"/>
            <w:shd w:val="clear" w:color="auto" w:fill="auto"/>
          </w:tcPr>
          <w:p w14:paraId="1D04C4E2" w14:textId="77777777" w:rsidR="003E3D07" w:rsidRDefault="003E3D07">
            <w:pPr>
              <w:pStyle w:val="TableText"/>
              <w:rPr>
                <w:rFonts w:eastAsia="Symbol"/>
              </w:rPr>
            </w:pPr>
            <w:r>
              <w:t>33</w:t>
            </w:r>
          </w:p>
        </w:tc>
        <w:tc>
          <w:tcPr>
            <w:tcW w:w="841" w:type="dxa"/>
            <w:shd w:val="clear" w:color="auto" w:fill="auto"/>
          </w:tcPr>
          <w:p w14:paraId="5B01C966" w14:textId="77777777" w:rsidR="003E3D07" w:rsidRDefault="003E3D07">
            <w:pPr>
              <w:pStyle w:val="TableText"/>
            </w:pPr>
            <w:r>
              <w:t>AGCo(a)</w:t>
            </w:r>
          </w:p>
        </w:tc>
      </w:tr>
      <w:tr w:rsidR="00824338" w14:paraId="5AD011AA" w14:textId="77777777" w:rsidTr="00031618">
        <w:tblPrEx>
          <w:tblBorders>
            <w:insideH w:val="single" w:sz="4" w:space="0" w:color="auto"/>
            <w:insideV w:val="single" w:sz="4" w:space="0" w:color="auto"/>
          </w:tblBorders>
        </w:tblPrEx>
        <w:tc>
          <w:tcPr>
            <w:tcW w:w="1975" w:type="dxa"/>
            <w:shd w:val="clear" w:color="auto" w:fill="auto"/>
          </w:tcPr>
          <w:p w14:paraId="5E8A0A80" w14:textId="77777777" w:rsidR="003E3D07" w:rsidRDefault="003E3D07">
            <w:pPr>
              <w:pStyle w:val="TableText"/>
              <w:rPr>
                <w:rFonts w:eastAsia="Symbol"/>
              </w:rPr>
            </w:pPr>
            <w:r>
              <w:t>Anti-Co(b)</w:t>
            </w:r>
          </w:p>
        </w:tc>
        <w:tc>
          <w:tcPr>
            <w:tcW w:w="1710" w:type="dxa"/>
            <w:shd w:val="clear" w:color="auto" w:fill="auto"/>
          </w:tcPr>
          <w:p w14:paraId="70C1B1D4" w14:textId="77777777" w:rsidR="003E3D07" w:rsidRDefault="003E3D07">
            <w:pPr>
              <w:pStyle w:val="TableText"/>
              <w:rPr>
                <w:rFonts w:eastAsia="Symbol"/>
              </w:rPr>
            </w:pPr>
            <w:r>
              <w:t>None</w:t>
            </w:r>
          </w:p>
        </w:tc>
        <w:tc>
          <w:tcPr>
            <w:tcW w:w="878" w:type="dxa"/>
            <w:shd w:val="clear" w:color="auto" w:fill="auto"/>
          </w:tcPr>
          <w:p w14:paraId="51D01058" w14:textId="77777777" w:rsidR="003E3D07" w:rsidRDefault="003E3D07">
            <w:pPr>
              <w:pStyle w:val="TableText"/>
            </w:pPr>
            <w:r>
              <w:t>No</w:t>
            </w:r>
          </w:p>
        </w:tc>
        <w:tc>
          <w:tcPr>
            <w:tcW w:w="878" w:type="dxa"/>
            <w:shd w:val="clear" w:color="auto" w:fill="auto"/>
          </w:tcPr>
          <w:p w14:paraId="360FE366" w14:textId="77777777" w:rsidR="003E3D07" w:rsidRDefault="003E3D07">
            <w:pPr>
              <w:pStyle w:val="TableText"/>
              <w:rPr>
                <w:rFonts w:eastAsia="Symbol"/>
              </w:rPr>
            </w:pPr>
            <w:r>
              <w:t>Optional</w:t>
            </w:r>
          </w:p>
        </w:tc>
        <w:tc>
          <w:tcPr>
            <w:tcW w:w="1253" w:type="dxa"/>
            <w:shd w:val="clear" w:color="auto" w:fill="auto"/>
          </w:tcPr>
          <w:p w14:paraId="1A939B52" w14:textId="77777777" w:rsidR="003E3D07" w:rsidRDefault="003E3D07">
            <w:pPr>
              <w:pStyle w:val="TableText"/>
              <w:rPr>
                <w:rFonts w:eastAsia="Symbol"/>
              </w:rPr>
            </w:pPr>
            <w:r>
              <w:t>Co(b)</w:t>
            </w:r>
          </w:p>
        </w:tc>
        <w:tc>
          <w:tcPr>
            <w:tcW w:w="1253" w:type="dxa"/>
            <w:shd w:val="clear" w:color="auto" w:fill="auto"/>
          </w:tcPr>
          <w:p w14:paraId="2BBA5568" w14:textId="77777777" w:rsidR="003E3D07" w:rsidRDefault="003E3D07">
            <w:pPr>
              <w:pStyle w:val="TableText"/>
              <w:rPr>
                <w:rFonts w:eastAsia="Symbol"/>
              </w:rPr>
            </w:pPr>
            <w:r>
              <w:t>None</w:t>
            </w:r>
          </w:p>
        </w:tc>
        <w:tc>
          <w:tcPr>
            <w:tcW w:w="1296" w:type="dxa"/>
            <w:shd w:val="clear" w:color="auto" w:fill="auto"/>
          </w:tcPr>
          <w:p w14:paraId="266B4E99" w14:textId="77777777" w:rsidR="003E3D07" w:rsidRDefault="003E3D07">
            <w:pPr>
              <w:pStyle w:val="TableText"/>
              <w:rPr>
                <w:rFonts w:eastAsia="Symbol"/>
              </w:rPr>
            </w:pPr>
            <w:r>
              <w:t>17</w:t>
            </w:r>
          </w:p>
        </w:tc>
        <w:tc>
          <w:tcPr>
            <w:tcW w:w="841" w:type="dxa"/>
            <w:shd w:val="clear" w:color="auto" w:fill="auto"/>
          </w:tcPr>
          <w:p w14:paraId="7DB318EC" w14:textId="77777777" w:rsidR="003E3D07" w:rsidRDefault="003E3D07">
            <w:pPr>
              <w:pStyle w:val="TableText"/>
            </w:pPr>
            <w:r>
              <w:t>AGCo(b)</w:t>
            </w:r>
          </w:p>
        </w:tc>
      </w:tr>
      <w:tr w:rsidR="00824338" w14:paraId="13052F8B" w14:textId="77777777" w:rsidTr="00031618">
        <w:tblPrEx>
          <w:tblBorders>
            <w:insideH w:val="single" w:sz="4" w:space="0" w:color="auto"/>
            <w:insideV w:val="single" w:sz="4" w:space="0" w:color="auto"/>
          </w:tblBorders>
        </w:tblPrEx>
        <w:tc>
          <w:tcPr>
            <w:tcW w:w="1975" w:type="dxa"/>
            <w:shd w:val="clear" w:color="auto" w:fill="auto"/>
          </w:tcPr>
          <w:p w14:paraId="7B429161" w14:textId="77777777" w:rsidR="003E3D07" w:rsidRDefault="003E3D07">
            <w:pPr>
              <w:pStyle w:val="TableText"/>
              <w:rPr>
                <w:rFonts w:eastAsia="Symbol"/>
              </w:rPr>
            </w:pPr>
            <w:r>
              <w:t>Anti-LW(a)</w:t>
            </w:r>
          </w:p>
        </w:tc>
        <w:tc>
          <w:tcPr>
            <w:tcW w:w="1710" w:type="dxa"/>
            <w:shd w:val="clear" w:color="auto" w:fill="auto"/>
          </w:tcPr>
          <w:p w14:paraId="43D02249" w14:textId="77777777" w:rsidR="003E3D07" w:rsidRDefault="003E3D07">
            <w:pPr>
              <w:pStyle w:val="TableText"/>
            </w:pPr>
            <w:r>
              <w:t>None</w:t>
            </w:r>
          </w:p>
        </w:tc>
        <w:tc>
          <w:tcPr>
            <w:tcW w:w="878" w:type="dxa"/>
            <w:shd w:val="clear" w:color="auto" w:fill="auto"/>
          </w:tcPr>
          <w:p w14:paraId="22C021AA" w14:textId="77777777" w:rsidR="003E3D07" w:rsidRDefault="003E3D07">
            <w:pPr>
              <w:pStyle w:val="TableText"/>
            </w:pPr>
            <w:r>
              <w:t>No</w:t>
            </w:r>
          </w:p>
        </w:tc>
        <w:tc>
          <w:tcPr>
            <w:tcW w:w="878" w:type="dxa"/>
            <w:shd w:val="clear" w:color="auto" w:fill="auto"/>
          </w:tcPr>
          <w:p w14:paraId="3FD833C0" w14:textId="77777777" w:rsidR="003E3D07" w:rsidRDefault="003E3D07">
            <w:pPr>
              <w:pStyle w:val="TableText"/>
              <w:rPr>
                <w:rFonts w:eastAsia="Symbol"/>
              </w:rPr>
            </w:pPr>
            <w:r>
              <w:t>Optional</w:t>
            </w:r>
          </w:p>
        </w:tc>
        <w:tc>
          <w:tcPr>
            <w:tcW w:w="1253" w:type="dxa"/>
            <w:shd w:val="clear" w:color="auto" w:fill="auto"/>
          </w:tcPr>
          <w:p w14:paraId="6446210B" w14:textId="77777777" w:rsidR="003E3D07" w:rsidRDefault="003E3D07">
            <w:pPr>
              <w:pStyle w:val="TableText"/>
              <w:rPr>
                <w:rFonts w:eastAsia="Symbol"/>
              </w:rPr>
            </w:pPr>
            <w:r>
              <w:t>LW(a)</w:t>
            </w:r>
          </w:p>
        </w:tc>
        <w:tc>
          <w:tcPr>
            <w:tcW w:w="1253" w:type="dxa"/>
            <w:shd w:val="clear" w:color="auto" w:fill="auto"/>
          </w:tcPr>
          <w:p w14:paraId="716E8A18" w14:textId="77777777" w:rsidR="003E3D07" w:rsidRDefault="003E3D07">
            <w:pPr>
              <w:pStyle w:val="TableText"/>
              <w:rPr>
                <w:rFonts w:eastAsia="Symbol"/>
              </w:rPr>
            </w:pPr>
            <w:r>
              <w:t>None</w:t>
            </w:r>
          </w:p>
        </w:tc>
        <w:tc>
          <w:tcPr>
            <w:tcW w:w="1296" w:type="dxa"/>
            <w:shd w:val="clear" w:color="auto" w:fill="auto"/>
          </w:tcPr>
          <w:p w14:paraId="38B4B886" w14:textId="77777777" w:rsidR="003E3D07" w:rsidRDefault="003E3D07">
            <w:pPr>
              <w:pStyle w:val="TableText"/>
              <w:rPr>
                <w:rFonts w:eastAsia="Symbol"/>
              </w:rPr>
            </w:pPr>
            <w:r>
              <w:t>0</w:t>
            </w:r>
          </w:p>
        </w:tc>
        <w:tc>
          <w:tcPr>
            <w:tcW w:w="841" w:type="dxa"/>
            <w:shd w:val="clear" w:color="auto" w:fill="auto"/>
          </w:tcPr>
          <w:p w14:paraId="0817C5A0" w14:textId="77777777" w:rsidR="003E3D07" w:rsidRDefault="003E3D07">
            <w:pPr>
              <w:pStyle w:val="TableText"/>
            </w:pPr>
            <w:r>
              <w:t>AG LW(a)</w:t>
            </w:r>
          </w:p>
        </w:tc>
      </w:tr>
      <w:tr w:rsidR="00824338" w14:paraId="5B63CA50" w14:textId="77777777" w:rsidTr="00031618">
        <w:tblPrEx>
          <w:tblBorders>
            <w:insideH w:val="single" w:sz="4" w:space="0" w:color="auto"/>
            <w:insideV w:val="single" w:sz="4" w:space="0" w:color="auto"/>
          </w:tblBorders>
        </w:tblPrEx>
        <w:tc>
          <w:tcPr>
            <w:tcW w:w="1975" w:type="dxa"/>
            <w:shd w:val="clear" w:color="auto" w:fill="auto"/>
          </w:tcPr>
          <w:p w14:paraId="48FDA59D" w14:textId="77777777" w:rsidR="003E3D07" w:rsidRDefault="003E3D07">
            <w:pPr>
              <w:pStyle w:val="TableText"/>
              <w:rPr>
                <w:rFonts w:eastAsia="Symbol"/>
              </w:rPr>
            </w:pPr>
            <w:r>
              <w:t>Anti-LW(b)</w:t>
            </w:r>
          </w:p>
        </w:tc>
        <w:tc>
          <w:tcPr>
            <w:tcW w:w="1710" w:type="dxa"/>
            <w:shd w:val="clear" w:color="auto" w:fill="auto"/>
          </w:tcPr>
          <w:p w14:paraId="45C741C4" w14:textId="77777777" w:rsidR="003E3D07" w:rsidRDefault="003E3D07">
            <w:pPr>
              <w:pStyle w:val="TableText"/>
            </w:pPr>
            <w:r>
              <w:t>None</w:t>
            </w:r>
          </w:p>
        </w:tc>
        <w:tc>
          <w:tcPr>
            <w:tcW w:w="878" w:type="dxa"/>
            <w:shd w:val="clear" w:color="auto" w:fill="auto"/>
          </w:tcPr>
          <w:p w14:paraId="0832CBDB" w14:textId="77777777" w:rsidR="003E3D07" w:rsidRDefault="003E3D07">
            <w:pPr>
              <w:pStyle w:val="TableText"/>
            </w:pPr>
            <w:r>
              <w:t>No</w:t>
            </w:r>
          </w:p>
        </w:tc>
        <w:tc>
          <w:tcPr>
            <w:tcW w:w="878" w:type="dxa"/>
            <w:shd w:val="clear" w:color="auto" w:fill="auto"/>
          </w:tcPr>
          <w:p w14:paraId="1FC34742" w14:textId="77777777" w:rsidR="003E3D07" w:rsidRDefault="003E3D07">
            <w:pPr>
              <w:pStyle w:val="TableText"/>
              <w:rPr>
                <w:rFonts w:eastAsia="Symbol"/>
              </w:rPr>
            </w:pPr>
            <w:r>
              <w:t>Optional</w:t>
            </w:r>
          </w:p>
        </w:tc>
        <w:tc>
          <w:tcPr>
            <w:tcW w:w="1253" w:type="dxa"/>
            <w:shd w:val="clear" w:color="auto" w:fill="auto"/>
          </w:tcPr>
          <w:p w14:paraId="21917962" w14:textId="77777777" w:rsidR="003E3D07" w:rsidRDefault="003E3D07">
            <w:pPr>
              <w:pStyle w:val="TableText"/>
              <w:rPr>
                <w:rFonts w:eastAsia="Symbol"/>
              </w:rPr>
            </w:pPr>
            <w:r>
              <w:t>LW(b)</w:t>
            </w:r>
          </w:p>
        </w:tc>
        <w:tc>
          <w:tcPr>
            <w:tcW w:w="1253" w:type="dxa"/>
            <w:shd w:val="clear" w:color="auto" w:fill="auto"/>
          </w:tcPr>
          <w:p w14:paraId="64EA663D" w14:textId="77777777" w:rsidR="003E3D07" w:rsidRDefault="003E3D07">
            <w:pPr>
              <w:pStyle w:val="TableText"/>
              <w:rPr>
                <w:rFonts w:eastAsia="Symbol"/>
              </w:rPr>
            </w:pPr>
            <w:r>
              <w:t>None</w:t>
            </w:r>
          </w:p>
        </w:tc>
        <w:tc>
          <w:tcPr>
            <w:tcW w:w="1296" w:type="dxa"/>
            <w:shd w:val="clear" w:color="auto" w:fill="auto"/>
          </w:tcPr>
          <w:p w14:paraId="0F611080" w14:textId="77777777" w:rsidR="003E3D07" w:rsidRDefault="003E3D07">
            <w:pPr>
              <w:pStyle w:val="TableText"/>
              <w:rPr>
                <w:rFonts w:eastAsia="Symbol"/>
              </w:rPr>
            </w:pPr>
            <w:r>
              <w:t>99</w:t>
            </w:r>
          </w:p>
        </w:tc>
        <w:tc>
          <w:tcPr>
            <w:tcW w:w="841" w:type="dxa"/>
            <w:shd w:val="clear" w:color="auto" w:fill="auto"/>
          </w:tcPr>
          <w:p w14:paraId="19C2A5EA" w14:textId="77777777" w:rsidR="003E3D07" w:rsidRDefault="003E3D07">
            <w:pPr>
              <w:pStyle w:val="TableText"/>
            </w:pPr>
            <w:r>
              <w:t>AG LW(b)</w:t>
            </w:r>
          </w:p>
        </w:tc>
      </w:tr>
      <w:tr w:rsidR="00824338" w14:paraId="7E3475C1" w14:textId="77777777" w:rsidTr="00031618">
        <w:tblPrEx>
          <w:tblBorders>
            <w:insideH w:val="single" w:sz="4" w:space="0" w:color="auto"/>
            <w:insideV w:val="single" w:sz="4" w:space="0" w:color="auto"/>
          </w:tblBorders>
        </w:tblPrEx>
        <w:tc>
          <w:tcPr>
            <w:tcW w:w="1975" w:type="dxa"/>
            <w:shd w:val="clear" w:color="auto" w:fill="auto"/>
          </w:tcPr>
          <w:p w14:paraId="1E5543C5" w14:textId="77777777" w:rsidR="003E3D07" w:rsidRDefault="003E3D07">
            <w:pPr>
              <w:pStyle w:val="TableText"/>
              <w:rPr>
                <w:rFonts w:eastAsia="Symbol"/>
              </w:rPr>
            </w:pPr>
            <w:r>
              <w:t>Anti-Sc1</w:t>
            </w:r>
          </w:p>
        </w:tc>
        <w:tc>
          <w:tcPr>
            <w:tcW w:w="1710" w:type="dxa"/>
            <w:shd w:val="clear" w:color="auto" w:fill="auto"/>
          </w:tcPr>
          <w:p w14:paraId="481594D6" w14:textId="77777777" w:rsidR="003E3D07" w:rsidRDefault="003E3D07">
            <w:pPr>
              <w:pStyle w:val="TableText"/>
              <w:rPr>
                <w:rFonts w:eastAsia="Symbol"/>
              </w:rPr>
            </w:pPr>
            <w:r>
              <w:t>None</w:t>
            </w:r>
          </w:p>
        </w:tc>
        <w:tc>
          <w:tcPr>
            <w:tcW w:w="878" w:type="dxa"/>
            <w:shd w:val="clear" w:color="auto" w:fill="auto"/>
          </w:tcPr>
          <w:p w14:paraId="7EFBBF63" w14:textId="77777777" w:rsidR="003E3D07" w:rsidRDefault="003E3D07">
            <w:pPr>
              <w:pStyle w:val="TableText"/>
            </w:pPr>
            <w:r>
              <w:t>No</w:t>
            </w:r>
          </w:p>
        </w:tc>
        <w:tc>
          <w:tcPr>
            <w:tcW w:w="878" w:type="dxa"/>
            <w:shd w:val="clear" w:color="auto" w:fill="auto"/>
          </w:tcPr>
          <w:p w14:paraId="1AEA3D84" w14:textId="77777777" w:rsidR="003E3D07" w:rsidRDefault="003E3D07">
            <w:pPr>
              <w:pStyle w:val="TableText"/>
              <w:rPr>
                <w:rFonts w:eastAsia="Symbol"/>
              </w:rPr>
            </w:pPr>
            <w:r>
              <w:t>Optional</w:t>
            </w:r>
          </w:p>
        </w:tc>
        <w:tc>
          <w:tcPr>
            <w:tcW w:w="1253" w:type="dxa"/>
            <w:shd w:val="clear" w:color="auto" w:fill="auto"/>
          </w:tcPr>
          <w:p w14:paraId="2746B0DE" w14:textId="77777777" w:rsidR="003E3D07" w:rsidRDefault="003E3D07">
            <w:pPr>
              <w:pStyle w:val="TableText"/>
              <w:rPr>
                <w:rFonts w:eastAsia="Symbol"/>
              </w:rPr>
            </w:pPr>
            <w:r>
              <w:t>Sc1</w:t>
            </w:r>
          </w:p>
        </w:tc>
        <w:tc>
          <w:tcPr>
            <w:tcW w:w="1253" w:type="dxa"/>
            <w:shd w:val="clear" w:color="auto" w:fill="auto"/>
          </w:tcPr>
          <w:p w14:paraId="5DFC0C2A" w14:textId="77777777" w:rsidR="003E3D07" w:rsidRDefault="003E3D07">
            <w:pPr>
              <w:pStyle w:val="TableText"/>
              <w:rPr>
                <w:rFonts w:eastAsia="Symbol"/>
              </w:rPr>
            </w:pPr>
            <w:r>
              <w:t>None</w:t>
            </w:r>
          </w:p>
        </w:tc>
        <w:tc>
          <w:tcPr>
            <w:tcW w:w="1296" w:type="dxa"/>
            <w:shd w:val="clear" w:color="auto" w:fill="auto"/>
          </w:tcPr>
          <w:p w14:paraId="296B8718" w14:textId="77777777" w:rsidR="003E3D07" w:rsidRDefault="003E3D07">
            <w:pPr>
              <w:pStyle w:val="TableText"/>
              <w:rPr>
                <w:rFonts w:eastAsia="Symbol"/>
              </w:rPr>
            </w:pPr>
            <w:r>
              <w:t>0</w:t>
            </w:r>
          </w:p>
        </w:tc>
        <w:tc>
          <w:tcPr>
            <w:tcW w:w="841" w:type="dxa"/>
            <w:shd w:val="clear" w:color="auto" w:fill="auto"/>
          </w:tcPr>
          <w:p w14:paraId="1D2A6369" w14:textId="77777777" w:rsidR="003E3D07" w:rsidRDefault="003E3D07">
            <w:pPr>
              <w:pStyle w:val="TableText"/>
              <w:rPr>
                <w:rFonts w:eastAsia="Symbol"/>
              </w:rPr>
            </w:pPr>
            <w:r>
              <w:t>AGSc1</w:t>
            </w:r>
          </w:p>
        </w:tc>
      </w:tr>
      <w:tr w:rsidR="00824338" w14:paraId="6B6D9A3C" w14:textId="77777777" w:rsidTr="00031618">
        <w:tblPrEx>
          <w:tblBorders>
            <w:insideH w:val="single" w:sz="4" w:space="0" w:color="auto"/>
            <w:insideV w:val="single" w:sz="4" w:space="0" w:color="auto"/>
          </w:tblBorders>
        </w:tblPrEx>
        <w:tc>
          <w:tcPr>
            <w:tcW w:w="1975" w:type="dxa"/>
            <w:shd w:val="clear" w:color="auto" w:fill="auto"/>
          </w:tcPr>
          <w:p w14:paraId="3D96594F" w14:textId="77777777" w:rsidR="003E3D07" w:rsidRDefault="003E3D07">
            <w:pPr>
              <w:pStyle w:val="TableText"/>
              <w:rPr>
                <w:rFonts w:eastAsia="Symbol"/>
              </w:rPr>
            </w:pPr>
            <w:r>
              <w:t>Anti-Sc2</w:t>
            </w:r>
          </w:p>
        </w:tc>
        <w:tc>
          <w:tcPr>
            <w:tcW w:w="1710" w:type="dxa"/>
            <w:shd w:val="clear" w:color="auto" w:fill="auto"/>
          </w:tcPr>
          <w:p w14:paraId="4BED10A1" w14:textId="77777777" w:rsidR="003E3D07" w:rsidRDefault="003E3D07">
            <w:pPr>
              <w:pStyle w:val="TableText"/>
              <w:rPr>
                <w:rFonts w:eastAsia="Symbol"/>
              </w:rPr>
            </w:pPr>
            <w:r>
              <w:t>None</w:t>
            </w:r>
          </w:p>
        </w:tc>
        <w:tc>
          <w:tcPr>
            <w:tcW w:w="878" w:type="dxa"/>
            <w:shd w:val="clear" w:color="auto" w:fill="auto"/>
          </w:tcPr>
          <w:p w14:paraId="60A3BDAA" w14:textId="77777777" w:rsidR="003E3D07" w:rsidRDefault="003E3D07">
            <w:pPr>
              <w:pStyle w:val="TableText"/>
            </w:pPr>
            <w:r>
              <w:t>No</w:t>
            </w:r>
          </w:p>
        </w:tc>
        <w:tc>
          <w:tcPr>
            <w:tcW w:w="878" w:type="dxa"/>
            <w:shd w:val="clear" w:color="auto" w:fill="auto"/>
          </w:tcPr>
          <w:p w14:paraId="04B0000C" w14:textId="77777777" w:rsidR="003E3D07" w:rsidRDefault="003E3D07">
            <w:pPr>
              <w:pStyle w:val="TableText"/>
              <w:rPr>
                <w:rFonts w:eastAsia="Symbol"/>
              </w:rPr>
            </w:pPr>
            <w:r>
              <w:t>Optional</w:t>
            </w:r>
          </w:p>
        </w:tc>
        <w:tc>
          <w:tcPr>
            <w:tcW w:w="1253" w:type="dxa"/>
            <w:shd w:val="clear" w:color="auto" w:fill="auto"/>
          </w:tcPr>
          <w:p w14:paraId="6EFE854D" w14:textId="77777777" w:rsidR="003E3D07" w:rsidRDefault="003E3D07">
            <w:pPr>
              <w:pStyle w:val="TableText"/>
              <w:rPr>
                <w:rFonts w:eastAsia="Symbol"/>
              </w:rPr>
            </w:pPr>
            <w:r>
              <w:t>Sc2</w:t>
            </w:r>
          </w:p>
        </w:tc>
        <w:tc>
          <w:tcPr>
            <w:tcW w:w="1253" w:type="dxa"/>
            <w:shd w:val="clear" w:color="auto" w:fill="auto"/>
          </w:tcPr>
          <w:p w14:paraId="354CDCF9" w14:textId="77777777" w:rsidR="003E3D07" w:rsidRDefault="003E3D07">
            <w:pPr>
              <w:pStyle w:val="TableText"/>
              <w:rPr>
                <w:rFonts w:eastAsia="Symbol"/>
              </w:rPr>
            </w:pPr>
            <w:r>
              <w:t>None</w:t>
            </w:r>
          </w:p>
        </w:tc>
        <w:tc>
          <w:tcPr>
            <w:tcW w:w="1296" w:type="dxa"/>
            <w:shd w:val="clear" w:color="auto" w:fill="auto"/>
          </w:tcPr>
          <w:p w14:paraId="60C61BFD" w14:textId="77777777" w:rsidR="003E3D07" w:rsidRDefault="003E3D07">
            <w:pPr>
              <w:pStyle w:val="TableText"/>
              <w:rPr>
                <w:rFonts w:eastAsia="Symbol"/>
              </w:rPr>
            </w:pPr>
            <w:r>
              <w:t>99</w:t>
            </w:r>
          </w:p>
        </w:tc>
        <w:tc>
          <w:tcPr>
            <w:tcW w:w="841" w:type="dxa"/>
            <w:shd w:val="clear" w:color="auto" w:fill="auto"/>
          </w:tcPr>
          <w:p w14:paraId="2B2CA974" w14:textId="77777777" w:rsidR="003E3D07" w:rsidRDefault="003E3D07">
            <w:pPr>
              <w:pStyle w:val="TableText"/>
              <w:rPr>
                <w:rFonts w:eastAsia="Symbol"/>
              </w:rPr>
            </w:pPr>
            <w:r>
              <w:t>AGSc2</w:t>
            </w:r>
          </w:p>
        </w:tc>
      </w:tr>
      <w:tr w:rsidR="00824338" w14:paraId="28FE1473" w14:textId="77777777" w:rsidTr="00031618">
        <w:tblPrEx>
          <w:tblBorders>
            <w:insideH w:val="single" w:sz="4" w:space="0" w:color="auto"/>
            <w:insideV w:val="single" w:sz="4" w:space="0" w:color="auto"/>
          </w:tblBorders>
        </w:tblPrEx>
        <w:tc>
          <w:tcPr>
            <w:tcW w:w="1975" w:type="dxa"/>
            <w:shd w:val="clear" w:color="auto" w:fill="auto"/>
          </w:tcPr>
          <w:p w14:paraId="66C2DA7E" w14:textId="77777777" w:rsidR="003E3D07" w:rsidRDefault="003E3D07">
            <w:pPr>
              <w:pStyle w:val="TableText"/>
              <w:rPr>
                <w:rFonts w:eastAsia="Symbol"/>
              </w:rPr>
            </w:pPr>
            <w:r>
              <w:t>Anti-Sd(a)</w:t>
            </w:r>
          </w:p>
        </w:tc>
        <w:tc>
          <w:tcPr>
            <w:tcW w:w="1710" w:type="dxa"/>
            <w:shd w:val="clear" w:color="auto" w:fill="auto"/>
          </w:tcPr>
          <w:p w14:paraId="5C4506C9" w14:textId="77777777" w:rsidR="003E3D07" w:rsidRDefault="003E3D07">
            <w:pPr>
              <w:pStyle w:val="TableText"/>
              <w:rPr>
                <w:rFonts w:eastAsia="Symbol"/>
              </w:rPr>
            </w:pPr>
            <w:r>
              <w:t>None</w:t>
            </w:r>
          </w:p>
        </w:tc>
        <w:tc>
          <w:tcPr>
            <w:tcW w:w="878" w:type="dxa"/>
            <w:shd w:val="clear" w:color="auto" w:fill="auto"/>
          </w:tcPr>
          <w:p w14:paraId="5F224640" w14:textId="77777777" w:rsidR="003E3D07" w:rsidRDefault="003E3D07">
            <w:pPr>
              <w:pStyle w:val="TableText"/>
            </w:pPr>
            <w:r>
              <w:t>No</w:t>
            </w:r>
          </w:p>
        </w:tc>
        <w:tc>
          <w:tcPr>
            <w:tcW w:w="878" w:type="dxa"/>
            <w:shd w:val="clear" w:color="auto" w:fill="auto"/>
          </w:tcPr>
          <w:p w14:paraId="40EE0168" w14:textId="77777777" w:rsidR="003E3D07" w:rsidRDefault="003E3D07">
            <w:pPr>
              <w:pStyle w:val="TableText"/>
              <w:rPr>
                <w:rFonts w:eastAsia="Symbol"/>
              </w:rPr>
            </w:pPr>
            <w:r>
              <w:t>Optional</w:t>
            </w:r>
          </w:p>
        </w:tc>
        <w:tc>
          <w:tcPr>
            <w:tcW w:w="1253" w:type="dxa"/>
            <w:shd w:val="clear" w:color="auto" w:fill="auto"/>
          </w:tcPr>
          <w:p w14:paraId="05B8CBCD" w14:textId="77777777" w:rsidR="003E3D07" w:rsidRDefault="003E3D07">
            <w:pPr>
              <w:pStyle w:val="TableText"/>
              <w:rPr>
                <w:rFonts w:eastAsia="Symbol"/>
              </w:rPr>
            </w:pPr>
            <w:r>
              <w:t>Sd(a)</w:t>
            </w:r>
          </w:p>
        </w:tc>
        <w:tc>
          <w:tcPr>
            <w:tcW w:w="1253" w:type="dxa"/>
            <w:shd w:val="clear" w:color="auto" w:fill="auto"/>
          </w:tcPr>
          <w:p w14:paraId="1D6F22DC" w14:textId="77777777" w:rsidR="003E3D07" w:rsidRDefault="003E3D07">
            <w:pPr>
              <w:pStyle w:val="TableText"/>
            </w:pPr>
            <w:r>
              <w:t>None</w:t>
            </w:r>
          </w:p>
        </w:tc>
        <w:tc>
          <w:tcPr>
            <w:tcW w:w="1296" w:type="dxa"/>
            <w:shd w:val="clear" w:color="auto" w:fill="auto"/>
          </w:tcPr>
          <w:p w14:paraId="4B990BEA" w14:textId="77777777" w:rsidR="003E3D07" w:rsidRDefault="003E3D07">
            <w:pPr>
              <w:pStyle w:val="TableText"/>
              <w:rPr>
                <w:rFonts w:eastAsia="Symbol"/>
              </w:rPr>
            </w:pPr>
            <w:r>
              <w:t>1</w:t>
            </w:r>
          </w:p>
        </w:tc>
        <w:tc>
          <w:tcPr>
            <w:tcW w:w="841" w:type="dxa"/>
            <w:shd w:val="clear" w:color="auto" w:fill="auto"/>
          </w:tcPr>
          <w:p w14:paraId="496B007A" w14:textId="77777777" w:rsidR="003E3D07" w:rsidRDefault="003E3D07">
            <w:pPr>
              <w:pStyle w:val="TableText"/>
              <w:rPr>
                <w:rFonts w:eastAsia="Symbol"/>
              </w:rPr>
            </w:pPr>
            <w:r>
              <w:t>AGSd(a)</w:t>
            </w:r>
          </w:p>
        </w:tc>
      </w:tr>
      <w:tr w:rsidR="00824338" w14:paraId="2BE12FB2" w14:textId="77777777" w:rsidTr="00031618">
        <w:tblPrEx>
          <w:tblBorders>
            <w:insideH w:val="single" w:sz="4" w:space="0" w:color="auto"/>
            <w:insideV w:val="single" w:sz="4" w:space="0" w:color="auto"/>
          </w:tblBorders>
        </w:tblPrEx>
        <w:tc>
          <w:tcPr>
            <w:tcW w:w="1975" w:type="dxa"/>
            <w:shd w:val="clear" w:color="auto" w:fill="auto"/>
          </w:tcPr>
          <w:p w14:paraId="3663483C" w14:textId="77777777" w:rsidR="003E3D07" w:rsidRDefault="003E3D07">
            <w:pPr>
              <w:pStyle w:val="TableText"/>
              <w:rPr>
                <w:rFonts w:eastAsia="Symbol"/>
              </w:rPr>
            </w:pPr>
            <w:r>
              <w:t>Anti-Au(a)</w:t>
            </w:r>
          </w:p>
        </w:tc>
        <w:tc>
          <w:tcPr>
            <w:tcW w:w="1710" w:type="dxa"/>
            <w:shd w:val="clear" w:color="auto" w:fill="auto"/>
          </w:tcPr>
          <w:p w14:paraId="19D6F214" w14:textId="77777777" w:rsidR="003E3D07" w:rsidRDefault="003E3D07">
            <w:pPr>
              <w:pStyle w:val="TableText"/>
              <w:rPr>
                <w:rFonts w:eastAsia="Symbol"/>
              </w:rPr>
            </w:pPr>
            <w:r>
              <w:t>Anti-Au(a)</w:t>
            </w:r>
          </w:p>
        </w:tc>
        <w:tc>
          <w:tcPr>
            <w:tcW w:w="878" w:type="dxa"/>
            <w:shd w:val="clear" w:color="auto" w:fill="auto"/>
          </w:tcPr>
          <w:p w14:paraId="6611994B" w14:textId="77777777" w:rsidR="003E3D07" w:rsidRDefault="003E3D07">
            <w:pPr>
              <w:pStyle w:val="TableText"/>
            </w:pPr>
            <w:r>
              <w:t>No</w:t>
            </w:r>
          </w:p>
        </w:tc>
        <w:tc>
          <w:tcPr>
            <w:tcW w:w="878" w:type="dxa"/>
            <w:shd w:val="clear" w:color="auto" w:fill="auto"/>
          </w:tcPr>
          <w:p w14:paraId="4C32BCA5" w14:textId="77777777" w:rsidR="003E3D07" w:rsidRDefault="003E3D07">
            <w:pPr>
              <w:pStyle w:val="TableText"/>
              <w:rPr>
                <w:rFonts w:eastAsia="Symbol"/>
              </w:rPr>
            </w:pPr>
            <w:r>
              <w:t>Optional</w:t>
            </w:r>
          </w:p>
        </w:tc>
        <w:tc>
          <w:tcPr>
            <w:tcW w:w="1253" w:type="dxa"/>
            <w:shd w:val="clear" w:color="auto" w:fill="auto"/>
          </w:tcPr>
          <w:p w14:paraId="517BDD15" w14:textId="77777777" w:rsidR="003E3D07" w:rsidRDefault="003E3D07">
            <w:pPr>
              <w:pStyle w:val="TableText"/>
              <w:rPr>
                <w:rFonts w:eastAsia="Symbol"/>
              </w:rPr>
            </w:pPr>
            <w:r>
              <w:t>Au(a)</w:t>
            </w:r>
          </w:p>
        </w:tc>
        <w:tc>
          <w:tcPr>
            <w:tcW w:w="1253" w:type="dxa"/>
            <w:shd w:val="clear" w:color="auto" w:fill="auto"/>
          </w:tcPr>
          <w:p w14:paraId="17DD51FD" w14:textId="77777777" w:rsidR="003E3D07" w:rsidRDefault="003E3D07">
            <w:pPr>
              <w:pStyle w:val="TableText"/>
              <w:rPr>
                <w:rFonts w:eastAsia="Symbol"/>
              </w:rPr>
            </w:pPr>
            <w:r>
              <w:t>Au(a)</w:t>
            </w:r>
          </w:p>
        </w:tc>
        <w:tc>
          <w:tcPr>
            <w:tcW w:w="1296" w:type="dxa"/>
            <w:shd w:val="clear" w:color="auto" w:fill="auto"/>
          </w:tcPr>
          <w:p w14:paraId="209F04D8" w14:textId="77777777" w:rsidR="003E3D07" w:rsidRDefault="003E3D07">
            <w:pPr>
              <w:pStyle w:val="TableText"/>
              <w:rPr>
                <w:rFonts w:eastAsia="Symbol"/>
              </w:rPr>
            </w:pPr>
            <w:r>
              <w:t>20</w:t>
            </w:r>
          </w:p>
        </w:tc>
        <w:tc>
          <w:tcPr>
            <w:tcW w:w="841" w:type="dxa"/>
            <w:shd w:val="clear" w:color="auto" w:fill="auto"/>
          </w:tcPr>
          <w:p w14:paraId="0F899336" w14:textId="77777777" w:rsidR="003E3D07" w:rsidRDefault="003E3D07">
            <w:pPr>
              <w:pStyle w:val="TableText"/>
            </w:pPr>
            <w:r>
              <w:t>AGAu(a)</w:t>
            </w:r>
          </w:p>
        </w:tc>
      </w:tr>
      <w:tr w:rsidR="00824338" w14:paraId="61753B56" w14:textId="77777777" w:rsidTr="00031618">
        <w:tblPrEx>
          <w:tblBorders>
            <w:insideH w:val="single" w:sz="4" w:space="0" w:color="auto"/>
            <w:insideV w:val="single" w:sz="4" w:space="0" w:color="auto"/>
          </w:tblBorders>
        </w:tblPrEx>
        <w:tc>
          <w:tcPr>
            <w:tcW w:w="1975" w:type="dxa"/>
            <w:shd w:val="clear" w:color="auto" w:fill="auto"/>
          </w:tcPr>
          <w:p w14:paraId="78EF9887" w14:textId="77777777" w:rsidR="003E3D07" w:rsidRDefault="003E3D07">
            <w:pPr>
              <w:pStyle w:val="TableText"/>
            </w:pPr>
            <w:r>
              <w:t>Anti-Au(b)</w:t>
            </w:r>
          </w:p>
        </w:tc>
        <w:tc>
          <w:tcPr>
            <w:tcW w:w="1710" w:type="dxa"/>
            <w:shd w:val="clear" w:color="auto" w:fill="auto"/>
          </w:tcPr>
          <w:p w14:paraId="1ABB5D38" w14:textId="77777777" w:rsidR="003E3D07" w:rsidRDefault="003E3D07">
            <w:pPr>
              <w:pStyle w:val="TableText"/>
              <w:rPr>
                <w:rFonts w:eastAsia="Symbol"/>
              </w:rPr>
            </w:pPr>
            <w:r>
              <w:t>None</w:t>
            </w:r>
          </w:p>
        </w:tc>
        <w:tc>
          <w:tcPr>
            <w:tcW w:w="878" w:type="dxa"/>
            <w:shd w:val="clear" w:color="auto" w:fill="auto"/>
          </w:tcPr>
          <w:p w14:paraId="20F3EFA8" w14:textId="77777777" w:rsidR="003E3D07" w:rsidRDefault="003E3D07">
            <w:pPr>
              <w:pStyle w:val="TableText"/>
            </w:pPr>
            <w:r>
              <w:t>No</w:t>
            </w:r>
          </w:p>
        </w:tc>
        <w:tc>
          <w:tcPr>
            <w:tcW w:w="878" w:type="dxa"/>
            <w:shd w:val="clear" w:color="auto" w:fill="auto"/>
          </w:tcPr>
          <w:p w14:paraId="493DD05B" w14:textId="77777777" w:rsidR="003E3D07" w:rsidRDefault="003E3D07">
            <w:pPr>
              <w:pStyle w:val="TableText"/>
            </w:pPr>
            <w:r>
              <w:t>Optional</w:t>
            </w:r>
          </w:p>
        </w:tc>
        <w:tc>
          <w:tcPr>
            <w:tcW w:w="1253" w:type="dxa"/>
            <w:shd w:val="clear" w:color="auto" w:fill="auto"/>
          </w:tcPr>
          <w:p w14:paraId="636F021B" w14:textId="77777777" w:rsidR="003E3D07" w:rsidRDefault="003E3D07">
            <w:pPr>
              <w:pStyle w:val="TableText"/>
            </w:pPr>
            <w:r>
              <w:t>Au(b)</w:t>
            </w:r>
          </w:p>
        </w:tc>
        <w:tc>
          <w:tcPr>
            <w:tcW w:w="1253" w:type="dxa"/>
            <w:shd w:val="clear" w:color="auto" w:fill="auto"/>
          </w:tcPr>
          <w:p w14:paraId="34B0B7DA" w14:textId="77777777" w:rsidR="003E3D07" w:rsidRDefault="003E3D07">
            <w:pPr>
              <w:pStyle w:val="TableText"/>
            </w:pPr>
            <w:r>
              <w:t>None</w:t>
            </w:r>
          </w:p>
        </w:tc>
        <w:tc>
          <w:tcPr>
            <w:tcW w:w="1296" w:type="dxa"/>
            <w:shd w:val="clear" w:color="auto" w:fill="auto"/>
          </w:tcPr>
          <w:p w14:paraId="7A89EB33" w14:textId="77777777" w:rsidR="003E3D07" w:rsidRDefault="003E3D07">
            <w:pPr>
              <w:pStyle w:val="TableText"/>
              <w:rPr>
                <w:rFonts w:eastAsia="Symbol"/>
              </w:rPr>
            </w:pPr>
            <w:r>
              <w:t>50</w:t>
            </w:r>
          </w:p>
        </w:tc>
        <w:tc>
          <w:tcPr>
            <w:tcW w:w="841" w:type="dxa"/>
            <w:shd w:val="clear" w:color="auto" w:fill="auto"/>
          </w:tcPr>
          <w:p w14:paraId="18110EE6" w14:textId="77777777" w:rsidR="003E3D07" w:rsidRDefault="003E3D07">
            <w:pPr>
              <w:pStyle w:val="TableText"/>
            </w:pPr>
            <w:r>
              <w:t>AGAu(b)</w:t>
            </w:r>
          </w:p>
        </w:tc>
      </w:tr>
      <w:tr w:rsidR="00824338" w14:paraId="05598B58" w14:textId="77777777" w:rsidTr="00031618">
        <w:tblPrEx>
          <w:tblBorders>
            <w:insideH w:val="single" w:sz="4" w:space="0" w:color="auto"/>
            <w:insideV w:val="single" w:sz="4" w:space="0" w:color="auto"/>
          </w:tblBorders>
        </w:tblPrEx>
        <w:tc>
          <w:tcPr>
            <w:tcW w:w="1975" w:type="dxa"/>
            <w:shd w:val="clear" w:color="auto" w:fill="auto"/>
          </w:tcPr>
          <w:p w14:paraId="69722B68" w14:textId="77777777" w:rsidR="003E3D07" w:rsidRDefault="003E3D07">
            <w:pPr>
              <w:pStyle w:val="TableText"/>
              <w:rPr>
                <w:rFonts w:eastAsia="Symbol"/>
              </w:rPr>
            </w:pPr>
            <w:r>
              <w:t>Anti-Ch</w:t>
            </w:r>
          </w:p>
        </w:tc>
        <w:tc>
          <w:tcPr>
            <w:tcW w:w="1710" w:type="dxa"/>
            <w:shd w:val="clear" w:color="auto" w:fill="auto"/>
          </w:tcPr>
          <w:p w14:paraId="5BF81477" w14:textId="77777777" w:rsidR="003E3D07" w:rsidRDefault="003E3D07">
            <w:pPr>
              <w:pStyle w:val="TableText"/>
              <w:rPr>
                <w:rFonts w:eastAsia="Symbol"/>
              </w:rPr>
            </w:pPr>
            <w:r>
              <w:t>None</w:t>
            </w:r>
          </w:p>
        </w:tc>
        <w:tc>
          <w:tcPr>
            <w:tcW w:w="878" w:type="dxa"/>
            <w:shd w:val="clear" w:color="auto" w:fill="auto"/>
          </w:tcPr>
          <w:p w14:paraId="5735F158" w14:textId="77777777" w:rsidR="003E3D07" w:rsidRDefault="003E3D07">
            <w:pPr>
              <w:pStyle w:val="TableText"/>
            </w:pPr>
            <w:r>
              <w:t>No</w:t>
            </w:r>
          </w:p>
        </w:tc>
        <w:tc>
          <w:tcPr>
            <w:tcW w:w="878" w:type="dxa"/>
            <w:shd w:val="clear" w:color="auto" w:fill="auto"/>
          </w:tcPr>
          <w:p w14:paraId="4B78AE2F" w14:textId="77777777" w:rsidR="003E3D07" w:rsidRDefault="003E3D07">
            <w:pPr>
              <w:pStyle w:val="TableText"/>
              <w:rPr>
                <w:rFonts w:eastAsia="Symbol"/>
              </w:rPr>
            </w:pPr>
            <w:r>
              <w:t>Optional</w:t>
            </w:r>
          </w:p>
        </w:tc>
        <w:tc>
          <w:tcPr>
            <w:tcW w:w="1253" w:type="dxa"/>
            <w:shd w:val="clear" w:color="auto" w:fill="auto"/>
          </w:tcPr>
          <w:p w14:paraId="6FBF2C85" w14:textId="77777777" w:rsidR="003E3D07" w:rsidRDefault="003E3D07">
            <w:pPr>
              <w:pStyle w:val="TableText"/>
              <w:rPr>
                <w:rFonts w:eastAsia="Symbol"/>
              </w:rPr>
            </w:pPr>
            <w:r>
              <w:t>Ch</w:t>
            </w:r>
          </w:p>
        </w:tc>
        <w:tc>
          <w:tcPr>
            <w:tcW w:w="1253" w:type="dxa"/>
            <w:shd w:val="clear" w:color="auto" w:fill="auto"/>
          </w:tcPr>
          <w:p w14:paraId="141BD64B" w14:textId="77777777" w:rsidR="003E3D07" w:rsidRDefault="003E3D07">
            <w:pPr>
              <w:pStyle w:val="TableText"/>
            </w:pPr>
            <w:r>
              <w:t>None</w:t>
            </w:r>
          </w:p>
        </w:tc>
        <w:tc>
          <w:tcPr>
            <w:tcW w:w="1296" w:type="dxa"/>
            <w:shd w:val="clear" w:color="auto" w:fill="auto"/>
          </w:tcPr>
          <w:p w14:paraId="0AF8A4FC" w14:textId="77777777" w:rsidR="003E3D07" w:rsidRDefault="003E3D07">
            <w:pPr>
              <w:pStyle w:val="TableText"/>
              <w:rPr>
                <w:rFonts w:eastAsia="Symbol"/>
              </w:rPr>
            </w:pPr>
            <w:r>
              <w:t>2</w:t>
            </w:r>
          </w:p>
        </w:tc>
        <w:tc>
          <w:tcPr>
            <w:tcW w:w="841" w:type="dxa"/>
            <w:shd w:val="clear" w:color="auto" w:fill="auto"/>
          </w:tcPr>
          <w:p w14:paraId="7FDE11B0" w14:textId="77777777" w:rsidR="003E3D07" w:rsidRDefault="003E3D07">
            <w:pPr>
              <w:pStyle w:val="TableText"/>
            </w:pPr>
            <w:r>
              <w:t>AGCh</w:t>
            </w:r>
          </w:p>
        </w:tc>
      </w:tr>
      <w:tr w:rsidR="00824338" w14:paraId="0A08A2EB" w14:textId="77777777" w:rsidTr="00031618">
        <w:tblPrEx>
          <w:tblBorders>
            <w:insideH w:val="single" w:sz="4" w:space="0" w:color="auto"/>
            <w:insideV w:val="single" w:sz="4" w:space="0" w:color="auto"/>
          </w:tblBorders>
        </w:tblPrEx>
        <w:tc>
          <w:tcPr>
            <w:tcW w:w="1975" w:type="dxa"/>
            <w:shd w:val="clear" w:color="auto" w:fill="auto"/>
          </w:tcPr>
          <w:p w14:paraId="574372ED" w14:textId="77777777" w:rsidR="003E3D07" w:rsidRDefault="003E3D07">
            <w:pPr>
              <w:pStyle w:val="TableText"/>
              <w:rPr>
                <w:rFonts w:eastAsia="Symbol"/>
              </w:rPr>
            </w:pPr>
            <w:r>
              <w:t>Anti-Rg</w:t>
            </w:r>
          </w:p>
        </w:tc>
        <w:tc>
          <w:tcPr>
            <w:tcW w:w="1710" w:type="dxa"/>
            <w:shd w:val="clear" w:color="auto" w:fill="auto"/>
          </w:tcPr>
          <w:p w14:paraId="519CE4A2" w14:textId="77777777" w:rsidR="003E3D07" w:rsidRDefault="003E3D07">
            <w:pPr>
              <w:pStyle w:val="TableText"/>
              <w:rPr>
                <w:rFonts w:eastAsia="Symbol"/>
              </w:rPr>
            </w:pPr>
            <w:r>
              <w:t>None</w:t>
            </w:r>
          </w:p>
        </w:tc>
        <w:tc>
          <w:tcPr>
            <w:tcW w:w="878" w:type="dxa"/>
            <w:shd w:val="clear" w:color="auto" w:fill="auto"/>
          </w:tcPr>
          <w:p w14:paraId="0AFC0255" w14:textId="77777777" w:rsidR="003E3D07" w:rsidRDefault="003E3D07">
            <w:pPr>
              <w:pStyle w:val="TableText"/>
            </w:pPr>
            <w:r>
              <w:t>No</w:t>
            </w:r>
          </w:p>
        </w:tc>
        <w:tc>
          <w:tcPr>
            <w:tcW w:w="878" w:type="dxa"/>
            <w:shd w:val="clear" w:color="auto" w:fill="auto"/>
          </w:tcPr>
          <w:p w14:paraId="00F22471" w14:textId="77777777" w:rsidR="003E3D07" w:rsidRDefault="003E3D07">
            <w:pPr>
              <w:pStyle w:val="TableText"/>
              <w:rPr>
                <w:rFonts w:eastAsia="Symbol"/>
              </w:rPr>
            </w:pPr>
            <w:r>
              <w:t>Optional</w:t>
            </w:r>
          </w:p>
        </w:tc>
        <w:tc>
          <w:tcPr>
            <w:tcW w:w="1253" w:type="dxa"/>
            <w:shd w:val="clear" w:color="auto" w:fill="auto"/>
          </w:tcPr>
          <w:p w14:paraId="646CA0F2" w14:textId="77777777" w:rsidR="003E3D07" w:rsidRDefault="003E3D07">
            <w:pPr>
              <w:pStyle w:val="TableText"/>
              <w:rPr>
                <w:rFonts w:eastAsia="Symbol"/>
              </w:rPr>
            </w:pPr>
            <w:r>
              <w:t>Rg</w:t>
            </w:r>
          </w:p>
        </w:tc>
        <w:tc>
          <w:tcPr>
            <w:tcW w:w="1253" w:type="dxa"/>
            <w:shd w:val="clear" w:color="auto" w:fill="auto"/>
          </w:tcPr>
          <w:p w14:paraId="36674FF6" w14:textId="77777777" w:rsidR="003E3D07" w:rsidRDefault="003E3D07">
            <w:pPr>
              <w:pStyle w:val="TableText"/>
            </w:pPr>
            <w:r>
              <w:t>None</w:t>
            </w:r>
          </w:p>
        </w:tc>
        <w:tc>
          <w:tcPr>
            <w:tcW w:w="1296" w:type="dxa"/>
            <w:shd w:val="clear" w:color="auto" w:fill="auto"/>
          </w:tcPr>
          <w:p w14:paraId="347372D3" w14:textId="77777777" w:rsidR="003E3D07" w:rsidRDefault="003E3D07">
            <w:pPr>
              <w:pStyle w:val="TableText"/>
              <w:rPr>
                <w:rFonts w:eastAsia="Symbol"/>
              </w:rPr>
            </w:pPr>
            <w:r>
              <w:t>3</w:t>
            </w:r>
          </w:p>
        </w:tc>
        <w:tc>
          <w:tcPr>
            <w:tcW w:w="841" w:type="dxa"/>
            <w:shd w:val="clear" w:color="auto" w:fill="auto"/>
          </w:tcPr>
          <w:p w14:paraId="4C08D60E" w14:textId="77777777" w:rsidR="003E3D07" w:rsidRDefault="003E3D07">
            <w:pPr>
              <w:pStyle w:val="TableText"/>
            </w:pPr>
            <w:r>
              <w:t>AGRg</w:t>
            </w:r>
          </w:p>
        </w:tc>
      </w:tr>
      <w:tr w:rsidR="00824338" w14:paraId="1CCA1380" w14:textId="77777777" w:rsidTr="00031618">
        <w:tblPrEx>
          <w:tblBorders>
            <w:insideH w:val="single" w:sz="4" w:space="0" w:color="auto"/>
            <w:insideV w:val="single" w:sz="4" w:space="0" w:color="auto"/>
          </w:tblBorders>
        </w:tblPrEx>
        <w:tc>
          <w:tcPr>
            <w:tcW w:w="1975" w:type="dxa"/>
            <w:shd w:val="clear" w:color="auto" w:fill="auto"/>
          </w:tcPr>
          <w:p w14:paraId="085EBDF5" w14:textId="77777777" w:rsidR="003E3D07" w:rsidRDefault="003E3D07">
            <w:pPr>
              <w:pStyle w:val="TableText"/>
              <w:rPr>
                <w:rFonts w:eastAsia="Symbol"/>
              </w:rPr>
            </w:pPr>
            <w:r>
              <w:t>Anti-Cs(a)</w:t>
            </w:r>
          </w:p>
        </w:tc>
        <w:tc>
          <w:tcPr>
            <w:tcW w:w="1710" w:type="dxa"/>
            <w:shd w:val="clear" w:color="auto" w:fill="auto"/>
          </w:tcPr>
          <w:p w14:paraId="35AA1667" w14:textId="77777777" w:rsidR="003E3D07" w:rsidRDefault="003E3D07">
            <w:pPr>
              <w:pStyle w:val="TableText"/>
              <w:rPr>
                <w:rFonts w:eastAsia="Symbol"/>
              </w:rPr>
            </w:pPr>
            <w:r>
              <w:t>None</w:t>
            </w:r>
          </w:p>
        </w:tc>
        <w:tc>
          <w:tcPr>
            <w:tcW w:w="878" w:type="dxa"/>
            <w:shd w:val="clear" w:color="auto" w:fill="auto"/>
          </w:tcPr>
          <w:p w14:paraId="592A424F" w14:textId="77777777" w:rsidR="003E3D07" w:rsidRDefault="003E3D07">
            <w:pPr>
              <w:pStyle w:val="TableText"/>
            </w:pPr>
            <w:r>
              <w:t>No</w:t>
            </w:r>
          </w:p>
        </w:tc>
        <w:tc>
          <w:tcPr>
            <w:tcW w:w="878" w:type="dxa"/>
            <w:shd w:val="clear" w:color="auto" w:fill="auto"/>
          </w:tcPr>
          <w:p w14:paraId="453EC92F" w14:textId="77777777" w:rsidR="003E3D07" w:rsidRDefault="003E3D07">
            <w:pPr>
              <w:pStyle w:val="TableText"/>
              <w:rPr>
                <w:rFonts w:eastAsia="Symbol"/>
              </w:rPr>
            </w:pPr>
            <w:r>
              <w:t>Optional</w:t>
            </w:r>
          </w:p>
        </w:tc>
        <w:tc>
          <w:tcPr>
            <w:tcW w:w="1253" w:type="dxa"/>
            <w:shd w:val="clear" w:color="auto" w:fill="auto"/>
          </w:tcPr>
          <w:p w14:paraId="14B8ECEA" w14:textId="77777777" w:rsidR="003E3D07" w:rsidRDefault="003E3D07">
            <w:pPr>
              <w:pStyle w:val="TableText"/>
              <w:rPr>
                <w:rFonts w:eastAsia="Symbol"/>
              </w:rPr>
            </w:pPr>
            <w:r>
              <w:t>Cs(a)</w:t>
            </w:r>
          </w:p>
        </w:tc>
        <w:tc>
          <w:tcPr>
            <w:tcW w:w="1253" w:type="dxa"/>
            <w:shd w:val="clear" w:color="auto" w:fill="auto"/>
          </w:tcPr>
          <w:p w14:paraId="15658282" w14:textId="77777777" w:rsidR="003E3D07" w:rsidRDefault="003E3D07">
            <w:pPr>
              <w:pStyle w:val="TableText"/>
            </w:pPr>
            <w:r>
              <w:t>None</w:t>
            </w:r>
          </w:p>
        </w:tc>
        <w:tc>
          <w:tcPr>
            <w:tcW w:w="1296" w:type="dxa"/>
            <w:shd w:val="clear" w:color="auto" w:fill="auto"/>
          </w:tcPr>
          <w:p w14:paraId="724C8339" w14:textId="77777777" w:rsidR="003E3D07" w:rsidRDefault="003E3D07">
            <w:pPr>
              <w:pStyle w:val="TableText"/>
              <w:rPr>
                <w:rFonts w:eastAsia="Symbol"/>
              </w:rPr>
            </w:pPr>
            <w:r>
              <w:t>4</w:t>
            </w:r>
          </w:p>
        </w:tc>
        <w:tc>
          <w:tcPr>
            <w:tcW w:w="841" w:type="dxa"/>
            <w:shd w:val="clear" w:color="auto" w:fill="auto"/>
          </w:tcPr>
          <w:p w14:paraId="7C532547" w14:textId="77777777" w:rsidR="003E3D07" w:rsidRDefault="003E3D07">
            <w:pPr>
              <w:pStyle w:val="TableText"/>
            </w:pPr>
            <w:r>
              <w:t>AGCs(a)</w:t>
            </w:r>
          </w:p>
        </w:tc>
      </w:tr>
      <w:tr w:rsidR="00824338" w14:paraId="74F9F96B" w14:textId="77777777" w:rsidTr="00031618">
        <w:tblPrEx>
          <w:tblBorders>
            <w:insideH w:val="single" w:sz="4" w:space="0" w:color="auto"/>
            <w:insideV w:val="single" w:sz="4" w:space="0" w:color="auto"/>
          </w:tblBorders>
        </w:tblPrEx>
        <w:tc>
          <w:tcPr>
            <w:tcW w:w="1975" w:type="dxa"/>
            <w:shd w:val="clear" w:color="auto" w:fill="auto"/>
          </w:tcPr>
          <w:p w14:paraId="0F5ACEF9" w14:textId="77777777" w:rsidR="003E3D07" w:rsidRDefault="003E3D07">
            <w:pPr>
              <w:pStyle w:val="TableText"/>
              <w:rPr>
                <w:rFonts w:eastAsia="Symbol"/>
              </w:rPr>
            </w:pPr>
            <w:r>
              <w:t>Anti-Yk(a)</w:t>
            </w:r>
          </w:p>
        </w:tc>
        <w:tc>
          <w:tcPr>
            <w:tcW w:w="1710" w:type="dxa"/>
            <w:shd w:val="clear" w:color="auto" w:fill="auto"/>
          </w:tcPr>
          <w:p w14:paraId="29C2E626" w14:textId="77777777" w:rsidR="003E3D07" w:rsidRDefault="003E3D07">
            <w:pPr>
              <w:pStyle w:val="TableText"/>
              <w:rPr>
                <w:rFonts w:eastAsia="Symbol"/>
              </w:rPr>
            </w:pPr>
            <w:r>
              <w:t>None</w:t>
            </w:r>
          </w:p>
        </w:tc>
        <w:tc>
          <w:tcPr>
            <w:tcW w:w="878" w:type="dxa"/>
            <w:shd w:val="clear" w:color="auto" w:fill="auto"/>
          </w:tcPr>
          <w:p w14:paraId="3504026B" w14:textId="77777777" w:rsidR="003E3D07" w:rsidRDefault="003E3D07">
            <w:pPr>
              <w:pStyle w:val="TableText"/>
            </w:pPr>
            <w:r>
              <w:t>No</w:t>
            </w:r>
          </w:p>
        </w:tc>
        <w:tc>
          <w:tcPr>
            <w:tcW w:w="878" w:type="dxa"/>
            <w:shd w:val="clear" w:color="auto" w:fill="auto"/>
          </w:tcPr>
          <w:p w14:paraId="75DD88B4" w14:textId="77777777" w:rsidR="003E3D07" w:rsidRDefault="003E3D07">
            <w:pPr>
              <w:pStyle w:val="TableText"/>
              <w:rPr>
                <w:rFonts w:eastAsia="Symbol"/>
              </w:rPr>
            </w:pPr>
            <w:r>
              <w:t>Optional</w:t>
            </w:r>
          </w:p>
        </w:tc>
        <w:tc>
          <w:tcPr>
            <w:tcW w:w="1253" w:type="dxa"/>
            <w:shd w:val="clear" w:color="auto" w:fill="auto"/>
          </w:tcPr>
          <w:p w14:paraId="4ED24652" w14:textId="77777777" w:rsidR="003E3D07" w:rsidRDefault="003E3D07">
            <w:pPr>
              <w:pStyle w:val="TableText"/>
              <w:rPr>
                <w:rFonts w:eastAsia="Symbol"/>
              </w:rPr>
            </w:pPr>
            <w:r>
              <w:t>Yk(a)</w:t>
            </w:r>
          </w:p>
        </w:tc>
        <w:tc>
          <w:tcPr>
            <w:tcW w:w="1253" w:type="dxa"/>
            <w:shd w:val="clear" w:color="auto" w:fill="auto"/>
          </w:tcPr>
          <w:p w14:paraId="73E0850A" w14:textId="77777777" w:rsidR="003E3D07" w:rsidRDefault="003E3D07">
            <w:pPr>
              <w:pStyle w:val="TableText"/>
            </w:pPr>
            <w:r>
              <w:t>None</w:t>
            </w:r>
          </w:p>
        </w:tc>
        <w:tc>
          <w:tcPr>
            <w:tcW w:w="1296" w:type="dxa"/>
            <w:shd w:val="clear" w:color="auto" w:fill="auto"/>
          </w:tcPr>
          <w:p w14:paraId="075CB4E4" w14:textId="77777777" w:rsidR="003E3D07" w:rsidRDefault="003E3D07">
            <w:pPr>
              <w:pStyle w:val="TableText"/>
              <w:rPr>
                <w:rFonts w:eastAsia="Symbol"/>
              </w:rPr>
            </w:pPr>
            <w:r>
              <w:t>4</w:t>
            </w:r>
          </w:p>
        </w:tc>
        <w:tc>
          <w:tcPr>
            <w:tcW w:w="841" w:type="dxa"/>
            <w:shd w:val="clear" w:color="auto" w:fill="auto"/>
          </w:tcPr>
          <w:p w14:paraId="0A9443CE" w14:textId="77777777" w:rsidR="003E3D07" w:rsidRDefault="003E3D07">
            <w:pPr>
              <w:pStyle w:val="TableText"/>
            </w:pPr>
            <w:r>
              <w:t>AGYk(a)</w:t>
            </w:r>
          </w:p>
        </w:tc>
      </w:tr>
      <w:tr w:rsidR="00824338" w14:paraId="705DD3BE" w14:textId="77777777" w:rsidTr="00031618">
        <w:tblPrEx>
          <w:tblBorders>
            <w:insideH w:val="single" w:sz="4" w:space="0" w:color="auto"/>
            <w:insideV w:val="single" w:sz="4" w:space="0" w:color="auto"/>
          </w:tblBorders>
        </w:tblPrEx>
        <w:tc>
          <w:tcPr>
            <w:tcW w:w="1975" w:type="dxa"/>
            <w:shd w:val="clear" w:color="auto" w:fill="auto"/>
          </w:tcPr>
          <w:p w14:paraId="34E277EE" w14:textId="77777777" w:rsidR="003E3D07" w:rsidRDefault="003E3D07">
            <w:pPr>
              <w:pStyle w:val="TableText"/>
              <w:rPr>
                <w:rFonts w:eastAsia="Symbol"/>
              </w:rPr>
            </w:pPr>
            <w:r>
              <w:t>Anti-Kn(a)</w:t>
            </w:r>
          </w:p>
        </w:tc>
        <w:tc>
          <w:tcPr>
            <w:tcW w:w="1710" w:type="dxa"/>
            <w:shd w:val="clear" w:color="auto" w:fill="auto"/>
          </w:tcPr>
          <w:p w14:paraId="6F1FBB40" w14:textId="77777777" w:rsidR="003E3D07" w:rsidRDefault="003E3D07">
            <w:pPr>
              <w:pStyle w:val="TableText"/>
              <w:rPr>
                <w:rFonts w:eastAsia="Symbol"/>
              </w:rPr>
            </w:pPr>
            <w:r>
              <w:t>None</w:t>
            </w:r>
          </w:p>
        </w:tc>
        <w:tc>
          <w:tcPr>
            <w:tcW w:w="878" w:type="dxa"/>
            <w:shd w:val="clear" w:color="auto" w:fill="auto"/>
          </w:tcPr>
          <w:p w14:paraId="2F5F85A1" w14:textId="77777777" w:rsidR="003E3D07" w:rsidRDefault="003E3D07">
            <w:pPr>
              <w:pStyle w:val="TableText"/>
            </w:pPr>
            <w:r>
              <w:t>No</w:t>
            </w:r>
          </w:p>
        </w:tc>
        <w:tc>
          <w:tcPr>
            <w:tcW w:w="878" w:type="dxa"/>
            <w:shd w:val="clear" w:color="auto" w:fill="auto"/>
          </w:tcPr>
          <w:p w14:paraId="7E96433B" w14:textId="77777777" w:rsidR="003E3D07" w:rsidRDefault="003E3D07">
            <w:pPr>
              <w:pStyle w:val="TableText"/>
              <w:rPr>
                <w:rFonts w:eastAsia="Symbol"/>
              </w:rPr>
            </w:pPr>
            <w:r>
              <w:t>Optional</w:t>
            </w:r>
          </w:p>
        </w:tc>
        <w:tc>
          <w:tcPr>
            <w:tcW w:w="1253" w:type="dxa"/>
            <w:shd w:val="clear" w:color="auto" w:fill="auto"/>
          </w:tcPr>
          <w:p w14:paraId="659E3527" w14:textId="77777777" w:rsidR="003E3D07" w:rsidRDefault="003E3D07">
            <w:pPr>
              <w:pStyle w:val="TableText"/>
              <w:rPr>
                <w:rFonts w:eastAsia="Symbol"/>
              </w:rPr>
            </w:pPr>
            <w:r>
              <w:t>Kn(a)</w:t>
            </w:r>
          </w:p>
        </w:tc>
        <w:tc>
          <w:tcPr>
            <w:tcW w:w="1253" w:type="dxa"/>
            <w:shd w:val="clear" w:color="auto" w:fill="auto"/>
          </w:tcPr>
          <w:p w14:paraId="016A09CA" w14:textId="77777777" w:rsidR="003E3D07" w:rsidRDefault="003E3D07">
            <w:pPr>
              <w:pStyle w:val="TableText"/>
            </w:pPr>
            <w:r>
              <w:t>None</w:t>
            </w:r>
          </w:p>
        </w:tc>
        <w:tc>
          <w:tcPr>
            <w:tcW w:w="1296" w:type="dxa"/>
            <w:shd w:val="clear" w:color="auto" w:fill="auto"/>
          </w:tcPr>
          <w:p w14:paraId="5C063E15" w14:textId="77777777" w:rsidR="003E3D07" w:rsidRDefault="003E3D07">
            <w:pPr>
              <w:pStyle w:val="TableText"/>
              <w:rPr>
                <w:rFonts w:eastAsia="Symbol"/>
              </w:rPr>
            </w:pPr>
            <w:r>
              <w:t>1</w:t>
            </w:r>
          </w:p>
        </w:tc>
        <w:tc>
          <w:tcPr>
            <w:tcW w:w="841" w:type="dxa"/>
            <w:shd w:val="clear" w:color="auto" w:fill="auto"/>
          </w:tcPr>
          <w:p w14:paraId="76889234" w14:textId="77777777" w:rsidR="003E3D07" w:rsidRDefault="003E3D07">
            <w:pPr>
              <w:pStyle w:val="TableText"/>
            </w:pPr>
            <w:r>
              <w:t>AGKn(a)</w:t>
            </w:r>
          </w:p>
        </w:tc>
      </w:tr>
      <w:tr w:rsidR="00824338" w14:paraId="7275D38E" w14:textId="77777777" w:rsidTr="00031618">
        <w:tblPrEx>
          <w:tblBorders>
            <w:insideH w:val="single" w:sz="4" w:space="0" w:color="auto"/>
            <w:insideV w:val="single" w:sz="4" w:space="0" w:color="auto"/>
          </w:tblBorders>
        </w:tblPrEx>
        <w:tc>
          <w:tcPr>
            <w:tcW w:w="1975" w:type="dxa"/>
            <w:shd w:val="clear" w:color="auto" w:fill="auto"/>
          </w:tcPr>
          <w:p w14:paraId="5A910DCB" w14:textId="77777777" w:rsidR="003E3D07" w:rsidRDefault="003E3D07">
            <w:pPr>
              <w:pStyle w:val="TableText"/>
              <w:rPr>
                <w:rFonts w:eastAsia="Symbol"/>
              </w:rPr>
            </w:pPr>
            <w:r>
              <w:t>Anti-McC(a)</w:t>
            </w:r>
          </w:p>
        </w:tc>
        <w:tc>
          <w:tcPr>
            <w:tcW w:w="1710" w:type="dxa"/>
            <w:shd w:val="clear" w:color="auto" w:fill="auto"/>
          </w:tcPr>
          <w:p w14:paraId="09CB02A3" w14:textId="77777777" w:rsidR="003E3D07" w:rsidRDefault="003E3D07">
            <w:pPr>
              <w:pStyle w:val="TableText"/>
            </w:pPr>
            <w:r>
              <w:t>None</w:t>
            </w:r>
          </w:p>
        </w:tc>
        <w:tc>
          <w:tcPr>
            <w:tcW w:w="878" w:type="dxa"/>
            <w:shd w:val="clear" w:color="auto" w:fill="auto"/>
          </w:tcPr>
          <w:p w14:paraId="4C30CB2E" w14:textId="77777777" w:rsidR="003E3D07" w:rsidRDefault="003E3D07">
            <w:pPr>
              <w:pStyle w:val="TableText"/>
            </w:pPr>
            <w:r>
              <w:t>No</w:t>
            </w:r>
          </w:p>
        </w:tc>
        <w:tc>
          <w:tcPr>
            <w:tcW w:w="878" w:type="dxa"/>
            <w:shd w:val="clear" w:color="auto" w:fill="auto"/>
          </w:tcPr>
          <w:p w14:paraId="06EF84BF" w14:textId="77777777" w:rsidR="003E3D07" w:rsidRDefault="003E3D07">
            <w:pPr>
              <w:pStyle w:val="TableText"/>
              <w:rPr>
                <w:rFonts w:eastAsia="Symbol"/>
              </w:rPr>
            </w:pPr>
            <w:r>
              <w:t>Optional</w:t>
            </w:r>
          </w:p>
        </w:tc>
        <w:tc>
          <w:tcPr>
            <w:tcW w:w="1253" w:type="dxa"/>
            <w:shd w:val="clear" w:color="auto" w:fill="auto"/>
          </w:tcPr>
          <w:p w14:paraId="2DC44F7B" w14:textId="77777777" w:rsidR="003E3D07" w:rsidRDefault="003E3D07">
            <w:pPr>
              <w:pStyle w:val="TableText"/>
              <w:rPr>
                <w:rFonts w:eastAsia="Symbol"/>
              </w:rPr>
            </w:pPr>
            <w:r>
              <w:t>McC(a)</w:t>
            </w:r>
          </w:p>
        </w:tc>
        <w:tc>
          <w:tcPr>
            <w:tcW w:w="1253" w:type="dxa"/>
            <w:shd w:val="clear" w:color="auto" w:fill="auto"/>
          </w:tcPr>
          <w:p w14:paraId="5F29EF15" w14:textId="77777777" w:rsidR="003E3D07" w:rsidRDefault="003E3D07">
            <w:pPr>
              <w:pStyle w:val="TableText"/>
            </w:pPr>
            <w:r>
              <w:t>None</w:t>
            </w:r>
          </w:p>
        </w:tc>
        <w:tc>
          <w:tcPr>
            <w:tcW w:w="1296" w:type="dxa"/>
            <w:shd w:val="clear" w:color="auto" w:fill="auto"/>
          </w:tcPr>
          <w:p w14:paraId="66C5EAD1" w14:textId="77777777" w:rsidR="003E3D07" w:rsidRDefault="003E3D07">
            <w:pPr>
              <w:pStyle w:val="TableText"/>
              <w:rPr>
                <w:rFonts w:eastAsia="Symbol"/>
              </w:rPr>
            </w:pPr>
            <w:r>
              <w:t>1</w:t>
            </w:r>
          </w:p>
        </w:tc>
        <w:tc>
          <w:tcPr>
            <w:tcW w:w="841" w:type="dxa"/>
            <w:shd w:val="clear" w:color="auto" w:fill="auto"/>
          </w:tcPr>
          <w:p w14:paraId="51CE4D3C" w14:textId="77777777" w:rsidR="003E3D07" w:rsidRDefault="003E3D07">
            <w:pPr>
              <w:pStyle w:val="TableText"/>
            </w:pPr>
            <w:r>
              <w:t>AGMcC(a)</w:t>
            </w:r>
          </w:p>
        </w:tc>
      </w:tr>
      <w:tr w:rsidR="00824338" w14:paraId="0352CFBC" w14:textId="77777777" w:rsidTr="00031618">
        <w:tblPrEx>
          <w:tblBorders>
            <w:insideH w:val="single" w:sz="4" w:space="0" w:color="auto"/>
            <w:insideV w:val="single" w:sz="4" w:space="0" w:color="auto"/>
          </w:tblBorders>
        </w:tblPrEx>
        <w:tc>
          <w:tcPr>
            <w:tcW w:w="1975" w:type="dxa"/>
            <w:shd w:val="clear" w:color="auto" w:fill="auto"/>
          </w:tcPr>
          <w:p w14:paraId="2D41E9D8" w14:textId="77777777" w:rsidR="003E3D07" w:rsidRDefault="003E3D07" w:rsidP="009C5939">
            <w:pPr>
              <w:pStyle w:val="TableText"/>
              <w:rPr>
                <w:rFonts w:eastAsia="Symbol"/>
              </w:rPr>
            </w:pPr>
            <w:r>
              <w:t>Anti-JMH</w:t>
            </w:r>
          </w:p>
        </w:tc>
        <w:tc>
          <w:tcPr>
            <w:tcW w:w="1710" w:type="dxa"/>
            <w:shd w:val="clear" w:color="auto" w:fill="auto"/>
          </w:tcPr>
          <w:p w14:paraId="54B4D5AA" w14:textId="77777777" w:rsidR="003E3D07" w:rsidRDefault="003E3D07" w:rsidP="009C5939">
            <w:pPr>
              <w:pStyle w:val="TableText"/>
            </w:pPr>
            <w:r>
              <w:t>None</w:t>
            </w:r>
          </w:p>
        </w:tc>
        <w:tc>
          <w:tcPr>
            <w:tcW w:w="878" w:type="dxa"/>
            <w:shd w:val="clear" w:color="auto" w:fill="auto"/>
          </w:tcPr>
          <w:p w14:paraId="3875BE90" w14:textId="77777777" w:rsidR="003E3D07" w:rsidRDefault="003E3D07" w:rsidP="009C5939">
            <w:pPr>
              <w:pStyle w:val="TableText"/>
            </w:pPr>
            <w:r>
              <w:t>No</w:t>
            </w:r>
          </w:p>
        </w:tc>
        <w:tc>
          <w:tcPr>
            <w:tcW w:w="878" w:type="dxa"/>
            <w:shd w:val="clear" w:color="auto" w:fill="auto"/>
          </w:tcPr>
          <w:p w14:paraId="181C720E" w14:textId="77777777" w:rsidR="003E3D07" w:rsidRDefault="003E3D07" w:rsidP="009C5939">
            <w:pPr>
              <w:pStyle w:val="TableText"/>
              <w:rPr>
                <w:rFonts w:eastAsia="Symbol"/>
              </w:rPr>
            </w:pPr>
            <w:r>
              <w:t>Optional</w:t>
            </w:r>
          </w:p>
        </w:tc>
        <w:tc>
          <w:tcPr>
            <w:tcW w:w="1253" w:type="dxa"/>
            <w:shd w:val="clear" w:color="auto" w:fill="auto"/>
          </w:tcPr>
          <w:p w14:paraId="16505177" w14:textId="77777777" w:rsidR="003E3D07" w:rsidRDefault="003E3D07" w:rsidP="009C5939">
            <w:pPr>
              <w:pStyle w:val="TableText"/>
              <w:rPr>
                <w:rFonts w:eastAsia="Symbol"/>
              </w:rPr>
            </w:pPr>
            <w:r>
              <w:t>JMH</w:t>
            </w:r>
          </w:p>
        </w:tc>
        <w:tc>
          <w:tcPr>
            <w:tcW w:w="1253" w:type="dxa"/>
            <w:shd w:val="clear" w:color="auto" w:fill="auto"/>
          </w:tcPr>
          <w:p w14:paraId="2251F58F" w14:textId="77777777" w:rsidR="003E3D07" w:rsidRDefault="003E3D07" w:rsidP="009C5939">
            <w:pPr>
              <w:pStyle w:val="TableText"/>
            </w:pPr>
            <w:r>
              <w:t>None</w:t>
            </w:r>
          </w:p>
        </w:tc>
        <w:tc>
          <w:tcPr>
            <w:tcW w:w="1296" w:type="dxa"/>
            <w:shd w:val="clear" w:color="auto" w:fill="auto"/>
          </w:tcPr>
          <w:p w14:paraId="3D4632AF" w14:textId="77777777" w:rsidR="003E3D07" w:rsidRDefault="003E3D07" w:rsidP="009C5939">
            <w:pPr>
              <w:pStyle w:val="TableText"/>
              <w:rPr>
                <w:rFonts w:eastAsia="Symbol"/>
              </w:rPr>
            </w:pPr>
            <w:r>
              <w:t>1</w:t>
            </w:r>
          </w:p>
        </w:tc>
        <w:tc>
          <w:tcPr>
            <w:tcW w:w="841" w:type="dxa"/>
            <w:shd w:val="clear" w:color="auto" w:fill="auto"/>
          </w:tcPr>
          <w:p w14:paraId="49134535" w14:textId="77777777" w:rsidR="003E3D07" w:rsidRDefault="003E3D07" w:rsidP="009C5939">
            <w:pPr>
              <w:pStyle w:val="TableText"/>
            </w:pPr>
            <w:r>
              <w:t>AGJMH</w:t>
            </w:r>
          </w:p>
        </w:tc>
      </w:tr>
      <w:tr w:rsidR="00824338" w14:paraId="5C81B15E" w14:textId="77777777" w:rsidTr="00031618">
        <w:tblPrEx>
          <w:tblBorders>
            <w:insideH w:val="single" w:sz="4" w:space="0" w:color="auto"/>
            <w:insideV w:val="single" w:sz="4" w:space="0" w:color="auto"/>
          </w:tblBorders>
        </w:tblPrEx>
        <w:tc>
          <w:tcPr>
            <w:tcW w:w="1975" w:type="dxa"/>
            <w:shd w:val="clear" w:color="auto" w:fill="auto"/>
          </w:tcPr>
          <w:p w14:paraId="1AF80BBB" w14:textId="77777777" w:rsidR="003E3D07" w:rsidRDefault="003E3D07" w:rsidP="009C5939">
            <w:pPr>
              <w:pStyle w:val="TableText"/>
              <w:rPr>
                <w:rFonts w:eastAsia="Symbol"/>
              </w:rPr>
            </w:pPr>
            <w:r>
              <w:t>Anti-Yt(a)</w:t>
            </w:r>
          </w:p>
        </w:tc>
        <w:tc>
          <w:tcPr>
            <w:tcW w:w="1710" w:type="dxa"/>
            <w:shd w:val="clear" w:color="auto" w:fill="auto"/>
          </w:tcPr>
          <w:p w14:paraId="38E6D3C3" w14:textId="77777777" w:rsidR="003E3D07" w:rsidRDefault="003E3D07" w:rsidP="009C5939">
            <w:pPr>
              <w:pStyle w:val="TableText"/>
              <w:rPr>
                <w:rFonts w:eastAsia="Symbol"/>
              </w:rPr>
            </w:pPr>
            <w:r>
              <w:t>None</w:t>
            </w:r>
          </w:p>
        </w:tc>
        <w:tc>
          <w:tcPr>
            <w:tcW w:w="878" w:type="dxa"/>
            <w:shd w:val="clear" w:color="auto" w:fill="auto"/>
          </w:tcPr>
          <w:p w14:paraId="0A56AD9E" w14:textId="77777777" w:rsidR="003E3D07" w:rsidRDefault="003E3D07" w:rsidP="009C5939">
            <w:pPr>
              <w:pStyle w:val="TableText"/>
            </w:pPr>
            <w:r>
              <w:t>No</w:t>
            </w:r>
          </w:p>
        </w:tc>
        <w:tc>
          <w:tcPr>
            <w:tcW w:w="878" w:type="dxa"/>
            <w:shd w:val="clear" w:color="auto" w:fill="auto"/>
          </w:tcPr>
          <w:p w14:paraId="3A4F4EB4" w14:textId="77777777" w:rsidR="003E3D07" w:rsidRDefault="003E3D07" w:rsidP="009C5939">
            <w:pPr>
              <w:pStyle w:val="TableText"/>
              <w:rPr>
                <w:rFonts w:eastAsia="Symbol"/>
              </w:rPr>
            </w:pPr>
            <w:r>
              <w:t>Optional</w:t>
            </w:r>
          </w:p>
        </w:tc>
        <w:tc>
          <w:tcPr>
            <w:tcW w:w="1253" w:type="dxa"/>
            <w:shd w:val="clear" w:color="auto" w:fill="auto"/>
          </w:tcPr>
          <w:p w14:paraId="0F8B3419" w14:textId="77777777" w:rsidR="003E3D07" w:rsidRDefault="003E3D07" w:rsidP="009C5939">
            <w:pPr>
              <w:pStyle w:val="TableText"/>
              <w:rPr>
                <w:rFonts w:eastAsia="Symbol"/>
              </w:rPr>
            </w:pPr>
            <w:r>
              <w:t>Yt(a)</w:t>
            </w:r>
          </w:p>
        </w:tc>
        <w:tc>
          <w:tcPr>
            <w:tcW w:w="1253" w:type="dxa"/>
            <w:shd w:val="clear" w:color="auto" w:fill="auto"/>
          </w:tcPr>
          <w:p w14:paraId="6A5A5B5A" w14:textId="77777777" w:rsidR="003E3D07" w:rsidRDefault="003E3D07" w:rsidP="009C5939">
            <w:pPr>
              <w:pStyle w:val="TableText"/>
              <w:rPr>
                <w:rFonts w:eastAsia="Symbol"/>
              </w:rPr>
            </w:pPr>
            <w:r>
              <w:t>None</w:t>
            </w:r>
          </w:p>
        </w:tc>
        <w:tc>
          <w:tcPr>
            <w:tcW w:w="1296" w:type="dxa"/>
            <w:shd w:val="clear" w:color="auto" w:fill="auto"/>
          </w:tcPr>
          <w:p w14:paraId="276F7559" w14:textId="77777777" w:rsidR="003E3D07" w:rsidRDefault="003E3D07" w:rsidP="009C5939">
            <w:pPr>
              <w:pStyle w:val="TableText"/>
              <w:rPr>
                <w:rFonts w:eastAsia="Symbol"/>
              </w:rPr>
            </w:pPr>
            <w:r>
              <w:t>1</w:t>
            </w:r>
          </w:p>
        </w:tc>
        <w:tc>
          <w:tcPr>
            <w:tcW w:w="841" w:type="dxa"/>
            <w:shd w:val="clear" w:color="auto" w:fill="auto"/>
          </w:tcPr>
          <w:p w14:paraId="79F58F27" w14:textId="77777777" w:rsidR="003E3D07" w:rsidRDefault="003E3D07" w:rsidP="009C5939">
            <w:pPr>
              <w:pStyle w:val="TableText"/>
              <w:rPr>
                <w:rFonts w:eastAsia="Symbol"/>
              </w:rPr>
            </w:pPr>
            <w:r>
              <w:t>AGYt(a)</w:t>
            </w:r>
          </w:p>
        </w:tc>
      </w:tr>
      <w:tr w:rsidR="00824338" w14:paraId="30CF6168" w14:textId="77777777" w:rsidTr="00031618">
        <w:tblPrEx>
          <w:tblBorders>
            <w:insideH w:val="single" w:sz="4" w:space="0" w:color="auto"/>
            <w:insideV w:val="single" w:sz="4" w:space="0" w:color="auto"/>
          </w:tblBorders>
        </w:tblPrEx>
        <w:tc>
          <w:tcPr>
            <w:tcW w:w="1975" w:type="dxa"/>
            <w:shd w:val="clear" w:color="auto" w:fill="auto"/>
          </w:tcPr>
          <w:p w14:paraId="767E5A0E" w14:textId="77777777" w:rsidR="003E3D07" w:rsidRDefault="003E3D07" w:rsidP="009C5939">
            <w:pPr>
              <w:pStyle w:val="TableText"/>
              <w:rPr>
                <w:rFonts w:eastAsia="Symbol"/>
              </w:rPr>
            </w:pPr>
            <w:r>
              <w:t>Anti-Yt(b)</w:t>
            </w:r>
          </w:p>
        </w:tc>
        <w:tc>
          <w:tcPr>
            <w:tcW w:w="1710" w:type="dxa"/>
            <w:shd w:val="clear" w:color="auto" w:fill="auto"/>
          </w:tcPr>
          <w:p w14:paraId="6851D567" w14:textId="77777777" w:rsidR="003E3D07" w:rsidRDefault="003E3D07" w:rsidP="009C5939">
            <w:pPr>
              <w:pStyle w:val="TableText"/>
              <w:rPr>
                <w:rFonts w:eastAsia="Symbol"/>
              </w:rPr>
            </w:pPr>
            <w:r>
              <w:t>None</w:t>
            </w:r>
          </w:p>
        </w:tc>
        <w:tc>
          <w:tcPr>
            <w:tcW w:w="878" w:type="dxa"/>
            <w:shd w:val="clear" w:color="auto" w:fill="auto"/>
          </w:tcPr>
          <w:p w14:paraId="2674B63F" w14:textId="77777777" w:rsidR="003E3D07" w:rsidRDefault="003E3D07" w:rsidP="009C5939">
            <w:pPr>
              <w:pStyle w:val="TableText"/>
            </w:pPr>
            <w:r>
              <w:t>No</w:t>
            </w:r>
          </w:p>
        </w:tc>
        <w:tc>
          <w:tcPr>
            <w:tcW w:w="878" w:type="dxa"/>
            <w:shd w:val="clear" w:color="auto" w:fill="auto"/>
          </w:tcPr>
          <w:p w14:paraId="668062F4" w14:textId="77777777" w:rsidR="003E3D07" w:rsidRDefault="003E3D07" w:rsidP="009C5939">
            <w:pPr>
              <w:pStyle w:val="TableText"/>
              <w:rPr>
                <w:rFonts w:eastAsia="Symbol"/>
              </w:rPr>
            </w:pPr>
            <w:r>
              <w:t>Optional</w:t>
            </w:r>
          </w:p>
        </w:tc>
        <w:tc>
          <w:tcPr>
            <w:tcW w:w="1253" w:type="dxa"/>
            <w:shd w:val="clear" w:color="auto" w:fill="auto"/>
          </w:tcPr>
          <w:p w14:paraId="66612333" w14:textId="77777777" w:rsidR="003E3D07" w:rsidRDefault="003E3D07" w:rsidP="009C5939">
            <w:pPr>
              <w:pStyle w:val="TableText"/>
              <w:rPr>
                <w:rFonts w:eastAsia="Symbol"/>
              </w:rPr>
            </w:pPr>
            <w:r>
              <w:t>Yt(b)</w:t>
            </w:r>
          </w:p>
        </w:tc>
        <w:tc>
          <w:tcPr>
            <w:tcW w:w="1253" w:type="dxa"/>
            <w:shd w:val="clear" w:color="auto" w:fill="auto"/>
          </w:tcPr>
          <w:p w14:paraId="37903F55" w14:textId="77777777" w:rsidR="003E3D07" w:rsidRDefault="003E3D07" w:rsidP="009C5939">
            <w:pPr>
              <w:pStyle w:val="TableText"/>
              <w:rPr>
                <w:rFonts w:eastAsia="Symbol"/>
              </w:rPr>
            </w:pPr>
            <w:r>
              <w:t>None</w:t>
            </w:r>
          </w:p>
        </w:tc>
        <w:tc>
          <w:tcPr>
            <w:tcW w:w="1296" w:type="dxa"/>
            <w:shd w:val="clear" w:color="auto" w:fill="auto"/>
          </w:tcPr>
          <w:p w14:paraId="33DA779F" w14:textId="77777777" w:rsidR="003E3D07" w:rsidRDefault="003E3D07" w:rsidP="009C5939">
            <w:pPr>
              <w:pStyle w:val="TableText"/>
              <w:rPr>
                <w:rFonts w:eastAsia="Symbol"/>
              </w:rPr>
            </w:pPr>
            <w:r>
              <w:t>92</w:t>
            </w:r>
          </w:p>
        </w:tc>
        <w:tc>
          <w:tcPr>
            <w:tcW w:w="841" w:type="dxa"/>
            <w:shd w:val="clear" w:color="auto" w:fill="auto"/>
          </w:tcPr>
          <w:p w14:paraId="5F2BDD23" w14:textId="77777777" w:rsidR="003E3D07" w:rsidRDefault="003E3D07" w:rsidP="009C5939">
            <w:pPr>
              <w:pStyle w:val="TableText"/>
              <w:rPr>
                <w:rFonts w:eastAsia="Symbol"/>
              </w:rPr>
            </w:pPr>
            <w:r>
              <w:t>AGYt(b)</w:t>
            </w:r>
          </w:p>
        </w:tc>
      </w:tr>
      <w:tr w:rsidR="00824338" w14:paraId="67FC33DF" w14:textId="77777777" w:rsidTr="00031618">
        <w:tblPrEx>
          <w:tblBorders>
            <w:insideH w:val="single" w:sz="4" w:space="0" w:color="auto"/>
            <w:insideV w:val="single" w:sz="4" w:space="0" w:color="auto"/>
          </w:tblBorders>
        </w:tblPrEx>
        <w:tc>
          <w:tcPr>
            <w:tcW w:w="1975" w:type="dxa"/>
            <w:shd w:val="clear" w:color="auto" w:fill="auto"/>
          </w:tcPr>
          <w:p w14:paraId="1ED89685" w14:textId="77777777" w:rsidR="003E3D07" w:rsidRDefault="003E3D07" w:rsidP="009C5939">
            <w:pPr>
              <w:pStyle w:val="TableText"/>
              <w:rPr>
                <w:rFonts w:eastAsia="Symbol"/>
              </w:rPr>
            </w:pPr>
            <w:r>
              <w:t>HTLA (probable)</w:t>
            </w:r>
          </w:p>
        </w:tc>
        <w:tc>
          <w:tcPr>
            <w:tcW w:w="1710" w:type="dxa"/>
            <w:shd w:val="clear" w:color="auto" w:fill="auto"/>
          </w:tcPr>
          <w:p w14:paraId="76132795" w14:textId="77777777" w:rsidR="003E3D07" w:rsidRDefault="003E3D07" w:rsidP="009C5939">
            <w:pPr>
              <w:pStyle w:val="TableText"/>
            </w:pPr>
            <w:r>
              <w:t>None</w:t>
            </w:r>
          </w:p>
        </w:tc>
        <w:tc>
          <w:tcPr>
            <w:tcW w:w="878" w:type="dxa"/>
            <w:shd w:val="clear" w:color="auto" w:fill="auto"/>
          </w:tcPr>
          <w:p w14:paraId="57E272F8" w14:textId="77777777" w:rsidR="003E3D07" w:rsidRDefault="003E3D07" w:rsidP="009C5939">
            <w:pPr>
              <w:pStyle w:val="TableText"/>
            </w:pPr>
            <w:r>
              <w:t>No</w:t>
            </w:r>
          </w:p>
        </w:tc>
        <w:tc>
          <w:tcPr>
            <w:tcW w:w="878" w:type="dxa"/>
            <w:shd w:val="clear" w:color="auto" w:fill="auto"/>
          </w:tcPr>
          <w:p w14:paraId="2561670B" w14:textId="77777777" w:rsidR="003E3D07" w:rsidRDefault="003E3D07" w:rsidP="009C5939">
            <w:pPr>
              <w:pStyle w:val="TableText"/>
              <w:rPr>
                <w:rFonts w:eastAsia="Symbol"/>
              </w:rPr>
            </w:pPr>
            <w:r>
              <w:t>No</w:t>
            </w:r>
          </w:p>
        </w:tc>
        <w:tc>
          <w:tcPr>
            <w:tcW w:w="1253" w:type="dxa"/>
            <w:shd w:val="clear" w:color="auto" w:fill="auto"/>
          </w:tcPr>
          <w:p w14:paraId="24BAC765" w14:textId="77777777" w:rsidR="003E3D07" w:rsidRDefault="003E3D07" w:rsidP="009C5939">
            <w:pPr>
              <w:pStyle w:val="TableText"/>
              <w:rPr>
                <w:rFonts w:eastAsia="Symbol"/>
              </w:rPr>
            </w:pPr>
            <w:r>
              <w:t>None</w:t>
            </w:r>
          </w:p>
        </w:tc>
        <w:tc>
          <w:tcPr>
            <w:tcW w:w="1253" w:type="dxa"/>
            <w:shd w:val="clear" w:color="auto" w:fill="auto"/>
          </w:tcPr>
          <w:p w14:paraId="2C804296" w14:textId="77777777" w:rsidR="003E3D07" w:rsidRDefault="003E3D07" w:rsidP="009C5939">
            <w:pPr>
              <w:pStyle w:val="TableText"/>
              <w:rPr>
                <w:rFonts w:eastAsia="Symbol"/>
              </w:rPr>
            </w:pPr>
            <w:r>
              <w:t>None</w:t>
            </w:r>
          </w:p>
        </w:tc>
        <w:tc>
          <w:tcPr>
            <w:tcW w:w="1296" w:type="dxa"/>
            <w:shd w:val="clear" w:color="auto" w:fill="auto"/>
          </w:tcPr>
          <w:p w14:paraId="4F87469D" w14:textId="77777777" w:rsidR="003E3D07" w:rsidRDefault="003E3D07" w:rsidP="009C5939">
            <w:pPr>
              <w:pStyle w:val="TableText"/>
              <w:rPr>
                <w:rFonts w:eastAsia="Symbol"/>
              </w:rPr>
            </w:pPr>
            <w:r>
              <w:rPr>
                <w:rFonts w:eastAsia="Symbol"/>
              </w:rPr>
              <w:t>0</w:t>
            </w:r>
          </w:p>
        </w:tc>
        <w:tc>
          <w:tcPr>
            <w:tcW w:w="841" w:type="dxa"/>
            <w:vMerge w:val="restart"/>
            <w:shd w:val="clear" w:color="auto" w:fill="auto"/>
          </w:tcPr>
          <w:p w14:paraId="13ACD1E0" w14:textId="77777777" w:rsidR="003E3D07" w:rsidRDefault="003E3D07" w:rsidP="009C5939">
            <w:pPr>
              <w:pStyle w:val="TableText"/>
            </w:pPr>
            <w:r>
              <w:rPr>
                <w:rFonts w:eastAsia="Symbol"/>
              </w:rPr>
              <w:t>None</w:t>
            </w:r>
          </w:p>
        </w:tc>
      </w:tr>
      <w:tr w:rsidR="00824338" w14:paraId="7845CE28" w14:textId="77777777" w:rsidTr="00031618">
        <w:tblPrEx>
          <w:tblBorders>
            <w:insideH w:val="single" w:sz="4" w:space="0" w:color="auto"/>
            <w:insideV w:val="single" w:sz="4" w:space="0" w:color="auto"/>
          </w:tblBorders>
        </w:tblPrEx>
        <w:tc>
          <w:tcPr>
            <w:tcW w:w="1975" w:type="dxa"/>
            <w:shd w:val="clear" w:color="auto" w:fill="auto"/>
          </w:tcPr>
          <w:p w14:paraId="515EE660" w14:textId="77777777" w:rsidR="003E3D07" w:rsidRDefault="003E3D07" w:rsidP="009C5939">
            <w:pPr>
              <w:pStyle w:val="TableText"/>
            </w:pPr>
            <w:r>
              <w:t>Antibody, No Specificity</w:t>
            </w:r>
          </w:p>
          <w:p w14:paraId="40B8CE16" w14:textId="77777777" w:rsidR="003E3D07" w:rsidRDefault="003E3D07" w:rsidP="009C5939">
            <w:pPr>
              <w:pStyle w:val="TableText"/>
              <w:rPr>
                <w:sz w:val="20"/>
              </w:rPr>
            </w:pPr>
            <w:r>
              <w:t>Identified</w:t>
            </w:r>
          </w:p>
        </w:tc>
        <w:tc>
          <w:tcPr>
            <w:tcW w:w="1710" w:type="dxa"/>
            <w:shd w:val="clear" w:color="auto" w:fill="auto"/>
          </w:tcPr>
          <w:p w14:paraId="0CC6FA56" w14:textId="77777777" w:rsidR="003E3D07" w:rsidRDefault="003E3D07" w:rsidP="009C5939">
            <w:pPr>
              <w:pStyle w:val="TableText"/>
              <w:rPr>
                <w:sz w:val="20"/>
              </w:rPr>
            </w:pPr>
            <w:r>
              <w:t>Antibody (not otherwise specified)</w:t>
            </w:r>
          </w:p>
        </w:tc>
        <w:tc>
          <w:tcPr>
            <w:tcW w:w="878" w:type="dxa"/>
            <w:shd w:val="clear" w:color="auto" w:fill="auto"/>
          </w:tcPr>
          <w:p w14:paraId="487E6EA3" w14:textId="77777777" w:rsidR="003E3D07" w:rsidRDefault="003E3D07" w:rsidP="009C5939">
            <w:pPr>
              <w:pStyle w:val="TableText"/>
            </w:pPr>
            <w:r>
              <w:t>Unknown</w:t>
            </w:r>
            <w:r w:rsidR="00191509" w:rsidRPr="00191509">
              <w:rPr>
                <w:szCs w:val="18"/>
              </w:rPr>
              <w:t>§</w:t>
            </w:r>
          </w:p>
        </w:tc>
        <w:tc>
          <w:tcPr>
            <w:tcW w:w="878" w:type="dxa"/>
            <w:shd w:val="clear" w:color="auto" w:fill="auto"/>
          </w:tcPr>
          <w:p w14:paraId="3567424D" w14:textId="77777777" w:rsidR="003E3D07" w:rsidRDefault="003E3D07" w:rsidP="009C5939">
            <w:pPr>
              <w:pStyle w:val="TableText"/>
            </w:pPr>
            <w:r>
              <w:t>No</w:t>
            </w:r>
          </w:p>
        </w:tc>
        <w:tc>
          <w:tcPr>
            <w:tcW w:w="1253" w:type="dxa"/>
            <w:shd w:val="clear" w:color="auto" w:fill="auto"/>
          </w:tcPr>
          <w:p w14:paraId="55674AB4" w14:textId="77777777" w:rsidR="003E3D07" w:rsidRDefault="003E3D07" w:rsidP="009C5939">
            <w:pPr>
              <w:pStyle w:val="TableText"/>
            </w:pPr>
            <w:r>
              <w:t>None</w:t>
            </w:r>
          </w:p>
        </w:tc>
        <w:tc>
          <w:tcPr>
            <w:tcW w:w="1253" w:type="dxa"/>
            <w:shd w:val="clear" w:color="auto" w:fill="auto"/>
          </w:tcPr>
          <w:p w14:paraId="76A9C736" w14:textId="77777777" w:rsidR="003E3D07" w:rsidRDefault="003E3D07" w:rsidP="009C5939">
            <w:pPr>
              <w:pStyle w:val="TableText"/>
            </w:pPr>
            <w:r>
              <w:t>None</w:t>
            </w:r>
          </w:p>
        </w:tc>
        <w:tc>
          <w:tcPr>
            <w:tcW w:w="1296" w:type="dxa"/>
            <w:shd w:val="clear" w:color="auto" w:fill="auto"/>
          </w:tcPr>
          <w:p w14:paraId="6A4C4B11" w14:textId="77777777" w:rsidR="003E3D07" w:rsidRDefault="003E3D07" w:rsidP="009C5939">
            <w:pPr>
              <w:pStyle w:val="TableText"/>
              <w:rPr>
                <w:rFonts w:eastAsia="Symbol"/>
              </w:rPr>
            </w:pPr>
            <w:r>
              <w:rPr>
                <w:rFonts w:eastAsia="Symbol"/>
              </w:rPr>
              <w:t>0</w:t>
            </w:r>
          </w:p>
        </w:tc>
        <w:tc>
          <w:tcPr>
            <w:tcW w:w="841" w:type="dxa"/>
            <w:vMerge/>
            <w:shd w:val="clear" w:color="auto" w:fill="auto"/>
          </w:tcPr>
          <w:p w14:paraId="0BE8AD1C" w14:textId="77777777" w:rsidR="003E3D07" w:rsidRDefault="003E3D07" w:rsidP="009C5939">
            <w:pPr>
              <w:pStyle w:val="TableText"/>
              <w:rPr>
                <w:rFonts w:eastAsia="Symbol"/>
              </w:rPr>
            </w:pPr>
          </w:p>
        </w:tc>
      </w:tr>
      <w:tr w:rsidR="00824338" w14:paraId="3ECAFF10" w14:textId="77777777" w:rsidTr="00031618">
        <w:tblPrEx>
          <w:tblBorders>
            <w:insideH w:val="single" w:sz="4" w:space="0" w:color="auto"/>
            <w:insideV w:val="single" w:sz="4" w:space="0" w:color="auto"/>
          </w:tblBorders>
        </w:tblPrEx>
        <w:tc>
          <w:tcPr>
            <w:tcW w:w="1975" w:type="dxa"/>
            <w:shd w:val="clear" w:color="auto" w:fill="auto"/>
          </w:tcPr>
          <w:p w14:paraId="2902BD35" w14:textId="77777777" w:rsidR="003E3D07" w:rsidRDefault="003E3D07" w:rsidP="009C5939">
            <w:pPr>
              <w:pStyle w:val="TableText"/>
            </w:pPr>
            <w:r>
              <w:t>Antibody to Low-Incidence Antigen</w:t>
            </w:r>
          </w:p>
        </w:tc>
        <w:tc>
          <w:tcPr>
            <w:tcW w:w="1710" w:type="dxa"/>
            <w:shd w:val="clear" w:color="auto" w:fill="auto"/>
          </w:tcPr>
          <w:p w14:paraId="69216AA6" w14:textId="77777777" w:rsidR="003E3D07" w:rsidRDefault="003E3D07" w:rsidP="009C5939">
            <w:pPr>
              <w:pStyle w:val="TableText"/>
            </w:pPr>
            <w:r>
              <w:t>Antibody, private (not otherwise specified)</w:t>
            </w:r>
          </w:p>
        </w:tc>
        <w:tc>
          <w:tcPr>
            <w:tcW w:w="878" w:type="dxa"/>
            <w:shd w:val="clear" w:color="auto" w:fill="auto"/>
          </w:tcPr>
          <w:p w14:paraId="42055EB0" w14:textId="77777777" w:rsidR="003E3D07" w:rsidRDefault="003E3D07" w:rsidP="009C5939">
            <w:pPr>
              <w:pStyle w:val="TableText"/>
            </w:pPr>
            <w:r>
              <w:t>Unknown</w:t>
            </w:r>
            <w:r w:rsidR="00191509" w:rsidRPr="00191509">
              <w:rPr>
                <w:szCs w:val="18"/>
              </w:rPr>
              <w:t>§</w:t>
            </w:r>
          </w:p>
        </w:tc>
        <w:tc>
          <w:tcPr>
            <w:tcW w:w="878" w:type="dxa"/>
            <w:shd w:val="clear" w:color="auto" w:fill="auto"/>
          </w:tcPr>
          <w:p w14:paraId="630E4D7E" w14:textId="77777777" w:rsidR="003E3D07" w:rsidRDefault="003E3D07" w:rsidP="009C5939">
            <w:pPr>
              <w:pStyle w:val="TableText"/>
            </w:pPr>
            <w:r>
              <w:t>No</w:t>
            </w:r>
          </w:p>
        </w:tc>
        <w:tc>
          <w:tcPr>
            <w:tcW w:w="1253" w:type="dxa"/>
            <w:shd w:val="clear" w:color="auto" w:fill="auto"/>
          </w:tcPr>
          <w:p w14:paraId="36BFC685" w14:textId="77777777" w:rsidR="003E3D07" w:rsidRDefault="003E3D07" w:rsidP="009C5939">
            <w:pPr>
              <w:pStyle w:val="TableText"/>
            </w:pPr>
            <w:r>
              <w:t>None</w:t>
            </w:r>
          </w:p>
        </w:tc>
        <w:tc>
          <w:tcPr>
            <w:tcW w:w="1253" w:type="dxa"/>
            <w:shd w:val="clear" w:color="auto" w:fill="auto"/>
          </w:tcPr>
          <w:p w14:paraId="762FBDCC" w14:textId="77777777" w:rsidR="003E3D07" w:rsidRDefault="003E3D07" w:rsidP="009C5939">
            <w:pPr>
              <w:pStyle w:val="TableText"/>
            </w:pPr>
            <w:r>
              <w:t>None</w:t>
            </w:r>
          </w:p>
        </w:tc>
        <w:tc>
          <w:tcPr>
            <w:tcW w:w="1296" w:type="dxa"/>
            <w:shd w:val="clear" w:color="auto" w:fill="auto"/>
          </w:tcPr>
          <w:p w14:paraId="20912104" w14:textId="77777777" w:rsidR="003E3D07" w:rsidRDefault="003E3D07" w:rsidP="009C5939">
            <w:pPr>
              <w:pStyle w:val="TableText"/>
              <w:rPr>
                <w:rFonts w:eastAsia="Symbol"/>
              </w:rPr>
            </w:pPr>
            <w:r>
              <w:rPr>
                <w:rFonts w:eastAsia="Symbol"/>
              </w:rPr>
              <w:t>99</w:t>
            </w:r>
          </w:p>
        </w:tc>
        <w:tc>
          <w:tcPr>
            <w:tcW w:w="841" w:type="dxa"/>
            <w:vMerge/>
            <w:shd w:val="clear" w:color="auto" w:fill="auto"/>
          </w:tcPr>
          <w:p w14:paraId="7AAC4B20" w14:textId="77777777" w:rsidR="003E3D07" w:rsidRDefault="003E3D07" w:rsidP="009C5939">
            <w:pPr>
              <w:pStyle w:val="TableText"/>
              <w:rPr>
                <w:rFonts w:eastAsia="Symbol"/>
              </w:rPr>
            </w:pPr>
          </w:p>
        </w:tc>
      </w:tr>
      <w:tr w:rsidR="00824338" w14:paraId="3F4996E0" w14:textId="77777777" w:rsidTr="00031618">
        <w:tblPrEx>
          <w:tblBorders>
            <w:insideH w:val="single" w:sz="4" w:space="0" w:color="auto"/>
            <w:insideV w:val="single" w:sz="4" w:space="0" w:color="auto"/>
          </w:tblBorders>
        </w:tblPrEx>
        <w:tc>
          <w:tcPr>
            <w:tcW w:w="1975" w:type="dxa"/>
            <w:shd w:val="clear" w:color="auto" w:fill="auto"/>
          </w:tcPr>
          <w:p w14:paraId="0CA7ED25" w14:textId="77777777" w:rsidR="003E3D07" w:rsidRDefault="003E3D07" w:rsidP="009C5939">
            <w:pPr>
              <w:pStyle w:val="TableText"/>
              <w:rPr>
                <w:sz w:val="20"/>
              </w:rPr>
            </w:pPr>
            <w:r>
              <w:t>Antibody to High-Incidence Antigen</w:t>
            </w:r>
          </w:p>
        </w:tc>
        <w:tc>
          <w:tcPr>
            <w:tcW w:w="1710" w:type="dxa"/>
            <w:shd w:val="clear" w:color="auto" w:fill="auto"/>
          </w:tcPr>
          <w:p w14:paraId="2141603D" w14:textId="77777777" w:rsidR="003E3D07" w:rsidRDefault="003E3D07" w:rsidP="009C5939">
            <w:pPr>
              <w:pStyle w:val="TableText"/>
              <w:rPr>
                <w:sz w:val="20"/>
              </w:rPr>
            </w:pPr>
            <w:r>
              <w:t>Antibody, public (not otherwise specified)</w:t>
            </w:r>
          </w:p>
        </w:tc>
        <w:tc>
          <w:tcPr>
            <w:tcW w:w="878" w:type="dxa"/>
            <w:shd w:val="clear" w:color="auto" w:fill="auto"/>
          </w:tcPr>
          <w:p w14:paraId="6415B5B0" w14:textId="77777777" w:rsidR="003E3D07" w:rsidRDefault="003E3D07" w:rsidP="009C5939">
            <w:pPr>
              <w:pStyle w:val="TableText"/>
            </w:pPr>
            <w:r>
              <w:t>Unknown</w:t>
            </w:r>
            <w:r w:rsidR="00191509" w:rsidRPr="00191509">
              <w:rPr>
                <w:szCs w:val="18"/>
              </w:rPr>
              <w:t>§</w:t>
            </w:r>
          </w:p>
        </w:tc>
        <w:tc>
          <w:tcPr>
            <w:tcW w:w="878" w:type="dxa"/>
            <w:shd w:val="clear" w:color="auto" w:fill="auto"/>
          </w:tcPr>
          <w:p w14:paraId="2FE7FD40" w14:textId="77777777" w:rsidR="003E3D07" w:rsidRDefault="003E3D07" w:rsidP="009C5939">
            <w:pPr>
              <w:pStyle w:val="TableText"/>
            </w:pPr>
            <w:r>
              <w:t>No</w:t>
            </w:r>
          </w:p>
        </w:tc>
        <w:tc>
          <w:tcPr>
            <w:tcW w:w="1253" w:type="dxa"/>
            <w:shd w:val="clear" w:color="auto" w:fill="auto"/>
          </w:tcPr>
          <w:p w14:paraId="71EB51B2" w14:textId="77777777" w:rsidR="003E3D07" w:rsidRDefault="003E3D07" w:rsidP="009C5939">
            <w:pPr>
              <w:pStyle w:val="TableText"/>
            </w:pPr>
            <w:r>
              <w:t>None</w:t>
            </w:r>
          </w:p>
        </w:tc>
        <w:tc>
          <w:tcPr>
            <w:tcW w:w="1253" w:type="dxa"/>
            <w:shd w:val="clear" w:color="auto" w:fill="auto"/>
          </w:tcPr>
          <w:p w14:paraId="6BAA0482" w14:textId="77777777" w:rsidR="003E3D07" w:rsidRDefault="003E3D07" w:rsidP="009C5939">
            <w:pPr>
              <w:pStyle w:val="TableText"/>
            </w:pPr>
            <w:r>
              <w:t>None</w:t>
            </w:r>
          </w:p>
        </w:tc>
        <w:tc>
          <w:tcPr>
            <w:tcW w:w="1296" w:type="dxa"/>
            <w:shd w:val="clear" w:color="auto" w:fill="auto"/>
          </w:tcPr>
          <w:p w14:paraId="747BF053" w14:textId="77777777" w:rsidR="003E3D07" w:rsidRDefault="003E3D07" w:rsidP="009C5939">
            <w:pPr>
              <w:pStyle w:val="TableText"/>
              <w:rPr>
                <w:rFonts w:eastAsia="Symbol"/>
              </w:rPr>
            </w:pPr>
            <w:r>
              <w:rPr>
                <w:rFonts w:eastAsia="Symbol"/>
              </w:rPr>
              <w:t>0</w:t>
            </w:r>
          </w:p>
        </w:tc>
        <w:tc>
          <w:tcPr>
            <w:tcW w:w="841" w:type="dxa"/>
            <w:vMerge/>
            <w:shd w:val="clear" w:color="auto" w:fill="auto"/>
          </w:tcPr>
          <w:p w14:paraId="51BF9F28" w14:textId="77777777" w:rsidR="003E3D07" w:rsidRDefault="003E3D07" w:rsidP="009C5939">
            <w:pPr>
              <w:pStyle w:val="TableText"/>
              <w:rPr>
                <w:rFonts w:eastAsia="Symbol"/>
              </w:rPr>
            </w:pPr>
          </w:p>
        </w:tc>
      </w:tr>
      <w:tr w:rsidR="00A447A2" w14:paraId="3D20AD8A" w14:textId="77777777" w:rsidTr="00031618">
        <w:tblPrEx>
          <w:tblBorders>
            <w:insideH w:val="single" w:sz="4" w:space="0" w:color="auto"/>
            <w:insideV w:val="single" w:sz="4" w:space="0" w:color="auto"/>
          </w:tblBorders>
        </w:tblPrEx>
        <w:tc>
          <w:tcPr>
            <w:tcW w:w="1975" w:type="dxa"/>
            <w:shd w:val="clear" w:color="auto" w:fill="auto"/>
          </w:tcPr>
          <w:p w14:paraId="052DE4F2" w14:textId="77777777" w:rsidR="00A447A2" w:rsidRDefault="00A447A2" w:rsidP="009C5939">
            <w:pPr>
              <w:pStyle w:val="TableText"/>
            </w:pPr>
            <w:r>
              <w:t xml:space="preserve">Serologic Crossmatch Test Required </w:t>
            </w:r>
            <w:r w:rsidRPr="00A447A2">
              <w:rPr>
                <w:vanish/>
              </w:rPr>
              <w:t>DR 3145</w:t>
            </w:r>
          </w:p>
        </w:tc>
        <w:tc>
          <w:tcPr>
            <w:tcW w:w="1710" w:type="dxa"/>
            <w:shd w:val="clear" w:color="auto" w:fill="auto"/>
          </w:tcPr>
          <w:p w14:paraId="4CB4DC06" w14:textId="77777777" w:rsidR="00A447A2" w:rsidRDefault="00A447A2" w:rsidP="009C5939">
            <w:pPr>
              <w:pStyle w:val="TableText"/>
            </w:pPr>
            <w:r>
              <w:t>N/A</w:t>
            </w:r>
          </w:p>
        </w:tc>
        <w:tc>
          <w:tcPr>
            <w:tcW w:w="878" w:type="dxa"/>
            <w:shd w:val="clear" w:color="auto" w:fill="auto"/>
          </w:tcPr>
          <w:p w14:paraId="5169B04A" w14:textId="77777777" w:rsidR="00A447A2" w:rsidRDefault="00A447A2" w:rsidP="009C5939">
            <w:pPr>
              <w:pStyle w:val="TableText"/>
            </w:pPr>
            <w:r>
              <w:t>No</w:t>
            </w:r>
          </w:p>
        </w:tc>
        <w:tc>
          <w:tcPr>
            <w:tcW w:w="878" w:type="dxa"/>
            <w:shd w:val="clear" w:color="auto" w:fill="auto"/>
          </w:tcPr>
          <w:p w14:paraId="5E9CE61D" w14:textId="77777777" w:rsidR="00A447A2" w:rsidRDefault="00A447A2" w:rsidP="009C5939">
            <w:pPr>
              <w:pStyle w:val="TableText"/>
            </w:pPr>
            <w:r>
              <w:t>No</w:t>
            </w:r>
          </w:p>
        </w:tc>
        <w:tc>
          <w:tcPr>
            <w:tcW w:w="1253" w:type="dxa"/>
            <w:shd w:val="clear" w:color="auto" w:fill="auto"/>
          </w:tcPr>
          <w:p w14:paraId="4434E191" w14:textId="77777777" w:rsidR="00A447A2" w:rsidRDefault="00A447A2" w:rsidP="009C5939">
            <w:pPr>
              <w:pStyle w:val="TableText"/>
            </w:pPr>
            <w:r>
              <w:t>None</w:t>
            </w:r>
          </w:p>
        </w:tc>
        <w:tc>
          <w:tcPr>
            <w:tcW w:w="1253" w:type="dxa"/>
            <w:shd w:val="clear" w:color="auto" w:fill="auto"/>
          </w:tcPr>
          <w:p w14:paraId="3BBE5B42" w14:textId="77777777" w:rsidR="00A447A2" w:rsidRDefault="00A447A2" w:rsidP="009C5939">
            <w:pPr>
              <w:pStyle w:val="TableText"/>
            </w:pPr>
            <w:r>
              <w:t>None</w:t>
            </w:r>
          </w:p>
        </w:tc>
        <w:tc>
          <w:tcPr>
            <w:tcW w:w="1296" w:type="dxa"/>
            <w:shd w:val="clear" w:color="auto" w:fill="auto"/>
          </w:tcPr>
          <w:p w14:paraId="10BFB5D1" w14:textId="77777777" w:rsidR="00A447A2" w:rsidRDefault="00A447A2" w:rsidP="009C5939">
            <w:pPr>
              <w:pStyle w:val="TableText"/>
              <w:rPr>
                <w:rFonts w:eastAsia="Symbol"/>
              </w:rPr>
            </w:pPr>
            <w:r>
              <w:rPr>
                <w:rFonts w:eastAsia="Symbol"/>
              </w:rPr>
              <w:t>N/A</w:t>
            </w:r>
          </w:p>
        </w:tc>
        <w:tc>
          <w:tcPr>
            <w:tcW w:w="841" w:type="dxa"/>
            <w:shd w:val="clear" w:color="auto" w:fill="auto"/>
          </w:tcPr>
          <w:p w14:paraId="25AEC74D" w14:textId="77777777" w:rsidR="00A447A2" w:rsidRDefault="00A447A2" w:rsidP="009C5939">
            <w:pPr>
              <w:pStyle w:val="TableText"/>
              <w:rPr>
                <w:rFonts w:eastAsia="Symbol"/>
              </w:rPr>
            </w:pPr>
            <w:r>
              <w:rPr>
                <w:rFonts w:eastAsia="Symbol"/>
              </w:rPr>
              <w:t>None</w:t>
            </w:r>
          </w:p>
        </w:tc>
      </w:tr>
    </w:tbl>
    <w:bookmarkEnd w:id="589"/>
    <w:p w14:paraId="29AE556F" w14:textId="77777777" w:rsidR="00460F61" w:rsidRDefault="00460F61" w:rsidP="00460F61">
      <w:pPr>
        <w:pStyle w:val="BodyText"/>
      </w:pPr>
      <w:r>
        <w:t xml:space="preserve">*Specificities written </w:t>
      </w:r>
      <w:r w:rsidR="00C732CF">
        <w:t>as</w:t>
      </w:r>
      <w:r>
        <w:t xml:space="preserve"> superscript</w:t>
      </w:r>
      <w:r w:rsidR="000C01A8">
        <w:t xml:space="preserve"> or subscript</w:t>
      </w:r>
      <w:r>
        <w:t xml:space="preserve"> </w:t>
      </w:r>
      <w:r w:rsidR="00C732CF">
        <w:t xml:space="preserve">letters </w:t>
      </w:r>
      <w:r>
        <w:t xml:space="preserve">in blood bank literature are </w:t>
      </w:r>
      <w:r w:rsidR="00C732CF">
        <w:t>shown as</w:t>
      </w:r>
      <w:r>
        <w:t xml:space="preserve"> letters enclosed in parentheses in VBECS </w:t>
      </w:r>
      <w:r w:rsidR="00C732CF">
        <w:t>(</w:t>
      </w:r>
      <w:r>
        <w:t>the GUI cannot display superscript</w:t>
      </w:r>
      <w:r w:rsidR="000C01A8">
        <w:t xml:space="preserve"> or subscript</w:t>
      </w:r>
      <w:r>
        <w:t xml:space="preserve"> letter</w:t>
      </w:r>
      <w:r w:rsidR="00C732CF">
        <w:t>s)</w:t>
      </w:r>
      <w:r>
        <w:t xml:space="preserve">. Specificities written </w:t>
      </w:r>
      <w:r w:rsidR="00C732CF">
        <w:t>as</w:t>
      </w:r>
      <w:r>
        <w:t xml:space="preserve"> subscript</w:t>
      </w:r>
      <w:r w:rsidR="00C732CF">
        <w:t xml:space="preserve"> characters</w:t>
      </w:r>
      <w:r>
        <w:t xml:space="preserve"> in blood bank literature are</w:t>
      </w:r>
      <w:r w:rsidR="00C732CF">
        <w:t xml:space="preserve"> shown as</w:t>
      </w:r>
      <w:r>
        <w:t xml:space="preserve"> numbers or letters not enclosed in parentheses.</w:t>
      </w:r>
    </w:p>
    <w:p w14:paraId="2010560C" w14:textId="77777777" w:rsidR="00460F61" w:rsidRDefault="001116E3" w:rsidP="00460F61">
      <w:pPr>
        <w:pStyle w:val="BodyText"/>
      </w:pPr>
      <w:r w:rsidRPr="00191509">
        <w:rPr>
          <w:rFonts w:eastAsia="Symbol"/>
        </w:rPr>
        <w:t>†</w:t>
      </w:r>
      <w:r w:rsidR="00460F61">
        <w:t xml:space="preserve">Examples of common </w:t>
      </w:r>
      <w:r w:rsidR="00460F61" w:rsidRPr="00CA6E27">
        <w:rPr>
          <w:bCs/>
        </w:rPr>
        <w:t>VistA</w:t>
      </w:r>
      <w:r w:rsidR="00460F61">
        <w:t xml:space="preserve"> antibody</w:t>
      </w:r>
      <w:r w:rsidR="00EB4BDF">
        <w:t xml:space="preserve"> and </w:t>
      </w:r>
      <w:r w:rsidR="00460F61">
        <w:t xml:space="preserve">antigen terminology. Individual sites may vary. Refer to </w:t>
      </w:r>
      <w:r w:rsidR="00EB4BDF">
        <w:t>division-specific</w:t>
      </w:r>
      <w:r w:rsidR="00460F61">
        <w:t xml:space="preserve"> </w:t>
      </w:r>
      <w:r w:rsidR="00EB4BDF">
        <w:t xml:space="preserve">mapping </w:t>
      </w:r>
      <w:r w:rsidR="00460F61">
        <w:t>documents.</w:t>
      </w:r>
    </w:p>
    <w:p w14:paraId="2DC1D238" w14:textId="77777777" w:rsidR="001116E3" w:rsidRDefault="001116E3" w:rsidP="00460F61">
      <w:pPr>
        <w:pStyle w:val="BodyText"/>
        <w:rPr>
          <w:rFonts w:eastAsia="Symbol"/>
        </w:rPr>
      </w:pPr>
      <w:r>
        <w:rPr>
          <w:rFonts w:eastAsia="Symbol"/>
        </w:rPr>
        <w:t>‡The user will order the tests for each antigen separately; VBECS does not display a duplicate antigen typing for this com</w:t>
      </w:r>
      <w:r w:rsidR="00C15725">
        <w:rPr>
          <w:rFonts w:eastAsia="Symbol"/>
        </w:rPr>
        <w:t>bination antibody specificity.</w:t>
      </w:r>
    </w:p>
    <w:p w14:paraId="7FAA693C" w14:textId="77777777" w:rsidR="004D0818" w:rsidRDefault="00F528F3" w:rsidP="00270245">
      <w:pPr>
        <w:pStyle w:val="BodyText"/>
      </w:pPr>
      <w:r w:rsidRPr="00191509">
        <w:t>§</w:t>
      </w:r>
      <w:r w:rsidR="004D0818" w:rsidRPr="00663162">
        <w:t>When the clinical significance is unknow</w:t>
      </w:r>
      <w:r w:rsidR="004D0818">
        <w:t>n,</w:t>
      </w:r>
      <w:r w:rsidR="004D0818" w:rsidRPr="00663162">
        <w:t xml:space="preserve"> it is displayed as "No" due to the limitations of the system</w:t>
      </w:r>
      <w:r w:rsidR="004D0818">
        <w:t>.</w:t>
      </w:r>
    </w:p>
    <w:p w14:paraId="47941A28" w14:textId="77777777" w:rsidR="002A21AE" w:rsidRDefault="0065062F" w:rsidP="0065062F">
      <w:pPr>
        <w:pStyle w:val="Heading3"/>
      </w:pPr>
      <w:bookmarkStart w:id="590" w:name="table14"/>
      <w:bookmarkStart w:id="591" w:name="_Toc149064211"/>
      <w:bookmarkEnd w:id="590"/>
      <w:r w:rsidRPr="00F628FE">
        <w:t>Antibody and Antigen Table: Database Conversion</w:t>
      </w:r>
      <w:bookmarkEnd w:id="591"/>
      <w:r w:rsidR="002A21AE">
        <w:t xml:space="preserve"> </w:t>
      </w:r>
      <w:r w:rsidR="002A21AE">
        <w:rPr>
          <w:rFonts w:ascii="Geneva" w:hAnsi="Geneva"/>
          <w:vanish/>
        </w:rPr>
        <w:t xml:space="preserve">TT_23.01C </w:t>
      </w:r>
      <w:bookmarkEnd w:id="577"/>
      <w:bookmarkEnd w:id="578"/>
      <w:r w:rsidR="002A21AE">
        <w:fldChar w:fldCharType="begin"/>
      </w:r>
      <w:r w:rsidR="002A21AE">
        <w:instrText xml:space="preserve"> XE </w:instrText>
      </w:r>
      <w:r w:rsidR="00FA7E65">
        <w:instrText>“</w:instrText>
      </w:r>
      <w:r w:rsidR="002A21AE">
        <w:instrText>Tables:Antibody and Antigen Table, Database Conversion</w:instrText>
      </w:r>
      <w:r w:rsidR="00FA7E65">
        <w:instrText>”</w:instrText>
      </w:r>
      <w:r w:rsidR="002A21AE">
        <w:instrText xml:space="preserve"> </w:instrText>
      </w:r>
      <w:r w:rsidR="002A21AE">
        <w:fldChar w:fldCharType="end"/>
      </w:r>
    </w:p>
    <w:p w14:paraId="17BC5803" w14:textId="7501487D" w:rsidR="00D7283A" w:rsidRDefault="00E105E6" w:rsidP="00D7283A">
      <w:pPr>
        <w:pStyle w:val="BodyText"/>
      </w:pPr>
      <w:r>
        <w:t>Users cannot set antigen negative requirements for these antibodies in VBECS</w:t>
      </w:r>
      <w:r w:rsidR="004764F4">
        <w:t xml:space="preserve"> </w:t>
      </w:r>
      <w:r w:rsidR="00DB0CE8">
        <w:t>[</w:t>
      </w:r>
      <w:r w:rsidR="00EE455E">
        <w:t xml:space="preserve">Table </w:t>
      </w:r>
      <w:r w:rsidR="00EE455E">
        <w:rPr>
          <w:noProof/>
        </w:rPr>
        <w:t>15</w:t>
      </w:r>
      <w:r w:rsidR="00DB0CE8">
        <w:t xml:space="preserve"> (See FAQ Database Conversion Oddballs</w:t>
      </w:r>
      <w:r w:rsidR="004764F4">
        <w:t>)</w:t>
      </w:r>
      <w:r w:rsidR="00DB0CE8">
        <w:t>]</w:t>
      </w:r>
      <w:r>
        <w:t xml:space="preserve">. </w:t>
      </w:r>
      <w:r w:rsidR="00D7283A">
        <w:t xml:space="preserve">Clinical significance of antibody specificity is set using the 14th edition of the AABB Technical Manual. </w:t>
      </w:r>
    </w:p>
    <w:p w14:paraId="2F8918A6" w14:textId="2D131B7A" w:rsidR="002A21AE" w:rsidRDefault="002A21AE">
      <w:pPr>
        <w:pStyle w:val="Caption"/>
      </w:pPr>
      <w:bookmarkStart w:id="592" w:name="_Ref126730915"/>
      <w:bookmarkStart w:id="593" w:name="_Toc97523632"/>
      <w:bookmarkStart w:id="594" w:name="_Toc97527602"/>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15</w:t>
      </w:r>
      <w:r w:rsidR="004E20BD">
        <w:rPr>
          <w:noProof/>
        </w:rPr>
        <w:fldChar w:fldCharType="end"/>
      </w:r>
      <w:bookmarkEnd w:id="592"/>
      <w:r>
        <w:t xml:space="preserve">: </w:t>
      </w:r>
      <w:r>
        <w:rPr>
          <w:vanish/>
        </w:rPr>
        <w:t xml:space="preserve">TT_23.01C </w:t>
      </w:r>
      <w:r>
        <w:t>Antibody and Antigen Table: Database Conversion</w:t>
      </w:r>
      <w:bookmarkEnd w:id="593"/>
      <w:bookmarkEnd w:id="594"/>
    </w:p>
    <w:tbl>
      <w:tblPr>
        <w:tblW w:w="936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39"/>
        <w:gridCol w:w="2339"/>
        <w:gridCol w:w="2341"/>
        <w:gridCol w:w="2341"/>
      </w:tblGrid>
      <w:tr w:rsidR="0012237C" w14:paraId="5CB25C6A" w14:textId="77777777">
        <w:trPr>
          <w:tblHeader/>
        </w:trPr>
        <w:tc>
          <w:tcPr>
            <w:tcW w:w="3740" w:type="dxa"/>
            <w:gridSpan w:val="2"/>
            <w:tcBorders>
              <w:top w:val="single" w:sz="4" w:space="0" w:color="auto"/>
              <w:left w:val="single" w:sz="4" w:space="0" w:color="auto"/>
              <w:bottom w:val="single" w:sz="4" w:space="0" w:color="auto"/>
              <w:right w:val="single" w:sz="4" w:space="0" w:color="auto"/>
            </w:tcBorders>
            <w:shd w:val="clear" w:color="auto" w:fill="C0C0C0"/>
          </w:tcPr>
          <w:p w14:paraId="39835C91" w14:textId="77777777" w:rsidR="0012237C" w:rsidRPr="00CA6E27" w:rsidRDefault="0012237C" w:rsidP="00084E6B">
            <w:pPr>
              <w:pStyle w:val="TableText"/>
              <w:rPr>
                <w:b/>
              </w:rPr>
            </w:pPr>
            <w:r>
              <w:rPr>
                <w:b/>
              </w:rPr>
              <w:t>Antibody Name</w:t>
            </w:r>
          </w:p>
        </w:tc>
        <w:tc>
          <w:tcPr>
            <w:tcW w:w="3742" w:type="dxa"/>
            <w:gridSpan w:val="2"/>
            <w:tcBorders>
              <w:top w:val="single" w:sz="4" w:space="0" w:color="auto"/>
              <w:left w:val="single" w:sz="4" w:space="0" w:color="auto"/>
              <w:bottom w:val="single" w:sz="4" w:space="0" w:color="auto"/>
              <w:right w:val="single" w:sz="4" w:space="0" w:color="auto"/>
            </w:tcBorders>
            <w:shd w:val="clear" w:color="auto" w:fill="C0C0C0"/>
          </w:tcPr>
          <w:p w14:paraId="7F82EC5B" w14:textId="77777777" w:rsidR="0012237C" w:rsidRPr="00CA6E27" w:rsidRDefault="0012237C" w:rsidP="00084E6B">
            <w:pPr>
              <w:pStyle w:val="TableText"/>
              <w:rPr>
                <w:b/>
              </w:rPr>
            </w:pPr>
            <w:r>
              <w:rPr>
                <w:b/>
              </w:rPr>
              <w:t>Associated Antigen</w:t>
            </w:r>
          </w:p>
        </w:tc>
      </w:tr>
      <w:tr w:rsidR="0012237C" w14:paraId="367042F5" w14:textId="77777777">
        <w:trPr>
          <w:tblHeader/>
        </w:trPr>
        <w:tc>
          <w:tcPr>
            <w:tcW w:w="1870" w:type="dxa"/>
            <w:tcBorders>
              <w:top w:val="single" w:sz="4" w:space="0" w:color="auto"/>
              <w:left w:val="single" w:sz="4" w:space="0" w:color="auto"/>
              <w:bottom w:val="single" w:sz="4" w:space="0" w:color="auto"/>
              <w:right w:val="single" w:sz="4" w:space="0" w:color="auto"/>
            </w:tcBorders>
            <w:shd w:val="clear" w:color="auto" w:fill="C0C0C0"/>
          </w:tcPr>
          <w:p w14:paraId="41902400" w14:textId="77777777" w:rsidR="0012237C" w:rsidRPr="003B5F9B" w:rsidRDefault="0012237C" w:rsidP="00084E6B">
            <w:pPr>
              <w:pStyle w:val="TableText"/>
              <w:rPr>
                <w:b/>
              </w:rPr>
            </w:pPr>
            <w:r>
              <w:rPr>
                <w:b/>
              </w:rPr>
              <w:t>VBECS</w:t>
            </w:r>
            <w:r w:rsidR="00E047E8">
              <w:rPr>
                <w:b/>
              </w:rPr>
              <w:t>*</w:t>
            </w:r>
          </w:p>
        </w:tc>
        <w:tc>
          <w:tcPr>
            <w:tcW w:w="1870" w:type="dxa"/>
            <w:tcBorders>
              <w:top w:val="single" w:sz="4" w:space="0" w:color="auto"/>
              <w:left w:val="single" w:sz="4" w:space="0" w:color="auto"/>
              <w:bottom w:val="single" w:sz="4" w:space="0" w:color="auto"/>
              <w:right w:val="single" w:sz="4" w:space="0" w:color="auto"/>
            </w:tcBorders>
            <w:shd w:val="clear" w:color="auto" w:fill="C0C0C0"/>
          </w:tcPr>
          <w:p w14:paraId="51C1F781" w14:textId="77777777" w:rsidR="0012237C" w:rsidRDefault="0012237C" w:rsidP="00084E6B">
            <w:pPr>
              <w:pStyle w:val="TableText"/>
              <w:rPr>
                <w:b/>
              </w:rPr>
            </w:pPr>
            <w:r w:rsidRPr="00CA6E27">
              <w:rPr>
                <w:b/>
              </w:rPr>
              <w:t>VistA</w:t>
            </w:r>
            <w:r w:rsidR="00E047E8">
              <w:rPr>
                <w:rFonts w:cs="Arial"/>
                <w:b/>
              </w:rPr>
              <w:t>†</w:t>
            </w:r>
          </w:p>
        </w:tc>
        <w:tc>
          <w:tcPr>
            <w:tcW w:w="1871" w:type="dxa"/>
            <w:tcBorders>
              <w:top w:val="single" w:sz="4" w:space="0" w:color="auto"/>
              <w:left w:val="single" w:sz="4" w:space="0" w:color="auto"/>
              <w:bottom w:val="single" w:sz="4" w:space="0" w:color="auto"/>
              <w:right w:val="single" w:sz="4" w:space="0" w:color="auto"/>
            </w:tcBorders>
            <w:shd w:val="clear" w:color="auto" w:fill="C0C0C0"/>
          </w:tcPr>
          <w:p w14:paraId="1940F219" w14:textId="77777777" w:rsidR="0012237C" w:rsidRPr="003B5F9B" w:rsidRDefault="0012237C" w:rsidP="00084E6B">
            <w:pPr>
              <w:pStyle w:val="TableText"/>
              <w:rPr>
                <w:b/>
              </w:rPr>
            </w:pPr>
            <w:r>
              <w:rPr>
                <w:b/>
              </w:rPr>
              <w:t>VBECS</w:t>
            </w:r>
            <w:r w:rsidR="00E047E8">
              <w:rPr>
                <w:b/>
              </w:rPr>
              <w:t>*</w:t>
            </w:r>
          </w:p>
        </w:tc>
        <w:tc>
          <w:tcPr>
            <w:tcW w:w="1871" w:type="dxa"/>
            <w:tcBorders>
              <w:top w:val="single" w:sz="4" w:space="0" w:color="auto"/>
              <w:left w:val="single" w:sz="4" w:space="0" w:color="auto"/>
              <w:bottom w:val="single" w:sz="4" w:space="0" w:color="auto"/>
              <w:right w:val="single" w:sz="4" w:space="0" w:color="auto"/>
            </w:tcBorders>
            <w:shd w:val="clear" w:color="auto" w:fill="C0C0C0"/>
          </w:tcPr>
          <w:p w14:paraId="6B946193" w14:textId="77777777" w:rsidR="0012237C" w:rsidRDefault="0012237C" w:rsidP="00084E6B">
            <w:pPr>
              <w:pStyle w:val="TableText"/>
              <w:rPr>
                <w:b/>
              </w:rPr>
            </w:pPr>
            <w:r w:rsidRPr="00CA6E27">
              <w:rPr>
                <w:b/>
              </w:rPr>
              <w:t>VistA</w:t>
            </w:r>
            <w:r w:rsidR="00E047E8">
              <w:rPr>
                <w:rFonts w:cs="Arial"/>
                <w:b/>
              </w:rPr>
              <w:t>†</w:t>
            </w:r>
          </w:p>
        </w:tc>
      </w:tr>
      <w:tr w:rsidR="0012237C" w14:paraId="7FDE63ED"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BC582E7" w14:textId="77777777" w:rsidR="0012237C" w:rsidRDefault="00E047E8">
            <w:pPr>
              <w:pStyle w:val="TableText"/>
            </w:pPr>
            <w:r>
              <w:t>Anti-P1+P+P(k)</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33B9FDA" w14:textId="77777777" w:rsidR="0012237C" w:rsidRDefault="0012237C">
            <w:pPr>
              <w:pStyle w:val="TableText"/>
            </w:pPr>
            <w:r>
              <w:t>Anti-PP1</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170300F" w14:textId="77777777" w:rsidR="0012237C" w:rsidRDefault="0012237C">
            <w:pPr>
              <w:pStyle w:val="TableText"/>
              <w:rPr>
                <w:rFonts w:eastAsia="Symbol"/>
              </w:rPr>
            </w:pPr>
            <w:r>
              <w:t>P1+P+P(k)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7F07C54" w14:textId="77777777" w:rsidR="0012237C" w:rsidRDefault="0012237C">
            <w:pPr>
              <w:pStyle w:val="TableText"/>
              <w:rPr>
                <w:rFonts w:eastAsia="Symbol"/>
              </w:rPr>
            </w:pPr>
            <w:r>
              <w:rPr>
                <w:rFonts w:eastAsia="Symbol"/>
              </w:rPr>
              <w:t>PP1</w:t>
            </w:r>
          </w:p>
        </w:tc>
      </w:tr>
      <w:tr w:rsidR="0012237C" w14:paraId="1048B5C1"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11AC6AE5" w14:textId="77777777" w:rsidR="0012237C" w:rsidRDefault="0012237C">
            <w:pPr>
              <w:pStyle w:val="TableText"/>
            </w:pPr>
            <w:r>
              <w:t>Anti-Pk</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1E8D86F8" w14:textId="77777777" w:rsidR="0012237C" w:rsidRDefault="0012237C">
            <w:pPr>
              <w:pStyle w:val="TableText"/>
            </w:pPr>
            <w:r>
              <w:t>Anti-p(k)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67F9F47" w14:textId="77777777" w:rsidR="0012237C" w:rsidRDefault="0012237C">
            <w:pPr>
              <w:pStyle w:val="TableText"/>
              <w:rPr>
                <w:rFonts w:eastAsia="Symbol"/>
              </w:rPr>
            </w:pPr>
            <w:r>
              <w:t>P(k)</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590E2FB2" w14:textId="77777777" w:rsidR="0012237C" w:rsidRDefault="0012237C">
            <w:pPr>
              <w:pStyle w:val="TableText"/>
              <w:rPr>
                <w:rFonts w:eastAsia="Symbol"/>
              </w:rPr>
            </w:pPr>
            <w:r>
              <w:t>p(k)</w:t>
            </w:r>
          </w:p>
        </w:tc>
      </w:tr>
      <w:tr w:rsidR="0012237C" w14:paraId="76935528"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50716AC7" w14:textId="77777777" w:rsidR="0012237C" w:rsidRDefault="0012237C">
            <w:pPr>
              <w:pStyle w:val="TableText"/>
            </w:pPr>
            <w:r>
              <w:t>Anti -M,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2A1A40F1" w14:textId="77777777" w:rsidR="0012237C" w:rsidRDefault="0012237C">
            <w:pPr>
              <w:pStyle w:val="TableText"/>
            </w:pPr>
            <w:r>
              <w:t>Anti-M,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C3A1F90" w14:textId="77777777" w:rsidR="0012237C" w:rsidRDefault="0012237C">
            <w:pPr>
              <w:pStyle w:val="TableText"/>
              <w:rPr>
                <w:szCs w:val="18"/>
              </w:rPr>
            </w:pPr>
            <w:r>
              <w:rPr>
                <w:rFonts w:eastAsia="Symbol"/>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CD9B220" w14:textId="77777777" w:rsidR="0012237C" w:rsidRDefault="0012237C">
            <w:pPr>
              <w:pStyle w:val="TableText"/>
            </w:pPr>
            <w:r>
              <w:rPr>
                <w:rFonts w:eastAsia="Symbol"/>
              </w:rPr>
              <w:t>None</w:t>
            </w:r>
          </w:p>
        </w:tc>
      </w:tr>
      <w:tr w:rsidR="0012237C" w14:paraId="1442EEA3"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D36D027" w14:textId="77777777" w:rsidR="0012237C" w:rsidRDefault="0012237C">
            <w:pPr>
              <w:pStyle w:val="TableText"/>
            </w:pPr>
            <w:r>
              <w:t>Anti-LW</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0ADC1BF2" w14:textId="77777777" w:rsidR="0012237C" w:rsidRDefault="0012237C">
            <w:pPr>
              <w:pStyle w:val="TableText"/>
            </w:pPr>
            <w:r>
              <w:t>Anti-LW</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928DA19" w14:textId="77777777" w:rsidR="0012237C" w:rsidRDefault="0012237C">
            <w:pPr>
              <w:pStyle w:val="TableText"/>
              <w:rPr>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F43B9FC" w14:textId="77777777" w:rsidR="0012237C" w:rsidRDefault="0012237C">
            <w:pPr>
              <w:pStyle w:val="TableText"/>
            </w:pPr>
            <w:r>
              <w:t>LW</w:t>
            </w:r>
          </w:p>
        </w:tc>
      </w:tr>
      <w:tr w:rsidR="0012237C" w14:paraId="729BF662"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66C9A0E1" w14:textId="77777777" w:rsidR="0012237C" w:rsidRDefault="0012237C">
            <w:pPr>
              <w:pStyle w:val="TableText"/>
              <w:rPr>
                <w:szCs w:val="18"/>
              </w:rPr>
            </w:pPr>
            <w:r>
              <w:t>Anti-Lu</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602DC462" w14:textId="77777777" w:rsidR="0012237C" w:rsidRDefault="0012237C">
            <w:pPr>
              <w:pStyle w:val="TableText"/>
              <w:rPr>
                <w:szCs w:val="18"/>
              </w:rPr>
            </w:pPr>
            <w:r>
              <w:t>Anti-Lu</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56D3CBFA" w14:textId="77777777" w:rsidR="0012237C" w:rsidRDefault="0012237C">
            <w:pPr>
              <w:pStyle w:val="TableText"/>
              <w:rPr>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64510A3" w14:textId="77777777" w:rsidR="0012237C" w:rsidRDefault="0012237C">
            <w:pPr>
              <w:pStyle w:val="TableText"/>
              <w:rPr>
                <w:szCs w:val="18"/>
              </w:rPr>
            </w:pPr>
            <w:r>
              <w:t>Lu</w:t>
            </w:r>
          </w:p>
        </w:tc>
      </w:tr>
      <w:tr w:rsidR="0012237C" w14:paraId="0ABE422B"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6447FE24" w14:textId="77777777" w:rsidR="0012237C" w:rsidRDefault="0012237C">
            <w:pPr>
              <w:pStyle w:val="TableText"/>
              <w:rPr>
                <w:rFonts w:eastAsia="Symbol"/>
                <w:szCs w:val="18"/>
              </w:rPr>
            </w:pPr>
            <w:r>
              <w:rPr>
                <w:szCs w:val="18"/>
              </w:rPr>
              <w:t>Anti-Le,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8EDA4B0" w14:textId="77777777" w:rsidR="0012237C" w:rsidRDefault="0012237C">
            <w:pPr>
              <w:pStyle w:val="TableText"/>
              <w:rPr>
                <w:szCs w:val="18"/>
              </w:rPr>
            </w:pPr>
            <w:r>
              <w:rPr>
                <w:szCs w:val="18"/>
              </w:rPr>
              <w:t>Anti-Le,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0FD3C636"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A67CA07" w14:textId="77777777" w:rsidR="0012237C" w:rsidRDefault="0012237C">
            <w:pPr>
              <w:pStyle w:val="TableText"/>
              <w:rPr>
                <w:szCs w:val="18"/>
              </w:rPr>
            </w:pPr>
            <w:r>
              <w:rPr>
                <w:szCs w:val="18"/>
              </w:rPr>
              <w:t>None</w:t>
            </w:r>
          </w:p>
        </w:tc>
      </w:tr>
      <w:tr w:rsidR="0012237C" w14:paraId="28241E5E"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3FFD1402" w14:textId="77777777" w:rsidR="0012237C" w:rsidRDefault="0012237C">
            <w:pPr>
              <w:pStyle w:val="TableText"/>
              <w:rPr>
                <w:rFonts w:eastAsia="Symbol"/>
                <w:szCs w:val="18"/>
              </w:rPr>
            </w:pPr>
            <w:r>
              <w:rPr>
                <w:szCs w:val="18"/>
              </w:rPr>
              <w:t>Anti-N, other</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6AF566E4" w14:textId="77777777" w:rsidR="0012237C" w:rsidRDefault="0012237C">
            <w:pPr>
              <w:pStyle w:val="TableText"/>
              <w:rPr>
                <w:szCs w:val="18"/>
              </w:rPr>
            </w:pPr>
            <w:r>
              <w:rPr>
                <w:szCs w:val="18"/>
              </w:rPr>
              <w:t>Anti-N, other</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37934AF"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3BE70128" w14:textId="77777777" w:rsidR="0012237C" w:rsidRDefault="0012237C">
            <w:pPr>
              <w:pStyle w:val="TableText"/>
              <w:rPr>
                <w:szCs w:val="18"/>
              </w:rPr>
            </w:pPr>
            <w:r>
              <w:rPr>
                <w:szCs w:val="18"/>
              </w:rPr>
              <w:t>None</w:t>
            </w:r>
          </w:p>
        </w:tc>
      </w:tr>
      <w:tr w:rsidR="0012237C" w14:paraId="3102E5AE"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0CADD6E4" w14:textId="77777777" w:rsidR="0012237C" w:rsidRDefault="0012237C">
            <w:pPr>
              <w:pStyle w:val="TableText"/>
              <w:rPr>
                <w:rFonts w:eastAsia="Symbol"/>
                <w:szCs w:val="18"/>
              </w:rPr>
            </w:pPr>
            <w:r>
              <w:rPr>
                <w:szCs w:val="18"/>
              </w:rPr>
              <w:t>Anti-I(int)</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04199B09" w14:textId="77777777" w:rsidR="0012237C" w:rsidRDefault="0012237C">
            <w:pPr>
              <w:pStyle w:val="TableText"/>
              <w:rPr>
                <w:rFonts w:eastAsia="Symbol"/>
                <w:szCs w:val="18"/>
              </w:rPr>
            </w:pPr>
            <w:r>
              <w:rPr>
                <w:szCs w:val="18"/>
              </w:rPr>
              <w:t>Anti-I(int)</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655D5034"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7DAD3F9" w14:textId="77777777" w:rsidR="0012237C" w:rsidRDefault="0012237C">
            <w:pPr>
              <w:pStyle w:val="TableText"/>
              <w:rPr>
                <w:rFonts w:eastAsia="Symbol"/>
                <w:szCs w:val="18"/>
              </w:rPr>
            </w:pPr>
            <w:r>
              <w:rPr>
                <w:szCs w:val="18"/>
              </w:rPr>
              <w:t>I(int)</w:t>
            </w:r>
          </w:p>
        </w:tc>
      </w:tr>
      <w:tr w:rsidR="0012237C" w14:paraId="48FA9EEA" w14:textId="77777777">
        <w:tc>
          <w:tcPr>
            <w:tcW w:w="1870" w:type="dxa"/>
            <w:tcBorders>
              <w:top w:val="single" w:sz="4" w:space="0" w:color="auto"/>
              <w:left w:val="single" w:sz="4" w:space="0" w:color="auto"/>
              <w:bottom w:val="single" w:sz="4" w:space="0" w:color="auto"/>
              <w:right w:val="single" w:sz="4" w:space="0" w:color="auto"/>
            </w:tcBorders>
            <w:shd w:val="clear" w:color="auto" w:fill="FFFFFF"/>
          </w:tcPr>
          <w:p w14:paraId="5731FF1A" w14:textId="77777777" w:rsidR="0012237C" w:rsidRDefault="0012237C">
            <w:pPr>
              <w:pStyle w:val="TableText"/>
              <w:rPr>
                <w:rFonts w:eastAsia="Symbol"/>
                <w:szCs w:val="18"/>
              </w:rPr>
            </w:pPr>
            <w:r>
              <w:rPr>
                <w:szCs w:val="18"/>
              </w:rPr>
              <w:t>Anti-rhesus (not otherwise specified)</w:t>
            </w:r>
          </w:p>
        </w:tc>
        <w:tc>
          <w:tcPr>
            <w:tcW w:w="1870" w:type="dxa"/>
            <w:tcBorders>
              <w:top w:val="single" w:sz="4" w:space="0" w:color="auto"/>
              <w:left w:val="single" w:sz="4" w:space="0" w:color="auto"/>
              <w:bottom w:val="single" w:sz="4" w:space="0" w:color="auto"/>
              <w:right w:val="single" w:sz="4" w:space="0" w:color="auto"/>
            </w:tcBorders>
            <w:shd w:val="clear" w:color="auto" w:fill="FFFFFF"/>
          </w:tcPr>
          <w:p w14:paraId="34147FCF" w14:textId="77777777" w:rsidR="0012237C" w:rsidRDefault="0012237C">
            <w:pPr>
              <w:pStyle w:val="TableText"/>
              <w:rPr>
                <w:rFonts w:eastAsia="Symbol"/>
                <w:szCs w:val="18"/>
              </w:rPr>
            </w:pPr>
            <w:r>
              <w:rPr>
                <w:szCs w:val="18"/>
              </w:rPr>
              <w:t>Anti-rhesus</w:t>
            </w:r>
            <w:r w:rsidR="00B70069">
              <w:rPr>
                <w:szCs w:val="18"/>
              </w:rPr>
              <w:t xml:space="preserve"> </w:t>
            </w:r>
            <w:r>
              <w:rPr>
                <w:szCs w:val="18"/>
              </w:rPr>
              <w:t>(not otherwise specified)</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1177E93D" w14:textId="77777777" w:rsidR="0012237C" w:rsidRDefault="0012237C">
            <w:pPr>
              <w:pStyle w:val="TableText"/>
              <w:rPr>
                <w:rFonts w:eastAsia="Symbol"/>
                <w:szCs w:val="18"/>
              </w:rPr>
            </w:pPr>
            <w:r>
              <w:rPr>
                <w:szCs w:val="18"/>
              </w:rPr>
              <w:t>None</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14:paraId="403B961D" w14:textId="77777777" w:rsidR="0012237C" w:rsidRDefault="0012237C">
            <w:pPr>
              <w:pStyle w:val="TableText"/>
              <w:rPr>
                <w:szCs w:val="18"/>
              </w:rPr>
            </w:pPr>
            <w:r>
              <w:rPr>
                <w:szCs w:val="18"/>
              </w:rPr>
              <w:t>None</w:t>
            </w:r>
          </w:p>
        </w:tc>
      </w:tr>
    </w:tbl>
    <w:p w14:paraId="51AF62AE" w14:textId="77777777" w:rsidR="00DB0629" w:rsidRDefault="00DB0629" w:rsidP="00DB0629">
      <w:pPr>
        <w:pStyle w:val="BodyText"/>
      </w:pPr>
      <w:bookmarkStart w:id="595" w:name="_Toc30328380"/>
      <w:bookmarkStart w:id="596" w:name="_Toc40167869"/>
      <w:bookmarkStart w:id="597" w:name="_Toc91323806"/>
      <w:r>
        <w:t xml:space="preserve">*Specificities written as superscript </w:t>
      </w:r>
      <w:r w:rsidR="00F60E07">
        <w:t>or</w:t>
      </w:r>
      <w:r w:rsidR="00776377">
        <w:t xml:space="preserve"> subscript </w:t>
      </w:r>
      <w:r>
        <w:t xml:space="preserve">letters in blood bank literature are shown as letters enclosed in parentheses in VBECS (the GUI cannot display superscript </w:t>
      </w:r>
      <w:r w:rsidR="00F60E07">
        <w:t>or</w:t>
      </w:r>
      <w:r w:rsidR="00776377">
        <w:t xml:space="preserve"> subscript </w:t>
      </w:r>
      <w:r>
        <w:t>letters). Specificities written as subscript characters in blood bank literature are shown as numbers or letters not enclosed in parentheses.</w:t>
      </w:r>
    </w:p>
    <w:p w14:paraId="506987B9" w14:textId="77777777" w:rsidR="00D7283A" w:rsidRDefault="00E047E8" w:rsidP="00D7283A">
      <w:pPr>
        <w:pStyle w:val="BodyText"/>
      </w:pPr>
      <w:r>
        <w:t>†</w:t>
      </w:r>
      <w:r w:rsidR="00DB0629">
        <w:t xml:space="preserve">Examples of common </w:t>
      </w:r>
      <w:r w:rsidR="00DB0629" w:rsidRPr="00CA6E27">
        <w:rPr>
          <w:bCs/>
        </w:rPr>
        <w:t>VistA</w:t>
      </w:r>
      <w:r w:rsidR="00DB0629">
        <w:t xml:space="preserve"> antibody and antigen terminology. Individual sites may vary. Refer to division-specific mapping documents.</w:t>
      </w:r>
    </w:p>
    <w:p w14:paraId="7B88AE3A" w14:textId="77777777" w:rsidR="002A21AE" w:rsidRDefault="00D7283A" w:rsidP="0054285E">
      <w:pPr>
        <w:pStyle w:val="Heading3"/>
      </w:pPr>
      <w:r>
        <w:br w:type="page"/>
      </w:r>
      <w:bookmarkStart w:id="598" w:name="tables"/>
      <w:bookmarkEnd w:id="598"/>
      <w:r w:rsidR="00966400">
        <w:rPr>
          <w:rFonts w:ascii="Geneva" w:hAnsi="Geneva"/>
          <w:vanish/>
        </w:rPr>
        <w:t xml:space="preserve"> </w:t>
      </w:r>
      <w:r w:rsidR="002A21AE">
        <w:rPr>
          <w:rFonts w:ascii="Geneva" w:hAnsi="Geneva"/>
          <w:vanish/>
        </w:rPr>
        <w:t xml:space="preserve">TT_53.02 </w:t>
      </w:r>
      <w:bookmarkStart w:id="599" w:name="_Toc149064212"/>
      <w:r w:rsidR="002A21AE">
        <w:t>Antibody Screen Test Interpretation</w:t>
      </w:r>
      <w:bookmarkEnd w:id="595"/>
      <w:bookmarkEnd w:id="596"/>
      <w:bookmarkEnd w:id="597"/>
      <w:bookmarkEnd w:id="599"/>
      <w:r w:rsidR="002A21AE">
        <w:fldChar w:fldCharType="begin"/>
      </w:r>
      <w:r w:rsidR="002A21AE">
        <w:instrText xml:space="preserve"> XE </w:instrText>
      </w:r>
      <w:r w:rsidR="00FA7E65">
        <w:instrText>“</w:instrText>
      </w:r>
      <w:r w:rsidR="002A21AE">
        <w:instrText>Tables:Antibody Screen Test Interpretation</w:instrText>
      </w:r>
      <w:r w:rsidR="00FA7E65">
        <w:instrText>”</w:instrText>
      </w:r>
      <w:r w:rsidR="002A21AE">
        <w:instrText xml:space="preserve"> </w:instrText>
      </w:r>
      <w:r w:rsidR="002A21AE">
        <w:fldChar w:fldCharType="end"/>
      </w:r>
      <w:r w:rsidR="002A21AE">
        <w:t xml:space="preserve"> </w:t>
      </w:r>
    </w:p>
    <w:p w14:paraId="4590E819" w14:textId="0EA6D7B4" w:rsidR="002A21AE" w:rsidRDefault="002A21AE" w:rsidP="00FA7E65">
      <w:pPr>
        <w:pStyle w:val="BodyText"/>
      </w:pPr>
      <w:r>
        <w:t xml:space="preserve">For an </w:t>
      </w:r>
      <w:r w:rsidR="008E2E30">
        <w:t>Antibody Screen Test (ABS)</w:t>
      </w:r>
      <w:r w:rsidR="0023261D">
        <w:t xml:space="preserve"> </w:t>
      </w:r>
      <w:r>
        <w:t>to be correctly interpreted, the system must take the row validation (</w:t>
      </w:r>
      <w:r w:rsidR="00EE455E">
        <w:t xml:space="preserve">Table </w:t>
      </w:r>
      <w:r w:rsidR="00EE455E">
        <w:rPr>
          <w:noProof/>
        </w:rPr>
        <w:t>16</w:t>
      </w:r>
      <w:r>
        <w:t>) for each screening cell and test method and determine whether the screening in total is positive</w:t>
      </w:r>
      <w:r w:rsidR="00760B98">
        <w:t xml:space="preserve"> or ne</w:t>
      </w:r>
      <w:r>
        <w:t xml:space="preserve">gative. This table is the input from the Blood Bank Technologist. Interpreting the </w:t>
      </w:r>
      <w:r w:rsidR="008E2E30">
        <w:t>ABS</w:t>
      </w:r>
      <w:r>
        <w:t>: The Blood Bank Technologist does not enter an interpretation for each row/cell of the antibody screen. The technologist enters an interpretation for the combination of screening cells including the autocontrol when tested. The system must correlate the information from the rows in the test, as described in system rules</w:t>
      </w:r>
      <w:r w:rsidR="0047520D">
        <w:t xml:space="preserve"> </w:t>
      </w:r>
      <w:r>
        <w:rPr>
          <w:vanish/>
        </w:rPr>
        <w:t>TT_53.01</w:t>
      </w:r>
      <w:r>
        <w:t xml:space="preserve">, to determine the proper interpretation for the </w:t>
      </w:r>
      <w:r w:rsidR="008E2E30">
        <w:t>ABS</w:t>
      </w:r>
      <w:r>
        <w:t>. Valid interpretations are positive or negative. A technologist may enter an antibody screen comment with the interpretation.</w:t>
      </w:r>
    </w:p>
    <w:p w14:paraId="6324D8D4" w14:textId="77777777" w:rsidR="002A21AE" w:rsidRDefault="002A21AE" w:rsidP="000E3E6B">
      <w:pPr>
        <w:pStyle w:val="BodyText"/>
        <w:ind w:leftChars="120" w:left="288"/>
      </w:pPr>
      <w:r w:rsidRPr="00D1343E">
        <w:rPr>
          <w:rFonts w:ascii="Wingdings 2" w:hAnsi="Wingdings 2" w:cs="Arial"/>
          <w:sz w:val="27"/>
          <w:szCs w:val="27"/>
        </w:rPr>
        <w:t></w:t>
      </w:r>
      <w:r w:rsidRPr="00D1343E">
        <w:rPr>
          <w:rStyle w:val="BodyTextChar"/>
        </w:rPr>
        <w:t xml:space="preserve"> SR 1: Valid interpretation. Update database.</w:t>
      </w:r>
    </w:p>
    <w:p w14:paraId="179F1D60" w14:textId="77777777" w:rsidR="002A21AE" w:rsidRDefault="00D1343E" w:rsidP="000E3E6B">
      <w:pPr>
        <w:pStyle w:val="BodyText"/>
        <w:ind w:leftChars="120" w:left="288"/>
        <w:rPr>
          <w:rStyle w:val="BodyTextChar"/>
        </w:rPr>
      </w:pPr>
      <w:r w:rsidRPr="00D1343E">
        <w:rPr>
          <w:rFonts w:ascii="Wingdings 2" w:hAnsi="Wingdings 2" w:cs="Arial"/>
          <w:sz w:val="27"/>
          <w:szCs w:val="27"/>
        </w:rPr>
        <w:t></w:t>
      </w:r>
      <w:r w:rsidRPr="00D1343E">
        <w:rPr>
          <w:rStyle w:val="BodyTextChar"/>
        </w:rPr>
        <w:t xml:space="preserve"> </w:t>
      </w:r>
      <w:r w:rsidR="002A21AE" w:rsidRPr="00D1343E">
        <w:rPr>
          <w:rStyle w:val="BodyTextChar"/>
        </w:rPr>
        <w:t>SR 2: Warning message. No override. Do not update database at this time.</w:t>
      </w:r>
    </w:p>
    <w:p w14:paraId="4E36B5FB" w14:textId="77777777" w:rsidR="00760B98" w:rsidRDefault="00760B98" w:rsidP="000E3E6B">
      <w:pPr>
        <w:pStyle w:val="BodyText"/>
        <w:ind w:leftChars="120" w:left="288"/>
      </w:pPr>
      <w:r w:rsidRPr="00D1343E">
        <w:rPr>
          <w:rFonts w:ascii="Wingdings 2" w:hAnsi="Wingdings 2" w:cs="Arial"/>
          <w:sz w:val="27"/>
          <w:szCs w:val="27"/>
        </w:rPr>
        <w:t></w:t>
      </w:r>
      <w:r w:rsidRPr="00D1343E">
        <w:rPr>
          <w:rStyle w:val="BodyTextChar"/>
        </w:rPr>
        <w:t xml:space="preserve"> </w:t>
      </w:r>
      <w:r>
        <w:t>SR 3: Valid interpretation. Update database. Collect comment and exception.</w:t>
      </w:r>
    </w:p>
    <w:p w14:paraId="23F02A50" w14:textId="77777777" w:rsidR="002A21AE" w:rsidRDefault="00D1343E" w:rsidP="000E3E6B">
      <w:pPr>
        <w:pStyle w:val="BodyText"/>
        <w:ind w:leftChars="120" w:left="288"/>
        <w:rPr>
          <w:rStyle w:val="BodyTextChar"/>
        </w:rPr>
      </w:pPr>
      <w:r w:rsidRPr="00D1343E">
        <w:rPr>
          <w:rFonts w:ascii="Wingdings 2" w:hAnsi="Wingdings 2" w:cs="Arial"/>
          <w:sz w:val="27"/>
          <w:szCs w:val="27"/>
        </w:rPr>
        <w:t></w:t>
      </w:r>
      <w:r w:rsidRPr="00D1343E">
        <w:rPr>
          <w:rStyle w:val="BodyTextChar"/>
        </w:rPr>
        <w:t xml:space="preserve"> </w:t>
      </w:r>
      <w:r w:rsidR="002A21AE" w:rsidRPr="00D1343E">
        <w:rPr>
          <w:rStyle w:val="BodyTextChar"/>
        </w:rPr>
        <w:t>EM 1: “Interpretation does not match your results.”</w:t>
      </w:r>
    </w:p>
    <w:p w14:paraId="4F940784" w14:textId="77777777" w:rsidR="00FF176A" w:rsidRDefault="00FF176A" w:rsidP="000E3E6B">
      <w:pPr>
        <w:pStyle w:val="BodyText"/>
        <w:ind w:leftChars="120" w:left="288"/>
      </w:pPr>
      <w:r w:rsidRPr="00D1343E">
        <w:rPr>
          <w:rFonts w:ascii="Wingdings 2" w:hAnsi="Wingdings 2" w:cs="Arial"/>
          <w:sz w:val="27"/>
          <w:szCs w:val="27"/>
        </w:rPr>
        <w:t></w:t>
      </w:r>
      <w:r w:rsidRPr="00D1343E">
        <w:rPr>
          <w:rStyle w:val="BodyTextChar"/>
        </w:rPr>
        <w:t xml:space="preserve"> </w:t>
      </w:r>
      <w:r>
        <w:rPr>
          <w:rStyle w:val="BodyTextChar"/>
        </w:rPr>
        <w:t xml:space="preserve">EM 2: </w:t>
      </w:r>
      <w:r w:rsidR="00AD0B01" w:rsidRPr="00AD0B01">
        <w:rPr>
          <w:rStyle w:val="BodyTextChar"/>
        </w:rPr>
        <w:t>“You are attempting to file an invalid antibody screen. This is not allowed.”</w:t>
      </w:r>
    </w:p>
    <w:p w14:paraId="7CF14597" w14:textId="5DAE7E31" w:rsidR="002A21AE" w:rsidRDefault="002A21AE">
      <w:pPr>
        <w:pStyle w:val="Caption"/>
      </w:pPr>
      <w:bookmarkStart w:id="600" w:name="_Ref126732000"/>
      <w:bookmarkStart w:id="601" w:name="_Toc97523633"/>
      <w:bookmarkStart w:id="602" w:name="_Toc97527603"/>
      <w:bookmarkStart w:id="603" w:name="_Ref126504351"/>
      <w:bookmarkStart w:id="604" w:name="_Ref126504384"/>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16</w:t>
      </w:r>
      <w:r w:rsidR="004E20BD">
        <w:rPr>
          <w:noProof/>
        </w:rPr>
        <w:fldChar w:fldCharType="end"/>
      </w:r>
      <w:bookmarkEnd w:id="600"/>
      <w:r>
        <w:t xml:space="preserve">: </w:t>
      </w:r>
      <w:r>
        <w:rPr>
          <w:vanish/>
        </w:rPr>
        <w:t xml:space="preserve">TT_53.02 </w:t>
      </w:r>
      <w:r>
        <w:t>Antibody Screen Test Interpretation</w:t>
      </w:r>
      <w:bookmarkEnd w:id="601"/>
      <w:bookmarkEnd w:id="602"/>
      <w:bookmarkEnd w:id="603"/>
      <w:bookmarkEnd w:id="60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938"/>
        <w:gridCol w:w="1209"/>
        <w:gridCol w:w="1572"/>
        <w:gridCol w:w="1088"/>
        <w:gridCol w:w="1028"/>
      </w:tblGrid>
      <w:tr w:rsidR="00FA5AF0" w:rsidRPr="00FC17CF" w14:paraId="74C28124" w14:textId="77777777">
        <w:trPr>
          <w:cantSplit/>
          <w:tblHeader/>
        </w:trPr>
        <w:tc>
          <w:tcPr>
            <w:tcW w:w="9288" w:type="dxa"/>
            <w:gridSpan w:val="6"/>
            <w:tcBorders>
              <w:bottom w:val="nil"/>
            </w:tcBorders>
            <w:shd w:val="clear" w:color="auto" w:fill="C0C0C0"/>
          </w:tcPr>
          <w:p w14:paraId="4F07AE9C" w14:textId="77777777" w:rsidR="00FA5AF0" w:rsidRPr="00FC17CF" w:rsidRDefault="00FA5AF0" w:rsidP="00CD34EB">
            <w:pPr>
              <w:pStyle w:val="TableText"/>
              <w:rPr>
                <w:b/>
              </w:rPr>
            </w:pPr>
            <w:r w:rsidRPr="00FC17CF">
              <w:rPr>
                <w:b/>
              </w:rPr>
              <w:t>Antibody Screen Test Interpretation</w:t>
            </w:r>
          </w:p>
        </w:tc>
      </w:tr>
      <w:tr w:rsidR="00FA5AF0" w:rsidRPr="00FC17CF" w14:paraId="42B3CA15" w14:textId="77777777">
        <w:trPr>
          <w:cantSplit/>
        </w:trPr>
        <w:tc>
          <w:tcPr>
            <w:tcW w:w="1513" w:type="dxa"/>
            <w:vMerge w:val="restart"/>
            <w:shd w:val="clear" w:color="auto" w:fill="C0C0C0"/>
          </w:tcPr>
          <w:p w14:paraId="64E1468D" w14:textId="77777777" w:rsidR="00FA5AF0" w:rsidRPr="00FC17CF" w:rsidRDefault="00FA5AF0" w:rsidP="00CD34EB">
            <w:pPr>
              <w:pStyle w:val="TableText"/>
              <w:rPr>
                <w:b/>
              </w:rPr>
            </w:pPr>
            <w:r>
              <w:rPr>
                <w:b/>
              </w:rPr>
              <w:t>Antibody Screen I</w:t>
            </w:r>
            <w:r w:rsidRPr="00FC17CF">
              <w:rPr>
                <w:b/>
              </w:rPr>
              <w:t xml:space="preserve">nterpretation: includes all cells tested; might be SC 1 and SC 2 only, or SC 1, 2, 3, or SC 1, 2, 3, 4, as indicated by site parameter in </w:t>
            </w:r>
            <w:r w:rsidR="00C73BF5" w:rsidRPr="00C73BF5">
              <w:rPr>
                <w:b/>
              </w:rPr>
              <w:t>Configure Daily QC</w:t>
            </w:r>
            <w:r w:rsidRPr="00FC17CF">
              <w:rPr>
                <w:b/>
              </w:rPr>
              <w:t>. Method of Tube, Gel, or Solid Phase</w:t>
            </w:r>
          </w:p>
        </w:tc>
        <w:tc>
          <w:tcPr>
            <w:tcW w:w="2915" w:type="dxa"/>
            <w:tcBorders>
              <w:bottom w:val="nil"/>
            </w:tcBorders>
            <w:shd w:val="clear" w:color="auto" w:fill="C0C0C0"/>
            <w:vAlign w:val="bottom"/>
          </w:tcPr>
          <w:p w14:paraId="315C6E75" w14:textId="77777777" w:rsidR="00FA5AF0" w:rsidRPr="00FC17CF" w:rsidRDefault="00FA5AF0" w:rsidP="00CD34EB">
            <w:pPr>
              <w:pStyle w:val="TableText"/>
              <w:rPr>
                <w:b/>
              </w:rPr>
            </w:pPr>
            <w:r w:rsidRPr="00FC17CF">
              <w:rPr>
                <w:b/>
              </w:rPr>
              <w:t>SC 1</w:t>
            </w:r>
            <w:r>
              <w:rPr>
                <w:b/>
              </w:rPr>
              <w:t xml:space="preserve">, </w:t>
            </w:r>
            <w:r w:rsidRPr="00FC17CF">
              <w:rPr>
                <w:b/>
              </w:rPr>
              <w:t>SC 2</w:t>
            </w:r>
            <w:r>
              <w:rPr>
                <w:b/>
              </w:rPr>
              <w:t xml:space="preserve">, </w:t>
            </w:r>
            <w:r w:rsidRPr="00FC17CF">
              <w:rPr>
                <w:b/>
              </w:rPr>
              <w:t>SC 3</w:t>
            </w:r>
            <w:r>
              <w:rPr>
                <w:b/>
              </w:rPr>
              <w:t xml:space="preserve">, </w:t>
            </w:r>
            <w:r w:rsidRPr="00FC17CF">
              <w:rPr>
                <w:b/>
              </w:rPr>
              <w:t>SC 4</w:t>
            </w:r>
            <w:r>
              <w:rPr>
                <w:b/>
              </w:rPr>
              <w:t xml:space="preserve">, </w:t>
            </w:r>
            <w:r w:rsidRPr="00FC17CF">
              <w:rPr>
                <w:b/>
              </w:rPr>
              <w:t>Autocontrol Interpretation</w:t>
            </w:r>
          </w:p>
        </w:tc>
        <w:tc>
          <w:tcPr>
            <w:tcW w:w="1200" w:type="dxa"/>
            <w:tcBorders>
              <w:bottom w:val="nil"/>
            </w:tcBorders>
            <w:shd w:val="clear" w:color="auto" w:fill="C0C0C0"/>
            <w:vAlign w:val="bottom"/>
          </w:tcPr>
          <w:p w14:paraId="4206532C" w14:textId="77777777" w:rsidR="00FA5AF0" w:rsidRPr="00FC17CF" w:rsidRDefault="00FA5AF0" w:rsidP="00CD34EB">
            <w:pPr>
              <w:pStyle w:val="TableText"/>
              <w:rPr>
                <w:b/>
              </w:rPr>
            </w:pPr>
            <w:r w:rsidRPr="00FC17CF">
              <w:rPr>
                <w:b/>
              </w:rPr>
              <w:t>Tech Entry</w:t>
            </w:r>
          </w:p>
        </w:tc>
        <w:tc>
          <w:tcPr>
            <w:tcW w:w="1560" w:type="dxa"/>
            <w:tcBorders>
              <w:bottom w:val="nil"/>
            </w:tcBorders>
            <w:shd w:val="clear" w:color="auto" w:fill="C0C0C0"/>
            <w:vAlign w:val="bottom"/>
          </w:tcPr>
          <w:p w14:paraId="07B1A291" w14:textId="77777777" w:rsidR="00FA5AF0" w:rsidRPr="00FC17CF" w:rsidRDefault="00FA5AF0" w:rsidP="00CD34EB">
            <w:pPr>
              <w:pStyle w:val="TableText"/>
              <w:rPr>
                <w:b/>
              </w:rPr>
            </w:pPr>
            <w:r w:rsidRPr="00FC17CF">
              <w:rPr>
                <w:b/>
              </w:rPr>
              <w:t>System Interpretation of Screening Cell Test</w:t>
            </w:r>
          </w:p>
        </w:tc>
        <w:tc>
          <w:tcPr>
            <w:tcW w:w="1080" w:type="dxa"/>
            <w:tcBorders>
              <w:bottom w:val="nil"/>
            </w:tcBorders>
            <w:shd w:val="clear" w:color="auto" w:fill="C0C0C0"/>
            <w:vAlign w:val="bottom"/>
          </w:tcPr>
          <w:p w14:paraId="44B65783" w14:textId="77777777" w:rsidR="00FA5AF0" w:rsidRPr="00FC17CF" w:rsidRDefault="00FA5AF0" w:rsidP="00CD34EB">
            <w:pPr>
              <w:pStyle w:val="TableText"/>
              <w:rPr>
                <w:b/>
              </w:rPr>
            </w:pPr>
            <w:r w:rsidRPr="00FC17CF">
              <w:rPr>
                <w:b/>
              </w:rPr>
              <w:t>System Response</w:t>
            </w:r>
          </w:p>
        </w:tc>
        <w:tc>
          <w:tcPr>
            <w:tcW w:w="1020" w:type="dxa"/>
            <w:tcBorders>
              <w:bottom w:val="nil"/>
            </w:tcBorders>
            <w:shd w:val="clear" w:color="auto" w:fill="C0C0C0"/>
            <w:vAlign w:val="bottom"/>
          </w:tcPr>
          <w:p w14:paraId="22481755" w14:textId="77777777" w:rsidR="00FA5AF0" w:rsidRPr="00FC17CF" w:rsidRDefault="00FA5AF0" w:rsidP="00CD34EB">
            <w:pPr>
              <w:pStyle w:val="TableText"/>
              <w:rPr>
                <w:b/>
              </w:rPr>
            </w:pPr>
            <w:r w:rsidRPr="00FC17CF">
              <w:rPr>
                <w:b/>
              </w:rPr>
              <w:t>Error Message</w:t>
            </w:r>
          </w:p>
        </w:tc>
      </w:tr>
      <w:tr w:rsidR="00FA5AF0" w14:paraId="12E6752E" w14:textId="77777777">
        <w:trPr>
          <w:cantSplit/>
        </w:trPr>
        <w:tc>
          <w:tcPr>
            <w:tcW w:w="1513" w:type="dxa"/>
            <w:vMerge/>
          </w:tcPr>
          <w:p w14:paraId="065C55EF" w14:textId="77777777" w:rsidR="00FA5AF0" w:rsidRDefault="00FA5AF0" w:rsidP="00FA5AF0">
            <w:pPr>
              <w:pStyle w:val="TableText"/>
            </w:pPr>
          </w:p>
        </w:tc>
        <w:tc>
          <w:tcPr>
            <w:tcW w:w="2915" w:type="dxa"/>
            <w:vMerge w:val="restart"/>
            <w:tcBorders>
              <w:top w:val="single" w:sz="4" w:space="0" w:color="auto"/>
            </w:tcBorders>
          </w:tcPr>
          <w:p w14:paraId="1F595E2F" w14:textId="77777777" w:rsidR="00FA5AF0" w:rsidRPr="00565DBF" w:rsidRDefault="00FA5AF0" w:rsidP="00FA5AF0">
            <w:pPr>
              <w:pStyle w:val="TableText"/>
            </w:pPr>
            <w:r w:rsidRPr="00565DBF">
              <w:t>System interpretation if all individual row validations are negative.</w:t>
            </w:r>
          </w:p>
        </w:tc>
        <w:tc>
          <w:tcPr>
            <w:tcW w:w="1200" w:type="dxa"/>
            <w:tcBorders>
              <w:top w:val="single" w:sz="4" w:space="0" w:color="auto"/>
            </w:tcBorders>
          </w:tcPr>
          <w:p w14:paraId="427EF8EE" w14:textId="77777777" w:rsidR="00FA5AF0" w:rsidRPr="00565DBF" w:rsidRDefault="00FA5AF0" w:rsidP="00FA5AF0">
            <w:pPr>
              <w:pStyle w:val="TableText"/>
            </w:pPr>
            <w:r w:rsidRPr="00565DBF">
              <w:t>Negative</w:t>
            </w:r>
          </w:p>
        </w:tc>
        <w:tc>
          <w:tcPr>
            <w:tcW w:w="1560" w:type="dxa"/>
            <w:tcBorders>
              <w:top w:val="single" w:sz="4" w:space="0" w:color="auto"/>
            </w:tcBorders>
            <w:shd w:val="clear" w:color="auto" w:fill="auto"/>
          </w:tcPr>
          <w:p w14:paraId="1C20A3B8" w14:textId="77777777" w:rsidR="00FA5AF0" w:rsidRPr="00565DBF" w:rsidRDefault="00FA5AF0" w:rsidP="00FA5AF0">
            <w:pPr>
              <w:pStyle w:val="TableText"/>
              <w:rPr>
                <w:szCs w:val="20"/>
              </w:rPr>
            </w:pPr>
            <w:r w:rsidRPr="00565DBF">
              <w:rPr>
                <w:szCs w:val="20"/>
              </w:rPr>
              <w:t>Negative (N)</w:t>
            </w:r>
          </w:p>
        </w:tc>
        <w:tc>
          <w:tcPr>
            <w:tcW w:w="1080" w:type="dxa"/>
            <w:tcBorders>
              <w:top w:val="single" w:sz="4" w:space="0" w:color="auto"/>
            </w:tcBorders>
          </w:tcPr>
          <w:p w14:paraId="2B359AD8" w14:textId="77777777" w:rsidR="00FA5AF0" w:rsidRPr="00565DBF" w:rsidRDefault="00FA5AF0" w:rsidP="00FA5AF0">
            <w:pPr>
              <w:pStyle w:val="TableText"/>
            </w:pPr>
            <w:r w:rsidRPr="00565DBF">
              <w:t>SR 1</w:t>
            </w:r>
          </w:p>
        </w:tc>
        <w:tc>
          <w:tcPr>
            <w:tcW w:w="1020" w:type="dxa"/>
            <w:tcBorders>
              <w:top w:val="single" w:sz="4" w:space="0" w:color="auto"/>
            </w:tcBorders>
          </w:tcPr>
          <w:p w14:paraId="42821182" w14:textId="77777777" w:rsidR="00FA5AF0" w:rsidRPr="00565DBF" w:rsidRDefault="00FA5AF0" w:rsidP="00FA5AF0">
            <w:pPr>
              <w:pStyle w:val="TableText"/>
            </w:pPr>
            <w:r w:rsidRPr="00565DBF">
              <w:t>N/A</w:t>
            </w:r>
          </w:p>
        </w:tc>
      </w:tr>
      <w:tr w:rsidR="00FA5AF0" w14:paraId="5BF3E906" w14:textId="77777777">
        <w:trPr>
          <w:cantSplit/>
        </w:trPr>
        <w:tc>
          <w:tcPr>
            <w:tcW w:w="1513" w:type="dxa"/>
            <w:vMerge/>
          </w:tcPr>
          <w:p w14:paraId="2E2A2E18" w14:textId="77777777" w:rsidR="00FA5AF0" w:rsidRDefault="00FA5AF0" w:rsidP="00FA5AF0">
            <w:pPr>
              <w:pStyle w:val="TableText"/>
            </w:pPr>
          </w:p>
        </w:tc>
        <w:tc>
          <w:tcPr>
            <w:tcW w:w="2915" w:type="dxa"/>
            <w:vMerge/>
          </w:tcPr>
          <w:p w14:paraId="23371408" w14:textId="77777777" w:rsidR="00FA5AF0" w:rsidRPr="00565DBF" w:rsidRDefault="00FA5AF0" w:rsidP="00FA5AF0">
            <w:pPr>
              <w:pStyle w:val="TableText"/>
            </w:pPr>
          </w:p>
        </w:tc>
        <w:tc>
          <w:tcPr>
            <w:tcW w:w="1200" w:type="dxa"/>
          </w:tcPr>
          <w:p w14:paraId="13082B0F" w14:textId="77777777" w:rsidR="00FA5AF0" w:rsidRPr="00565DBF" w:rsidRDefault="00760B98" w:rsidP="00FA5AF0">
            <w:pPr>
              <w:pStyle w:val="TableText"/>
            </w:pPr>
            <w:r>
              <w:t>Positive</w:t>
            </w:r>
          </w:p>
        </w:tc>
        <w:tc>
          <w:tcPr>
            <w:tcW w:w="1560" w:type="dxa"/>
            <w:shd w:val="clear" w:color="auto" w:fill="auto"/>
          </w:tcPr>
          <w:p w14:paraId="3B68A21C" w14:textId="77777777" w:rsidR="00FA5AF0" w:rsidRPr="00565DBF" w:rsidRDefault="00FA5AF0" w:rsidP="00FA5AF0">
            <w:pPr>
              <w:pStyle w:val="TableText"/>
              <w:rPr>
                <w:szCs w:val="20"/>
              </w:rPr>
            </w:pPr>
            <w:r w:rsidRPr="00565DBF">
              <w:rPr>
                <w:szCs w:val="20"/>
              </w:rPr>
              <w:t>Negative (N)</w:t>
            </w:r>
          </w:p>
        </w:tc>
        <w:tc>
          <w:tcPr>
            <w:tcW w:w="1080" w:type="dxa"/>
          </w:tcPr>
          <w:p w14:paraId="381FE6D6" w14:textId="77777777" w:rsidR="00FA5AF0" w:rsidRPr="00565DBF" w:rsidRDefault="00FA5AF0" w:rsidP="00FA5AF0">
            <w:pPr>
              <w:pStyle w:val="TableText"/>
            </w:pPr>
            <w:r w:rsidRPr="00565DBF">
              <w:t>SR 2</w:t>
            </w:r>
          </w:p>
        </w:tc>
        <w:tc>
          <w:tcPr>
            <w:tcW w:w="1020" w:type="dxa"/>
          </w:tcPr>
          <w:p w14:paraId="3AE77157" w14:textId="77777777" w:rsidR="00FA5AF0" w:rsidRPr="00565DBF" w:rsidRDefault="00FA5AF0" w:rsidP="00FA5AF0">
            <w:pPr>
              <w:pStyle w:val="TableText"/>
            </w:pPr>
            <w:r w:rsidRPr="00565DBF">
              <w:t>EM 1</w:t>
            </w:r>
          </w:p>
        </w:tc>
      </w:tr>
      <w:tr w:rsidR="00FA5AF0" w14:paraId="20163560" w14:textId="77777777">
        <w:trPr>
          <w:cantSplit/>
        </w:trPr>
        <w:tc>
          <w:tcPr>
            <w:tcW w:w="1513" w:type="dxa"/>
            <w:vMerge/>
          </w:tcPr>
          <w:p w14:paraId="373F83E4" w14:textId="77777777" w:rsidR="00FA5AF0" w:rsidRDefault="00FA5AF0" w:rsidP="00FA5AF0">
            <w:pPr>
              <w:pStyle w:val="TableText"/>
            </w:pPr>
          </w:p>
        </w:tc>
        <w:tc>
          <w:tcPr>
            <w:tcW w:w="2915" w:type="dxa"/>
            <w:tcBorders>
              <w:top w:val="single" w:sz="4" w:space="0" w:color="auto"/>
            </w:tcBorders>
          </w:tcPr>
          <w:p w14:paraId="1AB38D35" w14:textId="77777777" w:rsidR="00FA5AF0" w:rsidRPr="00565DBF" w:rsidRDefault="00FA5AF0" w:rsidP="00FA5AF0">
            <w:pPr>
              <w:pStyle w:val="TableText"/>
            </w:pPr>
            <w:r w:rsidRPr="00565DBF">
              <w:t xml:space="preserve">System interpretation if all individual row validations are negative and indicates that a comment is required. </w:t>
            </w:r>
          </w:p>
        </w:tc>
        <w:tc>
          <w:tcPr>
            <w:tcW w:w="1200" w:type="dxa"/>
            <w:tcBorders>
              <w:top w:val="single" w:sz="4" w:space="0" w:color="auto"/>
            </w:tcBorders>
          </w:tcPr>
          <w:p w14:paraId="753CF9C0" w14:textId="77777777" w:rsidR="00FA5AF0" w:rsidRPr="00565DBF" w:rsidRDefault="00FA5AF0" w:rsidP="00FA5AF0">
            <w:pPr>
              <w:pStyle w:val="TableText"/>
            </w:pPr>
            <w:r w:rsidRPr="00565DBF">
              <w:t>Negative</w:t>
            </w:r>
          </w:p>
        </w:tc>
        <w:tc>
          <w:tcPr>
            <w:tcW w:w="1560" w:type="dxa"/>
            <w:tcBorders>
              <w:top w:val="single" w:sz="4" w:space="0" w:color="auto"/>
            </w:tcBorders>
          </w:tcPr>
          <w:p w14:paraId="3F46303D" w14:textId="77777777" w:rsidR="00FA5AF0" w:rsidRPr="00565DBF" w:rsidRDefault="00FA5AF0" w:rsidP="00FA5AF0">
            <w:pPr>
              <w:pStyle w:val="TableText"/>
              <w:rPr>
                <w:szCs w:val="20"/>
              </w:rPr>
            </w:pPr>
            <w:r w:rsidRPr="00565DBF">
              <w:rPr>
                <w:szCs w:val="16"/>
              </w:rPr>
              <w:t>Negative (N</w:t>
            </w:r>
            <w:r w:rsidRPr="00565DBF">
              <w:rPr>
                <w:szCs w:val="20"/>
              </w:rPr>
              <w:t>)</w:t>
            </w:r>
          </w:p>
        </w:tc>
        <w:tc>
          <w:tcPr>
            <w:tcW w:w="1080" w:type="dxa"/>
            <w:tcBorders>
              <w:top w:val="single" w:sz="4" w:space="0" w:color="auto"/>
            </w:tcBorders>
          </w:tcPr>
          <w:p w14:paraId="02B566CF" w14:textId="77777777" w:rsidR="00FA5AF0" w:rsidRPr="00565DBF" w:rsidRDefault="00FA5AF0" w:rsidP="00FA5AF0">
            <w:pPr>
              <w:pStyle w:val="TableText"/>
            </w:pPr>
            <w:r w:rsidRPr="00565DBF">
              <w:t>SR 3</w:t>
            </w:r>
          </w:p>
        </w:tc>
        <w:tc>
          <w:tcPr>
            <w:tcW w:w="1020" w:type="dxa"/>
            <w:tcBorders>
              <w:top w:val="single" w:sz="4" w:space="0" w:color="auto"/>
            </w:tcBorders>
          </w:tcPr>
          <w:p w14:paraId="0435D417" w14:textId="77777777" w:rsidR="00FA5AF0" w:rsidRPr="00565DBF" w:rsidRDefault="00604046" w:rsidP="00FA5AF0">
            <w:pPr>
              <w:pStyle w:val="TableText"/>
            </w:pPr>
            <w:r>
              <w:t>N/A</w:t>
            </w:r>
          </w:p>
        </w:tc>
      </w:tr>
      <w:tr w:rsidR="00FA5AF0" w14:paraId="2C4831BF" w14:textId="77777777">
        <w:trPr>
          <w:cantSplit/>
        </w:trPr>
        <w:tc>
          <w:tcPr>
            <w:tcW w:w="1513" w:type="dxa"/>
            <w:vMerge/>
          </w:tcPr>
          <w:p w14:paraId="0F0A6522" w14:textId="77777777" w:rsidR="00FA5AF0" w:rsidRDefault="00FA5AF0" w:rsidP="00FA5AF0">
            <w:pPr>
              <w:pStyle w:val="TableText"/>
            </w:pPr>
          </w:p>
        </w:tc>
        <w:tc>
          <w:tcPr>
            <w:tcW w:w="2915" w:type="dxa"/>
            <w:vMerge w:val="restart"/>
            <w:tcBorders>
              <w:top w:val="single" w:sz="4" w:space="0" w:color="auto"/>
            </w:tcBorders>
          </w:tcPr>
          <w:p w14:paraId="1CD67599" w14:textId="77777777" w:rsidR="00FA5AF0" w:rsidRPr="00565DBF" w:rsidRDefault="00FA5AF0" w:rsidP="00FA5AF0">
            <w:pPr>
              <w:pStyle w:val="TableText"/>
            </w:pPr>
            <w:r w:rsidRPr="00565DBF">
              <w:t>System interpretation if one, several, or all rows are positive (P).</w:t>
            </w:r>
          </w:p>
        </w:tc>
        <w:tc>
          <w:tcPr>
            <w:tcW w:w="1200" w:type="dxa"/>
            <w:tcBorders>
              <w:top w:val="single" w:sz="4" w:space="0" w:color="auto"/>
            </w:tcBorders>
          </w:tcPr>
          <w:p w14:paraId="6A6A3F2A" w14:textId="77777777" w:rsidR="00FA5AF0" w:rsidRPr="00565DBF" w:rsidRDefault="00FA5AF0" w:rsidP="00FA5AF0">
            <w:pPr>
              <w:pStyle w:val="TableText"/>
            </w:pPr>
            <w:r w:rsidRPr="00565DBF">
              <w:t>Positive</w:t>
            </w:r>
          </w:p>
        </w:tc>
        <w:tc>
          <w:tcPr>
            <w:tcW w:w="1560" w:type="dxa"/>
            <w:tcBorders>
              <w:top w:val="single" w:sz="4" w:space="0" w:color="auto"/>
            </w:tcBorders>
            <w:shd w:val="clear" w:color="auto" w:fill="auto"/>
          </w:tcPr>
          <w:p w14:paraId="090628E2" w14:textId="77777777" w:rsidR="00FA5AF0" w:rsidRPr="00565DBF" w:rsidRDefault="00FA5AF0" w:rsidP="00FA5AF0">
            <w:pPr>
              <w:pStyle w:val="TableText"/>
              <w:rPr>
                <w:szCs w:val="20"/>
              </w:rPr>
            </w:pPr>
            <w:r w:rsidRPr="00565DBF">
              <w:rPr>
                <w:szCs w:val="20"/>
              </w:rPr>
              <w:t>Positive (P)</w:t>
            </w:r>
          </w:p>
        </w:tc>
        <w:tc>
          <w:tcPr>
            <w:tcW w:w="1080" w:type="dxa"/>
            <w:tcBorders>
              <w:top w:val="single" w:sz="4" w:space="0" w:color="auto"/>
            </w:tcBorders>
          </w:tcPr>
          <w:p w14:paraId="4C5B1036" w14:textId="77777777" w:rsidR="00FA5AF0" w:rsidRPr="00565DBF" w:rsidRDefault="00FA5AF0" w:rsidP="00FA5AF0">
            <w:pPr>
              <w:pStyle w:val="TableText"/>
            </w:pPr>
            <w:r w:rsidRPr="00565DBF">
              <w:t>SR 1</w:t>
            </w:r>
          </w:p>
        </w:tc>
        <w:tc>
          <w:tcPr>
            <w:tcW w:w="1020" w:type="dxa"/>
            <w:tcBorders>
              <w:top w:val="single" w:sz="4" w:space="0" w:color="auto"/>
            </w:tcBorders>
          </w:tcPr>
          <w:p w14:paraId="5C89C49A" w14:textId="77777777" w:rsidR="00FA5AF0" w:rsidRPr="00565DBF" w:rsidRDefault="00FA5AF0" w:rsidP="00FA5AF0">
            <w:pPr>
              <w:pStyle w:val="TableText"/>
            </w:pPr>
            <w:r w:rsidRPr="00565DBF">
              <w:t>N/A</w:t>
            </w:r>
          </w:p>
        </w:tc>
      </w:tr>
      <w:tr w:rsidR="00FA5AF0" w14:paraId="47D2DA84" w14:textId="77777777">
        <w:trPr>
          <w:cantSplit/>
        </w:trPr>
        <w:tc>
          <w:tcPr>
            <w:tcW w:w="1513" w:type="dxa"/>
            <w:vMerge/>
          </w:tcPr>
          <w:p w14:paraId="68A93225" w14:textId="77777777" w:rsidR="00FA5AF0" w:rsidRDefault="00FA5AF0" w:rsidP="00FA5AF0">
            <w:pPr>
              <w:pStyle w:val="TableText"/>
            </w:pPr>
          </w:p>
        </w:tc>
        <w:tc>
          <w:tcPr>
            <w:tcW w:w="2915" w:type="dxa"/>
            <w:vMerge/>
          </w:tcPr>
          <w:p w14:paraId="3DF59367" w14:textId="77777777" w:rsidR="00FA5AF0" w:rsidRPr="00565DBF" w:rsidRDefault="00FA5AF0" w:rsidP="00FA5AF0">
            <w:pPr>
              <w:pStyle w:val="TableText"/>
            </w:pPr>
          </w:p>
        </w:tc>
        <w:tc>
          <w:tcPr>
            <w:tcW w:w="1200" w:type="dxa"/>
          </w:tcPr>
          <w:p w14:paraId="1124A7B8" w14:textId="77777777" w:rsidR="00FA5AF0" w:rsidRPr="00565DBF" w:rsidRDefault="00FA5AF0" w:rsidP="00FA5AF0">
            <w:pPr>
              <w:pStyle w:val="TableText"/>
            </w:pPr>
            <w:r w:rsidRPr="00565DBF">
              <w:t>Negative</w:t>
            </w:r>
          </w:p>
        </w:tc>
        <w:tc>
          <w:tcPr>
            <w:tcW w:w="1560" w:type="dxa"/>
            <w:shd w:val="clear" w:color="auto" w:fill="auto"/>
          </w:tcPr>
          <w:p w14:paraId="4642F464" w14:textId="77777777" w:rsidR="00FA5AF0" w:rsidRPr="00565DBF" w:rsidRDefault="00FA5AF0" w:rsidP="00FA5AF0">
            <w:pPr>
              <w:pStyle w:val="TableText"/>
              <w:rPr>
                <w:szCs w:val="20"/>
              </w:rPr>
            </w:pPr>
            <w:r w:rsidRPr="00565DBF">
              <w:rPr>
                <w:szCs w:val="20"/>
              </w:rPr>
              <w:t>Positive (P)</w:t>
            </w:r>
          </w:p>
        </w:tc>
        <w:tc>
          <w:tcPr>
            <w:tcW w:w="1080" w:type="dxa"/>
          </w:tcPr>
          <w:p w14:paraId="11A68329" w14:textId="77777777" w:rsidR="00FA5AF0" w:rsidRPr="00565DBF" w:rsidRDefault="00FA5AF0" w:rsidP="00FA5AF0">
            <w:pPr>
              <w:pStyle w:val="TableText"/>
            </w:pPr>
            <w:r w:rsidRPr="00565DBF">
              <w:t>SR 2</w:t>
            </w:r>
          </w:p>
        </w:tc>
        <w:tc>
          <w:tcPr>
            <w:tcW w:w="1020" w:type="dxa"/>
          </w:tcPr>
          <w:p w14:paraId="3C0285C6" w14:textId="77777777" w:rsidR="00FA5AF0" w:rsidRPr="00565DBF" w:rsidRDefault="00FA5AF0" w:rsidP="00FA5AF0">
            <w:pPr>
              <w:pStyle w:val="TableText"/>
            </w:pPr>
            <w:r w:rsidRPr="00565DBF">
              <w:t>EM 1</w:t>
            </w:r>
          </w:p>
        </w:tc>
      </w:tr>
      <w:tr w:rsidR="00FA5AF0" w14:paraId="2C243086" w14:textId="77777777">
        <w:trPr>
          <w:cantSplit/>
        </w:trPr>
        <w:tc>
          <w:tcPr>
            <w:tcW w:w="1513" w:type="dxa"/>
            <w:vMerge/>
          </w:tcPr>
          <w:p w14:paraId="7F15CEC5" w14:textId="77777777" w:rsidR="00FA5AF0" w:rsidRDefault="00FA5AF0" w:rsidP="00FA5AF0">
            <w:pPr>
              <w:pStyle w:val="TableText"/>
            </w:pPr>
          </w:p>
        </w:tc>
        <w:tc>
          <w:tcPr>
            <w:tcW w:w="2915" w:type="dxa"/>
          </w:tcPr>
          <w:p w14:paraId="02AA4D16" w14:textId="77777777" w:rsidR="00FA5AF0" w:rsidRPr="00565DBF" w:rsidRDefault="00FA5AF0" w:rsidP="00FA5AF0">
            <w:pPr>
              <w:pStyle w:val="TableText"/>
            </w:pPr>
            <w:r w:rsidRPr="00565DBF">
              <w:t>System interpretation if one, several, or all rows are positive (P) and indicates that a comment is required.</w:t>
            </w:r>
          </w:p>
        </w:tc>
        <w:tc>
          <w:tcPr>
            <w:tcW w:w="1200" w:type="dxa"/>
          </w:tcPr>
          <w:p w14:paraId="5A5BFFA9" w14:textId="77777777" w:rsidR="00FA5AF0" w:rsidRPr="00565DBF" w:rsidRDefault="00FA5AF0" w:rsidP="00FA5AF0">
            <w:pPr>
              <w:pStyle w:val="TableText"/>
              <w:rPr>
                <w:szCs w:val="16"/>
              </w:rPr>
            </w:pPr>
            <w:r w:rsidRPr="00565DBF">
              <w:rPr>
                <w:szCs w:val="16"/>
              </w:rPr>
              <w:t>Positive</w:t>
            </w:r>
          </w:p>
        </w:tc>
        <w:tc>
          <w:tcPr>
            <w:tcW w:w="1560" w:type="dxa"/>
          </w:tcPr>
          <w:p w14:paraId="166BD8DB" w14:textId="77777777" w:rsidR="00FA5AF0" w:rsidRPr="00565DBF" w:rsidRDefault="00FA5AF0" w:rsidP="00FA5AF0">
            <w:pPr>
              <w:pStyle w:val="TableText"/>
              <w:rPr>
                <w:szCs w:val="16"/>
              </w:rPr>
            </w:pPr>
            <w:r w:rsidRPr="00565DBF">
              <w:rPr>
                <w:szCs w:val="16"/>
              </w:rPr>
              <w:t>Positive (P)</w:t>
            </w:r>
          </w:p>
        </w:tc>
        <w:tc>
          <w:tcPr>
            <w:tcW w:w="1080" w:type="dxa"/>
          </w:tcPr>
          <w:p w14:paraId="426B0799" w14:textId="77777777" w:rsidR="00FA5AF0" w:rsidRPr="00565DBF" w:rsidRDefault="00FA5AF0" w:rsidP="00FA5AF0">
            <w:pPr>
              <w:pStyle w:val="TableText"/>
            </w:pPr>
            <w:r w:rsidRPr="00565DBF">
              <w:t>SR 3</w:t>
            </w:r>
          </w:p>
        </w:tc>
        <w:tc>
          <w:tcPr>
            <w:tcW w:w="1020" w:type="dxa"/>
          </w:tcPr>
          <w:p w14:paraId="1F0F61B5" w14:textId="77777777" w:rsidR="00FA5AF0" w:rsidRPr="00565DBF" w:rsidRDefault="00CB127B" w:rsidP="00FA5AF0">
            <w:pPr>
              <w:pStyle w:val="TableText"/>
            </w:pPr>
            <w:r w:rsidRPr="00565DBF">
              <w:t>N/A</w:t>
            </w:r>
          </w:p>
        </w:tc>
      </w:tr>
      <w:tr w:rsidR="00FA5AF0" w14:paraId="09CBF01C" w14:textId="77777777">
        <w:trPr>
          <w:cantSplit/>
        </w:trPr>
        <w:tc>
          <w:tcPr>
            <w:tcW w:w="1513" w:type="dxa"/>
            <w:vMerge/>
          </w:tcPr>
          <w:p w14:paraId="0366615F" w14:textId="77777777" w:rsidR="00FA5AF0" w:rsidRDefault="00FA5AF0" w:rsidP="00FA5AF0">
            <w:pPr>
              <w:pStyle w:val="TableText"/>
            </w:pPr>
          </w:p>
        </w:tc>
        <w:tc>
          <w:tcPr>
            <w:tcW w:w="2915" w:type="dxa"/>
          </w:tcPr>
          <w:p w14:paraId="09B22114" w14:textId="77777777" w:rsidR="00FA5AF0" w:rsidRPr="00565DBF" w:rsidRDefault="00FA5AF0" w:rsidP="00FA5AF0">
            <w:pPr>
              <w:pStyle w:val="TableText"/>
            </w:pPr>
            <w:r w:rsidRPr="00565DBF">
              <w:t>System interpretation if one, several, or all rows are invalid (I).</w:t>
            </w:r>
          </w:p>
        </w:tc>
        <w:tc>
          <w:tcPr>
            <w:tcW w:w="1200" w:type="dxa"/>
          </w:tcPr>
          <w:p w14:paraId="11ABAC26" w14:textId="77777777" w:rsidR="00FA5AF0" w:rsidRPr="00565DBF" w:rsidRDefault="00FA5AF0" w:rsidP="00FA5AF0">
            <w:pPr>
              <w:pStyle w:val="TableText"/>
            </w:pPr>
            <w:r w:rsidRPr="00565DBF">
              <w:t>Positive or Negative</w:t>
            </w:r>
          </w:p>
        </w:tc>
        <w:tc>
          <w:tcPr>
            <w:tcW w:w="1560" w:type="dxa"/>
          </w:tcPr>
          <w:p w14:paraId="01F7E3E8" w14:textId="77777777" w:rsidR="00FA5AF0" w:rsidRPr="00565DBF" w:rsidRDefault="00FA5AF0" w:rsidP="00FA5AF0">
            <w:pPr>
              <w:pStyle w:val="TableText"/>
              <w:rPr>
                <w:szCs w:val="20"/>
              </w:rPr>
            </w:pPr>
            <w:r w:rsidRPr="00565DBF">
              <w:rPr>
                <w:szCs w:val="20"/>
              </w:rPr>
              <w:t>Invalid (I)</w:t>
            </w:r>
          </w:p>
        </w:tc>
        <w:tc>
          <w:tcPr>
            <w:tcW w:w="1080" w:type="dxa"/>
          </w:tcPr>
          <w:p w14:paraId="1DEEF44E" w14:textId="77777777" w:rsidR="00FA5AF0" w:rsidRPr="00565DBF" w:rsidRDefault="00FA5AF0" w:rsidP="00FA5AF0">
            <w:pPr>
              <w:pStyle w:val="TableText"/>
            </w:pPr>
            <w:r w:rsidRPr="00565DBF">
              <w:t>SR 2</w:t>
            </w:r>
          </w:p>
        </w:tc>
        <w:tc>
          <w:tcPr>
            <w:tcW w:w="1020" w:type="dxa"/>
          </w:tcPr>
          <w:p w14:paraId="731F1094" w14:textId="77777777" w:rsidR="00FA5AF0" w:rsidRPr="00565DBF" w:rsidRDefault="00FA5AF0" w:rsidP="00FA5AF0">
            <w:pPr>
              <w:pStyle w:val="TableText"/>
            </w:pPr>
            <w:r w:rsidRPr="00565DBF">
              <w:t>EM2</w:t>
            </w:r>
          </w:p>
        </w:tc>
      </w:tr>
    </w:tbl>
    <w:p w14:paraId="6FC71CD7" w14:textId="0F71FD94" w:rsidR="001200B8" w:rsidRPr="001200B8" w:rsidRDefault="001200B8" w:rsidP="001200B8">
      <w:pPr>
        <w:pStyle w:val="Heading3"/>
      </w:pPr>
      <w:r>
        <w:rPr>
          <w:rFonts w:ascii="Geneva" w:hAnsi="Geneva"/>
          <w:vanish/>
        </w:rPr>
        <w:br w:type="page"/>
        <w:t xml:space="preserve">PT_31.01 </w:t>
      </w:r>
      <w:bookmarkStart w:id="605" w:name="_Toc149064213"/>
      <w:r>
        <w:t>Canned Comment Category Types and Text</w:t>
      </w:r>
      <w:bookmarkEnd w:id="605"/>
    </w:p>
    <w:p w14:paraId="44AA4690" w14:textId="65BEA0FE" w:rsidR="00CE2820" w:rsidRDefault="002A21AE" w:rsidP="001200B8">
      <w:pPr>
        <w:pStyle w:val="BodyText"/>
        <w:keepNext/>
      </w:pPr>
      <w:r>
        <w:t xml:space="preserve">Canned comments are defined comments that can be inserted in a record during execution of a variety of functions. The canned comments available in a function are restricted to the category type associated with that function. </w:t>
      </w:r>
      <w:r w:rsidR="00EE455E">
        <w:t xml:space="preserve">Table </w:t>
      </w:r>
      <w:r w:rsidR="00EE455E">
        <w:rPr>
          <w:noProof/>
        </w:rPr>
        <w:t>17</w:t>
      </w:r>
      <w:r>
        <w:t xml:space="preserve"> lists the category types available when defining canned comments.</w:t>
      </w:r>
    </w:p>
    <w:p w14:paraId="5361CFDD" w14:textId="11735F3A" w:rsidR="0077267A" w:rsidRDefault="002A21AE">
      <w:pPr>
        <w:pStyle w:val="Caption"/>
      </w:pPr>
      <w:bookmarkStart w:id="606" w:name="_Ref126732112"/>
      <w:bookmarkStart w:id="607" w:name="_Toc97523634"/>
      <w:bookmarkStart w:id="608" w:name="_Toc97527604"/>
      <w:bookmarkStart w:id="609" w:name="_Ref12648449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17</w:t>
      </w:r>
      <w:r w:rsidR="004E20BD">
        <w:rPr>
          <w:noProof/>
        </w:rPr>
        <w:fldChar w:fldCharType="end"/>
      </w:r>
      <w:bookmarkEnd w:id="606"/>
      <w:r>
        <w:t xml:space="preserve">: </w:t>
      </w:r>
      <w:r>
        <w:rPr>
          <w:vanish/>
        </w:rPr>
        <w:t xml:space="preserve">PT_31.01 </w:t>
      </w:r>
      <w:r>
        <w:t xml:space="preserve">Canned Comment Category Types and </w:t>
      </w:r>
      <w:r w:rsidR="004F2549">
        <w:t xml:space="preserve">Message </w:t>
      </w:r>
      <w:r>
        <w:t>Text</w:t>
      </w:r>
      <w:bookmarkEnd w:id="607"/>
      <w:bookmarkEnd w:id="608"/>
      <w:bookmarkEnd w:id="609"/>
      <w:r w:rsidR="0056207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490"/>
      </w:tblGrid>
      <w:tr w:rsidR="00CE2820" w:rsidRPr="00575988" w14:paraId="16569F1C" w14:textId="77777777" w:rsidTr="00CE2820">
        <w:trPr>
          <w:cantSplit/>
          <w:tblHeader/>
        </w:trPr>
        <w:tc>
          <w:tcPr>
            <w:tcW w:w="3168" w:type="dxa"/>
            <w:shd w:val="pct25" w:color="auto" w:fill="auto"/>
          </w:tcPr>
          <w:p w14:paraId="6A702B0C" w14:textId="77777777" w:rsidR="00CE2820" w:rsidRPr="00CE2820" w:rsidRDefault="00562075" w:rsidP="00CA1F44">
            <w:pPr>
              <w:pStyle w:val="Caption"/>
              <w:keepNext w:val="0"/>
              <w:spacing w:before="0" w:after="0"/>
              <w:rPr>
                <w:rFonts w:ascii="Arial" w:hAnsi="Arial" w:cs="Arial"/>
                <w:sz w:val="18"/>
                <w:szCs w:val="18"/>
              </w:rPr>
            </w:pPr>
            <w:r w:rsidRPr="00CE2820">
              <w:rPr>
                <w:rFonts w:ascii="Arial" w:hAnsi="Arial" w:cs="Arial"/>
                <w:sz w:val="18"/>
                <w:szCs w:val="18"/>
              </w:rPr>
              <w:fldChar w:fldCharType="begin"/>
            </w:r>
            <w:r w:rsidRPr="00CE2820">
              <w:rPr>
                <w:rFonts w:ascii="Arial" w:hAnsi="Arial" w:cs="Arial"/>
                <w:sz w:val="18"/>
                <w:szCs w:val="18"/>
              </w:rPr>
              <w:instrText xml:space="preserve"> XE “Tables:Canned Comment Category Types and Text” </w:instrText>
            </w:r>
            <w:r w:rsidRPr="00CE2820">
              <w:rPr>
                <w:rFonts w:ascii="Arial" w:hAnsi="Arial" w:cs="Arial"/>
                <w:sz w:val="18"/>
                <w:szCs w:val="18"/>
              </w:rPr>
              <w:fldChar w:fldCharType="end"/>
            </w:r>
            <w:r w:rsidR="00CE2820" w:rsidRPr="00CE2820">
              <w:rPr>
                <w:rFonts w:ascii="Arial" w:hAnsi="Arial" w:cs="Arial"/>
                <w:sz w:val="18"/>
                <w:szCs w:val="18"/>
              </w:rPr>
              <w:t>Canned Comment Category Type</w:t>
            </w:r>
          </w:p>
        </w:tc>
        <w:tc>
          <w:tcPr>
            <w:tcW w:w="5490" w:type="dxa"/>
            <w:shd w:val="pct25" w:color="auto" w:fill="auto"/>
          </w:tcPr>
          <w:p w14:paraId="6C305C6C" w14:textId="77777777" w:rsidR="00CE2820" w:rsidRPr="00CE2820" w:rsidRDefault="00CE2820" w:rsidP="00CA1F44">
            <w:pPr>
              <w:pStyle w:val="Caption"/>
              <w:keepNext w:val="0"/>
              <w:spacing w:before="0" w:after="0"/>
              <w:ind w:left="162" w:hanging="180"/>
              <w:rPr>
                <w:rFonts w:ascii="Arial" w:hAnsi="Arial" w:cs="Arial"/>
                <w:sz w:val="18"/>
                <w:szCs w:val="18"/>
              </w:rPr>
            </w:pPr>
            <w:r w:rsidRPr="00CE2820">
              <w:rPr>
                <w:rFonts w:ascii="Arial" w:hAnsi="Arial" w:cs="Arial"/>
                <w:sz w:val="18"/>
                <w:szCs w:val="18"/>
              </w:rPr>
              <w:t>Message Text</w:t>
            </w:r>
          </w:p>
        </w:tc>
      </w:tr>
      <w:tr w:rsidR="00CE2820" w:rsidRPr="00575988" w14:paraId="6F0296D3" w14:textId="77777777" w:rsidTr="00CE2820">
        <w:trPr>
          <w:cantSplit/>
        </w:trPr>
        <w:tc>
          <w:tcPr>
            <w:tcW w:w="3168" w:type="dxa"/>
            <w:shd w:val="clear" w:color="auto" w:fill="auto"/>
          </w:tcPr>
          <w:p w14:paraId="1422C306"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ABO Incompatible Issue</w:t>
            </w:r>
          </w:p>
        </w:tc>
        <w:tc>
          <w:tcPr>
            <w:tcW w:w="5490" w:type="dxa"/>
            <w:shd w:val="clear" w:color="auto" w:fill="auto"/>
          </w:tcPr>
          <w:p w14:paraId="14A08C7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6E391EB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Issued to ER</w:t>
            </w:r>
          </w:p>
          <w:p w14:paraId="205C7E3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1762EA1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48BBFDC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F1B94CE" w14:textId="77777777" w:rsidTr="00CE2820">
        <w:trPr>
          <w:cantSplit/>
        </w:trPr>
        <w:tc>
          <w:tcPr>
            <w:tcW w:w="3168" w:type="dxa"/>
            <w:shd w:val="clear" w:color="auto" w:fill="auto"/>
          </w:tcPr>
          <w:p w14:paraId="516101F4"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Automated Testing Review</w:t>
            </w:r>
          </w:p>
        </w:tc>
        <w:tc>
          <w:tcPr>
            <w:tcW w:w="5490" w:type="dxa"/>
            <w:shd w:val="clear" w:color="auto" w:fill="auto"/>
          </w:tcPr>
          <w:p w14:paraId="1194DDA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Control NEG</w:t>
            </w:r>
          </w:p>
          <w:p w14:paraId="1708651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Control POS</w:t>
            </w:r>
          </w:p>
          <w:p w14:paraId="381A6B1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Post-transfusion reaction</w:t>
            </w:r>
          </w:p>
          <w:p w14:paraId="688AF50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Data Record reviewed, history</w:t>
            </w:r>
          </w:p>
          <w:p w14:paraId="35E6AC5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Data Record reviewed, no history</w:t>
            </w:r>
          </w:p>
          <w:p w14:paraId="6D6E522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Results confirmed with tube testing</w:t>
            </w:r>
          </w:p>
          <w:p w14:paraId="3C53A0F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Rh (D) control negative</w:t>
            </w:r>
          </w:p>
          <w:p w14:paraId="6F5370C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4ABD647" w14:textId="77777777" w:rsidTr="00CE2820">
        <w:trPr>
          <w:cantSplit/>
        </w:trPr>
        <w:tc>
          <w:tcPr>
            <w:tcW w:w="3168" w:type="dxa"/>
            <w:shd w:val="clear" w:color="auto" w:fill="auto"/>
          </w:tcPr>
          <w:p w14:paraId="10289A5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Crossmatch</w:t>
            </w:r>
          </w:p>
        </w:tc>
        <w:tc>
          <w:tcPr>
            <w:tcW w:w="5490" w:type="dxa"/>
            <w:shd w:val="clear" w:color="auto" w:fill="auto"/>
          </w:tcPr>
          <w:p w14:paraId="00B6176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F358AF" w:rsidRPr="00575988" w14:paraId="030636DA" w14:textId="77777777" w:rsidTr="00615FC3">
        <w:trPr>
          <w:cantSplit/>
        </w:trPr>
        <w:tc>
          <w:tcPr>
            <w:tcW w:w="3168" w:type="dxa"/>
            <w:shd w:val="clear" w:color="auto" w:fill="auto"/>
          </w:tcPr>
          <w:p w14:paraId="5A2E05D5" w14:textId="77777777" w:rsidR="00F358AF" w:rsidRPr="00575988" w:rsidRDefault="00F358AF" w:rsidP="00615FC3">
            <w:pPr>
              <w:pStyle w:val="Caption"/>
              <w:keepNext w:val="0"/>
              <w:spacing w:before="0" w:after="0"/>
              <w:rPr>
                <w:rFonts w:ascii="Arial" w:hAnsi="Arial" w:cs="Arial"/>
                <w:b w:val="0"/>
                <w:sz w:val="18"/>
                <w:szCs w:val="18"/>
              </w:rPr>
            </w:pPr>
            <w:r w:rsidRPr="00575988">
              <w:rPr>
                <w:rFonts w:ascii="Arial" w:hAnsi="Arial" w:cs="Arial"/>
                <w:b w:val="0"/>
                <w:sz w:val="18"/>
                <w:szCs w:val="18"/>
              </w:rPr>
              <w:t>Implicated Units</w:t>
            </w:r>
          </w:p>
        </w:tc>
        <w:tc>
          <w:tcPr>
            <w:tcW w:w="5490" w:type="dxa"/>
            <w:shd w:val="clear" w:color="auto" w:fill="auto"/>
          </w:tcPr>
          <w:p w14:paraId="32A2B324" w14:textId="77777777" w:rsidR="00F358AF" w:rsidRPr="00575988" w:rsidRDefault="00F358AF"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Biohazardous</w:t>
            </w:r>
          </w:p>
          <w:p w14:paraId="26BF4219" w14:textId="77777777" w:rsidR="00F358AF" w:rsidRPr="00575988" w:rsidRDefault="00F358AF"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125780A4" w14:textId="77777777" w:rsidR="00F358AF" w:rsidRDefault="00F358AF"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Transfusion reaction</w:t>
            </w:r>
          </w:p>
          <w:p w14:paraId="41EED8F6" w14:textId="77777777" w:rsidR="00F358AF" w:rsidRPr="00575988" w:rsidRDefault="00F358AF"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3941BE5" w14:textId="77777777" w:rsidTr="00CE2820">
        <w:trPr>
          <w:cantSplit/>
        </w:trPr>
        <w:tc>
          <w:tcPr>
            <w:tcW w:w="3168" w:type="dxa"/>
            <w:shd w:val="clear" w:color="auto" w:fill="auto"/>
          </w:tcPr>
          <w:p w14:paraId="2F484D2B"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Incoming Shipment</w:t>
            </w:r>
          </w:p>
        </w:tc>
        <w:tc>
          <w:tcPr>
            <w:tcW w:w="5490" w:type="dxa"/>
            <w:shd w:val="clear" w:color="auto" w:fill="auto"/>
          </w:tcPr>
          <w:p w14:paraId="03C534B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Prolonged storage outside of monitored storage area</w:t>
            </w:r>
          </w:p>
          <w:p w14:paraId="3F848FB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Spiked or damaged</w:t>
            </w:r>
          </w:p>
          <w:p w14:paraId="5B898E7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returned unused</w:t>
            </w:r>
          </w:p>
          <w:p w14:paraId="472BF75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7CBC018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9AFE13D" w14:textId="77777777" w:rsidTr="00CE2820">
        <w:trPr>
          <w:cantSplit/>
        </w:trPr>
        <w:tc>
          <w:tcPr>
            <w:tcW w:w="3168" w:type="dxa"/>
            <w:shd w:val="clear" w:color="auto" w:fill="auto"/>
          </w:tcPr>
          <w:p w14:paraId="73FEF75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Justify ABO/Rh Change</w:t>
            </w:r>
          </w:p>
        </w:tc>
        <w:tc>
          <w:tcPr>
            <w:tcW w:w="5490" w:type="dxa"/>
            <w:shd w:val="clear" w:color="auto" w:fill="auto"/>
          </w:tcPr>
          <w:p w14:paraId="17635B3D"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Other</w:t>
            </w:r>
            <w:r w:rsidRPr="00575988">
              <w:rPr>
                <w:rFonts w:ascii="Arial" w:hAnsi="Arial" w:cs="Arial"/>
                <w:b w:val="0"/>
                <w:sz w:val="18"/>
                <w:szCs w:val="18"/>
              </w:rPr>
              <w:tab/>
            </w:r>
          </w:p>
        </w:tc>
      </w:tr>
      <w:tr w:rsidR="00CE2820" w:rsidRPr="00575988" w14:paraId="5B9B5CA4" w14:textId="77777777" w:rsidTr="00CE2820">
        <w:trPr>
          <w:cantSplit/>
        </w:trPr>
        <w:tc>
          <w:tcPr>
            <w:tcW w:w="3168" w:type="dxa"/>
            <w:shd w:val="clear" w:color="auto" w:fill="auto"/>
          </w:tcPr>
          <w:p w14:paraId="4B60D63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Justify ABO/Rh Discrepancy</w:t>
            </w:r>
          </w:p>
        </w:tc>
        <w:tc>
          <w:tcPr>
            <w:tcW w:w="5490" w:type="dxa"/>
            <w:shd w:val="clear" w:color="auto" w:fill="auto"/>
          </w:tcPr>
          <w:p w14:paraId="5D0631BA"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ABO inconclusive</w:t>
            </w:r>
          </w:p>
          <w:p w14:paraId="51AE862F"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2F5E9C35" w14:textId="77777777" w:rsidR="00CE2820" w:rsidRPr="00575988" w:rsidRDefault="00CE2820" w:rsidP="00CA1F44">
            <w:pPr>
              <w:pStyle w:val="Caption"/>
              <w:keepNext w:val="0"/>
              <w:tabs>
                <w:tab w:val="center" w:pos="1962"/>
              </w:tabs>
              <w:spacing w:before="0" w:after="0"/>
              <w:ind w:left="162" w:hanging="180"/>
              <w:rPr>
                <w:rFonts w:ascii="Arial" w:hAnsi="Arial" w:cs="Arial"/>
                <w:b w:val="0"/>
                <w:sz w:val="18"/>
                <w:szCs w:val="18"/>
              </w:rPr>
            </w:pPr>
            <w:r w:rsidRPr="00575988">
              <w:rPr>
                <w:rFonts w:ascii="Arial" w:hAnsi="Arial" w:cs="Arial"/>
                <w:b w:val="0"/>
                <w:sz w:val="18"/>
                <w:szCs w:val="18"/>
              </w:rPr>
              <w:t>Other</w:t>
            </w:r>
            <w:r w:rsidRPr="00575988">
              <w:rPr>
                <w:rFonts w:ascii="Arial" w:hAnsi="Arial" w:cs="Arial"/>
                <w:b w:val="0"/>
                <w:sz w:val="18"/>
                <w:szCs w:val="18"/>
              </w:rPr>
              <w:tab/>
            </w:r>
          </w:p>
        </w:tc>
      </w:tr>
      <w:tr w:rsidR="00CE2820" w:rsidRPr="00575988" w14:paraId="4CA56D07" w14:textId="77777777" w:rsidTr="00CE2820">
        <w:trPr>
          <w:cantSplit/>
        </w:trPr>
        <w:tc>
          <w:tcPr>
            <w:tcW w:w="3168" w:type="dxa"/>
            <w:shd w:val="clear" w:color="auto" w:fill="auto"/>
          </w:tcPr>
          <w:p w14:paraId="723DF30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Order Cancellation</w:t>
            </w:r>
          </w:p>
        </w:tc>
        <w:tc>
          <w:tcPr>
            <w:tcW w:w="5490" w:type="dxa"/>
            <w:shd w:val="clear" w:color="auto" w:fill="auto"/>
          </w:tcPr>
          <w:p w14:paraId="4DA1C35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Inappropriate blood component ordered</w:t>
            </w:r>
          </w:p>
          <w:p w14:paraId="51CEB77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Inappropriate test ordered</w:t>
            </w:r>
          </w:p>
          <w:p w14:paraId="0262380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Max time for active orders exceeded</w:t>
            </w:r>
          </w:p>
          <w:p w14:paraId="0D0C944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36A0331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3AD3FF8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refuses treatment</w:t>
            </w:r>
          </w:p>
          <w:p w14:paraId="71FE282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unavailable</w:t>
            </w:r>
          </w:p>
          <w:p w14:paraId="3E57E2D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E0D0092" w14:textId="77777777" w:rsidTr="00CE2820">
        <w:trPr>
          <w:cantSplit/>
        </w:trPr>
        <w:tc>
          <w:tcPr>
            <w:tcW w:w="3168" w:type="dxa"/>
            <w:shd w:val="clear" w:color="auto" w:fill="auto"/>
          </w:tcPr>
          <w:p w14:paraId="01547E1D"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Order Processing</w:t>
            </w:r>
          </w:p>
        </w:tc>
        <w:tc>
          <w:tcPr>
            <w:tcW w:w="5490" w:type="dxa"/>
            <w:shd w:val="clear" w:color="auto" w:fill="auto"/>
          </w:tcPr>
          <w:p w14:paraId="2176C6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Verbal order</w:t>
            </w:r>
          </w:p>
          <w:p w14:paraId="64A8E2A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D17F64" w:rsidRPr="00575988" w14:paraId="43B70B7A" w14:textId="77777777" w:rsidTr="00615FC3">
        <w:trPr>
          <w:cantSplit/>
        </w:trPr>
        <w:tc>
          <w:tcPr>
            <w:tcW w:w="3168" w:type="dxa"/>
            <w:shd w:val="clear" w:color="auto" w:fill="auto"/>
          </w:tcPr>
          <w:p w14:paraId="22251103" w14:textId="77777777" w:rsidR="00D17F64" w:rsidRPr="00575988" w:rsidRDefault="00D17F64" w:rsidP="00615FC3">
            <w:pPr>
              <w:pStyle w:val="Caption"/>
              <w:keepNext w:val="0"/>
              <w:spacing w:before="0" w:after="0"/>
              <w:rPr>
                <w:rFonts w:ascii="Arial" w:hAnsi="Arial" w:cs="Arial"/>
                <w:b w:val="0"/>
                <w:sz w:val="18"/>
                <w:szCs w:val="18"/>
              </w:rPr>
            </w:pPr>
            <w:r>
              <w:rPr>
                <w:rFonts w:ascii="Arial" w:hAnsi="Arial" w:cs="Arial"/>
                <w:b w:val="0"/>
                <w:sz w:val="18"/>
                <w:szCs w:val="18"/>
              </w:rPr>
              <w:t>Outgoing Shipment</w:t>
            </w:r>
          </w:p>
        </w:tc>
        <w:tc>
          <w:tcPr>
            <w:tcW w:w="5490" w:type="dxa"/>
            <w:shd w:val="clear" w:color="auto" w:fill="auto"/>
          </w:tcPr>
          <w:p w14:paraId="73E217C6"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531D865" w14:textId="77777777" w:rsidTr="00CE2820">
        <w:trPr>
          <w:cantSplit/>
        </w:trPr>
        <w:tc>
          <w:tcPr>
            <w:tcW w:w="3168" w:type="dxa"/>
            <w:shd w:val="clear" w:color="auto" w:fill="auto"/>
          </w:tcPr>
          <w:p w14:paraId="13DBAA9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Parameter Setting Change</w:t>
            </w:r>
          </w:p>
        </w:tc>
        <w:tc>
          <w:tcPr>
            <w:tcW w:w="5490" w:type="dxa"/>
            <w:shd w:val="clear" w:color="auto" w:fill="auto"/>
          </w:tcPr>
          <w:p w14:paraId="6D2D57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7F81A24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Resetting due to policy change</w:t>
            </w:r>
          </w:p>
          <w:p w14:paraId="2B3AAD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18E90C2B" w14:textId="77777777" w:rsidTr="00CE2820">
        <w:trPr>
          <w:cantSplit/>
        </w:trPr>
        <w:tc>
          <w:tcPr>
            <w:tcW w:w="3168" w:type="dxa"/>
            <w:shd w:val="clear" w:color="auto" w:fill="auto"/>
          </w:tcPr>
          <w:p w14:paraId="64475C7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Patient Testing</w:t>
            </w:r>
          </w:p>
        </w:tc>
        <w:tc>
          <w:tcPr>
            <w:tcW w:w="5490" w:type="dxa"/>
            <w:shd w:val="clear" w:color="auto" w:fill="auto"/>
          </w:tcPr>
          <w:p w14:paraId="20B3A09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Lab equipment failure</w:t>
            </w:r>
          </w:p>
          <w:p w14:paraId="2624ACC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New lot numbers in use</w:t>
            </w:r>
          </w:p>
          <w:p w14:paraId="6804312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New specimen required</w:t>
            </w:r>
          </w:p>
          <w:p w14:paraId="03DF1C4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ruined during test process</w:t>
            </w:r>
          </w:p>
          <w:p w14:paraId="214CD1F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cancelled</w:t>
            </w:r>
          </w:p>
          <w:p w14:paraId="1B1EF7F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complete, results inconclusive</w:t>
            </w:r>
          </w:p>
          <w:p w14:paraId="0E1AE04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 compromised</w:t>
            </w:r>
          </w:p>
          <w:p w14:paraId="3819A8D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Testing inconclusive</w:t>
            </w:r>
          </w:p>
          <w:p w14:paraId="4B6F967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Testing interrupted</w:t>
            </w:r>
          </w:p>
          <w:p w14:paraId="12EC93A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D17F64" w:rsidRPr="00575988" w14:paraId="58ED052D" w14:textId="77777777" w:rsidTr="00615FC3">
        <w:trPr>
          <w:cantSplit/>
        </w:trPr>
        <w:tc>
          <w:tcPr>
            <w:tcW w:w="3168" w:type="dxa"/>
            <w:shd w:val="clear" w:color="auto" w:fill="auto"/>
          </w:tcPr>
          <w:p w14:paraId="4D3B198B" w14:textId="77777777" w:rsidR="00D17F64" w:rsidRPr="00575988" w:rsidRDefault="00D17F64" w:rsidP="00615FC3">
            <w:pPr>
              <w:pStyle w:val="Caption"/>
              <w:keepNext w:val="0"/>
              <w:spacing w:before="0" w:after="0"/>
              <w:rPr>
                <w:rFonts w:ascii="Arial" w:hAnsi="Arial" w:cs="Arial"/>
                <w:b w:val="0"/>
                <w:sz w:val="18"/>
                <w:szCs w:val="18"/>
              </w:rPr>
            </w:pPr>
            <w:r w:rsidRPr="00575988">
              <w:rPr>
                <w:rFonts w:ascii="Arial" w:hAnsi="Arial" w:cs="Arial"/>
                <w:b w:val="0"/>
                <w:sz w:val="18"/>
                <w:szCs w:val="18"/>
              </w:rPr>
              <w:t>Post-Transfusion Specimen Checks</w:t>
            </w:r>
          </w:p>
        </w:tc>
        <w:tc>
          <w:tcPr>
            <w:tcW w:w="5490" w:type="dxa"/>
            <w:shd w:val="clear" w:color="auto" w:fill="auto"/>
          </w:tcPr>
          <w:p w14:paraId="6F4FC07C" w14:textId="77777777" w:rsidR="00D17F64"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619850D4" w14:textId="77777777" w:rsidR="00D17F64"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2B61B18E" w14:textId="77777777" w:rsidR="00D17F64"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5DE55493" w14:textId="77777777" w:rsidR="00D17F64"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41EA69E3"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D17F64" w:rsidRPr="00575988" w14:paraId="34E68E88" w14:textId="77777777" w:rsidTr="00615FC3">
        <w:trPr>
          <w:cantSplit/>
        </w:trPr>
        <w:tc>
          <w:tcPr>
            <w:tcW w:w="3168" w:type="dxa"/>
            <w:shd w:val="clear" w:color="auto" w:fill="auto"/>
          </w:tcPr>
          <w:p w14:paraId="26A09281" w14:textId="77777777" w:rsidR="00D17F64" w:rsidRPr="00575988" w:rsidRDefault="00D17F64" w:rsidP="00615FC3">
            <w:pPr>
              <w:pStyle w:val="Caption"/>
              <w:keepNext w:val="0"/>
              <w:spacing w:before="0" w:after="0"/>
              <w:rPr>
                <w:rFonts w:ascii="Arial" w:hAnsi="Arial" w:cs="Arial"/>
                <w:b w:val="0"/>
                <w:sz w:val="18"/>
                <w:szCs w:val="18"/>
              </w:rPr>
            </w:pPr>
            <w:r w:rsidRPr="00575988">
              <w:rPr>
                <w:rFonts w:ascii="Arial" w:hAnsi="Arial" w:cs="Arial"/>
                <w:b w:val="0"/>
                <w:sz w:val="18"/>
                <w:szCs w:val="18"/>
              </w:rPr>
              <w:t>Pre-Transfusion Specimen Checks</w:t>
            </w:r>
          </w:p>
        </w:tc>
        <w:tc>
          <w:tcPr>
            <w:tcW w:w="5490" w:type="dxa"/>
            <w:shd w:val="clear" w:color="auto" w:fill="auto"/>
          </w:tcPr>
          <w:p w14:paraId="79212A8A" w14:textId="77777777" w:rsidR="00D17F64"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0869DB82" w14:textId="77777777" w:rsidR="00D17F64"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6016C8F1" w14:textId="77777777" w:rsidR="00D17F64"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6527A0A9" w14:textId="77777777" w:rsidR="00D17F64"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3C4B6ECD"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F4169D9" w14:textId="77777777" w:rsidTr="00CE2820">
        <w:trPr>
          <w:cantSplit/>
        </w:trPr>
        <w:tc>
          <w:tcPr>
            <w:tcW w:w="3168" w:type="dxa"/>
            <w:shd w:val="clear" w:color="auto" w:fill="auto"/>
          </w:tcPr>
          <w:p w14:paraId="3F847E5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Quarantine/Discard</w:t>
            </w:r>
          </w:p>
        </w:tc>
        <w:tc>
          <w:tcPr>
            <w:tcW w:w="5490" w:type="dxa"/>
            <w:shd w:val="clear" w:color="auto" w:fill="auto"/>
          </w:tcPr>
          <w:p w14:paraId="58EF128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ABO inconclusive</w:t>
            </w:r>
          </w:p>
          <w:p w14:paraId="66A7108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Disposition for research</w:t>
            </w:r>
          </w:p>
          <w:p w14:paraId="3232B19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Expired</w:t>
            </w:r>
          </w:p>
          <w:p w14:paraId="5DD3A27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Incinerated</w:t>
            </w:r>
          </w:p>
          <w:p w14:paraId="1B0C299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3CA52DF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27E17D4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Prolonged storage outside of monitored storage area</w:t>
            </w:r>
          </w:p>
          <w:p w14:paraId="1090D6A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1F86A84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0BF31BD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0880C63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4909510" w14:textId="77777777" w:rsidTr="00CE2820">
        <w:trPr>
          <w:cantSplit/>
        </w:trPr>
        <w:tc>
          <w:tcPr>
            <w:tcW w:w="3168" w:type="dxa"/>
            <w:shd w:val="clear" w:color="auto" w:fill="auto"/>
          </w:tcPr>
          <w:p w14:paraId="1B868E50"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Reagent and Supply</w:t>
            </w:r>
          </w:p>
        </w:tc>
        <w:tc>
          <w:tcPr>
            <w:tcW w:w="5490" w:type="dxa"/>
            <w:shd w:val="clear" w:color="auto" w:fill="auto"/>
          </w:tcPr>
          <w:p w14:paraId="140E5CC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upon receipt</w:t>
            </w:r>
          </w:p>
          <w:p w14:paraId="060AA76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Contaminated</w:t>
            </w:r>
          </w:p>
          <w:p w14:paraId="61C4AAC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Improperly stored</w:t>
            </w:r>
          </w:p>
          <w:p w14:paraId="50D7788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Product shortage</w:t>
            </w:r>
          </w:p>
          <w:p w14:paraId="753747F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Spilled</w:t>
            </w:r>
          </w:p>
          <w:p w14:paraId="64D039F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Unsatisfactory, return to supplier</w:t>
            </w:r>
          </w:p>
          <w:p w14:paraId="234CF9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Updated inventory</w:t>
            </w:r>
          </w:p>
          <w:p w14:paraId="5B130AC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0A5BAD6B" w14:textId="77777777" w:rsidTr="00CE2820">
        <w:trPr>
          <w:cantSplit/>
        </w:trPr>
        <w:tc>
          <w:tcPr>
            <w:tcW w:w="3168" w:type="dxa"/>
            <w:shd w:val="clear" w:color="auto" w:fill="auto"/>
          </w:tcPr>
          <w:p w14:paraId="62C6CD09"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Reason for Release</w:t>
            </w:r>
          </w:p>
        </w:tc>
        <w:tc>
          <w:tcPr>
            <w:tcW w:w="5490" w:type="dxa"/>
            <w:shd w:val="clear" w:color="auto" w:fill="auto"/>
          </w:tcPr>
          <w:p w14:paraId="7FB4B792" w14:textId="25804C0C" w:rsidR="00CE2820" w:rsidRPr="00575988" w:rsidRDefault="006549B7"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24-hour</w:t>
            </w:r>
            <w:r w:rsidR="00CE2820" w:rsidRPr="00575988">
              <w:rPr>
                <w:rFonts w:ascii="Arial" w:hAnsi="Arial" w:cs="Arial"/>
                <w:b w:val="0"/>
                <w:sz w:val="18"/>
                <w:szCs w:val="18"/>
              </w:rPr>
              <w:t xml:space="preserve"> post-op</w:t>
            </w:r>
          </w:p>
          <w:p w14:paraId="52F34C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Biohazardous</w:t>
            </w:r>
          </w:p>
          <w:p w14:paraId="5AB9A43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Counts or levels exceed transfusion trigger</w:t>
            </w:r>
          </w:p>
          <w:p w14:paraId="1EDD470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For use by another patient</w:t>
            </w:r>
          </w:p>
          <w:p w14:paraId="29FB36E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Order cancelled</w:t>
            </w:r>
          </w:p>
          <w:p w14:paraId="257627D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40E245F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43A38BD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expired</w:t>
            </w:r>
          </w:p>
          <w:p w14:paraId="7438B94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Transfusion reaction</w:t>
            </w:r>
          </w:p>
          <w:p w14:paraId="3F27E00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expired</w:t>
            </w:r>
          </w:p>
          <w:p w14:paraId="77C98E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D17F64" w:rsidRPr="00575988" w14:paraId="049BEFA5" w14:textId="77777777" w:rsidTr="00615FC3">
        <w:trPr>
          <w:cantSplit/>
        </w:trPr>
        <w:tc>
          <w:tcPr>
            <w:tcW w:w="3168" w:type="dxa"/>
            <w:shd w:val="clear" w:color="auto" w:fill="auto"/>
          </w:tcPr>
          <w:p w14:paraId="36799BC8" w14:textId="77777777" w:rsidR="00D17F64" w:rsidRPr="00575988" w:rsidRDefault="00D17F64" w:rsidP="00615FC3">
            <w:pPr>
              <w:pStyle w:val="Caption"/>
              <w:keepNext w:val="0"/>
              <w:spacing w:before="0" w:after="0"/>
              <w:rPr>
                <w:rFonts w:ascii="Arial" w:hAnsi="Arial" w:cs="Arial"/>
                <w:b w:val="0"/>
                <w:sz w:val="18"/>
                <w:szCs w:val="18"/>
              </w:rPr>
            </w:pPr>
            <w:r w:rsidRPr="00575988">
              <w:rPr>
                <w:rFonts w:ascii="Arial" w:hAnsi="Arial" w:cs="Arial"/>
                <w:b w:val="0"/>
                <w:sz w:val="18"/>
                <w:szCs w:val="18"/>
              </w:rPr>
              <w:t>Release from Quarantine</w:t>
            </w:r>
          </w:p>
        </w:tc>
        <w:tc>
          <w:tcPr>
            <w:tcW w:w="5490" w:type="dxa"/>
            <w:shd w:val="clear" w:color="auto" w:fill="auto"/>
          </w:tcPr>
          <w:p w14:paraId="725A131B"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7DE8808" w14:textId="77777777" w:rsidTr="00CE2820">
        <w:trPr>
          <w:cantSplit/>
        </w:trPr>
        <w:tc>
          <w:tcPr>
            <w:tcW w:w="3168" w:type="dxa"/>
            <w:shd w:val="clear" w:color="auto" w:fill="auto"/>
          </w:tcPr>
          <w:p w14:paraId="7A189EE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Special Instruction Inactivation</w:t>
            </w:r>
          </w:p>
        </w:tc>
        <w:tc>
          <w:tcPr>
            <w:tcW w:w="5490" w:type="dxa"/>
            <w:shd w:val="clear" w:color="auto" w:fill="auto"/>
          </w:tcPr>
          <w:p w14:paraId="1D96387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applies</w:t>
            </w:r>
          </w:p>
          <w:p w14:paraId="270076E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2764AFE9" w14:textId="77777777" w:rsidTr="00CE2820">
        <w:trPr>
          <w:cantSplit/>
        </w:trPr>
        <w:tc>
          <w:tcPr>
            <w:tcW w:w="3168" w:type="dxa"/>
            <w:shd w:val="clear" w:color="auto" w:fill="auto"/>
          </w:tcPr>
          <w:p w14:paraId="0F158E60"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Special Instructions</w:t>
            </w:r>
          </w:p>
        </w:tc>
        <w:tc>
          <w:tcPr>
            <w:tcW w:w="5490" w:type="dxa"/>
            <w:shd w:val="clear" w:color="auto" w:fill="auto"/>
          </w:tcPr>
          <w:p w14:paraId="4903A8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Check the patient’s blood counts before selecting units, use often exceeds original order</w:t>
            </w:r>
          </w:p>
          <w:p w14:paraId="2C70B07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has rouleaux; saline replacement crossmatches are needed</w:t>
            </w:r>
          </w:p>
          <w:p w14:paraId="7A2DE0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Split units for transfusion today</w:t>
            </w:r>
          </w:p>
          <w:p w14:paraId="4D112F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Volume reduce platelet pools over 300 mL</w:t>
            </w:r>
          </w:p>
        </w:tc>
      </w:tr>
      <w:tr w:rsidR="00CE2820" w:rsidRPr="00575988" w14:paraId="6BA8A52E" w14:textId="77777777" w:rsidTr="00CE2820">
        <w:trPr>
          <w:cantSplit/>
        </w:trPr>
        <w:tc>
          <w:tcPr>
            <w:tcW w:w="3168" w:type="dxa"/>
            <w:shd w:val="clear" w:color="auto" w:fill="auto"/>
          </w:tcPr>
          <w:p w14:paraId="5CBD339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Extension</w:t>
            </w:r>
          </w:p>
        </w:tc>
        <w:tc>
          <w:tcPr>
            <w:tcW w:w="5490" w:type="dxa"/>
            <w:shd w:val="clear" w:color="auto" w:fill="auto"/>
          </w:tcPr>
          <w:p w14:paraId="61711FA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Pre-op Workup</w:t>
            </w:r>
          </w:p>
          <w:p w14:paraId="4BD8A79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Surgery rescheduled</w:t>
            </w:r>
          </w:p>
          <w:p w14:paraId="51A2BFE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8E064B4" w14:textId="77777777" w:rsidTr="00CE2820">
        <w:trPr>
          <w:cantSplit/>
        </w:trPr>
        <w:tc>
          <w:tcPr>
            <w:tcW w:w="3168" w:type="dxa"/>
            <w:shd w:val="clear" w:color="auto" w:fill="auto"/>
          </w:tcPr>
          <w:p w14:paraId="3FD5D29E"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General</w:t>
            </w:r>
          </w:p>
        </w:tc>
        <w:tc>
          <w:tcPr>
            <w:tcW w:w="5490" w:type="dxa"/>
            <w:shd w:val="clear" w:color="auto" w:fill="auto"/>
          </w:tcPr>
          <w:p w14:paraId="08FDC973"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eligible for specimen extension</w:t>
            </w:r>
          </w:p>
          <w:p w14:paraId="0B25F04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recollected</w:t>
            </w:r>
          </w:p>
          <w:p w14:paraId="497FDA2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55DA605" w14:textId="77777777" w:rsidTr="00CE2820">
        <w:trPr>
          <w:cantSplit/>
        </w:trPr>
        <w:tc>
          <w:tcPr>
            <w:tcW w:w="3168" w:type="dxa"/>
            <w:shd w:val="clear" w:color="auto" w:fill="auto"/>
          </w:tcPr>
          <w:p w14:paraId="63842E1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Processing</w:t>
            </w:r>
          </w:p>
        </w:tc>
        <w:tc>
          <w:tcPr>
            <w:tcW w:w="5490" w:type="dxa"/>
            <w:shd w:val="clear" w:color="auto" w:fill="auto"/>
          </w:tcPr>
          <w:p w14:paraId="60EA483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eligible for specimen extension</w:t>
            </w:r>
          </w:p>
          <w:p w14:paraId="16E0F72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4F75EA6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recollected</w:t>
            </w:r>
          </w:p>
          <w:p w14:paraId="79AE78C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D17F64" w:rsidRPr="00575988" w14:paraId="235A05AF" w14:textId="77777777" w:rsidTr="00615FC3">
        <w:trPr>
          <w:cantSplit/>
        </w:trPr>
        <w:tc>
          <w:tcPr>
            <w:tcW w:w="3168" w:type="dxa"/>
            <w:shd w:val="clear" w:color="auto" w:fill="auto"/>
          </w:tcPr>
          <w:p w14:paraId="5178EBCC" w14:textId="77777777" w:rsidR="00D17F64" w:rsidRPr="00575988" w:rsidRDefault="00D17F64" w:rsidP="00615FC3">
            <w:pPr>
              <w:pStyle w:val="Caption"/>
              <w:keepNext w:val="0"/>
              <w:spacing w:before="0" w:after="0"/>
              <w:rPr>
                <w:rFonts w:ascii="Arial" w:hAnsi="Arial" w:cs="Arial"/>
                <w:b w:val="0"/>
                <w:sz w:val="18"/>
                <w:szCs w:val="18"/>
              </w:rPr>
            </w:pPr>
            <w:r w:rsidRPr="00575988">
              <w:rPr>
                <w:rFonts w:ascii="Arial" w:hAnsi="Arial" w:cs="Arial"/>
                <w:b w:val="0"/>
                <w:sz w:val="18"/>
                <w:szCs w:val="18"/>
              </w:rPr>
              <w:t>Specimen Required</w:t>
            </w:r>
          </w:p>
        </w:tc>
        <w:tc>
          <w:tcPr>
            <w:tcW w:w="5490" w:type="dxa"/>
            <w:shd w:val="clear" w:color="auto" w:fill="auto"/>
          </w:tcPr>
          <w:p w14:paraId="26FACBA0"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7E627CC8"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19343A0" w14:textId="77777777" w:rsidTr="00CE2820">
        <w:trPr>
          <w:cantSplit/>
        </w:trPr>
        <w:tc>
          <w:tcPr>
            <w:tcW w:w="3168" w:type="dxa"/>
            <w:shd w:val="clear" w:color="auto" w:fill="auto"/>
          </w:tcPr>
          <w:p w14:paraId="64B6DB5E"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Specimen Unacceptable</w:t>
            </w:r>
          </w:p>
        </w:tc>
        <w:tc>
          <w:tcPr>
            <w:tcW w:w="5490" w:type="dxa"/>
            <w:shd w:val="clear" w:color="auto" w:fill="auto"/>
          </w:tcPr>
          <w:p w14:paraId="560A7EE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during processing</w:t>
            </w:r>
          </w:p>
          <w:p w14:paraId="6BB3A1B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label</w:t>
            </w:r>
          </w:p>
          <w:p w14:paraId="654FA0A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or unreadable Phlebotomist ID</w:t>
            </w:r>
          </w:p>
          <w:p w14:paraId="3AD20E5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Incorrectly labeled</w:t>
            </w:r>
          </w:p>
          <w:p w14:paraId="277CEEE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phlebotomist ID</w:t>
            </w:r>
          </w:p>
          <w:p w14:paraId="7EE50E51"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QNS (quantity not sufficient)</w:t>
            </w:r>
          </w:p>
          <w:p w14:paraId="34633EC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and paperwork do not match</w:t>
            </w:r>
          </w:p>
          <w:p w14:paraId="5E6CFE3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hemolyzed</w:t>
            </w:r>
          </w:p>
          <w:p w14:paraId="166233B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misplaced</w:t>
            </w:r>
          </w:p>
          <w:p w14:paraId="5067C1B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Specimen not received</w:t>
            </w:r>
          </w:p>
          <w:p w14:paraId="37802E9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Wrong specimen type collected</w:t>
            </w:r>
          </w:p>
          <w:p w14:paraId="4B88939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D17F64" w:rsidRPr="00575988" w14:paraId="400978E9" w14:textId="77777777" w:rsidTr="00615FC3">
        <w:trPr>
          <w:cantSplit/>
        </w:trPr>
        <w:tc>
          <w:tcPr>
            <w:tcW w:w="3168" w:type="dxa"/>
            <w:shd w:val="clear" w:color="auto" w:fill="auto"/>
          </w:tcPr>
          <w:p w14:paraId="2B30992C" w14:textId="77777777" w:rsidR="00D17F64" w:rsidRPr="00575988" w:rsidRDefault="00D17F64" w:rsidP="00615FC3">
            <w:pPr>
              <w:pStyle w:val="Caption"/>
              <w:keepNext w:val="0"/>
              <w:spacing w:before="0" w:after="0"/>
              <w:rPr>
                <w:rFonts w:ascii="Arial" w:hAnsi="Arial" w:cs="Arial"/>
                <w:b w:val="0"/>
                <w:sz w:val="18"/>
                <w:szCs w:val="18"/>
              </w:rPr>
            </w:pPr>
            <w:r w:rsidRPr="00575988">
              <w:rPr>
                <w:rFonts w:ascii="Arial" w:hAnsi="Arial" w:cs="Arial"/>
                <w:b w:val="0"/>
                <w:sz w:val="18"/>
                <w:szCs w:val="18"/>
              </w:rPr>
              <w:t>Symptom Details</w:t>
            </w:r>
          </w:p>
        </w:tc>
        <w:tc>
          <w:tcPr>
            <w:tcW w:w="5490" w:type="dxa"/>
            <w:shd w:val="clear" w:color="auto" w:fill="auto"/>
          </w:tcPr>
          <w:p w14:paraId="0270E4E3"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D17F64" w:rsidRPr="00575988" w14:paraId="6D0F2419" w14:textId="77777777" w:rsidTr="00615FC3">
        <w:trPr>
          <w:cantSplit/>
        </w:trPr>
        <w:tc>
          <w:tcPr>
            <w:tcW w:w="3168" w:type="dxa"/>
            <w:shd w:val="clear" w:color="auto" w:fill="auto"/>
          </w:tcPr>
          <w:p w14:paraId="46704F13" w14:textId="77777777" w:rsidR="00D17F64" w:rsidRPr="00575988" w:rsidRDefault="00D17F64" w:rsidP="00615FC3">
            <w:pPr>
              <w:pStyle w:val="Caption"/>
              <w:keepNext w:val="0"/>
              <w:spacing w:before="0" w:after="0"/>
              <w:rPr>
                <w:rFonts w:ascii="Arial" w:hAnsi="Arial" w:cs="Arial"/>
                <w:b w:val="0"/>
                <w:sz w:val="18"/>
                <w:szCs w:val="18"/>
              </w:rPr>
            </w:pPr>
            <w:r w:rsidRPr="00575988">
              <w:rPr>
                <w:rFonts w:ascii="Arial" w:hAnsi="Arial" w:cs="Arial"/>
                <w:b w:val="0"/>
                <w:sz w:val="18"/>
                <w:szCs w:val="18"/>
              </w:rPr>
              <w:t>Transfusion Blood Bag Not Returned</w:t>
            </w:r>
          </w:p>
        </w:tc>
        <w:tc>
          <w:tcPr>
            <w:tcW w:w="5490" w:type="dxa"/>
            <w:shd w:val="clear" w:color="auto" w:fill="auto"/>
          </w:tcPr>
          <w:p w14:paraId="5D9660DF"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D17F64" w:rsidRPr="00575988" w14:paraId="42F621E8" w14:textId="77777777" w:rsidTr="00615FC3">
        <w:trPr>
          <w:cantSplit/>
        </w:trPr>
        <w:tc>
          <w:tcPr>
            <w:tcW w:w="3168" w:type="dxa"/>
            <w:shd w:val="clear" w:color="auto" w:fill="auto"/>
          </w:tcPr>
          <w:p w14:paraId="78E8D228" w14:textId="77777777" w:rsidR="00D17F64" w:rsidRPr="00575988" w:rsidRDefault="00D17F64" w:rsidP="00615FC3">
            <w:pPr>
              <w:pStyle w:val="Caption"/>
              <w:keepNext w:val="0"/>
              <w:spacing w:before="0" w:after="0"/>
              <w:rPr>
                <w:rFonts w:ascii="Arial" w:hAnsi="Arial" w:cs="Arial"/>
                <w:b w:val="0"/>
                <w:sz w:val="18"/>
                <w:szCs w:val="18"/>
              </w:rPr>
            </w:pPr>
            <w:r w:rsidRPr="00575988">
              <w:rPr>
                <w:rFonts w:ascii="Arial" w:hAnsi="Arial" w:cs="Arial"/>
                <w:b w:val="0"/>
                <w:sz w:val="18"/>
                <w:szCs w:val="18"/>
              </w:rPr>
              <w:t>Transfusion Clerical Checks Failed</w:t>
            </w:r>
          </w:p>
        </w:tc>
        <w:tc>
          <w:tcPr>
            <w:tcW w:w="5490" w:type="dxa"/>
            <w:shd w:val="clear" w:color="auto" w:fill="auto"/>
          </w:tcPr>
          <w:p w14:paraId="16D34B22" w14:textId="77777777" w:rsidR="00D17F64" w:rsidRPr="00575988" w:rsidRDefault="00D17F64"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2B22D17" w14:textId="77777777" w:rsidTr="00CE2820">
        <w:trPr>
          <w:cantSplit/>
        </w:trPr>
        <w:tc>
          <w:tcPr>
            <w:tcW w:w="3168" w:type="dxa"/>
            <w:shd w:val="clear" w:color="auto" w:fill="auto"/>
          </w:tcPr>
          <w:p w14:paraId="1996324F"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Processing</w:t>
            </w:r>
          </w:p>
        </w:tc>
        <w:tc>
          <w:tcPr>
            <w:tcW w:w="5490" w:type="dxa"/>
            <w:shd w:val="clear" w:color="auto" w:fill="auto"/>
          </w:tcPr>
          <w:p w14:paraId="3214CAB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76F6BC80" w14:textId="77777777" w:rsidTr="00CE2820">
        <w:trPr>
          <w:cantSplit/>
        </w:trPr>
        <w:tc>
          <w:tcPr>
            <w:tcW w:w="3168" w:type="dxa"/>
            <w:shd w:val="clear" w:color="auto" w:fill="auto"/>
          </w:tcPr>
          <w:p w14:paraId="6878BE4B"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Reaction Workup</w:t>
            </w:r>
          </w:p>
        </w:tc>
        <w:tc>
          <w:tcPr>
            <w:tcW w:w="5490" w:type="dxa"/>
            <w:shd w:val="clear" w:color="auto" w:fill="auto"/>
          </w:tcPr>
          <w:p w14:paraId="7B29358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57DE7D9F" w14:textId="77777777" w:rsidTr="00CE2820">
        <w:trPr>
          <w:cantSplit/>
        </w:trPr>
        <w:tc>
          <w:tcPr>
            <w:tcW w:w="3168" w:type="dxa"/>
            <w:shd w:val="clear" w:color="auto" w:fill="auto"/>
          </w:tcPr>
          <w:p w14:paraId="2A77C153"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Transfusion Requirement Inactivation</w:t>
            </w:r>
          </w:p>
        </w:tc>
        <w:tc>
          <w:tcPr>
            <w:tcW w:w="5490" w:type="dxa"/>
            <w:shd w:val="clear" w:color="auto" w:fill="auto"/>
          </w:tcPr>
          <w:p w14:paraId="4F40559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72210DF2"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applied</w:t>
            </w:r>
          </w:p>
          <w:p w14:paraId="7920F9A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Order cancelled</w:t>
            </w:r>
          </w:p>
          <w:p w14:paraId="0116FF99"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6A58486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F358AF" w:rsidRPr="00575988" w14:paraId="4CCD8A32" w14:textId="77777777" w:rsidTr="00615FC3">
        <w:trPr>
          <w:cantSplit/>
        </w:trPr>
        <w:tc>
          <w:tcPr>
            <w:tcW w:w="3168" w:type="dxa"/>
            <w:shd w:val="clear" w:color="auto" w:fill="auto"/>
          </w:tcPr>
          <w:p w14:paraId="37500970" w14:textId="77777777" w:rsidR="00F358AF" w:rsidRPr="00575988" w:rsidRDefault="00F358AF" w:rsidP="00615FC3">
            <w:pPr>
              <w:pStyle w:val="Caption"/>
              <w:keepNext w:val="0"/>
              <w:spacing w:before="0" w:after="0"/>
              <w:rPr>
                <w:rFonts w:ascii="Arial" w:hAnsi="Arial" w:cs="Arial"/>
                <w:b w:val="0"/>
                <w:sz w:val="18"/>
                <w:szCs w:val="18"/>
              </w:rPr>
            </w:pPr>
            <w:r w:rsidRPr="00575988">
              <w:rPr>
                <w:rFonts w:ascii="Arial" w:hAnsi="Arial" w:cs="Arial"/>
                <w:b w:val="0"/>
                <w:sz w:val="18"/>
                <w:szCs w:val="18"/>
              </w:rPr>
              <w:t>Unit Data Invalidation</w:t>
            </w:r>
          </w:p>
        </w:tc>
        <w:tc>
          <w:tcPr>
            <w:tcW w:w="5490" w:type="dxa"/>
            <w:shd w:val="clear" w:color="auto" w:fill="auto"/>
          </w:tcPr>
          <w:p w14:paraId="1486D625" w14:textId="77777777" w:rsidR="00F358AF" w:rsidRPr="00575988" w:rsidRDefault="00F358AF"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13D215B9" w14:textId="77777777" w:rsidR="00F358AF" w:rsidRDefault="00F358AF"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7D980A3C" w14:textId="77777777" w:rsidR="00F358AF" w:rsidRPr="00575988" w:rsidRDefault="00F358AF"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E62DDDD" w14:textId="77777777" w:rsidTr="00CE2820">
        <w:trPr>
          <w:cantSplit/>
        </w:trPr>
        <w:tc>
          <w:tcPr>
            <w:tcW w:w="3168" w:type="dxa"/>
            <w:shd w:val="clear" w:color="auto" w:fill="auto"/>
          </w:tcPr>
          <w:p w14:paraId="0D8618C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Inactivation</w:t>
            </w:r>
          </w:p>
        </w:tc>
        <w:tc>
          <w:tcPr>
            <w:tcW w:w="5490" w:type="dxa"/>
            <w:shd w:val="clear" w:color="auto" w:fill="auto"/>
          </w:tcPr>
          <w:p w14:paraId="6C713FD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Clerical error</w:t>
            </w:r>
          </w:p>
          <w:p w14:paraId="4FABFC9E"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Typographical error</w:t>
            </w:r>
          </w:p>
          <w:p w14:paraId="140712A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340A4F84" w14:textId="77777777" w:rsidTr="00CE2820">
        <w:trPr>
          <w:cantSplit/>
        </w:trPr>
        <w:tc>
          <w:tcPr>
            <w:tcW w:w="3168" w:type="dxa"/>
            <w:shd w:val="clear" w:color="auto" w:fill="auto"/>
          </w:tcPr>
          <w:p w14:paraId="3F18046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Issue</w:t>
            </w:r>
          </w:p>
        </w:tc>
        <w:tc>
          <w:tcPr>
            <w:tcW w:w="5490" w:type="dxa"/>
            <w:shd w:val="clear" w:color="auto" w:fill="auto"/>
          </w:tcPr>
          <w:p w14:paraId="176D6A5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5B944DD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Critical need</w:t>
            </w:r>
          </w:p>
          <w:p w14:paraId="6379FAB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5994AD6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Issued to ER</w:t>
            </w:r>
          </w:p>
          <w:p w14:paraId="37CE121A"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779951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4FDF38B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Remote storage cooler A</w:t>
            </w:r>
          </w:p>
          <w:p w14:paraId="418F501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3200887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Visual inspection unsatisfactory</w:t>
            </w:r>
          </w:p>
          <w:p w14:paraId="59808F6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1465A4" w14:paraId="07E77264" w14:textId="77777777" w:rsidTr="00CE2820">
        <w:trPr>
          <w:cantSplit/>
        </w:trPr>
        <w:tc>
          <w:tcPr>
            <w:tcW w:w="3168" w:type="dxa"/>
            <w:shd w:val="clear" w:color="auto" w:fill="auto"/>
          </w:tcPr>
          <w:p w14:paraId="0A99406A"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Modification</w:t>
            </w:r>
          </w:p>
        </w:tc>
        <w:tc>
          <w:tcPr>
            <w:tcW w:w="5490" w:type="dxa"/>
            <w:shd w:val="clear" w:color="auto" w:fill="auto"/>
          </w:tcPr>
          <w:p w14:paraId="3448E498"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Contaminated</w:t>
            </w:r>
          </w:p>
          <w:p w14:paraId="6B767C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3BA6446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749B610F"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F358AF" w:rsidRPr="001465A4" w14:paraId="7F567BA6" w14:textId="77777777" w:rsidTr="00615FC3">
        <w:trPr>
          <w:cantSplit/>
        </w:trPr>
        <w:tc>
          <w:tcPr>
            <w:tcW w:w="3168" w:type="dxa"/>
            <w:shd w:val="clear" w:color="auto" w:fill="auto"/>
          </w:tcPr>
          <w:p w14:paraId="45504FD8" w14:textId="77777777" w:rsidR="00F358AF" w:rsidRPr="00575988" w:rsidRDefault="00F358AF" w:rsidP="00615FC3">
            <w:pPr>
              <w:pStyle w:val="Caption"/>
              <w:keepNext w:val="0"/>
              <w:spacing w:before="0" w:after="0"/>
              <w:rPr>
                <w:rFonts w:ascii="Arial" w:hAnsi="Arial" w:cs="Arial"/>
                <w:b w:val="0"/>
                <w:sz w:val="18"/>
                <w:szCs w:val="18"/>
              </w:rPr>
            </w:pPr>
            <w:r w:rsidRPr="00575988">
              <w:rPr>
                <w:rFonts w:ascii="Arial" w:hAnsi="Arial" w:cs="Arial"/>
                <w:b w:val="0"/>
                <w:sz w:val="18"/>
                <w:szCs w:val="18"/>
              </w:rPr>
              <w:t>Unit Restriction</w:t>
            </w:r>
          </w:p>
        </w:tc>
        <w:tc>
          <w:tcPr>
            <w:tcW w:w="5490" w:type="dxa"/>
            <w:shd w:val="clear" w:color="auto" w:fill="auto"/>
          </w:tcPr>
          <w:p w14:paraId="3513EEE8" w14:textId="77777777" w:rsidR="00F358AF" w:rsidRDefault="00F358AF" w:rsidP="00615FC3">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No longer applied</w:t>
            </w:r>
          </w:p>
          <w:p w14:paraId="58C1012A" w14:textId="77777777" w:rsidR="00F358AF" w:rsidRPr="001465A4" w:rsidRDefault="00F358AF" w:rsidP="00615FC3">
            <w:pPr>
              <w:pStyle w:val="Caption"/>
              <w:keepNext w:val="0"/>
              <w:spacing w:before="0" w:after="0"/>
              <w:ind w:left="162" w:hanging="180"/>
            </w:pPr>
            <w:r w:rsidRPr="00575988">
              <w:rPr>
                <w:rFonts w:ascii="Arial" w:hAnsi="Arial" w:cs="Arial"/>
                <w:b w:val="0"/>
                <w:sz w:val="18"/>
                <w:szCs w:val="18"/>
              </w:rPr>
              <w:t>Other</w:t>
            </w:r>
          </w:p>
        </w:tc>
      </w:tr>
      <w:tr w:rsidR="00CE2820" w:rsidRPr="001465A4" w14:paraId="1C2D7183" w14:textId="77777777" w:rsidTr="00CE2820">
        <w:trPr>
          <w:cantSplit/>
        </w:trPr>
        <w:tc>
          <w:tcPr>
            <w:tcW w:w="3168" w:type="dxa"/>
            <w:shd w:val="clear" w:color="auto" w:fill="auto"/>
          </w:tcPr>
          <w:p w14:paraId="551C1635"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Return</w:t>
            </w:r>
          </w:p>
        </w:tc>
        <w:tc>
          <w:tcPr>
            <w:tcW w:w="5490" w:type="dxa"/>
            <w:shd w:val="clear" w:color="auto" w:fill="auto"/>
          </w:tcPr>
          <w:p w14:paraId="318CCBB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01700AD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during processing</w:t>
            </w:r>
          </w:p>
          <w:p w14:paraId="425DA2E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Broken upon receipt</w:t>
            </w:r>
          </w:p>
          <w:p w14:paraId="1D3EE02B"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Expired</w:t>
            </w:r>
          </w:p>
          <w:p w14:paraId="102AA0AC"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Improperly stored</w:t>
            </w:r>
          </w:p>
          <w:p w14:paraId="4E62B22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3B59BA4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deceased</w:t>
            </w:r>
          </w:p>
          <w:p w14:paraId="7C4BA7B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discharged or transferred</w:t>
            </w:r>
          </w:p>
          <w:p w14:paraId="7D6D9EE5"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refuses treatment</w:t>
            </w:r>
          </w:p>
          <w:p w14:paraId="7175B6C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Patient unavailable</w:t>
            </w:r>
          </w:p>
          <w:p w14:paraId="4BF27079"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Punctured</w:t>
            </w:r>
          </w:p>
          <w:p w14:paraId="2ED1ACF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Ruptured during thaw</w:t>
            </w:r>
          </w:p>
          <w:p w14:paraId="3CE680B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Spiked or damaged</w:t>
            </w:r>
          </w:p>
          <w:p w14:paraId="71E4AA4B"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Surgery rescheduled</w:t>
            </w:r>
          </w:p>
          <w:p w14:paraId="6C65F9D4"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1F2E1A27"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Unsatisfactory, return to supplier</w:t>
            </w:r>
          </w:p>
          <w:p w14:paraId="46ADFF71"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1465A4" w14:paraId="2F69C148" w14:textId="77777777" w:rsidTr="00CE2820">
        <w:trPr>
          <w:cantSplit/>
        </w:trPr>
        <w:tc>
          <w:tcPr>
            <w:tcW w:w="3168" w:type="dxa"/>
            <w:shd w:val="clear" w:color="auto" w:fill="auto"/>
          </w:tcPr>
          <w:p w14:paraId="3D91E137"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Selection</w:t>
            </w:r>
          </w:p>
        </w:tc>
        <w:tc>
          <w:tcPr>
            <w:tcW w:w="5490" w:type="dxa"/>
            <w:shd w:val="clear" w:color="auto" w:fill="auto"/>
          </w:tcPr>
          <w:p w14:paraId="2079DCD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Blood shortage</w:t>
            </w:r>
          </w:p>
          <w:p w14:paraId="7E19E01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Critical need</w:t>
            </w:r>
          </w:p>
          <w:p w14:paraId="41B7F20F"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Massive transfusion</w:t>
            </w:r>
          </w:p>
          <w:p w14:paraId="48CDF966"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Rh mismatch selection necessary</w:t>
            </w:r>
          </w:p>
          <w:p w14:paraId="20E590A1"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Trauma</w:t>
            </w:r>
          </w:p>
          <w:p w14:paraId="21EA2A69" w14:textId="77777777" w:rsidR="00CE2820" w:rsidRPr="001465A4"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615C6615" w14:textId="77777777" w:rsidTr="00CE2820">
        <w:trPr>
          <w:cantSplit/>
        </w:trPr>
        <w:tc>
          <w:tcPr>
            <w:tcW w:w="3168" w:type="dxa"/>
            <w:shd w:val="clear" w:color="auto" w:fill="auto"/>
          </w:tcPr>
          <w:p w14:paraId="0728B769"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Status Removal</w:t>
            </w:r>
          </w:p>
        </w:tc>
        <w:tc>
          <w:tcPr>
            <w:tcW w:w="5490" w:type="dxa"/>
            <w:shd w:val="clear" w:color="auto" w:fill="auto"/>
          </w:tcPr>
          <w:p w14:paraId="4010D8D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r w:rsidR="00CE2820" w:rsidRPr="00575988" w14:paraId="42EABC56" w14:textId="77777777" w:rsidTr="00CE2820">
        <w:trPr>
          <w:cantSplit/>
        </w:trPr>
        <w:tc>
          <w:tcPr>
            <w:tcW w:w="3168" w:type="dxa"/>
            <w:shd w:val="clear" w:color="auto" w:fill="auto"/>
          </w:tcPr>
          <w:p w14:paraId="30C51EA1" w14:textId="77777777" w:rsidR="00CE2820" w:rsidRPr="00575988" w:rsidRDefault="00CE2820" w:rsidP="00CA1F44">
            <w:pPr>
              <w:pStyle w:val="Caption"/>
              <w:keepNext w:val="0"/>
              <w:spacing w:before="0" w:after="0"/>
              <w:rPr>
                <w:rFonts w:ascii="Arial" w:hAnsi="Arial" w:cs="Arial"/>
                <w:b w:val="0"/>
                <w:sz w:val="18"/>
                <w:szCs w:val="18"/>
              </w:rPr>
            </w:pPr>
            <w:r w:rsidRPr="00575988">
              <w:rPr>
                <w:rFonts w:ascii="Arial" w:hAnsi="Arial" w:cs="Arial"/>
                <w:b w:val="0"/>
                <w:sz w:val="18"/>
                <w:szCs w:val="18"/>
              </w:rPr>
              <w:t>Unit Testing</w:t>
            </w:r>
          </w:p>
        </w:tc>
        <w:tc>
          <w:tcPr>
            <w:tcW w:w="5490" w:type="dxa"/>
            <w:shd w:val="clear" w:color="auto" w:fill="auto"/>
          </w:tcPr>
          <w:p w14:paraId="1534C8A7"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Incomplete donor screening tests</w:t>
            </w:r>
          </w:p>
          <w:p w14:paraId="2502710E"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Lab equipment failure</w:t>
            </w:r>
          </w:p>
          <w:p w14:paraId="69B7FD60"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Positive donor screening test(s)</w:t>
            </w:r>
          </w:p>
          <w:p w14:paraId="52803D2A" w14:textId="77777777" w:rsidR="00CE2820"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Unit test cancelle</w:t>
            </w:r>
            <w:r>
              <w:rPr>
                <w:rFonts w:ascii="Arial" w:hAnsi="Arial" w:cs="Arial"/>
                <w:b w:val="0"/>
                <w:sz w:val="18"/>
                <w:szCs w:val="18"/>
              </w:rPr>
              <w:t>d</w:t>
            </w:r>
          </w:p>
          <w:p w14:paraId="1CB766AD" w14:textId="77777777" w:rsidR="00CE2820" w:rsidRPr="00575988" w:rsidRDefault="00CE2820" w:rsidP="00CA1F44">
            <w:pPr>
              <w:pStyle w:val="Caption"/>
              <w:keepNext w:val="0"/>
              <w:spacing w:before="0" w:after="0"/>
              <w:ind w:left="162" w:hanging="180"/>
              <w:rPr>
                <w:rFonts w:ascii="Arial" w:hAnsi="Arial" w:cs="Arial"/>
                <w:b w:val="0"/>
                <w:sz w:val="18"/>
                <w:szCs w:val="18"/>
              </w:rPr>
            </w:pPr>
            <w:r w:rsidRPr="00575988">
              <w:rPr>
                <w:rFonts w:ascii="Arial" w:hAnsi="Arial" w:cs="Arial"/>
                <w:b w:val="0"/>
                <w:sz w:val="18"/>
                <w:szCs w:val="18"/>
              </w:rPr>
              <w:t>Other</w:t>
            </w:r>
          </w:p>
        </w:tc>
      </w:tr>
    </w:tbl>
    <w:p w14:paraId="4247FFA4" w14:textId="77777777" w:rsidR="00667BEE" w:rsidRDefault="00667BEE" w:rsidP="00E73261">
      <w:pPr>
        <w:pStyle w:val="Caption"/>
        <w:sectPr w:rsidR="00667BEE" w:rsidSect="004C5759">
          <w:footerReference w:type="default" r:id="rId211"/>
          <w:pgSz w:w="12240" w:h="15840" w:code="1"/>
          <w:pgMar w:top="1440" w:right="1440" w:bottom="1440" w:left="1440" w:header="720" w:footer="720" w:gutter="0"/>
          <w:cols w:space="720"/>
          <w:docGrid w:linePitch="360"/>
        </w:sectPr>
      </w:pPr>
    </w:p>
    <w:p w14:paraId="5F270C98" w14:textId="77777777" w:rsidR="00E73261" w:rsidRDefault="00E73261" w:rsidP="00E73261">
      <w:pPr>
        <w:pStyle w:val="Caption"/>
      </w:pPr>
    </w:p>
    <w:p w14:paraId="781B1123" w14:textId="1F642A49" w:rsidR="00E73261" w:rsidRDefault="00EE455E" w:rsidP="00E73261">
      <w:pPr>
        <w:rPr>
          <w:sz w:val="22"/>
          <w:szCs w:val="22"/>
        </w:rPr>
      </w:pPr>
      <w:r w:rsidRPr="00EE455E">
        <w:rPr>
          <w:sz w:val="22"/>
          <w:szCs w:val="22"/>
        </w:rPr>
        <w:t xml:space="preserve">Table </w:t>
      </w:r>
      <w:r w:rsidRPr="00EE455E">
        <w:rPr>
          <w:noProof/>
          <w:sz w:val="22"/>
          <w:szCs w:val="22"/>
        </w:rPr>
        <w:t>18</w:t>
      </w:r>
      <w:r w:rsidR="00667BEE" w:rsidRPr="00667BEE">
        <w:rPr>
          <w:sz w:val="22"/>
          <w:szCs w:val="22"/>
        </w:rPr>
        <w:t xml:space="preserve"> </w:t>
      </w:r>
      <w:r w:rsidR="00E73261" w:rsidRPr="00667BEE">
        <w:rPr>
          <w:sz w:val="22"/>
          <w:szCs w:val="22"/>
        </w:rPr>
        <w:t>is a</w:t>
      </w:r>
      <w:r w:rsidR="00D323CF" w:rsidRPr="00667BEE">
        <w:rPr>
          <w:sz w:val="22"/>
          <w:szCs w:val="22"/>
        </w:rPr>
        <w:t xml:space="preserve"> partial</w:t>
      </w:r>
      <w:r w:rsidR="00E73261" w:rsidRPr="00667BEE">
        <w:rPr>
          <w:sz w:val="22"/>
          <w:szCs w:val="22"/>
        </w:rPr>
        <w:t xml:space="preserve"> list of where comments appear in the options based on the requirements documents. </w:t>
      </w:r>
    </w:p>
    <w:p w14:paraId="416D5776" w14:textId="77777777" w:rsidR="00D72BC1" w:rsidRPr="00667BEE" w:rsidRDefault="00D72BC1" w:rsidP="00E73261">
      <w:pPr>
        <w:rPr>
          <w:sz w:val="22"/>
          <w:szCs w:val="22"/>
        </w:rPr>
      </w:pPr>
      <w:r>
        <w:rPr>
          <w:sz w:val="22"/>
          <w:szCs w:val="22"/>
        </w:rPr>
        <w:t>The comment list that appears in the “Reason for Change” field in Update Reagent Inventory is a fixed list and is not locally editable.</w:t>
      </w:r>
    </w:p>
    <w:p w14:paraId="1AC12B80" w14:textId="04AE68A3" w:rsidR="002A21AE" w:rsidRDefault="00E73261" w:rsidP="00E73261">
      <w:pPr>
        <w:pStyle w:val="Caption"/>
      </w:pPr>
      <w:bookmarkStart w:id="610" w:name="_Ref50707000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18</w:t>
      </w:r>
      <w:r w:rsidR="004E20BD">
        <w:rPr>
          <w:noProof/>
        </w:rPr>
        <w:fldChar w:fldCharType="end"/>
      </w:r>
      <w:bookmarkEnd w:id="610"/>
      <w:r>
        <w:t xml:space="preserve">: </w:t>
      </w:r>
      <w:r w:rsidRPr="00C05D94">
        <w:t>Canned Comment Category vs Option</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6059"/>
      </w:tblGrid>
      <w:tr w:rsidR="00E73261" w:rsidRPr="009F2938" w14:paraId="0107EB4D" w14:textId="77777777" w:rsidTr="00E73261">
        <w:trPr>
          <w:cantSplit/>
          <w:trHeight w:val="20"/>
          <w:tblHeader/>
        </w:trPr>
        <w:tc>
          <w:tcPr>
            <w:tcW w:w="0" w:type="auto"/>
            <w:shd w:val="pct25" w:color="auto" w:fill="auto"/>
            <w:noWrap/>
            <w:vAlign w:val="bottom"/>
            <w:hideMark/>
          </w:tcPr>
          <w:p w14:paraId="7FAE9AF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Canned Comment Category</w:t>
            </w:r>
          </w:p>
        </w:tc>
        <w:tc>
          <w:tcPr>
            <w:tcW w:w="0" w:type="auto"/>
            <w:shd w:val="pct25" w:color="auto" w:fill="auto"/>
            <w:vAlign w:val="bottom"/>
          </w:tcPr>
          <w:p w14:paraId="687C3B9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Option Appears In</w:t>
            </w:r>
          </w:p>
        </w:tc>
      </w:tr>
      <w:tr w:rsidR="00E73261" w:rsidRPr="009F2938" w14:paraId="027600B1" w14:textId="77777777" w:rsidTr="00E73261">
        <w:trPr>
          <w:cantSplit/>
          <w:trHeight w:val="20"/>
        </w:trPr>
        <w:tc>
          <w:tcPr>
            <w:tcW w:w="0" w:type="auto"/>
            <w:shd w:val="clear" w:color="auto" w:fill="auto"/>
            <w:noWrap/>
            <w:vAlign w:val="bottom"/>
            <w:hideMark/>
          </w:tcPr>
          <w:p w14:paraId="27DAA6B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ABO Incompatible Issue</w:t>
            </w:r>
          </w:p>
        </w:tc>
        <w:tc>
          <w:tcPr>
            <w:tcW w:w="0" w:type="auto"/>
            <w:vAlign w:val="bottom"/>
          </w:tcPr>
          <w:p w14:paraId="0A3A87BC" w14:textId="77777777" w:rsidR="00E73261" w:rsidRPr="00ED5636" w:rsidRDefault="00E73261" w:rsidP="00E73261">
            <w:pPr>
              <w:rPr>
                <w:rFonts w:ascii="Arial" w:hAnsi="Arial" w:cs="Arial"/>
                <w:color w:val="000000"/>
                <w:sz w:val="18"/>
                <w:szCs w:val="18"/>
              </w:rPr>
            </w:pPr>
            <w:r w:rsidRPr="00ED5636">
              <w:rPr>
                <w:rFonts w:ascii="Arial" w:hAnsi="Arial" w:cs="Arial"/>
                <w:sz w:val="18"/>
                <w:szCs w:val="18"/>
              </w:rPr>
              <w:t>ABO Incompatible Unit Transfused override during Issue Unit</w:t>
            </w:r>
          </w:p>
        </w:tc>
      </w:tr>
      <w:tr w:rsidR="00CC6656" w:rsidRPr="009F2938" w14:paraId="4FC93BC5" w14:textId="77777777" w:rsidTr="00E73261">
        <w:trPr>
          <w:cantSplit/>
          <w:trHeight w:val="20"/>
        </w:trPr>
        <w:tc>
          <w:tcPr>
            <w:tcW w:w="0" w:type="auto"/>
            <w:shd w:val="clear" w:color="auto" w:fill="auto"/>
            <w:noWrap/>
            <w:vAlign w:val="bottom"/>
          </w:tcPr>
          <w:p w14:paraId="040549C7" w14:textId="77777777" w:rsidR="00CC6656" w:rsidRPr="00ED5636" w:rsidRDefault="00CC6656" w:rsidP="00E73261">
            <w:pPr>
              <w:rPr>
                <w:rFonts w:ascii="Arial" w:hAnsi="Arial" w:cs="Arial"/>
                <w:color w:val="000000"/>
                <w:sz w:val="18"/>
                <w:szCs w:val="18"/>
              </w:rPr>
            </w:pPr>
            <w:r w:rsidRPr="00CC6656">
              <w:rPr>
                <w:rFonts w:ascii="Arial" w:hAnsi="Arial" w:cs="Arial"/>
                <w:color w:val="000000"/>
                <w:sz w:val="18"/>
                <w:szCs w:val="18"/>
              </w:rPr>
              <w:t>Automated Testing Review</w:t>
            </w:r>
          </w:p>
        </w:tc>
        <w:tc>
          <w:tcPr>
            <w:tcW w:w="0" w:type="auto"/>
            <w:vAlign w:val="bottom"/>
          </w:tcPr>
          <w:p w14:paraId="59EC0D5B" w14:textId="77777777" w:rsidR="00CC6656" w:rsidRPr="00ED5636" w:rsidRDefault="00797E11" w:rsidP="00D323CF">
            <w:pPr>
              <w:rPr>
                <w:rFonts w:ascii="Arial" w:hAnsi="Arial" w:cs="Arial"/>
                <w:sz w:val="18"/>
                <w:szCs w:val="18"/>
              </w:rPr>
            </w:pPr>
            <w:r>
              <w:rPr>
                <w:rFonts w:ascii="Arial" w:hAnsi="Arial" w:cs="Arial"/>
                <w:sz w:val="18"/>
                <w:szCs w:val="18"/>
              </w:rPr>
              <w:t>Automated Testing</w:t>
            </w:r>
          </w:p>
        </w:tc>
      </w:tr>
      <w:tr w:rsidR="00E73261" w:rsidRPr="009F2938" w14:paraId="4C0ED45F" w14:textId="77777777" w:rsidTr="00E73261">
        <w:trPr>
          <w:cantSplit/>
          <w:trHeight w:val="20"/>
        </w:trPr>
        <w:tc>
          <w:tcPr>
            <w:tcW w:w="0" w:type="auto"/>
            <w:shd w:val="clear" w:color="auto" w:fill="auto"/>
            <w:noWrap/>
            <w:vAlign w:val="bottom"/>
            <w:hideMark/>
          </w:tcPr>
          <w:p w14:paraId="7606D41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Crossmatch</w:t>
            </w:r>
          </w:p>
        </w:tc>
        <w:tc>
          <w:tcPr>
            <w:tcW w:w="0" w:type="auto"/>
            <w:vAlign w:val="bottom"/>
          </w:tcPr>
          <w:p w14:paraId="7F03B39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“G” (Give with Medical Director Approval) compatibility Override</w:t>
            </w:r>
          </w:p>
        </w:tc>
      </w:tr>
      <w:tr w:rsidR="00E73261" w:rsidRPr="009F2938" w14:paraId="4728529F" w14:textId="77777777" w:rsidTr="00E73261">
        <w:trPr>
          <w:cantSplit/>
          <w:trHeight w:val="20"/>
        </w:trPr>
        <w:tc>
          <w:tcPr>
            <w:tcW w:w="0" w:type="auto"/>
            <w:shd w:val="clear" w:color="auto" w:fill="auto"/>
            <w:noWrap/>
            <w:vAlign w:val="bottom"/>
            <w:hideMark/>
          </w:tcPr>
          <w:p w14:paraId="6FF612DB"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Incoming Shipment</w:t>
            </w:r>
          </w:p>
        </w:tc>
        <w:tc>
          <w:tcPr>
            <w:tcW w:w="0" w:type="auto"/>
            <w:vAlign w:val="bottom"/>
          </w:tcPr>
          <w:p w14:paraId="4E3E4D4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Expired Unit Received override</w:t>
            </w:r>
          </w:p>
        </w:tc>
      </w:tr>
      <w:tr w:rsidR="00E73261" w:rsidRPr="00836B93" w14:paraId="415EF029" w14:textId="77777777" w:rsidTr="00E73261">
        <w:trPr>
          <w:cantSplit/>
          <w:trHeight w:val="20"/>
        </w:trPr>
        <w:tc>
          <w:tcPr>
            <w:tcW w:w="0" w:type="auto"/>
            <w:shd w:val="clear" w:color="auto" w:fill="auto"/>
            <w:noWrap/>
            <w:vAlign w:val="bottom"/>
            <w:hideMark/>
          </w:tcPr>
          <w:p w14:paraId="70F67AD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Justify ABO/Rh Change</w:t>
            </w:r>
          </w:p>
        </w:tc>
        <w:tc>
          <w:tcPr>
            <w:tcW w:w="0" w:type="auto"/>
            <w:vAlign w:val="bottom"/>
          </w:tcPr>
          <w:p w14:paraId="3AD2BB0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028353D5" w14:textId="77777777" w:rsidTr="00E73261">
        <w:trPr>
          <w:cantSplit/>
          <w:trHeight w:val="20"/>
        </w:trPr>
        <w:tc>
          <w:tcPr>
            <w:tcW w:w="0" w:type="auto"/>
            <w:shd w:val="clear" w:color="auto" w:fill="auto"/>
            <w:noWrap/>
            <w:vAlign w:val="bottom"/>
            <w:hideMark/>
          </w:tcPr>
          <w:p w14:paraId="72303A3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Justify ABO/Rh Discrepancy</w:t>
            </w:r>
          </w:p>
        </w:tc>
        <w:tc>
          <w:tcPr>
            <w:tcW w:w="0" w:type="auto"/>
            <w:vAlign w:val="bottom"/>
          </w:tcPr>
          <w:p w14:paraId="3F35802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Override to accept a real blood type when the testing is Inconclusive with a previous blood type on file.</w:t>
            </w:r>
          </w:p>
        </w:tc>
      </w:tr>
      <w:tr w:rsidR="00E73261" w:rsidRPr="00836B93" w14:paraId="3E7BACF0" w14:textId="77777777" w:rsidTr="00E73261">
        <w:trPr>
          <w:cantSplit/>
          <w:trHeight w:val="20"/>
        </w:trPr>
        <w:tc>
          <w:tcPr>
            <w:tcW w:w="0" w:type="auto"/>
            <w:shd w:val="clear" w:color="auto" w:fill="auto"/>
            <w:noWrap/>
            <w:vAlign w:val="bottom"/>
            <w:hideMark/>
          </w:tcPr>
          <w:p w14:paraId="0333D42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Order Cancellation</w:t>
            </w:r>
          </w:p>
        </w:tc>
        <w:tc>
          <w:tcPr>
            <w:tcW w:w="0" w:type="auto"/>
            <w:vAlign w:val="bottom"/>
          </w:tcPr>
          <w:p w14:paraId="765F3B8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 Patient Testing Task List</w:t>
            </w:r>
          </w:p>
        </w:tc>
      </w:tr>
      <w:tr w:rsidR="00E73261" w:rsidRPr="00836B93" w14:paraId="59A57F27" w14:textId="77777777" w:rsidTr="00E73261">
        <w:trPr>
          <w:cantSplit/>
          <w:trHeight w:val="20"/>
        </w:trPr>
        <w:tc>
          <w:tcPr>
            <w:tcW w:w="0" w:type="auto"/>
            <w:shd w:val="clear" w:color="auto" w:fill="auto"/>
            <w:noWrap/>
            <w:vAlign w:val="bottom"/>
            <w:hideMark/>
          </w:tcPr>
          <w:p w14:paraId="29A651F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Order Processing</w:t>
            </w:r>
          </w:p>
        </w:tc>
        <w:tc>
          <w:tcPr>
            <w:tcW w:w="0" w:type="auto"/>
            <w:vAlign w:val="bottom"/>
          </w:tcPr>
          <w:p w14:paraId="6CA38EA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 Patient Testing Task List</w:t>
            </w:r>
          </w:p>
        </w:tc>
      </w:tr>
      <w:tr w:rsidR="00E73261" w:rsidRPr="00836B93" w14:paraId="47481233" w14:textId="77777777" w:rsidTr="00E73261">
        <w:trPr>
          <w:cantSplit/>
          <w:trHeight w:val="20"/>
        </w:trPr>
        <w:tc>
          <w:tcPr>
            <w:tcW w:w="0" w:type="auto"/>
            <w:shd w:val="clear" w:color="auto" w:fill="auto"/>
            <w:noWrap/>
            <w:vAlign w:val="bottom"/>
            <w:hideMark/>
          </w:tcPr>
          <w:p w14:paraId="3D0BE23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Parameter Setting Change</w:t>
            </w:r>
          </w:p>
        </w:tc>
        <w:tc>
          <w:tcPr>
            <w:tcW w:w="0" w:type="auto"/>
            <w:vAlign w:val="bottom"/>
          </w:tcPr>
          <w:p w14:paraId="0BF168A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All the configure division options</w:t>
            </w:r>
          </w:p>
        </w:tc>
      </w:tr>
      <w:tr w:rsidR="00E73261" w:rsidRPr="00836B93" w14:paraId="21679F64" w14:textId="77777777" w:rsidTr="00E73261">
        <w:trPr>
          <w:cantSplit/>
          <w:trHeight w:val="20"/>
        </w:trPr>
        <w:tc>
          <w:tcPr>
            <w:tcW w:w="0" w:type="auto"/>
            <w:shd w:val="clear" w:color="auto" w:fill="auto"/>
            <w:noWrap/>
            <w:vAlign w:val="bottom"/>
            <w:hideMark/>
          </w:tcPr>
          <w:p w14:paraId="32EF185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Patient Testing</w:t>
            </w:r>
          </w:p>
        </w:tc>
        <w:tc>
          <w:tcPr>
            <w:tcW w:w="0" w:type="auto"/>
            <w:vAlign w:val="bottom"/>
          </w:tcPr>
          <w:p w14:paraId="1985144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All patient test grid comment boxes including crossmatch test and ABID comment, TRW Serologic test entry. Invalidate patient testing in grid and option. Discrepant Repeat ABO/Rh Typing override.</w:t>
            </w:r>
          </w:p>
        </w:tc>
      </w:tr>
      <w:tr w:rsidR="00E73261" w:rsidRPr="00836B93" w14:paraId="59C56719" w14:textId="77777777" w:rsidTr="00E73261">
        <w:trPr>
          <w:cantSplit/>
          <w:trHeight w:val="20"/>
        </w:trPr>
        <w:tc>
          <w:tcPr>
            <w:tcW w:w="0" w:type="auto"/>
            <w:shd w:val="clear" w:color="auto" w:fill="auto"/>
            <w:noWrap/>
            <w:vAlign w:val="bottom"/>
            <w:hideMark/>
          </w:tcPr>
          <w:p w14:paraId="1F5A90A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Quarantine/Discard</w:t>
            </w:r>
          </w:p>
        </w:tc>
        <w:tc>
          <w:tcPr>
            <w:tcW w:w="0" w:type="auto"/>
            <w:vAlign w:val="bottom"/>
          </w:tcPr>
          <w:p w14:paraId="706B2709" w14:textId="7BAEACF8" w:rsidR="00E73261" w:rsidRPr="00ED5636" w:rsidRDefault="006549B7" w:rsidP="00E73261">
            <w:pPr>
              <w:rPr>
                <w:rFonts w:ascii="Arial" w:hAnsi="Arial" w:cs="Arial"/>
                <w:color w:val="000000"/>
                <w:sz w:val="18"/>
                <w:szCs w:val="18"/>
              </w:rPr>
            </w:pPr>
            <w:r w:rsidRPr="00ED5636">
              <w:rPr>
                <w:rFonts w:ascii="Arial" w:hAnsi="Arial" w:cs="Arial"/>
                <w:color w:val="000000"/>
                <w:sz w:val="18"/>
                <w:szCs w:val="18"/>
              </w:rPr>
              <w:t>Discard, Quarantine</w:t>
            </w:r>
          </w:p>
        </w:tc>
      </w:tr>
      <w:tr w:rsidR="00E73261" w:rsidRPr="00836B93" w14:paraId="23ADF45F" w14:textId="77777777" w:rsidTr="00E73261">
        <w:trPr>
          <w:cantSplit/>
          <w:trHeight w:val="20"/>
        </w:trPr>
        <w:tc>
          <w:tcPr>
            <w:tcW w:w="0" w:type="auto"/>
            <w:shd w:val="clear" w:color="auto" w:fill="auto"/>
            <w:noWrap/>
            <w:vAlign w:val="bottom"/>
            <w:hideMark/>
          </w:tcPr>
          <w:p w14:paraId="05111A6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Reagent and Supply</w:t>
            </w:r>
          </w:p>
        </w:tc>
        <w:tc>
          <w:tcPr>
            <w:tcW w:w="0" w:type="auto"/>
            <w:vAlign w:val="bottom"/>
          </w:tcPr>
          <w:p w14:paraId="7C2E9F9B"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Enter Reagents, when unacceptable, when unacceptable, QC overrides</w:t>
            </w:r>
          </w:p>
        </w:tc>
      </w:tr>
      <w:tr w:rsidR="00E73261" w:rsidRPr="00836B93" w14:paraId="6982B84F" w14:textId="77777777" w:rsidTr="00E73261">
        <w:trPr>
          <w:cantSplit/>
          <w:trHeight w:val="20"/>
        </w:trPr>
        <w:tc>
          <w:tcPr>
            <w:tcW w:w="0" w:type="auto"/>
            <w:shd w:val="clear" w:color="auto" w:fill="auto"/>
            <w:noWrap/>
            <w:vAlign w:val="bottom"/>
            <w:hideMark/>
          </w:tcPr>
          <w:p w14:paraId="6384AC1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from Quarantine</w:t>
            </w:r>
          </w:p>
        </w:tc>
        <w:tc>
          <w:tcPr>
            <w:tcW w:w="0" w:type="auto"/>
            <w:vAlign w:val="bottom"/>
          </w:tcPr>
          <w:p w14:paraId="73CBB8F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from Quarantine.</w:t>
            </w:r>
          </w:p>
        </w:tc>
      </w:tr>
      <w:tr w:rsidR="00E73261" w:rsidRPr="00836B93" w14:paraId="2DA353FE" w14:textId="77777777" w:rsidTr="00E73261">
        <w:trPr>
          <w:cantSplit/>
          <w:trHeight w:val="20"/>
        </w:trPr>
        <w:tc>
          <w:tcPr>
            <w:tcW w:w="0" w:type="auto"/>
            <w:shd w:val="clear" w:color="auto" w:fill="auto"/>
            <w:noWrap/>
            <w:vAlign w:val="bottom"/>
            <w:hideMark/>
          </w:tcPr>
          <w:p w14:paraId="56E5A8E8"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Reason for Release</w:t>
            </w:r>
          </w:p>
        </w:tc>
        <w:tc>
          <w:tcPr>
            <w:tcW w:w="0" w:type="auto"/>
            <w:vAlign w:val="bottom"/>
          </w:tcPr>
          <w:p w14:paraId="438DAFF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Release unit from assignment</w:t>
            </w:r>
          </w:p>
        </w:tc>
      </w:tr>
      <w:tr w:rsidR="00E73261" w:rsidRPr="00836B93" w14:paraId="647D9C6B" w14:textId="77777777" w:rsidTr="00E73261">
        <w:trPr>
          <w:cantSplit/>
          <w:trHeight w:val="20"/>
        </w:trPr>
        <w:tc>
          <w:tcPr>
            <w:tcW w:w="0" w:type="auto"/>
            <w:shd w:val="clear" w:color="auto" w:fill="auto"/>
            <w:noWrap/>
            <w:vAlign w:val="bottom"/>
            <w:hideMark/>
          </w:tcPr>
          <w:p w14:paraId="6DDA0DE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Special Instruction Inactivation</w:t>
            </w:r>
          </w:p>
        </w:tc>
        <w:tc>
          <w:tcPr>
            <w:tcW w:w="0" w:type="auto"/>
            <w:vAlign w:val="bottom"/>
          </w:tcPr>
          <w:p w14:paraId="6153BCC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SI when inactivating an SI entry.</w:t>
            </w:r>
          </w:p>
        </w:tc>
      </w:tr>
      <w:tr w:rsidR="00E73261" w:rsidRPr="00836B93" w14:paraId="0DA42C15" w14:textId="77777777" w:rsidTr="00E73261">
        <w:trPr>
          <w:cantSplit/>
          <w:trHeight w:val="20"/>
        </w:trPr>
        <w:tc>
          <w:tcPr>
            <w:tcW w:w="0" w:type="auto"/>
            <w:shd w:val="clear" w:color="auto" w:fill="auto"/>
            <w:noWrap/>
            <w:vAlign w:val="bottom"/>
            <w:hideMark/>
          </w:tcPr>
          <w:p w14:paraId="41E6A05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Special Instructions</w:t>
            </w:r>
          </w:p>
        </w:tc>
        <w:tc>
          <w:tcPr>
            <w:tcW w:w="0" w:type="auto"/>
            <w:vAlign w:val="bottom"/>
          </w:tcPr>
          <w:p w14:paraId="47A12F66"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SI actual message is considered a canned comment.</w:t>
            </w:r>
          </w:p>
        </w:tc>
      </w:tr>
      <w:tr w:rsidR="00E73261" w:rsidRPr="00836B93" w14:paraId="5C2F26A9" w14:textId="77777777" w:rsidTr="00E73261">
        <w:trPr>
          <w:cantSplit/>
          <w:trHeight w:val="20"/>
        </w:trPr>
        <w:tc>
          <w:tcPr>
            <w:tcW w:w="0" w:type="auto"/>
            <w:shd w:val="clear" w:color="auto" w:fill="auto"/>
            <w:noWrap/>
            <w:vAlign w:val="bottom"/>
            <w:hideMark/>
          </w:tcPr>
          <w:p w14:paraId="6E3BD4C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Extension</w:t>
            </w:r>
          </w:p>
        </w:tc>
        <w:tc>
          <w:tcPr>
            <w:tcW w:w="0" w:type="auto"/>
            <w:vAlign w:val="bottom"/>
          </w:tcPr>
          <w:p w14:paraId="085FBF0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Maintain specimen</w:t>
            </w:r>
          </w:p>
        </w:tc>
      </w:tr>
      <w:tr w:rsidR="00E73261" w:rsidRPr="00836B93" w14:paraId="7399A7C7" w14:textId="77777777" w:rsidTr="00E73261">
        <w:trPr>
          <w:cantSplit/>
          <w:trHeight w:val="20"/>
        </w:trPr>
        <w:tc>
          <w:tcPr>
            <w:tcW w:w="0" w:type="auto"/>
            <w:shd w:val="clear" w:color="auto" w:fill="auto"/>
            <w:noWrap/>
            <w:vAlign w:val="bottom"/>
            <w:hideMark/>
          </w:tcPr>
          <w:p w14:paraId="17EAFC0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General</w:t>
            </w:r>
          </w:p>
        </w:tc>
        <w:tc>
          <w:tcPr>
            <w:tcW w:w="0" w:type="auto"/>
            <w:vAlign w:val="bottom"/>
          </w:tcPr>
          <w:p w14:paraId="2CD49D0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2D965B65" w14:textId="77777777" w:rsidTr="00E73261">
        <w:trPr>
          <w:cantSplit/>
          <w:trHeight w:val="20"/>
        </w:trPr>
        <w:tc>
          <w:tcPr>
            <w:tcW w:w="0" w:type="auto"/>
            <w:shd w:val="clear" w:color="auto" w:fill="auto"/>
            <w:noWrap/>
            <w:vAlign w:val="bottom"/>
            <w:hideMark/>
          </w:tcPr>
          <w:p w14:paraId="68C6760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Processing</w:t>
            </w:r>
          </w:p>
        </w:tc>
        <w:tc>
          <w:tcPr>
            <w:tcW w:w="0" w:type="auto"/>
            <w:vAlign w:val="bottom"/>
          </w:tcPr>
          <w:p w14:paraId="20A9CFD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6B481C4D" w14:textId="77777777" w:rsidTr="00E73261">
        <w:trPr>
          <w:cantSplit/>
          <w:trHeight w:val="20"/>
        </w:trPr>
        <w:tc>
          <w:tcPr>
            <w:tcW w:w="0" w:type="auto"/>
            <w:shd w:val="clear" w:color="auto" w:fill="auto"/>
            <w:noWrap/>
            <w:vAlign w:val="bottom"/>
            <w:hideMark/>
          </w:tcPr>
          <w:p w14:paraId="7C3CFCB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Unacceptable</w:t>
            </w:r>
          </w:p>
        </w:tc>
        <w:tc>
          <w:tcPr>
            <w:tcW w:w="0" w:type="auto"/>
            <w:vAlign w:val="bottom"/>
          </w:tcPr>
          <w:p w14:paraId="4AB70BA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Accept Order</w:t>
            </w:r>
          </w:p>
        </w:tc>
      </w:tr>
      <w:tr w:rsidR="00E73261" w:rsidRPr="00836B93" w14:paraId="15B5822E" w14:textId="77777777" w:rsidTr="00E73261">
        <w:trPr>
          <w:cantSplit/>
          <w:trHeight w:val="20"/>
        </w:trPr>
        <w:tc>
          <w:tcPr>
            <w:tcW w:w="0" w:type="auto"/>
            <w:shd w:val="clear" w:color="auto" w:fill="auto"/>
            <w:noWrap/>
            <w:vAlign w:val="bottom"/>
            <w:hideMark/>
          </w:tcPr>
          <w:p w14:paraId="4872AD1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Processing</w:t>
            </w:r>
          </w:p>
        </w:tc>
        <w:tc>
          <w:tcPr>
            <w:tcW w:w="0" w:type="auto"/>
            <w:vAlign w:val="bottom"/>
          </w:tcPr>
          <w:p w14:paraId="7267DDD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Post transfusion data</w:t>
            </w:r>
          </w:p>
        </w:tc>
      </w:tr>
      <w:tr w:rsidR="00E73261" w:rsidRPr="00836B93" w14:paraId="1E668BA8" w14:textId="77777777" w:rsidTr="00E73261">
        <w:trPr>
          <w:cantSplit/>
          <w:trHeight w:val="20"/>
        </w:trPr>
        <w:tc>
          <w:tcPr>
            <w:tcW w:w="0" w:type="auto"/>
            <w:shd w:val="clear" w:color="auto" w:fill="auto"/>
            <w:noWrap/>
            <w:vAlign w:val="bottom"/>
            <w:hideMark/>
          </w:tcPr>
          <w:p w14:paraId="6F4FDDD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Reaction Workup</w:t>
            </w:r>
          </w:p>
        </w:tc>
        <w:tc>
          <w:tcPr>
            <w:tcW w:w="0" w:type="auto"/>
            <w:vAlign w:val="bottom"/>
          </w:tcPr>
          <w:p w14:paraId="65FFB8E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Finalization Canned Comment</w:t>
            </w:r>
          </w:p>
        </w:tc>
      </w:tr>
      <w:tr w:rsidR="00E73261" w:rsidRPr="00836B93" w14:paraId="3A263141" w14:textId="77777777" w:rsidTr="00E73261">
        <w:trPr>
          <w:cantSplit/>
          <w:trHeight w:val="20"/>
        </w:trPr>
        <w:tc>
          <w:tcPr>
            <w:tcW w:w="0" w:type="auto"/>
            <w:shd w:val="clear" w:color="auto" w:fill="auto"/>
            <w:noWrap/>
            <w:vAlign w:val="bottom"/>
            <w:hideMark/>
          </w:tcPr>
          <w:p w14:paraId="5F0875E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Specimen Required</w:t>
            </w:r>
          </w:p>
        </w:tc>
        <w:tc>
          <w:tcPr>
            <w:tcW w:w="0" w:type="auto"/>
            <w:vAlign w:val="bottom"/>
          </w:tcPr>
          <w:p w14:paraId="62A0493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7A0BFD61" w14:textId="77777777" w:rsidTr="00E73261">
        <w:trPr>
          <w:cantSplit/>
          <w:trHeight w:val="20"/>
        </w:trPr>
        <w:tc>
          <w:tcPr>
            <w:tcW w:w="0" w:type="auto"/>
            <w:shd w:val="clear" w:color="auto" w:fill="auto"/>
            <w:noWrap/>
            <w:vAlign w:val="bottom"/>
            <w:hideMark/>
          </w:tcPr>
          <w:p w14:paraId="663C55C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Pre-Transfusion Specimen Checks</w:t>
            </w:r>
          </w:p>
        </w:tc>
        <w:tc>
          <w:tcPr>
            <w:tcW w:w="0" w:type="auto"/>
            <w:vAlign w:val="bottom"/>
          </w:tcPr>
          <w:p w14:paraId="33B3212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pre is marked not available</w:t>
            </w:r>
          </w:p>
        </w:tc>
      </w:tr>
      <w:tr w:rsidR="00E73261" w:rsidRPr="00836B93" w14:paraId="2996EABC" w14:textId="77777777" w:rsidTr="00E73261">
        <w:trPr>
          <w:cantSplit/>
          <w:trHeight w:val="20"/>
        </w:trPr>
        <w:tc>
          <w:tcPr>
            <w:tcW w:w="0" w:type="auto"/>
            <w:shd w:val="clear" w:color="auto" w:fill="auto"/>
            <w:noWrap/>
            <w:vAlign w:val="bottom"/>
            <w:hideMark/>
          </w:tcPr>
          <w:p w14:paraId="39046A2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Post-Transfusion Specimen Checks</w:t>
            </w:r>
          </w:p>
        </w:tc>
        <w:tc>
          <w:tcPr>
            <w:tcW w:w="0" w:type="auto"/>
            <w:vAlign w:val="bottom"/>
          </w:tcPr>
          <w:p w14:paraId="7968191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post is marked not available</w:t>
            </w:r>
          </w:p>
        </w:tc>
      </w:tr>
      <w:tr w:rsidR="00E73261" w:rsidRPr="00836B93" w14:paraId="5C88B4C8" w14:textId="77777777" w:rsidTr="00E73261">
        <w:trPr>
          <w:cantSplit/>
          <w:trHeight w:val="20"/>
        </w:trPr>
        <w:tc>
          <w:tcPr>
            <w:tcW w:w="0" w:type="auto"/>
            <w:shd w:val="clear" w:color="auto" w:fill="auto"/>
            <w:noWrap/>
            <w:vAlign w:val="bottom"/>
            <w:hideMark/>
          </w:tcPr>
          <w:p w14:paraId="1DB7F97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Implicated Units</w:t>
            </w:r>
          </w:p>
        </w:tc>
        <w:tc>
          <w:tcPr>
            <w:tcW w:w="0" w:type="auto"/>
          </w:tcPr>
          <w:p w14:paraId="35E991BC"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0333F7C0" w14:textId="77777777" w:rsidTr="00E73261">
        <w:trPr>
          <w:cantSplit/>
          <w:trHeight w:val="20"/>
        </w:trPr>
        <w:tc>
          <w:tcPr>
            <w:tcW w:w="0" w:type="auto"/>
            <w:shd w:val="clear" w:color="auto" w:fill="auto"/>
            <w:noWrap/>
            <w:vAlign w:val="bottom"/>
            <w:hideMark/>
          </w:tcPr>
          <w:p w14:paraId="038C548C"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Symptom Details</w:t>
            </w:r>
          </w:p>
        </w:tc>
        <w:tc>
          <w:tcPr>
            <w:tcW w:w="0" w:type="auto"/>
          </w:tcPr>
          <w:p w14:paraId="399423F3"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4FB09124" w14:textId="77777777" w:rsidTr="00E73261">
        <w:trPr>
          <w:cantSplit/>
          <w:trHeight w:val="20"/>
        </w:trPr>
        <w:tc>
          <w:tcPr>
            <w:tcW w:w="0" w:type="auto"/>
            <w:shd w:val="clear" w:color="auto" w:fill="auto"/>
            <w:noWrap/>
            <w:vAlign w:val="bottom"/>
            <w:hideMark/>
          </w:tcPr>
          <w:p w14:paraId="7BB4256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Blood Bag Not Returned</w:t>
            </w:r>
          </w:p>
        </w:tc>
        <w:tc>
          <w:tcPr>
            <w:tcW w:w="0" w:type="auto"/>
            <w:vAlign w:val="bottom"/>
          </w:tcPr>
          <w:p w14:paraId="490B405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an implicated unit is entered and marked as not returned.</w:t>
            </w:r>
          </w:p>
        </w:tc>
      </w:tr>
      <w:tr w:rsidR="00E73261" w:rsidRPr="00836B93" w14:paraId="4C73C0FA" w14:textId="77777777" w:rsidTr="00E73261">
        <w:trPr>
          <w:cantSplit/>
          <w:trHeight w:val="20"/>
        </w:trPr>
        <w:tc>
          <w:tcPr>
            <w:tcW w:w="0" w:type="auto"/>
            <w:shd w:val="clear" w:color="auto" w:fill="auto"/>
            <w:noWrap/>
            <w:vAlign w:val="bottom"/>
            <w:hideMark/>
          </w:tcPr>
          <w:p w14:paraId="43BCE0C1"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Clerical Checks Failed</w:t>
            </w:r>
          </w:p>
        </w:tc>
        <w:tc>
          <w:tcPr>
            <w:tcW w:w="0" w:type="auto"/>
            <w:vAlign w:val="bottom"/>
          </w:tcPr>
          <w:p w14:paraId="40071B5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specimen is marked available</w:t>
            </w:r>
          </w:p>
          <w:p w14:paraId="6BAFA5AD"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TRW when an implicated unit is entered and marked as returned</w:t>
            </w:r>
          </w:p>
        </w:tc>
      </w:tr>
      <w:tr w:rsidR="00E73261" w:rsidRPr="00836B93" w14:paraId="693E9512" w14:textId="77777777" w:rsidTr="00E73261">
        <w:trPr>
          <w:cantSplit/>
          <w:trHeight w:val="20"/>
        </w:trPr>
        <w:tc>
          <w:tcPr>
            <w:tcW w:w="0" w:type="auto"/>
            <w:shd w:val="clear" w:color="auto" w:fill="auto"/>
            <w:noWrap/>
            <w:vAlign w:val="bottom"/>
            <w:hideMark/>
          </w:tcPr>
          <w:p w14:paraId="0FBF1CA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Transfusion Requirement Inactivation</w:t>
            </w:r>
          </w:p>
        </w:tc>
        <w:tc>
          <w:tcPr>
            <w:tcW w:w="0" w:type="auto"/>
            <w:vAlign w:val="bottom"/>
          </w:tcPr>
          <w:p w14:paraId="31BAE06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TR tabs, including antigen negative requirement, Transfusion requirement and antibody identified tabs.</w:t>
            </w:r>
          </w:p>
        </w:tc>
      </w:tr>
      <w:tr w:rsidR="00E73261" w:rsidRPr="00836B93" w14:paraId="3D424E7E" w14:textId="77777777" w:rsidTr="00E73261">
        <w:trPr>
          <w:cantSplit/>
          <w:trHeight w:val="20"/>
        </w:trPr>
        <w:tc>
          <w:tcPr>
            <w:tcW w:w="0" w:type="auto"/>
            <w:shd w:val="clear" w:color="auto" w:fill="auto"/>
            <w:noWrap/>
            <w:vAlign w:val="bottom"/>
            <w:hideMark/>
          </w:tcPr>
          <w:p w14:paraId="20E9B759"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Inactivation</w:t>
            </w:r>
          </w:p>
        </w:tc>
        <w:tc>
          <w:tcPr>
            <w:tcW w:w="0" w:type="auto"/>
          </w:tcPr>
          <w:p w14:paraId="412B82B6" w14:textId="77777777" w:rsidR="00E73261" w:rsidRPr="00ED5636" w:rsidRDefault="0055121B" w:rsidP="00E73261">
            <w:pPr>
              <w:rPr>
                <w:rFonts w:ascii="Arial" w:hAnsi="Arial" w:cs="Arial"/>
                <w:sz w:val="18"/>
                <w:szCs w:val="18"/>
              </w:rPr>
            </w:pPr>
            <w:r>
              <w:rPr>
                <w:rFonts w:ascii="Arial" w:hAnsi="Arial" w:cs="Arial"/>
                <w:color w:val="000000"/>
                <w:sz w:val="18"/>
                <w:szCs w:val="18"/>
              </w:rPr>
              <w:t>Edit Unit Information.</w:t>
            </w:r>
          </w:p>
        </w:tc>
      </w:tr>
      <w:tr w:rsidR="00E73261" w:rsidRPr="00836B93" w14:paraId="0713765E" w14:textId="77777777" w:rsidTr="00E73261">
        <w:trPr>
          <w:cantSplit/>
          <w:trHeight w:val="20"/>
        </w:trPr>
        <w:tc>
          <w:tcPr>
            <w:tcW w:w="0" w:type="auto"/>
            <w:shd w:val="clear" w:color="auto" w:fill="auto"/>
            <w:noWrap/>
            <w:vAlign w:val="bottom"/>
            <w:hideMark/>
          </w:tcPr>
          <w:p w14:paraId="33CA117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Data Invalidation</w:t>
            </w:r>
          </w:p>
        </w:tc>
        <w:tc>
          <w:tcPr>
            <w:tcW w:w="0" w:type="auto"/>
          </w:tcPr>
          <w:p w14:paraId="6A0CC5F7" w14:textId="77777777" w:rsidR="00E73261" w:rsidRPr="00ED5636" w:rsidRDefault="00E73261" w:rsidP="00E73261">
            <w:pPr>
              <w:rPr>
                <w:rFonts w:ascii="Arial" w:hAnsi="Arial" w:cs="Arial"/>
                <w:sz w:val="18"/>
                <w:szCs w:val="18"/>
              </w:rPr>
            </w:pPr>
            <w:r w:rsidRPr="00ED5636">
              <w:rPr>
                <w:rFonts w:ascii="Arial" w:hAnsi="Arial" w:cs="Arial"/>
                <w:color w:val="000000"/>
                <w:sz w:val="18"/>
                <w:szCs w:val="18"/>
              </w:rPr>
              <w:t>No use identified at this time.</w:t>
            </w:r>
          </w:p>
        </w:tc>
      </w:tr>
      <w:tr w:rsidR="00E73261" w:rsidRPr="00836B93" w14:paraId="79470989" w14:textId="77777777" w:rsidTr="00E73261">
        <w:trPr>
          <w:cantSplit/>
          <w:trHeight w:val="20"/>
        </w:trPr>
        <w:tc>
          <w:tcPr>
            <w:tcW w:w="0" w:type="auto"/>
            <w:shd w:val="clear" w:color="auto" w:fill="auto"/>
            <w:noWrap/>
            <w:vAlign w:val="bottom"/>
            <w:hideMark/>
          </w:tcPr>
          <w:p w14:paraId="10B09B44"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Issue</w:t>
            </w:r>
          </w:p>
        </w:tc>
        <w:tc>
          <w:tcPr>
            <w:tcW w:w="0" w:type="auto"/>
            <w:vAlign w:val="bottom"/>
          </w:tcPr>
          <w:p w14:paraId="62412C2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Issue Override for TR not satisfied.</w:t>
            </w:r>
          </w:p>
        </w:tc>
      </w:tr>
      <w:tr w:rsidR="00E73261" w:rsidRPr="00836B93" w14:paraId="70DA646F" w14:textId="77777777" w:rsidTr="00E73261">
        <w:trPr>
          <w:cantSplit/>
          <w:trHeight w:val="20"/>
        </w:trPr>
        <w:tc>
          <w:tcPr>
            <w:tcW w:w="0" w:type="auto"/>
            <w:shd w:val="clear" w:color="auto" w:fill="auto"/>
            <w:noWrap/>
            <w:vAlign w:val="bottom"/>
            <w:hideMark/>
          </w:tcPr>
          <w:p w14:paraId="3545D045"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Modification</w:t>
            </w:r>
          </w:p>
        </w:tc>
        <w:tc>
          <w:tcPr>
            <w:tcW w:w="0" w:type="auto"/>
            <w:vAlign w:val="bottom"/>
          </w:tcPr>
          <w:p w14:paraId="5253B883"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Any modification override</w:t>
            </w:r>
          </w:p>
        </w:tc>
      </w:tr>
      <w:tr w:rsidR="00E73261" w:rsidRPr="00836B93" w14:paraId="73F6CAA5" w14:textId="77777777" w:rsidTr="00E73261">
        <w:trPr>
          <w:cantSplit/>
          <w:trHeight w:val="20"/>
        </w:trPr>
        <w:tc>
          <w:tcPr>
            <w:tcW w:w="0" w:type="auto"/>
            <w:shd w:val="clear" w:color="auto" w:fill="auto"/>
            <w:noWrap/>
            <w:vAlign w:val="bottom"/>
            <w:hideMark/>
          </w:tcPr>
          <w:p w14:paraId="054BF748"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Return</w:t>
            </w:r>
          </w:p>
        </w:tc>
        <w:tc>
          <w:tcPr>
            <w:tcW w:w="0" w:type="auto"/>
            <w:vAlign w:val="bottom"/>
          </w:tcPr>
          <w:p w14:paraId="4E5A297F"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Return unit from Issue when unit is marked unsatisfactory</w:t>
            </w:r>
          </w:p>
        </w:tc>
      </w:tr>
      <w:tr w:rsidR="00E73261" w:rsidRPr="00836B93" w14:paraId="3F1EA84A" w14:textId="77777777" w:rsidTr="00E73261">
        <w:trPr>
          <w:cantSplit/>
          <w:trHeight w:val="20"/>
        </w:trPr>
        <w:tc>
          <w:tcPr>
            <w:tcW w:w="0" w:type="auto"/>
            <w:shd w:val="clear" w:color="auto" w:fill="auto"/>
            <w:noWrap/>
            <w:vAlign w:val="bottom"/>
            <w:hideMark/>
          </w:tcPr>
          <w:p w14:paraId="5DC9102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Restriction</w:t>
            </w:r>
          </w:p>
        </w:tc>
        <w:tc>
          <w:tcPr>
            <w:tcW w:w="0" w:type="auto"/>
            <w:vAlign w:val="bottom"/>
          </w:tcPr>
          <w:p w14:paraId="057D9DE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No use identified at this time.</w:t>
            </w:r>
          </w:p>
        </w:tc>
      </w:tr>
      <w:tr w:rsidR="00E73261" w:rsidRPr="00836B93" w14:paraId="2E133599" w14:textId="77777777" w:rsidTr="00E73261">
        <w:trPr>
          <w:cantSplit/>
          <w:trHeight w:val="20"/>
        </w:trPr>
        <w:tc>
          <w:tcPr>
            <w:tcW w:w="0" w:type="auto"/>
            <w:shd w:val="clear" w:color="auto" w:fill="auto"/>
            <w:noWrap/>
            <w:vAlign w:val="bottom"/>
            <w:hideMark/>
          </w:tcPr>
          <w:p w14:paraId="162AF9C6"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Selection</w:t>
            </w:r>
          </w:p>
        </w:tc>
        <w:tc>
          <w:tcPr>
            <w:tcW w:w="0" w:type="auto"/>
            <w:vAlign w:val="bottom"/>
          </w:tcPr>
          <w:p w14:paraId="09BCE112"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Select Unit</w:t>
            </w:r>
          </w:p>
        </w:tc>
      </w:tr>
      <w:tr w:rsidR="00E73261" w:rsidRPr="00836B93" w14:paraId="6E21BCF6" w14:textId="77777777" w:rsidTr="00E73261">
        <w:trPr>
          <w:cantSplit/>
          <w:trHeight w:val="20"/>
        </w:trPr>
        <w:tc>
          <w:tcPr>
            <w:tcW w:w="0" w:type="auto"/>
            <w:shd w:val="clear" w:color="auto" w:fill="auto"/>
            <w:noWrap/>
            <w:vAlign w:val="bottom"/>
            <w:hideMark/>
          </w:tcPr>
          <w:p w14:paraId="31FC020E"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Status Removal</w:t>
            </w:r>
          </w:p>
        </w:tc>
        <w:tc>
          <w:tcPr>
            <w:tcW w:w="0" w:type="auto"/>
            <w:vAlign w:val="bottom"/>
          </w:tcPr>
          <w:p w14:paraId="2BE793E7"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 xml:space="preserve">Remove Final </w:t>
            </w:r>
            <w:r w:rsidR="0055121B">
              <w:rPr>
                <w:rFonts w:ascii="Arial" w:hAnsi="Arial" w:cs="Arial"/>
                <w:color w:val="000000"/>
                <w:sz w:val="18"/>
                <w:szCs w:val="18"/>
              </w:rPr>
              <w:t>Status</w:t>
            </w:r>
            <w:r w:rsidRPr="00ED5636">
              <w:rPr>
                <w:rFonts w:ascii="Arial" w:hAnsi="Arial" w:cs="Arial"/>
                <w:color w:val="000000"/>
                <w:sz w:val="18"/>
                <w:szCs w:val="18"/>
              </w:rPr>
              <w:t>, Inactivate unit</w:t>
            </w:r>
          </w:p>
        </w:tc>
      </w:tr>
      <w:tr w:rsidR="00E73261" w:rsidRPr="009F2938" w14:paraId="54C6378E" w14:textId="77777777" w:rsidTr="00E73261">
        <w:trPr>
          <w:cantSplit/>
          <w:trHeight w:val="20"/>
        </w:trPr>
        <w:tc>
          <w:tcPr>
            <w:tcW w:w="0" w:type="auto"/>
            <w:shd w:val="clear" w:color="auto" w:fill="auto"/>
            <w:noWrap/>
            <w:vAlign w:val="bottom"/>
            <w:hideMark/>
          </w:tcPr>
          <w:p w14:paraId="1F5B247A"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Unit Testing</w:t>
            </w:r>
          </w:p>
        </w:tc>
        <w:tc>
          <w:tcPr>
            <w:tcW w:w="0" w:type="auto"/>
            <w:vAlign w:val="bottom"/>
          </w:tcPr>
          <w:p w14:paraId="06932095"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ABO/RH confirmation and Unit Antigen Typing Testing</w:t>
            </w:r>
          </w:p>
          <w:p w14:paraId="5555B9D0" w14:textId="77777777" w:rsidR="00E73261" w:rsidRPr="00ED5636" w:rsidRDefault="00E73261" w:rsidP="00E73261">
            <w:pPr>
              <w:rPr>
                <w:rFonts w:ascii="Arial" w:hAnsi="Arial" w:cs="Arial"/>
                <w:color w:val="000000"/>
                <w:sz w:val="18"/>
                <w:szCs w:val="18"/>
              </w:rPr>
            </w:pPr>
            <w:r w:rsidRPr="00ED5636">
              <w:rPr>
                <w:rFonts w:ascii="Arial" w:hAnsi="Arial" w:cs="Arial"/>
                <w:color w:val="000000"/>
                <w:sz w:val="18"/>
                <w:szCs w:val="18"/>
              </w:rPr>
              <w:t>Edit Unit Information (Invalidate test results and unit inactivation)</w:t>
            </w:r>
          </w:p>
        </w:tc>
      </w:tr>
    </w:tbl>
    <w:p w14:paraId="534E1801" w14:textId="15063988" w:rsidR="002A21AE" w:rsidRDefault="00ED5636" w:rsidP="00ED5636">
      <w:pPr>
        <w:pStyle w:val="Heading3"/>
      </w:pPr>
      <w:bookmarkStart w:id="611" w:name="_Toc91323799"/>
      <w:r>
        <w:rPr>
          <w:rFonts w:ascii="Geneva" w:hAnsi="Geneva"/>
        </w:rPr>
        <w:br w:type="page"/>
      </w:r>
      <w:r w:rsidR="002548EA">
        <w:rPr>
          <w:rFonts w:ascii="Geneva" w:hAnsi="Geneva"/>
          <w:vanish/>
        </w:rPr>
        <w:t>PT_1</w:t>
      </w:r>
      <w:r w:rsidR="002A21AE">
        <w:rPr>
          <w:rFonts w:ascii="Geneva" w:hAnsi="Geneva"/>
          <w:vanish/>
        </w:rPr>
        <w:t>.0</w:t>
      </w:r>
      <w:r w:rsidR="002548EA">
        <w:rPr>
          <w:rFonts w:ascii="Geneva" w:hAnsi="Geneva"/>
          <w:vanish/>
        </w:rPr>
        <w:t>6</w:t>
      </w:r>
      <w:r w:rsidR="002A21AE">
        <w:rPr>
          <w:rFonts w:ascii="Geneva" w:hAnsi="Geneva"/>
          <w:vanish/>
        </w:rPr>
        <w:t xml:space="preserve"> </w:t>
      </w:r>
      <w:bookmarkStart w:id="612" w:name="_Toc149064214"/>
      <w:r w:rsidR="002A21AE">
        <w:t>CPRS Orderable Blood Components (Component Classes) Mapped to ICCBBA Component Classes</w:t>
      </w:r>
      <w:bookmarkEnd w:id="611"/>
      <w:bookmarkEnd w:id="612"/>
      <w:r w:rsidR="002A21AE">
        <w:fldChar w:fldCharType="begin"/>
      </w:r>
      <w:r w:rsidR="002A21AE">
        <w:instrText xml:space="preserve"> XE </w:instrText>
      </w:r>
      <w:r w:rsidR="00FA7E65">
        <w:instrText>“</w:instrText>
      </w:r>
      <w:r w:rsidR="002A21AE">
        <w:instrText>Tables:CPRS Orderable Blood Components (Component Classes) Mapped to ICCBBA Component Classes</w:instrText>
      </w:r>
      <w:r w:rsidR="00FA7E65">
        <w:instrText>”</w:instrText>
      </w:r>
      <w:r w:rsidR="002A21AE">
        <w:instrText xml:space="preserve"> </w:instrText>
      </w:r>
      <w:r w:rsidR="002A21AE">
        <w:fldChar w:fldCharType="end"/>
      </w:r>
    </w:p>
    <w:p w14:paraId="75FBBAE6" w14:textId="2BEFCF93" w:rsidR="002A21AE" w:rsidRDefault="00EE455E" w:rsidP="00FA7E65">
      <w:pPr>
        <w:pStyle w:val="BodyText"/>
      </w:pPr>
      <w:r w:rsidRPr="00575E6D">
        <w:t xml:space="preserve">Table </w:t>
      </w:r>
      <w:r>
        <w:rPr>
          <w:noProof/>
        </w:rPr>
        <w:t>19</w:t>
      </w:r>
      <w:r w:rsidR="00E73261">
        <w:t xml:space="preserve"> </w:t>
      </w:r>
      <w:r w:rsidR="002A21AE">
        <w:t>is used to map the CPRS/</w:t>
      </w:r>
      <w:r w:rsidR="00CA6E27" w:rsidRPr="00CA6E27">
        <w:rPr>
          <w:bCs/>
        </w:rPr>
        <w:t>VistA</w:t>
      </w:r>
      <w:r w:rsidR="002A21AE">
        <w:t xml:space="preserve"> orderables available to clinicians to the ICCBBA component classes.</w:t>
      </w:r>
      <w:r w:rsidR="00F04185">
        <w:t xml:space="preserve"> </w:t>
      </w:r>
      <w:r w:rsidR="00203682">
        <w:t>(</w:t>
      </w:r>
      <w:r w:rsidR="00911CAF" w:rsidRPr="00911CAF">
        <w:rPr>
          <w:vanish/>
        </w:rPr>
        <w:t xml:space="preserve">DR 4481 </w:t>
      </w:r>
      <w:r w:rsidR="00911CAF">
        <w:t>See FAQ VBECS Blood Product Hierarchy for additional information.</w:t>
      </w:r>
      <w:r w:rsidR="00203682">
        <w:t>)</w:t>
      </w:r>
    </w:p>
    <w:p w14:paraId="553DEFE8" w14:textId="45A3B11F" w:rsidR="002A21AE" w:rsidRDefault="002A21AE">
      <w:pPr>
        <w:pStyle w:val="Caption"/>
        <w:rPr>
          <w:rFonts w:ascii="Arial" w:hAnsi="Arial"/>
          <w:sz w:val="16"/>
        </w:rPr>
      </w:pPr>
      <w:bookmarkStart w:id="613" w:name="_Ref507069801"/>
      <w:bookmarkStart w:id="614" w:name="_Ref507152797"/>
      <w:r w:rsidRPr="00575E6D">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19</w:t>
      </w:r>
      <w:r w:rsidR="004E20BD">
        <w:rPr>
          <w:noProof/>
        </w:rPr>
        <w:fldChar w:fldCharType="end"/>
      </w:r>
      <w:bookmarkEnd w:id="613"/>
      <w:r w:rsidRPr="00575E6D">
        <w:t xml:space="preserve">: </w:t>
      </w:r>
      <w:r w:rsidRPr="00575E6D">
        <w:rPr>
          <w:vanish/>
        </w:rPr>
        <w:t>PT_</w:t>
      </w:r>
      <w:r w:rsidR="002548EA" w:rsidRPr="00575E6D">
        <w:rPr>
          <w:vanish/>
        </w:rPr>
        <w:t>1</w:t>
      </w:r>
      <w:r w:rsidRPr="00575E6D">
        <w:rPr>
          <w:vanish/>
        </w:rPr>
        <w:t>.0</w:t>
      </w:r>
      <w:r w:rsidR="002548EA" w:rsidRPr="00575E6D">
        <w:rPr>
          <w:vanish/>
        </w:rPr>
        <w:t>6</w:t>
      </w:r>
      <w:r w:rsidRPr="00575E6D">
        <w:rPr>
          <w:vanish/>
        </w:rPr>
        <w:t xml:space="preserve"> </w:t>
      </w:r>
      <w:r w:rsidRPr="00575E6D">
        <w:t>CPRS Orderable Blood Components (Component Classes) Mapped to ICCBBA Component Classes</w:t>
      </w:r>
      <w:bookmarkEnd w:id="614"/>
    </w:p>
    <w:tbl>
      <w:tblPr>
        <w:tblW w:w="7128" w:type="dxa"/>
        <w:tblInd w:w="604" w:type="dxa"/>
        <w:tblCellMar>
          <w:left w:w="0" w:type="dxa"/>
          <w:right w:w="0" w:type="dxa"/>
        </w:tblCellMar>
        <w:tblLook w:val="04A0" w:firstRow="1" w:lastRow="0" w:firstColumn="1" w:lastColumn="0" w:noHBand="0" w:noVBand="1"/>
      </w:tblPr>
      <w:tblGrid>
        <w:gridCol w:w="2988"/>
        <w:gridCol w:w="4140"/>
      </w:tblGrid>
      <w:tr w:rsidR="002202D4" w14:paraId="059DBA38" w14:textId="77777777" w:rsidTr="002202D4">
        <w:trPr>
          <w:trHeight w:val="255"/>
        </w:trPr>
        <w:tc>
          <w:tcPr>
            <w:tcW w:w="2988" w:type="dxa"/>
            <w:tcBorders>
              <w:top w:val="single" w:sz="8" w:space="0" w:color="auto"/>
              <w:left w:val="single" w:sz="8" w:space="0" w:color="auto"/>
              <w:bottom w:val="single" w:sz="8" w:space="0" w:color="auto"/>
              <w:right w:val="single" w:sz="8" w:space="0" w:color="auto"/>
            </w:tcBorders>
            <w:shd w:val="clear" w:color="auto" w:fill="CCCCCC"/>
            <w:noWrap/>
            <w:tcMar>
              <w:top w:w="0" w:type="dxa"/>
              <w:left w:w="108" w:type="dxa"/>
              <w:bottom w:w="0" w:type="dxa"/>
              <w:right w:w="108" w:type="dxa"/>
            </w:tcMar>
            <w:vAlign w:val="bottom"/>
            <w:hideMark/>
          </w:tcPr>
          <w:p w14:paraId="442975EA" w14:textId="77777777" w:rsidR="002202D4" w:rsidRPr="002202D4" w:rsidRDefault="002202D4">
            <w:pPr>
              <w:jc w:val="center"/>
              <w:rPr>
                <w:rFonts w:ascii="Arial" w:eastAsia="Calibri" w:hAnsi="Arial" w:cs="Arial"/>
                <w:b/>
                <w:bCs/>
                <w:sz w:val="18"/>
                <w:szCs w:val="18"/>
              </w:rPr>
            </w:pPr>
            <w:r w:rsidRPr="002202D4">
              <w:rPr>
                <w:rFonts w:ascii="Arial" w:hAnsi="Arial" w:cs="Arial"/>
                <w:b/>
                <w:bCs/>
                <w:sz w:val="18"/>
                <w:szCs w:val="18"/>
              </w:rPr>
              <w:t>CPRS Orderable Item</w:t>
            </w:r>
          </w:p>
        </w:tc>
        <w:tc>
          <w:tcPr>
            <w:tcW w:w="4140" w:type="dxa"/>
            <w:tcBorders>
              <w:top w:val="single" w:sz="8" w:space="0" w:color="auto"/>
              <w:left w:val="nil"/>
              <w:bottom w:val="single" w:sz="8" w:space="0" w:color="auto"/>
              <w:right w:val="single" w:sz="8" w:space="0" w:color="auto"/>
            </w:tcBorders>
            <w:shd w:val="clear" w:color="auto" w:fill="CCCCCC"/>
            <w:noWrap/>
            <w:tcMar>
              <w:top w:w="0" w:type="dxa"/>
              <w:left w:w="108" w:type="dxa"/>
              <w:bottom w:w="0" w:type="dxa"/>
              <w:right w:w="108" w:type="dxa"/>
            </w:tcMar>
            <w:vAlign w:val="bottom"/>
            <w:hideMark/>
          </w:tcPr>
          <w:p w14:paraId="059D7BA9" w14:textId="77777777" w:rsidR="002202D4" w:rsidRPr="002202D4" w:rsidRDefault="002202D4">
            <w:pPr>
              <w:jc w:val="center"/>
              <w:rPr>
                <w:rFonts w:ascii="Arial" w:eastAsia="Calibri" w:hAnsi="Arial" w:cs="Arial"/>
                <w:b/>
                <w:bCs/>
                <w:sz w:val="18"/>
                <w:szCs w:val="18"/>
              </w:rPr>
            </w:pPr>
            <w:r w:rsidRPr="002202D4">
              <w:rPr>
                <w:rFonts w:ascii="Arial" w:hAnsi="Arial" w:cs="Arial"/>
                <w:b/>
                <w:bCs/>
                <w:sz w:val="18"/>
                <w:szCs w:val="18"/>
              </w:rPr>
              <w:t>Blood Product Component Class</w:t>
            </w:r>
          </w:p>
        </w:tc>
      </w:tr>
      <w:tr w:rsidR="002202D4" w14:paraId="426F2CB7"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FDB630"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42F9A0"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r>
      <w:tr w:rsidR="002202D4" w14:paraId="6F8D83FB"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E134E29"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AA410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r>
      <w:tr w:rsidR="002202D4" w14:paraId="0EC39DE2"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0D173E"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415E1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r>
      <w:tr w:rsidR="002202D4" w14:paraId="4B362CCA"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8C8E71"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RED BLOOD CELLS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414664"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WHOLE BLOOD</w:t>
            </w:r>
          </w:p>
        </w:tc>
      </w:tr>
      <w:tr w:rsidR="002202D4" w14:paraId="01247776"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612B24"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FRESH FROZEN PLASMA</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C0FFD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FRESH FROZEN PLASMA</w:t>
            </w:r>
          </w:p>
        </w:tc>
      </w:tr>
      <w:tr w:rsidR="002202D4" w14:paraId="2E902E53"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07A9DA"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PLATELETS</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0C150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PLATELETS</w:t>
            </w:r>
          </w:p>
        </w:tc>
      </w:tr>
      <w:tr w:rsidR="002202D4" w14:paraId="42AF745A"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4DEC22"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CRYOPRECIPITATE</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68C738"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CRYOPRECIPITATE</w:t>
            </w:r>
          </w:p>
        </w:tc>
      </w:tr>
      <w:tr w:rsidR="002202D4" w14:paraId="77A58925" w14:textId="77777777" w:rsidTr="002202D4">
        <w:trPr>
          <w:trHeight w:val="255"/>
        </w:trPr>
        <w:tc>
          <w:tcPr>
            <w:tcW w:w="298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0F85B2"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OTHER</w:t>
            </w:r>
          </w:p>
        </w:tc>
        <w:tc>
          <w:tcPr>
            <w:tcW w:w="41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88F82C" w14:textId="77777777" w:rsidR="002202D4" w:rsidRPr="002202D4" w:rsidRDefault="002202D4">
            <w:pPr>
              <w:jc w:val="center"/>
              <w:rPr>
                <w:rFonts w:ascii="Arial" w:eastAsia="Calibri" w:hAnsi="Arial" w:cs="Arial"/>
                <w:sz w:val="18"/>
                <w:szCs w:val="18"/>
              </w:rPr>
            </w:pPr>
            <w:r w:rsidRPr="002202D4">
              <w:rPr>
                <w:rFonts w:ascii="Arial" w:hAnsi="Arial" w:cs="Arial"/>
                <w:sz w:val="18"/>
                <w:szCs w:val="18"/>
              </w:rPr>
              <w:t>OTHER</w:t>
            </w:r>
          </w:p>
        </w:tc>
      </w:tr>
    </w:tbl>
    <w:p w14:paraId="248B567D" w14:textId="77777777" w:rsidR="002A21AE" w:rsidRDefault="002A21AE">
      <w:pPr>
        <w:pStyle w:val="Heading3"/>
      </w:pPr>
      <w:r w:rsidRPr="00691DFF">
        <w:rPr>
          <w:rFonts w:ascii="Geneva" w:hAnsi="Geneva"/>
          <w:vanish/>
        </w:rPr>
        <w:t xml:space="preserve">TT_77.01 </w:t>
      </w:r>
      <w:bookmarkStart w:id="615" w:name="_Toc149064215"/>
      <w:r w:rsidRPr="00691DFF">
        <w:t>Details in Audit Trail Report</w:t>
      </w:r>
      <w:bookmarkEnd w:id="615"/>
      <w:r w:rsidRPr="00691DFF">
        <w:fldChar w:fldCharType="begin"/>
      </w:r>
      <w:r w:rsidRPr="00691DFF">
        <w:instrText xml:space="preserve"> XE </w:instrText>
      </w:r>
      <w:r w:rsidR="00FA7E65" w:rsidRPr="00691DFF">
        <w:instrText>“</w:instrText>
      </w:r>
      <w:r w:rsidRPr="00691DFF">
        <w:instrText>Tables:Details in Audit Trail Report</w:instrText>
      </w:r>
      <w:r w:rsidR="00FA7E65" w:rsidRPr="00691DFF">
        <w:instrText>”</w:instrText>
      </w:r>
      <w:r w:rsidRPr="00691DFF">
        <w:instrText xml:space="preserve"> </w:instrText>
      </w:r>
      <w:r w:rsidRPr="00691DFF">
        <w:fldChar w:fldCharType="end"/>
      </w:r>
    </w:p>
    <w:p w14:paraId="1081D19B" w14:textId="157F172C" w:rsidR="00264588" w:rsidRPr="00264588" w:rsidRDefault="00264588" w:rsidP="00264588">
      <w:pPr>
        <w:pStyle w:val="BodyText"/>
      </w:pPr>
      <w:r>
        <w:t>Changes include the date and time of the change, ID of the user who made the change, and required comments</w:t>
      </w:r>
      <w:r w:rsidR="00E531AC">
        <w:t xml:space="preserve"> (</w:t>
      </w:r>
      <w:r w:rsidR="00EE455E">
        <w:t xml:space="preserve">Table </w:t>
      </w:r>
      <w:r w:rsidR="00EE455E">
        <w:rPr>
          <w:noProof/>
        </w:rPr>
        <w:t>20</w:t>
      </w:r>
      <w:r w:rsidR="00E531AC">
        <w:t>)</w:t>
      </w:r>
      <w:r>
        <w:t>.</w:t>
      </w:r>
    </w:p>
    <w:p w14:paraId="5F52D2C4" w14:textId="3E4B5E02" w:rsidR="002A21AE" w:rsidRDefault="002A21AE">
      <w:pPr>
        <w:pStyle w:val="Caption"/>
      </w:pPr>
      <w:bookmarkStart w:id="616" w:name="_Ref126732219"/>
      <w:bookmarkStart w:id="617" w:name="_Toc97523637"/>
      <w:bookmarkStart w:id="618" w:name="_Toc97527607"/>
      <w:bookmarkStart w:id="619" w:name="_Ref126504486"/>
      <w:bookmarkStart w:id="620" w:name="_Ref126504618"/>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20</w:t>
      </w:r>
      <w:r w:rsidR="004E20BD">
        <w:rPr>
          <w:noProof/>
        </w:rPr>
        <w:fldChar w:fldCharType="end"/>
      </w:r>
      <w:bookmarkEnd w:id="616"/>
      <w:r>
        <w:t xml:space="preserve">: </w:t>
      </w:r>
      <w:r>
        <w:rPr>
          <w:vanish/>
        </w:rPr>
        <w:t xml:space="preserve">TT_77.01 </w:t>
      </w:r>
      <w:r>
        <w:t>Details in Audit Trail Report</w:t>
      </w:r>
      <w:bookmarkEnd w:id="617"/>
      <w:bookmarkEnd w:id="618"/>
      <w:bookmarkEnd w:id="619"/>
      <w:bookmarkEnd w:id="620"/>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1979"/>
        <w:gridCol w:w="3470"/>
        <w:gridCol w:w="1243"/>
        <w:gridCol w:w="1295"/>
      </w:tblGrid>
      <w:tr w:rsidR="002A21AE" w14:paraId="709F05F7" w14:textId="77777777" w:rsidTr="00DC1872">
        <w:trPr>
          <w:cantSplit/>
          <w:tblHeader/>
        </w:trPr>
        <w:tc>
          <w:tcPr>
            <w:tcW w:w="1525" w:type="dxa"/>
            <w:vMerge w:val="restart"/>
            <w:shd w:val="clear" w:color="auto" w:fill="B3B3B3"/>
            <w:vAlign w:val="bottom"/>
          </w:tcPr>
          <w:p w14:paraId="076C9088" w14:textId="77777777" w:rsidR="002A21AE" w:rsidRDefault="002A21AE" w:rsidP="00CD34EB">
            <w:pPr>
              <w:pStyle w:val="TableText"/>
              <w:rPr>
                <w:b/>
                <w:bCs/>
              </w:rPr>
            </w:pPr>
            <w:r>
              <w:rPr>
                <w:b/>
                <w:bCs/>
              </w:rPr>
              <w:t>Report Section</w:t>
            </w:r>
          </w:p>
        </w:tc>
        <w:tc>
          <w:tcPr>
            <w:tcW w:w="1979" w:type="dxa"/>
            <w:vMerge w:val="restart"/>
            <w:shd w:val="clear" w:color="auto" w:fill="B3B3B3"/>
            <w:vAlign w:val="bottom"/>
          </w:tcPr>
          <w:p w14:paraId="6AF17763" w14:textId="77777777" w:rsidR="002A21AE" w:rsidRDefault="002A21AE">
            <w:pPr>
              <w:pStyle w:val="TableText"/>
              <w:rPr>
                <w:b/>
                <w:bCs/>
              </w:rPr>
            </w:pPr>
            <w:r>
              <w:rPr>
                <w:b/>
                <w:bCs/>
              </w:rPr>
              <w:t>Generating Options</w:t>
            </w:r>
          </w:p>
        </w:tc>
        <w:tc>
          <w:tcPr>
            <w:tcW w:w="3470" w:type="dxa"/>
            <w:vMerge w:val="restart"/>
            <w:shd w:val="clear" w:color="auto" w:fill="B3B3B3"/>
            <w:vAlign w:val="bottom"/>
          </w:tcPr>
          <w:p w14:paraId="4C7E03D4" w14:textId="77777777" w:rsidR="002A21AE" w:rsidRDefault="002A21AE">
            <w:pPr>
              <w:pStyle w:val="TableText"/>
              <w:rPr>
                <w:b/>
                <w:bCs/>
              </w:rPr>
            </w:pPr>
            <w:r>
              <w:rPr>
                <w:b/>
                <w:bCs/>
              </w:rPr>
              <w:t>GUI Fields Monitored</w:t>
            </w:r>
          </w:p>
        </w:tc>
        <w:tc>
          <w:tcPr>
            <w:tcW w:w="2538" w:type="dxa"/>
            <w:gridSpan w:val="2"/>
            <w:tcBorders>
              <w:bottom w:val="single" w:sz="4" w:space="0" w:color="auto"/>
            </w:tcBorders>
            <w:shd w:val="clear" w:color="auto" w:fill="B3B3B3"/>
            <w:vAlign w:val="bottom"/>
          </w:tcPr>
          <w:p w14:paraId="1965C764" w14:textId="77777777" w:rsidR="002A21AE" w:rsidRDefault="002A21AE" w:rsidP="0058499D">
            <w:pPr>
              <w:pStyle w:val="TableText"/>
              <w:jc w:val="center"/>
              <w:rPr>
                <w:rFonts w:eastAsia="Symbol"/>
                <w:b/>
                <w:bCs/>
              </w:rPr>
            </w:pPr>
            <w:r>
              <w:rPr>
                <w:rFonts w:eastAsia="Symbol"/>
                <w:b/>
                <w:bCs/>
              </w:rPr>
              <w:t>Accessible in:</w:t>
            </w:r>
          </w:p>
        </w:tc>
      </w:tr>
      <w:tr w:rsidR="002A21AE" w14:paraId="52686887" w14:textId="77777777" w:rsidTr="00DC1872">
        <w:trPr>
          <w:cantSplit/>
          <w:tblHeader/>
        </w:trPr>
        <w:tc>
          <w:tcPr>
            <w:tcW w:w="1525" w:type="dxa"/>
            <w:vMerge/>
            <w:tcBorders>
              <w:bottom w:val="single" w:sz="4" w:space="0" w:color="auto"/>
            </w:tcBorders>
            <w:shd w:val="clear" w:color="auto" w:fill="B3B3B3"/>
            <w:vAlign w:val="bottom"/>
          </w:tcPr>
          <w:p w14:paraId="1FB4CF3E" w14:textId="77777777" w:rsidR="002A21AE" w:rsidRDefault="002A21AE" w:rsidP="00CD34EB">
            <w:pPr>
              <w:pStyle w:val="TableText"/>
              <w:rPr>
                <w:b/>
                <w:bCs/>
              </w:rPr>
            </w:pPr>
          </w:p>
        </w:tc>
        <w:tc>
          <w:tcPr>
            <w:tcW w:w="1979" w:type="dxa"/>
            <w:vMerge/>
            <w:tcBorders>
              <w:bottom w:val="single" w:sz="4" w:space="0" w:color="auto"/>
            </w:tcBorders>
            <w:shd w:val="clear" w:color="auto" w:fill="B3B3B3"/>
            <w:vAlign w:val="bottom"/>
          </w:tcPr>
          <w:p w14:paraId="767F3066" w14:textId="77777777" w:rsidR="002A21AE" w:rsidRDefault="002A21AE">
            <w:pPr>
              <w:pStyle w:val="TableText"/>
              <w:rPr>
                <w:b/>
                <w:bCs/>
              </w:rPr>
            </w:pPr>
          </w:p>
        </w:tc>
        <w:tc>
          <w:tcPr>
            <w:tcW w:w="3470" w:type="dxa"/>
            <w:vMerge/>
            <w:tcBorders>
              <w:bottom w:val="single" w:sz="4" w:space="0" w:color="auto"/>
            </w:tcBorders>
            <w:shd w:val="clear" w:color="auto" w:fill="B3B3B3"/>
            <w:vAlign w:val="bottom"/>
          </w:tcPr>
          <w:p w14:paraId="08709FB6" w14:textId="77777777" w:rsidR="002A21AE" w:rsidRDefault="002A21AE">
            <w:pPr>
              <w:pStyle w:val="TableText"/>
              <w:rPr>
                <w:b/>
                <w:bCs/>
              </w:rPr>
            </w:pPr>
          </w:p>
        </w:tc>
        <w:tc>
          <w:tcPr>
            <w:tcW w:w="1243" w:type="dxa"/>
            <w:tcBorders>
              <w:bottom w:val="single" w:sz="4" w:space="0" w:color="auto"/>
            </w:tcBorders>
            <w:shd w:val="clear" w:color="auto" w:fill="B3B3B3"/>
            <w:vAlign w:val="bottom"/>
          </w:tcPr>
          <w:p w14:paraId="63ABB6E6" w14:textId="77777777" w:rsidR="002A21AE" w:rsidRDefault="002A21AE">
            <w:pPr>
              <w:pStyle w:val="TableText"/>
              <w:rPr>
                <w:rFonts w:eastAsia="Symbol"/>
                <w:b/>
                <w:bCs/>
              </w:rPr>
            </w:pPr>
            <w:r>
              <w:rPr>
                <w:rFonts w:eastAsia="Symbol"/>
                <w:b/>
                <w:bCs/>
              </w:rPr>
              <w:t>Unit History Report?</w:t>
            </w:r>
          </w:p>
        </w:tc>
        <w:tc>
          <w:tcPr>
            <w:tcW w:w="1295" w:type="dxa"/>
            <w:tcBorders>
              <w:bottom w:val="single" w:sz="4" w:space="0" w:color="auto"/>
            </w:tcBorders>
            <w:shd w:val="clear" w:color="auto" w:fill="B3B3B3"/>
            <w:vAlign w:val="bottom"/>
          </w:tcPr>
          <w:p w14:paraId="4D946EB8" w14:textId="77777777" w:rsidR="002A21AE" w:rsidRDefault="002A21AE">
            <w:pPr>
              <w:pStyle w:val="TableText"/>
              <w:rPr>
                <w:rFonts w:eastAsia="Symbol"/>
                <w:b/>
                <w:bCs/>
              </w:rPr>
            </w:pPr>
            <w:r>
              <w:rPr>
                <w:rFonts w:eastAsia="Symbol"/>
                <w:b/>
                <w:bCs/>
              </w:rPr>
              <w:t>Patient History Report?</w:t>
            </w:r>
          </w:p>
        </w:tc>
      </w:tr>
      <w:tr w:rsidR="002A21AE" w14:paraId="42D14CED" w14:textId="77777777" w:rsidTr="00DC1872">
        <w:trPr>
          <w:cantSplit/>
        </w:trPr>
        <w:tc>
          <w:tcPr>
            <w:tcW w:w="1525" w:type="dxa"/>
            <w:vMerge w:val="restart"/>
          </w:tcPr>
          <w:p w14:paraId="0A7EDB2A" w14:textId="77777777" w:rsidR="002A21AE" w:rsidRDefault="002A21AE" w:rsidP="00CD34EB">
            <w:pPr>
              <w:pStyle w:val="TableText"/>
            </w:pPr>
            <w:r>
              <w:t>Blood Unit Changes</w:t>
            </w:r>
          </w:p>
        </w:tc>
        <w:tc>
          <w:tcPr>
            <w:tcW w:w="1979" w:type="dxa"/>
          </w:tcPr>
          <w:p w14:paraId="3FAA7EC0" w14:textId="77777777" w:rsidR="002A21AE" w:rsidRDefault="002A21AE">
            <w:pPr>
              <w:pStyle w:val="TableText"/>
            </w:pPr>
            <w:r>
              <w:t>Modify Units: Pool Units</w:t>
            </w:r>
            <w:r w:rsidR="0030405B">
              <w:t xml:space="preserve"> (when a previously pooled unit is edited)</w:t>
            </w:r>
          </w:p>
        </w:tc>
        <w:tc>
          <w:tcPr>
            <w:tcW w:w="3470" w:type="dxa"/>
          </w:tcPr>
          <w:p w14:paraId="0ACD50D6" w14:textId="77777777" w:rsidR="00EC2271" w:rsidRDefault="00EC2271" w:rsidP="00EC2271">
            <w:pPr>
              <w:pStyle w:val="TableText"/>
            </w:pPr>
            <w:r>
              <w:t>For each pooled unit edited (unit ID, long name, product code):</w:t>
            </w:r>
          </w:p>
          <w:p w14:paraId="01A2E75B" w14:textId="77777777" w:rsidR="002A21AE" w:rsidRDefault="002A21AE">
            <w:pPr>
              <w:pStyle w:val="TableTextBullet"/>
            </w:pPr>
            <w:r>
              <w:t xml:space="preserve">Added </w:t>
            </w:r>
            <w:r w:rsidR="00BD6C59">
              <w:t xml:space="preserve">or Removed </w:t>
            </w:r>
            <w:r>
              <w:t>Unit IDs and Product Codes</w:t>
            </w:r>
          </w:p>
          <w:p w14:paraId="619237B8" w14:textId="77777777" w:rsidR="002A21AE" w:rsidRDefault="002A21AE">
            <w:pPr>
              <w:pStyle w:val="TableTextBullet"/>
            </w:pPr>
            <w:r>
              <w:t>Comment</w:t>
            </w:r>
          </w:p>
        </w:tc>
        <w:tc>
          <w:tcPr>
            <w:tcW w:w="1243" w:type="dxa"/>
          </w:tcPr>
          <w:p w14:paraId="41706762" w14:textId="77777777" w:rsidR="002A21AE" w:rsidRDefault="002A21AE">
            <w:pPr>
              <w:pStyle w:val="TableText"/>
            </w:pPr>
            <w:r>
              <w:rPr>
                <w:rFonts w:eastAsia="Symbol"/>
              </w:rPr>
              <w:t>Yes</w:t>
            </w:r>
          </w:p>
        </w:tc>
        <w:tc>
          <w:tcPr>
            <w:tcW w:w="1295" w:type="dxa"/>
          </w:tcPr>
          <w:p w14:paraId="103B023B" w14:textId="77777777" w:rsidR="002A21AE" w:rsidRDefault="002A21AE">
            <w:pPr>
              <w:pStyle w:val="TableText"/>
            </w:pPr>
            <w:r>
              <w:t>No</w:t>
            </w:r>
          </w:p>
        </w:tc>
      </w:tr>
      <w:tr w:rsidR="002A21AE" w14:paraId="303E1540" w14:textId="77777777" w:rsidTr="00DC1872">
        <w:trPr>
          <w:cantSplit/>
        </w:trPr>
        <w:tc>
          <w:tcPr>
            <w:tcW w:w="1525" w:type="dxa"/>
            <w:vMerge/>
          </w:tcPr>
          <w:p w14:paraId="7281027A" w14:textId="77777777" w:rsidR="002A21AE" w:rsidRDefault="002A21AE" w:rsidP="00CD34EB">
            <w:pPr>
              <w:pStyle w:val="TableText"/>
            </w:pPr>
          </w:p>
        </w:tc>
        <w:tc>
          <w:tcPr>
            <w:tcW w:w="1979" w:type="dxa"/>
          </w:tcPr>
          <w:p w14:paraId="5A48EF1D" w14:textId="77777777" w:rsidR="002A21AE" w:rsidRDefault="002A21AE">
            <w:pPr>
              <w:pStyle w:val="TableText"/>
            </w:pPr>
            <w:r>
              <w:t>Editing A Unit</w:t>
            </w:r>
          </w:p>
        </w:tc>
        <w:tc>
          <w:tcPr>
            <w:tcW w:w="3470" w:type="dxa"/>
          </w:tcPr>
          <w:p w14:paraId="3B0A21D9" w14:textId="77777777" w:rsidR="00EC2271" w:rsidRDefault="00EC2271" w:rsidP="00EC2271">
            <w:pPr>
              <w:pStyle w:val="TableText"/>
            </w:pPr>
            <w:r>
              <w:t>For each unit edited (unit ID, long name, product code):</w:t>
            </w:r>
          </w:p>
          <w:p w14:paraId="0EC15468" w14:textId="77777777" w:rsidR="002A21AE" w:rsidRDefault="002A21AE">
            <w:pPr>
              <w:pStyle w:val="TableTextBullet"/>
            </w:pPr>
            <w:r>
              <w:t xml:space="preserve">Unit </w:t>
            </w:r>
            <w:r w:rsidR="0083176A">
              <w:t xml:space="preserve">Antigen </w:t>
            </w:r>
            <w:r>
              <w:t>Information</w:t>
            </w:r>
          </w:p>
          <w:p w14:paraId="29CFD3B4" w14:textId="77777777" w:rsidR="0083176A" w:rsidRDefault="0083176A">
            <w:pPr>
              <w:pStyle w:val="TableTextBullet"/>
            </w:pPr>
            <w:r>
              <w:t>Special Testing Information</w:t>
            </w:r>
          </w:p>
          <w:p w14:paraId="24F96387" w14:textId="77777777" w:rsidR="0083176A" w:rsidRDefault="0083176A">
            <w:pPr>
              <w:pStyle w:val="TableTextBullet"/>
            </w:pPr>
            <w:r>
              <w:t>Discarded Plasma Volume</w:t>
            </w:r>
          </w:p>
          <w:p w14:paraId="0E6C024B" w14:textId="77777777" w:rsidR="0083176A" w:rsidRDefault="0083176A">
            <w:pPr>
              <w:pStyle w:val="TableTextBullet"/>
            </w:pPr>
            <w:r>
              <w:t>Unit Volume</w:t>
            </w:r>
          </w:p>
          <w:p w14:paraId="60A0BF53" w14:textId="77777777" w:rsidR="0083176A" w:rsidRDefault="0083176A">
            <w:pPr>
              <w:pStyle w:val="TableTextBullet"/>
            </w:pPr>
            <w:r>
              <w:t>Biohazardous Indicator</w:t>
            </w:r>
          </w:p>
          <w:p w14:paraId="11D8C951" w14:textId="77777777" w:rsidR="002A21AE" w:rsidRDefault="002A21AE">
            <w:pPr>
              <w:pStyle w:val="TableTextBullet"/>
            </w:pPr>
            <w:r>
              <w:t>Unit ABO/Rh Confirmation Test</w:t>
            </w:r>
            <w:r w:rsidR="00A047A4">
              <w:t xml:space="preserve">, </w:t>
            </w:r>
            <w:r w:rsidR="0083176A">
              <w:t>Invalidation Indicator</w:t>
            </w:r>
          </w:p>
          <w:p w14:paraId="44AFED0F" w14:textId="77777777" w:rsidR="002A21AE" w:rsidRDefault="002A21AE">
            <w:pPr>
              <w:pStyle w:val="TableTextBullet"/>
            </w:pPr>
            <w:r>
              <w:t>Unit Antigen Typing Test</w:t>
            </w:r>
            <w:r w:rsidR="00A047A4">
              <w:t xml:space="preserve">, </w:t>
            </w:r>
            <w:r w:rsidR="0083176A">
              <w:t>Invalidation Indicator</w:t>
            </w:r>
          </w:p>
          <w:p w14:paraId="2C2640FA" w14:textId="77777777" w:rsidR="002A21AE" w:rsidRDefault="002A21AE">
            <w:pPr>
              <w:pStyle w:val="TableTextBullet"/>
            </w:pPr>
            <w:r>
              <w:t>Unit Record Inactivation Indicator</w:t>
            </w:r>
          </w:p>
          <w:p w14:paraId="52977935" w14:textId="77777777" w:rsidR="0083176A" w:rsidRDefault="002F766E">
            <w:pPr>
              <w:pStyle w:val="TableTextBullet"/>
            </w:pPr>
            <w:r>
              <w:t>Restricted For</w:t>
            </w:r>
            <w:r w:rsidR="0083176A">
              <w:t xml:space="preserve"> Patient Name and Patient ID</w:t>
            </w:r>
          </w:p>
          <w:p w14:paraId="1811BD8C" w14:textId="77777777" w:rsidR="002A21AE" w:rsidRDefault="002A21AE">
            <w:pPr>
              <w:pStyle w:val="TableTextBullet"/>
            </w:pPr>
            <w:r>
              <w:t>Comment</w:t>
            </w:r>
          </w:p>
        </w:tc>
        <w:tc>
          <w:tcPr>
            <w:tcW w:w="1243" w:type="dxa"/>
          </w:tcPr>
          <w:p w14:paraId="7BA16EC9" w14:textId="77777777" w:rsidR="002A21AE" w:rsidRDefault="002A21AE">
            <w:pPr>
              <w:pStyle w:val="TableText"/>
            </w:pPr>
            <w:r>
              <w:rPr>
                <w:rFonts w:eastAsia="Symbol"/>
              </w:rPr>
              <w:t>Yes</w:t>
            </w:r>
          </w:p>
        </w:tc>
        <w:tc>
          <w:tcPr>
            <w:tcW w:w="1295" w:type="dxa"/>
          </w:tcPr>
          <w:p w14:paraId="7B24076F" w14:textId="77777777" w:rsidR="002A21AE" w:rsidRDefault="002A21AE">
            <w:pPr>
              <w:pStyle w:val="TableText"/>
            </w:pPr>
            <w:r>
              <w:t>No</w:t>
            </w:r>
          </w:p>
        </w:tc>
      </w:tr>
      <w:tr w:rsidR="002A21AE" w14:paraId="06BDD35D" w14:textId="77777777" w:rsidTr="00DC1872">
        <w:trPr>
          <w:cantSplit/>
        </w:trPr>
        <w:tc>
          <w:tcPr>
            <w:tcW w:w="1525" w:type="dxa"/>
          </w:tcPr>
          <w:p w14:paraId="58C20FB1" w14:textId="77777777" w:rsidR="002A21AE" w:rsidRDefault="002A21AE" w:rsidP="00CD34EB">
            <w:pPr>
              <w:pStyle w:val="TableText"/>
            </w:pPr>
            <w:r>
              <w:t>Blood Unit Financial Changes</w:t>
            </w:r>
          </w:p>
        </w:tc>
        <w:tc>
          <w:tcPr>
            <w:tcW w:w="1979" w:type="dxa"/>
          </w:tcPr>
          <w:p w14:paraId="27E0D22B" w14:textId="77777777" w:rsidR="002A21AE" w:rsidRDefault="002A21AE">
            <w:pPr>
              <w:pStyle w:val="TableText"/>
            </w:pPr>
            <w:r>
              <w:t>Edit Financial Data</w:t>
            </w:r>
          </w:p>
        </w:tc>
        <w:tc>
          <w:tcPr>
            <w:tcW w:w="3470" w:type="dxa"/>
          </w:tcPr>
          <w:p w14:paraId="76EB7F6E" w14:textId="77777777" w:rsidR="00F0285D" w:rsidRDefault="00F0285D" w:rsidP="00F0285D">
            <w:pPr>
              <w:pStyle w:val="TableText"/>
            </w:pPr>
            <w:r>
              <w:t>For each unit edited (unit ID, long name, product code):</w:t>
            </w:r>
          </w:p>
          <w:p w14:paraId="43848790" w14:textId="77777777" w:rsidR="002A21AE" w:rsidRDefault="002A21AE">
            <w:pPr>
              <w:pStyle w:val="TableTextBullet"/>
            </w:pPr>
            <w:r>
              <w:t xml:space="preserve">Unit Base Cost </w:t>
            </w:r>
          </w:p>
          <w:p w14:paraId="4E5168AB" w14:textId="77777777" w:rsidR="002A21AE" w:rsidRDefault="002A21AE">
            <w:pPr>
              <w:pStyle w:val="TableTextBullet"/>
            </w:pPr>
            <w:r>
              <w:t>Special Test Cost</w:t>
            </w:r>
          </w:p>
          <w:p w14:paraId="24293B4B" w14:textId="77777777" w:rsidR="002A21AE" w:rsidRDefault="002A21AE">
            <w:pPr>
              <w:pStyle w:val="TableTextBullet"/>
            </w:pPr>
            <w:r>
              <w:t>Return Credit</w:t>
            </w:r>
          </w:p>
        </w:tc>
        <w:tc>
          <w:tcPr>
            <w:tcW w:w="1243" w:type="dxa"/>
          </w:tcPr>
          <w:p w14:paraId="5CD4778C" w14:textId="77777777" w:rsidR="002A21AE" w:rsidRDefault="002A21AE">
            <w:pPr>
              <w:pStyle w:val="TableText"/>
            </w:pPr>
            <w:r>
              <w:rPr>
                <w:rFonts w:eastAsia="Symbol"/>
              </w:rPr>
              <w:t>Yes</w:t>
            </w:r>
          </w:p>
        </w:tc>
        <w:tc>
          <w:tcPr>
            <w:tcW w:w="1295" w:type="dxa"/>
          </w:tcPr>
          <w:p w14:paraId="5DFB24C0" w14:textId="77777777" w:rsidR="002A21AE" w:rsidRDefault="002A21AE">
            <w:pPr>
              <w:pStyle w:val="TableText"/>
            </w:pPr>
            <w:r>
              <w:t>No</w:t>
            </w:r>
          </w:p>
        </w:tc>
      </w:tr>
      <w:tr w:rsidR="002A21AE" w14:paraId="4D3BB8AB" w14:textId="77777777" w:rsidTr="00DC1872">
        <w:trPr>
          <w:cantSplit/>
        </w:trPr>
        <w:tc>
          <w:tcPr>
            <w:tcW w:w="1525" w:type="dxa"/>
            <w:vMerge w:val="restart"/>
          </w:tcPr>
          <w:p w14:paraId="3B6242B2" w14:textId="77777777" w:rsidR="002A21AE" w:rsidRDefault="002A21AE" w:rsidP="00CD34EB">
            <w:pPr>
              <w:pStyle w:val="TableText"/>
            </w:pPr>
            <w:r>
              <w:t>Patient Testing Changes</w:t>
            </w:r>
          </w:p>
        </w:tc>
        <w:tc>
          <w:tcPr>
            <w:tcW w:w="1979" w:type="dxa"/>
          </w:tcPr>
          <w:p w14:paraId="43A56B13" w14:textId="77777777" w:rsidR="002A21AE" w:rsidRDefault="002A21AE">
            <w:pPr>
              <w:pStyle w:val="TableText"/>
            </w:pPr>
            <w:r>
              <w:t>Invalidate Test Results</w:t>
            </w:r>
          </w:p>
        </w:tc>
        <w:tc>
          <w:tcPr>
            <w:tcW w:w="3470" w:type="dxa"/>
          </w:tcPr>
          <w:p w14:paraId="3C098B86" w14:textId="77777777" w:rsidR="004F2A5E" w:rsidRDefault="004F2A5E" w:rsidP="004F2A5E">
            <w:pPr>
              <w:pStyle w:val="TableText"/>
            </w:pPr>
            <w:r>
              <w:t>For each patient (name, ID):</w:t>
            </w:r>
          </w:p>
          <w:p w14:paraId="553A626E" w14:textId="77777777" w:rsidR="002A21AE" w:rsidRDefault="002A21AE" w:rsidP="00691DFF">
            <w:pPr>
              <w:pStyle w:val="TableTextBullet"/>
            </w:pPr>
            <w:r>
              <w:t>Ordered Test Original Results</w:t>
            </w:r>
            <w:r w:rsidR="00A047A4">
              <w:t xml:space="preserve">, </w:t>
            </w:r>
            <w:r w:rsidR="004F2A5E">
              <w:t>Invalidation Indicator</w:t>
            </w:r>
          </w:p>
          <w:p w14:paraId="3BDEEC21" w14:textId="77777777" w:rsidR="002A21AE" w:rsidRDefault="002A21AE">
            <w:pPr>
              <w:pStyle w:val="TableTextBullet"/>
            </w:pPr>
            <w:r>
              <w:t>Comment</w:t>
            </w:r>
          </w:p>
        </w:tc>
        <w:tc>
          <w:tcPr>
            <w:tcW w:w="1243" w:type="dxa"/>
          </w:tcPr>
          <w:p w14:paraId="7215837B" w14:textId="77777777" w:rsidR="002A21AE" w:rsidRDefault="002A21AE">
            <w:pPr>
              <w:pStyle w:val="TableText"/>
            </w:pPr>
            <w:r>
              <w:t>No</w:t>
            </w:r>
          </w:p>
        </w:tc>
        <w:tc>
          <w:tcPr>
            <w:tcW w:w="1295" w:type="dxa"/>
          </w:tcPr>
          <w:p w14:paraId="3E61E930" w14:textId="77777777" w:rsidR="002A21AE" w:rsidRDefault="002A21AE">
            <w:pPr>
              <w:pStyle w:val="TableText"/>
            </w:pPr>
            <w:r>
              <w:rPr>
                <w:rFonts w:eastAsia="Symbol"/>
              </w:rPr>
              <w:t>Yes</w:t>
            </w:r>
          </w:p>
        </w:tc>
      </w:tr>
      <w:tr w:rsidR="002A21AE" w14:paraId="4430E637" w14:textId="77777777" w:rsidTr="00DC1872">
        <w:trPr>
          <w:cantSplit/>
        </w:trPr>
        <w:tc>
          <w:tcPr>
            <w:tcW w:w="1525" w:type="dxa"/>
            <w:vMerge/>
          </w:tcPr>
          <w:p w14:paraId="072856FC" w14:textId="77777777" w:rsidR="002A21AE" w:rsidRDefault="002A21AE" w:rsidP="00CD34EB">
            <w:pPr>
              <w:pStyle w:val="TableText"/>
            </w:pPr>
          </w:p>
        </w:tc>
        <w:tc>
          <w:tcPr>
            <w:tcW w:w="1979" w:type="dxa"/>
          </w:tcPr>
          <w:p w14:paraId="319DB360" w14:textId="77777777" w:rsidR="002A21AE" w:rsidRDefault="002A21AE">
            <w:pPr>
              <w:pStyle w:val="TableText"/>
            </w:pPr>
            <w:r>
              <w:t>Justify ABO/Rh Change</w:t>
            </w:r>
          </w:p>
        </w:tc>
        <w:tc>
          <w:tcPr>
            <w:tcW w:w="3470" w:type="dxa"/>
          </w:tcPr>
          <w:p w14:paraId="09F73BB3" w14:textId="77777777" w:rsidR="00C46FA2" w:rsidRDefault="00C46FA2" w:rsidP="00C46FA2">
            <w:pPr>
              <w:pStyle w:val="TableText"/>
            </w:pPr>
            <w:r>
              <w:t>For each patient (name, ID):</w:t>
            </w:r>
          </w:p>
          <w:p w14:paraId="6CBA02FD" w14:textId="77777777" w:rsidR="002A21AE" w:rsidRDefault="002A21AE">
            <w:pPr>
              <w:pStyle w:val="TableTextBullet"/>
            </w:pPr>
            <w:r>
              <w:t>Patient ABO/Rh</w:t>
            </w:r>
          </w:p>
          <w:p w14:paraId="37119042" w14:textId="77777777" w:rsidR="002A21AE" w:rsidRDefault="002A21AE">
            <w:pPr>
              <w:pStyle w:val="TableTextBullet"/>
            </w:pPr>
            <w:r>
              <w:t>Comment</w:t>
            </w:r>
          </w:p>
        </w:tc>
        <w:tc>
          <w:tcPr>
            <w:tcW w:w="1243" w:type="dxa"/>
          </w:tcPr>
          <w:p w14:paraId="37D800A1" w14:textId="77777777" w:rsidR="002A21AE" w:rsidRDefault="002A21AE">
            <w:pPr>
              <w:pStyle w:val="TableText"/>
            </w:pPr>
            <w:r>
              <w:t>No</w:t>
            </w:r>
          </w:p>
        </w:tc>
        <w:tc>
          <w:tcPr>
            <w:tcW w:w="1295" w:type="dxa"/>
          </w:tcPr>
          <w:p w14:paraId="749CF35B" w14:textId="77777777" w:rsidR="002A21AE" w:rsidRDefault="002A21AE">
            <w:pPr>
              <w:pStyle w:val="TableText"/>
            </w:pPr>
            <w:r>
              <w:rPr>
                <w:rFonts w:eastAsia="Symbol"/>
              </w:rPr>
              <w:t>Yes</w:t>
            </w:r>
          </w:p>
        </w:tc>
      </w:tr>
      <w:tr w:rsidR="002A21AE" w14:paraId="3B3C2363" w14:textId="77777777" w:rsidTr="00DC1872">
        <w:trPr>
          <w:cantSplit/>
        </w:trPr>
        <w:tc>
          <w:tcPr>
            <w:tcW w:w="1525" w:type="dxa"/>
          </w:tcPr>
          <w:p w14:paraId="22FCA513" w14:textId="77777777" w:rsidR="002A21AE" w:rsidRDefault="002A21AE" w:rsidP="00CD34EB">
            <w:pPr>
              <w:pStyle w:val="TableText"/>
            </w:pPr>
            <w:r>
              <w:t>Patient Transfusion Requirements</w:t>
            </w:r>
          </w:p>
        </w:tc>
        <w:tc>
          <w:tcPr>
            <w:tcW w:w="1979" w:type="dxa"/>
          </w:tcPr>
          <w:p w14:paraId="51557C41" w14:textId="77777777" w:rsidR="0030405B" w:rsidRDefault="002A21AE">
            <w:pPr>
              <w:pStyle w:val="TableText"/>
            </w:pPr>
            <w:r>
              <w:t xml:space="preserve">Special Instructions &amp; Transfusion Requirements: </w:t>
            </w:r>
            <w:r w:rsidR="00526D93">
              <w:t>Enter a Transfusion Requirement</w:t>
            </w:r>
          </w:p>
          <w:p w14:paraId="578CA5D9" w14:textId="77777777" w:rsidR="0030405B" w:rsidRDefault="0030405B">
            <w:pPr>
              <w:pStyle w:val="TableText"/>
            </w:pPr>
            <w:r>
              <w:t>Patient Testing: Record Patient Test Results (new TR created from ABID data entry)</w:t>
            </w:r>
          </w:p>
        </w:tc>
        <w:tc>
          <w:tcPr>
            <w:tcW w:w="3470" w:type="dxa"/>
          </w:tcPr>
          <w:p w14:paraId="49C366AC" w14:textId="77777777" w:rsidR="0030405B" w:rsidRDefault="0030405B" w:rsidP="0030405B">
            <w:pPr>
              <w:pStyle w:val="TableText"/>
            </w:pPr>
            <w:r>
              <w:t>For each Transfusion Requirement category or Special Instruction:</w:t>
            </w:r>
          </w:p>
          <w:p w14:paraId="6846C373" w14:textId="77777777" w:rsidR="002A21AE" w:rsidRDefault="0030405B">
            <w:pPr>
              <w:pStyle w:val="TableTextBullet"/>
            </w:pPr>
            <w:r>
              <w:t>Status</w:t>
            </w:r>
            <w:r w:rsidR="002A21AE">
              <w:t xml:space="preserve"> Indicator</w:t>
            </w:r>
          </w:p>
          <w:p w14:paraId="7DC5135A" w14:textId="77777777" w:rsidR="002A21AE" w:rsidRDefault="002A21AE">
            <w:pPr>
              <w:pStyle w:val="TableTextBullet"/>
            </w:pPr>
            <w:r>
              <w:t>Comment</w:t>
            </w:r>
          </w:p>
        </w:tc>
        <w:tc>
          <w:tcPr>
            <w:tcW w:w="1243" w:type="dxa"/>
          </w:tcPr>
          <w:p w14:paraId="0C845836" w14:textId="77777777" w:rsidR="002A21AE" w:rsidRDefault="002A21AE">
            <w:pPr>
              <w:pStyle w:val="TableText"/>
            </w:pPr>
            <w:r>
              <w:t>No</w:t>
            </w:r>
          </w:p>
        </w:tc>
        <w:tc>
          <w:tcPr>
            <w:tcW w:w="1295" w:type="dxa"/>
          </w:tcPr>
          <w:p w14:paraId="4C38D47A" w14:textId="77777777" w:rsidR="002A21AE" w:rsidRDefault="002A21AE">
            <w:pPr>
              <w:pStyle w:val="TableText"/>
            </w:pPr>
            <w:r>
              <w:rPr>
                <w:rFonts w:eastAsia="Symbol"/>
              </w:rPr>
              <w:t>Yes</w:t>
            </w:r>
          </w:p>
        </w:tc>
      </w:tr>
      <w:tr w:rsidR="002A21AE" w14:paraId="31DBE5FE" w14:textId="77777777" w:rsidTr="00DC1872">
        <w:trPr>
          <w:cantSplit/>
        </w:trPr>
        <w:tc>
          <w:tcPr>
            <w:tcW w:w="1525" w:type="dxa"/>
          </w:tcPr>
          <w:p w14:paraId="0D26695B" w14:textId="77777777" w:rsidR="002A21AE" w:rsidRDefault="002A21AE" w:rsidP="00CD34EB">
            <w:pPr>
              <w:pStyle w:val="TableText"/>
            </w:pPr>
            <w:r>
              <w:t>Maintenance: Local Facilities</w:t>
            </w:r>
          </w:p>
        </w:tc>
        <w:tc>
          <w:tcPr>
            <w:tcW w:w="1979" w:type="dxa"/>
          </w:tcPr>
          <w:p w14:paraId="15A47A1D" w14:textId="77777777" w:rsidR="002A21AE" w:rsidRDefault="002A21AE" w:rsidP="0030405B">
            <w:pPr>
              <w:pStyle w:val="TableText"/>
            </w:pPr>
            <w:r>
              <w:t>Local Facilities</w:t>
            </w:r>
          </w:p>
        </w:tc>
        <w:tc>
          <w:tcPr>
            <w:tcW w:w="3470" w:type="dxa"/>
          </w:tcPr>
          <w:p w14:paraId="61ED6AE6" w14:textId="77777777" w:rsidR="0030405B" w:rsidRDefault="0030405B" w:rsidP="0030405B">
            <w:pPr>
              <w:pStyle w:val="TableText"/>
            </w:pPr>
            <w:r>
              <w:t xml:space="preserve">For each </w:t>
            </w:r>
            <w:r w:rsidR="00B059A9">
              <w:t>f</w:t>
            </w:r>
            <w:r>
              <w:t xml:space="preserve">acility </w:t>
            </w:r>
            <w:r w:rsidR="00B059A9">
              <w:t>n</w:t>
            </w:r>
            <w:r>
              <w:t>ame and FDA Registration Number:</w:t>
            </w:r>
          </w:p>
          <w:p w14:paraId="6C2AD484" w14:textId="77777777" w:rsidR="002A21AE" w:rsidRDefault="002A21AE">
            <w:pPr>
              <w:pStyle w:val="TableTextBullet"/>
            </w:pPr>
            <w:r>
              <w:t>Eye-readable prefix</w:t>
            </w:r>
          </w:p>
          <w:p w14:paraId="4227B96C" w14:textId="77777777" w:rsidR="0030405B" w:rsidRDefault="0030405B">
            <w:pPr>
              <w:pStyle w:val="TableTextBullet"/>
            </w:pPr>
            <w:r>
              <w:t>ICCBBA Registration Number</w:t>
            </w:r>
          </w:p>
          <w:p w14:paraId="09014C9D" w14:textId="77777777" w:rsidR="002A21AE" w:rsidRDefault="002A21AE">
            <w:pPr>
              <w:pStyle w:val="TableTextBullet"/>
            </w:pPr>
            <w:r>
              <w:t xml:space="preserve">Alpha </w:t>
            </w:r>
            <w:r w:rsidR="00765991">
              <w:t>C</w:t>
            </w:r>
            <w:r>
              <w:t>haracters</w:t>
            </w:r>
            <w:r w:rsidR="0030405B">
              <w:t xml:space="preserve"> Indicator</w:t>
            </w:r>
          </w:p>
          <w:p w14:paraId="11E4D77D" w14:textId="77777777" w:rsidR="002A21AE" w:rsidRDefault="002A21AE">
            <w:pPr>
              <w:pStyle w:val="TableTextBullet"/>
            </w:pPr>
            <w:r>
              <w:t>Active</w:t>
            </w:r>
            <w:r w:rsidR="0030405B">
              <w:t xml:space="preserve"> Facility</w:t>
            </w:r>
            <w:r>
              <w:t xml:space="preserve"> Indicator</w:t>
            </w:r>
          </w:p>
          <w:p w14:paraId="132B8F95" w14:textId="77777777" w:rsidR="002A21AE" w:rsidRDefault="002A21AE">
            <w:pPr>
              <w:pStyle w:val="TableTextBullet"/>
            </w:pPr>
            <w:r>
              <w:t xml:space="preserve">Collection Facility Indicator </w:t>
            </w:r>
          </w:p>
          <w:p w14:paraId="09301150" w14:textId="77777777" w:rsidR="002A21AE" w:rsidRDefault="002A21AE">
            <w:pPr>
              <w:pStyle w:val="TableTextBullet"/>
            </w:pPr>
            <w:r>
              <w:t xml:space="preserve">Testing Facility Indicator </w:t>
            </w:r>
          </w:p>
          <w:p w14:paraId="1414D6CC" w14:textId="77777777" w:rsidR="002B6A72" w:rsidRDefault="002A21AE">
            <w:pPr>
              <w:pStyle w:val="TableTextBullet"/>
            </w:pPr>
            <w:r>
              <w:t>Address Line</w:t>
            </w:r>
            <w:r w:rsidR="002B6A72">
              <w:t xml:space="preserve"> 1</w:t>
            </w:r>
          </w:p>
          <w:p w14:paraId="7E811471" w14:textId="77777777" w:rsidR="002B6A72" w:rsidRDefault="002B6A72">
            <w:pPr>
              <w:pStyle w:val="TableTextBullet"/>
            </w:pPr>
            <w:r>
              <w:t>Address Line2</w:t>
            </w:r>
          </w:p>
          <w:p w14:paraId="38FA2611" w14:textId="77777777" w:rsidR="002A21AE" w:rsidRDefault="002B6A72">
            <w:pPr>
              <w:pStyle w:val="TableTextBullet"/>
            </w:pPr>
            <w:r>
              <w:t>Address Line 3</w:t>
            </w:r>
          </w:p>
          <w:p w14:paraId="6F932D1E" w14:textId="77777777" w:rsidR="002A21AE" w:rsidRDefault="002A21AE">
            <w:pPr>
              <w:pStyle w:val="TableTextBullet"/>
            </w:pPr>
            <w:r>
              <w:t>City</w:t>
            </w:r>
          </w:p>
          <w:p w14:paraId="7C36DB05" w14:textId="77777777" w:rsidR="002A21AE" w:rsidRDefault="002A21AE">
            <w:pPr>
              <w:pStyle w:val="TableTextBullet"/>
            </w:pPr>
            <w:r>
              <w:t>State</w:t>
            </w:r>
          </w:p>
          <w:p w14:paraId="5F7D4A39" w14:textId="77777777" w:rsidR="002A21AE" w:rsidRDefault="002A21AE">
            <w:pPr>
              <w:pStyle w:val="TableTextBullet"/>
            </w:pPr>
            <w:r>
              <w:t>Zip</w:t>
            </w:r>
          </w:p>
          <w:p w14:paraId="64954CD7" w14:textId="77777777" w:rsidR="0030405B" w:rsidRDefault="0030405B">
            <w:pPr>
              <w:pStyle w:val="TableTextBullet"/>
            </w:pPr>
            <w:r>
              <w:t>Phone</w:t>
            </w:r>
          </w:p>
          <w:p w14:paraId="4EB1AFAB" w14:textId="77777777" w:rsidR="0030405B" w:rsidRDefault="0030405B">
            <w:pPr>
              <w:pStyle w:val="TableTextBullet"/>
            </w:pPr>
            <w:r>
              <w:t>Fax</w:t>
            </w:r>
          </w:p>
        </w:tc>
        <w:tc>
          <w:tcPr>
            <w:tcW w:w="1243" w:type="dxa"/>
          </w:tcPr>
          <w:p w14:paraId="11AD0B9D" w14:textId="77777777" w:rsidR="002A21AE" w:rsidRDefault="002A21AE">
            <w:pPr>
              <w:pStyle w:val="TableText"/>
            </w:pPr>
            <w:r>
              <w:t>No</w:t>
            </w:r>
          </w:p>
        </w:tc>
        <w:tc>
          <w:tcPr>
            <w:tcW w:w="1295" w:type="dxa"/>
          </w:tcPr>
          <w:p w14:paraId="36A34D5E" w14:textId="77777777" w:rsidR="002A21AE" w:rsidRDefault="002A21AE">
            <w:pPr>
              <w:pStyle w:val="TableText"/>
            </w:pPr>
            <w:r>
              <w:t>No</w:t>
            </w:r>
          </w:p>
        </w:tc>
      </w:tr>
      <w:tr w:rsidR="002A21AE" w14:paraId="0E5E8262" w14:textId="77777777" w:rsidTr="00DC1872">
        <w:trPr>
          <w:cantSplit/>
        </w:trPr>
        <w:tc>
          <w:tcPr>
            <w:tcW w:w="1525" w:type="dxa"/>
          </w:tcPr>
          <w:p w14:paraId="5C1308C1" w14:textId="77777777" w:rsidR="002A21AE" w:rsidRDefault="002A21AE" w:rsidP="00CD34EB">
            <w:pPr>
              <w:pStyle w:val="TableText"/>
            </w:pPr>
            <w:r>
              <w:t>Maintenance: Blood Product</w:t>
            </w:r>
          </w:p>
        </w:tc>
        <w:tc>
          <w:tcPr>
            <w:tcW w:w="1979" w:type="dxa"/>
          </w:tcPr>
          <w:p w14:paraId="6143B8E4" w14:textId="77777777" w:rsidR="002A21AE" w:rsidRDefault="002A21AE">
            <w:pPr>
              <w:pStyle w:val="TableText"/>
            </w:pPr>
            <w:r>
              <w:t>Blood Products</w:t>
            </w:r>
          </w:p>
        </w:tc>
        <w:tc>
          <w:tcPr>
            <w:tcW w:w="3470" w:type="dxa"/>
          </w:tcPr>
          <w:p w14:paraId="7E18E86D" w14:textId="77777777" w:rsidR="007F2C58" w:rsidRDefault="007F2C58" w:rsidP="007F2C58">
            <w:pPr>
              <w:pStyle w:val="TableText"/>
            </w:pPr>
            <w:r>
              <w:t xml:space="preserve">For each </w:t>
            </w:r>
            <w:r w:rsidR="00B059A9">
              <w:t>blood p</w:t>
            </w:r>
            <w:r>
              <w:t>roduct (name, code):</w:t>
            </w:r>
          </w:p>
          <w:p w14:paraId="1C99A97E" w14:textId="36C591F2" w:rsidR="007F2C58" w:rsidRDefault="007F2C58" w:rsidP="007F2C58">
            <w:pPr>
              <w:pStyle w:val="TableTextBullet"/>
            </w:pPr>
            <w:r>
              <w:t>HCPCS Code and Text</w:t>
            </w:r>
          </w:p>
          <w:p w14:paraId="547CD398" w14:textId="27F02DF6" w:rsidR="00953DA2" w:rsidRDefault="00953DA2" w:rsidP="007F2C58">
            <w:pPr>
              <w:pStyle w:val="TableTextBullet"/>
            </w:pPr>
            <w:r>
              <w:t>Maximum Storage Time</w:t>
            </w:r>
          </w:p>
          <w:p w14:paraId="4E07FF0B" w14:textId="77777777" w:rsidR="007F2C58" w:rsidRDefault="007F2C58" w:rsidP="007F2C58">
            <w:pPr>
              <w:pStyle w:val="TableText"/>
            </w:pPr>
            <w:r>
              <w:t>For each shipper of this product code (name, ID):</w:t>
            </w:r>
          </w:p>
          <w:p w14:paraId="23D032A6" w14:textId="77777777" w:rsidR="002A21AE" w:rsidRDefault="007F2C58">
            <w:pPr>
              <w:pStyle w:val="TableTextBullet"/>
            </w:pPr>
            <w:r>
              <w:t>Cost</w:t>
            </w:r>
          </w:p>
          <w:p w14:paraId="0533C221" w14:textId="77777777" w:rsidR="002A21AE" w:rsidRDefault="002A21AE">
            <w:pPr>
              <w:pStyle w:val="TableTextBullet"/>
            </w:pPr>
            <w:r>
              <w:t xml:space="preserve">Return Credit </w:t>
            </w:r>
            <w:r w:rsidR="007F2C58">
              <w:t>Percentage</w:t>
            </w:r>
          </w:p>
          <w:p w14:paraId="2DAB2BD4" w14:textId="06EA90EF" w:rsidR="0010595A" w:rsidRDefault="007F2C58" w:rsidP="00953DA2">
            <w:pPr>
              <w:pStyle w:val="TableTextBullet"/>
            </w:pPr>
            <w:r>
              <w:t>Status Indicator</w:t>
            </w:r>
          </w:p>
        </w:tc>
        <w:tc>
          <w:tcPr>
            <w:tcW w:w="1243" w:type="dxa"/>
          </w:tcPr>
          <w:p w14:paraId="1ABD3491" w14:textId="77777777" w:rsidR="002A21AE" w:rsidRDefault="002A21AE">
            <w:pPr>
              <w:pStyle w:val="TableText"/>
            </w:pPr>
            <w:r>
              <w:t>No</w:t>
            </w:r>
          </w:p>
        </w:tc>
        <w:tc>
          <w:tcPr>
            <w:tcW w:w="1295" w:type="dxa"/>
          </w:tcPr>
          <w:p w14:paraId="67965C44" w14:textId="77777777" w:rsidR="002A21AE" w:rsidRDefault="002A21AE">
            <w:pPr>
              <w:pStyle w:val="TableText"/>
            </w:pPr>
            <w:r>
              <w:t>No</w:t>
            </w:r>
          </w:p>
        </w:tc>
      </w:tr>
      <w:tr w:rsidR="002A21AE" w14:paraId="70BC2EEF" w14:textId="77777777" w:rsidTr="00DC1872">
        <w:trPr>
          <w:cantSplit/>
        </w:trPr>
        <w:tc>
          <w:tcPr>
            <w:tcW w:w="1525" w:type="dxa"/>
          </w:tcPr>
          <w:p w14:paraId="5ABCAFBC" w14:textId="77777777" w:rsidR="002A21AE" w:rsidRDefault="002A21AE" w:rsidP="00CD34EB">
            <w:pPr>
              <w:pStyle w:val="TableText"/>
            </w:pPr>
            <w:r>
              <w:t>Maintenance: Division Configuration</w:t>
            </w:r>
          </w:p>
        </w:tc>
        <w:tc>
          <w:tcPr>
            <w:tcW w:w="1979" w:type="dxa"/>
          </w:tcPr>
          <w:p w14:paraId="13AE99BD" w14:textId="77777777" w:rsidR="002A21AE" w:rsidRDefault="00D567C9">
            <w:pPr>
              <w:pStyle w:val="TableText"/>
            </w:pPr>
            <w:r>
              <w:t>Configure Division</w:t>
            </w:r>
          </w:p>
        </w:tc>
        <w:tc>
          <w:tcPr>
            <w:tcW w:w="3470" w:type="dxa"/>
          </w:tcPr>
          <w:p w14:paraId="2C4CA45B" w14:textId="77777777" w:rsidR="005773E9" w:rsidRDefault="005773E9" w:rsidP="005773E9">
            <w:pPr>
              <w:pStyle w:val="TableText"/>
            </w:pPr>
            <w:r>
              <w:t>For each Division (Name and Code):</w:t>
            </w:r>
          </w:p>
          <w:p w14:paraId="1349EF7C" w14:textId="77777777" w:rsidR="005773E9" w:rsidRDefault="005773E9" w:rsidP="00925CAD">
            <w:pPr>
              <w:pStyle w:val="TableText"/>
              <w:numPr>
                <w:ilvl w:val="0"/>
                <w:numId w:val="30"/>
              </w:numPr>
            </w:pPr>
            <w:r>
              <w:t>Full Service, Transfusion Only Indicator</w:t>
            </w:r>
          </w:p>
          <w:p w14:paraId="167512E9" w14:textId="77777777" w:rsidR="005773E9" w:rsidRDefault="005773E9" w:rsidP="00925CAD">
            <w:pPr>
              <w:pStyle w:val="TableText"/>
              <w:numPr>
                <w:ilvl w:val="0"/>
                <w:numId w:val="30"/>
              </w:numPr>
            </w:pPr>
            <w:r>
              <w:t>Facility Name</w:t>
            </w:r>
          </w:p>
          <w:p w14:paraId="2463243A" w14:textId="77777777" w:rsidR="005773E9" w:rsidRDefault="005773E9" w:rsidP="00925CAD">
            <w:pPr>
              <w:pStyle w:val="TableText"/>
              <w:numPr>
                <w:ilvl w:val="0"/>
                <w:numId w:val="30"/>
              </w:numPr>
            </w:pPr>
            <w:r>
              <w:t xml:space="preserve">Active Status </w:t>
            </w:r>
          </w:p>
          <w:p w14:paraId="0A7185A9" w14:textId="77777777" w:rsidR="005773E9" w:rsidRDefault="00691DFF" w:rsidP="00925CAD">
            <w:pPr>
              <w:pStyle w:val="TableText"/>
              <w:numPr>
                <w:ilvl w:val="0"/>
                <w:numId w:val="30"/>
              </w:numPr>
            </w:pPr>
            <w:r>
              <w:t>Full-Face-</w:t>
            </w:r>
            <w:r w:rsidR="005773E9">
              <w:t>Label Printer Status</w:t>
            </w:r>
          </w:p>
          <w:p w14:paraId="40216DE6" w14:textId="77777777" w:rsidR="005773E9" w:rsidRDefault="00691DFF" w:rsidP="00925CAD">
            <w:pPr>
              <w:pStyle w:val="TableText"/>
              <w:numPr>
                <w:ilvl w:val="0"/>
                <w:numId w:val="30"/>
              </w:numPr>
            </w:pPr>
            <w:r>
              <w:t>Full-Face-</w:t>
            </w:r>
            <w:r w:rsidR="005773E9">
              <w:t>Label Printer Port Number</w:t>
            </w:r>
          </w:p>
          <w:p w14:paraId="5D81F1A9" w14:textId="77777777" w:rsidR="005773E9" w:rsidRDefault="00691DFF" w:rsidP="00925CAD">
            <w:pPr>
              <w:pStyle w:val="TableText"/>
              <w:numPr>
                <w:ilvl w:val="0"/>
                <w:numId w:val="30"/>
              </w:numPr>
            </w:pPr>
            <w:r>
              <w:t>Full-Face-</w:t>
            </w:r>
            <w:r w:rsidR="005773E9">
              <w:t>Label Printer IP address</w:t>
            </w:r>
          </w:p>
          <w:p w14:paraId="5D20C9D1" w14:textId="77777777" w:rsidR="005773E9" w:rsidRDefault="00691DFF" w:rsidP="00925CAD">
            <w:pPr>
              <w:pStyle w:val="TableText"/>
              <w:numPr>
                <w:ilvl w:val="0"/>
                <w:numId w:val="30"/>
              </w:numPr>
            </w:pPr>
            <w:r>
              <w:t>Full-Face-</w:t>
            </w:r>
            <w:r w:rsidR="005773E9">
              <w:t xml:space="preserve">Label Printer COM </w:t>
            </w:r>
          </w:p>
          <w:p w14:paraId="4DEB4692" w14:textId="77777777" w:rsidR="005773E9" w:rsidRDefault="005773E9" w:rsidP="00925CAD">
            <w:pPr>
              <w:pStyle w:val="TableText"/>
              <w:numPr>
                <w:ilvl w:val="0"/>
                <w:numId w:val="30"/>
              </w:numPr>
            </w:pPr>
            <w:r>
              <w:t>Report Printer Name</w:t>
            </w:r>
            <w:r w:rsidR="006D54AE">
              <w:t xml:space="preserve"> </w:t>
            </w:r>
            <w:r w:rsidR="00892C58" w:rsidRPr="00892C58">
              <w:rPr>
                <w:vanish/>
              </w:rPr>
              <w:t>DR 2,882</w:t>
            </w:r>
          </w:p>
          <w:p w14:paraId="55FF1B3D" w14:textId="77777777" w:rsidR="005773E9" w:rsidRDefault="005773E9" w:rsidP="00925CAD">
            <w:pPr>
              <w:pStyle w:val="TableText"/>
              <w:numPr>
                <w:ilvl w:val="0"/>
                <w:numId w:val="30"/>
              </w:numPr>
            </w:pPr>
            <w:r>
              <w:t>Accession Area Name</w:t>
            </w:r>
          </w:p>
          <w:p w14:paraId="36C4E8F3" w14:textId="77777777" w:rsidR="005773E9" w:rsidRDefault="005773E9" w:rsidP="00925CAD">
            <w:pPr>
              <w:pStyle w:val="TableText"/>
              <w:numPr>
                <w:ilvl w:val="0"/>
                <w:numId w:val="31"/>
              </w:numPr>
              <w:ind w:left="0" w:firstLine="0"/>
            </w:pPr>
            <w:r>
              <w:t>Lock Inactivity Timeout Setting</w:t>
            </w:r>
          </w:p>
          <w:p w14:paraId="3B297A6F" w14:textId="77777777" w:rsidR="005773E9" w:rsidRDefault="005773E9" w:rsidP="00925CAD">
            <w:pPr>
              <w:pStyle w:val="TableText"/>
              <w:numPr>
                <w:ilvl w:val="0"/>
                <w:numId w:val="31"/>
              </w:numPr>
              <w:ind w:left="0" w:firstLine="0"/>
            </w:pPr>
            <w:r>
              <w:t>Time Zone Setting</w:t>
            </w:r>
          </w:p>
          <w:p w14:paraId="414ACB17" w14:textId="77777777" w:rsidR="005773E9" w:rsidRDefault="005773E9" w:rsidP="00925CAD">
            <w:pPr>
              <w:pStyle w:val="TableText"/>
              <w:numPr>
                <w:ilvl w:val="0"/>
                <w:numId w:val="32"/>
              </w:numPr>
            </w:pPr>
            <w:r>
              <w:t>Daylight savings time Setting</w:t>
            </w:r>
          </w:p>
          <w:p w14:paraId="6D5E183B" w14:textId="77777777" w:rsidR="005773E9" w:rsidRPr="00756ABF" w:rsidRDefault="005773E9" w:rsidP="00925CAD">
            <w:pPr>
              <w:pStyle w:val="TableText"/>
              <w:numPr>
                <w:ilvl w:val="0"/>
                <w:numId w:val="32"/>
              </w:numPr>
              <w:rPr>
                <w:rFonts w:cs="Arial"/>
              </w:rPr>
            </w:pPr>
            <w:r w:rsidRPr="00756ABF">
              <w:rPr>
                <w:rFonts w:cs="Arial"/>
              </w:rPr>
              <w:t>Daylight savings time start date</w:t>
            </w:r>
          </w:p>
          <w:p w14:paraId="4DD47855" w14:textId="77777777" w:rsidR="005773E9" w:rsidRPr="00756ABF" w:rsidRDefault="005773E9" w:rsidP="00925CAD">
            <w:pPr>
              <w:pStyle w:val="TableText"/>
              <w:numPr>
                <w:ilvl w:val="0"/>
                <w:numId w:val="32"/>
              </w:numPr>
              <w:rPr>
                <w:rFonts w:cs="Arial"/>
              </w:rPr>
            </w:pPr>
            <w:r w:rsidRPr="00756ABF">
              <w:rPr>
                <w:rFonts w:cs="Arial"/>
              </w:rPr>
              <w:t>Daylight savings time end date</w:t>
            </w:r>
          </w:p>
          <w:p w14:paraId="6B193A1B" w14:textId="77777777" w:rsidR="005773E9" w:rsidRPr="00756ABF" w:rsidRDefault="005773E9" w:rsidP="005773E9">
            <w:pPr>
              <w:rPr>
                <w:rFonts w:ascii="Arial" w:hAnsi="Arial" w:cs="Arial"/>
                <w:sz w:val="18"/>
                <w:szCs w:val="18"/>
              </w:rPr>
            </w:pPr>
            <w:r w:rsidRPr="00756ABF">
              <w:rPr>
                <w:rFonts w:ascii="Arial" w:hAnsi="Arial" w:cs="Arial"/>
                <w:sz w:val="18"/>
                <w:szCs w:val="18"/>
              </w:rPr>
              <w:t>For each Associated Institution (Division Code)</w:t>
            </w:r>
          </w:p>
          <w:p w14:paraId="41D706DC" w14:textId="77777777" w:rsidR="005773E9" w:rsidRDefault="005773E9" w:rsidP="00925CAD">
            <w:pPr>
              <w:pStyle w:val="TableText"/>
              <w:numPr>
                <w:ilvl w:val="0"/>
                <w:numId w:val="30"/>
              </w:numPr>
            </w:pPr>
            <w:r w:rsidRPr="00892C58">
              <w:t>Status indicator</w:t>
            </w:r>
            <w:r w:rsidR="006D54AE">
              <w:t xml:space="preserve"> </w:t>
            </w:r>
            <w:r w:rsidR="006D54AE" w:rsidRPr="006D54AE">
              <w:rPr>
                <w:vanish/>
              </w:rPr>
              <w:t>DR 2,723</w:t>
            </w:r>
          </w:p>
        </w:tc>
        <w:tc>
          <w:tcPr>
            <w:tcW w:w="1243" w:type="dxa"/>
          </w:tcPr>
          <w:p w14:paraId="712EF2DF" w14:textId="77777777" w:rsidR="002A21AE" w:rsidRDefault="002A21AE">
            <w:pPr>
              <w:pStyle w:val="TableText"/>
            </w:pPr>
            <w:r>
              <w:t>No</w:t>
            </w:r>
          </w:p>
        </w:tc>
        <w:tc>
          <w:tcPr>
            <w:tcW w:w="1295" w:type="dxa"/>
          </w:tcPr>
          <w:p w14:paraId="312843C2" w14:textId="77777777" w:rsidR="002A21AE" w:rsidRDefault="002A21AE">
            <w:pPr>
              <w:pStyle w:val="TableText"/>
            </w:pPr>
            <w:r>
              <w:t>No</w:t>
            </w:r>
          </w:p>
        </w:tc>
      </w:tr>
      <w:tr w:rsidR="007F2C58" w14:paraId="7D28710F" w14:textId="77777777" w:rsidTr="00DC1872">
        <w:trPr>
          <w:cantSplit/>
        </w:trPr>
        <w:tc>
          <w:tcPr>
            <w:tcW w:w="1525" w:type="dxa"/>
          </w:tcPr>
          <w:p w14:paraId="7E616F45" w14:textId="77777777" w:rsidR="007F2C58" w:rsidRDefault="007F2C58" w:rsidP="00CD34EB">
            <w:pPr>
              <w:pStyle w:val="TableText"/>
            </w:pPr>
            <w:r>
              <w:t>Maintenance: Division Configuration</w:t>
            </w:r>
          </w:p>
        </w:tc>
        <w:tc>
          <w:tcPr>
            <w:tcW w:w="1979" w:type="dxa"/>
          </w:tcPr>
          <w:p w14:paraId="7AF6B25C" w14:textId="77777777" w:rsidR="007F2C58" w:rsidRDefault="007F2C58">
            <w:pPr>
              <w:pStyle w:val="TableText"/>
            </w:pPr>
            <w:r>
              <w:t>Configure Division</w:t>
            </w:r>
          </w:p>
        </w:tc>
        <w:tc>
          <w:tcPr>
            <w:tcW w:w="3470" w:type="dxa"/>
          </w:tcPr>
          <w:p w14:paraId="65255CD8" w14:textId="77777777" w:rsidR="007F2C58" w:rsidRDefault="007F2C58" w:rsidP="007F2C58">
            <w:pPr>
              <w:pStyle w:val="TableText"/>
            </w:pPr>
            <w:r>
              <w:t xml:space="preserve">For each </w:t>
            </w:r>
            <w:r w:rsidR="00067C65">
              <w:t>d</w:t>
            </w:r>
            <w:r>
              <w:t>ivision (name, code):</w:t>
            </w:r>
          </w:p>
          <w:p w14:paraId="6567BA2F" w14:textId="77777777" w:rsidR="007F2C58" w:rsidRDefault="007F2C58" w:rsidP="007F2C58">
            <w:pPr>
              <w:pStyle w:val="TableTextBullet"/>
            </w:pPr>
            <w:r>
              <w:t>Electronic Crossmatch Enabled Indicator</w:t>
            </w:r>
          </w:p>
          <w:p w14:paraId="575E969B" w14:textId="77777777" w:rsidR="007F2C58" w:rsidRDefault="007F2C58" w:rsidP="007F2C58">
            <w:pPr>
              <w:pStyle w:val="TableTextBullet"/>
            </w:pPr>
            <w:r>
              <w:t>ICCBBA Registration Number</w:t>
            </w:r>
          </w:p>
          <w:p w14:paraId="62C4A9F9" w14:textId="77777777" w:rsidR="007F2C58" w:rsidRDefault="007F2C58" w:rsidP="007F2C58">
            <w:pPr>
              <w:pStyle w:val="TableTextBullet"/>
            </w:pPr>
            <w:r>
              <w:t>Maximum Specimen Expiration Days</w:t>
            </w:r>
          </w:p>
          <w:p w14:paraId="2DB9A45A" w14:textId="77777777" w:rsidR="007F2C58" w:rsidRDefault="007F2C58" w:rsidP="009C0ACB">
            <w:pPr>
              <w:pStyle w:val="TableTextBullet"/>
            </w:pPr>
            <w:r>
              <w:t>Blood Bank MD</w:t>
            </w:r>
          </w:p>
        </w:tc>
        <w:tc>
          <w:tcPr>
            <w:tcW w:w="1243" w:type="dxa"/>
          </w:tcPr>
          <w:p w14:paraId="45E2E3F1" w14:textId="77777777" w:rsidR="007F2C58" w:rsidRDefault="007F2C58">
            <w:pPr>
              <w:pStyle w:val="TableText"/>
            </w:pPr>
            <w:r>
              <w:t>No</w:t>
            </w:r>
          </w:p>
        </w:tc>
        <w:tc>
          <w:tcPr>
            <w:tcW w:w="1295" w:type="dxa"/>
          </w:tcPr>
          <w:p w14:paraId="2C4F66D3" w14:textId="77777777" w:rsidR="007F2C58" w:rsidRDefault="007F2C58">
            <w:pPr>
              <w:pStyle w:val="TableText"/>
            </w:pPr>
            <w:r>
              <w:t>No</w:t>
            </w:r>
          </w:p>
        </w:tc>
      </w:tr>
      <w:tr w:rsidR="00C64288" w14:paraId="3140E7BC" w14:textId="77777777" w:rsidTr="00DC1872">
        <w:trPr>
          <w:cantSplit/>
        </w:trPr>
        <w:tc>
          <w:tcPr>
            <w:tcW w:w="1525" w:type="dxa"/>
          </w:tcPr>
          <w:p w14:paraId="1386466F" w14:textId="77777777" w:rsidR="00C64288" w:rsidRDefault="00C64288" w:rsidP="00CD34EB">
            <w:pPr>
              <w:pStyle w:val="TableText"/>
            </w:pPr>
            <w:r>
              <w:t>Maintenance: Division Configuration</w:t>
            </w:r>
          </w:p>
        </w:tc>
        <w:tc>
          <w:tcPr>
            <w:tcW w:w="1979" w:type="dxa"/>
          </w:tcPr>
          <w:p w14:paraId="2148DF13" w14:textId="77777777" w:rsidR="00C64288" w:rsidRDefault="00C64288" w:rsidP="000B284D">
            <w:pPr>
              <w:pStyle w:val="TableText"/>
            </w:pPr>
            <w:r>
              <w:t>Edit Invoice Text</w:t>
            </w:r>
          </w:p>
        </w:tc>
        <w:tc>
          <w:tcPr>
            <w:tcW w:w="3470" w:type="dxa"/>
          </w:tcPr>
          <w:p w14:paraId="03A2B213" w14:textId="77777777" w:rsidR="00C64288" w:rsidRDefault="00C64288" w:rsidP="000B284D">
            <w:pPr>
              <w:pStyle w:val="TableText"/>
            </w:pPr>
            <w:r>
              <w:t xml:space="preserve">For each </w:t>
            </w:r>
            <w:r w:rsidR="002713C2">
              <w:t>d</w:t>
            </w:r>
            <w:r>
              <w:t>ivision (name, code):</w:t>
            </w:r>
          </w:p>
          <w:p w14:paraId="13963209" w14:textId="77777777" w:rsidR="00C64288" w:rsidRDefault="00C64288" w:rsidP="000B284D">
            <w:pPr>
              <w:pStyle w:val="TableTextBullet"/>
            </w:pPr>
            <w:r>
              <w:t>Invoice Text</w:t>
            </w:r>
          </w:p>
        </w:tc>
        <w:tc>
          <w:tcPr>
            <w:tcW w:w="1243" w:type="dxa"/>
          </w:tcPr>
          <w:p w14:paraId="040A406A" w14:textId="77777777" w:rsidR="00C64288" w:rsidRDefault="00C64288" w:rsidP="000B284D">
            <w:pPr>
              <w:pStyle w:val="TableText"/>
            </w:pPr>
            <w:r>
              <w:t>No</w:t>
            </w:r>
          </w:p>
        </w:tc>
        <w:tc>
          <w:tcPr>
            <w:tcW w:w="1295" w:type="dxa"/>
          </w:tcPr>
          <w:p w14:paraId="1855DE61" w14:textId="77777777" w:rsidR="00C64288" w:rsidRDefault="00C64288" w:rsidP="000B284D">
            <w:pPr>
              <w:pStyle w:val="TableText"/>
            </w:pPr>
            <w:r>
              <w:t>No</w:t>
            </w:r>
          </w:p>
        </w:tc>
      </w:tr>
      <w:tr w:rsidR="009C0ACB" w14:paraId="08B3BD57" w14:textId="77777777" w:rsidTr="00DC1872">
        <w:trPr>
          <w:cantSplit/>
        </w:trPr>
        <w:tc>
          <w:tcPr>
            <w:tcW w:w="1525" w:type="dxa"/>
          </w:tcPr>
          <w:p w14:paraId="2206EF7D" w14:textId="77777777" w:rsidR="009C0ACB" w:rsidRDefault="009C0ACB" w:rsidP="005C03DD">
            <w:pPr>
              <w:pStyle w:val="TableText"/>
            </w:pPr>
            <w:r>
              <w:t>Maintenance: Division Configuration</w:t>
            </w:r>
          </w:p>
        </w:tc>
        <w:tc>
          <w:tcPr>
            <w:tcW w:w="1979" w:type="dxa"/>
          </w:tcPr>
          <w:p w14:paraId="7F1E603A" w14:textId="77777777" w:rsidR="009C0ACB" w:rsidRDefault="009C0ACB" w:rsidP="005C03DD">
            <w:pPr>
              <w:pStyle w:val="TableText"/>
            </w:pPr>
            <w:r>
              <w:t>Configure Testing</w:t>
            </w:r>
          </w:p>
        </w:tc>
        <w:tc>
          <w:tcPr>
            <w:tcW w:w="3470" w:type="dxa"/>
          </w:tcPr>
          <w:p w14:paraId="4B5E9EC2" w14:textId="77777777" w:rsidR="009C0ACB" w:rsidRDefault="009C0ACB" w:rsidP="005C03DD">
            <w:pPr>
              <w:pStyle w:val="TableText"/>
            </w:pPr>
            <w:r>
              <w:t>For each division (name, code):</w:t>
            </w:r>
          </w:p>
          <w:p w14:paraId="07FD64E7" w14:textId="77777777" w:rsidR="009C0ACB" w:rsidRDefault="009C0ACB" w:rsidP="005C03DD">
            <w:pPr>
              <w:pStyle w:val="TableTextBullet"/>
            </w:pPr>
            <w:r>
              <w:t>Antibody Screen Indicator</w:t>
            </w:r>
          </w:p>
          <w:p w14:paraId="1F149F07" w14:textId="77777777" w:rsidR="006F4516" w:rsidRDefault="006F4516" w:rsidP="005C03DD">
            <w:pPr>
              <w:pStyle w:val="TableTextBullet"/>
            </w:pPr>
            <w:r>
              <w:t>ABS and XM Testing Phases</w:t>
            </w:r>
          </w:p>
        </w:tc>
        <w:tc>
          <w:tcPr>
            <w:tcW w:w="1243" w:type="dxa"/>
          </w:tcPr>
          <w:p w14:paraId="7525905A" w14:textId="77777777" w:rsidR="009C0ACB" w:rsidRDefault="009C0ACB" w:rsidP="005C03DD">
            <w:pPr>
              <w:pStyle w:val="TableText"/>
            </w:pPr>
            <w:r>
              <w:t>No</w:t>
            </w:r>
          </w:p>
        </w:tc>
        <w:tc>
          <w:tcPr>
            <w:tcW w:w="1295" w:type="dxa"/>
          </w:tcPr>
          <w:p w14:paraId="3D1FD178" w14:textId="77777777" w:rsidR="009C0ACB" w:rsidRDefault="009C0ACB" w:rsidP="005C03DD">
            <w:pPr>
              <w:pStyle w:val="TableText"/>
            </w:pPr>
            <w:r>
              <w:t>No</w:t>
            </w:r>
          </w:p>
        </w:tc>
      </w:tr>
      <w:tr w:rsidR="00EE6F41" w14:paraId="1EA64A43" w14:textId="77777777" w:rsidTr="00DC1872">
        <w:trPr>
          <w:cantSplit/>
        </w:trPr>
        <w:tc>
          <w:tcPr>
            <w:tcW w:w="1525" w:type="dxa"/>
          </w:tcPr>
          <w:p w14:paraId="727376CA" w14:textId="77777777" w:rsidR="00EE6F41" w:rsidRDefault="00EE6F41" w:rsidP="00CD34EB">
            <w:pPr>
              <w:pStyle w:val="TableText"/>
            </w:pPr>
            <w:r>
              <w:t>Maintenance: Division Configuration</w:t>
            </w:r>
          </w:p>
        </w:tc>
        <w:tc>
          <w:tcPr>
            <w:tcW w:w="1979" w:type="dxa"/>
          </w:tcPr>
          <w:p w14:paraId="52A10876" w14:textId="77777777" w:rsidR="00EE6F41" w:rsidRDefault="009C0ACB" w:rsidP="00EE6F41">
            <w:pPr>
              <w:pStyle w:val="TableText"/>
            </w:pPr>
            <w:r>
              <w:t>Order Alerts</w:t>
            </w:r>
          </w:p>
        </w:tc>
        <w:tc>
          <w:tcPr>
            <w:tcW w:w="3470" w:type="dxa"/>
          </w:tcPr>
          <w:p w14:paraId="06CE720F" w14:textId="77777777" w:rsidR="00EE6F41" w:rsidRDefault="00EE6F41" w:rsidP="00EE6F41">
            <w:pPr>
              <w:pStyle w:val="TableText"/>
            </w:pPr>
            <w:r>
              <w:t xml:space="preserve">For each </w:t>
            </w:r>
            <w:r w:rsidR="002713C2">
              <w:t>d</w:t>
            </w:r>
            <w:r>
              <w:t>ivision (name, code):</w:t>
            </w:r>
          </w:p>
          <w:p w14:paraId="38FA5F19" w14:textId="77777777" w:rsidR="00EE6F41" w:rsidRDefault="009C0ACB" w:rsidP="00EE6F41">
            <w:pPr>
              <w:pStyle w:val="TableTextBullet"/>
            </w:pPr>
            <w:r>
              <w:t>Login Message</w:t>
            </w:r>
          </w:p>
        </w:tc>
        <w:tc>
          <w:tcPr>
            <w:tcW w:w="1243" w:type="dxa"/>
          </w:tcPr>
          <w:p w14:paraId="781F1E04" w14:textId="77777777" w:rsidR="00EE6F41" w:rsidRDefault="00EE6F41" w:rsidP="00EE6F41">
            <w:pPr>
              <w:pStyle w:val="TableText"/>
            </w:pPr>
            <w:r>
              <w:t>No</w:t>
            </w:r>
          </w:p>
        </w:tc>
        <w:tc>
          <w:tcPr>
            <w:tcW w:w="1295" w:type="dxa"/>
          </w:tcPr>
          <w:p w14:paraId="5CCF7AC9" w14:textId="77777777" w:rsidR="00EE6F41" w:rsidRDefault="00EE6F41" w:rsidP="00EE6F41">
            <w:pPr>
              <w:pStyle w:val="TableText"/>
            </w:pPr>
            <w:r>
              <w:t>No</w:t>
            </w:r>
          </w:p>
        </w:tc>
      </w:tr>
      <w:tr w:rsidR="002A21AE" w14:paraId="33C48D4F" w14:textId="77777777" w:rsidTr="00DC1872">
        <w:trPr>
          <w:cantSplit/>
        </w:trPr>
        <w:tc>
          <w:tcPr>
            <w:tcW w:w="1525" w:type="dxa"/>
          </w:tcPr>
          <w:p w14:paraId="6C7BACA0" w14:textId="77777777" w:rsidR="002A21AE" w:rsidRDefault="002A21AE" w:rsidP="00CD34EB">
            <w:pPr>
              <w:pStyle w:val="TableText"/>
            </w:pPr>
            <w:r>
              <w:t>Maintenance: Modifications Configuration</w:t>
            </w:r>
          </w:p>
        </w:tc>
        <w:tc>
          <w:tcPr>
            <w:tcW w:w="1979" w:type="dxa"/>
          </w:tcPr>
          <w:p w14:paraId="5F9A707B" w14:textId="77777777" w:rsidR="002A21AE" w:rsidRDefault="00046402">
            <w:pPr>
              <w:pStyle w:val="TableText"/>
            </w:pPr>
            <w:r>
              <w:t>Product Modifications</w:t>
            </w:r>
          </w:p>
        </w:tc>
        <w:tc>
          <w:tcPr>
            <w:tcW w:w="3470" w:type="dxa"/>
          </w:tcPr>
          <w:p w14:paraId="42DA105A" w14:textId="77777777" w:rsidR="00563120" w:rsidRDefault="00563120" w:rsidP="00563120">
            <w:pPr>
              <w:pStyle w:val="TableText"/>
            </w:pPr>
            <w:r>
              <w:t>For each modification type:</w:t>
            </w:r>
          </w:p>
          <w:p w14:paraId="42B2153A" w14:textId="77777777" w:rsidR="002A21AE" w:rsidRDefault="002A21AE">
            <w:pPr>
              <w:pStyle w:val="TableTextBullet"/>
            </w:pPr>
            <w:r>
              <w:t>Enabled</w:t>
            </w:r>
            <w:r w:rsidR="00A047A4">
              <w:t xml:space="preserve"> or </w:t>
            </w:r>
            <w:r>
              <w:t>Disabled Indicator</w:t>
            </w:r>
          </w:p>
          <w:p w14:paraId="44E52551" w14:textId="77777777" w:rsidR="002A21AE" w:rsidRDefault="00563120">
            <w:pPr>
              <w:pStyle w:val="TableTextBullet"/>
            </w:pPr>
            <w:r>
              <w:t>Cost</w:t>
            </w:r>
          </w:p>
        </w:tc>
        <w:tc>
          <w:tcPr>
            <w:tcW w:w="1243" w:type="dxa"/>
          </w:tcPr>
          <w:p w14:paraId="25D566B3" w14:textId="77777777" w:rsidR="002A21AE" w:rsidRDefault="002A21AE">
            <w:pPr>
              <w:pStyle w:val="TableText"/>
            </w:pPr>
            <w:r>
              <w:t>No</w:t>
            </w:r>
          </w:p>
        </w:tc>
        <w:tc>
          <w:tcPr>
            <w:tcW w:w="1295" w:type="dxa"/>
          </w:tcPr>
          <w:p w14:paraId="06D1A571" w14:textId="77777777" w:rsidR="002A21AE" w:rsidRDefault="002A21AE">
            <w:pPr>
              <w:pStyle w:val="TableText"/>
            </w:pPr>
            <w:r>
              <w:t>No</w:t>
            </w:r>
          </w:p>
        </w:tc>
      </w:tr>
      <w:tr w:rsidR="002A21AE" w14:paraId="4F01DFDD" w14:textId="77777777" w:rsidTr="00DC1872">
        <w:trPr>
          <w:cantSplit/>
        </w:trPr>
        <w:tc>
          <w:tcPr>
            <w:tcW w:w="1525" w:type="dxa"/>
            <w:tcBorders>
              <w:bottom w:val="single" w:sz="4" w:space="0" w:color="auto"/>
            </w:tcBorders>
          </w:tcPr>
          <w:p w14:paraId="166DDE74" w14:textId="77777777" w:rsidR="002A21AE" w:rsidRDefault="002A21AE" w:rsidP="00CD34EB">
            <w:pPr>
              <w:pStyle w:val="TableText"/>
            </w:pPr>
            <w:r>
              <w:t>Maintenance: User Role Changes</w:t>
            </w:r>
          </w:p>
        </w:tc>
        <w:tc>
          <w:tcPr>
            <w:tcW w:w="1979" w:type="dxa"/>
            <w:tcBorders>
              <w:bottom w:val="single" w:sz="4" w:space="0" w:color="auto"/>
            </w:tcBorders>
          </w:tcPr>
          <w:p w14:paraId="0FFBB7F3" w14:textId="77777777" w:rsidR="002A21AE" w:rsidRDefault="002A21AE">
            <w:pPr>
              <w:pStyle w:val="TableText"/>
            </w:pPr>
            <w:r>
              <w:t>Update User Roles</w:t>
            </w:r>
          </w:p>
        </w:tc>
        <w:tc>
          <w:tcPr>
            <w:tcW w:w="3470" w:type="dxa"/>
            <w:tcBorders>
              <w:bottom w:val="single" w:sz="4" w:space="0" w:color="auto"/>
            </w:tcBorders>
          </w:tcPr>
          <w:p w14:paraId="46CC9468" w14:textId="77777777" w:rsidR="00563120" w:rsidRDefault="00563120" w:rsidP="00563120">
            <w:pPr>
              <w:pStyle w:val="TableText"/>
            </w:pPr>
            <w:r>
              <w:t>For each user:</w:t>
            </w:r>
          </w:p>
          <w:p w14:paraId="31663D4A" w14:textId="77777777" w:rsidR="002A21AE" w:rsidRDefault="002A21AE">
            <w:pPr>
              <w:pStyle w:val="TableTextBullet"/>
            </w:pPr>
            <w:r>
              <w:t xml:space="preserve">User Role Security Setting </w:t>
            </w:r>
          </w:p>
        </w:tc>
        <w:tc>
          <w:tcPr>
            <w:tcW w:w="1243" w:type="dxa"/>
            <w:tcBorders>
              <w:bottom w:val="single" w:sz="4" w:space="0" w:color="auto"/>
            </w:tcBorders>
          </w:tcPr>
          <w:p w14:paraId="3A49FBC0" w14:textId="77777777" w:rsidR="002A21AE" w:rsidRDefault="002A21AE">
            <w:pPr>
              <w:pStyle w:val="TableText"/>
            </w:pPr>
            <w:r>
              <w:t>No</w:t>
            </w:r>
          </w:p>
        </w:tc>
        <w:tc>
          <w:tcPr>
            <w:tcW w:w="1295" w:type="dxa"/>
            <w:tcBorders>
              <w:bottom w:val="single" w:sz="4" w:space="0" w:color="auto"/>
            </w:tcBorders>
          </w:tcPr>
          <w:p w14:paraId="434BD39C" w14:textId="77777777" w:rsidR="002A21AE" w:rsidRDefault="002A21AE">
            <w:pPr>
              <w:pStyle w:val="TableText"/>
            </w:pPr>
            <w:r>
              <w:t>No</w:t>
            </w:r>
          </w:p>
        </w:tc>
      </w:tr>
      <w:tr w:rsidR="00C644E6" w14:paraId="199DC208" w14:textId="77777777" w:rsidTr="00DC1872">
        <w:trPr>
          <w:cantSplit/>
        </w:trPr>
        <w:tc>
          <w:tcPr>
            <w:tcW w:w="1525" w:type="dxa"/>
          </w:tcPr>
          <w:p w14:paraId="15F5F31C" w14:textId="77777777" w:rsidR="00C644E6" w:rsidRDefault="00C644E6" w:rsidP="00CD34EB">
            <w:pPr>
              <w:pStyle w:val="TableText"/>
            </w:pPr>
            <w:r>
              <w:t>Maintenance: User Role Changes</w:t>
            </w:r>
          </w:p>
        </w:tc>
        <w:tc>
          <w:tcPr>
            <w:tcW w:w="1979" w:type="dxa"/>
          </w:tcPr>
          <w:p w14:paraId="177C3A23" w14:textId="77777777" w:rsidR="00C644E6" w:rsidRDefault="00F453CE" w:rsidP="000B284D">
            <w:pPr>
              <w:pStyle w:val="TableText"/>
            </w:pPr>
            <w:r>
              <w:t>Configure</w:t>
            </w:r>
            <w:r w:rsidR="00C644E6">
              <w:t xml:space="preserve"> Users</w:t>
            </w:r>
            <w:r w:rsidR="00DE4FF7" w:rsidRPr="00DE4FF7">
              <w:rPr>
                <w:vanish/>
                <w:szCs w:val="18"/>
              </w:rPr>
              <w:t xml:space="preserve"> MUC_03</w:t>
            </w:r>
          </w:p>
        </w:tc>
        <w:tc>
          <w:tcPr>
            <w:tcW w:w="3470" w:type="dxa"/>
          </w:tcPr>
          <w:p w14:paraId="13CF16B3" w14:textId="77777777" w:rsidR="00C644E6" w:rsidRDefault="00C644E6" w:rsidP="00C644E6">
            <w:pPr>
              <w:pStyle w:val="TableText"/>
            </w:pPr>
            <w:r>
              <w:t>For each NT user (name, ID):</w:t>
            </w:r>
          </w:p>
          <w:p w14:paraId="0AA69D88" w14:textId="77777777" w:rsidR="00C644E6" w:rsidRDefault="00C644E6" w:rsidP="000B284D">
            <w:pPr>
              <w:pStyle w:val="TableTextBullet"/>
            </w:pPr>
            <w:r>
              <w:t>VistA DUZ</w:t>
            </w:r>
          </w:p>
          <w:p w14:paraId="34F62F57" w14:textId="77777777" w:rsidR="00C644E6" w:rsidRDefault="00C644E6" w:rsidP="000B284D">
            <w:pPr>
              <w:pStyle w:val="TableTextBullet"/>
            </w:pPr>
            <w:r>
              <w:t>VistA User Name</w:t>
            </w:r>
          </w:p>
          <w:p w14:paraId="6382FAA3" w14:textId="77777777" w:rsidR="00C644E6" w:rsidRDefault="00C644E6" w:rsidP="000B284D">
            <w:pPr>
              <w:pStyle w:val="TableTextBullet"/>
            </w:pPr>
            <w:r>
              <w:t>Email Address</w:t>
            </w:r>
          </w:p>
          <w:p w14:paraId="32D63DD8" w14:textId="77777777" w:rsidR="00C644E6" w:rsidRDefault="00C644E6" w:rsidP="000B284D">
            <w:pPr>
              <w:pStyle w:val="TableTextBullet"/>
            </w:pPr>
            <w:r>
              <w:t>User Initials</w:t>
            </w:r>
          </w:p>
          <w:p w14:paraId="600F6042" w14:textId="77777777" w:rsidR="00C644E6" w:rsidRDefault="00C644E6" w:rsidP="000B284D">
            <w:pPr>
              <w:pStyle w:val="TableTextBullet"/>
            </w:pPr>
            <w:r>
              <w:t>Active VBECS User Indicator</w:t>
            </w:r>
          </w:p>
          <w:p w14:paraId="48ECA72E" w14:textId="77777777" w:rsidR="00C644E6" w:rsidRDefault="00342C0E" w:rsidP="000B284D">
            <w:pPr>
              <w:pStyle w:val="TableTextBullet"/>
            </w:pPr>
            <w:r>
              <w:t>Active Division Indicator</w:t>
            </w:r>
          </w:p>
        </w:tc>
        <w:tc>
          <w:tcPr>
            <w:tcW w:w="1243" w:type="dxa"/>
          </w:tcPr>
          <w:p w14:paraId="39D67C6F" w14:textId="77777777" w:rsidR="00C644E6" w:rsidRDefault="00C644E6" w:rsidP="000B284D">
            <w:pPr>
              <w:pStyle w:val="TableText"/>
            </w:pPr>
            <w:r>
              <w:t>No</w:t>
            </w:r>
          </w:p>
        </w:tc>
        <w:tc>
          <w:tcPr>
            <w:tcW w:w="1295" w:type="dxa"/>
          </w:tcPr>
          <w:p w14:paraId="7470774D" w14:textId="77777777" w:rsidR="00C644E6" w:rsidRDefault="00C644E6" w:rsidP="000B284D">
            <w:pPr>
              <w:pStyle w:val="TableText"/>
            </w:pPr>
            <w:r>
              <w:t>No</w:t>
            </w:r>
          </w:p>
        </w:tc>
      </w:tr>
      <w:tr w:rsidR="002A21AE" w14:paraId="7418B723" w14:textId="77777777" w:rsidTr="00DC1872">
        <w:trPr>
          <w:cantSplit/>
        </w:trPr>
        <w:tc>
          <w:tcPr>
            <w:tcW w:w="1525" w:type="dxa"/>
          </w:tcPr>
          <w:p w14:paraId="54296686" w14:textId="77777777" w:rsidR="002A21AE" w:rsidRDefault="002A21AE" w:rsidP="00CD34EB">
            <w:pPr>
              <w:pStyle w:val="TableText"/>
            </w:pPr>
            <w:r>
              <w:t>Maintenance: Antibody Configuration</w:t>
            </w:r>
          </w:p>
        </w:tc>
        <w:tc>
          <w:tcPr>
            <w:tcW w:w="1979" w:type="dxa"/>
          </w:tcPr>
          <w:p w14:paraId="534F16AB" w14:textId="77777777" w:rsidR="002A21AE" w:rsidRDefault="002A21AE">
            <w:pPr>
              <w:pStyle w:val="TableText"/>
            </w:pPr>
            <w:r>
              <w:t>Antibodies</w:t>
            </w:r>
          </w:p>
        </w:tc>
        <w:tc>
          <w:tcPr>
            <w:tcW w:w="3470" w:type="dxa"/>
          </w:tcPr>
          <w:p w14:paraId="1C257EDB" w14:textId="77777777" w:rsidR="00A71D77" w:rsidRDefault="00A71D77" w:rsidP="00A71D77">
            <w:pPr>
              <w:pStyle w:val="TableText"/>
            </w:pPr>
            <w:r>
              <w:t>For each antibody specificity:</w:t>
            </w:r>
          </w:p>
          <w:p w14:paraId="65805E24" w14:textId="77777777" w:rsidR="002A21AE" w:rsidRDefault="002A21AE">
            <w:pPr>
              <w:pStyle w:val="TableTextBullet"/>
            </w:pPr>
            <w:r>
              <w:t>Compatibility Percentage</w:t>
            </w:r>
          </w:p>
          <w:p w14:paraId="08A868F8" w14:textId="77777777" w:rsidR="002A21AE" w:rsidRDefault="00A71D77">
            <w:pPr>
              <w:pStyle w:val="TableTextBullet"/>
            </w:pPr>
            <w:r>
              <w:t>Higher Level Override Required Indicator</w:t>
            </w:r>
          </w:p>
        </w:tc>
        <w:tc>
          <w:tcPr>
            <w:tcW w:w="1243" w:type="dxa"/>
          </w:tcPr>
          <w:p w14:paraId="3FCF960F" w14:textId="77777777" w:rsidR="002A21AE" w:rsidRDefault="002A21AE">
            <w:pPr>
              <w:pStyle w:val="TableText"/>
            </w:pPr>
            <w:r>
              <w:t>No</w:t>
            </w:r>
          </w:p>
        </w:tc>
        <w:tc>
          <w:tcPr>
            <w:tcW w:w="1295" w:type="dxa"/>
          </w:tcPr>
          <w:p w14:paraId="19BC9E7C" w14:textId="77777777" w:rsidR="002A21AE" w:rsidRDefault="002A21AE">
            <w:pPr>
              <w:pStyle w:val="TableText"/>
            </w:pPr>
            <w:r>
              <w:t>No</w:t>
            </w:r>
          </w:p>
        </w:tc>
      </w:tr>
      <w:tr w:rsidR="002A21AE" w14:paraId="21EE63DB" w14:textId="77777777" w:rsidTr="00DC1872">
        <w:trPr>
          <w:cantSplit/>
        </w:trPr>
        <w:tc>
          <w:tcPr>
            <w:tcW w:w="1525" w:type="dxa"/>
          </w:tcPr>
          <w:p w14:paraId="7336AD7A" w14:textId="77777777" w:rsidR="002A21AE" w:rsidRDefault="002A21AE" w:rsidP="00CD34EB">
            <w:pPr>
              <w:pStyle w:val="TableText"/>
            </w:pPr>
            <w:r>
              <w:t>Maintenance: Workload Configuration</w:t>
            </w:r>
          </w:p>
        </w:tc>
        <w:tc>
          <w:tcPr>
            <w:tcW w:w="1979" w:type="dxa"/>
          </w:tcPr>
          <w:p w14:paraId="13AA1397" w14:textId="77777777" w:rsidR="002A21AE" w:rsidRDefault="002A21AE">
            <w:pPr>
              <w:pStyle w:val="TableText"/>
            </w:pPr>
            <w:r>
              <w:t>Workload Codes</w:t>
            </w:r>
          </w:p>
        </w:tc>
        <w:tc>
          <w:tcPr>
            <w:tcW w:w="3470" w:type="dxa"/>
          </w:tcPr>
          <w:p w14:paraId="7EBE3B7A" w14:textId="77777777" w:rsidR="00B320F4" w:rsidRDefault="00B320F4" w:rsidP="00B320F4">
            <w:pPr>
              <w:pStyle w:val="TableText"/>
            </w:pPr>
            <w:r>
              <w:t>For each workload process and for each LMIP procedure and LMIP/NLT code:</w:t>
            </w:r>
          </w:p>
          <w:p w14:paraId="62FCBD4A" w14:textId="77777777" w:rsidR="00B320F4" w:rsidRDefault="00B320F4" w:rsidP="00B320F4">
            <w:pPr>
              <w:pStyle w:val="TableTextBullet"/>
            </w:pPr>
            <w:r>
              <w:t>Start Date</w:t>
            </w:r>
          </w:p>
          <w:p w14:paraId="14F6B765" w14:textId="77777777" w:rsidR="00B320F4" w:rsidRDefault="00B320F4" w:rsidP="00B320F4">
            <w:pPr>
              <w:pStyle w:val="TableTextBullet"/>
            </w:pPr>
            <w:r>
              <w:t>Stop Date</w:t>
            </w:r>
          </w:p>
          <w:p w14:paraId="57E66CAA" w14:textId="77777777" w:rsidR="0098047D" w:rsidRDefault="00B320F4" w:rsidP="00B320F4">
            <w:pPr>
              <w:pStyle w:val="TableTextBullet"/>
            </w:pPr>
            <w:r>
              <w:t>Status Indicator</w:t>
            </w:r>
          </w:p>
        </w:tc>
        <w:tc>
          <w:tcPr>
            <w:tcW w:w="1243" w:type="dxa"/>
          </w:tcPr>
          <w:p w14:paraId="3DE3A0D5" w14:textId="77777777" w:rsidR="002A21AE" w:rsidRDefault="002A21AE">
            <w:pPr>
              <w:pStyle w:val="TableText"/>
            </w:pPr>
            <w:r>
              <w:t>No</w:t>
            </w:r>
          </w:p>
        </w:tc>
        <w:tc>
          <w:tcPr>
            <w:tcW w:w="1295" w:type="dxa"/>
          </w:tcPr>
          <w:p w14:paraId="609DD482" w14:textId="77777777" w:rsidR="002A21AE" w:rsidRDefault="002A21AE">
            <w:pPr>
              <w:pStyle w:val="TableText"/>
            </w:pPr>
            <w:r>
              <w:t>No</w:t>
            </w:r>
          </w:p>
        </w:tc>
      </w:tr>
      <w:tr w:rsidR="002A21AE" w14:paraId="07409DFB" w14:textId="77777777" w:rsidTr="00DC1872">
        <w:trPr>
          <w:cantSplit/>
        </w:trPr>
        <w:tc>
          <w:tcPr>
            <w:tcW w:w="1525" w:type="dxa"/>
          </w:tcPr>
          <w:p w14:paraId="5179A039" w14:textId="77777777" w:rsidR="002A21AE" w:rsidRDefault="002A21AE" w:rsidP="00CD34EB">
            <w:pPr>
              <w:pStyle w:val="TableText"/>
            </w:pPr>
            <w:r>
              <w:t>Maintenance: MSBOS Configuration</w:t>
            </w:r>
          </w:p>
        </w:tc>
        <w:tc>
          <w:tcPr>
            <w:tcW w:w="1979" w:type="dxa"/>
          </w:tcPr>
          <w:p w14:paraId="4204987A" w14:textId="77777777" w:rsidR="002A21AE" w:rsidRDefault="002A21AE">
            <w:pPr>
              <w:pStyle w:val="TableText"/>
            </w:pPr>
            <w:r>
              <w:t>MSBOS</w:t>
            </w:r>
          </w:p>
        </w:tc>
        <w:tc>
          <w:tcPr>
            <w:tcW w:w="3470" w:type="dxa"/>
          </w:tcPr>
          <w:p w14:paraId="455A5E21" w14:textId="77777777" w:rsidR="002A21AE" w:rsidRDefault="00F06D63" w:rsidP="00F06D63">
            <w:pPr>
              <w:pStyle w:val="TableText"/>
            </w:pPr>
            <w:r>
              <w:t xml:space="preserve">For each </w:t>
            </w:r>
            <w:r w:rsidR="00B63E26">
              <w:t>s</w:t>
            </w:r>
            <w:r w:rsidR="002A21AE">
              <w:t xml:space="preserve">urgery </w:t>
            </w:r>
            <w:r w:rsidR="00B63E26">
              <w:t>n</w:t>
            </w:r>
            <w:r>
              <w:t xml:space="preserve">ame: </w:t>
            </w:r>
          </w:p>
          <w:p w14:paraId="36DA01B7" w14:textId="77777777" w:rsidR="002A21AE" w:rsidRDefault="00F06D63">
            <w:pPr>
              <w:pStyle w:val="TableTextBullet"/>
            </w:pPr>
            <w:r>
              <w:t xml:space="preserve">Surgery Status </w:t>
            </w:r>
            <w:r w:rsidR="002A21AE">
              <w:t>Indicator</w:t>
            </w:r>
          </w:p>
          <w:p w14:paraId="64808845" w14:textId="77777777" w:rsidR="00F06D63" w:rsidRDefault="00F06D63" w:rsidP="00F06D63">
            <w:pPr>
              <w:pStyle w:val="TableText"/>
            </w:pPr>
            <w:r>
              <w:t xml:space="preserve">For each </w:t>
            </w:r>
            <w:r w:rsidR="002A21AE">
              <w:t xml:space="preserve">MSBOS </w:t>
            </w:r>
            <w:r w:rsidR="00B63E26">
              <w:t>r</w:t>
            </w:r>
            <w:r w:rsidR="002A21AE">
              <w:t>ecommendation</w:t>
            </w:r>
            <w:r>
              <w:t>:</w:t>
            </w:r>
          </w:p>
          <w:p w14:paraId="31F8A126" w14:textId="77777777" w:rsidR="002A21AE" w:rsidRDefault="002A21AE" w:rsidP="00F06D63">
            <w:pPr>
              <w:pStyle w:val="TableTextBullet"/>
            </w:pPr>
            <w:r>
              <w:t xml:space="preserve">TAS </w:t>
            </w:r>
            <w:r w:rsidR="00F06D63">
              <w:t>Indicator</w:t>
            </w:r>
          </w:p>
          <w:p w14:paraId="2A4AFFBB" w14:textId="77777777" w:rsidR="00F06D63" w:rsidRDefault="00F06D63" w:rsidP="00F06D63">
            <w:pPr>
              <w:pStyle w:val="TableTextBullet"/>
            </w:pPr>
            <w:r>
              <w:t>No Blood Required Indicator</w:t>
            </w:r>
          </w:p>
          <w:p w14:paraId="1A416301" w14:textId="77777777" w:rsidR="00F06D63" w:rsidRDefault="00F06D63" w:rsidP="00F06D63">
            <w:pPr>
              <w:pStyle w:val="TableText"/>
            </w:pPr>
            <w:r>
              <w:t>For each selected component class:</w:t>
            </w:r>
          </w:p>
          <w:p w14:paraId="597FEE6F" w14:textId="77777777" w:rsidR="00F06D63" w:rsidRDefault="00F06D63" w:rsidP="00F06D63">
            <w:pPr>
              <w:pStyle w:val="TableTextBullet"/>
            </w:pPr>
            <w:r>
              <w:t>Number of Units</w:t>
            </w:r>
          </w:p>
          <w:p w14:paraId="1BEB06B2" w14:textId="77777777" w:rsidR="00F06D63" w:rsidRDefault="00F06D63" w:rsidP="00F06D63">
            <w:pPr>
              <w:pStyle w:val="TableTextBullet"/>
            </w:pPr>
            <w:r>
              <w:t>Recommendation Status Indicator</w:t>
            </w:r>
          </w:p>
        </w:tc>
        <w:tc>
          <w:tcPr>
            <w:tcW w:w="1243" w:type="dxa"/>
          </w:tcPr>
          <w:p w14:paraId="226CA37F" w14:textId="77777777" w:rsidR="002A21AE" w:rsidRDefault="002A21AE">
            <w:pPr>
              <w:pStyle w:val="TableText"/>
            </w:pPr>
            <w:r>
              <w:t>No</w:t>
            </w:r>
          </w:p>
        </w:tc>
        <w:tc>
          <w:tcPr>
            <w:tcW w:w="1295" w:type="dxa"/>
          </w:tcPr>
          <w:p w14:paraId="3CC907E5" w14:textId="77777777" w:rsidR="002A21AE" w:rsidRDefault="002A21AE">
            <w:pPr>
              <w:pStyle w:val="TableText"/>
            </w:pPr>
            <w:r>
              <w:t>No</w:t>
            </w:r>
          </w:p>
        </w:tc>
      </w:tr>
      <w:tr w:rsidR="002A21AE" w14:paraId="1B100FF4" w14:textId="77777777" w:rsidTr="00DC1872">
        <w:trPr>
          <w:cantSplit/>
        </w:trPr>
        <w:tc>
          <w:tcPr>
            <w:tcW w:w="1525" w:type="dxa"/>
          </w:tcPr>
          <w:p w14:paraId="54F96C17" w14:textId="77777777" w:rsidR="002A21AE" w:rsidRDefault="002A21AE" w:rsidP="00CD34EB">
            <w:pPr>
              <w:pStyle w:val="TableText"/>
            </w:pPr>
            <w:r>
              <w:t>Maintenance: Transfusion Effectiveness Changes</w:t>
            </w:r>
          </w:p>
        </w:tc>
        <w:tc>
          <w:tcPr>
            <w:tcW w:w="1979" w:type="dxa"/>
          </w:tcPr>
          <w:p w14:paraId="7FB49A40" w14:textId="77777777" w:rsidR="002A21AE" w:rsidRDefault="002A21AE">
            <w:pPr>
              <w:pStyle w:val="TableText"/>
            </w:pPr>
            <w:r>
              <w:t>Transfusion Effectiveness</w:t>
            </w:r>
          </w:p>
        </w:tc>
        <w:tc>
          <w:tcPr>
            <w:tcW w:w="3470" w:type="dxa"/>
          </w:tcPr>
          <w:p w14:paraId="4E8E78AB" w14:textId="77777777" w:rsidR="004E501B" w:rsidRDefault="008945EE" w:rsidP="004E501B">
            <w:pPr>
              <w:pStyle w:val="TableText"/>
            </w:pPr>
            <w:r>
              <w:t>For each Laboratory t</w:t>
            </w:r>
            <w:r w:rsidR="004E501B">
              <w:t xml:space="preserve">est </w:t>
            </w:r>
            <w:r>
              <w:t>n</w:t>
            </w:r>
            <w:r w:rsidR="004E501B">
              <w:t xml:space="preserve">ame, for each VistA Laboratory </w:t>
            </w:r>
            <w:r>
              <w:t>t</w:t>
            </w:r>
            <w:r w:rsidR="004E501B">
              <w:t xml:space="preserve">est Internal Entry Number (IEN), and for each </w:t>
            </w:r>
            <w:r>
              <w:t>s</w:t>
            </w:r>
            <w:r w:rsidR="004E501B">
              <w:t xml:space="preserve">pecimen </w:t>
            </w:r>
            <w:r>
              <w:t>t</w:t>
            </w:r>
            <w:r w:rsidR="004E501B">
              <w:t xml:space="preserve">ype: </w:t>
            </w:r>
          </w:p>
          <w:p w14:paraId="4AB815DB" w14:textId="77777777" w:rsidR="002A21AE" w:rsidRDefault="004E501B">
            <w:pPr>
              <w:pStyle w:val="TableTextBullet"/>
            </w:pPr>
            <w:r>
              <w:t>Status Indicator</w:t>
            </w:r>
          </w:p>
        </w:tc>
        <w:tc>
          <w:tcPr>
            <w:tcW w:w="1243" w:type="dxa"/>
          </w:tcPr>
          <w:p w14:paraId="132B5551" w14:textId="77777777" w:rsidR="002A21AE" w:rsidRDefault="002A21AE">
            <w:pPr>
              <w:pStyle w:val="TableText"/>
            </w:pPr>
            <w:r>
              <w:t>No</w:t>
            </w:r>
          </w:p>
        </w:tc>
        <w:tc>
          <w:tcPr>
            <w:tcW w:w="1295" w:type="dxa"/>
          </w:tcPr>
          <w:p w14:paraId="0074C757" w14:textId="77777777" w:rsidR="002A21AE" w:rsidRDefault="002A21AE">
            <w:pPr>
              <w:pStyle w:val="TableText"/>
            </w:pPr>
            <w:r>
              <w:t>No</w:t>
            </w:r>
          </w:p>
        </w:tc>
      </w:tr>
      <w:tr w:rsidR="002A21AE" w14:paraId="38E86C78" w14:textId="77777777" w:rsidTr="00DC1872">
        <w:trPr>
          <w:cantSplit/>
        </w:trPr>
        <w:tc>
          <w:tcPr>
            <w:tcW w:w="1525" w:type="dxa"/>
          </w:tcPr>
          <w:p w14:paraId="5240B1B9" w14:textId="77777777" w:rsidR="002A21AE" w:rsidRDefault="002A21AE" w:rsidP="00CD34EB">
            <w:pPr>
              <w:pStyle w:val="TableText"/>
            </w:pPr>
            <w:r>
              <w:t>Maintenance: Transfusion Complications Changes</w:t>
            </w:r>
          </w:p>
        </w:tc>
        <w:tc>
          <w:tcPr>
            <w:tcW w:w="1979" w:type="dxa"/>
          </w:tcPr>
          <w:p w14:paraId="16EEE063" w14:textId="77777777" w:rsidR="002A21AE" w:rsidRDefault="002A21AE">
            <w:pPr>
              <w:pStyle w:val="TableText"/>
            </w:pPr>
            <w:r>
              <w:t>Transfusion Complications</w:t>
            </w:r>
          </w:p>
        </w:tc>
        <w:tc>
          <w:tcPr>
            <w:tcW w:w="3470" w:type="dxa"/>
          </w:tcPr>
          <w:p w14:paraId="6522ED69" w14:textId="77777777" w:rsidR="004E501B" w:rsidRDefault="004E501B" w:rsidP="004E501B">
            <w:pPr>
              <w:pStyle w:val="TableText"/>
            </w:pPr>
            <w:r>
              <w:t xml:space="preserve">For each Laboratory </w:t>
            </w:r>
            <w:r w:rsidR="008945EE">
              <w:t>te</w:t>
            </w:r>
            <w:r>
              <w:t xml:space="preserve">st </w:t>
            </w:r>
            <w:r w:rsidR="008945EE">
              <w:t>n</w:t>
            </w:r>
            <w:r>
              <w:t xml:space="preserve">ame, for each VistA Laboratory </w:t>
            </w:r>
            <w:r w:rsidR="008945EE">
              <w:t>t</w:t>
            </w:r>
            <w:r>
              <w:t xml:space="preserve">est IEN, and for each </w:t>
            </w:r>
            <w:r w:rsidR="008945EE">
              <w:t>s</w:t>
            </w:r>
            <w:r>
              <w:t xml:space="preserve">pecimen </w:t>
            </w:r>
            <w:r w:rsidR="008945EE">
              <w:t>t</w:t>
            </w:r>
            <w:r>
              <w:t xml:space="preserve">ype: </w:t>
            </w:r>
          </w:p>
          <w:p w14:paraId="07FABEDF" w14:textId="77777777" w:rsidR="004E501B" w:rsidRDefault="004E501B" w:rsidP="004E501B">
            <w:pPr>
              <w:pStyle w:val="TableTextBullet"/>
            </w:pPr>
            <w:r>
              <w:t>Threshold Result</w:t>
            </w:r>
          </w:p>
          <w:p w14:paraId="39792FCD" w14:textId="77777777" w:rsidR="004E501B" w:rsidRDefault="004E501B" w:rsidP="004E501B">
            <w:pPr>
              <w:pStyle w:val="TableTextBullet"/>
            </w:pPr>
            <w:r>
              <w:t>Threshold Setting Status</w:t>
            </w:r>
          </w:p>
          <w:p w14:paraId="792BAD8D" w14:textId="77777777" w:rsidR="002A21AE" w:rsidRDefault="004E501B" w:rsidP="004E501B">
            <w:pPr>
              <w:pStyle w:val="TableTextBullet"/>
            </w:pPr>
            <w:r>
              <w:t>Status indicator</w:t>
            </w:r>
            <w:r w:rsidDel="003933CD">
              <w:t xml:space="preserve"> </w:t>
            </w:r>
          </w:p>
        </w:tc>
        <w:tc>
          <w:tcPr>
            <w:tcW w:w="1243" w:type="dxa"/>
          </w:tcPr>
          <w:p w14:paraId="1BADF183" w14:textId="77777777" w:rsidR="002A21AE" w:rsidRDefault="002A21AE">
            <w:pPr>
              <w:pStyle w:val="TableText"/>
            </w:pPr>
            <w:r>
              <w:t>No</w:t>
            </w:r>
          </w:p>
        </w:tc>
        <w:tc>
          <w:tcPr>
            <w:tcW w:w="1295" w:type="dxa"/>
          </w:tcPr>
          <w:p w14:paraId="7B16E8A8" w14:textId="77777777" w:rsidR="002A21AE" w:rsidRDefault="002A21AE">
            <w:pPr>
              <w:pStyle w:val="TableText"/>
            </w:pPr>
            <w:r>
              <w:t>No</w:t>
            </w:r>
          </w:p>
        </w:tc>
      </w:tr>
      <w:tr w:rsidR="002A21AE" w14:paraId="2CA76DEE" w14:textId="77777777" w:rsidTr="00DC1872">
        <w:trPr>
          <w:cantSplit/>
        </w:trPr>
        <w:tc>
          <w:tcPr>
            <w:tcW w:w="1525" w:type="dxa"/>
          </w:tcPr>
          <w:p w14:paraId="4795FFC0" w14:textId="77777777" w:rsidR="002A21AE" w:rsidRDefault="002A21AE" w:rsidP="00CD34EB">
            <w:pPr>
              <w:pStyle w:val="TableText"/>
            </w:pPr>
            <w:r>
              <w:t>Maintenance: Component Class</w:t>
            </w:r>
          </w:p>
        </w:tc>
        <w:tc>
          <w:tcPr>
            <w:tcW w:w="1979" w:type="dxa"/>
          </w:tcPr>
          <w:p w14:paraId="60813F84" w14:textId="77777777" w:rsidR="002A21AE" w:rsidRDefault="002A21AE">
            <w:pPr>
              <w:pStyle w:val="TableText"/>
            </w:pPr>
            <w:r>
              <w:t xml:space="preserve">Component Classes </w:t>
            </w:r>
          </w:p>
        </w:tc>
        <w:tc>
          <w:tcPr>
            <w:tcW w:w="3470" w:type="dxa"/>
          </w:tcPr>
          <w:p w14:paraId="596E91D4" w14:textId="77777777" w:rsidR="002A21AE" w:rsidRDefault="002A21AE">
            <w:pPr>
              <w:pStyle w:val="TableText"/>
            </w:pPr>
            <w:r>
              <w:t>For each component class configured:</w:t>
            </w:r>
          </w:p>
          <w:p w14:paraId="01DD5AEB" w14:textId="77777777" w:rsidR="002A21AE" w:rsidRDefault="0072124A">
            <w:pPr>
              <w:pStyle w:val="TableTextBullet"/>
            </w:pPr>
            <w:r>
              <w:t>Current ABO/Rh Specimen Results Required Indicator</w:t>
            </w:r>
          </w:p>
          <w:p w14:paraId="23F5A83D" w14:textId="77777777" w:rsidR="0072124A" w:rsidRDefault="0072124A">
            <w:pPr>
              <w:pStyle w:val="TableTextBullet"/>
            </w:pPr>
            <w:r>
              <w:t>M</w:t>
            </w:r>
            <w:r w:rsidR="002A21AE">
              <w:t xml:space="preserve">aximum </w:t>
            </w:r>
            <w:r>
              <w:t>T</w:t>
            </w:r>
            <w:r w:rsidR="002A21AE">
              <w:t xml:space="preserve">ransfusion </w:t>
            </w:r>
            <w:r>
              <w:t>T</w:t>
            </w:r>
            <w:r w:rsidR="002A21AE">
              <w:t>ime</w:t>
            </w:r>
          </w:p>
          <w:p w14:paraId="2243EEDA" w14:textId="77777777" w:rsidR="0072124A" w:rsidRDefault="002B6A72">
            <w:pPr>
              <w:pStyle w:val="TableTextBullet"/>
            </w:pPr>
            <w:r>
              <w:t>For each Laboratory Test Name, for each VistA Laboratory Test Internal Entry Number (IEN), and for each Specimen Type:</w:t>
            </w:r>
            <w:r w:rsidR="00B63E26">
              <w:t xml:space="preserve"> </w:t>
            </w:r>
            <w:r w:rsidR="0072124A">
              <w:t>Lab Test Status</w:t>
            </w:r>
          </w:p>
          <w:p w14:paraId="232EDEA3" w14:textId="77777777" w:rsidR="0072124A" w:rsidRDefault="0072124A">
            <w:pPr>
              <w:pStyle w:val="TableTextBullet"/>
            </w:pPr>
            <w:r>
              <w:t>Threshold Result</w:t>
            </w:r>
          </w:p>
        </w:tc>
        <w:tc>
          <w:tcPr>
            <w:tcW w:w="1243" w:type="dxa"/>
          </w:tcPr>
          <w:p w14:paraId="581FEAF4" w14:textId="77777777" w:rsidR="002A21AE" w:rsidRDefault="002A21AE">
            <w:pPr>
              <w:pStyle w:val="TableText"/>
            </w:pPr>
            <w:r>
              <w:t>No</w:t>
            </w:r>
          </w:p>
        </w:tc>
        <w:tc>
          <w:tcPr>
            <w:tcW w:w="1295" w:type="dxa"/>
          </w:tcPr>
          <w:p w14:paraId="5B858761" w14:textId="77777777" w:rsidR="002A21AE" w:rsidRDefault="002A21AE">
            <w:pPr>
              <w:pStyle w:val="TableText"/>
            </w:pPr>
            <w:r>
              <w:t>No</w:t>
            </w:r>
          </w:p>
        </w:tc>
      </w:tr>
      <w:tr w:rsidR="002A21AE" w14:paraId="4474E54C" w14:textId="77777777" w:rsidTr="00DC1872">
        <w:trPr>
          <w:cantSplit/>
        </w:trPr>
        <w:tc>
          <w:tcPr>
            <w:tcW w:w="1525" w:type="dxa"/>
          </w:tcPr>
          <w:p w14:paraId="2E310733" w14:textId="77777777" w:rsidR="002A21AE" w:rsidRDefault="002A21AE" w:rsidP="00CD34EB">
            <w:pPr>
              <w:pStyle w:val="TableText"/>
            </w:pPr>
            <w:r>
              <w:t>Maintenance: Daily QC Configuration</w:t>
            </w:r>
          </w:p>
        </w:tc>
        <w:tc>
          <w:tcPr>
            <w:tcW w:w="1979" w:type="dxa"/>
          </w:tcPr>
          <w:p w14:paraId="29EDEACC" w14:textId="77777777" w:rsidR="002A21AE" w:rsidRDefault="002A21AE">
            <w:pPr>
              <w:pStyle w:val="TableText"/>
            </w:pPr>
            <w:r>
              <w:t>Configure Daily QC</w:t>
            </w:r>
          </w:p>
        </w:tc>
        <w:tc>
          <w:tcPr>
            <w:tcW w:w="3470" w:type="dxa"/>
          </w:tcPr>
          <w:p w14:paraId="27556196" w14:textId="77777777" w:rsidR="002B6A72" w:rsidRPr="00BF10B2" w:rsidRDefault="002838D6" w:rsidP="002B6A72">
            <w:pPr>
              <w:pStyle w:val="TableText"/>
            </w:pPr>
            <w:r w:rsidRPr="00BF10B2">
              <w:t>For each d</w:t>
            </w:r>
            <w:r w:rsidR="002B6A72" w:rsidRPr="00BF10B2">
              <w:t xml:space="preserve">aily QC </w:t>
            </w:r>
            <w:r w:rsidR="00B63E26" w:rsidRPr="00BF10B2">
              <w:t>s</w:t>
            </w:r>
            <w:r w:rsidR="002B6A72" w:rsidRPr="00BF10B2">
              <w:t xml:space="preserve">etup </w:t>
            </w:r>
            <w:r w:rsidR="00B63E26" w:rsidRPr="00BF10B2">
              <w:t>c</w:t>
            </w:r>
            <w:r w:rsidR="002B6A72" w:rsidRPr="00BF10B2">
              <w:t>hanged:</w:t>
            </w:r>
          </w:p>
          <w:p w14:paraId="118D8A4B" w14:textId="77777777" w:rsidR="002A21AE" w:rsidRPr="00BF10B2" w:rsidRDefault="002A21AE">
            <w:pPr>
              <w:pStyle w:val="TableTextBullet"/>
            </w:pPr>
            <w:r w:rsidRPr="00BF10B2">
              <w:t>Commercial or Non-Commercial QC Indicator</w:t>
            </w:r>
          </w:p>
          <w:p w14:paraId="7DFF07B4" w14:textId="77777777" w:rsidR="002A21AE" w:rsidRPr="00BF10B2" w:rsidRDefault="002A21AE">
            <w:pPr>
              <w:pStyle w:val="TableTextBullet"/>
            </w:pPr>
            <w:r w:rsidRPr="00BF10B2">
              <w:t>Rack Nam</w:t>
            </w:r>
            <w:r w:rsidR="00155120" w:rsidRPr="00BF10B2">
              <w:t>e</w:t>
            </w:r>
            <w:r w:rsidRPr="00BF10B2">
              <w:t xml:space="preserve"> Indicator</w:t>
            </w:r>
            <w:r w:rsidR="00155120" w:rsidRPr="00BF10B2">
              <w:t xml:space="preserve"> (</w:t>
            </w:r>
            <w:r w:rsidRPr="00BF10B2">
              <w:t>A through Z or 1 through 26</w:t>
            </w:r>
            <w:r w:rsidR="00155120" w:rsidRPr="00BF10B2">
              <w:t>)</w:t>
            </w:r>
          </w:p>
          <w:p w14:paraId="3BD787E4" w14:textId="77777777" w:rsidR="00155120" w:rsidRPr="00BF10B2" w:rsidRDefault="00155120">
            <w:pPr>
              <w:pStyle w:val="TableTextBullet"/>
            </w:pPr>
            <w:r w:rsidRPr="00BF10B2">
              <w:t>Number of Racks to Test</w:t>
            </w:r>
          </w:p>
          <w:p w14:paraId="56850746" w14:textId="77777777" w:rsidR="00155120" w:rsidRPr="00BF10B2" w:rsidRDefault="00155120">
            <w:pPr>
              <w:pStyle w:val="TableTextBullet"/>
            </w:pPr>
            <w:r w:rsidRPr="00BF10B2">
              <w:t>Daily Alert Time</w:t>
            </w:r>
          </w:p>
          <w:p w14:paraId="4874F347" w14:textId="77777777" w:rsidR="00155120" w:rsidRPr="00BF10B2" w:rsidRDefault="00155120">
            <w:pPr>
              <w:pStyle w:val="TableTextBullet"/>
            </w:pPr>
            <w:r w:rsidRPr="00BF10B2">
              <w:t>Primary Enhancement Media</w:t>
            </w:r>
          </w:p>
          <w:p w14:paraId="49A5C562" w14:textId="77777777" w:rsidR="00155120" w:rsidRPr="00BF10B2" w:rsidRDefault="00155120">
            <w:pPr>
              <w:pStyle w:val="TableTextBullet"/>
            </w:pPr>
            <w:r w:rsidRPr="00BF10B2">
              <w:t>Secondary Enhancement Media</w:t>
            </w:r>
          </w:p>
          <w:p w14:paraId="77920B3A" w14:textId="77777777" w:rsidR="00155120" w:rsidRPr="00BF10B2" w:rsidRDefault="00155120">
            <w:pPr>
              <w:pStyle w:val="TableTextBullet"/>
            </w:pPr>
            <w:r w:rsidRPr="00BF10B2">
              <w:t>Comment</w:t>
            </w:r>
          </w:p>
          <w:p w14:paraId="38C5ACFA" w14:textId="77777777" w:rsidR="00155120" w:rsidRPr="00BF10B2" w:rsidRDefault="00155120" w:rsidP="00155120">
            <w:pPr>
              <w:pStyle w:val="TableText"/>
            </w:pPr>
            <w:r w:rsidRPr="00BF10B2">
              <w:t xml:space="preserve">For each </w:t>
            </w:r>
            <w:r w:rsidR="00B63E26" w:rsidRPr="00BF10B2">
              <w:t>reagent t</w:t>
            </w:r>
            <w:r w:rsidRPr="00BF10B2">
              <w:t xml:space="preserve">ype and </w:t>
            </w:r>
            <w:r w:rsidR="00B63E26" w:rsidRPr="00BF10B2">
              <w:t>t</w:t>
            </w:r>
            <w:r w:rsidRPr="00BF10B2">
              <w:t xml:space="preserve">est </w:t>
            </w:r>
            <w:r w:rsidR="00B63E26" w:rsidRPr="00BF10B2">
              <w:t>w</w:t>
            </w:r>
            <w:r w:rsidRPr="00BF10B2">
              <w:t>ith combination:</w:t>
            </w:r>
          </w:p>
          <w:p w14:paraId="1289C4DF" w14:textId="77777777" w:rsidR="002A21AE" w:rsidRPr="00BF10B2" w:rsidRDefault="00155120">
            <w:pPr>
              <w:pStyle w:val="TableTextBullet"/>
            </w:pPr>
            <w:r w:rsidRPr="00BF10B2">
              <w:t>Sta</w:t>
            </w:r>
            <w:r w:rsidR="00B63E26" w:rsidRPr="00BF10B2">
              <w:t>t</w:t>
            </w:r>
            <w:r w:rsidRPr="00BF10B2">
              <w:t>us Indicator</w:t>
            </w:r>
          </w:p>
          <w:p w14:paraId="4A524E84" w14:textId="77777777" w:rsidR="00155120" w:rsidRDefault="00155120">
            <w:pPr>
              <w:pStyle w:val="TableTextBullet"/>
            </w:pPr>
            <w:r w:rsidRPr="00BF10B2">
              <w:t>Minimum Reaction Entry</w:t>
            </w:r>
          </w:p>
        </w:tc>
        <w:tc>
          <w:tcPr>
            <w:tcW w:w="1243" w:type="dxa"/>
          </w:tcPr>
          <w:p w14:paraId="529AFDEF" w14:textId="77777777" w:rsidR="002A21AE" w:rsidRDefault="002A21AE">
            <w:pPr>
              <w:pStyle w:val="TableText"/>
            </w:pPr>
            <w:r>
              <w:t>No</w:t>
            </w:r>
          </w:p>
        </w:tc>
        <w:tc>
          <w:tcPr>
            <w:tcW w:w="1295" w:type="dxa"/>
          </w:tcPr>
          <w:p w14:paraId="1F0CADD1" w14:textId="77777777" w:rsidR="002A21AE" w:rsidRDefault="002A21AE">
            <w:pPr>
              <w:pStyle w:val="TableText"/>
            </w:pPr>
            <w:r>
              <w:t>No</w:t>
            </w:r>
          </w:p>
        </w:tc>
      </w:tr>
      <w:tr w:rsidR="002A21AE" w14:paraId="344A59C8" w14:textId="77777777" w:rsidTr="00DC1872">
        <w:trPr>
          <w:cantSplit/>
        </w:trPr>
        <w:tc>
          <w:tcPr>
            <w:tcW w:w="1525" w:type="dxa"/>
          </w:tcPr>
          <w:p w14:paraId="538D5B31" w14:textId="77777777" w:rsidR="002A21AE" w:rsidRDefault="002A21AE" w:rsidP="00CD34EB">
            <w:pPr>
              <w:pStyle w:val="TableText"/>
            </w:pPr>
            <w:r>
              <w:t>Maintenance: Minimum Reagent Inventory Levels</w:t>
            </w:r>
          </w:p>
        </w:tc>
        <w:tc>
          <w:tcPr>
            <w:tcW w:w="1979" w:type="dxa"/>
          </w:tcPr>
          <w:p w14:paraId="70F044AF" w14:textId="77777777" w:rsidR="002A21AE" w:rsidRDefault="002A21AE">
            <w:pPr>
              <w:pStyle w:val="TableText"/>
            </w:pPr>
            <w:r>
              <w:t>Maintain Minimum Levels</w:t>
            </w:r>
          </w:p>
        </w:tc>
        <w:tc>
          <w:tcPr>
            <w:tcW w:w="3470" w:type="dxa"/>
          </w:tcPr>
          <w:p w14:paraId="4C87DE44" w14:textId="77777777" w:rsidR="002A21AE" w:rsidRDefault="00BE1AC3">
            <w:pPr>
              <w:pStyle w:val="TableText"/>
            </w:pPr>
            <w:r>
              <w:t>For each reagent type:</w:t>
            </w:r>
          </w:p>
          <w:p w14:paraId="1366B7BD" w14:textId="77777777" w:rsidR="00BE1AC3" w:rsidRDefault="00BE1AC3" w:rsidP="00BE1AC3">
            <w:pPr>
              <w:pStyle w:val="TableTextBullet"/>
            </w:pPr>
            <w:r>
              <w:t>Minimum Inventory Level</w:t>
            </w:r>
          </w:p>
        </w:tc>
        <w:tc>
          <w:tcPr>
            <w:tcW w:w="1243" w:type="dxa"/>
          </w:tcPr>
          <w:p w14:paraId="66A389C0" w14:textId="77777777" w:rsidR="002A21AE" w:rsidRDefault="002A21AE">
            <w:pPr>
              <w:pStyle w:val="TableText"/>
            </w:pPr>
            <w:r>
              <w:t>No</w:t>
            </w:r>
          </w:p>
        </w:tc>
        <w:tc>
          <w:tcPr>
            <w:tcW w:w="1295" w:type="dxa"/>
          </w:tcPr>
          <w:p w14:paraId="2AE87E84" w14:textId="77777777" w:rsidR="002A21AE" w:rsidRDefault="002A21AE">
            <w:pPr>
              <w:pStyle w:val="TableText"/>
            </w:pPr>
            <w:r>
              <w:t>No</w:t>
            </w:r>
          </w:p>
        </w:tc>
      </w:tr>
      <w:tr w:rsidR="002A21AE" w14:paraId="6E459EBF" w14:textId="77777777" w:rsidTr="00DC1872">
        <w:trPr>
          <w:cantSplit/>
        </w:trPr>
        <w:tc>
          <w:tcPr>
            <w:tcW w:w="1525" w:type="dxa"/>
          </w:tcPr>
          <w:p w14:paraId="2363209B" w14:textId="77777777" w:rsidR="002A21AE" w:rsidRDefault="002A21AE" w:rsidP="00CD34EB">
            <w:pPr>
              <w:pStyle w:val="TableText"/>
            </w:pPr>
            <w:r>
              <w:t>Maintenance: User Alert Configuration</w:t>
            </w:r>
          </w:p>
        </w:tc>
        <w:tc>
          <w:tcPr>
            <w:tcW w:w="1979" w:type="dxa"/>
          </w:tcPr>
          <w:p w14:paraId="2CE690B5" w14:textId="77777777" w:rsidR="002A21AE" w:rsidRDefault="006068DE">
            <w:pPr>
              <w:pStyle w:val="TableText"/>
            </w:pPr>
            <w:r>
              <w:t>Order Alerts</w:t>
            </w:r>
          </w:p>
        </w:tc>
        <w:tc>
          <w:tcPr>
            <w:tcW w:w="3470" w:type="dxa"/>
          </w:tcPr>
          <w:p w14:paraId="244A44A6" w14:textId="77777777" w:rsidR="00BE1AC3" w:rsidRDefault="00BE1AC3" w:rsidP="00BE1AC3">
            <w:pPr>
              <w:pStyle w:val="TableText"/>
            </w:pPr>
            <w:r>
              <w:t xml:space="preserve">For each </w:t>
            </w:r>
            <w:r w:rsidR="00B63E26">
              <w:t>d</w:t>
            </w:r>
            <w:r>
              <w:t>ivision (name, code):</w:t>
            </w:r>
          </w:p>
          <w:p w14:paraId="5038666D" w14:textId="77777777" w:rsidR="00AC7D2D" w:rsidRDefault="00AC7D2D" w:rsidP="00AC7D2D">
            <w:pPr>
              <w:pStyle w:val="TableTextBullet"/>
            </w:pPr>
            <w:r>
              <w:t>Printer Alerts On</w:t>
            </w:r>
          </w:p>
          <w:p w14:paraId="1EBE4070" w14:textId="77777777" w:rsidR="00AC7D2D" w:rsidRDefault="00AC7D2D" w:rsidP="00AC7D2D">
            <w:pPr>
              <w:pStyle w:val="TableTextBullet"/>
            </w:pPr>
            <w:r>
              <w:t>Printer Name</w:t>
            </w:r>
          </w:p>
          <w:p w14:paraId="03BABE31" w14:textId="77777777" w:rsidR="00AC7D2D" w:rsidRDefault="00AC7D2D" w:rsidP="00AC7D2D">
            <w:pPr>
              <w:pStyle w:val="TableTextBullet"/>
            </w:pPr>
            <w:r>
              <w:t xml:space="preserve">(Printer) Order Alert Type </w:t>
            </w:r>
          </w:p>
          <w:p w14:paraId="2E1F0570" w14:textId="77777777" w:rsidR="00AC7D2D" w:rsidRDefault="00AC7D2D" w:rsidP="00AC7D2D">
            <w:pPr>
              <w:pStyle w:val="TableTextBullet"/>
            </w:pPr>
            <w:r>
              <w:t>(Printer) Orders Needed In</w:t>
            </w:r>
          </w:p>
          <w:p w14:paraId="772076E5" w14:textId="77777777" w:rsidR="00AC7D2D" w:rsidRDefault="00AC7D2D" w:rsidP="00AC7D2D">
            <w:pPr>
              <w:pStyle w:val="TableTextBullet"/>
            </w:pPr>
            <w:r>
              <w:t>Icon Alerts On</w:t>
            </w:r>
          </w:p>
          <w:p w14:paraId="337E2DE5" w14:textId="77777777" w:rsidR="00AC7D2D" w:rsidRDefault="00AC7D2D" w:rsidP="00AC7D2D">
            <w:pPr>
              <w:pStyle w:val="TableTextBullet"/>
            </w:pPr>
            <w:r>
              <w:t>Refresh Rate</w:t>
            </w:r>
          </w:p>
          <w:p w14:paraId="0AB38A07" w14:textId="77777777" w:rsidR="00AC7D2D" w:rsidRDefault="00AC7D2D" w:rsidP="00AC7D2D">
            <w:pPr>
              <w:pStyle w:val="TableTextBullet"/>
            </w:pPr>
            <w:r>
              <w:t xml:space="preserve">(Icon) Order Alert Type </w:t>
            </w:r>
          </w:p>
          <w:p w14:paraId="24C2EE3C" w14:textId="77777777" w:rsidR="002A21AE" w:rsidRDefault="00AC7D2D" w:rsidP="00AC7D2D">
            <w:pPr>
              <w:pStyle w:val="TableTextBullet"/>
            </w:pPr>
            <w:r>
              <w:t>(Icon) Orders Needed In</w:t>
            </w:r>
          </w:p>
        </w:tc>
        <w:tc>
          <w:tcPr>
            <w:tcW w:w="1243" w:type="dxa"/>
          </w:tcPr>
          <w:p w14:paraId="653A3668" w14:textId="77777777" w:rsidR="002A21AE" w:rsidRDefault="002A21AE">
            <w:pPr>
              <w:pStyle w:val="TableText"/>
            </w:pPr>
            <w:r>
              <w:t>No</w:t>
            </w:r>
          </w:p>
        </w:tc>
        <w:tc>
          <w:tcPr>
            <w:tcW w:w="1295" w:type="dxa"/>
          </w:tcPr>
          <w:p w14:paraId="05461FFB" w14:textId="77777777" w:rsidR="002A21AE" w:rsidRDefault="002A21AE">
            <w:pPr>
              <w:pStyle w:val="TableText"/>
            </w:pPr>
            <w:r>
              <w:t>No</w:t>
            </w:r>
          </w:p>
        </w:tc>
      </w:tr>
      <w:tr w:rsidR="002A21AE" w14:paraId="722604EC" w14:textId="77777777" w:rsidTr="00DC1872">
        <w:trPr>
          <w:cantSplit/>
        </w:trPr>
        <w:tc>
          <w:tcPr>
            <w:tcW w:w="1525" w:type="dxa"/>
          </w:tcPr>
          <w:p w14:paraId="7FE7F8EC" w14:textId="77777777" w:rsidR="002A21AE" w:rsidRDefault="002A21AE" w:rsidP="00CD34EB">
            <w:pPr>
              <w:pStyle w:val="TableText"/>
            </w:pPr>
            <w:r>
              <w:t>Maintenance: Interface Control</w:t>
            </w:r>
          </w:p>
        </w:tc>
        <w:tc>
          <w:tcPr>
            <w:tcW w:w="1979" w:type="dxa"/>
          </w:tcPr>
          <w:p w14:paraId="0145798A" w14:textId="77777777" w:rsidR="002A21AE" w:rsidRDefault="00706DB3">
            <w:pPr>
              <w:pStyle w:val="TableText"/>
            </w:pPr>
            <w:r>
              <w:t>Configure Interfaces</w:t>
            </w:r>
            <w:r w:rsidRPr="00706DB3">
              <w:rPr>
                <w:vanish/>
                <w:szCs w:val="18"/>
              </w:rPr>
              <w:t xml:space="preserve"> MUC_01</w:t>
            </w:r>
          </w:p>
        </w:tc>
        <w:tc>
          <w:tcPr>
            <w:tcW w:w="3470" w:type="dxa"/>
          </w:tcPr>
          <w:p w14:paraId="615443BA" w14:textId="77777777" w:rsidR="002A21AE" w:rsidRDefault="00BE1AC3">
            <w:pPr>
              <w:pStyle w:val="TableTextBullet"/>
            </w:pPr>
            <w:r>
              <w:t xml:space="preserve">VistA </w:t>
            </w:r>
            <w:r w:rsidR="00A615EC">
              <w:t>IP Address or Server Name</w:t>
            </w:r>
          </w:p>
          <w:p w14:paraId="78B710EF" w14:textId="77777777" w:rsidR="002A21AE" w:rsidRDefault="00BE1AC3">
            <w:pPr>
              <w:pStyle w:val="TableTextBullet"/>
            </w:pPr>
            <w:r>
              <w:t xml:space="preserve">VistA </w:t>
            </w:r>
            <w:r w:rsidR="002A21AE">
              <w:t>Port Number</w:t>
            </w:r>
          </w:p>
          <w:p w14:paraId="22118861" w14:textId="77777777" w:rsidR="005773E9" w:rsidRDefault="00A615EC">
            <w:pPr>
              <w:pStyle w:val="TableTextBullet"/>
            </w:pPr>
            <w:r>
              <w:t>VBECS VistALink Service IP Address or Server Name</w:t>
            </w:r>
          </w:p>
          <w:p w14:paraId="15A9A5EA" w14:textId="77777777" w:rsidR="00A615EC" w:rsidRDefault="00A615EC">
            <w:pPr>
              <w:pStyle w:val="TableTextBullet"/>
            </w:pPr>
            <w:r>
              <w:t>VBECS VistALink Service Port Number</w:t>
            </w:r>
          </w:p>
          <w:p w14:paraId="284ED016" w14:textId="77777777" w:rsidR="00A615EC" w:rsidRDefault="00A615EC">
            <w:pPr>
              <w:pStyle w:val="TableTextBullet"/>
            </w:pPr>
            <w:r>
              <w:t>Broker IP Address or Server Name</w:t>
            </w:r>
          </w:p>
          <w:p w14:paraId="729199CE" w14:textId="77777777" w:rsidR="00A615EC" w:rsidRDefault="00A615EC">
            <w:pPr>
              <w:pStyle w:val="TableTextBullet"/>
            </w:pPr>
            <w:r>
              <w:t>Broker Port Number</w:t>
            </w:r>
          </w:p>
        </w:tc>
        <w:tc>
          <w:tcPr>
            <w:tcW w:w="1243" w:type="dxa"/>
          </w:tcPr>
          <w:p w14:paraId="56C66E6B" w14:textId="77777777" w:rsidR="002A21AE" w:rsidRDefault="002A21AE">
            <w:pPr>
              <w:pStyle w:val="TableText"/>
            </w:pPr>
            <w:r>
              <w:t>No</w:t>
            </w:r>
          </w:p>
        </w:tc>
        <w:tc>
          <w:tcPr>
            <w:tcW w:w="1295" w:type="dxa"/>
          </w:tcPr>
          <w:p w14:paraId="1586DF02" w14:textId="77777777" w:rsidR="002A21AE" w:rsidRDefault="002A21AE">
            <w:pPr>
              <w:pStyle w:val="TableText"/>
            </w:pPr>
            <w:r>
              <w:t>No</w:t>
            </w:r>
          </w:p>
        </w:tc>
      </w:tr>
      <w:tr w:rsidR="002A21AE" w14:paraId="0B53FE79" w14:textId="77777777" w:rsidTr="00DC1872">
        <w:trPr>
          <w:cantSplit/>
        </w:trPr>
        <w:tc>
          <w:tcPr>
            <w:tcW w:w="1525" w:type="dxa"/>
          </w:tcPr>
          <w:p w14:paraId="3797D097" w14:textId="77777777" w:rsidR="002A21AE" w:rsidRDefault="002A21AE" w:rsidP="00CD34EB">
            <w:pPr>
              <w:pStyle w:val="TableText"/>
            </w:pPr>
            <w:r>
              <w:t>Maintenance: Interface Control</w:t>
            </w:r>
          </w:p>
        </w:tc>
        <w:tc>
          <w:tcPr>
            <w:tcW w:w="1979" w:type="dxa"/>
          </w:tcPr>
          <w:p w14:paraId="5629F843" w14:textId="77777777" w:rsidR="002A21AE" w:rsidRDefault="00DE4FF7">
            <w:pPr>
              <w:pStyle w:val="TableText"/>
            </w:pPr>
            <w:r w:rsidRPr="00DE4FF7">
              <w:rPr>
                <w:szCs w:val="18"/>
              </w:rPr>
              <w:t>Configure Interfaces</w:t>
            </w:r>
            <w:r>
              <w:rPr>
                <w:vanish/>
                <w:szCs w:val="18"/>
              </w:rPr>
              <w:t xml:space="preserve"> </w:t>
            </w:r>
            <w:r w:rsidR="002A21AE" w:rsidRPr="00DE4FF7">
              <w:rPr>
                <w:vanish/>
                <w:szCs w:val="18"/>
              </w:rPr>
              <w:t>Define Interface Control Parameters</w:t>
            </w:r>
            <w:r w:rsidRPr="00DE4FF7">
              <w:rPr>
                <w:vanish/>
                <w:szCs w:val="18"/>
              </w:rPr>
              <w:t xml:space="preserve"> MUC_0</w:t>
            </w:r>
            <w:r w:rsidR="00EC2E09">
              <w:rPr>
                <w:vanish/>
                <w:szCs w:val="18"/>
              </w:rPr>
              <w:t>1</w:t>
            </w:r>
          </w:p>
        </w:tc>
        <w:tc>
          <w:tcPr>
            <w:tcW w:w="3470" w:type="dxa"/>
          </w:tcPr>
          <w:p w14:paraId="23260027" w14:textId="77777777" w:rsidR="00BE1AC3" w:rsidRPr="00BE1AC3" w:rsidRDefault="00BE1AC3" w:rsidP="00BE1AC3">
            <w:pPr>
              <w:pStyle w:val="TableText"/>
            </w:pPr>
            <w:r>
              <w:t>For each interface defined:</w:t>
            </w:r>
          </w:p>
          <w:p w14:paraId="03E09B88" w14:textId="77777777" w:rsidR="005773E9" w:rsidRDefault="00BE1AC3" w:rsidP="00A615EC">
            <w:pPr>
              <w:pStyle w:val="TableTextBullet"/>
            </w:pPr>
            <w:r>
              <w:rPr>
                <w:bCs/>
              </w:rPr>
              <w:t>Interface</w:t>
            </w:r>
            <w:r>
              <w:t xml:space="preserve"> </w:t>
            </w:r>
            <w:r w:rsidR="002A21AE">
              <w:t>IP Address</w:t>
            </w:r>
            <w:r w:rsidR="00A615EC">
              <w:t xml:space="preserve"> or Server Name</w:t>
            </w:r>
          </w:p>
          <w:p w14:paraId="5ABB6F32" w14:textId="77777777" w:rsidR="002A21AE" w:rsidRDefault="00BE1AC3">
            <w:pPr>
              <w:pStyle w:val="TableTextBullet"/>
            </w:pPr>
            <w:r>
              <w:rPr>
                <w:bCs/>
              </w:rPr>
              <w:t>Interface</w:t>
            </w:r>
            <w:r>
              <w:t xml:space="preserve"> </w:t>
            </w:r>
            <w:r w:rsidR="002A21AE">
              <w:t>Port Number</w:t>
            </w:r>
          </w:p>
          <w:p w14:paraId="63A5B33E" w14:textId="77777777" w:rsidR="00BE1AC3" w:rsidRDefault="00BE1AC3">
            <w:pPr>
              <w:pStyle w:val="TableTextBullet"/>
            </w:pPr>
            <w:r>
              <w:t>Interface Facility ID</w:t>
            </w:r>
          </w:p>
          <w:p w14:paraId="66DA48CF" w14:textId="77777777" w:rsidR="00BE1AC3" w:rsidRDefault="0009266F" w:rsidP="00A615EC">
            <w:pPr>
              <w:pStyle w:val="TableTextBullet"/>
            </w:pPr>
            <w:r>
              <w:t>Interface Status</w:t>
            </w:r>
          </w:p>
          <w:p w14:paraId="5F280DA1" w14:textId="77777777" w:rsidR="0009266F" w:rsidRDefault="0009266F" w:rsidP="0009266F">
            <w:pPr>
              <w:pStyle w:val="TableTextBullet"/>
              <w:numPr>
                <w:ilvl w:val="0"/>
                <w:numId w:val="0"/>
              </w:numPr>
              <w:ind w:left="288" w:hanging="288"/>
            </w:pPr>
          </w:p>
          <w:p w14:paraId="1E9FD0ED" w14:textId="77777777" w:rsidR="0013678B" w:rsidRDefault="0013678B" w:rsidP="0013678B">
            <w:pPr>
              <w:pStyle w:val="TableTextBullet"/>
              <w:numPr>
                <w:ilvl w:val="0"/>
                <w:numId w:val="0"/>
              </w:numPr>
              <w:ind w:left="288" w:hanging="288"/>
            </w:pPr>
            <w:r>
              <w:t>Common Interface settings</w:t>
            </w:r>
          </w:p>
          <w:p w14:paraId="741EDC1A" w14:textId="77777777" w:rsidR="00BE1AC3" w:rsidRDefault="0009266F" w:rsidP="00B85891">
            <w:pPr>
              <w:pStyle w:val="TableTextBullet"/>
            </w:pPr>
            <w:r>
              <w:t>VBECS IP Address or Server Name</w:t>
            </w:r>
          </w:p>
          <w:p w14:paraId="5EEEC0A3" w14:textId="77777777" w:rsidR="0009266F" w:rsidRDefault="0009266F" w:rsidP="00B85891">
            <w:pPr>
              <w:pStyle w:val="TableTextBullet"/>
            </w:pPr>
            <w:r>
              <w:t>VBECS Port Number</w:t>
            </w:r>
          </w:p>
          <w:p w14:paraId="08611C56" w14:textId="77777777" w:rsidR="002A21AE" w:rsidRDefault="002A21AE">
            <w:pPr>
              <w:pStyle w:val="TableTextBullet"/>
            </w:pPr>
            <w:r>
              <w:t>Ack Timeout</w:t>
            </w:r>
          </w:p>
          <w:p w14:paraId="1088D108" w14:textId="77777777" w:rsidR="002A21AE" w:rsidRDefault="002A21AE">
            <w:pPr>
              <w:pStyle w:val="TableTextBullet"/>
            </w:pPr>
            <w:r>
              <w:t xml:space="preserve">Retransmit Attempts </w:t>
            </w:r>
          </w:p>
          <w:p w14:paraId="6BC7E5D0" w14:textId="77777777" w:rsidR="00ED67B4" w:rsidRDefault="002A21AE" w:rsidP="0009266F">
            <w:pPr>
              <w:pStyle w:val="TableTextBullet"/>
            </w:pPr>
            <w:r>
              <w:t>Interface Administrator Email</w:t>
            </w:r>
          </w:p>
        </w:tc>
        <w:tc>
          <w:tcPr>
            <w:tcW w:w="1243" w:type="dxa"/>
          </w:tcPr>
          <w:p w14:paraId="6EC84875" w14:textId="77777777" w:rsidR="002A21AE" w:rsidRDefault="002A21AE">
            <w:pPr>
              <w:pStyle w:val="TableText"/>
            </w:pPr>
            <w:r>
              <w:t>No</w:t>
            </w:r>
          </w:p>
        </w:tc>
        <w:tc>
          <w:tcPr>
            <w:tcW w:w="1295" w:type="dxa"/>
          </w:tcPr>
          <w:p w14:paraId="14909FED" w14:textId="77777777" w:rsidR="002A21AE" w:rsidRDefault="002A21AE">
            <w:pPr>
              <w:pStyle w:val="TableText"/>
            </w:pPr>
            <w:r>
              <w:t>No</w:t>
            </w:r>
          </w:p>
        </w:tc>
      </w:tr>
    </w:tbl>
    <w:p w14:paraId="3056245A" w14:textId="77777777" w:rsidR="002A21AE" w:rsidRDefault="002A21AE">
      <w:pPr>
        <w:pStyle w:val="Heading3"/>
        <w:sectPr w:rsidR="002A21AE" w:rsidSect="00667BEE">
          <w:pgSz w:w="12240" w:h="15840" w:code="1"/>
          <w:pgMar w:top="1440" w:right="1440" w:bottom="1440" w:left="1440" w:header="720" w:footer="720" w:gutter="0"/>
          <w:cols w:space="720"/>
          <w:docGrid w:linePitch="360"/>
        </w:sectPr>
      </w:pPr>
    </w:p>
    <w:p w14:paraId="73BD539A" w14:textId="77777777" w:rsidR="002A21AE" w:rsidRDefault="002A21AE">
      <w:pPr>
        <w:pStyle w:val="Heading3"/>
      </w:pPr>
      <w:r>
        <w:rPr>
          <w:rFonts w:ascii="Geneva" w:hAnsi="Geneva"/>
          <w:vanish/>
        </w:rPr>
        <w:t xml:space="preserve">TT_82.01 </w:t>
      </w:r>
      <w:bookmarkStart w:id="621" w:name="_Toc149064216"/>
      <w:r>
        <w:t>Details in Exception Report</w:t>
      </w:r>
      <w:bookmarkEnd w:id="621"/>
      <w:r>
        <w:fldChar w:fldCharType="begin"/>
      </w:r>
      <w:r>
        <w:instrText xml:space="preserve"> XE </w:instrText>
      </w:r>
      <w:r w:rsidR="00FA7E65">
        <w:instrText>“</w:instrText>
      </w:r>
      <w:r>
        <w:instrText>Tables:Details in Exception Report</w:instrText>
      </w:r>
      <w:r w:rsidR="00FA7E65">
        <w:instrText>”</w:instrText>
      </w:r>
      <w:r>
        <w:instrText xml:space="preserve"> </w:instrText>
      </w:r>
      <w:r>
        <w:fldChar w:fldCharType="end"/>
      </w:r>
    </w:p>
    <w:p w14:paraId="413D4304" w14:textId="28E0BC58" w:rsidR="002A21AE" w:rsidRDefault="00EE455E" w:rsidP="00FA7E65">
      <w:pPr>
        <w:pStyle w:val="BodyText"/>
      </w:pPr>
      <w:r>
        <w:t xml:space="preserve">Table </w:t>
      </w:r>
      <w:r>
        <w:rPr>
          <w:noProof/>
        </w:rPr>
        <w:t>21</w:t>
      </w:r>
      <w:r w:rsidR="002A21AE">
        <w:t xml:space="preserve"> </w:t>
      </w:r>
      <w:r w:rsidR="008D0E7B">
        <w:t>lists exception types and the reports in which they appear.</w:t>
      </w:r>
    </w:p>
    <w:p w14:paraId="6640C4E5" w14:textId="4C85A4FA" w:rsidR="002A21AE" w:rsidRDefault="002A21AE">
      <w:pPr>
        <w:pStyle w:val="Caption"/>
      </w:pPr>
      <w:bookmarkStart w:id="622" w:name="_Ref126732272"/>
      <w:bookmarkStart w:id="623" w:name="_Toc97523638"/>
      <w:bookmarkStart w:id="624" w:name="_Toc97527608"/>
      <w:bookmarkStart w:id="625" w:name="_Ref126504543"/>
      <w:bookmarkStart w:id="626" w:name="_Ref12650462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21</w:t>
      </w:r>
      <w:r w:rsidR="004E20BD">
        <w:rPr>
          <w:noProof/>
        </w:rPr>
        <w:fldChar w:fldCharType="end"/>
      </w:r>
      <w:bookmarkEnd w:id="622"/>
      <w:r>
        <w:t xml:space="preserve">: </w:t>
      </w:r>
      <w:r>
        <w:rPr>
          <w:vanish/>
        </w:rPr>
        <w:t xml:space="preserve">TT_82.01 </w:t>
      </w:r>
      <w:r>
        <w:t>Details in Exception Report</w:t>
      </w:r>
      <w:bookmarkEnd w:id="623"/>
      <w:bookmarkEnd w:id="624"/>
      <w:bookmarkEnd w:id="625"/>
      <w:bookmarkEnd w:id="626"/>
    </w:p>
    <w:tbl>
      <w:tblPr>
        <w:tblW w:w="10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1710"/>
        <w:gridCol w:w="2520"/>
        <w:gridCol w:w="1417"/>
        <w:gridCol w:w="1530"/>
      </w:tblGrid>
      <w:tr w:rsidR="00C045C1" w14:paraId="491D7F2D" w14:textId="77777777" w:rsidTr="006F58C9">
        <w:trPr>
          <w:cantSplit/>
          <w:tblHeader/>
        </w:trPr>
        <w:tc>
          <w:tcPr>
            <w:tcW w:w="3235" w:type="dxa"/>
            <w:vMerge w:val="restart"/>
            <w:shd w:val="clear" w:color="auto" w:fill="B3B3B3"/>
            <w:vAlign w:val="bottom"/>
          </w:tcPr>
          <w:p w14:paraId="5DCE7A3A" w14:textId="77777777" w:rsidR="00C045C1" w:rsidRDefault="00C045C1" w:rsidP="00C045C1">
            <w:pPr>
              <w:pStyle w:val="TableText"/>
              <w:rPr>
                <w:rFonts w:ascii="Symbol" w:eastAsia="Symbol" w:hAnsi="Symbol"/>
                <w:b/>
              </w:rPr>
            </w:pPr>
            <w:r>
              <w:rPr>
                <w:b/>
              </w:rPr>
              <w:t>Exception Type</w:t>
            </w:r>
          </w:p>
        </w:tc>
        <w:tc>
          <w:tcPr>
            <w:tcW w:w="1710" w:type="dxa"/>
            <w:vMerge w:val="restart"/>
            <w:shd w:val="clear" w:color="auto" w:fill="B3B3B3"/>
            <w:vAlign w:val="bottom"/>
          </w:tcPr>
          <w:p w14:paraId="5533F8A2" w14:textId="77777777" w:rsidR="00C045C1" w:rsidRPr="0095633D" w:rsidRDefault="00C045C1" w:rsidP="00C045C1">
            <w:pPr>
              <w:pStyle w:val="TableText"/>
              <w:rPr>
                <w:rFonts w:eastAsia="Symbol" w:cs="Arial"/>
                <w:b/>
              </w:rPr>
            </w:pPr>
            <w:r>
              <w:rPr>
                <w:rFonts w:eastAsia="Symbol" w:cs="Arial"/>
                <w:b/>
              </w:rPr>
              <w:t>Available to Role</w:t>
            </w:r>
          </w:p>
        </w:tc>
        <w:tc>
          <w:tcPr>
            <w:tcW w:w="2520" w:type="dxa"/>
            <w:vMerge w:val="restart"/>
            <w:shd w:val="clear" w:color="auto" w:fill="B3B3B3"/>
            <w:vAlign w:val="bottom"/>
          </w:tcPr>
          <w:p w14:paraId="45D63877" w14:textId="77777777" w:rsidR="00C045C1" w:rsidRPr="00A7231C" w:rsidRDefault="00C045C1" w:rsidP="00C045C1">
            <w:pPr>
              <w:pStyle w:val="TableText"/>
              <w:rPr>
                <w:rFonts w:eastAsia="Symbol" w:cs="Arial"/>
                <w:b/>
              </w:rPr>
            </w:pPr>
            <w:r>
              <w:rPr>
                <w:rFonts w:eastAsia="Symbol" w:cs="Arial"/>
                <w:b/>
              </w:rPr>
              <w:t>Available in Option</w:t>
            </w:r>
          </w:p>
        </w:tc>
        <w:tc>
          <w:tcPr>
            <w:tcW w:w="2947" w:type="dxa"/>
            <w:gridSpan w:val="2"/>
            <w:shd w:val="clear" w:color="auto" w:fill="B3B3B3"/>
          </w:tcPr>
          <w:p w14:paraId="4641105C" w14:textId="77777777" w:rsidR="00C045C1" w:rsidRDefault="00C045C1" w:rsidP="0058499D">
            <w:pPr>
              <w:pStyle w:val="TableText"/>
              <w:jc w:val="center"/>
              <w:rPr>
                <w:rFonts w:eastAsia="Symbol"/>
                <w:b/>
                <w:bCs/>
              </w:rPr>
            </w:pPr>
            <w:r>
              <w:rPr>
                <w:rFonts w:eastAsia="Symbol"/>
                <w:b/>
                <w:bCs/>
              </w:rPr>
              <w:t>Accessible in:</w:t>
            </w:r>
          </w:p>
        </w:tc>
      </w:tr>
      <w:tr w:rsidR="00C045C1" w14:paraId="7511D216" w14:textId="77777777" w:rsidTr="006F58C9">
        <w:trPr>
          <w:cantSplit/>
          <w:tblHeader/>
        </w:trPr>
        <w:tc>
          <w:tcPr>
            <w:tcW w:w="3235" w:type="dxa"/>
            <w:vMerge/>
            <w:shd w:val="clear" w:color="auto" w:fill="C0C0C0"/>
          </w:tcPr>
          <w:p w14:paraId="0BA4AE74" w14:textId="77777777" w:rsidR="00C045C1" w:rsidRDefault="00C045C1" w:rsidP="00C045C1">
            <w:pPr>
              <w:pStyle w:val="TableText"/>
              <w:rPr>
                <w:b/>
              </w:rPr>
            </w:pPr>
          </w:p>
        </w:tc>
        <w:tc>
          <w:tcPr>
            <w:tcW w:w="1710" w:type="dxa"/>
            <w:vMerge/>
            <w:shd w:val="clear" w:color="auto" w:fill="C0C0C0"/>
          </w:tcPr>
          <w:p w14:paraId="47C54818" w14:textId="77777777" w:rsidR="00C045C1" w:rsidRDefault="00C045C1" w:rsidP="00C045C1">
            <w:pPr>
              <w:pStyle w:val="TableText"/>
              <w:rPr>
                <w:b/>
              </w:rPr>
            </w:pPr>
          </w:p>
        </w:tc>
        <w:tc>
          <w:tcPr>
            <w:tcW w:w="2520" w:type="dxa"/>
            <w:vMerge/>
            <w:shd w:val="clear" w:color="auto" w:fill="C0C0C0"/>
          </w:tcPr>
          <w:p w14:paraId="766BA425" w14:textId="77777777" w:rsidR="00C045C1" w:rsidRDefault="00C045C1" w:rsidP="00C045C1">
            <w:pPr>
              <w:pStyle w:val="TableText"/>
              <w:rPr>
                <w:b/>
              </w:rPr>
            </w:pPr>
          </w:p>
        </w:tc>
        <w:tc>
          <w:tcPr>
            <w:tcW w:w="1417" w:type="dxa"/>
            <w:shd w:val="clear" w:color="auto" w:fill="B3B3B3"/>
          </w:tcPr>
          <w:p w14:paraId="1A852112" w14:textId="77777777" w:rsidR="00C045C1" w:rsidRDefault="00C045C1" w:rsidP="00C045C1">
            <w:pPr>
              <w:pStyle w:val="TableText"/>
              <w:rPr>
                <w:rFonts w:eastAsia="Symbol"/>
                <w:b/>
                <w:bCs/>
              </w:rPr>
            </w:pPr>
            <w:r>
              <w:rPr>
                <w:rFonts w:eastAsia="Symbol"/>
                <w:b/>
                <w:bCs/>
              </w:rPr>
              <w:t>Unit History Report?</w:t>
            </w:r>
          </w:p>
        </w:tc>
        <w:tc>
          <w:tcPr>
            <w:tcW w:w="1530" w:type="dxa"/>
            <w:shd w:val="clear" w:color="auto" w:fill="B3B3B3"/>
          </w:tcPr>
          <w:p w14:paraId="00526C4F" w14:textId="77777777" w:rsidR="00C045C1" w:rsidRDefault="00C045C1" w:rsidP="00C045C1">
            <w:pPr>
              <w:pStyle w:val="TableText"/>
              <w:rPr>
                <w:rFonts w:eastAsia="Symbol"/>
                <w:b/>
                <w:bCs/>
              </w:rPr>
            </w:pPr>
            <w:r>
              <w:rPr>
                <w:rFonts w:eastAsia="Symbol"/>
                <w:b/>
                <w:bCs/>
              </w:rPr>
              <w:t>Patient History Report?</w:t>
            </w:r>
          </w:p>
        </w:tc>
      </w:tr>
      <w:tr w:rsidR="00C045C1" w14:paraId="4E1AA96A" w14:textId="77777777" w:rsidTr="006F58C9">
        <w:trPr>
          <w:cantSplit/>
        </w:trPr>
        <w:tc>
          <w:tcPr>
            <w:tcW w:w="3235" w:type="dxa"/>
          </w:tcPr>
          <w:p w14:paraId="47B58975" w14:textId="77777777" w:rsidR="00C045C1" w:rsidRDefault="00C045C1" w:rsidP="00C045C1">
            <w:pPr>
              <w:pStyle w:val="TableText"/>
            </w:pPr>
            <w:r>
              <w:t>ABO discrepant unit issue</w:t>
            </w:r>
          </w:p>
        </w:tc>
        <w:tc>
          <w:tcPr>
            <w:tcW w:w="1710" w:type="dxa"/>
          </w:tcPr>
          <w:p w14:paraId="1A673249" w14:textId="77777777" w:rsidR="00C045C1" w:rsidRDefault="00C045C1" w:rsidP="00C045C1">
            <w:pPr>
              <w:pStyle w:val="TableText"/>
            </w:pPr>
            <w:r>
              <w:t>All</w:t>
            </w:r>
          </w:p>
        </w:tc>
        <w:tc>
          <w:tcPr>
            <w:tcW w:w="2520" w:type="dxa"/>
          </w:tcPr>
          <w:p w14:paraId="0400D9C3" w14:textId="77777777" w:rsidR="00C045C1" w:rsidRDefault="00C045C1" w:rsidP="00C045C1">
            <w:pPr>
              <w:pStyle w:val="TableText"/>
            </w:pPr>
            <w:r>
              <w:t>Issue Unit</w:t>
            </w:r>
          </w:p>
        </w:tc>
        <w:tc>
          <w:tcPr>
            <w:tcW w:w="1417" w:type="dxa"/>
          </w:tcPr>
          <w:p w14:paraId="2FAECD01" w14:textId="77777777" w:rsidR="00C045C1" w:rsidRDefault="00C045C1" w:rsidP="00C045C1">
            <w:pPr>
              <w:pStyle w:val="TableText"/>
            </w:pPr>
            <w:r>
              <w:t>No</w:t>
            </w:r>
          </w:p>
        </w:tc>
        <w:tc>
          <w:tcPr>
            <w:tcW w:w="1530" w:type="dxa"/>
          </w:tcPr>
          <w:p w14:paraId="5FFB7DEC" w14:textId="77777777" w:rsidR="00C045C1" w:rsidRDefault="00C045C1" w:rsidP="00C045C1">
            <w:pPr>
              <w:pStyle w:val="TableText"/>
            </w:pPr>
            <w:r>
              <w:rPr>
                <w:rFonts w:eastAsia="Symbol"/>
              </w:rPr>
              <w:t>Yes</w:t>
            </w:r>
          </w:p>
        </w:tc>
      </w:tr>
      <w:tr w:rsidR="00C045C1" w14:paraId="40048133" w14:textId="77777777" w:rsidTr="006F58C9">
        <w:trPr>
          <w:cantSplit/>
        </w:trPr>
        <w:tc>
          <w:tcPr>
            <w:tcW w:w="3235" w:type="dxa"/>
          </w:tcPr>
          <w:p w14:paraId="4A9416B1" w14:textId="24F067C9" w:rsidR="00C045C1" w:rsidRDefault="00C045C1" w:rsidP="00C045C1">
            <w:pPr>
              <w:pStyle w:val="TableText"/>
            </w:pPr>
            <w:r>
              <w:t xml:space="preserve">ABO </w:t>
            </w:r>
            <w:r w:rsidR="00271FB6">
              <w:t>incompatible unit transfused</w:t>
            </w:r>
          </w:p>
        </w:tc>
        <w:tc>
          <w:tcPr>
            <w:tcW w:w="1710" w:type="dxa"/>
          </w:tcPr>
          <w:p w14:paraId="2E375812" w14:textId="77777777" w:rsidR="00C045C1" w:rsidRPr="0095633D" w:rsidRDefault="00C045C1" w:rsidP="00C045C1">
            <w:pPr>
              <w:pStyle w:val="TableText"/>
            </w:pPr>
            <w:r>
              <w:rPr>
                <w:u w:val="single"/>
              </w:rPr>
              <w:t>&gt;</w:t>
            </w:r>
            <w:r>
              <w:t xml:space="preserve"> Traditional Supervisor</w:t>
            </w:r>
          </w:p>
        </w:tc>
        <w:tc>
          <w:tcPr>
            <w:tcW w:w="2520" w:type="dxa"/>
          </w:tcPr>
          <w:p w14:paraId="1C3A873A" w14:textId="77777777" w:rsidR="00C045C1" w:rsidRDefault="00C045C1" w:rsidP="00C045C1">
            <w:pPr>
              <w:pStyle w:val="TableText"/>
            </w:pPr>
            <w:r>
              <w:t>Document ABO Incompatible Transfusion</w:t>
            </w:r>
          </w:p>
        </w:tc>
        <w:tc>
          <w:tcPr>
            <w:tcW w:w="1417" w:type="dxa"/>
          </w:tcPr>
          <w:p w14:paraId="0C628A00" w14:textId="35CA3D45" w:rsidR="00C045C1" w:rsidRDefault="00271FB6" w:rsidP="00C045C1">
            <w:pPr>
              <w:pStyle w:val="TableText"/>
            </w:pPr>
            <w:r>
              <w:t>Yes</w:t>
            </w:r>
          </w:p>
        </w:tc>
        <w:tc>
          <w:tcPr>
            <w:tcW w:w="1530" w:type="dxa"/>
          </w:tcPr>
          <w:p w14:paraId="3B54D1E1" w14:textId="77777777" w:rsidR="00C045C1" w:rsidRDefault="00C045C1" w:rsidP="00C045C1">
            <w:pPr>
              <w:pStyle w:val="TableText"/>
            </w:pPr>
            <w:r>
              <w:rPr>
                <w:rFonts w:eastAsia="Symbol"/>
              </w:rPr>
              <w:t>Yes</w:t>
            </w:r>
          </w:p>
        </w:tc>
      </w:tr>
      <w:tr w:rsidR="00C045C1" w14:paraId="0DF3236B" w14:textId="77777777" w:rsidTr="006F58C9">
        <w:trPr>
          <w:cantSplit/>
        </w:trPr>
        <w:tc>
          <w:tcPr>
            <w:tcW w:w="3235" w:type="dxa"/>
          </w:tcPr>
          <w:p w14:paraId="3E82DFDB" w14:textId="77777777" w:rsidR="00C045C1" w:rsidRDefault="00C045C1" w:rsidP="00C045C1">
            <w:pPr>
              <w:pStyle w:val="TableText"/>
              <w:rPr>
                <w:rFonts w:eastAsia="Symbol"/>
              </w:rPr>
            </w:pPr>
            <w:r>
              <w:t>Antigen positive unit selected</w:t>
            </w:r>
          </w:p>
        </w:tc>
        <w:tc>
          <w:tcPr>
            <w:tcW w:w="1710" w:type="dxa"/>
          </w:tcPr>
          <w:p w14:paraId="3DD2AA6D" w14:textId="77777777" w:rsidR="00C045C1" w:rsidRDefault="00C045C1" w:rsidP="00C045C1">
            <w:pPr>
              <w:pStyle w:val="TableText"/>
              <w:rPr>
                <w:rFonts w:eastAsia="Symbol"/>
              </w:rPr>
            </w:pPr>
            <w:r>
              <w:rPr>
                <w:u w:val="single"/>
              </w:rPr>
              <w:t>&gt;</w:t>
            </w:r>
            <w:r>
              <w:t xml:space="preserve"> Lead Tech</w:t>
            </w:r>
          </w:p>
        </w:tc>
        <w:tc>
          <w:tcPr>
            <w:tcW w:w="2520" w:type="dxa"/>
          </w:tcPr>
          <w:p w14:paraId="55E0F794" w14:textId="77777777" w:rsidR="00C045C1" w:rsidRDefault="00C045C1" w:rsidP="00C045C1">
            <w:pPr>
              <w:pStyle w:val="TableText"/>
              <w:rPr>
                <w:rFonts w:eastAsia="Symbol"/>
              </w:rPr>
            </w:pPr>
            <w:r>
              <w:rPr>
                <w:rFonts w:eastAsia="Symbol"/>
              </w:rPr>
              <w:t>Select Unit</w:t>
            </w:r>
          </w:p>
        </w:tc>
        <w:tc>
          <w:tcPr>
            <w:tcW w:w="1417" w:type="dxa"/>
          </w:tcPr>
          <w:p w14:paraId="3286DCC1" w14:textId="77777777" w:rsidR="00C045C1" w:rsidRDefault="00C045C1" w:rsidP="00C045C1">
            <w:pPr>
              <w:pStyle w:val="TableText"/>
              <w:rPr>
                <w:rFonts w:eastAsia="Symbol"/>
              </w:rPr>
            </w:pPr>
            <w:r>
              <w:t>No</w:t>
            </w:r>
          </w:p>
        </w:tc>
        <w:tc>
          <w:tcPr>
            <w:tcW w:w="1530" w:type="dxa"/>
          </w:tcPr>
          <w:p w14:paraId="7ACFB8D8" w14:textId="77777777" w:rsidR="00C045C1" w:rsidRDefault="00C045C1" w:rsidP="00C045C1">
            <w:pPr>
              <w:pStyle w:val="TableText"/>
              <w:rPr>
                <w:rFonts w:eastAsia="Symbol"/>
              </w:rPr>
            </w:pPr>
            <w:r>
              <w:t>Yes</w:t>
            </w:r>
          </w:p>
        </w:tc>
      </w:tr>
      <w:tr w:rsidR="006D698E" w14:paraId="562C8B31" w14:textId="77777777" w:rsidTr="006F58C9">
        <w:trPr>
          <w:cantSplit/>
        </w:trPr>
        <w:tc>
          <w:tcPr>
            <w:tcW w:w="3235" w:type="dxa"/>
          </w:tcPr>
          <w:p w14:paraId="6FDACC31" w14:textId="77777777" w:rsidR="006D698E" w:rsidRDefault="006D698E" w:rsidP="00F06C4A">
            <w:pPr>
              <w:pStyle w:val="TableText"/>
            </w:pPr>
            <w:r>
              <w:t>Antigen positive/untested units issued</w:t>
            </w:r>
          </w:p>
        </w:tc>
        <w:tc>
          <w:tcPr>
            <w:tcW w:w="1710" w:type="dxa"/>
          </w:tcPr>
          <w:p w14:paraId="37D85848" w14:textId="77777777" w:rsidR="006D698E" w:rsidRDefault="006D698E" w:rsidP="00F06C4A">
            <w:pPr>
              <w:pStyle w:val="TableText"/>
            </w:pPr>
            <w:r>
              <w:rPr>
                <w:u w:val="single"/>
              </w:rPr>
              <w:t>&gt;</w:t>
            </w:r>
            <w:r>
              <w:t xml:space="preserve"> Lead Tech</w:t>
            </w:r>
          </w:p>
        </w:tc>
        <w:tc>
          <w:tcPr>
            <w:tcW w:w="2520" w:type="dxa"/>
          </w:tcPr>
          <w:p w14:paraId="01BF8BF7" w14:textId="77777777" w:rsidR="006D698E" w:rsidRDefault="006D698E" w:rsidP="00F06C4A">
            <w:pPr>
              <w:pStyle w:val="TableText"/>
            </w:pPr>
            <w:r>
              <w:t>Issue Blood</w:t>
            </w:r>
          </w:p>
        </w:tc>
        <w:tc>
          <w:tcPr>
            <w:tcW w:w="1417" w:type="dxa"/>
          </w:tcPr>
          <w:p w14:paraId="2C6932FC" w14:textId="77777777" w:rsidR="006D698E" w:rsidRDefault="006D698E" w:rsidP="00F06C4A">
            <w:pPr>
              <w:pStyle w:val="TableText"/>
            </w:pPr>
            <w:r>
              <w:t>No</w:t>
            </w:r>
          </w:p>
        </w:tc>
        <w:tc>
          <w:tcPr>
            <w:tcW w:w="1530" w:type="dxa"/>
          </w:tcPr>
          <w:p w14:paraId="5AD5C67D" w14:textId="77777777" w:rsidR="006D698E" w:rsidRDefault="006D698E" w:rsidP="00F06C4A">
            <w:pPr>
              <w:pStyle w:val="TableText"/>
            </w:pPr>
            <w:r>
              <w:rPr>
                <w:rFonts w:eastAsia="Symbol"/>
              </w:rPr>
              <w:t>Yes</w:t>
            </w:r>
          </w:p>
        </w:tc>
      </w:tr>
      <w:tr w:rsidR="00C045C1" w14:paraId="1D52BD2A" w14:textId="77777777" w:rsidTr="006F58C9">
        <w:trPr>
          <w:cantSplit/>
        </w:trPr>
        <w:tc>
          <w:tcPr>
            <w:tcW w:w="3235" w:type="dxa"/>
          </w:tcPr>
          <w:p w14:paraId="43A2778B" w14:textId="77777777" w:rsidR="00C045C1" w:rsidRDefault="00C045C1" w:rsidP="00C045C1">
            <w:pPr>
              <w:pStyle w:val="TableText"/>
            </w:pPr>
            <w:r>
              <w:t>Antigen testing phase change</w:t>
            </w:r>
          </w:p>
        </w:tc>
        <w:tc>
          <w:tcPr>
            <w:tcW w:w="1710" w:type="dxa"/>
          </w:tcPr>
          <w:p w14:paraId="4AD0E7C3" w14:textId="77777777" w:rsidR="00C045C1" w:rsidRDefault="00C045C1" w:rsidP="00C045C1">
            <w:pPr>
              <w:pStyle w:val="TableText"/>
            </w:pPr>
            <w:r>
              <w:t>All</w:t>
            </w:r>
          </w:p>
        </w:tc>
        <w:tc>
          <w:tcPr>
            <w:tcW w:w="2520" w:type="dxa"/>
          </w:tcPr>
          <w:p w14:paraId="4B57FCA1" w14:textId="77777777" w:rsidR="00C045C1" w:rsidRDefault="00C045C1" w:rsidP="00C045C1">
            <w:pPr>
              <w:pStyle w:val="TableText"/>
            </w:pPr>
            <w:r>
              <w:t xml:space="preserve">Unit or Patient Antigen typing </w:t>
            </w:r>
          </w:p>
        </w:tc>
        <w:tc>
          <w:tcPr>
            <w:tcW w:w="1417" w:type="dxa"/>
          </w:tcPr>
          <w:p w14:paraId="09838FB2" w14:textId="77777777" w:rsidR="00C045C1" w:rsidRDefault="00C045C1" w:rsidP="00C045C1">
            <w:pPr>
              <w:pStyle w:val="TableText"/>
              <w:rPr>
                <w:rFonts w:eastAsia="Symbol"/>
              </w:rPr>
            </w:pPr>
            <w:r>
              <w:rPr>
                <w:rFonts w:eastAsia="Symbol"/>
              </w:rPr>
              <w:t>Yes (Antigen Typing)</w:t>
            </w:r>
          </w:p>
        </w:tc>
        <w:tc>
          <w:tcPr>
            <w:tcW w:w="1530" w:type="dxa"/>
          </w:tcPr>
          <w:p w14:paraId="172C6606" w14:textId="77777777" w:rsidR="00C045C1" w:rsidRDefault="00C045C1" w:rsidP="00C045C1">
            <w:pPr>
              <w:pStyle w:val="TableText"/>
              <w:rPr>
                <w:rFonts w:eastAsia="Symbol"/>
              </w:rPr>
            </w:pPr>
            <w:r>
              <w:rPr>
                <w:rFonts w:eastAsia="Symbol"/>
              </w:rPr>
              <w:t>Yes (Patient Testing: Record a Patient Antigen Typing)</w:t>
            </w:r>
          </w:p>
        </w:tc>
      </w:tr>
      <w:tr w:rsidR="00C045C1" w14:paraId="53B36E45" w14:textId="77777777" w:rsidTr="006F58C9">
        <w:trPr>
          <w:cantSplit/>
        </w:trPr>
        <w:tc>
          <w:tcPr>
            <w:tcW w:w="3235" w:type="dxa"/>
          </w:tcPr>
          <w:p w14:paraId="2607A31F" w14:textId="77777777" w:rsidR="00C045C1" w:rsidRDefault="00C045C1" w:rsidP="00C045C1">
            <w:pPr>
              <w:pStyle w:val="TableText"/>
            </w:pPr>
            <w:r>
              <w:t>Biohazardous unit issued</w:t>
            </w:r>
          </w:p>
        </w:tc>
        <w:tc>
          <w:tcPr>
            <w:tcW w:w="1710" w:type="dxa"/>
          </w:tcPr>
          <w:p w14:paraId="0E099510" w14:textId="77777777" w:rsidR="00C045C1" w:rsidRDefault="00C045C1" w:rsidP="00C045C1">
            <w:pPr>
              <w:pStyle w:val="TableText"/>
            </w:pPr>
            <w:r>
              <w:t>All</w:t>
            </w:r>
          </w:p>
        </w:tc>
        <w:tc>
          <w:tcPr>
            <w:tcW w:w="2520" w:type="dxa"/>
          </w:tcPr>
          <w:p w14:paraId="20A82E27" w14:textId="77777777" w:rsidR="00C045C1" w:rsidRDefault="00C045C1" w:rsidP="00C045C1">
            <w:pPr>
              <w:pStyle w:val="TableText"/>
            </w:pPr>
            <w:r>
              <w:t>Issue Blood</w:t>
            </w:r>
          </w:p>
        </w:tc>
        <w:tc>
          <w:tcPr>
            <w:tcW w:w="1417" w:type="dxa"/>
          </w:tcPr>
          <w:p w14:paraId="6EFF4F81" w14:textId="77777777" w:rsidR="00C045C1" w:rsidRDefault="00C045C1" w:rsidP="00C045C1">
            <w:pPr>
              <w:pStyle w:val="TableText"/>
            </w:pPr>
            <w:r>
              <w:t>No</w:t>
            </w:r>
          </w:p>
        </w:tc>
        <w:tc>
          <w:tcPr>
            <w:tcW w:w="1530" w:type="dxa"/>
          </w:tcPr>
          <w:p w14:paraId="5399F0B0" w14:textId="77777777" w:rsidR="00C045C1" w:rsidRDefault="00C045C1" w:rsidP="00C045C1">
            <w:pPr>
              <w:pStyle w:val="TableText"/>
            </w:pPr>
            <w:r>
              <w:rPr>
                <w:rFonts w:eastAsia="Symbol"/>
              </w:rPr>
              <w:t>Yes</w:t>
            </w:r>
          </w:p>
        </w:tc>
      </w:tr>
      <w:tr w:rsidR="00C045C1" w14:paraId="7F8CF5E3" w14:textId="77777777" w:rsidTr="006F58C9">
        <w:trPr>
          <w:cantSplit/>
        </w:trPr>
        <w:tc>
          <w:tcPr>
            <w:tcW w:w="3235" w:type="dxa"/>
          </w:tcPr>
          <w:p w14:paraId="259A4135" w14:textId="77777777" w:rsidR="00C045C1" w:rsidRDefault="00C045C1" w:rsidP="00C045C1">
            <w:pPr>
              <w:pStyle w:val="TableText"/>
              <w:rPr>
                <w:rFonts w:eastAsia="Symbol"/>
              </w:rPr>
            </w:pPr>
            <w:r>
              <w:t>Biohazardous unit modified</w:t>
            </w:r>
          </w:p>
        </w:tc>
        <w:tc>
          <w:tcPr>
            <w:tcW w:w="1710" w:type="dxa"/>
          </w:tcPr>
          <w:p w14:paraId="29C45690" w14:textId="77777777" w:rsidR="00C045C1" w:rsidRDefault="00C045C1" w:rsidP="00C045C1">
            <w:pPr>
              <w:pStyle w:val="TableText"/>
              <w:rPr>
                <w:rFonts w:eastAsia="Symbol"/>
              </w:rPr>
            </w:pPr>
            <w:r>
              <w:t>All</w:t>
            </w:r>
          </w:p>
        </w:tc>
        <w:tc>
          <w:tcPr>
            <w:tcW w:w="2520" w:type="dxa"/>
          </w:tcPr>
          <w:p w14:paraId="6C3990A7" w14:textId="77777777" w:rsidR="00C045C1" w:rsidRDefault="00C045C1" w:rsidP="00C045C1">
            <w:pPr>
              <w:pStyle w:val="TableText"/>
              <w:rPr>
                <w:rFonts w:eastAsia="Symbol"/>
              </w:rPr>
            </w:pPr>
            <w:r>
              <w:rPr>
                <w:rFonts w:eastAsia="Symbol"/>
              </w:rPr>
              <w:t>Modification</w:t>
            </w:r>
          </w:p>
        </w:tc>
        <w:tc>
          <w:tcPr>
            <w:tcW w:w="1417" w:type="dxa"/>
          </w:tcPr>
          <w:p w14:paraId="776F354D" w14:textId="77777777" w:rsidR="00C045C1" w:rsidRDefault="00C045C1" w:rsidP="00C045C1">
            <w:pPr>
              <w:pStyle w:val="TableText"/>
              <w:rPr>
                <w:rFonts w:eastAsia="Symbol"/>
              </w:rPr>
            </w:pPr>
            <w:r>
              <w:t>Yes</w:t>
            </w:r>
          </w:p>
        </w:tc>
        <w:tc>
          <w:tcPr>
            <w:tcW w:w="1530" w:type="dxa"/>
          </w:tcPr>
          <w:p w14:paraId="005CB4B3" w14:textId="77777777" w:rsidR="00C045C1" w:rsidRDefault="00C045C1" w:rsidP="00C045C1">
            <w:pPr>
              <w:pStyle w:val="TableText"/>
              <w:rPr>
                <w:rFonts w:eastAsia="Symbol"/>
              </w:rPr>
            </w:pPr>
            <w:r>
              <w:t>No</w:t>
            </w:r>
          </w:p>
        </w:tc>
      </w:tr>
      <w:tr w:rsidR="00C045C1" w14:paraId="4D175D2B" w14:textId="77777777" w:rsidTr="006F58C9">
        <w:trPr>
          <w:cantSplit/>
        </w:trPr>
        <w:tc>
          <w:tcPr>
            <w:tcW w:w="3235" w:type="dxa"/>
          </w:tcPr>
          <w:p w14:paraId="5DC214E1" w14:textId="77777777" w:rsidR="00C045C1" w:rsidRDefault="00C045C1" w:rsidP="00C045C1">
            <w:pPr>
              <w:pStyle w:val="TableText"/>
              <w:rPr>
                <w:rFonts w:eastAsia="Symbol"/>
              </w:rPr>
            </w:pPr>
            <w:r>
              <w:t>Biohazardous unit selected</w:t>
            </w:r>
          </w:p>
        </w:tc>
        <w:tc>
          <w:tcPr>
            <w:tcW w:w="1710" w:type="dxa"/>
          </w:tcPr>
          <w:p w14:paraId="79A7D6EC" w14:textId="77777777" w:rsidR="00C045C1" w:rsidRDefault="00C045C1" w:rsidP="00C045C1">
            <w:pPr>
              <w:pStyle w:val="TableText"/>
              <w:rPr>
                <w:rFonts w:eastAsia="Symbol"/>
              </w:rPr>
            </w:pPr>
            <w:r>
              <w:t>All</w:t>
            </w:r>
          </w:p>
        </w:tc>
        <w:tc>
          <w:tcPr>
            <w:tcW w:w="2520" w:type="dxa"/>
          </w:tcPr>
          <w:p w14:paraId="36ED1E1C" w14:textId="77777777" w:rsidR="00C045C1" w:rsidRDefault="00C045C1" w:rsidP="00C045C1">
            <w:pPr>
              <w:pStyle w:val="TableText"/>
              <w:rPr>
                <w:rFonts w:eastAsia="Symbol"/>
              </w:rPr>
            </w:pPr>
            <w:r>
              <w:rPr>
                <w:rFonts w:eastAsia="Symbol"/>
              </w:rPr>
              <w:t>Select Unit</w:t>
            </w:r>
          </w:p>
        </w:tc>
        <w:tc>
          <w:tcPr>
            <w:tcW w:w="1417" w:type="dxa"/>
          </w:tcPr>
          <w:p w14:paraId="41A8F41C" w14:textId="77777777" w:rsidR="00C045C1" w:rsidRDefault="00C045C1" w:rsidP="00C045C1">
            <w:pPr>
              <w:pStyle w:val="TableText"/>
              <w:rPr>
                <w:rFonts w:eastAsia="Symbol"/>
              </w:rPr>
            </w:pPr>
            <w:r>
              <w:t>No</w:t>
            </w:r>
          </w:p>
        </w:tc>
        <w:tc>
          <w:tcPr>
            <w:tcW w:w="1530" w:type="dxa"/>
          </w:tcPr>
          <w:p w14:paraId="09A9AB25" w14:textId="77777777" w:rsidR="00C045C1" w:rsidRDefault="00C045C1" w:rsidP="00C045C1">
            <w:pPr>
              <w:pStyle w:val="TableText"/>
              <w:rPr>
                <w:rFonts w:eastAsia="Symbol"/>
              </w:rPr>
            </w:pPr>
            <w:r>
              <w:rPr>
                <w:rFonts w:eastAsia="Symbol"/>
              </w:rPr>
              <w:t>Yes</w:t>
            </w:r>
          </w:p>
        </w:tc>
      </w:tr>
      <w:tr w:rsidR="00C045C1" w14:paraId="4C3E7695" w14:textId="77777777" w:rsidTr="006F58C9">
        <w:trPr>
          <w:cantSplit/>
        </w:trPr>
        <w:tc>
          <w:tcPr>
            <w:tcW w:w="3235" w:type="dxa"/>
          </w:tcPr>
          <w:p w14:paraId="145E1357" w14:textId="77777777" w:rsidR="00C045C1" w:rsidRDefault="00C045C1" w:rsidP="00C045C1">
            <w:pPr>
              <w:pStyle w:val="TableText"/>
            </w:pPr>
            <w:r>
              <w:t>Caution Tag or Blood Transfusion Record Form printed for antigen positive or untested unit</w:t>
            </w:r>
          </w:p>
        </w:tc>
        <w:tc>
          <w:tcPr>
            <w:tcW w:w="1710" w:type="dxa"/>
          </w:tcPr>
          <w:p w14:paraId="7818A67A" w14:textId="77777777" w:rsidR="00C045C1" w:rsidRDefault="00C045C1" w:rsidP="00C045C1">
            <w:pPr>
              <w:pStyle w:val="TableText"/>
            </w:pPr>
            <w:r>
              <w:rPr>
                <w:u w:val="single"/>
              </w:rPr>
              <w:t>&gt;</w:t>
            </w:r>
            <w:r>
              <w:t xml:space="preserve"> Lead Tech</w:t>
            </w:r>
          </w:p>
        </w:tc>
        <w:tc>
          <w:tcPr>
            <w:tcW w:w="2520" w:type="dxa"/>
          </w:tcPr>
          <w:p w14:paraId="64B78729" w14:textId="77777777" w:rsidR="00C045C1" w:rsidRDefault="00C045C1" w:rsidP="00C045C1">
            <w:pPr>
              <w:pStyle w:val="TableText"/>
            </w:pPr>
          </w:p>
        </w:tc>
        <w:tc>
          <w:tcPr>
            <w:tcW w:w="1417" w:type="dxa"/>
          </w:tcPr>
          <w:p w14:paraId="6FC91F03" w14:textId="77777777" w:rsidR="00C045C1" w:rsidRDefault="00C045C1" w:rsidP="00C045C1">
            <w:pPr>
              <w:pStyle w:val="TableText"/>
              <w:rPr>
                <w:rFonts w:eastAsia="Symbol"/>
              </w:rPr>
            </w:pPr>
            <w:r>
              <w:t>No</w:t>
            </w:r>
          </w:p>
        </w:tc>
        <w:tc>
          <w:tcPr>
            <w:tcW w:w="1530" w:type="dxa"/>
          </w:tcPr>
          <w:p w14:paraId="11B79E3E" w14:textId="77777777" w:rsidR="00C045C1" w:rsidRDefault="00C045C1" w:rsidP="00C045C1">
            <w:pPr>
              <w:pStyle w:val="TableText"/>
              <w:rPr>
                <w:rFonts w:eastAsia="Symbol"/>
              </w:rPr>
            </w:pPr>
            <w:r>
              <w:rPr>
                <w:rFonts w:eastAsia="Symbol"/>
              </w:rPr>
              <w:t>Yes</w:t>
            </w:r>
          </w:p>
        </w:tc>
      </w:tr>
      <w:tr w:rsidR="00C045C1" w14:paraId="7F44F28C" w14:textId="77777777" w:rsidTr="006F58C9">
        <w:trPr>
          <w:cantSplit/>
        </w:trPr>
        <w:tc>
          <w:tcPr>
            <w:tcW w:w="3235" w:type="dxa"/>
          </w:tcPr>
          <w:p w14:paraId="1358059A" w14:textId="77777777" w:rsidR="00C045C1" w:rsidRDefault="00C045C1" w:rsidP="00C045C1">
            <w:pPr>
              <w:pStyle w:val="TableText"/>
            </w:pPr>
            <w:r>
              <w:t>Caution Tag or Blood Transfusion Record Form printed on expired specimen</w:t>
            </w:r>
          </w:p>
        </w:tc>
        <w:tc>
          <w:tcPr>
            <w:tcW w:w="1710" w:type="dxa"/>
          </w:tcPr>
          <w:p w14:paraId="32DBA5C2" w14:textId="77777777" w:rsidR="00C045C1" w:rsidRDefault="00C045C1" w:rsidP="00C045C1">
            <w:pPr>
              <w:pStyle w:val="TableText"/>
            </w:pPr>
            <w:r>
              <w:rPr>
                <w:u w:val="single"/>
              </w:rPr>
              <w:t>&gt;</w:t>
            </w:r>
            <w:r>
              <w:t xml:space="preserve"> Enhanced Tech</w:t>
            </w:r>
          </w:p>
        </w:tc>
        <w:tc>
          <w:tcPr>
            <w:tcW w:w="2520" w:type="dxa"/>
          </w:tcPr>
          <w:p w14:paraId="2F72E1E3" w14:textId="77777777" w:rsidR="00C045C1" w:rsidRDefault="00C045C1" w:rsidP="00C045C1">
            <w:pPr>
              <w:pStyle w:val="TableText"/>
            </w:pPr>
          </w:p>
        </w:tc>
        <w:tc>
          <w:tcPr>
            <w:tcW w:w="1417" w:type="dxa"/>
          </w:tcPr>
          <w:p w14:paraId="65509635" w14:textId="77777777" w:rsidR="00C045C1" w:rsidRDefault="00C045C1" w:rsidP="00C045C1">
            <w:pPr>
              <w:pStyle w:val="TableText"/>
              <w:rPr>
                <w:rFonts w:eastAsia="Symbol"/>
              </w:rPr>
            </w:pPr>
            <w:r>
              <w:t>No</w:t>
            </w:r>
          </w:p>
        </w:tc>
        <w:tc>
          <w:tcPr>
            <w:tcW w:w="1530" w:type="dxa"/>
          </w:tcPr>
          <w:p w14:paraId="5F9F59CD" w14:textId="77777777" w:rsidR="00C045C1" w:rsidRDefault="00C045C1" w:rsidP="00C045C1">
            <w:pPr>
              <w:pStyle w:val="TableText"/>
              <w:rPr>
                <w:rFonts w:eastAsia="Symbol"/>
              </w:rPr>
            </w:pPr>
            <w:r>
              <w:rPr>
                <w:rFonts w:eastAsia="Symbol"/>
              </w:rPr>
              <w:t>Yes</w:t>
            </w:r>
          </w:p>
        </w:tc>
      </w:tr>
      <w:tr w:rsidR="00C045C1" w14:paraId="203A1619" w14:textId="77777777" w:rsidTr="006F58C9">
        <w:trPr>
          <w:cantSplit/>
        </w:trPr>
        <w:tc>
          <w:tcPr>
            <w:tcW w:w="3235" w:type="dxa"/>
          </w:tcPr>
          <w:p w14:paraId="1319E657" w14:textId="77777777" w:rsidR="00C045C1" w:rsidRDefault="00C045C1" w:rsidP="00C045C1">
            <w:pPr>
              <w:pStyle w:val="TableText"/>
            </w:pPr>
            <w:r>
              <w:t>Caution Tag or Blood Transfusion Record Form printed on expired unit</w:t>
            </w:r>
          </w:p>
        </w:tc>
        <w:tc>
          <w:tcPr>
            <w:tcW w:w="1710" w:type="dxa"/>
          </w:tcPr>
          <w:p w14:paraId="63A64649" w14:textId="77777777" w:rsidR="00C045C1" w:rsidRDefault="00C045C1" w:rsidP="00C045C1">
            <w:pPr>
              <w:pStyle w:val="TableText"/>
            </w:pPr>
            <w:r>
              <w:rPr>
                <w:u w:val="single"/>
              </w:rPr>
              <w:t>&gt;</w:t>
            </w:r>
            <w:r>
              <w:t xml:space="preserve"> Enhanced Tech</w:t>
            </w:r>
          </w:p>
        </w:tc>
        <w:tc>
          <w:tcPr>
            <w:tcW w:w="2520" w:type="dxa"/>
          </w:tcPr>
          <w:p w14:paraId="7CE33E93" w14:textId="77777777" w:rsidR="00C045C1" w:rsidRDefault="00C045C1" w:rsidP="00C045C1">
            <w:pPr>
              <w:pStyle w:val="TableText"/>
            </w:pPr>
          </w:p>
        </w:tc>
        <w:tc>
          <w:tcPr>
            <w:tcW w:w="1417" w:type="dxa"/>
          </w:tcPr>
          <w:p w14:paraId="34E4885C" w14:textId="77777777" w:rsidR="00C045C1" w:rsidRDefault="00C045C1" w:rsidP="00C045C1">
            <w:pPr>
              <w:pStyle w:val="TableText"/>
              <w:rPr>
                <w:rFonts w:eastAsia="Symbol"/>
              </w:rPr>
            </w:pPr>
            <w:r>
              <w:t>No</w:t>
            </w:r>
          </w:p>
        </w:tc>
        <w:tc>
          <w:tcPr>
            <w:tcW w:w="1530" w:type="dxa"/>
          </w:tcPr>
          <w:p w14:paraId="3E500E1C" w14:textId="77777777" w:rsidR="00C045C1" w:rsidRDefault="00C045C1" w:rsidP="00C045C1">
            <w:pPr>
              <w:pStyle w:val="TableText"/>
              <w:rPr>
                <w:rFonts w:eastAsia="Symbol"/>
              </w:rPr>
            </w:pPr>
            <w:r>
              <w:rPr>
                <w:rFonts w:eastAsia="Symbol"/>
              </w:rPr>
              <w:t>Yes</w:t>
            </w:r>
          </w:p>
        </w:tc>
      </w:tr>
      <w:tr w:rsidR="00C045C1" w14:paraId="3372F2CC" w14:textId="77777777" w:rsidTr="006F58C9">
        <w:trPr>
          <w:cantSplit/>
        </w:trPr>
        <w:tc>
          <w:tcPr>
            <w:tcW w:w="3235" w:type="dxa"/>
          </w:tcPr>
          <w:p w14:paraId="6F6E9352" w14:textId="77777777" w:rsidR="00C045C1" w:rsidRDefault="00C045C1" w:rsidP="00C045C1">
            <w:pPr>
              <w:pStyle w:val="TableText"/>
            </w:pPr>
            <w:r>
              <w:t>Caution Tag or Blood Transfusion Record Form printed with unsatisfied Transfusion Requirement</w:t>
            </w:r>
          </w:p>
        </w:tc>
        <w:tc>
          <w:tcPr>
            <w:tcW w:w="1710" w:type="dxa"/>
          </w:tcPr>
          <w:p w14:paraId="0016B39E" w14:textId="77777777" w:rsidR="00C045C1" w:rsidRDefault="00C045C1" w:rsidP="00C045C1">
            <w:pPr>
              <w:pStyle w:val="TableText"/>
            </w:pPr>
            <w:r>
              <w:rPr>
                <w:u w:val="single"/>
              </w:rPr>
              <w:t>&gt;</w:t>
            </w:r>
            <w:r>
              <w:t xml:space="preserve"> Lead Tech</w:t>
            </w:r>
          </w:p>
        </w:tc>
        <w:tc>
          <w:tcPr>
            <w:tcW w:w="2520" w:type="dxa"/>
          </w:tcPr>
          <w:p w14:paraId="01F56D93" w14:textId="77777777" w:rsidR="00C045C1" w:rsidRDefault="00C045C1" w:rsidP="00C045C1">
            <w:pPr>
              <w:pStyle w:val="TableText"/>
            </w:pPr>
          </w:p>
        </w:tc>
        <w:tc>
          <w:tcPr>
            <w:tcW w:w="1417" w:type="dxa"/>
          </w:tcPr>
          <w:p w14:paraId="3F794438" w14:textId="77777777" w:rsidR="00C045C1" w:rsidRDefault="00C045C1" w:rsidP="00C045C1">
            <w:pPr>
              <w:pStyle w:val="TableText"/>
              <w:rPr>
                <w:rFonts w:eastAsia="Symbol"/>
              </w:rPr>
            </w:pPr>
            <w:r>
              <w:t>No</w:t>
            </w:r>
          </w:p>
        </w:tc>
        <w:tc>
          <w:tcPr>
            <w:tcW w:w="1530" w:type="dxa"/>
          </w:tcPr>
          <w:p w14:paraId="2A3AF919" w14:textId="77777777" w:rsidR="00C045C1" w:rsidRDefault="00C045C1" w:rsidP="00C045C1">
            <w:pPr>
              <w:pStyle w:val="TableText"/>
              <w:rPr>
                <w:rFonts w:eastAsia="Symbol"/>
              </w:rPr>
            </w:pPr>
            <w:r>
              <w:rPr>
                <w:rFonts w:eastAsia="Symbol"/>
              </w:rPr>
              <w:t>Yes</w:t>
            </w:r>
          </w:p>
        </w:tc>
      </w:tr>
      <w:tr w:rsidR="00C045C1" w14:paraId="6DA36C60" w14:textId="77777777" w:rsidTr="006F58C9">
        <w:trPr>
          <w:cantSplit/>
        </w:trPr>
        <w:tc>
          <w:tcPr>
            <w:tcW w:w="3235" w:type="dxa"/>
          </w:tcPr>
          <w:p w14:paraId="5BD95739" w14:textId="77777777" w:rsidR="00C045C1" w:rsidRDefault="00C045C1" w:rsidP="00C045C1">
            <w:pPr>
              <w:pStyle w:val="TableText"/>
              <w:rPr>
                <w:rFonts w:eastAsia="Symbol"/>
              </w:rPr>
            </w:pPr>
            <w:r>
              <w:t>Crossmatch incompatible: Give only with MD approval</w:t>
            </w:r>
          </w:p>
        </w:tc>
        <w:tc>
          <w:tcPr>
            <w:tcW w:w="1710" w:type="dxa"/>
          </w:tcPr>
          <w:p w14:paraId="3BF3FAC0" w14:textId="77777777" w:rsidR="00C045C1" w:rsidRDefault="00C045C1" w:rsidP="00C045C1">
            <w:pPr>
              <w:pStyle w:val="TableText"/>
              <w:rPr>
                <w:rFonts w:eastAsia="Symbol"/>
              </w:rPr>
            </w:pPr>
            <w:r>
              <w:t>All</w:t>
            </w:r>
          </w:p>
        </w:tc>
        <w:tc>
          <w:tcPr>
            <w:tcW w:w="2520" w:type="dxa"/>
          </w:tcPr>
          <w:p w14:paraId="19E777D0" w14:textId="77777777" w:rsidR="00C045C1" w:rsidRDefault="00C045C1" w:rsidP="00C045C1">
            <w:pPr>
              <w:pStyle w:val="TableText"/>
              <w:rPr>
                <w:rFonts w:eastAsia="Symbol"/>
              </w:rPr>
            </w:pPr>
          </w:p>
        </w:tc>
        <w:tc>
          <w:tcPr>
            <w:tcW w:w="1417" w:type="dxa"/>
          </w:tcPr>
          <w:p w14:paraId="5FEC14CB" w14:textId="77777777" w:rsidR="00C045C1" w:rsidRDefault="00C045C1" w:rsidP="00C045C1">
            <w:pPr>
              <w:pStyle w:val="TableText"/>
              <w:rPr>
                <w:rFonts w:eastAsia="Symbol"/>
              </w:rPr>
            </w:pPr>
            <w:r>
              <w:t>No</w:t>
            </w:r>
          </w:p>
        </w:tc>
        <w:tc>
          <w:tcPr>
            <w:tcW w:w="1530" w:type="dxa"/>
          </w:tcPr>
          <w:p w14:paraId="7EE68C5B" w14:textId="77777777" w:rsidR="00C045C1" w:rsidRDefault="00C045C1" w:rsidP="00C045C1">
            <w:pPr>
              <w:pStyle w:val="TableText"/>
              <w:rPr>
                <w:rFonts w:eastAsia="Symbol"/>
              </w:rPr>
            </w:pPr>
            <w:r>
              <w:rPr>
                <w:rFonts w:eastAsia="Symbol"/>
              </w:rPr>
              <w:t>Yes</w:t>
            </w:r>
          </w:p>
        </w:tc>
      </w:tr>
      <w:tr w:rsidR="00C045C1" w14:paraId="609CB903" w14:textId="77777777" w:rsidTr="006F58C9">
        <w:trPr>
          <w:cantSplit/>
        </w:trPr>
        <w:tc>
          <w:tcPr>
            <w:tcW w:w="3235" w:type="dxa"/>
          </w:tcPr>
          <w:p w14:paraId="31819FAE" w14:textId="77777777" w:rsidR="00C045C1" w:rsidRDefault="00C045C1" w:rsidP="00C045C1">
            <w:pPr>
              <w:pStyle w:val="TableText"/>
            </w:pPr>
            <w:r>
              <w:t>Deletion of partially completed QC</w:t>
            </w:r>
          </w:p>
        </w:tc>
        <w:tc>
          <w:tcPr>
            <w:tcW w:w="1710" w:type="dxa"/>
          </w:tcPr>
          <w:p w14:paraId="54D792FA" w14:textId="77777777" w:rsidR="00C045C1" w:rsidRDefault="00C045C1" w:rsidP="00C045C1">
            <w:pPr>
              <w:pStyle w:val="TableText"/>
            </w:pPr>
            <w:r>
              <w:t>All</w:t>
            </w:r>
          </w:p>
        </w:tc>
        <w:tc>
          <w:tcPr>
            <w:tcW w:w="2520" w:type="dxa"/>
          </w:tcPr>
          <w:p w14:paraId="6D2E6692" w14:textId="77777777" w:rsidR="00C045C1" w:rsidRDefault="00C045C1" w:rsidP="00C045C1">
            <w:pPr>
              <w:pStyle w:val="TableText"/>
            </w:pPr>
            <w:r>
              <w:t>Enter Daily QC</w:t>
            </w:r>
          </w:p>
        </w:tc>
        <w:tc>
          <w:tcPr>
            <w:tcW w:w="1417" w:type="dxa"/>
          </w:tcPr>
          <w:p w14:paraId="2821E281" w14:textId="77777777" w:rsidR="00C045C1" w:rsidRDefault="00C045C1" w:rsidP="00C045C1">
            <w:pPr>
              <w:pStyle w:val="TableText"/>
            </w:pPr>
            <w:r>
              <w:t>No</w:t>
            </w:r>
          </w:p>
        </w:tc>
        <w:tc>
          <w:tcPr>
            <w:tcW w:w="1530" w:type="dxa"/>
          </w:tcPr>
          <w:p w14:paraId="36FB4542" w14:textId="77777777" w:rsidR="00C045C1" w:rsidRDefault="00C045C1" w:rsidP="00C045C1">
            <w:pPr>
              <w:pStyle w:val="TableText"/>
            </w:pPr>
            <w:r>
              <w:t>No</w:t>
            </w:r>
          </w:p>
        </w:tc>
      </w:tr>
      <w:tr w:rsidR="00C045C1" w14:paraId="0E0AA802" w14:textId="77777777" w:rsidTr="006F58C9">
        <w:trPr>
          <w:cantSplit/>
        </w:trPr>
        <w:tc>
          <w:tcPr>
            <w:tcW w:w="3235" w:type="dxa"/>
          </w:tcPr>
          <w:p w14:paraId="77727F3A" w14:textId="77777777" w:rsidR="00C045C1" w:rsidRDefault="00C045C1" w:rsidP="00C045C1">
            <w:pPr>
              <w:pStyle w:val="TableText"/>
              <w:rPr>
                <w:rFonts w:eastAsia="Symbol"/>
              </w:rPr>
            </w:pPr>
            <w:r>
              <w:t>Discrepant ABO/Rh override</w:t>
            </w:r>
          </w:p>
        </w:tc>
        <w:tc>
          <w:tcPr>
            <w:tcW w:w="1710" w:type="dxa"/>
          </w:tcPr>
          <w:p w14:paraId="7E87DDC9" w14:textId="77777777" w:rsidR="00C045C1" w:rsidRDefault="00C045C1" w:rsidP="00C045C1">
            <w:pPr>
              <w:pStyle w:val="TableText"/>
              <w:rPr>
                <w:rFonts w:eastAsia="Symbol"/>
              </w:rPr>
            </w:pPr>
            <w:r>
              <w:rPr>
                <w:u w:val="single"/>
              </w:rPr>
              <w:t>&gt;</w:t>
            </w:r>
            <w:r>
              <w:t xml:space="preserve"> Enhanced Tech</w:t>
            </w:r>
          </w:p>
        </w:tc>
        <w:tc>
          <w:tcPr>
            <w:tcW w:w="2520" w:type="dxa"/>
          </w:tcPr>
          <w:p w14:paraId="3D5462D4" w14:textId="77777777" w:rsidR="00C045C1" w:rsidRDefault="00C045C1" w:rsidP="00C045C1">
            <w:pPr>
              <w:pStyle w:val="TableText"/>
              <w:rPr>
                <w:rFonts w:eastAsia="Symbol"/>
              </w:rPr>
            </w:pPr>
            <w:r>
              <w:rPr>
                <w:rFonts w:eastAsia="Symbol"/>
              </w:rPr>
              <w:t>Patient Testing</w:t>
            </w:r>
          </w:p>
        </w:tc>
        <w:tc>
          <w:tcPr>
            <w:tcW w:w="1417" w:type="dxa"/>
          </w:tcPr>
          <w:p w14:paraId="69602DC3" w14:textId="77777777" w:rsidR="00C045C1" w:rsidRDefault="00C045C1" w:rsidP="00C045C1">
            <w:pPr>
              <w:pStyle w:val="TableText"/>
              <w:rPr>
                <w:rFonts w:eastAsia="Symbol"/>
              </w:rPr>
            </w:pPr>
            <w:r>
              <w:t>No</w:t>
            </w:r>
          </w:p>
        </w:tc>
        <w:tc>
          <w:tcPr>
            <w:tcW w:w="1530" w:type="dxa"/>
          </w:tcPr>
          <w:p w14:paraId="29C88E5F" w14:textId="77777777" w:rsidR="00C045C1" w:rsidRDefault="00C045C1" w:rsidP="00C045C1">
            <w:pPr>
              <w:pStyle w:val="TableText"/>
              <w:rPr>
                <w:rFonts w:eastAsia="Symbol"/>
              </w:rPr>
            </w:pPr>
            <w:r>
              <w:rPr>
                <w:rFonts w:eastAsia="Symbol"/>
              </w:rPr>
              <w:t>Yes</w:t>
            </w:r>
          </w:p>
        </w:tc>
      </w:tr>
      <w:tr w:rsidR="00C045C1" w14:paraId="16F853F3" w14:textId="77777777" w:rsidTr="006F58C9">
        <w:trPr>
          <w:cantSplit/>
        </w:trPr>
        <w:tc>
          <w:tcPr>
            <w:tcW w:w="3235" w:type="dxa"/>
          </w:tcPr>
          <w:p w14:paraId="49DC11DE" w14:textId="77777777" w:rsidR="00C045C1" w:rsidRDefault="00C045C1" w:rsidP="00C045C1">
            <w:pPr>
              <w:pStyle w:val="TableText"/>
              <w:rPr>
                <w:rFonts w:eastAsia="Symbol"/>
              </w:rPr>
            </w:pPr>
            <w:r>
              <w:t>Discrepant patient antigen typing</w:t>
            </w:r>
          </w:p>
        </w:tc>
        <w:tc>
          <w:tcPr>
            <w:tcW w:w="1710" w:type="dxa"/>
          </w:tcPr>
          <w:p w14:paraId="1AA653E2" w14:textId="77777777" w:rsidR="00C045C1" w:rsidRDefault="00C045C1" w:rsidP="00C045C1">
            <w:pPr>
              <w:pStyle w:val="TableText"/>
              <w:rPr>
                <w:rFonts w:eastAsia="Symbol"/>
              </w:rPr>
            </w:pPr>
            <w:r>
              <w:t>All</w:t>
            </w:r>
          </w:p>
        </w:tc>
        <w:tc>
          <w:tcPr>
            <w:tcW w:w="2520" w:type="dxa"/>
          </w:tcPr>
          <w:p w14:paraId="79ECBD98" w14:textId="77777777" w:rsidR="00C045C1" w:rsidRDefault="00C045C1" w:rsidP="00C045C1">
            <w:pPr>
              <w:pStyle w:val="TableText"/>
              <w:rPr>
                <w:rFonts w:eastAsia="Symbol"/>
              </w:rPr>
            </w:pPr>
            <w:r>
              <w:rPr>
                <w:rFonts w:eastAsia="Symbol"/>
              </w:rPr>
              <w:t>Patient Testing</w:t>
            </w:r>
          </w:p>
        </w:tc>
        <w:tc>
          <w:tcPr>
            <w:tcW w:w="1417" w:type="dxa"/>
          </w:tcPr>
          <w:p w14:paraId="0A326EC7" w14:textId="77777777" w:rsidR="00C045C1" w:rsidRDefault="00C045C1" w:rsidP="00C045C1">
            <w:pPr>
              <w:pStyle w:val="TableText"/>
              <w:rPr>
                <w:rFonts w:eastAsia="Symbol"/>
              </w:rPr>
            </w:pPr>
            <w:r>
              <w:t>No</w:t>
            </w:r>
          </w:p>
        </w:tc>
        <w:tc>
          <w:tcPr>
            <w:tcW w:w="1530" w:type="dxa"/>
          </w:tcPr>
          <w:p w14:paraId="4BD073D3" w14:textId="77777777" w:rsidR="00C045C1" w:rsidRDefault="00C045C1" w:rsidP="00C045C1">
            <w:pPr>
              <w:pStyle w:val="TableText"/>
              <w:rPr>
                <w:rFonts w:eastAsia="Symbol"/>
              </w:rPr>
            </w:pPr>
            <w:r>
              <w:rPr>
                <w:rFonts w:eastAsia="Symbol"/>
              </w:rPr>
              <w:t>Yes</w:t>
            </w:r>
          </w:p>
        </w:tc>
      </w:tr>
      <w:tr w:rsidR="008A701E" w14:paraId="433E85B8" w14:textId="77777777" w:rsidTr="006F58C9">
        <w:trPr>
          <w:cantSplit/>
        </w:trPr>
        <w:tc>
          <w:tcPr>
            <w:tcW w:w="3235" w:type="dxa"/>
          </w:tcPr>
          <w:p w14:paraId="4FB95324" w14:textId="77777777" w:rsidR="008A701E" w:rsidRDefault="008A701E" w:rsidP="00C045C1">
            <w:pPr>
              <w:pStyle w:val="TableText"/>
            </w:pPr>
            <w:r>
              <w:t>Electronic Transfusion Record Update</w:t>
            </w:r>
          </w:p>
        </w:tc>
        <w:tc>
          <w:tcPr>
            <w:tcW w:w="1710" w:type="dxa"/>
          </w:tcPr>
          <w:p w14:paraId="13B758F5" w14:textId="77777777" w:rsidR="008A701E" w:rsidRDefault="008A701E" w:rsidP="00C045C1">
            <w:pPr>
              <w:pStyle w:val="TableText"/>
            </w:pPr>
            <w:r>
              <w:t>BCE COTS system</w:t>
            </w:r>
          </w:p>
        </w:tc>
        <w:tc>
          <w:tcPr>
            <w:tcW w:w="2520" w:type="dxa"/>
          </w:tcPr>
          <w:p w14:paraId="7BDC706A" w14:textId="77777777" w:rsidR="008A701E" w:rsidRDefault="008A701E" w:rsidP="00C045C1">
            <w:pPr>
              <w:pStyle w:val="TableText"/>
            </w:pPr>
            <w:r>
              <w:t>Post –Transfusion Information</w:t>
            </w:r>
          </w:p>
        </w:tc>
        <w:tc>
          <w:tcPr>
            <w:tcW w:w="1417" w:type="dxa"/>
          </w:tcPr>
          <w:p w14:paraId="52D1824D" w14:textId="77777777" w:rsidR="008A701E" w:rsidRDefault="008A701E" w:rsidP="00C045C1">
            <w:pPr>
              <w:pStyle w:val="TableText"/>
            </w:pPr>
            <w:r>
              <w:t>No</w:t>
            </w:r>
          </w:p>
        </w:tc>
        <w:tc>
          <w:tcPr>
            <w:tcW w:w="1530" w:type="dxa"/>
          </w:tcPr>
          <w:p w14:paraId="4A809E1C" w14:textId="77777777" w:rsidR="008A701E" w:rsidRDefault="008A701E" w:rsidP="00C045C1">
            <w:pPr>
              <w:pStyle w:val="TableText"/>
              <w:rPr>
                <w:rFonts w:eastAsia="Symbol"/>
              </w:rPr>
            </w:pPr>
            <w:r>
              <w:rPr>
                <w:rFonts w:eastAsia="Symbol"/>
              </w:rPr>
              <w:t>No</w:t>
            </w:r>
          </w:p>
        </w:tc>
      </w:tr>
      <w:tr w:rsidR="00C045C1" w14:paraId="0B74C2FB" w14:textId="77777777" w:rsidTr="006F58C9">
        <w:trPr>
          <w:cantSplit/>
        </w:trPr>
        <w:tc>
          <w:tcPr>
            <w:tcW w:w="3235" w:type="dxa"/>
          </w:tcPr>
          <w:p w14:paraId="509CACC0" w14:textId="77777777" w:rsidR="00C045C1" w:rsidRDefault="00C045C1" w:rsidP="00C045C1">
            <w:pPr>
              <w:pStyle w:val="TableText"/>
            </w:pPr>
            <w:r>
              <w:t>Emergency issue request (no specimen)</w:t>
            </w:r>
          </w:p>
        </w:tc>
        <w:tc>
          <w:tcPr>
            <w:tcW w:w="1710" w:type="dxa"/>
          </w:tcPr>
          <w:p w14:paraId="259C117A" w14:textId="77777777" w:rsidR="00C045C1" w:rsidRDefault="00C045C1" w:rsidP="00C045C1">
            <w:pPr>
              <w:pStyle w:val="TableText"/>
            </w:pPr>
            <w:r>
              <w:t>All</w:t>
            </w:r>
          </w:p>
        </w:tc>
        <w:tc>
          <w:tcPr>
            <w:tcW w:w="2520" w:type="dxa"/>
          </w:tcPr>
          <w:p w14:paraId="6F5732FC" w14:textId="77777777" w:rsidR="00C045C1" w:rsidRDefault="00C045C1" w:rsidP="00C045C1">
            <w:pPr>
              <w:pStyle w:val="TableText"/>
            </w:pPr>
            <w:r>
              <w:t>Accept Order</w:t>
            </w:r>
          </w:p>
        </w:tc>
        <w:tc>
          <w:tcPr>
            <w:tcW w:w="1417" w:type="dxa"/>
          </w:tcPr>
          <w:p w14:paraId="7F4BDA30" w14:textId="77777777" w:rsidR="00C045C1" w:rsidRDefault="00C045C1" w:rsidP="00C045C1">
            <w:pPr>
              <w:pStyle w:val="TableText"/>
              <w:rPr>
                <w:rFonts w:eastAsia="Symbol"/>
              </w:rPr>
            </w:pPr>
            <w:r>
              <w:t>No</w:t>
            </w:r>
          </w:p>
        </w:tc>
        <w:tc>
          <w:tcPr>
            <w:tcW w:w="1530" w:type="dxa"/>
          </w:tcPr>
          <w:p w14:paraId="1BFE7254" w14:textId="77777777" w:rsidR="00C045C1" w:rsidRDefault="00C045C1" w:rsidP="00C045C1">
            <w:pPr>
              <w:pStyle w:val="TableText"/>
              <w:rPr>
                <w:rFonts w:eastAsia="Symbol"/>
              </w:rPr>
            </w:pPr>
            <w:r>
              <w:rPr>
                <w:rFonts w:eastAsia="Symbol"/>
              </w:rPr>
              <w:t>Yes</w:t>
            </w:r>
          </w:p>
        </w:tc>
      </w:tr>
      <w:tr w:rsidR="00C045C1" w14:paraId="2FA31B18" w14:textId="77777777" w:rsidTr="006F58C9">
        <w:trPr>
          <w:cantSplit/>
        </w:trPr>
        <w:tc>
          <w:tcPr>
            <w:tcW w:w="3235" w:type="dxa"/>
          </w:tcPr>
          <w:p w14:paraId="1968CF15" w14:textId="77777777" w:rsidR="00C045C1" w:rsidRDefault="00C045C1" w:rsidP="00C045C1">
            <w:pPr>
              <w:pStyle w:val="TableText"/>
            </w:pPr>
            <w:r>
              <w:t>Emergency issue, require testing incomplete</w:t>
            </w:r>
          </w:p>
        </w:tc>
        <w:tc>
          <w:tcPr>
            <w:tcW w:w="1710" w:type="dxa"/>
          </w:tcPr>
          <w:p w14:paraId="64DD1F6F" w14:textId="77777777" w:rsidR="00C045C1" w:rsidRDefault="00C045C1" w:rsidP="00C045C1">
            <w:pPr>
              <w:pStyle w:val="TableText"/>
            </w:pPr>
            <w:r>
              <w:t>All</w:t>
            </w:r>
          </w:p>
        </w:tc>
        <w:tc>
          <w:tcPr>
            <w:tcW w:w="2520" w:type="dxa"/>
          </w:tcPr>
          <w:p w14:paraId="120BD81E" w14:textId="77777777" w:rsidR="00C045C1" w:rsidRDefault="00C045C1" w:rsidP="00C045C1">
            <w:pPr>
              <w:pStyle w:val="TableText"/>
            </w:pPr>
            <w:r>
              <w:t>Patient Testing</w:t>
            </w:r>
          </w:p>
        </w:tc>
        <w:tc>
          <w:tcPr>
            <w:tcW w:w="1417" w:type="dxa"/>
          </w:tcPr>
          <w:p w14:paraId="6B6EB4DD" w14:textId="77777777" w:rsidR="00C045C1" w:rsidRDefault="00C045C1" w:rsidP="00C045C1">
            <w:pPr>
              <w:pStyle w:val="TableText"/>
            </w:pPr>
            <w:r>
              <w:t>No</w:t>
            </w:r>
          </w:p>
        </w:tc>
        <w:tc>
          <w:tcPr>
            <w:tcW w:w="1530" w:type="dxa"/>
          </w:tcPr>
          <w:p w14:paraId="111D6472" w14:textId="77777777" w:rsidR="00C045C1" w:rsidRDefault="00C045C1" w:rsidP="00C045C1">
            <w:pPr>
              <w:pStyle w:val="TableText"/>
            </w:pPr>
            <w:r>
              <w:rPr>
                <w:rFonts w:eastAsia="Symbol"/>
              </w:rPr>
              <w:t>Yes</w:t>
            </w:r>
          </w:p>
        </w:tc>
      </w:tr>
      <w:tr w:rsidR="00C045C1" w14:paraId="02BC16F5" w14:textId="77777777" w:rsidTr="006F58C9">
        <w:trPr>
          <w:cantSplit/>
        </w:trPr>
        <w:tc>
          <w:tcPr>
            <w:tcW w:w="3235" w:type="dxa"/>
          </w:tcPr>
          <w:p w14:paraId="1F532B9B" w14:textId="77777777" w:rsidR="00C045C1" w:rsidRDefault="00C045C1" w:rsidP="00C045C1">
            <w:pPr>
              <w:pStyle w:val="TableText"/>
              <w:rPr>
                <w:rFonts w:eastAsia="Symbol"/>
              </w:rPr>
            </w:pPr>
            <w:r>
              <w:t>Expired antisera used</w:t>
            </w:r>
          </w:p>
        </w:tc>
        <w:tc>
          <w:tcPr>
            <w:tcW w:w="1710" w:type="dxa"/>
          </w:tcPr>
          <w:p w14:paraId="54BCA283" w14:textId="77777777" w:rsidR="00C045C1" w:rsidRDefault="00C045C1" w:rsidP="00C045C1">
            <w:pPr>
              <w:pStyle w:val="TableText"/>
              <w:rPr>
                <w:rFonts w:eastAsia="Symbol"/>
              </w:rPr>
            </w:pPr>
            <w:r>
              <w:t>All</w:t>
            </w:r>
          </w:p>
        </w:tc>
        <w:tc>
          <w:tcPr>
            <w:tcW w:w="2520" w:type="dxa"/>
          </w:tcPr>
          <w:p w14:paraId="63B3672F" w14:textId="77777777" w:rsidR="00C045C1" w:rsidRDefault="00C045C1" w:rsidP="00C045C1">
            <w:pPr>
              <w:pStyle w:val="TableText"/>
              <w:rPr>
                <w:rFonts w:eastAsia="Symbol"/>
              </w:rPr>
            </w:pPr>
            <w:r>
              <w:rPr>
                <w:rFonts w:eastAsia="Symbol"/>
              </w:rPr>
              <w:t>Enter Rack QC, Patient and Unit Antigen typing</w:t>
            </w:r>
          </w:p>
        </w:tc>
        <w:tc>
          <w:tcPr>
            <w:tcW w:w="1417" w:type="dxa"/>
          </w:tcPr>
          <w:p w14:paraId="748A6FFB" w14:textId="77777777" w:rsidR="00C045C1" w:rsidRDefault="00C045C1" w:rsidP="00C045C1">
            <w:pPr>
              <w:pStyle w:val="TableText"/>
              <w:rPr>
                <w:rFonts w:eastAsia="Symbol"/>
              </w:rPr>
            </w:pPr>
            <w:r>
              <w:rPr>
                <w:rFonts w:eastAsia="Symbol"/>
              </w:rPr>
              <w:t>Yes (Antigen Typing)</w:t>
            </w:r>
          </w:p>
        </w:tc>
        <w:tc>
          <w:tcPr>
            <w:tcW w:w="1530" w:type="dxa"/>
          </w:tcPr>
          <w:p w14:paraId="7DF6DE53" w14:textId="77777777" w:rsidR="00C045C1" w:rsidRDefault="00C045C1" w:rsidP="00C045C1">
            <w:pPr>
              <w:pStyle w:val="TableText"/>
              <w:rPr>
                <w:rFonts w:eastAsia="Symbol"/>
              </w:rPr>
            </w:pPr>
            <w:r>
              <w:rPr>
                <w:rFonts w:eastAsia="Symbol"/>
              </w:rPr>
              <w:t>Yes (Patient Testing: Record a Patient Antigen Typing)</w:t>
            </w:r>
          </w:p>
        </w:tc>
      </w:tr>
      <w:tr w:rsidR="00C045C1" w14:paraId="7F6EA7C9" w14:textId="77777777" w:rsidTr="006F58C9">
        <w:trPr>
          <w:cantSplit/>
        </w:trPr>
        <w:tc>
          <w:tcPr>
            <w:tcW w:w="3235" w:type="dxa"/>
          </w:tcPr>
          <w:p w14:paraId="04C971C6" w14:textId="77777777" w:rsidR="00C045C1" w:rsidRDefault="00C045C1" w:rsidP="00C045C1">
            <w:pPr>
              <w:pStyle w:val="TableText"/>
              <w:rPr>
                <w:rFonts w:eastAsia="Symbol"/>
              </w:rPr>
            </w:pPr>
            <w:r>
              <w:t>Expired reagent QC’d</w:t>
            </w:r>
          </w:p>
        </w:tc>
        <w:tc>
          <w:tcPr>
            <w:tcW w:w="1710" w:type="dxa"/>
          </w:tcPr>
          <w:p w14:paraId="3F1E7852" w14:textId="77777777" w:rsidR="00C045C1" w:rsidRDefault="00C045C1" w:rsidP="00C045C1">
            <w:pPr>
              <w:pStyle w:val="TableText"/>
              <w:rPr>
                <w:rFonts w:eastAsia="Symbol"/>
              </w:rPr>
            </w:pPr>
            <w:r>
              <w:t>All</w:t>
            </w:r>
          </w:p>
        </w:tc>
        <w:tc>
          <w:tcPr>
            <w:tcW w:w="2520" w:type="dxa"/>
          </w:tcPr>
          <w:p w14:paraId="0EFAC5E3" w14:textId="77777777" w:rsidR="00C045C1" w:rsidRDefault="00C045C1" w:rsidP="00C045C1">
            <w:pPr>
              <w:pStyle w:val="TableText"/>
              <w:rPr>
                <w:rFonts w:eastAsia="Symbol"/>
              </w:rPr>
            </w:pPr>
            <w:r>
              <w:rPr>
                <w:rFonts w:eastAsia="Symbol"/>
              </w:rPr>
              <w:t>Enter Daily QC</w:t>
            </w:r>
          </w:p>
        </w:tc>
        <w:tc>
          <w:tcPr>
            <w:tcW w:w="1417" w:type="dxa"/>
          </w:tcPr>
          <w:p w14:paraId="4586536E" w14:textId="77777777" w:rsidR="00C045C1" w:rsidRDefault="00C045C1" w:rsidP="00C045C1">
            <w:pPr>
              <w:pStyle w:val="TableText"/>
              <w:rPr>
                <w:rFonts w:eastAsia="Symbol"/>
              </w:rPr>
            </w:pPr>
            <w:r>
              <w:t>No</w:t>
            </w:r>
          </w:p>
        </w:tc>
        <w:tc>
          <w:tcPr>
            <w:tcW w:w="1530" w:type="dxa"/>
          </w:tcPr>
          <w:p w14:paraId="4D3B851E" w14:textId="77777777" w:rsidR="00C045C1" w:rsidRDefault="00C045C1" w:rsidP="00C045C1">
            <w:pPr>
              <w:pStyle w:val="TableText"/>
              <w:rPr>
                <w:rFonts w:eastAsia="Symbol"/>
              </w:rPr>
            </w:pPr>
            <w:r>
              <w:t>No</w:t>
            </w:r>
          </w:p>
        </w:tc>
      </w:tr>
      <w:tr w:rsidR="00C045C1" w14:paraId="52A0A7B0" w14:textId="77777777" w:rsidTr="006F58C9">
        <w:trPr>
          <w:cantSplit/>
        </w:trPr>
        <w:tc>
          <w:tcPr>
            <w:tcW w:w="3235" w:type="dxa"/>
          </w:tcPr>
          <w:p w14:paraId="5327CCB2" w14:textId="77777777" w:rsidR="00C045C1" w:rsidRDefault="00C045C1" w:rsidP="00C045C1">
            <w:pPr>
              <w:pStyle w:val="TableText"/>
            </w:pPr>
            <w:r>
              <w:t>Expired supply used in modification</w:t>
            </w:r>
          </w:p>
        </w:tc>
        <w:tc>
          <w:tcPr>
            <w:tcW w:w="1710" w:type="dxa"/>
          </w:tcPr>
          <w:p w14:paraId="38E49A1D" w14:textId="77777777" w:rsidR="00C045C1" w:rsidRDefault="00C045C1" w:rsidP="00C045C1">
            <w:pPr>
              <w:pStyle w:val="TableText"/>
            </w:pPr>
            <w:r>
              <w:t>All</w:t>
            </w:r>
          </w:p>
        </w:tc>
        <w:tc>
          <w:tcPr>
            <w:tcW w:w="2520" w:type="dxa"/>
          </w:tcPr>
          <w:p w14:paraId="34F90F05" w14:textId="77777777" w:rsidR="00C045C1" w:rsidRDefault="00C045C1" w:rsidP="00C045C1">
            <w:pPr>
              <w:pStyle w:val="TableText"/>
            </w:pPr>
            <w:r>
              <w:t>Modify Units</w:t>
            </w:r>
          </w:p>
        </w:tc>
        <w:tc>
          <w:tcPr>
            <w:tcW w:w="1417" w:type="dxa"/>
          </w:tcPr>
          <w:p w14:paraId="51C20D67" w14:textId="77777777" w:rsidR="00C045C1" w:rsidRDefault="00C045C1" w:rsidP="00C045C1">
            <w:pPr>
              <w:pStyle w:val="TableText"/>
            </w:pPr>
            <w:r>
              <w:t>No</w:t>
            </w:r>
          </w:p>
        </w:tc>
        <w:tc>
          <w:tcPr>
            <w:tcW w:w="1530" w:type="dxa"/>
          </w:tcPr>
          <w:p w14:paraId="1C89196A" w14:textId="77777777" w:rsidR="00C045C1" w:rsidRDefault="00C045C1" w:rsidP="00C045C1">
            <w:pPr>
              <w:pStyle w:val="TableText"/>
              <w:rPr>
                <w:rFonts w:eastAsia="Symbol"/>
              </w:rPr>
            </w:pPr>
            <w:r>
              <w:t>No</w:t>
            </w:r>
          </w:p>
        </w:tc>
      </w:tr>
      <w:tr w:rsidR="00C045C1" w14:paraId="4917C443" w14:textId="77777777" w:rsidTr="006F58C9">
        <w:trPr>
          <w:cantSplit/>
        </w:trPr>
        <w:tc>
          <w:tcPr>
            <w:tcW w:w="3235" w:type="dxa"/>
          </w:tcPr>
          <w:p w14:paraId="784DDCE8" w14:textId="77777777" w:rsidR="00C045C1" w:rsidRDefault="00C045C1" w:rsidP="00C045C1">
            <w:pPr>
              <w:pStyle w:val="TableText"/>
            </w:pPr>
            <w:r>
              <w:t xml:space="preserve">Expired task processed </w:t>
            </w:r>
          </w:p>
        </w:tc>
        <w:tc>
          <w:tcPr>
            <w:tcW w:w="1710" w:type="dxa"/>
          </w:tcPr>
          <w:p w14:paraId="5E20A58B" w14:textId="77777777" w:rsidR="00C045C1" w:rsidRDefault="000075A9" w:rsidP="00C045C1">
            <w:pPr>
              <w:pStyle w:val="TableText"/>
            </w:pPr>
            <w:r>
              <w:t>All</w:t>
            </w:r>
          </w:p>
        </w:tc>
        <w:tc>
          <w:tcPr>
            <w:tcW w:w="2520" w:type="dxa"/>
          </w:tcPr>
          <w:p w14:paraId="257BA9AD" w14:textId="77777777" w:rsidR="00C045C1" w:rsidRDefault="000075A9" w:rsidP="00C045C1">
            <w:pPr>
              <w:pStyle w:val="TableText"/>
            </w:pPr>
            <w:r>
              <w:t>Pending Task List</w:t>
            </w:r>
          </w:p>
        </w:tc>
        <w:tc>
          <w:tcPr>
            <w:tcW w:w="1417" w:type="dxa"/>
          </w:tcPr>
          <w:p w14:paraId="14292612" w14:textId="77777777" w:rsidR="00C045C1" w:rsidRDefault="00C045C1" w:rsidP="00C045C1">
            <w:pPr>
              <w:pStyle w:val="TableText"/>
            </w:pPr>
            <w:r>
              <w:t>No</w:t>
            </w:r>
          </w:p>
        </w:tc>
        <w:tc>
          <w:tcPr>
            <w:tcW w:w="1530" w:type="dxa"/>
          </w:tcPr>
          <w:p w14:paraId="09A63A50" w14:textId="77777777" w:rsidR="00C045C1" w:rsidRDefault="00C045C1" w:rsidP="00C045C1">
            <w:pPr>
              <w:pStyle w:val="TableText"/>
            </w:pPr>
            <w:r>
              <w:rPr>
                <w:rFonts w:eastAsia="Symbol"/>
              </w:rPr>
              <w:t>Yes</w:t>
            </w:r>
          </w:p>
        </w:tc>
      </w:tr>
      <w:tr w:rsidR="00C045C1" w14:paraId="35CA2B18" w14:textId="77777777" w:rsidTr="006F58C9">
        <w:trPr>
          <w:cantSplit/>
        </w:trPr>
        <w:tc>
          <w:tcPr>
            <w:tcW w:w="3235" w:type="dxa"/>
          </w:tcPr>
          <w:p w14:paraId="2FD116D5" w14:textId="77777777" w:rsidR="00C045C1" w:rsidRDefault="00C045C1" w:rsidP="00C045C1">
            <w:pPr>
              <w:pStyle w:val="TableText"/>
              <w:rPr>
                <w:rFonts w:eastAsia="Symbol"/>
              </w:rPr>
            </w:pPr>
            <w:r>
              <w:t>Expired unit modified</w:t>
            </w:r>
          </w:p>
        </w:tc>
        <w:tc>
          <w:tcPr>
            <w:tcW w:w="1710" w:type="dxa"/>
          </w:tcPr>
          <w:p w14:paraId="0365B0B7" w14:textId="77777777" w:rsidR="00C045C1" w:rsidRDefault="00C045C1" w:rsidP="00C045C1">
            <w:pPr>
              <w:pStyle w:val="TableText"/>
              <w:rPr>
                <w:rFonts w:eastAsia="Symbol"/>
              </w:rPr>
            </w:pPr>
            <w:r>
              <w:rPr>
                <w:u w:val="single"/>
              </w:rPr>
              <w:t>&gt;</w:t>
            </w:r>
            <w:r>
              <w:t xml:space="preserve"> Enhanced Tech</w:t>
            </w:r>
          </w:p>
        </w:tc>
        <w:tc>
          <w:tcPr>
            <w:tcW w:w="2520" w:type="dxa"/>
          </w:tcPr>
          <w:p w14:paraId="6F390CF5" w14:textId="77777777" w:rsidR="00C045C1" w:rsidRDefault="00C045C1" w:rsidP="00C045C1">
            <w:pPr>
              <w:pStyle w:val="TableText"/>
              <w:rPr>
                <w:rFonts w:eastAsia="Symbol"/>
              </w:rPr>
            </w:pPr>
            <w:r>
              <w:rPr>
                <w:rFonts w:eastAsia="Symbol"/>
              </w:rPr>
              <w:t>Modify Units</w:t>
            </w:r>
          </w:p>
        </w:tc>
        <w:tc>
          <w:tcPr>
            <w:tcW w:w="1417" w:type="dxa"/>
          </w:tcPr>
          <w:p w14:paraId="7AB300D8" w14:textId="77777777" w:rsidR="00C045C1" w:rsidRDefault="00C045C1" w:rsidP="00C045C1">
            <w:pPr>
              <w:pStyle w:val="TableText"/>
              <w:rPr>
                <w:rFonts w:eastAsia="Symbol"/>
              </w:rPr>
            </w:pPr>
            <w:r>
              <w:t>Yes</w:t>
            </w:r>
          </w:p>
        </w:tc>
        <w:tc>
          <w:tcPr>
            <w:tcW w:w="1530" w:type="dxa"/>
          </w:tcPr>
          <w:p w14:paraId="403469C3" w14:textId="77777777" w:rsidR="00C045C1" w:rsidRDefault="00C045C1" w:rsidP="00C045C1">
            <w:pPr>
              <w:pStyle w:val="TableText"/>
              <w:rPr>
                <w:rFonts w:eastAsia="Symbol"/>
              </w:rPr>
            </w:pPr>
            <w:r>
              <w:t>No</w:t>
            </w:r>
          </w:p>
        </w:tc>
      </w:tr>
      <w:tr w:rsidR="00C045C1" w14:paraId="0997BE4B" w14:textId="77777777" w:rsidTr="006F58C9">
        <w:trPr>
          <w:cantSplit/>
        </w:trPr>
        <w:tc>
          <w:tcPr>
            <w:tcW w:w="3235" w:type="dxa"/>
          </w:tcPr>
          <w:p w14:paraId="27E3F59C" w14:textId="77777777" w:rsidR="00C045C1" w:rsidRDefault="00C045C1" w:rsidP="00C045C1">
            <w:pPr>
              <w:pStyle w:val="TableText"/>
            </w:pPr>
            <w:r>
              <w:t>Expired unit received</w:t>
            </w:r>
          </w:p>
        </w:tc>
        <w:tc>
          <w:tcPr>
            <w:tcW w:w="1710" w:type="dxa"/>
          </w:tcPr>
          <w:p w14:paraId="6F523CDB" w14:textId="77777777" w:rsidR="00C045C1" w:rsidRDefault="00C045C1" w:rsidP="00C045C1">
            <w:pPr>
              <w:pStyle w:val="TableText"/>
            </w:pPr>
            <w:r>
              <w:t>All</w:t>
            </w:r>
          </w:p>
        </w:tc>
        <w:tc>
          <w:tcPr>
            <w:tcW w:w="2520" w:type="dxa"/>
          </w:tcPr>
          <w:p w14:paraId="40F59FEF" w14:textId="77777777" w:rsidR="00C045C1" w:rsidRDefault="00C045C1" w:rsidP="00C045C1">
            <w:pPr>
              <w:pStyle w:val="TableText"/>
            </w:pPr>
            <w:r>
              <w:t>Incoming Shipment</w:t>
            </w:r>
          </w:p>
        </w:tc>
        <w:tc>
          <w:tcPr>
            <w:tcW w:w="1417" w:type="dxa"/>
          </w:tcPr>
          <w:p w14:paraId="2A056FC3" w14:textId="77777777" w:rsidR="00C045C1" w:rsidRDefault="00C045C1" w:rsidP="00C045C1">
            <w:pPr>
              <w:pStyle w:val="TableText"/>
            </w:pPr>
            <w:r>
              <w:t>Yes</w:t>
            </w:r>
          </w:p>
        </w:tc>
        <w:tc>
          <w:tcPr>
            <w:tcW w:w="1530" w:type="dxa"/>
          </w:tcPr>
          <w:p w14:paraId="2D9D60CF" w14:textId="77777777" w:rsidR="00C045C1" w:rsidRDefault="00C045C1" w:rsidP="00C045C1">
            <w:pPr>
              <w:pStyle w:val="TableText"/>
            </w:pPr>
            <w:r>
              <w:t>No</w:t>
            </w:r>
          </w:p>
        </w:tc>
      </w:tr>
      <w:tr w:rsidR="00C045C1" w14:paraId="503F4EAD" w14:textId="77777777" w:rsidTr="006F58C9">
        <w:trPr>
          <w:cantSplit/>
        </w:trPr>
        <w:tc>
          <w:tcPr>
            <w:tcW w:w="3235" w:type="dxa"/>
          </w:tcPr>
          <w:p w14:paraId="1D6BF59A" w14:textId="77777777" w:rsidR="00C045C1" w:rsidRDefault="00C045C1" w:rsidP="00C045C1">
            <w:pPr>
              <w:pStyle w:val="TableText"/>
              <w:rPr>
                <w:rFonts w:eastAsia="Symbol"/>
              </w:rPr>
            </w:pPr>
            <w:r>
              <w:t>Expired unit released from quarantine</w:t>
            </w:r>
          </w:p>
        </w:tc>
        <w:tc>
          <w:tcPr>
            <w:tcW w:w="1710" w:type="dxa"/>
          </w:tcPr>
          <w:p w14:paraId="51B9CAD1" w14:textId="77777777" w:rsidR="00C045C1" w:rsidRDefault="00C045C1" w:rsidP="00C045C1">
            <w:pPr>
              <w:pStyle w:val="TableText"/>
              <w:rPr>
                <w:rFonts w:eastAsia="Symbol"/>
              </w:rPr>
            </w:pPr>
            <w:r>
              <w:rPr>
                <w:u w:val="single"/>
              </w:rPr>
              <w:t>&gt;</w:t>
            </w:r>
            <w:r>
              <w:t xml:space="preserve"> Enhanced Tech</w:t>
            </w:r>
          </w:p>
        </w:tc>
        <w:tc>
          <w:tcPr>
            <w:tcW w:w="2520" w:type="dxa"/>
          </w:tcPr>
          <w:p w14:paraId="5FA6A4C4" w14:textId="77777777" w:rsidR="00C045C1" w:rsidRDefault="00C045C1" w:rsidP="00C045C1">
            <w:pPr>
              <w:pStyle w:val="TableText"/>
              <w:rPr>
                <w:rFonts w:eastAsia="Symbol"/>
              </w:rPr>
            </w:pPr>
            <w:r>
              <w:rPr>
                <w:rFonts w:eastAsia="Symbol"/>
              </w:rPr>
              <w:t>Release from Quarantine</w:t>
            </w:r>
          </w:p>
        </w:tc>
        <w:tc>
          <w:tcPr>
            <w:tcW w:w="1417" w:type="dxa"/>
          </w:tcPr>
          <w:p w14:paraId="170BE22D" w14:textId="77777777" w:rsidR="00C045C1" w:rsidRDefault="00C045C1" w:rsidP="00C045C1">
            <w:pPr>
              <w:pStyle w:val="TableText"/>
              <w:rPr>
                <w:rFonts w:eastAsia="Symbol"/>
              </w:rPr>
            </w:pPr>
            <w:r>
              <w:t>Yes</w:t>
            </w:r>
          </w:p>
        </w:tc>
        <w:tc>
          <w:tcPr>
            <w:tcW w:w="1530" w:type="dxa"/>
          </w:tcPr>
          <w:p w14:paraId="3DF08C33" w14:textId="77777777" w:rsidR="00C045C1" w:rsidRDefault="00C045C1" w:rsidP="00C045C1">
            <w:pPr>
              <w:pStyle w:val="TableText"/>
              <w:rPr>
                <w:rFonts w:eastAsia="Symbol"/>
              </w:rPr>
            </w:pPr>
            <w:r>
              <w:t>No</w:t>
            </w:r>
          </w:p>
        </w:tc>
      </w:tr>
      <w:tr w:rsidR="00C045C1" w14:paraId="55A02354" w14:textId="77777777" w:rsidTr="006F58C9">
        <w:trPr>
          <w:cantSplit/>
        </w:trPr>
        <w:tc>
          <w:tcPr>
            <w:tcW w:w="3235" w:type="dxa"/>
          </w:tcPr>
          <w:p w14:paraId="27BA2DFF" w14:textId="77777777" w:rsidR="00C045C1" w:rsidRDefault="00C045C1" w:rsidP="00C045C1">
            <w:pPr>
              <w:pStyle w:val="TableText"/>
            </w:pPr>
            <w:r>
              <w:t>Expired unit selected</w:t>
            </w:r>
          </w:p>
        </w:tc>
        <w:tc>
          <w:tcPr>
            <w:tcW w:w="1710" w:type="dxa"/>
          </w:tcPr>
          <w:p w14:paraId="2C835FBD" w14:textId="77777777" w:rsidR="00C045C1" w:rsidRDefault="00C045C1" w:rsidP="00C045C1">
            <w:pPr>
              <w:pStyle w:val="TableText"/>
            </w:pPr>
            <w:r>
              <w:rPr>
                <w:u w:val="single"/>
              </w:rPr>
              <w:t>&gt;</w:t>
            </w:r>
            <w:r>
              <w:t xml:space="preserve"> Enhanced Tech</w:t>
            </w:r>
          </w:p>
        </w:tc>
        <w:tc>
          <w:tcPr>
            <w:tcW w:w="2520" w:type="dxa"/>
          </w:tcPr>
          <w:p w14:paraId="46FC8FCE" w14:textId="77777777" w:rsidR="00C045C1" w:rsidRDefault="00C045C1" w:rsidP="00C045C1">
            <w:pPr>
              <w:pStyle w:val="TableText"/>
            </w:pPr>
            <w:r>
              <w:t>Select Unit</w:t>
            </w:r>
          </w:p>
        </w:tc>
        <w:tc>
          <w:tcPr>
            <w:tcW w:w="1417" w:type="dxa"/>
          </w:tcPr>
          <w:p w14:paraId="6225A9E0" w14:textId="77777777" w:rsidR="00C045C1" w:rsidRDefault="00C045C1" w:rsidP="00C045C1">
            <w:pPr>
              <w:pStyle w:val="TableText"/>
            </w:pPr>
            <w:r>
              <w:t>No</w:t>
            </w:r>
          </w:p>
        </w:tc>
        <w:tc>
          <w:tcPr>
            <w:tcW w:w="1530" w:type="dxa"/>
          </w:tcPr>
          <w:p w14:paraId="59F2E09F" w14:textId="77777777" w:rsidR="00C045C1" w:rsidRDefault="00C045C1" w:rsidP="00C045C1">
            <w:pPr>
              <w:pStyle w:val="TableText"/>
              <w:rPr>
                <w:rFonts w:eastAsia="Symbol"/>
              </w:rPr>
            </w:pPr>
            <w:r>
              <w:rPr>
                <w:rFonts w:eastAsia="Symbol"/>
              </w:rPr>
              <w:t>Yes</w:t>
            </w:r>
          </w:p>
        </w:tc>
      </w:tr>
      <w:tr w:rsidR="00C045C1" w14:paraId="4D517948" w14:textId="77777777" w:rsidTr="006F58C9">
        <w:trPr>
          <w:cantSplit/>
        </w:trPr>
        <w:tc>
          <w:tcPr>
            <w:tcW w:w="3235" w:type="dxa"/>
          </w:tcPr>
          <w:p w14:paraId="7B78391C" w14:textId="77777777" w:rsidR="00C045C1" w:rsidRDefault="00C045C1" w:rsidP="00C045C1">
            <w:pPr>
              <w:pStyle w:val="TableText"/>
            </w:pPr>
            <w:r>
              <w:t>Final unit status or modification removed</w:t>
            </w:r>
          </w:p>
        </w:tc>
        <w:tc>
          <w:tcPr>
            <w:tcW w:w="1710" w:type="dxa"/>
          </w:tcPr>
          <w:p w14:paraId="4E33E114" w14:textId="77777777" w:rsidR="00C045C1" w:rsidRDefault="00C045C1" w:rsidP="00C045C1">
            <w:pPr>
              <w:pStyle w:val="TableText"/>
            </w:pPr>
            <w:r>
              <w:rPr>
                <w:u w:val="single"/>
              </w:rPr>
              <w:t>&gt;</w:t>
            </w:r>
            <w:r>
              <w:t xml:space="preserve"> Traditional Supervisor</w:t>
            </w:r>
          </w:p>
        </w:tc>
        <w:tc>
          <w:tcPr>
            <w:tcW w:w="2520" w:type="dxa"/>
          </w:tcPr>
          <w:p w14:paraId="374EAA7C" w14:textId="77777777" w:rsidR="00C045C1" w:rsidRDefault="00C045C1" w:rsidP="00C045C1">
            <w:pPr>
              <w:pStyle w:val="TableText"/>
            </w:pPr>
            <w:r>
              <w:t>Remove Final Status</w:t>
            </w:r>
          </w:p>
        </w:tc>
        <w:tc>
          <w:tcPr>
            <w:tcW w:w="1417" w:type="dxa"/>
          </w:tcPr>
          <w:p w14:paraId="5FEF384D" w14:textId="77777777" w:rsidR="00C045C1" w:rsidRDefault="00C045C1" w:rsidP="00C045C1">
            <w:pPr>
              <w:pStyle w:val="TableText"/>
            </w:pPr>
            <w:r>
              <w:t>Yes</w:t>
            </w:r>
          </w:p>
        </w:tc>
        <w:tc>
          <w:tcPr>
            <w:tcW w:w="1530" w:type="dxa"/>
          </w:tcPr>
          <w:p w14:paraId="774FD955" w14:textId="77777777" w:rsidR="00C045C1" w:rsidRDefault="00C045C1" w:rsidP="00C045C1">
            <w:pPr>
              <w:pStyle w:val="TableText"/>
              <w:rPr>
                <w:rFonts w:eastAsia="Symbol"/>
              </w:rPr>
            </w:pPr>
            <w:r>
              <w:rPr>
                <w:rFonts w:eastAsia="Symbol"/>
              </w:rPr>
              <w:t>No</w:t>
            </w:r>
          </w:p>
        </w:tc>
      </w:tr>
      <w:tr w:rsidR="00C045C1" w14:paraId="7C8FE92B" w14:textId="77777777" w:rsidTr="006F58C9">
        <w:trPr>
          <w:cantSplit/>
        </w:trPr>
        <w:tc>
          <w:tcPr>
            <w:tcW w:w="3235" w:type="dxa"/>
          </w:tcPr>
          <w:p w14:paraId="49A68C1B" w14:textId="77777777" w:rsidR="00C045C1" w:rsidRPr="002C66CF" w:rsidRDefault="00C045C1" w:rsidP="00C045C1">
            <w:pPr>
              <w:pStyle w:val="TableText"/>
            </w:pPr>
            <w:r w:rsidRPr="002C66CF">
              <w:t xml:space="preserve">Inconclusive </w:t>
            </w:r>
            <w:r>
              <w:t>c</w:t>
            </w:r>
            <w:r w:rsidRPr="002C66CF">
              <w:t>rossmatch</w:t>
            </w:r>
          </w:p>
        </w:tc>
        <w:tc>
          <w:tcPr>
            <w:tcW w:w="1710" w:type="dxa"/>
          </w:tcPr>
          <w:p w14:paraId="1559D68E" w14:textId="77777777" w:rsidR="00C045C1" w:rsidRPr="002C66CF" w:rsidRDefault="00C045C1" w:rsidP="00C045C1">
            <w:pPr>
              <w:pStyle w:val="TableText"/>
            </w:pPr>
            <w:r>
              <w:t>All</w:t>
            </w:r>
          </w:p>
        </w:tc>
        <w:tc>
          <w:tcPr>
            <w:tcW w:w="2520" w:type="dxa"/>
          </w:tcPr>
          <w:p w14:paraId="3288CAE5" w14:textId="77777777" w:rsidR="00C045C1" w:rsidRPr="002C66CF" w:rsidRDefault="00C045C1" w:rsidP="00C045C1">
            <w:pPr>
              <w:pStyle w:val="TableText"/>
            </w:pPr>
            <w:r>
              <w:t>Patient Testing, serologic crossmatch grid</w:t>
            </w:r>
          </w:p>
        </w:tc>
        <w:tc>
          <w:tcPr>
            <w:tcW w:w="1417" w:type="dxa"/>
          </w:tcPr>
          <w:p w14:paraId="44DC8DB4" w14:textId="77777777" w:rsidR="00C045C1" w:rsidRDefault="00C045C1" w:rsidP="00C045C1">
            <w:pPr>
              <w:pStyle w:val="TableText"/>
            </w:pPr>
            <w:r>
              <w:t>No</w:t>
            </w:r>
          </w:p>
        </w:tc>
        <w:tc>
          <w:tcPr>
            <w:tcW w:w="1530" w:type="dxa"/>
          </w:tcPr>
          <w:p w14:paraId="5C351C6A" w14:textId="77777777" w:rsidR="00C045C1" w:rsidRDefault="00C045C1" w:rsidP="00C045C1">
            <w:pPr>
              <w:pStyle w:val="TableText"/>
            </w:pPr>
            <w:r>
              <w:rPr>
                <w:rFonts w:eastAsia="Symbol"/>
              </w:rPr>
              <w:t>Yes</w:t>
            </w:r>
          </w:p>
        </w:tc>
      </w:tr>
      <w:tr w:rsidR="00C045C1" w14:paraId="356B2228" w14:textId="77777777" w:rsidTr="006F58C9">
        <w:trPr>
          <w:cantSplit/>
        </w:trPr>
        <w:tc>
          <w:tcPr>
            <w:tcW w:w="3235" w:type="dxa"/>
          </w:tcPr>
          <w:p w14:paraId="37F10E95" w14:textId="77777777" w:rsidR="00C045C1" w:rsidRDefault="00C045C1" w:rsidP="00C045C1">
            <w:pPr>
              <w:pStyle w:val="TableText"/>
            </w:pPr>
            <w:r>
              <w:t>Issued expired unit</w:t>
            </w:r>
          </w:p>
        </w:tc>
        <w:tc>
          <w:tcPr>
            <w:tcW w:w="1710" w:type="dxa"/>
          </w:tcPr>
          <w:p w14:paraId="35C93CA0" w14:textId="77777777" w:rsidR="00C045C1" w:rsidRDefault="00C045C1" w:rsidP="00C045C1">
            <w:pPr>
              <w:pStyle w:val="TableText"/>
            </w:pPr>
            <w:r>
              <w:rPr>
                <w:u w:val="single"/>
              </w:rPr>
              <w:t>&gt;</w:t>
            </w:r>
            <w:r>
              <w:t xml:space="preserve"> Enhanced Tech</w:t>
            </w:r>
          </w:p>
        </w:tc>
        <w:tc>
          <w:tcPr>
            <w:tcW w:w="2520" w:type="dxa"/>
          </w:tcPr>
          <w:p w14:paraId="04279F72" w14:textId="77777777" w:rsidR="00C045C1" w:rsidRDefault="00C045C1" w:rsidP="00C045C1">
            <w:pPr>
              <w:pStyle w:val="TableText"/>
            </w:pPr>
            <w:r>
              <w:t>Issue Blood</w:t>
            </w:r>
          </w:p>
        </w:tc>
        <w:tc>
          <w:tcPr>
            <w:tcW w:w="1417" w:type="dxa"/>
          </w:tcPr>
          <w:p w14:paraId="7F1C794E" w14:textId="77777777" w:rsidR="00C045C1" w:rsidRDefault="00C045C1" w:rsidP="00C045C1">
            <w:pPr>
              <w:pStyle w:val="TableText"/>
            </w:pPr>
            <w:r>
              <w:t>No</w:t>
            </w:r>
          </w:p>
        </w:tc>
        <w:tc>
          <w:tcPr>
            <w:tcW w:w="1530" w:type="dxa"/>
          </w:tcPr>
          <w:p w14:paraId="02669B94" w14:textId="77777777" w:rsidR="00C045C1" w:rsidRDefault="00C045C1" w:rsidP="00C045C1">
            <w:pPr>
              <w:pStyle w:val="TableText"/>
            </w:pPr>
            <w:r>
              <w:rPr>
                <w:rFonts w:eastAsia="Symbol"/>
              </w:rPr>
              <w:t>Yes</w:t>
            </w:r>
          </w:p>
        </w:tc>
      </w:tr>
      <w:tr w:rsidR="00C045C1" w14:paraId="0258478C" w14:textId="77777777" w:rsidTr="006F58C9">
        <w:trPr>
          <w:cantSplit/>
        </w:trPr>
        <w:tc>
          <w:tcPr>
            <w:tcW w:w="3235" w:type="dxa"/>
          </w:tcPr>
          <w:p w14:paraId="6A0A2482" w14:textId="77777777" w:rsidR="00C045C1" w:rsidRDefault="00C045C1" w:rsidP="00C045C1">
            <w:pPr>
              <w:pStyle w:val="TableText"/>
            </w:pPr>
            <w:r>
              <w:t>Less restrictive unit issued</w:t>
            </w:r>
          </w:p>
        </w:tc>
        <w:tc>
          <w:tcPr>
            <w:tcW w:w="1710" w:type="dxa"/>
          </w:tcPr>
          <w:p w14:paraId="2227871D" w14:textId="77777777" w:rsidR="00C045C1" w:rsidRDefault="00C045C1" w:rsidP="00C045C1">
            <w:pPr>
              <w:pStyle w:val="TableText"/>
            </w:pPr>
            <w:r>
              <w:t>All</w:t>
            </w:r>
          </w:p>
        </w:tc>
        <w:tc>
          <w:tcPr>
            <w:tcW w:w="2520" w:type="dxa"/>
          </w:tcPr>
          <w:p w14:paraId="61772EFC" w14:textId="77777777" w:rsidR="00C045C1" w:rsidRDefault="00C045C1" w:rsidP="00C045C1">
            <w:pPr>
              <w:pStyle w:val="TableText"/>
            </w:pPr>
            <w:r>
              <w:t>Issue Blood</w:t>
            </w:r>
          </w:p>
        </w:tc>
        <w:tc>
          <w:tcPr>
            <w:tcW w:w="1417" w:type="dxa"/>
          </w:tcPr>
          <w:p w14:paraId="34527661" w14:textId="77777777" w:rsidR="00C045C1" w:rsidRDefault="00C045C1" w:rsidP="00C045C1">
            <w:pPr>
              <w:pStyle w:val="TableText"/>
            </w:pPr>
            <w:r>
              <w:t>No</w:t>
            </w:r>
          </w:p>
        </w:tc>
        <w:tc>
          <w:tcPr>
            <w:tcW w:w="1530" w:type="dxa"/>
          </w:tcPr>
          <w:p w14:paraId="5A94323D" w14:textId="77777777" w:rsidR="00C045C1" w:rsidRDefault="00C045C1" w:rsidP="00C045C1">
            <w:pPr>
              <w:pStyle w:val="TableText"/>
            </w:pPr>
            <w:r>
              <w:rPr>
                <w:rFonts w:eastAsia="Symbol"/>
              </w:rPr>
              <w:t>Yes</w:t>
            </w:r>
          </w:p>
        </w:tc>
      </w:tr>
      <w:tr w:rsidR="00C045C1" w14:paraId="2C931FAC" w14:textId="77777777" w:rsidTr="006F58C9">
        <w:trPr>
          <w:cantSplit/>
        </w:trPr>
        <w:tc>
          <w:tcPr>
            <w:tcW w:w="3235" w:type="dxa"/>
          </w:tcPr>
          <w:p w14:paraId="0FBD833B" w14:textId="77777777" w:rsidR="00C045C1" w:rsidRDefault="00C045C1" w:rsidP="00C045C1">
            <w:pPr>
              <w:pStyle w:val="TableText"/>
            </w:pPr>
            <w:r>
              <w:t>Less restrictive unit selected</w:t>
            </w:r>
          </w:p>
        </w:tc>
        <w:tc>
          <w:tcPr>
            <w:tcW w:w="1710" w:type="dxa"/>
          </w:tcPr>
          <w:p w14:paraId="746018D8" w14:textId="77777777" w:rsidR="00C045C1" w:rsidRDefault="00C045C1" w:rsidP="00C045C1">
            <w:pPr>
              <w:pStyle w:val="TableText"/>
            </w:pPr>
            <w:r>
              <w:t>All</w:t>
            </w:r>
          </w:p>
        </w:tc>
        <w:tc>
          <w:tcPr>
            <w:tcW w:w="2520" w:type="dxa"/>
          </w:tcPr>
          <w:p w14:paraId="25A5FFF8" w14:textId="77777777" w:rsidR="00C045C1" w:rsidRDefault="00C045C1" w:rsidP="00C045C1">
            <w:pPr>
              <w:pStyle w:val="TableText"/>
            </w:pPr>
            <w:r>
              <w:t>Select Unit</w:t>
            </w:r>
          </w:p>
        </w:tc>
        <w:tc>
          <w:tcPr>
            <w:tcW w:w="1417" w:type="dxa"/>
          </w:tcPr>
          <w:p w14:paraId="6C599D57" w14:textId="77777777" w:rsidR="00C045C1" w:rsidRDefault="00C045C1" w:rsidP="00C045C1">
            <w:pPr>
              <w:pStyle w:val="TableText"/>
            </w:pPr>
            <w:r>
              <w:t>No</w:t>
            </w:r>
          </w:p>
        </w:tc>
        <w:tc>
          <w:tcPr>
            <w:tcW w:w="1530" w:type="dxa"/>
          </w:tcPr>
          <w:p w14:paraId="44F6010D" w14:textId="77777777" w:rsidR="00C045C1" w:rsidRDefault="00C045C1" w:rsidP="00C045C1">
            <w:pPr>
              <w:pStyle w:val="TableText"/>
            </w:pPr>
            <w:r>
              <w:rPr>
                <w:rFonts w:eastAsia="Symbol"/>
              </w:rPr>
              <w:t>Yes</w:t>
            </w:r>
          </w:p>
        </w:tc>
      </w:tr>
      <w:tr w:rsidR="00C045C1" w14:paraId="7916E2CA" w14:textId="77777777" w:rsidTr="006F58C9">
        <w:trPr>
          <w:cantSplit/>
        </w:trPr>
        <w:tc>
          <w:tcPr>
            <w:tcW w:w="3235" w:type="dxa"/>
          </w:tcPr>
          <w:p w14:paraId="2332DC0F" w14:textId="77777777" w:rsidR="00C045C1" w:rsidRDefault="00C045C1" w:rsidP="00C045C1">
            <w:pPr>
              <w:pStyle w:val="TableText"/>
              <w:rPr>
                <w:rFonts w:eastAsia="Symbol"/>
              </w:rPr>
            </w:pPr>
            <w:r>
              <w:t>Non-standard test procedure</w:t>
            </w:r>
          </w:p>
        </w:tc>
        <w:tc>
          <w:tcPr>
            <w:tcW w:w="1710" w:type="dxa"/>
          </w:tcPr>
          <w:p w14:paraId="7130E55E" w14:textId="77777777" w:rsidR="00C045C1" w:rsidRDefault="00C045C1" w:rsidP="00C045C1">
            <w:pPr>
              <w:pStyle w:val="TableText"/>
              <w:rPr>
                <w:rFonts w:eastAsia="Symbol"/>
              </w:rPr>
            </w:pPr>
            <w:r>
              <w:rPr>
                <w:rFonts w:eastAsia="Symbol"/>
              </w:rPr>
              <w:t>All</w:t>
            </w:r>
          </w:p>
        </w:tc>
        <w:tc>
          <w:tcPr>
            <w:tcW w:w="2520" w:type="dxa"/>
          </w:tcPr>
          <w:p w14:paraId="7BDC30A5" w14:textId="77777777" w:rsidR="00C045C1" w:rsidRDefault="00C045C1" w:rsidP="00C045C1">
            <w:pPr>
              <w:pStyle w:val="TableText"/>
              <w:rPr>
                <w:rFonts w:eastAsia="Symbol"/>
              </w:rPr>
            </w:pPr>
            <w:r>
              <w:rPr>
                <w:rFonts w:eastAsia="Symbol"/>
              </w:rPr>
              <w:t>Patient Testing, Antibody screen, serologic crossmatch</w:t>
            </w:r>
          </w:p>
        </w:tc>
        <w:tc>
          <w:tcPr>
            <w:tcW w:w="1417" w:type="dxa"/>
          </w:tcPr>
          <w:p w14:paraId="4943208D" w14:textId="77777777" w:rsidR="00C045C1" w:rsidRDefault="00C045C1" w:rsidP="00C045C1">
            <w:pPr>
              <w:pStyle w:val="TableText"/>
              <w:rPr>
                <w:rFonts w:eastAsia="Symbol"/>
              </w:rPr>
            </w:pPr>
            <w:r>
              <w:t>No</w:t>
            </w:r>
          </w:p>
        </w:tc>
        <w:tc>
          <w:tcPr>
            <w:tcW w:w="1530" w:type="dxa"/>
          </w:tcPr>
          <w:p w14:paraId="2F44AFBE" w14:textId="77777777" w:rsidR="00C045C1" w:rsidRDefault="00C045C1" w:rsidP="00C045C1">
            <w:pPr>
              <w:pStyle w:val="TableText"/>
              <w:rPr>
                <w:rFonts w:eastAsia="Symbol"/>
              </w:rPr>
            </w:pPr>
            <w:r>
              <w:rPr>
                <w:rFonts w:eastAsia="Symbol"/>
              </w:rPr>
              <w:t>Yes</w:t>
            </w:r>
          </w:p>
        </w:tc>
      </w:tr>
      <w:tr w:rsidR="00C045C1" w14:paraId="6384D5F5" w14:textId="77777777" w:rsidTr="006F58C9">
        <w:trPr>
          <w:cantSplit/>
        </w:trPr>
        <w:tc>
          <w:tcPr>
            <w:tcW w:w="3235" w:type="dxa"/>
          </w:tcPr>
          <w:p w14:paraId="7E074642" w14:textId="77777777" w:rsidR="00C045C1" w:rsidRDefault="00C045C1" w:rsidP="00C045C1">
            <w:pPr>
              <w:pStyle w:val="TableText"/>
              <w:rPr>
                <w:rFonts w:eastAsia="Symbol"/>
              </w:rPr>
            </w:pPr>
            <w:r>
              <w:t>(Patient) ABO/Rh discrepancy</w:t>
            </w:r>
          </w:p>
        </w:tc>
        <w:tc>
          <w:tcPr>
            <w:tcW w:w="1710" w:type="dxa"/>
          </w:tcPr>
          <w:p w14:paraId="781F3AF3" w14:textId="77777777" w:rsidR="00C045C1" w:rsidRDefault="00C045C1" w:rsidP="00C045C1">
            <w:pPr>
              <w:pStyle w:val="TableText"/>
              <w:rPr>
                <w:rFonts w:eastAsia="Symbol"/>
              </w:rPr>
            </w:pPr>
            <w:r>
              <w:rPr>
                <w:rFonts w:eastAsia="Symbol"/>
              </w:rPr>
              <w:t>All</w:t>
            </w:r>
          </w:p>
        </w:tc>
        <w:tc>
          <w:tcPr>
            <w:tcW w:w="2520" w:type="dxa"/>
          </w:tcPr>
          <w:p w14:paraId="6125688C" w14:textId="77777777" w:rsidR="00C045C1" w:rsidRDefault="00C045C1" w:rsidP="00C045C1">
            <w:pPr>
              <w:pStyle w:val="TableText"/>
              <w:rPr>
                <w:rFonts w:eastAsia="Symbol"/>
              </w:rPr>
            </w:pPr>
            <w:r>
              <w:rPr>
                <w:rFonts w:eastAsia="Symbol"/>
              </w:rPr>
              <w:t>Patient testing, ABO/Rh test</w:t>
            </w:r>
          </w:p>
        </w:tc>
        <w:tc>
          <w:tcPr>
            <w:tcW w:w="1417" w:type="dxa"/>
          </w:tcPr>
          <w:p w14:paraId="7328AED4" w14:textId="77777777" w:rsidR="00C045C1" w:rsidRDefault="00C045C1" w:rsidP="00C045C1">
            <w:pPr>
              <w:pStyle w:val="TableText"/>
              <w:rPr>
                <w:rFonts w:eastAsia="Symbol"/>
              </w:rPr>
            </w:pPr>
            <w:r>
              <w:t>No</w:t>
            </w:r>
          </w:p>
        </w:tc>
        <w:tc>
          <w:tcPr>
            <w:tcW w:w="1530" w:type="dxa"/>
          </w:tcPr>
          <w:p w14:paraId="7AC7F166" w14:textId="77777777" w:rsidR="00C045C1" w:rsidRDefault="00C045C1" w:rsidP="00C045C1">
            <w:pPr>
              <w:pStyle w:val="TableText"/>
              <w:rPr>
                <w:rFonts w:eastAsia="Symbol"/>
              </w:rPr>
            </w:pPr>
            <w:r>
              <w:rPr>
                <w:rFonts w:eastAsia="Symbol"/>
              </w:rPr>
              <w:t>Yes</w:t>
            </w:r>
          </w:p>
        </w:tc>
      </w:tr>
      <w:tr w:rsidR="00C045C1" w14:paraId="0B1DE147" w14:textId="77777777" w:rsidTr="006F58C9">
        <w:trPr>
          <w:cantSplit/>
        </w:trPr>
        <w:tc>
          <w:tcPr>
            <w:tcW w:w="3235" w:type="dxa"/>
          </w:tcPr>
          <w:p w14:paraId="7A10F43D" w14:textId="77777777" w:rsidR="00C045C1" w:rsidRDefault="00C045C1" w:rsidP="00C045C1">
            <w:pPr>
              <w:pStyle w:val="TableText"/>
              <w:rPr>
                <w:rFonts w:eastAsia="Symbol"/>
              </w:rPr>
            </w:pPr>
            <w:r>
              <w:t>Previously recorded results inactivated</w:t>
            </w:r>
          </w:p>
        </w:tc>
        <w:tc>
          <w:tcPr>
            <w:tcW w:w="1710" w:type="dxa"/>
          </w:tcPr>
          <w:p w14:paraId="7776B900" w14:textId="77777777" w:rsidR="00C045C1" w:rsidRPr="0095633D" w:rsidRDefault="00C045C1" w:rsidP="00C045C1">
            <w:pPr>
              <w:rPr>
                <w:rFonts w:ascii="Arial" w:hAnsi="Arial" w:cs="Arial"/>
                <w:sz w:val="18"/>
                <w:szCs w:val="18"/>
              </w:rPr>
            </w:pPr>
            <w:r w:rsidRPr="0095633D">
              <w:rPr>
                <w:rFonts w:ascii="Arial" w:eastAsia="Symbol" w:hAnsi="Arial" w:cs="Arial"/>
                <w:sz w:val="18"/>
                <w:szCs w:val="18"/>
              </w:rPr>
              <w:t>All</w:t>
            </w:r>
          </w:p>
        </w:tc>
        <w:tc>
          <w:tcPr>
            <w:tcW w:w="2520" w:type="dxa"/>
          </w:tcPr>
          <w:p w14:paraId="20A4241F" w14:textId="77777777" w:rsidR="00C045C1" w:rsidRDefault="00C045C1" w:rsidP="00C045C1">
            <w:pPr>
              <w:pStyle w:val="TableText"/>
              <w:rPr>
                <w:rFonts w:eastAsia="Symbol"/>
              </w:rPr>
            </w:pPr>
            <w:r>
              <w:rPr>
                <w:rFonts w:eastAsia="Symbol"/>
              </w:rPr>
              <w:t>All testing grids where the red x is used to clear a grid.</w:t>
            </w:r>
          </w:p>
        </w:tc>
        <w:tc>
          <w:tcPr>
            <w:tcW w:w="1417" w:type="dxa"/>
          </w:tcPr>
          <w:p w14:paraId="540A7B1F" w14:textId="77777777" w:rsidR="00C045C1" w:rsidRDefault="00C045C1" w:rsidP="00C045C1">
            <w:pPr>
              <w:pStyle w:val="TableText"/>
              <w:rPr>
                <w:rFonts w:eastAsia="Symbol"/>
              </w:rPr>
            </w:pPr>
            <w:r>
              <w:t>No</w:t>
            </w:r>
          </w:p>
        </w:tc>
        <w:tc>
          <w:tcPr>
            <w:tcW w:w="1530" w:type="dxa"/>
          </w:tcPr>
          <w:p w14:paraId="31224781" w14:textId="77777777" w:rsidR="00C045C1" w:rsidRDefault="00C045C1" w:rsidP="00C045C1">
            <w:pPr>
              <w:pStyle w:val="TableText"/>
              <w:rPr>
                <w:rFonts w:eastAsia="Symbol"/>
              </w:rPr>
            </w:pPr>
            <w:r>
              <w:rPr>
                <w:rFonts w:eastAsia="Symbol"/>
              </w:rPr>
              <w:t>Yes</w:t>
            </w:r>
          </w:p>
        </w:tc>
      </w:tr>
      <w:tr w:rsidR="00C045C1" w14:paraId="0AB9F879" w14:textId="77777777" w:rsidTr="006F58C9">
        <w:trPr>
          <w:cantSplit/>
        </w:trPr>
        <w:tc>
          <w:tcPr>
            <w:tcW w:w="3235" w:type="dxa"/>
          </w:tcPr>
          <w:p w14:paraId="14582A3A" w14:textId="77777777" w:rsidR="00C045C1" w:rsidRDefault="00C045C1" w:rsidP="00C045C1">
            <w:pPr>
              <w:pStyle w:val="TableText"/>
            </w:pPr>
            <w:r>
              <w:t>Previously recorded results invalidated</w:t>
            </w:r>
          </w:p>
        </w:tc>
        <w:tc>
          <w:tcPr>
            <w:tcW w:w="1710" w:type="dxa"/>
          </w:tcPr>
          <w:p w14:paraId="1558A6D9" w14:textId="77777777" w:rsidR="00C045C1" w:rsidRPr="0095633D" w:rsidRDefault="00C045C1" w:rsidP="00C045C1">
            <w:pPr>
              <w:rPr>
                <w:rFonts w:ascii="Arial" w:hAnsi="Arial" w:cs="Arial"/>
                <w:sz w:val="18"/>
                <w:szCs w:val="18"/>
              </w:rPr>
            </w:pPr>
            <w:r w:rsidRPr="0095633D">
              <w:rPr>
                <w:rFonts w:ascii="Arial" w:eastAsia="Symbol" w:hAnsi="Arial" w:cs="Arial"/>
                <w:sz w:val="18"/>
                <w:szCs w:val="18"/>
              </w:rPr>
              <w:t>All</w:t>
            </w:r>
          </w:p>
        </w:tc>
        <w:tc>
          <w:tcPr>
            <w:tcW w:w="2520" w:type="dxa"/>
          </w:tcPr>
          <w:p w14:paraId="05059A05" w14:textId="77777777" w:rsidR="00C045C1" w:rsidRDefault="00C045C1" w:rsidP="00C045C1">
            <w:pPr>
              <w:pStyle w:val="TableText"/>
            </w:pPr>
            <w:r>
              <w:rPr>
                <w:rFonts w:eastAsia="Symbol"/>
              </w:rPr>
              <w:t>Invalidate Patient Testing</w:t>
            </w:r>
          </w:p>
        </w:tc>
        <w:tc>
          <w:tcPr>
            <w:tcW w:w="1417" w:type="dxa"/>
          </w:tcPr>
          <w:p w14:paraId="42F2545C" w14:textId="77777777" w:rsidR="00C045C1" w:rsidRDefault="00C045C1" w:rsidP="00C045C1">
            <w:pPr>
              <w:pStyle w:val="TableText"/>
              <w:rPr>
                <w:rFonts w:eastAsia="Symbol"/>
              </w:rPr>
            </w:pPr>
            <w:r>
              <w:rPr>
                <w:rFonts w:eastAsia="Symbol"/>
              </w:rPr>
              <w:t xml:space="preserve">Yes </w:t>
            </w:r>
          </w:p>
        </w:tc>
        <w:tc>
          <w:tcPr>
            <w:tcW w:w="1530" w:type="dxa"/>
          </w:tcPr>
          <w:p w14:paraId="659B1D25" w14:textId="77777777" w:rsidR="00C045C1" w:rsidRDefault="00C045C1" w:rsidP="00C045C1">
            <w:pPr>
              <w:pStyle w:val="TableText"/>
              <w:rPr>
                <w:rFonts w:eastAsia="Symbol"/>
              </w:rPr>
            </w:pPr>
            <w:r>
              <w:t>No</w:t>
            </w:r>
          </w:p>
        </w:tc>
      </w:tr>
      <w:tr w:rsidR="00C045C1" w14:paraId="5803E248" w14:textId="77777777" w:rsidTr="006F58C9">
        <w:trPr>
          <w:cantSplit/>
        </w:trPr>
        <w:tc>
          <w:tcPr>
            <w:tcW w:w="3235" w:type="dxa"/>
          </w:tcPr>
          <w:p w14:paraId="1B7E003E" w14:textId="2A9D6333" w:rsidR="00C045C1" w:rsidRDefault="00C045C1" w:rsidP="00C045C1">
            <w:pPr>
              <w:pStyle w:val="TableText"/>
              <w:rPr>
                <w:rFonts w:eastAsia="Symbol"/>
              </w:rPr>
            </w:pPr>
            <w:r>
              <w:t xml:space="preserve">QC decrease reagent reactivity </w:t>
            </w:r>
            <w:r w:rsidR="008D4668">
              <w:rPr>
                <w:rStyle w:val="Char"/>
                <w:sz w:val="18"/>
                <w:szCs w:val="18"/>
              </w:rPr>
              <w:t>&gt;=</w:t>
            </w:r>
            <w:r w:rsidRPr="004D0684">
              <w:rPr>
                <w:rStyle w:val="Char"/>
                <w:sz w:val="18"/>
                <w:szCs w:val="18"/>
              </w:rPr>
              <w:t>2</w:t>
            </w:r>
          </w:p>
        </w:tc>
        <w:tc>
          <w:tcPr>
            <w:tcW w:w="1710" w:type="dxa"/>
          </w:tcPr>
          <w:p w14:paraId="4BDC0C89" w14:textId="77777777" w:rsidR="00C045C1" w:rsidRDefault="00C045C1" w:rsidP="00C045C1">
            <w:pPr>
              <w:pStyle w:val="TableText"/>
              <w:rPr>
                <w:rFonts w:eastAsia="Symbol"/>
              </w:rPr>
            </w:pPr>
            <w:r>
              <w:rPr>
                <w:rFonts w:eastAsia="Symbol"/>
              </w:rPr>
              <w:t>All</w:t>
            </w:r>
          </w:p>
        </w:tc>
        <w:tc>
          <w:tcPr>
            <w:tcW w:w="2520" w:type="dxa"/>
          </w:tcPr>
          <w:p w14:paraId="53D9BE95" w14:textId="77777777" w:rsidR="00C045C1" w:rsidRDefault="00C045C1" w:rsidP="00C045C1">
            <w:pPr>
              <w:pStyle w:val="TableText"/>
              <w:rPr>
                <w:rFonts w:eastAsia="Symbol"/>
              </w:rPr>
            </w:pPr>
            <w:r>
              <w:rPr>
                <w:rFonts w:eastAsia="Symbol"/>
              </w:rPr>
              <w:t>All testing where Rack is selected</w:t>
            </w:r>
          </w:p>
        </w:tc>
        <w:tc>
          <w:tcPr>
            <w:tcW w:w="1417" w:type="dxa"/>
          </w:tcPr>
          <w:p w14:paraId="637139A9" w14:textId="77777777" w:rsidR="00C045C1" w:rsidRDefault="00C045C1" w:rsidP="00C045C1">
            <w:pPr>
              <w:pStyle w:val="TableText"/>
              <w:rPr>
                <w:rFonts w:eastAsia="Symbol"/>
              </w:rPr>
            </w:pPr>
            <w:r>
              <w:t>No</w:t>
            </w:r>
          </w:p>
        </w:tc>
        <w:tc>
          <w:tcPr>
            <w:tcW w:w="1530" w:type="dxa"/>
          </w:tcPr>
          <w:p w14:paraId="09BDF8F1" w14:textId="77777777" w:rsidR="00C045C1" w:rsidRDefault="00C045C1" w:rsidP="00C045C1">
            <w:pPr>
              <w:pStyle w:val="TableText"/>
              <w:rPr>
                <w:rFonts w:eastAsia="Symbol"/>
              </w:rPr>
            </w:pPr>
            <w:r>
              <w:t>No</w:t>
            </w:r>
          </w:p>
        </w:tc>
      </w:tr>
      <w:tr w:rsidR="00C045C1" w14:paraId="50E1EC07" w14:textId="77777777" w:rsidTr="006F58C9">
        <w:trPr>
          <w:cantSplit/>
        </w:trPr>
        <w:tc>
          <w:tcPr>
            <w:tcW w:w="3235" w:type="dxa"/>
          </w:tcPr>
          <w:p w14:paraId="280CCEDB" w14:textId="77777777" w:rsidR="00C045C1" w:rsidRDefault="00C045C1" w:rsidP="00C045C1">
            <w:pPr>
              <w:pStyle w:val="TableText"/>
              <w:rPr>
                <w:rFonts w:eastAsia="Symbol"/>
              </w:rPr>
            </w:pPr>
            <w:r>
              <w:t>QC not performed on rack used for testing</w:t>
            </w:r>
          </w:p>
        </w:tc>
        <w:tc>
          <w:tcPr>
            <w:tcW w:w="1710" w:type="dxa"/>
          </w:tcPr>
          <w:p w14:paraId="0E687437" w14:textId="77777777" w:rsidR="00C045C1" w:rsidRDefault="00C045C1" w:rsidP="00C045C1">
            <w:pPr>
              <w:pStyle w:val="TableText"/>
              <w:rPr>
                <w:rFonts w:eastAsia="Symbol"/>
              </w:rPr>
            </w:pPr>
            <w:r>
              <w:rPr>
                <w:rFonts w:eastAsia="Symbol"/>
              </w:rPr>
              <w:t>All</w:t>
            </w:r>
          </w:p>
        </w:tc>
        <w:tc>
          <w:tcPr>
            <w:tcW w:w="2520" w:type="dxa"/>
          </w:tcPr>
          <w:p w14:paraId="583F0E7D" w14:textId="77777777" w:rsidR="00C045C1" w:rsidRDefault="00C045C1" w:rsidP="00C045C1">
            <w:pPr>
              <w:pStyle w:val="TableText"/>
              <w:rPr>
                <w:rFonts w:eastAsia="Symbol"/>
              </w:rPr>
            </w:pPr>
            <w:r>
              <w:rPr>
                <w:rFonts w:eastAsia="Symbol"/>
              </w:rPr>
              <w:t>All testing where Rack is selected</w:t>
            </w:r>
          </w:p>
        </w:tc>
        <w:tc>
          <w:tcPr>
            <w:tcW w:w="1417" w:type="dxa"/>
          </w:tcPr>
          <w:p w14:paraId="061BA735" w14:textId="77777777" w:rsidR="00C045C1" w:rsidRDefault="00C045C1" w:rsidP="00C045C1">
            <w:pPr>
              <w:pStyle w:val="TableText"/>
              <w:rPr>
                <w:rFonts w:eastAsia="Symbol"/>
              </w:rPr>
            </w:pPr>
            <w:r>
              <w:t>No</w:t>
            </w:r>
          </w:p>
        </w:tc>
        <w:tc>
          <w:tcPr>
            <w:tcW w:w="1530" w:type="dxa"/>
          </w:tcPr>
          <w:p w14:paraId="6DEA4EE7" w14:textId="77777777" w:rsidR="00C045C1" w:rsidRDefault="00C045C1" w:rsidP="00C045C1">
            <w:pPr>
              <w:pStyle w:val="TableText"/>
              <w:rPr>
                <w:rFonts w:eastAsia="Symbol"/>
              </w:rPr>
            </w:pPr>
            <w:r>
              <w:rPr>
                <w:rFonts w:eastAsia="Symbol"/>
              </w:rPr>
              <w:t>Yes</w:t>
            </w:r>
          </w:p>
        </w:tc>
      </w:tr>
      <w:tr w:rsidR="00C045C1" w14:paraId="0BFD4180" w14:textId="77777777" w:rsidTr="006F58C9">
        <w:trPr>
          <w:cantSplit/>
        </w:trPr>
        <w:tc>
          <w:tcPr>
            <w:tcW w:w="3235" w:type="dxa"/>
          </w:tcPr>
          <w:p w14:paraId="0628A8FB" w14:textId="77777777" w:rsidR="00C045C1" w:rsidRDefault="00C045C1" w:rsidP="00C045C1">
            <w:pPr>
              <w:pStyle w:val="TableText"/>
              <w:rPr>
                <w:rFonts w:eastAsia="Symbol"/>
              </w:rPr>
            </w:pPr>
            <w:r>
              <w:t>Reflex test ordered on expired specimen</w:t>
            </w:r>
          </w:p>
        </w:tc>
        <w:tc>
          <w:tcPr>
            <w:tcW w:w="1710" w:type="dxa"/>
          </w:tcPr>
          <w:p w14:paraId="60E74FE4" w14:textId="77777777" w:rsidR="00C045C1" w:rsidRDefault="00C045C1" w:rsidP="00C045C1">
            <w:pPr>
              <w:pStyle w:val="TableText"/>
              <w:rPr>
                <w:rFonts w:eastAsia="Symbol"/>
              </w:rPr>
            </w:pPr>
            <w:r>
              <w:rPr>
                <w:rFonts w:eastAsia="Symbol"/>
              </w:rPr>
              <w:t>All</w:t>
            </w:r>
          </w:p>
        </w:tc>
        <w:tc>
          <w:tcPr>
            <w:tcW w:w="2520" w:type="dxa"/>
          </w:tcPr>
          <w:p w14:paraId="24F0CC33" w14:textId="77777777" w:rsidR="00C045C1" w:rsidRDefault="00C045C1" w:rsidP="00C045C1">
            <w:pPr>
              <w:pStyle w:val="TableText"/>
              <w:rPr>
                <w:rFonts w:eastAsia="Symbol"/>
              </w:rPr>
            </w:pPr>
            <w:r>
              <w:rPr>
                <w:rFonts w:eastAsia="Symbol"/>
              </w:rPr>
              <w:t>Order Reflex Test</w:t>
            </w:r>
          </w:p>
        </w:tc>
        <w:tc>
          <w:tcPr>
            <w:tcW w:w="1417" w:type="dxa"/>
          </w:tcPr>
          <w:p w14:paraId="44D6895C" w14:textId="77777777" w:rsidR="00C045C1" w:rsidRDefault="00C045C1" w:rsidP="00C045C1">
            <w:pPr>
              <w:pStyle w:val="TableText"/>
              <w:rPr>
                <w:rFonts w:eastAsia="Symbol"/>
              </w:rPr>
            </w:pPr>
            <w:r>
              <w:t>No</w:t>
            </w:r>
          </w:p>
        </w:tc>
        <w:tc>
          <w:tcPr>
            <w:tcW w:w="1530" w:type="dxa"/>
          </w:tcPr>
          <w:p w14:paraId="7560572D" w14:textId="77777777" w:rsidR="00C045C1" w:rsidRDefault="00C045C1" w:rsidP="00C045C1">
            <w:pPr>
              <w:pStyle w:val="TableText"/>
              <w:rPr>
                <w:rFonts w:eastAsia="Symbol"/>
              </w:rPr>
            </w:pPr>
            <w:r>
              <w:rPr>
                <w:rFonts w:eastAsia="Symbol"/>
              </w:rPr>
              <w:t>Yes</w:t>
            </w:r>
          </w:p>
        </w:tc>
      </w:tr>
      <w:tr w:rsidR="00C045C1" w14:paraId="4E5BEB3F" w14:textId="77777777" w:rsidTr="006F58C9">
        <w:trPr>
          <w:cantSplit/>
        </w:trPr>
        <w:tc>
          <w:tcPr>
            <w:tcW w:w="3235" w:type="dxa"/>
          </w:tcPr>
          <w:p w14:paraId="0DC69190" w14:textId="77777777" w:rsidR="00C045C1" w:rsidRDefault="00C045C1" w:rsidP="00C045C1">
            <w:pPr>
              <w:pStyle w:val="TableText"/>
            </w:pPr>
            <w:r>
              <w:t>Released patient restriction</w:t>
            </w:r>
          </w:p>
        </w:tc>
        <w:tc>
          <w:tcPr>
            <w:tcW w:w="1710" w:type="dxa"/>
          </w:tcPr>
          <w:p w14:paraId="15CAEE6C" w14:textId="77777777" w:rsidR="00C045C1" w:rsidRDefault="00C045C1" w:rsidP="00C045C1">
            <w:pPr>
              <w:pStyle w:val="TableText"/>
            </w:pPr>
            <w:r>
              <w:rPr>
                <w:u w:val="single"/>
              </w:rPr>
              <w:t>&gt;</w:t>
            </w:r>
            <w:r>
              <w:t xml:space="preserve"> Enhanced Tech</w:t>
            </w:r>
          </w:p>
        </w:tc>
        <w:tc>
          <w:tcPr>
            <w:tcW w:w="2520" w:type="dxa"/>
          </w:tcPr>
          <w:p w14:paraId="2529660D" w14:textId="77777777" w:rsidR="00C045C1" w:rsidRDefault="00C045C1" w:rsidP="00C045C1">
            <w:pPr>
              <w:pStyle w:val="TableText"/>
            </w:pPr>
            <w:r>
              <w:t>Free Directed Donor</w:t>
            </w:r>
          </w:p>
        </w:tc>
        <w:tc>
          <w:tcPr>
            <w:tcW w:w="1417" w:type="dxa"/>
          </w:tcPr>
          <w:p w14:paraId="403CB8C5" w14:textId="77777777" w:rsidR="00C045C1" w:rsidRDefault="00C045C1" w:rsidP="00C045C1">
            <w:pPr>
              <w:pStyle w:val="TableText"/>
            </w:pPr>
            <w:r>
              <w:t>No</w:t>
            </w:r>
          </w:p>
        </w:tc>
        <w:tc>
          <w:tcPr>
            <w:tcW w:w="1530" w:type="dxa"/>
          </w:tcPr>
          <w:p w14:paraId="7489324F" w14:textId="77777777" w:rsidR="00C045C1" w:rsidRDefault="00C045C1" w:rsidP="00C045C1">
            <w:pPr>
              <w:pStyle w:val="TableText"/>
            </w:pPr>
            <w:r>
              <w:rPr>
                <w:rFonts w:eastAsia="Symbol"/>
              </w:rPr>
              <w:t>Yes</w:t>
            </w:r>
          </w:p>
        </w:tc>
      </w:tr>
      <w:tr w:rsidR="00C045C1" w14:paraId="2C36B1BE" w14:textId="77777777" w:rsidTr="006F58C9">
        <w:trPr>
          <w:cantSplit/>
        </w:trPr>
        <w:tc>
          <w:tcPr>
            <w:tcW w:w="3235" w:type="dxa"/>
          </w:tcPr>
          <w:p w14:paraId="375CB51E" w14:textId="77777777" w:rsidR="00C045C1" w:rsidRDefault="00C045C1" w:rsidP="00C045C1">
            <w:pPr>
              <w:pStyle w:val="TableText"/>
              <w:rPr>
                <w:rFonts w:eastAsia="Symbol"/>
              </w:rPr>
            </w:pPr>
            <w:r>
              <w:t>Retrospective update prior to last record update</w:t>
            </w:r>
          </w:p>
        </w:tc>
        <w:tc>
          <w:tcPr>
            <w:tcW w:w="1710" w:type="dxa"/>
          </w:tcPr>
          <w:p w14:paraId="7A9D0295" w14:textId="77777777" w:rsidR="00C045C1" w:rsidRDefault="00C045C1" w:rsidP="00C045C1">
            <w:pPr>
              <w:pStyle w:val="TableText"/>
              <w:rPr>
                <w:rFonts w:eastAsia="Symbol"/>
              </w:rPr>
            </w:pPr>
            <w:r>
              <w:rPr>
                <w:u w:val="single"/>
              </w:rPr>
              <w:t>&gt;</w:t>
            </w:r>
            <w:r>
              <w:t xml:space="preserve"> Lead Tech</w:t>
            </w:r>
          </w:p>
        </w:tc>
        <w:tc>
          <w:tcPr>
            <w:tcW w:w="2520" w:type="dxa"/>
          </w:tcPr>
          <w:p w14:paraId="7479014A" w14:textId="77777777" w:rsidR="00C045C1" w:rsidRDefault="00C045C1" w:rsidP="00C045C1">
            <w:pPr>
              <w:pStyle w:val="TableText"/>
              <w:rPr>
                <w:rFonts w:eastAsia="Symbol"/>
              </w:rPr>
            </w:pPr>
            <w:r>
              <w:rPr>
                <w:rFonts w:eastAsia="Symbol"/>
              </w:rPr>
              <w:t>Discard/Quarantine</w:t>
            </w:r>
          </w:p>
        </w:tc>
        <w:tc>
          <w:tcPr>
            <w:tcW w:w="1417" w:type="dxa"/>
          </w:tcPr>
          <w:p w14:paraId="61337B20" w14:textId="77777777" w:rsidR="00C045C1" w:rsidRDefault="00C045C1" w:rsidP="00C045C1">
            <w:pPr>
              <w:pStyle w:val="TableText"/>
              <w:rPr>
                <w:rFonts w:eastAsia="Symbol"/>
              </w:rPr>
            </w:pPr>
            <w:r>
              <w:rPr>
                <w:rFonts w:eastAsia="Symbol"/>
              </w:rPr>
              <w:t>Yes</w:t>
            </w:r>
          </w:p>
        </w:tc>
        <w:tc>
          <w:tcPr>
            <w:tcW w:w="1530" w:type="dxa"/>
          </w:tcPr>
          <w:p w14:paraId="0F077596" w14:textId="77777777" w:rsidR="00C045C1" w:rsidRDefault="00C045C1" w:rsidP="00C045C1">
            <w:pPr>
              <w:pStyle w:val="TableText"/>
              <w:rPr>
                <w:rFonts w:eastAsia="Symbol"/>
              </w:rPr>
            </w:pPr>
            <w:r>
              <w:t>No</w:t>
            </w:r>
          </w:p>
        </w:tc>
      </w:tr>
      <w:tr w:rsidR="00C045C1" w14:paraId="3C2B642E" w14:textId="77777777" w:rsidTr="006F58C9">
        <w:trPr>
          <w:cantSplit/>
        </w:trPr>
        <w:tc>
          <w:tcPr>
            <w:tcW w:w="3235" w:type="dxa"/>
          </w:tcPr>
          <w:p w14:paraId="494D8CFB" w14:textId="77777777" w:rsidR="00C045C1" w:rsidRDefault="00C045C1" w:rsidP="00C045C1">
            <w:pPr>
              <w:pStyle w:val="TableText"/>
            </w:pPr>
            <w:r>
              <w:t xml:space="preserve">Rh positive units selected </w:t>
            </w:r>
          </w:p>
        </w:tc>
        <w:tc>
          <w:tcPr>
            <w:tcW w:w="1710" w:type="dxa"/>
          </w:tcPr>
          <w:p w14:paraId="3F26538C" w14:textId="77777777" w:rsidR="00C045C1" w:rsidRDefault="00C045C1" w:rsidP="00C045C1">
            <w:pPr>
              <w:pStyle w:val="TableText"/>
            </w:pPr>
            <w:r>
              <w:rPr>
                <w:rFonts w:eastAsia="Symbol"/>
              </w:rPr>
              <w:t>All</w:t>
            </w:r>
          </w:p>
        </w:tc>
        <w:tc>
          <w:tcPr>
            <w:tcW w:w="2520" w:type="dxa"/>
          </w:tcPr>
          <w:p w14:paraId="3C5FFDF2" w14:textId="77777777" w:rsidR="00C045C1" w:rsidRDefault="00C045C1" w:rsidP="00C045C1">
            <w:pPr>
              <w:pStyle w:val="TableText"/>
            </w:pPr>
            <w:r>
              <w:t>Select Units</w:t>
            </w:r>
          </w:p>
        </w:tc>
        <w:tc>
          <w:tcPr>
            <w:tcW w:w="1417" w:type="dxa"/>
          </w:tcPr>
          <w:p w14:paraId="499E0FD2" w14:textId="77777777" w:rsidR="00C045C1" w:rsidRDefault="00C045C1" w:rsidP="00C045C1">
            <w:pPr>
              <w:pStyle w:val="TableText"/>
            </w:pPr>
            <w:r>
              <w:t>No</w:t>
            </w:r>
          </w:p>
        </w:tc>
        <w:tc>
          <w:tcPr>
            <w:tcW w:w="1530" w:type="dxa"/>
          </w:tcPr>
          <w:p w14:paraId="4FD1BC23" w14:textId="77777777" w:rsidR="00C045C1" w:rsidRDefault="00C045C1" w:rsidP="00C045C1">
            <w:pPr>
              <w:pStyle w:val="TableText"/>
            </w:pPr>
            <w:r>
              <w:rPr>
                <w:rFonts w:eastAsia="Symbol"/>
              </w:rPr>
              <w:t>Yes</w:t>
            </w:r>
          </w:p>
        </w:tc>
      </w:tr>
      <w:tr w:rsidR="00C045C1" w14:paraId="4C217957" w14:textId="77777777" w:rsidTr="006F58C9">
        <w:trPr>
          <w:cantSplit/>
        </w:trPr>
        <w:tc>
          <w:tcPr>
            <w:tcW w:w="3235" w:type="dxa"/>
          </w:tcPr>
          <w:p w14:paraId="67AF0DE7" w14:textId="77777777" w:rsidR="00C045C1" w:rsidRDefault="00C045C1" w:rsidP="00C045C1">
            <w:pPr>
              <w:pStyle w:val="TableText"/>
              <w:rPr>
                <w:rFonts w:eastAsia="Symbol"/>
              </w:rPr>
            </w:pPr>
            <w:r>
              <w:t>Specimen expiration date extended</w:t>
            </w:r>
          </w:p>
        </w:tc>
        <w:tc>
          <w:tcPr>
            <w:tcW w:w="1710" w:type="dxa"/>
          </w:tcPr>
          <w:p w14:paraId="41B544EA" w14:textId="77777777" w:rsidR="00C045C1" w:rsidRDefault="00C045C1" w:rsidP="00C045C1">
            <w:pPr>
              <w:pStyle w:val="TableText"/>
              <w:rPr>
                <w:rFonts w:eastAsia="Symbol"/>
              </w:rPr>
            </w:pPr>
            <w:r>
              <w:rPr>
                <w:rFonts w:eastAsia="Symbol"/>
              </w:rPr>
              <w:t>All</w:t>
            </w:r>
          </w:p>
        </w:tc>
        <w:tc>
          <w:tcPr>
            <w:tcW w:w="2520" w:type="dxa"/>
          </w:tcPr>
          <w:p w14:paraId="6221915C" w14:textId="77777777" w:rsidR="00C045C1" w:rsidRDefault="00C045C1" w:rsidP="00C045C1">
            <w:pPr>
              <w:pStyle w:val="TableText"/>
              <w:rPr>
                <w:rFonts w:eastAsia="Symbol"/>
              </w:rPr>
            </w:pPr>
            <w:r>
              <w:rPr>
                <w:rFonts w:eastAsia="Symbol"/>
              </w:rPr>
              <w:t>Maintain Specimen</w:t>
            </w:r>
          </w:p>
        </w:tc>
        <w:tc>
          <w:tcPr>
            <w:tcW w:w="1417" w:type="dxa"/>
          </w:tcPr>
          <w:p w14:paraId="3CD253C8" w14:textId="77777777" w:rsidR="00C045C1" w:rsidRDefault="00C045C1" w:rsidP="00C045C1">
            <w:pPr>
              <w:pStyle w:val="TableText"/>
              <w:rPr>
                <w:rFonts w:eastAsia="Symbol"/>
              </w:rPr>
            </w:pPr>
            <w:r>
              <w:t>No</w:t>
            </w:r>
          </w:p>
        </w:tc>
        <w:tc>
          <w:tcPr>
            <w:tcW w:w="1530" w:type="dxa"/>
          </w:tcPr>
          <w:p w14:paraId="6BE505EE" w14:textId="77777777" w:rsidR="00C045C1" w:rsidRDefault="00C045C1" w:rsidP="00C045C1">
            <w:pPr>
              <w:pStyle w:val="TableText"/>
              <w:rPr>
                <w:rFonts w:eastAsia="Symbol"/>
              </w:rPr>
            </w:pPr>
            <w:r>
              <w:rPr>
                <w:rFonts w:eastAsia="Symbol"/>
              </w:rPr>
              <w:t>Yes</w:t>
            </w:r>
          </w:p>
        </w:tc>
      </w:tr>
      <w:tr w:rsidR="00C045C1" w14:paraId="1F60F710" w14:textId="77777777" w:rsidTr="006F58C9">
        <w:trPr>
          <w:cantSplit/>
        </w:trPr>
        <w:tc>
          <w:tcPr>
            <w:tcW w:w="3235" w:type="dxa"/>
          </w:tcPr>
          <w:p w14:paraId="3B38DE70" w14:textId="77777777" w:rsidR="00C045C1" w:rsidRDefault="00C045C1" w:rsidP="00C045C1">
            <w:pPr>
              <w:pStyle w:val="TableText"/>
              <w:rPr>
                <w:rFonts w:eastAsia="Symbol"/>
              </w:rPr>
            </w:pPr>
            <w:r>
              <w:t>Target product label failed checks</w:t>
            </w:r>
          </w:p>
        </w:tc>
        <w:tc>
          <w:tcPr>
            <w:tcW w:w="1710" w:type="dxa"/>
          </w:tcPr>
          <w:p w14:paraId="0FBA54BE" w14:textId="77777777" w:rsidR="00C045C1" w:rsidRDefault="00C045C1" w:rsidP="00C045C1">
            <w:pPr>
              <w:pStyle w:val="TableText"/>
              <w:rPr>
                <w:rFonts w:eastAsia="Symbol"/>
              </w:rPr>
            </w:pPr>
            <w:r>
              <w:rPr>
                <w:rFonts w:eastAsia="Symbol"/>
              </w:rPr>
              <w:t>All</w:t>
            </w:r>
          </w:p>
        </w:tc>
        <w:tc>
          <w:tcPr>
            <w:tcW w:w="2520" w:type="dxa"/>
          </w:tcPr>
          <w:p w14:paraId="7A51BFA2" w14:textId="77777777" w:rsidR="00C045C1" w:rsidRDefault="00C045C1" w:rsidP="00C045C1">
            <w:pPr>
              <w:pStyle w:val="TableText"/>
              <w:rPr>
                <w:rFonts w:eastAsia="Symbol"/>
              </w:rPr>
            </w:pPr>
            <w:r>
              <w:rPr>
                <w:rFonts w:eastAsia="Symbol"/>
              </w:rPr>
              <w:t>All modification processes</w:t>
            </w:r>
          </w:p>
        </w:tc>
        <w:tc>
          <w:tcPr>
            <w:tcW w:w="1417" w:type="dxa"/>
          </w:tcPr>
          <w:p w14:paraId="2D31960D" w14:textId="77777777" w:rsidR="00C045C1" w:rsidRDefault="00C045C1" w:rsidP="00C045C1">
            <w:pPr>
              <w:pStyle w:val="TableText"/>
              <w:rPr>
                <w:rFonts w:eastAsia="Symbol"/>
              </w:rPr>
            </w:pPr>
            <w:r>
              <w:t>Yes</w:t>
            </w:r>
          </w:p>
        </w:tc>
        <w:tc>
          <w:tcPr>
            <w:tcW w:w="1530" w:type="dxa"/>
          </w:tcPr>
          <w:p w14:paraId="62562F49" w14:textId="77777777" w:rsidR="00C045C1" w:rsidRDefault="00C045C1" w:rsidP="00C045C1">
            <w:pPr>
              <w:pStyle w:val="TableText"/>
              <w:rPr>
                <w:rFonts w:eastAsia="Symbol"/>
              </w:rPr>
            </w:pPr>
            <w:r>
              <w:t>No</w:t>
            </w:r>
          </w:p>
        </w:tc>
      </w:tr>
      <w:tr w:rsidR="00C045C1" w14:paraId="29BCDB36" w14:textId="77777777" w:rsidTr="006F58C9">
        <w:trPr>
          <w:cantSplit/>
        </w:trPr>
        <w:tc>
          <w:tcPr>
            <w:tcW w:w="3235" w:type="dxa"/>
          </w:tcPr>
          <w:p w14:paraId="65F2D7BC" w14:textId="77777777" w:rsidR="00C045C1" w:rsidRDefault="00C045C1" w:rsidP="00C045C1">
            <w:pPr>
              <w:pStyle w:val="TableText"/>
              <w:rPr>
                <w:rFonts w:eastAsia="Symbol"/>
              </w:rPr>
            </w:pPr>
            <w:r>
              <w:t>Target product outdate extended</w:t>
            </w:r>
          </w:p>
        </w:tc>
        <w:tc>
          <w:tcPr>
            <w:tcW w:w="1710" w:type="dxa"/>
          </w:tcPr>
          <w:p w14:paraId="304B269B" w14:textId="77777777" w:rsidR="00C045C1" w:rsidRDefault="00C045C1" w:rsidP="00C045C1">
            <w:pPr>
              <w:pStyle w:val="TableText"/>
              <w:rPr>
                <w:rFonts w:eastAsia="Symbol"/>
              </w:rPr>
            </w:pPr>
            <w:r>
              <w:rPr>
                <w:u w:val="single"/>
              </w:rPr>
              <w:t>&gt;</w:t>
            </w:r>
            <w:r>
              <w:t xml:space="preserve"> Enhanced Tech</w:t>
            </w:r>
          </w:p>
        </w:tc>
        <w:tc>
          <w:tcPr>
            <w:tcW w:w="2520" w:type="dxa"/>
          </w:tcPr>
          <w:p w14:paraId="4E14E3F2" w14:textId="77777777" w:rsidR="00C045C1" w:rsidRDefault="00C045C1" w:rsidP="00C045C1">
            <w:pPr>
              <w:pStyle w:val="TableText"/>
              <w:rPr>
                <w:rFonts w:eastAsia="Symbol"/>
              </w:rPr>
            </w:pPr>
            <w:r>
              <w:rPr>
                <w:rFonts w:eastAsia="Symbol"/>
              </w:rPr>
              <w:t>All modification processes</w:t>
            </w:r>
          </w:p>
        </w:tc>
        <w:tc>
          <w:tcPr>
            <w:tcW w:w="1417" w:type="dxa"/>
          </w:tcPr>
          <w:p w14:paraId="12799A60" w14:textId="77777777" w:rsidR="00C045C1" w:rsidRDefault="00C045C1" w:rsidP="00C045C1">
            <w:pPr>
              <w:pStyle w:val="TableText"/>
              <w:rPr>
                <w:rFonts w:eastAsia="Symbol"/>
              </w:rPr>
            </w:pPr>
            <w:r>
              <w:t>Yes</w:t>
            </w:r>
          </w:p>
        </w:tc>
        <w:tc>
          <w:tcPr>
            <w:tcW w:w="1530" w:type="dxa"/>
          </w:tcPr>
          <w:p w14:paraId="5E241816" w14:textId="77777777" w:rsidR="00C045C1" w:rsidRDefault="00C045C1" w:rsidP="00C045C1">
            <w:pPr>
              <w:pStyle w:val="TableText"/>
              <w:rPr>
                <w:rFonts w:eastAsia="Symbol"/>
              </w:rPr>
            </w:pPr>
            <w:r>
              <w:t>No</w:t>
            </w:r>
          </w:p>
        </w:tc>
      </w:tr>
      <w:tr w:rsidR="00C045C1" w14:paraId="5B547CA4" w14:textId="77777777" w:rsidTr="006F58C9">
        <w:trPr>
          <w:cantSplit/>
        </w:trPr>
        <w:tc>
          <w:tcPr>
            <w:tcW w:w="3235" w:type="dxa"/>
          </w:tcPr>
          <w:p w14:paraId="4D326A94" w14:textId="77777777" w:rsidR="00C045C1" w:rsidRDefault="00C045C1" w:rsidP="00C045C1">
            <w:pPr>
              <w:pStyle w:val="TableText"/>
            </w:pPr>
            <w:r>
              <w:t>Transfusion Reaction Workup</w:t>
            </w:r>
          </w:p>
        </w:tc>
        <w:tc>
          <w:tcPr>
            <w:tcW w:w="1710" w:type="dxa"/>
          </w:tcPr>
          <w:p w14:paraId="222F7FF1" w14:textId="77777777" w:rsidR="00C045C1" w:rsidRDefault="00C045C1" w:rsidP="00C045C1">
            <w:pPr>
              <w:pStyle w:val="TableText"/>
            </w:pPr>
            <w:r>
              <w:rPr>
                <w:rFonts w:eastAsia="Symbol"/>
              </w:rPr>
              <w:t>All</w:t>
            </w:r>
          </w:p>
        </w:tc>
        <w:tc>
          <w:tcPr>
            <w:tcW w:w="2520" w:type="dxa"/>
          </w:tcPr>
          <w:p w14:paraId="134C01AB" w14:textId="77777777" w:rsidR="00C045C1" w:rsidRDefault="00C045C1" w:rsidP="00C045C1">
            <w:pPr>
              <w:pStyle w:val="TableText"/>
            </w:pPr>
            <w:r>
              <w:t>Transfusion Reaction Workup</w:t>
            </w:r>
          </w:p>
        </w:tc>
        <w:tc>
          <w:tcPr>
            <w:tcW w:w="1417" w:type="dxa"/>
          </w:tcPr>
          <w:p w14:paraId="65E8AAAD" w14:textId="77777777" w:rsidR="00C045C1" w:rsidRDefault="00C045C1" w:rsidP="00C045C1">
            <w:pPr>
              <w:pStyle w:val="TableText"/>
              <w:rPr>
                <w:rFonts w:eastAsia="Symbol"/>
              </w:rPr>
            </w:pPr>
            <w:r>
              <w:t>No</w:t>
            </w:r>
          </w:p>
        </w:tc>
        <w:tc>
          <w:tcPr>
            <w:tcW w:w="1530" w:type="dxa"/>
          </w:tcPr>
          <w:p w14:paraId="29E89979" w14:textId="77777777" w:rsidR="00C045C1" w:rsidRDefault="00C045C1" w:rsidP="00C045C1">
            <w:pPr>
              <w:pStyle w:val="TableText"/>
              <w:rPr>
                <w:rFonts w:eastAsia="Symbol"/>
              </w:rPr>
            </w:pPr>
            <w:r>
              <w:rPr>
                <w:rFonts w:eastAsia="Symbol"/>
              </w:rPr>
              <w:t>Yes</w:t>
            </w:r>
          </w:p>
        </w:tc>
      </w:tr>
      <w:tr w:rsidR="00C045C1" w14:paraId="41E9029E" w14:textId="77777777" w:rsidTr="006F58C9">
        <w:trPr>
          <w:cantSplit/>
        </w:trPr>
        <w:tc>
          <w:tcPr>
            <w:tcW w:w="3235" w:type="dxa"/>
          </w:tcPr>
          <w:p w14:paraId="533E7692" w14:textId="77777777" w:rsidR="00C045C1" w:rsidRDefault="00C045C1" w:rsidP="00C045C1">
            <w:pPr>
              <w:pStyle w:val="TableText"/>
              <w:rPr>
                <w:rFonts w:eastAsia="Symbol"/>
              </w:rPr>
            </w:pPr>
            <w:r>
              <w:t>Transfusion Requirement incompatible unit selected</w:t>
            </w:r>
          </w:p>
        </w:tc>
        <w:tc>
          <w:tcPr>
            <w:tcW w:w="1710" w:type="dxa"/>
          </w:tcPr>
          <w:p w14:paraId="1E579476" w14:textId="77777777" w:rsidR="00C045C1" w:rsidRDefault="00C045C1" w:rsidP="00C045C1">
            <w:pPr>
              <w:pStyle w:val="TableText"/>
              <w:rPr>
                <w:rFonts w:eastAsia="Symbol"/>
              </w:rPr>
            </w:pPr>
            <w:r>
              <w:rPr>
                <w:u w:val="single"/>
              </w:rPr>
              <w:t>&gt;</w:t>
            </w:r>
            <w:r>
              <w:t xml:space="preserve"> Lead Tech</w:t>
            </w:r>
          </w:p>
        </w:tc>
        <w:tc>
          <w:tcPr>
            <w:tcW w:w="2520" w:type="dxa"/>
          </w:tcPr>
          <w:p w14:paraId="20E7290B" w14:textId="77777777" w:rsidR="00C045C1" w:rsidRDefault="00C045C1" w:rsidP="00C045C1">
            <w:pPr>
              <w:pStyle w:val="TableText"/>
              <w:rPr>
                <w:rFonts w:eastAsia="Symbol"/>
              </w:rPr>
            </w:pPr>
            <w:r>
              <w:rPr>
                <w:rFonts w:eastAsia="Symbol"/>
              </w:rPr>
              <w:t>Select Unit</w:t>
            </w:r>
          </w:p>
        </w:tc>
        <w:tc>
          <w:tcPr>
            <w:tcW w:w="1417" w:type="dxa"/>
          </w:tcPr>
          <w:p w14:paraId="5F1E4AFC" w14:textId="77777777" w:rsidR="00C045C1" w:rsidRDefault="00C045C1" w:rsidP="00C045C1">
            <w:pPr>
              <w:pStyle w:val="TableText"/>
              <w:rPr>
                <w:rFonts w:eastAsia="Symbol"/>
              </w:rPr>
            </w:pPr>
            <w:r>
              <w:t>No</w:t>
            </w:r>
          </w:p>
        </w:tc>
        <w:tc>
          <w:tcPr>
            <w:tcW w:w="1530" w:type="dxa"/>
          </w:tcPr>
          <w:p w14:paraId="282F8409" w14:textId="77777777" w:rsidR="00C045C1" w:rsidRDefault="00C045C1" w:rsidP="00C045C1">
            <w:pPr>
              <w:pStyle w:val="TableText"/>
              <w:rPr>
                <w:rFonts w:eastAsia="Symbol"/>
              </w:rPr>
            </w:pPr>
            <w:r>
              <w:rPr>
                <w:rFonts w:eastAsia="Symbol"/>
              </w:rPr>
              <w:t>Yes</w:t>
            </w:r>
          </w:p>
        </w:tc>
      </w:tr>
      <w:tr w:rsidR="00C045C1" w14:paraId="08710EC3" w14:textId="77777777" w:rsidTr="006F58C9">
        <w:trPr>
          <w:cantSplit/>
        </w:trPr>
        <w:tc>
          <w:tcPr>
            <w:tcW w:w="3235" w:type="dxa"/>
          </w:tcPr>
          <w:p w14:paraId="23164DD4" w14:textId="77777777" w:rsidR="00C045C1" w:rsidRDefault="00C045C1" w:rsidP="00C045C1">
            <w:pPr>
              <w:pStyle w:val="TableText"/>
              <w:rPr>
                <w:rFonts w:eastAsia="Symbol"/>
              </w:rPr>
            </w:pPr>
            <w:r>
              <w:t>Unacceptable/expired specimen used</w:t>
            </w:r>
          </w:p>
        </w:tc>
        <w:tc>
          <w:tcPr>
            <w:tcW w:w="1710" w:type="dxa"/>
          </w:tcPr>
          <w:p w14:paraId="29B47D1B" w14:textId="77777777" w:rsidR="00C045C1" w:rsidRDefault="00C045C1" w:rsidP="00C045C1">
            <w:pPr>
              <w:pStyle w:val="TableText"/>
              <w:rPr>
                <w:rFonts w:eastAsia="Symbol"/>
              </w:rPr>
            </w:pPr>
            <w:r>
              <w:rPr>
                <w:rFonts w:eastAsia="Symbol"/>
              </w:rPr>
              <w:t>All</w:t>
            </w:r>
          </w:p>
        </w:tc>
        <w:tc>
          <w:tcPr>
            <w:tcW w:w="2520" w:type="dxa"/>
          </w:tcPr>
          <w:p w14:paraId="0C304C67" w14:textId="77777777" w:rsidR="00C045C1" w:rsidRDefault="00C045C1" w:rsidP="00C045C1">
            <w:pPr>
              <w:pStyle w:val="TableText"/>
              <w:rPr>
                <w:rFonts w:eastAsia="Symbol"/>
              </w:rPr>
            </w:pPr>
            <w:r>
              <w:rPr>
                <w:rFonts w:eastAsia="Symbol"/>
              </w:rPr>
              <w:t>Patient Testing</w:t>
            </w:r>
          </w:p>
        </w:tc>
        <w:tc>
          <w:tcPr>
            <w:tcW w:w="1417" w:type="dxa"/>
          </w:tcPr>
          <w:p w14:paraId="33EFCBDB" w14:textId="77777777" w:rsidR="00C045C1" w:rsidRDefault="00C045C1" w:rsidP="00C045C1">
            <w:pPr>
              <w:pStyle w:val="TableText"/>
              <w:rPr>
                <w:rFonts w:eastAsia="Symbol"/>
              </w:rPr>
            </w:pPr>
            <w:r>
              <w:t>No</w:t>
            </w:r>
          </w:p>
        </w:tc>
        <w:tc>
          <w:tcPr>
            <w:tcW w:w="1530" w:type="dxa"/>
          </w:tcPr>
          <w:p w14:paraId="116C727E" w14:textId="77777777" w:rsidR="00C045C1" w:rsidRDefault="00C045C1" w:rsidP="00C045C1">
            <w:pPr>
              <w:pStyle w:val="TableText"/>
              <w:rPr>
                <w:rFonts w:eastAsia="Symbol"/>
              </w:rPr>
            </w:pPr>
            <w:r>
              <w:rPr>
                <w:rFonts w:eastAsia="Symbol"/>
              </w:rPr>
              <w:t>Yes</w:t>
            </w:r>
          </w:p>
        </w:tc>
      </w:tr>
      <w:tr w:rsidR="00C045C1" w14:paraId="70475577" w14:textId="77777777" w:rsidTr="006F58C9">
        <w:trPr>
          <w:cantSplit/>
        </w:trPr>
        <w:tc>
          <w:tcPr>
            <w:tcW w:w="3235" w:type="dxa"/>
          </w:tcPr>
          <w:p w14:paraId="74501126" w14:textId="77777777" w:rsidR="00C045C1" w:rsidRDefault="00C045C1" w:rsidP="00C045C1">
            <w:pPr>
              <w:pStyle w:val="TableText"/>
              <w:rPr>
                <w:rFonts w:eastAsia="Symbol"/>
              </w:rPr>
            </w:pPr>
            <w:r>
              <w:t>Unit ABO/Rh confirmation inconclusive, unit quarantined</w:t>
            </w:r>
          </w:p>
        </w:tc>
        <w:tc>
          <w:tcPr>
            <w:tcW w:w="1710" w:type="dxa"/>
          </w:tcPr>
          <w:p w14:paraId="3EAED57E" w14:textId="77777777" w:rsidR="00C045C1" w:rsidRDefault="00C045C1" w:rsidP="00C045C1">
            <w:pPr>
              <w:pStyle w:val="TableText"/>
              <w:rPr>
                <w:rFonts w:eastAsia="Symbol"/>
              </w:rPr>
            </w:pPr>
            <w:r>
              <w:rPr>
                <w:rFonts w:eastAsia="Symbol"/>
              </w:rPr>
              <w:t>All</w:t>
            </w:r>
          </w:p>
        </w:tc>
        <w:tc>
          <w:tcPr>
            <w:tcW w:w="2520" w:type="dxa"/>
          </w:tcPr>
          <w:p w14:paraId="544111D2" w14:textId="77777777" w:rsidR="00C045C1" w:rsidRDefault="00C045C1" w:rsidP="00C045C1">
            <w:pPr>
              <w:pStyle w:val="TableText"/>
              <w:rPr>
                <w:rFonts w:eastAsia="Symbol"/>
              </w:rPr>
            </w:pPr>
            <w:r>
              <w:rPr>
                <w:rFonts w:eastAsia="Symbol"/>
              </w:rPr>
              <w:t>ABO/Rh Confirmation</w:t>
            </w:r>
          </w:p>
        </w:tc>
        <w:tc>
          <w:tcPr>
            <w:tcW w:w="1417" w:type="dxa"/>
          </w:tcPr>
          <w:p w14:paraId="5F559754" w14:textId="77777777" w:rsidR="00C045C1" w:rsidRDefault="00C045C1" w:rsidP="00C045C1">
            <w:pPr>
              <w:pStyle w:val="TableText"/>
              <w:rPr>
                <w:rFonts w:eastAsia="Symbol"/>
              </w:rPr>
            </w:pPr>
            <w:r>
              <w:t>Yes</w:t>
            </w:r>
          </w:p>
        </w:tc>
        <w:tc>
          <w:tcPr>
            <w:tcW w:w="1530" w:type="dxa"/>
          </w:tcPr>
          <w:p w14:paraId="719B5CE3" w14:textId="77777777" w:rsidR="00C045C1" w:rsidRDefault="00C045C1" w:rsidP="00C045C1">
            <w:pPr>
              <w:pStyle w:val="TableText"/>
              <w:rPr>
                <w:rFonts w:eastAsia="Symbol"/>
              </w:rPr>
            </w:pPr>
            <w:r>
              <w:t>No</w:t>
            </w:r>
          </w:p>
        </w:tc>
      </w:tr>
      <w:tr w:rsidR="00C045C1" w14:paraId="7EAFA872" w14:textId="77777777" w:rsidTr="006F58C9">
        <w:trPr>
          <w:cantSplit/>
        </w:trPr>
        <w:tc>
          <w:tcPr>
            <w:tcW w:w="3235" w:type="dxa"/>
          </w:tcPr>
          <w:p w14:paraId="7BA6B0BC" w14:textId="77777777" w:rsidR="00C045C1" w:rsidRDefault="00C045C1" w:rsidP="00C045C1">
            <w:pPr>
              <w:pStyle w:val="TableText"/>
              <w:rPr>
                <w:rFonts w:eastAsia="Symbol"/>
              </w:rPr>
            </w:pPr>
            <w:r>
              <w:t>Unit ABO/Rh log-in vs. confirmation do not match, unit quarantined</w:t>
            </w:r>
          </w:p>
        </w:tc>
        <w:tc>
          <w:tcPr>
            <w:tcW w:w="1710" w:type="dxa"/>
          </w:tcPr>
          <w:p w14:paraId="44D71BE6" w14:textId="77777777" w:rsidR="00C045C1" w:rsidRDefault="00C045C1" w:rsidP="00C045C1">
            <w:pPr>
              <w:pStyle w:val="TableText"/>
              <w:rPr>
                <w:rFonts w:eastAsia="Symbol"/>
              </w:rPr>
            </w:pPr>
            <w:r>
              <w:rPr>
                <w:rFonts w:eastAsia="Symbol"/>
              </w:rPr>
              <w:t>All</w:t>
            </w:r>
          </w:p>
        </w:tc>
        <w:tc>
          <w:tcPr>
            <w:tcW w:w="2520" w:type="dxa"/>
          </w:tcPr>
          <w:p w14:paraId="0B562D49" w14:textId="77777777" w:rsidR="00C045C1" w:rsidRDefault="00C045C1" w:rsidP="00C045C1">
            <w:pPr>
              <w:pStyle w:val="TableText"/>
              <w:rPr>
                <w:rFonts w:eastAsia="Symbol"/>
              </w:rPr>
            </w:pPr>
            <w:r>
              <w:rPr>
                <w:rFonts w:eastAsia="Symbol"/>
              </w:rPr>
              <w:t>ABO/Rh Confirmation</w:t>
            </w:r>
          </w:p>
        </w:tc>
        <w:tc>
          <w:tcPr>
            <w:tcW w:w="1417" w:type="dxa"/>
          </w:tcPr>
          <w:p w14:paraId="0413FE20" w14:textId="77777777" w:rsidR="00C045C1" w:rsidRDefault="00C045C1" w:rsidP="00C045C1">
            <w:pPr>
              <w:pStyle w:val="TableText"/>
              <w:rPr>
                <w:rFonts w:eastAsia="Symbol"/>
              </w:rPr>
            </w:pPr>
            <w:r>
              <w:t>Yes</w:t>
            </w:r>
          </w:p>
        </w:tc>
        <w:tc>
          <w:tcPr>
            <w:tcW w:w="1530" w:type="dxa"/>
          </w:tcPr>
          <w:p w14:paraId="0E08B25F" w14:textId="77777777" w:rsidR="00C045C1" w:rsidRDefault="00C045C1" w:rsidP="00C045C1">
            <w:pPr>
              <w:pStyle w:val="TableText"/>
              <w:rPr>
                <w:rFonts w:eastAsia="Symbol"/>
              </w:rPr>
            </w:pPr>
            <w:r>
              <w:t>No</w:t>
            </w:r>
          </w:p>
        </w:tc>
      </w:tr>
      <w:tr w:rsidR="00C045C1" w14:paraId="25CD5722" w14:textId="77777777" w:rsidTr="006F58C9">
        <w:trPr>
          <w:cantSplit/>
        </w:trPr>
        <w:tc>
          <w:tcPr>
            <w:tcW w:w="3235" w:type="dxa"/>
          </w:tcPr>
          <w:p w14:paraId="33DE17A0" w14:textId="77777777" w:rsidR="00C045C1" w:rsidRDefault="00C045C1" w:rsidP="00C045C1">
            <w:pPr>
              <w:pStyle w:val="TableText"/>
              <w:rPr>
                <w:rFonts w:eastAsia="Symbol"/>
              </w:rPr>
            </w:pPr>
            <w:r>
              <w:t>Unit discarded</w:t>
            </w:r>
          </w:p>
        </w:tc>
        <w:tc>
          <w:tcPr>
            <w:tcW w:w="1710" w:type="dxa"/>
          </w:tcPr>
          <w:p w14:paraId="6A3D127D" w14:textId="77777777" w:rsidR="00C045C1" w:rsidRDefault="00C045C1" w:rsidP="00C045C1">
            <w:pPr>
              <w:pStyle w:val="TableText"/>
              <w:rPr>
                <w:rFonts w:eastAsia="Symbol"/>
              </w:rPr>
            </w:pPr>
            <w:r>
              <w:rPr>
                <w:rFonts w:eastAsia="Symbol"/>
              </w:rPr>
              <w:t>All</w:t>
            </w:r>
          </w:p>
        </w:tc>
        <w:tc>
          <w:tcPr>
            <w:tcW w:w="2520" w:type="dxa"/>
          </w:tcPr>
          <w:p w14:paraId="43FB3C8C" w14:textId="77777777" w:rsidR="00C045C1" w:rsidRDefault="00C045C1" w:rsidP="00C045C1">
            <w:pPr>
              <w:pStyle w:val="TableText"/>
              <w:rPr>
                <w:rFonts w:eastAsia="Symbol"/>
              </w:rPr>
            </w:pPr>
            <w:r>
              <w:rPr>
                <w:rFonts w:eastAsia="Symbol"/>
              </w:rPr>
              <w:t>Discard</w:t>
            </w:r>
          </w:p>
        </w:tc>
        <w:tc>
          <w:tcPr>
            <w:tcW w:w="1417" w:type="dxa"/>
          </w:tcPr>
          <w:p w14:paraId="184E995C" w14:textId="77777777" w:rsidR="00C045C1" w:rsidRDefault="00C045C1" w:rsidP="00C045C1">
            <w:pPr>
              <w:pStyle w:val="TableText"/>
              <w:rPr>
                <w:rFonts w:eastAsia="Symbol"/>
              </w:rPr>
            </w:pPr>
            <w:r>
              <w:t>Yes</w:t>
            </w:r>
          </w:p>
        </w:tc>
        <w:tc>
          <w:tcPr>
            <w:tcW w:w="1530" w:type="dxa"/>
          </w:tcPr>
          <w:p w14:paraId="1A5E1160" w14:textId="77777777" w:rsidR="00C045C1" w:rsidRDefault="00C045C1" w:rsidP="00C045C1">
            <w:pPr>
              <w:pStyle w:val="TableText"/>
              <w:rPr>
                <w:rFonts w:eastAsia="Symbol"/>
              </w:rPr>
            </w:pPr>
            <w:r>
              <w:t>No</w:t>
            </w:r>
          </w:p>
        </w:tc>
      </w:tr>
      <w:tr w:rsidR="00C045C1" w14:paraId="46BFE4F6" w14:textId="77777777" w:rsidTr="006F58C9">
        <w:trPr>
          <w:cantSplit/>
        </w:trPr>
        <w:tc>
          <w:tcPr>
            <w:tcW w:w="3235" w:type="dxa"/>
          </w:tcPr>
          <w:p w14:paraId="51948339" w14:textId="39768F1C" w:rsidR="00C045C1" w:rsidRDefault="00C045C1" w:rsidP="00C045C1">
            <w:pPr>
              <w:pStyle w:val="TableText"/>
            </w:pPr>
            <w:r>
              <w:t>Unit issued, testing problem</w:t>
            </w:r>
          </w:p>
        </w:tc>
        <w:tc>
          <w:tcPr>
            <w:tcW w:w="1710" w:type="dxa"/>
          </w:tcPr>
          <w:p w14:paraId="497B13AC" w14:textId="77777777" w:rsidR="00C045C1" w:rsidRDefault="00C045C1" w:rsidP="00C045C1">
            <w:pPr>
              <w:pStyle w:val="TableText"/>
            </w:pPr>
            <w:r>
              <w:rPr>
                <w:rFonts w:eastAsia="Symbol"/>
              </w:rPr>
              <w:t>All</w:t>
            </w:r>
          </w:p>
        </w:tc>
        <w:tc>
          <w:tcPr>
            <w:tcW w:w="2520" w:type="dxa"/>
          </w:tcPr>
          <w:p w14:paraId="11AE91E4" w14:textId="77777777" w:rsidR="00C045C1" w:rsidRDefault="00C045C1" w:rsidP="00C045C1">
            <w:pPr>
              <w:pStyle w:val="TableText"/>
            </w:pPr>
            <w:r>
              <w:t>Patient testing, unit antigen typing</w:t>
            </w:r>
          </w:p>
        </w:tc>
        <w:tc>
          <w:tcPr>
            <w:tcW w:w="1417" w:type="dxa"/>
          </w:tcPr>
          <w:p w14:paraId="711F9A96" w14:textId="77777777" w:rsidR="00C045C1" w:rsidRDefault="00C045C1" w:rsidP="00C045C1">
            <w:pPr>
              <w:pStyle w:val="TableText"/>
              <w:rPr>
                <w:rFonts w:eastAsia="Symbol"/>
              </w:rPr>
            </w:pPr>
            <w:r>
              <w:t>No</w:t>
            </w:r>
          </w:p>
        </w:tc>
        <w:tc>
          <w:tcPr>
            <w:tcW w:w="1530" w:type="dxa"/>
          </w:tcPr>
          <w:p w14:paraId="647A66A0" w14:textId="77777777" w:rsidR="00C045C1" w:rsidRDefault="00C045C1" w:rsidP="00C045C1">
            <w:pPr>
              <w:pStyle w:val="TableText"/>
              <w:rPr>
                <w:rFonts w:eastAsia="Symbol"/>
              </w:rPr>
            </w:pPr>
            <w:r>
              <w:rPr>
                <w:rFonts w:eastAsia="Symbol"/>
              </w:rPr>
              <w:t>Yes</w:t>
            </w:r>
          </w:p>
        </w:tc>
      </w:tr>
      <w:tr w:rsidR="00C045C1" w14:paraId="70BCAF6A" w14:textId="77777777" w:rsidTr="006F58C9">
        <w:trPr>
          <w:cantSplit/>
        </w:trPr>
        <w:tc>
          <w:tcPr>
            <w:tcW w:w="3235" w:type="dxa"/>
          </w:tcPr>
          <w:p w14:paraId="4ABF8D3B" w14:textId="77777777" w:rsidR="00C045C1" w:rsidRDefault="00C045C1" w:rsidP="00C045C1">
            <w:pPr>
              <w:pStyle w:val="TableText"/>
            </w:pPr>
            <w:r>
              <w:t>Unit issued on expired specimen</w:t>
            </w:r>
          </w:p>
        </w:tc>
        <w:tc>
          <w:tcPr>
            <w:tcW w:w="1710" w:type="dxa"/>
          </w:tcPr>
          <w:p w14:paraId="3199DE6F" w14:textId="77777777" w:rsidR="00C045C1" w:rsidRDefault="00C045C1" w:rsidP="00C045C1">
            <w:pPr>
              <w:pStyle w:val="TableText"/>
            </w:pPr>
            <w:r>
              <w:rPr>
                <w:u w:val="single"/>
              </w:rPr>
              <w:t>&gt;</w:t>
            </w:r>
            <w:r>
              <w:t xml:space="preserve"> Enhanced Tech</w:t>
            </w:r>
          </w:p>
        </w:tc>
        <w:tc>
          <w:tcPr>
            <w:tcW w:w="2520" w:type="dxa"/>
          </w:tcPr>
          <w:p w14:paraId="76F72588" w14:textId="77777777" w:rsidR="00C045C1" w:rsidRDefault="00C045C1" w:rsidP="00C045C1">
            <w:pPr>
              <w:pStyle w:val="TableText"/>
            </w:pPr>
            <w:r>
              <w:t>Issue Unit</w:t>
            </w:r>
          </w:p>
        </w:tc>
        <w:tc>
          <w:tcPr>
            <w:tcW w:w="1417" w:type="dxa"/>
          </w:tcPr>
          <w:p w14:paraId="0267D11D" w14:textId="77777777" w:rsidR="00C045C1" w:rsidRDefault="00C045C1" w:rsidP="00C045C1">
            <w:pPr>
              <w:pStyle w:val="TableText"/>
            </w:pPr>
            <w:r>
              <w:t>No</w:t>
            </w:r>
          </w:p>
        </w:tc>
        <w:tc>
          <w:tcPr>
            <w:tcW w:w="1530" w:type="dxa"/>
          </w:tcPr>
          <w:p w14:paraId="63CDFF01" w14:textId="77777777" w:rsidR="00C045C1" w:rsidRDefault="00C045C1" w:rsidP="00C045C1">
            <w:pPr>
              <w:pStyle w:val="TableText"/>
            </w:pPr>
            <w:r>
              <w:rPr>
                <w:rFonts w:eastAsia="Symbol"/>
              </w:rPr>
              <w:t>Yes</w:t>
            </w:r>
          </w:p>
        </w:tc>
      </w:tr>
      <w:tr w:rsidR="00C045C1" w14:paraId="5DB5CDC7" w14:textId="77777777" w:rsidTr="006F58C9">
        <w:trPr>
          <w:cantSplit/>
        </w:trPr>
        <w:tc>
          <w:tcPr>
            <w:tcW w:w="3235" w:type="dxa"/>
          </w:tcPr>
          <w:p w14:paraId="11A2757D" w14:textId="77777777" w:rsidR="00C045C1" w:rsidRDefault="00C045C1" w:rsidP="00C045C1">
            <w:pPr>
              <w:pStyle w:val="TableText"/>
            </w:pPr>
            <w:r>
              <w:t>Unit issued with unsatisfied Transfusion Requirement</w:t>
            </w:r>
          </w:p>
        </w:tc>
        <w:tc>
          <w:tcPr>
            <w:tcW w:w="1710" w:type="dxa"/>
          </w:tcPr>
          <w:p w14:paraId="2081F92E" w14:textId="77777777" w:rsidR="00C045C1" w:rsidRDefault="00C045C1" w:rsidP="00C045C1">
            <w:pPr>
              <w:pStyle w:val="TableText"/>
            </w:pPr>
            <w:r>
              <w:rPr>
                <w:u w:val="single"/>
              </w:rPr>
              <w:t>&gt;</w:t>
            </w:r>
            <w:r>
              <w:t xml:space="preserve"> Lead Tech</w:t>
            </w:r>
          </w:p>
        </w:tc>
        <w:tc>
          <w:tcPr>
            <w:tcW w:w="2520" w:type="dxa"/>
          </w:tcPr>
          <w:p w14:paraId="3541191A" w14:textId="77777777" w:rsidR="00C045C1" w:rsidRDefault="00C045C1" w:rsidP="00C045C1">
            <w:pPr>
              <w:pStyle w:val="TableText"/>
            </w:pPr>
            <w:r>
              <w:t>Issue Unit</w:t>
            </w:r>
          </w:p>
        </w:tc>
        <w:tc>
          <w:tcPr>
            <w:tcW w:w="1417" w:type="dxa"/>
          </w:tcPr>
          <w:p w14:paraId="1D6CC78D" w14:textId="77777777" w:rsidR="00C045C1" w:rsidRDefault="00C045C1" w:rsidP="00C045C1">
            <w:pPr>
              <w:pStyle w:val="TableText"/>
            </w:pPr>
            <w:r>
              <w:t>No</w:t>
            </w:r>
          </w:p>
        </w:tc>
        <w:tc>
          <w:tcPr>
            <w:tcW w:w="1530" w:type="dxa"/>
          </w:tcPr>
          <w:p w14:paraId="71301C2D" w14:textId="77777777" w:rsidR="00C045C1" w:rsidRDefault="00C045C1" w:rsidP="00C045C1">
            <w:pPr>
              <w:pStyle w:val="TableText"/>
            </w:pPr>
            <w:r>
              <w:rPr>
                <w:rFonts w:eastAsia="Symbol"/>
              </w:rPr>
              <w:t>Yes</w:t>
            </w:r>
          </w:p>
        </w:tc>
      </w:tr>
      <w:tr w:rsidR="00C045C1" w14:paraId="01B0879D" w14:textId="77777777" w:rsidTr="006F58C9">
        <w:trPr>
          <w:cantSplit/>
        </w:trPr>
        <w:tc>
          <w:tcPr>
            <w:tcW w:w="3235" w:type="dxa"/>
          </w:tcPr>
          <w:p w14:paraId="22A426A2" w14:textId="77777777" w:rsidR="00C045C1" w:rsidRDefault="00C045C1" w:rsidP="00C045C1">
            <w:pPr>
              <w:pStyle w:val="TableText"/>
              <w:rPr>
                <w:rFonts w:eastAsia="Symbol"/>
              </w:rPr>
            </w:pPr>
            <w:r>
              <w:t>Unit quarantined</w:t>
            </w:r>
          </w:p>
        </w:tc>
        <w:tc>
          <w:tcPr>
            <w:tcW w:w="1710" w:type="dxa"/>
          </w:tcPr>
          <w:p w14:paraId="0E6AD871" w14:textId="77777777" w:rsidR="00C045C1" w:rsidRDefault="00C045C1" w:rsidP="00C045C1">
            <w:pPr>
              <w:pStyle w:val="TableText"/>
              <w:rPr>
                <w:rFonts w:eastAsia="Symbol"/>
              </w:rPr>
            </w:pPr>
            <w:r>
              <w:rPr>
                <w:rFonts w:eastAsia="Symbol"/>
              </w:rPr>
              <w:t>All</w:t>
            </w:r>
          </w:p>
        </w:tc>
        <w:tc>
          <w:tcPr>
            <w:tcW w:w="2520" w:type="dxa"/>
          </w:tcPr>
          <w:p w14:paraId="33FE1462" w14:textId="77777777" w:rsidR="00C045C1" w:rsidRDefault="00C045C1" w:rsidP="00C045C1">
            <w:pPr>
              <w:pStyle w:val="TableText"/>
              <w:rPr>
                <w:rFonts w:eastAsia="Symbol"/>
              </w:rPr>
            </w:pPr>
            <w:r>
              <w:rPr>
                <w:rFonts w:eastAsia="Symbol"/>
              </w:rPr>
              <w:t>Quarantine</w:t>
            </w:r>
          </w:p>
        </w:tc>
        <w:tc>
          <w:tcPr>
            <w:tcW w:w="1417" w:type="dxa"/>
          </w:tcPr>
          <w:p w14:paraId="3560C952" w14:textId="77777777" w:rsidR="00C045C1" w:rsidRDefault="00C045C1" w:rsidP="00C045C1">
            <w:pPr>
              <w:pStyle w:val="TableText"/>
              <w:rPr>
                <w:rFonts w:eastAsia="Symbol"/>
              </w:rPr>
            </w:pPr>
            <w:r>
              <w:t>Yes</w:t>
            </w:r>
          </w:p>
        </w:tc>
        <w:tc>
          <w:tcPr>
            <w:tcW w:w="1530" w:type="dxa"/>
          </w:tcPr>
          <w:p w14:paraId="5D1820D6" w14:textId="77777777" w:rsidR="00C045C1" w:rsidRDefault="00C045C1" w:rsidP="00C045C1">
            <w:pPr>
              <w:pStyle w:val="TableText"/>
              <w:rPr>
                <w:rFonts w:eastAsia="Symbol"/>
              </w:rPr>
            </w:pPr>
            <w:r>
              <w:t>No</w:t>
            </w:r>
          </w:p>
        </w:tc>
      </w:tr>
      <w:tr w:rsidR="00C045C1" w14:paraId="04677011" w14:textId="77777777" w:rsidTr="006F58C9">
        <w:trPr>
          <w:cantSplit/>
        </w:trPr>
        <w:tc>
          <w:tcPr>
            <w:tcW w:w="3235" w:type="dxa"/>
          </w:tcPr>
          <w:p w14:paraId="6C4F4BA7" w14:textId="77777777" w:rsidR="00C045C1" w:rsidRDefault="00C045C1" w:rsidP="00C045C1">
            <w:pPr>
              <w:pStyle w:val="TableText"/>
              <w:rPr>
                <w:rFonts w:eastAsia="Symbol"/>
              </w:rPr>
            </w:pPr>
            <w:r>
              <w:t>Unit released from quarantine</w:t>
            </w:r>
          </w:p>
        </w:tc>
        <w:tc>
          <w:tcPr>
            <w:tcW w:w="1710" w:type="dxa"/>
          </w:tcPr>
          <w:p w14:paraId="391639A9" w14:textId="77777777" w:rsidR="00C045C1" w:rsidRDefault="00C045C1" w:rsidP="00C045C1">
            <w:pPr>
              <w:pStyle w:val="TableText"/>
              <w:rPr>
                <w:rFonts w:eastAsia="Symbol"/>
              </w:rPr>
            </w:pPr>
            <w:r>
              <w:rPr>
                <w:u w:val="single"/>
              </w:rPr>
              <w:t>&gt;</w:t>
            </w:r>
            <w:r>
              <w:t xml:space="preserve"> Enhanced Tech</w:t>
            </w:r>
          </w:p>
        </w:tc>
        <w:tc>
          <w:tcPr>
            <w:tcW w:w="2520" w:type="dxa"/>
          </w:tcPr>
          <w:p w14:paraId="24AED9D8" w14:textId="77777777" w:rsidR="00C045C1" w:rsidRDefault="00C045C1" w:rsidP="00C045C1">
            <w:pPr>
              <w:pStyle w:val="TableText"/>
              <w:rPr>
                <w:rFonts w:eastAsia="Symbol"/>
              </w:rPr>
            </w:pPr>
            <w:r>
              <w:rPr>
                <w:rFonts w:eastAsia="Symbol"/>
              </w:rPr>
              <w:t>Release Unit from Quarantine</w:t>
            </w:r>
          </w:p>
        </w:tc>
        <w:tc>
          <w:tcPr>
            <w:tcW w:w="1417" w:type="dxa"/>
          </w:tcPr>
          <w:p w14:paraId="62E7F7F4" w14:textId="77777777" w:rsidR="00C045C1" w:rsidRDefault="00C045C1" w:rsidP="00C045C1">
            <w:pPr>
              <w:pStyle w:val="TableText"/>
              <w:rPr>
                <w:rFonts w:eastAsia="Symbol"/>
              </w:rPr>
            </w:pPr>
            <w:r>
              <w:t>Yes</w:t>
            </w:r>
          </w:p>
        </w:tc>
        <w:tc>
          <w:tcPr>
            <w:tcW w:w="1530" w:type="dxa"/>
          </w:tcPr>
          <w:p w14:paraId="7820263A" w14:textId="77777777" w:rsidR="00C045C1" w:rsidRDefault="00C045C1" w:rsidP="00C045C1">
            <w:pPr>
              <w:pStyle w:val="TableText"/>
              <w:rPr>
                <w:rFonts w:eastAsia="Symbol"/>
              </w:rPr>
            </w:pPr>
            <w:r>
              <w:t>No</w:t>
            </w:r>
          </w:p>
        </w:tc>
      </w:tr>
      <w:tr w:rsidR="00C045C1" w14:paraId="7F40F6B9" w14:textId="77777777" w:rsidTr="006F58C9">
        <w:trPr>
          <w:cantSplit/>
        </w:trPr>
        <w:tc>
          <w:tcPr>
            <w:tcW w:w="3235" w:type="dxa"/>
            <w:vMerge w:val="restart"/>
          </w:tcPr>
          <w:p w14:paraId="0F42EC5C" w14:textId="77777777" w:rsidR="00C045C1" w:rsidRDefault="00C045C1" w:rsidP="006F58C9">
            <w:pPr>
              <w:pStyle w:val="TableText"/>
              <w:keepNext/>
            </w:pPr>
            <w:r>
              <w:t>Unit unsatisfactory upon return from issue</w:t>
            </w:r>
          </w:p>
        </w:tc>
        <w:tc>
          <w:tcPr>
            <w:tcW w:w="1710" w:type="dxa"/>
            <w:vMerge w:val="restart"/>
          </w:tcPr>
          <w:p w14:paraId="15723108" w14:textId="77777777" w:rsidR="00C045C1" w:rsidRDefault="00C045C1" w:rsidP="006F58C9">
            <w:pPr>
              <w:pStyle w:val="TableText"/>
              <w:keepNext/>
            </w:pPr>
            <w:r>
              <w:rPr>
                <w:rFonts w:eastAsia="Symbol"/>
              </w:rPr>
              <w:t>All</w:t>
            </w:r>
          </w:p>
        </w:tc>
        <w:tc>
          <w:tcPr>
            <w:tcW w:w="2520" w:type="dxa"/>
            <w:vMerge w:val="restart"/>
          </w:tcPr>
          <w:p w14:paraId="58CFCECE" w14:textId="77777777" w:rsidR="00C045C1" w:rsidRDefault="00C045C1" w:rsidP="006F58C9">
            <w:pPr>
              <w:pStyle w:val="TableText"/>
              <w:keepNext/>
            </w:pPr>
            <w:r>
              <w:t>Return Issued Units to Blood Bank</w:t>
            </w:r>
          </w:p>
        </w:tc>
        <w:tc>
          <w:tcPr>
            <w:tcW w:w="1417" w:type="dxa"/>
          </w:tcPr>
          <w:p w14:paraId="373D98F1" w14:textId="77777777" w:rsidR="00C045C1" w:rsidRDefault="00C045C1" w:rsidP="006F58C9">
            <w:pPr>
              <w:pStyle w:val="TableText"/>
              <w:keepNext/>
            </w:pPr>
            <w:r>
              <w:rPr>
                <w:rFonts w:eastAsia="Symbol"/>
              </w:rPr>
              <w:t>Yes</w:t>
            </w:r>
            <w:r w:rsidR="00E31FC6">
              <w:rPr>
                <w:rFonts w:eastAsia="Symbol"/>
              </w:rPr>
              <w:t xml:space="preserve"> </w:t>
            </w:r>
            <w:r>
              <w:rPr>
                <w:rFonts w:eastAsia="Symbol"/>
                <w:vanish/>
                <w:szCs w:val="18"/>
              </w:rPr>
              <w:t xml:space="preserve"> BR_59.08 </w:t>
            </w:r>
            <w:r w:rsidRPr="00C4235F">
              <w:rPr>
                <w:rFonts w:eastAsia="Symbol"/>
                <w:szCs w:val="18"/>
              </w:rPr>
              <w:t>(quarantined)</w:t>
            </w:r>
          </w:p>
        </w:tc>
        <w:tc>
          <w:tcPr>
            <w:tcW w:w="1530" w:type="dxa"/>
          </w:tcPr>
          <w:p w14:paraId="512122CD" w14:textId="77777777" w:rsidR="00C045C1" w:rsidRDefault="00C045C1" w:rsidP="006F58C9">
            <w:pPr>
              <w:pStyle w:val="TableText"/>
              <w:keepNext/>
            </w:pPr>
            <w:r>
              <w:t>No</w:t>
            </w:r>
          </w:p>
        </w:tc>
      </w:tr>
      <w:tr w:rsidR="00C045C1" w14:paraId="2B3302FE" w14:textId="77777777" w:rsidTr="006F58C9">
        <w:trPr>
          <w:cantSplit/>
        </w:trPr>
        <w:tc>
          <w:tcPr>
            <w:tcW w:w="3235" w:type="dxa"/>
            <w:vMerge/>
          </w:tcPr>
          <w:p w14:paraId="7A4618C1" w14:textId="77777777" w:rsidR="00C045C1" w:rsidRDefault="00C045C1" w:rsidP="00C045C1">
            <w:pPr>
              <w:pStyle w:val="TableText"/>
            </w:pPr>
          </w:p>
        </w:tc>
        <w:tc>
          <w:tcPr>
            <w:tcW w:w="1710" w:type="dxa"/>
            <w:vMerge/>
          </w:tcPr>
          <w:p w14:paraId="6E30A690" w14:textId="77777777" w:rsidR="00C045C1" w:rsidRDefault="00C045C1" w:rsidP="00C045C1">
            <w:pPr>
              <w:pStyle w:val="TableText"/>
            </w:pPr>
          </w:p>
        </w:tc>
        <w:tc>
          <w:tcPr>
            <w:tcW w:w="2520" w:type="dxa"/>
            <w:vMerge/>
          </w:tcPr>
          <w:p w14:paraId="5B72C54B" w14:textId="77777777" w:rsidR="00C045C1" w:rsidRDefault="00C045C1" w:rsidP="00C045C1">
            <w:pPr>
              <w:pStyle w:val="TableText"/>
            </w:pPr>
          </w:p>
        </w:tc>
        <w:tc>
          <w:tcPr>
            <w:tcW w:w="1417" w:type="dxa"/>
          </w:tcPr>
          <w:p w14:paraId="5D07A623" w14:textId="77777777" w:rsidR="00C045C1" w:rsidRDefault="00C045C1" w:rsidP="00C045C1">
            <w:pPr>
              <w:pStyle w:val="TableText"/>
              <w:rPr>
                <w:rFonts w:eastAsia="Symbol"/>
              </w:rPr>
            </w:pPr>
            <w:r>
              <w:rPr>
                <w:rFonts w:eastAsia="Symbol"/>
              </w:rPr>
              <w:t>Yes</w:t>
            </w:r>
            <w:r w:rsidR="00E31FC6">
              <w:rPr>
                <w:rFonts w:eastAsia="Symbol"/>
              </w:rPr>
              <w:t xml:space="preserve"> </w:t>
            </w:r>
            <w:r>
              <w:rPr>
                <w:rFonts w:eastAsia="Symbol"/>
                <w:vanish/>
                <w:szCs w:val="18"/>
              </w:rPr>
              <w:t xml:space="preserve"> BR_59.09 </w:t>
            </w:r>
            <w:r w:rsidRPr="00C4235F">
              <w:rPr>
                <w:rFonts w:eastAsia="Symbol"/>
                <w:szCs w:val="18"/>
              </w:rPr>
              <w:t>(quarantined with patient assignment)</w:t>
            </w:r>
          </w:p>
        </w:tc>
        <w:tc>
          <w:tcPr>
            <w:tcW w:w="1530" w:type="dxa"/>
          </w:tcPr>
          <w:p w14:paraId="097D6908" w14:textId="77777777" w:rsidR="00C045C1" w:rsidRDefault="00C045C1" w:rsidP="00C045C1">
            <w:pPr>
              <w:pStyle w:val="TableText"/>
            </w:pPr>
            <w:r>
              <w:rPr>
                <w:rFonts w:eastAsia="Symbol"/>
              </w:rPr>
              <w:t>Yes</w:t>
            </w:r>
          </w:p>
        </w:tc>
      </w:tr>
      <w:tr w:rsidR="001A049C" w14:paraId="05E4B385" w14:textId="77777777" w:rsidTr="006F58C9">
        <w:trPr>
          <w:cantSplit/>
        </w:trPr>
        <w:tc>
          <w:tcPr>
            <w:tcW w:w="3235" w:type="dxa"/>
            <w:vAlign w:val="bottom"/>
          </w:tcPr>
          <w:p w14:paraId="5F068EC2" w14:textId="77777777" w:rsidR="001A049C" w:rsidRDefault="001A049C" w:rsidP="009C25B8">
            <w:pPr>
              <w:pStyle w:val="TableText"/>
            </w:pPr>
            <w:r w:rsidRPr="001C1687">
              <w:rPr>
                <w:rFonts w:cs="Arial"/>
              </w:rPr>
              <w:t>Unit out of controlled storage found acceptable</w:t>
            </w:r>
          </w:p>
        </w:tc>
        <w:tc>
          <w:tcPr>
            <w:tcW w:w="1710" w:type="dxa"/>
            <w:vAlign w:val="bottom"/>
          </w:tcPr>
          <w:p w14:paraId="199F8311" w14:textId="77777777" w:rsidR="001A049C" w:rsidRDefault="001A049C" w:rsidP="009C25B8">
            <w:pPr>
              <w:pStyle w:val="TableText"/>
            </w:pPr>
            <w:r>
              <w:t>All</w:t>
            </w:r>
          </w:p>
        </w:tc>
        <w:tc>
          <w:tcPr>
            <w:tcW w:w="2520" w:type="dxa"/>
          </w:tcPr>
          <w:p w14:paraId="1773EDCF" w14:textId="77777777" w:rsidR="001A049C" w:rsidRDefault="001A049C" w:rsidP="009C25B8">
            <w:pPr>
              <w:pStyle w:val="TableText"/>
            </w:pPr>
            <w:r>
              <w:t>Return Issued Units to Blood Bank</w:t>
            </w:r>
          </w:p>
        </w:tc>
        <w:tc>
          <w:tcPr>
            <w:tcW w:w="1417" w:type="dxa"/>
            <w:vAlign w:val="bottom"/>
          </w:tcPr>
          <w:p w14:paraId="5576CE61" w14:textId="77777777" w:rsidR="001A049C" w:rsidRDefault="001A049C" w:rsidP="009C25B8">
            <w:pPr>
              <w:pStyle w:val="TableText"/>
              <w:rPr>
                <w:rFonts w:eastAsia="Arial Unicode MS"/>
              </w:rPr>
            </w:pPr>
            <w:r>
              <w:rPr>
                <w:rFonts w:eastAsia="Arial Unicode MS"/>
              </w:rPr>
              <w:t>Yes</w:t>
            </w:r>
          </w:p>
        </w:tc>
        <w:tc>
          <w:tcPr>
            <w:tcW w:w="1530" w:type="dxa"/>
            <w:vAlign w:val="bottom"/>
          </w:tcPr>
          <w:p w14:paraId="49D83136" w14:textId="77777777" w:rsidR="001A049C" w:rsidRPr="00FD55BB" w:rsidRDefault="001A049C" w:rsidP="009C25B8">
            <w:pPr>
              <w:pStyle w:val="TableText"/>
            </w:pPr>
            <w:r>
              <w:t>No</w:t>
            </w:r>
          </w:p>
        </w:tc>
      </w:tr>
    </w:tbl>
    <w:p w14:paraId="31C7B30F" w14:textId="77777777" w:rsidR="002A21AE" w:rsidRDefault="002A21AE">
      <w:pPr>
        <w:pStyle w:val="Heading3"/>
      </w:pPr>
      <w:r>
        <w:br w:type="page"/>
      </w:r>
      <w:r w:rsidR="00966400">
        <w:rPr>
          <w:rFonts w:ascii="Geneva" w:hAnsi="Geneva"/>
          <w:vanish/>
        </w:rPr>
        <w:t xml:space="preserve"> </w:t>
      </w:r>
      <w:r>
        <w:rPr>
          <w:rFonts w:ascii="Geneva" w:hAnsi="Geneva"/>
          <w:vanish/>
        </w:rPr>
        <w:t xml:space="preserve">TT_26.02A </w:t>
      </w:r>
      <w:bookmarkStart w:id="627" w:name="_Toc149064217"/>
      <w:r>
        <w:t>Allowable Product Modifications by Original Product Type</w:t>
      </w:r>
      <w:bookmarkEnd w:id="627"/>
      <w:r>
        <w:fldChar w:fldCharType="begin"/>
      </w:r>
      <w:r>
        <w:instrText xml:space="preserve"> XE </w:instrText>
      </w:r>
      <w:r w:rsidR="00FA7E65">
        <w:instrText>“</w:instrText>
      </w:r>
      <w:r>
        <w:instrText>Tables:Allowable Product Modifications by Original Product Type</w:instrText>
      </w:r>
      <w:r w:rsidR="00FA7E65">
        <w:instrText>”</w:instrText>
      </w:r>
      <w:r>
        <w:instrText xml:space="preserve"> </w:instrText>
      </w:r>
      <w:r>
        <w:fldChar w:fldCharType="end"/>
      </w:r>
    </w:p>
    <w:p w14:paraId="552D13B3" w14:textId="2A4526D8" w:rsidR="002A21AE" w:rsidRDefault="002A21AE" w:rsidP="00FA7E65">
      <w:pPr>
        <w:pStyle w:val="BodyText"/>
        <w:rPr>
          <w:color w:val="800080"/>
        </w:rPr>
      </w:pPr>
      <w:r>
        <w:t>ICCBBA provides a comprehensive database with every known blood product type that includes a five-digit product code, Product Type classification, and the Product Attribute</w:t>
      </w:r>
      <w:r w:rsidR="005E237B">
        <w:t>s</w:t>
      </w:r>
      <w:r>
        <w:t xml:space="preserve"> for each blood product.</w:t>
      </w:r>
    </w:p>
    <w:p w14:paraId="3D599E48" w14:textId="77777777" w:rsidR="002A21AE" w:rsidRDefault="002A21AE">
      <w:pPr>
        <w:pStyle w:val="Heading4"/>
      </w:pPr>
      <w:r>
        <w:t>Calculation of the Expiration Date</w:t>
      </w:r>
    </w:p>
    <w:p w14:paraId="321A0B58" w14:textId="77777777" w:rsidR="002A21AE" w:rsidRDefault="002A21AE" w:rsidP="00FA7E65">
      <w:pPr>
        <w:pStyle w:val="BodyText"/>
      </w:pPr>
      <w:r>
        <w:t xml:space="preserve">VBECS calculates the expiration date of the new unit based on system rules specific to the blood product and modification types, and on whether the system is open or closed. The user may accept or edit this expiration date. </w:t>
      </w:r>
    </w:p>
    <w:p w14:paraId="4678DF39" w14:textId="77777777" w:rsidR="002A21AE" w:rsidRPr="00D327A3" w:rsidRDefault="002A21AE" w:rsidP="00D327A3">
      <w:pPr>
        <w:pStyle w:val="Heading3"/>
      </w:pPr>
      <w:bookmarkStart w:id="628" w:name="_Toc91323817"/>
      <w:bookmarkStart w:id="629" w:name="_Toc40061745"/>
      <w:bookmarkStart w:id="630" w:name="_Toc91323752"/>
      <w:bookmarkEnd w:id="579"/>
      <w:r w:rsidRPr="00D327A3">
        <w:rPr>
          <w:rFonts w:ascii="Arial Bold" w:hAnsi="Arial Bold"/>
          <w:vanish/>
        </w:rPr>
        <w:t xml:space="preserve">TT_92.01 </w:t>
      </w:r>
      <w:bookmarkStart w:id="631" w:name="_Toc149064218"/>
      <w:r w:rsidRPr="00D327A3">
        <w:t>Order Status Flowchart</w:t>
      </w:r>
      <w:bookmarkEnd w:id="628"/>
      <w:bookmarkEnd w:id="631"/>
      <w:r w:rsidRPr="00D327A3">
        <w:fldChar w:fldCharType="begin"/>
      </w:r>
      <w:r w:rsidRPr="00D327A3">
        <w:instrText xml:space="preserve"> XE </w:instrText>
      </w:r>
      <w:r w:rsidR="00FA7E65" w:rsidRPr="00D327A3">
        <w:instrText>“</w:instrText>
      </w:r>
      <w:r w:rsidRPr="00D327A3">
        <w:instrText>Figures:Order Status Flowchart</w:instrText>
      </w:r>
      <w:r w:rsidR="00FA7E65" w:rsidRPr="00D327A3">
        <w:instrText>”</w:instrText>
      </w:r>
      <w:r w:rsidRPr="00D327A3">
        <w:instrText xml:space="preserve"> </w:instrText>
      </w:r>
      <w:r w:rsidRPr="00D327A3">
        <w:fldChar w:fldCharType="end"/>
      </w:r>
    </w:p>
    <w:p w14:paraId="26186201" w14:textId="73B51597" w:rsidR="002A21AE" w:rsidRDefault="002A21AE">
      <w:pPr>
        <w:pStyle w:val="Caption"/>
      </w:pPr>
      <w:bookmarkStart w:id="632" w:name="_Ref126728889"/>
      <w:bookmarkStart w:id="633" w:name="_Toc97523642"/>
      <w:bookmarkStart w:id="634" w:name="_Toc97527612"/>
      <w:bookmarkStart w:id="635" w:name="_Ref126729528"/>
      <w:bookmarkStart w:id="636" w:name="_Ref126729659"/>
      <w:bookmarkStart w:id="637" w:name="_Ref126729757"/>
      <w:bookmarkStart w:id="638" w:name="_Ref126729901"/>
      <w:bookmarkStart w:id="639" w:name="_Ref127061358"/>
      <w:bookmarkStart w:id="640" w:name="_Ref12706136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117</w:t>
      </w:r>
      <w:r w:rsidR="004E20BD">
        <w:rPr>
          <w:noProof/>
        </w:rPr>
        <w:fldChar w:fldCharType="end"/>
      </w:r>
      <w:bookmarkEnd w:id="632"/>
      <w:r>
        <w:t xml:space="preserve">: </w:t>
      </w:r>
      <w:r>
        <w:rPr>
          <w:vanish/>
        </w:rPr>
        <w:t xml:space="preserve">TT_92.01 </w:t>
      </w:r>
      <w:r w:rsidRPr="005B6A9C">
        <w:rPr>
          <w:rStyle w:val="Heading3Char"/>
          <w:rFonts w:ascii="Times New Roman" w:hAnsi="Times New Roman" w:cs="Times New Roman"/>
          <w:b/>
          <w:sz w:val="22"/>
        </w:rPr>
        <w:t>Order</w:t>
      </w:r>
      <w:r>
        <w:t xml:space="preserve"> Status Flowchart</w:t>
      </w:r>
      <w:bookmarkEnd w:id="633"/>
      <w:bookmarkEnd w:id="634"/>
      <w:bookmarkEnd w:id="635"/>
      <w:bookmarkEnd w:id="636"/>
      <w:bookmarkEnd w:id="637"/>
      <w:bookmarkEnd w:id="638"/>
      <w:bookmarkEnd w:id="639"/>
      <w:bookmarkEnd w:id="640"/>
    </w:p>
    <w:p w14:paraId="1074811B" w14:textId="3CD8C553" w:rsidR="009C72EC" w:rsidRDefault="00627964" w:rsidP="004D2640">
      <w:pPr>
        <w:pStyle w:val="BodyText"/>
        <w:jc w:val="center"/>
      </w:pPr>
      <w:r>
        <w:object w:dxaOrig="9770" w:dyaOrig="16915" w14:anchorId="7272D2D2">
          <v:shape id="_x0000_i1030" type="#_x0000_t75" alt="Order Status Flowchart" style="width:367.5pt;height:555pt" o:ole="">
            <v:imagedata r:id="rId212" o:title=""/>
          </v:shape>
          <o:OLEObject Type="Embed" ProgID="Visio.Drawing.11" ShapeID="_x0000_i1030" DrawAspect="Content" ObjectID="_1767790627" r:id="rId213"/>
        </w:object>
      </w:r>
    </w:p>
    <w:p w14:paraId="608999E3" w14:textId="67F74A53" w:rsidR="002A21AE" w:rsidRDefault="002A21AE" w:rsidP="009C72EC">
      <w:pPr>
        <w:pStyle w:val="Heading3"/>
      </w:pPr>
      <w:r>
        <w:rPr>
          <w:rFonts w:ascii="Geneva" w:hAnsi="Geneva"/>
          <w:vanish/>
        </w:rPr>
        <w:t xml:space="preserve">TT_3.05 </w:t>
      </w:r>
      <w:bookmarkStart w:id="641" w:name="_Toc149064219"/>
      <w:r>
        <w:t>Rules for</w:t>
      </w:r>
      <w:bookmarkEnd w:id="629"/>
      <w:r>
        <w:t xml:space="preserve"> Electronic and Serologic</w:t>
      </w:r>
      <w:bookmarkEnd w:id="630"/>
      <w:r>
        <w:t xml:space="preserve"> Crossmatch</w:t>
      </w:r>
      <w:bookmarkEnd w:id="641"/>
      <w:r>
        <w:fldChar w:fldCharType="begin"/>
      </w:r>
      <w:r>
        <w:instrText xml:space="preserve"> XE </w:instrText>
      </w:r>
      <w:r w:rsidR="00FA7E65">
        <w:instrText>“</w:instrText>
      </w:r>
      <w:r>
        <w:instrText>Tables:Rules for Electronic and Serologic Crossmatch</w:instrText>
      </w:r>
      <w:r w:rsidR="00FA7E65">
        <w:instrText>”</w:instrText>
      </w:r>
      <w:r>
        <w:instrText xml:space="preserve"> </w:instrText>
      </w:r>
      <w:r>
        <w:fldChar w:fldCharType="end"/>
      </w:r>
    </w:p>
    <w:p w14:paraId="19E17255" w14:textId="77777777" w:rsidR="007A1C09" w:rsidRDefault="007A1C09" w:rsidP="00FA7E65">
      <w:pPr>
        <w:pStyle w:val="BodyText"/>
      </w:pPr>
      <w:r>
        <w:t xml:space="preserve">Component Classes with greater than (&gt;) 2 mL RBC contamination require crossmatch evaluation, serologic or electronic (when enabled).  For component classes in the component class “OTHER”, a reflex crossmatch test has been ordered per the technologist’s evaluation of the </w:t>
      </w:r>
      <w:r w:rsidR="00F22231">
        <w:t>unit itself. E</w:t>
      </w:r>
      <w:r>
        <w:t xml:space="preserve">ach collection is different and the tech must evaluate the red blood cell content of the unit at the time of selection. </w:t>
      </w:r>
    </w:p>
    <w:p w14:paraId="78EBEAB0" w14:textId="7DCCFF60" w:rsidR="00F22231" w:rsidRDefault="001A53C8" w:rsidP="00FA7E65">
      <w:pPr>
        <w:pStyle w:val="BodyText"/>
      </w:pPr>
      <w:r>
        <w:t>When electronic crossmatch is enabled at a division and units that require crossmatch (Component Classes “WHOLE BLOOD”, “RED BLOOD CELLS”, or a reflex crossmatch test has been ordered) are selected, VBECS performs a comprehensive set of data validation, which does not include inactivated patient or units tests. This patient and unit data validation is to ensure that the combination of patient and blood unit testing allows the unit to be eligible for electronic crossmatch. To assist the user, when the combination does not allow for electronic crossmatch</w:t>
      </w:r>
      <w:r w:rsidR="00F22231">
        <w:t>, a warning message is displayed with a short explanation as to why the electronic crossmatch will not be applied.</w:t>
      </w:r>
    </w:p>
    <w:p w14:paraId="0D974A8A" w14:textId="4CDFFC89" w:rsidR="002A21AE" w:rsidRDefault="00EE455E" w:rsidP="00FA7E65">
      <w:pPr>
        <w:pStyle w:val="BodyText"/>
      </w:pPr>
      <w:r>
        <w:t xml:space="preserve">Table </w:t>
      </w:r>
      <w:r>
        <w:rPr>
          <w:noProof/>
        </w:rPr>
        <w:t>22</w:t>
      </w:r>
      <w:r w:rsidR="00440DF9">
        <w:t xml:space="preserve"> </w:t>
      </w:r>
      <w:r w:rsidR="002A21AE">
        <w:t xml:space="preserve">provides the mapping for the actual parameters verified and associated error messages. All parameters must comply in order for the unit to be eligible for electronic crossmatch: there are no exceptions or overrides. The parameters are checked in the order listed and once a parameter fails, VBECS displays the appropriate error message, no further checking occurs, and the selected unit must have serologic crossmatch performed. </w:t>
      </w:r>
      <w:r w:rsidR="00203682">
        <w:t>(</w:t>
      </w:r>
      <w:r w:rsidR="00CA745C">
        <w:t>See FAQ VBECS Computer Crossmatch Decision Tree for additional information.</w:t>
      </w:r>
      <w:r w:rsidR="00203682">
        <w:t>)</w:t>
      </w:r>
    </w:p>
    <w:p w14:paraId="0013597E" w14:textId="77777777" w:rsidR="00D96746" w:rsidRDefault="00057948" w:rsidP="00D96746">
      <w:pPr>
        <w:pStyle w:val="Caution"/>
      </w:pPr>
      <w:r>
        <w:rPr>
          <w:noProof/>
        </w:rPr>
        <w:drawing>
          <wp:inline distT="0" distB="0" distL="0" distR="0" wp14:anchorId="3A0EAF9C" wp14:editId="1B987EBC">
            <wp:extent cx="267970" cy="221615"/>
            <wp:effectExtent l="0" t="0" r="0" b="6985"/>
            <wp:docPr id="268" name="Picture 268" descr="Caution bo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Caution box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5B60F7">
        <w:t xml:space="preserve"> </w:t>
      </w:r>
      <w:r w:rsidR="00D96746">
        <w:t xml:space="preserve">To use </w:t>
      </w:r>
      <w:r w:rsidR="007743E5">
        <w:t xml:space="preserve">the </w:t>
      </w:r>
      <w:r w:rsidR="00D96746">
        <w:t>electronic crossmatch</w:t>
      </w:r>
      <w:r w:rsidR="007743E5">
        <w:t xml:space="preserve"> function</w:t>
      </w:r>
      <w:r w:rsidR="00D96746">
        <w:t>, sites must perform a</w:t>
      </w:r>
      <w:r w:rsidR="00413CBC">
        <w:t>dditional</w:t>
      </w:r>
      <w:r w:rsidR="00D96746">
        <w:t xml:space="preserve"> validation of </w:t>
      </w:r>
      <w:r w:rsidR="00413CBC">
        <w:t>electronic crossmatch to meet regulatory requirements</w:t>
      </w:r>
      <w:r w:rsidR="00D96746">
        <w:t>.</w:t>
      </w:r>
      <w:r w:rsidR="00214959">
        <w:t xml:space="preserve"> See </w:t>
      </w:r>
      <w:r w:rsidR="00214959" w:rsidRPr="001A6C60">
        <w:t>Guidelines for Implementing the Electronic Crossmatch</w:t>
      </w:r>
      <w:r w:rsidR="00214959" w:rsidRPr="0026301E">
        <w:t xml:space="preserve"> (Bethesda, MD: American Association of Blood Banks, 200</w:t>
      </w:r>
      <w:r w:rsidR="00214959">
        <w:t>3</w:t>
      </w:r>
      <w:r w:rsidR="00214959" w:rsidRPr="0026301E">
        <w:t>).</w:t>
      </w:r>
    </w:p>
    <w:p w14:paraId="015CE396" w14:textId="7C4493A9" w:rsidR="002A21AE" w:rsidRDefault="002A21AE">
      <w:pPr>
        <w:pStyle w:val="Caption"/>
      </w:pPr>
      <w:bookmarkStart w:id="642" w:name="_Ref126732439"/>
      <w:bookmarkStart w:id="643" w:name="_Ref317682164"/>
      <w:bookmarkStart w:id="644" w:name="_Toc97523643"/>
      <w:bookmarkStart w:id="645" w:name="_Toc97527613"/>
      <w:bookmarkStart w:id="646" w:name="_Ref126486028"/>
      <w:bookmarkStart w:id="647" w:name="_Ref126486167"/>
      <w:bookmarkStart w:id="648" w:name="_Ref126486265"/>
      <w:bookmarkStart w:id="649" w:name="_Ref126504234"/>
      <w:bookmarkStart w:id="650" w:name="_Ref126504434"/>
      <w:bookmarkStart w:id="651" w:name="_Ref317762597"/>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22</w:t>
      </w:r>
      <w:r w:rsidR="004E20BD">
        <w:rPr>
          <w:noProof/>
        </w:rPr>
        <w:fldChar w:fldCharType="end"/>
      </w:r>
      <w:bookmarkEnd w:id="642"/>
      <w:bookmarkEnd w:id="643"/>
      <w:r>
        <w:t xml:space="preserve">: </w:t>
      </w:r>
      <w:r>
        <w:rPr>
          <w:vanish/>
        </w:rPr>
        <w:t xml:space="preserve">TT_3.05 </w:t>
      </w:r>
      <w:r>
        <w:t>Rules for Electronic and Serologic Crossmatch</w:t>
      </w:r>
      <w:bookmarkEnd w:id="644"/>
      <w:bookmarkEnd w:id="645"/>
      <w:bookmarkEnd w:id="646"/>
      <w:bookmarkEnd w:id="647"/>
      <w:bookmarkEnd w:id="648"/>
      <w:bookmarkEnd w:id="649"/>
      <w:bookmarkEnd w:id="650"/>
      <w:bookmarkEnd w:id="65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3600"/>
      </w:tblGrid>
      <w:tr w:rsidR="002A21AE" w14:paraId="6343C1C0" w14:textId="77777777">
        <w:trPr>
          <w:tblHeader/>
        </w:trPr>
        <w:tc>
          <w:tcPr>
            <w:tcW w:w="5760" w:type="dxa"/>
            <w:shd w:val="clear" w:color="auto" w:fill="B3B3B3"/>
          </w:tcPr>
          <w:p w14:paraId="6393966E" w14:textId="77777777" w:rsidR="002A21AE" w:rsidRDefault="002A21AE">
            <w:pPr>
              <w:pStyle w:val="TableText"/>
              <w:rPr>
                <w:b/>
              </w:rPr>
            </w:pPr>
            <w:r>
              <w:rPr>
                <w:b/>
              </w:rPr>
              <w:t>Parameter Checked</w:t>
            </w:r>
          </w:p>
        </w:tc>
        <w:tc>
          <w:tcPr>
            <w:tcW w:w="3600" w:type="dxa"/>
            <w:shd w:val="clear" w:color="auto" w:fill="B3B3B3"/>
          </w:tcPr>
          <w:p w14:paraId="2FFEF683" w14:textId="77777777" w:rsidR="002A21AE" w:rsidRDefault="002A21AE">
            <w:pPr>
              <w:pStyle w:val="TableText"/>
              <w:rPr>
                <w:b/>
              </w:rPr>
            </w:pPr>
            <w:r>
              <w:rPr>
                <w:b/>
              </w:rPr>
              <w:t>Error Message When Parameter Fails</w:t>
            </w:r>
          </w:p>
        </w:tc>
      </w:tr>
      <w:tr w:rsidR="002A21AE" w14:paraId="13D56AAD" w14:textId="77777777">
        <w:tc>
          <w:tcPr>
            <w:tcW w:w="5760" w:type="dxa"/>
          </w:tcPr>
          <w:p w14:paraId="396CCB80" w14:textId="77777777" w:rsidR="002A21AE" w:rsidRDefault="002A21AE">
            <w:pPr>
              <w:pStyle w:val="TableText"/>
            </w:pPr>
            <w:r>
              <w:t xml:space="preserve">Current specimen ABO/Rh and Antibody Screen testing must be complete. </w:t>
            </w:r>
          </w:p>
        </w:tc>
        <w:tc>
          <w:tcPr>
            <w:tcW w:w="3600" w:type="dxa"/>
          </w:tcPr>
          <w:p w14:paraId="1DC7C4CB" w14:textId="77777777" w:rsidR="002A21AE" w:rsidRDefault="002A21AE">
            <w:pPr>
              <w:pStyle w:val="TableText"/>
            </w:pPr>
            <w:r>
              <w:t>Patient not eligible for eXM. Current specimen not fully tested.</w:t>
            </w:r>
          </w:p>
        </w:tc>
      </w:tr>
      <w:tr w:rsidR="002A21AE" w14:paraId="2EA57355" w14:textId="77777777">
        <w:tc>
          <w:tcPr>
            <w:tcW w:w="5760" w:type="dxa"/>
          </w:tcPr>
          <w:p w14:paraId="7D6A3AE5" w14:textId="77777777" w:rsidR="002A21AE" w:rsidRDefault="002A21AE">
            <w:pPr>
              <w:pStyle w:val="TableText"/>
            </w:pPr>
            <w:r>
              <w:t>Current specimen Antibody Screen interpretation must be negative.</w:t>
            </w:r>
            <w:r w:rsidR="009A061C">
              <w:t xml:space="preserve"> VBECS checks only the last Antibody Screen entered.</w:t>
            </w:r>
          </w:p>
        </w:tc>
        <w:tc>
          <w:tcPr>
            <w:tcW w:w="3600" w:type="dxa"/>
          </w:tcPr>
          <w:p w14:paraId="6F627167" w14:textId="77777777" w:rsidR="002A21AE" w:rsidRDefault="002A21AE">
            <w:pPr>
              <w:pStyle w:val="TableText"/>
            </w:pPr>
            <w:r>
              <w:t>Patient not eligible for eXM due to positive Antibody Screen.</w:t>
            </w:r>
          </w:p>
        </w:tc>
      </w:tr>
      <w:tr w:rsidR="002A21AE" w14:paraId="09217375" w14:textId="77777777">
        <w:tc>
          <w:tcPr>
            <w:tcW w:w="5760" w:type="dxa"/>
          </w:tcPr>
          <w:p w14:paraId="1C46418C" w14:textId="77777777" w:rsidR="002A21AE" w:rsidRDefault="002A21AE">
            <w:pPr>
              <w:pStyle w:val="TableText"/>
            </w:pPr>
            <w:r>
              <w:t xml:space="preserve">Patient must have no history of previously identified antibodies, regardless of clinical significance based on system rules </w:t>
            </w:r>
            <w:r>
              <w:rPr>
                <w:vanish/>
                <w:szCs w:val="18"/>
              </w:rPr>
              <w:t>TT_23.01</w:t>
            </w:r>
            <w:r>
              <w:t>or division (or from conversion) of the antibody ID.</w:t>
            </w:r>
          </w:p>
        </w:tc>
        <w:tc>
          <w:tcPr>
            <w:tcW w:w="3600" w:type="dxa"/>
          </w:tcPr>
          <w:p w14:paraId="4E4D5E24" w14:textId="77777777" w:rsidR="002A21AE" w:rsidRDefault="002A21AE">
            <w:pPr>
              <w:pStyle w:val="TableText"/>
            </w:pPr>
            <w:r>
              <w:t>Patient not eligible for eXM due to previous antibody history.</w:t>
            </w:r>
          </w:p>
        </w:tc>
      </w:tr>
      <w:tr w:rsidR="002A21AE" w14:paraId="4C319387" w14:textId="77777777">
        <w:tc>
          <w:tcPr>
            <w:tcW w:w="5760" w:type="dxa"/>
          </w:tcPr>
          <w:p w14:paraId="635703F4" w14:textId="77777777" w:rsidR="002A21AE" w:rsidRDefault="002A21AE">
            <w:pPr>
              <w:pStyle w:val="TableText"/>
            </w:pPr>
            <w:r>
              <w:t>Patient cannot have a persistent antigen negative requirement regardless of the division of the requirement entry.</w:t>
            </w:r>
          </w:p>
        </w:tc>
        <w:tc>
          <w:tcPr>
            <w:tcW w:w="3600" w:type="dxa"/>
          </w:tcPr>
          <w:p w14:paraId="1C3F872D" w14:textId="77777777" w:rsidR="002A21AE" w:rsidRDefault="002A21AE">
            <w:pPr>
              <w:pStyle w:val="TableText"/>
            </w:pPr>
            <w:r>
              <w:t>Patient not eligible for eXM due to transfusion antigen negative requirement.</w:t>
            </w:r>
          </w:p>
        </w:tc>
      </w:tr>
      <w:tr w:rsidR="002A21AE" w:rsidRPr="005A7636" w14:paraId="29E57129" w14:textId="77777777">
        <w:tc>
          <w:tcPr>
            <w:tcW w:w="5760" w:type="dxa"/>
          </w:tcPr>
          <w:p w14:paraId="24F57524" w14:textId="77777777" w:rsidR="002A21AE" w:rsidRPr="005A7636" w:rsidRDefault="00B05CCE" w:rsidP="005A7636">
            <w:pPr>
              <w:pStyle w:val="TableText"/>
            </w:pPr>
            <w:r w:rsidRPr="00B05CCE">
              <w:t>The patient current ABO/Rh must match the historical record when there is a historical record, and there must be no previous justifications. An ABO/Rh marked as “entered in error” is not considered part of the patient’s record.</w:t>
            </w:r>
          </w:p>
        </w:tc>
        <w:tc>
          <w:tcPr>
            <w:tcW w:w="3600" w:type="dxa"/>
          </w:tcPr>
          <w:p w14:paraId="779BAA69" w14:textId="77777777" w:rsidR="002A21AE" w:rsidRPr="005A7636" w:rsidRDefault="002A21AE" w:rsidP="005A7636">
            <w:pPr>
              <w:pStyle w:val="TableText"/>
            </w:pPr>
            <w:r w:rsidRPr="005A7636">
              <w:t>Patient not eligible for eXM due to ABO/Rh discrepancy from previous record.</w:t>
            </w:r>
          </w:p>
        </w:tc>
      </w:tr>
      <w:tr w:rsidR="002A21AE" w14:paraId="6B88818A" w14:textId="77777777">
        <w:tc>
          <w:tcPr>
            <w:tcW w:w="5760" w:type="dxa"/>
          </w:tcPr>
          <w:p w14:paraId="623304D7" w14:textId="77777777" w:rsidR="002A21AE" w:rsidRDefault="002A21AE">
            <w:pPr>
              <w:pStyle w:val="TableText"/>
            </w:pPr>
            <w:r>
              <w:t>The patient cannot have a documented ins</w:t>
            </w:r>
            <w:r w:rsidR="004F09C6">
              <w:t>tance of current or previous</w:t>
            </w:r>
            <w:r>
              <w:t xml:space="preserve"> Inconclusive ABO/Rh typing.</w:t>
            </w:r>
          </w:p>
        </w:tc>
        <w:tc>
          <w:tcPr>
            <w:tcW w:w="3600" w:type="dxa"/>
          </w:tcPr>
          <w:p w14:paraId="5A4D88DE" w14:textId="77777777" w:rsidR="002A21AE" w:rsidRDefault="002A21AE">
            <w:pPr>
              <w:pStyle w:val="TableText"/>
            </w:pPr>
            <w:r>
              <w:t>Patient not eligible for eXM due to ABO/Rh typing difficulty.</w:t>
            </w:r>
          </w:p>
        </w:tc>
      </w:tr>
      <w:tr w:rsidR="002A21AE" w14:paraId="7443D6BB" w14:textId="77777777">
        <w:tc>
          <w:tcPr>
            <w:tcW w:w="5760" w:type="dxa"/>
          </w:tcPr>
          <w:p w14:paraId="6EDE839D" w14:textId="77777777" w:rsidR="00810934" w:rsidRPr="00810934" w:rsidRDefault="002A21AE">
            <w:pPr>
              <w:pStyle w:val="TableText"/>
              <w:rPr>
                <w:szCs w:val="18"/>
              </w:rPr>
            </w:pPr>
            <w:r>
              <w:t xml:space="preserve">There must be at least two valid instances of ABO/Rh typing performed in the same division for the patient. One instance must be a valid ABO/Rh on the current specimen and not “unknown” or “inconclusive”; the other may be from a previous typing episode or a repeat ABO/Rh performed on the current specimen. The patient ABO/Rh interpretations must match in all instances. </w:t>
            </w:r>
            <w:r w:rsidR="00810934">
              <w:rPr>
                <w:szCs w:val="18"/>
              </w:rPr>
              <w:t>The user m</w:t>
            </w:r>
            <w:r w:rsidR="00810934" w:rsidRPr="00810934">
              <w:rPr>
                <w:szCs w:val="18"/>
              </w:rPr>
              <w:t xml:space="preserve">ust enter valid forward and reverse typing </w:t>
            </w:r>
            <w:r w:rsidR="00810934">
              <w:rPr>
                <w:szCs w:val="18"/>
              </w:rPr>
              <w:t>for</w:t>
            </w:r>
            <w:r w:rsidR="00810934" w:rsidRPr="00810934">
              <w:rPr>
                <w:szCs w:val="18"/>
              </w:rPr>
              <w:t xml:space="preserve"> the system </w:t>
            </w:r>
            <w:r w:rsidR="00810934">
              <w:rPr>
                <w:szCs w:val="18"/>
              </w:rPr>
              <w:t>to</w:t>
            </w:r>
            <w:r w:rsidR="00810934" w:rsidRPr="00810934">
              <w:rPr>
                <w:szCs w:val="18"/>
              </w:rPr>
              <w:t xml:space="preserve"> use as the second test performed in the division.</w:t>
            </w:r>
          </w:p>
        </w:tc>
        <w:tc>
          <w:tcPr>
            <w:tcW w:w="3600" w:type="dxa"/>
          </w:tcPr>
          <w:p w14:paraId="696C213B" w14:textId="77777777" w:rsidR="002A21AE" w:rsidRDefault="00810934">
            <w:pPr>
              <w:pStyle w:val="TableText"/>
            </w:pPr>
            <w:r>
              <w:t>Patient not eligible for eXM:</w:t>
            </w:r>
            <w:r w:rsidR="002A21AE">
              <w:t xml:space="preserve"> he must have two instances of ABO/Rh typing at the division for eXM, including the current specimen.</w:t>
            </w:r>
          </w:p>
        </w:tc>
      </w:tr>
      <w:tr w:rsidR="002A21AE" w14:paraId="5C574033" w14:textId="77777777">
        <w:tc>
          <w:tcPr>
            <w:tcW w:w="5760" w:type="dxa"/>
          </w:tcPr>
          <w:p w14:paraId="6991BF43" w14:textId="77777777" w:rsidR="002A21AE" w:rsidRDefault="002A21AE">
            <w:pPr>
              <w:pStyle w:val="TableText"/>
            </w:pPr>
            <w:r>
              <w:t>Selected unit must be ABO compatible based on system rules</w:t>
            </w:r>
            <w:r>
              <w:rPr>
                <w:vanish/>
                <w:szCs w:val="18"/>
              </w:rPr>
              <w:t>TT_3.01 or TT_3.02</w:t>
            </w:r>
            <w:r>
              <w:t>.</w:t>
            </w:r>
          </w:p>
        </w:tc>
        <w:tc>
          <w:tcPr>
            <w:tcW w:w="3600" w:type="dxa"/>
          </w:tcPr>
          <w:p w14:paraId="17636CF2" w14:textId="77777777" w:rsidR="002A21AE" w:rsidRDefault="002A21AE">
            <w:pPr>
              <w:pStyle w:val="TableText"/>
            </w:pPr>
            <w:r>
              <w:t>Unit not eligible for eXM. Unit is ABO incompatible with the patient.</w:t>
            </w:r>
          </w:p>
        </w:tc>
      </w:tr>
    </w:tbl>
    <w:p w14:paraId="1A46DEE3" w14:textId="77777777" w:rsidR="002A21AE" w:rsidRDefault="002A21AE">
      <w:pPr>
        <w:pStyle w:val="Heading3"/>
        <w:rPr>
          <w:noProof/>
        </w:rPr>
      </w:pPr>
      <w:r>
        <w:rPr>
          <w:rFonts w:ascii="Geneva" w:hAnsi="Geneva"/>
          <w:vanish/>
        </w:rPr>
        <w:t xml:space="preserve">TT_27.01 </w:t>
      </w:r>
      <w:bookmarkStart w:id="652" w:name="_Toc149064220"/>
      <w:r>
        <w:t>Unit Status Flowchart</w:t>
      </w:r>
      <w:bookmarkEnd w:id="652"/>
      <w:r>
        <w:fldChar w:fldCharType="begin"/>
      </w:r>
      <w:r>
        <w:instrText xml:space="preserve"> XE </w:instrText>
      </w:r>
      <w:r w:rsidR="00FA7E65">
        <w:instrText>“</w:instrText>
      </w:r>
      <w:r>
        <w:instrText>Figures:Unit Status Flowchart</w:instrText>
      </w:r>
      <w:r w:rsidR="00FA7E65">
        <w:instrText>”</w:instrText>
      </w:r>
      <w:r>
        <w:instrText xml:space="preserve"> </w:instrText>
      </w:r>
      <w:r>
        <w:fldChar w:fldCharType="end"/>
      </w:r>
    </w:p>
    <w:p w14:paraId="2BE175B2" w14:textId="77777777" w:rsidR="002A21AE" w:rsidRDefault="002A21AE">
      <w:pPr>
        <w:pStyle w:val="Heading4"/>
      </w:pPr>
      <w:r>
        <w:t>Types of Unit Statuses</w:t>
      </w:r>
    </w:p>
    <w:p w14:paraId="036CEF3B" w14:textId="77777777" w:rsidR="002A21AE" w:rsidRDefault="002A21AE">
      <w:pPr>
        <w:pStyle w:val="ListBullet"/>
      </w:pPr>
      <w:r>
        <w:t>Temporary: awaiting ABO/Rh confirmation (lime green on the flowchart)</w:t>
      </w:r>
    </w:p>
    <w:p w14:paraId="05225B71" w14:textId="77777777" w:rsidR="002A21AE" w:rsidRDefault="002A21AE">
      <w:pPr>
        <w:pStyle w:val="ListBullet"/>
      </w:pPr>
      <w:r>
        <w:t>Adjustable: may move in and out of the status as part of normal processing</w:t>
      </w:r>
    </w:p>
    <w:p w14:paraId="121AA996" w14:textId="77777777" w:rsidR="002A21AE" w:rsidRDefault="002A21AE">
      <w:pPr>
        <w:pStyle w:val="ListBullet"/>
      </w:pPr>
      <w:r>
        <w:t>Issued: pending an update to transfusion or return (bright green in the flowchart)</w:t>
      </w:r>
    </w:p>
    <w:p w14:paraId="23E8A76D" w14:textId="77777777" w:rsidR="002A21AE" w:rsidRDefault="002A21AE">
      <w:pPr>
        <w:pStyle w:val="ListBullet"/>
      </w:pPr>
      <w:r>
        <w:t>Final: the unit is no longer available for most processes in the division; the unit record remains active (pink and stop signs in the flowchart)</w:t>
      </w:r>
    </w:p>
    <w:p w14:paraId="2F6BC276" w14:textId="77777777" w:rsidR="002A21AE" w:rsidRDefault="002A21AE">
      <w:pPr>
        <w:pStyle w:val="Heading4"/>
      </w:pPr>
      <w:r>
        <w:t>Indicators Associated with Units</w:t>
      </w:r>
    </w:p>
    <w:p w14:paraId="540FF5BE" w14:textId="77777777" w:rsidR="002A21AE" w:rsidRDefault="002A21AE">
      <w:pPr>
        <w:pStyle w:val="ListBullet"/>
      </w:pPr>
      <w:r>
        <w:t>Quarantined: attaches to the unit record and status when the unit is quarantined. Removed by releasing the unit from quarantined.</w:t>
      </w:r>
    </w:p>
    <w:p w14:paraId="035361CE" w14:textId="77777777" w:rsidR="002A21AE" w:rsidRDefault="002A21AE">
      <w:pPr>
        <w:pStyle w:val="ListBullet"/>
      </w:pPr>
      <w:r>
        <w:t>Presumed: attaches to the unit record only when the unit is in an issued unit status for more than 48 hours. Remains on the unit record if no transfusion information is entered through Post-Transfusion Information and Document ABO Incompatible Transfusion.</w:t>
      </w:r>
    </w:p>
    <w:p w14:paraId="30DBBEE7" w14:textId="7A8FDF6C" w:rsidR="002A21AE" w:rsidRDefault="002A21AE">
      <w:pPr>
        <w:pStyle w:val="Caption"/>
      </w:pPr>
      <w:bookmarkStart w:id="653" w:name="_Toc97523644"/>
      <w:r>
        <w:br w:type="page"/>
      </w:r>
      <w:bookmarkStart w:id="654" w:name="_Ref126467968"/>
      <w:bookmarkStart w:id="655" w:name="_Toc9752761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118</w:t>
      </w:r>
      <w:r w:rsidR="004E20BD">
        <w:rPr>
          <w:noProof/>
        </w:rPr>
        <w:fldChar w:fldCharType="end"/>
      </w:r>
      <w:bookmarkEnd w:id="654"/>
      <w:r>
        <w:t xml:space="preserve">: </w:t>
      </w:r>
      <w:r>
        <w:rPr>
          <w:vanish/>
        </w:rPr>
        <w:t xml:space="preserve">TT_27.01C </w:t>
      </w:r>
      <w:r>
        <w:t>Unit Status Flowchart</w:t>
      </w:r>
      <w:bookmarkEnd w:id="653"/>
      <w:bookmarkEnd w:id="655"/>
    </w:p>
    <w:p w14:paraId="79377E0E" w14:textId="504B04AF" w:rsidR="002A21AE" w:rsidRDefault="00627964" w:rsidP="002C179C">
      <w:pPr>
        <w:pStyle w:val="BodyText"/>
      </w:pPr>
      <w:r w:rsidRPr="00A53F2E">
        <w:rPr>
          <w:rFonts w:ascii="Arial" w:hAnsi="Arial"/>
          <w:sz w:val="20"/>
        </w:rPr>
        <w:object w:dxaOrig="3475" w:dyaOrig="4320" w14:anchorId="55B6EB3A">
          <v:shape id="_x0000_i1031" type="#_x0000_t75" alt="Unit Status Flowchart" style="width:476.25pt;height:489.75pt;mso-position-vertical:absolute" o:ole="" fillcolor="window">
            <v:imagedata r:id="rId214" o:title="" croptop="6031f"/>
          </v:shape>
          <o:OLEObject Type="Embed" ProgID="Visio.Drawing.11" ShapeID="_x0000_i1031" DrawAspect="Content" ObjectID="_1767790628" r:id="rId215"/>
        </w:object>
      </w:r>
    </w:p>
    <w:p w14:paraId="60EBE3A2" w14:textId="77777777" w:rsidR="002A21AE" w:rsidRDefault="002A21AE">
      <w:pPr>
        <w:pStyle w:val="Heading3"/>
      </w:pPr>
      <w:r>
        <w:br w:type="page"/>
      </w:r>
      <w:bookmarkStart w:id="656" w:name="_Toc91323790"/>
      <w:r w:rsidR="00966400">
        <w:rPr>
          <w:rFonts w:ascii="Geneva" w:hAnsi="Geneva"/>
          <w:vanish/>
        </w:rPr>
        <w:t xml:space="preserve"> </w:t>
      </w:r>
      <w:r>
        <w:rPr>
          <w:rFonts w:ascii="Geneva" w:hAnsi="Geneva"/>
          <w:vanish/>
        </w:rPr>
        <w:t>PT_32.01</w:t>
      </w:r>
      <w:r>
        <w:rPr>
          <w:rFonts w:ascii="Geneva" w:hAnsi="Geneva"/>
          <w:vanish/>
          <w:sz w:val="16"/>
        </w:rPr>
        <w:t xml:space="preserve"> </w:t>
      </w:r>
      <w:bookmarkStart w:id="657" w:name="_Toc149064221"/>
      <w:r>
        <w:t>VBECS Maximum Surgical Blood Order Schedule</w:t>
      </w:r>
      <w:bookmarkEnd w:id="657"/>
      <w:r>
        <w:fldChar w:fldCharType="begin"/>
      </w:r>
      <w:r>
        <w:instrText xml:space="preserve"> XE </w:instrText>
      </w:r>
      <w:r w:rsidR="00FA7E65">
        <w:instrText>“</w:instrText>
      </w:r>
      <w:r>
        <w:instrText>Tables:VBECS Maximum Surgical Blood Order Schedule (MSBOS)</w:instrText>
      </w:r>
      <w:r w:rsidR="00FA7E65">
        <w:instrText>”</w:instrText>
      </w:r>
      <w:r>
        <w:instrText xml:space="preserve"> </w:instrText>
      </w:r>
      <w:r>
        <w:fldChar w:fldCharType="end"/>
      </w:r>
    </w:p>
    <w:p w14:paraId="5488A421" w14:textId="5803A9FC" w:rsidR="002A21AE" w:rsidRDefault="002A21AE">
      <w:pPr>
        <w:pStyle w:val="Caption"/>
      </w:pPr>
      <w:bookmarkStart w:id="658" w:name="_Ref126732493"/>
      <w:bookmarkStart w:id="659" w:name="_Toc97523646"/>
      <w:bookmarkStart w:id="660" w:name="_Toc97527616"/>
      <w:bookmarkStart w:id="661" w:name="_Ref126484549"/>
      <w:bookmarkStart w:id="662" w:name="_Ref126504270"/>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23</w:t>
      </w:r>
      <w:r w:rsidR="004E20BD">
        <w:rPr>
          <w:noProof/>
        </w:rPr>
        <w:fldChar w:fldCharType="end"/>
      </w:r>
      <w:bookmarkEnd w:id="658"/>
      <w:r>
        <w:t xml:space="preserve">: </w:t>
      </w:r>
      <w:r>
        <w:rPr>
          <w:vanish/>
        </w:rPr>
        <w:t>PT_32.01</w:t>
      </w:r>
      <w:r>
        <w:rPr>
          <w:vanish/>
          <w:sz w:val="16"/>
        </w:rPr>
        <w:t xml:space="preserve"> </w:t>
      </w:r>
      <w:r>
        <w:t>VBECS Maximum Surgical Blood Order Schedule (MSBOS)</w:t>
      </w:r>
      <w:bookmarkEnd w:id="656"/>
      <w:bookmarkEnd w:id="659"/>
      <w:bookmarkEnd w:id="660"/>
      <w:bookmarkEnd w:id="661"/>
      <w:bookmarkEnd w:id="662"/>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tblGrid>
      <w:tr w:rsidR="00CF62EC" w14:paraId="30C8FDB3" w14:textId="77777777">
        <w:trPr>
          <w:tblHeader/>
        </w:trPr>
        <w:tc>
          <w:tcPr>
            <w:tcW w:w="9360" w:type="dxa"/>
            <w:gridSpan w:val="2"/>
            <w:shd w:val="clear" w:color="auto" w:fill="B3B3B3"/>
            <w:vAlign w:val="bottom"/>
          </w:tcPr>
          <w:p w14:paraId="190D5D82" w14:textId="77777777" w:rsidR="00CF62EC" w:rsidRDefault="00CF62EC" w:rsidP="00CF62EC">
            <w:pPr>
              <w:pStyle w:val="TableText"/>
            </w:pPr>
            <w:r w:rsidRPr="00887834">
              <w:rPr>
                <w:b/>
              </w:rPr>
              <w:t>VBECS Maximum Surgical Blood Order Schedule (MSBOS)</w:t>
            </w:r>
          </w:p>
        </w:tc>
      </w:tr>
      <w:tr w:rsidR="00CF62EC" w14:paraId="6CD3C256" w14:textId="77777777">
        <w:tc>
          <w:tcPr>
            <w:tcW w:w="4680" w:type="dxa"/>
            <w:vAlign w:val="bottom"/>
          </w:tcPr>
          <w:p w14:paraId="29B97BB8" w14:textId="77777777" w:rsidR="00CF62EC" w:rsidRDefault="00CF62EC" w:rsidP="00CF62EC">
            <w:pPr>
              <w:pStyle w:val="TableText"/>
            </w:pPr>
            <w:r>
              <w:t>Abdominal-Perineal resection</w:t>
            </w:r>
          </w:p>
        </w:tc>
        <w:tc>
          <w:tcPr>
            <w:tcW w:w="4680" w:type="dxa"/>
            <w:vAlign w:val="bottom"/>
          </w:tcPr>
          <w:p w14:paraId="4BCC0474" w14:textId="77777777" w:rsidR="00CF62EC" w:rsidRDefault="00CF62EC" w:rsidP="00CF62EC">
            <w:pPr>
              <w:pStyle w:val="TableText"/>
            </w:pPr>
            <w:r>
              <w:t>Keratectomy</w:t>
            </w:r>
          </w:p>
        </w:tc>
      </w:tr>
      <w:tr w:rsidR="00CF62EC" w14:paraId="4FB8650D" w14:textId="77777777">
        <w:tc>
          <w:tcPr>
            <w:tcW w:w="4680" w:type="dxa"/>
            <w:vAlign w:val="bottom"/>
          </w:tcPr>
          <w:p w14:paraId="12D3422C" w14:textId="77777777" w:rsidR="00CF62EC" w:rsidRDefault="00CF62EC" w:rsidP="00CF62EC">
            <w:pPr>
              <w:pStyle w:val="TableText"/>
            </w:pPr>
            <w:r>
              <w:t>Adrenalectomy</w:t>
            </w:r>
          </w:p>
        </w:tc>
        <w:tc>
          <w:tcPr>
            <w:tcW w:w="4680" w:type="dxa"/>
            <w:vAlign w:val="bottom"/>
          </w:tcPr>
          <w:p w14:paraId="4D9E5F3C" w14:textId="77777777" w:rsidR="00CF62EC" w:rsidRDefault="00CF62EC" w:rsidP="00CF62EC">
            <w:pPr>
              <w:pStyle w:val="TableText"/>
            </w:pPr>
            <w:r>
              <w:t>Hernia repair</w:t>
            </w:r>
          </w:p>
        </w:tc>
      </w:tr>
      <w:tr w:rsidR="00CF62EC" w14:paraId="0E5EE4F9" w14:textId="77777777">
        <w:tc>
          <w:tcPr>
            <w:tcW w:w="4680" w:type="dxa"/>
            <w:vAlign w:val="bottom"/>
          </w:tcPr>
          <w:p w14:paraId="70097EE8" w14:textId="77777777" w:rsidR="00CF62EC" w:rsidRDefault="00CF62EC" w:rsidP="00CF62EC">
            <w:pPr>
              <w:pStyle w:val="TableText"/>
            </w:pPr>
            <w:r>
              <w:t>Amputation (A/K, B/K)</w:t>
            </w:r>
          </w:p>
        </w:tc>
        <w:tc>
          <w:tcPr>
            <w:tcW w:w="4680" w:type="dxa"/>
            <w:vAlign w:val="bottom"/>
          </w:tcPr>
          <w:p w14:paraId="37568CA8" w14:textId="77777777" w:rsidR="00CF62EC" w:rsidRDefault="00CF62EC" w:rsidP="00CF62EC">
            <w:pPr>
              <w:pStyle w:val="TableText"/>
            </w:pPr>
            <w:r>
              <w:t>Hip Replacement, total</w:t>
            </w:r>
          </w:p>
        </w:tc>
      </w:tr>
      <w:tr w:rsidR="00CF62EC" w14:paraId="0D6BA7A3" w14:textId="77777777">
        <w:tc>
          <w:tcPr>
            <w:tcW w:w="4680" w:type="dxa"/>
            <w:vAlign w:val="bottom"/>
          </w:tcPr>
          <w:p w14:paraId="6982D30F" w14:textId="77777777" w:rsidR="00CF62EC" w:rsidRDefault="00CF62EC" w:rsidP="00CF62EC">
            <w:pPr>
              <w:pStyle w:val="TableText"/>
            </w:pPr>
            <w:r>
              <w:t>Aneurysm, aortic</w:t>
            </w:r>
          </w:p>
        </w:tc>
        <w:tc>
          <w:tcPr>
            <w:tcW w:w="4680" w:type="dxa"/>
            <w:vAlign w:val="bottom"/>
          </w:tcPr>
          <w:p w14:paraId="5AE7E5E7" w14:textId="77777777" w:rsidR="00CF62EC" w:rsidRDefault="00CF62EC" w:rsidP="00CF62EC">
            <w:pPr>
              <w:pStyle w:val="TableText"/>
            </w:pPr>
            <w:r>
              <w:t>Hip Replacement, revision</w:t>
            </w:r>
          </w:p>
        </w:tc>
      </w:tr>
      <w:tr w:rsidR="00CF62EC" w14:paraId="338C6480" w14:textId="77777777">
        <w:tc>
          <w:tcPr>
            <w:tcW w:w="4680" w:type="dxa"/>
            <w:vAlign w:val="bottom"/>
          </w:tcPr>
          <w:p w14:paraId="760ACE16" w14:textId="77777777" w:rsidR="00CF62EC" w:rsidRDefault="00CF62EC" w:rsidP="00CF62EC">
            <w:pPr>
              <w:pStyle w:val="TableText"/>
            </w:pPr>
            <w:r>
              <w:t>Aneurysm, abdominal</w:t>
            </w:r>
          </w:p>
        </w:tc>
        <w:tc>
          <w:tcPr>
            <w:tcW w:w="4680" w:type="dxa"/>
            <w:vAlign w:val="bottom"/>
          </w:tcPr>
          <w:p w14:paraId="179112D6" w14:textId="77777777" w:rsidR="00CF62EC" w:rsidRDefault="00CF62EC" w:rsidP="00CF62EC">
            <w:pPr>
              <w:pStyle w:val="TableText"/>
            </w:pPr>
            <w:r>
              <w:t>Knee Replacement, total</w:t>
            </w:r>
          </w:p>
        </w:tc>
      </w:tr>
      <w:tr w:rsidR="00CF62EC" w14:paraId="099F8148" w14:textId="77777777">
        <w:tc>
          <w:tcPr>
            <w:tcW w:w="4680" w:type="dxa"/>
            <w:vAlign w:val="bottom"/>
          </w:tcPr>
          <w:p w14:paraId="2BF8444A" w14:textId="77777777" w:rsidR="00CF62EC" w:rsidRDefault="00CF62EC" w:rsidP="00CF62EC">
            <w:pPr>
              <w:pStyle w:val="TableText"/>
            </w:pPr>
            <w:r>
              <w:t>Aneurysm, thoracic</w:t>
            </w:r>
          </w:p>
        </w:tc>
        <w:tc>
          <w:tcPr>
            <w:tcW w:w="4680" w:type="dxa"/>
            <w:vAlign w:val="bottom"/>
          </w:tcPr>
          <w:p w14:paraId="6E6090CA" w14:textId="77777777" w:rsidR="00CF62EC" w:rsidRDefault="00CF62EC" w:rsidP="00CF62EC">
            <w:pPr>
              <w:pStyle w:val="TableText"/>
            </w:pPr>
            <w:r>
              <w:t>Laminectomy, cervical, thoracic, or lumbar</w:t>
            </w:r>
          </w:p>
        </w:tc>
      </w:tr>
      <w:tr w:rsidR="00CF62EC" w14:paraId="08017095" w14:textId="77777777">
        <w:tc>
          <w:tcPr>
            <w:tcW w:w="4680" w:type="dxa"/>
            <w:vAlign w:val="bottom"/>
          </w:tcPr>
          <w:p w14:paraId="472F7036" w14:textId="77777777" w:rsidR="00CF62EC" w:rsidRDefault="00CF62EC" w:rsidP="00CF62EC">
            <w:pPr>
              <w:pStyle w:val="TableText"/>
            </w:pPr>
            <w:r>
              <w:t>Aneurysm, cranial</w:t>
            </w:r>
          </w:p>
        </w:tc>
        <w:tc>
          <w:tcPr>
            <w:tcW w:w="4680" w:type="dxa"/>
            <w:vAlign w:val="bottom"/>
          </w:tcPr>
          <w:p w14:paraId="01F0A548" w14:textId="77777777" w:rsidR="00CF62EC" w:rsidRDefault="00CF62EC" w:rsidP="00CF62EC">
            <w:pPr>
              <w:pStyle w:val="TableText"/>
            </w:pPr>
            <w:r>
              <w:t>Laminectomy, disk repair</w:t>
            </w:r>
          </w:p>
        </w:tc>
      </w:tr>
      <w:tr w:rsidR="00CF62EC" w14:paraId="3D5B3652" w14:textId="77777777">
        <w:tc>
          <w:tcPr>
            <w:tcW w:w="4680" w:type="dxa"/>
            <w:vAlign w:val="bottom"/>
          </w:tcPr>
          <w:p w14:paraId="3A48CB2A" w14:textId="77777777" w:rsidR="00CF62EC" w:rsidRDefault="00CF62EC" w:rsidP="00CF62EC">
            <w:pPr>
              <w:pStyle w:val="TableText"/>
            </w:pPr>
            <w:r>
              <w:t>Aorto-Femoral Bypass</w:t>
            </w:r>
          </w:p>
        </w:tc>
        <w:tc>
          <w:tcPr>
            <w:tcW w:w="4680" w:type="dxa"/>
            <w:vAlign w:val="bottom"/>
          </w:tcPr>
          <w:p w14:paraId="15A6DC39" w14:textId="77777777" w:rsidR="00CF62EC" w:rsidRDefault="00CF62EC" w:rsidP="00CF62EC">
            <w:pPr>
              <w:pStyle w:val="TableText"/>
            </w:pPr>
            <w:r>
              <w:t>Laparotomy, exploratory</w:t>
            </w:r>
          </w:p>
        </w:tc>
      </w:tr>
      <w:tr w:rsidR="00CF62EC" w14:paraId="50F18771" w14:textId="77777777">
        <w:tc>
          <w:tcPr>
            <w:tcW w:w="4680" w:type="dxa"/>
            <w:vAlign w:val="bottom"/>
          </w:tcPr>
          <w:p w14:paraId="6F3FC9CB" w14:textId="77777777" w:rsidR="00CF62EC" w:rsidRDefault="00CF62EC" w:rsidP="00CF62EC">
            <w:pPr>
              <w:pStyle w:val="TableText"/>
            </w:pPr>
            <w:r>
              <w:t>Appendectomy</w:t>
            </w:r>
          </w:p>
        </w:tc>
        <w:tc>
          <w:tcPr>
            <w:tcW w:w="4680" w:type="dxa"/>
            <w:vAlign w:val="bottom"/>
          </w:tcPr>
          <w:p w14:paraId="7D2D610F" w14:textId="77777777" w:rsidR="00CF62EC" w:rsidRDefault="00CF62EC" w:rsidP="00CF62EC">
            <w:pPr>
              <w:pStyle w:val="TableText"/>
            </w:pPr>
            <w:r>
              <w:t>Laryngectomy</w:t>
            </w:r>
          </w:p>
        </w:tc>
      </w:tr>
      <w:tr w:rsidR="00CF62EC" w14:paraId="6F1FA9F3" w14:textId="77777777">
        <w:tc>
          <w:tcPr>
            <w:tcW w:w="4680" w:type="dxa"/>
            <w:vAlign w:val="bottom"/>
          </w:tcPr>
          <w:p w14:paraId="5CE5D1CA" w14:textId="77777777" w:rsidR="00CF62EC" w:rsidRDefault="00CF62EC" w:rsidP="00CF62EC">
            <w:pPr>
              <w:pStyle w:val="TableText"/>
            </w:pPr>
            <w:r>
              <w:t>Coronary Bypass Graft (CABG)</w:t>
            </w:r>
          </w:p>
        </w:tc>
        <w:tc>
          <w:tcPr>
            <w:tcW w:w="4680" w:type="dxa"/>
            <w:vAlign w:val="bottom"/>
          </w:tcPr>
          <w:p w14:paraId="77AE271E" w14:textId="77777777" w:rsidR="00CF62EC" w:rsidRDefault="00CF62EC" w:rsidP="00CF62EC">
            <w:pPr>
              <w:pStyle w:val="TableText"/>
            </w:pPr>
            <w:r>
              <w:t>Lobectomy, pulmonary</w:t>
            </w:r>
          </w:p>
        </w:tc>
      </w:tr>
      <w:tr w:rsidR="00CF62EC" w14:paraId="11CE8778" w14:textId="77777777">
        <w:tc>
          <w:tcPr>
            <w:tcW w:w="4680" w:type="dxa"/>
            <w:vAlign w:val="bottom"/>
          </w:tcPr>
          <w:p w14:paraId="2CC7B974" w14:textId="77777777" w:rsidR="00CF62EC" w:rsidRDefault="00CF62EC" w:rsidP="00CF62EC">
            <w:pPr>
              <w:pStyle w:val="TableText"/>
            </w:pPr>
            <w:r>
              <w:t>Coronary Bypass Graft (CABG), redo</w:t>
            </w:r>
          </w:p>
        </w:tc>
        <w:tc>
          <w:tcPr>
            <w:tcW w:w="4680" w:type="dxa"/>
            <w:vAlign w:val="bottom"/>
          </w:tcPr>
          <w:p w14:paraId="05225975" w14:textId="77777777" w:rsidR="00CF62EC" w:rsidRDefault="00CF62EC" w:rsidP="00CF62EC">
            <w:pPr>
              <w:pStyle w:val="TableText"/>
            </w:pPr>
            <w:r>
              <w:t>Mandibulectomy</w:t>
            </w:r>
          </w:p>
        </w:tc>
      </w:tr>
      <w:tr w:rsidR="00CF62EC" w14:paraId="307F5EC1" w14:textId="77777777">
        <w:tc>
          <w:tcPr>
            <w:tcW w:w="4680" w:type="dxa"/>
            <w:vAlign w:val="bottom"/>
          </w:tcPr>
          <w:p w14:paraId="3B2FAF48" w14:textId="77777777" w:rsidR="00CF62EC" w:rsidRDefault="00CF62EC" w:rsidP="00CF62EC">
            <w:pPr>
              <w:pStyle w:val="TableText"/>
            </w:pPr>
            <w:r>
              <w:t>Carotid Endarterectomy</w:t>
            </w:r>
          </w:p>
        </w:tc>
        <w:tc>
          <w:tcPr>
            <w:tcW w:w="4680" w:type="dxa"/>
            <w:vAlign w:val="bottom"/>
          </w:tcPr>
          <w:p w14:paraId="2F6428D6" w14:textId="77777777" w:rsidR="00CF62EC" w:rsidRDefault="00CF62EC" w:rsidP="00CF62EC">
            <w:pPr>
              <w:pStyle w:val="TableText"/>
            </w:pPr>
            <w:r>
              <w:t>Mastectomy, radical</w:t>
            </w:r>
          </w:p>
        </w:tc>
      </w:tr>
      <w:tr w:rsidR="00CF62EC" w14:paraId="05E6CD25" w14:textId="77777777">
        <w:tc>
          <w:tcPr>
            <w:tcW w:w="4680" w:type="dxa"/>
            <w:vAlign w:val="bottom"/>
          </w:tcPr>
          <w:p w14:paraId="2162D0C1" w14:textId="77777777" w:rsidR="00CF62EC" w:rsidRDefault="00CF62EC" w:rsidP="00CF62EC">
            <w:pPr>
              <w:pStyle w:val="TableText"/>
            </w:pPr>
            <w:r>
              <w:t>Cervical Discectomy</w:t>
            </w:r>
          </w:p>
        </w:tc>
        <w:tc>
          <w:tcPr>
            <w:tcW w:w="4680" w:type="dxa"/>
            <w:vAlign w:val="bottom"/>
          </w:tcPr>
          <w:p w14:paraId="66EF5041" w14:textId="77777777" w:rsidR="00CF62EC" w:rsidRDefault="00CF62EC" w:rsidP="00CF62EC">
            <w:pPr>
              <w:pStyle w:val="TableText"/>
            </w:pPr>
            <w:r>
              <w:t>Maxillectomy</w:t>
            </w:r>
          </w:p>
        </w:tc>
      </w:tr>
      <w:tr w:rsidR="00CF62EC" w14:paraId="160EB6DD" w14:textId="77777777">
        <w:tc>
          <w:tcPr>
            <w:tcW w:w="4680" w:type="dxa"/>
            <w:vAlign w:val="bottom"/>
          </w:tcPr>
          <w:p w14:paraId="0258BDC4" w14:textId="77777777" w:rsidR="00CF62EC" w:rsidRDefault="00CF62EC" w:rsidP="00CF62EC">
            <w:pPr>
              <w:pStyle w:val="TableText"/>
            </w:pPr>
            <w:r>
              <w:t>Cervical Fusion</w:t>
            </w:r>
          </w:p>
        </w:tc>
        <w:tc>
          <w:tcPr>
            <w:tcW w:w="4680" w:type="dxa"/>
            <w:vAlign w:val="bottom"/>
          </w:tcPr>
          <w:p w14:paraId="2174B9F5" w14:textId="77777777" w:rsidR="00CF62EC" w:rsidRDefault="00CF62EC" w:rsidP="00CF62EC">
            <w:pPr>
              <w:pStyle w:val="TableText"/>
            </w:pPr>
            <w:r>
              <w:t>Nephrectomy</w:t>
            </w:r>
          </w:p>
        </w:tc>
      </w:tr>
      <w:tr w:rsidR="00CF62EC" w14:paraId="2AE22CB3" w14:textId="77777777">
        <w:tc>
          <w:tcPr>
            <w:tcW w:w="4680" w:type="dxa"/>
            <w:vAlign w:val="bottom"/>
          </w:tcPr>
          <w:p w14:paraId="4D89F202" w14:textId="77777777" w:rsidR="00CF62EC" w:rsidRDefault="00CF62EC" w:rsidP="00CF62EC">
            <w:pPr>
              <w:pStyle w:val="TableText"/>
            </w:pPr>
            <w:r>
              <w:t>Cholecystectomy</w:t>
            </w:r>
          </w:p>
        </w:tc>
        <w:tc>
          <w:tcPr>
            <w:tcW w:w="4680" w:type="dxa"/>
            <w:vAlign w:val="bottom"/>
          </w:tcPr>
          <w:p w14:paraId="401619A2" w14:textId="77777777" w:rsidR="00CF62EC" w:rsidRDefault="00CF62EC" w:rsidP="00CF62EC">
            <w:pPr>
              <w:pStyle w:val="TableText"/>
            </w:pPr>
            <w:r>
              <w:t>Pancreatectomy</w:t>
            </w:r>
          </w:p>
        </w:tc>
      </w:tr>
      <w:tr w:rsidR="00CF62EC" w14:paraId="67A7F7B9" w14:textId="77777777">
        <w:tc>
          <w:tcPr>
            <w:tcW w:w="4680" w:type="dxa"/>
            <w:vAlign w:val="bottom"/>
          </w:tcPr>
          <w:p w14:paraId="41D9A87E" w14:textId="5E7D47A8" w:rsidR="00CF62EC" w:rsidRDefault="009521F7" w:rsidP="00CF62EC">
            <w:pPr>
              <w:pStyle w:val="TableText"/>
            </w:pPr>
            <w:r>
              <w:t>Colostomy</w:t>
            </w:r>
          </w:p>
        </w:tc>
        <w:tc>
          <w:tcPr>
            <w:tcW w:w="4680" w:type="dxa"/>
            <w:vAlign w:val="bottom"/>
          </w:tcPr>
          <w:p w14:paraId="5621BEF7" w14:textId="77777777" w:rsidR="00CF62EC" w:rsidRDefault="00CF62EC" w:rsidP="00CF62EC">
            <w:pPr>
              <w:pStyle w:val="TableText"/>
            </w:pPr>
            <w:r>
              <w:t>Parathyroidectomy</w:t>
            </w:r>
          </w:p>
        </w:tc>
      </w:tr>
      <w:tr w:rsidR="00CF62EC" w14:paraId="66C503FE" w14:textId="77777777">
        <w:tc>
          <w:tcPr>
            <w:tcW w:w="4680" w:type="dxa"/>
            <w:vAlign w:val="bottom"/>
          </w:tcPr>
          <w:p w14:paraId="31D766EC" w14:textId="77777777" w:rsidR="00CF62EC" w:rsidRDefault="00CF62EC" w:rsidP="00CF62EC">
            <w:pPr>
              <w:pStyle w:val="TableText"/>
            </w:pPr>
            <w:r>
              <w:t>Colectomy</w:t>
            </w:r>
          </w:p>
        </w:tc>
        <w:tc>
          <w:tcPr>
            <w:tcW w:w="4680" w:type="dxa"/>
            <w:vAlign w:val="bottom"/>
          </w:tcPr>
          <w:p w14:paraId="2F944919" w14:textId="77777777" w:rsidR="00CF62EC" w:rsidRDefault="00CF62EC" w:rsidP="00CF62EC">
            <w:pPr>
              <w:pStyle w:val="TableText"/>
            </w:pPr>
            <w:r>
              <w:t>Portocaval Shunt</w:t>
            </w:r>
          </w:p>
        </w:tc>
      </w:tr>
      <w:tr w:rsidR="00CF62EC" w14:paraId="1BC6CB0E" w14:textId="77777777">
        <w:tc>
          <w:tcPr>
            <w:tcW w:w="4680" w:type="dxa"/>
            <w:vAlign w:val="bottom"/>
          </w:tcPr>
          <w:p w14:paraId="2F372528" w14:textId="77777777" w:rsidR="00CF62EC" w:rsidRDefault="00CF62EC" w:rsidP="00CF62EC">
            <w:pPr>
              <w:pStyle w:val="TableText"/>
            </w:pPr>
            <w:r>
              <w:t>Colon Resection</w:t>
            </w:r>
          </w:p>
        </w:tc>
        <w:tc>
          <w:tcPr>
            <w:tcW w:w="4680" w:type="dxa"/>
            <w:vAlign w:val="bottom"/>
          </w:tcPr>
          <w:p w14:paraId="71992900" w14:textId="77777777" w:rsidR="00CF62EC" w:rsidRDefault="00CF62EC" w:rsidP="00CF62EC">
            <w:pPr>
              <w:pStyle w:val="TableText"/>
            </w:pPr>
            <w:r>
              <w:t>Prostatectomy</w:t>
            </w:r>
          </w:p>
        </w:tc>
      </w:tr>
      <w:tr w:rsidR="00CF62EC" w14:paraId="7B7FD2A1" w14:textId="77777777">
        <w:tc>
          <w:tcPr>
            <w:tcW w:w="4680" w:type="dxa"/>
            <w:vAlign w:val="bottom"/>
          </w:tcPr>
          <w:p w14:paraId="34689AD9" w14:textId="77777777" w:rsidR="00CF62EC" w:rsidRDefault="00CF62EC" w:rsidP="00CF62EC">
            <w:pPr>
              <w:pStyle w:val="TableText"/>
            </w:pPr>
            <w:r>
              <w:t>Craniotomy</w:t>
            </w:r>
          </w:p>
        </w:tc>
        <w:tc>
          <w:tcPr>
            <w:tcW w:w="4680" w:type="dxa"/>
            <w:vAlign w:val="bottom"/>
          </w:tcPr>
          <w:p w14:paraId="2C094A9A" w14:textId="77777777" w:rsidR="00CF62EC" w:rsidRDefault="00CF62EC" w:rsidP="00CF62EC">
            <w:pPr>
              <w:pStyle w:val="TableText"/>
            </w:pPr>
            <w:r>
              <w:t>Prostatectomy, total</w:t>
            </w:r>
          </w:p>
        </w:tc>
      </w:tr>
      <w:tr w:rsidR="00CF62EC" w14:paraId="46003A4E" w14:textId="77777777">
        <w:tc>
          <w:tcPr>
            <w:tcW w:w="4680" w:type="dxa"/>
            <w:vAlign w:val="bottom"/>
          </w:tcPr>
          <w:p w14:paraId="71C05EC6" w14:textId="77777777" w:rsidR="00CF62EC" w:rsidRDefault="00CF62EC" w:rsidP="00CF62EC">
            <w:pPr>
              <w:pStyle w:val="TableText"/>
            </w:pPr>
            <w:r>
              <w:t>Cystectomy</w:t>
            </w:r>
          </w:p>
        </w:tc>
        <w:tc>
          <w:tcPr>
            <w:tcW w:w="4680" w:type="dxa"/>
            <w:vAlign w:val="bottom"/>
          </w:tcPr>
          <w:p w14:paraId="7C00CE88" w14:textId="77777777" w:rsidR="00CF62EC" w:rsidRDefault="00CF62EC" w:rsidP="00CF62EC">
            <w:pPr>
              <w:pStyle w:val="TableText"/>
            </w:pPr>
            <w:r>
              <w:t>Radical Neck Dissection</w:t>
            </w:r>
          </w:p>
        </w:tc>
      </w:tr>
      <w:tr w:rsidR="00CF62EC" w14:paraId="6A35E2D6" w14:textId="77777777">
        <w:tc>
          <w:tcPr>
            <w:tcW w:w="4680" w:type="dxa"/>
            <w:vAlign w:val="bottom"/>
          </w:tcPr>
          <w:p w14:paraId="11C9A8C4" w14:textId="77777777" w:rsidR="00CF62EC" w:rsidRDefault="00CF62EC" w:rsidP="00CF62EC">
            <w:pPr>
              <w:pStyle w:val="TableText"/>
            </w:pPr>
            <w:r>
              <w:t>Cystolithotomy</w:t>
            </w:r>
          </w:p>
        </w:tc>
        <w:tc>
          <w:tcPr>
            <w:tcW w:w="4680" w:type="dxa"/>
            <w:vAlign w:val="bottom"/>
          </w:tcPr>
          <w:p w14:paraId="005C264C" w14:textId="77777777" w:rsidR="00CF62EC" w:rsidRDefault="00CF62EC" w:rsidP="00CF62EC">
            <w:pPr>
              <w:pStyle w:val="TableText"/>
            </w:pPr>
            <w:r>
              <w:t>Renal Transplant</w:t>
            </w:r>
          </w:p>
        </w:tc>
      </w:tr>
      <w:tr w:rsidR="00CF62EC" w14:paraId="7C8C661D" w14:textId="77777777">
        <w:tc>
          <w:tcPr>
            <w:tcW w:w="4680" w:type="dxa"/>
            <w:vAlign w:val="bottom"/>
          </w:tcPr>
          <w:p w14:paraId="304C128C" w14:textId="77777777" w:rsidR="00CF62EC" w:rsidRDefault="00CF62EC" w:rsidP="00CF62EC">
            <w:pPr>
              <w:pStyle w:val="TableText"/>
            </w:pPr>
            <w:r>
              <w:t>Cystoscopy</w:t>
            </w:r>
          </w:p>
        </w:tc>
        <w:tc>
          <w:tcPr>
            <w:tcW w:w="4680" w:type="dxa"/>
            <w:vAlign w:val="bottom"/>
          </w:tcPr>
          <w:p w14:paraId="71704ED0" w14:textId="77777777" w:rsidR="00CF62EC" w:rsidRDefault="00CF62EC" w:rsidP="00CF62EC">
            <w:pPr>
              <w:pStyle w:val="TableText"/>
            </w:pPr>
            <w:r>
              <w:t>Skin Flap</w:t>
            </w:r>
          </w:p>
        </w:tc>
      </w:tr>
      <w:tr w:rsidR="00CF62EC" w14:paraId="4A68FD42" w14:textId="77777777">
        <w:tc>
          <w:tcPr>
            <w:tcW w:w="4680" w:type="dxa"/>
            <w:vAlign w:val="bottom"/>
          </w:tcPr>
          <w:p w14:paraId="31365DBF" w14:textId="77777777" w:rsidR="00CF62EC" w:rsidRDefault="00CF62EC" w:rsidP="00CF62EC">
            <w:pPr>
              <w:pStyle w:val="TableText"/>
            </w:pPr>
            <w:r>
              <w:t>Embolectomy</w:t>
            </w:r>
          </w:p>
        </w:tc>
        <w:tc>
          <w:tcPr>
            <w:tcW w:w="4680" w:type="dxa"/>
            <w:vAlign w:val="bottom"/>
          </w:tcPr>
          <w:p w14:paraId="0DB741EE" w14:textId="77777777" w:rsidR="00CF62EC" w:rsidRDefault="00CF62EC" w:rsidP="00CF62EC">
            <w:pPr>
              <w:pStyle w:val="TableText"/>
            </w:pPr>
            <w:r>
              <w:t>Skin Graft</w:t>
            </w:r>
          </w:p>
        </w:tc>
      </w:tr>
      <w:tr w:rsidR="00CF62EC" w14:paraId="48535893" w14:textId="77777777">
        <w:tc>
          <w:tcPr>
            <w:tcW w:w="4680" w:type="dxa"/>
            <w:vAlign w:val="bottom"/>
          </w:tcPr>
          <w:p w14:paraId="38C8B6DA" w14:textId="16E8DDD0" w:rsidR="00CF62EC" w:rsidRDefault="00307930" w:rsidP="00CF62EC">
            <w:pPr>
              <w:pStyle w:val="TableText"/>
            </w:pPr>
            <w:r>
              <w:t>Esophageal</w:t>
            </w:r>
            <w:r w:rsidR="00CF62EC">
              <w:t xml:space="preserve"> Resection</w:t>
            </w:r>
          </w:p>
        </w:tc>
        <w:tc>
          <w:tcPr>
            <w:tcW w:w="4680" w:type="dxa"/>
            <w:vAlign w:val="bottom"/>
          </w:tcPr>
          <w:p w14:paraId="071B95ED" w14:textId="77777777" w:rsidR="00CF62EC" w:rsidRDefault="00CF62EC" w:rsidP="00CF62EC">
            <w:pPr>
              <w:pStyle w:val="TableText"/>
            </w:pPr>
            <w:r>
              <w:t>Splenectomy</w:t>
            </w:r>
          </w:p>
        </w:tc>
      </w:tr>
      <w:tr w:rsidR="00CF62EC" w14:paraId="4229CE79" w14:textId="77777777">
        <w:tc>
          <w:tcPr>
            <w:tcW w:w="4680" w:type="dxa"/>
            <w:vAlign w:val="bottom"/>
          </w:tcPr>
          <w:p w14:paraId="4079D113" w14:textId="04004B12" w:rsidR="00CF62EC" w:rsidRDefault="00CF62EC" w:rsidP="00CF62EC">
            <w:pPr>
              <w:pStyle w:val="TableText"/>
            </w:pPr>
            <w:r>
              <w:t>Esoph</w:t>
            </w:r>
            <w:r w:rsidR="002C6ED0">
              <w:t>a</w:t>
            </w:r>
            <w:r>
              <w:t>gectomy</w:t>
            </w:r>
          </w:p>
        </w:tc>
        <w:tc>
          <w:tcPr>
            <w:tcW w:w="4680" w:type="dxa"/>
            <w:vAlign w:val="bottom"/>
          </w:tcPr>
          <w:p w14:paraId="1C569F4B" w14:textId="77777777" w:rsidR="00CF62EC" w:rsidRDefault="00CF62EC" w:rsidP="00CF62EC">
            <w:pPr>
              <w:pStyle w:val="TableText"/>
            </w:pPr>
            <w:r>
              <w:t>Thyroidectomy</w:t>
            </w:r>
          </w:p>
        </w:tc>
      </w:tr>
      <w:tr w:rsidR="00CF62EC" w14:paraId="1C4D1E9B" w14:textId="77777777">
        <w:tc>
          <w:tcPr>
            <w:tcW w:w="4680" w:type="dxa"/>
            <w:vAlign w:val="bottom"/>
          </w:tcPr>
          <w:p w14:paraId="58E2C3B5" w14:textId="0732F1A5" w:rsidR="00CF62EC" w:rsidRDefault="00CF62EC" w:rsidP="00CF62EC">
            <w:pPr>
              <w:pStyle w:val="TableText"/>
            </w:pPr>
            <w:r>
              <w:t>Femoral-Pop</w:t>
            </w:r>
            <w:r w:rsidR="009521F7">
              <w:t>l</w:t>
            </w:r>
            <w:r>
              <w:t>iteal Bypass</w:t>
            </w:r>
          </w:p>
        </w:tc>
        <w:tc>
          <w:tcPr>
            <w:tcW w:w="4680" w:type="dxa"/>
            <w:vAlign w:val="bottom"/>
          </w:tcPr>
          <w:p w14:paraId="0E7AE919" w14:textId="77777777" w:rsidR="00CF62EC" w:rsidRDefault="00CF62EC" w:rsidP="00CF62EC">
            <w:pPr>
              <w:pStyle w:val="TableText"/>
            </w:pPr>
            <w:r>
              <w:t>Tracheostomy</w:t>
            </w:r>
          </w:p>
        </w:tc>
      </w:tr>
      <w:tr w:rsidR="00CF62EC" w14:paraId="72F8DC73" w14:textId="77777777">
        <w:tc>
          <w:tcPr>
            <w:tcW w:w="4680" w:type="dxa"/>
            <w:vAlign w:val="bottom"/>
          </w:tcPr>
          <w:p w14:paraId="559BCE77" w14:textId="77777777" w:rsidR="00CF62EC" w:rsidRDefault="00CF62EC" w:rsidP="00CF62EC">
            <w:pPr>
              <w:pStyle w:val="TableText"/>
            </w:pPr>
            <w:r>
              <w:t>Fracture, open reduction</w:t>
            </w:r>
          </w:p>
        </w:tc>
        <w:tc>
          <w:tcPr>
            <w:tcW w:w="4680" w:type="dxa"/>
            <w:vAlign w:val="bottom"/>
          </w:tcPr>
          <w:p w14:paraId="554C80DF" w14:textId="77777777" w:rsidR="00CF62EC" w:rsidRDefault="00CF62EC" w:rsidP="00CF62EC">
            <w:pPr>
              <w:pStyle w:val="TableText"/>
            </w:pPr>
            <w:r>
              <w:t>Transurethral Resection (TURP)</w:t>
            </w:r>
          </w:p>
        </w:tc>
      </w:tr>
      <w:tr w:rsidR="00CF62EC" w14:paraId="756AF399" w14:textId="77777777">
        <w:tc>
          <w:tcPr>
            <w:tcW w:w="4680" w:type="dxa"/>
            <w:vAlign w:val="bottom"/>
          </w:tcPr>
          <w:p w14:paraId="502E2821" w14:textId="77777777" w:rsidR="00CF62EC" w:rsidRDefault="00CF62EC" w:rsidP="00CF62EC">
            <w:pPr>
              <w:pStyle w:val="TableText"/>
            </w:pPr>
            <w:r>
              <w:t xml:space="preserve">Fusion, cervical or lumber </w:t>
            </w:r>
          </w:p>
        </w:tc>
        <w:tc>
          <w:tcPr>
            <w:tcW w:w="4680" w:type="dxa"/>
            <w:vAlign w:val="bottom"/>
          </w:tcPr>
          <w:p w14:paraId="15C659AD" w14:textId="77777777" w:rsidR="00CF62EC" w:rsidRDefault="00CF62EC" w:rsidP="00CF62EC">
            <w:pPr>
              <w:pStyle w:val="TableText"/>
            </w:pPr>
            <w:r>
              <w:t>Vagotomy</w:t>
            </w:r>
          </w:p>
        </w:tc>
      </w:tr>
      <w:tr w:rsidR="00CF62EC" w14:paraId="7C7D896D" w14:textId="77777777">
        <w:tc>
          <w:tcPr>
            <w:tcW w:w="4680" w:type="dxa"/>
            <w:vAlign w:val="bottom"/>
          </w:tcPr>
          <w:p w14:paraId="231025CD" w14:textId="77777777" w:rsidR="00CF62EC" w:rsidRDefault="00CF62EC" w:rsidP="00CF62EC">
            <w:pPr>
              <w:pStyle w:val="TableText"/>
            </w:pPr>
            <w:r>
              <w:t>Gastrectomy</w:t>
            </w:r>
          </w:p>
        </w:tc>
        <w:tc>
          <w:tcPr>
            <w:tcW w:w="4680" w:type="dxa"/>
            <w:vAlign w:val="bottom"/>
          </w:tcPr>
          <w:p w14:paraId="3D86EEA2" w14:textId="77777777" w:rsidR="00CF62EC" w:rsidRDefault="00CF62EC" w:rsidP="00CF62EC">
            <w:pPr>
              <w:pStyle w:val="TableText"/>
            </w:pPr>
            <w:r>
              <w:t>Valve replacement, aortic or mitral</w:t>
            </w:r>
          </w:p>
        </w:tc>
      </w:tr>
      <w:tr w:rsidR="00CF62EC" w14:paraId="1A7DE11E" w14:textId="77777777">
        <w:tc>
          <w:tcPr>
            <w:tcW w:w="4680" w:type="dxa"/>
            <w:vAlign w:val="bottom"/>
          </w:tcPr>
          <w:p w14:paraId="770E0CDC" w14:textId="77777777" w:rsidR="00CF62EC" w:rsidRDefault="00CF62EC" w:rsidP="00CF62EC">
            <w:pPr>
              <w:pStyle w:val="TableText"/>
            </w:pPr>
            <w:r>
              <w:t>Gastric Bypass</w:t>
            </w:r>
          </w:p>
        </w:tc>
        <w:tc>
          <w:tcPr>
            <w:tcW w:w="4680" w:type="dxa"/>
            <w:vAlign w:val="bottom"/>
          </w:tcPr>
          <w:p w14:paraId="71105445" w14:textId="77777777" w:rsidR="00CF62EC" w:rsidRDefault="00CF62EC" w:rsidP="00CF62EC">
            <w:pPr>
              <w:pStyle w:val="TableText"/>
            </w:pPr>
            <w:r>
              <w:t>Other*</w:t>
            </w:r>
          </w:p>
        </w:tc>
      </w:tr>
      <w:tr w:rsidR="00CF62EC" w14:paraId="135645A8" w14:textId="77777777">
        <w:tc>
          <w:tcPr>
            <w:tcW w:w="4680" w:type="dxa"/>
            <w:vAlign w:val="bottom"/>
          </w:tcPr>
          <w:p w14:paraId="6A31EDB9" w14:textId="77777777" w:rsidR="00CF62EC" w:rsidRDefault="00CF62EC" w:rsidP="00CF62EC">
            <w:pPr>
              <w:pStyle w:val="TableText"/>
            </w:pPr>
            <w:r>
              <w:t>Glossectomy</w:t>
            </w:r>
          </w:p>
        </w:tc>
        <w:tc>
          <w:tcPr>
            <w:tcW w:w="4680" w:type="dxa"/>
            <w:vAlign w:val="bottom"/>
          </w:tcPr>
          <w:p w14:paraId="1879CA65" w14:textId="77777777" w:rsidR="00CF62EC" w:rsidRDefault="00CF62EC" w:rsidP="00CF62EC">
            <w:pPr>
              <w:pStyle w:val="TableText"/>
            </w:pPr>
          </w:p>
        </w:tc>
      </w:tr>
      <w:tr w:rsidR="00CF62EC" w14:paraId="33D75104" w14:textId="77777777">
        <w:tc>
          <w:tcPr>
            <w:tcW w:w="4680" w:type="dxa"/>
            <w:vAlign w:val="bottom"/>
          </w:tcPr>
          <w:p w14:paraId="6FBB0403" w14:textId="77777777" w:rsidR="00CF62EC" w:rsidRDefault="00CF62EC" w:rsidP="00CF62EC">
            <w:pPr>
              <w:pStyle w:val="TableText"/>
            </w:pPr>
            <w:r>
              <w:t>Hematoma Evacuation, sub- or epidural</w:t>
            </w:r>
          </w:p>
        </w:tc>
        <w:tc>
          <w:tcPr>
            <w:tcW w:w="4680" w:type="dxa"/>
            <w:vAlign w:val="bottom"/>
          </w:tcPr>
          <w:p w14:paraId="7495D9F4" w14:textId="77777777" w:rsidR="00CF62EC" w:rsidRDefault="00CF62EC" w:rsidP="00CF62EC">
            <w:pPr>
              <w:pStyle w:val="TableText"/>
            </w:pPr>
          </w:p>
        </w:tc>
      </w:tr>
    </w:tbl>
    <w:p w14:paraId="664BC52B" w14:textId="77777777" w:rsidR="002A21AE" w:rsidRDefault="002A21AE" w:rsidP="00FA7E65">
      <w:pPr>
        <w:pStyle w:val="BodyText"/>
      </w:pPr>
      <w:r>
        <w:t>*Other surgeries entered in the Surgery Name field during order entry. (</w:t>
      </w:r>
      <w:r w:rsidR="00D5657D">
        <w:t>Local facilities may add</w:t>
      </w:r>
      <w:r w:rsidR="00EB26CD">
        <w:t xml:space="preserve"> surgeries</w:t>
      </w:r>
      <w:r w:rsidR="00D5657D">
        <w:t xml:space="preserve"> to this list</w:t>
      </w:r>
      <w:r>
        <w:t xml:space="preserve">.) Entries made during order entry will not have MSBOS component order recommendations. VBECS does not display “Other” in MSBOS. </w:t>
      </w:r>
    </w:p>
    <w:p w14:paraId="03D7DDBD" w14:textId="77777777" w:rsidR="008A701E" w:rsidRDefault="002A21AE" w:rsidP="008A701E">
      <w:pPr>
        <w:pStyle w:val="Heading3"/>
      </w:pPr>
      <w:r>
        <w:br w:type="page"/>
      </w:r>
      <w:bookmarkStart w:id="663" w:name="_Toc223489218"/>
      <w:r w:rsidR="00966400">
        <w:rPr>
          <w:rFonts w:ascii="Geneva" w:hAnsi="Geneva"/>
          <w:vanish/>
        </w:rPr>
        <w:t xml:space="preserve"> </w:t>
      </w:r>
      <w:r w:rsidR="008A701E">
        <w:rPr>
          <w:rFonts w:ascii="Geneva" w:hAnsi="Geneva"/>
          <w:vanish/>
        </w:rPr>
        <w:t>TT_109.01</w:t>
      </w:r>
      <w:r w:rsidR="008A701E">
        <w:rPr>
          <w:rFonts w:ascii="Geneva" w:hAnsi="Geneva"/>
          <w:vanish/>
          <w:sz w:val="16"/>
        </w:rPr>
        <w:t xml:space="preserve"> </w:t>
      </w:r>
      <w:bookmarkStart w:id="664" w:name="_Toc149064222"/>
      <w:r w:rsidR="008A701E">
        <w:t>BCE COTS Message Updates</w:t>
      </w:r>
      <w:bookmarkEnd w:id="663"/>
      <w:bookmarkEnd w:id="664"/>
      <w:r w:rsidR="008A701E">
        <w:fldChar w:fldCharType="begin"/>
      </w:r>
      <w:r w:rsidR="008A701E">
        <w:instrText xml:space="preserve"> XE “Tables:BCE COTS Message Updates” </w:instrText>
      </w:r>
      <w:r w:rsidR="008A701E">
        <w:fldChar w:fldCharType="end"/>
      </w:r>
    </w:p>
    <w:p w14:paraId="0B624A58" w14:textId="66B09267" w:rsidR="008A701E" w:rsidRDefault="008A701E" w:rsidP="008A701E">
      <w:pPr>
        <w:pStyle w:val="Caption"/>
      </w:pPr>
      <w:bookmarkStart w:id="665" w:name="_Ref223406927"/>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24</w:t>
      </w:r>
      <w:r w:rsidR="004E20BD">
        <w:rPr>
          <w:noProof/>
        </w:rPr>
        <w:fldChar w:fldCharType="end"/>
      </w:r>
      <w:bookmarkEnd w:id="665"/>
      <w:r>
        <w:t xml:space="preserve">: </w:t>
      </w:r>
      <w:r>
        <w:rPr>
          <w:vanish/>
        </w:rPr>
        <w:t>TT_109.01</w:t>
      </w:r>
      <w:r>
        <w:rPr>
          <w:vanish/>
          <w:sz w:val="16"/>
        </w:rPr>
        <w:t xml:space="preserve"> </w:t>
      </w:r>
      <w:r>
        <w:t>BCE COTS Message Updates</w:t>
      </w:r>
    </w:p>
    <w:p w14:paraId="54CACBAA" w14:textId="74EFFBEE" w:rsidR="008A701E" w:rsidRPr="00A31869" w:rsidRDefault="008A701E" w:rsidP="008A701E">
      <w:pPr>
        <w:pStyle w:val="TableTextBullet"/>
        <w:numPr>
          <w:ilvl w:val="0"/>
          <w:numId w:val="0"/>
        </w:numPr>
        <w:ind w:left="90"/>
        <w:rPr>
          <w:rFonts w:ascii="Times New Roman" w:hAnsi="Times New Roman"/>
          <w:b/>
          <w:sz w:val="22"/>
          <w:szCs w:val="22"/>
        </w:rPr>
      </w:pPr>
      <w:r w:rsidRPr="00A31869">
        <w:rPr>
          <w:rFonts w:ascii="Times New Roman" w:hAnsi="Times New Roman"/>
          <w:sz w:val="22"/>
          <w:szCs w:val="22"/>
        </w:rPr>
        <w:t>This table identifies the specific subsequent processing of an assigned unit for one patient unit association that may or may not result in a change to the unit status or other quality and how that may or may not trigger a status change that requires update to the BCE COTS product.</w:t>
      </w:r>
      <w:r w:rsidRPr="00A31869">
        <w:rPr>
          <w:rFonts w:ascii="Times New Roman" w:hAnsi="Times New Roman"/>
          <w:b/>
          <w:sz w:val="22"/>
          <w:szCs w:val="22"/>
        </w:rPr>
        <w:t xml:space="preserve"> </w:t>
      </w:r>
    </w:p>
    <w:p w14:paraId="02F40D5B" w14:textId="77777777" w:rsidR="008A701E" w:rsidRDefault="008A701E" w:rsidP="008A701E">
      <w:pPr>
        <w:pStyle w:val="TableTextBullet"/>
        <w:numPr>
          <w:ilvl w:val="0"/>
          <w:numId w:val="0"/>
        </w:numPr>
        <w:ind w:left="90"/>
        <w:rPr>
          <w:rFonts w:cs="Arial"/>
          <w:b/>
          <w:sz w:val="20"/>
        </w:rPr>
      </w:pPr>
    </w:p>
    <w:p w14:paraId="67B1124E" w14:textId="77777777" w:rsidR="008A701E" w:rsidRDefault="008A701E" w:rsidP="008A701E">
      <w:pPr>
        <w:pStyle w:val="TableTextBullet"/>
        <w:numPr>
          <w:ilvl w:val="0"/>
          <w:numId w:val="0"/>
        </w:numPr>
        <w:ind w:left="90"/>
        <w:rPr>
          <w:rFonts w:cs="Arial"/>
          <w:b/>
          <w:sz w:val="20"/>
        </w:rPr>
      </w:pPr>
      <w:r>
        <w:rPr>
          <w:rFonts w:cs="Arial"/>
          <w:b/>
          <w:sz w:val="20"/>
        </w:rPr>
        <w:t>U</w:t>
      </w:r>
      <w:r w:rsidRPr="00315EA0">
        <w:rPr>
          <w:rFonts w:cs="Arial"/>
          <w:b/>
          <w:sz w:val="20"/>
        </w:rPr>
        <w:t>nit status code</w:t>
      </w:r>
      <w:r>
        <w:rPr>
          <w:rFonts w:cs="Arial"/>
          <w:b/>
          <w:sz w:val="20"/>
        </w:rPr>
        <w:t xml:space="preserve"> legend</w:t>
      </w:r>
      <w:r w:rsidRPr="00315EA0">
        <w:rPr>
          <w:rFonts w:cs="Arial"/>
          <w:b/>
          <w:sz w:val="20"/>
        </w:rPr>
        <w:t>:</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297"/>
        <w:gridCol w:w="2296"/>
        <w:gridCol w:w="2296"/>
      </w:tblGrid>
      <w:tr w:rsidR="008A701E" w:rsidRPr="00186BAB" w14:paraId="2719CCA0" w14:textId="77777777">
        <w:trPr>
          <w:trHeight w:val="255"/>
        </w:trPr>
        <w:tc>
          <w:tcPr>
            <w:tcW w:w="2297" w:type="dxa"/>
            <w:shd w:val="pct20" w:color="auto" w:fill="auto"/>
            <w:vAlign w:val="center"/>
          </w:tcPr>
          <w:p w14:paraId="0F1827A9"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A</w:t>
            </w:r>
          </w:p>
        </w:tc>
        <w:tc>
          <w:tcPr>
            <w:tcW w:w="2297" w:type="dxa"/>
            <w:vAlign w:val="center"/>
          </w:tcPr>
          <w:p w14:paraId="2CB64966" w14:textId="77777777" w:rsidR="008A701E" w:rsidRPr="00186BAB" w:rsidRDefault="008A701E" w:rsidP="008A701E">
            <w:pPr>
              <w:rPr>
                <w:rFonts w:ascii="Arial" w:hAnsi="Arial" w:cs="Arial"/>
                <w:sz w:val="20"/>
                <w:szCs w:val="20"/>
              </w:rPr>
            </w:pPr>
            <w:r w:rsidRPr="00186BAB">
              <w:rPr>
                <w:rFonts w:ascii="Arial" w:hAnsi="Arial" w:cs="Arial"/>
                <w:sz w:val="20"/>
                <w:szCs w:val="20"/>
              </w:rPr>
              <w:t>Available</w:t>
            </w:r>
          </w:p>
        </w:tc>
        <w:tc>
          <w:tcPr>
            <w:tcW w:w="2296" w:type="dxa"/>
            <w:shd w:val="pct20" w:color="auto" w:fill="auto"/>
            <w:vAlign w:val="center"/>
          </w:tcPr>
          <w:p w14:paraId="682AA113"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S</w:t>
            </w:r>
          </w:p>
        </w:tc>
        <w:tc>
          <w:tcPr>
            <w:tcW w:w="2296" w:type="dxa"/>
            <w:vAlign w:val="center"/>
          </w:tcPr>
          <w:p w14:paraId="467239A2" w14:textId="77777777" w:rsidR="008A701E" w:rsidRPr="00186BAB" w:rsidRDefault="008A701E" w:rsidP="008A701E">
            <w:pPr>
              <w:rPr>
                <w:rFonts w:ascii="Arial" w:hAnsi="Arial" w:cs="Arial"/>
                <w:sz w:val="20"/>
                <w:szCs w:val="20"/>
              </w:rPr>
            </w:pPr>
            <w:r w:rsidRPr="00186BAB">
              <w:rPr>
                <w:rFonts w:ascii="Arial" w:hAnsi="Arial" w:cs="Arial"/>
                <w:sz w:val="20"/>
                <w:szCs w:val="20"/>
              </w:rPr>
              <w:t>Assigned</w:t>
            </w:r>
          </w:p>
        </w:tc>
      </w:tr>
      <w:tr w:rsidR="008A701E" w:rsidRPr="00186BAB" w14:paraId="002D2631" w14:textId="77777777">
        <w:trPr>
          <w:trHeight w:val="255"/>
        </w:trPr>
        <w:tc>
          <w:tcPr>
            <w:tcW w:w="2297" w:type="dxa"/>
            <w:shd w:val="pct20" w:color="auto" w:fill="auto"/>
            <w:vAlign w:val="center"/>
          </w:tcPr>
          <w:p w14:paraId="23CBE8A0"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C</w:t>
            </w:r>
          </w:p>
        </w:tc>
        <w:tc>
          <w:tcPr>
            <w:tcW w:w="2297" w:type="dxa"/>
            <w:vAlign w:val="center"/>
          </w:tcPr>
          <w:p w14:paraId="60A7F513" w14:textId="77777777" w:rsidR="008A701E" w:rsidRPr="00186BAB" w:rsidRDefault="008A701E" w:rsidP="008A701E">
            <w:pPr>
              <w:rPr>
                <w:rFonts w:ascii="Arial" w:hAnsi="Arial" w:cs="Arial"/>
                <w:sz w:val="20"/>
                <w:szCs w:val="20"/>
              </w:rPr>
            </w:pPr>
            <w:r w:rsidRPr="00186BAB">
              <w:rPr>
                <w:rFonts w:ascii="Arial" w:hAnsi="Arial" w:cs="Arial"/>
                <w:sz w:val="20"/>
                <w:szCs w:val="20"/>
              </w:rPr>
              <w:t>Crossmatched</w:t>
            </w:r>
          </w:p>
        </w:tc>
        <w:tc>
          <w:tcPr>
            <w:tcW w:w="2296" w:type="dxa"/>
            <w:shd w:val="pct20" w:color="auto" w:fill="auto"/>
            <w:vAlign w:val="center"/>
          </w:tcPr>
          <w:p w14:paraId="2671C786"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T</w:t>
            </w:r>
          </w:p>
        </w:tc>
        <w:tc>
          <w:tcPr>
            <w:tcW w:w="2296" w:type="dxa"/>
            <w:vAlign w:val="center"/>
          </w:tcPr>
          <w:p w14:paraId="76002F8D" w14:textId="77777777" w:rsidR="008A701E" w:rsidRPr="00186BAB" w:rsidRDefault="008A701E" w:rsidP="008A701E">
            <w:pPr>
              <w:rPr>
                <w:rFonts w:ascii="Arial" w:hAnsi="Arial" w:cs="Arial"/>
                <w:sz w:val="20"/>
                <w:szCs w:val="20"/>
              </w:rPr>
            </w:pPr>
            <w:r w:rsidRPr="00186BAB">
              <w:rPr>
                <w:rFonts w:ascii="Arial" w:hAnsi="Arial" w:cs="Arial"/>
                <w:sz w:val="20"/>
                <w:szCs w:val="20"/>
              </w:rPr>
              <w:t>Transfused</w:t>
            </w:r>
          </w:p>
        </w:tc>
      </w:tr>
      <w:tr w:rsidR="008A701E" w:rsidRPr="00186BAB" w14:paraId="08562439" w14:textId="77777777">
        <w:trPr>
          <w:trHeight w:val="255"/>
        </w:trPr>
        <w:tc>
          <w:tcPr>
            <w:tcW w:w="2297" w:type="dxa"/>
            <w:shd w:val="pct20" w:color="auto" w:fill="auto"/>
            <w:vAlign w:val="center"/>
          </w:tcPr>
          <w:p w14:paraId="5F1EE3E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D</w:t>
            </w:r>
          </w:p>
        </w:tc>
        <w:tc>
          <w:tcPr>
            <w:tcW w:w="2297" w:type="dxa"/>
            <w:vAlign w:val="center"/>
          </w:tcPr>
          <w:p w14:paraId="3F1A781A" w14:textId="77777777" w:rsidR="008A701E" w:rsidRPr="00186BAB" w:rsidRDefault="008A701E" w:rsidP="008A701E">
            <w:pPr>
              <w:rPr>
                <w:rFonts w:ascii="Arial" w:hAnsi="Arial" w:cs="Arial"/>
                <w:sz w:val="20"/>
                <w:szCs w:val="20"/>
              </w:rPr>
            </w:pPr>
            <w:r w:rsidRPr="00186BAB">
              <w:rPr>
                <w:rFonts w:ascii="Arial" w:hAnsi="Arial" w:cs="Arial"/>
                <w:sz w:val="20"/>
                <w:szCs w:val="20"/>
              </w:rPr>
              <w:t>Discarded</w:t>
            </w:r>
          </w:p>
        </w:tc>
        <w:tc>
          <w:tcPr>
            <w:tcW w:w="2296" w:type="dxa"/>
            <w:shd w:val="pct20" w:color="auto" w:fill="auto"/>
            <w:vAlign w:val="center"/>
          </w:tcPr>
          <w:p w14:paraId="757E5B7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X</w:t>
            </w:r>
          </w:p>
        </w:tc>
        <w:tc>
          <w:tcPr>
            <w:tcW w:w="2296" w:type="dxa"/>
            <w:vAlign w:val="center"/>
          </w:tcPr>
          <w:p w14:paraId="0B8855F4" w14:textId="77777777" w:rsidR="008A701E" w:rsidRPr="00186BAB" w:rsidRDefault="008A701E" w:rsidP="008A701E">
            <w:pPr>
              <w:rPr>
                <w:rFonts w:ascii="Arial" w:hAnsi="Arial" w:cs="Arial"/>
                <w:sz w:val="20"/>
                <w:szCs w:val="20"/>
              </w:rPr>
            </w:pPr>
            <w:r w:rsidRPr="00186BAB">
              <w:rPr>
                <w:rFonts w:ascii="Arial" w:hAnsi="Arial" w:cs="Arial"/>
                <w:sz w:val="20"/>
                <w:szCs w:val="20"/>
              </w:rPr>
              <w:t>Transferred</w:t>
            </w:r>
          </w:p>
        </w:tc>
      </w:tr>
      <w:tr w:rsidR="008A701E" w:rsidRPr="00186BAB" w14:paraId="3A3DA0CB" w14:textId="77777777">
        <w:trPr>
          <w:trHeight w:val="255"/>
        </w:trPr>
        <w:tc>
          <w:tcPr>
            <w:tcW w:w="2297" w:type="dxa"/>
            <w:shd w:val="pct20" w:color="auto" w:fill="auto"/>
            <w:vAlign w:val="center"/>
          </w:tcPr>
          <w:p w14:paraId="6BB8431F"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I</w:t>
            </w:r>
          </w:p>
        </w:tc>
        <w:tc>
          <w:tcPr>
            <w:tcW w:w="2297" w:type="dxa"/>
            <w:vAlign w:val="center"/>
          </w:tcPr>
          <w:p w14:paraId="16F3E0BE" w14:textId="77777777" w:rsidR="008A701E" w:rsidRPr="00186BAB" w:rsidRDefault="008A701E" w:rsidP="008A701E">
            <w:pPr>
              <w:rPr>
                <w:rFonts w:ascii="Arial" w:hAnsi="Arial" w:cs="Arial"/>
                <w:sz w:val="20"/>
                <w:szCs w:val="20"/>
              </w:rPr>
            </w:pPr>
            <w:r w:rsidRPr="00186BAB">
              <w:rPr>
                <w:rFonts w:ascii="Arial" w:hAnsi="Arial" w:cs="Arial"/>
                <w:sz w:val="20"/>
                <w:szCs w:val="20"/>
              </w:rPr>
              <w:t>Issued</w:t>
            </w:r>
          </w:p>
        </w:tc>
        <w:tc>
          <w:tcPr>
            <w:tcW w:w="2296" w:type="dxa"/>
            <w:shd w:val="pct20" w:color="auto" w:fill="auto"/>
            <w:vAlign w:val="center"/>
          </w:tcPr>
          <w:p w14:paraId="2501A2D4"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DS</w:t>
            </w:r>
          </w:p>
        </w:tc>
        <w:tc>
          <w:tcPr>
            <w:tcW w:w="2296" w:type="dxa"/>
            <w:vAlign w:val="center"/>
          </w:tcPr>
          <w:p w14:paraId="4AD075A2" w14:textId="77777777" w:rsidR="008A701E" w:rsidRPr="00186BAB" w:rsidRDefault="008A701E" w:rsidP="008A701E">
            <w:pPr>
              <w:rPr>
                <w:rFonts w:ascii="Arial" w:hAnsi="Arial" w:cs="Arial"/>
                <w:sz w:val="20"/>
                <w:szCs w:val="20"/>
              </w:rPr>
            </w:pPr>
            <w:r w:rsidRPr="00186BAB">
              <w:rPr>
                <w:rFonts w:ascii="Arial" w:hAnsi="Arial" w:cs="Arial"/>
                <w:sz w:val="20"/>
                <w:szCs w:val="20"/>
              </w:rPr>
              <w:t>Dispense Unit (Issued)</w:t>
            </w:r>
          </w:p>
        </w:tc>
      </w:tr>
      <w:tr w:rsidR="008A701E" w:rsidRPr="00186BAB" w14:paraId="7DAB7EFD" w14:textId="77777777">
        <w:trPr>
          <w:trHeight w:val="255"/>
        </w:trPr>
        <w:tc>
          <w:tcPr>
            <w:tcW w:w="2297" w:type="dxa"/>
            <w:shd w:val="pct20" w:color="auto" w:fill="auto"/>
            <w:vAlign w:val="center"/>
          </w:tcPr>
          <w:p w14:paraId="694E5686"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L</w:t>
            </w:r>
          </w:p>
        </w:tc>
        <w:tc>
          <w:tcPr>
            <w:tcW w:w="2297" w:type="dxa"/>
            <w:vAlign w:val="center"/>
          </w:tcPr>
          <w:p w14:paraId="7D5A3728" w14:textId="77777777" w:rsidR="008A701E" w:rsidRPr="00186BAB" w:rsidRDefault="008A701E" w:rsidP="008A701E">
            <w:pPr>
              <w:rPr>
                <w:rFonts w:ascii="Arial" w:hAnsi="Arial" w:cs="Arial"/>
                <w:sz w:val="20"/>
                <w:szCs w:val="20"/>
              </w:rPr>
            </w:pPr>
            <w:r w:rsidRPr="00186BAB">
              <w:rPr>
                <w:rFonts w:ascii="Arial" w:hAnsi="Arial" w:cs="Arial"/>
                <w:sz w:val="20"/>
                <w:szCs w:val="20"/>
              </w:rPr>
              <w:t>Limited</w:t>
            </w:r>
          </w:p>
        </w:tc>
        <w:tc>
          <w:tcPr>
            <w:tcW w:w="2296" w:type="dxa"/>
            <w:shd w:val="pct20" w:color="auto" w:fill="auto"/>
            <w:vAlign w:val="center"/>
          </w:tcPr>
          <w:p w14:paraId="0902E9A1"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RE</w:t>
            </w:r>
          </w:p>
        </w:tc>
        <w:tc>
          <w:tcPr>
            <w:tcW w:w="2296" w:type="dxa"/>
            <w:vAlign w:val="center"/>
          </w:tcPr>
          <w:p w14:paraId="4FC96EC6" w14:textId="77777777" w:rsidR="008A701E" w:rsidRPr="00186BAB" w:rsidRDefault="008A701E" w:rsidP="008A701E">
            <w:pPr>
              <w:rPr>
                <w:rFonts w:ascii="Arial" w:hAnsi="Arial" w:cs="Arial"/>
                <w:sz w:val="20"/>
                <w:szCs w:val="20"/>
              </w:rPr>
            </w:pPr>
            <w:r w:rsidRPr="00186BAB">
              <w:rPr>
                <w:rFonts w:ascii="Arial" w:hAnsi="Arial" w:cs="Arial"/>
                <w:sz w:val="20"/>
                <w:szCs w:val="20"/>
              </w:rPr>
              <w:t>Release Unit</w:t>
            </w:r>
          </w:p>
        </w:tc>
      </w:tr>
      <w:tr w:rsidR="008A701E" w:rsidRPr="00186BAB" w14:paraId="7561C38F" w14:textId="77777777">
        <w:trPr>
          <w:trHeight w:val="255"/>
        </w:trPr>
        <w:tc>
          <w:tcPr>
            <w:tcW w:w="2297" w:type="dxa"/>
            <w:shd w:val="pct20" w:color="auto" w:fill="auto"/>
            <w:vAlign w:val="center"/>
          </w:tcPr>
          <w:p w14:paraId="3733A0AE"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M</w:t>
            </w:r>
          </w:p>
        </w:tc>
        <w:tc>
          <w:tcPr>
            <w:tcW w:w="2297" w:type="dxa"/>
            <w:vAlign w:val="center"/>
          </w:tcPr>
          <w:p w14:paraId="52A7F4EC" w14:textId="77777777" w:rsidR="008A701E" w:rsidRPr="00186BAB" w:rsidRDefault="008A701E" w:rsidP="008A701E">
            <w:pPr>
              <w:rPr>
                <w:rFonts w:ascii="Arial" w:hAnsi="Arial" w:cs="Arial"/>
                <w:sz w:val="20"/>
                <w:szCs w:val="20"/>
              </w:rPr>
            </w:pPr>
            <w:r w:rsidRPr="00186BAB">
              <w:rPr>
                <w:rFonts w:ascii="Arial" w:hAnsi="Arial" w:cs="Arial"/>
                <w:sz w:val="20"/>
                <w:szCs w:val="20"/>
              </w:rPr>
              <w:t>Modified</w:t>
            </w:r>
          </w:p>
        </w:tc>
        <w:tc>
          <w:tcPr>
            <w:tcW w:w="2296" w:type="dxa"/>
            <w:shd w:val="pct20" w:color="auto" w:fill="auto"/>
            <w:vAlign w:val="center"/>
          </w:tcPr>
          <w:p w14:paraId="106BE70A" w14:textId="77777777" w:rsidR="008A701E" w:rsidRPr="00186BAB" w:rsidRDefault="008A701E" w:rsidP="008A701E">
            <w:pPr>
              <w:jc w:val="center"/>
              <w:rPr>
                <w:rFonts w:ascii="Arial" w:hAnsi="Arial" w:cs="Arial"/>
                <w:b/>
                <w:sz w:val="20"/>
                <w:szCs w:val="20"/>
              </w:rPr>
            </w:pPr>
            <w:r w:rsidRPr="00186BAB">
              <w:rPr>
                <w:rFonts w:ascii="Arial" w:hAnsi="Arial" w:cs="Arial"/>
                <w:b/>
                <w:sz w:val="20"/>
                <w:szCs w:val="20"/>
              </w:rPr>
              <w:t>RS</w:t>
            </w:r>
          </w:p>
        </w:tc>
        <w:tc>
          <w:tcPr>
            <w:tcW w:w="2296" w:type="dxa"/>
            <w:vAlign w:val="center"/>
          </w:tcPr>
          <w:p w14:paraId="168B344A" w14:textId="77777777" w:rsidR="008A701E" w:rsidRPr="00186BAB" w:rsidRDefault="008A701E" w:rsidP="008A701E">
            <w:pPr>
              <w:rPr>
                <w:rFonts w:ascii="Arial" w:hAnsi="Arial" w:cs="Arial"/>
                <w:sz w:val="20"/>
                <w:szCs w:val="20"/>
              </w:rPr>
            </w:pPr>
            <w:r w:rsidRPr="00186BAB">
              <w:rPr>
                <w:rFonts w:ascii="Arial" w:hAnsi="Arial" w:cs="Arial"/>
                <w:sz w:val="20"/>
                <w:szCs w:val="20"/>
              </w:rPr>
              <w:t>Reserve Unit</w:t>
            </w:r>
          </w:p>
        </w:tc>
      </w:tr>
    </w:tbl>
    <w:p w14:paraId="42984C7F" w14:textId="77777777" w:rsidR="008A701E" w:rsidRPr="00186BAB" w:rsidRDefault="008A701E" w:rsidP="008A701E">
      <w:r w:rsidRPr="00C1371B">
        <w:t xml:space="preserve"> </w:t>
      </w:r>
    </w:p>
    <w:tbl>
      <w:tblPr>
        <w:tblW w:w="9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540"/>
        <w:gridCol w:w="1867"/>
        <w:gridCol w:w="3060"/>
        <w:gridCol w:w="1530"/>
        <w:gridCol w:w="2071"/>
      </w:tblGrid>
      <w:tr w:rsidR="008A701E" w:rsidRPr="006A2781" w14:paraId="1C810CA7" w14:textId="77777777" w:rsidTr="00A732E0">
        <w:trPr>
          <w:cantSplit/>
          <w:tblHeader/>
        </w:trPr>
        <w:tc>
          <w:tcPr>
            <w:tcW w:w="9518" w:type="dxa"/>
            <w:gridSpan w:val="6"/>
            <w:shd w:val="clear" w:color="auto" w:fill="C0C0C0"/>
            <w:vAlign w:val="bottom"/>
          </w:tcPr>
          <w:p w14:paraId="67BB6E3D" w14:textId="77777777" w:rsidR="008A701E" w:rsidRPr="006A2781" w:rsidRDefault="008A701E" w:rsidP="008A701E">
            <w:pPr>
              <w:jc w:val="center"/>
              <w:rPr>
                <w:rFonts w:ascii="Arial" w:hAnsi="Arial" w:cs="Arial"/>
                <w:b/>
                <w:bCs/>
                <w:sz w:val="18"/>
                <w:szCs w:val="18"/>
              </w:rPr>
            </w:pPr>
            <w:r w:rsidRPr="006A2781">
              <w:rPr>
                <w:rFonts w:ascii="Arial" w:hAnsi="Arial" w:cs="Arial"/>
                <w:b/>
                <w:sz w:val="18"/>
                <w:szCs w:val="18"/>
              </w:rPr>
              <w:t>BCE COTS Message Updates</w:t>
            </w:r>
          </w:p>
        </w:tc>
      </w:tr>
      <w:tr w:rsidR="008A701E" w:rsidRPr="006A2781" w14:paraId="72F56D1B" w14:textId="77777777" w:rsidTr="00A732E0">
        <w:trPr>
          <w:cantSplit/>
          <w:trHeight w:val="1134"/>
          <w:tblHeader/>
        </w:trPr>
        <w:tc>
          <w:tcPr>
            <w:tcW w:w="450" w:type="dxa"/>
            <w:shd w:val="clear" w:color="auto" w:fill="C0C0C0"/>
            <w:textDirection w:val="btLr"/>
            <w:vAlign w:val="bottom"/>
          </w:tcPr>
          <w:p w14:paraId="1DCF2B20" w14:textId="77777777" w:rsidR="008A701E" w:rsidRPr="006A2781" w:rsidRDefault="008A701E" w:rsidP="008A701E">
            <w:pPr>
              <w:ind w:left="113" w:right="113"/>
              <w:jc w:val="center"/>
              <w:rPr>
                <w:rFonts w:ascii="Arial" w:hAnsi="Arial" w:cs="Arial"/>
                <w:b/>
                <w:bCs/>
                <w:sz w:val="18"/>
                <w:szCs w:val="18"/>
              </w:rPr>
            </w:pPr>
            <w:r>
              <w:rPr>
                <w:rFonts w:ascii="Arial" w:hAnsi="Arial" w:cs="Arial"/>
                <w:b/>
                <w:bCs/>
                <w:sz w:val="18"/>
                <w:szCs w:val="18"/>
              </w:rPr>
              <w:t>Row #</w:t>
            </w:r>
          </w:p>
        </w:tc>
        <w:tc>
          <w:tcPr>
            <w:tcW w:w="540" w:type="dxa"/>
            <w:shd w:val="clear" w:color="auto" w:fill="C0C0C0"/>
            <w:textDirection w:val="btLr"/>
            <w:vAlign w:val="bottom"/>
          </w:tcPr>
          <w:p w14:paraId="2FB636E7" w14:textId="77777777" w:rsidR="008A701E" w:rsidRPr="006A2781" w:rsidRDefault="008A701E" w:rsidP="008A701E">
            <w:pPr>
              <w:ind w:left="113" w:right="113"/>
              <w:jc w:val="center"/>
              <w:rPr>
                <w:rFonts w:ascii="Arial" w:hAnsi="Arial" w:cs="Arial"/>
                <w:b/>
                <w:bCs/>
                <w:sz w:val="18"/>
                <w:szCs w:val="18"/>
              </w:rPr>
            </w:pPr>
            <w:r>
              <w:rPr>
                <w:rFonts w:ascii="Arial" w:hAnsi="Arial" w:cs="Arial"/>
                <w:b/>
                <w:bCs/>
                <w:sz w:val="18"/>
                <w:szCs w:val="18"/>
              </w:rPr>
              <w:t>Initial Unit Status</w:t>
            </w:r>
          </w:p>
        </w:tc>
        <w:tc>
          <w:tcPr>
            <w:tcW w:w="1867" w:type="dxa"/>
            <w:shd w:val="clear" w:color="auto" w:fill="C0C0C0"/>
            <w:vAlign w:val="bottom"/>
          </w:tcPr>
          <w:p w14:paraId="7C65124F" w14:textId="77777777" w:rsidR="008A701E" w:rsidRPr="006A2781" w:rsidRDefault="008A701E" w:rsidP="008A701E">
            <w:pPr>
              <w:rPr>
                <w:rFonts w:ascii="Arial" w:hAnsi="Arial" w:cs="Arial"/>
                <w:b/>
                <w:bCs/>
                <w:sz w:val="18"/>
                <w:szCs w:val="18"/>
              </w:rPr>
            </w:pPr>
            <w:r w:rsidRPr="006A2781">
              <w:rPr>
                <w:rFonts w:ascii="Arial" w:hAnsi="Arial" w:cs="Arial"/>
                <w:b/>
                <w:bCs/>
                <w:sz w:val="18"/>
                <w:szCs w:val="18"/>
              </w:rPr>
              <w:t>Processin</w:t>
            </w:r>
            <w:r>
              <w:rPr>
                <w:rFonts w:ascii="Arial" w:hAnsi="Arial" w:cs="Arial"/>
                <w:b/>
                <w:bCs/>
                <w:sz w:val="18"/>
                <w:szCs w:val="18"/>
              </w:rPr>
              <w:t>g Option</w:t>
            </w:r>
          </w:p>
        </w:tc>
        <w:tc>
          <w:tcPr>
            <w:tcW w:w="3060" w:type="dxa"/>
            <w:shd w:val="clear" w:color="auto" w:fill="C0C0C0"/>
            <w:vAlign w:val="bottom"/>
          </w:tcPr>
          <w:p w14:paraId="4C7C4B19" w14:textId="77777777" w:rsidR="008A701E" w:rsidRPr="006A2781" w:rsidRDefault="008A701E" w:rsidP="008A701E">
            <w:pPr>
              <w:rPr>
                <w:rFonts w:ascii="Arial" w:hAnsi="Arial" w:cs="Arial"/>
                <w:b/>
                <w:bCs/>
                <w:sz w:val="18"/>
                <w:szCs w:val="18"/>
              </w:rPr>
            </w:pPr>
            <w:r>
              <w:rPr>
                <w:rFonts w:ascii="Arial" w:hAnsi="Arial" w:cs="Arial"/>
                <w:b/>
                <w:bCs/>
                <w:sz w:val="18"/>
                <w:szCs w:val="18"/>
              </w:rPr>
              <w:t>Additional Information About t</w:t>
            </w:r>
            <w:r w:rsidRPr="006A2781">
              <w:rPr>
                <w:rFonts w:ascii="Arial" w:hAnsi="Arial" w:cs="Arial"/>
                <w:b/>
                <w:bCs/>
                <w:sz w:val="18"/>
                <w:szCs w:val="18"/>
              </w:rPr>
              <w:t xml:space="preserve">he Processing </w:t>
            </w:r>
            <w:r>
              <w:rPr>
                <w:rFonts w:ascii="Arial" w:hAnsi="Arial" w:cs="Arial"/>
                <w:b/>
                <w:bCs/>
                <w:sz w:val="18"/>
                <w:szCs w:val="18"/>
              </w:rPr>
              <w:t>Option</w:t>
            </w:r>
          </w:p>
        </w:tc>
        <w:tc>
          <w:tcPr>
            <w:tcW w:w="1530" w:type="dxa"/>
            <w:shd w:val="clear" w:color="auto" w:fill="C0C0C0"/>
            <w:vAlign w:val="bottom"/>
          </w:tcPr>
          <w:p w14:paraId="5759D539" w14:textId="77777777" w:rsidR="008A701E" w:rsidRPr="006A2781" w:rsidRDefault="008A701E" w:rsidP="008A701E">
            <w:pPr>
              <w:jc w:val="center"/>
              <w:rPr>
                <w:rFonts w:ascii="Arial" w:hAnsi="Arial" w:cs="Arial"/>
                <w:b/>
                <w:bCs/>
                <w:sz w:val="18"/>
                <w:szCs w:val="18"/>
              </w:rPr>
            </w:pPr>
            <w:r>
              <w:rPr>
                <w:rFonts w:ascii="Arial" w:hAnsi="Arial" w:cs="Arial"/>
                <w:b/>
                <w:bCs/>
                <w:sz w:val="18"/>
                <w:szCs w:val="18"/>
              </w:rPr>
              <w:t>Unit Status Exiting</w:t>
            </w:r>
            <w:r>
              <w:rPr>
                <w:rFonts w:ascii="Arial" w:hAnsi="Arial" w:cs="Arial"/>
                <w:b/>
                <w:bCs/>
                <w:sz w:val="18"/>
                <w:szCs w:val="18"/>
              </w:rPr>
              <w:br/>
              <w:t>t</w:t>
            </w:r>
            <w:r w:rsidRPr="006A2781">
              <w:rPr>
                <w:rFonts w:ascii="Arial" w:hAnsi="Arial" w:cs="Arial"/>
                <w:b/>
                <w:bCs/>
                <w:sz w:val="18"/>
                <w:szCs w:val="18"/>
              </w:rPr>
              <w:t xml:space="preserve">he </w:t>
            </w:r>
            <w:r>
              <w:rPr>
                <w:rFonts w:ascii="Arial" w:hAnsi="Arial" w:cs="Arial"/>
                <w:b/>
                <w:bCs/>
                <w:sz w:val="18"/>
                <w:szCs w:val="18"/>
              </w:rPr>
              <w:t>Option</w:t>
            </w:r>
          </w:p>
        </w:tc>
        <w:tc>
          <w:tcPr>
            <w:tcW w:w="2070" w:type="dxa"/>
            <w:shd w:val="clear" w:color="auto" w:fill="C0C0C0"/>
            <w:noWrap/>
            <w:vAlign w:val="bottom"/>
          </w:tcPr>
          <w:p w14:paraId="2C55CF10" w14:textId="77777777" w:rsidR="008A701E" w:rsidRPr="006A2781" w:rsidRDefault="008A701E" w:rsidP="008A701E">
            <w:pPr>
              <w:rPr>
                <w:rFonts w:ascii="Arial" w:hAnsi="Arial" w:cs="Arial"/>
                <w:b/>
                <w:sz w:val="18"/>
                <w:szCs w:val="18"/>
              </w:rPr>
            </w:pPr>
            <w:r>
              <w:rPr>
                <w:rFonts w:ascii="Arial" w:hAnsi="Arial" w:cs="Arial"/>
                <w:b/>
                <w:bCs/>
                <w:sz w:val="18"/>
                <w:szCs w:val="18"/>
              </w:rPr>
              <w:t>Unit Status Reported to BCE COTS</w:t>
            </w:r>
          </w:p>
        </w:tc>
      </w:tr>
      <w:tr w:rsidR="008A701E" w:rsidRPr="006A2781" w14:paraId="666C21DE" w14:textId="77777777" w:rsidTr="00A732E0">
        <w:trPr>
          <w:cantSplit/>
          <w:trHeight w:val="255"/>
        </w:trPr>
        <w:tc>
          <w:tcPr>
            <w:tcW w:w="450" w:type="dxa"/>
            <w:vAlign w:val="bottom"/>
          </w:tcPr>
          <w:p w14:paraId="4C678BE9" w14:textId="77777777" w:rsidR="008A701E" w:rsidRPr="006A2781" w:rsidRDefault="008A701E" w:rsidP="008A701E">
            <w:pPr>
              <w:jc w:val="center"/>
              <w:rPr>
                <w:rFonts w:ascii="Arial" w:hAnsi="Arial" w:cs="Arial"/>
                <w:sz w:val="18"/>
                <w:szCs w:val="18"/>
              </w:rPr>
            </w:pPr>
            <w:r>
              <w:rPr>
                <w:rFonts w:ascii="Arial" w:hAnsi="Arial" w:cs="Arial"/>
                <w:sz w:val="18"/>
                <w:szCs w:val="18"/>
              </w:rPr>
              <w:t>1</w:t>
            </w:r>
          </w:p>
        </w:tc>
        <w:tc>
          <w:tcPr>
            <w:tcW w:w="540" w:type="dxa"/>
            <w:vAlign w:val="bottom"/>
          </w:tcPr>
          <w:p w14:paraId="3B6F411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1867" w:type="dxa"/>
            <w:shd w:val="clear" w:color="auto" w:fill="auto"/>
            <w:noWrap/>
            <w:vAlign w:val="bottom"/>
          </w:tcPr>
          <w:p w14:paraId="3620C1DC" w14:textId="77777777" w:rsidR="008A701E" w:rsidRPr="006A2781" w:rsidRDefault="008A701E" w:rsidP="008A701E">
            <w:pPr>
              <w:rPr>
                <w:rFonts w:ascii="Arial" w:hAnsi="Arial" w:cs="Arial"/>
                <w:sz w:val="18"/>
                <w:szCs w:val="18"/>
              </w:rPr>
            </w:pPr>
            <w:r>
              <w:rPr>
                <w:rFonts w:ascii="Arial" w:hAnsi="Arial" w:cs="Arial"/>
                <w:sz w:val="18"/>
                <w:szCs w:val="18"/>
              </w:rPr>
              <w:t>Select Unit for Patient</w:t>
            </w:r>
          </w:p>
        </w:tc>
        <w:tc>
          <w:tcPr>
            <w:tcW w:w="3060" w:type="dxa"/>
            <w:shd w:val="clear" w:color="auto" w:fill="auto"/>
            <w:noWrap/>
            <w:vAlign w:val="bottom"/>
          </w:tcPr>
          <w:p w14:paraId="21B9D8BC"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w:t>
            </w:r>
          </w:p>
        </w:tc>
        <w:tc>
          <w:tcPr>
            <w:tcW w:w="1530" w:type="dxa"/>
            <w:shd w:val="clear" w:color="auto" w:fill="auto"/>
            <w:noWrap/>
            <w:vAlign w:val="bottom"/>
          </w:tcPr>
          <w:p w14:paraId="71BC668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63B65F1F"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1E6E86C1" w14:textId="77777777" w:rsidTr="00A732E0">
        <w:trPr>
          <w:cantSplit/>
          <w:trHeight w:val="255"/>
        </w:trPr>
        <w:tc>
          <w:tcPr>
            <w:tcW w:w="450" w:type="dxa"/>
            <w:vAlign w:val="bottom"/>
          </w:tcPr>
          <w:p w14:paraId="5D5C3A48" w14:textId="77777777" w:rsidR="008A701E" w:rsidRPr="006A2781" w:rsidRDefault="008A701E" w:rsidP="008A701E">
            <w:pPr>
              <w:jc w:val="center"/>
              <w:rPr>
                <w:rFonts w:ascii="Arial" w:hAnsi="Arial" w:cs="Arial"/>
                <w:sz w:val="18"/>
                <w:szCs w:val="18"/>
              </w:rPr>
            </w:pPr>
            <w:r>
              <w:rPr>
                <w:rFonts w:ascii="Arial" w:hAnsi="Arial" w:cs="Arial"/>
                <w:sz w:val="18"/>
                <w:szCs w:val="18"/>
              </w:rPr>
              <w:t>2</w:t>
            </w:r>
          </w:p>
        </w:tc>
        <w:tc>
          <w:tcPr>
            <w:tcW w:w="540" w:type="dxa"/>
            <w:vAlign w:val="bottom"/>
          </w:tcPr>
          <w:p w14:paraId="3634C6E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1867" w:type="dxa"/>
            <w:shd w:val="clear" w:color="auto" w:fill="auto"/>
            <w:noWrap/>
          </w:tcPr>
          <w:p w14:paraId="21C06C15" w14:textId="77777777" w:rsidR="008A701E" w:rsidRDefault="008A701E" w:rsidP="008A701E">
            <w:r w:rsidRPr="00E47E59">
              <w:rPr>
                <w:rFonts w:ascii="Arial" w:hAnsi="Arial" w:cs="Arial"/>
                <w:sz w:val="18"/>
                <w:szCs w:val="18"/>
              </w:rPr>
              <w:t>Select Unit for Patient</w:t>
            </w:r>
          </w:p>
        </w:tc>
        <w:tc>
          <w:tcPr>
            <w:tcW w:w="3060" w:type="dxa"/>
            <w:shd w:val="clear" w:color="auto" w:fill="auto"/>
            <w:noWrap/>
            <w:vAlign w:val="bottom"/>
          </w:tcPr>
          <w:p w14:paraId="6DFF3060" w14:textId="77777777" w:rsidR="008A701E" w:rsidRPr="006A2781" w:rsidRDefault="008A701E" w:rsidP="008A701E">
            <w:pPr>
              <w:rPr>
                <w:rFonts w:ascii="Arial" w:hAnsi="Arial" w:cs="Arial"/>
                <w:sz w:val="18"/>
                <w:szCs w:val="18"/>
              </w:rPr>
            </w:pPr>
            <w:r w:rsidRPr="006A2781">
              <w:rPr>
                <w:rFonts w:ascii="Arial" w:hAnsi="Arial" w:cs="Arial"/>
                <w:sz w:val="18"/>
                <w:szCs w:val="18"/>
              </w:rPr>
              <w:t>Emergency issue flow</w:t>
            </w:r>
          </w:p>
        </w:tc>
        <w:tc>
          <w:tcPr>
            <w:tcW w:w="1530" w:type="dxa"/>
            <w:shd w:val="clear" w:color="auto" w:fill="auto"/>
            <w:noWrap/>
            <w:vAlign w:val="bottom"/>
          </w:tcPr>
          <w:p w14:paraId="71EFCF6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7F49E6D"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291F9AAB" w14:textId="77777777" w:rsidTr="00A732E0">
        <w:trPr>
          <w:cantSplit/>
          <w:trHeight w:val="255"/>
        </w:trPr>
        <w:tc>
          <w:tcPr>
            <w:tcW w:w="450" w:type="dxa"/>
            <w:vAlign w:val="bottom"/>
          </w:tcPr>
          <w:p w14:paraId="113454B6" w14:textId="77777777" w:rsidR="008A701E" w:rsidRDefault="008A701E" w:rsidP="008A701E">
            <w:pPr>
              <w:jc w:val="center"/>
              <w:rPr>
                <w:rFonts w:ascii="Arial" w:hAnsi="Arial" w:cs="Arial"/>
                <w:sz w:val="18"/>
                <w:szCs w:val="18"/>
              </w:rPr>
            </w:pPr>
            <w:r>
              <w:rPr>
                <w:rFonts w:ascii="Arial" w:hAnsi="Arial" w:cs="Arial"/>
                <w:sz w:val="18"/>
                <w:szCs w:val="18"/>
              </w:rPr>
              <w:t>3</w:t>
            </w:r>
          </w:p>
        </w:tc>
        <w:tc>
          <w:tcPr>
            <w:tcW w:w="540" w:type="dxa"/>
            <w:vAlign w:val="bottom"/>
          </w:tcPr>
          <w:p w14:paraId="1FA27F3E"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1867" w:type="dxa"/>
            <w:shd w:val="clear" w:color="auto" w:fill="auto"/>
            <w:noWrap/>
          </w:tcPr>
          <w:p w14:paraId="37F83F0C" w14:textId="77777777" w:rsidR="008A701E" w:rsidRDefault="008A701E" w:rsidP="008A701E">
            <w:r w:rsidRPr="00E47E59">
              <w:rPr>
                <w:rFonts w:ascii="Arial" w:hAnsi="Arial" w:cs="Arial"/>
                <w:sz w:val="18"/>
                <w:szCs w:val="18"/>
              </w:rPr>
              <w:t>Select Unit for Patient</w:t>
            </w:r>
          </w:p>
        </w:tc>
        <w:tc>
          <w:tcPr>
            <w:tcW w:w="3060" w:type="dxa"/>
            <w:shd w:val="clear" w:color="auto" w:fill="auto"/>
            <w:noWrap/>
            <w:vAlign w:val="bottom"/>
          </w:tcPr>
          <w:p w14:paraId="49977AD0" w14:textId="77777777" w:rsidR="008A701E" w:rsidRPr="006A2781" w:rsidRDefault="008A701E" w:rsidP="008A701E">
            <w:pPr>
              <w:rPr>
                <w:rFonts w:ascii="Arial" w:hAnsi="Arial" w:cs="Arial"/>
                <w:sz w:val="18"/>
                <w:szCs w:val="18"/>
              </w:rPr>
            </w:pPr>
            <w:r w:rsidRPr="006A2781">
              <w:rPr>
                <w:rFonts w:ascii="Arial" w:hAnsi="Arial" w:cs="Arial"/>
                <w:sz w:val="18"/>
                <w:szCs w:val="18"/>
              </w:rPr>
              <w:t>Electronic Crossmatch processed</w:t>
            </w:r>
          </w:p>
        </w:tc>
        <w:tc>
          <w:tcPr>
            <w:tcW w:w="1530" w:type="dxa"/>
            <w:shd w:val="clear" w:color="auto" w:fill="auto"/>
            <w:noWrap/>
            <w:vAlign w:val="bottom"/>
          </w:tcPr>
          <w:p w14:paraId="534F540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255781E9"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7CB3893" w14:textId="77777777" w:rsidTr="00A732E0">
        <w:trPr>
          <w:cantSplit/>
          <w:trHeight w:val="255"/>
        </w:trPr>
        <w:tc>
          <w:tcPr>
            <w:tcW w:w="450" w:type="dxa"/>
            <w:vAlign w:val="bottom"/>
          </w:tcPr>
          <w:p w14:paraId="3C7D4F7D" w14:textId="77777777" w:rsidR="008A701E" w:rsidRPr="006A2781" w:rsidRDefault="008A701E" w:rsidP="008A701E">
            <w:pPr>
              <w:jc w:val="center"/>
              <w:rPr>
                <w:rFonts w:ascii="Arial" w:hAnsi="Arial" w:cs="Arial"/>
                <w:sz w:val="18"/>
                <w:szCs w:val="18"/>
              </w:rPr>
            </w:pPr>
            <w:r>
              <w:rPr>
                <w:rFonts w:ascii="Arial" w:hAnsi="Arial" w:cs="Arial"/>
                <w:sz w:val="18"/>
                <w:szCs w:val="18"/>
              </w:rPr>
              <w:t>4</w:t>
            </w:r>
          </w:p>
        </w:tc>
        <w:tc>
          <w:tcPr>
            <w:tcW w:w="540" w:type="dxa"/>
            <w:vAlign w:val="bottom"/>
          </w:tcPr>
          <w:p w14:paraId="2E5F3F2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707C093"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1F737A5B"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2C29BC5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2070" w:type="dxa"/>
            <w:shd w:val="clear" w:color="auto" w:fill="auto"/>
            <w:noWrap/>
            <w:vAlign w:val="bottom"/>
          </w:tcPr>
          <w:p w14:paraId="582A3F4C" w14:textId="77777777" w:rsidR="008A701E" w:rsidRPr="006A2781" w:rsidRDefault="008A701E" w:rsidP="008A701E">
            <w:pPr>
              <w:rPr>
                <w:rFonts w:ascii="Arial" w:hAnsi="Arial" w:cs="Arial"/>
                <w:sz w:val="18"/>
                <w:szCs w:val="18"/>
              </w:rPr>
            </w:pPr>
            <w:r w:rsidRPr="006A2781">
              <w:rPr>
                <w:rFonts w:ascii="Arial" w:hAnsi="Arial" w:cs="Arial"/>
                <w:sz w:val="18"/>
                <w:szCs w:val="18"/>
              </w:rPr>
              <w:t>RE upon confirmation</w:t>
            </w:r>
          </w:p>
        </w:tc>
      </w:tr>
      <w:tr w:rsidR="008A701E" w:rsidRPr="006A2781" w14:paraId="24C7BC65" w14:textId="77777777" w:rsidTr="00A732E0">
        <w:trPr>
          <w:cantSplit/>
          <w:trHeight w:val="255"/>
        </w:trPr>
        <w:tc>
          <w:tcPr>
            <w:tcW w:w="450" w:type="dxa"/>
            <w:vAlign w:val="bottom"/>
          </w:tcPr>
          <w:p w14:paraId="7A4643CE" w14:textId="77777777" w:rsidR="008A701E" w:rsidRPr="006A2781" w:rsidRDefault="008A701E" w:rsidP="008A701E">
            <w:pPr>
              <w:jc w:val="center"/>
              <w:rPr>
                <w:rFonts w:ascii="Arial" w:hAnsi="Arial" w:cs="Arial"/>
                <w:sz w:val="18"/>
                <w:szCs w:val="18"/>
              </w:rPr>
            </w:pPr>
            <w:r>
              <w:rPr>
                <w:rFonts w:ascii="Arial" w:hAnsi="Arial" w:cs="Arial"/>
                <w:sz w:val="18"/>
                <w:szCs w:val="18"/>
              </w:rPr>
              <w:t>5</w:t>
            </w:r>
          </w:p>
        </w:tc>
        <w:tc>
          <w:tcPr>
            <w:tcW w:w="540" w:type="dxa"/>
            <w:vAlign w:val="bottom"/>
          </w:tcPr>
          <w:p w14:paraId="74A41EF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57449736"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7D69D658"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 upon confirmation</w:t>
            </w:r>
          </w:p>
        </w:tc>
        <w:tc>
          <w:tcPr>
            <w:tcW w:w="1530" w:type="dxa"/>
            <w:shd w:val="clear" w:color="auto" w:fill="auto"/>
            <w:noWrap/>
            <w:vAlign w:val="bottom"/>
          </w:tcPr>
          <w:p w14:paraId="6050E5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 (then X when confirmed)</w:t>
            </w:r>
          </w:p>
        </w:tc>
        <w:tc>
          <w:tcPr>
            <w:tcW w:w="2070" w:type="dxa"/>
            <w:shd w:val="clear" w:color="auto" w:fill="auto"/>
            <w:noWrap/>
            <w:vAlign w:val="bottom"/>
          </w:tcPr>
          <w:p w14:paraId="1A720F75" w14:textId="77777777" w:rsidR="008A701E" w:rsidRPr="006A2781" w:rsidRDefault="008A701E" w:rsidP="008A701E">
            <w:pPr>
              <w:rPr>
                <w:rFonts w:ascii="Arial" w:hAnsi="Arial" w:cs="Arial"/>
                <w:sz w:val="18"/>
                <w:szCs w:val="18"/>
              </w:rPr>
            </w:pPr>
            <w:r w:rsidRPr="006A2781">
              <w:rPr>
                <w:rFonts w:ascii="Arial" w:hAnsi="Arial" w:cs="Arial"/>
                <w:sz w:val="18"/>
                <w:szCs w:val="18"/>
              </w:rPr>
              <w:t>RE sent when release processed</w:t>
            </w:r>
          </w:p>
        </w:tc>
      </w:tr>
      <w:tr w:rsidR="008A701E" w:rsidRPr="006A2781" w14:paraId="29C6E63C" w14:textId="77777777" w:rsidTr="00A732E0">
        <w:trPr>
          <w:cantSplit/>
          <w:trHeight w:val="255"/>
        </w:trPr>
        <w:tc>
          <w:tcPr>
            <w:tcW w:w="450" w:type="dxa"/>
            <w:vAlign w:val="bottom"/>
          </w:tcPr>
          <w:p w14:paraId="1D932DB5" w14:textId="77777777" w:rsidR="008A701E" w:rsidRPr="006A2781" w:rsidRDefault="008A701E" w:rsidP="008A701E">
            <w:pPr>
              <w:jc w:val="center"/>
              <w:rPr>
                <w:rFonts w:ascii="Arial" w:hAnsi="Arial" w:cs="Arial"/>
                <w:sz w:val="18"/>
                <w:szCs w:val="18"/>
              </w:rPr>
            </w:pPr>
            <w:r>
              <w:rPr>
                <w:rFonts w:ascii="Arial" w:hAnsi="Arial" w:cs="Arial"/>
                <w:sz w:val="18"/>
                <w:szCs w:val="18"/>
              </w:rPr>
              <w:t>6</w:t>
            </w:r>
          </w:p>
        </w:tc>
        <w:tc>
          <w:tcPr>
            <w:tcW w:w="540" w:type="dxa"/>
            <w:vAlign w:val="bottom"/>
          </w:tcPr>
          <w:p w14:paraId="324D496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5A04D2CC"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0617BDAB"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57D40FA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2070" w:type="dxa"/>
            <w:shd w:val="clear" w:color="auto" w:fill="auto"/>
            <w:noWrap/>
            <w:vAlign w:val="bottom"/>
          </w:tcPr>
          <w:p w14:paraId="7D686A67" w14:textId="77777777" w:rsidR="008A701E" w:rsidRPr="006A2781" w:rsidRDefault="008A701E" w:rsidP="008A701E">
            <w:pPr>
              <w:rPr>
                <w:rFonts w:ascii="Arial" w:hAnsi="Arial" w:cs="Arial"/>
                <w:sz w:val="18"/>
                <w:szCs w:val="18"/>
              </w:rPr>
            </w:pPr>
            <w:r w:rsidRPr="006A2781">
              <w:rPr>
                <w:rFonts w:ascii="Arial" w:hAnsi="Arial" w:cs="Arial"/>
                <w:sz w:val="18"/>
                <w:szCs w:val="18"/>
              </w:rPr>
              <w:t>RE upon confirmation</w:t>
            </w:r>
          </w:p>
        </w:tc>
      </w:tr>
      <w:tr w:rsidR="008A701E" w:rsidRPr="006A2781" w14:paraId="5C18244A" w14:textId="77777777" w:rsidTr="00A732E0">
        <w:trPr>
          <w:cantSplit/>
          <w:trHeight w:val="255"/>
        </w:trPr>
        <w:tc>
          <w:tcPr>
            <w:tcW w:w="450" w:type="dxa"/>
            <w:vAlign w:val="bottom"/>
          </w:tcPr>
          <w:p w14:paraId="4E7B462A" w14:textId="77777777" w:rsidR="008A701E" w:rsidRPr="006A2781" w:rsidRDefault="008A701E" w:rsidP="008A701E">
            <w:pPr>
              <w:jc w:val="center"/>
              <w:rPr>
                <w:rFonts w:ascii="Arial" w:hAnsi="Arial" w:cs="Arial"/>
                <w:sz w:val="18"/>
                <w:szCs w:val="18"/>
              </w:rPr>
            </w:pPr>
            <w:r>
              <w:rPr>
                <w:rFonts w:ascii="Arial" w:hAnsi="Arial" w:cs="Arial"/>
                <w:sz w:val="18"/>
                <w:szCs w:val="18"/>
              </w:rPr>
              <w:t>7</w:t>
            </w:r>
          </w:p>
        </w:tc>
        <w:tc>
          <w:tcPr>
            <w:tcW w:w="540" w:type="dxa"/>
            <w:vAlign w:val="bottom"/>
          </w:tcPr>
          <w:p w14:paraId="6A3FA6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26D7F6C7" w14:textId="77777777" w:rsidR="008A701E" w:rsidRPr="006A2781" w:rsidRDefault="008A701E" w:rsidP="008A701E">
            <w:pPr>
              <w:rPr>
                <w:rFonts w:ascii="Arial" w:hAnsi="Arial" w:cs="Arial"/>
                <w:sz w:val="18"/>
                <w:szCs w:val="18"/>
              </w:rPr>
            </w:pPr>
            <w:r>
              <w:rPr>
                <w:rFonts w:ascii="Arial" w:hAnsi="Arial" w:cs="Arial"/>
                <w:sz w:val="18"/>
                <w:szCs w:val="18"/>
              </w:rPr>
              <w:t>Process Outgoing Shipment</w:t>
            </w:r>
          </w:p>
        </w:tc>
        <w:tc>
          <w:tcPr>
            <w:tcW w:w="3060" w:type="dxa"/>
            <w:shd w:val="clear" w:color="auto" w:fill="auto"/>
            <w:noWrap/>
            <w:vAlign w:val="bottom"/>
          </w:tcPr>
          <w:p w14:paraId="4622FA9F"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 upon confirmation</w:t>
            </w:r>
          </w:p>
        </w:tc>
        <w:tc>
          <w:tcPr>
            <w:tcW w:w="1530" w:type="dxa"/>
            <w:shd w:val="clear" w:color="auto" w:fill="auto"/>
            <w:noWrap/>
            <w:vAlign w:val="bottom"/>
          </w:tcPr>
          <w:p w14:paraId="46F586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 (then X when confirmed)</w:t>
            </w:r>
          </w:p>
        </w:tc>
        <w:tc>
          <w:tcPr>
            <w:tcW w:w="2070" w:type="dxa"/>
            <w:shd w:val="clear" w:color="auto" w:fill="auto"/>
            <w:noWrap/>
            <w:vAlign w:val="bottom"/>
          </w:tcPr>
          <w:p w14:paraId="5440FC33" w14:textId="77777777" w:rsidR="008A701E" w:rsidRPr="006A2781" w:rsidRDefault="008A701E" w:rsidP="008A701E">
            <w:pPr>
              <w:rPr>
                <w:rFonts w:ascii="Arial" w:hAnsi="Arial" w:cs="Arial"/>
                <w:sz w:val="18"/>
                <w:szCs w:val="18"/>
              </w:rPr>
            </w:pPr>
            <w:r w:rsidRPr="006A2781">
              <w:rPr>
                <w:rFonts w:ascii="Arial" w:hAnsi="Arial" w:cs="Arial"/>
                <w:sz w:val="18"/>
                <w:szCs w:val="18"/>
              </w:rPr>
              <w:t>RE sent when release processed</w:t>
            </w:r>
          </w:p>
        </w:tc>
      </w:tr>
      <w:tr w:rsidR="008A701E" w:rsidRPr="006A2781" w14:paraId="6B6109C8" w14:textId="77777777" w:rsidTr="00A732E0">
        <w:trPr>
          <w:cantSplit/>
          <w:trHeight w:val="255"/>
        </w:trPr>
        <w:tc>
          <w:tcPr>
            <w:tcW w:w="450" w:type="dxa"/>
            <w:vAlign w:val="bottom"/>
          </w:tcPr>
          <w:p w14:paraId="25351D13" w14:textId="77777777" w:rsidR="008A701E" w:rsidRPr="006A2781" w:rsidRDefault="008A701E" w:rsidP="008A701E">
            <w:pPr>
              <w:jc w:val="center"/>
              <w:rPr>
                <w:rFonts w:ascii="Arial" w:hAnsi="Arial" w:cs="Arial"/>
                <w:sz w:val="18"/>
                <w:szCs w:val="18"/>
              </w:rPr>
            </w:pPr>
            <w:r>
              <w:rPr>
                <w:rFonts w:ascii="Arial" w:hAnsi="Arial" w:cs="Arial"/>
                <w:sz w:val="18"/>
                <w:szCs w:val="18"/>
              </w:rPr>
              <w:t>8</w:t>
            </w:r>
          </w:p>
        </w:tc>
        <w:tc>
          <w:tcPr>
            <w:tcW w:w="540" w:type="dxa"/>
            <w:vAlign w:val="bottom"/>
          </w:tcPr>
          <w:p w14:paraId="01A934D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1867" w:type="dxa"/>
            <w:shd w:val="clear" w:color="auto" w:fill="auto"/>
            <w:noWrap/>
            <w:vAlign w:val="bottom"/>
          </w:tcPr>
          <w:p w14:paraId="535D4598"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3C43AD1D"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Crossmatched</w:t>
            </w:r>
          </w:p>
        </w:tc>
        <w:tc>
          <w:tcPr>
            <w:tcW w:w="1530" w:type="dxa"/>
            <w:shd w:val="clear" w:color="auto" w:fill="auto"/>
            <w:noWrap/>
            <w:vAlign w:val="bottom"/>
          </w:tcPr>
          <w:p w14:paraId="0B550F2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5931ED14"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32D8F88A" w14:textId="77777777" w:rsidTr="00A732E0">
        <w:trPr>
          <w:cantSplit/>
          <w:trHeight w:val="255"/>
        </w:trPr>
        <w:tc>
          <w:tcPr>
            <w:tcW w:w="450" w:type="dxa"/>
            <w:vAlign w:val="bottom"/>
          </w:tcPr>
          <w:p w14:paraId="04C11E9E" w14:textId="77777777" w:rsidR="008A701E" w:rsidRPr="006A2781" w:rsidRDefault="008A701E" w:rsidP="008A701E">
            <w:pPr>
              <w:jc w:val="center"/>
              <w:rPr>
                <w:rFonts w:ascii="Arial" w:hAnsi="Arial" w:cs="Arial"/>
                <w:sz w:val="18"/>
                <w:szCs w:val="18"/>
              </w:rPr>
            </w:pPr>
            <w:r>
              <w:rPr>
                <w:rFonts w:ascii="Arial" w:hAnsi="Arial" w:cs="Arial"/>
                <w:sz w:val="18"/>
                <w:szCs w:val="18"/>
              </w:rPr>
              <w:t>9</w:t>
            </w:r>
          </w:p>
        </w:tc>
        <w:tc>
          <w:tcPr>
            <w:tcW w:w="540" w:type="dxa"/>
            <w:vAlign w:val="bottom"/>
          </w:tcPr>
          <w:p w14:paraId="7FC048A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1867" w:type="dxa"/>
            <w:shd w:val="clear" w:color="auto" w:fill="auto"/>
            <w:noWrap/>
            <w:vAlign w:val="bottom"/>
          </w:tcPr>
          <w:p w14:paraId="0EB0CDF2"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2FD98047"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Assigned</w:t>
            </w:r>
          </w:p>
        </w:tc>
        <w:tc>
          <w:tcPr>
            <w:tcW w:w="1530" w:type="dxa"/>
            <w:shd w:val="clear" w:color="auto" w:fill="auto"/>
            <w:noWrap/>
            <w:vAlign w:val="bottom"/>
          </w:tcPr>
          <w:p w14:paraId="461AE29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0735037"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10670528" w14:textId="77777777" w:rsidTr="00A732E0">
        <w:trPr>
          <w:cantSplit/>
          <w:trHeight w:val="255"/>
        </w:trPr>
        <w:tc>
          <w:tcPr>
            <w:tcW w:w="450" w:type="dxa"/>
            <w:vAlign w:val="bottom"/>
          </w:tcPr>
          <w:p w14:paraId="48C3A691" w14:textId="77777777" w:rsidR="008A701E" w:rsidRPr="006A2781" w:rsidRDefault="008A701E" w:rsidP="008A701E">
            <w:pPr>
              <w:jc w:val="center"/>
              <w:rPr>
                <w:rFonts w:ascii="Arial" w:hAnsi="Arial" w:cs="Arial"/>
                <w:sz w:val="18"/>
                <w:szCs w:val="18"/>
              </w:rPr>
            </w:pPr>
            <w:r>
              <w:rPr>
                <w:rFonts w:ascii="Arial" w:hAnsi="Arial" w:cs="Arial"/>
                <w:sz w:val="18"/>
                <w:szCs w:val="18"/>
              </w:rPr>
              <w:t>10</w:t>
            </w:r>
          </w:p>
        </w:tc>
        <w:tc>
          <w:tcPr>
            <w:tcW w:w="540" w:type="dxa"/>
            <w:vAlign w:val="bottom"/>
          </w:tcPr>
          <w:p w14:paraId="14D9D9C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048362C3"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3F70754F" w14:textId="77777777" w:rsidR="008A701E" w:rsidRPr="006A2781" w:rsidRDefault="008A701E" w:rsidP="008A701E">
            <w:pPr>
              <w:rPr>
                <w:rFonts w:ascii="Arial" w:hAnsi="Arial" w:cs="Arial"/>
                <w:sz w:val="18"/>
                <w:szCs w:val="18"/>
              </w:rPr>
            </w:pPr>
            <w:r w:rsidRPr="006A2781">
              <w:rPr>
                <w:rFonts w:ascii="Arial" w:hAnsi="Arial" w:cs="Arial"/>
                <w:sz w:val="18"/>
                <w:szCs w:val="18"/>
              </w:rPr>
              <w:t>Remove Modification</w:t>
            </w:r>
          </w:p>
        </w:tc>
        <w:tc>
          <w:tcPr>
            <w:tcW w:w="1530" w:type="dxa"/>
            <w:shd w:val="clear" w:color="auto" w:fill="auto"/>
            <w:noWrap/>
            <w:vAlign w:val="bottom"/>
          </w:tcPr>
          <w:p w14:paraId="58512074"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2070" w:type="dxa"/>
            <w:shd w:val="clear" w:color="auto" w:fill="auto"/>
            <w:noWrap/>
            <w:vAlign w:val="bottom"/>
          </w:tcPr>
          <w:p w14:paraId="3B56EA4B" w14:textId="77777777" w:rsidR="008A701E" w:rsidRPr="006A2781" w:rsidRDefault="008A701E" w:rsidP="008A701E">
            <w:pPr>
              <w:rPr>
                <w:rFonts w:ascii="Arial" w:hAnsi="Arial" w:cs="Arial"/>
                <w:sz w:val="18"/>
                <w:szCs w:val="18"/>
              </w:rPr>
            </w:pPr>
            <w:r>
              <w:rPr>
                <w:rFonts w:ascii="Arial" w:hAnsi="Arial" w:cs="Arial"/>
                <w:sz w:val="18"/>
                <w:szCs w:val="18"/>
              </w:rPr>
              <w:t>No message resent</w:t>
            </w:r>
          </w:p>
        </w:tc>
      </w:tr>
      <w:tr w:rsidR="008A701E" w:rsidRPr="006A2781" w14:paraId="041FC28F" w14:textId="77777777" w:rsidTr="00A732E0">
        <w:trPr>
          <w:cantSplit/>
          <w:trHeight w:val="255"/>
        </w:trPr>
        <w:tc>
          <w:tcPr>
            <w:tcW w:w="450" w:type="dxa"/>
            <w:vAlign w:val="bottom"/>
          </w:tcPr>
          <w:p w14:paraId="5B3D9510" w14:textId="77777777" w:rsidR="008A701E" w:rsidRPr="006A2781" w:rsidRDefault="008A701E" w:rsidP="008A701E">
            <w:pPr>
              <w:jc w:val="center"/>
              <w:rPr>
                <w:rFonts w:ascii="Arial" w:hAnsi="Arial" w:cs="Arial"/>
                <w:sz w:val="18"/>
                <w:szCs w:val="18"/>
              </w:rPr>
            </w:pPr>
            <w:r>
              <w:rPr>
                <w:rFonts w:ascii="Arial" w:hAnsi="Arial" w:cs="Arial"/>
                <w:sz w:val="18"/>
                <w:szCs w:val="18"/>
              </w:rPr>
              <w:t>11</w:t>
            </w:r>
          </w:p>
        </w:tc>
        <w:tc>
          <w:tcPr>
            <w:tcW w:w="540" w:type="dxa"/>
            <w:vAlign w:val="bottom"/>
          </w:tcPr>
          <w:p w14:paraId="648C763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1867" w:type="dxa"/>
            <w:shd w:val="clear" w:color="auto" w:fill="auto"/>
            <w:noWrap/>
            <w:vAlign w:val="bottom"/>
          </w:tcPr>
          <w:p w14:paraId="7BA09317"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5A37DB81"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Crossmatched</w:t>
            </w:r>
          </w:p>
        </w:tc>
        <w:tc>
          <w:tcPr>
            <w:tcW w:w="1530" w:type="dxa"/>
            <w:shd w:val="clear" w:color="auto" w:fill="auto"/>
            <w:noWrap/>
            <w:vAlign w:val="bottom"/>
          </w:tcPr>
          <w:p w14:paraId="2BECD15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3727922E"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6091A20" w14:textId="77777777" w:rsidTr="00A732E0">
        <w:trPr>
          <w:cantSplit/>
          <w:trHeight w:val="255"/>
        </w:trPr>
        <w:tc>
          <w:tcPr>
            <w:tcW w:w="450" w:type="dxa"/>
            <w:vAlign w:val="bottom"/>
          </w:tcPr>
          <w:p w14:paraId="5177A53D" w14:textId="77777777" w:rsidR="008A701E" w:rsidRPr="006A2781" w:rsidRDefault="008A701E" w:rsidP="008A701E">
            <w:pPr>
              <w:jc w:val="center"/>
              <w:rPr>
                <w:rFonts w:ascii="Arial" w:hAnsi="Arial" w:cs="Arial"/>
                <w:sz w:val="18"/>
                <w:szCs w:val="18"/>
              </w:rPr>
            </w:pPr>
            <w:r>
              <w:rPr>
                <w:rFonts w:ascii="Arial" w:hAnsi="Arial" w:cs="Arial"/>
                <w:sz w:val="18"/>
                <w:szCs w:val="18"/>
              </w:rPr>
              <w:t>12</w:t>
            </w:r>
          </w:p>
        </w:tc>
        <w:tc>
          <w:tcPr>
            <w:tcW w:w="540" w:type="dxa"/>
            <w:vAlign w:val="bottom"/>
          </w:tcPr>
          <w:p w14:paraId="760B055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X</w:t>
            </w:r>
          </w:p>
        </w:tc>
        <w:tc>
          <w:tcPr>
            <w:tcW w:w="1867" w:type="dxa"/>
            <w:shd w:val="clear" w:color="auto" w:fill="auto"/>
            <w:noWrap/>
            <w:vAlign w:val="bottom"/>
          </w:tcPr>
          <w:p w14:paraId="1FD83E23"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45D4774B" w14:textId="77777777" w:rsidR="008A701E" w:rsidRPr="006A2781" w:rsidRDefault="008A701E" w:rsidP="008A701E">
            <w:pPr>
              <w:rPr>
                <w:rFonts w:ascii="Arial" w:hAnsi="Arial" w:cs="Arial"/>
                <w:sz w:val="18"/>
                <w:szCs w:val="18"/>
              </w:rPr>
            </w:pPr>
            <w:r w:rsidRPr="006A2781">
              <w:rPr>
                <w:rFonts w:ascii="Arial" w:hAnsi="Arial" w:cs="Arial"/>
                <w:sz w:val="18"/>
                <w:szCs w:val="18"/>
              </w:rPr>
              <w:t>Unit was previously Assigned</w:t>
            </w:r>
          </w:p>
        </w:tc>
        <w:tc>
          <w:tcPr>
            <w:tcW w:w="1530" w:type="dxa"/>
            <w:shd w:val="clear" w:color="auto" w:fill="auto"/>
            <w:noWrap/>
            <w:vAlign w:val="bottom"/>
          </w:tcPr>
          <w:p w14:paraId="02F1430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7CA521A8"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51861D6F" w14:textId="77777777" w:rsidTr="00A732E0">
        <w:trPr>
          <w:cantSplit/>
          <w:trHeight w:val="255"/>
        </w:trPr>
        <w:tc>
          <w:tcPr>
            <w:tcW w:w="450" w:type="dxa"/>
            <w:vAlign w:val="bottom"/>
          </w:tcPr>
          <w:p w14:paraId="063C245B" w14:textId="77777777" w:rsidR="008A701E" w:rsidRPr="006A2781" w:rsidRDefault="008A701E" w:rsidP="008A701E">
            <w:pPr>
              <w:jc w:val="center"/>
              <w:rPr>
                <w:rFonts w:ascii="Arial" w:hAnsi="Arial" w:cs="Arial"/>
                <w:sz w:val="18"/>
                <w:szCs w:val="18"/>
              </w:rPr>
            </w:pPr>
            <w:r>
              <w:rPr>
                <w:rFonts w:ascii="Arial" w:hAnsi="Arial" w:cs="Arial"/>
                <w:sz w:val="18"/>
                <w:szCs w:val="18"/>
              </w:rPr>
              <w:t>13</w:t>
            </w:r>
          </w:p>
        </w:tc>
        <w:tc>
          <w:tcPr>
            <w:tcW w:w="540" w:type="dxa"/>
            <w:vAlign w:val="bottom"/>
          </w:tcPr>
          <w:p w14:paraId="4C4B6B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T</w:t>
            </w:r>
          </w:p>
        </w:tc>
        <w:tc>
          <w:tcPr>
            <w:tcW w:w="1867" w:type="dxa"/>
            <w:shd w:val="clear" w:color="auto" w:fill="auto"/>
            <w:noWrap/>
            <w:vAlign w:val="bottom"/>
          </w:tcPr>
          <w:p w14:paraId="046DF981" w14:textId="77777777" w:rsidR="008A701E" w:rsidRPr="006A2781" w:rsidRDefault="008A701E" w:rsidP="008A701E">
            <w:pPr>
              <w:rPr>
                <w:rFonts w:ascii="Arial" w:hAnsi="Arial" w:cs="Arial"/>
                <w:sz w:val="18"/>
                <w:szCs w:val="18"/>
              </w:rPr>
            </w:pPr>
            <w:r>
              <w:rPr>
                <w:rFonts w:ascii="Arial" w:hAnsi="Arial" w:cs="Arial"/>
                <w:sz w:val="18"/>
                <w:szCs w:val="18"/>
              </w:rPr>
              <w:t>Remove Final Unit Status</w:t>
            </w:r>
          </w:p>
        </w:tc>
        <w:tc>
          <w:tcPr>
            <w:tcW w:w="3060" w:type="dxa"/>
            <w:shd w:val="clear" w:color="auto" w:fill="auto"/>
            <w:noWrap/>
            <w:vAlign w:val="bottom"/>
          </w:tcPr>
          <w:p w14:paraId="0A098BCE"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w:t>
            </w:r>
          </w:p>
        </w:tc>
        <w:tc>
          <w:tcPr>
            <w:tcW w:w="1530" w:type="dxa"/>
            <w:shd w:val="clear" w:color="auto" w:fill="auto"/>
            <w:noWrap/>
            <w:vAlign w:val="bottom"/>
          </w:tcPr>
          <w:p w14:paraId="2B450B5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12D00615"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2D78031D" w14:textId="77777777" w:rsidTr="00A732E0">
        <w:trPr>
          <w:cantSplit/>
          <w:trHeight w:val="255"/>
        </w:trPr>
        <w:tc>
          <w:tcPr>
            <w:tcW w:w="450" w:type="dxa"/>
            <w:vAlign w:val="bottom"/>
          </w:tcPr>
          <w:p w14:paraId="212401F2" w14:textId="77777777" w:rsidR="008A701E" w:rsidRPr="006A2781" w:rsidRDefault="008A701E" w:rsidP="008A701E">
            <w:pPr>
              <w:jc w:val="center"/>
              <w:rPr>
                <w:rFonts w:ascii="Arial" w:hAnsi="Arial" w:cs="Arial"/>
                <w:sz w:val="18"/>
                <w:szCs w:val="18"/>
              </w:rPr>
            </w:pPr>
            <w:r>
              <w:rPr>
                <w:rFonts w:ascii="Arial" w:hAnsi="Arial" w:cs="Arial"/>
                <w:sz w:val="18"/>
                <w:szCs w:val="18"/>
              </w:rPr>
              <w:t>14</w:t>
            </w:r>
          </w:p>
        </w:tc>
        <w:tc>
          <w:tcPr>
            <w:tcW w:w="540" w:type="dxa"/>
            <w:shd w:val="clear" w:color="auto" w:fill="auto"/>
            <w:vAlign w:val="bottom"/>
          </w:tcPr>
          <w:p w14:paraId="7D6B537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vAlign w:val="bottom"/>
          </w:tcPr>
          <w:p w14:paraId="196ED38E"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4BB6ACDA"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3A11FED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F6B2BB1"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0A04B306" w14:textId="77777777" w:rsidTr="00A732E0">
        <w:trPr>
          <w:cantSplit/>
          <w:trHeight w:val="255"/>
        </w:trPr>
        <w:tc>
          <w:tcPr>
            <w:tcW w:w="450" w:type="dxa"/>
            <w:vAlign w:val="bottom"/>
          </w:tcPr>
          <w:p w14:paraId="701C32E5" w14:textId="77777777" w:rsidR="008A701E" w:rsidRPr="006A2781" w:rsidRDefault="008A701E" w:rsidP="008A701E">
            <w:pPr>
              <w:jc w:val="center"/>
              <w:rPr>
                <w:rFonts w:ascii="Arial" w:hAnsi="Arial" w:cs="Arial"/>
                <w:sz w:val="18"/>
                <w:szCs w:val="18"/>
              </w:rPr>
            </w:pPr>
            <w:r>
              <w:rPr>
                <w:rFonts w:ascii="Arial" w:hAnsi="Arial" w:cs="Arial"/>
                <w:sz w:val="18"/>
                <w:szCs w:val="18"/>
              </w:rPr>
              <w:t>15</w:t>
            </w:r>
          </w:p>
        </w:tc>
        <w:tc>
          <w:tcPr>
            <w:tcW w:w="540" w:type="dxa"/>
            <w:shd w:val="clear" w:color="auto" w:fill="auto"/>
            <w:vAlign w:val="bottom"/>
          </w:tcPr>
          <w:p w14:paraId="04D9605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vAlign w:val="bottom"/>
          </w:tcPr>
          <w:p w14:paraId="2251F234"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3CC56D63"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7D02472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5B709B5A"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1E8D762D" w14:textId="77777777" w:rsidTr="00A732E0">
        <w:trPr>
          <w:cantSplit/>
          <w:trHeight w:val="128"/>
        </w:trPr>
        <w:tc>
          <w:tcPr>
            <w:tcW w:w="450" w:type="dxa"/>
            <w:vAlign w:val="bottom"/>
          </w:tcPr>
          <w:p w14:paraId="7154B329" w14:textId="77777777" w:rsidR="008A701E" w:rsidRPr="006A2781" w:rsidRDefault="008A701E" w:rsidP="008A701E">
            <w:pPr>
              <w:jc w:val="center"/>
              <w:rPr>
                <w:rFonts w:ascii="Arial" w:hAnsi="Arial" w:cs="Arial"/>
                <w:sz w:val="18"/>
                <w:szCs w:val="18"/>
              </w:rPr>
            </w:pPr>
            <w:r>
              <w:rPr>
                <w:rFonts w:ascii="Arial" w:hAnsi="Arial" w:cs="Arial"/>
                <w:sz w:val="18"/>
                <w:szCs w:val="18"/>
              </w:rPr>
              <w:t>16</w:t>
            </w:r>
          </w:p>
        </w:tc>
        <w:tc>
          <w:tcPr>
            <w:tcW w:w="540" w:type="dxa"/>
            <w:shd w:val="clear" w:color="auto" w:fill="auto"/>
            <w:vAlign w:val="bottom"/>
          </w:tcPr>
          <w:p w14:paraId="596A1EC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572AE3D9"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2373E0D6"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2F8545E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26D6EEA2"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6C416A30" w14:textId="77777777" w:rsidTr="00A732E0">
        <w:trPr>
          <w:cantSplit/>
          <w:trHeight w:val="127"/>
        </w:trPr>
        <w:tc>
          <w:tcPr>
            <w:tcW w:w="450" w:type="dxa"/>
            <w:vAlign w:val="bottom"/>
          </w:tcPr>
          <w:p w14:paraId="33FB4E1A" w14:textId="77777777" w:rsidR="008A701E" w:rsidRPr="006A2781" w:rsidRDefault="008A701E" w:rsidP="008A701E">
            <w:pPr>
              <w:jc w:val="center"/>
              <w:rPr>
                <w:rFonts w:ascii="Arial" w:hAnsi="Arial" w:cs="Arial"/>
                <w:sz w:val="18"/>
                <w:szCs w:val="18"/>
              </w:rPr>
            </w:pPr>
            <w:r>
              <w:rPr>
                <w:rFonts w:ascii="Arial" w:hAnsi="Arial" w:cs="Arial"/>
                <w:sz w:val="18"/>
                <w:szCs w:val="18"/>
              </w:rPr>
              <w:t>17</w:t>
            </w:r>
          </w:p>
        </w:tc>
        <w:tc>
          <w:tcPr>
            <w:tcW w:w="540" w:type="dxa"/>
            <w:shd w:val="clear" w:color="auto" w:fill="auto"/>
            <w:vAlign w:val="bottom"/>
          </w:tcPr>
          <w:p w14:paraId="4AF0064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52E7D0E"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13806E10"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410B058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5EE0AC5E"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76756BD1" w14:textId="77777777" w:rsidTr="00A732E0">
        <w:trPr>
          <w:cantSplit/>
          <w:trHeight w:val="255"/>
        </w:trPr>
        <w:tc>
          <w:tcPr>
            <w:tcW w:w="450" w:type="dxa"/>
            <w:vAlign w:val="bottom"/>
          </w:tcPr>
          <w:p w14:paraId="24939DB0" w14:textId="77777777" w:rsidR="008A701E" w:rsidRPr="006A2781" w:rsidRDefault="008A701E" w:rsidP="008A701E">
            <w:pPr>
              <w:jc w:val="center"/>
              <w:rPr>
                <w:rFonts w:ascii="Arial" w:hAnsi="Arial" w:cs="Arial"/>
                <w:sz w:val="18"/>
                <w:szCs w:val="18"/>
              </w:rPr>
            </w:pPr>
            <w:r>
              <w:rPr>
                <w:rFonts w:ascii="Arial" w:hAnsi="Arial" w:cs="Arial"/>
                <w:sz w:val="18"/>
                <w:szCs w:val="18"/>
              </w:rPr>
              <w:t>18</w:t>
            </w:r>
          </w:p>
        </w:tc>
        <w:tc>
          <w:tcPr>
            <w:tcW w:w="540" w:type="dxa"/>
            <w:shd w:val="clear" w:color="auto" w:fill="auto"/>
            <w:vAlign w:val="bottom"/>
          </w:tcPr>
          <w:p w14:paraId="4E1532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867" w:type="dxa"/>
            <w:shd w:val="clear" w:color="auto" w:fill="auto"/>
            <w:vAlign w:val="bottom"/>
          </w:tcPr>
          <w:p w14:paraId="1E373A6B"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47C8E62D"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013314E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1FB4CEF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RE-original(s), may be multiple messages.</w:t>
            </w:r>
          </w:p>
        </w:tc>
      </w:tr>
      <w:tr w:rsidR="008A701E" w:rsidRPr="006A2781" w14:paraId="674FFE40" w14:textId="77777777" w:rsidTr="00A732E0">
        <w:trPr>
          <w:cantSplit/>
          <w:trHeight w:val="255"/>
        </w:trPr>
        <w:tc>
          <w:tcPr>
            <w:tcW w:w="450" w:type="dxa"/>
            <w:vAlign w:val="bottom"/>
          </w:tcPr>
          <w:p w14:paraId="11B62734" w14:textId="77777777" w:rsidR="008A701E" w:rsidRPr="006A2781" w:rsidRDefault="008A701E" w:rsidP="008A701E">
            <w:pPr>
              <w:jc w:val="center"/>
              <w:rPr>
                <w:rFonts w:ascii="Arial" w:hAnsi="Arial" w:cs="Arial"/>
                <w:sz w:val="18"/>
                <w:szCs w:val="18"/>
              </w:rPr>
            </w:pPr>
            <w:r>
              <w:rPr>
                <w:rFonts w:ascii="Arial" w:hAnsi="Arial" w:cs="Arial"/>
                <w:sz w:val="18"/>
                <w:szCs w:val="18"/>
              </w:rPr>
              <w:t>19</w:t>
            </w:r>
          </w:p>
        </w:tc>
        <w:tc>
          <w:tcPr>
            <w:tcW w:w="540" w:type="dxa"/>
            <w:shd w:val="clear" w:color="auto" w:fill="auto"/>
            <w:vAlign w:val="bottom"/>
          </w:tcPr>
          <w:p w14:paraId="140AB1E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867" w:type="dxa"/>
            <w:shd w:val="clear" w:color="auto" w:fill="auto"/>
            <w:vAlign w:val="bottom"/>
          </w:tcPr>
          <w:p w14:paraId="7957FE13"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3FBB1537"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Maintain Assignment </w:t>
            </w:r>
          </w:p>
        </w:tc>
        <w:tc>
          <w:tcPr>
            <w:tcW w:w="1530" w:type="dxa"/>
            <w:shd w:val="clear" w:color="auto" w:fill="auto"/>
            <w:noWrap/>
            <w:vAlign w:val="bottom"/>
          </w:tcPr>
          <w:p w14:paraId="0729B1A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65902E60"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376D5DCA" w14:textId="77777777" w:rsidTr="00A732E0">
        <w:trPr>
          <w:cantSplit/>
          <w:trHeight w:val="128"/>
        </w:trPr>
        <w:tc>
          <w:tcPr>
            <w:tcW w:w="450" w:type="dxa"/>
            <w:vAlign w:val="bottom"/>
          </w:tcPr>
          <w:p w14:paraId="02D9D43D" w14:textId="77777777" w:rsidR="008A701E" w:rsidRPr="006A2781" w:rsidRDefault="008A701E" w:rsidP="008A701E">
            <w:pPr>
              <w:jc w:val="center"/>
              <w:rPr>
                <w:rFonts w:ascii="Arial" w:hAnsi="Arial" w:cs="Arial"/>
                <w:sz w:val="18"/>
                <w:szCs w:val="18"/>
              </w:rPr>
            </w:pPr>
            <w:r>
              <w:rPr>
                <w:rFonts w:ascii="Arial" w:hAnsi="Arial" w:cs="Arial"/>
                <w:sz w:val="18"/>
                <w:szCs w:val="18"/>
              </w:rPr>
              <w:t>20</w:t>
            </w:r>
          </w:p>
        </w:tc>
        <w:tc>
          <w:tcPr>
            <w:tcW w:w="540" w:type="dxa"/>
            <w:shd w:val="clear" w:color="auto" w:fill="auto"/>
            <w:vAlign w:val="bottom"/>
          </w:tcPr>
          <w:p w14:paraId="79AFECB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867" w:type="dxa"/>
            <w:shd w:val="clear" w:color="auto" w:fill="auto"/>
            <w:noWrap/>
            <w:vAlign w:val="bottom"/>
          </w:tcPr>
          <w:p w14:paraId="6D193066"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7A62BD00"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38F9A44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C1F4A2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63AF902B" w14:textId="77777777" w:rsidTr="00A732E0">
        <w:trPr>
          <w:cantSplit/>
          <w:trHeight w:val="127"/>
        </w:trPr>
        <w:tc>
          <w:tcPr>
            <w:tcW w:w="450" w:type="dxa"/>
            <w:vAlign w:val="bottom"/>
          </w:tcPr>
          <w:p w14:paraId="79B3E61F" w14:textId="77777777" w:rsidR="008A701E" w:rsidRPr="006A2781" w:rsidRDefault="008A701E" w:rsidP="008A701E">
            <w:pPr>
              <w:jc w:val="center"/>
              <w:rPr>
                <w:rFonts w:ascii="Arial" w:hAnsi="Arial" w:cs="Arial"/>
                <w:sz w:val="18"/>
                <w:szCs w:val="18"/>
              </w:rPr>
            </w:pPr>
            <w:r>
              <w:rPr>
                <w:rFonts w:ascii="Arial" w:hAnsi="Arial" w:cs="Arial"/>
                <w:sz w:val="18"/>
                <w:szCs w:val="18"/>
              </w:rPr>
              <w:t>21</w:t>
            </w:r>
          </w:p>
        </w:tc>
        <w:tc>
          <w:tcPr>
            <w:tcW w:w="540" w:type="dxa"/>
            <w:shd w:val="clear" w:color="auto" w:fill="auto"/>
            <w:vAlign w:val="bottom"/>
          </w:tcPr>
          <w:p w14:paraId="0590280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r>
              <w:rPr>
                <w:rFonts w:ascii="Arial" w:hAnsi="Arial" w:cs="Arial"/>
                <w:sz w:val="18"/>
                <w:szCs w:val="18"/>
              </w:rPr>
              <w:t>**</w:t>
            </w:r>
          </w:p>
        </w:tc>
        <w:tc>
          <w:tcPr>
            <w:tcW w:w="1867" w:type="dxa"/>
            <w:shd w:val="clear" w:color="auto" w:fill="auto"/>
            <w:noWrap/>
            <w:vAlign w:val="bottom"/>
          </w:tcPr>
          <w:p w14:paraId="065B61D8" w14:textId="77777777" w:rsidR="008A701E" w:rsidRPr="006A2781" w:rsidRDefault="008A701E" w:rsidP="008A701E">
            <w:pPr>
              <w:rPr>
                <w:rFonts w:ascii="Arial" w:hAnsi="Arial" w:cs="Arial"/>
                <w:sz w:val="18"/>
                <w:szCs w:val="18"/>
              </w:rPr>
            </w:pPr>
            <w:r>
              <w:rPr>
                <w:rFonts w:ascii="Arial" w:hAnsi="Arial" w:cs="Arial"/>
                <w:sz w:val="18"/>
                <w:szCs w:val="18"/>
              </w:rPr>
              <w:t>Pool Units</w:t>
            </w:r>
          </w:p>
        </w:tc>
        <w:tc>
          <w:tcPr>
            <w:tcW w:w="3060" w:type="dxa"/>
            <w:shd w:val="clear" w:color="auto" w:fill="auto"/>
            <w:noWrap/>
            <w:vAlign w:val="bottom"/>
          </w:tcPr>
          <w:p w14:paraId="7AC546C6"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Release Assignment </w:t>
            </w:r>
          </w:p>
        </w:tc>
        <w:tc>
          <w:tcPr>
            <w:tcW w:w="1530" w:type="dxa"/>
            <w:shd w:val="clear" w:color="auto" w:fill="auto"/>
            <w:noWrap/>
            <w:vAlign w:val="bottom"/>
          </w:tcPr>
          <w:p w14:paraId="7D3919A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29B1CE1"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0006790A" w14:textId="77777777" w:rsidTr="00A732E0">
        <w:trPr>
          <w:cantSplit/>
          <w:trHeight w:val="255"/>
        </w:trPr>
        <w:tc>
          <w:tcPr>
            <w:tcW w:w="450" w:type="dxa"/>
            <w:vAlign w:val="bottom"/>
          </w:tcPr>
          <w:p w14:paraId="613AB6CF" w14:textId="77777777" w:rsidR="008A701E" w:rsidRPr="006A2781" w:rsidRDefault="008A701E" w:rsidP="008A701E">
            <w:pPr>
              <w:jc w:val="center"/>
              <w:rPr>
                <w:rFonts w:ascii="Arial" w:hAnsi="Arial" w:cs="Arial"/>
                <w:sz w:val="18"/>
                <w:szCs w:val="18"/>
              </w:rPr>
            </w:pPr>
            <w:r>
              <w:rPr>
                <w:rFonts w:ascii="Arial" w:hAnsi="Arial" w:cs="Arial"/>
                <w:sz w:val="18"/>
                <w:szCs w:val="18"/>
              </w:rPr>
              <w:t>22</w:t>
            </w:r>
          </w:p>
        </w:tc>
        <w:tc>
          <w:tcPr>
            <w:tcW w:w="540" w:type="dxa"/>
            <w:shd w:val="clear" w:color="auto" w:fill="auto"/>
            <w:vAlign w:val="bottom"/>
          </w:tcPr>
          <w:p w14:paraId="2484005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70DB49C"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63D6CEE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42CCC5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44CCCDF8"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31854CF6" w14:textId="77777777" w:rsidTr="00A732E0">
        <w:trPr>
          <w:cantSplit/>
          <w:trHeight w:val="255"/>
        </w:trPr>
        <w:tc>
          <w:tcPr>
            <w:tcW w:w="450" w:type="dxa"/>
            <w:vAlign w:val="bottom"/>
          </w:tcPr>
          <w:p w14:paraId="135E3539" w14:textId="77777777" w:rsidR="008A701E" w:rsidRPr="006A2781" w:rsidRDefault="008A701E" w:rsidP="008A701E">
            <w:pPr>
              <w:jc w:val="center"/>
              <w:rPr>
                <w:rFonts w:ascii="Arial" w:hAnsi="Arial" w:cs="Arial"/>
                <w:sz w:val="18"/>
                <w:szCs w:val="18"/>
              </w:rPr>
            </w:pPr>
            <w:r>
              <w:rPr>
                <w:rFonts w:ascii="Arial" w:hAnsi="Arial" w:cs="Arial"/>
                <w:sz w:val="18"/>
                <w:szCs w:val="18"/>
              </w:rPr>
              <w:t>23</w:t>
            </w:r>
          </w:p>
        </w:tc>
        <w:tc>
          <w:tcPr>
            <w:tcW w:w="540" w:type="dxa"/>
            <w:shd w:val="clear" w:color="auto" w:fill="auto"/>
            <w:vAlign w:val="bottom"/>
          </w:tcPr>
          <w:p w14:paraId="202C953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69652761"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68A4980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0D69B5B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2B6DE209" w14:textId="77777777" w:rsidR="008A701E" w:rsidRPr="006A2781" w:rsidRDefault="008A701E" w:rsidP="008A701E">
            <w:pPr>
              <w:rPr>
                <w:rFonts w:ascii="Arial" w:hAnsi="Arial" w:cs="Arial"/>
                <w:sz w:val="18"/>
                <w:szCs w:val="18"/>
              </w:rPr>
            </w:pPr>
            <w:r w:rsidRPr="006A2781">
              <w:rPr>
                <w:rFonts w:ascii="Arial" w:hAnsi="Arial" w:cs="Arial"/>
                <w:sz w:val="18"/>
                <w:szCs w:val="18"/>
              </w:rPr>
              <w:t>RS-targets, one message for each target created.</w:t>
            </w:r>
          </w:p>
        </w:tc>
      </w:tr>
      <w:tr w:rsidR="008A701E" w:rsidRPr="006A2781" w14:paraId="008BCADC" w14:textId="77777777" w:rsidTr="00A732E0">
        <w:trPr>
          <w:cantSplit/>
          <w:trHeight w:val="188"/>
        </w:trPr>
        <w:tc>
          <w:tcPr>
            <w:tcW w:w="450" w:type="dxa"/>
            <w:vAlign w:val="bottom"/>
          </w:tcPr>
          <w:p w14:paraId="61E63D1A" w14:textId="77777777" w:rsidR="008A701E" w:rsidRPr="006A2781" w:rsidRDefault="008A701E" w:rsidP="008A701E">
            <w:pPr>
              <w:jc w:val="center"/>
              <w:rPr>
                <w:rFonts w:ascii="Arial" w:hAnsi="Arial" w:cs="Arial"/>
                <w:sz w:val="18"/>
                <w:szCs w:val="18"/>
              </w:rPr>
            </w:pPr>
            <w:r>
              <w:rPr>
                <w:rFonts w:ascii="Arial" w:hAnsi="Arial" w:cs="Arial"/>
                <w:sz w:val="18"/>
                <w:szCs w:val="18"/>
              </w:rPr>
              <w:t>24</w:t>
            </w:r>
          </w:p>
        </w:tc>
        <w:tc>
          <w:tcPr>
            <w:tcW w:w="540" w:type="dxa"/>
            <w:shd w:val="clear" w:color="auto" w:fill="auto"/>
            <w:vAlign w:val="bottom"/>
          </w:tcPr>
          <w:p w14:paraId="58C2F01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4980FCBE"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746CD7D1"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EA0621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39E0CFAC"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57A65EFB" w14:textId="77777777" w:rsidTr="00A732E0">
        <w:trPr>
          <w:cantSplit/>
          <w:trHeight w:val="255"/>
        </w:trPr>
        <w:tc>
          <w:tcPr>
            <w:tcW w:w="450" w:type="dxa"/>
            <w:vAlign w:val="bottom"/>
          </w:tcPr>
          <w:p w14:paraId="0DF21771" w14:textId="77777777" w:rsidR="008A701E" w:rsidRPr="006A2781" w:rsidRDefault="008A701E" w:rsidP="008A701E">
            <w:pPr>
              <w:jc w:val="center"/>
              <w:rPr>
                <w:rFonts w:ascii="Arial" w:hAnsi="Arial" w:cs="Arial"/>
                <w:sz w:val="18"/>
                <w:szCs w:val="18"/>
              </w:rPr>
            </w:pPr>
            <w:r>
              <w:rPr>
                <w:rFonts w:ascii="Arial" w:hAnsi="Arial" w:cs="Arial"/>
                <w:sz w:val="18"/>
                <w:szCs w:val="18"/>
              </w:rPr>
              <w:t>25</w:t>
            </w:r>
          </w:p>
        </w:tc>
        <w:tc>
          <w:tcPr>
            <w:tcW w:w="540" w:type="dxa"/>
            <w:shd w:val="clear" w:color="auto" w:fill="auto"/>
            <w:vAlign w:val="bottom"/>
          </w:tcPr>
          <w:p w14:paraId="1B7A026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32BAD8D0"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51C65E9"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6D7E82A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9666110"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6156324C" w14:textId="77777777" w:rsidTr="00A732E0">
        <w:trPr>
          <w:cantSplit/>
          <w:trHeight w:val="255"/>
        </w:trPr>
        <w:tc>
          <w:tcPr>
            <w:tcW w:w="450" w:type="dxa"/>
            <w:vAlign w:val="bottom"/>
          </w:tcPr>
          <w:p w14:paraId="2496978E" w14:textId="77777777" w:rsidR="008A701E" w:rsidRPr="006A2781" w:rsidRDefault="008A701E" w:rsidP="008A701E">
            <w:pPr>
              <w:jc w:val="center"/>
              <w:rPr>
                <w:rFonts w:ascii="Arial" w:hAnsi="Arial" w:cs="Arial"/>
                <w:sz w:val="18"/>
                <w:szCs w:val="18"/>
              </w:rPr>
            </w:pPr>
            <w:r>
              <w:rPr>
                <w:rFonts w:ascii="Arial" w:hAnsi="Arial" w:cs="Arial"/>
                <w:sz w:val="18"/>
                <w:szCs w:val="18"/>
              </w:rPr>
              <w:t>26</w:t>
            </w:r>
          </w:p>
        </w:tc>
        <w:tc>
          <w:tcPr>
            <w:tcW w:w="540" w:type="dxa"/>
            <w:shd w:val="clear" w:color="auto" w:fill="auto"/>
            <w:vAlign w:val="bottom"/>
          </w:tcPr>
          <w:p w14:paraId="4040EA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5691292"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7AFA1DE9"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685A80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7306A789"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234C1722" w14:textId="77777777" w:rsidTr="00A732E0">
        <w:trPr>
          <w:cantSplit/>
          <w:trHeight w:val="255"/>
        </w:trPr>
        <w:tc>
          <w:tcPr>
            <w:tcW w:w="450" w:type="dxa"/>
            <w:vAlign w:val="bottom"/>
          </w:tcPr>
          <w:p w14:paraId="42D46D71" w14:textId="77777777" w:rsidR="008A701E" w:rsidRPr="006A2781" w:rsidRDefault="008A701E" w:rsidP="008A701E">
            <w:pPr>
              <w:jc w:val="center"/>
              <w:rPr>
                <w:rFonts w:ascii="Arial" w:hAnsi="Arial" w:cs="Arial"/>
                <w:sz w:val="18"/>
                <w:szCs w:val="18"/>
              </w:rPr>
            </w:pPr>
            <w:r>
              <w:rPr>
                <w:rFonts w:ascii="Arial" w:hAnsi="Arial" w:cs="Arial"/>
                <w:sz w:val="18"/>
                <w:szCs w:val="18"/>
              </w:rPr>
              <w:t>27</w:t>
            </w:r>
          </w:p>
        </w:tc>
        <w:tc>
          <w:tcPr>
            <w:tcW w:w="540" w:type="dxa"/>
            <w:shd w:val="clear" w:color="auto" w:fill="auto"/>
            <w:vAlign w:val="bottom"/>
          </w:tcPr>
          <w:p w14:paraId="6A776E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02C7C46D"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4C72911"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277F561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5B172DFD" w14:textId="77777777" w:rsidR="008A701E" w:rsidRPr="006A2781" w:rsidRDefault="008A701E" w:rsidP="008A701E">
            <w:pPr>
              <w:rPr>
                <w:rFonts w:ascii="Arial" w:hAnsi="Arial" w:cs="Arial"/>
                <w:sz w:val="18"/>
                <w:szCs w:val="18"/>
              </w:rPr>
            </w:pPr>
            <w:r w:rsidRPr="006A2781">
              <w:rPr>
                <w:rFonts w:ascii="Arial" w:hAnsi="Arial" w:cs="Arial"/>
                <w:sz w:val="18"/>
                <w:szCs w:val="18"/>
              </w:rPr>
              <w:t>RS-target</w:t>
            </w:r>
          </w:p>
        </w:tc>
      </w:tr>
      <w:tr w:rsidR="008A701E" w:rsidRPr="006A2781" w14:paraId="5E761FEC" w14:textId="77777777" w:rsidTr="00A732E0">
        <w:trPr>
          <w:cantSplit/>
          <w:trHeight w:val="255"/>
        </w:trPr>
        <w:tc>
          <w:tcPr>
            <w:tcW w:w="450" w:type="dxa"/>
            <w:vAlign w:val="bottom"/>
          </w:tcPr>
          <w:p w14:paraId="39202D1F" w14:textId="77777777" w:rsidR="008A701E" w:rsidRPr="006A2781" w:rsidRDefault="008A701E" w:rsidP="008A701E">
            <w:pPr>
              <w:jc w:val="center"/>
              <w:rPr>
                <w:rFonts w:ascii="Arial" w:hAnsi="Arial" w:cs="Arial"/>
                <w:sz w:val="18"/>
                <w:szCs w:val="18"/>
              </w:rPr>
            </w:pPr>
            <w:r>
              <w:rPr>
                <w:rFonts w:ascii="Arial" w:hAnsi="Arial" w:cs="Arial"/>
                <w:sz w:val="18"/>
                <w:szCs w:val="18"/>
              </w:rPr>
              <w:t>28</w:t>
            </w:r>
          </w:p>
        </w:tc>
        <w:tc>
          <w:tcPr>
            <w:tcW w:w="540" w:type="dxa"/>
            <w:shd w:val="clear" w:color="auto" w:fill="auto"/>
            <w:vAlign w:val="bottom"/>
          </w:tcPr>
          <w:p w14:paraId="226FD9D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38044C25"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17E9EEC7"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479F8C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56498B69" w14:textId="77777777" w:rsidR="008A701E" w:rsidRPr="006A2781" w:rsidRDefault="008A701E" w:rsidP="008A701E">
            <w:pPr>
              <w:rPr>
                <w:rFonts w:ascii="Arial" w:hAnsi="Arial" w:cs="Arial"/>
                <w:sz w:val="18"/>
                <w:szCs w:val="18"/>
              </w:rPr>
            </w:pPr>
            <w:r w:rsidRPr="006A2781">
              <w:rPr>
                <w:rFonts w:ascii="Arial" w:hAnsi="Arial" w:cs="Arial"/>
                <w:sz w:val="18"/>
                <w:szCs w:val="18"/>
              </w:rPr>
              <w:t>RE-original</w:t>
            </w:r>
          </w:p>
        </w:tc>
      </w:tr>
      <w:tr w:rsidR="008A701E" w:rsidRPr="006A2781" w14:paraId="1637F427" w14:textId="77777777" w:rsidTr="00A732E0">
        <w:trPr>
          <w:cantSplit/>
          <w:trHeight w:val="255"/>
        </w:trPr>
        <w:tc>
          <w:tcPr>
            <w:tcW w:w="450" w:type="dxa"/>
            <w:vAlign w:val="bottom"/>
          </w:tcPr>
          <w:p w14:paraId="74B38656" w14:textId="77777777" w:rsidR="008A701E" w:rsidRPr="006A2781" w:rsidRDefault="008A701E" w:rsidP="008A701E">
            <w:pPr>
              <w:jc w:val="center"/>
              <w:rPr>
                <w:rFonts w:ascii="Arial" w:hAnsi="Arial" w:cs="Arial"/>
                <w:sz w:val="18"/>
                <w:szCs w:val="18"/>
              </w:rPr>
            </w:pPr>
            <w:r>
              <w:rPr>
                <w:rFonts w:ascii="Arial" w:hAnsi="Arial" w:cs="Arial"/>
                <w:sz w:val="18"/>
                <w:szCs w:val="18"/>
              </w:rPr>
              <w:t>29</w:t>
            </w:r>
          </w:p>
        </w:tc>
        <w:tc>
          <w:tcPr>
            <w:tcW w:w="540" w:type="dxa"/>
            <w:shd w:val="clear" w:color="auto" w:fill="auto"/>
            <w:vAlign w:val="bottom"/>
          </w:tcPr>
          <w:p w14:paraId="263576C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6C1A4233" w14:textId="77777777" w:rsidR="008A701E" w:rsidRPr="006A2781" w:rsidRDefault="008A701E" w:rsidP="008A701E">
            <w:pPr>
              <w:rPr>
                <w:rFonts w:ascii="Arial" w:hAnsi="Arial" w:cs="Arial"/>
                <w:sz w:val="18"/>
                <w:szCs w:val="18"/>
              </w:rPr>
            </w:pPr>
            <w:r>
              <w:rPr>
                <w:rFonts w:ascii="Arial" w:hAnsi="Arial" w:cs="Arial"/>
                <w:sz w:val="18"/>
                <w:szCs w:val="18"/>
              </w:rPr>
              <w:t>Split Units</w:t>
            </w:r>
          </w:p>
        </w:tc>
        <w:tc>
          <w:tcPr>
            <w:tcW w:w="3060" w:type="dxa"/>
            <w:shd w:val="clear" w:color="auto" w:fill="auto"/>
            <w:noWrap/>
            <w:vAlign w:val="bottom"/>
          </w:tcPr>
          <w:p w14:paraId="466A882D"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7FF704A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427B7B5A"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5CD29512" w14:textId="77777777" w:rsidTr="00A732E0">
        <w:trPr>
          <w:cantSplit/>
          <w:trHeight w:val="255"/>
        </w:trPr>
        <w:tc>
          <w:tcPr>
            <w:tcW w:w="450" w:type="dxa"/>
            <w:vAlign w:val="bottom"/>
          </w:tcPr>
          <w:p w14:paraId="7B9E4871" w14:textId="77777777" w:rsidR="008A701E" w:rsidRPr="006A2781" w:rsidRDefault="008A701E" w:rsidP="008A701E">
            <w:pPr>
              <w:jc w:val="center"/>
              <w:rPr>
                <w:rFonts w:ascii="Arial" w:hAnsi="Arial" w:cs="Arial"/>
                <w:sz w:val="18"/>
                <w:szCs w:val="18"/>
              </w:rPr>
            </w:pPr>
            <w:r>
              <w:rPr>
                <w:rFonts w:ascii="Arial" w:hAnsi="Arial" w:cs="Arial"/>
                <w:sz w:val="18"/>
                <w:szCs w:val="18"/>
              </w:rPr>
              <w:t>30</w:t>
            </w:r>
          </w:p>
        </w:tc>
        <w:tc>
          <w:tcPr>
            <w:tcW w:w="540" w:type="dxa"/>
            <w:shd w:val="clear" w:color="auto" w:fill="auto"/>
            <w:vAlign w:val="bottom"/>
          </w:tcPr>
          <w:p w14:paraId="024E13C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085AB050"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1A2AA4D0"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71018F6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63E82B50" w14:textId="5E2359B9"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43D58C42" w14:textId="77777777" w:rsidTr="00A732E0">
        <w:trPr>
          <w:cantSplit/>
          <w:trHeight w:val="255"/>
        </w:trPr>
        <w:tc>
          <w:tcPr>
            <w:tcW w:w="450" w:type="dxa"/>
            <w:vAlign w:val="bottom"/>
          </w:tcPr>
          <w:p w14:paraId="15ADBACB" w14:textId="77777777" w:rsidR="008A701E" w:rsidRPr="006A2781" w:rsidRDefault="008A701E" w:rsidP="008A701E">
            <w:pPr>
              <w:jc w:val="center"/>
              <w:rPr>
                <w:rFonts w:ascii="Arial" w:hAnsi="Arial" w:cs="Arial"/>
                <w:sz w:val="18"/>
                <w:szCs w:val="18"/>
              </w:rPr>
            </w:pPr>
            <w:r>
              <w:rPr>
                <w:rFonts w:ascii="Arial" w:hAnsi="Arial" w:cs="Arial"/>
                <w:sz w:val="18"/>
                <w:szCs w:val="18"/>
              </w:rPr>
              <w:t>31</w:t>
            </w:r>
          </w:p>
        </w:tc>
        <w:tc>
          <w:tcPr>
            <w:tcW w:w="540" w:type="dxa"/>
            <w:shd w:val="clear" w:color="auto" w:fill="auto"/>
            <w:vAlign w:val="bottom"/>
          </w:tcPr>
          <w:p w14:paraId="44E3BCC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6FCD5576"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33547ACA"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4AF7790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2EA5BEF" w14:textId="77777777" w:rsidR="008A701E" w:rsidRPr="006A2781" w:rsidRDefault="008A701E" w:rsidP="008A701E">
            <w:pPr>
              <w:rPr>
                <w:rFonts w:ascii="Arial" w:hAnsi="Arial" w:cs="Arial"/>
                <w:sz w:val="18"/>
                <w:szCs w:val="18"/>
              </w:rPr>
            </w:pPr>
            <w:r w:rsidRPr="006A2781">
              <w:rPr>
                <w:rFonts w:ascii="Arial" w:hAnsi="Arial" w:cs="Arial"/>
                <w:sz w:val="18"/>
                <w:szCs w:val="18"/>
              </w:rPr>
              <w:t>RS-target (when processing in batch, multiple messages are sent)</w:t>
            </w:r>
          </w:p>
        </w:tc>
      </w:tr>
      <w:tr w:rsidR="008A701E" w:rsidRPr="006A2781" w14:paraId="45495E52" w14:textId="77777777" w:rsidTr="00A732E0">
        <w:trPr>
          <w:cantSplit/>
          <w:trHeight w:val="255"/>
        </w:trPr>
        <w:tc>
          <w:tcPr>
            <w:tcW w:w="450" w:type="dxa"/>
            <w:vAlign w:val="bottom"/>
          </w:tcPr>
          <w:p w14:paraId="72728ECC" w14:textId="77777777" w:rsidR="008A701E" w:rsidRPr="006A2781" w:rsidRDefault="008A701E" w:rsidP="008A701E">
            <w:pPr>
              <w:jc w:val="center"/>
              <w:rPr>
                <w:rFonts w:ascii="Arial" w:hAnsi="Arial" w:cs="Arial"/>
                <w:sz w:val="18"/>
                <w:szCs w:val="18"/>
              </w:rPr>
            </w:pPr>
            <w:r>
              <w:rPr>
                <w:rFonts w:ascii="Arial" w:hAnsi="Arial" w:cs="Arial"/>
                <w:sz w:val="18"/>
                <w:szCs w:val="18"/>
              </w:rPr>
              <w:t>32</w:t>
            </w:r>
          </w:p>
        </w:tc>
        <w:tc>
          <w:tcPr>
            <w:tcW w:w="540" w:type="dxa"/>
            <w:shd w:val="clear" w:color="auto" w:fill="auto"/>
            <w:vAlign w:val="bottom"/>
          </w:tcPr>
          <w:p w14:paraId="2FDD2B9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52DED11E"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490956BF"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0651B7F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080BBC74" w14:textId="1E5C1D00"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646338D3" w14:textId="77777777" w:rsidTr="00A732E0">
        <w:trPr>
          <w:cantSplit/>
          <w:trHeight w:val="255"/>
        </w:trPr>
        <w:tc>
          <w:tcPr>
            <w:tcW w:w="450" w:type="dxa"/>
            <w:vAlign w:val="bottom"/>
          </w:tcPr>
          <w:p w14:paraId="2AB441C3" w14:textId="77777777" w:rsidR="008A701E" w:rsidRPr="006A2781" w:rsidRDefault="008A701E" w:rsidP="008A701E">
            <w:pPr>
              <w:jc w:val="center"/>
              <w:rPr>
                <w:rFonts w:ascii="Arial" w:hAnsi="Arial" w:cs="Arial"/>
                <w:sz w:val="18"/>
                <w:szCs w:val="18"/>
              </w:rPr>
            </w:pPr>
            <w:r>
              <w:rPr>
                <w:rFonts w:ascii="Arial" w:hAnsi="Arial" w:cs="Arial"/>
                <w:sz w:val="18"/>
                <w:szCs w:val="18"/>
              </w:rPr>
              <w:t>33</w:t>
            </w:r>
          </w:p>
        </w:tc>
        <w:tc>
          <w:tcPr>
            <w:tcW w:w="540" w:type="dxa"/>
            <w:shd w:val="clear" w:color="auto" w:fill="auto"/>
            <w:vAlign w:val="bottom"/>
          </w:tcPr>
          <w:p w14:paraId="604BA4B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50FBCAC3"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669E8E74"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6BCBDC6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06D2E9E2"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045A37A6" w14:textId="77777777" w:rsidTr="00A732E0">
        <w:trPr>
          <w:cantSplit/>
          <w:trHeight w:val="255"/>
        </w:trPr>
        <w:tc>
          <w:tcPr>
            <w:tcW w:w="450" w:type="dxa"/>
            <w:vAlign w:val="bottom"/>
          </w:tcPr>
          <w:p w14:paraId="4D87D98F" w14:textId="77777777" w:rsidR="008A701E" w:rsidRPr="006A2781" w:rsidRDefault="008A701E" w:rsidP="008A701E">
            <w:pPr>
              <w:jc w:val="center"/>
              <w:rPr>
                <w:rFonts w:ascii="Arial" w:hAnsi="Arial" w:cs="Arial"/>
                <w:sz w:val="18"/>
                <w:szCs w:val="18"/>
              </w:rPr>
            </w:pPr>
            <w:r>
              <w:rPr>
                <w:rFonts w:ascii="Arial" w:hAnsi="Arial" w:cs="Arial"/>
                <w:sz w:val="18"/>
                <w:szCs w:val="18"/>
              </w:rPr>
              <w:t>34</w:t>
            </w:r>
          </w:p>
        </w:tc>
        <w:tc>
          <w:tcPr>
            <w:tcW w:w="540" w:type="dxa"/>
            <w:shd w:val="clear" w:color="auto" w:fill="auto"/>
            <w:vAlign w:val="bottom"/>
          </w:tcPr>
          <w:p w14:paraId="6FB213C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DAE5294"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43A2A6BF"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51E3C2F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29BAF51E" w14:textId="3D4C72B1"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51AE84E6" w14:textId="77777777" w:rsidTr="00A732E0">
        <w:trPr>
          <w:cantSplit/>
          <w:trHeight w:val="255"/>
        </w:trPr>
        <w:tc>
          <w:tcPr>
            <w:tcW w:w="450" w:type="dxa"/>
            <w:vAlign w:val="bottom"/>
          </w:tcPr>
          <w:p w14:paraId="1415942E" w14:textId="77777777" w:rsidR="008A701E" w:rsidRPr="006A2781" w:rsidRDefault="008A701E" w:rsidP="008A701E">
            <w:pPr>
              <w:jc w:val="center"/>
              <w:rPr>
                <w:rFonts w:ascii="Arial" w:hAnsi="Arial" w:cs="Arial"/>
                <w:sz w:val="18"/>
                <w:szCs w:val="18"/>
              </w:rPr>
            </w:pPr>
            <w:r>
              <w:rPr>
                <w:rFonts w:ascii="Arial" w:hAnsi="Arial" w:cs="Arial"/>
                <w:sz w:val="18"/>
                <w:szCs w:val="18"/>
              </w:rPr>
              <w:t>35</w:t>
            </w:r>
          </w:p>
        </w:tc>
        <w:tc>
          <w:tcPr>
            <w:tcW w:w="540" w:type="dxa"/>
            <w:shd w:val="clear" w:color="auto" w:fill="auto"/>
            <w:vAlign w:val="bottom"/>
          </w:tcPr>
          <w:p w14:paraId="1AE2570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78311808"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0E73D41C" w14:textId="77777777" w:rsidR="008A701E" w:rsidRPr="006A2781" w:rsidRDefault="008A701E" w:rsidP="008A701E">
            <w:pPr>
              <w:rPr>
                <w:rFonts w:ascii="Arial" w:hAnsi="Arial" w:cs="Arial"/>
                <w:sz w:val="18"/>
                <w:szCs w:val="18"/>
              </w:rPr>
            </w:pPr>
            <w:r w:rsidRPr="006A2781">
              <w:rPr>
                <w:rFonts w:ascii="Arial" w:hAnsi="Arial" w:cs="Arial"/>
                <w:sz w:val="18"/>
                <w:szCs w:val="18"/>
              </w:rPr>
              <w:t>Maintain Assignment</w:t>
            </w:r>
          </w:p>
        </w:tc>
        <w:tc>
          <w:tcPr>
            <w:tcW w:w="1530" w:type="dxa"/>
            <w:shd w:val="clear" w:color="auto" w:fill="auto"/>
            <w:noWrap/>
            <w:vAlign w:val="bottom"/>
          </w:tcPr>
          <w:p w14:paraId="0C9CEA8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7ADED56C" w14:textId="77777777" w:rsidR="008A701E" w:rsidRPr="006A2781" w:rsidRDefault="008A701E" w:rsidP="008A701E">
            <w:pPr>
              <w:rPr>
                <w:rFonts w:ascii="Arial" w:hAnsi="Arial" w:cs="Arial"/>
                <w:sz w:val="18"/>
                <w:szCs w:val="18"/>
              </w:rPr>
            </w:pPr>
            <w:r w:rsidRPr="006A2781">
              <w:rPr>
                <w:rFonts w:ascii="Arial" w:hAnsi="Arial" w:cs="Arial"/>
                <w:sz w:val="18"/>
                <w:szCs w:val="18"/>
              </w:rPr>
              <w:t>RS-target (when processing in batch, multiple messages are sent)</w:t>
            </w:r>
          </w:p>
        </w:tc>
      </w:tr>
      <w:tr w:rsidR="008A701E" w:rsidRPr="006A2781" w14:paraId="6AC7A0CA" w14:textId="77777777" w:rsidTr="00A732E0">
        <w:trPr>
          <w:cantSplit/>
          <w:trHeight w:val="255"/>
        </w:trPr>
        <w:tc>
          <w:tcPr>
            <w:tcW w:w="450" w:type="dxa"/>
            <w:vAlign w:val="bottom"/>
          </w:tcPr>
          <w:p w14:paraId="2F2D3E5A" w14:textId="77777777" w:rsidR="008A701E" w:rsidRPr="006A2781" w:rsidRDefault="008A701E" w:rsidP="008A701E">
            <w:pPr>
              <w:jc w:val="center"/>
              <w:rPr>
                <w:rFonts w:ascii="Arial" w:hAnsi="Arial" w:cs="Arial"/>
                <w:sz w:val="18"/>
                <w:szCs w:val="18"/>
              </w:rPr>
            </w:pPr>
            <w:r>
              <w:rPr>
                <w:rFonts w:ascii="Arial" w:hAnsi="Arial" w:cs="Arial"/>
                <w:sz w:val="18"/>
                <w:szCs w:val="18"/>
              </w:rPr>
              <w:t>36</w:t>
            </w:r>
          </w:p>
        </w:tc>
        <w:tc>
          <w:tcPr>
            <w:tcW w:w="540" w:type="dxa"/>
            <w:shd w:val="clear" w:color="auto" w:fill="auto"/>
            <w:vAlign w:val="bottom"/>
          </w:tcPr>
          <w:p w14:paraId="75BDD18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0E1BB875"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58800B96"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4349645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M</w:t>
            </w:r>
          </w:p>
        </w:tc>
        <w:tc>
          <w:tcPr>
            <w:tcW w:w="2070" w:type="dxa"/>
            <w:shd w:val="clear" w:color="auto" w:fill="auto"/>
            <w:noWrap/>
            <w:vAlign w:val="bottom"/>
          </w:tcPr>
          <w:p w14:paraId="719B3831" w14:textId="094A4554" w:rsidR="008A701E" w:rsidRPr="006A2781" w:rsidRDefault="008A701E" w:rsidP="008A701E">
            <w:pPr>
              <w:rPr>
                <w:rFonts w:ascii="Arial" w:hAnsi="Arial" w:cs="Arial"/>
                <w:sz w:val="18"/>
                <w:szCs w:val="18"/>
              </w:rPr>
            </w:pPr>
            <w:r w:rsidRPr="006A2781">
              <w:rPr>
                <w:rFonts w:ascii="Arial" w:hAnsi="Arial" w:cs="Arial"/>
                <w:sz w:val="18"/>
                <w:szCs w:val="18"/>
              </w:rPr>
              <w:t>RE-</w:t>
            </w:r>
            <w:r w:rsidR="00AE3B37" w:rsidRPr="006A2781">
              <w:rPr>
                <w:rFonts w:ascii="Arial" w:hAnsi="Arial" w:cs="Arial"/>
                <w:sz w:val="18"/>
                <w:szCs w:val="18"/>
              </w:rPr>
              <w:t>original (</w:t>
            </w:r>
            <w:r w:rsidRPr="006A2781">
              <w:rPr>
                <w:rFonts w:ascii="Arial" w:hAnsi="Arial" w:cs="Arial"/>
                <w:sz w:val="18"/>
                <w:szCs w:val="18"/>
              </w:rPr>
              <w:t>when processing in batch, multiple messages are sent)</w:t>
            </w:r>
          </w:p>
        </w:tc>
      </w:tr>
      <w:tr w:rsidR="008A701E" w:rsidRPr="006A2781" w14:paraId="1CF91A4E" w14:textId="77777777" w:rsidTr="00A732E0">
        <w:trPr>
          <w:cantSplit/>
          <w:trHeight w:val="255"/>
        </w:trPr>
        <w:tc>
          <w:tcPr>
            <w:tcW w:w="450" w:type="dxa"/>
            <w:vAlign w:val="bottom"/>
          </w:tcPr>
          <w:p w14:paraId="0770624B" w14:textId="77777777" w:rsidR="008A701E" w:rsidRPr="006A2781" w:rsidRDefault="008A701E" w:rsidP="008A701E">
            <w:pPr>
              <w:jc w:val="center"/>
              <w:rPr>
                <w:rFonts w:ascii="Arial" w:hAnsi="Arial" w:cs="Arial"/>
                <w:sz w:val="18"/>
                <w:szCs w:val="18"/>
              </w:rPr>
            </w:pPr>
            <w:r>
              <w:rPr>
                <w:rFonts w:ascii="Arial" w:hAnsi="Arial" w:cs="Arial"/>
                <w:sz w:val="18"/>
                <w:szCs w:val="18"/>
              </w:rPr>
              <w:t>37</w:t>
            </w:r>
          </w:p>
        </w:tc>
        <w:tc>
          <w:tcPr>
            <w:tcW w:w="540" w:type="dxa"/>
            <w:shd w:val="clear" w:color="auto" w:fill="auto"/>
            <w:vAlign w:val="bottom"/>
          </w:tcPr>
          <w:p w14:paraId="7D7782E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6CE6BA54" w14:textId="77777777" w:rsidR="008A701E" w:rsidRPr="006A2781" w:rsidRDefault="008A701E" w:rsidP="008A701E">
            <w:pPr>
              <w:rPr>
                <w:rFonts w:ascii="Arial" w:hAnsi="Arial" w:cs="Arial"/>
                <w:sz w:val="18"/>
                <w:szCs w:val="18"/>
              </w:rPr>
            </w:pPr>
            <w:r>
              <w:rPr>
                <w:rFonts w:ascii="Arial" w:hAnsi="Arial" w:cs="Arial"/>
                <w:sz w:val="18"/>
                <w:szCs w:val="18"/>
              </w:rPr>
              <w:t>Modify Units</w:t>
            </w:r>
          </w:p>
        </w:tc>
        <w:tc>
          <w:tcPr>
            <w:tcW w:w="3060" w:type="dxa"/>
            <w:shd w:val="clear" w:color="auto" w:fill="auto"/>
            <w:noWrap/>
            <w:vAlign w:val="bottom"/>
          </w:tcPr>
          <w:p w14:paraId="6A8708A5" w14:textId="77777777" w:rsidR="008A701E" w:rsidRPr="006A2781" w:rsidRDefault="008A701E" w:rsidP="008A701E">
            <w:pPr>
              <w:rPr>
                <w:rFonts w:ascii="Arial" w:hAnsi="Arial" w:cs="Arial"/>
                <w:sz w:val="18"/>
                <w:szCs w:val="18"/>
              </w:rPr>
            </w:pPr>
            <w:r w:rsidRPr="006A2781">
              <w:rPr>
                <w:rFonts w:ascii="Arial" w:hAnsi="Arial" w:cs="Arial"/>
                <w:sz w:val="18"/>
                <w:szCs w:val="18"/>
              </w:rPr>
              <w:t>Release Assignment</w:t>
            </w:r>
          </w:p>
        </w:tc>
        <w:tc>
          <w:tcPr>
            <w:tcW w:w="1530" w:type="dxa"/>
            <w:shd w:val="clear" w:color="auto" w:fill="auto"/>
            <w:noWrap/>
            <w:vAlign w:val="bottom"/>
          </w:tcPr>
          <w:p w14:paraId="5963A3F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5E953402" w14:textId="77777777" w:rsidR="008A701E" w:rsidRPr="006A2781" w:rsidRDefault="008A701E" w:rsidP="008A701E">
            <w:pPr>
              <w:rPr>
                <w:rFonts w:ascii="Arial" w:hAnsi="Arial" w:cs="Arial"/>
                <w:sz w:val="18"/>
                <w:szCs w:val="18"/>
              </w:rPr>
            </w:pPr>
            <w:r w:rsidRPr="006A2781">
              <w:rPr>
                <w:rFonts w:ascii="Arial" w:hAnsi="Arial" w:cs="Arial"/>
                <w:sz w:val="18"/>
                <w:szCs w:val="18"/>
              </w:rPr>
              <w:t>Target, no message sent</w:t>
            </w:r>
          </w:p>
        </w:tc>
      </w:tr>
      <w:tr w:rsidR="008A701E" w:rsidRPr="006A2781" w14:paraId="28FCA43B" w14:textId="77777777" w:rsidTr="00A732E0">
        <w:trPr>
          <w:cantSplit/>
          <w:trHeight w:val="255"/>
        </w:trPr>
        <w:tc>
          <w:tcPr>
            <w:tcW w:w="450" w:type="dxa"/>
            <w:vAlign w:val="bottom"/>
          </w:tcPr>
          <w:p w14:paraId="1B72D331" w14:textId="77777777" w:rsidR="008A701E" w:rsidRPr="006A2781" w:rsidRDefault="008A701E" w:rsidP="008A701E">
            <w:pPr>
              <w:jc w:val="center"/>
              <w:rPr>
                <w:rFonts w:ascii="Arial" w:hAnsi="Arial" w:cs="Arial"/>
                <w:sz w:val="18"/>
                <w:szCs w:val="18"/>
              </w:rPr>
            </w:pPr>
            <w:r>
              <w:rPr>
                <w:rFonts w:ascii="Arial" w:hAnsi="Arial" w:cs="Arial"/>
                <w:sz w:val="18"/>
                <w:szCs w:val="18"/>
              </w:rPr>
              <w:t>38</w:t>
            </w:r>
          </w:p>
        </w:tc>
        <w:tc>
          <w:tcPr>
            <w:tcW w:w="540" w:type="dxa"/>
            <w:vAlign w:val="bottom"/>
          </w:tcPr>
          <w:p w14:paraId="1F1CC2C3"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2D688304"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1D76F191" w14:textId="77777777" w:rsidR="008A701E" w:rsidRPr="006A2781" w:rsidRDefault="008A701E" w:rsidP="008A701E">
            <w:pPr>
              <w:rPr>
                <w:rFonts w:ascii="Arial" w:hAnsi="Arial" w:cs="Arial"/>
                <w:sz w:val="18"/>
                <w:szCs w:val="18"/>
              </w:rPr>
            </w:pPr>
            <w:r w:rsidRPr="006A2781">
              <w:rPr>
                <w:rFonts w:ascii="Arial" w:hAnsi="Arial" w:cs="Arial"/>
                <w:sz w:val="18"/>
                <w:szCs w:val="18"/>
              </w:rPr>
              <w:t>Discarded or Wasted</w:t>
            </w:r>
          </w:p>
        </w:tc>
        <w:tc>
          <w:tcPr>
            <w:tcW w:w="1530" w:type="dxa"/>
            <w:shd w:val="clear" w:color="auto" w:fill="auto"/>
            <w:noWrap/>
            <w:vAlign w:val="bottom"/>
          </w:tcPr>
          <w:p w14:paraId="771E1B9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2070" w:type="dxa"/>
            <w:shd w:val="clear" w:color="auto" w:fill="auto"/>
            <w:noWrap/>
            <w:vAlign w:val="bottom"/>
          </w:tcPr>
          <w:p w14:paraId="591580D7"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4465CBB" w14:textId="77777777" w:rsidTr="00A732E0">
        <w:trPr>
          <w:cantSplit/>
          <w:trHeight w:val="255"/>
        </w:trPr>
        <w:tc>
          <w:tcPr>
            <w:tcW w:w="450" w:type="dxa"/>
            <w:vAlign w:val="bottom"/>
          </w:tcPr>
          <w:p w14:paraId="7F352307" w14:textId="77777777" w:rsidR="008A701E" w:rsidRPr="006A2781" w:rsidRDefault="008A701E" w:rsidP="008A701E">
            <w:pPr>
              <w:jc w:val="center"/>
              <w:rPr>
                <w:rFonts w:ascii="Arial" w:hAnsi="Arial" w:cs="Arial"/>
                <w:sz w:val="18"/>
                <w:szCs w:val="18"/>
              </w:rPr>
            </w:pPr>
            <w:r>
              <w:rPr>
                <w:rFonts w:ascii="Arial" w:hAnsi="Arial" w:cs="Arial"/>
                <w:sz w:val="18"/>
                <w:szCs w:val="18"/>
              </w:rPr>
              <w:t>39</w:t>
            </w:r>
          </w:p>
        </w:tc>
        <w:tc>
          <w:tcPr>
            <w:tcW w:w="540" w:type="dxa"/>
            <w:vAlign w:val="bottom"/>
          </w:tcPr>
          <w:p w14:paraId="348DBB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3C5396E1"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6DCFF92C" w14:textId="77777777" w:rsidR="008A701E" w:rsidRPr="006A2781" w:rsidRDefault="008A701E" w:rsidP="008A701E">
            <w:pPr>
              <w:rPr>
                <w:rFonts w:ascii="Arial" w:hAnsi="Arial" w:cs="Arial"/>
                <w:sz w:val="18"/>
                <w:szCs w:val="18"/>
              </w:rPr>
            </w:pPr>
            <w:r w:rsidRPr="006A2781">
              <w:rPr>
                <w:rFonts w:ascii="Arial" w:hAnsi="Arial" w:cs="Arial"/>
                <w:sz w:val="18"/>
                <w:szCs w:val="18"/>
              </w:rPr>
              <w:t>Discarded or Wasted</w:t>
            </w:r>
          </w:p>
        </w:tc>
        <w:tc>
          <w:tcPr>
            <w:tcW w:w="1530" w:type="dxa"/>
            <w:shd w:val="clear" w:color="auto" w:fill="auto"/>
            <w:noWrap/>
            <w:vAlign w:val="bottom"/>
          </w:tcPr>
          <w:p w14:paraId="5E96F91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D</w:t>
            </w:r>
          </w:p>
        </w:tc>
        <w:tc>
          <w:tcPr>
            <w:tcW w:w="2070" w:type="dxa"/>
            <w:shd w:val="clear" w:color="auto" w:fill="auto"/>
            <w:noWrap/>
            <w:vAlign w:val="bottom"/>
          </w:tcPr>
          <w:p w14:paraId="60DF5ED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096D5E7C" w14:textId="77777777" w:rsidTr="00A732E0">
        <w:trPr>
          <w:cantSplit/>
          <w:trHeight w:val="255"/>
        </w:trPr>
        <w:tc>
          <w:tcPr>
            <w:tcW w:w="450" w:type="dxa"/>
            <w:vAlign w:val="bottom"/>
          </w:tcPr>
          <w:p w14:paraId="4A607116" w14:textId="77777777" w:rsidR="008A701E" w:rsidRPr="006A2781" w:rsidRDefault="008A701E" w:rsidP="008A701E">
            <w:pPr>
              <w:jc w:val="center"/>
              <w:rPr>
                <w:rFonts w:ascii="Arial" w:hAnsi="Arial" w:cs="Arial"/>
                <w:sz w:val="18"/>
                <w:szCs w:val="18"/>
              </w:rPr>
            </w:pPr>
            <w:r>
              <w:rPr>
                <w:rFonts w:ascii="Arial" w:hAnsi="Arial" w:cs="Arial"/>
                <w:sz w:val="18"/>
                <w:szCs w:val="18"/>
              </w:rPr>
              <w:t>40</w:t>
            </w:r>
          </w:p>
        </w:tc>
        <w:tc>
          <w:tcPr>
            <w:tcW w:w="540" w:type="dxa"/>
            <w:vAlign w:val="bottom"/>
          </w:tcPr>
          <w:p w14:paraId="70DF3C4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3F1816C2"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1A2DD557" w14:textId="77777777" w:rsidR="008A701E" w:rsidRPr="00C821F1" w:rsidRDefault="008A701E" w:rsidP="008A701E">
            <w:pPr>
              <w:rPr>
                <w:rFonts w:ascii="Arial" w:hAnsi="Arial" w:cs="Arial"/>
                <w:sz w:val="18"/>
                <w:szCs w:val="18"/>
              </w:rPr>
            </w:pPr>
            <w:r w:rsidRPr="00C821F1">
              <w:rPr>
                <w:rFonts w:ascii="Arial" w:hAnsi="Arial" w:cs="Arial"/>
                <w:sz w:val="18"/>
                <w:szCs w:val="18"/>
              </w:rPr>
              <w:t>Quarantine</w:t>
            </w:r>
          </w:p>
        </w:tc>
        <w:tc>
          <w:tcPr>
            <w:tcW w:w="1530" w:type="dxa"/>
            <w:shd w:val="clear" w:color="auto" w:fill="auto"/>
            <w:noWrap/>
            <w:vAlign w:val="bottom"/>
          </w:tcPr>
          <w:p w14:paraId="6B5E1B4E"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144A8217"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20E19C44" w14:textId="77777777" w:rsidTr="00A732E0">
        <w:trPr>
          <w:cantSplit/>
          <w:trHeight w:val="255"/>
        </w:trPr>
        <w:tc>
          <w:tcPr>
            <w:tcW w:w="450" w:type="dxa"/>
            <w:vAlign w:val="bottom"/>
          </w:tcPr>
          <w:p w14:paraId="43CE8261" w14:textId="77777777" w:rsidR="008A701E" w:rsidRPr="006A2781" w:rsidRDefault="008A701E" w:rsidP="008A701E">
            <w:pPr>
              <w:jc w:val="center"/>
              <w:rPr>
                <w:rFonts w:ascii="Arial" w:hAnsi="Arial" w:cs="Arial"/>
                <w:sz w:val="18"/>
                <w:szCs w:val="18"/>
              </w:rPr>
            </w:pPr>
            <w:r>
              <w:rPr>
                <w:rFonts w:ascii="Arial" w:hAnsi="Arial" w:cs="Arial"/>
                <w:sz w:val="18"/>
                <w:szCs w:val="18"/>
              </w:rPr>
              <w:t>41</w:t>
            </w:r>
          </w:p>
        </w:tc>
        <w:tc>
          <w:tcPr>
            <w:tcW w:w="540" w:type="dxa"/>
            <w:vAlign w:val="bottom"/>
          </w:tcPr>
          <w:p w14:paraId="646C9A1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355FDF1D" w14:textId="77777777" w:rsidR="008A701E" w:rsidRPr="006A2781" w:rsidRDefault="008A701E" w:rsidP="008A701E">
            <w:pPr>
              <w:rPr>
                <w:rFonts w:ascii="Arial" w:hAnsi="Arial" w:cs="Arial"/>
                <w:sz w:val="18"/>
                <w:szCs w:val="18"/>
              </w:rPr>
            </w:pPr>
            <w:r>
              <w:rPr>
                <w:rFonts w:ascii="Arial" w:hAnsi="Arial" w:cs="Arial"/>
                <w:sz w:val="18"/>
                <w:szCs w:val="18"/>
              </w:rPr>
              <w:t>Discard or Quarantine Unit</w:t>
            </w:r>
          </w:p>
        </w:tc>
        <w:tc>
          <w:tcPr>
            <w:tcW w:w="3060" w:type="dxa"/>
            <w:shd w:val="clear" w:color="auto" w:fill="auto"/>
            <w:noWrap/>
            <w:vAlign w:val="bottom"/>
          </w:tcPr>
          <w:p w14:paraId="39FF19F3" w14:textId="77777777" w:rsidR="008A701E" w:rsidRPr="00C821F1" w:rsidRDefault="008A701E" w:rsidP="008A701E">
            <w:pPr>
              <w:rPr>
                <w:rFonts w:ascii="Arial" w:hAnsi="Arial" w:cs="Arial"/>
                <w:sz w:val="18"/>
                <w:szCs w:val="18"/>
              </w:rPr>
            </w:pPr>
            <w:r w:rsidRPr="00C821F1">
              <w:rPr>
                <w:rFonts w:ascii="Arial" w:hAnsi="Arial" w:cs="Arial"/>
                <w:sz w:val="18"/>
                <w:szCs w:val="18"/>
              </w:rPr>
              <w:t>Quarantine</w:t>
            </w:r>
          </w:p>
        </w:tc>
        <w:tc>
          <w:tcPr>
            <w:tcW w:w="1530" w:type="dxa"/>
            <w:shd w:val="clear" w:color="auto" w:fill="auto"/>
            <w:noWrap/>
            <w:vAlign w:val="bottom"/>
          </w:tcPr>
          <w:p w14:paraId="0A9364E2"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5391F144"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081DE2C0" w14:textId="77777777" w:rsidTr="00A732E0">
        <w:trPr>
          <w:cantSplit/>
          <w:trHeight w:val="255"/>
        </w:trPr>
        <w:tc>
          <w:tcPr>
            <w:tcW w:w="450" w:type="dxa"/>
            <w:vAlign w:val="bottom"/>
          </w:tcPr>
          <w:p w14:paraId="0A349906" w14:textId="77777777" w:rsidR="008A701E" w:rsidRPr="006A2781" w:rsidRDefault="008A701E" w:rsidP="008A701E">
            <w:pPr>
              <w:jc w:val="center"/>
              <w:rPr>
                <w:rFonts w:ascii="Arial" w:hAnsi="Arial" w:cs="Arial"/>
                <w:sz w:val="18"/>
                <w:szCs w:val="18"/>
              </w:rPr>
            </w:pPr>
            <w:r>
              <w:rPr>
                <w:rFonts w:ascii="Arial" w:hAnsi="Arial" w:cs="Arial"/>
                <w:sz w:val="18"/>
                <w:szCs w:val="18"/>
              </w:rPr>
              <w:t>42</w:t>
            </w:r>
          </w:p>
        </w:tc>
        <w:tc>
          <w:tcPr>
            <w:tcW w:w="540" w:type="dxa"/>
            <w:vAlign w:val="bottom"/>
          </w:tcPr>
          <w:p w14:paraId="1EDF372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4528616"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1CEEF46D" w14:textId="7FA9FD2E" w:rsidR="008A701E" w:rsidRPr="00C821F1" w:rsidRDefault="008A701E" w:rsidP="008A701E">
            <w:pPr>
              <w:rPr>
                <w:rFonts w:ascii="Arial" w:hAnsi="Arial" w:cs="Arial"/>
                <w:sz w:val="18"/>
                <w:szCs w:val="18"/>
              </w:rPr>
            </w:pPr>
            <w:r w:rsidRPr="00C821F1">
              <w:rPr>
                <w:rFonts w:ascii="Arial" w:hAnsi="Arial" w:cs="Arial"/>
                <w:sz w:val="18"/>
                <w:szCs w:val="18"/>
              </w:rPr>
              <w:t xml:space="preserve">Compatible </w:t>
            </w:r>
            <w:r w:rsidR="00AE3B37" w:rsidRPr="00C821F1">
              <w:rPr>
                <w:rFonts w:ascii="Arial" w:hAnsi="Arial" w:cs="Arial"/>
                <w:sz w:val="18"/>
                <w:szCs w:val="18"/>
              </w:rPr>
              <w:t>(C</w:t>
            </w:r>
            <w:r w:rsidRPr="00C821F1">
              <w:rPr>
                <w:rFonts w:ascii="Arial" w:hAnsi="Arial" w:cs="Arial"/>
                <w:sz w:val="18"/>
                <w:szCs w:val="18"/>
              </w:rPr>
              <w:t>)</w:t>
            </w:r>
          </w:p>
        </w:tc>
        <w:tc>
          <w:tcPr>
            <w:tcW w:w="1530" w:type="dxa"/>
            <w:shd w:val="clear" w:color="auto" w:fill="auto"/>
            <w:noWrap/>
            <w:vAlign w:val="bottom"/>
          </w:tcPr>
          <w:p w14:paraId="1623CBF2"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C</w:t>
            </w:r>
          </w:p>
        </w:tc>
        <w:tc>
          <w:tcPr>
            <w:tcW w:w="2070" w:type="dxa"/>
            <w:shd w:val="clear" w:color="auto" w:fill="auto"/>
            <w:noWrap/>
            <w:vAlign w:val="bottom"/>
          </w:tcPr>
          <w:p w14:paraId="7653CE4A" w14:textId="77777777" w:rsidR="008A701E" w:rsidRPr="00C821F1" w:rsidRDefault="008A701E" w:rsidP="008A701E">
            <w:pPr>
              <w:rPr>
                <w:rFonts w:ascii="Arial" w:hAnsi="Arial" w:cs="Arial"/>
                <w:sz w:val="18"/>
                <w:szCs w:val="18"/>
              </w:rPr>
            </w:pPr>
            <w:r w:rsidRPr="00C821F1">
              <w:rPr>
                <w:rFonts w:ascii="Arial" w:hAnsi="Arial" w:cs="Arial"/>
                <w:sz w:val="18"/>
                <w:szCs w:val="18"/>
              </w:rPr>
              <w:t>No message is sent</w:t>
            </w:r>
          </w:p>
        </w:tc>
      </w:tr>
      <w:tr w:rsidR="008A701E" w:rsidRPr="006A2781" w14:paraId="32BFA6A1" w14:textId="77777777" w:rsidTr="00A732E0">
        <w:trPr>
          <w:cantSplit/>
          <w:trHeight w:val="255"/>
        </w:trPr>
        <w:tc>
          <w:tcPr>
            <w:tcW w:w="450" w:type="dxa"/>
            <w:vAlign w:val="bottom"/>
          </w:tcPr>
          <w:p w14:paraId="7D908895" w14:textId="77777777" w:rsidR="008A701E" w:rsidRPr="006A2781" w:rsidRDefault="008A701E" w:rsidP="008A701E">
            <w:pPr>
              <w:jc w:val="center"/>
              <w:rPr>
                <w:rFonts w:ascii="Arial" w:hAnsi="Arial" w:cs="Arial"/>
                <w:sz w:val="18"/>
                <w:szCs w:val="18"/>
              </w:rPr>
            </w:pPr>
            <w:r>
              <w:rPr>
                <w:rFonts w:ascii="Arial" w:hAnsi="Arial" w:cs="Arial"/>
                <w:sz w:val="18"/>
                <w:szCs w:val="18"/>
              </w:rPr>
              <w:t>43</w:t>
            </w:r>
          </w:p>
        </w:tc>
        <w:tc>
          <w:tcPr>
            <w:tcW w:w="540" w:type="dxa"/>
            <w:vAlign w:val="bottom"/>
          </w:tcPr>
          <w:p w14:paraId="2CD4BC1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8413AF0"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797EEEF0" w14:textId="77777777" w:rsidR="008A701E" w:rsidRPr="00C821F1" w:rsidRDefault="008A701E" w:rsidP="008A701E">
            <w:pPr>
              <w:rPr>
                <w:rFonts w:ascii="Arial" w:hAnsi="Arial" w:cs="Arial"/>
                <w:sz w:val="18"/>
                <w:szCs w:val="18"/>
              </w:rPr>
            </w:pPr>
            <w:r w:rsidRPr="00C821F1">
              <w:rPr>
                <w:rFonts w:ascii="Arial" w:hAnsi="Arial" w:cs="Arial"/>
                <w:sz w:val="18"/>
                <w:szCs w:val="18"/>
              </w:rPr>
              <w:t>Incompatible (I)</w:t>
            </w:r>
          </w:p>
        </w:tc>
        <w:tc>
          <w:tcPr>
            <w:tcW w:w="1530" w:type="dxa"/>
            <w:shd w:val="clear" w:color="auto" w:fill="auto"/>
            <w:noWrap/>
            <w:vAlign w:val="bottom"/>
          </w:tcPr>
          <w:p w14:paraId="15A160CE"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6B0B7CCD"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2CBCE35A" w14:textId="77777777" w:rsidTr="00A732E0">
        <w:trPr>
          <w:cantSplit/>
          <w:trHeight w:val="255"/>
        </w:trPr>
        <w:tc>
          <w:tcPr>
            <w:tcW w:w="450" w:type="dxa"/>
            <w:vAlign w:val="bottom"/>
          </w:tcPr>
          <w:p w14:paraId="7D684687" w14:textId="77777777" w:rsidR="008A701E" w:rsidRPr="006A2781" w:rsidRDefault="008A701E" w:rsidP="008A701E">
            <w:pPr>
              <w:jc w:val="center"/>
              <w:rPr>
                <w:rFonts w:ascii="Arial" w:hAnsi="Arial" w:cs="Arial"/>
                <w:sz w:val="18"/>
                <w:szCs w:val="18"/>
              </w:rPr>
            </w:pPr>
            <w:r>
              <w:rPr>
                <w:rFonts w:ascii="Arial" w:hAnsi="Arial" w:cs="Arial"/>
                <w:sz w:val="18"/>
                <w:szCs w:val="18"/>
              </w:rPr>
              <w:t>44</w:t>
            </w:r>
          </w:p>
        </w:tc>
        <w:tc>
          <w:tcPr>
            <w:tcW w:w="540" w:type="dxa"/>
            <w:vAlign w:val="bottom"/>
          </w:tcPr>
          <w:p w14:paraId="246693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0E2D6D9B"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7FD2801D" w14:textId="77777777" w:rsidR="008A701E" w:rsidRPr="00C821F1" w:rsidRDefault="008A701E" w:rsidP="008A701E">
            <w:pPr>
              <w:rPr>
                <w:rFonts w:ascii="Arial" w:hAnsi="Arial" w:cs="Arial"/>
                <w:sz w:val="18"/>
                <w:szCs w:val="18"/>
              </w:rPr>
            </w:pPr>
            <w:r w:rsidRPr="00C821F1">
              <w:rPr>
                <w:rFonts w:ascii="Arial" w:hAnsi="Arial" w:cs="Arial"/>
                <w:bCs/>
                <w:sz w:val="18"/>
                <w:szCs w:val="18"/>
              </w:rPr>
              <w:t xml:space="preserve">Crossmatch Compatible: Don’t Transfuse </w:t>
            </w:r>
            <w:r w:rsidRPr="00C821F1">
              <w:rPr>
                <w:rFonts w:ascii="Arial" w:hAnsi="Arial" w:cs="Arial"/>
                <w:sz w:val="18"/>
                <w:szCs w:val="18"/>
              </w:rPr>
              <w:t xml:space="preserve">(D) </w:t>
            </w:r>
          </w:p>
        </w:tc>
        <w:tc>
          <w:tcPr>
            <w:tcW w:w="1530" w:type="dxa"/>
            <w:shd w:val="clear" w:color="auto" w:fill="auto"/>
            <w:noWrap/>
            <w:vAlign w:val="bottom"/>
          </w:tcPr>
          <w:p w14:paraId="4989CA33"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A</w:t>
            </w:r>
          </w:p>
        </w:tc>
        <w:tc>
          <w:tcPr>
            <w:tcW w:w="2070" w:type="dxa"/>
            <w:shd w:val="clear" w:color="auto" w:fill="auto"/>
            <w:noWrap/>
            <w:vAlign w:val="bottom"/>
          </w:tcPr>
          <w:p w14:paraId="461EF57F" w14:textId="77777777" w:rsidR="008A701E" w:rsidRPr="00C821F1" w:rsidRDefault="008A701E" w:rsidP="008A701E">
            <w:pPr>
              <w:rPr>
                <w:rFonts w:ascii="Arial" w:hAnsi="Arial" w:cs="Arial"/>
                <w:sz w:val="18"/>
                <w:szCs w:val="18"/>
              </w:rPr>
            </w:pPr>
            <w:r w:rsidRPr="00C821F1">
              <w:rPr>
                <w:rFonts w:ascii="Arial" w:hAnsi="Arial" w:cs="Arial"/>
                <w:sz w:val="18"/>
                <w:szCs w:val="18"/>
              </w:rPr>
              <w:t>RE</w:t>
            </w:r>
          </w:p>
        </w:tc>
      </w:tr>
      <w:tr w:rsidR="008A701E" w:rsidRPr="006A2781" w14:paraId="4DC85287" w14:textId="77777777" w:rsidTr="00A732E0">
        <w:trPr>
          <w:cantSplit/>
          <w:trHeight w:val="255"/>
        </w:trPr>
        <w:tc>
          <w:tcPr>
            <w:tcW w:w="450" w:type="dxa"/>
            <w:vAlign w:val="bottom"/>
          </w:tcPr>
          <w:p w14:paraId="656AC1D8" w14:textId="77777777" w:rsidR="008A701E" w:rsidRPr="006A2781" w:rsidRDefault="008A701E" w:rsidP="008A701E">
            <w:pPr>
              <w:jc w:val="center"/>
              <w:rPr>
                <w:rFonts w:ascii="Arial" w:hAnsi="Arial" w:cs="Arial"/>
                <w:sz w:val="18"/>
                <w:szCs w:val="18"/>
              </w:rPr>
            </w:pPr>
            <w:r>
              <w:rPr>
                <w:rFonts w:ascii="Arial" w:hAnsi="Arial" w:cs="Arial"/>
                <w:sz w:val="18"/>
                <w:szCs w:val="18"/>
              </w:rPr>
              <w:t>45</w:t>
            </w:r>
          </w:p>
        </w:tc>
        <w:tc>
          <w:tcPr>
            <w:tcW w:w="540" w:type="dxa"/>
            <w:vAlign w:val="bottom"/>
          </w:tcPr>
          <w:p w14:paraId="4B9B669E"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23BC8B80" w14:textId="77777777" w:rsidR="008A701E" w:rsidRPr="006A2781" w:rsidRDefault="008A701E" w:rsidP="008A701E">
            <w:pPr>
              <w:rPr>
                <w:rFonts w:ascii="Arial" w:hAnsi="Arial" w:cs="Arial"/>
                <w:sz w:val="18"/>
                <w:szCs w:val="18"/>
              </w:rPr>
            </w:pPr>
            <w:r>
              <w:rPr>
                <w:rFonts w:ascii="Arial" w:hAnsi="Arial" w:cs="Arial"/>
                <w:sz w:val="18"/>
                <w:szCs w:val="18"/>
              </w:rPr>
              <w:t xml:space="preserve">Record Testing </w:t>
            </w:r>
            <w:r w:rsidRPr="006A2781">
              <w:rPr>
                <w:rFonts w:ascii="Arial" w:hAnsi="Arial" w:cs="Arial"/>
                <w:sz w:val="18"/>
                <w:szCs w:val="18"/>
              </w:rPr>
              <w:t>when saving</w:t>
            </w:r>
            <w:r>
              <w:rPr>
                <w:rFonts w:ascii="Arial" w:hAnsi="Arial" w:cs="Arial"/>
                <w:sz w:val="18"/>
                <w:szCs w:val="18"/>
              </w:rPr>
              <w:t xml:space="preserve"> Crossmatch Results</w:t>
            </w:r>
          </w:p>
        </w:tc>
        <w:tc>
          <w:tcPr>
            <w:tcW w:w="3060" w:type="dxa"/>
            <w:shd w:val="clear" w:color="auto" w:fill="auto"/>
            <w:noWrap/>
            <w:vAlign w:val="bottom"/>
          </w:tcPr>
          <w:p w14:paraId="134067A6" w14:textId="77777777" w:rsidR="008A701E" w:rsidRPr="00C821F1" w:rsidRDefault="008A701E" w:rsidP="008A701E">
            <w:pPr>
              <w:rPr>
                <w:rFonts w:ascii="Arial" w:hAnsi="Arial" w:cs="Arial"/>
                <w:sz w:val="18"/>
                <w:szCs w:val="18"/>
              </w:rPr>
            </w:pPr>
            <w:r w:rsidRPr="00C821F1">
              <w:rPr>
                <w:rFonts w:ascii="Arial" w:hAnsi="Arial" w:cs="Arial"/>
                <w:sz w:val="18"/>
                <w:szCs w:val="18"/>
              </w:rPr>
              <w:t>Compatible-Give with MD approval (G)</w:t>
            </w:r>
          </w:p>
        </w:tc>
        <w:tc>
          <w:tcPr>
            <w:tcW w:w="1530" w:type="dxa"/>
            <w:shd w:val="clear" w:color="auto" w:fill="auto"/>
            <w:noWrap/>
            <w:vAlign w:val="bottom"/>
          </w:tcPr>
          <w:p w14:paraId="28D4FCFC" w14:textId="77777777" w:rsidR="008A701E" w:rsidRPr="00C821F1" w:rsidRDefault="008A701E" w:rsidP="008A701E">
            <w:pPr>
              <w:jc w:val="center"/>
              <w:rPr>
                <w:rFonts w:ascii="Arial" w:hAnsi="Arial" w:cs="Arial"/>
                <w:sz w:val="18"/>
                <w:szCs w:val="18"/>
              </w:rPr>
            </w:pPr>
            <w:r w:rsidRPr="00C821F1">
              <w:rPr>
                <w:rFonts w:ascii="Arial" w:hAnsi="Arial" w:cs="Arial"/>
                <w:sz w:val="18"/>
                <w:szCs w:val="18"/>
              </w:rPr>
              <w:t>C</w:t>
            </w:r>
          </w:p>
        </w:tc>
        <w:tc>
          <w:tcPr>
            <w:tcW w:w="2070" w:type="dxa"/>
            <w:shd w:val="clear" w:color="auto" w:fill="auto"/>
            <w:noWrap/>
            <w:vAlign w:val="bottom"/>
          </w:tcPr>
          <w:p w14:paraId="0DFA136F" w14:textId="77777777" w:rsidR="008A701E" w:rsidRPr="00C821F1" w:rsidRDefault="008A701E" w:rsidP="008A701E">
            <w:pPr>
              <w:rPr>
                <w:rFonts w:ascii="Arial" w:hAnsi="Arial" w:cs="Arial"/>
                <w:sz w:val="18"/>
                <w:szCs w:val="18"/>
              </w:rPr>
            </w:pPr>
            <w:r w:rsidRPr="00C821F1">
              <w:rPr>
                <w:rFonts w:ascii="Arial" w:hAnsi="Arial" w:cs="Arial"/>
                <w:sz w:val="18"/>
                <w:szCs w:val="18"/>
              </w:rPr>
              <w:t>No message is sent</w:t>
            </w:r>
          </w:p>
        </w:tc>
      </w:tr>
      <w:tr w:rsidR="008A701E" w:rsidRPr="006A2781" w14:paraId="496250EC" w14:textId="77777777" w:rsidTr="00A732E0">
        <w:trPr>
          <w:cantSplit/>
          <w:trHeight w:val="255"/>
        </w:trPr>
        <w:tc>
          <w:tcPr>
            <w:tcW w:w="450" w:type="dxa"/>
            <w:vAlign w:val="bottom"/>
          </w:tcPr>
          <w:p w14:paraId="1912F0A5" w14:textId="77777777" w:rsidR="008A701E" w:rsidRPr="006A2781" w:rsidRDefault="008A701E" w:rsidP="008A701E">
            <w:pPr>
              <w:jc w:val="center"/>
              <w:rPr>
                <w:rFonts w:ascii="Arial" w:hAnsi="Arial" w:cs="Arial"/>
                <w:sz w:val="18"/>
                <w:szCs w:val="18"/>
              </w:rPr>
            </w:pPr>
            <w:r>
              <w:rPr>
                <w:rFonts w:ascii="Arial" w:hAnsi="Arial" w:cs="Arial"/>
                <w:sz w:val="18"/>
                <w:szCs w:val="18"/>
              </w:rPr>
              <w:t>46</w:t>
            </w:r>
          </w:p>
        </w:tc>
        <w:tc>
          <w:tcPr>
            <w:tcW w:w="540" w:type="dxa"/>
            <w:vAlign w:val="bottom"/>
          </w:tcPr>
          <w:p w14:paraId="06A6972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40006E68"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6B986611" w14:textId="77777777" w:rsidR="008A701E" w:rsidRPr="006A2781" w:rsidRDefault="008A701E" w:rsidP="008A701E">
            <w:pPr>
              <w:rPr>
                <w:rFonts w:ascii="Arial" w:hAnsi="Arial" w:cs="Arial"/>
                <w:sz w:val="18"/>
                <w:szCs w:val="18"/>
              </w:rPr>
            </w:pPr>
            <w:r w:rsidRPr="006A2781">
              <w:rPr>
                <w:rFonts w:ascii="Arial" w:hAnsi="Arial" w:cs="Arial"/>
                <w:sz w:val="18"/>
                <w:szCs w:val="18"/>
              </w:rPr>
              <w:t>Unit is antigen positive for a patient's antigen negative requirement</w:t>
            </w:r>
          </w:p>
        </w:tc>
        <w:tc>
          <w:tcPr>
            <w:tcW w:w="1530" w:type="dxa"/>
            <w:shd w:val="clear" w:color="auto" w:fill="auto"/>
            <w:noWrap/>
            <w:vAlign w:val="bottom"/>
          </w:tcPr>
          <w:p w14:paraId="509095A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55CA350F"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w:t>
            </w:r>
          </w:p>
        </w:tc>
      </w:tr>
      <w:tr w:rsidR="008A701E" w:rsidRPr="006A2781" w14:paraId="1136FC17" w14:textId="77777777" w:rsidTr="00A732E0">
        <w:trPr>
          <w:cantSplit/>
          <w:trHeight w:val="255"/>
        </w:trPr>
        <w:tc>
          <w:tcPr>
            <w:tcW w:w="450" w:type="dxa"/>
            <w:vAlign w:val="bottom"/>
          </w:tcPr>
          <w:p w14:paraId="5BC74AB8" w14:textId="77777777" w:rsidR="008A701E" w:rsidRPr="006A2781" w:rsidRDefault="008A701E" w:rsidP="008A701E">
            <w:pPr>
              <w:jc w:val="center"/>
              <w:rPr>
                <w:rFonts w:ascii="Arial" w:hAnsi="Arial" w:cs="Arial"/>
                <w:sz w:val="18"/>
                <w:szCs w:val="18"/>
              </w:rPr>
            </w:pPr>
            <w:r>
              <w:rPr>
                <w:rFonts w:ascii="Arial" w:hAnsi="Arial" w:cs="Arial"/>
                <w:sz w:val="18"/>
                <w:szCs w:val="18"/>
              </w:rPr>
              <w:t>47</w:t>
            </w:r>
          </w:p>
        </w:tc>
        <w:tc>
          <w:tcPr>
            <w:tcW w:w="540" w:type="dxa"/>
            <w:vAlign w:val="bottom"/>
          </w:tcPr>
          <w:p w14:paraId="078A5EA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625DA5B3"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3DAAA1FD" w14:textId="77777777" w:rsidR="008A701E" w:rsidRPr="006A2781" w:rsidRDefault="008A701E" w:rsidP="008A701E">
            <w:pPr>
              <w:rPr>
                <w:rFonts w:ascii="Arial" w:hAnsi="Arial" w:cs="Arial"/>
                <w:sz w:val="18"/>
                <w:szCs w:val="18"/>
              </w:rPr>
            </w:pPr>
            <w:r w:rsidRPr="006A2781">
              <w:rPr>
                <w:rFonts w:ascii="Arial" w:hAnsi="Arial" w:cs="Arial"/>
                <w:sz w:val="18"/>
                <w:szCs w:val="18"/>
              </w:rPr>
              <w:t>Unit is antigen positive for a patient's antigen negative requirement</w:t>
            </w:r>
          </w:p>
        </w:tc>
        <w:tc>
          <w:tcPr>
            <w:tcW w:w="1530" w:type="dxa"/>
            <w:shd w:val="clear" w:color="auto" w:fill="auto"/>
            <w:noWrap/>
            <w:vAlign w:val="bottom"/>
          </w:tcPr>
          <w:p w14:paraId="5615383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071A262B"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w:t>
            </w:r>
          </w:p>
        </w:tc>
      </w:tr>
      <w:tr w:rsidR="008A701E" w:rsidRPr="006A2781" w14:paraId="754FE43A" w14:textId="77777777" w:rsidTr="00A732E0">
        <w:trPr>
          <w:cantSplit/>
          <w:trHeight w:val="255"/>
        </w:trPr>
        <w:tc>
          <w:tcPr>
            <w:tcW w:w="450" w:type="dxa"/>
            <w:vAlign w:val="bottom"/>
          </w:tcPr>
          <w:p w14:paraId="0571C83D" w14:textId="77777777" w:rsidR="008A701E" w:rsidRPr="006A2781" w:rsidRDefault="008A701E" w:rsidP="008A701E">
            <w:pPr>
              <w:jc w:val="center"/>
              <w:rPr>
                <w:rFonts w:ascii="Arial" w:hAnsi="Arial" w:cs="Arial"/>
                <w:sz w:val="18"/>
                <w:szCs w:val="18"/>
              </w:rPr>
            </w:pPr>
            <w:r>
              <w:rPr>
                <w:rFonts w:ascii="Arial" w:hAnsi="Arial" w:cs="Arial"/>
                <w:sz w:val="18"/>
                <w:szCs w:val="18"/>
              </w:rPr>
              <w:t>48</w:t>
            </w:r>
          </w:p>
        </w:tc>
        <w:tc>
          <w:tcPr>
            <w:tcW w:w="540" w:type="dxa"/>
            <w:vAlign w:val="bottom"/>
          </w:tcPr>
          <w:p w14:paraId="791B836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2F8C1B6C"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2D04C964" w14:textId="77777777" w:rsidR="008A701E" w:rsidRPr="006A2781" w:rsidRDefault="008A701E" w:rsidP="008A701E">
            <w:pPr>
              <w:rPr>
                <w:rFonts w:ascii="Arial" w:hAnsi="Arial" w:cs="Arial"/>
                <w:sz w:val="18"/>
                <w:szCs w:val="18"/>
              </w:rPr>
            </w:pPr>
            <w:r w:rsidRPr="006A2781">
              <w:rPr>
                <w:rFonts w:ascii="Arial" w:hAnsi="Arial" w:cs="Arial"/>
                <w:sz w:val="18"/>
                <w:szCs w:val="18"/>
              </w:rPr>
              <w:t>Antigen typing result creates a discrepant antigen typing.</w:t>
            </w:r>
          </w:p>
        </w:tc>
        <w:tc>
          <w:tcPr>
            <w:tcW w:w="1530" w:type="dxa"/>
            <w:shd w:val="clear" w:color="auto" w:fill="auto"/>
            <w:noWrap/>
            <w:vAlign w:val="bottom"/>
          </w:tcPr>
          <w:p w14:paraId="2BAEBBE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696C283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12181156" w14:textId="77777777" w:rsidTr="00A732E0">
        <w:trPr>
          <w:cantSplit/>
          <w:trHeight w:val="255"/>
        </w:trPr>
        <w:tc>
          <w:tcPr>
            <w:tcW w:w="450" w:type="dxa"/>
            <w:vAlign w:val="bottom"/>
          </w:tcPr>
          <w:p w14:paraId="14F376E4" w14:textId="77777777" w:rsidR="008A701E" w:rsidRPr="006A2781" w:rsidRDefault="008A701E" w:rsidP="008A701E">
            <w:pPr>
              <w:jc w:val="center"/>
              <w:rPr>
                <w:rFonts w:ascii="Arial" w:hAnsi="Arial" w:cs="Arial"/>
                <w:sz w:val="18"/>
                <w:szCs w:val="18"/>
              </w:rPr>
            </w:pPr>
            <w:r>
              <w:rPr>
                <w:rFonts w:ascii="Arial" w:hAnsi="Arial" w:cs="Arial"/>
                <w:sz w:val="18"/>
                <w:szCs w:val="18"/>
              </w:rPr>
              <w:t>49</w:t>
            </w:r>
          </w:p>
        </w:tc>
        <w:tc>
          <w:tcPr>
            <w:tcW w:w="540" w:type="dxa"/>
            <w:vAlign w:val="bottom"/>
          </w:tcPr>
          <w:p w14:paraId="5B24B901"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2ADA53B3" w14:textId="77777777" w:rsidR="008A701E" w:rsidRPr="006A2781" w:rsidRDefault="008A701E" w:rsidP="008A701E">
            <w:pPr>
              <w:rPr>
                <w:rFonts w:ascii="Arial" w:hAnsi="Arial" w:cs="Arial"/>
                <w:sz w:val="18"/>
                <w:szCs w:val="18"/>
              </w:rPr>
            </w:pPr>
            <w:r>
              <w:rPr>
                <w:rFonts w:ascii="Arial" w:hAnsi="Arial" w:cs="Arial"/>
                <w:sz w:val="18"/>
                <w:szCs w:val="18"/>
              </w:rPr>
              <w:t>Record Phenotype Results</w:t>
            </w:r>
          </w:p>
        </w:tc>
        <w:tc>
          <w:tcPr>
            <w:tcW w:w="3060" w:type="dxa"/>
            <w:shd w:val="clear" w:color="auto" w:fill="auto"/>
            <w:noWrap/>
            <w:vAlign w:val="bottom"/>
          </w:tcPr>
          <w:p w14:paraId="14C9C8EE" w14:textId="77777777" w:rsidR="008A701E" w:rsidRPr="006A2781" w:rsidRDefault="008A701E" w:rsidP="008A701E">
            <w:pPr>
              <w:rPr>
                <w:rFonts w:ascii="Arial" w:hAnsi="Arial" w:cs="Arial"/>
                <w:sz w:val="18"/>
                <w:szCs w:val="18"/>
              </w:rPr>
            </w:pPr>
            <w:r w:rsidRPr="006A2781">
              <w:rPr>
                <w:rFonts w:ascii="Arial" w:hAnsi="Arial" w:cs="Arial"/>
                <w:sz w:val="18"/>
                <w:szCs w:val="18"/>
              </w:rPr>
              <w:t>Antigen typing result creates a discrepant antigen typing.</w:t>
            </w:r>
          </w:p>
        </w:tc>
        <w:tc>
          <w:tcPr>
            <w:tcW w:w="1530" w:type="dxa"/>
            <w:shd w:val="clear" w:color="auto" w:fill="auto"/>
            <w:noWrap/>
            <w:vAlign w:val="bottom"/>
          </w:tcPr>
          <w:p w14:paraId="1C2E1034"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E306825"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69AFBEC" w14:textId="77777777" w:rsidTr="00A732E0">
        <w:trPr>
          <w:cantSplit/>
          <w:trHeight w:val="255"/>
        </w:trPr>
        <w:tc>
          <w:tcPr>
            <w:tcW w:w="450" w:type="dxa"/>
            <w:vAlign w:val="bottom"/>
          </w:tcPr>
          <w:p w14:paraId="405DC511" w14:textId="77777777" w:rsidR="008A701E" w:rsidRPr="006A2781" w:rsidRDefault="008A701E" w:rsidP="008A701E">
            <w:pPr>
              <w:jc w:val="center"/>
              <w:rPr>
                <w:rFonts w:ascii="Arial" w:hAnsi="Arial" w:cs="Arial"/>
                <w:sz w:val="18"/>
                <w:szCs w:val="18"/>
              </w:rPr>
            </w:pPr>
            <w:r>
              <w:rPr>
                <w:rFonts w:ascii="Arial" w:hAnsi="Arial" w:cs="Arial"/>
                <w:sz w:val="18"/>
                <w:szCs w:val="18"/>
              </w:rPr>
              <w:t>50</w:t>
            </w:r>
          </w:p>
        </w:tc>
        <w:tc>
          <w:tcPr>
            <w:tcW w:w="540" w:type="dxa"/>
            <w:vAlign w:val="bottom"/>
          </w:tcPr>
          <w:p w14:paraId="685DF930"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782D825F" w14:textId="77777777" w:rsidR="008A701E" w:rsidRPr="006A2781" w:rsidRDefault="008A701E" w:rsidP="008A701E">
            <w:pPr>
              <w:rPr>
                <w:rFonts w:ascii="Arial" w:hAnsi="Arial" w:cs="Arial"/>
                <w:sz w:val="18"/>
                <w:szCs w:val="18"/>
              </w:rPr>
            </w:pPr>
            <w:r w:rsidRPr="00A66F9A">
              <w:rPr>
                <w:rFonts w:ascii="Arial" w:hAnsi="Arial" w:cs="Arial"/>
                <w:sz w:val="18"/>
                <w:szCs w:val="18"/>
              </w:rPr>
              <w:t>Release Unit from Patient Assignment</w:t>
            </w:r>
          </w:p>
        </w:tc>
        <w:tc>
          <w:tcPr>
            <w:tcW w:w="3060" w:type="dxa"/>
            <w:shd w:val="clear" w:color="auto" w:fill="auto"/>
            <w:noWrap/>
            <w:vAlign w:val="bottom"/>
          </w:tcPr>
          <w:p w14:paraId="04EF71D9"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or any overrides processed</w:t>
            </w:r>
          </w:p>
        </w:tc>
        <w:tc>
          <w:tcPr>
            <w:tcW w:w="1530" w:type="dxa"/>
            <w:shd w:val="clear" w:color="auto" w:fill="auto"/>
            <w:noWrap/>
            <w:vAlign w:val="bottom"/>
          </w:tcPr>
          <w:p w14:paraId="70EF44B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262BBA6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7F653082" w14:textId="77777777" w:rsidTr="00A732E0">
        <w:trPr>
          <w:cantSplit/>
          <w:trHeight w:val="255"/>
        </w:trPr>
        <w:tc>
          <w:tcPr>
            <w:tcW w:w="450" w:type="dxa"/>
            <w:vAlign w:val="bottom"/>
          </w:tcPr>
          <w:p w14:paraId="32BF8C43" w14:textId="77777777" w:rsidR="008A701E" w:rsidRPr="006A2781" w:rsidRDefault="008A701E" w:rsidP="008A701E">
            <w:pPr>
              <w:jc w:val="center"/>
              <w:rPr>
                <w:rFonts w:ascii="Arial" w:hAnsi="Arial" w:cs="Arial"/>
                <w:sz w:val="18"/>
                <w:szCs w:val="18"/>
              </w:rPr>
            </w:pPr>
            <w:r>
              <w:rPr>
                <w:rFonts w:ascii="Arial" w:hAnsi="Arial" w:cs="Arial"/>
                <w:sz w:val="18"/>
                <w:szCs w:val="18"/>
              </w:rPr>
              <w:t>51</w:t>
            </w:r>
          </w:p>
        </w:tc>
        <w:tc>
          <w:tcPr>
            <w:tcW w:w="540" w:type="dxa"/>
            <w:vAlign w:val="bottom"/>
          </w:tcPr>
          <w:p w14:paraId="7974C62C"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0FE36C0A" w14:textId="77777777" w:rsidR="008A701E" w:rsidRPr="006A2781" w:rsidRDefault="008A701E" w:rsidP="008A701E">
            <w:pPr>
              <w:rPr>
                <w:rFonts w:ascii="Arial" w:hAnsi="Arial" w:cs="Arial"/>
                <w:sz w:val="18"/>
                <w:szCs w:val="18"/>
              </w:rPr>
            </w:pPr>
            <w:r w:rsidRPr="00A66F9A">
              <w:rPr>
                <w:rFonts w:ascii="Arial" w:hAnsi="Arial" w:cs="Arial"/>
                <w:sz w:val="18"/>
                <w:szCs w:val="18"/>
              </w:rPr>
              <w:t>Release Unit from Patient Assignment</w:t>
            </w:r>
          </w:p>
        </w:tc>
        <w:tc>
          <w:tcPr>
            <w:tcW w:w="3060" w:type="dxa"/>
            <w:shd w:val="clear" w:color="auto" w:fill="auto"/>
            <w:noWrap/>
            <w:vAlign w:val="bottom"/>
          </w:tcPr>
          <w:p w14:paraId="22B47E65"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or any overrides processed</w:t>
            </w:r>
          </w:p>
        </w:tc>
        <w:tc>
          <w:tcPr>
            <w:tcW w:w="1530" w:type="dxa"/>
            <w:shd w:val="clear" w:color="auto" w:fill="auto"/>
            <w:noWrap/>
            <w:vAlign w:val="bottom"/>
          </w:tcPr>
          <w:p w14:paraId="0161BC77"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D87D78E"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5131FAA4" w14:textId="77777777" w:rsidTr="00A732E0">
        <w:trPr>
          <w:cantSplit/>
          <w:trHeight w:val="255"/>
        </w:trPr>
        <w:tc>
          <w:tcPr>
            <w:tcW w:w="450" w:type="dxa"/>
            <w:vAlign w:val="bottom"/>
          </w:tcPr>
          <w:p w14:paraId="6802F355" w14:textId="77777777" w:rsidR="008A701E" w:rsidRPr="006A2781" w:rsidRDefault="008A701E" w:rsidP="008A701E">
            <w:pPr>
              <w:jc w:val="center"/>
              <w:rPr>
                <w:rFonts w:ascii="Arial" w:hAnsi="Arial" w:cs="Arial"/>
                <w:sz w:val="18"/>
                <w:szCs w:val="18"/>
              </w:rPr>
            </w:pPr>
            <w:r>
              <w:rPr>
                <w:rFonts w:ascii="Arial" w:hAnsi="Arial" w:cs="Arial"/>
                <w:sz w:val="18"/>
                <w:szCs w:val="18"/>
              </w:rPr>
              <w:t>52</w:t>
            </w:r>
          </w:p>
        </w:tc>
        <w:tc>
          <w:tcPr>
            <w:tcW w:w="540" w:type="dxa"/>
            <w:vAlign w:val="bottom"/>
          </w:tcPr>
          <w:p w14:paraId="543DEF1A"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1867" w:type="dxa"/>
            <w:shd w:val="clear" w:color="auto" w:fill="auto"/>
            <w:noWrap/>
            <w:vAlign w:val="bottom"/>
          </w:tcPr>
          <w:p w14:paraId="670A8F83"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1B3070FB" w14:textId="77777777" w:rsidR="008A701E" w:rsidRPr="006A2781" w:rsidRDefault="008A701E" w:rsidP="008A701E">
            <w:pPr>
              <w:rPr>
                <w:rFonts w:ascii="Arial" w:hAnsi="Arial" w:cs="Arial"/>
                <w:sz w:val="18"/>
                <w:szCs w:val="18"/>
              </w:rPr>
            </w:pPr>
            <w:r w:rsidRPr="006A2781">
              <w:rPr>
                <w:rFonts w:ascii="Arial" w:hAnsi="Arial" w:cs="Arial"/>
                <w:sz w:val="18"/>
                <w:szCs w:val="18"/>
              </w:rPr>
              <w:t xml:space="preserve">Unit without a crossmatch </w:t>
            </w:r>
          </w:p>
        </w:tc>
        <w:tc>
          <w:tcPr>
            <w:tcW w:w="1530" w:type="dxa"/>
            <w:shd w:val="clear" w:color="auto" w:fill="auto"/>
            <w:noWrap/>
            <w:vAlign w:val="bottom"/>
          </w:tcPr>
          <w:p w14:paraId="2C6AFF3D"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1FCE8787"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6474D229" w14:textId="77777777" w:rsidTr="00A732E0">
        <w:trPr>
          <w:cantSplit/>
          <w:trHeight w:val="255"/>
        </w:trPr>
        <w:tc>
          <w:tcPr>
            <w:tcW w:w="450" w:type="dxa"/>
            <w:vAlign w:val="bottom"/>
          </w:tcPr>
          <w:p w14:paraId="0569530D" w14:textId="77777777" w:rsidR="008A701E" w:rsidRPr="006A2781" w:rsidRDefault="008A701E" w:rsidP="008A701E">
            <w:pPr>
              <w:jc w:val="center"/>
              <w:rPr>
                <w:rFonts w:ascii="Arial" w:hAnsi="Arial" w:cs="Arial"/>
                <w:sz w:val="18"/>
                <w:szCs w:val="18"/>
              </w:rPr>
            </w:pPr>
            <w:r>
              <w:rPr>
                <w:rFonts w:ascii="Arial" w:hAnsi="Arial" w:cs="Arial"/>
                <w:sz w:val="18"/>
                <w:szCs w:val="18"/>
              </w:rPr>
              <w:t>53</w:t>
            </w:r>
          </w:p>
        </w:tc>
        <w:tc>
          <w:tcPr>
            <w:tcW w:w="540" w:type="dxa"/>
            <w:vAlign w:val="bottom"/>
          </w:tcPr>
          <w:p w14:paraId="34A3DBA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1867" w:type="dxa"/>
            <w:shd w:val="clear" w:color="auto" w:fill="auto"/>
            <w:noWrap/>
            <w:vAlign w:val="bottom"/>
          </w:tcPr>
          <w:p w14:paraId="0D2EB63E"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541225D0" w14:textId="77777777" w:rsidR="008A701E" w:rsidRPr="006A2781" w:rsidRDefault="008A701E" w:rsidP="008A701E">
            <w:pPr>
              <w:rPr>
                <w:rFonts w:ascii="Arial" w:hAnsi="Arial" w:cs="Arial"/>
                <w:sz w:val="18"/>
                <w:szCs w:val="18"/>
              </w:rPr>
            </w:pPr>
            <w:r w:rsidRPr="006A2781">
              <w:rPr>
                <w:rFonts w:ascii="Arial" w:hAnsi="Arial" w:cs="Arial"/>
                <w:sz w:val="18"/>
                <w:szCs w:val="18"/>
              </w:rPr>
              <w:t>Crossmatched unit</w:t>
            </w:r>
          </w:p>
        </w:tc>
        <w:tc>
          <w:tcPr>
            <w:tcW w:w="1530" w:type="dxa"/>
            <w:shd w:val="clear" w:color="auto" w:fill="auto"/>
            <w:noWrap/>
            <w:vAlign w:val="bottom"/>
          </w:tcPr>
          <w:p w14:paraId="57418CB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2070" w:type="dxa"/>
            <w:shd w:val="clear" w:color="auto" w:fill="auto"/>
            <w:noWrap/>
            <w:vAlign w:val="bottom"/>
          </w:tcPr>
          <w:p w14:paraId="08C0B88E" w14:textId="77777777" w:rsidR="008A701E" w:rsidRPr="006A2781" w:rsidRDefault="008A701E" w:rsidP="008A701E">
            <w:pPr>
              <w:rPr>
                <w:rFonts w:ascii="Arial" w:hAnsi="Arial" w:cs="Arial"/>
                <w:sz w:val="18"/>
                <w:szCs w:val="18"/>
              </w:rPr>
            </w:pPr>
            <w:r w:rsidRPr="006A2781">
              <w:rPr>
                <w:rFonts w:ascii="Arial" w:hAnsi="Arial" w:cs="Arial"/>
                <w:sz w:val="18"/>
                <w:szCs w:val="18"/>
              </w:rPr>
              <w:t>RS</w:t>
            </w:r>
          </w:p>
        </w:tc>
      </w:tr>
      <w:tr w:rsidR="008A701E" w:rsidRPr="006A2781" w14:paraId="3E8C2A03" w14:textId="77777777" w:rsidTr="00A732E0">
        <w:trPr>
          <w:cantSplit/>
          <w:trHeight w:val="255"/>
        </w:trPr>
        <w:tc>
          <w:tcPr>
            <w:tcW w:w="450" w:type="dxa"/>
            <w:vAlign w:val="bottom"/>
          </w:tcPr>
          <w:p w14:paraId="70AF6009" w14:textId="77777777" w:rsidR="008A701E" w:rsidRDefault="008A701E" w:rsidP="008A701E">
            <w:pPr>
              <w:jc w:val="center"/>
              <w:rPr>
                <w:rFonts w:ascii="Arial" w:hAnsi="Arial" w:cs="Arial"/>
                <w:sz w:val="18"/>
                <w:szCs w:val="18"/>
              </w:rPr>
            </w:pPr>
            <w:r>
              <w:rPr>
                <w:rFonts w:ascii="Arial" w:hAnsi="Arial" w:cs="Arial"/>
                <w:sz w:val="18"/>
                <w:szCs w:val="18"/>
              </w:rPr>
              <w:t>54</w:t>
            </w:r>
          </w:p>
        </w:tc>
        <w:tc>
          <w:tcPr>
            <w:tcW w:w="540" w:type="dxa"/>
            <w:vAlign w:val="bottom"/>
          </w:tcPr>
          <w:p w14:paraId="13041DC0" w14:textId="77777777" w:rsidR="008A701E" w:rsidRPr="006A2781" w:rsidRDefault="008A701E" w:rsidP="008A701E">
            <w:pPr>
              <w:jc w:val="center"/>
              <w:rPr>
                <w:rFonts w:ascii="Arial" w:hAnsi="Arial" w:cs="Arial"/>
                <w:sz w:val="18"/>
                <w:szCs w:val="18"/>
              </w:rPr>
            </w:pPr>
            <w:r>
              <w:rPr>
                <w:rFonts w:ascii="Arial" w:hAnsi="Arial" w:cs="Arial"/>
                <w:sz w:val="18"/>
                <w:szCs w:val="18"/>
              </w:rPr>
              <w:t>I</w:t>
            </w:r>
          </w:p>
        </w:tc>
        <w:tc>
          <w:tcPr>
            <w:tcW w:w="1867" w:type="dxa"/>
            <w:shd w:val="clear" w:color="auto" w:fill="auto"/>
            <w:noWrap/>
            <w:vAlign w:val="bottom"/>
          </w:tcPr>
          <w:p w14:paraId="1FF6188F"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3F18D634" w14:textId="77777777" w:rsidR="008A701E" w:rsidRPr="00B7134B" w:rsidRDefault="008A701E" w:rsidP="008A701E">
            <w:pPr>
              <w:rPr>
                <w:rFonts w:ascii="Arial" w:hAnsi="Arial" w:cs="Arial"/>
                <w:sz w:val="18"/>
                <w:szCs w:val="18"/>
              </w:rPr>
            </w:pPr>
            <w:r w:rsidRPr="00B7134B">
              <w:rPr>
                <w:rFonts w:ascii="Arial" w:hAnsi="Arial" w:cs="Arial"/>
                <w:sz w:val="18"/>
                <w:szCs w:val="18"/>
              </w:rPr>
              <w:t>Unit without a crossmatch, unit is unsatisfactory</w:t>
            </w:r>
          </w:p>
        </w:tc>
        <w:tc>
          <w:tcPr>
            <w:tcW w:w="1530" w:type="dxa"/>
            <w:shd w:val="clear" w:color="auto" w:fill="auto"/>
            <w:noWrap/>
            <w:vAlign w:val="bottom"/>
          </w:tcPr>
          <w:p w14:paraId="36DE61D5" w14:textId="77777777" w:rsidR="008A701E" w:rsidRPr="006A2781" w:rsidRDefault="008A701E" w:rsidP="008A701E">
            <w:pPr>
              <w:jc w:val="center"/>
              <w:rPr>
                <w:rFonts w:ascii="Arial" w:hAnsi="Arial" w:cs="Arial"/>
                <w:sz w:val="18"/>
                <w:szCs w:val="18"/>
              </w:rPr>
            </w:pPr>
            <w:r>
              <w:rPr>
                <w:rFonts w:ascii="Arial" w:hAnsi="Arial" w:cs="Arial"/>
                <w:sz w:val="18"/>
                <w:szCs w:val="18"/>
              </w:rPr>
              <w:t>A</w:t>
            </w:r>
          </w:p>
        </w:tc>
        <w:tc>
          <w:tcPr>
            <w:tcW w:w="2070" w:type="dxa"/>
            <w:shd w:val="clear" w:color="auto" w:fill="auto"/>
            <w:noWrap/>
            <w:vAlign w:val="bottom"/>
          </w:tcPr>
          <w:p w14:paraId="0C5BF329" w14:textId="77777777" w:rsidR="008A701E" w:rsidRPr="006A2781" w:rsidRDefault="008A701E" w:rsidP="008A701E">
            <w:pPr>
              <w:rPr>
                <w:rFonts w:ascii="Arial" w:hAnsi="Arial" w:cs="Arial"/>
                <w:sz w:val="18"/>
                <w:szCs w:val="18"/>
              </w:rPr>
            </w:pPr>
            <w:r w:rsidRPr="00B7134B">
              <w:rPr>
                <w:rFonts w:ascii="Arial" w:hAnsi="Arial" w:cs="Arial"/>
                <w:sz w:val="18"/>
                <w:szCs w:val="18"/>
              </w:rPr>
              <w:t>RE</w:t>
            </w:r>
          </w:p>
        </w:tc>
      </w:tr>
      <w:tr w:rsidR="008A701E" w:rsidRPr="006A2781" w14:paraId="424EFC48" w14:textId="77777777" w:rsidTr="00A732E0">
        <w:trPr>
          <w:cantSplit/>
          <w:trHeight w:val="255"/>
        </w:trPr>
        <w:tc>
          <w:tcPr>
            <w:tcW w:w="450" w:type="dxa"/>
            <w:vAlign w:val="bottom"/>
          </w:tcPr>
          <w:p w14:paraId="22347ED2" w14:textId="77777777" w:rsidR="008A701E" w:rsidRDefault="008A701E" w:rsidP="008A701E">
            <w:pPr>
              <w:jc w:val="center"/>
              <w:rPr>
                <w:rFonts w:ascii="Arial" w:hAnsi="Arial" w:cs="Arial"/>
                <w:sz w:val="18"/>
                <w:szCs w:val="18"/>
              </w:rPr>
            </w:pPr>
            <w:r>
              <w:rPr>
                <w:rFonts w:ascii="Arial" w:hAnsi="Arial" w:cs="Arial"/>
                <w:sz w:val="18"/>
                <w:szCs w:val="18"/>
              </w:rPr>
              <w:t>55</w:t>
            </w:r>
          </w:p>
        </w:tc>
        <w:tc>
          <w:tcPr>
            <w:tcW w:w="540" w:type="dxa"/>
            <w:vAlign w:val="bottom"/>
          </w:tcPr>
          <w:p w14:paraId="52F20DF0" w14:textId="77777777" w:rsidR="008A701E" w:rsidRPr="006A2781" w:rsidRDefault="008A701E" w:rsidP="008A701E">
            <w:pPr>
              <w:jc w:val="center"/>
              <w:rPr>
                <w:rFonts w:ascii="Arial" w:hAnsi="Arial" w:cs="Arial"/>
                <w:sz w:val="18"/>
                <w:szCs w:val="18"/>
              </w:rPr>
            </w:pPr>
            <w:r>
              <w:rPr>
                <w:rFonts w:ascii="Arial" w:hAnsi="Arial" w:cs="Arial"/>
                <w:sz w:val="18"/>
                <w:szCs w:val="18"/>
              </w:rPr>
              <w:t>I</w:t>
            </w:r>
          </w:p>
        </w:tc>
        <w:tc>
          <w:tcPr>
            <w:tcW w:w="1867" w:type="dxa"/>
            <w:shd w:val="clear" w:color="auto" w:fill="auto"/>
            <w:noWrap/>
            <w:vAlign w:val="bottom"/>
          </w:tcPr>
          <w:p w14:paraId="2B0D8D40" w14:textId="77777777" w:rsidR="008A701E" w:rsidRPr="006A2781" w:rsidRDefault="008A701E" w:rsidP="008A701E">
            <w:pPr>
              <w:rPr>
                <w:rFonts w:ascii="Arial" w:hAnsi="Arial" w:cs="Arial"/>
                <w:sz w:val="18"/>
                <w:szCs w:val="18"/>
              </w:rPr>
            </w:pPr>
            <w:r>
              <w:rPr>
                <w:rFonts w:ascii="Arial" w:hAnsi="Arial" w:cs="Arial"/>
                <w:sz w:val="18"/>
                <w:szCs w:val="18"/>
              </w:rPr>
              <w:t>Return Issued Units to Blood Bank</w:t>
            </w:r>
          </w:p>
        </w:tc>
        <w:tc>
          <w:tcPr>
            <w:tcW w:w="3060" w:type="dxa"/>
            <w:shd w:val="clear" w:color="auto" w:fill="auto"/>
            <w:noWrap/>
            <w:vAlign w:val="bottom"/>
          </w:tcPr>
          <w:p w14:paraId="41F09AA7" w14:textId="77777777" w:rsidR="008A701E" w:rsidRPr="00B7134B" w:rsidRDefault="008A701E" w:rsidP="008A701E">
            <w:pPr>
              <w:rPr>
                <w:rFonts w:ascii="Arial" w:hAnsi="Arial" w:cs="Arial"/>
                <w:sz w:val="18"/>
                <w:szCs w:val="18"/>
              </w:rPr>
            </w:pPr>
            <w:r w:rsidRPr="00B7134B">
              <w:rPr>
                <w:rFonts w:ascii="Arial" w:hAnsi="Arial" w:cs="Arial"/>
                <w:sz w:val="18"/>
                <w:szCs w:val="18"/>
              </w:rPr>
              <w:t>Unit crossmatched, unit is unsatisfactory</w:t>
            </w:r>
          </w:p>
        </w:tc>
        <w:tc>
          <w:tcPr>
            <w:tcW w:w="1530" w:type="dxa"/>
            <w:shd w:val="clear" w:color="auto" w:fill="auto"/>
            <w:noWrap/>
            <w:vAlign w:val="bottom"/>
          </w:tcPr>
          <w:p w14:paraId="4669E0AB" w14:textId="77777777" w:rsidR="008A701E" w:rsidRPr="006A2781" w:rsidRDefault="008A701E" w:rsidP="008A701E">
            <w:pPr>
              <w:jc w:val="center"/>
              <w:rPr>
                <w:rFonts w:ascii="Arial" w:hAnsi="Arial" w:cs="Arial"/>
                <w:sz w:val="18"/>
                <w:szCs w:val="18"/>
              </w:rPr>
            </w:pPr>
            <w:r w:rsidRPr="00B7134B">
              <w:rPr>
                <w:rFonts w:ascii="Arial" w:hAnsi="Arial" w:cs="Arial"/>
                <w:sz w:val="18"/>
                <w:szCs w:val="18"/>
              </w:rPr>
              <w:t>A</w:t>
            </w:r>
          </w:p>
        </w:tc>
        <w:tc>
          <w:tcPr>
            <w:tcW w:w="2070" w:type="dxa"/>
            <w:shd w:val="clear" w:color="auto" w:fill="auto"/>
            <w:noWrap/>
            <w:vAlign w:val="bottom"/>
          </w:tcPr>
          <w:p w14:paraId="66DCDE74" w14:textId="77777777" w:rsidR="008A701E" w:rsidRPr="006A2781" w:rsidRDefault="008A701E" w:rsidP="008A701E">
            <w:pPr>
              <w:rPr>
                <w:rFonts w:ascii="Arial" w:hAnsi="Arial" w:cs="Arial"/>
                <w:sz w:val="18"/>
                <w:szCs w:val="18"/>
              </w:rPr>
            </w:pPr>
            <w:r w:rsidRPr="00B7134B">
              <w:rPr>
                <w:rFonts w:ascii="Arial" w:hAnsi="Arial" w:cs="Arial"/>
                <w:sz w:val="18"/>
                <w:szCs w:val="18"/>
              </w:rPr>
              <w:t>RE</w:t>
            </w:r>
          </w:p>
        </w:tc>
      </w:tr>
      <w:tr w:rsidR="008A701E" w:rsidRPr="006A2781" w14:paraId="3D234401" w14:textId="77777777" w:rsidTr="00A732E0">
        <w:trPr>
          <w:cantSplit/>
          <w:trHeight w:val="255"/>
        </w:trPr>
        <w:tc>
          <w:tcPr>
            <w:tcW w:w="450" w:type="dxa"/>
            <w:vAlign w:val="bottom"/>
          </w:tcPr>
          <w:p w14:paraId="6B311E76" w14:textId="77777777" w:rsidR="008A701E" w:rsidRPr="006A2781" w:rsidRDefault="008A701E" w:rsidP="008A701E">
            <w:pPr>
              <w:jc w:val="center"/>
              <w:rPr>
                <w:rFonts w:ascii="Arial" w:hAnsi="Arial" w:cs="Arial"/>
                <w:sz w:val="18"/>
                <w:szCs w:val="18"/>
              </w:rPr>
            </w:pPr>
            <w:r>
              <w:rPr>
                <w:rFonts w:ascii="Arial" w:hAnsi="Arial" w:cs="Arial"/>
                <w:sz w:val="18"/>
                <w:szCs w:val="18"/>
              </w:rPr>
              <w:t>56</w:t>
            </w:r>
          </w:p>
        </w:tc>
        <w:tc>
          <w:tcPr>
            <w:tcW w:w="540" w:type="dxa"/>
            <w:vAlign w:val="bottom"/>
          </w:tcPr>
          <w:p w14:paraId="566A7992"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4DC6B4AC"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5B0E1422"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with or without overrides</w:t>
            </w:r>
          </w:p>
        </w:tc>
        <w:tc>
          <w:tcPr>
            <w:tcW w:w="1530" w:type="dxa"/>
            <w:shd w:val="clear" w:color="auto" w:fill="auto"/>
            <w:noWrap/>
            <w:vAlign w:val="bottom"/>
          </w:tcPr>
          <w:p w14:paraId="46273A89"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69FD7FF8"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391DF5EB" w14:textId="77777777" w:rsidTr="00A732E0">
        <w:trPr>
          <w:cantSplit/>
          <w:trHeight w:val="255"/>
        </w:trPr>
        <w:tc>
          <w:tcPr>
            <w:tcW w:w="450" w:type="dxa"/>
            <w:vAlign w:val="bottom"/>
          </w:tcPr>
          <w:p w14:paraId="0CF4BE52" w14:textId="77777777" w:rsidR="008A701E" w:rsidRPr="006A2781" w:rsidRDefault="008A701E" w:rsidP="008A701E">
            <w:pPr>
              <w:jc w:val="center"/>
              <w:rPr>
                <w:rFonts w:ascii="Arial" w:hAnsi="Arial" w:cs="Arial"/>
                <w:sz w:val="18"/>
                <w:szCs w:val="18"/>
              </w:rPr>
            </w:pPr>
            <w:r>
              <w:rPr>
                <w:rFonts w:ascii="Arial" w:hAnsi="Arial" w:cs="Arial"/>
                <w:sz w:val="18"/>
                <w:szCs w:val="18"/>
              </w:rPr>
              <w:t>57</w:t>
            </w:r>
          </w:p>
        </w:tc>
        <w:tc>
          <w:tcPr>
            <w:tcW w:w="540" w:type="dxa"/>
            <w:vAlign w:val="bottom"/>
          </w:tcPr>
          <w:p w14:paraId="24360F1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48EE44F1"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77D7ABFC" w14:textId="77777777" w:rsidR="008A701E" w:rsidRPr="006A2781" w:rsidRDefault="008A701E" w:rsidP="008A701E">
            <w:pPr>
              <w:rPr>
                <w:rFonts w:ascii="Arial" w:hAnsi="Arial" w:cs="Arial"/>
                <w:sz w:val="18"/>
                <w:szCs w:val="18"/>
              </w:rPr>
            </w:pPr>
            <w:r w:rsidRPr="006A2781">
              <w:rPr>
                <w:rFonts w:ascii="Arial" w:hAnsi="Arial" w:cs="Arial"/>
                <w:sz w:val="18"/>
                <w:szCs w:val="18"/>
              </w:rPr>
              <w:t>Normal flow with or without overrides</w:t>
            </w:r>
          </w:p>
        </w:tc>
        <w:tc>
          <w:tcPr>
            <w:tcW w:w="1530" w:type="dxa"/>
            <w:shd w:val="clear" w:color="auto" w:fill="auto"/>
            <w:noWrap/>
            <w:vAlign w:val="bottom"/>
          </w:tcPr>
          <w:p w14:paraId="27EDEBF8"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I</w:t>
            </w:r>
          </w:p>
        </w:tc>
        <w:tc>
          <w:tcPr>
            <w:tcW w:w="2070" w:type="dxa"/>
            <w:shd w:val="clear" w:color="auto" w:fill="auto"/>
            <w:noWrap/>
            <w:vAlign w:val="bottom"/>
          </w:tcPr>
          <w:p w14:paraId="6D8241AA" w14:textId="77777777" w:rsidR="008A701E" w:rsidRPr="006A2781" w:rsidRDefault="008A701E" w:rsidP="008A701E">
            <w:pPr>
              <w:rPr>
                <w:rFonts w:ascii="Arial" w:hAnsi="Arial" w:cs="Arial"/>
                <w:sz w:val="18"/>
                <w:szCs w:val="18"/>
              </w:rPr>
            </w:pPr>
            <w:r w:rsidRPr="006A2781">
              <w:rPr>
                <w:rFonts w:ascii="Arial" w:hAnsi="Arial" w:cs="Arial"/>
                <w:sz w:val="18"/>
                <w:szCs w:val="18"/>
              </w:rPr>
              <w:t>DS</w:t>
            </w:r>
          </w:p>
        </w:tc>
      </w:tr>
      <w:tr w:rsidR="008A701E" w:rsidRPr="006A2781" w14:paraId="5BA696CE" w14:textId="77777777" w:rsidTr="00A732E0">
        <w:trPr>
          <w:cantSplit/>
          <w:trHeight w:val="255"/>
        </w:trPr>
        <w:tc>
          <w:tcPr>
            <w:tcW w:w="450" w:type="dxa"/>
            <w:vAlign w:val="bottom"/>
          </w:tcPr>
          <w:p w14:paraId="4D700639" w14:textId="77777777" w:rsidR="008A701E" w:rsidRPr="006A2781" w:rsidRDefault="008A701E" w:rsidP="008A701E">
            <w:pPr>
              <w:jc w:val="center"/>
              <w:rPr>
                <w:rFonts w:ascii="Arial" w:hAnsi="Arial" w:cs="Arial"/>
                <w:sz w:val="18"/>
                <w:szCs w:val="18"/>
              </w:rPr>
            </w:pPr>
            <w:r>
              <w:rPr>
                <w:rFonts w:ascii="Arial" w:hAnsi="Arial" w:cs="Arial"/>
                <w:sz w:val="18"/>
                <w:szCs w:val="18"/>
              </w:rPr>
              <w:t>58</w:t>
            </w:r>
          </w:p>
        </w:tc>
        <w:tc>
          <w:tcPr>
            <w:tcW w:w="540" w:type="dxa"/>
            <w:vAlign w:val="bottom"/>
          </w:tcPr>
          <w:p w14:paraId="5DAB87F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1867" w:type="dxa"/>
            <w:shd w:val="clear" w:color="auto" w:fill="auto"/>
            <w:noWrap/>
            <w:vAlign w:val="bottom"/>
          </w:tcPr>
          <w:p w14:paraId="188C88C5"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6267A636" w14:textId="77777777" w:rsidR="008A701E" w:rsidRPr="006A2781" w:rsidRDefault="008A701E" w:rsidP="008A701E">
            <w:pPr>
              <w:rPr>
                <w:rFonts w:ascii="Arial" w:hAnsi="Arial" w:cs="Arial"/>
                <w:sz w:val="18"/>
                <w:szCs w:val="18"/>
              </w:rPr>
            </w:pPr>
            <w:r w:rsidRPr="006A2781">
              <w:rPr>
                <w:rFonts w:ascii="Arial" w:hAnsi="Arial" w:cs="Arial"/>
                <w:sz w:val="18"/>
                <w:szCs w:val="18"/>
              </w:rPr>
              <w:t>Unit is marked as unsatisfactory for issue</w:t>
            </w:r>
          </w:p>
        </w:tc>
        <w:tc>
          <w:tcPr>
            <w:tcW w:w="1530" w:type="dxa"/>
            <w:shd w:val="clear" w:color="auto" w:fill="auto"/>
            <w:noWrap/>
            <w:vAlign w:val="bottom"/>
          </w:tcPr>
          <w:p w14:paraId="3D604BBF"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3246A7F8"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2360C6C6" w14:textId="77777777" w:rsidTr="00A732E0">
        <w:trPr>
          <w:cantSplit/>
          <w:trHeight w:val="255"/>
        </w:trPr>
        <w:tc>
          <w:tcPr>
            <w:tcW w:w="450" w:type="dxa"/>
            <w:vAlign w:val="bottom"/>
          </w:tcPr>
          <w:p w14:paraId="20F44224" w14:textId="77777777" w:rsidR="008A701E" w:rsidRPr="006A2781" w:rsidRDefault="008A701E" w:rsidP="008A701E">
            <w:pPr>
              <w:jc w:val="center"/>
              <w:rPr>
                <w:rFonts w:ascii="Arial" w:hAnsi="Arial" w:cs="Arial"/>
                <w:sz w:val="18"/>
                <w:szCs w:val="18"/>
              </w:rPr>
            </w:pPr>
            <w:r>
              <w:rPr>
                <w:rFonts w:ascii="Arial" w:hAnsi="Arial" w:cs="Arial"/>
                <w:sz w:val="18"/>
                <w:szCs w:val="18"/>
              </w:rPr>
              <w:t>59</w:t>
            </w:r>
          </w:p>
        </w:tc>
        <w:tc>
          <w:tcPr>
            <w:tcW w:w="540" w:type="dxa"/>
            <w:vAlign w:val="bottom"/>
          </w:tcPr>
          <w:p w14:paraId="559A28B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6197CFB" w14:textId="77777777" w:rsidR="008A701E" w:rsidRPr="006A2781" w:rsidRDefault="008A701E" w:rsidP="008A701E">
            <w:pPr>
              <w:rPr>
                <w:rFonts w:ascii="Arial" w:hAnsi="Arial" w:cs="Arial"/>
                <w:sz w:val="18"/>
                <w:szCs w:val="18"/>
              </w:rPr>
            </w:pPr>
            <w:r>
              <w:rPr>
                <w:rFonts w:ascii="Arial" w:hAnsi="Arial" w:cs="Arial"/>
                <w:sz w:val="18"/>
                <w:szCs w:val="18"/>
              </w:rPr>
              <w:t>Issue Blood Components</w:t>
            </w:r>
          </w:p>
        </w:tc>
        <w:tc>
          <w:tcPr>
            <w:tcW w:w="3060" w:type="dxa"/>
            <w:shd w:val="clear" w:color="auto" w:fill="auto"/>
            <w:noWrap/>
            <w:vAlign w:val="bottom"/>
          </w:tcPr>
          <w:p w14:paraId="6ADC6400" w14:textId="77777777" w:rsidR="008A701E" w:rsidRPr="006A2781" w:rsidRDefault="008A701E" w:rsidP="008A701E">
            <w:pPr>
              <w:rPr>
                <w:rFonts w:ascii="Arial" w:hAnsi="Arial" w:cs="Arial"/>
                <w:sz w:val="18"/>
                <w:szCs w:val="18"/>
              </w:rPr>
            </w:pPr>
            <w:r w:rsidRPr="006A2781">
              <w:rPr>
                <w:rFonts w:ascii="Arial" w:hAnsi="Arial" w:cs="Arial"/>
                <w:sz w:val="18"/>
                <w:szCs w:val="18"/>
              </w:rPr>
              <w:t>Unit is marked as unsatisfactory for issue</w:t>
            </w:r>
          </w:p>
        </w:tc>
        <w:tc>
          <w:tcPr>
            <w:tcW w:w="1530" w:type="dxa"/>
            <w:shd w:val="clear" w:color="auto" w:fill="auto"/>
            <w:noWrap/>
            <w:vAlign w:val="bottom"/>
          </w:tcPr>
          <w:p w14:paraId="23F54465"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A</w:t>
            </w:r>
          </w:p>
        </w:tc>
        <w:tc>
          <w:tcPr>
            <w:tcW w:w="2070" w:type="dxa"/>
            <w:shd w:val="clear" w:color="auto" w:fill="auto"/>
            <w:noWrap/>
            <w:vAlign w:val="bottom"/>
          </w:tcPr>
          <w:p w14:paraId="134D9BDA" w14:textId="77777777" w:rsidR="008A701E" w:rsidRPr="006A2781" w:rsidRDefault="008A701E" w:rsidP="008A701E">
            <w:pPr>
              <w:rPr>
                <w:rFonts w:ascii="Arial" w:hAnsi="Arial" w:cs="Arial"/>
                <w:sz w:val="18"/>
                <w:szCs w:val="18"/>
              </w:rPr>
            </w:pPr>
            <w:r w:rsidRPr="006A2781">
              <w:rPr>
                <w:rFonts w:ascii="Arial" w:hAnsi="Arial" w:cs="Arial"/>
                <w:sz w:val="18"/>
                <w:szCs w:val="18"/>
              </w:rPr>
              <w:t>RE</w:t>
            </w:r>
          </w:p>
        </w:tc>
      </w:tr>
      <w:tr w:rsidR="008A701E" w:rsidRPr="006A2781" w14:paraId="31F9C9C2" w14:textId="77777777" w:rsidTr="00A732E0">
        <w:trPr>
          <w:cantSplit/>
          <w:trHeight w:val="255"/>
        </w:trPr>
        <w:tc>
          <w:tcPr>
            <w:tcW w:w="450" w:type="dxa"/>
            <w:vAlign w:val="bottom"/>
          </w:tcPr>
          <w:p w14:paraId="52B665D5" w14:textId="77777777" w:rsidR="008A701E" w:rsidRPr="006A2781" w:rsidRDefault="008A701E" w:rsidP="008A701E">
            <w:pPr>
              <w:jc w:val="center"/>
              <w:rPr>
                <w:rFonts w:ascii="Arial" w:hAnsi="Arial" w:cs="Arial"/>
                <w:sz w:val="18"/>
                <w:szCs w:val="18"/>
              </w:rPr>
            </w:pPr>
            <w:r>
              <w:rPr>
                <w:rFonts w:ascii="Arial" w:hAnsi="Arial" w:cs="Arial"/>
                <w:sz w:val="18"/>
                <w:szCs w:val="18"/>
              </w:rPr>
              <w:t>60</w:t>
            </w:r>
          </w:p>
        </w:tc>
        <w:tc>
          <w:tcPr>
            <w:tcW w:w="540" w:type="dxa"/>
            <w:vAlign w:val="bottom"/>
          </w:tcPr>
          <w:p w14:paraId="3A6D764B"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C</w:t>
            </w:r>
          </w:p>
        </w:tc>
        <w:tc>
          <w:tcPr>
            <w:tcW w:w="1867" w:type="dxa"/>
            <w:shd w:val="clear" w:color="auto" w:fill="auto"/>
            <w:noWrap/>
            <w:vAlign w:val="bottom"/>
          </w:tcPr>
          <w:p w14:paraId="145FF3E4" w14:textId="77777777" w:rsidR="008A701E" w:rsidRPr="006A2781" w:rsidRDefault="008A701E" w:rsidP="008A701E">
            <w:pPr>
              <w:rPr>
                <w:rFonts w:ascii="Arial" w:hAnsi="Arial" w:cs="Arial"/>
                <w:sz w:val="18"/>
                <w:szCs w:val="18"/>
              </w:rPr>
            </w:pPr>
            <w:r>
              <w:rPr>
                <w:rFonts w:ascii="Arial" w:hAnsi="Arial" w:cs="Arial"/>
                <w:sz w:val="18"/>
                <w:szCs w:val="18"/>
              </w:rPr>
              <w:t>Invalidate Patient Test Results</w:t>
            </w:r>
          </w:p>
        </w:tc>
        <w:tc>
          <w:tcPr>
            <w:tcW w:w="3060" w:type="dxa"/>
            <w:shd w:val="clear" w:color="auto" w:fill="auto"/>
            <w:noWrap/>
            <w:vAlign w:val="bottom"/>
          </w:tcPr>
          <w:p w14:paraId="401C20BC" w14:textId="77777777" w:rsidR="008A701E" w:rsidRPr="006A2781" w:rsidRDefault="008A701E" w:rsidP="008A701E">
            <w:pPr>
              <w:rPr>
                <w:rFonts w:ascii="Arial" w:hAnsi="Arial" w:cs="Arial"/>
                <w:sz w:val="18"/>
                <w:szCs w:val="18"/>
              </w:rPr>
            </w:pPr>
            <w:r w:rsidRPr="006A2781">
              <w:rPr>
                <w:rFonts w:ascii="Arial" w:hAnsi="Arial" w:cs="Arial"/>
                <w:sz w:val="18"/>
                <w:szCs w:val="18"/>
              </w:rPr>
              <w:t>Invalidate Crossmatch results for the unit-patient association</w:t>
            </w:r>
          </w:p>
        </w:tc>
        <w:tc>
          <w:tcPr>
            <w:tcW w:w="1530" w:type="dxa"/>
            <w:shd w:val="clear" w:color="auto" w:fill="auto"/>
            <w:noWrap/>
            <w:vAlign w:val="bottom"/>
          </w:tcPr>
          <w:p w14:paraId="12209AE6" w14:textId="77777777" w:rsidR="008A701E" w:rsidRPr="006A2781" w:rsidRDefault="008A701E" w:rsidP="008A701E">
            <w:pPr>
              <w:jc w:val="center"/>
              <w:rPr>
                <w:rFonts w:ascii="Arial" w:hAnsi="Arial" w:cs="Arial"/>
                <w:sz w:val="18"/>
                <w:szCs w:val="18"/>
              </w:rPr>
            </w:pPr>
            <w:r w:rsidRPr="006A2781">
              <w:rPr>
                <w:rFonts w:ascii="Arial" w:hAnsi="Arial" w:cs="Arial"/>
                <w:sz w:val="18"/>
                <w:szCs w:val="18"/>
              </w:rPr>
              <w:t>S</w:t>
            </w:r>
          </w:p>
        </w:tc>
        <w:tc>
          <w:tcPr>
            <w:tcW w:w="2070" w:type="dxa"/>
            <w:shd w:val="clear" w:color="auto" w:fill="auto"/>
            <w:noWrap/>
            <w:vAlign w:val="bottom"/>
          </w:tcPr>
          <w:p w14:paraId="07E331CA" w14:textId="77777777" w:rsidR="008A701E" w:rsidRPr="006A2781" w:rsidRDefault="008A701E" w:rsidP="008A701E">
            <w:pPr>
              <w:rPr>
                <w:rFonts w:ascii="Arial" w:hAnsi="Arial" w:cs="Arial"/>
                <w:sz w:val="18"/>
                <w:szCs w:val="18"/>
              </w:rPr>
            </w:pPr>
            <w:r w:rsidRPr="006A2781">
              <w:rPr>
                <w:rFonts w:ascii="Arial" w:hAnsi="Arial" w:cs="Arial"/>
                <w:sz w:val="18"/>
                <w:szCs w:val="18"/>
              </w:rPr>
              <w:t>No message is sent as the unit has not been released from assignment from the patient.</w:t>
            </w:r>
          </w:p>
        </w:tc>
      </w:tr>
    </w:tbl>
    <w:p w14:paraId="56BDD3DE" w14:textId="77777777" w:rsidR="008A701E" w:rsidRPr="00F20C8C" w:rsidRDefault="008A701E" w:rsidP="00F20C8C">
      <w:r w:rsidRPr="00F20C8C">
        <w:t>**Pooling of products that also require crossmatch is not currently possible.</w:t>
      </w:r>
    </w:p>
    <w:p w14:paraId="4B75D4EC" w14:textId="77777777" w:rsidR="0038450D" w:rsidRDefault="008A701E" w:rsidP="008A701E">
      <w:pPr>
        <w:pStyle w:val="Heading3"/>
      </w:pPr>
      <w:r>
        <w:br w:type="page"/>
      </w:r>
      <w:r w:rsidR="00966400">
        <w:rPr>
          <w:rFonts w:ascii="Geneva" w:hAnsi="Geneva"/>
          <w:vanish/>
        </w:rPr>
        <w:t xml:space="preserve"> </w:t>
      </w:r>
      <w:r w:rsidR="0038450D">
        <w:rPr>
          <w:rFonts w:ascii="Geneva" w:hAnsi="Geneva"/>
          <w:vanish/>
        </w:rPr>
        <w:t>T</w:t>
      </w:r>
      <w:r w:rsidR="00BC4A37">
        <w:rPr>
          <w:rFonts w:ascii="Geneva" w:hAnsi="Geneva"/>
          <w:vanish/>
        </w:rPr>
        <w:t>T</w:t>
      </w:r>
      <w:r w:rsidR="0038450D">
        <w:rPr>
          <w:rFonts w:ascii="Geneva" w:hAnsi="Geneva"/>
          <w:vanish/>
        </w:rPr>
        <w:t>_</w:t>
      </w:r>
      <w:r w:rsidR="00BC4A37">
        <w:rPr>
          <w:rFonts w:ascii="Geneva" w:hAnsi="Geneva"/>
          <w:vanish/>
        </w:rPr>
        <w:t>15.01</w:t>
      </w:r>
      <w:r w:rsidR="0038450D">
        <w:rPr>
          <w:rFonts w:ascii="Geneva" w:hAnsi="Geneva"/>
          <w:vanish/>
          <w:sz w:val="16"/>
        </w:rPr>
        <w:t xml:space="preserve"> </w:t>
      </w:r>
      <w:bookmarkStart w:id="666" w:name="_Toc149064223"/>
      <w:r w:rsidR="00BC4A37">
        <w:t>Workload Process to Use Case Mapping Table</w:t>
      </w:r>
      <w:bookmarkEnd w:id="666"/>
      <w:r w:rsidR="00BC4A37">
        <w:t xml:space="preserve"> </w:t>
      </w:r>
      <w:r w:rsidR="0038450D">
        <w:fldChar w:fldCharType="begin"/>
      </w:r>
      <w:r w:rsidR="0038450D">
        <w:instrText xml:space="preserve"> XE “</w:instrText>
      </w:r>
      <w:r w:rsidR="00BC4A37">
        <w:instrText>Workload Process to Use Case Mapping Table</w:instrText>
      </w:r>
      <w:r w:rsidR="0038450D">
        <w:instrText xml:space="preserve">” </w:instrText>
      </w:r>
      <w:r w:rsidR="0038450D">
        <w:fldChar w:fldCharType="end"/>
      </w:r>
    </w:p>
    <w:p w14:paraId="02764372" w14:textId="4C262517" w:rsidR="0038450D" w:rsidRDefault="0038450D" w:rsidP="0038450D">
      <w:pPr>
        <w:pStyle w:val="Caption"/>
      </w:pPr>
      <w:bookmarkStart w:id="667" w:name="_Ref21953143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25</w:t>
      </w:r>
      <w:r w:rsidR="004E20BD">
        <w:rPr>
          <w:noProof/>
        </w:rPr>
        <w:fldChar w:fldCharType="end"/>
      </w:r>
      <w:bookmarkEnd w:id="667"/>
      <w:r>
        <w:t xml:space="preserve">: </w:t>
      </w:r>
      <w:r>
        <w:rPr>
          <w:vanish/>
        </w:rPr>
        <w:t>T</w:t>
      </w:r>
      <w:r w:rsidR="00BC4A37">
        <w:rPr>
          <w:vanish/>
        </w:rPr>
        <w:t>T_15.01</w:t>
      </w:r>
      <w:r>
        <w:rPr>
          <w:vanish/>
          <w:sz w:val="16"/>
        </w:rPr>
        <w:t xml:space="preserve"> </w:t>
      </w:r>
      <w:r w:rsidR="00BC4A37">
        <w:t>Workload Process to Use Case Mapping Table</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3"/>
        <w:gridCol w:w="1592"/>
        <w:gridCol w:w="1080"/>
        <w:gridCol w:w="900"/>
        <w:gridCol w:w="4950"/>
      </w:tblGrid>
      <w:tr w:rsidR="000305DD" w:rsidRPr="00F24972" w14:paraId="1B3348D1" w14:textId="77777777" w:rsidTr="00FA340F">
        <w:trPr>
          <w:cantSplit/>
          <w:tblHeader/>
        </w:trPr>
        <w:tc>
          <w:tcPr>
            <w:tcW w:w="10255" w:type="dxa"/>
            <w:gridSpan w:val="5"/>
            <w:shd w:val="clear" w:color="auto" w:fill="C0C0C0"/>
            <w:vAlign w:val="bottom"/>
          </w:tcPr>
          <w:p w14:paraId="0E061A80" w14:textId="77777777" w:rsidR="000305DD" w:rsidRPr="00F24972" w:rsidRDefault="000305DD" w:rsidP="000305DD">
            <w:pPr>
              <w:pStyle w:val="TableText"/>
              <w:jc w:val="center"/>
              <w:rPr>
                <w:rFonts w:cs="Arial"/>
                <w:b/>
              </w:rPr>
            </w:pPr>
            <w:r w:rsidRPr="00F24972">
              <w:rPr>
                <w:rFonts w:cs="Arial"/>
                <w:b/>
              </w:rPr>
              <w:t>Workload Process to Use Case Mapping Table</w:t>
            </w:r>
          </w:p>
        </w:tc>
      </w:tr>
      <w:tr w:rsidR="000305DD" w:rsidRPr="00F24972" w14:paraId="6D0E94B4" w14:textId="77777777" w:rsidTr="00FA340F">
        <w:trPr>
          <w:cantSplit/>
          <w:trHeight w:val="1296"/>
          <w:tblHeader/>
        </w:trPr>
        <w:tc>
          <w:tcPr>
            <w:tcW w:w="1733" w:type="dxa"/>
            <w:tcBorders>
              <w:bottom w:val="single" w:sz="4" w:space="0" w:color="auto"/>
            </w:tcBorders>
            <w:shd w:val="clear" w:color="auto" w:fill="C0C0C0"/>
            <w:vAlign w:val="bottom"/>
          </w:tcPr>
          <w:p w14:paraId="197D39C4" w14:textId="77777777" w:rsidR="000305DD" w:rsidRPr="00F24972" w:rsidRDefault="000305DD" w:rsidP="000305DD">
            <w:pPr>
              <w:pStyle w:val="TableText"/>
              <w:rPr>
                <w:rFonts w:cs="Arial"/>
                <w:b/>
              </w:rPr>
            </w:pPr>
            <w:r w:rsidRPr="00F24972">
              <w:rPr>
                <w:rFonts w:cs="Arial"/>
                <w:b/>
              </w:rPr>
              <w:t xml:space="preserve">VBECS Process </w:t>
            </w:r>
          </w:p>
        </w:tc>
        <w:tc>
          <w:tcPr>
            <w:tcW w:w="1592" w:type="dxa"/>
            <w:tcBorders>
              <w:bottom w:val="single" w:sz="4" w:space="0" w:color="auto"/>
            </w:tcBorders>
            <w:shd w:val="clear" w:color="auto" w:fill="C0C0C0"/>
            <w:vAlign w:val="bottom"/>
          </w:tcPr>
          <w:p w14:paraId="741DE4C0" w14:textId="77777777" w:rsidR="000305DD" w:rsidRPr="00F24972" w:rsidRDefault="000305DD" w:rsidP="000305DD">
            <w:pPr>
              <w:pStyle w:val="TableText"/>
              <w:rPr>
                <w:rFonts w:cs="Arial"/>
                <w:b/>
              </w:rPr>
            </w:pPr>
            <w:r w:rsidRPr="00F24972">
              <w:rPr>
                <w:rFonts w:cs="Arial"/>
                <w:b/>
              </w:rPr>
              <w:t>Record Saved in This Use Case</w:t>
            </w:r>
          </w:p>
        </w:tc>
        <w:tc>
          <w:tcPr>
            <w:tcW w:w="1080" w:type="dxa"/>
            <w:tcBorders>
              <w:bottom w:val="single" w:sz="4" w:space="0" w:color="auto"/>
            </w:tcBorders>
            <w:shd w:val="clear" w:color="auto" w:fill="C0C0C0"/>
            <w:vAlign w:val="bottom"/>
          </w:tcPr>
          <w:p w14:paraId="39DD7DB4" w14:textId="77777777" w:rsidR="000305DD" w:rsidRPr="00F24972" w:rsidRDefault="000305DD" w:rsidP="000305DD">
            <w:pPr>
              <w:pStyle w:val="TableText"/>
              <w:rPr>
                <w:rFonts w:cs="Arial"/>
                <w:b/>
              </w:rPr>
            </w:pPr>
            <w:r w:rsidRPr="00F24972">
              <w:rPr>
                <w:rFonts w:cs="Arial"/>
                <w:b/>
              </w:rPr>
              <w:t>Positive or Negative Workload Accrued</w:t>
            </w:r>
          </w:p>
        </w:tc>
        <w:tc>
          <w:tcPr>
            <w:tcW w:w="900" w:type="dxa"/>
            <w:tcBorders>
              <w:bottom w:val="single" w:sz="4" w:space="0" w:color="auto"/>
            </w:tcBorders>
            <w:shd w:val="clear" w:color="auto" w:fill="C0C0C0"/>
            <w:textDirection w:val="btLr"/>
            <w:vAlign w:val="bottom"/>
          </w:tcPr>
          <w:p w14:paraId="012C4839" w14:textId="77777777" w:rsidR="000305DD" w:rsidRPr="00F24972" w:rsidRDefault="000305DD" w:rsidP="000305DD">
            <w:pPr>
              <w:pStyle w:val="TableText"/>
              <w:ind w:left="113" w:right="113"/>
              <w:rPr>
                <w:rFonts w:cs="Arial"/>
                <w:b/>
              </w:rPr>
            </w:pPr>
            <w:r w:rsidRPr="00F24972">
              <w:rPr>
                <w:rFonts w:cs="Arial"/>
                <w:b/>
              </w:rPr>
              <w:t>Transaction Type*</w:t>
            </w:r>
          </w:p>
        </w:tc>
        <w:tc>
          <w:tcPr>
            <w:tcW w:w="4950" w:type="dxa"/>
            <w:tcBorders>
              <w:bottom w:val="single" w:sz="4" w:space="0" w:color="auto"/>
            </w:tcBorders>
            <w:shd w:val="clear" w:color="auto" w:fill="C0C0C0"/>
            <w:vAlign w:val="bottom"/>
          </w:tcPr>
          <w:p w14:paraId="1ADB606A" w14:textId="77777777" w:rsidR="000305DD" w:rsidRPr="00F24972" w:rsidRDefault="000305DD" w:rsidP="000305DD">
            <w:pPr>
              <w:pStyle w:val="TableText"/>
              <w:rPr>
                <w:rFonts w:cs="Arial"/>
                <w:b/>
              </w:rPr>
            </w:pPr>
            <w:r w:rsidRPr="00F24972">
              <w:rPr>
                <w:rFonts w:cs="Arial"/>
                <w:b/>
              </w:rPr>
              <w:t xml:space="preserve">Explanation </w:t>
            </w:r>
          </w:p>
        </w:tc>
      </w:tr>
      <w:tr w:rsidR="000305DD" w:rsidRPr="00F24972" w14:paraId="44C7EAB6" w14:textId="77777777" w:rsidTr="00FA340F">
        <w:trPr>
          <w:cantSplit/>
        </w:trPr>
        <w:tc>
          <w:tcPr>
            <w:tcW w:w="1733" w:type="dxa"/>
            <w:vMerge w:val="restart"/>
          </w:tcPr>
          <w:p w14:paraId="636BACB2" w14:textId="77777777" w:rsidR="000305DD" w:rsidRPr="00F24972" w:rsidRDefault="000305DD" w:rsidP="000305DD">
            <w:pPr>
              <w:pStyle w:val="TableText"/>
              <w:rPr>
                <w:rFonts w:cs="Arial"/>
              </w:rPr>
            </w:pPr>
            <w:r w:rsidRPr="00F24972">
              <w:rPr>
                <w:rFonts w:cs="Arial"/>
              </w:rPr>
              <w:t>ABO Forward and reverse typing (patient)</w:t>
            </w:r>
          </w:p>
          <w:p w14:paraId="34CD0F18" w14:textId="77777777" w:rsidR="000305DD" w:rsidRPr="00F24972" w:rsidRDefault="000305DD" w:rsidP="000305DD">
            <w:pPr>
              <w:pStyle w:val="TableText"/>
              <w:rPr>
                <w:rFonts w:cs="Arial"/>
              </w:rPr>
            </w:pPr>
          </w:p>
        </w:tc>
        <w:tc>
          <w:tcPr>
            <w:tcW w:w="1592" w:type="dxa"/>
          </w:tcPr>
          <w:p w14:paraId="39C8CACF" w14:textId="77777777" w:rsidR="000305DD" w:rsidRPr="00F24972" w:rsidRDefault="000305DD" w:rsidP="000305DD">
            <w:pPr>
              <w:pStyle w:val="TableText"/>
              <w:rPr>
                <w:rFonts w:cs="Arial"/>
              </w:rPr>
            </w:pPr>
            <w:r>
              <w:rPr>
                <w:rFonts w:cs="Arial"/>
              </w:rPr>
              <w:t>Transfusion Reaction Workup</w:t>
            </w:r>
          </w:p>
        </w:tc>
        <w:tc>
          <w:tcPr>
            <w:tcW w:w="1080" w:type="dxa"/>
          </w:tcPr>
          <w:p w14:paraId="67193ECA" w14:textId="77777777" w:rsidR="000305DD" w:rsidRPr="00F24972" w:rsidRDefault="000305DD" w:rsidP="000305DD">
            <w:pPr>
              <w:pStyle w:val="TableText"/>
              <w:rPr>
                <w:rFonts w:cs="Arial"/>
              </w:rPr>
            </w:pPr>
            <w:r w:rsidRPr="00F24972">
              <w:rPr>
                <w:rFonts w:cs="Arial"/>
              </w:rPr>
              <w:t>Positive</w:t>
            </w:r>
          </w:p>
        </w:tc>
        <w:tc>
          <w:tcPr>
            <w:tcW w:w="900" w:type="dxa"/>
          </w:tcPr>
          <w:p w14:paraId="4E8AB22F" w14:textId="77777777" w:rsidR="000305DD" w:rsidRPr="00F24972" w:rsidRDefault="000305DD" w:rsidP="000305DD">
            <w:pPr>
              <w:pStyle w:val="TableText"/>
              <w:jc w:val="center"/>
              <w:rPr>
                <w:rFonts w:cs="Arial"/>
              </w:rPr>
            </w:pPr>
            <w:r w:rsidRPr="00F24972">
              <w:rPr>
                <w:rFonts w:cs="Arial"/>
              </w:rPr>
              <w:t>P</w:t>
            </w:r>
          </w:p>
        </w:tc>
        <w:tc>
          <w:tcPr>
            <w:tcW w:w="4950" w:type="dxa"/>
          </w:tcPr>
          <w:p w14:paraId="39E29702" w14:textId="77777777" w:rsidR="000305DD" w:rsidRPr="00F24972" w:rsidRDefault="000305DD" w:rsidP="000305DD">
            <w:pPr>
              <w:pStyle w:val="TableText"/>
              <w:rPr>
                <w:rFonts w:cs="Arial"/>
              </w:rPr>
            </w:pPr>
            <w:r w:rsidRPr="00F24972">
              <w:rPr>
                <w:rFonts w:cs="Arial"/>
              </w:rPr>
              <w:t>An ABO/Rh test for pre or post is enabled and a valid interpretation other than Not Tested is selected. A workload event is accrued separately for Pre and Post entries.</w:t>
            </w:r>
          </w:p>
        </w:tc>
      </w:tr>
      <w:tr w:rsidR="000305DD" w:rsidRPr="00F24972" w14:paraId="4AA9E7A0" w14:textId="77777777" w:rsidTr="00FA340F">
        <w:trPr>
          <w:cantSplit/>
        </w:trPr>
        <w:tc>
          <w:tcPr>
            <w:tcW w:w="1733" w:type="dxa"/>
            <w:vMerge/>
          </w:tcPr>
          <w:p w14:paraId="448430CB"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tcBorders>
          </w:tcPr>
          <w:p w14:paraId="1E50AC12" w14:textId="77777777" w:rsidR="000305DD" w:rsidRPr="00F24972" w:rsidRDefault="000305DD" w:rsidP="000305DD">
            <w:pPr>
              <w:pStyle w:val="TableText"/>
              <w:rPr>
                <w:rFonts w:cs="Arial"/>
              </w:rPr>
            </w:pPr>
            <w:r>
              <w:rPr>
                <w:rFonts w:cs="Arial"/>
              </w:rPr>
              <w:t>Patient Testing: ABO/Rh</w:t>
            </w:r>
          </w:p>
          <w:p w14:paraId="17E5FD97" w14:textId="77777777" w:rsidR="000305DD" w:rsidRPr="00F24972" w:rsidRDefault="000305DD" w:rsidP="000305DD">
            <w:pPr>
              <w:pStyle w:val="TableText"/>
              <w:rPr>
                <w:rFonts w:cs="Arial"/>
              </w:rPr>
            </w:pPr>
          </w:p>
        </w:tc>
        <w:tc>
          <w:tcPr>
            <w:tcW w:w="1080" w:type="dxa"/>
            <w:tcBorders>
              <w:top w:val="single" w:sz="4" w:space="0" w:color="auto"/>
              <w:bottom w:val="single" w:sz="4" w:space="0" w:color="auto"/>
              <w:right w:val="single" w:sz="4" w:space="0" w:color="auto"/>
            </w:tcBorders>
          </w:tcPr>
          <w:p w14:paraId="6D3E5588"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B642DC8"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1D3D1060" w14:textId="77777777" w:rsidR="000305DD" w:rsidRPr="00F24972" w:rsidRDefault="0045199E" w:rsidP="000305DD">
            <w:pPr>
              <w:pStyle w:val="TableText"/>
              <w:rPr>
                <w:rFonts w:cs="Arial"/>
              </w:rPr>
            </w:pPr>
            <w:r w:rsidRPr="00F24972">
              <w:rPr>
                <w:rFonts w:cs="Arial"/>
              </w:rPr>
              <w:t>Accrue workload when an ABO/Rh test performed from the ordered test ABO/Rh only (</w:t>
            </w:r>
            <w:r>
              <w:rPr>
                <w:rFonts w:cs="Arial"/>
              </w:rPr>
              <w:t>Record Patient ABO-Rh</w:t>
            </w:r>
            <w:r w:rsidRPr="00F24972">
              <w:rPr>
                <w:rFonts w:cs="Arial"/>
              </w:rPr>
              <w:t xml:space="preserve"> is completed and saved</w:t>
            </w:r>
            <w:r>
              <w:rPr>
                <w:rFonts w:cs="Arial"/>
              </w:rPr>
              <w:t xml:space="preserve"> </w:t>
            </w:r>
            <w:r w:rsidRPr="00F24972">
              <w:rPr>
                <w:rFonts w:cs="Arial"/>
              </w:rPr>
              <w:t xml:space="preserve">by </w:t>
            </w:r>
            <w:r>
              <w:rPr>
                <w:rFonts w:cs="Arial"/>
              </w:rPr>
              <w:t>Record Testing).</w:t>
            </w:r>
          </w:p>
        </w:tc>
      </w:tr>
      <w:tr w:rsidR="000305DD" w:rsidRPr="00F24972" w14:paraId="194F0A12" w14:textId="77777777" w:rsidTr="00FA340F">
        <w:trPr>
          <w:cantSplit/>
        </w:trPr>
        <w:tc>
          <w:tcPr>
            <w:tcW w:w="1733" w:type="dxa"/>
            <w:vMerge/>
            <w:tcBorders>
              <w:bottom w:val="single" w:sz="4" w:space="0" w:color="auto"/>
            </w:tcBorders>
          </w:tcPr>
          <w:p w14:paraId="7327BA2A"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tcBorders>
          </w:tcPr>
          <w:p w14:paraId="561DE3AE" w14:textId="77777777" w:rsidR="000305DD" w:rsidRPr="00F24972" w:rsidRDefault="000305DD" w:rsidP="000305DD">
            <w:pPr>
              <w:pStyle w:val="TableText"/>
              <w:rPr>
                <w:rFonts w:cs="Arial"/>
              </w:rPr>
            </w:pPr>
            <w:r>
              <w:rPr>
                <w:rFonts w:cs="Arial"/>
              </w:rPr>
              <w:t>Invalidate Patient Testing: Patient ABO/Rh</w:t>
            </w:r>
          </w:p>
        </w:tc>
        <w:tc>
          <w:tcPr>
            <w:tcW w:w="1080" w:type="dxa"/>
            <w:tcBorders>
              <w:top w:val="single" w:sz="4" w:space="0" w:color="auto"/>
              <w:bottom w:val="single" w:sz="4" w:space="0" w:color="auto"/>
              <w:right w:val="single" w:sz="4" w:space="0" w:color="auto"/>
            </w:tcBorders>
          </w:tcPr>
          <w:p w14:paraId="53B45EF4"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49ABA130"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58539384" w14:textId="77777777" w:rsidR="000305DD" w:rsidRPr="00F24972" w:rsidRDefault="000305DD" w:rsidP="000305DD">
            <w:pPr>
              <w:pStyle w:val="TableText"/>
              <w:rPr>
                <w:rFonts w:cs="Arial"/>
              </w:rPr>
            </w:pPr>
            <w:r w:rsidRPr="00F24972">
              <w:rPr>
                <w:rFonts w:cs="Arial"/>
              </w:rPr>
              <w:t>Accrue workload when a completed ABO/Rh test is invalidated.</w:t>
            </w:r>
          </w:p>
        </w:tc>
      </w:tr>
      <w:tr w:rsidR="000305DD" w:rsidRPr="00F24972" w14:paraId="047FBBE2" w14:textId="77777777" w:rsidTr="00FA340F">
        <w:trPr>
          <w:cantSplit/>
        </w:trPr>
        <w:tc>
          <w:tcPr>
            <w:tcW w:w="1733" w:type="dxa"/>
            <w:vMerge w:val="restart"/>
            <w:tcBorders>
              <w:top w:val="single" w:sz="4" w:space="0" w:color="auto"/>
              <w:left w:val="single" w:sz="4" w:space="0" w:color="auto"/>
              <w:right w:val="single" w:sz="4" w:space="0" w:color="auto"/>
            </w:tcBorders>
          </w:tcPr>
          <w:p w14:paraId="08420339" w14:textId="77777777" w:rsidR="000305DD" w:rsidRPr="00F24972" w:rsidRDefault="000305DD" w:rsidP="000305DD">
            <w:pPr>
              <w:pStyle w:val="TableText"/>
              <w:rPr>
                <w:rFonts w:cs="Arial"/>
              </w:rPr>
            </w:pPr>
            <w:r w:rsidRPr="00F24972">
              <w:rPr>
                <w:rFonts w:cs="Arial"/>
              </w:rPr>
              <w:t>ABO Forward and reverse typing (patient) Repeat Test</w:t>
            </w:r>
          </w:p>
          <w:p w14:paraId="67825B66"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0EF95304" w14:textId="77777777" w:rsidR="000305DD" w:rsidRPr="00F24972" w:rsidRDefault="000305DD" w:rsidP="000305DD">
            <w:pPr>
              <w:pStyle w:val="TableText"/>
              <w:rPr>
                <w:rFonts w:cs="Arial"/>
              </w:rPr>
            </w:pPr>
            <w:r>
              <w:rPr>
                <w:rFonts w:cs="Arial"/>
              </w:rPr>
              <w:t>Patient Testing: ABO/Rh</w:t>
            </w:r>
          </w:p>
          <w:p w14:paraId="0DF276B4"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9C09E5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D8796B2"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35AD06C0" w14:textId="77777777" w:rsidR="000305DD" w:rsidRPr="00F24972" w:rsidRDefault="000305DD" w:rsidP="000305DD">
            <w:pPr>
              <w:pStyle w:val="TableText"/>
              <w:rPr>
                <w:rFonts w:cs="Arial"/>
              </w:rPr>
            </w:pPr>
            <w:r w:rsidRPr="00F24972">
              <w:rPr>
                <w:rFonts w:cs="Arial"/>
              </w:rPr>
              <w:t xml:space="preserve">Accrue workload when a reflex or repeat ABO/Rh test is performed, completed and saved via </w:t>
            </w:r>
            <w:r>
              <w:rPr>
                <w:rFonts w:cs="Arial"/>
              </w:rPr>
              <w:t>Record Testing</w:t>
            </w:r>
            <w:r w:rsidRPr="00F24972">
              <w:rPr>
                <w:rFonts w:cs="Arial"/>
              </w:rPr>
              <w:t>.</w:t>
            </w:r>
          </w:p>
          <w:p w14:paraId="49E8D6A8" w14:textId="77777777" w:rsidR="000305DD" w:rsidRPr="00F24972" w:rsidRDefault="000305DD" w:rsidP="000305DD">
            <w:pPr>
              <w:pStyle w:val="TableText"/>
              <w:rPr>
                <w:rFonts w:cs="Arial"/>
              </w:rPr>
            </w:pPr>
            <w:r w:rsidRPr="00F24972">
              <w:rPr>
                <w:rFonts w:cs="Arial"/>
              </w:rPr>
              <w:t xml:space="preserve">Note: ABO/Rh ordered in </w:t>
            </w:r>
            <w:r>
              <w:rPr>
                <w:rFonts w:cs="Arial"/>
              </w:rPr>
              <w:t>Order Reflex Test</w:t>
            </w:r>
            <w:r w:rsidRPr="00F24972">
              <w:rPr>
                <w:rFonts w:cs="Arial"/>
              </w:rPr>
              <w:t xml:space="preserve"> from main menu or via use of </w:t>
            </w:r>
            <w:r>
              <w:rPr>
                <w:rFonts w:cs="Arial"/>
              </w:rPr>
              <w:t xml:space="preserve">Order Reflex Test </w:t>
            </w:r>
            <w:r w:rsidRPr="00F24972">
              <w:rPr>
                <w:rFonts w:cs="Arial"/>
              </w:rPr>
              <w:t xml:space="preserve">from </w:t>
            </w:r>
            <w:r>
              <w:rPr>
                <w:rFonts w:cs="Arial"/>
              </w:rPr>
              <w:t>Record Testing</w:t>
            </w:r>
          </w:p>
        </w:tc>
      </w:tr>
      <w:tr w:rsidR="000305DD" w:rsidRPr="00F24972" w14:paraId="36635F7D" w14:textId="77777777" w:rsidTr="00FA340F">
        <w:trPr>
          <w:cantSplit/>
        </w:trPr>
        <w:tc>
          <w:tcPr>
            <w:tcW w:w="1733" w:type="dxa"/>
            <w:vMerge/>
            <w:tcBorders>
              <w:left w:val="single" w:sz="4" w:space="0" w:color="auto"/>
              <w:bottom w:val="single" w:sz="4" w:space="0" w:color="auto"/>
              <w:right w:val="single" w:sz="4" w:space="0" w:color="auto"/>
            </w:tcBorders>
          </w:tcPr>
          <w:p w14:paraId="33578034"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3EDE2016" w14:textId="77777777" w:rsidR="000305DD" w:rsidRPr="00F24972" w:rsidRDefault="000305DD" w:rsidP="000305DD">
            <w:pPr>
              <w:pStyle w:val="TableText"/>
              <w:rPr>
                <w:rFonts w:cs="Arial"/>
              </w:rPr>
            </w:pPr>
            <w:r>
              <w:rPr>
                <w:rFonts w:cs="Arial"/>
              </w:rPr>
              <w:t>Invalidate Patient Testing: Patient ABO/Rh</w:t>
            </w:r>
          </w:p>
        </w:tc>
        <w:tc>
          <w:tcPr>
            <w:tcW w:w="1080" w:type="dxa"/>
            <w:tcBorders>
              <w:top w:val="single" w:sz="4" w:space="0" w:color="auto"/>
              <w:left w:val="single" w:sz="4" w:space="0" w:color="auto"/>
              <w:bottom w:val="single" w:sz="4" w:space="0" w:color="auto"/>
              <w:right w:val="single" w:sz="4" w:space="0" w:color="auto"/>
            </w:tcBorders>
          </w:tcPr>
          <w:p w14:paraId="6A81B39F"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0CD4CD7B"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5ADB9EAE" w14:textId="77777777" w:rsidR="000305DD" w:rsidRPr="00F24972" w:rsidRDefault="000305DD" w:rsidP="000305DD">
            <w:pPr>
              <w:pStyle w:val="TableText"/>
              <w:rPr>
                <w:rFonts w:cs="Arial"/>
              </w:rPr>
            </w:pPr>
            <w:r w:rsidRPr="00F24972">
              <w:rPr>
                <w:rFonts w:cs="Arial"/>
              </w:rPr>
              <w:t>Accrue workload when a reflex or repeat ABO/Rh test is invalidated.</w:t>
            </w:r>
          </w:p>
        </w:tc>
      </w:tr>
      <w:tr w:rsidR="000305DD" w:rsidRPr="00F24972" w14:paraId="36C33F54" w14:textId="77777777" w:rsidTr="00FA340F">
        <w:trPr>
          <w:cantSplit/>
        </w:trPr>
        <w:tc>
          <w:tcPr>
            <w:tcW w:w="1733" w:type="dxa"/>
            <w:vMerge w:val="restart"/>
            <w:tcBorders>
              <w:top w:val="single" w:sz="4" w:space="0" w:color="auto"/>
              <w:left w:val="single" w:sz="4" w:space="0" w:color="auto"/>
              <w:right w:val="single" w:sz="4" w:space="0" w:color="auto"/>
            </w:tcBorders>
          </w:tcPr>
          <w:p w14:paraId="1D5315EE" w14:textId="77777777" w:rsidR="000305DD" w:rsidRPr="00F24972" w:rsidRDefault="000305DD" w:rsidP="000305DD">
            <w:pPr>
              <w:pStyle w:val="TableText"/>
              <w:rPr>
                <w:rFonts w:cs="Arial"/>
              </w:rPr>
            </w:pPr>
            <w:r w:rsidRPr="00F24972">
              <w:rPr>
                <w:rFonts w:cs="Arial"/>
              </w:rPr>
              <w:t>ABO forward typing (unit)</w:t>
            </w:r>
          </w:p>
        </w:tc>
        <w:tc>
          <w:tcPr>
            <w:tcW w:w="1592" w:type="dxa"/>
            <w:tcBorders>
              <w:top w:val="single" w:sz="4" w:space="0" w:color="auto"/>
              <w:left w:val="single" w:sz="4" w:space="0" w:color="auto"/>
              <w:bottom w:val="single" w:sz="4" w:space="0" w:color="auto"/>
              <w:right w:val="single" w:sz="4" w:space="0" w:color="auto"/>
            </w:tcBorders>
          </w:tcPr>
          <w:p w14:paraId="177D04EF" w14:textId="77777777" w:rsidR="000305DD" w:rsidRPr="00F24972" w:rsidRDefault="000305DD" w:rsidP="000305DD">
            <w:pPr>
              <w:pStyle w:val="TableText"/>
              <w:rPr>
                <w:rFonts w:cs="Arial"/>
              </w:rPr>
            </w:pPr>
            <w:r>
              <w:rPr>
                <w:rFonts w:cs="Arial"/>
              </w:rPr>
              <w:t>Unit ABO/RH confirmation test</w:t>
            </w:r>
          </w:p>
          <w:p w14:paraId="32330484"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6A40FE90"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A72C682"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00364E29" w14:textId="77777777" w:rsidR="000305DD" w:rsidRPr="00F24972" w:rsidRDefault="000305DD" w:rsidP="000305DD">
            <w:pPr>
              <w:pStyle w:val="TableText"/>
              <w:rPr>
                <w:rFonts w:cs="Arial"/>
              </w:rPr>
            </w:pPr>
            <w:r w:rsidRPr="00F24972">
              <w:rPr>
                <w:rFonts w:cs="Arial"/>
              </w:rPr>
              <w:t xml:space="preserve">An ABO confirmation test is performed. When multiple units are selected in a batch, each unit in the batch accrues a workload event. </w:t>
            </w:r>
          </w:p>
          <w:p w14:paraId="3E6121B5" w14:textId="77777777" w:rsidR="000305DD" w:rsidRPr="00F24972" w:rsidRDefault="000305DD" w:rsidP="000305DD">
            <w:pPr>
              <w:pStyle w:val="TableText"/>
              <w:rPr>
                <w:rFonts w:cs="Arial"/>
              </w:rPr>
            </w:pPr>
          </w:p>
          <w:p w14:paraId="2F56FA0B" w14:textId="7FB50097" w:rsidR="000305DD" w:rsidRPr="00F24972" w:rsidRDefault="000305DD" w:rsidP="000305DD">
            <w:pPr>
              <w:pStyle w:val="TableText"/>
              <w:rPr>
                <w:rFonts w:cs="Arial"/>
              </w:rPr>
            </w:pPr>
            <w:r w:rsidRPr="00D01C9F">
              <w:rPr>
                <w:rFonts w:cs="Arial"/>
              </w:rPr>
              <w:t xml:space="preserve">Note: Workload </w:t>
            </w:r>
            <w:r w:rsidRPr="00D01C9F">
              <w:rPr>
                <w:rFonts w:cs="Arial"/>
                <w:sz w:val="20"/>
                <w:szCs w:val="20"/>
              </w:rPr>
              <w:t>generated when Anti-D testing is not included in the unit’s confirmation test.</w:t>
            </w:r>
            <w:r>
              <w:rPr>
                <w:rFonts w:cs="Arial"/>
                <w:color w:val="0000FF"/>
                <w:sz w:val="20"/>
                <w:szCs w:val="20"/>
              </w:rPr>
              <w:t xml:space="preserve"> </w:t>
            </w:r>
            <w:r w:rsidRPr="00F24972">
              <w:rPr>
                <w:rFonts w:cs="Arial"/>
              </w:rPr>
              <w:t>Workload is</w:t>
            </w:r>
            <w:r w:rsidRPr="00F24972">
              <w:rPr>
                <w:rFonts w:cs="Arial"/>
                <w:b/>
              </w:rPr>
              <w:t xml:space="preserve"> not</w:t>
            </w:r>
            <w:r w:rsidRPr="00F24972">
              <w:rPr>
                <w:rFonts w:cs="Arial"/>
              </w:rPr>
              <w:t xml:space="preserve"> accrued when an ABO discrepancy override is processed and VBECS releases all patient assignments. No special handling for workload collection for additional confirmation tests on a unit.</w:t>
            </w:r>
          </w:p>
        </w:tc>
      </w:tr>
      <w:tr w:rsidR="000305DD" w:rsidRPr="00F24972" w14:paraId="09252067" w14:textId="77777777" w:rsidTr="00FA340F">
        <w:trPr>
          <w:cantSplit/>
        </w:trPr>
        <w:tc>
          <w:tcPr>
            <w:tcW w:w="1733" w:type="dxa"/>
            <w:vMerge/>
            <w:tcBorders>
              <w:left w:val="single" w:sz="4" w:space="0" w:color="auto"/>
              <w:right w:val="single" w:sz="4" w:space="0" w:color="auto"/>
            </w:tcBorders>
          </w:tcPr>
          <w:p w14:paraId="7B61505B" w14:textId="77777777" w:rsidR="000305DD" w:rsidRPr="00F24972" w:rsidRDefault="000305DD" w:rsidP="000305DD">
            <w:pPr>
              <w:pStyle w:val="TableText"/>
              <w:rPr>
                <w:rFonts w:cs="Arial"/>
              </w:rPr>
            </w:pPr>
          </w:p>
        </w:tc>
        <w:tc>
          <w:tcPr>
            <w:tcW w:w="1592" w:type="dxa"/>
            <w:tcBorders>
              <w:left w:val="single" w:sz="4" w:space="0" w:color="auto"/>
            </w:tcBorders>
          </w:tcPr>
          <w:p w14:paraId="5F54A0E7" w14:textId="77777777" w:rsidR="000305DD" w:rsidRPr="00F24972" w:rsidRDefault="000305DD" w:rsidP="000305DD">
            <w:pPr>
              <w:pStyle w:val="TableText"/>
              <w:rPr>
                <w:rFonts w:cs="Arial"/>
              </w:rPr>
            </w:pPr>
            <w:r>
              <w:rPr>
                <w:rFonts w:cs="Arial"/>
              </w:rPr>
              <w:t>Invalidate Unit ABO/RH Confirmation test</w:t>
            </w:r>
          </w:p>
        </w:tc>
        <w:tc>
          <w:tcPr>
            <w:tcW w:w="1080" w:type="dxa"/>
          </w:tcPr>
          <w:p w14:paraId="4CADA2D9" w14:textId="77777777" w:rsidR="000305DD" w:rsidRPr="00F24972" w:rsidRDefault="000305DD" w:rsidP="000305DD">
            <w:pPr>
              <w:pStyle w:val="TableText"/>
              <w:rPr>
                <w:rFonts w:cs="Arial"/>
                <w:b/>
              </w:rPr>
            </w:pPr>
            <w:r w:rsidRPr="00F24972">
              <w:rPr>
                <w:rFonts w:cs="Arial"/>
                <w:b/>
              </w:rPr>
              <w:t>Negative</w:t>
            </w:r>
          </w:p>
        </w:tc>
        <w:tc>
          <w:tcPr>
            <w:tcW w:w="900" w:type="dxa"/>
          </w:tcPr>
          <w:p w14:paraId="3C4D2C02" w14:textId="77777777" w:rsidR="000305DD" w:rsidRPr="00F24972" w:rsidRDefault="000305DD" w:rsidP="000305DD">
            <w:pPr>
              <w:pStyle w:val="TableText"/>
              <w:jc w:val="center"/>
              <w:rPr>
                <w:rFonts w:cs="Arial"/>
              </w:rPr>
            </w:pPr>
            <w:r w:rsidRPr="00F24972">
              <w:rPr>
                <w:rFonts w:cs="Arial"/>
              </w:rPr>
              <w:t>U</w:t>
            </w:r>
          </w:p>
        </w:tc>
        <w:tc>
          <w:tcPr>
            <w:tcW w:w="4950" w:type="dxa"/>
          </w:tcPr>
          <w:p w14:paraId="779E2602" w14:textId="77777777" w:rsidR="000305DD" w:rsidRPr="00F24972" w:rsidRDefault="000305DD" w:rsidP="000305DD">
            <w:pPr>
              <w:pStyle w:val="TableText"/>
              <w:rPr>
                <w:rFonts w:cs="Arial"/>
              </w:rPr>
            </w:pPr>
            <w:r w:rsidRPr="00F24972">
              <w:rPr>
                <w:rFonts w:cs="Arial"/>
              </w:rPr>
              <w:t>Accrue workload when an ABO confirmation test is invalidated</w:t>
            </w:r>
          </w:p>
        </w:tc>
      </w:tr>
      <w:tr w:rsidR="000305DD" w:rsidRPr="00F24972" w14:paraId="35CD79C6" w14:textId="77777777" w:rsidTr="00FA340F">
        <w:trPr>
          <w:cantSplit/>
        </w:trPr>
        <w:tc>
          <w:tcPr>
            <w:tcW w:w="1733" w:type="dxa"/>
            <w:vMerge w:val="restart"/>
            <w:tcBorders>
              <w:top w:val="single" w:sz="4" w:space="0" w:color="auto"/>
              <w:left w:val="single" w:sz="4" w:space="0" w:color="auto"/>
              <w:right w:val="single" w:sz="4" w:space="0" w:color="auto"/>
            </w:tcBorders>
          </w:tcPr>
          <w:p w14:paraId="7058C4B0" w14:textId="77777777" w:rsidR="000305DD" w:rsidRPr="00F24972" w:rsidRDefault="000305DD" w:rsidP="000305DD">
            <w:pPr>
              <w:pStyle w:val="TableText"/>
              <w:rPr>
                <w:rFonts w:cs="Arial"/>
              </w:rPr>
            </w:pPr>
            <w:r w:rsidRPr="00F24972">
              <w:rPr>
                <w:rFonts w:cs="Arial"/>
              </w:rPr>
              <w:t>ABO/Rh forward typing (unit)</w:t>
            </w:r>
          </w:p>
        </w:tc>
        <w:tc>
          <w:tcPr>
            <w:tcW w:w="1592" w:type="dxa"/>
            <w:tcBorders>
              <w:top w:val="single" w:sz="4" w:space="0" w:color="auto"/>
              <w:left w:val="single" w:sz="4" w:space="0" w:color="auto"/>
              <w:bottom w:val="single" w:sz="4" w:space="0" w:color="auto"/>
              <w:right w:val="single" w:sz="4" w:space="0" w:color="auto"/>
            </w:tcBorders>
          </w:tcPr>
          <w:p w14:paraId="187E99C3" w14:textId="77777777" w:rsidR="000305DD" w:rsidRPr="00F24972" w:rsidRDefault="000305DD" w:rsidP="000305DD">
            <w:pPr>
              <w:pStyle w:val="TableText"/>
              <w:rPr>
                <w:rFonts w:cs="Arial"/>
              </w:rPr>
            </w:pPr>
            <w:r>
              <w:rPr>
                <w:rFonts w:cs="Arial"/>
              </w:rPr>
              <w:t>Unit ABO/RH confirmation test</w:t>
            </w:r>
          </w:p>
          <w:p w14:paraId="4BDD9133"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0E1836AF"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1F6934B"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7B7D752A" w14:textId="77777777" w:rsidR="000305DD" w:rsidRPr="00F24972" w:rsidRDefault="000305DD" w:rsidP="000305DD">
            <w:pPr>
              <w:pStyle w:val="TableText"/>
              <w:rPr>
                <w:rFonts w:cs="Arial"/>
              </w:rPr>
            </w:pPr>
            <w:r w:rsidRPr="00F24972">
              <w:rPr>
                <w:rFonts w:cs="Arial"/>
              </w:rPr>
              <w:t>An ABO/Rh confirmation test is performed. When multiple units are selected in a batch, each unit in the batch accrues a workload event.</w:t>
            </w:r>
          </w:p>
          <w:p w14:paraId="1704D30E" w14:textId="77777777" w:rsidR="000305DD" w:rsidRPr="00F24972" w:rsidRDefault="000305DD" w:rsidP="000305DD">
            <w:pPr>
              <w:pStyle w:val="TableText"/>
              <w:rPr>
                <w:rFonts w:cs="Arial"/>
              </w:rPr>
            </w:pPr>
          </w:p>
          <w:p w14:paraId="2F21913C" w14:textId="2DF2D3BE" w:rsidR="000305DD" w:rsidRPr="00F24972" w:rsidRDefault="000305DD" w:rsidP="000305DD">
            <w:pPr>
              <w:pStyle w:val="TableText"/>
              <w:rPr>
                <w:rFonts w:cs="Arial"/>
              </w:rPr>
            </w:pPr>
            <w:r w:rsidRPr="00D01C9F">
              <w:rPr>
                <w:rFonts w:cs="Arial"/>
              </w:rPr>
              <w:t xml:space="preserve">Note: Workload </w:t>
            </w:r>
            <w:r w:rsidRPr="00D01C9F">
              <w:rPr>
                <w:rFonts w:cs="Arial"/>
                <w:sz w:val="20"/>
                <w:szCs w:val="20"/>
              </w:rPr>
              <w:t xml:space="preserve">generated </w:t>
            </w:r>
            <w:r w:rsidRPr="00D01C9F">
              <w:rPr>
                <w:rFonts w:cs="Arial"/>
              </w:rPr>
              <w:t>when</w:t>
            </w:r>
            <w:r w:rsidRPr="00D01C9F">
              <w:rPr>
                <w:rFonts w:cs="Arial"/>
                <w:sz w:val="20"/>
                <w:szCs w:val="20"/>
              </w:rPr>
              <w:t xml:space="preserve"> Ant</w:t>
            </w:r>
            <w:r w:rsidR="003A628D">
              <w:rPr>
                <w:rFonts w:cs="Arial"/>
                <w:sz w:val="20"/>
                <w:szCs w:val="20"/>
              </w:rPr>
              <w:t>i</w:t>
            </w:r>
            <w:r w:rsidRPr="00D01C9F">
              <w:rPr>
                <w:rFonts w:cs="Arial"/>
                <w:sz w:val="20"/>
                <w:szCs w:val="20"/>
              </w:rPr>
              <w:t xml:space="preserve">-D is part of the unit’s confirmation test. </w:t>
            </w:r>
            <w:r w:rsidRPr="00D01C9F">
              <w:rPr>
                <w:rFonts w:cs="Arial"/>
              </w:rPr>
              <w:t>Workload is</w:t>
            </w:r>
            <w:r w:rsidRPr="00D01C9F">
              <w:rPr>
                <w:rFonts w:cs="Arial"/>
                <w:b/>
              </w:rPr>
              <w:t xml:space="preserve"> not</w:t>
            </w:r>
            <w:r w:rsidRPr="00D01C9F">
              <w:rPr>
                <w:rFonts w:cs="Arial"/>
              </w:rPr>
              <w:t xml:space="preserve"> accrued when an ABO or Rh discrepancy override is processed and VBECS releases all patient assignments. </w:t>
            </w:r>
            <w:r w:rsidRPr="00F24972">
              <w:rPr>
                <w:rFonts w:cs="Arial"/>
              </w:rPr>
              <w:t>Any unit successfully confirmed accrues workload. For modification Split: Workload is not inherited by split units. A split unit that requires confirmation accrues confirmation workload at the time of testing. No special handling for workload collection for additional confirmation tests on a unit.</w:t>
            </w:r>
          </w:p>
        </w:tc>
      </w:tr>
      <w:tr w:rsidR="000305DD" w:rsidRPr="00F24972" w14:paraId="6CDDFFA8" w14:textId="77777777" w:rsidTr="00FA340F">
        <w:trPr>
          <w:cantSplit/>
        </w:trPr>
        <w:tc>
          <w:tcPr>
            <w:tcW w:w="1733" w:type="dxa"/>
            <w:vMerge/>
            <w:tcBorders>
              <w:left w:val="single" w:sz="4" w:space="0" w:color="auto"/>
              <w:right w:val="single" w:sz="4" w:space="0" w:color="auto"/>
            </w:tcBorders>
          </w:tcPr>
          <w:p w14:paraId="26C565A4" w14:textId="77777777" w:rsidR="000305DD" w:rsidRPr="00F24972" w:rsidRDefault="000305DD" w:rsidP="000305DD">
            <w:pPr>
              <w:pStyle w:val="TableText"/>
              <w:rPr>
                <w:rFonts w:cs="Arial"/>
              </w:rPr>
            </w:pPr>
          </w:p>
        </w:tc>
        <w:tc>
          <w:tcPr>
            <w:tcW w:w="1592" w:type="dxa"/>
            <w:tcBorders>
              <w:left w:val="single" w:sz="4" w:space="0" w:color="auto"/>
            </w:tcBorders>
          </w:tcPr>
          <w:p w14:paraId="7DD90DB4" w14:textId="77777777" w:rsidR="000305DD" w:rsidRPr="00F24972" w:rsidRDefault="000305DD" w:rsidP="000305DD">
            <w:pPr>
              <w:pStyle w:val="TableText"/>
              <w:rPr>
                <w:rFonts w:cs="Arial"/>
              </w:rPr>
            </w:pPr>
            <w:r>
              <w:rPr>
                <w:rFonts w:cs="Arial"/>
              </w:rPr>
              <w:t>Invalidate Unit ABO/RH Confirmation test</w:t>
            </w:r>
          </w:p>
        </w:tc>
        <w:tc>
          <w:tcPr>
            <w:tcW w:w="1080" w:type="dxa"/>
          </w:tcPr>
          <w:p w14:paraId="0AEFBD63" w14:textId="77777777" w:rsidR="000305DD" w:rsidRPr="00F24972" w:rsidRDefault="000305DD" w:rsidP="000305DD">
            <w:pPr>
              <w:pStyle w:val="TableText"/>
              <w:rPr>
                <w:rFonts w:cs="Arial"/>
                <w:b/>
              </w:rPr>
            </w:pPr>
            <w:r w:rsidRPr="00F24972">
              <w:rPr>
                <w:rFonts w:cs="Arial"/>
                <w:b/>
              </w:rPr>
              <w:t>Negative</w:t>
            </w:r>
          </w:p>
        </w:tc>
        <w:tc>
          <w:tcPr>
            <w:tcW w:w="900" w:type="dxa"/>
          </w:tcPr>
          <w:p w14:paraId="2A413058" w14:textId="77777777" w:rsidR="000305DD" w:rsidRPr="00F24972" w:rsidRDefault="000305DD" w:rsidP="000305DD">
            <w:pPr>
              <w:pStyle w:val="TableText"/>
              <w:jc w:val="center"/>
              <w:rPr>
                <w:rFonts w:cs="Arial"/>
              </w:rPr>
            </w:pPr>
            <w:r w:rsidRPr="00F24972">
              <w:rPr>
                <w:rFonts w:cs="Arial"/>
              </w:rPr>
              <w:t>U</w:t>
            </w:r>
          </w:p>
        </w:tc>
        <w:tc>
          <w:tcPr>
            <w:tcW w:w="4950" w:type="dxa"/>
          </w:tcPr>
          <w:p w14:paraId="21E86E59" w14:textId="77777777" w:rsidR="000305DD" w:rsidRPr="00F24972" w:rsidRDefault="000305DD" w:rsidP="000305DD">
            <w:pPr>
              <w:pStyle w:val="TableText"/>
              <w:rPr>
                <w:rFonts w:cs="Arial"/>
              </w:rPr>
            </w:pPr>
            <w:r w:rsidRPr="00F24972">
              <w:rPr>
                <w:rFonts w:cs="Arial"/>
              </w:rPr>
              <w:t>Accrue workload when an ABO/Rh confirmation test is invalidated</w:t>
            </w:r>
          </w:p>
        </w:tc>
      </w:tr>
      <w:tr w:rsidR="000305DD" w:rsidRPr="00F24972" w14:paraId="11BD9306" w14:textId="77777777" w:rsidTr="00FA340F">
        <w:trPr>
          <w:cantSplit/>
        </w:trPr>
        <w:tc>
          <w:tcPr>
            <w:tcW w:w="1733" w:type="dxa"/>
            <w:tcBorders>
              <w:bottom w:val="single" w:sz="4" w:space="0" w:color="auto"/>
            </w:tcBorders>
          </w:tcPr>
          <w:p w14:paraId="1BA5BA22" w14:textId="77777777" w:rsidR="000305DD" w:rsidRPr="00F24972" w:rsidRDefault="000305DD" w:rsidP="000305DD">
            <w:pPr>
              <w:pStyle w:val="TableText"/>
              <w:rPr>
                <w:rFonts w:cs="Arial"/>
              </w:rPr>
            </w:pPr>
            <w:r w:rsidRPr="00F24972">
              <w:rPr>
                <w:rFonts w:cs="Arial"/>
              </w:rPr>
              <w:t>Accept Order</w:t>
            </w:r>
          </w:p>
        </w:tc>
        <w:tc>
          <w:tcPr>
            <w:tcW w:w="1592" w:type="dxa"/>
            <w:tcBorders>
              <w:bottom w:val="single" w:sz="4" w:space="0" w:color="auto"/>
            </w:tcBorders>
          </w:tcPr>
          <w:p w14:paraId="3FE2659F" w14:textId="77777777" w:rsidR="000305DD" w:rsidRPr="00F24972" w:rsidRDefault="000305DD" w:rsidP="000305DD">
            <w:pPr>
              <w:pStyle w:val="TableText"/>
              <w:rPr>
                <w:rFonts w:cs="Arial"/>
              </w:rPr>
            </w:pPr>
            <w:r>
              <w:rPr>
                <w:rFonts w:cs="Arial"/>
              </w:rPr>
              <w:t>Accept Order</w:t>
            </w:r>
          </w:p>
        </w:tc>
        <w:tc>
          <w:tcPr>
            <w:tcW w:w="1080" w:type="dxa"/>
            <w:tcBorders>
              <w:bottom w:val="single" w:sz="4" w:space="0" w:color="auto"/>
            </w:tcBorders>
          </w:tcPr>
          <w:p w14:paraId="6B61523C"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0F9CC0F6" w14:textId="77777777" w:rsidR="000305DD" w:rsidRPr="00F24972" w:rsidRDefault="000305DD" w:rsidP="000305DD">
            <w:pPr>
              <w:pStyle w:val="TableText"/>
              <w:jc w:val="center"/>
              <w:rPr>
                <w:rFonts w:cs="Arial"/>
              </w:rPr>
            </w:pPr>
            <w:r w:rsidRPr="00F24972">
              <w:rPr>
                <w:rFonts w:cs="Arial"/>
              </w:rPr>
              <w:t>M</w:t>
            </w:r>
          </w:p>
        </w:tc>
        <w:tc>
          <w:tcPr>
            <w:tcW w:w="4950" w:type="dxa"/>
            <w:tcBorders>
              <w:bottom w:val="single" w:sz="4" w:space="0" w:color="auto"/>
            </w:tcBorders>
          </w:tcPr>
          <w:p w14:paraId="0BA345E8" w14:textId="77777777" w:rsidR="000305DD" w:rsidRPr="00F24972" w:rsidRDefault="000305DD" w:rsidP="000305DD">
            <w:pPr>
              <w:pStyle w:val="TableText"/>
              <w:rPr>
                <w:rFonts w:cs="Arial"/>
              </w:rPr>
            </w:pPr>
            <w:r w:rsidRPr="00F24972">
              <w:rPr>
                <w:rFonts w:cs="Arial"/>
              </w:rPr>
              <w:t>Accrue workload when an order is accepted. When a multiple orders are selected, each order accrues workload.</w:t>
            </w:r>
          </w:p>
        </w:tc>
      </w:tr>
      <w:tr w:rsidR="000305DD" w:rsidRPr="00F24972" w14:paraId="6957D859" w14:textId="77777777" w:rsidTr="00FA340F">
        <w:trPr>
          <w:cantSplit/>
        </w:trPr>
        <w:tc>
          <w:tcPr>
            <w:tcW w:w="1733" w:type="dxa"/>
            <w:vMerge w:val="restart"/>
            <w:tcBorders>
              <w:top w:val="single" w:sz="4" w:space="0" w:color="auto"/>
              <w:left w:val="single" w:sz="4" w:space="0" w:color="auto"/>
              <w:right w:val="single" w:sz="4" w:space="0" w:color="auto"/>
            </w:tcBorders>
          </w:tcPr>
          <w:p w14:paraId="30BE1A6F" w14:textId="77777777" w:rsidR="000305DD" w:rsidRPr="00F24972" w:rsidRDefault="000305DD" w:rsidP="000305DD">
            <w:pPr>
              <w:pStyle w:val="TableText"/>
              <w:rPr>
                <w:rFonts w:cs="Arial"/>
              </w:rPr>
            </w:pPr>
            <w:r w:rsidRPr="00F24972">
              <w:rPr>
                <w:rFonts w:cs="Arial"/>
              </w:rPr>
              <w:t>Antibody identification Work-Up</w:t>
            </w:r>
          </w:p>
        </w:tc>
        <w:tc>
          <w:tcPr>
            <w:tcW w:w="1592" w:type="dxa"/>
            <w:tcBorders>
              <w:top w:val="single" w:sz="4" w:space="0" w:color="auto"/>
              <w:left w:val="single" w:sz="4" w:space="0" w:color="auto"/>
              <w:bottom w:val="single" w:sz="4" w:space="0" w:color="auto"/>
              <w:right w:val="single" w:sz="4" w:space="0" w:color="auto"/>
            </w:tcBorders>
          </w:tcPr>
          <w:p w14:paraId="0808D238" w14:textId="77777777" w:rsidR="000305DD" w:rsidRPr="00F24972" w:rsidRDefault="000305DD" w:rsidP="000305DD">
            <w:pPr>
              <w:pStyle w:val="TableText"/>
              <w:rPr>
                <w:rFonts w:cs="Arial"/>
              </w:rPr>
            </w:pPr>
            <w:r>
              <w:rPr>
                <w:rFonts w:cs="Arial"/>
              </w:rPr>
              <w:t>ABID Test</w:t>
            </w:r>
          </w:p>
        </w:tc>
        <w:tc>
          <w:tcPr>
            <w:tcW w:w="1080" w:type="dxa"/>
            <w:tcBorders>
              <w:top w:val="single" w:sz="4" w:space="0" w:color="auto"/>
              <w:left w:val="single" w:sz="4" w:space="0" w:color="auto"/>
              <w:bottom w:val="single" w:sz="4" w:space="0" w:color="auto"/>
              <w:right w:val="single" w:sz="4" w:space="0" w:color="auto"/>
            </w:tcBorders>
          </w:tcPr>
          <w:p w14:paraId="5575632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136A44A3"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6ED7D6C9" w14:textId="77777777" w:rsidR="000305DD" w:rsidRPr="00F24972" w:rsidRDefault="000305DD" w:rsidP="000305DD">
            <w:pPr>
              <w:pStyle w:val="TableText"/>
              <w:rPr>
                <w:rFonts w:cs="Arial"/>
              </w:rPr>
            </w:pPr>
            <w:r w:rsidRPr="00F24972">
              <w:rPr>
                <w:rFonts w:cs="Arial"/>
              </w:rPr>
              <w:t xml:space="preserve">User enters additional workload associated with the individual reflex ordered ABID. The selected VBECS multiplier will multiple against the VistA multiplier and display the (multiplication) product on the report in </w:t>
            </w:r>
            <w:r>
              <w:rPr>
                <w:rFonts w:cs="Arial"/>
              </w:rPr>
              <w:t>Division Workload Report</w:t>
            </w:r>
            <w:r w:rsidRPr="00F24972">
              <w:rPr>
                <w:rFonts w:cs="Arial"/>
              </w:rPr>
              <w:t>.</w:t>
            </w:r>
          </w:p>
        </w:tc>
      </w:tr>
      <w:tr w:rsidR="000305DD" w:rsidRPr="00F24972" w14:paraId="044AAEAA" w14:textId="77777777" w:rsidTr="00FA340F">
        <w:trPr>
          <w:cantSplit/>
        </w:trPr>
        <w:tc>
          <w:tcPr>
            <w:tcW w:w="1733" w:type="dxa"/>
            <w:vMerge/>
            <w:tcBorders>
              <w:left w:val="single" w:sz="4" w:space="0" w:color="auto"/>
              <w:bottom w:val="single" w:sz="4" w:space="0" w:color="auto"/>
              <w:right w:val="single" w:sz="4" w:space="0" w:color="auto"/>
            </w:tcBorders>
          </w:tcPr>
          <w:p w14:paraId="6A13CDEF"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14D0307B" w14:textId="77777777" w:rsidR="000305DD" w:rsidRPr="00F24972" w:rsidRDefault="000305DD" w:rsidP="000305DD">
            <w:pPr>
              <w:pStyle w:val="TableText"/>
              <w:rPr>
                <w:rFonts w:cs="Arial"/>
              </w:rPr>
            </w:pPr>
            <w:r>
              <w:rPr>
                <w:rFonts w:cs="Arial"/>
              </w:rPr>
              <w:t>Invalidate ABID Test</w:t>
            </w:r>
          </w:p>
        </w:tc>
        <w:tc>
          <w:tcPr>
            <w:tcW w:w="1080" w:type="dxa"/>
            <w:tcBorders>
              <w:top w:val="single" w:sz="4" w:space="0" w:color="auto"/>
              <w:left w:val="single" w:sz="4" w:space="0" w:color="auto"/>
              <w:bottom w:val="single" w:sz="4" w:space="0" w:color="auto"/>
              <w:right w:val="single" w:sz="4" w:space="0" w:color="auto"/>
            </w:tcBorders>
          </w:tcPr>
          <w:p w14:paraId="11E08C5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E73CAA7"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6B325097" w14:textId="77777777" w:rsidR="000305DD" w:rsidRPr="00F24972" w:rsidRDefault="000305DD" w:rsidP="000305DD">
            <w:pPr>
              <w:pStyle w:val="TableText"/>
              <w:rPr>
                <w:rFonts w:cs="Arial"/>
              </w:rPr>
            </w:pPr>
            <w:r w:rsidRPr="00F24972">
              <w:rPr>
                <w:rFonts w:cs="Arial"/>
              </w:rPr>
              <w:t xml:space="preserve">Accrue workload when the ABID is invalidated. </w:t>
            </w:r>
            <w:r w:rsidRPr="00F24972">
              <w:t xml:space="preserve">All workload processes associated in </w:t>
            </w:r>
            <w:r>
              <w:t>Enter Reflex Test Results</w:t>
            </w:r>
            <w:r w:rsidRPr="00F24972">
              <w:t>, including the selected VBECS multiplier, are invalidated</w:t>
            </w:r>
          </w:p>
        </w:tc>
      </w:tr>
      <w:tr w:rsidR="000305DD" w:rsidRPr="00F24972" w14:paraId="0BDD0A84" w14:textId="77777777" w:rsidTr="00FA340F">
        <w:trPr>
          <w:cantSplit/>
        </w:trPr>
        <w:tc>
          <w:tcPr>
            <w:tcW w:w="1733" w:type="dxa"/>
            <w:vMerge w:val="restart"/>
            <w:tcBorders>
              <w:top w:val="single" w:sz="4" w:space="0" w:color="auto"/>
              <w:left w:val="single" w:sz="4" w:space="0" w:color="auto"/>
              <w:right w:val="single" w:sz="4" w:space="0" w:color="auto"/>
            </w:tcBorders>
          </w:tcPr>
          <w:p w14:paraId="401B6256" w14:textId="77777777" w:rsidR="000305DD" w:rsidRPr="00F24972" w:rsidRDefault="000305DD" w:rsidP="000305DD">
            <w:pPr>
              <w:pStyle w:val="TableText"/>
              <w:rPr>
                <w:rFonts w:cs="Arial"/>
              </w:rPr>
            </w:pPr>
            <w:r w:rsidRPr="00F24972">
              <w:rPr>
                <w:rFonts w:cs="Arial"/>
              </w:rPr>
              <w:t>Antibody Screen (patient)</w:t>
            </w:r>
          </w:p>
        </w:tc>
        <w:tc>
          <w:tcPr>
            <w:tcW w:w="1592" w:type="dxa"/>
            <w:tcBorders>
              <w:top w:val="single" w:sz="4" w:space="0" w:color="auto"/>
              <w:left w:val="single" w:sz="4" w:space="0" w:color="auto"/>
              <w:bottom w:val="single" w:sz="4" w:space="0" w:color="auto"/>
              <w:right w:val="single" w:sz="4" w:space="0" w:color="auto"/>
            </w:tcBorders>
          </w:tcPr>
          <w:p w14:paraId="75984805" w14:textId="77777777" w:rsidR="000305DD" w:rsidRPr="00F24972" w:rsidRDefault="000305DD" w:rsidP="000305DD">
            <w:pPr>
              <w:pStyle w:val="TableText"/>
              <w:rPr>
                <w:rFonts w:cs="Arial"/>
              </w:rPr>
            </w:pPr>
            <w:r>
              <w:rPr>
                <w:rFonts w:cs="Arial"/>
              </w:rPr>
              <w:t>Transfusion reaction workup</w:t>
            </w:r>
          </w:p>
        </w:tc>
        <w:tc>
          <w:tcPr>
            <w:tcW w:w="1080" w:type="dxa"/>
            <w:tcBorders>
              <w:top w:val="single" w:sz="4" w:space="0" w:color="auto"/>
              <w:left w:val="single" w:sz="4" w:space="0" w:color="auto"/>
              <w:bottom w:val="single" w:sz="4" w:space="0" w:color="auto"/>
              <w:right w:val="single" w:sz="4" w:space="0" w:color="auto"/>
            </w:tcBorders>
          </w:tcPr>
          <w:p w14:paraId="6E0FCC4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F1D4969"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51963E33" w14:textId="77777777" w:rsidR="000305DD" w:rsidRPr="00F24972" w:rsidRDefault="000305DD" w:rsidP="000305DD">
            <w:pPr>
              <w:pStyle w:val="TableText"/>
              <w:rPr>
                <w:rFonts w:cs="Arial"/>
              </w:rPr>
            </w:pPr>
            <w:r w:rsidRPr="00F24972">
              <w:rPr>
                <w:rFonts w:cs="Arial"/>
              </w:rPr>
              <w:t>An ABS test for pre or post is enabled and a valid interpretation other than Not Tested is selected. A workload event is accrued separately for Pre and Post entries.</w:t>
            </w:r>
          </w:p>
        </w:tc>
      </w:tr>
      <w:tr w:rsidR="000305DD" w:rsidRPr="00F24972" w14:paraId="4F6FEED0" w14:textId="77777777" w:rsidTr="00FA340F">
        <w:trPr>
          <w:cantSplit/>
        </w:trPr>
        <w:tc>
          <w:tcPr>
            <w:tcW w:w="1733" w:type="dxa"/>
            <w:vMerge/>
            <w:tcBorders>
              <w:left w:val="single" w:sz="4" w:space="0" w:color="auto"/>
              <w:right w:val="single" w:sz="4" w:space="0" w:color="auto"/>
            </w:tcBorders>
          </w:tcPr>
          <w:p w14:paraId="39E91137"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3D464BB7" w14:textId="77777777" w:rsidR="000305DD" w:rsidRPr="00F24972" w:rsidRDefault="000305DD" w:rsidP="000305DD">
            <w:pPr>
              <w:pStyle w:val="TableText"/>
              <w:rPr>
                <w:rFonts w:cs="Arial"/>
              </w:rPr>
            </w:pPr>
            <w:r>
              <w:rPr>
                <w:rFonts w:cs="Arial"/>
              </w:rPr>
              <w:t>Patient Testing ABS test</w:t>
            </w:r>
          </w:p>
          <w:p w14:paraId="4CD37210"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66CBADB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ED3765C"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01706218" w14:textId="728C5850" w:rsidR="000305DD" w:rsidRPr="00F24972" w:rsidRDefault="000305DD" w:rsidP="000305DD">
            <w:pPr>
              <w:pStyle w:val="TableText"/>
              <w:rPr>
                <w:rFonts w:cs="Arial"/>
              </w:rPr>
            </w:pPr>
            <w:r w:rsidRPr="00F24972">
              <w:rPr>
                <w:rFonts w:cs="Arial"/>
              </w:rPr>
              <w:t>Accrue workload when an ordered ABS test performed from the CPRS ordered test ABS only (</w:t>
            </w:r>
            <w:r>
              <w:rPr>
                <w:rFonts w:cs="Arial"/>
              </w:rPr>
              <w:t>Record Patient Antibody Screen</w:t>
            </w:r>
            <w:r w:rsidRPr="00F24972">
              <w:rPr>
                <w:rFonts w:cs="Arial"/>
              </w:rPr>
              <w:t xml:space="preserve"> is completed and saved by </w:t>
            </w:r>
            <w:r>
              <w:rPr>
                <w:rFonts w:cs="Arial"/>
              </w:rPr>
              <w:t>Record Testing</w:t>
            </w:r>
            <w:r w:rsidR="003A628D">
              <w:rPr>
                <w:rFonts w:cs="Arial"/>
              </w:rPr>
              <w:t>)</w:t>
            </w:r>
            <w:r w:rsidRPr="00F24972">
              <w:rPr>
                <w:rFonts w:cs="Arial"/>
              </w:rPr>
              <w:t xml:space="preserve">. The workload accrues when the ABS is completed and saved via </w:t>
            </w:r>
            <w:r>
              <w:rPr>
                <w:rFonts w:cs="Arial"/>
              </w:rPr>
              <w:t>Record Testing</w:t>
            </w:r>
            <w:r w:rsidRPr="00F24972">
              <w:rPr>
                <w:rFonts w:cs="Arial"/>
              </w:rPr>
              <w:t xml:space="preserve"> no matter how many cells (rows) are required by the division configuration.</w:t>
            </w:r>
          </w:p>
        </w:tc>
      </w:tr>
      <w:tr w:rsidR="000305DD" w:rsidRPr="00F24972" w14:paraId="09362C80" w14:textId="77777777" w:rsidTr="00FA340F">
        <w:trPr>
          <w:cantSplit/>
        </w:trPr>
        <w:tc>
          <w:tcPr>
            <w:tcW w:w="1733" w:type="dxa"/>
            <w:vMerge/>
            <w:tcBorders>
              <w:left w:val="single" w:sz="4" w:space="0" w:color="auto"/>
              <w:bottom w:val="single" w:sz="4" w:space="0" w:color="auto"/>
              <w:right w:val="single" w:sz="4" w:space="0" w:color="auto"/>
            </w:tcBorders>
          </w:tcPr>
          <w:p w14:paraId="14296EF8"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1492D106" w14:textId="77777777" w:rsidR="000305DD" w:rsidRPr="00F24972" w:rsidRDefault="000305DD" w:rsidP="000305DD">
            <w:pPr>
              <w:pStyle w:val="TableText"/>
              <w:rPr>
                <w:rFonts w:cs="Arial"/>
              </w:rPr>
            </w:pPr>
            <w:r>
              <w:rPr>
                <w:rFonts w:cs="Arial"/>
              </w:rPr>
              <w:t>Invalidate Patient Testing ABS test</w:t>
            </w:r>
          </w:p>
        </w:tc>
        <w:tc>
          <w:tcPr>
            <w:tcW w:w="1080" w:type="dxa"/>
            <w:tcBorders>
              <w:top w:val="single" w:sz="4" w:space="0" w:color="auto"/>
              <w:left w:val="single" w:sz="4" w:space="0" w:color="auto"/>
              <w:bottom w:val="single" w:sz="4" w:space="0" w:color="auto"/>
              <w:right w:val="single" w:sz="4" w:space="0" w:color="auto"/>
            </w:tcBorders>
          </w:tcPr>
          <w:p w14:paraId="5F699E1B"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71E36439"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3B88C68F" w14:textId="77777777" w:rsidR="000305DD" w:rsidRPr="00F24972" w:rsidRDefault="000305DD" w:rsidP="000305DD">
            <w:pPr>
              <w:pStyle w:val="TableText"/>
              <w:rPr>
                <w:rFonts w:cs="Arial"/>
              </w:rPr>
            </w:pPr>
            <w:r w:rsidRPr="00F24972">
              <w:rPr>
                <w:rFonts w:cs="Arial"/>
              </w:rPr>
              <w:t>Accrue workload when a completed ABS test is invalidated.</w:t>
            </w:r>
          </w:p>
        </w:tc>
      </w:tr>
      <w:tr w:rsidR="000305DD" w:rsidRPr="00F24972" w14:paraId="1B25FC84" w14:textId="77777777" w:rsidTr="00FA340F">
        <w:trPr>
          <w:cantSplit/>
        </w:trPr>
        <w:tc>
          <w:tcPr>
            <w:tcW w:w="1733" w:type="dxa"/>
            <w:vMerge w:val="restart"/>
            <w:tcBorders>
              <w:top w:val="single" w:sz="4" w:space="0" w:color="auto"/>
              <w:left w:val="single" w:sz="4" w:space="0" w:color="auto"/>
              <w:right w:val="single" w:sz="4" w:space="0" w:color="auto"/>
            </w:tcBorders>
          </w:tcPr>
          <w:p w14:paraId="7E55E816" w14:textId="77777777" w:rsidR="000305DD" w:rsidRPr="00F24972" w:rsidRDefault="000305DD" w:rsidP="000305DD">
            <w:pPr>
              <w:pStyle w:val="TableText"/>
              <w:rPr>
                <w:rFonts w:cs="Arial"/>
              </w:rPr>
            </w:pPr>
            <w:r w:rsidRPr="00F24972">
              <w:rPr>
                <w:rFonts w:cs="Arial"/>
              </w:rPr>
              <w:t>Antibody Screen (patient) Repeat Test</w:t>
            </w:r>
          </w:p>
        </w:tc>
        <w:tc>
          <w:tcPr>
            <w:tcW w:w="1592" w:type="dxa"/>
            <w:tcBorders>
              <w:top w:val="single" w:sz="4" w:space="0" w:color="auto"/>
              <w:left w:val="single" w:sz="4" w:space="0" w:color="auto"/>
              <w:bottom w:val="single" w:sz="4" w:space="0" w:color="auto"/>
              <w:right w:val="single" w:sz="4" w:space="0" w:color="auto"/>
            </w:tcBorders>
          </w:tcPr>
          <w:p w14:paraId="40B5A009" w14:textId="77777777" w:rsidR="000305DD" w:rsidRPr="00F24972" w:rsidRDefault="000305DD" w:rsidP="000305DD">
            <w:pPr>
              <w:pStyle w:val="TableText"/>
              <w:rPr>
                <w:rFonts w:cs="Arial"/>
              </w:rPr>
            </w:pPr>
            <w:r>
              <w:rPr>
                <w:rFonts w:cs="Arial"/>
              </w:rPr>
              <w:t>Patient Testing ABS test</w:t>
            </w:r>
          </w:p>
          <w:p w14:paraId="12C93F7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4D950CB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A161A81"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6D03A605" w14:textId="77777777" w:rsidR="000305DD" w:rsidRPr="00F24972" w:rsidRDefault="000305DD" w:rsidP="000305DD">
            <w:pPr>
              <w:pStyle w:val="TableText"/>
              <w:rPr>
                <w:rFonts w:cs="Arial"/>
              </w:rPr>
            </w:pPr>
            <w:r w:rsidRPr="00F24972">
              <w:rPr>
                <w:rFonts w:cs="Arial"/>
              </w:rPr>
              <w:t xml:space="preserve">Accrue workload when a reflex or repeat ABS test is performed, completed and saved via </w:t>
            </w:r>
            <w:r>
              <w:rPr>
                <w:rFonts w:cs="Arial"/>
              </w:rPr>
              <w:t>Record Testing</w:t>
            </w:r>
            <w:r w:rsidRPr="00F24972">
              <w:rPr>
                <w:rFonts w:cs="Arial"/>
              </w:rPr>
              <w:t xml:space="preserve">. </w:t>
            </w:r>
          </w:p>
          <w:p w14:paraId="400501E1" w14:textId="77777777" w:rsidR="000305DD" w:rsidRPr="00F24972" w:rsidRDefault="000305DD" w:rsidP="000305DD">
            <w:pPr>
              <w:pStyle w:val="TableText"/>
              <w:rPr>
                <w:rFonts w:cs="Arial"/>
              </w:rPr>
            </w:pPr>
            <w:r w:rsidRPr="00F24972">
              <w:rPr>
                <w:rFonts w:cs="Arial"/>
              </w:rPr>
              <w:t xml:space="preserve">Note: ABS ordered in </w:t>
            </w:r>
            <w:r>
              <w:rPr>
                <w:rFonts w:cs="Arial"/>
              </w:rPr>
              <w:t>Order Reflex Test</w:t>
            </w:r>
            <w:r w:rsidRPr="00F24972">
              <w:rPr>
                <w:rFonts w:cs="Arial"/>
              </w:rPr>
              <w:t xml:space="preserve"> from main menu or via use of </w:t>
            </w:r>
            <w:r>
              <w:rPr>
                <w:rFonts w:cs="Arial"/>
              </w:rPr>
              <w:t>Order Reflex Test</w:t>
            </w:r>
            <w:r w:rsidRPr="00F24972">
              <w:rPr>
                <w:rFonts w:cs="Arial"/>
              </w:rPr>
              <w:t xml:space="preserve"> from </w:t>
            </w:r>
            <w:r>
              <w:rPr>
                <w:rFonts w:cs="Arial"/>
              </w:rPr>
              <w:t>Record Testing</w:t>
            </w:r>
            <w:r w:rsidRPr="00F24972">
              <w:rPr>
                <w:rFonts w:cs="Arial"/>
              </w:rPr>
              <w:t>.</w:t>
            </w:r>
          </w:p>
        </w:tc>
      </w:tr>
      <w:tr w:rsidR="000305DD" w:rsidRPr="00F24972" w14:paraId="745A114C" w14:textId="77777777" w:rsidTr="00FA340F">
        <w:trPr>
          <w:cantSplit/>
        </w:trPr>
        <w:tc>
          <w:tcPr>
            <w:tcW w:w="1733" w:type="dxa"/>
            <w:vMerge/>
            <w:tcBorders>
              <w:left w:val="single" w:sz="4" w:space="0" w:color="auto"/>
              <w:bottom w:val="single" w:sz="4" w:space="0" w:color="auto"/>
              <w:right w:val="single" w:sz="4" w:space="0" w:color="auto"/>
            </w:tcBorders>
          </w:tcPr>
          <w:p w14:paraId="1B551D63"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2B5512BE" w14:textId="77777777" w:rsidR="000305DD" w:rsidRPr="00F24972" w:rsidRDefault="000305DD" w:rsidP="000305DD">
            <w:pPr>
              <w:pStyle w:val="TableText"/>
              <w:rPr>
                <w:rFonts w:cs="Arial"/>
              </w:rPr>
            </w:pPr>
            <w:r>
              <w:rPr>
                <w:rFonts w:cs="Arial"/>
              </w:rPr>
              <w:t>Invalidate Patient Testing ABS test</w:t>
            </w:r>
          </w:p>
        </w:tc>
        <w:tc>
          <w:tcPr>
            <w:tcW w:w="1080" w:type="dxa"/>
            <w:tcBorders>
              <w:top w:val="single" w:sz="4" w:space="0" w:color="auto"/>
              <w:left w:val="single" w:sz="4" w:space="0" w:color="auto"/>
              <w:bottom w:val="single" w:sz="4" w:space="0" w:color="auto"/>
              <w:right w:val="single" w:sz="4" w:space="0" w:color="auto"/>
            </w:tcBorders>
          </w:tcPr>
          <w:p w14:paraId="79BCCA34"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5AA61C28"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319320B2" w14:textId="77777777" w:rsidR="000305DD" w:rsidRPr="00F24972" w:rsidRDefault="000305DD" w:rsidP="000305DD">
            <w:pPr>
              <w:pStyle w:val="TableText"/>
              <w:rPr>
                <w:rFonts w:cs="Arial"/>
              </w:rPr>
            </w:pPr>
            <w:r w:rsidRPr="00F24972">
              <w:rPr>
                <w:rFonts w:cs="Arial"/>
              </w:rPr>
              <w:t>Accrue workload when a reflex or repeat ABS test is invalidated.</w:t>
            </w:r>
          </w:p>
        </w:tc>
      </w:tr>
      <w:tr w:rsidR="000305DD" w:rsidRPr="00F24972" w14:paraId="6EC93EA7"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3E567923" w14:textId="77777777" w:rsidR="000305DD" w:rsidRPr="00F24972" w:rsidRDefault="000305DD" w:rsidP="000305DD">
            <w:pPr>
              <w:pStyle w:val="TableText"/>
              <w:rPr>
                <w:rFonts w:cs="Arial"/>
              </w:rPr>
            </w:pPr>
            <w:r w:rsidRPr="00F24972">
              <w:rPr>
                <w:rFonts w:cs="Arial"/>
              </w:rPr>
              <w:t>Antigen phenotyping, Single Test phase (QC)</w:t>
            </w:r>
          </w:p>
        </w:tc>
        <w:tc>
          <w:tcPr>
            <w:tcW w:w="1592" w:type="dxa"/>
            <w:tcBorders>
              <w:top w:val="single" w:sz="4" w:space="0" w:color="auto"/>
              <w:left w:val="single" w:sz="4" w:space="0" w:color="auto"/>
              <w:bottom w:val="single" w:sz="4" w:space="0" w:color="auto"/>
              <w:right w:val="single" w:sz="4" w:space="0" w:color="auto"/>
            </w:tcBorders>
          </w:tcPr>
          <w:p w14:paraId="1671F62E" w14:textId="77777777" w:rsidR="000305DD" w:rsidRPr="00F24972" w:rsidRDefault="000305DD" w:rsidP="000305DD">
            <w:pPr>
              <w:pStyle w:val="TableText"/>
              <w:rPr>
                <w:rFonts w:cs="Arial"/>
              </w:rPr>
            </w:pPr>
            <w:r>
              <w:rPr>
                <w:rFonts w:cs="Arial"/>
              </w:rPr>
              <w:t>QC for unit or patient antigen typing</w:t>
            </w:r>
          </w:p>
          <w:p w14:paraId="2CFDFA9C"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683F97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006B01D"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vAlign w:val="bottom"/>
          </w:tcPr>
          <w:p w14:paraId="0B9F0681" w14:textId="77777777" w:rsidR="000305DD" w:rsidRPr="00F24972" w:rsidRDefault="000305DD" w:rsidP="000305DD">
            <w:pPr>
              <w:pStyle w:val="TableText"/>
              <w:rPr>
                <w:rFonts w:cs="Arial"/>
              </w:rPr>
            </w:pPr>
            <w:r w:rsidRPr="00F24972">
              <w:rPr>
                <w:rFonts w:cs="Arial"/>
              </w:rPr>
              <w:t xml:space="preserve">Accrue workload when Antiserum QC is included in </w:t>
            </w:r>
            <w:r>
              <w:rPr>
                <w:rFonts w:cs="Arial"/>
              </w:rPr>
              <w:t>Record Phenotype Results</w:t>
            </w:r>
            <w:r w:rsidRPr="00F24972">
              <w:rPr>
                <w:rFonts w:cs="Arial"/>
              </w:rPr>
              <w:t xml:space="preserve"> or </w:t>
            </w:r>
            <w:r>
              <w:rPr>
                <w:rFonts w:cs="Arial"/>
              </w:rPr>
              <w:t>Record Patient Antigen Types</w:t>
            </w:r>
            <w:r w:rsidRPr="00F24972">
              <w:rPr>
                <w:rFonts w:cs="Arial"/>
              </w:rPr>
              <w:t xml:space="preserve"> includes the testing of both the positive and negative control cells, per specificity by lot number, when only one phase of reactivity is chosen for the test grid, IS or AHG. One workload event is collected per completed tab for regular or repeat antigen tests.</w:t>
            </w:r>
          </w:p>
        </w:tc>
      </w:tr>
      <w:tr w:rsidR="000305DD" w:rsidRPr="00F24972" w14:paraId="4A9D7718"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39758AEC" w14:textId="77777777" w:rsidR="000305DD" w:rsidRPr="00F24972" w:rsidRDefault="000305DD" w:rsidP="000305DD">
            <w:pPr>
              <w:pStyle w:val="TableText"/>
              <w:rPr>
                <w:rFonts w:cs="Arial"/>
              </w:rPr>
            </w:pPr>
            <w:r w:rsidRPr="00F24972">
              <w:rPr>
                <w:rFonts w:cs="Arial"/>
              </w:rPr>
              <w:t>Antigen phenotyping, Multiple Test phases (QC)</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6D5F5C1E" w14:textId="77777777" w:rsidR="000305DD" w:rsidRPr="00F24972" w:rsidRDefault="000305DD" w:rsidP="000305DD">
            <w:pPr>
              <w:pStyle w:val="TableText"/>
              <w:rPr>
                <w:rFonts w:cs="Arial"/>
              </w:rPr>
            </w:pPr>
            <w:r>
              <w:rPr>
                <w:rFonts w:cs="Arial"/>
              </w:rPr>
              <w:t>QC for unit or patient antigen typing</w:t>
            </w:r>
          </w:p>
          <w:p w14:paraId="7E5DE9AC"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3DA789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F507A71"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tcPr>
          <w:p w14:paraId="6D760F33" w14:textId="77777777" w:rsidR="000305DD" w:rsidRPr="00F24972" w:rsidRDefault="000305DD" w:rsidP="000305DD">
            <w:pPr>
              <w:pStyle w:val="TableText"/>
              <w:rPr>
                <w:rFonts w:cs="Arial"/>
              </w:rPr>
            </w:pPr>
            <w:r w:rsidRPr="00F24972">
              <w:rPr>
                <w:rFonts w:cs="Arial"/>
              </w:rPr>
              <w:t xml:space="preserve">Accrue workload when Antiserum QC is included in </w:t>
            </w:r>
            <w:r>
              <w:rPr>
                <w:rFonts w:cs="Arial"/>
              </w:rPr>
              <w:t>Record Phenotype Results</w:t>
            </w:r>
            <w:r w:rsidRPr="00F24972">
              <w:rPr>
                <w:rFonts w:cs="Arial"/>
              </w:rPr>
              <w:t xml:space="preserve"> or </w:t>
            </w:r>
            <w:r>
              <w:rPr>
                <w:rFonts w:cs="Arial"/>
              </w:rPr>
              <w:t>Record Patient Antigen Types</w:t>
            </w:r>
            <w:r w:rsidRPr="00F24972">
              <w:rPr>
                <w:rFonts w:cs="Arial"/>
              </w:rPr>
              <w:t xml:space="preserve"> includes the testing of both the positive and negative control cells, per specificity by lot number, when only multiple phases of reactivity is chosen for the test grid, IS/RT, RT/37 or weak D. One workload event is collected per completed tab for regular or repeat antigen tests.</w:t>
            </w:r>
          </w:p>
          <w:p w14:paraId="653202AC" w14:textId="77777777" w:rsidR="000305DD" w:rsidRPr="00F24972" w:rsidRDefault="000305DD" w:rsidP="000305DD">
            <w:pPr>
              <w:pStyle w:val="TableText"/>
              <w:rPr>
                <w:rFonts w:cs="Arial"/>
              </w:rPr>
            </w:pPr>
            <w:r w:rsidRPr="00F24972">
              <w:rPr>
                <w:rFonts w:cs="Arial"/>
              </w:rPr>
              <w:t>When weak D is the selected test, QC may not be accrued for the rack selection.</w:t>
            </w:r>
            <w:r>
              <w:rPr>
                <w:rFonts w:cs="Arial"/>
              </w:rPr>
              <w:t xml:space="preserve"> </w:t>
            </w:r>
            <w:r w:rsidRPr="00F24972">
              <w:rPr>
                <w:rFonts w:cs="Arial"/>
              </w:rPr>
              <w:t>QC is accrued when positive and negative cells must be tested for the lot number.</w:t>
            </w:r>
          </w:p>
        </w:tc>
      </w:tr>
      <w:tr w:rsidR="000305DD" w:rsidRPr="00F24972" w14:paraId="7ED39CA7"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15EEC22A" w14:textId="77777777" w:rsidR="000305DD" w:rsidRPr="00F24972" w:rsidRDefault="000305DD" w:rsidP="000305DD">
            <w:pPr>
              <w:pStyle w:val="TableText"/>
              <w:rPr>
                <w:rFonts w:cs="Arial"/>
              </w:rPr>
            </w:pPr>
            <w:r w:rsidRPr="00F24972">
              <w:rPr>
                <w:rFonts w:cs="Arial"/>
              </w:rPr>
              <w:t>Cancel Order</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039B950F" w14:textId="77777777" w:rsidR="000305DD" w:rsidRPr="00F24972" w:rsidRDefault="000305DD" w:rsidP="000305DD">
            <w:pPr>
              <w:pStyle w:val="TableText"/>
              <w:rPr>
                <w:rFonts w:cs="Arial"/>
              </w:rPr>
            </w:pPr>
            <w:r>
              <w:rPr>
                <w:rFonts w:cs="Arial"/>
                <w:snapToGrid w:val="0"/>
              </w:rPr>
              <w:t>Accept Order, Reject Order</w:t>
            </w:r>
            <w:r w:rsidRPr="00F24972">
              <w:rPr>
                <w:rFonts w:cs="Arial"/>
                <w:snapToGrid w:val="0"/>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2B2251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7457F28"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102BE3EC" w14:textId="49DD1E4F" w:rsidR="000305DD" w:rsidRPr="00F24972" w:rsidRDefault="000305DD" w:rsidP="000305DD">
            <w:pPr>
              <w:pStyle w:val="TableText"/>
              <w:rPr>
                <w:rFonts w:cs="Arial"/>
              </w:rPr>
            </w:pPr>
            <w:r w:rsidRPr="00F24972">
              <w:rPr>
                <w:rFonts w:cs="Arial"/>
              </w:rPr>
              <w:t>Accrue workload when an order on the pending order list is cancel</w:t>
            </w:r>
            <w:r w:rsidR="002F7E19">
              <w:rPr>
                <w:rFonts w:cs="Arial"/>
              </w:rPr>
              <w:t>l</w:t>
            </w:r>
            <w:r w:rsidRPr="00F24972">
              <w:rPr>
                <w:rFonts w:cs="Arial"/>
              </w:rPr>
              <w:t>ed. When a multiple orders are cancel</w:t>
            </w:r>
            <w:r w:rsidR="002F7E19">
              <w:rPr>
                <w:rFonts w:cs="Arial"/>
              </w:rPr>
              <w:t>l</w:t>
            </w:r>
            <w:r w:rsidRPr="00F24972">
              <w:rPr>
                <w:rFonts w:cs="Arial"/>
              </w:rPr>
              <w:t>ed, each order accrues workload.</w:t>
            </w:r>
          </w:p>
        </w:tc>
      </w:tr>
      <w:tr w:rsidR="000305DD" w:rsidRPr="00F24972" w14:paraId="5750BBB7"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172DB203" w14:textId="77777777" w:rsidR="000305DD" w:rsidRPr="00F24972" w:rsidRDefault="000305DD" w:rsidP="000305DD">
            <w:pPr>
              <w:pStyle w:val="TableText"/>
              <w:rPr>
                <w:rFonts w:cs="Arial"/>
              </w:rPr>
            </w:pPr>
            <w:r w:rsidRPr="00F24972">
              <w:rPr>
                <w:rFonts w:cs="Arial"/>
              </w:rPr>
              <w:t>Cancel Order</w:t>
            </w:r>
          </w:p>
        </w:tc>
        <w:tc>
          <w:tcPr>
            <w:tcW w:w="1592" w:type="dxa"/>
            <w:tcBorders>
              <w:top w:val="single" w:sz="4" w:space="0" w:color="auto"/>
              <w:left w:val="single" w:sz="4" w:space="0" w:color="auto"/>
              <w:bottom w:val="single" w:sz="4" w:space="0" w:color="auto"/>
              <w:right w:val="single" w:sz="4" w:space="0" w:color="auto"/>
            </w:tcBorders>
          </w:tcPr>
          <w:p w14:paraId="4F12D835" w14:textId="77777777" w:rsidR="000305DD" w:rsidRPr="00F24972" w:rsidRDefault="000305DD" w:rsidP="000305DD">
            <w:pPr>
              <w:pStyle w:val="TableText"/>
              <w:rPr>
                <w:rFonts w:cs="Arial"/>
              </w:rPr>
            </w:pPr>
            <w:r>
              <w:rPr>
                <w:rFonts w:cs="Arial"/>
                <w:snapToGrid w:val="0"/>
              </w:rPr>
              <w:t>Patient Testing List, Cancel order</w:t>
            </w:r>
            <w:r w:rsidRPr="00F24972">
              <w:rPr>
                <w:rFonts w:cs="Arial"/>
                <w:snapToGrid w:val="0"/>
              </w:rPr>
              <w:t xml:space="preserve"> </w:t>
            </w:r>
          </w:p>
        </w:tc>
        <w:tc>
          <w:tcPr>
            <w:tcW w:w="1080" w:type="dxa"/>
            <w:tcBorders>
              <w:top w:val="single" w:sz="4" w:space="0" w:color="auto"/>
              <w:left w:val="single" w:sz="4" w:space="0" w:color="auto"/>
              <w:bottom w:val="single" w:sz="4" w:space="0" w:color="auto"/>
              <w:right w:val="single" w:sz="4" w:space="0" w:color="auto"/>
            </w:tcBorders>
          </w:tcPr>
          <w:p w14:paraId="20FD4F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0D28C92"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18678B1E" w14:textId="3DF8F26D" w:rsidR="000305DD" w:rsidRPr="00F24972" w:rsidRDefault="000305DD" w:rsidP="000305DD">
            <w:pPr>
              <w:pStyle w:val="TableText"/>
              <w:rPr>
                <w:rFonts w:cs="Arial"/>
              </w:rPr>
            </w:pPr>
            <w:r w:rsidRPr="00F24972">
              <w:rPr>
                <w:rFonts w:cs="Arial"/>
              </w:rPr>
              <w:t>Accrue workload when an order on the pending task list is cancel</w:t>
            </w:r>
            <w:r w:rsidR="002F7E19">
              <w:rPr>
                <w:rFonts w:cs="Arial"/>
              </w:rPr>
              <w:t>l</w:t>
            </w:r>
            <w:r w:rsidRPr="00F24972">
              <w:rPr>
                <w:rFonts w:cs="Arial"/>
              </w:rPr>
              <w:t xml:space="preserve">ed. When </w:t>
            </w:r>
            <w:r w:rsidR="00AE3B37" w:rsidRPr="00F24972">
              <w:rPr>
                <w:rFonts w:cs="Arial"/>
              </w:rPr>
              <w:t>multiple orders</w:t>
            </w:r>
            <w:r w:rsidRPr="00F24972">
              <w:rPr>
                <w:rFonts w:cs="Arial"/>
              </w:rPr>
              <w:t xml:space="preserve"> are cancel</w:t>
            </w:r>
            <w:r w:rsidR="002F7E19">
              <w:rPr>
                <w:rFonts w:cs="Arial"/>
              </w:rPr>
              <w:t>l</w:t>
            </w:r>
            <w:r w:rsidRPr="00F24972">
              <w:rPr>
                <w:rFonts w:cs="Arial"/>
              </w:rPr>
              <w:t>ed, each order accrues workload.</w:t>
            </w:r>
          </w:p>
        </w:tc>
      </w:tr>
      <w:tr w:rsidR="000305DD" w:rsidRPr="00F24972" w14:paraId="59EA11C5" w14:textId="77777777" w:rsidTr="00FA340F">
        <w:trPr>
          <w:cantSplit/>
        </w:trPr>
        <w:tc>
          <w:tcPr>
            <w:tcW w:w="1733" w:type="dxa"/>
          </w:tcPr>
          <w:p w14:paraId="4F3E2FB3" w14:textId="77777777" w:rsidR="000305DD" w:rsidRPr="00F24972" w:rsidRDefault="000305DD" w:rsidP="000305DD">
            <w:pPr>
              <w:pStyle w:val="TableText"/>
              <w:rPr>
                <w:rFonts w:cs="Arial"/>
              </w:rPr>
            </w:pPr>
            <w:r w:rsidRPr="00F24972">
              <w:rPr>
                <w:rFonts w:cs="Arial"/>
              </w:rPr>
              <w:t>Crossmatch unit, electronic</w:t>
            </w:r>
          </w:p>
          <w:p w14:paraId="1FB8C62A" w14:textId="77777777" w:rsidR="000305DD" w:rsidRPr="00F24972" w:rsidRDefault="000305DD" w:rsidP="000305DD">
            <w:pPr>
              <w:pStyle w:val="TableText"/>
              <w:rPr>
                <w:rFonts w:cs="Arial"/>
              </w:rPr>
            </w:pPr>
          </w:p>
        </w:tc>
        <w:tc>
          <w:tcPr>
            <w:tcW w:w="1592" w:type="dxa"/>
          </w:tcPr>
          <w:p w14:paraId="0E96EE76" w14:textId="77777777" w:rsidR="000305DD" w:rsidRPr="00F24972" w:rsidRDefault="000305DD" w:rsidP="000305DD">
            <w:pPr>
              <w:pStyle w:val="TableText"/>
              <w:rPr>
                <w:rFonts w:cs="Arial"/>
              </w:rPr>
            </w:pPr>
            <w:r>
              <w:rPr>
                <w:rFonts w:cs="Arial"/>
              </w:rPr>
              <w:t>Select Unit</w:t>
            </w:r>
          </w:p>
          <w:p w14:paraId="4F46D6FE" w14:textId="77777777" w:rsidR="000305DD" w:rsidRPr="00F24972" w:rsidRDefault="000305DD" w:rsidP="000305DD">
            <w:pPr>
              <w:pStyle w:val="TableText"/>
              <w:rPr>
                <w:rFonts w:cs="Arial"/>
              </w:rPr>
            </w:pPr>
          </w:p>
        </w:tc>
        <w:tc>
          <w:tcPr>
            <w:tcW w:w="1080" w:type="dxa"/>
          </w:tcPr>
          <w:p w14:paraId="6BB2BBF7" w14:textId="77777777" w:rsidR="000305DD" w:rsidRPr="00F24972" w:rsidRDefault="000305DD" w:rsidP="000305DD">
            <w:pPr>
              <w:pStyle w:val="TableText"/>
              <w:rPr>
                <w:rFonts w:cs="Arial"/>
              </w:rPr>
            </w:pPr>
            <w:r w:rsidRPr="00F24972">
              <w:rPr>
                <w:rFonts w:cs="Arial"/>
              </w:rPr>
              <w:t>Positive</w:t>
            </w:r>
          </w:p>
        </w:tc>
        <w:tc>
          <w:tcPr>
            <w:tcW w:w="900" w:type="dxa"/>
          </w:tcPr>
          <w:p w14:paraId="42E1EFF0" w14:textId="77777777" w:rsidR="000305DD" w:rsidRPr="00F24972" w:rsidRDefault="000305DD" w:rsidP="000305DD">
            <w:pPr>
              <w:pStyle w:val="TableText"/>
              <w:jc w:val="center"/>
              <w:rPr>
                <w:rFonts w:cs="Arial"/>
              </w:rPr>
            </w:pPr>
            <w:r w:rsidRPr="00F24972">
              <w:rPr>
                <w:rFonts w:cs="Arial"/>
              </w:rPr>
              <w:t>P</w:t>
            </w:r>
          </w:p>
        </w:tc>
        <w:tc>
          <w:tcPr>
            <w:tcW w:w="4950" w:type="dxa"/>
          </w:tcPr>
          <w:p w14:paraId="70BE91BE" w14:textId="67516D37" w:rsidR="000305DD" w:rsidRPr="00F24972" w:rsidRDefault="000305DD" w:rsidP="000305DD">
            <w:pPr>
              <w:pStyle w:val="TableText"/>
              <w:rPr>
                <w:rFonts w:cs="Arial"/>
              </w:rPr>
            </w:pPr>
            <w:r w:rsidRPr="00F24972">
              <w:rPr>
                <w:rFonts w:cs="Arial"/>
              </w:rPr>
              <w:t xml:space="preserve">This process is invoked when an individual unit is selected for patient assignment and the unit is electronically crossmatched. When </w:t>
            </w:r>
            <w:r w:rsidR="00AE3B37" w:rsidRPr="00F24972">
              <w:rPr>
                <w:rFonts w:cs="Arial"/>
              </w:rPr>
              <w:t>multiple units</w:t>
            </w:r>
            <w:r w:rsidRPr="00F24972">
              <w:rPr>
                <w:rFonts w:cs="Arial"/>
              </w:rPr>
              <w:t xml:space="preserve"> are selected, each unit accrues workload.</w:t>
            </w:r>
          </w:p>
        </w:tc>
      </w:tr>
      <w:tr w:rsidR="000305DD" w:rsidRPr="00F24972" w14:paraId="168D7F8F" w14:textId="77777777" w:rsidTr="00FA340F">
        <w:trPr>
          <w:cantSplit/>
        </w:trPr>
        <w:tc>
          <w:tcPr>
            <w:tcW w:w="1733" w:type="dxa"/>
            <w:vMerge w:val="restart"/>
            <w:shd w:val="clear" w:color="auto" w:fill="auto"/>
          </w:tcPr>
          <w:p w14:paraId="03B89434" w14:textId="77777777" w:rsidR="000305DD" w:rsidRPr="00F24972" w:rsidRDefault="000305DD" w:rsidP="000305DD">
            <w:pPr>
              <w:pStyle w:val="TableText"/>
              <w:rPr>
                <w:rFonts w:cs="Arial"/>
              </w:rPr>
            </w:pPr>
            <w:r w:rsidRPr="00F24972">
              <w:rPr>
                <w:rFonts w:cs="Arial"/>
              </w:rPr>
              <w:t>Crossmatch unit, serologic immediate spin</w:t>
            </w:r>
          </w:p>
        </w:tc>
        <w:tc>
          <w:tcPr>
            <w:tcW w:w="1592" w:type="dxa"/>
            <w:tcBorders>
              <w:top w:val="single" w:sz="4" w:space="0" w:color="auto"/>
              <w:bottom w:val="single" w:sz="4" w:space="0" w:color="auto"/>
              <w:right w:val="single" w:sz="4" w:space="0" w:color="auto"/>
            </w:tcBorders>
          </w:tcPr>
          <w:p w14:paraId="5B1A3600"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179697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731CEB9"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1CD445FB" w14:textId="72986903" w:rsidR="000305DD" w:rsidRPr="00F24972" w:rsidRDefault="000305DD" w:rsidP="000305DD">
            <w:pPr>
              <w:pStyle w:val="TableText"/>
              <w:rPr>
                <w:rFonts w:cs="Arial"/>
              </w:rPr>
            </w:pPr>
            <w:r w:rsidRPr="00F24972">
              <w:rPr>
                <w:rFonts w:cs="Arial"/>
              </w:rPr>
              <w:t xml:space="preserve">Accrue workload when an individual unit (row) crossmatch, selected to include only the IS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tc>
      </w:tr>
      <w:tr w:rsidR="000305DD" w:rsidRPr="00F24972" w14:paraId="6B65C944" w14:textId="77777777" w:rsidTr="00FA340F">
        <w:trPr>
          <w:cantSplit/>
        </w:trPr>
        <w:tc>
          <w:tcPr>
            <w:tcW w:w="1733" w:type="dxa"/>
            <w:vMerge/>
            <w:tcBorders>
              <w:bottom w:val="single" w:sz="4" w:space="0" w:color="auto"/>
            </w:tcBorders>
            <w:shd w:val="clear" w:color="auto" w:fill="auto"/>
          </w:tcPr>
          <w:p w14:paraId="4D634E77"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75C609F0" w14:textId="77777777" w:rsidR="000305DD" w:rsidRPr="00F24972" w:rsidRDefault="000305DD" w:rsidP="000305DD">
            <w:pPr>
              <w:pStyle w:val="TableText"/>
              <w:rPr>
                <w:rFonts w:cs="Arial"/>
              </w:rPr>
            </w:pPr>
            <w:r>
              <w:rPr>
                <w:rFonts w:cs="Arial"/>
              </w:rPr>
              <w:t>Invalidate 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49782CCE"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25BB4FA"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333AA201" w14:textId="77777777" w:rsidR="000305DD" w:rsidRPr="00F24972" w:rsidRDefault="000305DD" w:rsidP="000305DD">
            <w:pPr>
              <w:pStyle w:val="TableText"/>
              <w:rPr>
                <w:rFonts w:cs="Arial"/>
              </w:rPr>
            </w:pPr>
            <w:r w:rsidRPr="00F24972">
              <w:rPr>
                <w:rFonts w:cs="Arial"/>
              </w:rPr>
              <w:t>Accrue workload when a completed crossmatch test is invalidated. The workload originally saved with the test, serologic immediate spin.</w:t>
            </w:r>
          </w:p>
        </w:tc>
      </w:tr>
      <w:tr w:rsidR="000305DD" w:rsidRPr="00F24972" w14:paraId="0F4600D2" w14:textId="77777777" w:rsidTr="00FA340F">
        <w:trPr>
          <w:cantSplit/>
        </w:trPr>
        <w:tc>
          <w:tcPr>
            <w:tcW w:w="1733" w:type="dxa"/>
            <w:vMerge w:val="restart"/>
          </w:tcPr>
          <w:p w14:paraId="3AE72BCA" w14:textId="77777777" w:rsidR="000305DD" w:rsidRPr="00F24972" w:rsidRDefault="000305DD" w:rsidP="000305DD">
            <w:pPr>
              <w:pStyle w:val="TableText"/>
              <w:rPr>
                <w:rFonts w:cs="Arial"/>
              </w:rPr>
            </w:pPr>
            <w:r w:rsidRPr="00F24972">
              <w:rPr>
                <w:rFonts w:cs="Arial"/>
              </w:rPr>
              <w:t>Crossmatch unit, serological Coombs</w:t>
            </w:r>
          </w:p>
          <w:p w14:paraId="5187C869" w14:textId="77777777" w:rsidR="000305DD" w:rsidRPr="00F24972" w:rsidRDefault="000305DD" w:rsidP="000305DD">
            <w:pPr>
              <w:pStyle w:val="TableText"/>
              <w:rPr>
                <w:rFonts w:cs="Arial"/>
              </w:rPr>
            </w:pPr>
          </w:p>
        </w:tc>
        <w:tc>
          <w:tcPr>
            <w:tcW w:w="1592" w:type="dxa"/>
          </w:tcPr>
          <w:p w14:paraId="612050CA" w14:textId="77777777" w:rsidR="000305DD" w:rsidRPr="00F24972" w:rsidRDefault="000305DD" w:rsidP="000305DD">
            <w:pPr>
              <w:pStyle w:val="TableText"/>
              <w:rPr>
                <w:rFonts w:cs="Arial"/>
              </w:rPr>
            </w:pPr>
            <w:r>
              <w:rPr>
                <w:rFonts w:cs="Arial"/>
              </w:rPr>
              <w:t>Transfusion Reaction Workup, serologic crossmatch</w:t>
            </w:r>
          </w:p>
        </w:tc>
        <w:tc>
          <w:tcPr>
            <w:tcW w:w="1080" w:type="dxa"/>
          </w:tcPr>
          <w:p w14:paraId="2FC83DC2" w14:textId="77777777" w:rsidR="000305DD" w:rsidRPr="00F24972" w:rsidRDefault="000305DD" w:rsidP="000305DD">
            <w:pPr>
              <w:pStyle w:val="TableText"/>
              <w:rPr>
                <w:rFonts w:cs="Arial"/>
              </w:rPr>
            </w:pPr>
            <w:r w:rsidRPr="00F24972">
              <w:rPr>
                <w:rFonts w:cs="Arial"/>
              </w:rPr>
              <w:t>Positive</w:t>
            </w:r>
          </w:p>
        </w:tc>
        <w:tc>
          <w:tcPr>
            <w:tcW w:w="900" w:type="dxa"/>
          </w:tcPr>
          <w:p w14:paraId="2FF6164A" w14:textId="77777777" w:rsidR="000305DD" w:rsidRPr="00F24972" w:rsidRDefault="000305DD" w:rsidP="000305DD">
            <w:pPr>
              <w:pStyle w:val="TableText"/>
              <w:jc w:val="center"/>
              <w:rPr>
                <w:rFonts w:cs="Arial"/>
              </w:rPr>
            </w:pPr>
            <w:r w:rsidRPr="00F24972">
              <w:rPr>
                <w:rFonts w:cs="Arial"/>
              </w:rPr>
              <w:t>P</w:t>
            </w:r>
          </w:p>
        </w:tc>
        <w:tc>
          <w:tcPr>
            <w:tcW w:w="4950" w:type="dxa"/>
          </w:tcPr>
          <w:p w14:paraId="0EC1F46B" w14:textId="77777777" w:rsidR="000305DD" w:rsidRPr="00F24972" w:rsidRDefault="000305DD" w:rsidP="000305DD">
            <w:pPr>
              <w:pStyle w:val="TableText"/>
              <w:rPr>
                <w:rFonts w:cs="Arial"/>
              </w:rPr>
            </w:pPr>
            <w:r w:rsidRPr="00F24972">
              <w:rPr>
                <w:rFonts w:cs="Arial"/>
              </w:rPr>
              <w:t>A crossmatch test for pre or post is enabled and a valid interpretation other than Not Tested is selected. A workload event is accrued separately for Pre and Post entries.</w:t>
            </w:r>
          </w:p>
          <w:p w14:paraId="41CA770D" w14:textId="12C7E12B" w:rsidR="000305DD" w:rsidRPr="00F24972" w:rsidRDefault="000305DD" w:rsidP="000305DD">
            <w:pPr>
              <w:pStyle w:val="TableText"/>
              <w:rPr>
                <w:rFonts w:cs="Arial"/>
              </w:rPr>
            </w:pPr>
            <w:r w:rsidRPr="00F24972">
              <w:rPr>
                <w:rFonts w:cs="Arial"/>
              </w:rPr>
              <w:t xml:space="preserve">When </w:t>
            </w:r>
            <w:r w:rsidR="00AE3B37" w:rsidRPr="00F24972">
              <w:rPr>
                <w:rFonts w:cs="Arial"/>
              </w:rPr>
              <w:t>multiple units</w:t>
            </w:r>
            <w:r w:rsidRPr="00F24972">
              <w:rPr>
                <w:rFonts w:cs="Arial"/>
              </w:rPr>
              <w:t xml:space="preserve"> are selected, each unit accrues workload.</w:t>
            </w:r>
          </w:p>
        </w:tc>
      </w:tr>
      <w:tr w:rsidR="000305DD" w:rsidRPr="00F24972" w14:paraId="78533767" w14:textId="77777777" w:rsidTr="00FA340F">
        <w:trPr>
          <w:cantSplit/>
        </w:trPr>
        <w:tc>
          <w:tcPr>
            <w:tcW w:w="1733" w:type="dxa"/>
            <w:vMerge/>
          </w:tcPr>
          <w:p w14:paraId="0B9A3CA1"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371492C7"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2B4FAF2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AFFB40D"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2EAB2FBD" w14:textId="2526EF5B" w:rsidR="000305DD" w:rsidRPr="00F24972" w:rsidRDefault="000305DD" w:rsidP="000305DD">
            <w:pPr>
              <w:pStyle w:val="TableText"/>
              <w:rPr>
                <w:rFonts w:cs="Arial"/>
              </w:rPr>
            </w:pPr>
            <w:r w:rsidRPr="00F24972">
              <w:rPr>
                <w:rFonts w:cs="Arial"/>
              </w:rPr>
              <w:t xml:space="preserve">Accrue workload when an individual unit (row) crossmatch, selected to include all phases or only AHG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tc>
      </w:tr>
      <w:tr w:rsidR="000305DD" w:rsidRPr="00F24972" w14:paraId="0F8C7507" w14:textId="77777777" w:rsidTr="00FA340F">
        <w:trPr>
          <w:cantSplit/>
        </w:trPr>
        <w:tc>
          <w:tcPr>
            <w:tcW w:w="1733" w:type="dxa"/>
            <w:vMerge/>
            <w:tcBorders>
              <w:bottom w:val="single" w:sz="4" w:space="0" w:color="auto"/>
            </w:tcBorders>
          </w:tcPr>
          <w:p w14:paraId="2B817124"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FDE3C56" w14:textId="77777777" w:rsidR="000305DD" w:rsidRDefault="000305DD" w:rsidP="000305DD">
            <w:pPr>
              <w:pStyle w:val="TableText"/>
              <w:rPr>
                <w:rFonts w:cs="Arial"/>
              </w:rPr>
            </w:pPr>
            <w:r>
              <w:rPr>
                <w:rFonts w:cs="Arial"/>
              </w:rPr>
              <w:t>Invalidate</w:t>
            </w:r>
          </w:p>
          <w:p w14:paraId="2BBD62F2" w14:textId="77777777" w:rsidR="000305DD" w:rsidRPr="00F24972" w:rsidRDefault="000305DD" w:rsidP="000305DD">
            <w:pPr>
              <w:pStyle w:val="TableText"/>
              <w:rPr>
                <w:rFonts w:cs="Arial"/>
              </w:rPr>
            </w:pPr>
            <w:r>
              <w:rPr>
                <w:rFonts w:cs="Arial"/>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1B899E2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09842505"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2D8CD9CE" w14:textId="77777777" w:rsidR="000305DD" w:rsidRPr="00F24972" w:rsidRDefault="000305DD" w:rsidP="000305DD">
            <w:pPr>
              <w:pStyle w:val="TableText"/>
              <w:rPr>
                <w:rFonts w:cs="Arial"/>
              </w:rPr>
            </w:pPr>
            <w:r w:rsidRPr="00F24972">
              <w:rPr>
                <w:rFonts w:cs="Arial"/>
              </w:rPr>
              <w:t>Accrue workload when a completed crossmatch test is invalidated. The workload originally saved with the test, serological Coombs.</w:t>
            </w:r>
          </w:p>
        </w:tc>
      </w:tr>
      <w:tr w:rsidR="000305DD" w:rsidRPr="00F24972" w14:paraId="31BB82BE" w14:textId="77777777" w:rsidTr="00FA340F">
        <w:trPr>
          <w:cantSplit/>
        </w:trPr>
        <w:tc>
          <w:tcPr>
            <w:tcW w:w="1733" w:type="dxa"/>
            <w:vMerge w:val="restart"/>
          </w:tcPr>
          <w:p w14:paraId="1A724212" w14:textId="77777777" w:rsidR="000305DD" w:rsidRPr="00F24972" w:rsidRDefault="000305DD" w:rsidP="000305DD">
            <w:pPr>
              <w:pStyle w:val="TableText"/>
              <w:rPr>
                <w:rFonts w:cs="Arial"/>
              </w:rPr>
            </w:pPr>
            <w:r w:rsidRPr="00F24972">
              <w:rPr>
                <w:rFonts w:cs="Arial"/>
              </w:rPr>
              <w:t>Crossmatch, Repeat Test</w:t>
            </w:r>
          </w:p>
          <w:p w14:paraId="2C5D6CAE" w14:textId="77777777" w:rsidR="000305DD" w:rsidRPr="00F24972" w:rsidRDefault="000305DD" w:rsidP="000305DD">
            <w:pPr>
              <w:pStyle w:val="TableText"/>
              <w:rPr>
                <w:rFonts w:cs="Arial"/>
              </w:rPr>
            </w:pPr>
          </w:p>
        </w:tc>
        <w:tc>
          <w:tcPr>
            <w:tcW w:w="1592" w:type="dxa"/>
          </w:tcPr>
          <w:p w14:paraId="171F1546" w14:textId="77777777" w:rsidR="000305DD" w:rsidRPr="00F24972" w:rsidRDefault="000305DD" w:rsidP="000305DD">
            <w:pPr>
              <w:pStyle w:val="TableText"/>
              <w:rPr>
                <w:rFonts w:cs="Arial"/>
              </w:rPr>
            </w:pPr>
            <w:r>
              <w:rPr>
                <w:rFonts w:cs="Arial"/>
              </w:rPr>
              <w:t>Patient Testing, serologic crossmatch</w:t>
            </w:r>
          </w:p>
        </w:tc>
        <w:tc>
          <w:tcPr>
            <w:tcW w:w="1080" w:type="dxa"/>
          </w:tcPr>
          <w:p w14:paraId="1E7FCB8A" w14:textId="77777777" w:rsidR="000305DD" w:rsidRPr="00F24972" w:rsidRDefault="000305DD" w:rsidP="000305DD">
            <w:pPr>
              <w:pStyle w:val="TableText"/>
              <w:rPr>
                <w:rFonts w:cs="Arial"/>
              </w:rPr>
            </w:pPr>
            <w:r w:rsidRPr="00F24972">
              <w:rPr>
                <w:rFonts w:cs="Arial"/>
              </w:rPr>
              <w:t>Positive</w:t>
            </w:r>
          </w:p>
        </w:tc>
        <w:tc>
          <w:tcPr>
            <w:tcW w:w="900" w:type="dxa"/>
          </w:tcPr>
          <w:p w14:paraId="27B02DF3" w14:textId="77777777" w:rsidR="000305DD" w:rsidRPr="00F24972" w:rsidRDefault="000305DD" w:rsidP="000305DD">
            <w:pPr>
              <w:pStyle w:val="TableText"/>
              <w:jc w:val="center"/>
              <w:rPr>
                <w:rFonts w:cs="Arial"/>
              </w:rPr>
            </w:pPr>
            <w:r w:rsidRPr="00F24972">
              <w:rPr>
                <w:rFonts w:cs="Arial"/>
              </w:rPr>
              <w:t>M</w:t>
            </w:r>
          </w:p>
        </w:tc>
        <w:tc>
          <w:tcPr>
            <w:tcW w:w="4950" w:type="dxa"/>
          </w:tcPr>
          <w:p w14:paraId="2CDF7B53" w14:textId="446C2F69" w:rsidR="000305DD" w:rsidRPr="00F24972" w:rsidRDefault="000305DD" w:rsidP="000305DD">
            <w:pPr>
              <w:pStyle w:val="TableText"/>
              <w:rPr>
                <w:rFonts w:cs="Arial"/>
              </w:rPr>
            </w:pPr>
            <w:r w:rsidRPr="00F24972">
              <w:rPr>
                <w:rFonts w:cs="Arial"/>
              </w:rPr>
              <w:t xml:space="preserve">Accrue workload when an individual unit (row) crossmatch, selected to include all phases or IS or only AHG phase, is completed and is saved by </w:t>
            </w:r>
            <w:r>
              <w:rPr>
                <w:rFonts w:cs="Arial"/>
              </w:rPr>
              <w:t>Record Testing</w:t>
            </w:r>
            <w:r w:rsidRPr="00F24972">
              <w:rPr>
                <w:rFonts w:cs="Arial"/>
              </w:rPr>
              <w:t xml:space="preserve">. When </w:t>
            </w:r>
            <w:r w:rsidR="00AE3B37" w:rsidRPr="00F24972">
              <w:rPr>
                <w:rFonts w:cs="Arial"/>
              </w:rPr>
              <w:t>multiple units</w:t>
            </w:r>
            <w:r w:rsidRPr="00F24972">
              <w:rPr>
                <w:rFonts w:cs="Arial"/>
              </w:rPr>
              <w:t xml:space="preserve"> are selected, each unit (row) accrues workload.</w:t>
            </w:r>
          </w:p>
          <w:p w14:paraId="148AF3E6" w14:textId="77777777" w:rsidR="000305DD" w:rsidRPr="00F24972" w:rsidRDefault="000305DD" w:rsidP="000305DD">
            <w:pPr>
              <w:pStyle w:val="TableText"/>
              <w:rPr>
                <w:rFonts w:cs="Arial"/>
              </w:rPr>
            </w:pPr>
            <w:r w:rsidRPr="00F24972">
              <w:rPr>
                <w:rFonts w:cs="Arial"/>
              </w:rPr>
              <w:t xml:space="preserve">Note: ordered via </w:t>
            </w:r>
            <w:r>
              <w:rPr>
                <w:rFonts w:cs="Arial"/>
              </w:rPr>
              <w:t>Order Reflex Test</w:t>
            </w:r>
            <w:r w:rsidRPr="00F24972">
              <w:rPr>
                <w:rFonts w:cs="Arial"/>
              </w:rPr>
              <w:t xml:space="preserve"> from main menu or the use of </w:t>
            </w:r>
            <w:r>
              <w:rPr>
                <w:rFonts w:cs="Arial"/>
              </w:rPr>
              <w:t>Order Reflex Test</w:t>
            </w:r>
            <w:r w:rsidRPr="00F24972">
              <w:rPr>
                <w:rFonts w:cs="Arial"/>
              </w:rPr>
              <w:t xml:space="preserve"> by </w:t>
            </w:r>
            <w:r>
              <w:rPr>
                <w:rFonts w:cs="Arial"/>
              </w:rPr>
              <w:t>Record Testing</w:t>
            </w:r>
            <w:r w:rsidRPr="00F24972">
              <w:rPr>
                <w:rFonts w:cs="Arial"/>
              </w:rPr>
              <w:t>.</w:t>
            </w:r>
          </w:p>
        </w:tc>
      </w:tr>
      <w:tr w:rsidR="000305DD" w:rsidRPr="00F24972" w14:paraId="6690CDDA" w14:textId="77777777" w:rsidTr="00FA340F">
        <w:trPr>
          <w:cantSplit/>
        </w:trPr>
        <w:tc>
          <w:tcPr>
            <w:tcW w:w="1733" w:type="dxa"/>
            <w:vMerge/>
            <w:tcBorders>
              <w:bottom w:val="single" w:sz="4" w:space="0" w:color="auto"/>
            </w:tcBorders>
          </w:tcPr>
          <w:p w14:paraId="019371BE"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07F3AC7" w14:textId="77777777" w:rsidR="000305DD" w:rsidRPr="00027B0B" w:rsidRDefault="000305DD" w:rsidP="000305DD">
            <w:pPr>
              <w:pStyle w:val="TableText"/>
              <w:rPr>
                <w:rFonts w:cs="Arial"/>
                <w:sz w:val="16"/>
                <w:szCs w:val="16"/>
              </w:rPr>
            </w:pPr>
            <w:r w:rsidRPr="00027B0B">
              <w:rPr>
                <w:rFonts w:cs="Arial"/>
                <w:sz w:val="16"/>
                <w:szCs w:val="16"/>
              </w:rPr>
              <w:t>Invalidate</w:t>
            </w:r>
          </w:p>
          <w:p w14:paraId="7BFE92F9" w14:textId="77777777" w:rsidR="000305DD" w:rsidRPr="00F24972" w:rsidRDefault="000305DD" w:rsidP="000305DD">
            <w:pPr>
              <w:rPr>
                <w:rFonts w:ascii="Arial" w:hAnsi="Arial" w:cs="Arial"/>
                <w:sz w:val="18"/>
                <w:szCs w:val="18"/>
              </w:rPr>
            </w:pPr>
            <w:r w:rsidRPr="00027B0B">
              <w:rPr>
                <w:rFonts w:ascii="Arial" w:hAnsi="Arial" w:cs="Arial"/>
                <w:sz w:val="16"/>
                <w:szCs w:val="16"/>
              </w:rPr>
              <w:t>Patient Testing, serologic crossmatch</w:t>
            </w:r>
          </w:p>
        </w:tc>
        <w:tc>
          <w:tcPr>
            <w:tcW w:w="1080" w:type="dxa"/>
            <w:tcBorders>
              <w:top w:val="single" w:sz="4" w:space="0" w:color="auto"/>
              <w:left w:val="single" w:sz="4" w:space="0" w:color="auto"/>
              <w:bottom w:val="single" w:sz="4" w:space="0" w:color="auto"/>
              <w:right w:val="single" w:sz="4" w:space="0" w:color="auto"/>
            </w:tcBorders>
          </w:tcPr>
          <w:p w14:paraId="70594604" w14:textId="77777777" w:rsidR="000305DD" w:rsidRPr="00F24972" w:rsidRDefault="000305DD" w:rsidP="000305DD">
            <w:pPr>
              <w:rPr>
                <w:rFonts w:ascii="Arial" w:hAnsi="Arial" w:cs="Arial"/>
                <w:b/>
                <w:sz w:val="18"/>
                <w:szCs w:val="18"/>
              </w:rPr>
            </w:pPr>
            <w:r w:rsidRPr="00F24972">
              <w:rPr>
                <w:rFonts w:ascii="Arial" w:hAnsi="Arial" w:cs="Arial"/>
                <w:b/>
                <w:sz w:val="18"/>
                <w:szCs w:val="18"/>
              </w:rPr>
              <w:t>Negative</w:t>
            </w:r>
          </w:p>
        </w:tc>
        <w:tc>
          <w:tcPr>
            <w:tcW w:w="900" w:type="dxa"/>
            <w:tcBorders>
              <w:top w:val="single" w:sz="4" w:space="0" w:color="auto"/>
              <w:left w:val="single" w:sz="4" w:space="0" w:color="auto"/>
              <w:bottom w:val="single" w:sz="4" w:space="0" w:color="auto"/>
              <w:right w:val="single" w:sz="4" w:space="0" w:color="auto"/>
            </w:tcBorders>
          </w:tcPr>
          <w:p w14:paraId="2BDFEABC"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483CFBB3" w14:textId="77777777" w:rsidR="000305DD" w:rsidRPr="00F24972" w:rsidRDefault="000305DD" w:rsidP="000305DD">
            <w:pPr>
              <w:pStyle w:val="TableText"/>
              <w:rPr>
                <w:rFonts w:cs="Arial"/>
              </w:rPr>
            </w:pPr>
            <w:r w:rsidRPr="00F24972">
              <w:rPr>
                <w:rFonts w:cs="Arial"/>
              </w:rPr>
              <w:t>Accrue workload when an individual unit crossmatch is invalidated.</w:t>
            </w:r>
          </w:p>
        </w:tc>
      </w:tr>
      <w:tr w:rsidR="000305DD" w:rsidRPr="00F24972" w14:paraId="1CCA840B" w14:textId="77777777" w:rsidTr="00FA340F">
        <w:trPr>
          <w:cantSplit/>
        </w:trPr>
        <w:tc>
          <w:tcPr>
            <w:tcW w:w="1733" w:type="dxa"/>
            <w:tcBorders>
              <w:top w:val="single" w:sz="4" w:space="0" w:color="auto"/>
              <w:left w:val="single" w:sz="4" w:space="0" w:color="auto"/>
              <w:bottom w:val="single" w:sz="4" w:space="0" w:color="auto"/>
              <w:right w:val="single" w:sz="4" w:space="0" w:color="auto"/>
            </w:tcBorders>
            <w:vAlign w:val="bottom"/>
          </w:tcPr>
          <w:p w14:paraId="5C361D81" w14:textId="77777777" w:rsidR="000305DD" w:rsidRPr="00F24972" w:rsidRDefault="000305DD" w:rsidP="000305DD">
            <w:pPr>
              <w:pStyle w:val="TableText"/>
              <w:rPr>
                <w:rFonts w:cs="Arial"/>
              </w:rPr>
            </w:pPr>
            <w:r w:rsidRPr="00F24972">
              <w:rPr>
                <w:rFonts w:cs="Arial"/>
              </w:rPr>
              <w:t>Daily Rack Quality Control (QC)</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2316BAA0" w14:textId="77777777" w:rsidR="000305DD" w:rsidRPr="00F24972" w:rsidRDefault="000305DD" w:rsidP="000305DD">
            <w:pPr>
              <w:pStyle w:val="TableText"/>
              <w:rPr>
                <w:rFonts w:cs="Arial"/>
              </w:rPr>
            </w:pPr>
            <w:r>
              <w:rPr>
                <w:rFonts w:cs="Arial"/>
              </w:rPr>
              <w:t>Enter Daily Reagent Rack QC</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A026105"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850CEF1"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tcPr>
          <w:p w14:paraId="1F1FAA07" w14:textId="77777777" w:rsidR="000305DD" w:rsidRPr="00F24972" w:rsidRDefault="000305DD" w:rsidP="000305DD">
            <w:pPr>
              <w:pStyle w:val="TableText"/>
              <w:rPr>
                <w:rFonts w:cs="Arial"/>
              </w:rPr>
            </w:pPr>
            <w:r w:rsidRPr="00F24972">
              <w:rPr>
                <w:rFonts w:cs="Arial"/>
              </w:rPr>
              <w:t>Accrue workload when Daily QC rack completed for one individual rack includes all rows in configured QC. When multiple racks are tested, each completed and saved tab accrues a workload event.</w:t>
            </w:r>
          </w:p>
        </w:tc>
      </w:tr>
      <w:tr w:rsidR="000305DD" w:rsidRPr="00F24972" w14:paraId="09070EE8"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20386800" w14:textId="77777777" w:rsidR="000305DD" w:rsidRPr="00F24972" w:rsidRDefault="000305DD" w:rsidP="000305DD">
            <w:pPr>
              <w:pStyle w:val="TableText"/>
              <w:rPr>
                <w:rFonts w:cs="Arial"/>
              </w:rPr>
            </w:pPr>
            <w:r w:rsidRPr="00F24972">
              <w:rPr>
                <w:rFonts w:cs="Arial"/>
              </w:rPr>
              <w:t>DAT (QC)</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2EFA7ED9" w14:textId="4FF7E02E" w:rsidR="000305DD" w:rsidRPr="00F24972" w:rsidRDefault="000305DD" w:rsidP="000305DD">
            <w:pPr>
              <w:pStyle w:val="TableText"/>
              <w:rPr>
                <w:rFonts w:cs="Arial"/>
              </w:rPr>
            </w:pPr>
            <w:r>
              <w:rPr>
                <w:rFonts w:cs="Arial"/>
              </w:rPr>
              <w:t xml:space="preserve">Enter Daily Reagent Rack QC </w:t>
            </w:r>
            <w:r w:rsidR="00AE3B37">
              <w:rPr>
                <w:rFonts w:cs="Arial"/>
              </w:rPr>
              <w:t>or DAT</w:t>
            </w:r>
            <w:r>
              <w:rPr>
                <w:rFonts w:cs="Arial"/>
              </w:rPr>
              <w:t xml:space="preserve"> QC</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AE1232C"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A0F2EBF"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vAlign w:val="bottom"/>
          </w:tcPr>
          <w:p w14:paraId="03810E1D" w14:textId="77777777" w:rsidR="000305DD" w:rsidRPr="00F24972" w:rsidRDefault="000305DD" w:rsidP="000305DD">
            <w:pPr>
              <w:pStyle w:val="TableText"/>
              <w:rPr>
                <w:rFonts w:cs="Arial"/>
              </w:rPr>
            </w:pPr>
            <w:r w:rsidRPr="00F24972">
              <w:rPr>
                <w:rFonts w:cs="Arial"/>
              </w:rPr>
              <w:t xml:space="preserve">Accrue workload when Reagent QC completed or in </w:t>
            </w:r>
            <w:r>
              <w:rPr>
                <w:rFonts w:cs="Arial"/>
              </w:rPr>
              <w:t>Record Patient Direct Antiglobulin Test</w:t>
            </w:r>
            <w:r w:rsidRPr="00F24972">
              <w:rPr>
                <w:rFonts w:cs="Arial"/>
              </w:rPr>
              <w:t xml:space="preserve"> includes the testing of both the positive and negative control cells, per specificity per lot number, when only one phase of reactivity is chosen for the test grid, IS or AHG. One workload event is collected per completed tab for regular or repeat antiglobulin tests (PS, IgG, Comp) tests.</w:t>
            </w:r>
          </w:p>
        </w:tc>
      </w:tr>
      <w:tr w:rsidR="000305DD" w:rsidRPr="00F24972" w14:paraId="6CB627C7" w14:textId="77777777" w:rsidTr="00FA340F">
        <w:trPr>
          <w:cantSplit/>
        </w:trPr>
        <w:tc>
          <w:tcPr>
            <w:tcW w:w="1733" w:type="dxa"/>
            <w:vMerge w:val="restart"/>
            <w:tcBorders>
              <w:top w:val="single" w:sz="4" w:space="0" w:color="auto"/>
              <w:left w:val="single" w:sz="4" w:space="0" w:color="auto"/>
              <w:right w:val="single" w:sz="4" w:space="0" w:color="auto"/>
            </w:tcBorders>
          </w:tcPr>
          <w:p w14:paraId="6ED39FBD" w14:textId="77777777" w:rsidR="000305DD" w:rsidRPr="00F24972" w:rsidRDefault="000305DD" w:rsidP="000305DD">
            <w:pPr>
              <w:pStyle w:val="TableText"/>
              <w:rPr>
                <w:rFonts w:cs="Arial"/>
              </w:rPr>
            </w:pPr>
            <w:r w:rsidRPr="00F24972">
              <w:rPr>
                <w:rFonts w:cs="Arial"/>
              </w:rPr>
              <w:t>Direct Antiglobulin Test (DAT)</w:t>
            </w:r>
          </w:p>
          <w:p w14:paraId="47A3FE1C"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79585A1A" w14:textId="77777777" w:rsidR="000305DD" w:rsidRPr="00F24972" w:rsidRDefault="000305DD" w:rsidP="000305DD">
            <w:pPr>
              <w:pStyle w:val="TableText"/>
              <w:rPr>
                <w:rFonts w:cs="Arial"/>
              </w:rPr>
            </w:pPr>
            <w:r>
              <w:rPr>
                <w:rFonts w:cs="Arial"/>
              </w:rPr>
              <w:t>Transfusion Reaction Workup, DAT test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D8580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5AAD493"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5A9C34C" w14:textId="77777777" w:rsidR="000305DD" w:rsidRPr="00F24972" w:rsidRDefault="000305DD" w:rsidP="000305DD">
            <w:pPr>
              <w:pStyle w:val="TableText"/>
              <w:rPr>
                <w:rFonts w:cs="Arial"/>
              </w:rPr>
            </w:pPr>
            <w:r w:rsidRPr="00F24972">
              <w:rPr>
                <w:rFonts w:cs="Arial"/>
              </w:rPr>
              <w:t>A DAT test for pre or post is enabled and a valid interpretation other than Not Tested is selected. A workload event is accrued separately for Pre and Post entries.</w:t>
            </w:r>
          </w:p>
        </w:tc>
      </w:tr>
      <w:tr w:rsidR="000305DD" w:rsidRPr="00F24972" w14:paraId="08E11F54" w14:textId="77777777" w:rsidTr="00FA340F">
        <w:trPr>
          <w:cantSplit/>
        </w:trPr>
        <w:tc>
          <w:tcPr>
            <w:tcW w:w="1733" w:type="dxa"/>
            <w:vMerge/>
            <w:tcBorders>
              <w:left w:val="single" w:sz="4" w:space="0" w:color="auto"/>
              <w:right w:val="single" w:sz="4" w:space="0" w:color="auto"/>
            </w:tcBorders>
          </w:tcPr>
          <w:p w14:paraId="2320F016"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41A739F5" w14:textId="77777777" w:rsidR="000305DD" w:rsidRPr="00F24972" w:rsidRDefault="000305DD" w:rsidP="000305DD">
            <w:pPr>
              <w:pStyle w:val="TableText"/>
              <w:rPr>
                <w:rFonts w:cs="Arial"/>
              </w:rPr>
            </w:pPr>
            <w:r>
              <w:rPr>
                <w:rFonts w:cs="Arial"/>
              </w:rPr>
              <w:t>Patient Testing, DAT</w:t>
            </w:r>
          </w:p>
        </w:tc>
        <w:tc>
          <w:tcPr>
            <w:tcW w:w="1080" w:type="dxa"/>
            <w:tcBorders>
              <w:top w:val="single" w:sz="4" w:space="0" w:color="auto"/>
              <w:left w:val="single" w:sz="4" w:space="0" w:color="auto"/>
              <w:bottom w:val="single" w:sz="4" w:space="0" w:color="auto"/>
              <w:right w:val="single" w:sz="4" w:space="0" w:color="auto"/>
            </w:tcBorders>
          </w:tcPr>
          <w:p w14:paraId="47674E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12E52C9"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492AC555" w14:textId="77777777" w:rsidR="000305DD" w:rsidRPr="00F24972" w:rsidRDefault="000305DD" w:rsidP="000305DD">
            <w:pPr>
              <w:pStyle w:val="TableText"/>
              <w:rPr>
                <w:rFonts w:cs="Arial"/>
              </w:rPr>
            </w:pPr>
            <w:r w:rsidRPr="00F24972">
              <w:rPr>
                <w:rFonts w:cs="Arial"/>
              </w:rPr>
              <w:t>Accrue workload when a DAT completed and saved (</w:t>
            </w:r>
            <w:r>
              <w:rPr>
                <w:rFonts w:cs="Arial"/>
              </w:rPr>
              <w:t>Record Patient Direct Antiglobulin Test</w:t>
            </w:r>
            <w:r w:rsidRPr="00F24972">
              <w:rPr>
                <w:rFonts w:cs="Arial"/>
              </w:rPr>
              <w:t xml:space="preserve"> is saved by </w:t>
            </w:r>
            <w:r>
              <w:rPr>
                <w:rFonts w:cs="Arial"/>
              </w:rPr>
              <w:t>Record Testing</w:t>
            </w:r>
            <w:r w:rsidRPr="00F24972">
              <w:rPr>
                <w:rFonts w:cs="Arial"/>
              </w:rPr>
              <w:t xml:space="preserve"> as part of a TAS configuration or individual test ordered. This count is used for all antiglobulin tests (PS, IgG, Comp) when ordered from CPRS or Reflex testing.</w:t>
            </w:r>
          </w:p>
        </w:tc>
      </w:tr>
      <w:tr w:rsidR="000305DD" w:rsidRPr="00F24972" w14:paraId="639957EA" w14:textId="77777777" w:rsidTr="00FA340F">
        <w:trPr>
          <w:cantSplit/>
        </w:trPr>
        <w:tc>
          <w:tcPr>
            <w:tcW w:w="1733" w:type="dxa"/>
            <w:vMerge/>
            <w:tcBorders>
              <w:left w:val="single" w:sz="4" w:space="0" w:color="auto"/>
              <w:bottom w:val="single" w:sz="4" w:space="0" w:color="auto"/>
              <w:right w:val="single" w:sz="4" w:space="0" w:color="auto"/>
            </w:tcBorders>
          </w:tcPr>
          <w:p w14:paraId="3F7B9E00"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04694098" w14:textId="77777777" w:rsidR="000305DD" w:rsidRPr="00F24972" w:rsidRDefault="000305DD" w:rsidP="000305DD">
            <w:pPr>
              <w:pStyle w:val="TableText"/>
              <w:rPr>
                <w:rFonts w:cs="Arial"/>
              </w:rPr>
            </w:pPr>
            <w:r>
              <w:rPr>
                <w:rFonts w:cs="Arial"/>
              </w:rPr>
              <w:t>Invalidate Patient Testing, DAT</w:t>
            </w:r>
          </w:p>
        </w:tc>
        <w:tc>
          <w:tcPr>
            <w:tcW w:w="1080" w:type="dxa"/>
            <w:tcBorders>
              <w:top w:val="single" w:sz="4" w:space="0" w:color="auto"/>
              <w:left w:val="single" w:sz="4" w:space="0" w:color="auto"/>
              <w:bottom w:val="single" w:sz="4" w:space="0" w:color="auto"/>
              <w:right w:val="single" w:sz="4" w:space="0" w:color="auto"/>
            </w:tcBorders>
          </w:tcPr>
          <w:p w14:paraId="54DFAB7C"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3C28A97"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794B94D3" w14:textId="77777777" w:rsidR="000305DD" w:rsidRPr="00F24972" w:rsidRDefault="000305DD" w:rsidP="000305DD">
            <w:pPr>
              <w:pStyle w:val="TableText"/>
              <w:rPr>
                <w:rFonts w:cs="Arial"/>
              </w:rPr>
            </w:pPr>
            <w:r w:rsidRPr="00F24972">
              <w:rPr>
                <w:rFonts w:cs="Arial"/>
              </w:rPr>
              <w:t xml:space="preserve">Accrue workload when a completed DAT, PS, IgG, or Comp is invalidated. </w:t>
            </w:r>
          </w:p>
        </w:tc>
      </w:tr>
      <w:tr w:rsidR="000305DD" w:rsidRPr="00F24972" w14:paraId="0AF74FF5" w14:textId="77777777" w:rsidTr="00FA340F">
        <w:trPr>
          <w:cantSplit/>
        </w:trPr>
        <w:tc>
          <w:tcPr>
            <w:tcW w:w="1733" w:type="dxa"/>
            <w:vMerge w:val="restart"/>
            <w:tcBorders>
              <w:top w:val="single" w:sz="4" w:space="0" w:color="auto"/>
              <w:left w:val="single" w:sz="4" w:space="0" w:color="auto"/>
              <w:right w:val="single" w:sz="4" w:space="0" w:color="auto"/>
            </w:tcBorders>
          </w:tcPr>
          <w:p w14:paraId="0CCE9031" w14:textId="77777777" w:rsidR="000305DD" w:rsidRPr="00F24972" w:rsidRDefault="000305DD" w:rsidP="000305DD">
            <w:pPr>
              <w:pStyle w:val="TableText"/>
              <w:rPr>
                <w:rFonts w:cs="Arial"/>
              </w:rPr>
            </w:pPr>
            <w:r w:rsidRPr="00F24972">
              <w:rPr>
                <w:rFonts w:cs="Arial"/>
              </w:rPr>
              <w:t>Direct Antiglobulin Test (DAT) Repeat test</w:t>
            </w:r>
          </w:p>
        </w:tc>
        <w:tc>
          <w:tcPr>
            <w:tcW w:w="1592" w:type="dxa"/>
            <w:tcBorders>
              <w:top w:val="single" w:sz="4" w:space="0" w:color="auto"/>
              <w:left w:val="single" w:sz="4" w:space="0" w:color="auto"/>
              <w:bottom w:val="single" w:sz="4" w:space="0" w:color="auto"/>
              <w:right w:val="single" w:sz="4" w:space="0" w:color="auto"/>
            </w:tcBorders>
          </w:tcPr>
          <w:p w14:paraId="6B7E55A8" w14:textId="77777777" w:rsidR="000305DD" w:rsidRPr="00F24972" w:rsidRDefault="000305DD" w:rsidP="000305DD">
            <w:pPr>
              <w:pStyle w:val="TableText"/>
              <w:rPr>
                <w:rFonts w:cs="Arial"/>
              </w:rPr>
            </w:pPr>
            <w:r>
              <w:rPr>
                <w:rFonts w:cs="Arial"/>
              </w:rPr>
              <w:t>Patient Testing, DAT</w:t>
            </w:r>
          </w:p>
        </w:tc>
        <w:tc>
          <w:tcPr>
            <w:tcW w:w="1080" w:type="dxa"/>
            <w:tcBorders>
              <w:top w:val="single" w:sz="4" w:space="0" w:color="auto"/>
              <w:left w:val="single" w:sz="4" w:space="0" w:color="auto"/>
              <w:bottom w:val="single" w:sz="4" w:space="0" w:color="auto"/>
              <w:right w:val="single" w:sz="4" w:space="0" w:color="auto"/>
            </w:tcBorders>
          </w:tcPr>
          <w:p w14:paraId="68A8EE2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3C59CE5"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3F20DCA7" w14:textId="77777777" w:rsidR="000305DD" w:rsidRPr="00F24972" w:rsidRDefault="000305DD" w:rsidP="000305DD">
            <w:pPr>
              <w:pStyle w:val="TableText"/>
              <w:rPr>
                <w:rFonts w:cs="Arial"/>
              </w:rPr>
            </w:pPr>
            <w:r w:rsidRPr="00F24972">
              <w:rPr>
                <w:rFonts w:cs="Arial"/>
              </w:rPr>
              <w:t xml:space="preserve">Accrue workload when a reflex or repeat DAT test is performed, completed and saved via </w:t>
            </w:r>
            <w:r>
              <w:rPr>
                <w:rFonts w:cs="Arial"/>
              </w:rPr>
              <w:t>Record Testing</w:t>
            </w:r>
            <w:r w:rsidRPr="00F24972">
              <w:rPr>
                <w:rFonts w:cs="Arial"/>
              </w:rPr>
              <w:t>. This applies to</w:t>
            </w:r>
            <w:r>
              <w:rPr>
                <w:rFonts w:cs="Arial"/>
              </w:rPr>
              <w:t xml:space="preserve"> </w:t>
            </w:r>
            <w:r w:rsidRPr="00F24972">
              <w:rPr>
                <w:rFonts w:cs="Arial"/>
              </w:rPr>
              <w:t>all repeat antiglobulin tests (PS, IgG, Comp)</w:t>
            </w:r>
          </w:p>
          <w:p w14:paraId="6ABDB5E0" w14:textId="77777777" w:rsidR="000305DD" w:rsidRPr="00F24972" w:rsidRDefault="000305DD" w:rsidP="000305DD">
            <w:pPr>
              <w:pStyle w:val="TableText"/>
              <w:rPr>
                <w:rFonts w:cs="Arial"/>
              </w:rPr>
            </w:pPr>
            <w:r w:rsidRPr="00F24972">
              <w:rPr>
                <w:rFonts w:cs="Arial"/>
              </w:rPr>
              <w:t xml:space="preserve">Note: Any DAT ordered in </w:t>
            </w:r>
            <w:r>
              <w:rPr>
                <w:rFonts w:cs="Arial"/>
              </w:rPr>
              <w:t>Order Reflex Test</w:t>
            </w:r>
            <w:r w:rsidRPr="00F24972">
              <w:rPr>
                <w:rFonts w:cs="Arial"/>
              </w:rPr>
              <w:t xml:space="preserve"> from main menu or via use of </w:t>
            </w:r>
            <w:r>
              <w:rPr>
                <w:rFonts w:cs="Arial"/>
              </w:rPr>
              <w:t>Order Reflex Test</w:t>
            </w:r>
            <w:r w:rsidRPr="00F24972">
              <w:rPr>
                <w:rFonts w:cs="Arial"/>
              </w:rPr>
              <w:t xml:space="preserve"> from </w:t>
            </w:r>
            <w:r>
              <w:rPr>
                <w:rFonts w:cs="Arial"/>
              </w:rPr>
              <w:t>Record Testing</w:t>
            </w:r>
            <w:r w:rsidRPr="00F24972">
              <w:rPr>
                <w:rFonts w:cs="Arial"/>
              </w:rPr>
              <w:t>.</w:t>
            </w:r>
          </w:p>
        </w:tc>
      </w:tr>
      <w:tr w:rsidR="000305DD" w:rsidRPr="00F24972" w14:paraId="22667D2F" w14:textId="77777777" w:rsidTr="00FA340F">
        <w:trPr>
          <w:cantSplit/>
        </w:trPr>
        <w:tc>
          <w:tcPr>
            <w:tcW w:w="1733" w:type="dxa"/>
            <w:vMerge/>
            <w:tcBorders>
              <w:left w:val="single" w:sz="4" w:space="0" w:color="auto"/>
              <w:bottom w:val="single" w:sz="4" w:space="0" w:color="auto"/>
              <w:right w:val="single" w:sz="4" w:space="0" w:color="auto"/>
            </w:tcBorders>
          </w:tcPr>
          <w:p w14:paraId="4CC32DF7"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76C72CE7" w14:textId="77777777" w:rsidR="000305DD" w:rsidRPr="00F24972" w:rsidRDefault="000305DD" w:rsidP="000305DD">
            <w:pPr>
              <w:pStyle w:val="TableText"/>
              <w:rPr>
                <w:rFonts w:cs="Arial"/>
              </w:rPr>
            </w:pPr>
            <w:r>
              <w:rPr>
                <w:rFonts w:cs="Arial"/>
              </w:rPr>
              <w:t>Invalidate Patient Testing, DAT</w:t>
            </w:r>
          </w:p>
        </w:tc>
        <w:tc>
          <w:tcPr>
            <w:tcW w:w="1080" w:type="dxa"/>
            <w:tcBorders>
              <w:top w:val="single" w:sz="4" w:space="0" w:color="auto"/>
              <w:left w:val="single" w:sz="4" w:space="0" w:color="auto"/>
              <w:bottom w:val="single" w:sz="4" w:space="0" w:color="auto"/>
              <w:right w:val="single" w:sz="4" w:space="0" w:color="auto"/>
            </w:tcBorders>
          </w:tcPr>
          <w:p w14:paraId="52128165" w14:textId="77777777" w:rsidR="000305DD" w:rsidRPr="00F24972" w:rsidRDefault="000305DD" w:rsidP="000305DD">
            <w:pPr>
              <w:pStyle w:val="TableText"/>
              <w:rPr>
                <w:rFonts w:cs="Arial"/>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AFAD3B0"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tcPr>
          <w:p w14:paraId="7397D22A" w14:textId="77777777" w:rsidR="000305DD" w:rsidRPr="00F24972" w:rsidRDefault="000305DD" w:rsidP="000305DD">
            <w:pPr>
              <w:pStyle w:val="TableText"/>
              <w:rPr>
                <w:rFonts w:cs="Arial"/>
              </w:rPr>
            </w:pPr>
            <w:r w:rsidRPr="00F24972">
              <w:rPr>
                <w:rFonts w:cs="Arial"/>
              </w:rPr>
              <w:t>Accrue workload when a completed Repeat DAT, PS, IgG, or Comp is invalidated.</w:t>
            </w:r>
          </w:p>
        </w:tc>
      </w:tr>
      <w:tr w:rsidR="000305DD" w:rsidRPr="00F24972" w14:paraId="70B7BF4D" w14:textId="77777777" w:rsidTr="00FA340F">
        <w:trPr>
          <w:cantSplit/>
        </w:trPr>
        <w:tc>
          <w:tcPr>
            <w:tcW w:w="1733" w:type="dxa"/>
            <w:vMerge w:val="restart"/>
            <w:tcBorders>
              <w:top w:val="single" w:sz="4" w:space="0" w:color="auto"/>
              <w:left w:val="single" w:sz="4" w:space="0" w:color="auto"/>
              <w:right w:val="single" w:sz="4" w:space="0" w:color="auto"/>
            </w:tcBorders>
          </w:tcPr>
          <w:p w14:paraId="50DD4B84" w14:textId="77777777" w:rsidR="000305DD" w:rsidRPr="00F24972" w:rsidRDefault="000305DD" w:rsidP="000305DD">
            <w:pPr>
              <w:pStyle w:val="TableText"/>
              <w:rPr>
                <w:rFonts w:cs="Arial"/>
              </w:rPr>
            </w:pPr>
            <w:r w:rsidRPr="00F24972">
              <w:rPr>
                <w:rFonts w:cs="Arial"/>
              </w:rPr>
              <w:t>Deglycerolize unit</w:t>
            </w:r>
          </w:p>
        </w:tc>
        <w:tc>
          <w:tcPr>
            <w:tcW w:w="1592" w:type="dxa"/>
            <w:tcBorders>
              <w:top w:val="single" w:sz="4" w:space="0" w:color="auto"/>
              <w:left w:val="single" w:sz="4" w:space="0" w:color="auto"/>
              <w:bottom w:val="single" w:sz="4" w:space="0" w:color="auto"/>
              <w:right w:val="single" w:sz="4" w:space="0" w:color="auto"/>
            </w:tcBorders>
          </w:tcPr>
          <w:p w14:paraId="54A6DFD1" w14:textId="77777777" w:rsidR="000305DD" w:rsidRPr="00F24972" w:rsidRDefault="000305DD" w:rsidP="000305DD">
            <w:pPr>
              <w:pStyle w:val="TableText"/>
              <w:rPr>
                <w:rFonts w:cs="Arial"/>
              </w:rPr>
            </w:pPr>
            <w:r>
              <w:rPr>
                <w:rFonts w:cs="Arial"/>
              </w:rPr>
              <w:t>Modify Unit, Deglycerolize</w:t>
            </w:r>
          </w:p>
        </w:tc>
        <w:tc>
          <w:tcPr>
            <w:tcW w:w="1080" w:type="dxa"/>
            <w:tcBorders>
              <w:top w:val="single" w:sz="4" w:space="0" w:color="auto"/>
              <w:left w:val="single" w:sz="4" w:space="0" w:color="auto"/>
              <w:bottom w:val="single" w:sz="4" w:space="0" w:color="auto"/>
              <w:right w:val="single" w:sz="4" w:space="0" w:color="auto"/>
            </w:tcBorders>
          </w:tcPr>
          <w:p w14:paraId="20E53F1A"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15B28AAF"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7D7F24ED"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Deglycerolize.</w:t>
            </w:r>
          </w:p>
          <w:p w14:paraId="11B891A2"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2B8F5F7C" w14:textId="77777777" w:rsidTr="00FA340F">
        <w:trPr>
          <w:cantSplit/>
        </w:trPr>
        <w:tc>
          <w:tcPr>
            <w:tcW w:w="1733" w:type="dxa"/>
            <w:vMerge/>
            <w:tcBorders>
              <w:left w:val="single" w:sz="4" w:space="0" w:color="auto"/>
              <w:right w:val="single" w:sz="4" w:space="0" w:color="auto"/>
            </w:tcBorders>
          </w:tcPr>
          <w:p w14:paraId="5432E9CD" w14:textId="77777777" w:rsidR="000305DD" w:rsidRPr="00F24972" w:rsidRDefault="000305DD" w:rsidP="000305DD">
            <w:pPr>
              <w:pStyle w:val="TableText"/>
              <w:rPr>
                <w:rFonts w:cs="Arial"/>
              </w:rPr>
            </w:pPr>
          </w:p>
        </w:tc>
        <w:tc>
          <w:tcPr>
            <w:tcW w:w="1592" w:type="dxa"/>
            <w:tcBorders>
              <w:left w:val="single" w:sz="4" w:space="0" w:color="auto"/>
            </w:tcBorders>
          </w:tcPr>
          <w:p w14:paraId="40404EFD" w14:textId="77777777" w:rsidR="000305DD" w:rsidRPr="00F24972" w:rsidRDefault="000305DD" w:rsidP="000305DD">
            <w:pPr>
              <w:pStyle w:val="TableText"/>
              <w:rPr>
                <w:rFonts w:cs="Arial"/>
              </w:rPr>
            </w:pPr>
            <w:r>
              <w:rPr>
                <w:rFonts w:cs="Arial"/>
              </w:rPr>
              <w:t>Invalidate Unit Status, Deglycerolize</w:t>
            </w:r>
          </w:p>
        </w:tc>
        <w:tc>
          <w:tcPr>
            <w:tcW w:w="1080" w:type="dxa"/>
          </w:tcPr>
          <w:p w14:paraId="7E2320DD" w14:textId="77777777" w:rsidR="000305DD" w:rsidRPr="00F24972" w:rsidRDefault="000305DD" w:rsidP="000305DD">
            <w:pPr>
              <w:pStyle w:val="TableText"/>
              <w:rPr>
                <w:rFonts w:cs="Arial"/>
                <w:b/>
              </w:rPr>
            </w:pPr>
            <w:r w:rsidRPr="00F24972">
              <w:rPr>
                <w:rFonts w:cs="Arial"/>
                <w:b/>
              </w:rPr>
              <w:t>Negative</w:t>
            </w:r>
          </w:p>
        </w:tc>
        <w:tc>
          <w:tcPr>
            <w:tcW w:w="900" w:type="dxa"/>
          </w:tcPr>
          <w:p w14:paraId="24B0C023" w14:textId="77777777" w:rsidR="000305DD" w:rsidRPr="00F24972" w:rsidRDefault="000305DD" w:rsidP="000305DD">
            <w:pPr>
              <w:pStyle w:val="TableText"/>
              <w:jc w:val="center"/>
              <w:rPr>
                <w:rFonts w:cs="Arial"/>
              </w:rPr>
            </w:pPr>
            <w:r w:rsidRPr="00F24972">
              <w:rPr>
                <w:rFonts w:cs="Arial"/>
              </w:rPr>
              <w:t>U</w:t>
            </w:r>
          </w:p>
        </w:tc>
        <w:tc>
          <w:tcPr>
            <w:tcW w:w="4950" w:type="dxa"/>
          </w:tcPr>
          <w:p w14:paraId="2BC7D050"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Deglycerolize.</w:t>
            </w:r>
          </w:p>
        </w:tc>
      </w:tr>
      <w:tr w:rsidR="000305DD" w:rsidRPr="00F24972" w14:paraId="616C7583" w14:textId="77777777" w:rsidTr="00FA340F">
        <w:trPr>
          <w:cantSplit/>
        </w:trPr>
        <w:tc>
          <w:tcPr>
            <w:tcW w:w="1733" w:type="dxa"/>
            <w:vMerge w:val="restart"/>
          </w:tcPr>
          <w:p w14:paraId="364EEA65" w14:textId="77777777" w:rsidR="000305DD" w:rsidRPr="00F24972" w:rsidRDefault="000305DD" w:rsidP="000305DD">
            <w:pPr>
              <w:pStyle w:val="TableText"/>
              <w:rPr>
                <w:rFonts w:cs="Arial"/>
              </w:rPr>
            </w:pPr>
            <w:r w:rsidRPr="00F24972">
              <w:rPr>
                <w:rFonts w:cs="Arial"/>
              </w:rPr>
              <w:t>Discard unit</w:t>
            </w:r>
          </w:p>
        </w:tc>
        <w:tc>
          <w:tcPr>
            <w:tcW w:w="1592" w:type="dxa"/>
          </w:tcPr>
          <w:p w14:paraId="0C82F013" w14:textId="77777777" w:rsidR="000305DD" w:rsidRPr="00F24972" w:rsidRDefault="000305DD" w:rsidP="000305DD">
            <w:pPr>
              <w:pStyle w:val="TableText"/>
              <w:rPr>
                <w:rFonts w:cs="Arial"/>
              </w:rPr>
            </w:pPr>
            <w:r>
              <w:rPr>
                <w:rFonts w:cs="Arial"/>
              </w:rPr>
              <w:t>Discard Unit</w:t>
            </w:r>
          </w:p>
        </w:tc>
        <w:tc>
          <w:tcPr>
            <w:tcW w:w="1080" w:type="dxa"/>
          </w:tcPr>
          <w:p w14:paraId="1640B20A" w14:textId="77777777" w:rsidR="000305DD" w:rsidRPr="00F24972" w:rsidRDefault="000305DD" w:rsidP="000305DD">
            <w:pPr>
              <w:pStyle w:val="TableText"/>
              <w:rPr>
                <w:rFonts w:cs="Arial"/>
              </w:rPr>
            </w:pPr>
            <w:r w:rsidRPr="00F24972">
              <w:rPr>
                <w:rFonts w:cs="Arial"/>
              </w:rPr>
              <w:t>Positive</w:t>
            </w:r>
          </w:p>
        </w:tc>
        <w:tc>
          <w:tcPr>
            <w:tcW w:w="900" w:type="dxa"/>
          </w:tcPr>
          <w:p w14:paraId="4AFAF8C2" w14:textId="77777777" w:rsidR="000305DD" w:rsidRPr="00F24972" w:rsidRDefault="000305DD" w:rsidP="000305DD">
            <w:pPr>
              <w:pStyle w:val="TableText"/>
              <w:jc w:val="center"/>
              <w:rPr>
                <w:rFonts w:cs="Arial"/>
              </w:rPr>
            </w:pPr>
            <w:r w:rsidRPr="00F24972">
              <w:rPr>
                <w:rFonts w:cs="Arial"/>
              </w:rPr>
              <w:t>U</w:t>
            </w:r>
          </w:p>
        </w:tc>
        <w:tc>
          <w:tcPr>
            <w:tcW w:w="4950" w:type="dxa"/>
          </w:tcPr>
          <w:p w14:paraId="1925FD20" w14:textId="77777777" w:rsidR="000305DD" w:rsidRPr="00F24972" w:rsidRDefault="000305DD" w:rsidP="000305DD">
            <w:pPr>
              <w:pStyle w:val="TableText"/>
              <w:rPr>
                <w:rFonts w:cs="Arial"/>
              </w:rPr>
            </w:pPr>
            <w:r w:rsidRPr="00F24972">
              <w:rPr>
                <w:rFonts w:cs="Arial"/>
              </w:rPr>
              <w:t>Accrue workload when an individual blood unit’s status is invalided. When a batch of units is selected, each unit accrues workload.</w:t>
            </w:r>
          </w:p>
        </w:tc>
      </w:tr>
      <w:tr w:rsidR="000305DD" w:rsidRPr="00F24972" w14:paraId="2102AE6F" w14:textId="77777777" w:rsidTr="00FA340F">
        <w:trPr>
          <w:cantSplit/>
        </w:trPr>
        <w:tc>
          <w:tcPr>
            <w:tcW w:w="1733" w:type="dxa"/>
            <w:vMerge/>
            <w:tcBorders>
              <w:bottom w:val="single" w:sz="4" w:space="0" w:color="auto"/>
            </w:tcBorders>
          </w:tcPr>
          <w:p w14:paraId="18E507F8"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256F85B8" w14:textId="77777777" w:rsidR="000305DD" w:rsidRPr="00F24972" w:rsidRDefault="000305DD" w:rsidP="000305DD">
            <w:pPr>
              <w:pStyle w:val="TableText"/>
              <w:rPr>
                <w:rFonts w:cs="Arial"/>
              </w:rPr>
            </w:pPr>
            <w:r>
              <w:rPr>
                <w:rFonts w:cs="Arial"/>
              </w:rPr>
              <w:t>Invalidate Unit Status, Discard</w:t>
            </w:r>
          </w:p>
        </w:tc>
        <w:tc>
          <w:tcPr>
            <w:tcW w:w="1080" w:type="dxa"/>
            <w:tcBorders>
              <w:top w:val="single" w:sz="4" w:space="0" w:color="auto"/>
              <w:left w:val="single" w:sz="4" w:space="0" w:color="auto"/>
              <w:bottom w:val="single" w:sz="4" w:space="0" w:color="auto"/>
              <w:right w:val="single" w:sz="4" w:space="0" w:color="auto"/>
            </w:tcBorders>
          </w:tcPr>
          <w:p w14:paraId="4269A867"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A6E58F9"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6583554" w14:textId="77777777" w:rsidR="000305DD" w:rsidRPr="000409B0" w:rsidRDefault="000305DD" w:rsidP="000305DD">
            <w:pPr>
              <w:pStyle w:val="TableText"/>
              <w:rPr>
                <w:rFonts w:cs="Arial"/>
              </w:rPr>
            </w:pPr>
            <w:r w:rsidRPr="00F24972">
              <w:rPr>
                <w:rFonts w:cs="Arial"/>
              </w:rPr>
              <w:t>Accrue workload when a unit is discarded for waste or credit. When a batch of units is selected, each unit accrues workload.</w:t>
            </w:r>
          </w:p>
        </w:tc>
      </w:tr>
      <w:tr w:rsidR="000305DD" w:rsidRPr="00F24972" w14:paraId="4242259C" w14:textId="77777777" w:rsidTr="00FA340F">
        <w:trPr>
          <w:cantSplit/>
        </w:trPr>
        <w:tc>
          <w:tcPr>
            <w:tcW w:w="1733" w:type="dxa"/>
            <w:vMerge w:val="restart"/>
            <w:tcBorders>
              <w:top w:val="single" w:sz="4" w:space="0" w:color="auto"/>
              <w:left w:val="single" w:sz="4" w:space="0" w:color="auto"/>
              <w:right w:val="single" w:sz="4" w:space="0" w:color="auto"/>
            </w:tcBorders>
          </w:tcPr>
          <w:p w14:paraId="7EEAA6C5" w14:textId="77777777" w:rsidR="000305DD" w:rsidRPr="00F24972" w:rsidRDefault="000305DD" w:rsidP="000305DD">
            <w:pPr>
              <w:pStyle w:val="TableText"/>
              <w:rPr>
                <w:rFonts w:cs="Arial"/>
              </w:rPr>
            </w:pPr>
            <w:r w:rsidRPr="00F24972">
              <w:rPr>
                <w:rFonts w:cs="Arial"/>
              </w:rPr>
              <w:t>Freeze unit</w:t>
            </w:r>
          </w:p>
        </w:tc>
        <w:tc>
          <w:tcPr>
            <w:tcW w:w="1592" w:type="dxa"/>
            <w:tcBorders>
              <w:top w:val="single" w:sz="4" w:space="0" w:color="auto"/>
              <w:left w:val="single" w:sz="4" w:space="0" w:color="auto"/>
              <w:bottom w:val="single" w:sz="4" w:space="0" w:color="auto"/>
              <w:right w:val="single" w:sz="4" w:space="0" w:color="auto"/>
            </w:tcBorders>
          </w:tcPr>
          <w:p w14:paraId="0B0CDA97" w14:textId="77777777" w:rsidR="000305DD" w:rsidRPr="00F24972" w:rsidRDefault="000305DD" w:rsidP="000305DD">
            <w:pPr>
              <w:pStyle w:val="TableText"/>
              <w:rPr>
                <w:rFonts w:cs="Arial"/>
              </w:rPr>
            </w:pPr>
            <w:r>
              <w:rPr>
                <w:rFonts w:cs="Arial"/>
              </w:rPr>
              <w:t>Modify Unit, Freeze</w:t>
            </w:r>
          </w:p>
        </w:tc>
        <w:tc>
          <w:tcPr>
            <w:tcW w:w="1080" w:type="dxa"/>
            <w:tcBorders>
              <w:top w:val="single" w:sz="4" w:space="0" w:color="auto"/>
              <w:left w:val="single" w:sz="4" w:space="0" w:color="auto"/>
              <w:bottom w:val="single" w:sz="4" w:space="0" w:color="auto"/>
              <w:right w:val="single" w:sz="4" w:space="0" w:color="auto"/>
            </w:tcBorders>
          </w:tcPr>
          <w:p w14:paraId="072A92A0"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0747A758"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62EB9CAE"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Freeze.</w:t>
            </w:r>
          </w:p>
          <w:p w14:paraId="03E6A485"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504067FC" w14:textId="77777777" w:rsidTr="00FA340F">
        <w:trPr>
          <w:cantSplit/>
        </w:trPr>
        <w:tc>
          <w:tcPr>
            <w:tcW w:w="1733" w:type="dxa"/>
            <w:vMerge/>
            <w:tcBorders>
              <w:left w:val="single" w:sz="4" w:space="0" w:color="auto"/>
              <w:bottom w:val="single" w:sz="4" w:space="0" w:color="auto"/>
              <w:right w:val="single" w:sz="4" w:space="0" w:color="auto"/>
            </w:tcBorders>
          </w:tcPr>
          <w:p w14:paraId="7EA99A59"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4B934FE0" w14:textId="77777777" w:rsidR="000305DD" w:rsidRPr="00F24972" w:rsidRDefault="000305DD" w:rsidP="000305DD">
            <w:pPr>
              <w:pStyle w:val="TableText"/>
              <w:rPr>
                <w:rFonts w:cs="Arial"/>
              </w:rPr>
            </w:pPr>
            <w:r>
              <w:rPr>
                <w:rFonts w:cs="Arial"/>
              </w:rPr>
              <w:t>Invalidate Unit Status, Freeze</w:t>
            </w:r>
          </w:p>
        </w:tc>
        <w:tc>
          <w:tcPr>
            <w:tcW w:w="1080" w:type="dxa"/>
            <w:tcBorders>
              <w:top w:val="single" w:sz="4" w:space="0" w:color="auto"/>
              <w:left w:val="single" w:sz="4" w:space="0" w:color="auto"/>
              <w:bottom w:val="single" w:sz="4" w:space="0" w:color="auto"/>
              <w:right w:val="single" w:sz="4" w:space="0" w:color="auto"/>
            </w:tcBorders>
          </w:tcPr>
          <w:p w14:paraId="6D6C34D7"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B340E98"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4720CC0A"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Freeze.</w:t>
            </w:r>
          </w:p>
        </w:tc>
      </w:tr>
      <w:tr w:rsidR="000305DD" w:rsidRPr="00F24972" w14:paraId="183AFB11" w14:textId="77777777" w:rsidTr="00FA340F">
        <w:trPr>
          <w:cantSplit/>
        </w:trPr>
        <w:tc>
          <w:tcPr>
            <w:tcW w:w="1733" w:type="dxa"/>
            <w:vMerge w:val="restart"/>
            <w:tcBorders>
              <w:top w:val="single" w:sz="4" w:space="0" w:color="auto"/>
              <w:left w:val="single" w:sz="4" w:space="0" w:color="auto"/>
              <w:right w:val="single" w:sz="4" w:space="0" w:color="auto"/>
            </w:tcBorders>
          </w:tcPr>
          <w:p w14:paraId="51E20BE8" w14:textId="77777777" w:rsidR="000305DD" w:rsidRPr="00F24972" w:rsidRDefault="000305DD" w:rsidP="000305DD">
            <w:pPr>
              <w:pStyle w:val="TableText"/>
              <w:rPr>
                <w:rFonts w:cs="Arial"/>
              </w:rPr>
            </w:pPr>
            <w:r w:rsidRPr="00F24972">
              <w:rPr>
                <w:rFonts w:cs="Arial"/>
              </w:rPr>
              <w:t>Irradiate unit</w:t>
            </w:r>
          </w:p>
        </w:tc>
        <w:tc>
          <w:tcPr>
            <w:tcW w:w="1592" w:type="dxa"/>
            <w:tcBorders>
              <w:top w:val="single" w:sz="4" w:space="0" w:color="auto"/>
              <w:left w:val="single" w:sz="4" w:space="0" w:color="auto"/>
              <w:bottom w:val="single" w:sz="4" w:space="0" w:color="auto"/>
              <w:right w:val="single" w:sz="4" w:space="0" w:color="auto"/>
            </w:tcBorders>
          </w:tcPr>
          <w:p w14:paraId="67EFA98E" w14:textId="77777777" w:rsidR="000305DD" w:rsidRPr="00F24972" w:rsidRDefault="000305DD" w:rsidP="000305DD">
            <w:pPr>
              <w:pStyle w:val="TableText"/>
              <w:rPr>
                <w:rFonts w:cs="Arial"/>
              </w:rPr>
            </w:pPr>
            <w:r>
              <w:rPr>
                <w:rFonts w:cs="Arial"/>
              </w:rPr>
              <w:t>Modify Unit, Irradiate</w:t>
            </w:r>
          </w:p>
        </w:tc>
        <w:tc>
          <w:tcPr>
            <w:tcW w:w="1080" w:type="dxa"/>
            <w:tcBorders>
              <w:top w:val="single" w:sz="4" w:space="0" w:color="auto"/>
              <w:left w:val="single" w:sz="4" w:space="0" w:color="auto"/>
              <w:bottom w:val="single" w:sz="4" w:space="0" w:color="auto"/>
              <w:right w:val="single" w:sz="4" w:space="0" w:color="auto"/>
            </w:tcBorders>
          </w:tcPr>
          <w:p w14:paraId="7048AA7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EC07711"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8A486F1"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Irradiate. When a batch of units is irradiated, each unit accrues workload.</w:t>
            </w:r>
          </w:p>
          <w:p w14:paraId="4AD99521"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3D8DE63E" w14:textId="77777777" w:rsidTr="00FA340F">
        <w:trPr>
          <w:cantSplit/>
        </w:trPr>
        <w:tc>
          <w:tcPr>
            <w:tcW w:w="1733" w:type="dxa"/>
            <w:vMerge/>
            <w:tcBorders>
              <w:left w:val="single" w:sz="4" w:space="0" w:color="auto"/>
              <w:right w:val="single" w:sz="4" w:space="0" w:color="auto"/>
            </w:tcBorders>
          </w:tcPr>
          <w:p w14:paraId="29BE7A1E" w14:textId="77777777" w:rsidR="000305DD" w:rsidRPr="00F24972" w:rsidRDefault="000305DD" w:rsidP="000305DD">
            <w:pPr>
              <w:pStyle w:val="TableText"/>
              <w:rPr>
                <w:rFonts w:cs="Arial"/>
              </w:rPr>
            </w:pPr>
          </w:p>
        </w:tc>
        <w:tc>
          <w:tcPr>
            <w:tcW w:w="1592" w:type="dxa"/>
            <w:tcBorders>
              <w:left w:val="single" w:sz="4" w:space="0" w:color="auto"/>
            </w:tcBorders>
          </w:tcPr>
          <w:p w14:paraId="0B5F9A8E" w14:textId="77777777" w:rsidR="000305DD" w:rsidRPr="00F24972" w:rsidRDefault="000305DD" w:rsidP="000305DD">
            <w:pPr>
              <w:pStyle w:val="TableText"/>
              <w:rPr>
                <w:rFonts w:cs="Arial"/>
              </w:rPr>
            </w:pPr>
            <w:r>
              <w:rPr>
                <w:rFonts w:cs="Arial"/>
              </w:rPr>
              <w:t>Invalidate Unit Status, Irradiate</w:t>
            </w:r>
          </w:p>
        </w:tc>
        <w:tc>
          <w:tcPr>
            <w:tcW w:w="1080" w:type="dxa"/>
          </w:tcPr>
          <w:p w14:paraId="6DB90244" w14:textId="77777777" w:rsidR="000305DD" w:rsidRPr="00F24972" w:rsidRDefault="000305DD" w:rsidP="000305DD">
            <w:pPr>
              <w:pStyle w:val="TableText"/>
              <w:rPr>
                <w:rFonts w:cs="Arial"/>
                <w:b/>
              </w:rPr>
            </w:pPr>
            <w:r w:rsidRPr="00F24972">
              <w:rPr>
                <w:rFonts w:cs="Arial"/>
                <w:b/>
              </w:rPr>
              <w:t>Negative</w:t>
            </w:r>
          </w:p>
        </w:tc>
        <w:tc>
          <w:tcPr>
            <w:tcW w:w="900" w:type="dxa"/>
          </w:tcPr>
          <w:p w14:paraId="6D98CBE2" w14:textId="77777777" w:rsidR="000305DD" w:rsidRPr="00F24972" w:rsidRDefault="000305DD" w:rsidP="000305DD">
            <w:pPr>
              <w:pStyle w:val="TableText"/>
              <w:jc w:val="center"/>
              <w:rPr>
                <w:rFonts w:cs="Arial"/>
              </w:rPr>
            </w:pPr>
            <w:r w:rsidRPr="00F24972">
              <w:rPr>
                <w:rFonts w:cs="Arial"/>
              </w:rPr>
              <w:t>U</w:t>
            </w:r>
          </w:p>
        </w:tc>
        <w:tc>
          <w:tcPr>
            <w:tcW w:w="4950" w:type="dxa"/>
          </w:tcPr>
          <w:p w14:paraId="19D28D92"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Irradiate.</w:t>
            </w:r>
          </w:p>
        </w:tc>
      </w:tr>
      <w:tr w:rsidR="000305DD" w:rsidRPr="00F24972" w14:paraId="57CB4E43" w14:textId="77777777" w:rsidTr="00FA340F">
        <w:trPr>
          <w:cantSplit/>
        </w:trPr>
        <w:tc>
          <w:tcPr>
            <w:tcW w:w="1733" w:type="dxa"/>
            <w:vMerge w:val="restart"/>
          </w:tcPr>
          <w:p w14:paraId="07C6A7F4" w14:textId="77777777" w:rsidR="000305DD" w:rsidRPr="00F24972" w:rsidRDefault="000305DD" w:rsidP="000305DD">
            <w:pPr>
              <w:pStyle w:val="TableText"/>
              <w:rPr>
                <w:rFonts w:cs="Arial"/>
              </w:rPr>
            </w:pPr>
            <w:r w:rsidRPr="00F24972">
              <w:rPr>
                <w:rFonts w:cs="Arial"/>
              </w:rPr>
              <w:t>Leukoreduce unit</w:t>
            </w:r>
          </w:p>
        </w:tc>
        <w:tc>
          <w:tcPr>
            <w:tcW w:w="1592" w:type="dxa"/>
          </w:tcPr>
          <w:p w14:paraId="6B25DD6E" w14:textId="77777777" w:rsidR="000305DD" w:rsidRPr="00F24972" w:rsidRDefault="000305DD" w:rsidP="000305DD">
            <w:pPr>
              <w:pStyle w:val="TableText"/>
              <w:rPr>
                <w:rFonts w:cs="Arial"/>
              </w:rPr>
            </w:pPr>
            <w:r>
              <w:rPr>
                <w:rFonts w:cs="Arial"/>
              </w:rPr>
              <w:t>Modify Unit, Leukoreduce</w:t>
            </w:r>
          </w:p>
        </w:tc>
        <w:tc>
          <w:tcPr>
            <w:tcW w:w="1080" w:type="dxa"/>
          </w:tcPr>
          <w:p w14:paraId="26ACC218" w14:textId="77777777" w:rsidR="000305DD" w:rsidRPr="00F24972" w:rsidRDefault="000305DD" w:rsidP="000305DD">
            <w:pPr>
              <w:pStyle w:val="TableText"/>
              <w:rPr>
                <w:rFonts w:cs="Arial"/>
              </w:rPr>
            </w:pPr>
            <w:r w:rsidRPr="00F24972">
              <w:rPr>
                <w:rFonts w:cs="Arial"/>
              </w:rPr>
              <w:t>Positive</w:t>
            </w:r>
          </w:p>
        </w:tc>
        <w:tc>
          <w:tcPr>
            <w:tcW w:w="900" w:type="dxa"/>
          </w:tcPr>
          <w:p w14:paraId="4C9ED362" w14:textId="77777777" w:rsidR="000305DD" w:rsidRPr="00F24972" w:rsidRDefault="000305DD" w:rsidP="000305DD">
            <w:pPr>
              <w:pStyle w:val="TableText"/>
              <w:jc w:val="center"/>
              <w:rPr>
                <w:rFonts w:cs="Arial"/>
              </w:rPr>
            </w:pPr>
            <w:r w:rsidRPr="00F24972">
              <w:rPr>
                <w:rFonts w:cs="Arial"/>
              </w:rPr>
              <w:t>U</w:t>
            </w:r>
          </w:p>
        </w:tc>
        <w:tc>
          <w:tcPr>
            <w:tcW w:w="4950" w:type="dxa"/>
          </w:tcPr>
          <w:p w14:paraId="04202714"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Leukoreduce.</w:t>
            </w:r>
          </w:p>
          <w:p w14:paraId="6087E0E3"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50155EC3" w14:textId="77777777" w:rsidTr="00FA340F">
        <w:trPr>
          <w:cantSplit/>
        </w:trPr>
        <w:tc>
          <w:tcPr>
            <w:tcW w:w="1733" w:type="dxa"/>
            <w:vMerge/>
            <w:tcBorders>
              <w:bottom w:val="single" w:sz="4" w:space="0" w:color="auto"/>
            </w:tcBorders>
          </w:tcPr>
          <w:p w14:paraId="2D864C76"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43028D5" w14:textId="77777777" w:rsidR="000305DD" w:rsidRPr="00F24972" w:rsidRDefault="000305DD" w:rsidP="000305DD">
            <w:pPr>
              <w:pStyle w:val="TableText"/>
              <w:rPr>
                <w:rFonts w:cs="Arial"/>
              </w:rPr>
            </w:pPr>
            <w:r>
              <w:rPr>
                <w:rFonts w:cs="Arial"/>
              </w:rPr>
              <w:t>Invalidate Unit Status, Leukoreduce</w:t>
            </w:r>
          </w:p>
        </w:tc>
        <w:tc>
          <w:tcPr>
            <w:tcW w:w="1080" w:type="dxa"/>
            <w:tcBorders>
              <w:top w:val="single" w:sz="4" w:space="0" w:color="auto"/>
              <w:left w:val="single" w:sz="4" w:space="0" w:color="auto"/>
              <w:bottom w:val="single" w:sz="4" w:space="0" w:color="auto"/>
              <w:right w:val="single" w:sz="4" w:space="0" w:color="auto"/>
            </w:tcBorders>
          </w:tcPr>
          <w:p w14:paraId="169B1E51"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57E6BFF9"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4A5F964A"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Leukoreduce.</w:t>
            </w:r>
          </w:p>
        </w:tc>
      </w:tr>
      <w:tr w:rsidR="000305DD" w:rsidRPr="00F24972" w14:paraId="50C37565" w14:textId="77777777" w:rsidTr="00FA340F">
        <w:trPr>
          <w:cantSplit/>
        </w:trPr>
        <w:tc>
          <w:tcPr>
            <w:tcW w:w="1733" w:type="dxa"/>
            <w:vMerge w:val="restart"/>
          </w:tcPr>
          <w:p w14:paraId="5EE13C6C" w14:textId="77777777" w:rsidR="000305DD" w:rsidRPr="00F24972" w:rsidRDefault="000305DD" w:rsidP="000305DD">
            <w:pPr>
              <w:pStyle w:val="TableText"/>
              <w:rPr>
                <w:rFonts w:cs="Arial"/>
              </w:rPr>
            </w:pPr>
            <w:r w:rsidRPr="00F24972">
              <w:rPr>
                <w:rFonts w:cs="Arial"/>
              </w:rPr>
              <w:t>Split unit</w:t>
            </w:r>
          </w:p>
        </w:tc>
        <w:tc>
          <w:tcPr>
            <w:tcW w:w="1592" w:type="dxa"/>
          </w:tcPr>
          <w:p w14:paraId="01D7F66C" w14:textId="77777777" w:rsidR="000305DD" w:rsidRPr="00F24972" w:rsidRDefault="000305DD" w:rsidP="000305DD">
            <w:pPr>
              <w:pStyle w:val="TableText"/>
              <w:rPr>
                <w:rFonts w:cs="Arial"/>
              </w:rPr>
            </w:pPr>
            <w:r>
              <w:rPr>
                <w:rFonts w:cs="Arial"/>
              </w:rPr>
              <w:t>Modify Unit, Split</w:t>
            </w:r>
          </w:p>
        </w:tc>
        <w:tc>
          <w:tcPr>
            <w:tcW w:w="1080" w:type="dxa"/>
          </w:tcPr>
          <w:p w14:paraId="55153206" w14:textId="77777777" w:rsidR="000305DD" w:rsidRPr="00F24972" w:rsidRDefault="000305DD" w:rsidP="000305DD">
            <w:pPr>
              <w:pStyle w:val="TableText"/>
              <w:rPr>
                <w:rFonts w:cs="Arial"/>
              </w:rPr>
            </w:pPr>
            <w:r w:rsidRPr="00F24972">
              <w:rPr>
                <w:rFonts w:cs="Arial"/>
              </w:rPr>
              <w:t>Positive</w:t>
            </w:r>
          </w:p>
        </w:tc>
        <w:tc>
          <w:tcPr>
            <w:tcW w:w="900" w:type="dxa"/>
          </w:tcPr>
          <w:p w14:paraId="292CF124" w14:textId="77777777" w:rsidR="000305DD" w:rsidRPr="00F24972" w:rsidRDefault="000305DD" w:rsidP="000305DD">
            <w:pPr>
              <w:pStyle w:val="TableText"/>
              <w:jc w:val="center"/>
              <w:rPr>
                <w:rFonts w:cs="Arial"/>
              </w:rPr>
            </w:pPr>
            <w:r w:rsidRPr="00F24972">
              <w:rPr>
                <w:rFonts w:cs="Arial"/>
              </w:rPr>
              <w:t>U</w:t>
            </w:r>
          </w:p>
        </w:tc>
        <w:tc>
          <w:tcPr>
            <w:tcW w:w="4950" w:type="dxa"/>
          </w:tcPr>
          <w:p w14:paraId="3C2BBE35" w14:textId="77777777" w:rsidR="000305DD" w:rsidRPr="00F24972" w:rsidRDefault="000305DD" w:rsidP="000305DD">
            <w:pPr>
              <w:pStyle w:val="TableText"/>
              <w:rPr>
                <w:rFonts w:cs="Arial"/>
              </w:rPr>
            </w:pPr>
            <w:r w:rsidRPr="00F24972">
              <w:rPr>
                <w:rFonts w:cs="Arial"/>
              </w:rPr>
              <w:t>Accrue workload when a unit modification of Split and a single workload event is recorded regardless of the number of units created by the modification.</w:t>
            </w:r>
            <w:r w:rsidRPr="00F24972">
              <w:rPr>
                <w:rFonts w:cs="Arial"/>
                <w:i/>
              </w:rPr>
              <w:t xml:space="preserve"> </w:t>
            </w:r>
          </w:p>
          <w:p w14:paraId="752CBFB5" w14:textId="77777777" w:rsidR="000305DD" w:rsidRPr="00F24972" w:rsidRDefault="000305DD" w:rsidP="000305DD">
            <w:pPr>
              <w:pStyle w:val="TableText"/>
              <w:rPr>
                <w:i/>
                <w:iCs/>
              </w:rPr>
            </w:pPr>
            <w:r w:rsidRPr="00F24972">
              <w:rPr>
                <w:i/>
                <w:iCs/>
              </w:rPr>
              <w:t>Note: Workload is not accrued when a patient assignment is processed and VBECS releases all other patient assignments. Workload is not accrued when VBECS is required to quarantine the unit.</w:t>
            </w:r>
            <w:r w:rsidRPr="00F24972">
              <w:rPr>
                <w:rFonts w:cs="Arial"/>
                <w:i/>
              </w:rPr>
              <w:t xml:space="preserve"> Workload accrued by splitting is invalidated in</w:t>
            </w:r>
            <w:r>
              <w:rPr>
                <w:rFonts w:cs="Arial"/>
                <w:i/>
              </w:rPr>
              <w:t xml:space="preserve"> Remove Final Unit Status</w:t>
            </w:r>
            <w:r w:rsidRPr="00F24972">
              <w:rPr>
                <w:rFonts w:cs="Arial"/>
                <w:i/>
              </w:rPr>
              <w:t xml:space="preserve"> with the inactivation of the modification</w:t>
            </w:r>
          </w:p>
        </w:tc>
      </w:tr>
      <w:tr w:rsidR="000305DD" w:rsidRPr="00F24972" w14:paraId="40542C6F" w14:textId="77777777" w:rsidTr="00FA340F">
        <w:trPr>
          <w:cantSplit/>
        </w:trPr>
        <w:tc>
          <w:tcPr>
            <w:tcW w:w="1733" w:type="dxa"/>
            <w:vMerge/>
            <w:tcBorders>
              <w:bottom w:val="single" w:sz="4" w:space="0" w:color="auto"/>
            </w:tcBorders>
          </w:tcPr>
          <w:p w14:paraId="757B7A3B"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D0D21C5" w14:textId="77777777" w:rsidR="000305DD" w:rsidRPr="00F24972" w:rsidRDefault="000305DD" w:rsidP="000305DD">
            <w:pPr>
              <w:pStyle w:val="TableText"/>
              <w:rPr>
                <w:rFonts w:cs="Arial"/>
              </w:rPr>
            </w:pPr>
            <w:r>
              <w:rPr>
                <w:rFonts w:cs="Arial"/>
              </w:rPr>
              <w:t>Invalidate Unit Status, Split</w:t>
            </w:r>
          </w:p>
        </w:tc>
        <w:tc>
          <w:tcPr>
            <w:tcW w:w="1080" w:type="dxa"/>
            <w:tcBorders>
              <w:top w:val="single" w:sz="4" w:space="0" w:color="auto"/>
              <w:left w:val="single" w:sz="4" w:space="0" w:color="auto"/>
              <w:bottom w:val="single" w:sz="4" w:space="0" w:color="auto"/>
              <w:right w:val="single" w:sz="4" w:space="0" w:color="auto"/>
            </w:tcBorders>
          </w:tcPr>
          <w:p w14:paraId="1BD5519E"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1A8E613"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78F5247" w14:textId="77777777" w:rsidR="000305DD" w:rsidRPr="00F24972" w:rsidRDefault="000305DD" w:rsidP="000305DD">
            <w:pPr>
              <w:pStyle w:val="TableText"/>
              <w:rPr>
                <w:rFonts w:cs="Arial"/>
              </w:rPr>
            </w:pPr>
            <w:r w:rsidRPr="00F24972">
              <w:rPr>
                <w:rFonts w:cs="Arial"/>
              </w:rPr>
              <w:t>A Split Unit has its unit status invalidated. A single workload event is recorded regardless of the number of units originally created by the modification.</w:t>
            </w:r>
          </w:p>
        </w:tc>
      </w:tr>
      <w:tr w:rsidR="000305DD" w:rsidRPr="00F24972" w14:paraId="03FC875A" w14:textId="77777777" w:rsidTr="00FA340F">
        <w:trPr>
          <w:cantSplit/>
        </w:trPr>
        <w:tc>
          <w:tcPr>
            <w:tcW w:w="1733" w:type="dxa"/>
            <w:vMerge w:val="restart"/>
          </w:tcPr>
          <w:p w14:paraId="78397277" w14:textId="77777777" w:rsidR="000305DD" w:rsidRPr="00F24972" w:rsidRDefault="000305DD" w:rsidP="000305DD">
            <w:pPr>
              <w:pStyle w:val="TableText"/>
              <w:rPr>
                <w:rFonts w:cs="Arial"/>
              </w:rPr>
            </w:pPr>
            <w:r w:rsidRPr="00F24972">
              <w:rPr>
                <w:rFonts w:cs="Arial"/>
              </w:rPr>
              <w:t>Rejuvenate unit</w:t>
            </w:r>
          </w:p>
        </w:tc>
        <w:tc>
          <w:tcPr>
            <w:tcW w:w="1592" w:type="dxa"/>
          </w:tcPr>
          <w:p w14:paraId="4EE93EC2" w14:textId="77777777" w:rsidR="000305DD" w:rsidRPr="00F24972" w:rsidRDefault="000305DD" w:rsidP="000305DD">
            <w:pPr>
              <w:pStyle w:val="TableText"/>
              <w:rPr>
                <w:rFonts w:cs="Arial"/>
              </w:rPr>
            </w:pPr>
            <w:r>
              <w:rPr>
                <w:rFonts w:cs="Arial"/>
              </w:rPr>
              <w:t xml:space="preserve">Modify Unit, </w:t>
            </w:r>
            <w:r w:rsidRPr="00F24972">
              <w:rPr>
                <w:rFonts w:cs="Arial"/>
              </w:rPr>
              <w:t>Rejuvenate</w:t>
            </w:r>
          </w:p>
        </w:tc>
        <w:tc>
          <w:tcPr>
            <w:tcW w:w="1080" w:type="dxa"/>
          </w:tcPr>
          <w:p w14:paraId="6519784F" w14:textId="77777777" w:rsidR="000305DD" w:rsidRPr="00F24972" w:rsidRDefault="000305DD" w:rsidP="000305DD">
            <w:pPr>
              <w:pStyle w:val="TableText"/>
              <w:rPr>
                <w:rFonts w:cs="Arial"/>
              </w:rPr>
            </w:pPr>
            <w:r w:rsidRPr="00F24972">
              <w:rPr>
                <w:rFonts w:cs="Arial"/>
              </w:rPr>
              <w:t>Positive</w:t>
            </w:r>
          </w:p>
        </w:tc>
        <w:tc>
          <w:tcPr>
            <w:tcW w:w="900" w:type="dxa"/>
          </w:tcPr>
          <w:p w14:paraId="1D2954C1" w14:textId="77777777" w:rsidR="000305DD" w:rsidRPr="00F24972" w:rsidRDefault="000305DD" w:rsidP="000305DD">
            <w:pPr>
              <w:pStyle w:val="TableText"/>
              <w:jc w:val="center"/>
              <w:rPr>
                <w:rFonts w:cs="Arial"/>
              </w:rPr>
            </w:pPr>
            <w:r w:rsidRPr="00F24972">
              <w:rPr>
                <w:rFonts w:cs="Arial"/>
              </w:rPr>
              <w:t>U</w:t>
            </w:r>
          </w:p>
        </w:tc>
        <w:tc>
          <w:tcPr>
            <w:tcW w:w="4950" w:type="dxa"/>
          </w:tcPr>
          <w:p w14:paraId="55A532B9" w14:textId="77777777" w:rsidR="000305DD" w:rsidRPr="00F24972" w:rsidRDefault="000305DD" w:rsidP="000305DD">
            <w:pPr>
              <w:pStyle w:val="TableText"/>
              <w:rPr>
                <w:rFonts w:cs="Arial"/>
              </w:rPr>
            </w:pPr>
            <w:r w:rsidRPr="00F24972">
              <w:rPr>
                <w:rFonts w:cs="Arial"/>
              </w:rPr>
              <w:t xml:space="preserve">Accrue workload when an individual blood unit is processed by the modification type: Rejuvenate. </w:t>
            </w:r>
          </w:p>
          <w:p w14:paraId="3D97CF6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02B9E18E" w14:textId="77777777" w:rsidTr="00FA340F">
        <w:trPr>
          <w:cantSplit/>
        </w:trPr>
        <w:tc>
          <w:tcPr>
            <w:tcW w:w="1733" w:type="dxa"/>
            <w:vMerge/>
            <w:tcBorders>
              <w:bottom w:val="single" w:sz="4" w:space="0" w:color="auto"/>
            </w:tcBorders>
          </w:tcPr>
          <w:p w14:paraId="09E12E83" w14:textId="77777777" w:rsidR="000305DD" w:rsidRPr="00F24972" w:rsidRDefault="000305DD" w:rsidP="000305DD">
            <w:pPr>
              <w:pStyle w:val="TableText"/>
              <w:rPr>
                <w:rFonts w:cs="Arial"/>
              </w:rPr>
            </w:pPr>
          </w:p>
        </w:tc>
        <w:tc>
          <w:tcPr>
            <w:tcW w:w="1592" w:type="dxa"/>
            <w:tcBorders>
              <w:bottom w:val="single" w:sz="4" w:space="0" w:color="auto"/>
            </w:tcBorders>
          </w:tcPr>
          <w:p w14:paraId="1EC20E84" w14:textId="77777777" w:rsidR="000305DD" w:rsidRPr="00F24972" w:rsidRDefault="000305DD" w:rsidP="000305DD">
            <w:pPr>
              <w:pStyle w:val="TableText"/>
              <w:rPr>
                <w:rFonts w:cs="Arial"/>
              </w:rPr>
            </w:pPr>
            <w:r>
              <w:rPr>
                <w:rFonts w:cs="Arial"/>
              </w:rPr>
              <w:t xml:space="preserve">Invalidate Unit Status, </w:t>
            </w:r>
            <w:r w:rsidRPr="00F24972">
              <w:rPr>
                <w:rFonts w:cs="Arial"/>
              </w:rPr>
              <w:t>Rejuvenate</w:t>
            </w:r>
          </w:p>
        </w:tc>
        <w:tc>
          <w:tcPr>
            <w:tcW w:w="1080" w:type="dxa"/>
            <w:tcBorders>
              <w:bottom w:val="single" w:sz="4" w:space="0" w:color="auto"/>
            </w:tcBorders>
          </w:tcPr>
          <w:p w14:paraId="15B396E7" w14:textId="77777777" w:rsidR="000305DD" w:rsidRPr="00F24972" w:rsidRDefault="000305DD" w:rsidP="000305DD">
            <w:pPr>
              <w:pStyle w:val="TableText"/>
              <w:rPr>
                <w:rFonts w:cs="Arial"/>
                <w:b/>
              </w:rPr>
            </w:pPr>
            <w:r w:rsidRPr="00F24972">
              <w:rPr>
                <w:rFonts w:cs="Arial"/>
                <w:b/>
              </w:rPr>
              <w:t>Negative</w:t>
            </w:r>
          </w:p>
        </w:tc>
        <w:tc>
          <w:tcPr>
            <w:tcW w:w="900" w:type="dxa"/>
            <w:tcBorders>
              <w:bottom w:val="single" w:sz="4" w:space="0" w:color="auto"/>
            </w:tcBorders>
          </w:tcPr>
          <w:p w14:paraId="25B0D132" w14:textId="77777777" w:rsidR="000305DD" w:rsidRPr="00F24972" w:rsidRDefault="000305DD" w:rsidP="000305DD">
            <w:pPr>
              <w:pStyle w:val="TableText"/>
              <w:jc w:val="center"/>
              <w:rPr>
                <w:rFonts w:cs="Arial"/>
              </w:rPr>
            </w:pPr>
            <w:r w:rsidRPr="00F24972">
              <w:rPr>
                <w:rFonts w:cs="Arial"/>
              </w:rPr>
              <w:t>U</w:t>
            </w:r>
          </w:p>
        </w:tc>
        <w:tc>
          <w:tcPr>
            <w:tcW w:w="4950" w:type="dxa"/>
            <w:tcBorders>
              <w:bottom w:val="single" w:sz="4" w:space="0" w:color="auto"/>
            </w:tcBorders>
          </w:tcPr>
          <w:p w14:paraId="0B562443" w14:textId="77777777" w:rsidR="000305DD" w:rsidRPr="00F24972" w:rsidRDefault="000305DD" w:rsidP="000305DD">
            <w:pPr>
              <w:pStyle w:val="TableText"/>
              <w:rPr>
                <w:rFonts w:cs="Arial"/>
              </w:rPr>
            </w:pPr>
            <w:r w:rsidRPr="00F24972">
              <w:rPr>
                <w:rFonts w:cs="Arial"/>
              </w:rPr>
              <w:t xml:space="preserve">An individual blood unit’s status is invalided when the original modification process was Rejuvenate. </w:t>
            </w:r>
          </w:p>
        </w:tc>
      </w:tr>
      <w:tr w:rsidR="000305DD" w:rsidRPr="00F24972" w14:paraId="522C02AF" w14:textId="77777777" w:rsidTr="00FA340F">
        <w:trPr>
          <w:cantSplit/>
        </w:trPr>
        <w:tc>
          <w:tcPr>
            <w:tcW w:w="1733" w:type="dxa"/>
            <w:vMerge w:val="restart"/>
            <w:tcBorders>
              <w:top w:val="single" w:sz="4" w:space="0" w:color="auto"/>
              <w:left w:val="single" w:sz="4" w:space="0" w:color="auto"/>
              <w:right w:val="single" w:sz="4" w:space="0" w:color="auto"/>
            </w:tcBorders>
          </w:tcPr>
          <w:p w14:paraId="300EB571" w14:textId="77777777" w:rsidR="000305DD" w:rsidRPr="00F24972" w:rsidRDefault="000305DD" w:rsidP="000305DD">
            <w:pPr>
              <w:pStyle w:val="TableText"/>
              <w:rPr>
                <w:rFonts w:cs="Arial"/>
              </w:rPr>
            </w:pPr>
            <w:r w:rsidRPr="00F24972">
              <w:rPr>
                <w:rFonts w:cs="Arial"/>
              </w:rPr>
              <w:t xml:space="preserve">Thaw </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3F537403" w14:textId="77777777" w:rsidR="000305DD" w:rsidRPr="00F24972" w:rsidRDefault="000305DD" w:rsidP="000305DD">
            <w:pPr>
              <w:pStyle w:val="TableText"/>
              <w:rPr>
                <w:rFonts w:cs="Arial"/>
              </w:rPr>
            </w:pPr>
            <w:r>
              <w:rPr>
                <w:rFonts w:cs="Arial"/>
              </w:rPr>
              <w:t>Modify Unit, Thaw</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967E43"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B76D51D"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28DA8E48"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Thaw. When a batch of units is thawed, each unit accrues workload. This applies to Thaw FFP and Thaw Cryo.</w:t>
            </w:r>
          </w:p>
          <w:p w14:paraId="6391245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72D9B9BF" w14:textId="77777777" w:rsidTr="00FA340F">
        <w:trPr>
          <w:cantSplit/>
        </w:trPr>
        <w:tc>
          <w:tcPr>
            <w:tcW w:w="1733" w:type="dxa"/>
            <w:vMerge/>
            <w:tcBorders>
              <w:left w:val="single" w:sz="4" w:space="0" w:color="auto"/>
              <w:bottom w:val="single" w:sz="4" w:space="0" w:color="auto"/>
              <w:right w:val="single" w:sz="4" w:space="0" w:color="auto"/>
            </w:tcBorders>
          </w:tcPr>
          <w:p w14:paraId="7D6FCEAF"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45590AFB" w14:textId="77777777" w:rsidR="000305DD" w:rsidRPr="00F24972" w:rsidRDefault="000305DD" w:rsidP="000305DD">
            <w:pPr>
              <w:pStyle w:val="TableText"/>
              <w:rPr>
                <w:rFonts w:cs="Arial"/>
              </w:rPr>
            </w:pPr>
            <w:r>
              <w:rPr>
                <w:rFonts w:cs="Arial"/>
              </w:rPr>
              <w:t>Invalidate Unit Status, Thaw</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4071F52"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4941FE"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35755F67"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Thaw. This modification type is applicable to Thaw FFP and Thaw Cryo.</w:t>
            </w:r>
          </w:p>
        </w:tc>
      </w:tr>
      <w:tr w:rsidR="000305DD" w:rsidRPr="00F24972" w14:paraId="7963219B" w14:textId="77777777" w:rsidTr="00FA340F">
        <w:trPr>
          <w:cantSplit/>
        </w:trPr>
        <w:tc>
          <w:tcPr>
            <w:tcW w:w="1733" w:type="dxa"/>
            <w:vMerge w:val="restart"/>
            <w:tcBorders>
              <w:top w:val="single" w:sz="4" w:space="0" w:color="auto"/>
              <w:left w:val="single" w:sz="4" w:space="0" w:color="auto"/>
              <w:right w:val="single" w:sz="4" w:space="0" w:color="auto"/>
            </w:tcBorders>
          </w:tcPr>
          <w:p w14:paraId="25B7D198" w14:textId="77777777" w:rsidR="000305DD" w:rsidRPr="00F24972" w:rsidRDefault="000305DD" w:rsidP="000305DD">
            <w:pPr>
              <w:pStyle w:val="TableText"/>
              <w:rPr>
                <w:rFonts w:cs="Arial"/>
              </w:rPr>
            </w:pPr>
            <w:r w:rsidRPr="00F24972">
              <w:rPr>
                <w:rFonts w:cs="Arial"/>
              </w:rPr>
              <w:t>Wash unit</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17F07BC7" w14:textId="77777777" w:rsidR="000305DD" w:rsidRPr="00F24972" w:rsidRDefault="000305DD" w:rsidP="000305DD">
            <w:pPr>
              <w:pStyle w:val="TableText"/>
              <w:rPr>
                <w:rFonts w:cs="Arial"/>
              </w:rPr>
            </w:pPr>
            <w:r>
              <w:rPr>
                <w:rFonts w:cs="Arial"/>
              </w:rPr>
              <w:t>Modify Unit, Wash</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FC946AC"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A93C54"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627C487E"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Wash.</w:t>
            </w:r>
          </w:p>
          <w:p w14:paraId="54F5EBC7"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1B5A55BD" w14:textId="77777777" w:rsidTr="00FA340F">
        <w:trPr>
          <w:cantSplit/>
        </w:trPr>
        <w:tc>
          <w:tcPr>
            <w:tcW w:w="1733" w:type="dxa"/>
            <w:vMerge/>
            <w:tcBorders>
              <w:left w:val="single" w:sz="4" w:space="0" w:color="auto"/>
              <w:bottom w:val="single" w:sz="4" w:space="0" w:color="auto"/>
              <w:right w:val="single" w:sz="4" w:space="0" w:color="auto"/>
            </w:tcBorders>
          </w:tcPr>
          <w:p w14:paraId="6B0D4239"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76B27BEA" w14:textId="77777777" w:rsidR="000305DD" w:rsidRPr="00F24972" w:rsidRDefault="000305DD" w:rsidP="000305DD">
            <w:pPr>
              <w:pStyle w:val="TableText"/>
              <w:rPr>
                <w:rFonts w:cs="Arial"/>
              </w:rPr>
            </w:pPr>
            <w:r>
              <w:rPr>
                <w:rFonts w:cs="Arial"/>
              </w:rPr>
              <w:t>Invalidate Unit Status, Wash</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848BFE9"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9F729E1"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7A0E8D94"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Wash.</w:t>
            </w:r>
          </w:p>
        </w:tc>
      </w:tr>
      <w:tr w:rsidR="000305DD" w:rsidRPr="00F24972" w14:paraId="19B03F3F" w14:textId="77777777" w:rsidTr="00FA340F">
        <w:trPr>
          <w:cantSplit/>
        </w:trPr>
        <w:tc>
          <w:tcPr>
            <w:tcW w:w="1733" w:type="dxa"/>
            <w:vMerge w:val="restart"/>
            <w:tcBorders>
              <w:left w:val="single" w:sz="4" w:space="0" w:color="auto"/>
              <w:right w:val="single" w:sz="4" w:space="0" w:color="auto"/>
            </w:tcBorders>
          </w:tcPr>
          <w:p w14:paraId="7397E795" w14:textId="77777777" w:rsidR="000305DD" w:rsidRPr="00F24972" w:rsidRDefault="000305DD" w:rsidP="000305DD">
            <w:pPr>
              <w:pStyle w:val="TableText"/>
              <w:rPr>
                <w:rFonts w:cs="Arial"/>
              </w:rPr>
            </w:pPr>
            <w:r w:rsidRPr="00F24972">
              <w:rPr>
                <w:rFonts w:cs="Arial"/>
              </w:rPr>
              <w:t>Volume Reduce</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259C3A9D" w14:textId="77777777" w:rsidR="000305DD" w:rsidRPr="00F24972" w:rsidRDefault="000305DD" w:rsidP="000305DD">
            <w:pPr>
              <w:pStyle w:val="TableText"/>
              <w:rPr>
                <w:rFonts w:cs="Arial"/>
              </w:rPr>
            </w:pPr>
            <w:r>
              <w:rPr>
                <w:rFonts w:cs="Arial"/>
              </w:rPr>
              <w:t>Modify Unit, Volume Reduce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58159B2"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E5AF87F"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02FC23A4" w14:textId="77777777" w:rsidR="000305DD" w:rsidRPr="00F24972" w:rsidRDefault="000305DD" w:rsidP="000305DD">
            <w:pPr>
              <w:pStyle w:val="TableText"/>
              <w:rPr>
                <w:rFonts w:cs="Arial"/>
              </w:rPr>
            </w:pPr>
            <w:r w:rsidRPr="00F24972">
              <w:rPr>
                <w:rFonts w:cs="Arial"/>
              </w:rPr>
              <w:t>Accrue workload when an individual blood unit is processed by the modification type: Volume Reduce.</w:t>
            </w:r>
          </w:p>
          <w:p w14:paraId="1DEFF5AA" w14:textId="77777777" w:rsidR="000305DD" w:rsidRPr="00F24972" w:rsidRDefault="000305DD" w:rsidP="000305DD">
            <w:pPr>
              <w:pStyle w:val="TableText"/>
              <w:rPr>
                <w:rFonts w:cs="Arial"/>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1ECCEB72" w14:textId="77777777" w:rsidTr="00FA340F">
        <w:trPr>
          <w:cantSplit/>
        </w:trPr>
        <w:tc>
          <w:tcPr>
            <w:tcW w:w="1733" w:type="dxa"/>
            <w:vMerge/>
            <w:tcBorders>
              <w:left w:val="single" w:sz="4" w:space="0" w:color="auto"/>
              <w:bottom w:val="single" w:sz="4" w:space="0" w:color="auto"/>
              <w:right w:val="single" w:sz="4" w:space="0" w:color="auto"/>
            </w:tcBorders>
          </w:tcPr>
          <w:p w14:paraId="19771F1E"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09F18377" w14:textId="77777777" w:rsidR="000305DD" w:rsidRPr="00F24972" w:rsidRDefault="000305DD" w:rsidP="000305DD">
            <w:pPr>
              <w:pStyle w:val="TableText"/>
              <w:rPr>
                <w:rFonts w:cs="Arial"/>
              </w:rPr>
            </w:pPr>
            <w:r>
              <w:rPr>
                <w:rFonts w:cs="Arial"/>
              </w:rPr>
              <w:t>Invalidate Unit Status, Volume Reduce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14D1D3D"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66758B1"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5C26C98" w14:textId="77777777" w:rsidR="000305DD" w:rsidRPr="00F24972" w:rsidRDefault="000305DD" w:rsidP="000305DD">
            <w:pPr>
              <w:pStyle w:val="TableText"/>
              <w:rPr>
                <w:rFonts w:cs="Arial"/>
              </w:rPr>
            </w:pPr>
            <w:r w:rsidRPr="00F24972">
              <w:rPr>
                <w:rFonts w:cs="Arial"/>
              </w:rPr>
              <w:t>An individual blood unit’s status is invalided when the original modification process was Volume Reduce.</w:t>
            </w:r>
          </w:p>
        </w:tc>
      </w:tr>
      <w:tr w:rsidR="000305DD" w:rsidRPr="00F24972" w14:paraId="5337A1DF"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3671414B" w14:textId="77777777" w:rsidR="000305DD" w:rsidRPr="00F24972" w:rsidRDefault="000305DD" w:rsidP="000305DD">
            <w:pPr>
              <w:pStyle w:val="TableText"/>
              <w:rPr>
                <w:rFonts w:cs="Arial"/>
              </w:rPr>
            </w:pPr>
            <w:r w:rsidRPr="00F24972">
              <w:rPr>
                <w:rFonts w:cs="Arial"/>
              </w:rPr>
              <w:t>Issue unit</w:t>
            </w:r>
          </w:p>
        </w:tc>
        <w:tc>
          <w:tcPr>
            <w:tcW w:w="1592" w:type="dxa"/>
            <w:tcBorders>
              <w:top w:val="single" w:sz="4" w:space="0" w:color="auto"/>
              <w:left w:val="single" w:sz="4" w:space="0" w:color="auto"/>
              <w:bottom w:val="single" w:sz="4" w:space="0" w:color="auto"/>
              <w:right w:val="single" w:sz="4" w:space="0" w:color="auto"/>
            </w:tcBorders>
          </w:tcPr>
          <w:p w14:paraId="31E29BA9" w14:textId="77777777" w:rsidR="000305DD" w:rsidRPr="00F24972" w:rsidRDefault="000305DD" w:rsidP="000305DD">
            <w:pPr>
              <w:pStyle w:val="TableText"/>
              <w:rPr>
                <w:rFonts w:cs="Arial"/>
              </w:rPr>
            </w:pPr>
            <w:r>
              <w:rPr>
                <w:rFonts w:cs="Arial"/>
              </w:rPr>
              <w:t>Issue Blood Unit</w:t>
            </w:r>
          </w:p>
          <w:p w14:paraId="5D7A6BD3"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3C8757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F3FCDEE"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3DCBEC5E" w14:textId="77777777" w:rsidR="000305DD" w:rsidRPr="00F24972" w:rsidRDefault="000305DD" w:rsidP="000305DD">
            <w:pPr>
              <w:pStyle w:val="TableText"/>
              <w:rPr>
                <w:rFonts w:cs="Arial"/>
              </w:rPr>
            </w:pPr>
            <w:r w:rsidRPr="00F24972">
              <w:rPr>
                <w:rFonts w:cs="Arial"/>
              </w:rPr>
              <w:t>Accrue workload when a unit (row) is issued or is returned from issue to a patient. When a batch of units is processed, each unit invokes one workload process.</w:t>
            </w:r>
          </w:p>
        </w:tc>
      </w:tr>
      <w:tr w:rsidR="000305DD" w:rsidRPr="00F24972" w14:paraId="16800F1B" w14:textId="77777777" w:rsidTr="00FA340F">
        <w:trPr>
          <w:cantSplit/>
        </w:trPr>
        <w:tc>
          <w:tcPr>
            <w:tcW w:w="1733" w:type="dxa"/>
          </w:tcPr>
          <w:p w14:paraId="1849CC0B" w14:textId="77777777" w:rsidR="000305DD" w:rsidRPr="00F24972" w:rsidRDefault="000305DD" w:rsidP="000305DD">
            <w:pPr>
              <w:pStyle w:val="TableText"/>
              <w:rPr>
                <w:rFonts w:cs="Arial"/>
                <w:color w:val="3366FF"/>
              </w:rPr>
            </w:pPr>
            <w:r w:rsidRPr="00F24972">
              <w:rPr>
                <w:rFonts w:cs="Arial"/>
              </w:rPr>
              <w:t>Justification</w:t>
            </w:r>
          </w:p>
        </w:tc>
        <w:tc>
          <w:tcPr>
            <w:tcW w:w="1592" w:type="dxa"/>
          </w:tcPr>
          <w:p w14:paraId="62258847" w14:textId="77777777" w:rsidR="000305DD" w:rsidRPr="00F24972" w:rsidRDefault="000305DD" w:rsidP="000305DD">
            <w:pPr>
              <w:pStyle w:val="TableText"/>
              <w:rPr>
                <w:rFonts w:cs="Arial"/>
                <w:snapToGrid w:val="0"/>
              </w:rPr>
            </w:pPr>
            <w:r>
              <w:rPr>
                <w:rFonts w:cs="Arial"/>
                <w:snapToGrid w:val="0"/>
              </w:rPr>
              <w:t>Justify ABO/Rh Change</w:t>
            </w:r>
          </w:p>
        </w:tc>
        <w:tc>
          <w:tcPr>
            <w:tcW w:w="1080" w:type="dxa"/>
          </w:tcPr>
          <w:p w14:paraId="54E9F42B" w14:textId="77777777" w:rsidR="000305DD" w:rsidRPr="00F24972" w:rsidRDefault="000305DD" w:rsidP="000305DD">
            <w:pPr>
              <w:pStyle w:val="TableText"/>
              <w:rPr>
                <w:rFonts w:cs="Arial"/>
              </w:rPr>
            </w:pPr>
            <w:r w:rsidRPr="00F24972">
              <w:rPr>
                <w:rFonts w:cs="Arial"/>
              </w:rPr>
              <w:t>Positive</w:t>
            </w:r>
          </w:p>
        </w:tc>
        <w:tc>
          <w:tcPr>
            <w:tcW w:w="900" w:type="dxa"/>
          </w:tcPr>
          <w:p w14:paraId="2E48F070" w14:textId="77777777" w:rsidR="000305DD" w:rsidRPr="00F24972" w:rsidRDefault="000305DD" w:rsidP="000305DD">
            <w:pPr>
              <w:pStyle w:val="TableText"/>
              <w:jc w:val="center"/>
              <w:rPr>
                <w:rFonts w:cs="Arial"/>
              </w:rPr>
            </w:pPr>
            <w:r w:rsidRPr="00F24972">
              <w:rPr>
                <w:rFonts w:cs="Arial"/>
              </w:rPr>
              <w:t>M</w:t>
            </w:r>
          </w:p>
        </w:tc>
        <w:tc>
          <w:tcPr>
            <w:tcW w:w="4950" w:type="dxa"/>
          </w:tcPr>
          <w:p w14:paraId="3F3CB1DC" w14:textId="77777777" w:rsidR="000305DD" w:rsidRPr="00F24972" w:rsidRDefault="000305DD" w:rsidP="000305DD">
            <w:pPr>
              <w:pStyle w:val="TableText"/>
              <w:rPr>
                <w:rFonts w:cs="Arial"/>
              </w:rPr>
            </w:pPr>
            <w:r w:rsidRPr="00F24972">
              <w:rPr>
                <w:rFonts w:cs="Arial"/>
              </w:rPr>
              <w:t>Workload is accrued when a patient’s ABO or Rh typing is justified.</w:t>
            </w:r>
            <w:r>
              <w:rPr>
                <w:rFonts w:cs="Arial"/>
              </w:rPr>
              <w:t xml:space="preserve"> </w:t>
            </w:r>
            <w:r w:rsidRPr="00F24972">
              <w:rPr>
                <w:rFonts w:cs="Arial"/>
              </w:rPr>
              <w:t>One workload event per patient justification.</w:t>
            </w:r>
          </w:p>
        </w:tc>
      </w:tr>
      <w:tr w:rsidR="000305DD" w:rsidRPr="00F24972" w14:paraId="5AB29901" w14:textId="77777777" w:rsidTr="00FA340F">
        <w:trPr>
          <w:cantSplit/>
        </w:trPr>
        <w:tc>
          <w:tcPr>
            <w:tcW w:w="1733" w:type="dxa"/>
          </w:tcPr>
          <w:p w14:paraId="49D02B8A" w14:textId="77777777" w:rsidR="000305DD" w:rsidRPr="00F24972" w:rsidRDefault="000305DD" w:rsidP="000305DD">
            <w:pPr>
              <w:pStyle w:val="TableText"/>
              <w:rPr>
                <w:rFonts w:cs="Arial"/>
              </w:rPr>
            </w:pPr>
            <w:r w:rsidRPr="00F24972">
              <w:rPr>
                <w:rFonts w:cs="Arial"/>
              </w:rPr>
              <w:t>Login Equipment</w:t>
            </w:r>
          </w:p>
        </w:tc>
        <w:tc>
          <w:tcPr>
            <w:tcW w:w="1592" w:type="dxa"/>
          </w:tcPr>
          <w:p w14:paraId="522337D4" w14:textId="77777777" w:rsidR="000305DD" w:rsidRPr="00F24972" w:rsidRDefault="000305DD" w:rsidP="000305DD">
            <w:pPr>
              <w:pStyle w:val="TableText"/>
              <w:rPr>
                <w:rFonts w:cs="Arial"/>
              </w:rPr>
            </w:pPr>
            <w:r>
              <w:rPr>
                <w:rFonts w:cs="Arial"/>
                <w:snapToGrid w:val="0"/>
              </w:rPr>
              <w:t>Equipment, Login</w:t>
            </w:r>
            <w:r w:rsidRPr="00F24972">
              <w:rPr>
                <w:rFonts w:cs="Arial"/>
                <w:snapToGrid w:val="0"/>
              </w:rPr>
              <w:t xml:space="preserve"> </w:t>
            </w:r>
          </w:p>
        </w:tc>
        <w:tc>
          <w:tcPr>
            <w:tcW w:w="1080" w:type="dxa"/>
          </w:tcPr>
          <w:p w14:paraId="2C21B308" w14:textId="77777777" w:rsidR="000305DD" w:rsidRPr="00F24972" w:rsidRDefault="000305DD" w:rsidP="000305DD">
            <w:pPr>
              <w:pStyle w:val="TableText"/>
              <w:rPr>
                <w:rFonts w:cs="Arial"/>
              </w:rPr>
            </w:pPr>
            <w:r w:rsidRPr="00F24972">
              <w:rPr>
                <w:rFonts w:cs="Arial"/>
              </w:rPr>
              <w:t>Positive</w:t>
            </w:r>
          </w:p>
        </w:tc>
        <w:tc>
          <w:tcPr>
            <w:tcW w:w="900" w:type="dxa"/>
          </w:tcPr>
          <w:p w14:paraId="23DE0CC7" w14:textId="77777777" w:rsidR="000305DD" w:rsidRPr="00F24972" w:rsidRDefault="000305DD" w:rsidP="000305DD">
            <w:pPr>
              <w:pStyle w:val="TableText"/>
              <w:jc w:val="center"/>
              <w:rPr>
                <w:rFonts w:cs="Arial"/>
              </w:rPr>
            </w:pPr>
            <w:r w:rsidRPr="00F24972">
              <w:rPr>
                <w:rFonts w:cs="Arial"/>
              </w:rPr>
              <w:t>M</w:t>
            </w:r>
          </w:p>
        </w:tc>
        <w:tc>
          <w:tcPr>
            <w:tcW w:w="4950" w:type="dxa"/>
          </w:tcPr>
          <w:p w14:paraId="189D0417" w14:textId="77777777" w:rsidR="000305DD" w:rsidRPr="00F24972" w:rsidRDefault="000305DD" w:rsidP="000305DD">
            <w:pPr>
              <w:pStyle w:val="TableText"/>
              <w:rPr>
                <w:rFonts w:cs="Arial"/>
              </w:rPr>
            </w:pPr>
            <w:r w:rsidRPr="00F24972">
              <w:rPr>
                <w:rFonts w:cs="Arial"/>
              </w:rPr>
              <w:t>Accrue workload when a lot number of any type of equipment is logged into the system.</w:t>
            </w:r>
            <w:r>
              <w:rPr>
                <w:rFonts w:cs="Arial"/>
              </w:rPr>
              <w:t xml:space="preserve"> </w:t>
            </w:r>
          </w:p>
        </w:tc>
      </w:tr>
      <w:tr w:rsidR="000305DD" w:rsidRPr="00F24972" w14:paraId="0205DC5A" w14:textId="77777777" w:rsidTr="00FA340F">
        <w:trPr>
          <w:cantSplit/>
        </w:trPr>
        <w:tc>
          <w:tcPr>
            <w:tcW w:w="1733" w:type="dxa"/>
          </w:tcPr>
          <w:p w14:paraId="10A4B37A" w14:textId="77777777" w:rsidR="000305DD" w:rsidRPr="00F24972" w:rsidRDefault="000305DD" w:rsidP="000305DD">
            <w:pPr>
              <w:pStyle w:val="TableText"/>
              <w:rPr>
                <w:rFonts w:cs="Arial"/>
              </w:rPr>
            </w:pPr>
            <w:r w:rsidRPr="00F24972">
              <w:rPr>
                <w:rFonts w:cs="Arial"/>
              </w:rPr>
              <w:t>Login Reagent</w:t>
            </w:r>
          </w:p>
        </w:tc>
        <w:tc>
          <w:tcPr>
            <w:tcW w:w="1592" w:type="dxa"/>
          </w:tcPr>
          <w:p w14:paraId="19860951" w14:textId="77777777" w:rsidR="000305DD" w:rsidRPr="00F24972" w:rsidRDefault="000305DD" w:rsidP="000305DD">
            <w:pPr>
              <w:pStyle w:val="TableText"/>
              <w:rPr>
                <w:rFonts w:cs="Arial"/>
              </w:rPr>
            </w:pPr>
            <w:r>
              <w:rPr>
                <w:rFonts w:cs="Arial"/>
                <w:snapToGrid w:val="0"/>
              </w:rPr>
              <w:t>Reagent, Login</w:t>
            </w:r>
            <w:r w:rsidRPr="00F24972">
              <w:rPr>
                <w:rFonts w:cs="Arial"/>
                <w:snapToGrid w:val="0"/>
              </w:rPr>
              <w:t xml:space="preserve"> </w:t>
            </w:r>
          </w:p>
        </w:tc>
        <w:tc>
          <w:tcPr>
            <w:tcW w:w="1080" w:type="dxa"/>
          </w:tcPr>
          <w:p w14:paraId="46203288" w14:textId="77777777" w:rsidR="000305DD" w:rsidRPr="00F24972" w:rsidRDefault="000305DD" w:rsidP="000305DD">
            <w:pPr>
              <w:pStyle w:val="TableText"/>
              <w:rPr>
                <w:rFonts w:cs="Arial"/>
              </w:rPr>
            </w:pPr>
            <w:r w:rsidRPr="00F24972">
              <w:rPr>
                <w:rFonts w:cs="Arial"/>
              </w:rPr>
              <w:t>Positive</w:t>
            </w:r>
          </w:p>
        </w:tc>
        <w:tc>
          <w:tcPr>
            <w:tcW w:w="900" w:type="dxa"/>
          </w:tcPr>
          <w:p w14:paraId="5C3F5788" w14:textId="77777777" w:rsidR="000305DD" w:rsidRPr="00F24972" w:rsidRDefault="000305DD" w:rsidP="000305DD">
            <w:pPr>
              <w:pStyle w:val="TableText"/>
              <w:jc w:val="center"/>
              <w:rPr>
                <w:rFonts w:cs="Arial"/>
              </w:rPr>
            </w:pPr>
            <w:r w:rsidRPr="00F24972">
              <w:rPr>
                <w:rFonts w:cs="Arial"/>
              </w:rPr>
              <w:t>M</w:t>
            </w:r>
          </w:p>
        </w:tc>
        <w:tc>
          <w:tcPr>
            <w:tcW w:w="4950" w:type="dxa"/>
          </w:tcPr>
          <w:p w14:paraId="050DEB3B" w14:textId="77777777" w:rsidR="000305DD" w:rsidRPr="00F24972" w:rsidRDefault="000305DD" w:rsidP="000305DD">
            <w:pPr>
              <w:pStyle w:val="TableText"/>
              <w:rPr>
                <w:rFonts w:cs="Arial"/>
              </w:rPr>
            </w:pPr>
            <w:r w:rsidRPr="00F24972">
              <w:rPr>
                <w:rFonts w:cs="Arial"/>
              </w:rPr>
              <w:t>Accrue workload when a lot number of any type of reagent is logged into the system.</w:t>
            </w:r>
            <w:r>
              <w:rPr>
                <w:rFonts w:cs="Arial"/>
              </w:rPr>
              <w:t xml:space="preserve"> </w:t>
            </w:r>
            <w:r w:rsidRPr="00F24972">
              <w:rPr>
                <w:rFonts w:cs="Arial"/>
              </w:rPr>
              <w:t>When multiple lot numbers are processed in a batch, each lot number’s workload is counted.</w:t>
            </w:r>
          </w:p>
        </w:tc>
      </w:tr>
      <w:tr w:rsidR="000305DD" w:rsidRPr="00F24972" w14:paraId="4D59824B" w14:textId="77777777" w:rsidTr="00FA340F">
        <w:trPr>
          <w:cantSplit/>
        </w:trPr>
        <w:tc>
          <w:tcPr>
            <w:tcW w:w="1733" w:type="dxa"/>
          </w:tcPr>
          <w:p w14:paraId="35E318BA" w14:textId="77777777" w:rsidR="000305DD" w:rsidRPr="00F24972" w:rsidRDefault="000305DD" w:rsidP="000305DD">
            <w:pPr>
              <w:pStyle w:val="TableText"/>
              <w:rPr>
                <w:rFonts w:cs="Arial"/>
              </w:rPr>
            </w:pPr>
            <w:r w:rsidRPr="00F24972">
              <w:rPr>
                <w:rFonts w:cs="Arial"/>
              </w:rPr>
              <w:t>Login Supply</w:t>
            </w:r>
          </w:p>
        </w:tc>
        <w:tc>
          <w:tcPr>
            <w:tcW w:w="1592" w:type="dxa"/>
          </w:tcPr>
          <w:p w14:paraId="64385B9B" w14:textId="77777777" w:rsidR="000305DD" w:rsidRPr="00F24972" w:rsidRDefault="000305DD" w:rsidP="000305DD">
            <w:pPr>
              <w:pStyle w:val="TableText"/>
              <w:rPr>
                <w:rFonts w:cs="Arial"/>
              </w:rPr>
            </w:pPr>
            <w:r>
              <w:rPr>
                <w:rFonts w:cs="Arial"/>
                <w:snapToGrid w:val="0"/>
              </w:rPr>
              <w:t>Supply, Login</w:t>
            </w:r>
          </w:p>
        </w:tc>
        <w:tc>
          <w:tcPr>
            <w:tcW w:w="1080" w:type="dxa"/>
          </w:tcPr>
          <w:p w14:paraId="611F3774" w14:textId="77777777" w:rsidR="000305DD" w:rsidRPr="00F24972" w:rsidRDefault="000305DD" w:rsidP="000305DD">
            <w:pPr>
              <w:pStyle w:val="TableText"/>
              <w:rPr>
                <w:rFonts w:cs="Arial"/>
              </w:rPr>
            </w:pPr>
            <w:r w:rsidRPr="00F24972">
              <w:rPr>
                <w:rFonts w:cs="Arial"/>
              </w:rPr>
              <w:t>Positive</w:t>
            </w:r>
          </w:p>
        </w:tc>
        <w:tc>
          <w:tcPr>
            <w:tcW w:w="900" w:type="dxa"/>
          </w:tcPr>
          <w:p w14:paraId="059F376F" w14:textId="77777777" w:rsidR="000305DD" w:rsidRPr="00F24972" w:rsidRDefault="000305DD" w:rsidP="000305DD">
            <w:pPr>
              <w:pStyle w:val="TableText"/>
              <w:jc w:val="center"/>
              <w:rPr>
                <w:rFonts w:cs="Arial"/>
              </w:rPr>
            </w:pPr>
            <w:r w:rsidRPr="00F24972">
              <w:rPr>
                <w:rFonts w:cs="Arial"/>
              </w:rPr>
              <w:t>M</w:t>
            </w:r>
          </w:p>
        </w:tc>
        <w:tc>
          <w:tcPr>
            <w:tcW w:w="4950" w:type="dxa"/>
          </w:tcPr>
          <w:p w14:paraId="481E4C14" w14:textId="77777777" w:rsidR="000305DD" w:rsidRPr="00F24972" w:rsidRDefault="000305DD" w:rsidP="000305DD">
            <w:pPr>
              <w:pStyle w:val="TableText"/>
              <w:rPr>
                <w:rFonts w:cs="Arial"/>
              </w:rPr>
            </w:pPr>
            <w:r w:rsidRPr="00F24972">
              <w:rPr>
                <w:rFonts w:cs="Arial"/>
              </w:rPr>
              <w:t>Accrue workload when a lot number of any type of supply is logged into the system.</w:t>
            </w:r>
            <w:r>
              <w:rPr>
                <w:rFonts w:cs="Arial"/>
              </w:rPr>
              <w:t xml:space="preserve"> </w:t>
            </w:r>
            <w:r w:rsidRPr="00F24972">
              <w:rPr>
                <w:rFonts w:cs="Arial"/>
              </w:rPr>
              <w:t>When multiple lot numbers are processed in a batch, each lot number’s workload is counted.</w:t>
            </w:r>
          </w:p>
        </w:tc>
      </w:tr>
      <w:tr w:rsidR="000305DD" w:rsidRPr="00F24972" w14:paraId="4F51D775"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7DE847B7" w14:textId="77777777" w:rsidR="000305DD" w:rsidRPr="00F24972" w:rsidRDefault="000305DD" w:rsidP="000305DD">
            <w:pPr>
              <w:pStyle w:val="TableText"/>
              <w:rPr>
                <w:rFonts w:cs="Arial"/>
              </w:rPr>
            </w:pPr>
            <w:r w:rsidRPr="00F24972">
              <w:rPr>
                <w:rFonts w:cs="Arial"/>
              </w:rPr>
              <w:t>Maintain Specimen</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53143AD4" w14:textId="77777777" w:rsidR="000305DD" w:rsidRPr="00F24972" w:rsidRDefault="000305DD" w:rsidP="000305DD">
            <w:pPr>
              <w:pStyle w:val="TableText"/>
              <w:rPr>
                <w:rFonts w:cs="Arial"/>
              </w:rPr>
            </w:pPr>
            <w:r>
              <w:rPr>
                <w:rFonts w:cs="Arial"/>
              </w:rPr>
              <w:t>Maintain Specimen</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A21C0E4"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BF1B78F" w14:textId="77777777" w:rsidR="000305DD" w:rsidRPr="00F24972" w:rsidRDefault="000305DD" w:rsidP="000305DD">
            <w:pPr>
              <w:pStyle w:val="TableText"/>
              <w:jc w:val="center"/>
              <w:rPr>
                <w:rFonts w:cs="Arial"/>
              </w:rPr>
            </w:pPr>
            <w:r w:rsidRPr="00F24972">
              <w:rPr>
                <w:rFonts w:cs="Arial"/>
              </w:rPr>
              <w:t>M</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531B9C6D" w14:textId="77777777" w:rsidR="000305DD" w:rsidRPr="00F24972" w:rsidRDefault="000305DD" w:rsidP="000305DD">
            <w:pPr>
              <w:pStyle w:val="TableText"/>
              <w:rPr>
                <w:rFonts w:cs="Arial"/>
              </w:rPr>
            </w:pPr>
            <w:r w:rsidRPr="00F24972">
              <w:rPr>
                <w:rFonts w:cs="Arial"/>
              </w:rPr>
              <w:t>Accrue workload when a specimen is maintained during order acceptance when a specimen is requirement for the order.</w:t>
            </w:r>
          </w:p>
          <w:p w14:paraId="654CD344" w14:textId="77777777" w:rsidR="000305DD" w:rsidRPr="00F24972" w:rsidRDefault="000305DD" w:rsidP="000305DD">
            <w:pPr>
              <w:pStyle w:val="TableText"/>
              <w:rPr>
                <w:rFonts w:cs="Arial"/>
              </w:rPr>
            </w:pPr>
            <w:r w:rsidRPr="00F24972">
              <w:rPr>
                <w:rFonts w:cs="Arial"/>
              </w:rPr>
              <w:t xml:space="preserve">Note: This event is accrued when the specimen is maintained in </w:t>
            </w:r>
            <w:r>
              <w:rPr>
                <w:rFonts w:cs="Arial"/>
              </w:rPr>
              <w:t>Maintain Specimen</w:t>
            </w:r>
            <w:r w:rsidRPr="00F24972">
              <w:rPr>
                <w:rFonts w:cs="Arial"/>
              </w:rPr>
              <w:t xml:space="preserve">. This is collected in addition to the accept order workload accrued by </w:t>
            </w:r>
            <w:r>
              <w:rPr>
                <w:rFonts w:cs="Arial"/>
              </w:rPr>
              <w:t>Accept Order</w:t>
            </w:r>
            <w:r w:rsidRPr="00F24972">
              <w:rPr>
                <w:rFonts w:cs="Arial"/>
              </w:rPr>
              <w:t>. Marking a specimen unacceptable does not create a negative workload event.</w:t>
            </w:r>
          </w:p>
        </w:tc>
      </w:tr>
      <w:tr w:rsidR="000305DD" w:rsidRPr="00F24972" w14:paraId="76E96DE5" w14:textId="77777777" w:rsidTr="00FA340F">
        <w:trPr>
          <w:cantSplit/>
        </w:trPr>
        <w:tc>
          <w:tcPr>
            <w:tcW w:w="1733" w:type="dxa"/>
            <w:vMerge w:val="restart"/>
          </w:tcPr>
          <w:p w14:paraId="11C371BB" w14:textId="77777777" w:rsidR="000305DD" w:rsidRPr="00BF10B2" w:rsidRDefault="000305DD" w:rsidP="000305DD">
            <w:pPr>
              <w:pStyle w:val="TableText"/>
              <w:rPr>
                <w:rFonts w:cs="Arial"/>
              </w:rPr>
            </w:pPr>
            <w:r w:rsidRPr="00BF10B2">
              <w:rPr>
                <w:rFonts w:cs="Arial"/>
              </w:rPr>
              <w:t>Patient antigen phenotype (multiple phases)</w:t>
            </w:r>
          </w:p>
        </w:tc>
        <w:tc>
          <w:tcPr>
            <w:tcW w:w="1592" w:type="dxa"/>
          </w:tcPr>
          <w:p w14:paraId="11EEDEB0" w14:textId="77777777" w:rsidR="000305DD" w:rsidRPr="00F24972" w:rsidRDefault="000305DD" w:rsidP="000305DD">
            <w:pPr>
              <w:pStyle w:val="TableText"/>
              <w:rPr>
                <w:rFonts w:cs="Arial"/>
              </w:rPr>
            </w:pPr>
            <w:r>
              <w:rPr>
                <w:rFonts w:cs="Arial"/>
              </w:rPr>
              <w:t>Patient Antigen typing</w:t>
            </w:r>
          </w:p>
          <w:p w14:paraId="13E1D1EB" w14:textId="77777777" w:rsidR="000305DD" w:rsidRPr="00F24972" w:rsidRDefault="000305DD" w:rsidP="000305DD">
            <w:pPr>
              <w:pStyle w:val="TableText"/>
              <w:rPr>
                <w:rFonts w:cs="Arial"/>
              </w:rPr>
            </w:pPr>
          </w:p>
        </w:tc>
        <w:tc>
          <w:tcPr>
            <w:tcW w:w="1080" w:type="dxa"/>
          </w:tcPr>
          <w:p w14:paraId="593EDEE4" w14:textId="77777777" w:rsidR="000305DD" w:rsidRPr="00F24972" w:rsidRDefault="000305DD" w:rsidP="000305DD">
            <w:pPr>
              <w:pStyle w:val="TableText"/>
              <w:rPr>
                <w:rFonts w:cs="Arial"/>
              </w:rPr>
            </w:pPr>
            <w:r w:rsidRPr="00F24972">
              <w:rPr>
                <w:rFonts w:cs="Arial"/>
              </w:rPr>
              <w:t>Positive</w:t>
            </w:r>
          </w:p>
        </w:tc>
        <w:tc>
          <w:tcPr>
            <w:tcW w:w="900" w:type="dxa"/>
          </w:tcPr>
          <w:p w14:paraId="5BF9A559" w14:textId="77777777" w:rsidR="000305DD" w:rsidRPr="00F24972" w:rsidRDefault="000305DD" w:rsidP="000305DD">
            <w:pPr>
              <w:pStyle w:val="TableText"/>
              <w:jc w:val="center"/>
              <w:rPr>
                <w:rFonts w:cs="Arial"/>
              </w:rPr>
            </w:pPr>
            <w:r w:rsidRPr="00F24972">
              <w:rPr>
                <w:rFonts w:cs="Arial"/>
              </w:rPr>
              <w:t>P</w:t>
            </w:r>
          </w:p>
        </w:tc>
        <w:tc>
          <w:tcPr>
            <w:tcW w:w="4950" w:type="dxa"/>
          </w:tcPr>
          <w:p w14:paraId="13491CFA" w14:textId="77777777" w:rsidR="000305DD" w:rsidRPr="00F24972" w:rsidRDefault="000305DD" w:rsidP="000305DD">
            <w:pPr>
              <w:pStyle w:val="TableText"/>
              <w:rPr>
                <w:rFonts w:cs="Arial"/>
              </w:rPr>
            </w:pPr>
            <w:r w:rsidRPr="00F24972">
              <w:rPr>
                <w:rFonts w:cs="Arial"/>
              </w:rPr>
              <w:t xml:space="preserve">Accrue workload when a patient antigen phenotype test [specificity (tab)] with IS/RT or IS/37 phases is completed and saved (when completed and saved via </w:t>
            </w:r>
            <w:r>
              <w:rPr>
                <w:rFonts w:cs="Arial"/>
              </w:rPr>
              <w:t>Record Testing</w:t>
            </w:r>
            <w:r w:rsidRPr="00F24972">
              <w:rPr>
                <w:rFonts w:cs="Arial"/>
              </w:rPr>
              <w:t>). One workload event is collected per completed tab for repeat or regular antigen tests.</w:t>
            </w:r>
          </w:p>
        </w:tc>
      </w:tr>
      <w:tr w:rsidR="000305DD" w:rsidRPr="00F24972" w14:paraId="09CFEF9A" w14:textId="77777777" w:rsidTr="00FA340F">
        <w:trPr>
          <w:cantSplit/>
        </w:trPr>
        <w:tc>
          <w:tcPr>
            <w:tcW w:w="1733" w:type="dxa"/>
            <w:vMerge/>
          </w:tcPr>
          <w:p w14:paraId="7429EA8A" w14:textId="77777777" w:rsidR="000305DD" w:rsidRPr="00F24972" w:rsidRDefault="000305DD" w:rsidP="000305DD">
            <w:pPr>
              <w:pStyle w:val="TableText"/>
              <w:rPr>
                <w:rFonts w:cs="Arial"/>
              </w:rPr>
            </w:pPr>
          </w:p>
        </w:tc>
        <w:tc>
          <w:tcPr>
            <w:tcW w:w="1592" w:type="dxa"/>
          </w:tcPr>
          <w:p w14:paraId="0717B62F" w14:textId="77777777" w:rsidR="000305DD" w:rsidRPr="00F24972" w:rsidRDefault="000305DD" w:rsidP="000305DD">
            <w:pPr>
              <w:pStyle w:val="TableText"/>
              <w:rPr>
                <w:rFonts w:cs="Arial"/>
              </w:rPr>
            </w:pPr>
            <w:r>
              <w:rPr>
                <w:rFonts w:cs="Arial"/>
              </w:rPr>
              <w:t>Invalidate, Patient Antigen typing</w:t>
            </w:r>
          </w:p>
          <w:p w14:paraId="33B4DAE7" w14:textId="77777777" w:rsidR="000305DD" w:rsidRPr="00F24972" w:rsidRDefault="000305DD" w:rsidP="000305DD">
            <w:pPr>
              <w:pStyle w:val="TableText"/>
              <w:rPr>
                <w:rFonts w:cs="Arial"/>
              </w:rPr>
            </w:pPr>
          </w:p>
          <w:p w14:paraId="3C3EA1BD" w14:textId="77777777" w:rsidR="000305DD" w:rsidRPr="00F24972" w:rsidRDefault="000305DD" w:rsidP="000305DD">
            <w:pPr>
              <w:pStyle w:val="TableText"/>
              <w:rPr>
                <w:rFonts w:cs="Arial"/>
              </w:rPr>
            </w:pPr>
          </w:p>
        </w:tc>
        <w:tc>
          <w:tcPr>
            <w:tcW w:w="1080" w:type="dxa"/>
          </w:tcPr>
          <w:p w14:paraId="49CFB6FC" w14:textId="77777777" w:rsidR="000305DD" w:rsidRPr="00F24972" w:rsidRDefault="000305DD" w:rsidP="000305DD">
            <w:pPr>
              <w:pStyle w:val="TableText"/>
              <w:rPr>
                <w:rFonts w:cs="Arial"/>
                <w:b/>
              </w:rPr>
            </w:pPr>
            <w:r w:rsidRPr="00F24972">
              <w:rPr>
                <w:rFonts w:cs="Arial"/>
                <w:b/>
              </w:rPr>
              <w:t>Negative</w:t>
            </w:r>
          </w:p>
        </w:tc>
        <w:tc>
          <w:tcPr>
            <w:tcW w:w="900" w:type="dxa"/>
          </w:tcPr>
          <w:p w14:paraId="40ABCDE5" w14:textId="77777777" w:rsidR="000305DD" w:rsidRPr="00F24972" w:rsidRDefault="000305DD" w:rsidP="000305DD">
            <w:pPr>
              <w:pStyle w:val="TableText"/>
              <w:jc w:val="center"/>
              <w:rPr>
                <w:rFonts w:cs="Arial"/>
              </w:rPr>
            </w:pPr>
            <w:r w:rsidRPr="00F24972">
              <w:rPr>
                <w:rFonts w:cs="Arial"/>
              </w:rPr>
              <w:t>P</w:t>
            </w:r>
          </w:p>
        </w:tc>
        <w:tc>
          <w:tcPr>
            <w:tcW w:w="4950" w:type="dxa"/>
          </w:tcPr>
          <w:p w14:paraId="1A0696B2" w14:textId="77777777" w:rsidR="000305DD" w:rsidRPr="00F24972" w:rsidRDefault="000305DD" w:rsidP="000305DD">
            <w:pPr>
              <w:pStyle w:val="TableText"/>
              <w:rPr>
                <w:rFonts w:cs="Arial"/>
              </w:rPr>
            </w:pPr>
            <w:r w:rsidRPr="00F24972">
              <w:rPr>
                <w:rFonts w:cs="Arial"/>
              </w:rPr>
              <w:t xml:space="preserve">Accrue workload when a patient antigen phenotype test as defined by the antiserum specificity tested with any phases is invalidated. </w:t>
            </w:r>
          </w:p>
        </w:tc>
      </w:tr>
      <w:tr w:rsidR="000305DD" w:rsidRPr="00F24972" w14:paraId="74CEE570" w14:textId="77777777" w:rsidTr="00FA340F">
        <w:trPr>
          <w:cantSplit/>
        </w:trPr>
        <w:tc>
          <w:tcPr>
            <w:tcW w:w="1733" w:type="dxa"/>
            <w:vMerge w:val="restart"/>
          </w:tcPr>
          <w:p w14:paraId="09279E9F" w14:textId="77777777" w:rsidR="000305DD" w:rsidRPr="00F24972" w:rsidRDefault="000305DD" w:rsidP="000305DD">
            <w:pPr>
              <w:pStyle w:val="TableText"/>
              <w:rPr>
                <w:rFonts w:cs="Arial"/>
              </w:rPr>
            </w:pPr>
            <w:r w:rsidRPr="00F24972">
              <w:rPr>
                <w:rFonts w:cs="Arial"/>
              </w:rPr>
              <w:t>Patient antigen phenotype (single phase)</w:t>
            </w:r>
          </w:p>
        </w:tc>
        <w:tc>
          <w:tcPr>
            <w:tcW w:w="1592" w:type="dxa"/>
          </w:tcPr>
          <w:p w14:paraId="4FFCEBAA" w14:textId="77777777" w:rsidR="000305DD" w:rsidRPr="00F24972" w:rsidRDefault="000305DD" w:rsidP="000305DD">
            <w:pPr>
              <w:pStyle w:val="TableText"/>
              <w:rPr>
                <w:rFonts w:cs="Arial"/>
              </w:rPr>
            </w:pPr>
            <w:r>
              <w:rPr>
                <w:rFonts w:cs="Arial"/>
              </w:rPr>
              <w:t>Patient Antigen typing</w:t>
            </w:r>
          </w:p>
          <w:p w14:paraId="34E9B18D" w14:textId="77777777" w:rsidR="000305DD" w:rsidRPr="00F24972" w:rsidRDefault="000305DD" w:rsidP="000305DD">
            <w:pPr>
              <w:pStyle w:val="TableText"/>
              <w:rPr>
                <w:rFonts w:cs="Arial"/>
              </w:rPr>
            </w:pPr>
          </w:p>
        </w:tc>
        <w:tc>
          <w:tcPr>
            <w:tcW w:w="1080" w:type="dxa"/>
          </w:tcPr>
          <w:p w14:paraId="044D2B12" w14:textId="77777777" w:rsidR="000305DD" w:rsidRPr="00F24972" w:rsidRDefault="000305DD" w:rsidP="000305DD">
            <w:pPr>
              <w:pStyle w:val="TableText"/>
              <w:rPr>
                <w:rFonts w:cs="Arial"/>
              </w:rPr>
            </w:pPr>
            <w:r w:rsidRPr="00F24972">
              <w:rPr>
                <w:rFonts w:cs="Arial"/>
              </w:rPr>
              <w:t>Positive</w:t>
            </w:r>
          </w:p>
        </w:tc>
        <w:tc>
          <w:tcPr>
            <w:tcW w:w="900" w:type="dxa"/>
          </w:tcPr>
          <w:p w14:paraId="1F79F189" w14:textId="77777777" w:rsidR="000305DD" w:rsidRPr="00F24972" w:rsidRDefault="000305DD" w:rsidP="000305DD">
            <w:pPr>
              <w:pStyle w:val="TableText"/>
              <w:jc w:val="center"/>
              <w:rPr>
                <w:rFonts w:cs="Arial"/>
              </w:rPr>
            </w:pPr>
            <w:r w:rsidRPr="00F24972">
              <w:rPr>
                <w:rFonts w:cs="Arial"/>
              </w:rPr>
              <w:t>P</w:t>
            </w:r>
          </w:p>
        </w:tc>
        <w:tc>
          <w:tcPr>
            <w:tcW w:w="4950" w:type="dxa"/>
          </w:tcPr>
          <w:p w14:paraId="2433DDC0" w14:textId="77777777" w:rsidR="000305DD" w:rsidRPr="00F24972" w:rsidRDefault="000305DD" w:rsidP="000305DD">
            <w:pPr>
              <w:pStyle w:val="TableText"/>
              <w:rPr>
                <w:rFonts w:cs="Arial"/>
              </w:rPr>
            </w:pPr>
            <w:r w:rsidRPr="00F24972">
              <w:rPr>
                <w:rFonts w:cs="Arial"/>
              </w:rPr>
              <w:t xml:space="preserve">Accrue workload when a patient antigen phenotype test [specificity (tab)] with AHG or IS phase is completed and saved (when completed and saved via </w:t>
            </w:r>
            <w:r>
              <w:rPr>
                <w:rFonts w:cs="Arial"/>
              </w:rPr>
              <w:t>Record Testing</w:t>
            </w:r>
            <w:r w:rsidRPr="00F24972">
              <w:rPr>
                <w:rFonts w:cs="Arial"/>
              </w:rPr>
              <w:t>). One workload event is collected per completed tab for repeat or regular antigen tests.</w:t>
            </w:r>
          </w:p>
        </w:tc>
      </w:tr>
      <w:tr w:rsidR="000305DD" w:rsidRPr="00F24972" w14:paraId="5D1CC7D0" w14:textId="77777777" w:rsidTr="00FA340F">
        <w:trPr>
          <w:cantSplit/>
        </w:trPr>
        <w:tc>
          <w:tcPr>
            <w:tcW w:w="1733" w:type="dxa"/>
            <w:vMerge/>
            <w:tcBorders>
              <w:bottom w:val="single" w:sz="4" w:space="0" w:color="auto"/>
            </w:tcBorders>
          </w:tcPr>
          <w:p w14:paraId="4044FFF6"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321C4707" w14:textId="77777777" w:rsidR="000305DD" w:rsidRPr="00F24972" w:rsidRDefault="000305DD" w:rsidP="000305DD">
            <w:pPr>
              <w:pStyle w:val="TableText"/>
              <w:rPr>
                <w:rFonts w:cs="Arial"/>
              </w:rPr>
            </w:pPr>
            <w:r>
              <w:rPr>
                <w:rFonts w:cs="Arial"/>
              </w:rPr>
              <w:t>Invalidate, Patient Antigen typing</w:t>
            </w:r>
          </w:p>
          <w:p w14:paraId="01DD960A" w14:textId="77777777" w:rsidR="000305DD" w:rsidRPr="00F24972" w:rsidRDefault="000305DD" w:rsidP="000305DD">
            <w:pPr>
              <w:pStyle w:val="TableText"/>
              <w:rPr>
                <w:rFonts w:cs="Arial"/>
              </w:rPr>
            </w:pPr>
          </w:p>
          <w:p w14:paraId="2CD19D7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009332BC"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A0DFF82"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760FF451" w14:textId="165F277C" w:rsidR="000305DD" w:rsidRPr="00F24972" w:rsidRDefault="000305DD" w:rsidP="000305DD">
            <w:pPr>
              <w:pStyle w:val="TableText"/>
              <w:rPr>
                <w:rFonts w:cs="Arial"/>
              </w:rPr>
            </w:pPr>
            <w:r w:rsidRPr="00F24972">
              <w:rPr>
                <w:rFonts w:cs="Arial"/>
              </w:rPr>
              <w:t xml:space="preserve">Accrue workload when a patient antigen phenotype test as defined by the antiserum specificity tested with </w:t>
            </w:r>
            <w:r w:rsidR="00AE3B37" w:rsidRPr="00F24972">
              <w:rPr>
                <w:rFonts w:cs="Arial"/>
              </w:rPr>
              <w:t>a single phase</w:t>
            </w:r>
            <w:r w:rsidRPr="00F24972">
              <w:rPr>
                <w:rFonts w:cs="Arial"/>
              </w:rPr>
              <w:t xml:space="preserve"> is invalidated. </w:t>
            </w:r>
          </w:p>
        </w:tc>
      </w:tr>
      <w:tr w:rsidR="000305DD" w:rsidRPr="00F24972" w14:paraId="63BF3A8B" w14:textId="77777777" w:rsidTr="00FA340F">
        <w:trPr>
          <w:cantSplit/>
        </w:trPr>
        <w:tc>
          <w:tcPr>
            <w:tcW w:w="1733" w:type="dxa"/>
            <w:vMerge w:val="restart"/>
            <w:tcBorders>
              <w:top w:val="single" w:sz="4" w:space="0" w:color="auto"/>
              <w:left w:val="single" w:sz="4" w:space="0" w:color="auto"/>
              <w:right w:val="single" w:sz="4" w:space="0" w:color="auto"/>
            </w:tcBorders>
          </w:tcPr>
          <w:p w14:paraId="342A6CE0" w14:textId="77777777" w:rsidR="000305DD" w:rsidRPr="00F24972" w:rsidRDefault="000305DD" w:rsidP="000305DD">
            <w:pPr>
              <w:pStyle w:val="TableText"/>
              <w:rPr>
                <w:rFonts w:cs="Arial"/>
              </w:rPr>
            </w:pPr>
            <w:r w:rsidRPr="00F24972">
              <w:rPr>
                <w:rFonts w:cs="Arial"/>
              </w:rPr>
              <w:t>Pool unit</w:t>
            </w:r>
          </w:p>
          <w:p w14:paraId="5A9F9FF2"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38C7E733" w14:textId="77777777" w:rsidR="000305DD" w:rsidRPr="00F24972" w:rsidRDefault="000305DD" w:rsidP="000305DD">
            <w:pPr>
              <w:pStyle w:val="TableText"/>
              <w:rPr>
                <w:rFonts w:cs="Arial"/>
              </w:rPr>
            </w:pPr>
            <w:r>
              <w:rPr>
                <w:rFonts w:cs="Arial"/>
              </w:rPr>
              <w:t>Modify, Pool</w:t>
            </w:r>
          </w:p>
        </w:tc>
        <w:tc>
          <w:tcPr>
            <w:tcW w:w="1080" w:type="dxa"/>
            <w:tcBorders>
              <w:top w:val="single" w:sz="4" w:space="0" w:color="auto"/>
              <w:left w:val="single" w:sz="4" w:space="0" w:color="auto"/>
              <w:bottom w:val="single" w:sz="4" w:space="0" w:color="auto"/>
              <w:right w:val="single" w:sz="4" w:space="0" w:color="auto"/>
            </w:tcBorders>
          </w:tcPr>
          <w:p w14:paraId="67FD52A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7C591401"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006158D0" w14:textId="77777777" w:rsidR="000305DD" w:rsidRPr="00F24972" w:rsidRDefault="000305DD" w:rsidP="000305DD">
            <w:pPr>
              <w:pStyle w:val="TableText"/>
              <w:rPr>
                <w:rFonts w:cs="Arial"/>
              </w:rPr>
            </w:pPr>
            <w:r w:rsidRPr="00F24972">
              <w:rPr>
                <w:rFonts w:cs="Arial"/>
              </w:rPr>
              <w:t>Accrue workload when a pooled unit is created and a single workload event is recorded regardless of the number of units included in the pooled unit. This applies to modification type: Pool. Add/Remove unit from a pool does not accrue any workload.</w:t>
            </w:r>
            <w:r w:rsidRPr="00F24972">
              <w:rPr>
                <w:rFonts w:cs="Arial"/>
                <w:i/>
              </w:rPr>
              <w:t xml:space="preserve"> </w:t>
            </w:r>
          </w:p>
          <w:p w14:paraId="3198CD26" w14:textId="77777777" w:rsidR="000305DD" w:rsidRPr="00F24972" w:rsidRDefault="000305DD" w:rsidP="000305DD">
            <w:pPr>
              <w:pStyle w:val="TableText"/>
              <w:rPr>
                <w:rFonts w:cs="Arial"/>
                <w:i/>
              </w:rPr>
            </w:pPr>
            <w:r w:rsidRPr="00F24972">
              <w:rPr>
                <w:rFonts w:cs="Arial"/>
                <w:i/>
              </w:rPr>
              <w:t>Note: Workload is not accrued when a patient assignment is processed and VBECS releases all other patient assignments. Workload is not accrued when VBECS is required to quarantine the unit.</w:t>
            </w:r>
          </w:p>
          <w:p w14:paraId="4E02FD60" w14:textId="77777777" w:rsidR="000305DD" w:rsidRPr="00F24972" w:rsidRDefault="000305DD" w:rsidP="000305DD">
            <w:pPr>
              <w:pStyle w:val="TableText"/>
              <w:rPr>
                <w:rFonts w:cs="Arial"/>
                <w:i/>
              </w:rPr>
            </w:pPr>
            <w:r w:rsidRPr="00F24972">
              <w:rPr>
                <w:rFonts w:cs="Arial"/>
                <w:i/>
              </w:rPr>
              <w:t xml:space="preserve">Workload accrued by Pooling is invalidated in </w:t>
            </w:r>
            <w:r>
              <w:rPr>
                <w:rFonts w:cs="Arial"/>
                <w:i/>
              </w:rPr>
              <w:t>Edit Unit Processing Information</w:t>
            </w:r>
            <w:r w:rsidRPr="00F24972">
              <w:rPr>
                <w:rFonts w:cs="Arial"/>
                <w:i/>
              </w:rPr>
              <w:t xml:space="preserve"> with the inactivation of the pooled unit.</w:t>
            </w:r>
          </w:p>
        </w:tc>
      </w:tr>
      <w:tr w:rsidR="000305DD" w:rsidRPr="00F24972" w14:paraId="4CBE120E" w14:textId="77777777" w:rsidTr="00FA340F">
        <w:trPr>
          <w:cantSplit/>
        </w:trPr>
        <w:tc>
          <w:tcPr>
            <w:tcW w:w="1733" w:type="dxa"/>
            <w:vMerge/>
            <w:tcBorders>
              <w:left w:val="single" w:sz="4" w:space="0" w:color="auto"/>
              <w:right w:val="single" w:sz="4" w:space="0" w:color="auto"/>
            </w:tcBorders>
          </w:tcPr>
          <w:p w14:paraId="3A35CB33"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3CC1422A" w14:textId="77777777" w:rsidR="000305DD" w:rsidRPr="00F24972" w:rsidRDefault="000305DD" w:rsidP="000305DD">
            <w:pPr>
              <w:pStyle w:val="TableText"/>
              <w:rPr>
                <w:rFonts w:cs="Arial"/>
              </w:rPr>
            </w:pPr>
            <w:r>
              <w:rPr>
                <w:rFonts w:cs="Arial"/>
              </w:rPr>
              <w:t>Edit Unit, Inactive Unit (that was in a Pool)</w:t>
            </w:r>
          </w:p>
        </w:tc>
        <w:tc>
          <w:tcPr>
            <w:tcW w:w="1080" w:type="dxa"/>
            <w:tcBorders>
              <w:top w:val="single" w:sz="4" w:space="0" w:color="auto"/>
              <w:left w:val="single" w:sz="4" w:space="0" w:color="auto"/>
              <w:bottom w:val="single" w:sz="4" w:space="0" w:color="auto"/>
              <w:right w:val="single" w:sz="4" w:space="0" w:color="auto"/>
            </w:tcBorders>
          </w:tcPr>
          <w:p w14:paraId="5D14088B"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64989AAE"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4D72EB6A" w14:textId="77777777" w:rsidR="000305DD" w:rsidRPr="00F24972" w:rsidRDefault="000305DD" w:rsidP="000305DD">
            <w:pPr>
              <w:pStyle w:val="TableText"/>
              <w:rPr>
                <w:rFonts w:cs="Arial"/>
              </w:rPr>
            </w:pPr>
            <w:r w:rsidRPr="00F24972">
              <w:rPr>
                <w:rFonts w:cs="Arial"/>
              </w:rPr>
              <w:t>Accrue workload when a unit is inactivated (unit record inactivated) when the pooled unit was created in VBECS.</w:t>
            </w:r>
            <w:r>
              <w:rPr>
                <w:rFonts w:cs="Arial"/>
              </w:rPr>
              <w:t xml:space="preserve"> </w:t>
            </w:r>
          </w:p>
        </w:tc>
      </w:tr>
      <w:tr w:rsidR="000305DD" w:rsidRPr="00F24972" w14:paraId="23CED0BB" w14:textId="77777777" w:rsidTr="00FA340F">
        <w:trPr>
          <w:cantSplit/>
        </w:trPr>
        <w:tc>
          <w:tcPr>
            <w:tcW w:w="1733" w:type="dxa"/>
            <w:vMerge/>
            <w:tcBorders>
              <w:left w:val="single" w:sz="4" w:space="0" w:color="auto"/>
              <w:bottom w:val="single" w:sz="4" w:space="0" w:color="auto"/>
              <w:right w:val="single" w:sz="4" w:space="0" w:color="auto"/>
            </w:tcBorders>
          </w:tcPr>
          <w:p w14:paraId="32C7870B"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2B947050" w14:textId="7EF3A3F7" w:rsidR="000305DD" w:rsidRPr="00F24972" w:rsidRDefault="000305DD" w:rsidP="000305DD">
            <w:pPr>
              <w:pStyle w:val="TableText"/>
              <w:rPr>
                <w:rFonts w:cs="Arial"/>
              </w:rPr>
            </w:pPr>
            <w:r>
              <w:rPr>
                <w:rFonts w:cs="Arial"/>
              </w:rPr>
              <w:t xml:space="preserve">Invalidate unit </w:t>
            </w:r>
            <w:r w:rsidR="00AE3B37">
              <w:rPr>
                <w:rFonts w:cs="Arial"/>
              </w:rPr>
              <w:t>status, Pool</w:t>
            </w:r>
          </w:p>
        </w:tc>
        <w:tc>
          <w:tcPr>
            <w:tcW w:w="1080" w:type="dxa"/>
            <w:tcBorders>
              <w:top w:val="single" w:sz="4" w:space="0" w:color="auto"/>
              <w:left w:val="single" w:sz="4" w:space="0" w:color="auto"/>
              <w:bottom w:val="single" w:sz="4" w:space="0" w:color="auto"/>
              <w:right w:val="single" w:sz="4" w:space="0" w:color="auto"/>
            </w:tcBorders>
          </w:tcPr>
          <w:p w14:paraId="78A57331" w14:textId="77777777" w:rsidR="000305DD" w:rsidRPr="00F24972" w:rsidRDefault="000305DD" w:rsidP="000305DD">
            <w:pPr>
              <w:pStyle w:val="TableText"/>
              <w:rPr>
                <w:rFonts w:cs="Arial"/>
                <w:b/>
              </w:rPr>
            </w:pPr>
            <w:r w:rsidRPr="00F24972">
              <w:rPr>
                <w:rFonts w:cs="Arial"/>
                <w:b/>
              </w:rPr>
              <w:t>None</w:t>
            </w:r>
          </w:p>
        </w:tc>
        <w:tc>
          <w:tcPr>
            <w:tcW w:w="900" w:type="dxa"/>
            <w:tcBorders>
              <w:top w:val="single" w:sz="4" w:space="0" w:color="auto"/>
              <w:left w:val="single" w:sz="4" w:space="0" w:color="auto"/>
              <w:bottom w:val="single" w:sz="4" w:space="0" w:color="auto"/>
              <w:right w:val="single" w:sz="4" w:space="0" w:color="auto"/>
            </w:tcBorders>
          </w:tcPr>
          <w:p w14:paraId="7E411F99" w14:textId="77777777" w:rsidR="000305DD" w:rsidRPr="00F24972" w:rsidRDefault="000305DD" w:rsidP="000305DD">
            <w:pPr>
              <w:pStyle w:val="TableText"/>
              <w:jc w:val="center"/>
              <w:rPr>
                <w:rFonts w:cs="Arial"/>
              </w:rPr>
            </w:pPr>
            <w:r w:rsidRPr="00F24972">
              <w:rPr>
                <w:rFonts w:cs="Arial"/>
              </w:rPr>
              <w:t>N/A</w:t>
            </w:r>
          </w:p>
        </w:tc>
        <w:tc>
          <w:tcPr>
            <w:tcW w:w="4950" w:type="dxa"/>
            <w:tcBorders>
              <w:top w:val="single" w:sz="4" w:space="0" w:color="auto"/>
              <w:left w:val="single" w:sz="4" w:space="0" w:color="auto"/>
              <w:bottom w:val="single" w:sz="4" w:space="0" w:color="auto"/>
              <w:right w:val="single" w:sz="4" w:space="0" w:color="auto"/>
            </w:tcBorders>
          </w:tcPr>
          <w:p w14:paraId="23663A14" w14:textId="77777777" w:rsidR="000305DD" w:rsidRPr="00F24972" w:rsidRDefault="000305DD" w:rsidP="000305DD">
            <w:pPr>
              <w:pStyle w:val="TableText"/>
              <w:rPr>
                <w:rFonts w:cs="Arial"/>
              </w:rPr>
            </w:pPr>
            <w:r w:rsidRPr="00F24972">
              <w:rPr>
                <w:rFonts w:cs="Arial"/>
              </w:rPr>
              <w:t xml:space="preserve">No effect on workload accrual when a unit is removed from a modified status that was included in a pool. </w:t>
            </w:r>
          </w:p>
        </w:tc>
      </w:tr>
      <w:tr w:rsidR="000305DD" w:rsidRPr="00F24972" w14:paraId="368CB7AA" w14:textId="77777777" w:rsidTr="00FA340F">
        <w:trPr>
          <w:cantSplit/>
        </w:trPr>
        <w:tc>
          <w:tcPr>
            <w:tcW w:w="1733" w:type="dxa"/>
          </w:tcPr>
          <w:p w14:paraId="502A6A01" w14:textId="77777777" w:rsidR="000305DD" w:rsidRPr="00F24972" w:rsidRDefault="000305DD" w:rsidP="000305DD">
            <w:pPr>
              <w:pStyle w:val="TableText"/>
              <w:rPr>
                <w:rFonts w:cs="Arial"/>
              </w:rPr>
            </w:pPr>
            <w:r w:rsidRPr="00F24972">
              <w:rPr>
                <w:rFonts w:cs="Arial"/>
              </w:rPr>
              <w:t>Quarantine unit</w:t>
            </w:r>
          </w:p>
        </w:tc>
        <w:tc>
          <w:tcPr>
            <w:tcW w:w="1592" w:type="dxa"/>
          </w:tcPr>
          <w:p w14:paraId="06317A90" w14:textId="77777777" w:rsidR="000305DD" w:rsidRPr="00F24972" w:rsidRDefault="000305DD" w:rsidP="000305DD">
            <w:pPr>
              <w:pStyle w:val="TableText"/>
              <w:rPr>
                <w:rFonts w:cs="Arial"/>
              </w:rPr>
            </w:pPr>
            <w:r>
              <w:rPr>
                <w:rFonts w:cs="Arial"/>
              </w:rPr>
              <w:t>Discard/Quarantine, Quarantine unit</w:t>
            </w:r>
          </w:p>
        </w:tc>
        <w:tc>
          <w:tcPr>
            <w:tcW w:w="1080" w:type="dxa"/>
          </w:tcPr>
          <w:p w14:paraId="3337A3C1" w14:textId="77777777" w:rsidR="000305DD" w:rsidRPr="00F24972" w:rsidRDefault="000305DD" w:rsidP="000305DD">
            <w:pPr>
              <w:pStyle w:val="TableText"/>
              <w:rPr>
                <w:rFonts w:cs="Arial"/>
              </w:rPr>
            </w:pPr>
            <w:r w:rsidRPr="00F24972">
              <w:rPr>
                <w:rFonts w:cs="Arial"/>
              </w:rPr>
              <w:t>Positive</w:t>
            </w:r>
          </w:p>
        </w:tc>
        <w:tc>
          <w:tcPr>
            <w:tcW w:w="900" w:type="dxa"/>
          </w:tcPr>
          <w:p w14:paraId="7891FADA" w14:textId="77777777" w:rsidR="000305DD" w:rsidRPr="00F24972" w:rsidRDefault="000305DD" w:rsidP="000305DD">
            <w:pPr>
              <w:pStyle w:val="TableText"/>
              <w:jc w:val="center"/>
              <w:rPr>
                <w:rFonts w:cs="Arial"/>
              </w:rPr>
            </w:pPr>
            <w:r w:rsidRPr="00F24972">
              <w:rPr>
                <w:rFonts w:cs="Arial"/>
              </w:rPr>
              <w:t>U</w:t>
            </w:r>
          </w:p>
        </w:tc>
        <w:tc>
          <w:tcPr>
            <w:tcW w:w="4950" w:type="dxa"/>
          </w:tcPr>
          <w:p w14:paraId="135171F0" w14:textId="77777777" w:rsidR="000305DD" w:rsidRPr="00F24972" w:rsidRDefault="000305DD" w:rsidP="000305DD">
            <w:pPr>
              <w:pStyle w:val="TableText"/>
              <w:rPr>
                <w:rFonts w:cs="Arial"/>
              </w:rPr>
            </w:pPr>
            <w:r w:rsidRPr="00F24972">
              <w:rPr>
                <w:rFonts w:cs="Arial"/>
              </w:rPr>
              <w:t>Accrue workload when a unit is marked for quarantine. When a batch of units is selected, each unit accrues workload.</w:t>
            </w:r>
          </w:p>
        </w:tc>
      </w:tr>
      <w:tr w:rsidR="000305DD" w:rsidRPr="00F24972" w14:paraId="381D17D9" w14:textId="77777777" w:rsidTr="00FA340F">
        <w:trPr>
          <w:cantSplit/>
        </w:trPr>
        <w:tc>
          <w:tcPr>
            <w:tcW w:w="1733" w:type="dxa"/>
          </w:tcPr>
          <w:p w14:paraId="4F6EC66E" w14:textId="77777777" w:rsidR="000305DD" w:rsidRPr="00F24972" w:rsidRDefault="000305DD" w:rsidP="000305DD">
            <w:pPr>
              <w:pStyle w:val="TableText"/>
              <w:rPr>
                <w:rFonts w:cs="Arial"/>
              </w:rPr>
            </w:pPr>
            <w:r w:rsidRPr="00F24972">
              <w:rPr>
                <w:rFonts w:cs="Arial"/>
              </w:rPr>
              <w:t>Release directed unit</w:t>
            </w:r>
          </w:p>
        </w:tc>
        <w:tc>
          <w:tcPr>
            <w:tcW w:w="1592" w:type="dxa"/>
          </w:tcPr>
          <w:p w14:paraId="67BF4359" w14:textId="77777777" w:rsidR="000305DD" w:rsidRPr="00F24972" w:rsidRDefault="000305DD" w:rsidP="000305DD">
            <w:pPr>
              <w:pStyle w:val="TableText"/>
              <w:rPr>
                <w:rFonts w:cs="Arial"/>
              </w:rPr>
            </w:pPr>
            <w:r>
              <w:rPr>
                <w:rFonts w:cs="Arial"/>
              </w:rPr>
              <w:t>Free Directed Unit</w:t>
            </w:r>
          </w:p>
        </w:tc>
        <w:tc>
          <w:tcPr>
            <w:tcW w:w="1080" w:type="dxa"/>
          </w:tcPr>
          <w:p w14:paraId="2F87A1EC" w14:textId="77777777" w:rsidR="000305DD" w:rsidRPr="00F24972" w:rsidRDefault="000305DD" w:rsidP="000305DD">
            <w:pPr>
              <w:pStyle w:val="TableText"/>
              <w:rPr>
                <w:rFonts w:cs="Arial"/>
              </w:rPr>
            </w:pPr>
            <w:r w:rsidRPr="00F24972">
              <w:rPr>
                <w:rFonts w:cs="Arial"/>
              </w:rPr>
              <w:t>Positive</w:t>
            </w:r>
          </w:p>
        </w:tc>
        <w:tc>
          <w:tcPr>
            <w:tcW w:w="900" w:type="dxa"/>
          </w:tcPr>
          <w:p w14:paraId="015BA67E" w14:textId="77777777" w:rsidR="000305DD" w:rsidRPr="00F24972" w:rsidRDefault="000305DD" w:rsidP="000305DD">
            <w:pPr>
              <w:pStyle w:val="TableText"/>
              <w:jc w:val="center"/>
              <w:rPr>
                <w:rFonts w:cs="Arial"/>
              </w:rPr>
            </w:pPr>
            <w:r w:rsidRPr="00F24972">
              <w:rPr>
                <w:rFonts w:cs="Arial"/>
              </w:rPr>
              <w:t>U</w:t>
            </w:r>
          </w:p>
        </w:tc>
        <w:tc>
          <w:tcPr>
            <w:tcW w:w="4950" w:type="dxa"/>
          </w:tcPr>
          <w:p w14:paraId="340ED563" w14:textId="77777777" w:rsidR="000305DD" w:rsidRPr="00F24972" w:rsidRDefault="000305DD" w:rsidP="000305DD">
            <w:pPr>
              <w:pStyle w:val="TableText"/>
              <w:rPr>
                <w:rFonts w:cs="Arial"/>
              </w:rPr>
            </w:pPr>
            <w:r w:rsidRPr="00F24972">
              <w:rPr>
                <w:rFonts w:cs="Arial"/>
              </w:rPr>
              <w:t>Accrue workload when an individual blood unit with the restriction type of directed is released for use as an allogeneic unit.</w:t>
            </w:r>
          </w:p>
        </w:tc>
      </w:tr>
      <w:tr w:rsidR="000305DD" w:rsidRPr="00F24972" w14:paraId="3EF64D56"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4F28BFDA" w14:textId="77777777" w:rsidR="000305DD" w:rsidRPr="00F24972" w:rsidRDefault="000305DD" w:rsidP="000305DD">
            <w:pPr>
              <w:pStyle w:val="TableText"/>
              <w:rPr>
                <w:rFonts w:cs="Arial"/>
              </w:rPr>
            </w:pPr>
            <w:r w:rsidRPr="00F24972">
              <w:rPr>
                <w:rFonts w:cs="Arial"/>
              </w:rPr>
              <w:t>Release unit from patient back to inventory</w:t>
            </w:r>
          </w:p>
        </w:tc>
        <w:tc>
          <w:tcPr>
            <w:tcW w:w="1592" w:type="dxa"/>
            <w:tcBorders>
              <w:top w:val="single" w:sz="4" w:space="0" w:color="auto"/>
              <w:left w:val="single" w:sz="4" w:space="0" w:color="auto"/>
              <w:bottom w:val="single" w:sz="4" w:space="0" w:color="auto"/>
              <w:right w:val="single" w:sz="4" w:space="0" w:color="auto"/>
            </w:tcBorders>
          </w:tcPr>
          <w:p w14:paraId="6954F272" w14:textId="77777777" w:rsidR="000305DD" w:rsidRPr="00F24972" w:rsidRDefault="000305DD" w:rsidP="000305DD">
            <w:pPr>
              <w:pStyle w:val="TableText"/>
              <w:rPr>
                <w:rFonts w:cs="Arial"/>
              </w:rPr>
            </w:pPr>
            <w:r>
              <w:rPr>
                <w:rFonts w:cs="Arial"/>
              </w:rPr>
              <w:t>Release Unit from Patient Assignment</w:t>
            </w:r>
          </w:p>
        </w:tc>
        <w:tc>
          <w:tcPr>
            <w:tcW w:w="1080" w:type="dxa"/>
            <w:tcBorders>
              <w:top w:val="single" w:sz="4" w:space="0" w:color="auto"/>
              <w:left w:val="single" w:sz="4" w:space="0" w:color="auto"/>
              <w:bottom w:val="single" w:sz="4" w:space="0" w:color="auto"/>
              <w:right w:val="single" w:sz="4" w:space="0" w:color="auto"/>
            </w:tcBorders>
          </w:tcPr>
          <w:p w14:paraId="7AE600F6"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64BFDFBE" w14:textId="77777777" w:rsidR="000305DD" w:rsidRPr="00F24972" w:rsidRDefault="000305DD" w:rsidP="000305DD">
            <w:pPr>
              <w:pStyle w:val="TableText"/>
              <w:jc w:val="center"/>
              <w:rPr>
                <w:rFonts w:cs="Arial"/>
              </w:rPr>
            </w:pPr>
            <w:r>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FF757F6" w14:textId="36680020" w:rsidR="000305DD" w:rsidRPr="00F24972" w:rsidRDefault="000305DD" w:rsidP="000305DD">
            <w:pPr>
              <w:pStyle w:val="TableText"/>
              <w:rPr>
                <w:rFonts w:cs="Arial"/>
              </w:rPr>
            </w:pPr>
            <w:r w:rsidRPr="00F24972">
              <w:rPr>
                <w:rFonts w:cs="Arial"/>
              </w:rPr>
              <w:t xml:space="preserve">Accrue workload when an individual unit is released from patient assignment. When </w:t>
            </w:r>
            <w:r w:rsidR="00AE3B37" w:rsidRPr="00F24972">
              <w:rPr>
                <w:rFonts w:cs="Arial"/>
              </w:rPr>
              <w:t>multiple units</w:t>
            </w:r>
            <w:r w:rsidRPr="00F24972">
              <w:rPr>
                <w:rFonts w:cs="Arial"/>
              </w:rPr>
              <w:t xml:space="preserve"> are selected, each unit accrues workload.</w:t>
            </w:r>
          </w:p>
        </w:tc>
      </w:tr>
      <w:tr w:rsidR="000305DD" w:rsidRPr="00F24972" w14:paraId="1436BF46" w14:textId="77777777" w:rsidTr="00FA340F">
        <w:trPr>
          <w:cantSplit/>
        </w:trPr>
        <w:tc>
          <w:tcPr>
            <w:tcW w:w="1733" w:type="dxa"/>
          </w:tcPr>
          <w:p w14:paraId="0A01B556" w14:textId="77777777" w:rsidR="000305DD" w:rsidRPr="00F24972" w:rsidRDefault="000305DD" w:rsidP="000305DD">
            <w:pPr>
              <w:pStyle w:val="TableText"/>
              <w:rPr>
                <w:rFonts w:cs="Arial"/>
              </w:rPr>
            </w:pPr>
            <w:r w:rsidRPr="00F24972">
              <w:rPr>
                <w:rFonts w:cs="Arial"/>
              </w:rPr>
              <w:t xml:space="preserve">Release unit from Quarantine </w:t>
            </w:r>
          </w:p>
        </w:tc>
        <w:tc>
          <w:tcPr>
            <w:tcW w:w="1592" w:type="dxa"/>
          </w:tcPr>
          <w:p w14:paraId="7E965697" w14:textId="77777777" w:rsidR="000305DD" w:rsidRPr="00F24972" w:rsidRDefault="000305DD" w:rsidP="000305DD">
            <w:pPr>
              <w:pStyle w:val="TableText"/>
              <w:rPr>
                <w:rFonts w:cs="Arial"/>
              </w:rPr>
            </w:pPr>
            <w:r>
              <w:rPr>
                <w:rFonts w:cs="Arial"/>
              </w:rPr>
              <w:t xml:space="preserve">Discard/Quarantine, Release Unit from Quarantine </w:t>
            </w:r>
          </w:p>
        </w:tc>
        <w:tc>
          <w:tcPr>
            <w:tcW w:w="1080" w:type="dxa"/>
          </w:tcPr>
          <w:p w14:paraId="6884E174" w14:textId="77777777" w:rsidR="000305DD" w:rsidRPr="00F24972" w:rsidRDefault="000305DD" w:rsidP="000305DD">
            <w:pPr>
              <w:pStyle w:val="TableText"/>
              <w:rPr>
                <w:rFonts w:cs="Arial"/>
              </w:rPr>
            </w:pPr>
            <w:r w:rsidRPr="00F24972">
              <w:rPr>
                <w:rFonts w:cs="Arial"/>
              </w:rPr>
              <w:t>Positive</w:t>
            </w:r>
          </w:p>
        </w:tc>
        <w:tc>
          <w:tcPr>
            <w:tcW w:w="900" w:type="dxa"/>
          </w:tcPr>
          <w:p w14:paraId="4CCA100F" w14:textId="77777777" w:rsidR="000305DD" w:rsidRPr="00F24972" w:rsidRDefault="000305DD" w:rsidP="000305DD">
            <w:pPr>
              <w:pStyle w:val="TableText"/>
              <w:jc w:val="center"/>
              <w:rPr>
                <w:rFonts w:cs="Arial"/>
              </w:rPr>
            </w:pPr>
            <w:r w:rsidRPr="00F24972">
              <w:rPr>
                <w:rFonts w:cs="Arial"/>
              </w:rPr>
              <w:t>U</w:t>
            </w:r>
          </w:p>
        </w:tc>
        <w:tc>
          <w:tcPr>
            <w:tcW w:w="4950" w:type="dxa"/>
          </w:tcPr>
          <w:p w14:paraId="7ED6DF05" w14:textId="77777777" w:rsidR="000305DD" w:rsidRPr="00F24972" w:rsidRDefault="000305DD" w:rsidP="000305DD">
            <w:pPr>
              <w:pStyle w:val="TableText"/>
              <w:rPr>
                <w:rFonts w:cs="Arial"/>
              </w:rPr>
            </w:pPr>
            <w:r w:rsidRPr="00F24972">
              <w:rPr>
                <w:rFonts w:cs="Arial"/>
              </w:rPr>
              <w:t>Accrue workload when a unit is released from quarantine. When a batch of units is selected, each unit accrues workload.</w:t>
            </w:r>
          </w:p>
        </w:tc>
      </w:tr>
      <w:tr w:rsidR="000305DD" w:rsidRPr="00F24972" w14:paraId="2F91DEEB"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1354AF08" w14:textId="77777777" w:rsidR="000305DD" w:rsidRPr="00F24972" w:rsidRDefault="000305DD" w:rsidP="000305DD">
            <w:pPr>
              <w:pStyle w:val="TableText"/>
              <w:rPr>
                <w:rFonts w:cs="Arial"/>
              </w:rPr>
            </w:pPr>
            <w:r w:rsidRPr="00F24972">
              <w:rPr>
                <w:rFonts w:cs="Arial"/>
              </w:rPr>
              <w:t>Return Issued unit</w:t>
            </w:r>
          </w:p>
        </w:tc>
        <w:tc>
          <w:tcPr>
            <w:tcW w:w="1592" w:type="dxa"/>
            <w:tcBorders>
              <w:top w:val="single" w:sz="4" w:space="0" w:color="auto"/>
              <w:left w:val="single" w:sz="4" w:space="0" w:color="auto"/>
              <w:bottom w:val="single" w:sz="4" w:space="0" w:color="auto"/>
              <w:right w:val="single" w:sz="4" w:space="0" w:color="auto"/>
            </w:tcBorders>
          </w:tcPr>
          <w:p w14:paraId="32CB8E23" w14:textId="77777777" w:rsidR="000305DD" w:rsidRPr="00F24972" w:rsidRDefault="000305DD" w:rsidP="000305DD">
            <w:pPr>
              <w:pStyle w:val="TableText"/>
              <w:rPr>
                <w:rFonts w:cs="Arial"/>
              </w:rPr>
            </w:pPr>
            <w:r>
              <w:rPr>
                <w:rFonts w:cs="Arial"/>
              </w:rPr>
              <w:t>Return Issued unit to Inventory</w:t>
            </w:r>
          </w:p>
        </w:tc>
        <w:tc>
          <w:tcPr>
            <w:tcW w:w="1080" w:type="dxa"/>
            <w:tcBorders>
              <w:top w:val="single" w:sz="4" w:space="0" w:color="auto"/>
              <w:left w:val="single" w:sz="4" w:space="0" w:color="auto"/>
              <w:bottom w:val="single" w:sz="4" w:space="0" w:color="auto"/>
              <w:right w:val="single" w:sz="4" w:space="0" w:color="auto"/>
            </w:tcBorders>
          </w:tcPr>
          <w:p w14:paraId="4618B273"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C82C889" w14:textId="77777777" w:rsidR="000305DD" w:rsidRPr="00F24972" w:rsidRDefault="000305DD" w:rsidP="000305DD">
            <w:pPr>
              <w:pStyle w:val="TableText"/>
              <w:jc w:val="center"/>
              <w:rPr>
                <w:rFonts w:cs="Arial"/>
              </w:rPr>
            </w:pPr>
            <w:r>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0053F2AF" w14:textId="77777777" w:rsidR="000305DD" w:rsidRPr="00F24972" w:rsidRDefault="000305DD" w:rsidP="000305DD">
            <w:pPr>
              <w:pStyle w:val="TableText"/>
              <w:rPr>
                <w:rFonts w:cs="Arial"/>
              </w:rPr>
            </w:pPr>
            <w:r w:rsidRPr="00F24972">
              <w:rPr>
                <w:rFonts w:cs="Arial"/>
              </w:rPr>
              <w:t xml:space="preserve">Accrue workload when a unit is returned from issue status. </w:t>
            </w:r>
          </w:p>
        </w:tc>
      </w:tr>
      <w:tr w:rsidR="000305DD" w:rsidRPr="00F24972" w14:paraId="59B0EF94" w14:textId="77777777" w:rsidTr="00FA340F">
        <w:trPr>
          <w:cantSplit/>
        </w:trPr>
        <w:tc>
          <w:tcPr>
            <w:tcW w:w="1733" w:type="dxa"/>
            <w:tcBorders>
              <w:top w:val="single" w:sz="4" w:space="0" w:color="auto"/>
              <w:left w:val="single" w:sz="4" w:space="0" w:color="auto"/>
              <w:bottom w:val="single" w:sz="4" w:space="0" w:color="auto"/>
              <w:right w:val="single" w:sz="4" w:space="0" w:color="auto"/>
            </w:tcBorders>
          </w:tcPr>
          <w:p w14:paraId="0A21B1D2" w14:textId="77777777" w:rsidR="000305DD" w:rsidRPr="00F24972" w:rsidRDefault="000305DD" w:rsidP="000305DD">
            <w:pPr>
              <w:pStyle w:val="TableText"/>
              <w:rPr>
                <w:rFonts w:cs="Arial"/>
                <w:i/>
              </w:rPr>
            </w:pPr>
            <w:r w:rsidRPr="00F24972">
              <w:rPr>
                <w:rFonts w:cs="Arial"/>
                <w:i/>
              </w:rPr>
              <w:t xml:space="preserve">See </w:t>
            </w:r>
            <w:r>
              <w:rPr>
                <w:rFonts w:cs="Arial"/>
                <w:i/>
              </w:rPr>
              <w:t>Serologic Crossmatch, Patient ABO/Rh, Patient ABS, Patient DAT, Patient Antigen Typing</w:t>
            </w:r>
            <w:r w:rsidRPr="00F24972">
              <w:rPr>
                <w:rFonts w:cs="Arial"/>
                <w:i/>
              </w:rPr>
              <w:t xml:space="preserve"> </w:t>
            </w:r>
          </w:p>
        </w:tc>
        <w:tc>
          <w:tcPr>
            <w:tcW w:w="1592" w:type="dxa"/>
            <w:tcBorders>
              <w:top w:val="single" w:sz="4" w:space="0" w:color="auto"/>
              <w:left w:val="single" w:sz="4" w:space="0" w:color="auto"/>
              <w:bottom w:val="single" w:sz="4" w:space="0" w:color="auto"/>
              <w:right w:val="single" w:sz="4" w:space="0" w:color="auto"/>
            </w:tcBorders>
            <w:shd w:val="clear" w:color="auto" w:fill="auto"/>
          </w:tcPr>
          <w:p w14:paraId="49AF7BFD" w14:textId="77777777" w:rsidR="000305DD" w:rsidRPr="00F24972" w:rsidRDefault="000305DD" w:rsidP="000305DD">
            <w:pPr>
              <w:pStyle w:val="TableText"/>
              <w:rPr>
                <w:rFonts w:cs="Arial"/>
                <w:i/>
                <w:snapToGrid w:val="0"/>
              </w:rPr>
            </w:pPr>
            <w:r>
              <w:rPr>
                <w:rFonts w:cs="Arial"/>
                <w:i/>
                <w:snapToGrid w:val="0"/>
              </w:rPr>
              <w:t>Patient Testing</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C346350" w14:textId="77777777" w:rsidR="000305DD" w:rsidRPr="00F24972" w:rsidRDefault="000305DD" w:rsidP="000305DD">
            <w:pPr>
              <w:pStyle w:val="TableText"/>
              <w:rPr>
                <w:rFonts w:cs="Arial"/>
                <w:i/>
              </w:rPr>
            </w:pPr>
            <w:r w:rsidRPr="00F24972">
              <w:rPr>
                <w:rFonts w:cs="Arial"/>
                <w:i/>
              </w:rPr>
              <w:t>Positive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0D2DC10" w14:textId="77777777" w:rsidR="000305DD" w:rsidRPr="00F24972" w:rsidRDefault="000305DD" w:rsidP="000305DD">
            <w:pPr>
              <w:pStyle w:val="TableText"/>
              <w:jc w:val="center"/>
              <w:rPr>
                <w:rFonts w:cs="Arial"/>
                <w:i/>
              </w:rPr>
            </w:pPr>
            <w:r w:rsidRPr="00F24972">
              <w:rPr>
                <w:rFonts w:cs="Arial"/>
                <w:i/>
              </w:rPr>
              <w:t>Various</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24513026" w14:textId="77777777" w:rsidR="000305DD" w:rsidRPr="00F24972" w:rsidRDefault="000305DD" w:rsidP="00E90A01">
            <w:pPr>
              <w:pStyle w:val="TableText"/>
              <w:rPr>
                <w:rFonts w:cs="Arial"/>
                <w:i/>
              </w:rPr>
            </w:pPr>
            <w:r>
              <w:rPr>
                <w:rFonts w:cs="Arial"/>
                <w:i/>
              </w:rPr>
              <w:t>Patient Testing</w:t>
            </w:r>
            <w:r w:rsidRPr="00F24972">
              <w:rPr>
                <w:rFonts w:cs="Arial"/>
                <w:i/>
              </w:rPr>
              <w:t xml:space="preserve"> encapsulates </w:t>
            </w:r>
            <w:r>
              <w:rPr>
                <w:rFonts w:cs="Arial"/>
                <w:i/>
              </w:rPr>
              <w:t>Serologic Crossmatch, Patient ABO/Rh, Patient ABS, Patient DAT, Patient Antigen Typing. Patient Testing</w:t>
            </w:r>
            <w:r w:rsidRPr="00F24972">
              <w:rPr>
                <w:rFonts w:cs="Arial"/>
                <w:i/>
              </w:rPr>
              <w:t xml:space="preserve"> does not in and of itself accrue workload, but accrues workload for the various testing grids for which it controls the data save. See the various </w:t>
            </w:r>
            <w:r>
              <w:rPr>
                <w:rFonts w:cs="Arial"/>
                <w:i/>
              </w:rPr>
              <w:t>options</w:t>
            </w:r>
            <w:r w:rsidRPr="00F24972">
              <w:rPr>
                <w:rFonts w:cs="Arial"/>
                <w:i/>
              </w:rPr>
              <w:t xml:space="preserve"> in this list for </w:t>
            </w:r>
            <w:r w:rsidR="00E90A01">
              <w:rPr>
                <w:rFonts w:cs="Arial"/>
                <w:i/>
              </w:rPr>
              <w:t>additional</w:t>
            </w:r>
            <w:r w:rsidRPr="00F24972">
              <w:rPr>
                <w:rFonts w:cs="Arial"/>
                <w:i/>
              </w:rPr>
              <w:t xml:space="preserve"> information.</w:t>
            </w:r>
          </w:p>
        </w:tc>
      </w:tr>
      <w:tr w:rsidR="000305DD" w:rsidRPr="00F24972" w14:paraId="3A4DD01A" w14:textId="77777777" w:rsidTr="00FA340F">
        <w:trPr>
          <w:cantSplit/>
          <w:trHeight w:val="1970"/>
        </w:trPr>
        <w:tc>
          <w:tcPr>
            <w:tcW w:w="1733" w:type="dxa"/>
            <w:vMerge w:val="restart"/>
          </w:tcPr>
          <w:p w14:paraId="73E3EF6F" w14:textId="77777777" w:rsidR="000305DD" w:rsidRPr="00F24972" w:rsidRDefault="000305DD" w:rsidP="000305DD">
            <w:pPr>
              <w:pStyle w:val="TableText"/>
              <w:rPr>
                <w:rFonts w:cs="Arial"/>
              </w:rPr>
            </w:pPr>
            <w:r w:rsidRPr="00F24972">
              <w:rPr>
                <w:rFonts w:cs="Arial"/>
              </w:rPr>
              <w:t>Thaw/pool Cryo</w:t>
            </w:r>
          </w:p>
        </w:tc>
        <w:tc>
          <w:tcPr>
            <w:tcW w:w="1592" w:type="dxa"/>
          </w:tcPr>
          <w:p w14:paraId="0A655A08" w14:textId="77777777" w:rsidR="000305DD" w:rsidRPr="00F24972" w:rsidRDefault="000305DD" w:rsidP="000305DD">
            <w:pPr>
              <w:pStyle w:val="TableText"/>
              <w:rPr>
                <w:rFonts w:cs="Arial"/>
              </w:rPr>
            </w:pPr>
            <w:r>
              <w:rPr>
                <w:rFonts w:cs="Arial"/>
              </w:rPr>
              <w:t>Modify Unit, Thaw/Pool</w:t>
            </w:r>
          </w:p>
        </w:tc>
        <w:tc>
          <w:tcPr>
            <w:tcW w:w="1080" w:type="dxa"/>
          </w:tcPr>
          <w:p w14:paraId="6D3B9D2D" w14:textId="77777777" w:rsidR="000305DD" w:rsidRPr="00F24972" w:rsidRDefault="000305DD" w:rsidP="000305DD">
            <w:pPr>
              <w:pStyle w:val="TableText"/>
              <w:rPr>
                <w:rFonts w:cs="Arial"/>
              </w:rPr>
            </w:pPr>
            <w:r w:rsidRPr="00F24972">
              <w:rPr>
                <w:rFonts w:cs="Arial"/>
              </w:rPr>
              <w:t>Positive</w:t>
            </w:r>
          </w:p>
        </w:tc>
        <w:tc>
          <w:tcPr>
            <w:tcW w:w="900" w:type="dxa"/>
          </w:tcPr>
          <w:p w14:paraId="2309B100" w14:textId="77777777" w:rsidR="000305DD" w:rsidRPr="00F24972" w:rsidRDefault="000305DD" w:rsidP="000305DD">
            <w:pPr>
              <w:pStyle w:val="TableText"/>
              <w:jc w:val="center"/>
              <w:rPr>
                <w:rFonts w:cs="Arial"/>
              </w:rPr>
            </w:pPr>
            <w:r w:rsidRPr="00F24972">
              <w:rPr>
                <w:rFonts w:cs="Arial"/>
              </w:rPr>
              <w:t>U</w:t>
            </w:r>
          </w:p>
        </w:tc>
        <w:tc>
          <w:tcPr>
            <w:tcW w:w="4950" w:type="dxa"/>
          </w:tcPr>
          <w:p w14:paraId="45D804F9" w14:textId="77777777" w:rsidR="000305DD" w:rsidRPr="00F24972" w:rsidRDefault="000305DD" w:rsidP="000305DD">
            <w:pPr>
              <w:pStyle w:val="TableText"/>
              <w:rPr>
                <w:rFonts w:cs="Arial"/>
              </w:rPr>
            </w:pPr>
            <w:r w:rsidRPr="00F24972">
              <w:rPr>
                <w:rFonts w:cs="Arial"/>
              </w:rPr>
              <w:t>Accrue workload when an individual unit modification of Thaw/Pool Cryo. A single workload event is recorded regardless of the number of units included in the pooled unit.</w:t>
            </w:r>
          </w:p>
          <w:p w14:paraId="0B43923C" w14:textId="77777777" w:rsidR="000305DD" w:rsidRPr="00F24972" w:rsidRDefault="000305DD" w:rsidP="000305DD">
            <w:pPr>
              <w:pStyle w:val="TableText"/>
              <w:rPr>
                <w:rFonts w:cs="Arial"/>
                <w:i/>
              </w:rPr>
            </w:pPr>
            <w:r w:rsidRPr="00F24972">
              <w:rPr>
                <w:i/>
                <w:iCs/>
              </w:rPr>
              <w:t>Note: Workload is not accrued when a patient assignment is processed and VBECS releases all other patient assignments. Workload is not accrued when VBECS is required to quarantine the unit.</w:t>
            </w:r>
          </w:p>
        </w:tc>
      </w:tr>
      <w:tr w:rsidR="000305DD" w:rsidRPr="00F24972" w14:paraId="417CBCE4" w14:textId="77777777" w:rsidTr="00FA340F">
        <w:trPr>
          <w:cantSplit/>
        </w:trPr>
        <w:tc>
          <w:tcPr>
            <w:tcW w:w="1733" w:type="dxa"/>
            <w:vMerge/>
          </w:tcPr>
          <w:p w14:paraId="56355A26" w14:textId="77777777" w:rsidR="000305DD" w:rsidRPr="00F24972" w:rsidRDefault="000305DD" w:rsidP="000305DD">
            <w:pPr>
              <w:pStyle w:val="TableText"/>
              <w:rPr>
                <w:rFonts w:cs="Arial"/>
              </w:rPr>
            </w:pPr>
          </w:p>
        </w:tc>
        <w:tc>
          <w:tcPr>
            <w:tcW w:w="1592" w:type="dxa"/>
          </w:tcPr>
          <w:p w14:paraId="57D04270" w14:textId="0A8DF8E7" w:rsidR="000305DD" w:rsidRPr="00F24972" w:rsidRDefault="000305DD" w:rsidP="000305DD">
            <w:pPr>
              <w:pStyle w:val="TableText"/>
              <w:rPr>
                <w:rFonts w:cs="Arial"/>
              </w:rPr>
            </w:pPr>
            <w:r>
              <w:rPr>
                <w:rFonts w:cs="Arial"/>
              </w:rPr>
              <w:t xml:space="preserve">Edit, Unit, Inactivate Unit (that was in </w:t>
            </w:r>
            <w:r w:rsidR="00AE3B37">
              <w:rPr>
                <w:rFonts w:cs="Arial"/>
              </w:rPr>
              <w:t>a Thaw</w:t>
            </w:r>
            <w:r>
              <w:rPr>
                <w:rFonts w:cs="Arial"/>
              </w:rPr>
              <w:t>/Pool)</w:t>
            </w:r>
          </w:p>
        </w:tc>
        <w:tc>
          <w:tcPr>
            <w:tcW w:w="1080" w:type="dxa"/>
          </w:tcPr>
          <w:p w14:paraId="6B91AC56" w14:textId="77777777" w:rsidR="000305DD" w:rsidRPr="00F24972" w:rsidRDefault="000305DD" w:rsidP="000305DD">
            <w:pPr>
              <w:pStyle w:val="TableText"/>
              <w:rPr>
                <w:rFonts w:cs="Arial"/>
                <w:b/>
              </w:rPr>
            </w:pPr>
            <w:r w:rsidRPr="00F24972">
              <w:rPr>
                <w:rFonts w:cs="Arial"/>
                <w:b/>
              </w:rPr>
              <w:t>Negative</w:t>
            </w:r>
          </w:p>
        </w:tc>
        <w:tc>
          <w:tcPr>
            <w:tcW w:w="900" w:type="dxa"/>
          </w:tcPr>
          <w:p w14:paraId="4E8D3D6D" w14:textId="77777777" w:rsidR="000305DD" w:rsidRPr="00F24972" w:rsidRDefault="000305DD" w:rsidP="000305DD">
            <w:pPr>
              <w:pStyle w:val="TableText"/>
              <w:jc w:val="center"/>
              <w:rPr>
                <w:rFonts w:cs="Arial"/>
              </w:rPr>
            </w:pPr>
            <w:r w:rsidRPr="00F24972">
              <w:rPr>
                <w:rFonts w:cs="Arial"/>
              </w:rPr>
              <w:t>U</w:t>
            </w:r>
          </w:p>
        </w:tc>
        <w:tc>
          <w:tcPr>
            <w:tcW w:w="4950" w:type="dxa"/>
          </w:tcPr>
          <w:p w14:paraId="1B7A64E1" w14:textId="77777777" w:rsidR="000305DD" w:rsidRPr="00F24972" w:rsidRDefault="000305DD" w:rsidP="000305DD">
            <w:pPr>
              <w:pStyle w:val="TableText"/>
              <w:rPr>
                <w:rFonts w:cs="Arial"/>
              </w:rPr>
            </w:pPr>
            <w:r w:rsidRPr="00F24972">
              <w:rPr>
                <w:rFonts w:cs="Arial"/>
              </w:rPr>
              <w:t>Accrue workload when a unit is inactivated (unit record inactivated) when the pooled unit was created in VBECS.</w:t>
            </w:r>
            <w:r>
              <w:rPr>
                <w:rFonts w:cs="Arial"/>
              </w:rPr>
              <w:t xml:space="preserve"> </w:t>
            </w:r>
          </w:p>
        </w:tc>
      </w:tr>
      <w:tr w:rsidR="000305DD" w:rsidRPr="00F24972" w14:paraId="306E1FD4" w14:textId="77777777" w:rsidTr="00FA340F">
        <w:trPr>
          <w:cantSplit/>
        </w:trPr>
        <w:tc>
          <w:tcPr>
            <w:tcW w:w="1733" w:type="dxa"/>
            <w:vMerge/>
          </w:tcPr>
          <w:p w14:paraId="696756A9" w14:textId="77777777" w:rsidR="000305DD" w:rsidRPr="00F24972" w:rsidRDefault="000305DD" w:rsidP="000305DD">
            <w:pPr>
              <w:pStyle w:val="TableText"/>
              <w:rPr>
                <w:rFonts w:cs="Arial"/>
              </w:rPr>
            </w:pPr>
          </w:p>
        </w:tc>
        <w:tc>
          <w:tcPr>
            <w:tcW w:w="1592" w:type="dxa"/>
          </w:tcPr>
          <w:p w14:paraId="3C747773" w14:textId="77777777" w:rsidR="000305DD" w:rsidRPr="00F24972" w:rsidRDefault="000305DD" w:rsidP="000305DD">
            <w:pPr>
              <w:pStyle w:val="TableText"/>
              <w:rPr>
                <w:rFonts w:cs="Arial"/>
              </w:rPr>
            </w:pPr>
            <w:r>
              <w:rPr>
                <w:rFonts w:cs="Arial"/>
              </w:rPr>
              <w:t>Invalidate Unit status, Thaw/Pool</w:t>
            </w:r>
          </w:p>
        </w:tc>
        <w:tc>
          <w:tcPr>
            <w:tcW w:w="1080" w:type="dxa"/>
          </w:tcPr>
          <w:p w14:paraId="5B173963" w14:textId="77777777" w:rsidR="000305DD" w:rsidRPr="00F24972" w:rsidRDefault="000305DD" w:rsidP="000305DD">
            <w:pPr>
              <w:pStyle w:val="TableText"/>
              <w:rPr>
                <w:rFonts w:cs="Arial"/>
                <w:b/>
              </w:rPr>
            </w:pPr>
            <w:r w:rsidRPr="00F24972">
              <w:rPr>
                <w:rFonts w:cs="Arial"/>
                <w:b/>
              </w:rPr>
              <w:t>None</w:t>
            </w:r>
          </w:p>
        </w:tc>
        <w:tc>
          <w:tcPr>
            <w:tcW w:w="900" w:type="dxa"/>
          </w:tcPr>
          <w:p w14:paraId="2501772A" w14:textId="77777777" w:rsidR="000305DD" w:rsidRPr="00F24972" w:rsidRDefault="000305DD" w:rsidP="000305DD">
            <w:pPr>
              <w:pStyle w:val="TableText"/>
              <w:jc w:val="center"/>
              <w:rPr>
                <w:rFonts w:cs="Arial"/>
              </w:rPr>
            </w:pPr>
            <w:r w:rsidRPr="00F24972">
              <w:rPr>
                <w:rFonts w:cs="Arial"/>
              </w:rPr>
              <w:t>N/A</w:t>
            </w:r>
          </w:p>
        </w:tc>
        <w:tc>
          <w:tcPr>
            <w:tcW w:w="4950" w:type="dxa"/>
          </w:tcPr>
          <w:p w14:paraId="444544D3" w14:textId="77777777" w:rsidR="000305DD" w:rsidRPr="00F24972" w:rsidRDefault="000305DD" w:rsidP="000305DD">
            <w:pPr>
              <w:pStyle w:val="TableText"/>
              <w:rPr>
                <w:rFonts w:cs="Arial"/>
              </w:rPr>
            </w:pPr>
            <w:r w:rsidRPr="00F24972">
              <w:rPr>
                <w:rFonts w:cs="Arial"/>
              </w:rPr>
              <w:t xml:space="preserve">No effect on workload accrual when a unit is removed from a modified status that was included in a Thaw/pool Cryo pool. </w:t>
            </w:r>
          </w:p>
        </w:tc>
      </w:tr>
      <w:tr w:rsidR="000305DD" w:rsidRPr="00F24972" w14:paraId="2F7EE673" w14:textId="77777777" w:rsidTr="00FA340F">
        <w:trPr>
          <w:cantSplit/>
        </w:trPr>
        <w:tc>
          <w:tcPr>
            <w:tcW w:w="1733" w:type="dxa"/>
            <w:vMerge w:val="restart"/>
            <w:tcBorders>
              <w:top w:val="single" w:sz="4" w:space="0" w:color="auto"/>
              <w:left w:val="single" w:sz="4" w:space="0" w:color="auto"/>
              <w:right w:val="single" w:sz="4" w:space="0" w:color="auto"/>
            </w:tcBorders>
          </w:tcPr>
          <w:p w14:paraId="0BC7E54E" w14:textId="77777777" w:rsidR="000305DD" w:rsidRPr="00F24972" w:rsidRDefault="000305DD" w:rsidP="000305DD">
            <w:pPr>
              <w:pStyle w:val="TableText"/>
              <w:rPr>
                <w:rFonts w:cs="Arial"/>
              </w:rPr>
            </w:pPr>
            <w:r w:rsidRPr="00F24972">
              <w:rPr>
                <w:rFonts w:cs="Arial"/>
              </w:rPr>
              <w:t>Transfuse Unit</w:t>
            </w:r>
          </w:p>
        </w:tc>
        <w:tc>
          <w:tcPr>
            <w:tcW w:w="1592" w:type="dxa"/>
            <w:tcBorders>
              <w:top w:val="single" w:sz="4" w:space="0" w:color="auto"/>
              <w:left w:val="single" w:sz="4" w:space="0" w:color="auto"/>
              <w:bottom w:val="single" w:sz="4" w:space="0" w:color="auto"/>
              <w:right w:val="single" w:sz="4" w:space="0" w:color="auto"/>
            </w:tcBorders>
          </w:tcPr>
          <w:p w14:paraId="0EB49A49" w14:textId="77777777" w:rsidR="000305DD" w:rsidRPr="00F24972" w:rsidRDefault="000305DD" w:rsidP="000305DD">
            <w:pPr>
              <w:pStyle w:val="TableText"/>
              <w:rPr>
                <w:rFonts w:cs="Arial"/>
              </w:rPr>
            </w:pPr>
            <w:r>
              <w:rPr>
                <w:rFonts w:cs="Arial"/>
              </w:rPr>
              <w:t>Enter Post Transfusion Data</w:t>
            </w:r>
          </w:p>
        </w:tc>
        <w:tc>
          <w:tcPr>
            <w:tcW w:w="1080" w:type="dxa"/>
            <w:tcBorders>
              <w:top w:val="single" w:sz="4" w:space="0" w:color="auto"/>
              <w:left w:val="single" w:sz="4" w:space="0" w:color="auto"/>
              <w:bottom w:val="single" w:sz="4" w:space="0" w:color="auto"/>
              <w:right w:val="single" w:sz="4" w:space="0" w:color="auto"/>
            </w:tcBorders>
          </w:tcPr>
          <w:p w14:paraId="418F97CB"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3CBF2635"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0C298278" w14:textId="77777777" w:rsidR="000305DD" w:rsidRPr="00F24972" w:rsidRDefault="000305DD" w:rsidP="000305DD">
            <w:pPr>
              <w:pStyle w:val="TableText"/>
              <w:rPr>
                <w:rFonts w:cs="Arial"/>
                <w:i/>
              </w:rPr>
            </w:pPr>
            <w:r w:rsidRPr="00F24972">
              <w:rPr>
                <w:rFonts w:cs="Arial"/>
              </w:rPr>
              <w:t xml:space="preserve">Accrue workload when an individual blood unit’s status is updated to transfused by </w:t>
            </w:r>
            <w:r>
              <w:rPr>
                <w:rFonts w:cs="Arial"/>
              </w:rPr>
              <w:t>Enter Post-Transfusion Details</w:t>
            </w:r>
            <w:r w:rsidRPr="00F24972">
              <w:rPr>
                <w:rFonts w:cs="Arial"/>
              </w:rPr>
              <w:t xml:space="preserve"> basic flow or Alt Flow A. </w:t>
            </w:r>
          </w:p>
        </w:tc>
      </w:tr>
      <w:tr w:rsidR="000305DD" w:rsidRPr="00F24972" w14:paraId="75608F7C" w14:textId="77777777" w:rsidTr="00FA340F">
        <w:trPr>
          <w:cantSplit/>
        </w:trPr>
        <w:tc>
          <w:tcPr>
            <w:tcW w:w="1733" w:type="dxa"/>
            <w:vMerge/>
            <w:tcBorders>
              <w:left w:val="single" w:sz="4" w:space="0" w:color="auto"/>
              <w:right w:val="single" w:sz="4" w:space="0" w:color="auto"/>
            </w:tcBorders>
          </w:tcPr>
          <w:p w14:paraId="325B8DBD" w14:textId="77777777" w:rsidR="000305DD" w:rsidRPr="00F24972" w:rsidRDefault="000305DD" w:rsidP="000305DD">
            <w:pPr>
              <w:pStyle w:val="TableText"/>
              <w:rPr>
                <w:rFonts w:cs="Arial"/>
              </w:rPr>
            </w:pPr>
          </w:p>
        </w:tc>
        <w:tc>
          <w:tcPr>
            <w:tcW w:w="1592" w:type="dxa"/>
            <w:tcBorders>
              <w:left w:val="single" w:sz="4" w:space="0" w:color="auto"/>
            </w:tcBorders>
          </w:tcPr>
          <w:p w14:paraId="7D595BD4" w14:textId="77777777" w:rsidR="000305DD" w:rsidRPr="00F24972" w:rsidRDefault="000305DD" w:rsidP="000305DD">
            <w:pPr>
              <w:pStyle w:val="TableText"/>
              <w:rPr>
                <w:rFonts w:cs="Arial"/>
              </w:rPr>
            </w:pPr>
            <w:r>
              <w:rPr>
                <w:rFonts w:cs="Arial"/>
              </w:rPr>
              <w:t>Invalidate Unit Status, Transfused</w:t>
            </w:r>
          </w:p>
        </w:tc>
        <w:tc>
          <w:tcPr>
            <w:tcW w:w="1080" w:type="dxa"/>
          </w:tcPr>
          <w:p w14:paraId="6824E1DA" w14:textId="77777777" w:rsidR="000305DD" w:rsidRPr="00F24972" w:rsidRDefault="000305DD" w:rsidP="000305DD">
            <w:pPr>
              <w:pStyle w:val="TableText"/>
              <w:rPr>
                <w:rFonts w:cs="Arial"/>
                <w:b/>
              </w:rPr>
            </w:pPr>
            <w:r w:rsidRPr="00F24972">
              <w:rPr>
                <w:rFonts w:cs="Arial"/>
                <w:b/>
              </w:rPr>
              <w:t>Negative</w:t>
            </w:r>
          </w:p>
        </w:tc>
        <w:tc>
          <w:tcPr>
            <w:tcW w:w="900" w:type="dxa"/>
          </w:tcPr>
          <w:p w14:paraId="69F9628D" w14:textId="77777777" w:rsidR="000305DD" w:rsidRPr="00F24972" w:rsidRDefault="000305DD" w:rsidP="000305DD">
            <w:pPr>
              <w:pStyle w:val="TableText"/>
              <w:jc w:val="center"/>
              <w:rPr>
                <w:rFonts w:cs="Arial"/>
              </w:rPr>
            </w:pPr>
            <w:r w:rsidRPr="00F24972">
              <w:rPr>
                <w:rFonts w:cs="Arial"/>
              </w:rPr>
              <w:t>U</w:t>
            </w:r>
          </w:p>
        </w:tc>
        <w:tc>
          <w:tcPr>
            <w:tcW w:w="4950" w:type="dxa"/>
          </w:tcPr>
          <w:p w14:paraId="1F46ACD1" w14:textId="77777777" w:rsidR="000305DD" w:rsidRPr="00F24972" w:rsidRDefault="000305DD" w:rsidP="000305DD">
            <w:pPr>
              <w:pStyle w:val="TableText"/>
              <w:rPr>
                <w:rFonts w:cs="Arial"/>
              </w:rPr>
            </w:pPr>
            <w:r w:rsidRPr="00F24972">
              <w:rPr>
                <w:rFonts w:cs="Arial"/>
              </w:rPr>
              <w:t>An individual blood unit’s status is invalided when the unit was in a status of transfused.</w:t>
            </w:r>
          </w:p>
        </w:tc>
      </w:tr>
      <w:tr w:rsidR="000305DD" w:rsidRPr="00F24972" w14:paraId="48EA0690" w14:textId="77777777" w:rsidTr="00FA340F">
        <w:trPr>
          <w:cantSplit/>
        </w:trPr>
        <w:tc>
          <w:tcPr>
            <w:tcW w:w="1733" w:type="dxa"/>
            <w:vMerge w:val="restart"/>
          </w:tcPr>
          <w:p w14:paraId="146D85C8" w14:textId="77777777" w:rsidR="000305DD" w:rsidRPr="00F24972" w:rsidRDefault="000305DD" w:rsidP="000305DD">
            <w:pPr>
              <w:pStyle w:val="TableText"/>
              <w:rPr>
                <w:rFonts w:cs="Arial"/>
              </w:rPr>
            </w:pPr>
            <w:r w:rsidRPr="00F24972">
              <w:rPr>
                <w:rFonts w:cs="Arial"/>
              </w:rPr>
              <w:t>Transfusion Reaction Investigation</w:t>
            </w:r>
          </w:p>
        </w:tc>
        <w:tc>
          <w:tcPr>
            <w:tcW w:w="1592" w:type="dxa"/>
            <w:tcBorders>
              <w:bottom w:val="single" w:sz="4" w:space="0" w:color="auto"/>
            </w:tcBorders>
          </w:tcPr>
          <w:p w14:paraId="48B1F557" w14:textId="77777777" w:rsidR="000305DD" w:rsidRPr="00F24972" w:rsidRDefault="000305DD" w:rsidP="000305DD">
            <w:pPr>
              <w:pStyle w:val="TableText"/>
              <w:rPr>
                <w:rFonts w:cs="Arial"/>
              </w:rPr>
            </w:pPr>
            <w:r>
              <w:rPr>
                <w:rFonts w:cs="Arial"/>
              </w:rPr>
              <w:t>Patient Testing, TRW</w:t>
            </w:r>
          </w:p>
          <w:p w14:paraId="6E1DE079" w14:textId="77777777" w:rsidR="000305DD" w:rsidRPr="00F24972" w:rsidRDefault="000305DD" w:rsidP="000305DD">
            <w:pPr>
              <w:pStyle w:val="TableText"/>
              <w:rPr>
                <w:rFonts w:cs="Arial"/>
              </w:rPr>
            </w:pPr>
          </w:p>
          <w:p w14:paraId="0B3961F2" w14:textId="77777777" w:rsidR="000305DD" w:rsidRPr="00F24972" w:rsidRDefault="000305DD" w:rsidP="000305DD">
            <w:pPr>
              <w:pStyle w:val="TableText"/>
              <w:rPr>
                <w:rFonts w:cs="Arial"/>
              </w:rPr>
            </w:pPr>
          </w:p>
        </w:tc>
        <w:tc>
          <w:tcPr>
            <w:tcW w:w="1080" w:type="dxa"/>
            <w:tcBorders>
              <w:bottom w:val="single" w:sz="4" w:space="0" w:color="auto"/>
            </w:tcBorders>
          </w:tcPr>
          <w:p w14:paraId="336F2841"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4A6806F3" w14:textId="77777777" w:rsidR="000305DD" w:rsidRPr="00F24972" w:rsidRDefault="000305DD" w:rsidP="000305DD">
            <w:pPr>
              <w:pStyle w:val="TableText"/>
              <w:jc w:val="center"/>
              <w:rPr>
                <w:rFonts w:cs="Arial"/>
              </w:rPr>
            </w:pPr>
            <w:r w:rsidRPr="00F24972">
              <w:rPr>
                <w:rFonts w:cs="Arial"/>
              </w:rPr>
              <w:t>P</w:t>
            </w:r>
          </w:p>
        </w:tc>
        <w:tc>
          <w:tcPr>
            <w:tcW w:w="4950" w:type="dxa"/>
            <w:tcBorders>
              <w:bottom w:val="single" w:sz="4" w:space="0" w:color="auto"/>
            </w:tcBorders>
          </w:tcPr>
          <w:p w14:paraId="13DF811B" w14:textId="77777777" w:rsidR="000305DD" w:rsidRPr="00F24972" w:rsidRDefault="000305DD" w:rsidP="000305DD">
            <w:pPr>
              <w:pStyle w:val="TableText"/>
              <w:rPr>
                <w:rFonts w:cs="Arial"/>
                <w:i/>
              </w:rPr>
            </w:pPr>
            <w:r w:rsidRPr="00F24972">
              <w:rPr>
                <w:rFonts w:cs="Arial"/>
              </w:rPr>
              <w:t xml:space="preserve">Accrue workload when a transfusion reaction investigation is saved by </w:t>
            </w:r>
            <w:r>
              <w:rPr>
                <w:rFonts w:cs="Arial"/>
              </w:rPr>
              <w:t>Record Transfusion Reaction Workup</w:t>
            </w:r>
            <w:r w:rsidRPr="00F24972">
              <w:rPr>
                <w:rFonts w:cs="Arial"/>
              </w:rPr>
              <w:t xml:space="preserve">. </w:t>
            </w:r>
            <w:r w:rsidRPr="00F24972">
              <w:rPr>
                <w:rFonts w:cs="Arial"/>
                <w:i/>
              </w:rPr>
              <w:t xml:space="preserve">This does </w:t>
            </w:r>
            <w:r w:rsidRPr="00F24972">
              <w:rPr>
                <w:rFonts w:cs="Arial"/>
              </w:rPr>
              <w:t>not</w:t>
            </w:r>
            <w:r w:rsidRPr="00F24972">
              <w:rPr>
                <w:rFonts w:cs="Arial"/>
                <w:i/>
              </w:rPr>
              <w:t xml:space="preserve"> include workload accrued by the optional TRW serologic testing.</w:t>
            </w:r>
          </w:p>
          <w:p w14:paraId="0068A0B6" w14:textId="77777777" w:rsidR="000305DD" w:rsidRPr="00F24972" w:rsidRDefault="000305DD" w:rsidP="000305DD">
            <w:pPr>
              <w:pStyle w:val="TableText"/>
              <w:rPr>
                <w:rFonts w:cs="Arial"/>
              </w:rPr>
            </w:pPr>
            <w:r w:rsidRPr="00F24972">
              <w:rPr>
                <w:rFonts w:cs="Arial"/>
              </w:rPr>
              <w:t xml:space="preserve">Note: The </w:t>
            </w:r>
            <w:r>
              <w:rPr>
                <w:rFonts w:cs="Arial"/>
              </w:rPr>
              <w:t>Division Workload Report</w:t>
            </w:r>
            <w:r w:rsidRPr="00F24972">
              <w:rPr>
                <w:rFonts w:cs="Arial"/>
              </w:rPr>
              <w:t xml:space="preserve"> workload report reports the sum of Workload Events recorded in </w:t>
            </w:r>
            <w:r>
              <w:rPr>
                <w:rFonts w:cs="Arial"/>
              </w:rPr>
              <w:t>Record Transfusion Reaction Workup</w:t>
            </w:r>
            <w:r w:rsidRPr="00F24972">
              <w:rPr>
                <w:rFonts w:cs="Arial"/>
              </w:rPr>
              <w:t xml:space="preserve"> for an individual TRW.</w:t>
            </w:r>
          </w:p>
        </w:tc>
      </w:tr>
      <w:tr w:rsidR="000305DD" w:rsidRPr="00F24972" w14:paraId="0A2ECA72" w14:textId="77777777" w:rsidTr="00FA340F">
        <w:trPr>
          <w:cantSplit/>
        </w:trPr>
        <w:tc>
          <w:tcPr>
            <w:tcW w:w="1733" w:type="dxa"/>
            <w:vMerge/>
            <w:tcBorders>
              <w:bottom w:val="single" w:sz="4" w:space="0" w:color="auto"/>
            </w:tcBorders>
          </w:tcPr>
          <w:p w14:paraId="550A8EBD" w14:textId="77777777" w:rsidR="000305DD" w:rsidRPr="00F24972" w:rsidRDefault="000305DD" w:rsidP="000305DD">
            <w:pPr>
              <w:pStyle w:val="TableText"/>
              <w:rPr>
                <w:rFonts w:cs="Arial"/>
              </w:rPr>
            </w:pPr>
          </w:p>
        </w:tc>
        <w:tc>
          <w:tcPr>
            <w:tcW w:w="1592" w:type="dxa"/>
            <w:tcBorders>
              <w:top w:val="single" w:sz="4" w:space="0" w:color="auto"/>
              <w:bottom w:val="single" w:sz="4" w:space="0" w:color="auto"/>
              <w:right w:val="single" w:sz="4" w:space="0" w:color="auto"/>
            </w:tcBorders>
          </w:tcPr>
          <w:p w14:paraId="1112DB61" w14:textId="77777777" w:rsidR="000305DD" w:rsidRPr="00F24972" w:rsidRDefault="000305DD" w:rsidP="000305DD">
            <w:pPr>
              <w:pStyle w:val="TableText"/>
              <w:rPr>
                <w:rFonts w:cs="Arial"/>
              </w:rPr>
            </w:pPr>
            <w:r>
              <w:rPr>
                <w:rFonts w:cs="Arial"/>
              </w:rPr>
              <w:t>Invalidate Patient Testing, TRW</w:t>
            </w:r>
          </w:p>
        </w:tc>
        <w:tc>
          <w:tcPr>
            <w:tcW w:w="1080" w:type="dxa"/>
            <w:tcBorders>
              <w:top w:val="single" w:sz="4" w:space="0" w:color="auto"/>
              <w:left w:val="single" w:sz="4" w:space="0" w:color="auto"/>
              <w:bottom w:val="single" w:sz="4" w:space="0" w:color="auto"/>
              <w:right w:val="single" w:sz="4" w:space="0" w:color="auto"/>
            </w:tcBorders>
          </w:tcPr>
          <w:p w14:paraId="1B76CF3D"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37F91713" w14:textId="77777777" w:rsidR="000305DD" w:rsidRPr="00F24972" w:rsidRDefault="000305DD" w:rsidP="000305DD">
            <w:pPr>
              <w:pStyle w:val="TableText"/>
              <w:jc w:val="center"/>
              <w:rPr>
                <w:rFonts w:cs="Arial"/>
              </w:rPr>
            </w:pPr>
            <w:r w:rsidRPr="00F24972">
              <w:rPr>
                <w:rFonts w:cs="Arial"/>
              </w:rPr>
              <w:t>P</w:t>
            </w:r>
          </w:p>
        </w:tc>
        <w:tc>
          <w:tcPr>
            <w:tcW w:w="4950" w:type="dxa"/>
            <w:tcBorders>
              <w:top w:val="single" w:sz="4" w:space="0" w:color="auto"/>
              <w:left w:val="single" w:sz="4" w:space="0" w:color="auto"/>
              <w:bottom w:val="single" w:sz="4" w:space="0" w:color="auto"/>
              <w:right w:val="single" w:sz="4" w:space="0" w:color="auto"/>
            </w:tcBorders>
          </w:tcPr>
          <w:p w14:paraId="69F70B6B" w14:textId="77777777" w:rsidR="000305DD" w:rsidRPr="00F24972" w:rsidRDefault="000305DD" w:rsidP="000305DD">
            <w:pPr>
              <w:pStyle w:val="TableText"/>
              <w:rPr>
                <w:rFonts w:cs="Arial"/>
              </w:rPr>
            </w:pPr>
            <w:r w:rsidRPr="00F24972">
              <w:rPr>
                <w:rFonts w:cs="Arial"/>
              </w:rPr>
              <w:t xml:space="preserve">Accrue workload when a transfusion reaction investigation previously saved by </w:t>
            </w:r>
            <w:r>
              <w:rPr>
                <w:rFonts w:cs="Arial"/>
              </w:rPr>
              <w:t>Record Transfusion Reaction Workup</w:t>
            </w:r>
            <w:r w:rsidRPr="00F24972">
              <w:rPr>
                <w:rFonts w:cs="Arial"/>
              </w:rPr>
              <w:t xml:space="preserve"> is invalidated. The workload for the transfusion reaction, as well as all of the workload accrued by the optional TRW serologic testing (pre- and post-ABO/Rh, pre- and post-ABS, pre- and post-DAT) are invalidated, as included in selected TRW (</w:t>
            </w:r>
            <w:r>
              <w:rPr>
                <w:rFonts w:cs="Arial"/>
              </w:rPr>
              <w:t>Record Transfusion Reaction Workup</w:t>
            </w:r>
            <w:r w:rsidRPr="00F24972">
              <w:rPr>
                <w:rFonts w:cs="Arial"/>
              </w:rPr>
              <w:t>).</w:t>
            </w:r>
          </w:p>
          <w:p w14:paraId="457DE7B4" w14:textId="77777777" w:rsidR="000305DD" w:rsidRPr="00F24972" w:rsidRDefault="000305DD" w:rsidP="000305DD">
            <w:pPr>
              <w:pStyle w:val="TableText"/>
              <w:rPr>
                <w:rFonts w:cs="Arial"/>
              </w:rPr>
            </w:pPr>
            <w:r w:rsidRPr="00F24972">
              <w:rPr>
                <w:rFonts w:cs="Arial"/>
                <w:i/>
              </w:rPr>
              <w:t>Note: Any pre- or post-crossmatch tests performed as part of the TRW must be invalidated individually.</w:t>
            </w:r>
          </w:p>
        </w:tc>
      </w:tr>
      <w:tr w:rsidR="000305DD" w:rsidRPr="00F24972" w14:paraId="109B8094" w14:textId="77777777" w:rsidTr="00FA340F">
        <w:trPr>
          <w:cantSplit/>
        </w:trPr>
        <w:tc>
          <w:tcPr>
            <w:tcW w:w="1733" w:type="dxa"/>
            <w:vMerge w:val="restart"/>
          </w:tcPr>
          <w:p w14:paraId="40193A07" w14:textId="77777777" w:rsidR="000305DD" w:rsidRPr="00F24972" w:rsidRDefault="000305DD" w:rsidP="000305DD">
            <w:pPr>
              <w:pStyle w:val="TableText"/>
              <w:rPr>
                <w:rFonts w:cs="Arial"/>
              </w:rPr>
            </w:pPr>
            <w:r w:rsidRPr="00F24972">
              <w:rPr>
                <w:rFonts w:cs="Arial"/>
              </w:rPr>
              <w:t>Unit Antigen phenotyping, Multiple Test phases</w:t>
            </w:r>
          </w:p>
        </w:tc>
        <w:tc>
          <w:tcPr>
            <w:tcW w:w="1592" w:type="dxa"/>
          </w:tcPr>
          <w:p w14:paraId="22D3E461" w14:textId="77777777" w:rsidR="000305DD" w:rsidRPr="00F24972" w:rsidRDefault="000305DD" w:rsidP="000305DD">
            <w:pPr>
              <w:pStyle w:val="TableText"/>
              <w:rPr>
                <w:rFonts w:cs="Arial"/>
              </w:rPr>
            </w:pPr>
            <w:r>
              <w:rPr>
                <w:rFonts w:cs="Arial"/>
              </w:rPr>
              <w:t>Unit Antigen typing</w:t>
            </w:r>
          </w:p>
          <w:p w14:paraId="35ED1BCE" w14:textId="77777777" w:rsidR="000305DD" w:rsidRPr="00F24972" w:rsidRDefault="000305DD" w:rsidP="000305DD">
            <w:pPr>
              <w:pStyle w:val="TableText"/>
              <w:rPr>
                <w:rFonts w:cs="Arial"/>
              </w:rPr>
            </w:pPr>
          </w:p>
        </w:tc>
        <w:tc>
          <w:tcPr>
            <w:tcW w:w="1080" w:type="dxa"/>
          </w:tcPr>
          <w:p w14:paraId="64507B03" w14:textId="77777777" w:rsidR="000305DD" w:rsidRPr="00F24972" w:rsidRDefault="000305DD" w:rsidP="000305DD">
            <w:pPr>
              <w:pStyle w:val="TableText"/>
              <w:rPr>
                <w:rFonts w:cs="Arial"/>
              </w:rPr>
            </w:pPr>
            <w:r w:rsidRPr="00F24972">
              <w:rPr>
                <w:rFonts w:cs="Arial"/>
              </w:rPr>
              <w:t>Positive</w:t>
            </w:r>
          </w:p>
        </w:tc>
        <w:tc>
          <w:tcPr>
            <w:tcW w:w="900" w:type="dxa"/>
          </w:tcPr>
          <w:p w14:paraId="7E8BFF5F" w14:textId="77777777" w:rsidR="000305DD" w:rsidRPr="00F24972" w:rsidRDefault="000305DD" w:rsidP="000305DD">
            <w:pPr>
              <w:pStyle w:val="TableText"/>
              <w:jc w:val="center"/>
              <w:rPr>
                <w:rFonts w:cs="Arial"/>
              </w:rPr>
            </w:pPr>
            <w:r w:rsidRPr="00F24972">
              <w:rPr>
                <w:rFonts w:cs="Arial"/>
              </w:rPr>
              <w:t>U</w:t>
            </w:r>
          </w:p>
        </w:tc>
        <w:tc>
          <w:tcPr>
            <w:tcW w:w="4950" w:type="dxa"/>
          </w:tcPr>
          <w:p w14:paraId="5BD0E52F" w14:textId="77777777" w:rsidR="000305DD" w:rsidRPr="00F24972" w:rsidRDefault="000305DD" w:rsidP="000305DD">
            <w:pPr>
              <w:pStyle w:val="TableText"/>
              <w:rPr>
                <w:rFonts w:cs="Arial"/>
              </w:rPr>
            </w:pPr>
            <w:r w:rsidRPr="00F24972">
              <w:rPr>
                <w:rFonts w:cs="Arial"/>
              </w:rPr>
              <w:t>Accrue workload when a unit antigen phenotype test [specificity (tab)] with IS/RT or IS/37 phases is selected and completed for an individual blood unit (row).</w:t>
            </w:r>
          </w:p>
          <w:p w14:paraId="77F517B5" w14:textId="77777777" w:rsidR="000305DD" w:rsidRPr="00F24972" w:rsidRDefault="000305DD" w:rsidP="000305DD">
            <w:pPr>
              <w:pStyle w:val="TableText"/>
              <w:rPr>
                <w:rFonts w:cs="Arial"/>
              </w:rPr>
            </w:pPr>
            <w:r w:rsidRPr="00F24972">
              <w:rPr>
                <w:rFonts w:cs="Arial"/>
              </w:rPr>
              <w:t>No special handling for workload collection for additional repeat antigen typing tests on a unit.</w:t>
            </w:r>
          </w:p>
        </w:tc>
      </w:tr>
      <w:tr w:rsidR="000305DD" w:rsidRPr="00F24972" w14:paraId="4A595575" w14:textId="77777777" w:rsidTr="00FA340F">
        <w:trPr>
          <w:cantSplit/>
        </w:trPr>
        <w:tc>
          <w:tcPr>
            <w:tcW w:w="1733" w:type="dxa"/>
            <w:vMerge/>
          </w:tcPr>
          <w:p w14:paraId="38A07120" w14:textId="77777777" w:rsidR="000305DD" w:rsidRPr="00F24972" w:rsidRDefault="000305DD" w:rsidP="000305DD">
            <w:pPr>
              <w:pStyle w:val="TableText"/>
              <w:rPr>
                <w:rFonts w:cs="Arial"/>
              </w:rPr>
            </w:pPr>
          </w:p>
        </w:tc>
        <w:tc>
          <w:tcPr>
            <w:tcW w:w="1592" w:type="dxa"/>
          </w:tcPr>
          <w:p w14:paraId="7E20BDC6"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491D5D60" w14:textId="77777777" w:rsidR="000305DD" w:rsidRPr="00F24972" w:rsidRDefault="000305DD" w:rsidP="000305DD">
            <w:pPr>
              <w:pStyle w:val="TableText"/>
              <w:rPr>
                <w:rFonts w:cs="Arial"/>
                <w:b/>
              </w:rPr>
            </w:pPr>
            <w:r w:rsidRPr="00F24972">
              <w:rPr>
                <w:rFonts w:cs="Arial"/>
                <w:b/>
              </w:rPr>
              <w:t>Negative</w:t>
            </w:r>
          </w:p>
        </w:tc>
        <w:tc>
          <w:tcPr>
            <w:tcW w:w="900" w:type="dxa"/>
          </w:tcPr>
          <w:p w14:paraId="0693FCE0" w14:textId="77777777" w:rsidR="000305DD" w:rsidRPr="00F24972" w:rsidRDefault="000305DD" w:rsidP="000305DD">
            <w:pPr>
              <w:pStyle w:val="TableText"/>
              <w:jc w:val="center"/>
              <w:rPr>
                <w:rFonts w:cs="Arial"/>
              </w:rPr>
            </w:pPr>
            <w:r w:rsidRPr="00F24972">
              <w:rPr>
                <w:rFonts w:cs="Arial"/>
              </w:rPr>
              <w:t>U</w:t>
            </w:r>
          </w:p>
        </w:tc>
        <w:tc>
          <w:tcPr>
            <w:tcW w:w="4950" w:type="dxa"/>
          </w:tcPr>
          <w:p w14:paraId="7658DE69" w14:textId="77777777" w:rsidR="000305DD" w:rsidRPr="00F24972" w:rsidRDefault="000305DD" w:rsidP="000305DD">
            <w:pPr>
              <w:pStyle w:val="TableText"/>
              <w:rPr>
                <w:rFonts w:cs="Arial"/>
              </w:rPr>
            </w:pPr>
            <w:r w:rsidRPr="00F24972">
              <w:rPr>
                <w:rFonts w:cs="Arial"/>
              </w:rPr>
              <w:t>Accrue workload when a unit antigen phenotype test (specificity) with Multiple Test phases is invalidated for an individual blood unit.</w:t>
            </w:r>
          </w:p>
        </w:tc>
      </w:tr>
      <w:tr w:rsidR="000305DD" w:rsidRPr="00F24972" w14:paraId="7FD2FE17" w14:textId="77777777" w:rsidTr="00FA340F">
        <w:trPr>
          <w:cantSplit/>
        </w:trPr>
        <w:tc>
          <w:tcPr>
            <w:tcW w:w="1733" w:type="dxa"/>
            <w:vMerge w:val="restart"/>
            <w:tcBorders>
              <w:top w:val="single" w:sz="4" w:space="0" w:color="auto"/>
              <w:left w:val="single" w:sz="4" w:space="0" w:color="auto"/>
              <w:right w:val="single" w:sz="4" w:space="0" w:color="auto"/>
            </w:tcBorders>
          </w:tcPr>
          <w:p w14:paraId="60305852" w14:textId="77777777" w:rsidR="000305DD" w:rsidRPr="00F24972" w:rsidRDefault="000305DD" w:rsidP="000305DD">
            <w:pPr>
              <w:pStyle w:val="TableText"/>
              <w:rPr>
                <w:rFonts w:cs="Arial"/>
              </w:rPr>
            </w:pPr>
            <w:r w:rsidRPr="00F24972">
              <w:rPr>
                <w:rFonts w:cs="Arial"/>
              </w:rPr>
              <w:t>Unit Antigen phenotyping, Single Test phase</w:t>
            </w:r>
          </w:p>
        </w:tc>
        <w:tc>
          <w:tcPr>
            <w:tcW w:w="1592" w:type="dxa"/>
            <w:tcBorders>
              <w:top w:val="single" w:sz="4" w:space="0" w:color="auto"/>
              <w:left w:val="single" w:sz="4" w:space="0" w:color="auto"/>
              <w:bottom w:val="single" w:sz="4" w:space="0" w:color="auto"/>
              <w:right w:val="single" w:sz="4" w:space="0" w:color="auto"/>
            </w:tcBorders>
          </w:tcPr>
          <w:p w14:paraId="39B9346E" w14:textId="77777777" w:rsidR="000305DD" w:rsidRPr="00F24972" w:rsidRDefault="000305DD" w:rsidP="000305DD">
            <w:pPr>
              <w:pStyle w:val="TableText"/>
              <w:rPr>
                <w:rFonts w:cs="Arial"/>
              </w:rPr>
            </w:pPr>
            <w:r>
              <w:rPr>
                <w:rFonts w:cs="Arial"/>
              </w:rPr>
              <w:t>Unit Antigen typing</w:t>
            </w:r>
          </w:p>
          <w:p w14:paraId="111D365B" w14:textId="77777777" w:rsidR="000305DD" w:rsidRPr="00F24972" w:rsidRDefault="000305DD" w:rsidP="000305DD">
            <w:pPr>
              <w:pStyle w:val="TableText"/>
              <w:rPr>
                <w:rFonts w:cs="Arial"/>
              </w:rPr>
            </w:pPr>
          </w:p>
        </w:tc>
        <w:tc>
          <w:tcPr>
            <w:tcW w:w="1080" w:type="dxa"/>
            <w:tcBorders>
              <w:top w:val="single" w:sz="4" w:space="0" w:color="auto"/>
              <w:left w:val="single" w:sz="4" w:space="0" w:color="auto"/>
              <w:bottom w:val="single" w:sz="4" w:space="0" w:color="auto"/>
              <w:right w:val="single" w:sz="4" w:space="0" w:color="auto"/>
            </w:tcBorders>
          </w:tcPr>
          <w:p w14:paraId="28BB0518"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29BF40DD"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9281B47" w14:textId="77777777" w:rsidR="000305DD" w:rsidRPr="00F24972" w:rsidRDefault="000305DD" w:rsidP="000305DD">
            <w:pPr>
              <w:pStyle w:val="TableText"/>
              <w:rPr>
                <w:rFonts w:cs="Arial"/>
              </w:rPr>
            </w:pPr>
            <w:r w:rsidRPr="00F24972">
              <w:rPr>
                <w:rFonts w:cs="Arial"/>
              </w:rPr>
              <w:t xml:space="preserve">A unit (row) antigen phenotype test [specificity (tab)] with AHG or IS phase is selected and completed for an individual blood unit (row). </w:t>
            </w:r>
          </w:p>
          <w:p w14:paraId="02AB4717" w14:textId="77777777" w:rsidR="000305DD" w:rsidRPr="00F24972" w:rsidRDefault="000305DD" w:rsidP="000305DD">
            <w:pPr>
              <w:pStyle w:val="TableText"/>
              <w:rPr>
                <w:rFonts w:cs="Arial"/>
              </w:rPr>
            </w:pPr>
            <w:r w:rsidRPr="00F24972">
              <w:rPr>
                <w:rFonts w:cs="Arial"/>
              </w:rPr>
              <w:t>No special handling for workload collection for additional repeat antigen typing tests on a unit.</w:t>
            </w:r>
          </w:p>
        </w:tc>
      </w:tr>
      <w:tr w:rsidR="000305DD" w:rsidRPr="00F24972" w14:paraId="71FDBEAA" w14:textId="77777777" w:rsidTr="00FA340F">
        <w:trPr>
          <w:cantSplit/>
        </w:trPr>
        <w:tc>
          <w:tcPr>
            <w:tcW w:w="1733" w:type="dxa"/>
            <w:vMerge/>
            <w:tcBorders>
              <w:left w:val="single" w:sz="4" w:space="0" w:color="auto"/>
              <w:right w:val="single" w:sz="4" w:space="0" w:color="auto"/>
            </w:tcBorders>
          </w:tcPr>
          <w:p w14:paraId="5C6AB629" w14:textId="77777777" w:rsidR="000305DD" w:rsidRPr="00F24972" w:rsidRDefault="000305DD" w:rsidP="000305DD">
            <w:pPr>
              <w:pStyle w:val="TableText"/>
              <w:rPr>
                <w:rFonts w:cs="Arial"/>
              </w:rPr>
            </w:pPr>
          </w:p>
        </w:tc>
        <w:tc>
          <w:tcPr>
            <w:tcW w:w="1592" w:type="dxa"/>
            <w:tcBorders>
              <w:left w:val="single" w:sz="4" w:space="0" w:color="auto"/>
            </w:tcBorders>
          </w:tcPr>
          <w:p w14:paraId="04DB32C4"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683743F2" w14:textId="77777777" w:rsidR="000305DD" w:rsidRPr="00F24972" w:rsidRDefault="000305DD" w:rsidP="000305DD">
            <w:pPr>
              <w:pStyle w:val="TableText"/>
              <w:rPr>
                <w:rFonts w:cs="Arial"/>
                <w:b/>
              </w:rPr>
            </w:pPr>
            <w:r w:rsidRPr="00F24972">
              <w:rPr>
                <w:rFonts w:cs="Arial"/>
                <w:b/>
              </w:rPr>
              <w:t>Negative</w:t>
            </w:r>
          </w:p>
        </w:tc>
        <w:tc>
          <w:tcPr>
            <w:tcW w:w="900" w:type="dxa"/>
          </w:tcPr>
          <w:p w14:paraId="2B368457" w14:textId="77777777" w:rsidR="000305DD" w:rsidRPr="00F24972" w:rsidRDefault="000305DD" w:rsidP="000305DD">
            <w:pPr>
              <w:pStyle w:val="TableText"/>
              <w:jc w:val="center"/>
              <w:rPr>
                <w:rFonts w:cs="Arial"/>
              </w:rPr>
            </w:pPr>
            <w:r w:rsidRPr="00F24972">
              <w:rPr>
                <w:rFonts w:cs="Arial"/>
              </w:rPr>
              <w:t>U</w:t>
            </w:r>
          </w:p>
        </w:tc>
        <w:tc>
          <w:tcPr>
            <w:tcW w:w="4950" w:type="dxa"/>
          </w:tcPr>
          <w:p w14:paraId="657FC6E2" w14:textId="77777777" w:rsidR="000305DD" w:rsidRPr="00F24972" w:rsidRDefault="000305DD" w:rsidP="000305DD">
            <w:pPr>
              <w:pStyle w:val="TableText"/>
              <w:rPr>
                <w:rFonts w:cs="Arial"/>
              </w:rPr>
            </w:pPr>
            <w:r w:rsidRPr="00F24972">
              <w:rPr>
                <w:rFonts w:cs="Arial"/>
              </w:rPr>
              <w:t>Accrue workload when a unit antigen phenotype test (specificity) with Single Test phase is invalidated for an individual blood unit.</w:t>
            </w:r>
          </w:p>
        </w:tc>
      </w:tr>
      <w:tr w:rsidR="000305DD" w:rsidRPr="00F24972" w14:paraId="4DA911E0" w14:textId="77777777" w:rsidTr="00FA340F">
        <w:trPr>
          <w:cantSplit/>
        </w:trPr>
        <w:tc>
          <w:tcPr>
            <w:tcW w:w="1733" w:type="dxa"/>
            <w:vMerge w:val="restart"/>
            <w:tcBorders>
              <w:top w:val="single" w:sz="4" w:space="0" w:color="auto"/>
              <w:left w:val="single" w:sz="4" w:space="0" w:color="auto"/>
              <w:right w:val="single" w:sz="4" w:space="0" w:color="auto"/>
            </w:tcBorders>
          </w:tcPr>
          <w:p w14:paraId="2E88758C" w14:textId="77777777" w:rsidR="000305DD" w:rsidRPr="00F24972" w:rsidRDefault="000305DD" w:rsidP="000305DD">
            <w:pPr>
              <w:pStyle w:val="TableText"/>
              <w:rPr>
                <w:rFonts w:cs="Arial"/>
              </w:rPr>
            </w:pPr>
            <w:r w:rsidRPr="00F24972">
              <w:rPr>
                <w:rFonts w:cs="Arial"/>
              </w:rPr>
              <w:t>Unit login</w:t>
            </w:r>
          </w:p>
          <w:p w14:paraId="44124404"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0BC82439" w14:textId="77777777" w:rsidR="000305DD" w:rsidRPr="00F24972" w:rsidRDefault="000305DD" w:rsidP="000305DD">
            <w:pPr>
              <w:pStyle w:val="TableText"/>
              <w:rPr>
                <w:rFonts w:cs="Arial"/>
              </w:rPr>
            </w:pPr>
            <w:r>
              <w:rPr>
                <w:rFonts w:cs="Arial"/>
              </w:rPr>
              <w:t>Incoming Shipment</w:t>
            </w:r>
          </w:p>
        </w:tc>
        <w:tc>
          <w:tcPr>
            <w:tcW w:w="1080" w:type="dxa"/>
            <w:tcBorders>
              <w:top w:val="single" w:sz="4" w:space="0" w:color="auto"/>
              <w:left w:val="single" w:sz="4" w:space="0" w:color="auto"/>
              <w:bottom w:val="single" w:sz="4" w:space="0" w:color="auto"/>
              <w:right w:val="single" w:sz="4" w:space="0" w:color="auto"/>
            </w:tcBorders>
          </w:tcPr>
          <w:p w14:paraId="18225F39"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79ABD03D"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4F60BFC0" w14:textId="4594A9FF" w:rsidR="000305DD" w:rsidRPr="00F24972" w:rsidRDefault="000305DD" w:rsidP="000305DD">
            <w:pPr>
              <w:pStyle w:val="TableText"/>
              <w:rPr>
                <w:rFonts w:cs="Arial"/>
              </w:rPr>
            </w:pPr>
            <w:r w:rsidRPr="00F24972">
              <w:rPr>
                <w:rFonts w:cs="Arial"/>
              </w:rPr>
              <w:t xml:space="preserve">An individual unit record is activated as saved to an incoming shipment invoice. When </w:t>
            </w:r>
            <w:r w:rsidR="00AE3B37" w:rsidRPr="00F24972">
              <w:rPr>
                <w:rFonts w:cs="Arial"/>
              </w:rPr>
              <w:t>multiple units</w:t>
            </w:r>
            <w:r w:rsidRPr="00F24972">
              <w:rPr>
                <w:rFonts w:cs="Arial"/>
              </w:rPr>
              <w:t xml:space="preserve"> are entered, each unit added to the database accrues workload.</w:t>
            </w:r>
          </w:p>
        </w:tc>
      </w:tr>
      <w:tr w:rsidR="000305DD" w:rsidRPr="00F24972" w14:paraId="546B1880" w14:textId="77777777" w:rsidTr="00FA340F">
        <w:trPr>
          <w:cantSplit/>
        </w:trPr>
        <w:tc>
          <w:tcPr>
            <w:tcW w:w="1733" w:type="dxa"/>
            <w:vMerge/>
            <w:tcBorders>
              <w:left w:val="single" w:sz="4" w:space="0" w:color="auto"/>
              <w:right w:val="single" w:sz="4" w:space="0" w:color="auto"/>
            </w:tcBorders>
          </w:tcPr>
          <w:p w14:paraId="6A1F9225" w14:textId="77777777" w:rsidR="000305DD" w:rsidRPr="00F24972" w:rsidRDefault="000305DD" w:rsidP="000305DD">
            <w:pPr>
              <w:pStyle w:val="TableText"/>
              <w:rPr>
                <w:rFonts w:cs="Arial"/>
              </w:rPr>
            </w:pPr>
          </w:p>
        </w:tc>
        <w:tc>
          <w:tcPr>
            <w:tcW w:w="1592" w:type="dxa"/>
            <w:tcBorders>
              <w:left w:val="single" w:sz="4" w:space="0" w:color="auto"/>
            </w:tcBorders>
          </w:tcPr>
          <w:p w14:paraId="58367220" w14:textId="77777777" w:rsidR="000305DD" w:rsidRPr="00F24972" w:rsidRDefault="000305DD" w:rsidP="000305DD">
            <w:pPr>
              <w:pStyle w:val="TableText"/>
              <w:rPr>
                <w:rFonts w:cs="Arial"/>
              </w:rPr>
            </w:pPr>
            <w:r>
              <w:rPr>
                <w:rFonts w:cs="Arial"/>
              </w:rPr>
              <w:t>Edit Unit, Invalidate Unit Antigen Typing</w:t>
            </w:r>
          </w:p>
        </w:tc>
        <w:tc>
          <w:tcPr>
            <w:tcW w:w="1080" w:type="dxa"/>
          </w:tcPr>
          <w:p w14:paraId="3BC529EA" w14:textId="77777777" w:rsidR="000305DD" w:rsidRPr="00F24972" w:rsidRDefault="000305DD" w:rsidP="000305DD">
            <w:pPr>
              <w:pStyle w:val="TableText"/>
              <w:rPr>
                <w:rFonts w:cs="Arial"/>
                <w:b/>
              </w:rPr>
            </w:pPr>
            <w:r w:rsidRPr="00F24972">
              <w:rPr>
                <w:rFonts w:cs="Arial"/>
                <w:b/>
              </w:rPr>
              <w:t>Negative</w:t>
            </w:r>
          </w:p>
        </w:tc>
        <w:tc>
          <w:tcPr>
            <w:tcW w:w="900" w:type="dxa"/>
          </w:tcPr>
          <w:p w14:paraId="15E5CC41" w14:textId="77777777" w:rsidR="000305DD" w:rsidRPr="00F24972" w:rsidRDefault="000305DD" w:rsidP="000305DD">
            <w:pPr>
              <w:pStyle w:val="TableText"/>
              <w:jc w:val="center"/>
              <w:rPr>
                <w:rFonts w:cs="Arial"/>
              </w:rPr>
            </w:pPr>
            <w:r w:rsidRPr="00F24972">
              <w:rPr>
                <w:rFonts w:cs="Arial"/>
              </w:rPr>
              <w:t>U</w:t>
            </w:r>
          </w:p>
        </w:tc>
        <w:tc>
          <w:tcPr>
            <w:tcW w:w="4950" w:type="dxa"/>
          </w:tcPr>
          <w:p w14:paraId="2BD98FB7" w14:textId="77777777" w:rsidR="000305DD" w:rsidRPr="00F24972" w:rsidRDefault="000305DD" w:rsidP="000305DD">
            <w:pPr>
              <w:pStyle w:val="TableText"/>
              <w:rPr>
                <w:rFonts w:cs="Arial"/>
              </w:rPr>
            </w:pPr>
            <w:r w:rsidRPr="00F24972">
              <w:rPr>
                <w:rFonts w:cs="Arial"/>
              </w:rPr>
              <w:t>Accrue workload when a unit is inactivated (unit record inactivated) when logged in thru incoming shipment or is a pooled unit created in VBECS.</w:t>
            </w:r>
            <w:r>
              <w:rPr>
                <w:rFonts w:cs="Arial"/>
              </w:rPr>
              <w:t xml:space="preserve"> </w:t>
            </w:r>
            <w:r w:rsidRPr="00F24972">
              <w:rPr>
                <w:rFonts w:cs="Arial"/>
              </w:rPr>
              <w:t xml:space="preserve">When the unit was created by split modification no workload is invalidated in this option. </w:t>
            </w:r>
          </w:p>
        </w:tc>
      </w:tr>
      <w:tr w:rsidR="000305DD" w:rsidRPr="00F24972" w14:paraId="4232F338" w14:textId="77777777" w:rsidTr="00FA340F">
        <w:trPr>
          <w:cantSplit/>
        </w:trPr>
        <w:tc>
          <w:tcPr>
            <w:tcW w:w="1733" w:type="dxa"/>
            <w:vMerge w:val="restart"/>
            <w:tcBorders>
              <w:top w:val="single" w:sz="4" w:space="0" w:color="auto"/>
              <w:left w:val="single" w:sz="4" w:space="0" w:color="auto"/>
              <w:right w:val="single" w:sz="4" w:space="0" w:color="auto"/>
            </w:tcBorders>
          </w:tcPr>
          <w:p w14:paraId="2B97C91B" w14:textId="77777777" w:rsidR="000305DD" w:rsidRPr="00F24972" w:rsidRDefault="000305DD" w:rsidP="000305DD">
            <w:pPr>
              <w:pStyle w:val="TableText"/>
              <w:rPr>
                <w:rFonts w:cs="Arial"/>
              </w:rPr>
            </w:pPr>
            <w:r w:rsidRPr="00F24972">
              <w:rPr>
                <w:rFonts w:cs="Arial"/>
              </w:rPr>
              <w:t>Unit logout</w:t>
            </w:r>
          </w:p>
        </w:tc>
        <w:tc>
          <w:tcPr>
            <w:tcW w:w="1592" w:type="dxa"/>
            <w:tcBorders>
              <w:top w:val="single" w:sz="4" w:space="0" w:color="auto"/>
              <w:left w:val="single" w:sz="4" w:space="0" w:color="auto"/>
              <w:bottom w:val="single" w:sz="4" w:space="0" w:color="auto"/>
              <w:right w:val="single" w:sz="4" w:space="0" w:color="auto"/>
            </w:tcBorders>
          </w:tcPr>
          <w:p w14:paraId="790AEC25" w14:textId="77777777" w:rsidR="000305DD" w:rsidRPr="00F24972" w:rsidRDefault="000305DD" w:rsidP="000305DD">
            <w:pPr>
              <w:pStyle w:val="TableText"/>
              <w:rPr>
                <w:rFonts w:cs="Arial"/>
              </w:rPr>
            </w:pPr>
            <w:r>
              <w:rPr>
                <w:rFonts w:cs="Arial"/>
              </w:rPr>
              <w:t>Outgoing Shipment</w:t>
            </w:r>
          </w:p>
        </w:tc>
        <w:tc>
          <w:tcPr>
            <w:tcW w:w="1080" w:type="dxa"/>
            <w:tcBorders>
              <w:top w:val="single" w:sz="4" w:space="0" w:color="auto"/>
              <w:left w:val="single" w:sz="4" w:space="0" w:color="auto"/>
              <w:bottom w:val="single" w:sz="4" w:space="0" w:color="auto"/>
              <w:right w:val="single" w:sz="4" w:space="0" w:color="auto"/>
            </w:tcBorders>
          </w:tcPr>
          <w:p w14:paraId="33123164" w14:textId="77777777" w:rsidR="000305DD" w:rsidRPr="00F24972" w:rsidRDefault="000305DD" w:rsidP="000305DD">
            <w:pPr>
              <w:pStyle w:val="TableText"/>
              <w:rPr>
                <w:rFonts w:cs="Arial"/>
              </w:rPr>
            </w:pPr>
            <w:r w:rsidRPr="00F24972">
              <w:rPr>
                <w:rFonts w:cs="Arial"/>
              </w:rPr>
              <w:t>Positive</w:t>
            </w:r>
          </w:p>
        </w:tc>
        <w:tc>
          <w:tcPr>
            <w:tcW w:w="900" w:type="dxa"/>
            <w:tcBorders>
              <w:top w:val="single" w:sz="4" w:space="0" w:color="auto"/>
              <w:left w:val="single" w:sz="4" w:space="0" w:color="auto"/>
              <w:bottom w:val="single" w:sz="4" w:space="0" w:color="auto"/>
              <w:right w:val="single" w:sz="4" w:space="0" w:color="auto"/>
            </w:tcBorders>
          </w:tcPr>
          <w:p w14:paraId="5BFD9D2C"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2B8384A4" w14:textId="5966C50E" w:rsidR="000305DD" w:rsidRPr="00F24972" w:rsidRDefault="000305DD" w:rsidP="000305DD">
            <w:pPr>
              <w:pStyle w:val="TableText"/>
              <w:rPr>
                <w:rFonts w:cs="Arial"/>
              </w:rPr>
            </w:pPr>
            <w:r w:rsidRPr="00F24972">
              <w:rPr>
                <w:rFonts w:cs="Arial"/>
              </w:rPr>
              <w:t xml:space="preserve">An individual unit’s status is updated to </w:t>
            </w:r>
            <w:r w:rsidRPr="00F24972">
              <w:rPr>
                <w:rFonts w:cs="Arial"/>
                <w:i/>
              </w:rPr>
              <w:t>transferred</w:t>
            </w:r>
            <w:r w:rsidRPr="00F24972">
              <w:rPr>
                <w:rFonts w:cs="Arial"/>
              </w:rPr>
              <w:t xml:space="preserve"> on a confirmed outgoing shipment invoice.</w:t>
            </w:r>
            <w:r>
              <w:rPr>
                <w:rFonts w:cs="Arial"/>
              </w:rPr>
              <w:t xml:space="preserve"> </w:t>
            </w:r>
            <w:r w:rsidRPr="00F24972">
              <w:rPr>
                <w:rFonts w:cs="Arial"/>
              </w:rPr>
              <w:t xml:space="preserve">When </w:t>
            </w:r>
            <w:r w:rsidR="00AE3B37" w:rsidRPr="00F24972">
              <w:rPr>
                <w:rFonts w:cs="Arial"/>
              </w:rPr>
              <w:t>multiple units</w:t>
            </w:r>
            <w:r w:rsidRPr="00F24972">
              <w:rPr>
                <w:rFonts w:cs="Arial"/>
              </w:rPr>
              <w:t xml:space="preserve"> are selected, each unit accrues workload.</w:t>
            </w:r>
          </w:p>
          <w:p w14:paraId="6F845161" w14:textId="77777777" w:rsidR="000305DD" w:rsidRPr="00F24972" w:rsidRDefault="000305DD" w:rsidP="000305DD">
            <w:pPr>
              <w:pStyle w:val="TableText"/>
              <w:rPr>
                <w:rFonts w:cs="Arial"/>
              </w:rPr>
            </w:pPr>
            <w:r w:rsidRPr="00F24972">
              <w:rPr>
                <w:rFonts w:cs="Arial"/>
              </w:rPr>
              <w:t>Accrue workload upon the confirmation of the invoice, not the addition of a unit to a temporary outgoing shipment invoice as an invoice may be confirmed only once.</w:t>
            </w:r>
          </w:p>
        </w:tc>
      </w:tr>
      <w:tr w:rsidR="000305DD" w:rsidRPr="00F24972" w14:paraId="61880C87" w14:textId="77777777" w:rsidTr="00FA340F">
        <w:trPr>
          <w:cantSplit/>
        </w:trPr>
        <w:tc>
          <w:tcPr>
            <w:tcW w:w="1733" w:type="dxa"/>
            <w:vMerge/>
            <w:tcBorders>
              <w:left w:val="single" w:sz="4" w:space="0" w:color="auto"/>
              <w:bottom w:val="single" w:sz="4" w:space="0" w:color="auto"/>
              <w:right w:val="single" w:sz="4" w:space="0" w:color="auto"/>
            </w:tcBorders>
          </w:tcPr>
          <w:p w14:paraId="37A98449" w14:textId="77777777" w:rsidR="000305DD" w:rsidRPr="00F24972" w:rsidRDefault="000305DD" w:rsidP="000305DD">
            <w:pPr>
              <w:pStyle w:val="TableText"/>
              <w:rPr>
                <w:rFonts w:cs="Arial"/>
              </w:rPr>
            </w:pPr>
          </w:p>
        </w:tc>
        <w:tc>
          <w:tcPr>
            <w:tcW w:w="1592" w:type="dxa"/>
            <w:tcBorders>
              <w:top w:val="single" w:sz="4" w:space="0" w:color="auto"/>
              <w:left w:val="single" w:sz="4" w:space="0" w:color="auto"/>
              <w:bottom w:val="single" w:sz="4" w:space="0" w:color="auto"/>
              <w:right w:val="single" w:sz="4" w:space="0" w:color="auto"/>
            </w:tcBorders>
          </w:tcPr>
          <w:p w14:paraId="7D44AF4B" w14:textId="77777777" w:rsidR="000305DD" w:rsidRPr="00F24972" w:rsidRDefault="000305DD" w:rsidP="000305DD">
            <w:pPr>
              <w:pStyle w:val="TableText"/>
              <w:rPr>
                <w:rFonts w:cs="Arial"/>
              </w:rPr>
            </w:pPr>
            <w:r>
              <w:rPr>
                <w:rFonts w:cs="Arial"/>
              </w:rPr>
              <w:t>Invalidate Unit Status, Transferred</w:t>
            </w:r>
          </w:p>
        </w:tc>
        <w:tc>
          <w:tcPr>
            <w:tcW w:w="1080" w:type="dxa"/>
            <w:tcBorders>
              <w:top w:val="single" w:sz="4" w:space="0" w:color="auto"/>
              <w:left w:val="single" w:sz="4" w:space="0" w:color="auto"/>
              <w:bottom w:val="single" w:sz="4" w:space="0" w:color="auto"/>
              <w:right w:val="single" w:sz="4" w:space="0" w:color="auto"/>
            </w:tcBorders>
          </w:tcPr>
          <w:p w14:paraId="4F05DB16" w14:textId="77777777" w:rsidR="000305DD" w:rsidRPr="00F24972" w:rsidRDefault="000305DD" w:rsidP="000305DD">
            <w:pPr>
              <w:pStyle w:val="TableText"/>
              <w:rPr>
                <w:rFonts w:cs="Arial"/>
                <w:b/>
              </w:rPr>
            </w:pPr>
            <w:r w:rsidRPr="00F24972">
              <w:rPr>
                <w:rFonts w:cs="Arial"/>
                <w:b/>
              </w:rPr>
              <w:t>Negative</w:t>
            </w:r>
          </w:p>
        </w:tc>
        <w:tc>
          <w:tcPr>
            <w:tcW w:w="900" w:type="dxa"/>
            <w:tcBorders>
              <w:top w:val="single" w:sz="4" w:space="0" w:color="auto"/>
              <w:left w:val="single" w:sz="4" w:space="0" w:color="auto"/>
              <w:bottom w:val="single" w:sz="4" w:space="0" w:color="auto"/>
              <w:right w:val="single" w:sz="4" w:space="0" w:color="auto"/>
            </w:tcBorders>
          </w:tcPr>
          <w:p w14:paraId="2EB2CB29" w14:textId="77777777" w:rsidR="000305DD" w:rsidRPr="00F24972" w:rsidRDefault="000305DD" w:rsidP="000305DD">
            <w:pPr>
              <w:pStyle w:val="TableText"/>
              <w:jc w:val="center"/>
              <w:rPr>
                <w:rFonts w:cs="Arial"/>
              </w:rPr>
            </w:pPr>
            <w:r w:rsidRPr="00F24972">
              <w:rPr>
                <w:rFonts w:cs="Arial"/>
              </w:rPr>
              <w:t>U</w:t>
            </w:r>
          </w:p>
        </w:tc>
        <w:tc>
          <w:tcPr>
            <w:tcW w:w="4950" w:type="dxa"/>
            <w:tcBorders>
              <w:top w:val="single" w:sz="4" w:space="0" w:color="auto"/>
              <w:left w:val="single" w:sz="4" w:space="0" w:color="auto"/>
              <w:bottom w:val="single" w:sz="4" w:space="0" w:color="auto"/>
              <w:right w:val="single" w:sz="4" w:space="0" w:color="auto"/>
            </w:tcBorders>
          </w:tcPr>
          <w:p w14:paraId="1C28BA84" w14:textId="77777777" w:rsidR="000305DD" w:rsidRPr="00F24972" w:rsidRDefault="000305DD" w:rsidP="000305DD">
            <w:pPr>
              <w:pStyle w:val="TableText"/>
              <w:rPr>
                <w:rFonts w:cs="Arial"/>
              </w:rPr>
            </w:pPr>
            <w:r w:rsidRPr="00F24972">
              <w:rPr>
                <w:rFonts w:cs="Arial"/>
              </w:rPr>
              <w:t>An individual unit status is invalidated when the unit had a previous unit status of transferred.</w:t>
            </w:r>
          </w:p>
        </w:tc>
      </w:tr>
      <w:tr w:rsidR="000305DD" w:rsidRPr="00F24972" w14:paraId="1A32B623" w14:textId="77777777" w:rsidTr="00FA340F">
        <w:trPr>
          <w:cantSplit/>
        </w:trPr>
        <w:tc>
          <w:tcPr>
            <w:tcW w:w="1733" w:type="dxa"/>
            <w:tcBorders>
              <w:bottom w:val="single" w:sz="4" w:space="0" w:color="auto"/>
            </w:tcBorders>
          </w:tcPr>
          <w:p w14:paraId="3B55882F" w14:textId="77777777" w:rsidR="000305DD" w:rsidRPr="00F24972" w:rsidRDefault="000305DD" w:rsidP="000305DD">
            <w:pPr>
              <w:pStyle w:val="TableText"/>
              <w:rPr>
                <w:rFonts w:cs="Arial"/>
              </w:rPr>
            </w:pPr>
            <w:r w:rsidRPr="00F24972">
              <w:rPr>
                <w:rFonts w:cs="Arial"/>
              </w:rPr>
              <w:t>Update Equipment Record</w:t>
            </w:r>
          </w:p>
        </w:tc>
        <w:tc>
          <w:tcPr>
            <w:tcW w:w="1592" w:type="dxa"/>
            <w:tcBorders>
              <w:bottom w:val="single" w:sz="4" w:space="0" w:color="auto"/>
            </w:tcBorders>
          </w:tcPr>
          <w:p w14:paraId="5B56578D" w14:textId="77777777" w:rsidR="000305DD" w:rsidRPr="00F24972" w:rsidRDefault="000305DD" w:rsidP="000305DD">
            <w:pPr>
              <w:pStyle w:val="TableText"/>
              <w:rPr>
                <w:rFonts w:cs="Arial"/>
              </w:rPr>
            </w:pPr>
            <w:r>
              <w:rPr>
                <w:rFonts w:cs="Arial"/>
                <w:snapToGrid w:val="0"/>
              </w:rPr>
              <w:t>Equipment, Update</w:t>
            </w:r>
          </w:p>
        </w:tc>
        <w:tc>
          <w:tcPr>
            <w:tcW w:w="1080" w:type="dxa"/>
            <w:tcBorders>
              <w:bottom w:val="single" w:sz="4" w:space="0" w:color="auto"/>
            </w:tcBorders>
          </w:tcPr>
          <w:p w14:paraId="1A69AC51"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63046F13" w14:textId="77777777" w:rsidR="000305DD" w:rsidRPr="00F24972" w:rsidRDefault="000305DD" w:rsidP="000305DD">
            <w:pPr>
              <w:pStyle w:val="TableText"/>
              <w:jc w:val="center"/>
              <w:rPr>
                <w:rFonts w:cs="Arial"/>
              </w:rPr>
            </w:pPr>
            <w:r w:rsidRPr="00F24972">
              <w:rPr>
                <w:rFonts w:cs="Arial"/>
              </w:rPr>
              <w:t>M</w:t>
            </w:r>
          </w:p>
        </w:tc>
        <w:tc>
          <w:tcPr>
            <w:tcW w:w="4950" w:type="dxa"/>
            <w:tcBorders>
              <w:bottom w:val="single" w:sz="4" w:space="0" w:color="auto"/>
            </w:tcBorders>
          </w:tcPr>
          <w:p w14:paraId="3C2608F7" w14:textId="77777777" w:rsidR="000305DD" w:rsidRPr="00F24972" w:rsidRDefault="000305DD" w:rsidP="000305DD">
            <w:pPr>
              <w:pStyle w:val="TableText"/>
              <w:rPr>
                <w:rFonts w:cs="Arial"/>
              </w:rPr>
            </w:pPr>
            <w:r w:rsidRPr="00F24972">
              <w:rPr>
                <w:rFonts w:cs="Arial"/>
              </w:rPr>
              <w:t>Accrue workload when a lot number of any type of equipment is updated in the system.</w:t>
            </w:r>
            <w:r>
              <w:rPr>
                <w:rFonts w:cs="Arial"/>
              </w:rPr>
              <w:t xml:space="preserve"> </w:t>
            </w:r>
          </w:p>
        </w:tc>
      </w:tr>
      <w:tr w:rsidR="000305DD" w:rsidRPr="00F24972" w14:paraId="6D7653AF" w14:textId="77777777" w:rsidTr="00FA340F">
        <w:trPr>
          <w:cantSplit/>
        </w:trPr>
        <w:tc>
          <w:tcPr>
            <w:tcW w:w="1733" w:type="dxa"/>
            <w:tcBorders>
              <w:bottom w:val="single" w:sz="4" w:space="0" w:color="auto"/>
            </w:tcBorders>
          </w:tcPr>
          <w:p w14:paraId="26821E5B" w14:textId="77777777" w:rsidR="000305DD" w:rsidRPr="00F24972" w:rsidRDefault="000305DD" w:rsidP="000305DD">
            <w:pPr>
              <w:pStyle w:val="TableText"/>
              <w:rPr>
                <w:rFonts w:cs="Arial"/>
              </w:rPr>
            </w:pPr>
            <w:r w:rsidRPr="00F24972">
              <w:rPr>
                <w:rFonts w:cs="Arial"/>
              </w:rPr>
              <w:t>Update Reagent Inventory</w:t>
            </w:r>
          </w:p>
        </w:tc>
        <w:tc>
          <w:tcPr>
            <w:tcW w:w="1592" w:type="dxa"/>
            <w:tcBorders>
              <w:bottom w:val="single" w:sz="4" w:space="0" w:color="auto"/>
            </w:tcBorders>
          </w:tcPr>
          <w:p w14:paraId="68D34107" w14:textId="77777777" w:rsidR="000305DD" w:rsidRPr="00F24972" w:rsidRDefault="000305DD" w:rsidP="000305DD">
            <w:pPr>
              <w:pStyle w:val="TableText"/>
              <w:rPr>
                <w:rFonts w:cs="Arial"/>
              </w:rPr>
            </w:pPr>
            <w:r>
              <w:rPr>
                <w:rFonts w:cs="Arial"/>
                <w:snapToGrid w:val="0"/>
              </w:rPr>
              <w:t>Reagents, Update</w:t>
            </w:r>
          </w:p>
        </w:tc>
        <w:tc>
          <w:tcPr>
            <w:tcW w:w="1080" w:type="dxa"/>
            <w:tcBorders>
              <w:bottom w:val="single" w:sz="4" w:space="0" w:color="auto"/>
            </w:tcBorders>
          </w:tcPr>
          <w:p w14:paraId="0B729DAF" w14:textId="77777777" w:rsidR="000305DD" w:rsidRPr="00F24972" w:rsidRDefault="000305DD" w:rsidP="000305DD">
            <w:pPr>
              <w:pStyle w:val="TableText"/>
              <w:rPr>
                <w:rFonts w:cs="Arial"/>
              </w:rPr>
            </w:pPr>
            <w:r w:rsidRPr="00F24972">
              <w:rPr>
                <w:rFonts w:cs="Arial"/>
              </w:rPr>
              <w:t>Positive</w:t>
            </w:r>
          </w:p>
        </w:tc>
        <w:tc>
          <w:tcPr>
            <w:tcW w:w="900" w:type="dxa"/>
            <w:tcBorders>
              <w:bottom w:val="single" w:sz="4" w:space="0" w:color="auto"/>
            </w:tcBorders>
          </w:tcPr>
          <w:p w14:paraId="47180AE1" w14:textId="77777777" w:rsidR="000305DD" w:rsidRPr="00F24972" w:rsidRDefault="000305DD" w:rsidP="000305DD">
            <w:pPr>
              <w:pStyle w:val="TableText"/>
              <w:jc w:val="center"/>
              <w:rPr>
                <w:rFonts w:cs="Arial"/>
              </w:rPr>
            </w:pPr>
            <w:r w:rsidRPr="00F24972">
              <w:rPr>
                <w:rFonts w:cs="Arial"/>
              </w:rPr>
              <w:t>M</w:t>
            </w:r>
          </w:p>
        </w:tc>
        <w:tc>
          <w:tcPr>
            <w:tcW w:w="4950" w:type="dxa"/>
            <w:tcBorders>
              <w:bottom w:val="single" w:sz="4" w:space="0" w:color="auto"/>
            </w:tcBorders>
          </w:tcPr>
          <w:p w14:paraId="00663E72" w14:textId="77777777" w:rsidR="000305DD" w:rsidRPr="00F24972" w:rsidRDefault="000305DD" w:rsidP="000305DD">
            <w:pPr>
              <w:pStyle w:val="TableText"/>
              <w:rPr>
                <w:rFonts w:cs="Arial"/>
              </w:rPr>
            </w:pPr>
            <w:r w:rsidRPr="00F24972">
              <w:rPr>
                <w:rFonts w:cs="Arial"/>
              </w:rPr>
              <w:t>Accrue workload when a lot number of any type of reagent is updated in the system.</w:t>
            </w:r>
            <w:r>
              <w:rPr>
                <w:rFonts w:cs="Arial"/>
              </w:rPr>
              <w:t xml:space="preserve"> </w:t>
            </w:r>
            <w:r w:rsidRPr="00F24972">
              <w:rPr>
                <w:rFonts w:cs="Arial"/>
              </w:rPr>
              <w:t>When multiple lot numbers are processed in a batch, each lot number’s workload is counted.</w:t>
            </w:r>
          </w:p>
        </w:tc>
      </w:tr>
      <w:tr w:rsidR="000305DD" w:rsidRPr="00F24972" w14:paraId="6D81359D" w14:textId="77777777" w:rsidTr="00FA340F">
        <w:trPr>
          <w:cantSplit/>
        </w:trPr>
        <w:tc>
          <w:tcPr>
            <w:tcW w:w="1733" w:type="dxa"/>
          </w:tcPr>
          <w:p w14:paraId="6F754A39" w14:textId="77777777" w:rsidR="000305DD" w:rsidRPr="000037E8" w:rsidRDefault="000305DD" w:rsidP="000305DD">
            <w:pPr>
              <w:pStyle w:val="TableText"/>
              <w:rPr>
                <w:rFonts w:cs="Arial"/>
                <w:szCs w:val="18"/>
              </w:rPr>
            </w:pPr>
            <w:r w:rsidRPr="000037E8">
              <w:rPr>
                <w:rFonts w:cs="Arial"/>
                <w:szCs w:val="18"/>
              </w:rPr>
              <w:t>Update Supply Inventory</w:t>
            </w:r>
          </w:p>
        </w:tc>
        <w:tc>
          <w:tcPr>
            <w:tcW w:w="1592" w:type="dxa"/>
          </w:tcPr>
          <w:p w14:paraId="01AD5948" w14:textId="77777777" w:rsidR="000305DD" w:rsidRPr="000037E8" w:rsidRDefault="000305DD" w:rsidP="000305DD">
            <w:pPr>
              <w:pStyle w:val="TableText"/>
              <w:rPr>
                <w:rFonts w:cs="Arial"/>
                <w:snapToGrid w:val="0"/>
                <w:szCs w:val="18"/>
              </w:rPr>
            </w:pPr>
            <w:r w:rsidRPr="000037E8">
              <w:rPr>
                <w:rFonts w:cs="Arial"/>
                <w:snapToGrid w:val="0"/>
                <w:szCs w:val="18"/>
              </w:rPr>
              <w:t>Supplies, Update</w:t>
            </w:r>
          </w:p>
        </w:tc>
        <w:tc>
          <w:tcPr>
            <w:tcW w:w="1080" w:type="dxa"/>
          </w:tcPr>
          <w:p w14:paraId="7246DA46" w14:textId="77777777" w:rsidR="000305DD" w:rsidRPr="000037E8" w:rsidRDefault="000305DD" w:rsidP="000305DD">
            <w:pPr>
              <w:pStyle w:val="TableText"/>
              <w:rPr>
                <w:rFonts w:cs="Arial"/>
                <w:szCs w:val="18"/>
              </w:rPr>
            </w:pPr>
            <w:r w:rsidRPr="000037E8">
              <w:rPr>
                <w:rFonts w:cs="Arial"/>
                <w:szCs w:val="18"/>
              </w:rPr>
              <w:t>Positive</w:t>
            </w:r>
          </w:p>
        </w:tc>
        <w:tc>
          <w:tcPr>
            <w:tcW w:w="900" w:type="dxa"/>
          </w:tcPr>
          <w:p w14:paraId="23309556" w14:textId="77777777" w:rsidR="000305DD" w:rsidRPr="000037E8" w:rsidRDefault="000305DD" w:rsidP="000305DD">
            <w:pPr>
              <w:pStyle w:val="TableText"/>
              <w:jc w:val="center"/>
              <w:rPr>
                <w:rFonts w:cs="Arial"/>
                <w:szCs w:val="18"/>
              </w:rPr>
            </w:pPr>
            <w:r w:rsidRPr="000037E8">
              <w:rPr>
                <w:rFonts w:cs="Arial"/>
                <w:szCs w:val="18"/>
              </w:rPr>
              <w:t>M</w:t>
            </w:r>
          </w:p>
        </w:tc>
        <w:tc>
          <w:tcPr>
            <w:tcW w:w="4950" w:type="dxa"/>
          </w:tcPr>
          <w:p w14:paraId="19DDCFFF" w14:textId="77777777" w:rsidR="000305DD" w:rsidRPr="000037E8" w:rsidRDefault="000305DD" w:rsidP="000305DD">
            <w:pPr>
              <w:pStyle w:val="TableText"/>
              <w:rPr>
                <w:rFonts w:cs="Arial"/>
                <w:szCs w:val="18"/>
              </w:rPr>
            </w:pPr>
            <w:r w:rsidRPr="000037E8">
              <w:rPr>
                <w:rFonts w:cs="Arial"/>
                <w:szCs w:val="18"/>
              </w:rPr>
              <w:t>Accrue workload when a lot number of any type of supply is updated in the system. When multiple lot numbers are processed in a batch, each lot number’s workload is counted.</w:t>
            </w:r>
          </w:p>
        </w:tc>
      </w:tr>
      <w:tr w:rsidR="000037E8" w:rsidRPr="00F24972" w14:paraId="3F49B9F4" w14:textId="77777777" w:rsidTr="00FA340F">
        <w:trPr>
          <w:cantSplit/>
        </w:trPr>
        <w:tc>
          <w:tcPr>
            <w:tcW w:w="1733" w:type="dxa"/>
            <w:vMerge w:val="restart"/>
          </w:tcPr>
          <w:p w14:paraId="10F2A8EC" w14:textId="77777777" w:rsidR="000037E8" w:rsidRPr="000037E8" w:rsidRDefault="000037E8" w:rsidP="00A42CB6">
            <w:pPr>
              <w:pStyle w:val="TableText"/>
              <w:rPr>
                <w:rFonts w:cs="Arial"/>
                <w:szCs w:val="18"/>
              </w:rPr>
            </w:pPr>
            <w:r w:rsidRPr="000037E8">
              <w:rPr>
                <w:rFonts w:cs="Arial"/>
                <w:szCs w:val="18"/>
              </w:rPr>
              <w:t>Patient ABO Automated</w:t>
            </w:r>
          </w:p>
        </w:tc>
        <w:tc>
          <w:tcPr>
            <w:tcW w:w="1592" w:type="dxa"/>
          </w:tcPr>
          <w:p w14:paraId="484713F7" w14:textId="77777777" w:rsidR="000037E8" w:rsidRPr="000037E8" w:rsidRDefault="001676C5" w:rsidP="00A42CB6">
            <w:pPr>
              <w:pStyle w:val="TableText"/>
              <w:rPr>
                <w:rFonts w:cs="Arial"/>
                <w:snapToGrid w:val="0"/>
                <w:szCs w:val="18"/>
              </w:rPr>
            </w:pPr>
            <w:r>
              <w:rPr>
                <w:rFonts w:cs="Arial"/>
                <w:snapToGrid w:val="0"/>
                <w:szCs w:val="18"/>
              </w:rPr>
              <w:t>Automated Interface</w:t>
            </w:r>
          </w:p>
        </w:tc>
        <w:tc>
          <w:tcPr>
            <w:tcW w:w="1080" w:type="dxa"/>
          </w:tcPr>
          <w:p w14:paraId="69D5C757" w14:textId="77777777" w:rsidR="000037E8" w:rsidRPr="000037E8" w:rsidRDefault="000037E8" w:rsidP="00A42CB6">
            <w:pPr>
              <w:pStyle w:val="TableText"/>
              <w:rPr>
                <w:rFonts w:cs="Arial"/>
                <w:szCs w:val="18"/>
              </w:rPr>
            </w:pPr>
            <w:r w:rsidRPr="000037E8">
              <w:rPr>
                <w:rFonts w:cs="Arial"/>
                <w:szCs w:val="18"/>
              </w:rPr>
              <w:t>Positive</w:t>
            </w:r>
          </w:p>
        </w:tc>
        <w:tc>
          <w:tcPr>
            <w:tcW w:w="900" w:type="dxa"/>
          </w:tcPr>
          <w:p w14:paraId="494D41ED" w14:textId="77777777" w:rsidR="000037E8" w:rsidRPr="000037E8" w:rsidRDefault="000037E8" w:rsidP="00A42CB6">
            <w:pPr>
              <w:pStyle w:val="TableText"/>
              <w:jc w:val="center"/>
              <w:rPr>
                <w:rFonts w:cs="Arial"/>
                <w:szCs w:val="18"/>
              </w:rPr>
            </w:pPr>
            <w:r w:rsidRPr="000037E8">
              <w:rPr>
                <w:rFonts w:cs="Arial"/>
                <w:szCs w:val="18"/>
              </w:rPr>
              <w:t>P</w:t>
            </w:r>
          </w:p>
        </w:tc>
        <w:tc>
          <w:tcPr>
            <w:tcW w:w="4950" w:type="dxa"/>
          </w:tcPr>
          <w:p w14:paraId="33E6FB76" w14:textId="77777777" w:rsidR="000037E8" w:rsidRPr="000037E8" w:rsidRDefault="000037E8" w:rsidP="00A42CB6">
            <w:pPr>
              <w:pStyle w:val="TableText"/>
              <w:rPr>
                <w:rFonts w:cs="Arial"/>
                <w:szCs w:val="18"/>
              </w:rPr>
            </w:pPr>
            <w:r w:rsidRPr="000037E8">
              <w:rPr>
                <w:rFonts w:cs="Arial"/>
                <w:szCs w:val="18"/>
              </w:rPr>
              <w:t>Accrue workload when an ABO/Rh test, primary or reflex, is reviewed, and saved.</w:t>
            </w:r>
          </w:p>
        </w:tc>
      </w:tr>
      <w:tr w:rsidR="000037E8" w:rsidRPr="00F24972" w14:paraId="35504135" w14:textId="77777777" w:rsidTr="00FA340F">
        <w:trPr>
          <w:cantSplit/>
        </w:trPr>
        <w:tc>
          <w:tcPr>
            <w:tcW w:w="1733" w:type="dxa"/>
            <w:vMerge/>
          </w:tcPr>
          <w:p w14:paraId="0A6FA88D" w14:textId="77777777" w:rsidR="000037E8" w:rsidRPr="000037E8" w:rsidRDefault="000037E8" w:rsidP="00A42CB6">
            <w:pPr>
              <w:pStyle w:val="TableText"/>
              <w:rPr>
                <w:rFonts w:cs="Arial"/>
                <w:szCs w:val="18"/>
              </w:rPr>
            </w:pPr>
          </w:p>
        </w:tc>
        <w:tc>
          <w:tcPr>
            <w:tcW w:w="1592" w:type="dxa"/>
          </w:tcPr>
          <w:p w14:paraId="78A1D3B4" w14:textId="77777777" w:rsidR="000037E8" w:rsidRPr="000037E8" w:rsidRDefault="001676C5" w:rsidP="00A42CB6">
            <w:pPr>
              <w:pStyle w:val="TableText"/>
              <w:rPr>
                <w:rFonts w:cs="Arial"/>
                <w:snapToGrid w:val="0"/>
                <w:szCs w:val="18"/>
              </w:rPr>
            </w:pPr>
            <w:r>
              <w:rPr>
                <w:rFonts w:cs="Arial"/>
                <w:snapToGrid w:val="0"/>
                <w:szCs w:val="18"/>
              </w:rPr>
              <w:t>Invalidate patient testing, ABO/Rh</w:t>
            </w:r>
          </w:p>
        </w:tc>
        <w:tc>
          <w:tcPr>
            <w:tcW w:w="1080" w:type="dxa"/>
          </w:tcPr>
          <w:p w14:paraId="7343A037" w14:textId="77777777" w:rsidR="000037E8" w:rsidRPr="000037E8" w:rsidRDefault="000037E8" w:rsidP="00A42CB6">
            <w:pPr>
              <w:pStyle w:val="TableText"/>
              <w:rPr>
                <w:rFonts w:cs="Arial"/>
                <w:szCs w:val="18"/>
              </w:rPr>
            </w:pPr>
            <w:r w:rsidRPr="000037E8">
              <w:rPr>
                <w:rFonts w:cs="Arial"/>
                <w:b/>
                <w:szCs w:val="18"/>
              </w:rPr>
              <w:t>Negative</w:t>
            </w:r>
          </w:p>
        </w:tc>
        <w:tc>
          <w:tcPr>
            <w:tcW w:w="900" w:type="dxa"/>
          </w:tcPr>
          <w:p w14:paraId="046659B1" w14:textId="77777777" w:rsidR="000037E8" w:rsidRPr="000037E8" w:rsidRDefault="000037E8" w:rsidP="00A42CB6">
            <w:pPr>
              <w:pStyle w:val="TableText"/>
              <w:jc w:val="center"/>
              <w:rPr>
                <w:rFonts w:cs="Arial"/>
                <w:szCs w:val="18"/>
              </w:rPr>
            </w:pPr>
            <w:r w:rsidRPr="000037E8">
              <w:rPr>
                <w:rFonts w:cs="Arial"/>
                <w:szCs w:val="18"/>
              </w:rPr>
              <w:t>P</w:t>
            </w:r>
          </w:p>
        </w:tc>
        <w:tc>
          <w:tcPr>
            <w:tcW w:w="4950" w:type="dxa"/>
          </w:tcPr>
          <w:p w14:paraId="658B8A94" w14:textId="77777777" w:rsidR="000037E8" w:rsidRPr="000037E8" w:rsidRDefault="000037E8" w:rsidP="00A42CB6">
            <w:pPr>
              <w:pStyle w:val="TableText"/>
              <w:rPr>
                <w:rFonts w:cs="Arial"/>
                <w:szCs w:val="18"/>
              </w:rPr>
            </w:pPr>
            <w:r w:rsidRPr="000037E8">
              <w:rPr>
                <w:rFonts w:cs="Arial"/>
                <w:szCs w:val="18"/>
              </w:rPr>
              <w:t>Accrue workload when a reviewed ABO/Rh test is invalidated.</w:t>
            </w:r>
          </w:p>
        </w:tc>
      </w:tr>
      <w:tr w:rsidR="001676C5" w:rsidRPr="00F24972" w14:paraId="732432E5" w14:textId="77777777" w:rsidTr="00FA340F">
        <w:trPr>
          <w:cantSplit/>
        </w:trPr>
        <w:tc>
          <w:tcPr>
            <w:tcW w:w="1733" w:type="dxa"/>
            <w:vMerge w:val="restart"/>
          </w:tcPr>
          <w:p w14:paraId="62E2683E" w14:textId="77777777" w:rsidR="001676C5" w:rsidRPr="000037E8" w:rsidRDefault="001676C5" w:rsidP="00A42CB6">
            <w:pPr>
              <w:pStyle w:val="TableText"/>
              <w:rPr>
                <w:rFonts w:cs="Arial"/>
                <w:szCs w:val="18"/>
              </w:rPr>
            </w:pPr>
            <w:r w:rsidRPr="000037E8">
              <w:rPr>
                <w:rFonts w:cs="Arial"/>
                <w:szCs w:val="18"/>
              </w:rPr>
              <w:t>Antibody Screen/Indirect Coombs Automated</w:t>
            </w:r>
          </w:p>
        </w:tc>
        <w:tc>
          <w:tcPr>
            <w:tcW w:w="1592" w:type="dxa"/>
          </w:tcPr>
          <w:p w14:paraId="22C5F222"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1EE6D380"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184CA47A"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4F4EA107" w14:textId="77777777" w:rsidR="001676C5" w:rsidRPr="000037E8" w:rsidRDefault="001676C5" w:rsidP="00A42CB6">
            <w:pPr>
              <w:pStyle w:val="TableText"/>
              <w:rPr>
                <w:rFonts w:cs="Arial"/>
                <w:szCs w:val="18"/>
              </w:rPr>
            </w:pPr>
            <w:r w:rsidRPr="000037E8">
              <w:rPr>
                <w:rFonts w:cs="Arial"/>
                <w:szCs w:val="18"/>
              </w:rPr>
              <w:t>Accrue workload when an ordered ABS test, primary or reflex, is reviewed, and saved.</w:t>
            </w:r>
          </w:p>
          <w:p w14:paraId="1684790A" w14:textId="77777777" w:rsidR="001676C5" w:rsidRPr="000037E8" w:rsidRDefault="001676C5" w:rsidP="00A42CB6">
            <w:pPr>
              <w:pStyle w:val="TableText"/>
              <w:rPr>
                <w:rFonts w:cs="Arial"/>
                <w:szCs w:val="18"/>
              </w:rPr>
            </w:pPr>
            <w:r w:rsidRPr="000037E8">
              <w:rPr>
                <w:rFonts w:cs="Arial"/>
                <w:szCs w:val="18"/>
              </w:rPr>
              <w:t>Apply to primary or reflex tests.</w:t>
            </w:r>
          </w:p>
        </w:tc>
      </w:tr>
      <w:tr w:rsidR="001676C5" w:rsidRPr="00F24972" w14:paraId="16F84BE5" w14:textId="77777777" w:rsidTr="00FA340F">
        <w:trPr>
          <w:cantSplit/>
        </w:trPr>
        <w:tc>
          <w:tcPr>
            <w:tcW w:w="1733" w:type="dxa"/>
            <w:vMerge/>
          </w:tcPr>
          <w:p w14:paraId="4EC17938" w14:textId="77777777" w:rsidR="001676C5" w:rsidRPr="000037E8" w:rsidRDefault="001676C5" w:rsidP="00A42CB6">
            <w:pPr>
              <w:pStyle w:val="TableText"/>
              <w:rPr>
                <w:rFonts w:cs="Arial"/>
                <w:szCs w:val="18"/>
              </w:rPr>
            </w:pPr>
          </w:p>
        </w:tc>
        <w:tc>
          <w:tcPr>
            <w:tcW w:w="1592" w:type="dxa"/>
          </w:tcPr>
          <w:p w14:paraId="6F544743" w14:textId="77777777" w:rsidR="001676C5" w:rsidRPr="000037E8" w:rsidRDefault="001676C5" w:rsidP="0038583A">
            <w:pPr>
              <w:pStyle w:val="TableText"/>
              <w:rPr>
                <w:rFonts w:cs="Arial"/>
                <w:snapToGrid w:val="0"/>
                <w:szCs w:val="18"/>
              </w:rPr>
            </w:pPr>
            <w:r>
              <w:rPr>
                <w:rFonts w:cs="Arial"/>
                <w:snapToGrid w:val="0"/>
                <w:szCs w:val="18"/>
              </w:rPr>
              <w:t>Invalidate patient testing, Antibody Screen</w:t>
            </w:r>
          </w:p>
        </w:tc>
        <w:tc>
          <w:tcPr>
            <w:tcW w:w="1080" w:type="dxa"/>
          </w:tcPr>
          <w:p w14:paraId="0F3EC117"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75824A9F"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2275A99A" w14:textId="77777777" w:rsidR="001676C5" w:rsidRPr="000037E8" w:rsidRDefault="001676C5" w:rsidP="00A42CB6">
            <w:pPr>
              <w:pStyle w:val="TableText"/>
              <w:rPr>
                <w:rFonts w:cs="Arial"/>
                <w:szCs w:val="18"/>
              </w:rPr>
            </w:pPr>
            <w:r w:rsidRPr="000037E8">
              <w:rPr>
                <w:rFonts w:cs="Arial"/>
                <w:szCs w:val="18"/>
              </w:rPr>
              <w:t>Accrue workload when a completed ABS test is invalidated.</w:t>
            </w:r>
          </w:p>
        </w:tc>
      </w:tr>
      <w:tr w:rsidR="001676C5" w:rsidRPr="00F24972" w14:paraId="204E5FD1" w14:textId="77777777" w:rsidTr="00FA340F">
        <w:trPr>
          <w:cantSplit/>
        </w:trPr>
        <w:tc>
          <w:tcPr>
            <w:tcW w:w="1733" w:type="dxa"/>
            <w:vMerge w:val="restart"/>
          </w:tcPr>
          <w:p w14:paraId="4E844697" w14:textId="77777777" w:rsidR="001676C5" w:rsidRPr="000037E8" w:rsidRDefault="001676C5" w:rsidP="00A42CB6">
            <w:pPr>
              <w:pStyle w:val="TableText"/>
              <w:rPr>
                <w:rFonts w:cs="Arial"/>
                <w:szCs w:val="18"/>
              </w:rPr>
            </w:pPr>
            <w:r w:rsidRPr="000037E8">
              <w:rPr>
                <w:rFonts w:cs="Arial"/>
                <w:szCs w:val="18"/>
              </w:rPr>
              <w:t>Serologic Crossmatch, Major, Automated </w:t>
            </w:r>
          </w:p>
        </w:tc>
        <w:tc>
          <w:tcPr>
            <w:tcW w:w="1592" w:type="dxa"/>
          </w:tcPr>
          <w:p w14:paraId="4394E3C0"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41F20EDF"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7E315DD8"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46EA29B2" w14:textId="17BD08D4" w:rsidR="001676C5" w:rsidRPr="000037E8" w:rsidRDefault="001676C5" w:rsidP="00A42CB6">
            <w:pPr>
              <w:pStyle w:val="TableText"/>
              <w:rPr>
                <w:rFonts w:cs="Arial"/>
                <w:szCs w:val="18"/>
              </w:rPr>
            </w:pPr>
            <w:r w:rsidRPr="000037E8">
              <w:rPr>
                <w:rFonts w:cs="Arial"/>
                <w:szCs w:val="18"/>
              </w:rPr>
              <w:t xml:space="preserve">Accrue workload when an individual unit (row) crossmatch, selected to include all phases or only AHG phase, primary or reflex, is reviewed, and saved. When </w:t>
            </w:r>
            <w:r w:rsidR="00AE3B37" w:rsidRPr="000037E8">
              <w:rPr>
                <w:rFonts w:cs="Arial"/>
                <w:szCs w:val="18"/>
              </w:rPr>
              <w:t>multiple units</w:t>
            </w:r>
            <w:r w:rsidRPr="000037E8">
              <w:rPr>
                <w:rFonts w:cs="Arial"/>
                <w:szCs w:val="18"/>
              </w:rPr>
              <w:t xml:space="preserve"> are selected, each unit (row) accrues workload.</w:t>
            </w:r>
          </w:p>
        </w:tc>
      </w:tr>
      <w:tr w:rsidR="001676C5" w:rsidRPr="00F24972" w14:paraId="33808FF4" w14:textId="77777777" w:rsidTr="00FA340F">
        <w:trPr>
          <w:cantSplit/>
        </w:trPr>
        <w:tc>
          <w:tcPr>
            <w:tcW w:w="1733" w:type="dxa"/>
            <w:vMerge/>
          </w:tcPr>
          <w:p w14:paraId="79BE99B5" w14:textId="77777777" w:rsidR="001676C5" w:rsidRPr="000037E8" w:rsidRDefault="001676C5" w:rsidP="00A42CB6">
            <w:pPr>
              <w:pStyle w:val="TableText"/>
              <w:rPr>
                <w:rFonts w:cs="Arial"/>
                <w:szCs w:val="18"/>
              </w:rPr>
            </w:pPr>
          </w:p>
        </w:tc>
        <w:tc>
          <w:tcPr>
            <w:tcW w:w="1592" w:type="dxa"/>
          </w:tcPr>
          <w:p w14:paraId="201BAB38" w14:textId="77777777" w:rsidR="001676C5" w:rsidRPr="000037E8" w:rsidRDefault="001676C5" w:rsidP="0038583A">
            <w:pPr>
              <w:pStyle w:val="TableText"/>
              <w:rPr>
                <w:rFonts w:cs="Arial"/>
                <w:snapToGrid w:val="0"/>
                <w:szCs w:val="18"/>
              </w:rPr>
            </w:pPr>
            <w:r>
              <w:rPr>
                <w:rFonts w:cs="Arial"/>
                <w:snapToGrid w:val="0"/>
                <w:szCs w:val="18"/>
              </w:rPr>
              <w:t>Invalidate patient testing, crossmatch</w:t>
            </w:r>
          </w:p>
        </w:tc>
        <w:tc>
          <w:tcPr>
            <w:tcW w:w="1080" w:type="dxa"/>
          </w:tcPr>
          <w:p w14:paraId="60843D90"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4C3A9C52"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7F8BDBEA" w14:textId="77777777" w:rsidR="001676C5" w:rsidRPr="000037E8" w:rsidRDefault="001676C5" w:rsidP="00A42CB6">
            <w:pPr>
              <w:pStyle w:val="TableText"/>
              <w:rPr>
                <w:rFonts w:cs="Arial"/>
                <w:szCs w:val="18"/>
              </w:rPr>
            </w:pPr>
            <w:r w:rsidRPr="000037E8">
              <w:rPr>
                <w:rFonts w:cs="Arial"/>
                <w:szCs w:val="18"/>
              </w:rPr>
              <w:t>Accrue workload when a reviewed crossmatch test is invalidated. The workload originally saved with the test, serological Coombs.</w:t>
            </w:r>
          </w:p>
        </w:tc>
      </w:tr>
      <w:tr w:rsidR="001676C5" w:rsidRPr="00F24972" w14:paraId="35D231D1" w14:textId="77777777" w:rsidTr="00FA340F">
        <w:trPr>
          <w:cantSplit/>
        </w:trPr>
        <w:tc>
          <w:tcPr>
            <w:tcW w:w="1733" w:type="dxa"/>
            <w:vMerge w:val="restart"/>
          </w:tcPr>
          <w:p w14:paraId="661F4580" w14:textId="77777777" w:rsidR="001676C5" w:rsidRPr="000037E8" w:rsidRDefault="001676C5" w:rsidP="00A42CB6">
            <w:pPr>
              <w:pStyle w:val="TableText"/>
              <w:rPr>
                <w:rFonts w:cs="Arial"/>
                <w:szCs w:val="18"/>
              </w:rPr>
            </w:pPr>
            <w:r w:rsidRPr="000037E8">
              <w:rPr>
                <w:rFonts w:cs="Arial"/>
                <w:szCs w:val="18"/>
              </w:rPr>
              <w:t>Direct Antiglobulin Test Automated</w:t>
            </w:r>
          </w:p>
        </w:tc>
        <w:tc>
          <w:tcPr>
            <w:tcW w:w="1592" w:type="dxa"/>
          </w:tcPr>
          <w:p w14:paraId="58BA32BD"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7A39646F"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06CEE61F"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4A5EE709" w14:textId="77777777" w:rsidR="001676C5" w:rsidRPr="000037E8" w:rsidRDefault="001676C5" w:rsidP="00A42CB6">
            <w:pPr>
              <w:pStyle w:val="TableText"/>
              <w:rPr>
                <w:rFonts w:cs="Arial"/>
                <w:szCs w:val="18"/>
              </w:rPr>
            </w:pPr>
            <w:r w:rsidRPr="000037E8">
              <w:rPr>
                <w:rFonts w:cs="Arial"/>
                <w:szCs w:val="18"/>
              </w:rPr>
              <w:t>Accrue workload when a DAT, primary or reflex, is reviewed, and saved.</w:t>
            </w:r>
          </w:p>
        </w:tc>
      </w:tr>
      <w:tr w:rsidR="001676C5" w:rsidRPr="00F24972" w14:paraId="0CAC219B" w14:textId="77777777" w:rsidTr="00FA340F">
        <w:trPr>
          <w:cantSplit/>
        </w:trPr>
        <w:tc>
          <w:tcPr>
            <w:tcW w:w="1733" w:type="dxa"/>
            <w:vMerge/>
            <w:tcBorders>
              <w:bottom w:val="single" w:sz="4" w:space="0" w:color="auto"/>
            </w:tcBorders>
          </w:tcPr>
          <w:p w14:paraId="5BCDE7D4" w14:textId="77777777" w:rsidR="001676C5" w:rsidRPr="000037E8" w:rsidRDefault="001676C5" w:rsidP="00A42CB6">
            <w:pPr>
              <w:pStyle w:val="TableText"/>
              <w:rPr>
                <w:rFonts w:cs="Arial"/>
                <w:szCs w:val="18"/>
              </w:rPr>
            </w:pPr>
          </w:p>
        </w:tc>
        <w:tc>
          <w:tcPr>
            <w:tcW w:w="1592" w:type="dxa"/>
          </w:tcPr>
          <w:p w14:paraId="0543A61B" w14:textId="77777777" w:rsidR="001676C5" w:rsidRPr="000037E8" w:rsidRDefault="001676C5" w:rsidP="0038583A">
            <w:pPr>
              <w:pStyle w:val="TableText"/>
              <w:rPr>
                <w:rFonts w:cs="Arial"/>
                <w:snapToGrid w:val="0"/>
                <w:szCs w:val="18"/>
              </w:rPr>
            </w:pPr>
            <w:r>
              <w:rPr>
                <w:rFonts w:cs="Arial"/>
                <w:snapToGrid w:val="0"/>
                <w:szCs w:val="18"/>
              </w:rPr>
              <w:t>Invalidate patient testing, Direct Antiglobulin test</w:t>
            </w:r>
          </w:p>
        </w:tc>
        <w:tc>
          <w:tcPr>
            <w:tcW w:w="1080" w:type="dxa"/>
          </w:tcPr>
          <w:p w14:paraId="0F48177A"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5BB9699A"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73152151" w14:textId="77777777" w:rsidR="001676C5" w:rsidRPr="000037E8" w:rsidRDefault="001676C5" w:rsidP="00A42CB6">
            <w:pPr>
              <w:pStyle w:val="TableText"/>
              <w:rPr>
                <w:rFonts w:cs="Arial"/>
                <w:szCs w:val="18"/>
              </w:rPr>
            </w:pPr>
            <w:r w:rsidRPr="000037E8">
              <w:rPr>
                <w:rFonts w:cs="Arial"/>
                <w:szCs w:val="18"/>
              </w:rPr>
              <w:t xml:space="preserve">Accrue workload when a reviewed DAT is invalidated. </w:t>
            </w:r>
          </w:p>
        </w:tc>
      </w:tr>
      <w:tr w:rsidR="001676C5" w:rsidRPr="00F24972" w14:paraId="311E33DE" w14:textId="77777777" w:rsidTr="00FA340F">
        <w:trPr>
          <w:cantSplit/>
        </w:trPr>
        <w:tc>
          <w:tcPr>
            <w:tcW w:w="1733" w:type="dxa"/>
            <w:vMerge w:val="restart"/>
          </w:tcPr>
          <w:p w14:paraId="4291F07B" w14:textId="77777777" w:rsidR="001676C5" w:rsidRPr="000037E8" w:rsidRDefault="001676C5" w:rsidP="00A42CB6">
            <w:pPr>
              <w:pStyle w:val="TableText"/>
              <w:rPr>
                <w:rFonts w:cs="Arial"/>
                <w:szCs w:val="18"/>
              </w:rPr>
            </w:pPr>
            <w:r w:rsidRPr="000037E8">
              <w:rPr>
                <w:rFonts w:cs="Arial"/>
                <w:szCs w:val="18"/>
              </w:rPr>
              <w:t>Patient Antigen Typing Automated</w:t>
            </w:r>
          </w:p>
        </w:tc>
        <w:tc>
          <w:tcPr>
            <w:tcW w:w="1592" w:type="dxa"/>
          </w:tcPr>
          <w:p w14:paraId="73C368DC"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2A9AB962"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0CC6A904"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3C4EABB6" w14:textId="77777777" w:rsidR="001676C5" w:rsidRPr="000037E8" w:rsidRDefault="001676C5" w:rsidP="00A42CB6">
            <w:pPr>
              <w:pStyle w:val="TableText"/>
              <w:rPr>
                <w:rFonts w:cs="Arial"/>
                <w:szCs w:val="18"/>
              </w:rPr>
            </w:pPr>
            <w:r w:rsidRPr="000037E8">
              <w:rPr>
                <w:rFonts w:cs="Arial"/>
                <w:szCs w:val="18"/>
              </w:rPr>
              <w:t xml:space="preserve">Accrue workload when a patient antigen phenotype test (tab) is reviewed and saved. </w:t>
            </w:r>
          </w:p>
        </w:tc>
      </w:tr>
      <w:tr w:rsidR="001676C5" w:rsidRPr="00F24972" w14:paraId="57847783" w14:textId="77777777" w:rsidTr="00FA340F">
        <w:trPr>
          <w:cantSplit/>
        </w:trPr>
        <w:tc>
          <w:tcPr>
            <w:tcW w:w="1733" w:type="dxa"/>
            <w:vMerge/>
          </w:tcPr>
          <w:p w14:paraId="6EB8A1D0" w14:textId="77777777" w:rsidR="001676C5" w:rsidRPr="000037E8" w:rsidRDefault="001676C5" w:rsidP="00A42CB6">
            <w:pPr>
              <w:pStyle w:val="TableText"/>
              <w:rPr>
                <w:rFonts w:cs="Arial"/>
                <w:szCs w:val="18"/>
              </w:rPr>
            </w:pPr>
          </w:p>
        </w:tc>
        <w:tc>
          <w:tcPr>
            <w:tcW w:w="1592" w:type="dxa"/>
          </w:tcPr>
          <w:p w14:paraId="3C24A46B" w14:textId="77777777" w:rsidR="001676C5" w:rsidRPr="000037E8" w:rsidRDefault="001676C5" w:rsidP="0038583A">
            <w:pPr>
              <w:pStyle w:val="TableText"/>
              <w:rPr>
                <w:rFonts w:cs="Arial"/>
                <w:snapToGrid w:val="0"/>
                <w:szCs w:val="18"/>
              </w:rPr>
            </w:pPr>
            <w:r>
              <w:rPr>
                <w:rFonts w:cs="Arial"/>
                <w:snapToGrid w:val="0"/>
                <w:szCs w:val="18"/>
              </w:rPr>
              <w:t>Invalidate patient testing, patient antigen typing</w:t>
            </w:r>
          </w:p>
        </w:tc>
        <w:tc>
          <w:tcPr>
            <w:tcW w:w="1080" w:type="dxa"/>
          </w:tcPr>
          <w:p w14:paraId="64C48073" w14:textId="77777777" w:rsidR="001676C5" w:rsidRPr="000037E8" w:rsidRDefault="001676C5" w:rsidP="00A42CB6">
            <w:pPr>
              <w:pStyle w:val="TableText"/>
              <w:rPr>
                <w:rFonts w:cs="Arial"/>
                <w:b/>
                <w:szCs w:val="18"/>
              </w:rPr>
            </w:pPr>
            <w:r w:rsidRPr="000037E8">
              <w:rPr>
                <w:rFonts w:cs="Arial"/>
                <w:b/>
                <w:szCs w:val="18"/>
              </w:rPr>
              <w:t>Negative</w:t>
            </w:r>
          </w:p>
        </w:tc>
        <w:tc>
          <w:tcPr>
            <w:tcW w:w="900" w:type="dxa"/>
          </w:tcPr>
          <w:p w14:paraId="6180A4FA" w14:textId="77777777" w:rsidR="001676C5" w:rsidRPr="000037E8" w:rsidRDefault="001676C5" w:rsidP="00A42CB6">
            <w:pPr>
              <w:pStyle w:val="TableText"/>
              <w:jc w:val="center"/>
              <w:rPr>
                <w:rFonts w:cs="Arial"/>
                <w:szCs w:val="18"/>
              </w:rPr>
            </w:pPr>
            <w:r w:rsidRPr="000037E8">
              <w:rPr>
                <w:rFonts w:cs="Arial"/>
                <w:szCs w:val="18"/>
              </w:rPr>
              <w:t>P</w:t>
            </w:r>
          </w:p>
        </w:tc>
        <w:tc>
          <w:tcPr>
            <w:tcW w:w="4950" w:type="dxa"/>
          </w:tcPr>
          <w:p w14:paraId="1F45E590" w14:textId="77777777" w:rsidR="001676C5" w:rsidRPr="000037E8" w:rsidRDefault="001676C5" w:rsidP="00A42CB6">
            <w:pPr>
              <w:pStyle w:val="TableText"/>
              <w:rPr>
                <w:rFonts w:cs="Arial"/>
                <w:szCs w:val="18"/>
              </w:rPr>
            </w:pPr>
            <w:r w:rsidRPr="000037E8">
              <w:rPr>
                <w:rFonts w:cs="Arial"/>
                <w:szCs w:val="18"/>
              </w:rPr>
              <w:t>Accrue workload when a reviewed patient antigen test (phenotype) is invalidated.</w:t>
            </w:r>
          </w:p>
        </w:tc>
      </w:tr>
      <w:tr w:rsidR="001676C5" w:rsidRPr="00F24972" w14:paraId="1453E8E7" w14:textId="77777777" w:rsidTr="00FA340F">
        <w:trPr>
          <w:cantSplit/>
        </w:trPr>
        <w:tc>
          <w:tcPr>
            <w:tcW w:w="1733" w:type="dxa"/>
            <w:vMerge w:val="restart"/>
          </w:tcPr>
          <w:p w14:paraId="0FE9D142" w14:textId="77777777" w:rsidR="001676C5" w:rsidRPr="000037E8" w:rsidRDefault="001676C5" w:rsidP="00A42CB6">
            <w:pPr>
              <w:pStyle w:val="TableText"/>
              <w:rPr>
                <w:rFonts w:cs="Arial"/>
                <w:szCs w:val="18"/>
              </w:rPr>
            </w:pPr>
            <w:r w:rsidRPr="000037E8">
              <w:rPr>
                <w:rFonts w:cs="Arial"/>
                <w:szCs w:val="18"/>
              </w:rPr>
              <w:t>Blood Unit ABO Confirmation Test Automated</w:t>
            </w:r>
          </w:p>
        </w:tc>
        <w:tc>
          <w:tcPr>
            <w:tcW w:w="1592" w:type="dxa"/>
          </w:tcPr>
          <w:p w14:paraId="180D7D56"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588E1419" w14:textId="77777777" w:rsidR="001676C5" w:rsidRPr="000037E8" w:rsidRDefault="001676C5" w:rsidP="00A42CB6">
            <w:pPr>
              <w:pStyle w:val="TableText"/>
              <w:rPr>
                <w:rFonts w:cs="Arial"/>
                <w:szCs w:val="18"/>
              </w:rPr>
            </w:pPr>
            <w:r w:rsidRPr="000037E8">
              <w:rPr>
                <w:rFonts w:cs="Arial"/>
                <w:szCs w:val="18"/>
              </w:rPr>
              <w:t>Positive</w:t>
            </w:r>
          </w:p>
        </w:tc>
        <w:tc>
          <w:tcPr>
            <w:tcW w:w="900" w:type="dxa"/>
          </w:tcPr>
          <w:p w14:paraId="5DA5E456"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4035AE9A" w14:textId="77777777" w:rsidR="001676C5" w:rsidRPr="000037E8" w:rsidRDefault="001676C5" w:rsidP="00A42CB6">
            <w:pPr>
              <w:pStyle w:val="TableText"/>
              <w:rPr>
                <w:rFonts w:cs="Arial"/>
                <w:szCs w:val="18"/>
              </w:rPr>
            </w:pPr>
            <w:r w:rsidRPr="000037E8">
              <w:rPr>
                <w:rFonts w:cs="Arial"/>
                <w:szCs w:val="18"/>
              </w:rPr>
              <w:t xml:space="preserve">An ABO confirmation test, primary or repeat, is reviewed, and saved. When multiple units are selected in a batch, each unit in the batch accrues a workload event. </w:t>
            </w:r>
          </w:p>
          <w:p w14:paraId="66783158" w14:textId="77777777" w:rsidR="001676C5" w:rsidRPr="000037E8" w:rsidRDefault="001676C5" w:rsidP="00A42CB6">
            <w:pPr>
              <w:pStyle w:val="TableText"/>
              <w:rPr>
                <w:rFonts w:cs="Arial"/>
                <w:szCs w:val="18"/>
              </w:rPr>
            </w:pPr>
          </w:p>
          <w:p w14:paraId="2C09F049" w14:textId="77777777" w:rsidR="001676C5" w:rsidRPr="000037E8" w:rsidRDefault="001676C5" w:rsidP="00A42CB6">
            <w:pPr>
              <w:pStyle w:val="TableTextBullet"/>
              <w:rPr>
                <w:rFonts w:cs="Arial"/>
                <w:szCs w:val="18"/>
              </w:rPr>
            </w:pPr>
            <w:r w:rsidRPr="000037E8">
              <w:rPr>
                <w:rFonts w:cs="Arial"/>
                <w:szCs w:val="18"/>
              </w:rPr>
              <w:t>Note: Workload generated when Anti-D testing is not included in the unit’s confirmation test.</w:t>
            </w:r>
            <w:r w:rsidRPr="000037E8">
              <w:rPr>
                <w:rFonts w:cs="Arial"/>
                <w:color w:val="0000FF"/>
                <w:szCs w:val="18"/>
              </w:rPr>
              <w:t xml:space="preserve"> </w:t>
            </w:r>
            <w:r w:rsidRPr="000037E8">
              <w:rPr>
                <w:rFonts w:cs="Arial"/>
                <w:szCs w:val="18"/>
              </w:rPr>
              <w:t xml:space="preserve">Workload is </w:t>
            </w:r>
            <w:r w:rsidRPr="000037E8">
              <w:rPr>
                <w:rFonts w:cs="Arial"/>
                <w:b/>
                <w:szCs w:val="18"/>
              </w:rPr>
              <w:t xml:space="preserve">not </w:t>
            </w:r>
            <w:r w:rsidRPr="000037E8">
              <w:rPr>
                <w:rFonts w:cs="Arial"/>
                <w:szCs w:val="18"/>
              </w:rPr>
              <w:t>accrued when VBECS quarantines the unit due to a discrepancy. No special handling for workload collection for additional confirmation tests on a unit.</w:t>
            </w:r>
          </w:p>
        </w:tc>
      </w:tr>
      <w:tr w:rsidR="001676C5" w:rsidRPr="00F24972" w14:paraId="3F5A62BE" w14:textId="77777777" w:rsidTr="00FA340F">
        <w:trPr>
          <w:cantSplit/>
        </w:trPr>
        <w:tc>
          <w:tcPr>
            <w:tcW w:w="1733" w:type="dxa"/>
            <w:vMerge/>
          </w:tcPr>
          <w:p w14:paraId="721AAB39" w14:textId="77777777" w:rsidR="001676C5" w:rsidRPr="000037E8" w:rsidRDefault="001676C5" w:rsidP="00A42CB6">
            <w:pPr>
              <w:pStyle w:val="TableText"/>
              <w:rPr>
                <w:rFonts w:cs="Arial"/>
                <w:szCs w:val="18"/>
              </w:rPr>
            </w:pPr>
          </w:p>
        </w:tc>
        <w:tc>
          <w:tcPr>
            <w:tcW w:w="1592" w:type="dxa"/>
          </w:tcPr>
          <w:p w14:paraId="0427AA96" w14:textId="77777777" w:rsidR="001676C5" w:rsidRPr="000037E8" w:rsidRDefault="001676C5" w:rsidP="001676C5">
            <w:pPr>
              <w:pStyle w:val="TableText"/>
              <w:rPr>
                <w:rFonts w:cs="Arial"/>
                <w:snapToGrid w:val="0"/>
                <w:szCs w:val="18"/>
              </w:rPr>
            </w:pPr>
            <w:r>
              <w:rPr>
                <w:rFonts w:cs="Arial"/>
                <w:snapToGrid w:val="0"/>
                <w:szCs w:val="18"/>
              </w:rPr>
              <w:t>Invalidate unit testing, ABO Test</w:t>
            </w:r>
          </w:p>
        </w:tc>
        <w:tc>
          <w:tcPr>
            <w:tcW w:w="1080" w:type="dxa"/>
          </w:tcPr>
          <w:p w14:paraId="00C80028"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13BAB2D6"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7C6B66F9" w14:textId="77777777" w:rsidR="001676C5" w:rsidRPr="000037E8" w:rsidRDefault="001676C5" w:rsidP="00A42CB6">
            <w:pPr>
              <w:pStyle w:val="TableText"/>
              <w:rPr>
                <w:rFonts w:cs="Arial"/>
                <w:szCs w:val="18"/>
              </w:rPr>
            </w:pPr>
            <w:r w:rsidRPr="000037E8">
              <w:rPr>
                <w:rFonts w:cs="Arial"/>
                <w:szCs w:val="18"/>
              </w:rPr>
              <w:t>Accrue workload when an ABO confirmation test is invalidated</w:t>
            </w:r>
          </w:p>
        </w:tc>
      </w:tr>
      <w:tr w:rsidR="001676C5" w:rsidRPr="00F24972" w14:paraId="64F23FDF" w14:textId="77777777" w:rsidTr="00FA340F">
        <w:trPr>
          <w:cantSplit/>
        </w:trPr>
        <w:tc>
          <w:tcPr>
            <w:tcW w:w="1733" w:type="dxa"/>
            <w:vMerge w:val="restart"/>
          </w:tcPr>
          <w:p w14:paraId="098AF40F" w14:textId="77777777" w:rsidR="001676C5" w:rsidRPr="000037E8" w:rsidRDefault="001676C5" w:rsidP="00A42CB6">
            <w:pPr>
              <w:pStyle w:val="TableText"/>
              <w:rPr>
                <w:rFonts w:cs="Arial"/>
                <w:szCs w:val="18"/>
              </w:rPr>
            </w:pPr>
            <w:r w:rsidRPr="000037E8">
              <w:rPr>
                <w:rFonts w:cs="Arial"/>
                <w:szCs w:val="18"/>
              </w:rPr>
              <w:t>Blood Unit ABO/Rh Confirmation Test Automated</w:t>
            </w:r>
          </w:p>
        </w:tc>
        <w:tc>
          <w:tcPr>
            <w:tcW w:w="1592" w:type="dxa"/>
          </w:tcPr>
          <w:p w14:paraId="32C19F8B"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491264E6"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61B59761"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0E7D5D8D" w14:textId="77777777" w:rsidR="001676C5" w:rsidRPr="000037E8" w:rsidRDefault="001676C5" w:rsidP="00A42CB6">
            <w:pPr>
              <w:pStyle w:val="TableText"/>
              <w:rPr>
                <w:rFonts w:cs="Arial"/>
                <w:szCs w:val="18"/>
              </w:rPr>
            </w:pPr>
            <w:r w:rsidRPr="000037E8">
              <w:rPr>
                <w:rFonts w:cs="Arial"/>
                <w:szCs w:val="18"/>
              </w:rPr>
              <w:t>An ABO/Rh confirmation test, primary or repeat, is reviewed, and saved. When multiple units are selected in a batch, each unit in the batch accrues a workload event.</w:t>
            </w:r>
          </w:p>
          <w:p w14:paraId="7A7AA09E" w14:textId="77777777" w:rsidR="001676C5" w:rsidRPr="000037E8" w:rsidRDefault="001676C5" w:rsidP="00A42CB6">
            <w:pPr>
              <w:pStyle w:val="TableText"/>
              <w:rPr>
                <w:rFonts w:cs="Arial"/>
                <w:szCs w:val="18"/>
              </w:rPr>
            </w:pPr>
          </w:p>
          <w:p w14:paraId="4D70C8A8" w14:textId="77777777" w:rsidR="001676C5" w:rsidRPr="000037E8" w:rsidRDefault="001676C5" w:rsidP="00A42CB6">
            <w:pPr>
              <w:pStyle w:val="TableText"/>
              <w:rPr>
                <w:rFonts w:cs="Arial"/>
                <w:szCs w:val="18"/>
              </w:rPr>
            </w:pPr>
            <w:r w:rsidRPr="000037E8">
              <w:rPr>
                <w:rFonts w:cs="Arial"/>
                <w:szCs w:val="18"/>
              </w:rPr>
              <w:t>Any unit successfully confirmed accrues workload.</w:t>
            </w:r>
          </w:p>
          <w:p w14:paraId="7ACEA739" w14:textId="77777777" w:rsidR="001676C5" w:rsidRPr="000037E8" w:rsidRDefault="001676C5" w:rsidP="00A42CB6">
            <w:pPr>
              <w:pStyle w:val="TableTextBullet"/>
              <w:rPr>
                <w:rFonts w:cs="Arial"/>
                <w:szCs w:val="18"/>
              </w:rPr>
            </w:pPr>
            <w:r w:rsidRPr="000037E8">
              <w:rPr>
                <w:rFonts w:cs="Arial"/>
                <w:szCs w:val="18"/>
              </w:rPr>
              <w:t xml:space="preserve">Note: Workload is </w:t>
            </w:r>
            <w:r w:rsidRPr="000037E8">
              <w:rPr>
                <w:rFonts w:cs="Arial"/>
                <w:b/>
                <w:szCs w:val="18"/>
              </w:rPr>
              <w:t xml:space="preserve">not </w:t>
            </w:r>
            <w:r w:rsidRPr="000037E8">
              <w:rPr>
                <w:rFonts w:cs="Arial"/>
                <w:szCs w:val="18"/>
              </w:rPr>
              <w:t xml:space="preserve">accrued when VBECS quarantines the unit due to a discrepancy. </w:t>
            </w:r>
          </w:p>
        </w:tc>
      </w:tr>
      <w:tr w:rsidR="001676C5" w:rsidRPr="00F24972" w14:paraId="6162DA6E" w14:textId="77777777" w:rsidTr="00FA340F">
        <w:trPr>
          <w:cantSplit/>
        </w:trPr>
        <w:tc>
          <w:tcPr>
            <w:tcW w:w="1733" w:type="dxa"/>
            <w:vMerge/>
          </w:tcPr>
          <w:p w14:paraId="3C894C1E" w14:textId="77777777" w:rsidR="001676C5" w:rsidRPr="000037E8" w:rsidRDefault="001676C5" w:rsidP="00A42CB6">
            <w:pPr>
              <w:pStyle w:val="TableText"/>
              <w:rPr>
                <w:rFonts w:cs="Arial"/>
                <w:szCs w:val="18"/>
              </w:rPr>
            </w:pPr>
          </w:p>
        </w:tc>
        <w:tc>
          <w:tcPr>
            <w:tcW w:w="1592" w:type="dxa"/>
          </w:tcPr>
          <w:p w14:paraId="7A39E945" w14:textId="77777777" w:rsidR="001676C5" w:rsidRPr="000037E8" w:rsidRDefault="001676C5" w:rsidP="0038583A">
            <w:pPr>
              <w:pStyle w:val="TableText"/>
              <w:rPr>
                <w:rFonts w:cs="Arial"/>
                <w:snapToGrid w:val="0"/>
                <w:szCs w:val="18"/>
              </w:rPr>
            </w:pPr>
            <w:r>
              <w:rPr>
                <w:rFonts w:cs="Arial"/>
                <w:snapToGrid w:val="0"/>
                <w:szCs w:val="18"/>
              </w:rPr>
              <w:t>Invalidate unit testing, ABO/Rh</w:t>
            </w:r>
          </w:p>
        </w:tc>
        <w:tc>
          <w:tcPr>
            <w:tcW w:w="1080" w:type="dxa"/>
          </w:tcPr>
          <w:p w14:paraId="1AB6FC1F"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78F2F512"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1BB09C24" w14:textId="77777777" w:rsidR="001676C5" w:rsidRPr="000037E8" w:rsidRDefault="001676C5" w:rsidP="00A42CB6">
            <w:pPr>
              <w:pStyle w:val="TableText"/>
              <w:rPr>
                <w:rFonts w:cs="Arial"/>
                <w:szCs w:val="18"/>
              </w:rPr>
            </w:pPr>
            <w:r w:rsidRPr="000037E8">
              <w:rPr>
                <w:rFonts w:cs="Arial"/>
                <w:szCs w:val="18"/>
              </w:rPr>
              <w:t>Accrue workload when an ABO/Rh confirmation test is invalidated</w:t>
            </w:r>
          </w:p>
        </w:tc>
      </w:tr>
      <w:tr w:rsidR="001676C5" w:rsidRPr="00F24972" w14:paraId="54544EB2" w14:textId="77777777" w:rsidTr="00FA340F">
        <w:trPr>
          <w:cantSplit/>
        </w:trPr>
        <w:tc>
          <w:tcPr>
            <w:tcW w:w="1733" w:type="dxa"/>
            <w:vMerge w:val="restart"/>
          </w:tcPr>
          <w:p w14:paraId="2862A77F" w14:textId="77777777" w:rsidR="001676C5" w:rsidRPr="000037E8" w:rsidRDefault="001676C5" w:rsidP="00A42CB6">
            <w:pPr>
              <w:pStyle w:val="TableText"/>
              <w:rPr>
                <w:rFonts w:cs="Arial"/>
                <w:szCs w:val="18"/>
              </w:rPr>
            </w:pPr>
            <w:r w:rsidRPr="000037E8">
              <w:rPr>
                <w:rFonts w:cs="Arial"/>
                <w:szCs w:val="18"/>
              </w:rPr>
              <w:t>Blood Unit Antigen Typing Automated</w:t>
            </w:r>
          </w:p>
        </w:tc>
        <w:tc>
          <w:tcPr>
            <w:tcW w:w="1592" w:type="dxa"/>
          </w:tcPr>
          <w:p w14:paraId="6BC07E70" w14:textId="77777777" w:rsidR="001676C5" w:rsidRPr="000037E8" w:rsidRDefault="001676C5" w:rsidP="0038583A">
            <w:pPr>
              <w:pStyle w:val="TableText"/>
              <w:rPr>
                <w:rFonts w:cs="Arial"/>
                <w:snapToGrid w:val="0"/>
                <w:szCs w:val="18"/>
              </w:rPr>
            </w:pPr>
            <w:r>
              <w:rPr>
                <w:rFonts w:cs="Arial"/>
                <w:snapToGrid w:val="0"/>
                <w:szCs w:val="18"/>
              </w:rPr>
              <w:t>Automated Interface</w:t>
            </w:r>
          </w:p>
        </w:tc>
        <w:tc>
          <w:tcPr>
            <w:tcW w:w="1080" w:type="dxa"/>
          </w:tcPr>
          <w:p w14:paraId="52BF7D95" w14:textId="77777777" w:rsidR="001676C5" w:rsidRPr="000037E8" w:rsidRDefault="001676C5" w:rsidP="00A42CB6">
            <w:pPr>
              <w:pStyle w:val="TableText"/>
              <w:rPr>
                <w:rFonts w:cs="Arial"/>
                <w:b/>
                <w:szCs w:val="18"/>
              </w:rPr>
            </w:pPr>
            <w:r w:rsidRPr="000037E8">
              <w:rPr>
                <w:rFonts w:cs="Arial"/>
                <w:szCs w:val="18"/>
              </w:rPr>
              <w:t>Positive</w:t>
            </w:r>
          </w:p>
        </w:tc>
        <w:tc>
          <w:tcPr>
            <w:tcW w:w="900" w:type="dxa"/>
          </w:tcPr>
          <w:p w14:paraId="17419061"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494C8525" w14:textId="77777777" w:rsidR="001676C5" w:rsidRPr="000037E8" w:rsidRDefault="001676C5" w:rsidP="00A42CB6">
            <w:pPr>
              <w:pStyle w:val="TableText"/>
              <w:rPr>
                <w:rFonts w:cs="Arial"/>
                <w:szCs w:val="18"/>
              </w:rPr>
            </w:pPr>
            <w:r w:rsidRPr="000037E8">
              <w:rPr>
                <w:rFonts w:cs="Arial"/>
                <w:szCs w:val="18"/>
              </w:rPr>
              <w:t xml:space="preserve">A unit (row) antigen phenotype test, primary or repeat, is reviewed, and saved for an individual blood unit (row). </w:t>
            </w:r>
          </w:p>
          <w:p w14:paraId="179CC738" w14:textId="77777777" w:rsidR="001676C5" w:rsidRPr="000037E8" w:rsidRDefault="001676C5" w:rsidP="00A42CB6">
            <w:pPr>
              <w:pStyle w:val="TableText"/>
              <w:rPr>
                <w:rFonts w:cs="Arial"/>
                <w:szCs w:val="18"/>
              </w:rPr>
            </w:pPr>
          </w:p>
          <w:p w14:paraId="74935C99" w14:textId="77777777" w:rsidR="001676C5" w:rsidRPr="000037E8" w:rsidRDefault="001676C5" w:rsidP="00A42CB6">
            <w:pPr>
              <w:pStyle w:val="TableText"/>
              <w:rPr>
                <w:rFonts w:cs="Arial"/>
                <w:szCs w:val="18"/>
              </w:rPr>
            </w:pPr>
            <w:r w:rsidRPr="000037E8">
              <w:rPr>
                <w:rFonts w:cs="Arial"/>
                <w:szCs w:val="18"/>
              </w:rPr>
              <w:t>No special handling for workload collection for additional repeat antigen typing tests on a unit.</w:t>
            </w:r>
          </w:p>
        </w:tc>
      </w:tr>
      <w:tr w:rsidR="001676C5" w:rsidRPr="00F24972" w14:paraId="511DB2D0" w14:textId="77777777" w:rsidTr="00FA340F">
        <w:trPr>
          <w:cantSplit/>
        </w:trPr>
        <w:tc>
          <w:tcPr>
            <w:tcW w:w="1733" w:type="dxa"/>
            <w:vMerge/>
          </w:tcPr>
          <w:p w14:paraId="415BD8E8" w14:textId="77777777" w:rsidR="001676C5" w:rsidRPr="000037E8" w:rsidRDefault="001676C5" w:rsidP="00A42CB6">
            <w:pPr>
              <w:pStyle w:val="TableText"/>
              <w:rPr>
                <w:rFonts w:cs="Arial"/>
                <w:szCs w:val="18"/>
              </w:rPr>
            </w:pPr>
          </w:p>
        </w:tc>
        <w:tc>
          <w:tcPr>
            <w:tcW w:w="1592" w:type="dxa"/>
          </w:tcPr>
          <w:p w14:paraId="7B9D18BD" w14:textId="77777777" w:rsidR="001676C5" w:rsidRPr="000037E8" w:rsidRDefault="001676C5" w:rsidP="0038583A">
            <w:pPr>
              <w:pStyle w:val="TableText"/>
              <w:rPr>
                <w:rFonts w:cs="Arial"/>
                <w:snapToGrid w:val="0"/>
                <w:szCs w:val="18"/>
              </w:rPr>
            </w:pPr>
            <w:r>
              <w:rPr>
                <w:rFonts w:cs="Arial"/>
                <w:snapToGrid w:val="0"/>
                <w:szCs w:val="18"/>
              </w:rPr>
              <w:t>Invalidate unit testing, Antigen Typing</w:t>
            </w:r>
          </w:p>
        </w:tc>
        <w:tc>
          <w:tcPr>
            <w:tcW w:w="1080" w:type="dxa"/>
          </w:tcPr>
          <w:p w14:paraId="54CB1068" w14:textId="77777777" w:rsidR="001676C5" w:rsidRPr="000037E8" w:rsidRDefault="001676C5" w:rsidP="00A42CB6">
            <w:pPr>
              <w:pStyle w:val="TableText"/>
              <w:rPr>
                <w:rFonts w:cs="Arial"/>
                <w:szCs w:val="18"/>
              </w:rPr>
            </w:pPr>
            <w:r w:rsidRPr="000037E8">
              <w:rPr>
                <w:rFonts w:cs="Arial"/>
                <w:b/>
                <w:szCs w:val="18"/>
              </w:rPr>
              <w:t>Negative</w:t>
            </w:r>
          </w:p>
        </w:tc>
        <w:tc>
          <w:tcPr>
            <w:tcW w:w="900" w:type="dxa"/>
          </w:tcPr>
          <w:p w14:paraId="0D414877" w14:textId="77777777" w:rsidR="001676C5" w:rsidRPr="000037E8" w:rsidRDefault="001676C5" w:rsidP="00A42CB6">
            <w:pPr>
              <w:pStyle w:val="TableText"/>
              <w:jc w:val="center"/>
              <w:rPr>
                <w:rFonts w:cs="Arial"/>
                <w:szCs w:val="18"/>
              </w:rPr>
            </w:pPr>
            <w:r w:rsidRPr="000037E8">
              <w:rPr>
                <w:rFonts w:cs="Arial"/>
                <w:szCs w:val="18"/>
              </w:rPr>
              <w:t>U</w:t>
            </w:r>
          </w:p>
        </w:tc>
        <w:tc>
          <w:tcPr>
            <w:tcW w:w="4950" w:type="dxa"/>
          </w:tcPr>
          <w:p w14:paraId="1C85B92D" w14:textId="77777777" w:rsidR="001676C5" w:rsidRPr="000037E8" w:rsidRDefault="001676C5" w:rsidP="00A42CB6">
            <w:pPr>
              <w:pStyle w:val="TableText"/>
              <w:rPr>
                <w:rFonts w:cs="Arial"/>
                <w:szCs w:val="18"/>
              </w:rPr>
            </w:pPr>
            <w:r w:rsidRPr="000037E8">
              <w:rPr>
                <w:rFonts w:cs="Arial"/>
                <w:szCs w:val="18"/>
              </w:rPr>
              <w:t>Accrue workload when a unit antigen test is invalidated for an individual blood unit.</w:t>
            </w:r>
          </w:p>
        </w:tc>
      </w:tr>
    </w:tbl>
    <w:p w14:paraId="7B61A9A1" w14:textId="77777777" w:rsidR="0038450D" w:rsidRPr="00BC4A37" w:rsidRDefault="0038450D" w:rsidP="000037E8">
      <w:pPr>
        <w:jc w:val="center"/>
      </w:pPr>
    </w:p>
    <w:p w14:paraId="6CB57E0C" w14:textId="77777777" w:rsidR="001C498F" w:rsidRDefault="0045199E" w:rsidP="0045199E">
      <w:pPr>
        <w:rPr>
          <w:sz w:val="22"/>
          <w:szCs w:val="22"/>
        </w:rPr>
      </w:pPr>
      <w:r w:rsidRPr="004C5759">
        <w:rPr>
          <w:sz w:val="22"/>
          <w:szCs w:val="22"/>
        </w:rPr>
        <w:t xml:space="preserve">*Transaction type: Patient (P), Unit (U), Misc (M), </w:t>
      </w:r>
      <w:r w:rsidR="005A7651" w:rsidRPr="004C5759">
        <w:rPr>
          <w:sz w:val="22"/>
          <w:szCs w:val="22"/>
        </w:rPr>
        <w:t>(N/A) N</w:t>
      </w:r>
      <w:r w:rsidRPr="004C5759">
        <w:rPr>
          <w:sz w:val="22"/>
          <w:szCs w:val="22"/>
        </w:rPr>
        <w:t>o donor workload types in VBECS at this time.</w:t>
      </w:r>
    </w:p>
    <w:p w14:paraId="26133F9C" w14:textId="77777777" w:rsidR="00A9528E" w:rsidRDefault="00A9528E">
      <w:r>
        <w:br w:type="page"/>
      </w:r>
    </w:p>
    <w:p w14:paraId="09B1763E" w14:textId="2FE0C74C" w:rsidR="002A21AE" w:rsidRDefault="002A21AE" w:rsidP="008A42DA">
      <w:pPr>
        <w:pStyle w:val="Heading2"/>
      </w:pPr>
      <w:bookmarkStart w:id="668" w:name="_Toc149064224"/>
      <w:r>
        <w:t xml:space="preserve">Appendix </w:t>
      </w:r>
      <w:r w:rsidR="004E20BD">
        <w:rPr>
          <w:noProof/>
        </w:rPr>
        <w:fldChar w:fldCharType="begin"/>
      </w:r>
      <w:r w:rsidR="004E20BD">
        <w:rPr>
          <w:noProof/>
        </w:rPr>
        <w:instrText xml:space="preserve"> SEQ Appendix \* ALPHABETIC </w:instrText>
      </w:r>
      <w:r w:rsidR="004E20BD">
        <w:rPr>
          <w:noProof/>
        </w:rPr>
        <w:fldChar w:fldCharType="separate"/>
      </w:r>
      <w:r w:rsidR="00ED2D38">
        <w:rPr>
          <w:noProof/>
        </w:rPr>
        <w:t>C</w:t>
      </w:r>
      <w:r w:rsidR="004E20BD">
        <w:rPr>
          <w:noProof/>
        </w:rPr>
        <w:fldChar w:fldCharType="end"/>
      </w:r>
      <w:r>
        <w:t>: VBECS Work Flow</w:t>
      </w:r>
      <w:bookmarkEnd w:id="668"/>
      <w:r>
        <w:fldChar w:fldCharType="begin"/>
      </w:r>
      <w:r>
        <w:instrText xml:space="preserve"> XE </w:instrText>
      </w:r>
      <w:r w:rsidR="00FA7E65">
        <w:instrText>“</w:instrText>
      </w:r>
      <w:r>
        <w:instrText>VBECS Work Flow</w:instrText>
      </w:r>
      <w:r w:rsidR="00FA7E65">
        <w:instrText>”</w:instrText>
      </w:r>
      <w:r>
        <w:instrText xml:space="preserve"> </w:instrText>
      </w:r>
      <w:r>
        <w:fldChar w:fldCharType="end"/>
      </w:r>
      <w:r>
        <w:fldChar w:fldCharType="begin"/>
      </w:r>
      <w:r>
        <w:instrText xml:space="preserve"> XE </w:instrText>
      </w:r>
      <w:r w:rsidR="00FA7E65">
        <w:instrText>“</w:instrText>
      </w:r>
      <w:r>
        <w:instrText>Figures:VBECS Work Flow</w:instrText>
      </w:r>
      <w:r w:rsidR="00FA7E65">
        <w:instrText>”</w:instrText>
      </w:r>
      <w:r>
        <w:instrText xml:space="preserve"> </w:instrText>
      </w:r>
      <w:r>
        <w:fldChar w:fldCharType="end"/>
      </w:r>
    </w:p>
    <w:p w14:paraId="7811E0F1" w14:textId="782CE3B6" w:rsidR="00CF42BF" w:rsidRDefault="00C81AB4" w:rsidP="00C81AB4">
      <w:pPr>
        <w:pStyle w:val="BodyText"/>
        <w:rPr>
          <w:snapToGrid w:val="0"/>
        </w:rPr>
      </w:pPr>
      <w:r>
        <w:t>Each of the six user roles is associated with a</w:t>
      </w:r>
      <w:r>
        <w:rPr>
          <w:snapToGrid w:val="0"/>
        </w:rPr>
        <w:t xml:space="preserve"> security level (see </w:t>
      </w:r>
      <w:r w:rsidR="00EE455E">
        <w:t xml:space="preserve">Table </w:t>
      </w:r>
      <w:r w:rsidR="00EE455E">
        <w:rPr>
          <w:noProof/>
        </w:rPr>
        <w:t>1</w:t>
      </w:r>
      <w:r>
        <w:rPr>
          <w:snapToGrid w:val="0"/>
        </w:rPr>
        <w:t xml:space="preserve">). </w:t>
      </w:r>
      <w:r w:rsidR="00B439DD">
        <w:rPr>
          <w:snapToGrid w:val="0"/>
        </w:rPr>
        <w:t xml:space="preserve">Privileges </w:t>
      </w:r>
      <w:r w:rsidR="007370E3">
        <w:rPr>
          <w:snapToGrid w:val="0"/>
        </w:rPr>
        <w:t>accumulate</w:t>
      </w:r>
      <w:r w:rsidR="00B439DD">
        <w:rPr>
          <w:snapToGrid w:val="0"/>
        </w:rPr>
        <w:t xml:space="preserve"> as the security level increases. For example, a Lead Technologist’s privileges include those of a Blood Bank Technologist and Enhanced Technologist. </w:t>
      </w:r>
    </w:p>
    <w:p w14:paraId="60EF7522" w14:textId="4340C452" w:rsidR="00543C20" w:rsidRPr="00543C20" w:rsidRDefault="00CF42BF" w:rsidP="00CF42BF">
      <w:pPr>
        <w:pStyle w:val="Caption"/>
      </w:pPr>
      <w:r>
        <w:rPr>
          <w:snapToGrid w:val="0"/>
        </w:rPr>
        <w:br w:type="page"/>
      </w:r>
      <w:r w:rsidR="00543C20">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119</w:t>
      </w:r>
      <w:r w:rsidR="004E20BD">
        <w:rPr>
          <w:noProof/>
        </w:rPr>
        <w:fldChar w:fldCharType="end"/>
      </w:r>
      <w:r w:rsidR="00543C20">
        <w:t>: VBECS Work Flow (left)</w:t>
      </w:r>
    </w:p>
    <w:p w14:paraId="5D6D95A8" w14:textId="5E45608A" w:rsidR="002A21AE" w:rsidRDefault="00A03888" w:rsidP="000969E3">
      <w:pPr>
        <w:pStyle w:val="BodyText"/>
        <w:sectPr w:rsidR="002A21AE" w:rsidSect="00EE771C">
          <w:footerReference w:type="default" r:id="rId216"/>
          <w:pgSz w:w="12240" w:h="15840" w:code="1"/>
          <w:pgMar w:top="1440" w:right="1440" w:bottom="1440" w:left="1440" w:header="720" w:footer="720" w:gutter="0"/>
          <w:cols w:space="720"/>
          <w:docGrid w:linePitch="360"/>
        </w:sectPr>
      </w:pPr>
      <w:r>
        <w:object w:dxaOrig="12135" w:dyaOrig="15255" w14:anchorId="656AEEDA">
          <v:shape id="_x0000_i1032" type="#_x0000_t75" alt="VBECS Work Flow (left)" style="width:468pt;height:590.25pt" o:ole="">
            <v:imagedata r:id="rId217" o:title=""/>
          </v:shape>
          <o:OLEObject Type="Embed" ProgID="Visio.Drawing.11" ShapeID="_x0000_i1032" DrawAspect="Content" ObjectID="_1767790629" r:id="rId218"/>
        </w:object>
      </w:r>
    </w:p>
    <w:p w14:paraId="501334FB" w14:textId="573F5890" w:rsidR="00543C20" w:rsidRPr="00543C20" w:rsidRDefault="00543C20" w:rsidP="00543C20">
      <w:pPr>
        <w:pStyle w:val="Caption"/>
      </w:pPr>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120</w:t>
      </w:r>
      <w:r w:rsidR="004E20BD">
        <w:rPr>
          <w:noProof/>
        </w:rPr>
        <w:fldChar w:fldCharType="end"/>
      </w:r>
      <w:r>
        <w:t>: VBECS Work Flow (right)</w:t>
      </w:r>
    </w:p>
    <w:p w14:paraId="0BE4710E" w14:textId="3BCD1357" w:rsidR="003955C7" w:rsidRDefault="00627964" w:rsidP="000969E3">
      <w:pPr>
        <w:pStyle w:val="BodyText"/>
      </w:pPr>
      <w:r>
        <w:object w:dxaOrig="11845" w:dyaOrig="15265" w14:anchorId="525A18C8">
          <v:shape id="_x0000_i1033" type="#_x0000_t75" alt="VBECS Work Flow (right)" style="width:453.75pt;height:591pt;mso-position-vertical:absolute" o:ole="">
            <v:imagedata r:id="rId219" o:title=""/>
          </v:shape>
          <o:OLEObject Type="Embed" ProgID="Visio.Drawing.11" ShapeID="_x0000_i1033" DrawAspect="Content" ObjectID="_1767790630" r:id="rId220"/>
        </w:object>
      </w:r>
    </w:p>
    <w:p w14:paraId="6FAB0E70" w14:textId="650B186A" w:rsidR="00064E16" w:rsidRDefault="002A21AE" w:rsidP="00F97B06">
      <w:pPr>
        <w:pStyle w:val="Heading2"/>
      </w:pPr>
      <w:bookmarkStart w:id="669" w:name="_Ref402936446"/>
      <w:bookmarkStart w:id="670" w:name="_Ref496875886"/>
      <w:bookmarkStart w:id="671" w:name="_Ref4588935"/>
      <w:bookmarkStart w:id="672" w:name="_Toc149064225"/>
      <w:bookmarkStart w:id="673" w:name="_Hlk123796111"/>
      <w:r>
        <w:t>Appendix</w:t>
      </w:r>
      <w:r w:rsidR="00D56A09">
        <w:t xml:space="preserve"> D</w:t>
      </w:r>
      <w:r>
        <w:t>: Limitations</w:t>
      </w:r>
      <w:r w:rsidR="00304382">
        <w:t xml:space="preserve"> and Restrictions</w:t>
      </w:r>
      <w:bookmarkEnd w:id="669"/>
      <w:bookmarkEnd w:id="670"/>
      <w:bookmarkEnd w:id="671"/>
      <w:bookmarkEnd w:id="672"/>
      <w:r w:rsidR="00103E20">
        <w:fldChar w:fldCharType="begin"/>
      </w:r>
      <w:r w:rsidR="00103E20">
        <w:instrText xml:space="preserve"> XE "Limitations</w:instrText>
      </w:r>
      <w:r w:rsidR="00304382">
        <w:instrText xml:space="preserve"> and Restrictions</w:instrText>
      </w:r>
      <w:r w:rsidR="00103E20">
        <w:instrText xml:space="preserve">" </w:instrText>
      </w:r>
      <w:r w:rsidR="00103E20">
        <w:fldChar w:fldCharType="end"/>
      </w:r>
    </w:p>
    <w:p w14:paraId="1055CE55" w14:textId="77777777" w:rsidR="00805EFD" w:rsidRDefault="005215D6" w:rsidP="00805EFD">
      <w:pPr>
        <w:pStyle w:val="BodyText"/>
      </w:pPr>
      <w:r>
        <w:t>L</w:t>
      </w:r>
      <w:r w:rsidR="0028137A">
        <w:t xml:space="preserve">imitations and restrictions are listed by the options in which they occur. </w:t>
      </w:r>
    </w:p>
    <w:p w14:paraId="46D95F3B" w14:textId="14E8B8ED" w:rsidR="00D914A9" w:rsidRDefault="00D914A9" w:rsidP="00D914A9">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26</w:t>
      </w:r>
      <w:r w:rsidR="004E20BD">
        <w:rPr>
          <w:noProof/>
        </w:rPr>
        <w:fldChar w:fldCharType="end"/>
      </w:r>
      <w:r>
        <w:t>: Limitations</w:t>
      </w:r>
      <w:r w:rsidR="00304382">
        <w:t xml:space="preserve"> and Restrictions</w:t>
      </w: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45199A" w:rsidRPr="00D65A81" w14:paraId="27944D06" w14:textId="77777777" w:rsidTr="00543B0D">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C2737CC" w14:textId="77777777" w:rsidR="0045199A" w:rsidRPr="00EC673F" w:rsidRDefault="0045199A" w:rsidP="00543B0D">
            <w:pPr>
              <w:pStyle w:val="TableText"/>
              <w:rPr>
                <w:rFonts w:cs="Arial"/>
                <w:b/>
              </w:rPr>
            </w:pPr>
            <w:r w:rsidRPr="00EC673F">
              <w:rPr>
                <w:rFonts w:cs="Arial"/>
                <w:b/>
              </w:rPr>
              <w:t xml:space="preserve">Functions Not Supported </w:t>
            </w:r>
            <w:r w:rsidRPr="00EC673F">
              <w:rPr>
                <w:rFonts w:cs="Arial"/>
                <w:b/>
                <w:vanish/>
              </w:rPr>
              <w:t>DR 5105</w:t>
            </w:r>
          </w:p>
        </w:tc>
      </w:tr>
      <w:tr w:rsidR="0045199A" w:rsidRPr="00725902" w14:paraId="7C7CAA7E"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F5BB6B1" w14:textId="77777777" w:rsidR="0045199A" w:rsidRPr="00EC673F" w:rsidRDefault="0045199A" w:rsidP="00543B0D">
            <w:pPr>
              <w:pStyle w:val="TableText"/>
              <w:rPr>
                <w:rFonts w:cs="Arial"/>
              </w:rPr>
            </w:pPr>
            <w:r w:rsidRPr="00EC673F">
              <w:rPr>
                <w:rFonts w:cs="Arial"/>
              </w:rPr>
              <w:t>Blood donor collection activities (donor module)</w:t>
            </w:r>
          </w:p>
        </w:tc>
      </w:tr>
      <w:tr w:rsidR="0045199A" w:rsidRPr="00725902" w14:paraId="5067EA5B"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5A5B043" w14:textId="77777777" w:rsidR="0045199A" w:rsidRPr="00EC673F" w:rsidRDefault="0045199A" w:rsidP="00543B0D">
            <w:pPr>
              <w:pStyle w:val="TableText"/>
              <w:rPr>
                <w:rFonts w:cs="Arial"/>
              </w:rPr>
            </w:pPr>
            <w:r w:rsidRPr="00EC673F">
              <w:rPr>
                <w:rFonts w:cs="Arial"/>
              </w:rPr>
              <w:t>Direct data entry of antibody identification</w:t>
            </w:r>
          </w:p>
        </w:tc>
      </w:tr>
      <w:tr w:rsidR="0045199A" w:rsidRPr="00725902" w14:paraId="54BC8AA0"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D96941A" w14:textId="77777777" w:rsidR="0045199A" w:rsidRPr="00EC673F" w:rsidRDefault="0045199A" w:rsidP="00543B0D">
            <w:pPr>
              <w:pStyle w:val="TableText"/>
              <w:rPr>
                <w:rFonts w:cs="Arial"/>
              </w:rPr>
            </w:pPr>
            <w:r w:rsidRPr="00EC673F">
              <w:rPr>
                <w:rFonts w:cs="Arial"/>
              </w:rPr>
              <w:t xml:space="preserve">Direct data entry of transfusion reaction workups </w:t>
            </w:r>
          </w:p>
        </w:tc>
      </w:tr>
      <w:tr w:rsidR="0045199A" w:rsidRPr="00725902" w14:paraId="22300F7A"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01F0C84" w14:textId="77777777" w:rsidR="0045199A" w:rsidRPr="00EC673F" w:rsidRDefault="0045199A" w:rsidP="00543B0D">
            <w:pPr>
              <w:pStyle w:val="TableText"/>
              <w:rPr>
                <w:rFonts w:cs="Arial"/>
              </w:rPr>
            </w:pPr>
            <w:r w:rsidRPr="00EC673F">
              <w:rPr>
                <w:rFonts w:cs="Arial"/>
              </w:rPr>
              <w:t>Patient testing, transfusions, and blood components recorded in Legacy VistA are not available in VBECS</w:t>
            </w:r>
          </w:p>
        </w:tc>
      </w:tr>
      <w:tr w:rsidR="0045199A" w:rsidRPr="00725902" w14:paraId="16404E76"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8CE87E6" w14:textId="77777777" w:rsidR="0045199A" w:rsidRPr="00EC673F" w:rsidRDefault="0045199A" w:rsidP="00543B0D">
            <w:pPr>
              <w:pStyle w:val="TableText"/>
              <w:rPr>
                <w:rFonts w:cs="Arial"/>
              </w:rPr>
            </w:pPr>
            <w:r w:rsidRPr="00EC673F">
              <w:rPr>
                <w:rFonts w:cs="Arial"/>
              </w:rPr>
              <w:t>Pediatric blood product preparation</w:t>
            </w:r>
          </w:p>
        </w:tc>
      </w:tr>
      <w:tr w:rsidR="0045199A" w14:paraId="1BC5B984"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C0EB86B" w14:textId="77777777" w:rsidR="0045199A" w:rsidRPr="00EC673F" w:rsidRDefault="0045199A" w:rsidP="00543B0D">
            <w:pPr>
              <w:pStyle w:val="TableText"/>
              <w:rPr>
                <w:rFonts w:cs="Arial"/>
              </w:rPr>
            </w:pPr>
            <w:r w:rsidRPr="00EC673F">
              <w:rPr>
                <w:rFonts w:cs="Arial"/>
              </w:rPr>
              <w:t>Printing of blood product labels</w:t>
            </w:r>
          </w:p>
        </w:tc>
      </w:tr>
      <w:tr w:rsidR="0045199A" w:rsidRPr="009B07A5" w14:paraId="164FE586"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B6AABDD" w14:textId="77777777" w:rsidR="0045199A" w:rsidRPr="00EC673F" w:rsidRDefault="0045199A" w:rsidP="00543B0D">
            <w:pPr>
              <w:pStyle w:val="TableText"/>
              <w:rPr>
                <w:rFonts w:cs="Arial"/>
                <w:sz w:val="22"/>
                <w:szCs w:val="22"/>
              </w:rPr>
            </w:pPr>
            <w:r w:rsidRPr="00EC673F">
              <w:rPr>
                <w:rFonts w:cs="Arial"/>
              </w:rPr>
              <w:t>User defined customized queries or reports</w:t>
            </w:r>
          </w:p>
        </w:tc>
      </w:tr>
      <w:tr w:rsidR="0045199A" w:rsidRPr="00F358AF" w14:paraId="32938162" w14:textId="77777777" w:rsidTr="006F799E">
        <w:trPr>
          <w:cantSplit/>
          <w:trHeight w:val="216"/>
        </w:trPr>
        <w:tc>
          <w:tcPr>
            <w:tcW w:w="9360" w:type="dxa"/>
            <w:tcBorders>
              <w:top w:val="single" w:sz="6" w:space="0" w:color="000000"/>
              <w:left w:val="single" w:sz="6" w:space="0" w:color="000000"/>
              <w:bottom w:val="single" w:sz="6" w:space="0" w:color="000000"/>
              <w:right w:val="single" w:sz="6" w:space="0" w:color="000000"/>
            </w:tcBorders>
            <w:vAlign w:val="bottom"/>
          </w:tcPr>
          <w:p w14:paraId="12250DEA" w14:textId="77777777" w:rsidR="0045199A" w:rsidRPr="00EC673F" w:rsidRDefault="0045199A" w:rsidP="00543B0D">
            <w:pPr>
              <w:pStyle w:val="TableText"/>
              <w:rPr>
                <w:rFonts w:cs="Arial"/>
              </w:rPr>
            </w:pPr>
            <w:r w:rsidRPr="00EC673F">
              <w:rPr>
                <w:rFonts w:cs="Arial"/>
              </w:rPr>
              <w:t>User editing blood product, antigen, antibody, or transfusion reaction tables</w:t>
            </w:r>
          </w:p>
        </w:tc>
      </w:tr>
      <w:tr w:rsidR="0045199A" w:rsidRPr="00725902" w14:paraId="6118218C" w14:textId="77777777" w:rsidTr="00543B0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D748FE" w14:textId="77777777" w:rsidR="0045199A" w:rsidRPr="00EC673F" w:rsidRDefault="0045199A" w:rsidP="00543B0D">
            <w:pPr>
              <w:pStyle w:val="TableText"/>
              <w:rPr>
                <w:rFonts w:cs="Arial"/>
              </w:rPr>
            </w:pPr>
            <w:r w:rsidRPr="00EC673F">
              <w:rPr>
                <w:rFonts w:cs="Arial"/>
              </w:rPr>
              <w:t>Validation record storage</w:t>
            </w:r>
          </w:p>
        </w:tc>
      </w:tr>
    </w:tbl>
    <w:p w14:paraId="75CBD990" w14:textId="77777777" w:rsidR="0045199A" w:rsidRPr="0045199A" w:rsidRDefault="0045199A" w:rsidP="0045199A">
      <w:pPr>
        <w:pStyle w:val="BodyText"/>
        <w:spacing w:after="0"/>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896" w14:paraId="7B1BC80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866641F" w14:textId="77777777" w:rsidR="003F0440" w:rsidRPr="00D01896" w:rsidRDefault="003F0440" w:rsidP="002D126B">
            <w:pPr>
              <w:pStyle w:val="TableText"/>
              <w:rPr>
                <w:b/>
              </w:rPr>
            </w:pPr>
            <w:r>
              <w:rPr>
                <w:b/>
              </w:rPr>
              <w:t>Throughout VBECS</w:t>
            </w:r>
          </w:p>
        </w:tc>
      </w:tr>
      <w:tr w:rsidR="003F0440" w:rsidRPr="00725902" w14:paraId="4B38469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3D4F141" w14:textId="77777777" w:rsidR="003F0440" w:rsidRDefault="003F0440" w:rsidP="002D126B">
            <w:pPr>
              <w:pStyle w:val="TableText"/>
            </w:pPr>
            <w:r>
              <w:t xml:space="preserve">After entering a canned or free-text comment in the testing comment field of the testing grid, the user must press </w:t>
            </w:r>
            <w:r w:rsidRPr="00E755C0">
              <w:rPr>
                <w:b/>
              </w:rPr>
              <w:t>Enter</w:t>
            </w:r>
            <w:r>
              <w:t xml:space="preserve"> to store the comment.</w:t>
            </w:r>
          </w:p>
        </w:tc>
      </w:tr>
      <w:tr w:rsidR="00096EDC" w:rsidRPr="00696FA6" w14:paraId="3BCE4DF7"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8FA0CEA" w14:textId="77777777" w:rsidR="00096EDC" w:rsidRPr="00696FA6" w:rsidRDefault="00096EDC" w:rsidP="002D126B">
            <w:pPr>
              <w:pStyle w:val="TableText"/>
            </w:pPr>
            <w:r>
              <w:t>Although t</w:t>
            </w:r>
            <w:r w:rsidRPr="002B06B2">
              <w:t>he copy-and-paste function is enabled</w:t>
            </w:r>
            <w:r>
              <w:t>, do</w:t>
            </w:r>
            <w:r w:rsidRPr="002B06B2">
              <w:t xml:space="preserve"> not use it to enter patient identification information. </w:t>
            </w:r>
            <w:r>
              <w:t>It is highly</w:t>
            </w:r>
            <w:r w:rsidRPr="002B06B2">
              <w:t xml:space="preserve"> recommend</w:t>
            </w:r>
            <w:r>
              <w:t>ed</w:t>
            </w:r>
            <w:r w:rsidRPr="002B06B2">
              <w:t xml:space="preserve"> that the user scan this information when possible</w:t>
            </w:r>
            <w:r>
              <w:t>;</w:t>
            </w:r>
            <w:r w:rsidRPr="002B06B2">
              <w:t xml:space="preserve"> otherwise</w:t>
            </w:r>
            <w:r>
              <w:t xml:space="preserve">, enter it </w:t>
            </w:r>
            <w:r w:rsidRPr="002B06B2">
              <w:rPr>
                <w:vanish/>
              </w:rPr>
              <w:t>(DR 2,519)</w:t>
            </w:r>
            <w:r w:rsidRPr="002B06B2">
              <w:t>.</w:t>
            </w:r>
          </w:p>
        </w:tc>
      </w:tr>
      <w:tr w:rsidR="00F5220A" w:rsidRPr="00696FA6" w14:paraId="20C0B76A" w14:textId="77777777" w:rsidTr="00A952DB">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02E069F" w14:textId="3F93C265" w:rsidR="00F5220A" w:rsidRPr="00696FA6" w:rsidRDefault="00F5220A" w:rsidP="00A952DB">
            <w:pPr>
              <w:pStyle w:val="TableText"/>
            </w:pPr>
            <w:r w:rsidRPr="00696FA6">
              <w:t xml:space="preserve">Data retrieval from VBECS is </w:t>
            </w:r>
            <w:r w:rsidR="00FB34BB">
              <w:t xml:space="preserve">only </w:t>
            </w:r>
            <w:r w:rsidRPr="00696FA6">
              <w:t xml:space="preserve">available </w:t>
            </w:r>
            <w:r w:rsidR="00FB34BB">
              <w:t>with project approval.</w:t>
            </w:r>
            <w:r w:rsidR="00D92F28">
              <w:t xml:space="preserve"> </w:t>
            </w:r>
            <w:r w:rsidR="00D92F28" w:rsidRPr="00D92F28">
              <w:rPr>
                <w:vanish/>
              </w:rPr>
              <w:t>Task 190402</w:t>
            </w:r>
          </w:p>
        </w:tc>
      </w:tr>
      <w:tr w:rsidR="003F0440" w:rsidRPr="00696FA6" w14:paraId="1A20ADD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491D837" w14:textId="4E570005" w:rsidR="003F0440" w:rsidRPr="00696FA6" w:rsidRDefault="00F5220A" w:rsidP="002D126B">
            <w:pPr>
              <w:pStyle w:val="TableText"/>
            </w:pPr>
            <w:r w:rsidRPr="00F5220A">
              <w:t xml:space="preserve">The </w:t>
            </w:r>
            <w:r w:rsidR="00D92F28">
              <w:t xml:space="preserve">report </w:t>
            </w:r>
            <w:r w:rsidRPr="00F5220A">
              <w:t xml:space="preserve">data </w:t>
            </w:r>
            <w:r w:rsidR="00D92F28">
              <w:t xml:space="preserve">that is </w:t>
            </w:r>
            <w:r w:rsidRPr="00F5220A">
              <w:t>output from VBECS is not controlled by the medical device and must be strictly regulated by local facility personnel. Many of the reports contain patient sensitive information and must be treated as such. Use of the exported reports, including alteration of data, is the responsibility of the user.</w:t>
            </w:r>
          </w:p>
        </w:tc>
      </w:tr>
      <w:tr w:rsidR="00F5220A" w:rsidRPr="00696FA6" w14:paraId="22E82E3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2CB78DB" w14:textId="17057D2F" w:rsidR="00F5220A" w:rsidRPr="00F5220A" w:rsidRDefault="00F5220A" w:rsidP="002D126B">
            <w:pPr>
              <w:pStyle w:val="TableText"/>
            </w:pPr>
            <w:r w:rsidRPr="00F5220A">
              <w:t>Patient names in VistA that exceed the database standard for File #2 (30 characters) or do not have a last name do not convert to VBECS.</w:t>
            </w:r>
          </w:p>
        </w:tc>
      </w:tr>
      <w:tr w:rsidR="003F0440" w:rsidRPr="00696FA6" w14:paraId="078D60EB"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2BAE919" w14:textId="77777777" w:rsidR="003F0440" w:rsidRPr="00696FA6" w:rsidRDefault="003F0440" w:rsidP="002D126B">
            <w:pPr>
              <w:pStyle w:val="TableText"/>
            </w:pPr>
            <w:r w:rsidRPr="00696FA6">
              <w:t xml:space="preserve">Information may not be transferred from one window to another without refreshing the screen. When a window is partially displayed or freezes; or when you move from one window to another, enter information, return to the original window, and the entered information is not available, minimize then maximize the window to refresh it. </w:t>
            </w:r>
            <w:r w:rsidRPr="00A10483">
              <w:rPr>
                <w:vanish/>
                <w:szCs w:val="18"/>
              </w:rPr>
              <w:t>UserDoc Task 1086</w:t>
            </w:r>
          </w:p>
        </w:tc>
      </w:tr>
      <w:tr w:rsidR="00F5220A" w:rsidRPr="00696FA6" w14:paraId="664CCA73" w14:textId="77777777" w:rsidTr="00007BBA">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tcPr>
          <w:p w14:paraId="182BE069" w14:textId="63683A47" w:rsidR="00F5220A" w:rsidRPr="00696FA6" w:rsidRDefault="00F5220A" w:rsidP="00F5220A">
            <w:pPr>
              <w:pStyle w:val="TableText"/>
            </w:pPr>
            <w:r w:rsidRPr="00734A95">
              <w:t>A maximized window cannot be resized or moved.</w:t>
            </w:r>
          </w:p>
        </w:tc>
      </w:tr>
      <w:tr w:rsidR="00F5220A" w:rsidRPr="00696FA6" w14:paraId="332A0C49" w14:textId="77777777" w:rsidTr="00103074">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tcPr>
          <w:p w14:paraId="367EA26D" w14:textId="4F23E026" w:rsidR="00F5220A" w:rsidRPr="00F5220A" w:rsidRDefault="00F5220A" w:rsidP="00F5220A">
            <w:pPr>
              <w:pStyle w:val="TableText"/>
            </w:pPr>
            <w:r w:rsidRPr="00E630A6">
              <w:t>Keyboard navigation of VBECS does not accommodate the presentation of error providers or tool tips. A mouse is required to reveal this information as needed.</w:t>
            </w:r>
            <w:r>
              <w:rPr>
                <w:vanish/>
              </w:rPr>
              <w:t xml:space="preserve"> DR 3590</w:t>
            </w:r>
          </w:p>
        </w:tc>
      </w:tr>
      <w:tr w:rsidR="003F0440" w:rsidRPr="00696FA6" w14:paraId="03FE51DB"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5CBBC29" w14:textId="77777777" w:rsidR="003F0440" w:rsidRPr="00696FA6" w:rsidRDefault="003F0440" w:rsidP="002D126B">
            <w:pPr>
              <w:pStyle w:val="TableText"/>
            </w:pPr>
            <w:r w:rsidRPr="00696FA6">
              <w:t>Initial blood orders must be placed in CPRS. Tests and products may be added to existing orders in VBECS.</w:t>
            </w:r>
          </w:p>
        </w:tc>
      </w:tr>
      <w:tr w:rsidR="00F5220A" w:rsidRPr="00696FA6" w14:paraId="276F651D" w14:textId="77777777" w:rsidTr="00A952DB">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E63D858" w14:textId="77777777" w:rsidR="00F5220A" w:rsidRPr="00F5220A" w:rsidRDefault="00F5220A" w:rsidP="00A952DB">
            <w:pPr>
              <w:pStyle w:val="TableText"/>
            </w:pPr>
            <w:r w:rsidRPr="00F5220A">
              <w:t>Set the local machine’s desktop resolution to 1024 by 768 pixels or higher for optimal display. Failure to maintain these settings may result in partial display of safety-critical information.</w:t>
            </w:r>
            <w:r>
              <w:rPr>
                <w:vanish/>
              </w:rPr>
              <w:t xml:space="preserve"> DR 3738</w:t>
            </w:r>
          </w:p>
        </w:tc>
      </w:tr>
      <w:tr w:rsidR="00A51F68" w:rsidRPr="00696FA6" w14:paraId="7E30E23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6CD5489" w14:textId="77777777" w:rsidR="00A51F68" w:rsidRPr="00AF0F0D" w:rsidRDefault="00A51F68" w:rsidP="002D126B">
            <w:pPr>
              <w:pStyle w:val="TableText"/>
            </w:pPr>
            <w:r w:rsidRPr="00AF0F0D">
              <w:t>The date and time displayed in VBECS depend on the date and time set on the server. Sites are not notified when an administrator changes the date or time on the server. Users must contact their System Administrator when the date or time is incorrect.</w:t>
            </w:r>
          </w:p>
        </w:tc>
      </w:tr>
      <w:tr w:rsidR="003F0440" w:rsidRPr="00696FA6" w14:paraId="7CC0635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464092A" w14:textId="77777777" w:rsidR="003F0440" w:rsidRPr="00696FA6" w:rsidRDefault="003F0440" w:rsidP="002D126B">
            <w:pPr>
              <w:pStyle w:val="TableText"/>
            </w:pPr>
            <w:r w:rsidRPr="00696FA6">
              <w:t>VBECS depends on a connection to VistA and CPRS to retrieve patient information and orders, respectively.</w:t>
            </w:r>
          </w:p>
        </w:tc>
      </w:tr>
      <w:tr w:rsidR="003F0440" w:rsidRPr="00696FA6" w14:paraId="38221558"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B05E64" w14:textId="77777777" w:rsidR="003F0440" w:rsidRPr="00696FA6" w:rsidRDefault="003F0440" w:rsidP="002D126B">
            <w:pPr>
              <w:pStyle w:val="TableText"/>
            </w:pPr>
            <w:r w:rsidRPr="00696FA6">
              <w:t xml:space="preserve">When a message window requires a user response and VBECS displays it behind the active window, the user must minimize the active window or click and drag dialog boxes to expose the message window. </w:t>
            </w:r>
          </w:p>
        </w:tc>
      </w:tr>
      <w:tr w:rsidR="003F0440" w:rsidRPr="00696FA6" w14:paraId="373224C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E99A3EB" w14:textId="77777777" w:rsidR="003F0440" w:rsidRPr="00696FA6" w:rsidRDefault="003F0440" w:rsidP="002D126B">
            <w:pPr>
              <w:pStyle w:val="TableText"/>
            </w:pPr>
            <w:r w:rsidRPr="00696FA6">
              <w:t>When the default screen resolution is changed, division or VistALink information may not be entirely visible.</w:t>
            </w:r>
          </w:p>
        </w:tc>
      </w:tr>
      <w:tr w:rsidR="003F0440" w:rsidRPr="00C05FB7" w14:paraId="79CF76F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9B96E76" w14:textId="77777777" w:rsidR="003F0440" w:rsidRPr="00C05FB7" w:rsidRDefault="003F0440" w:rsidP="002D126B">
            <w:pPr>
              <w:pStyle w:val="TableText"/>
              <w:rPr>
                <w:b/>
              </w:rPr>
            </w:pPr>
            <w:r>
              <w:t xml:space="preserve">When the user does not enter a full or partial unit ID and clicks the </w:t>
            </w:r>
            <w:r w:rsidR="00A6373D">
              <w:rPr>
                <w:b/>
              </w:rPr>
              <w:t>find</w:t>
            </w:r>
            <w:r>
              <w:t xml:space="preserve"> button in the Unit Search Screen, response time will vary based on the size of the database.</w:t>
            </w:r>
          </w:p>
        </w:tc>
      </w:tr>
    </w:tbl>
    <w:p w14:paraId="2714A4C0" w14:textId="77777777" w:rsidR="00EE4091" w:rsidRDefault="00EE4091"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5FB7" w14:paraId="7B65565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B5B81E" w14:textId="77777777" w:rsidR="003F0440" w:rsidRPr="00C05FB7" w:rsidRDefault="003F0440" w:rsidP="002D126B">
            <w:pPr>
              <w:pStyle w:val="TableText"/>
              <w:rPr>
                <w:b/>
              </w:rPr>
            </w:pPr>
            <w:r w:rsidRPr="00C05FB7">
              <w:rPr>
                <w:b/>
              </w:rPr>
              <w:t>ABO/Rh Confirmation</w:t>
            </w:r>
          </w:p>
        </w:tc>
      </w:tr>
      <w:tr w:rsidR="001C6E63" w:rsidRPr="00725902" w14:paraId="3959FF62"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79AE9368" w14:textId="1061A576" w:rsidR="001C6E63" w:rsidRDefault="00B712FD" w:rsidP="002D126B">
            <w:pPr>
              <w:pStyle w:val="TableText"/>
              <w:rPr>
                <w:rFonts w:cs="Arial"/>
                <w:vanish/>
              </w:rPr>
            </w:pPr>
            <w:r w:rsidRPr="00164B44">
              <w:rPr>
                <w:vanish/>
              </w:rPr>
              <w:t xml:space="preserve">BR_41.32 </w:t>
            </w:r>
            <w:r w:rsidR="001C6E63">
              <w:rPr>
                <w:rFonts w:cs="Arial"/>
              </w:rPr>
              <w:t>This option is disabled for transfusion-only facilities.</w:t>
            </w:r>
          </w:p>
        </w:tc>
      </w:tr>
      <w:tr w:rsidR="003F0440" w:rsidRPr="00725902" w14:paraId="4216571B"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4CA71D28" w14:textId="77777777" w:rsidR="003F0440" w:rsidRPr="00725902" w:rsidRDefault="003F0440" w:rsidP="002D126B">
            <w:pPr>
              <w:pStyle w:val="TableText"/>
            </w:pPr>
            <w:r>
              <w:rPr>
                <w:rFonts w:cs="Arial"/>
                <w:vanish/>
              </w:rPr>
              <w:t xml:space="preserve">BR_2.04 </w:t>
            </w:r>
            <w:r w:rsidR="007D535F">
              <w:t>When building a worklist by invoice number, only invoiced units not previously tested and confirmed appear on the worklist. The user may deselect or add additional units.</w:t>
            </w:r>
          </w:p>
        </w:tc>
      </w:tr>
      <w:tr w:rsidR="003F0440" w:rsidRPr="00725902" w14:paraId="3C7C7872"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6E187CE6" w14:textId="77777777" w:rsidR="003F0440" w:rsidRPr="00725902" w:rsidRDefault="003F0440" w:rsidP="002D126B">
            <w:pPr>
              <w:pStyle w:val="TableText"/>
            </w:pPr>
            <w:r>
              <w:rPr>
                <w:rFonts w:cs="Arial"/>
                <w:vanish/>
              </w:rPr>
              <w:t xml:space="preserve">BR_27.09 </w:t>
            </w:r>
            <w:r>
              <w:t xml:space="preserve">For batch processing, </w:t>
            </w:r>
            <w:r w:rsidR="000E5D74">
              <w:t xml:space="preserve">the user can select </w:t>
            </w:r>
            <w:r>
              <w:t xml:space="preserve">incoming shipment invoices from </w:t>
            </w:r>
            <w:r w:rsidR="000E5D74">
              <w:t xml:space="preserve">his division, processed within </w:t>
            </w:r>
            <w:r>
              <w:t>the previous five days</w:t>
            </w:r>
            <w:r w:rsidRPr="008631E9">
              <w:t>.</w:t>
            </w:r>
          </w:p>
        </w:tc>
      </w:tr>
      <w:tr w:rsidR="003F0440" w:rsidRPr="00725902" w14:paraId="4D13C4B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E256EAE" w14:textId="77777777" w:rsidR="003F0440" w:rsidRPr="00725902" w:rsidRDefault="003F0440" w:rsidP="002D126B">
            <w:pPr>
              <w:pStyle w:val="TableText"/>
            </w:pPr>
            <w:r>
              <w:t xml:space="preserve">VBECS does not display product </w:t>
            </w:r>
            <w:r w:rsidRPr="008631E9">
              <w:t>code</w:t>
            </w:r>
            <w:r>
              <w:t xml:space="preserve">s associated with unit IDs in ABO/Rh Confirmation. Therefore, do not create ABO/Rh confirmation worklists containing units with the same unit ID. </w:t>
            </w:r>
          </w:p>
        </w:tc>
      </w:tr>
      <w:tr w:rsidR="001C6E63" w:rsidRPr="00725902" w14:paraId="3B5FE55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6E0FC6" w14:textId="159269A6" w:rsidR="001C6E63" w:rsidRDefault="001C6E63" w:rsidP="002D126B">
            <w:pPr>
              <w:pStyle w:val="TableText"/>
            </w:pPr>
            <w:r>
              <w:t>POOLED GRANULOCYTES</w:t>
            </w:r>
            <w:r w:rsidR="00082DBB" w:rsidRPr="00C60EBB">
              <w:rPr>
                <w:vanish/>
              </w:rPr>
              <w:t xml:space="preserve">(ICCBBA Component Class E036) </w:t>
            </w:r>
            <w:r>
              <w:t xml:space="preserve"> </w:t>
            </w:r>
            <w:r w:rsidR="003D1470">
              <w:t xml:space="preserve">labeled </w:t>
            </w:r>
            <w:r w:rsidR="003D1470" w:rsidRPr="00D12C95">
              <w:t>with an Rh type of “Pooled” is considered an Rh Positive unit which does not require confirmation testing.</w:t>
            </w:r>
          </w:p>
        </w:tc>
      </w:tr>
      <w:tr w:rsidR="001C6E63" w:rsidRPr="00725902" w14:paraId="31962ED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EEF0BB" w14:textId="2CEBB5C9" w:rsidR="001C6E63" w:rsidRDefault="003D1470" w:rsidP="002D126B">
            <w:pPr>
              <w:pStyle w:val="TableText"/>
            </w:pPr>
            <w:r>
              <w:t xml:space="preserve">POOLED GRANULOCYTES </w:t>
            </w:r>
            <w:r w:rsidR="00082DBB" w:rsidRPr="00C60EBB">
              <w:rPr>
                <w:vanish/>
              </w:rPr>
              <w:t xml:space="preserve">(ICCBBA Component Class E036) </w:t>
            </w:r>
            <w:r>
              <w:t xml:space="preserve">labeled </w:t>
            </w:r>
            <w:r w:rsidRPr="00D12C95">
              <w:t>with an</w:t>
            </w:r>
            <w:r>
              <w:t xml:space="preserve"> </w:t>
            </w:r>
            <w:r w:rsidRPr="00E44A83">
              <w:t>ABO group of “Pooled” cannot be confirmed. A blood component unit received as “POOLED ABO” will have to be transfused using the Supervisory option, Document ABO Incompatible Transfusion.</w:t>
            </w:r>
          </w:p>
        </w:tc>
      </w:tr>
      <w:tr w:rsidR="003E0483" w:rsidRPr="00725902" w14:paraId="2017991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453538" w14:textId="0B763E45" w:rsidR="003E0483" w:rsidRDefault="003E0483" w:rsidP="002D126B">
            <w:pPr>
              <w:pStyle w:val="TableText"/>
            </w:pPr>
            <w:r>
              <w:t xml:space="preserve">Patient assignment is not released </w:t>
            </w:r>
            <w:r w:rsidRPr="00B26970">
              <w:rPr>
                <w:rFonts w:cs="Arial"/>
                <w:szCs w:val="18"/>
              </w:rPr>
              <w:t>automatically when a unit is quarantined due to discrepant ABO/Rh retype testing.</w:t>
            </w:r>
            <w:r>
              <w:rPr>
                <w:rFonts w:cs="Arial"/>
                <w:szCs w:val="18"/>
              </w:rPr>
              <w:t xml:space="preserve"> </w:t>
            </w:r>
            <w:r w:rsidRPr="00B26970">
              <w:rPr>
                <w:rFonts w:cs="Arial"/>
                <w:szCs w:val="18"/>
              </w:rPr>
              <w:t xml:space="preserve">The unit is quarantined and cannot be selected for a different patient or issued for </w:t>
            </w:r>
            <w:r>
              <w:rPr>
                <w:rFonts w:cs="Arial"/>
                <w:szCs w:val="18"/>
              </w:rPr>
              <w:t>the current</w:t>
            </w:r>
            <w:r w:rsidRPr="00B26970">
              <w:rPr>
                <w:rFonts w:cs="Arial"/>
                <w:szCs w:val="18"/>
              </w:rPr>
              <w:t xml:space="preserve"> patient.</w:t>
            </w:r>
            <w:r>
              <w:rPr>
                <w:rFonts w:cs="Arial"/>
                <w:szCs w:val="18"/>
              </w:rPr>
              <w:t xml:space="preserve"> Quarantined units are clearly marked in VBECS and cannot be issued.</w:t>
            </w:r>
            <w:r w:rsidR="00EF7C8A">
              <w:rPr>
                <w:rFonts w:cs="Arial"/>
                <w:szCs w:val="18"/>
              </w:rPr>
              <w:t xml:space="preserve"> </w:t>
            </w:r>
            <w:r w:rsidR="00EF7C8A" w:rsidRPr="00EF7C8A">
              <w:rPr>
                <w:rFonts w:cs="Arial"/>
                <w:vanish/>
                <w:szCs w:val="18"/>
              </w:rPr>
              <w:t>Task 213499</w:t>
            </w:r>
          </w:p>
        </w:tc>
      </w:tr>
    </w:tbl>
    <w:p w14:paraId="6990DAEE" w14:textId="77777777" w:rsidR="00BF4964" w:rsidRDefault="00BF4964"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023AD" w14:paraId="2B563E9E"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52BC5F5" w14:textId="77777777" w:rsidR="003F0440" w:rsidRPr="007023AD" w:rsidRDefault="003F0440" w:rsidP="002D126B">
            <w:pPr>
              <w:pStyle w:val="TableText"/>
              <w:rPr>
                <w:b/>
              </w:rPr>
            </w:pPr>
            <w:r w:rsidRPr="007023AD">
              <w:rPr>
                <w:b/>
              </w:rPr>
              <w:t xml:space="preserve">Accept Orders: Accept an Order </w:t>
            </w:r>
          </w:p>
        </w:tc>
      </w:tr>
      <w:tr w:rsidR="00C4014D" w:rsidRPr="00725902" w14:paraId="553B4D5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ACFB8E" w14:textId="77777777" w:rsidR="00C4014D" w:rsidRDefault="007B38A2" w:rsidP="002D126B">
            <w:pPr>
              <w:pStyle w:val="TableText"/>
            </w:pPr>
            <w:r>
              <w:t>An order for TAS must be accepted before the component order if the user wants to include the component request to the Inappropriate Transfusion Request Report. Accepting the TAS after the component order is marked inappropriate and accepted clears the user’s indication that this is an inappropriate request</w:t>
            </w:r>
            <w:r w:rsidR="00C425B6">
              <w:t xml:space="preserve">. </w:t>
            </w:r>
            <w:r w:rsidR="00C425B6" w:rsidRPr="00C425B6">
              <w:rPr>
                <w:vanish/>
              </w:rPr>
              <w:t>DR 4854</w:t>
            </w:r>
          </w:p>
        </w:tc>
      </w:tr>
      <w:tr w:rsidR="003F0440" w:rsidRPr="00725902" w14:paraId="04D335F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135C92" w14:textId="1874E47F" w:rsidR="003F0440" w:rsidRDefault="003F0440" w:rsidP="002D126B">
            <w:pPr>
              <w:pStyle w:val="TableText"/>
            </w:pPr>
            <w:r>
              <w:t xml:space="preserve">When no CPRS order exists, the user </w:t>
            </w:r>
            <w:r w:rsidR="00082DBB">
              <w:t>processes</w:t>
            </w:r>
            <w:r>
              <w:t xml:space="preserve"> the specimen offline.</w:t>
            </w:r>
            <w:r w:rsidR="0050322E">
              <w:t xml:space="preserve"> The emergency order check box is not enabled unless there is a CPRS order and a patient specimen accessioned in VistA. If necessary, process the emergency issue of units</w:t>
            </w:r>
            <w:r w:rsidR="00850DE6">
              <w:t xml:space="preserve"> manually, per local policy, until the specimen is received and accessioned. </w:t>
            </w:r>
            <w:r w:rsidR="00850DE6" w:rsidRPr="00850DE6">
              <w:rPr>
                <w:vanish/>
              </w:rPr>
              <w:t>Defect 2</w:t>
            </w:r>
            <w:r w:rsidR="005D686E">
              <w:rPr>
                <w:vanish/>
              </w:rPr>
              <w:t>13679</w:t>
            </w:r>
          </w:p>
        </w:tc>
      </w:tr>
      <w:tr w:rsidR="009E2EF4" w:rsidRPr="00725902" w14:paraId="7F7A548E"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35C91D6B" w14:textId="77777777" w:rsidR="009E2EF4" w:rsidRDefault="009E2EF4" w:rsidP="009E2EF4">
            <w:pPr>
              <w:pStyle w:val="TableText"/>
            </w:pPr>
            <w:r w:rsidRPr="009E2EF4">
              <w:rPr>
                <w:vanish/>
              </w:rPr>
              <w:t>DR 2,811</w:t>
            </w:r>
            <w:r>
              <w:t>The user must accept the Type &amp; Screen (TAS) before he accepts other diagnostic tests or component orders.</w:t>
            </w:r>
          </w:p>
        </w:tc>
      </w:tr>
      <w:tr w:rsidR="009E2EF4" w:rsidRPr="00725902" w14:paraId="1E44ACA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30ABEC1" w14:textId="77777777" w:rsidR="009E2EF4" w:rsidRDefault="009E2EF4" w:rsidP="009E2EF4">
            <w:pPr>
              <w:pStyle w:val="TableText"/>
            </w:pPr>
            <w:r>
              <w:t>T</w:t>
            </w:r>
            <w:r w:rsidRPr="00AB4ABB">
              <w:t>he</w:t>
            </w:r>
            <w:r>
              <w:t xml:space="preserve"> user cannot click </w:t>
            </w:r>
            <w:r w:rsidR="00057948">
              <w:rPr>
                <w:noProof/>
              </w:rPr>
              <w:drawing>
                <wp:inline distT="0" distB="0" distL="0" distR="0" wp14:anchorId="65758699" wp14:editId="1E25FBAF">
                  <wp:extent cx="156845" cy="156845"/>
                  <wp:effectExtent l="0" t="0" r="0" b="0"/>
                  <wp:docPr id="272" name="Picture 272" descr="Restricted or Assigned Uni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Restricted or Assigned Units icon"/>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t xml:space="preserve"> (Restricted or Assigned Units) to access information on autologous or directed units that may be restricted to a patient.</w:t>
            </w:r>
          </w:p>
        </w:tc>
      </w:tr>
      <w:tr w:rsidR="001C50C2" w:rsidRPr="00725902" w14:paraId="447EED2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B9F975F" w14:textId="576E9575" w:rsidR="001C50C2" w:rsidRDefault="0055788D" w:rsidP="009C1EBC">
            <w:pPr>
              <w:pStyle w:val="TableText"/>
            </w:pPr>
            <w:r>
              <w:t>Orders placed for patient</w:t>
            </w:r>
            <w:r w:rsidR="001C50C2" w:rsidRPr="00DD022C">
              <w:t>s with names that exceed the database standard for File #2 (30 characters) or do not have a last name in VistA are rejected and do not appear in VBECS. The VBECS System Administrator is notified of each rejection via an email to the address entered in VBECS Administrator “</w:t>
            </w:r>
            <w:r w:rsidR="009C1EBC">
              <w:t>Email Alerts</w:t>
            </w:r>
            <w:r w:rsidR="001C50C2" w:rsidRPr="00DD022C">
              <w:t>” field.</w:t>
            </w:r>
          </w:p>
        </w:tc>
      </w:tr>
    </w:tbl>
    <w:p w14:paraId="45B2B701" w14:textId="77777777" w:rsidR="00BA0F42" w:rsidRDefault="00BA0F42"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AF5480" w14:paraId="0EECDA9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4237282" w14:textId="77777777" w:rsidR="003F0440" w:rsidRPr="00AF5480" w:rsidRDefault="003F0440" w:rsidP="002D126B">
            <w:pPr>
              <w:pStyle w:val="TableText"/>
              <w:rPr>
                <w:b/>
              </w:rPr>
            </w:pPr>
            <w:r w:rsidRPr="00AF5480">
              <w:rPr>
                <w:b/>
              </w:rPr>
              <w:t>Accept Orders: Cancel a Pending Order</w:t>
            </w:r>
          </w:p>
        </w:tc>
      </w:tr>
      <w:tr w:rsidR="003F0440" w:rsidRPr="00725902" w14:paraId="506CABD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F89B189" w14:textId="77777777" w:rsidR="003F0440" w:rsidRDefault="003F0440" w:rsidP="002D126B">
            <w:pPr>
              <w:pStyle w:val="TableText"/>
            </w:pPr>
            <w:r>
              <w:t>Cancellation of one order does not affect other orders placed with it.</w:t>
            </w:r>
          </w:p>
        </w:tc>
      </w:tr>
    </w:tbl>
    <w:p w14:paraId="74090D20" w14:textId="4F940187" w:rsidR="00850DE6" w:rsidRDefault="00850DE6" w:rsidP="00BF4964">
      <w:pPr>
        <w:pStyle w:val="TableText"/>
      </w:pPr>
    </w:p>
    <w:p w14:paraId="7C0B64FE" w14:textId="77777777" w:rsidR="00850DE6" w:rsidRDefault="00850DE6">
      <w:pPr>
        <w:rPr>
          <w:rFonts w:ascii="Arial" w:hAnsi="Arial"/>
          <w:sz w:val="18"/>
        </w:rPr>
      </w:pPr>
      <w:r>
        <w:br w:type="page"/>
      </w:r>
    </w:p>
    <w:p w14:paraId="76A5BEC2" w14:textId="77777777" w:rsidR="00BF4964" w:rsidRDefault="00BF4964" w:rsidP="00BF4964">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pct25" w:color="auto" w:fill="auto"/>
        <w:tblLayout w:type="fixed"/>
        <w:tblCellMar>
          <w:top w:w="60" w:type="dxa"/>
          <w:left w:w="60" w:type="dxa"/>
          <w:bottom w:w="60" w:type="dxa"/>
          <w:right w:w="60" w:type="dxa"/>
        </w:tblCellMar>
        <w:tblLook w:val="0000" w:firstRow="0" w:lastRow="0" w:firstColumn="0" w:lastColumn="0" w:noHBand="0" w:noVBand="0"/>
      </w:tblPr>
      <w:tblGrid>
        <w:gridCol w:w="9360"/>
      </w:tblGrid>
      <w:tr w:rsidR="00A1725C" w:rsidRPr="007023AD" w14:paraId="1142ED26" w14:textId="77777777" w:rsidTr="00BF30E4">
        <w:trPr>
          <w:cantSplit/>
        </w:trPr>
        <w:tc>
          <w:tcPr>
            <w:tcW w:w="9360" w:type="dxa"/>
            <w:tcBorders>
              <w:bottom w:val="single" w:sz="6" w:space="0" w:color="000000"/>
            </w:tcBorders>
            <w:shd w:val="clear" w:color="auto" w:fill="BFBFBF" w:themeFill="background1" w:themeFillShade="BF"/>
            <w:vAlign w:val="bottom"/>
          </w:tcPr>
          <w:p w14:paraId="1A498368" w14:textId="77777777" w:rsidR="00A1725C" w:rsidRPr="00A1725C" w:rsidRDefault="00A1725C" w:rsidP="00E01F4B">
            <w:pPr>
              <w:pStyle w:val="TableText"/>
              <w:rPr>
                <w:b/>
              </w:rPr>
            </w:pPr>
            <w:r w:rsidRPr="00A1725C">
              <w:rPr>
                <w:b/>
              </w:rPr>
              <w:t xml:space="preserve">Accept Orders: Pending Order List </w:t>
            </w:r>
          </w:p>
        </w:tc>
      </w:tr>
      <w:tr w:rsidR="00A1725C" w:rsidRPr="00725902" w14:paraId="75747FE3" w14:textId="77777777">
        <w:trPr>
          <w:cantSplit/>
        </w:trPr>
        <w:tc>
          <w:tcPr>
            <w:tcW w:w="9360" w:type="dxa"/>
            <w:shd w:val="clear" w:color="auto" w:fill="auto"/>
            <w:vAlign w:val="bottom"/>
          </w:tcPr>
          <w:p w14:paraId="4F907F67" w14:textId="5EF88B45" w:rsidR="00A1725C" w:rsidRPr="00DD022C" w:rsidRDefault="00A1725C" w:rsidP="00E01F4B">
            <w:pPr>
              <w:pStyle w:val="TableText"/>
            </w:pPr>
            <w:r w:rsidRPr="00DD022C">
              <w:t>Orders placed for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9C1EBC">
              <w:t>Email Alerts</w:t>
            </w:r>
            <w:r w:rsidRPr="00DD022C">
              <w:t>” field.</w:t>
            </w:r>
          </w:p>
        </w:tc>
      </w:tr>
      <w:tr w:rsidR="000F05B1" w:rsidRPr="00725902" w14:paraId="2BDD9808" w14:textId="77777777" w:rsidTr="000F05B1">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5FF8ED" w14:textId="050AB86C" w:rsidR="000F05B1" w:rsidRPr="00DD022C" w:rsidRDefault="000F05B1" w:rsidP="00615FC3">
            <w:pPr>
              <w:pStyle w:val="TableText"/>
            </w:pPr>
            <w:r>
              <w:t>TAS must be accepted prior to any diagnostic test associated with the same specimen UID to allow the specimen to be used for the TAS.</w:t>
            </w:r>
          </w:p>
        </w:tc>
      </w:tr>
    </w:tbl>
    <w:p w14:paraId="115B0FC5" w14:textId="77777777" w:rsidR="00A1725C" w:rsidRDefault="00A1725C"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456D10" w:rsidRPr="00EC673F" w14:paraId="4886FE04" w14:textId="77777777" w:rsidTr="00E31E25">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D78A60C" w14:textId="77777777" w:rsidR="00456D10" w:rsidRPr="00EC673F" w:rsidRDefault="00456D10" w:rsidP="00E31E25">
            <w:pPr>
              <w:pStyle w:val="TableText"/>
              <w:rPr>
                <w:rFonts w:cs="Arial"/>
                <w:b/>
              </w:rPr>
            </w:pPr>
            <w:r>
              <w:rPr>
                <w:rFonts w:cs="Arial"/>
                <w:b/>
              </w:rPr>
              <w:t>Accessing the System</w:t>
            </w:r>
          </w:p>
        </w:tc>
      </w:tr>
      <w:tr w:rsidR="00456D10" w:rsidRPr="00EC673F" w14:paraId="092EDF57" w14:textId="77777777" w:rsidTr="00E31E25">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7DCBA967" w14:textId="49457D85" w:rsidR="00456D10" w:rsidRPr="00EC673F" w:rsidRDefault="00030AF7" w:rsidP="00E31E25">
            <w:pPr>
              <w:pStyle w:val="TableText"/>
              <w:rPr>
                <w:rFonts w:cs="Arial"/>
              </w:rPr>
            </w:pPr>
            <w:r>
              <w:rPr>
                <w:vanish/>
              </w:rPr>
              <w:t xml:space="preserve">BR_18.05 </w:t>
            </w:r>
            <w:r w:rsidR="00456D10">
              <w:rPr>
                <w:rFonts w:cs="Arial"/>
              </w:rPr>
              <w:t xml:space="preserve">VBECS </w:t>
            </w:r>
            <w:r w:rsidR="00456D10">
              <w:t>automatically logs a</w:t>
            </w:r>
            <w:r w:rsidR="00456D10" w:rsidRPr="00BF7321">
              <w:t xml:space="preserve"> </w:t>
            </w:r>
            <w:r w:rsidR="00456D10">
              <w:t>user with access to only one division into that division.</w:t>
            </w:r>
          </w:p>
        </w:tc>
      </w:tr>
      <w:tr w:rsidR="00456D10" w:rsidRPr="00EC673F" w14:paraId="758EC6D1"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63AB716" w14:textId="77777777" w:rsidR="00456D10" w:rsidRPr="00EC673F" w:rsidRDefault="00456D10" w:rsidP="00E31E25">
            <w:pPr>
              <w:pStyle w:val="TableText"/>
              <w:rPr>
                <w:rFonts w:cs="Arial"/>
              </w:rPr>
            </w:pPr>
            <w:r>
              <w:rPr>
                <w:rFonts w:cs="Arial"/>
              </w:rPr>
              <w:t xml:space="preserve">Connectivity </w:t>
            </w:r>
            <w:r w:rsidRPr="009E1728">
              <w:t>by IAM services access approval (PIV Card) is not possible when IAM services are not available.</w:t>
            </w:r>
          </w:p>
        </w:tc>
      </w:tr>
      <w:tr w:rsidR="00DB1ADD" w:rsidRPr="00EC673F" w14:paraId="7CECCBC0"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16E3B7D" w14:textId="2E598DAF" w:rsidR="00DB1ADD" w:rsidRDefault="00DB1ADD" w:rsidP="00E31E25">
            <w:pPr>
              <w:pStyle w:val="TableText"/>
              <w:rPr>
                <w:rFonts w:cs="Arial"/>
              </w:rPr>
            </w:pPr>
            <w:r w:rsidRPr="00DB1ADD">
              <w:rPr>
                <w:rFonts w:cs="Arial"/>
              </w:rPr>
              <w:t xml:space="preserve">Connectivity by IAM services access approval (PIV Card) is not required when a </w:t>
            </w:r>
            <w:r w:rsidR="00E20E5D">
              <w:rPr>
                <w:rFonts w:cs="Arial"/>
              </w:rPr>
              <w:t>user</w:t>
            </w:r>
            <w:r w:rsidRPr="00DB1ADD">
              <w:rPr>
                <w:rFonts w:cs="Arial"/>
              </w:rPr>
              <w:t xml:space="preserve"> has a PIV exemption or when IAM services are not available.</w:t>
            </w:r>
          </w:p>
        </w:tc>
      </w:tr>
      <w:tr w:rsidR="00B43925" w:rsidRPr="00EC673F" w14:paraId="496A91C2"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3AD0D6" w14:textId="44E86D5B" w:rsidR="00B43925" w:rsidRPr="00DB1ADD" w:rsidRDefault="00B43925" w:rsidP="00E31E25">
            <w:pPr>
              <w:pStyle w:val="TableText"/>
              <w:rPr>
                <w:rFonts w:cs="Arial"/>
              </w:rPr>
            </w:pPr>
            <w:r w:rsidRPr="000A67CF">
              <w:rPr>
                <w:rFonts w:cs="Arial"/>
              </w:rPr>
              <w:t>An Access and Verify code is required to connect to VistA when the IAM services are not available.</w:t>
            </w:r>
          </w:p>
        </w:tc>
      </w:tr>
      <w:tr w:rsidR="00456D10" w:rsidRPr="00EC673F" w14:paraId="732BE5E2" w14:textId="77777777" w:rsidTr="00E31E25">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3DD6C40C" w14:textId="4AA0EF95" w:rsidR="00456D10" w:rsidRPr="00EC673F" w:rsidRDefault="00030AF7" w:rsidP="00E31E25">
            <w:pPr>
              <w:pStyle w:val="TableText"/>
              <w:rPr>
                <w:rFonts w:cs="Arial"/>
              </w:rPr>
            </w:pPr>
            <w:r w:rsidRPr="009E1728">
              <w:rPr>
                <w:vanish/>
              </w:rPr>
              <w:t xml:space="preserve">BR_102.12 </w:t>
            </w:r>
            <w:r w:rsidR="00456D10">
              <w:rPr>
                <w:rFonts w:cs="Arial"/>
              </w:rPr>
              <w:t>Connectivity is not possible when VistA is not available.</w:t>
            </w:r>
          </w:p>
        </w:tc>
      </w:tr>
      <w:tr w:rsidR="00456D10" w:rsidRPr="00EC673F" w14:paraId="21500D03"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1F1405" w14:textId="5E4121B5" w:rsidR="00456D10" w:rsidRPr="00EC673F" w:rsidRDefault="00E20E5D" w:rsidP="00E31E25">
            <w:pPr>
              <w:pStyle w:val="TableText"/>
              <w:rPr>
                <w:rFonts w:cs="Arial"/>
              </w:rPr>
            </w:pPr>
            <w:r w:rsidRPr="00E20E5D">
              <w:rPr>
                <w:rFonts w:cs="Arial"/>
              </w:rPr>
              <w:t xml:space="preserve">The user’s Active Directory account is a member of the proper VBECS security groups and configured with the AES256 bit encryption flag. Refer to the Active Directory section of the </w:t>
            </w:r>
            <w:r w:rsidRPr="00E20E5D">
              <w:rPr>
                <w:rFonts w:cs="Arial"/>
                <w:i/>
                <w:iCs/>
              </w:rPr>
              <w:t>VBECS Technical Manual Security Guide</w:t>
            </w:r>
            <w:r w:rsidRPr="00E20E5D">
              <w:rPr>
                <w:rFonts w:cs="Arial"/>
              </w:rPr>
              <w:t>.</w:t>
            </w:r>
          </w:p>
        </w:tc>
      </w:tr>
      <w:tr w:rsidR="00E20E5D" w:rsidRPr="00EC673F" w14:paraId="7E434B4C" w14:textId="77777777" w:rsidTr="00E31E2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6CD5504" w14:textId="78D7AED1" w:rsidR="00E20E5D" w:rsidRDefault="00E20E5D" w:rsidP="00E31E25">
            <w:pPr>
              <w:pStyle w:val="TableText"/>
              <w:rPr>
                <w:rFonts w:cs="Arial"/>
              </w:rPr>
            </w:pPr>
            <w:r w:rsidRPr="00E20E5D">
              <w:rPr>
                <w:rFonts w:cs="Arial"/>
              </w:rPr>
              <w:t xml:space="preserve">For Remote Desktop constraints, consult the </w:t>
            </w:r>
            <w:r w:rsidRPr="00E20E5D">
              <w:rPr>
                <w:rFonts w:cs="Arial"/>
                <w:i/>
                <w:iCs/>
              </w:rPr>
              <w:t>VBECS Technical Manual Security Guide</w:t>
            </w:r>
            <w:r w:rsidRPr="00E20E5D">
              <w:rPr>
                <w:rFonts w:cs="Arial"/>
              </w:rPr>
              <w:t>.</w:t>
            </w:r>
          </w:p>
        </w:tc>
      </w:tr>
    </w:tbl>
    <w:p w14:paraId="060C39ED" w14:textId="77777777" w:rsidR="00456D10" w:rsidRDefault="00456D10" w:rsidP="00BF49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5FB7" w14:paraId="6E598DC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E16DE44" w14:textId="082B0B22" w:rsidR="003F0440" w:rsidRPr="00C05FB7" w:rsidRDefault="003F0440" w:rsidP="002D126B">
            <w:pPr>
              <w:pStyle w:val="TableText"/>
              <w:rPr>
                <w:b/>
              </w:rPr>
            </w:pPr>
            <w:r w:rsidRPr="00C05FB7">
              <w:rPr>
                <w:b/>
              </w:rPr>
              <w:t>Add</w:t>
            </w:r>
            <w:r w:rsidR="00BC196C">
              <w:rPr>
                <w:b/>
              </w:rPr>
              <w:t xml:space="preserve"> and/or </w:t>
            </w:r>
            <w:r w:rsidRPr="00C05FB7">
              <w:rPr>
                <w:b/>
              </w:rPr>
              <w:t>Remove Units from a Pool</w:t>
            </w:r>
          </w:p>
        </w:tc>
      </w:tr>
      <w:tr w:rsidR="003F0440" w:rsidRPr="00725902" w14:paraId="40ABDBE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A0D22C" w14:textId="77777777" w:rsidR="003F0440" w:rsidRPr="00725902" w:rsidRDefault="003F0440" w:rsidP="002D126B">
            <w:pPr>
              <w:pStyle w:val="TableText"/>
            </w:pPr>
            <w:r>
              <w:t>See Modify Units.</w:t>
            </w:r>
          </w:p>
        </w:tc>
      </w:tr>
    </w:tbl>
    <w:p w14:paraId="1C1FA80D"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AD7C44" w14:paraId="690A3F65"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57EB59F" w14:textId="77777777" w:rsidR="003F0440" w:rsidRPr="00AD7C44" w:rsidRDefault="003F0440" w:rsidP="002D126B">
            <w:pPr>
              <w:pStyle w:val="TableText"/>
              <w:rPr>
                <w:b/>
              </w:rPr>
            </w:pPr>
            <w:r>
              <w:rPr>
                <w:b/>
              </w:rPr>
              <w:t>Audit Trail</w:t>
            </w:r>
          </w:p>
        </w:tc>
      </w:tr>
      <w:tr w:rsidR="003F0440" w:rsidRPr="00725902" w14:paraId="284A7EA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92EED18" w14:textId="77777777" w:rsidR="003F0440" w:rsidRPr="00725902" w:rsidRDefault="00B97396" w:rsidP="005753B8">
            <w:pPr>
              <w:pStyle w:val="TableText"/>
            </w:pPr>
            <w:r>
              <w:t>VBECS does not accommodate online review (verification, signature) of reports.</w:t>
            </w:r>
          </w:p>
        </w:tc>
      </w:tr>
    </w:tbl>
    <w:p w14:paraId="4CEA54DD"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C5F89" w:rsidRPr="00AD7C44" w14:paraId="6040CA84"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4C68DF5" w14:textId="77777777" w:rsidR="00DC5F89" w:rsidRPr="00AD7C44" w:rsidRDefault="00DC5F89" w:rsidP="00E40CDE">
            <w:pPr>
              <w:pStyle w:val="TableText"/>
              <w:rPr>
                <w:b/>
              </w:rPr>
            </w:pPr>
            <w:r>
              <w:rPr>
                <w:b/>
              </w:rPr>
              <w:t>Automated Testing Interface</w:t>
            </w:r>
          </w:p>
        </w:tc>
      </w:tr>
      <w:tr w:rsidR="003D2BAD" w:rsidRPr="00725902" w14:paraId="6E59387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A613FA" w14:textId="36C6CC66" w:rsidR="003D2BAD" w:rsidRPr="00DC5F89" w:rsidRDefault="003D2BAD" w:rsidP="00E40CDE">
            <w:pPr>
              <w:pStyle w:val="TableText"/>
            </w:pPr>
            <w:r w:rsidRPr="003D2BAD">
              <w:t xml:space="preserve">VBECS has only been tested with one automated instrument </w:t>
            </w:r>
            <w:r w:rsidRPr="00BC196C">
              <w:rPr>
                <w:rFonts w:cs="Arial"/>
                <w:szCs w:val="18"/>
              </w:rPr>
              <w:t>connected</w:t>
            </w:r>
            <w:r w:rsidR="00BC196C" w:rsidRPr="00BC196C">
              <w:rPr>
                <w:rFonts w:cs="Arial"/>
                <w:szCs w:val="18"/>
              </w:rPr>
              <w:t xml:space="preserve">. </w:t>
            </w:r>
            <w:r w:rsidR="00BC196C" w:rsidRPr="00BC196C">
              <w:rPr>
                <w:rFonts w:cs="Arial"/>
                <w:vanish/>
                <w:szCs w:val="18"/>
              </w:rPr>
              <w:t>Defect 357490</w:t>
            </w:r>
          </w:p>
        </w:tc>
      </w:tr>
      <w:tr w:rsidR="00DC5F89" w:rsidRPr="00725902" w14:paraId="6916926F"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FD8BEA4" w14:textId="77777777" w:rsidR="00DC5F89" w:rsidRPr="00725902" w:rsidRDefault="00DC5F89" w:rsidP="00E40CDE">
            <w:pPr>
              <w:pStyle w:val="TableText"/>
            </w:pPr>
            <w:r w:rsidRPr="00DC5F89">
              <w:t>Not available for transmission to Transfusion only facilities from a blood center due to constraints of VA’s security software.</w:t>
            </w:r>
          </w:p>
        </w:tc>
      </w:tr>
      <w:tr w:rsidR="00DC5F89" w:rsidRPr="00725902" w14:paraId="7562497D"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FCAC14" w14:textId="77777777" w:rsidR="00DC5F89" w:rsidRPr="00DC5F89" w:rsidRDefault="00E43DE4" w:rsidP="00E40CDE">
            <w:pPr>
              <w:pStyle w:val="TableText"/>
            </w:pPr>
            <w:r>
              <w:t xml:space="preserve">The </w:t>
            </w:r>
            <w:r w:rsidRPr="00E43DE4">
              <w:t>results of Antibody Panels (ABID) will not be accepted by the VBECS Automated Interface.</w:t>
            </w:r>
          </w:p>
        </w:tc>
      </w:tr>
      <w:tr w:rsidR="00DC5F89" w:rsidRPr="00725902" w14:paraId="5A613118"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6AA3286" w14:textId="77777777" w:rsidR="00DC5F89" w:rsidRPr="00DC5F89" w:rsidRDefault="00E43DE4" w:rsidP="00E40CDE">
            <w:pPr>
              <w:pStyle w:val="TableText"/>
            </w:pPr>
            <w:r>
              <w:t xml:space="preserve">The </w:t>
            </w:r>
            <w:r w:rsidRPr="00E43DE4">
              <w:t>results of QC information from automated instruments will not be accepted by the VBECS Automated Interface.</w:t>
            </w:r>
          </w:p>
        </w:tc>
      </w:tr>
      <w:tr w:rsidR="00DC5F89" w:rsidRPr="00725902" w14:paraId="299DAA7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A54D91" w14:textId="2111AB64" w:rsidR="00DC5F89" w:rsidRPr="00DC5F89" w:rsidRDefault="00E43DE4" w:rsidP="00E40CDE">
            <w:pPr>
              <w:pStyle w:val="TableText"/>
            </w:pPr>
            <w:r>
              <w:t xml:space="preserve">Time </w:t>
            </w:r>
            <w:r w:rsidRPr="00E43DE4">
              <w:t xml:space="preserve">zone will not be included in HL7 message date time from the broadcasting application (Instrument Manager). The time zone is </w:t>
            </w:r>
            <w:r w:rsidRPr="00BC196C">
              <w:rPr>
                <w:rFonts w:cs="Arial"/>
                <w:szCs w:val="18"/>
              </w:rPr>
              <w:t>determined from the division code contained in the message header (MSH) segment of the message.</w:t>
            </w:r>
            <w:r w:rsidR="00BC196C" w:rsidRPr="00BC196C">
              <w:rPr>
                <w:rFonts w:cs="Arial"/>
                <w:vanish/>
                <w:spacing w:val="-5"/>
                <w:szCs w:val="18"/>
              </w:rPr>
              <w:t xml:space="preserve"> Defects 290088, 290166</w:t>
            </w:r>
          </w:p>
        </w:tc>
      </w:tr>
    </w:tbl>
    <w:p w14:paraId="20A060B5"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43DE4" w:rsidRPr="00AD7C44" w14:paraId="09AD0D73"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3AAC74F" w14:textId="77777777" w:rsidR="00E43DE4" w:rsidRPr="00AD7C44" w:rsidRDefault="00E43DE4" w:rsidP="00E40CDE">
            <w:pPr>
              <w:pStyle w:val="TableText"/>
              <w:rPr>
                <w:b/>
              </w:rPr>
            </w:pPr>
            <w:r>
              <w:rPr>
                <w:b/>
              </w:rPr>
              <w:t>Automated Testing Review for Blood Units</w:t>
            </w:r>
          </w:p>
        </w:tc>
      </w:tr>
      <w:tr w:rsidR="00E43DE4" w:rsidRPr="00725902" w14:paraId="760DCA17"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EE9AFE5" w14:textId="77777777" w:rsidR="00E43DE4" w:rsidRPr="00725902" w:rsidRDefault="00E43DE4" w:rsidP="00E40CDE">
            <w:pPr>
              <w:pStyle w:val="TableText"/>
            </w:pPr>
            <w:r>
              <w:t xml:space="preserve">VBECS </w:t>
            </w:r>
            <w:r w:rsidRPr="00E43DE4">
              <w:t xml:space="preserve">does not accept inconclusive ABO/Rh test results.  </w:t>
            </w:r>
          </w:p>
        </w:tc>
      </w:tr>
      <w:tr w:rsidR="00E43DE4" w:rsidRPr="00DC5F89" w14:paraId="762B41A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0ED5C3" w14:textId="77777777" w:rsidR="00E43DE4" w:rsidRPr="00DC5F89" w:rsidRDefault="00E43DE4" w:rsidP="00E40CDE">
            <w:pPr>
              <w:pStyle w:val="TableText"/>
            </w:pPr>
            <w:r>
              <w:t xml:space="preserve">Pooled </w:t>
            </w:r>
            <w:r w:rsidRPr="00E43DE4">
              <w:t>Product Types labeled with an Rh type of “Pooled” is considered an Rh Positive unit which does not require confirmation testing.</w:t>
            </w:r>
          </w:p>
        </w:tc>
      </w:tr>
      <w:tr w:rsidR="00E43DE4" w:rsidRPr="00DC5F89" w14:paraId="276F87AE"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4818245" w14:textId="77777777" w:rsidR="00E43DE4" w:rsidRPr="00DC5F89" w:rsidRDefault="00E43DE4" w:rsidP="00E40CDE">
            <w:pPr>
              <w:pStyle w:val="TableText"/>
            </w:pPr>
            <w:r>
              <w:t xml:space="preserve">Pooled </w:t>
            </w:r>
            <w:r w:rsidRPr="00E43DE4">
              <w:t>Product Types</w:t>
            </w:r>
            <w:r w:rsidRPr="00E43DE4" w:rsidDel="00922FC4">
              <w:t xml:space="preserve"> </w:t>
            </w:r>
            <w:r w:rsidRPr="00E43DE4">
              <w:t>that require confirmation, labeled with an ABO group of “Pooled” cannot be confirmed. A blood component unit received as “POOLED ABO” will have to be transfused using the Supervisory option, Document ABO Incompatible Transfusion.</w:t>
            </w:r>
          </w:p>
        </w:tc>
      </w:tr>
      <w:tr w:rsidR="003A6D3F" w:rsidRPr="00DC5F89" w14:paraId="42F67AEA"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B4E65D" w14:textId="77777777" w:rsidR="003A6D3F" w:rsidRPr="00BC196C" w:rsidRDefault="003A6D3F" w:rsidP="00E40CDE">
            <w:pPr>
              <w:pStyle w:val="TableText"/>
              <w:rPr>
                <w:rFonts w:cs="Arial"/>
                <w:szCs w:val="18"/>
              </w:rPr>
            </w:pPr>
            <w:r w:rsidRPr="00BC196C">
              <w:rPr>
                <w:rFonts w:cs="Arial"/>
                <w:szCs w:val="18"/>
              </w:rPr>
              <w:t xml:space="preserve">Users can select and assign multiple units with the same DIN and different product codes for crossmatch. Users can only process one DIN (e.g., W123400345345) on the Automated Instrument at a time. It is incumbent on the user to verify that the crossmatch result from the Automated Instrument matches the product code (e.g., E0134V00) associated with the patient in VBECS. To decrease the risk of a mislabeled unit at issue, local practice may want to have only one on the units selected in VBECS at a time when crossmatch testing is being performed on the automated instrument. </w:t>
            </w:r>
            <w:r w:rsidRPr="00BC196C">
              <w:rPr>
                <w:rFonts w:cs="Arial"/>
                <w:vanish/>
                <w:szCs w:val="18"/>
              </w:rPr>
              <w:t>Defect 357490</w:t>
            </w:r>
          </w:p>
        </w:tc>
      </w:tr>
      <w:tr w:rsidR="00DA27C7" w:rsidRPr="00DC5F89" w14:paraId="2BE30BBE"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4D64A0A" w14:textId="1096D485" w:rsidR="00DA27C7" w:rsidRPr="00BC196C" w:rsidRDefault="00C46DE2" w:rsidP="00E40CDE">
            <w:pPr>
              <w:pStyle w:val="TableText"/>
              <w:rPr>
                <w:rFonts w:cs="Arial"/>
                <w:szCs w:val="18"/>
              </w:rPr>
            </w:pPr>
            <w:r w:rsidRPr="00BC196C">
              <w:rPr>
                <w:rFonts w:cs="Arial"/>
                <w:szCs w:val="18"/>
              </w:rPr>
              <w:t>When a user chooses to reject a transmitted test, a comment is required. The comment is stored but is not available for review on a report at this time. It is recommended that the test is reviewed in the instrument and not sent to VBECS as a result for rejection</w:t>
            </w:r>
            <w:r w:rsidR="00DA27C7" w:rsidRPr="00BC196C">
              <w:rPr>
                <w:rFonts w:cs="Arial"/>
                <w:szCs w:val="18"/>
              </w:rPr>
              <w:t>.</w:t>
            </w:r>
            <w:r w:rsidR="00BC196C" w:rsidRPr="00BC196C">
              <w:rPr>
                <w:rFonts w:cs="Arial"/>
                <w:vanish/>
                <w:spacing w:val="-5"/>
                <w:szCs w:val="18"/>
              </w:rPr>
              <w:t xml:space="preserve"> Defect 382981</w:t>
            </w:r>
          </w:p>
        </w:tc>
      </w:tr>
    </w:tbl>
    <w:p w14:paraId="40465502"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43DE4" w:rsidRPr="00AD7C44" w14:paraId="33EB5BCD" w14:textId="77777777" w:rsidTr="00E40CD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5381786" w14:textId="77777777" w:rsidR="00E43DE4" w:rsidRPr="00AD7C44" w:rsidRDefault="00E43DE4" w:rsidP="00E40CDE">
            <w:pPr>
              <w:pStyle w:val="TableText"/>
              <w:rPr>
                <w:b/>
              </w:rPr>
            </w:pPr>
            <w:r>
              <w:rPr>
                <w:b/>
              </w:rPr>
              <w:t>Automated Testing Review for Patients</w:t>
            </w:r>
          </w:p>
        </w:tc>
      </w:tr>
      <w:tr w:rsidR="00E43DE4" w:rsidRPr="00725902" w14:paraId="5D30649F"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72DA56E" w14:textId="77777777" w:rsidR="00E43DE4" w:rsidRPr="00725902" w:rsidRDefault="00243084" w:rsidP="00E40CDE">
            <w:pPr>
              <w:pStyle w:val="TableText"/>
            </w:pPr>
            <w:r>
              <w:t xml:space="preserve">VBECS </w:t>
            </w:r>
            <w:r w:rsidRPr="00243084">
              <w:t>does not accept inconclusive ABO/Rh test results.</w:t>
            </w:r>
          </w:p>
        </w:tc>
      </w:tr>
      <w:tr w:rsidR="00E43DE4" w:rsidRPr="00DC5F89" w14:paraId="6A6D1D50"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9104AD" w14:textId="77777777" w:rsidR="00E43DE4" w:rsidRPr="00DC5F89" w:rsidRDefault="00243084" w:rsidP="00E40CDE">
            <w:pPr>
              <w:pStyle w:val="TableText"/>
            </w:pPr>
            <w:r>
              <w:t xml:space="preserve">VBECS </w:t>
            </w:r>
            <w:r w:rsidRPr="00243084">
              <w:t>does not accept inconclusive interpretations for antibody screen tests.</w:t>
            </w:r>
          </w:p>
        </w:tc>
      </w:tr>
      <w:tr w:rsidR="00E43DE4" w:rsidRPr="00DC5F89" w14:paraId="67696BE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70A764D" w14:textId="77777777" w:rsidR="00E43DE4" w:rsidRPr="00DC5F89" w:rsidRDefault="00243084" w:rsidP="00E40CDE">
            <w:pPr>
              <w:pStyle w:val="TableText"/>
            </w:pPr>
            <w:r>
              <w:t xml:space="preserve">Immediate </w:t>
            </w:r>
            <w:r w:rsidRPr="00243084">
              <w:t>spin crossmatch is not allowed via automated test entry.</w:t>
            </w:r>
          </w:p>
        </w:tc>
      </w:tr>
      <w:tr w:rsidR="00243084" w:rsidRPr="00DC5F89" w14:paraId="7DD71F9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25E11A1" w14:textId="77777777" w:rsidR="00243084" w:rsidRPr="00DC5F89" w:rsidRDefault="00243084" w:rsidP="00E40CDE">
            <w:pPr>
              <w:pStyle w:val="TableText"/>
            </w:pPr>
            <w:r>
              <w:t xml:space="preserve">Patient </w:t>
            </w:r>
            <w:r w:rsidRPr="00243084">
              <w:t>Antigen typing applies only to patient specimens that contain red blood cells.</w:t>
            </w:r>
          </w:p>
        </w:tc>
      </w:tr>
      <w:tr w:rsidR="00243084" w:rsidRPr="00DC5F89" w14:paraId="1922D72B"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E48082" w14:textId="77777777" w:rsidR="00243084" w:rsidRPr="00243084" w:rsidRDefault="00243084" w:rsidP="00E40CDE">
            <w:pPr>
              <w:pStyle w:val="TableText"/>
              <w:rPr>
                <w:rFonts w:ascii="Times New Roman" w:hAnsi="Times New Roman"/>
                <w:spacing w:val="-5"/>
                <w:sz w:val="22"/>
                <w:szCs w:val="22"/>
              </w:rPr>
            </w:pPr>
            <w:r>
              <w:t xml:space="preserve">The </w:t>
            </w:r>
            <w:r w:rsidRPr="00243084">
              <w:t>system does not check the specificity of a patient’s antibody against an existing patient antigen typing.</w:t>
            </w:r>
          </w:p>
        </w:tc>
      </w:tr>
      <w:tr w:rsidR="00243084" w:rsidRPr="00DC5F89" w14:paraId="25DDF929"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A53B39" w14:textId="77777777" w:rsidR="00243084" w:rsidRPr="00DC5F89" w:rsidRDefault="00243084" w:rsidP="00E40CDE">
            <w:pPr>
              <w:pStyle w:val="TableText"/>
            </w:pPr>
            <w:r>
              <w:t xml:space="preserve">The </w:t>
            </w:r>
            <w:r w:rsidRPr="00243084">
              <w:t>patient antigen typing result is not reported to the CPRS record.</w:t>
            </w:r>
          </w:p>
        </w:tc>
      </w:tr>
      <w:tr w:rsidR="00DA27C7" w:rsidRPr="00DC5F89" w14:paraId="25B5A6E9" w14:textId="77777777" w:rsidTr="00E40CD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FAC729C" w14:textId="77777777" w:rsidR="00DA27C7" w:rsidRDefault="00DA27C7" w:rsidP="00E155EF">
            <w:pPr>
              <w:pStyle w:val="TableText"/>
            </w:pPr>
            <w:r w:rsidRPr="00DA27C7">
              <w:t>Order Rejection comment entry is required but is not visible on a report.</w:t>
            </w:r>
          </w:p>
        </w:tc>
      </w:tr>
    </w:tbl>
    <w:p w14:paraId="44D10320" w14:textId="77777777" w:rsidR="00DC5F89" w:rsidRDefault="00DC5F89"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96C4E" w14:paraId="20C2D0A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171AB3C" w14:textId="77777777" w:rsidR="003F0440" w:rsidRPr="00D96C4E" w:rsidRDefault="003F0440" w:rsidP="002D126B">
            <w:pPr>
              <w:pStyle w:val="TableText"/>
              <w:rPr>
                <w:b/>
              </w:rPr>
            </w:pPr>
            <w:r w:rsidRPr="00D96C4E">
              <w:rPr>
                <w:b/>
              </w:rPr>
              <w:t>Blood Products</w:t>
            </w:r>
          </w:p>
        </w:tc>
      </w:tr>
      <w:tr w:rsidR="003F0440" w:rsidRPr="00725902" w14:paraId="4C27D34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CCB3E74" w14:textId="77777777" w:rsidR="003F0440" w:rsidRDefault="003F0440" w:rsidP="002D126B">
            <w:pPr>
              <w:pStyle w:val="TableText"/>
            </w:pPr>
            <w:r>
              <w:t xml:space="preserve">Blood product records distributed through VBECS are national standards. </w:t>
            </w:r>
          </w:p>
        </w:tc>
      </w:tr>
      <w:tr w:rsidR="003F0440" w:rsidRPr="00725902" w14:paraId="1E16766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E18E22" w14:textId="77777777" w:rsidR="003F0440" w:rsidRDefault="003F0440" w:rsidP="002D126B">
            <w:pPr>
              <w:pStyle w:val="TableText"/>
            </w:pPr>
            <w:r>
              <w:t>The division must have activated the valid target blood products for modification.</w:t>
            </w:r>
          </w:p>
        </w:tc>
      </w:tr>
    </w:tbl>
    <w:p w14:paraId="5ECA501F"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D1C4A" w14:paraId="05C0EC8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70A043" w14:textId="77777777" w:rsidR="003F0440" w:rsidRPr="000D1C4A" w:rsidRDefault="003F0440" w:rsidP="002D126B">
            <w:pPr>
              <w:pStyle w:val="TableText"/>
              <w:rPr>
                <w:b/>
              </w:rPr>
            </w:pPr>
            <w:r w:rsidRPr="000D1C4A">
              <w:rPr>
                <w:b/>
              </w:rPr>
              <w:t>Canned Comments</w:t>
            </w:r>
          </w:p>
        </w:tc>
      </w:tr>
      <w:tr w:rsidR="003F0440" w:rsidRPr="00725902" w14:paraId="3FDE158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53DD340" w14:textId="76D997CE" w:rsidR="003F0440" w:rsidRDefault="003F0440" w:rsidP="002D126B">
            <w:pPr>
              <w:pStyle w:val="TableText"/>
            </w:pPr>
            <w:r>
              <w:t>The user may not edit comments provided with VBECS, but may create additional comments.</w:t>
            </w:r>
            <w:r w:rsidR="00483C5D">
              <w:t xml:space="preserve"> Although comments</w:t>
            </w:r>
            <w:r w:rsidR="003E0483">
              <w:t xml:space="preserve"> can also be removed, there should remain at least one comment </w:t>
            </w:r>
            <w:r w:rsidR="00BC196C">
              <w:t xml:space="preserve">per category </w:t>
            </w:r>
            <w:r w:rsidR="003E0483">
              <w:t xml:space="preserve">available for selection (e.g., “Other”). </w:t>
            </w:r>
            <w:r w:rsidR="00BC196C">
              <w:rPr>
                <w:vanish/>
              </w:rPr>
              <w:t>Defect</w:t>
            </w:r>
            <w:r w:rsidR="003E0483" w:rsidRPr="003E0483">
              <w:rPr>
                <w:vanish/>
              </w:rPr>
              <w:t xml:space="preserve"> 209175</w:t>
            </w:r>
          </w:p>
        </w:tc>
      </w:tr>
      <w:tr w:rsidR="003F0440" w:rsidRPr="00725902" w14:paraId="39CD61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5ED406D" w14:textId="77777777" w:rsidR="003F0440" w:rsidRDefault="003F0440" w:rsidP="002D126B">
            <w:pPr>
              <w:pStyle w:val="TableText"/>
            </w:pPr>
            <w:r>
              <w:t>Site personnel must enter comments in accordance with local policy and procedures.</w:t>
            </w:r>
          </w:p>
        </w:tc>
      </w:tr>
    </w:tbl>
    <w:p w14:paraId="17280528" w14:textId="77777777" w:rsidR="003F44A2" w:rsidRDefault="003F44A2"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EB10C4" w14:paraId="30B6437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55A9FED" w14:textId="77777777" w:rsidR="003F0440" w:rsidRPr="00EB10C4" w:rsidRDefault="003F0440" w:rsidP="002D126B">
            <w:pPr>
              <w:pStyle w:val="TableText"/>
              <w:rPr>
                <w:b/>
              </w:rPr>
            </w:pPr>
            <w:r w:rsidRPr="00EB10C4">
              <w:rPr>
                <w:b/>
              </w:rPr>
              <w:t>Component Classes</w:t>
            </w:r>
          </w:p>
        </w:tc>
      </w:tr>
      <w:tr w:rsidR="003F0440" w:rsidRPr="00725902" w14:paraId="630248E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B478D3D" w14:textId="77777777" w:rsidR="003F0440" w:rsidRDefault="003F0440" w:rsidP="002D126B">
            <w:pPr>
              <w:pStyle w:val="TableText"/>
            </w:pPr>
            <w:r>
              <w:t xml:space="preserve">The user may not change the specimen requirement for a component class when there are incomplete orders for that component class. </w:t>
            </w:r>
          </w:p>
        </w:tc>
      </w:tr>
      <w:tr w:rsidR="003F0440" w:rsidRPr="00725902" w14:paraId="31E997B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9B3CDC3" w14:textId="77777777" w:rsidR="003F0440" w:rsidRDefault="003F0440" w:rsidP="002D126B">
            <w:pPr>
              <w:pStyle w:val="TableText"/>
            </w:pPr>
            <w:r>
              <w:t>There is no retrospective data entry or user selection for th</w:t>
            </w:r>
            <w:r w:rsidR="00932460">
              <w:t>is</w:t>
            </w:r>
            <w:r>
              <w:t xml:space="preserve"> </w:t>
            </w:r>
            <w:r w:rsidR="00932460">
              <w:t>option</w:t>
            </w:r>
            <w:r>
              <w:t>.</w:t>
            </w:r>
          </w:p>
        </w:tc>
      </w:tr>
    </w:tbl>
    <w:p w14:paraId="696F2F0F" w14:textId="77777777" w:rsidR="005333AF" w:rsidRDefault="005333AF" w:rsidP="003F44A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ED7" w14:paraId="3F339C2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319C8A7" w14:textId="77777777" w:rsidR="003F0440" w:rsidRPr="00D01ED7" w:rsidRDefault="003F0440" w:rsidP="002D126B">
            <w:pPr>
              <w:pStyle w:val="TableText"/>
              <w:rPr>
                <w:b/>
              </w:rPr>
            </w:pPr>
            <w:r w:rsidRPr="00D01ED7">
              <w:rPr>
                <w:b/>
              </w:rPr>
              <w:t>Configure Daily QC</w:t>
            </w:r>
          </w:p>
        </w:tc>
      </w:tr>
      <w:tr w:rsidR="003F0440" w:rsidRPr="00725902" w14:paraId="4023F42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9F9D317" w14:textId="77777777" w:rsidR="003F0440" w:rsidRDefault="003F0440" w:rsidP="002D126B">
            <w:pPr>
              <w:pStyle w:val="TableText"/>
            </w:pPr>
            <w:r>
              <w:t xml:space="preserve">This option pertains only to routine reagents. </w:t>
            </w:r>
          </w:p>
        </w:tc>
      </w:tr>
      <w:tr w:rsidR="003F0440" w:rsidRPr="00725902" w14:paraId="427BC9B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E5AF528" w14:textId="77777777" w:rsidR="003F0440" w:rsidRDefault="003F0440" w:rsidP="002D126B">
            <w:pPr>
              <w:pStyle w:val="TableText"/>
            </w:pPr>
            <w:r>
              <w:t xml:space="preserve">When there are partially or currently QC’d racks in the system, the user may not change the QC template. </w:t>
            </w:r>
          </w:p>
        </w:tc>
      </w:tr>
    </w:tbl>
    <w:p w14:paraId="21F61E37" w14:textId="77777777" w:rsidR="00FD6164" w:rsidRDefault="00FD6164"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A6312" w:rsidRPr="00D01ED7" w14:paraId="506A3814" w14:textId="77777777" w:rsidTr="00F002ED">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9F1E850" w14:textId="77777777" w:rsidR="00DA6312" w:rsidRPr="00D01ED7" w:rsidRDefault="00DA6312" w:rsidP="00DA6312">
            <w:pPr>
              <w:pStyle w:val="TableText"/>
              <w:rPr>
                <w:b/>
              </w:rPr>
            </w:pPr>
            <w:r w:rsidRPr="00D01ED7">
              <w:rPr>
                <w:b/>
              </w:rPr>
              <w:t xml:space="preserve">Configure </w:t>
            </w:r>
            <w:r>
              <w:rPr>
                <w:b/>
              </w:rPr>
              <w:t>Division</w:t>
            </w:r>
          </w:p>
        </w:tc>
      </w:tr>
      <w:tr w:rsidR="00DA6312" w14:paraId="1FBE3661" w14:textId="77777777" w:rsidTr="00F002E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F62A37" w14:textId="44FA4C4D" w:rsidR="00DA6312" w:rsidRPr="00DA6312" w:rsidRDefault="00DA6312" w:rsidP="00F002ED">
            <w:pPr>
              <w:pStyle w:val="TableText"/>
              <w:rPr>
                <w:vanish/>
              </w:rPr>
            </w:pPr>
            <w:r w:rsidRPr="00DA6312">
              <w:t xml:space="preserve">Changes made to the division setting are not applied to a user until they re-connect to VBECS after the change is made. It is highly recommended that all users </w:t>
            </w:r>
            <w:r w:rsidR="00262E92">
              <w:t>sign out</w:t>
            </w:r>
            <w:r w:rsidRPr="00DA6312">
              <w:t xml:space="preserve"> of VBECS prior to any configuration setting change.</w:t>
            </w:r>
            <w:r>
              <w:rPr>
                <w:vanish/>
              </w:rPr>
              <w:t xml:space="preserve"> DR 4136</w:t>
            </w:r>
          </w:p>
        </w:tc>
      </w:tr>
      <w:tr w:rsidR="00676CAC" w14:paraId="506E8221" w14:textId="77777777" w:rsidTr="00F002ED">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BB095C5" w14:textId="790E2438" w:rsidR="00676CAC" w:rsidRPr="00DA6312" w:rsidRDefault="00676CAC" w:rsidP="00F002ED">
            <w:pPr>
              <w:pStyle w:val="TableText"/>
            </w:pPr>
            <w:r w:rsidRPr="00676CAC">
              <w:t>It is recommended that users configure a division before configuring testing (click the Configure Testing tab).</w:t>
            </w:r>
          </w:p>
        </w:tc>
      </w:tr>
    </w:tbl>
    <w:p w14:paraId="2EC00D72" w14:textId="77777777" w:rsidR="00C46DE2" w:rsidRDefault="00C46DE2" w:rsidP="00C46DE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C46DE2" w:rsidRPr="00D01ED7" w14:paraId="137E0935" w14:textId="77777777" w:rsidTr="00615FC3">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8D08B55" w14:textId="7DEB007E" w:rsidR="00C46DE2" w:rsidRPr="00D01ED7" w:rsidRDefault="00C46DE2" w:rsidP="00615FC3">
            <w:pPr>
              <w:pStyle w:val="TableText"/>
              <w:rPr>
                <w:b/>
              </w:rPr>
            </w:pPr>
            <w:r>
              <w:rPr>
                <w:b/>
              </w:rPr>
              <w:t>CPRS Blood Bank Report</w:t>
            </w:r>
          </w:p>
        </w:tc>
      </w:tr>
      <w:tr w:rsidR="00C46DE2" w14:paraId="16355E9B" w14:textId="77777777" w:rsidTr="00615FC3">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533FB1C" w14:textId="632A202D" w:rsidR="00C46DE2" w:rsidRPr="00DA6312" w:rsidRDefault="00C46DE2" w:rsidP="00615FC3">
            <w:pPr>
              <w:pStyle w:val="TableText"/>
              <w:rPr>
                <w:vanish/>
              </w:rPr>
            </w:pPr>
            <w:r>
              <w:t>The report is not multidivisional, meaning it does not combine a patien</w:t>
            </w:r>
            <w:r w:rsidR="00676CAC">
              <w:t>t's</w:t>
            </w:r>
            <w:r>
              <w:t xml:space="preserve"> transfusion information from all VA hospitals.</w:t>
            </w:r>
          </w:p>
        </w:tc>
      </w:tr>
    </w:tbl>
    <w:p w14:paraId="5F38FC21" w14:textId="77777777" w:rsidR="00DA6312" w:rsidRDefault="00DA6312"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D7CAF" w:rsidRPr="00E95A54" w14:paraId="7326DCC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82D767A" w14:textId="77777777" w:rsidR="00DD7CAF" w:rsidRPr="00E95A54" w:rsidRDefault="00DD7CAF" w:rsidP="005E39DA">
            <w:pPr>
              <w:pStyle w:val="TableText"/>
              <w:rPr>
                <w:b/>
              </w:rPr>
            </w:pPr>
            <w:r>
              <w:rPr>
                <w:b/>
              </w:rPr>
              <w:t>Discard or Quarantine</w:t>
            </w:r>
          </w:p>
        </w:tc>
      </w:tr>
      <w:tr w:rsidR="00DD7CAF" w:rsidRPr="00C06411" w14:paraId="2455B5D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4F1339C" w14:textId="77777777" w:rsidR="00DD7CAF" w:rsidRPr="00C06411" w:rsidRDefault="00DD7CAF" w:rsidP="00DD7CAF">
            <w:pPr>
              <w:pStyle w:val="TableText"/>
            </w:pPr>
            <w:r>
              <w:t xml:space="preserve">When a user retroactively updates a unit status through this option, the Unit History Report displays the updated information, but does not display the date the change was made. </w:t>
            </w:r>
          </w:p>
        </w:tc>
      </w:tr>
      <w:tr w:rsidR="00EF7C8A" w:rsidRPr="00C06411" w14:paraId="5183B7C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0C9381" w14:textId="3D4B2D13" w:rsidR="00EF7C8A" w:rsidRDefault="00EF7C8A" w:rsidP="00DD7CAF">
            <w:pPr>
              <w:pStyle w:val="TableText"/>
            </w:pPr>
            <w:r>
              <w:t xml:space="preserve">The option does not accommodate the entry of a second user for retrospective data entry. </w:t>
            </w:r>
            <w:r w:rsidR="0063094B">
              <w:rPr>
                <w:vanish/>
              </w:rPr>
              <w:t>Defect</w:t>
            </w:r>
            <w:r w:rsidRPr="00EF7C8A">
              <w:rPr>
                <w:vanish/>
              </w:rPr>
              <w:t xml:space="preserve"> 209008</w:t>
            </w:r>
          </w:p>
        </w:tc>
      </w:tr>
      <w:tr w:rsidR="00A753B8" w:rsidRPr="00C06411" w14:paraId="75B5EBE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208C68E" w14:textId="78FF6F47" w:rsidR="00A753B8" w:rsidRDefault="00A753B8" w:rsidP="00DD7CAF">
            <w:pPr>
              <w:pStyle w:val="TableText"/>
            </w:pPr>
            <w:r>
              <w:t>Cost entry is capped at 999.</w:t>
            </w:r>
            <w:r w:rsidR="00886F16">
              <w:t>00</w:t>
            </w:r>
            <w:r>
              <w:t xml:space="preserve">. </w:t>
            </w:r>
            <w:r w:rsidRPr="00A753B8">
              <w:rPr>
                <w:vanish/>
              </w:rPr>
              <w:t>Defect 942523</w:t>
            </w:r>
          </w:p>
        </w:tc>
      </w:tr>
    </w:tbl>
    <w:p w14:paraId="072D2471" w14:textId="77777777" w:rsidR="00D139EE" w:rsidRDefault="00D139EE" w:rsidP="00093E5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E95A54" w14:paraId="2B807B8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9DBACC9" w14:textId="77777777" w:rsidR="003F0440" w:rsidRPr="00E95A54" w:rsidRDefault="003F0440" w:rsidP="002D126B">
            <w:pPr>
              <w:pStyle w:val="TableText"/>
              <w:rPr>
                <w:b/>
              </w:rPr>
            </w:pPr>
            <w:r w:rsidRPr="00E95A54">
              <w:rPr>
                <w:b/>
              </w:rPr>
              <w:t>Display Order Alerts</w:t>
            </w:r>
          </w:p>
        </w:tc>
      </w:tr>
      <w:tr w:rsidR="003F0440" w:rsidRPr="00C06411" w14:paraId="269589E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0FC215" w14:textId="77777777" w:rsidR="003F0440" w:rsidRPr="00C06411" w:rsidRDefault="003F0440" w:rsidP="002D126B">
            <w:pPr>
              <w:pStyle w:val="TableText"/>
            </w:pPr>
            <w:r>
              <w:t>VBECS issues no notifications for order cancellations.</w:t>
            </w:r>
          </w:p>
        </w:tc>
      </w:tr>
    </w:tbl>
    <w:p w14:paraId="51D74618" w14:textId="77777777" w:rsidR="00FC3666" w:rsidRDefault="00FC3666"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6347F2" w14:paraId="4ABBCB2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AA8D9E4" w14:textId="77777777" w:rsidR="003F0440" w:rsidRPr="006347F2" w:rsidRDefault="003F0440" w:rsidP="002D126B">
            <w:pPr>
              <w:pStyle w:val="TableText"/>
              <w:rPr>
                <w:b/>
              </w:rPr>
            </w:pPr>
            <w:r w:rsidRPr="006347F2">
              <w:rPr>
                <w:b/>
              </w:rPr>
              <w:t xml:space="preserve">Display Patient </w:t>
            </w:r>
            <w:r>
              <w:rPr>
                <w:b/>
              </w:rPr>
              <w:t>Merge</w:t>
            </w:r>
            <w:r w:rsidRPr="006347F2">
              <w:rPr>
                <w:b/>
              </w:rPr>
              <w:t xml:space="preserve"> Alerts</w:t>
            </w:r>
          </w:p>
        </w:tc>
      </w:tr>
      <w:tr w:rsidR="004F17EB" w:rsidRPr="00C06411" w14:paraId="5F3E745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6C9FE2" w14:textId="77777777" w:rsidR="004F17EB" w:rsidRPr="004F17EB" w:rsidRDefault="004F17EB" w:rsidP="004F17EB">
            <w:pPr>
              <w:pStyle w:val="TableTex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tc>
      </w:tr>
    </w:tbl>
    <w:p w14:paraId="7A024C9A" w14:textId="77777777" w:rsidR="00BA0F42" w:rsidRDefault="00BA0F42"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B31E5A" w:rsidRPr="006347F2" w14:paraId="00D9588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5419AB8" w14:textId="77777777" w:rsidR="00B31E5A" w:rsidRPr="006347F2" w:rsidRDefault="00B31E5A" w:rsidP="00FE4D07">
            <w:pPr>
              <w:pStyle w:val="TableText"/>
              <w:rPr>
                <w:b/>
              </w:rPr>
            </w:pPr>
            <w:r w:rsidRPr="006347F2">
              <w:rPr>
                <w:b/>
              </w:rPr>
              <w:t xml:space="preserve">Display Patient </w:t>
            </w:r>
            <w:r>
              <w:rPr>
                <w:b/>
              </w:rPr>
              <w:t>Update</w:t>
            </w:r>
            <w:r w:rsidRPr="006347F2">
              <w:rPr>
                <w:b/>
              </w:rPr>
              <w:t xml:space="preserve"> Alerts</w:t>
            </w:r>
          </w:p>
        </w:tc>
      </w:tr>
      <w:tr w:rsidR="00B31E5A" w:rsidRPr="00C06411" w14:paraId="386A2C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D267BDA" w14:textId="77777777" w:rsidR="00B31E5A" w:rsidRDefault="004F17EB" w:rsidP="004F17EB">
            <w:pPr>
              <w:pStyle w:val="TableText"/>
            </w:pPr>
            <w:r>
              <w:t xml:space="preserve">VBECS does not notify users of additional VistA patient updates or merges while the icon is displayed. </w:t>
            </w:r>
            <w:r>
              <w:rPr>
                <w:rFonts w:cs="Arial"/>
                <w:vanish/>
              </w:rPr>
              <w:t xml:space="preserve">DR 2,525 </w:t>
            </w:r>
            <w:r>
              <w:t xml:space="preserve">When a user views an update and there is an unprocessed VistA patient merge, the Patient Alert icon remains on the screen until the Traditional Supervisor updates the patient records and clears the icon. </w:t>
            </w:r>
          </w:p>
        </w:tc>
      </w:tr>
      <w:tr w:rsidR="00562E66" w:rsidRPr="00C06411" w14:paraId="3E77446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C3027E4" w14:textId="77777777" w:rsidR="00562E66" w:rsidRDefault="00562E66" w:rsidP="00520CAE">
            <w:pPr>
              <w:pStyle w:val="TableText"/>
            </w:pPr>
            <w:r>
              <w:t>Patient updates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rsidR="00520CAE">
              <w:t>Email Alerts</w:t>
            </w:r>
            <w:r w:rsidRPr="00DD022C">
              <w:t>” field.</w:t>
            </w:r>
          </w:p>
        </w:tc>
      </w:tr>
      <w:tr w:rsidR="002369C9" w:rsidRPr="00C06411" w14:paraId="195FCCD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088C0F9" w14:textId="77777777" w:rsidR="002369C9" w:rsidRDefault="002369C9" w:rsidP="00562E66">
            <w:pPr>
              <w:pStyle w:val="TableText"/>
            </w:pPr>
            <w:r>
              <w:t xml:space="preserve">Patient update </w:t>
            </w:r>
            <w:r w:rsidRPr="003A360F">
              <w:t xml:space="preserve">alerts only display when </w:t>
            </w:r>
            <w:r>
              <w:t xml:space="preserve">active </w:t>
            </w:r>
            <w:r w:rsidRPr="003A360F">
              <w:t xml:space="preserve">component </w:t>
            </w:r>
            <w:r>
              <w:t xml:space="preserve">or diagnostic test </w:t>
            </w:r>
            <w:r w:rsidRPr="003A360F">
              <w:t xml:space="preserve">orders are </w:t>
            </w:r>
            <w:r>
              <w:t xml:space="preserve">pending or </w:t>
            </w:r>
            <w:r w:rsidRPr="003A360F">
              <w:t>active</w:t>
            </w:r>
            <w:r w:rsidRPr="002369C9">
              <w:footnoteReference w:id="7"/>
            </w:r>
            <w:r w:rsidRPr="003A360F">
              <w:t xml:space="preserve"> at the time the update occurs.</w:t>
            </w:r>
            <w:r w:rsidRPr="002369C9">
              <w:rPr>
                <w:vanish/>
              </w:rPr>
              <w:t xml:space="preserve"> DR 4323 BR_68.02</w:t>
            </w:r>
          </w:p>
        </w:tc>
      </w:tr>
    </w:tbl>
    <w:p w14:paraId="0B428A1C" w14:textId="49324725" w:rsidR="00B31E5A" w:rsidRDefault="00B31E5A"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C25C1E" w:rsidRPr="004146C8" w14:paraId="70A498E2" w14:textId="77777777" w:rsidTr="00D12DC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C7E342D" w14:textId="5AA8E5D5" w:rsidR="00C25C1E" w:rsidRPr="004146C8" w:rsidRDefault="00C25C1E" w:rsidP="00D12DC6">
            <w:pPr>
              <w:pStyle w:val="TableText"/>
              <w:rPr>
                <w:b/>
              </w:rPr>
            </w:pPr>
            <w:r w:rsidRPr="004146C8">
              <w:rPr>
                <w:b/>
                <w:snapToGrid w:val="0"/>
              </w:rPr>
              <w:t>D</w:t>
            </w:r>
            <w:r>
              <w:rPr>
                <w:b/>
                <w:snapToGrid w:val="0"/>
              </w:rPr>
              <w:t xml:space="preserve">ivision Workload </w:t>
            </w:r>
            <w:r w:rsidR="00E25C40">
              <w:rPr>
                <w:b/>
                <w:snapToGrid w:val="0"/>
              </w:rPr>
              <w:t>Report</w:t>
            </w:r>
          </w:p>
        </w:tc>
      </w:tr>
      <w:tr w:rsidR="00C25C1E" w:rsidRPr="00725902" w14:paraId="49D1EAC3" w14:textId="77777777" w:rsidTr="00D12DC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589FD93" w14:textId="77E86E37" w:rsidR="00C25C1E" w:rsidRPr="00725902" w:rsidRDefault="00E25C40" w:rsidP="00D12DC6">
            <w:pPr>
              <w:pStyle w:val="TableText"/>
            </w:pPr>
            <w:r>
              <w:t>A report printed with an end date of today or greater does not print “Preliminary” in the header. Check the subsequent pages of the report and write “PRELIMINARY” on the front page of the report prior to filing. The information included in the report is accurate to the time printed. There is a possibility of a gap of information should the user not overlap the print requests. Generally, this report is printed for the day prior or a time period that does not include the current day</w:t>
            </w:r>
            <w:r w:rsidR="00C25C1E">
              <w:t>.</w:t>
            </w:r>
            <w:r>
              <w:t xml:space="preserve"> </w:t>
            </w:r>
            <w:r w:rsidRPr="00E25C40">
              <w:rPr>
                <w:vanish/>
              </w:rPr>
              <w:t>Defect 213101</w:t>
            </w:r>
          </w:p>
        </w:tc>
      </w:tr>
    </w:tbl>
    <w:p w14:paraId="28E03740" w14:textId="3CB45FCD" w:rsidR="00C25C1E" w:rsidRDefault="00C25C1E"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146C8" w14:paraId="624E4B8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B91B05" w14:textId="77777777" w:rsidR="003F0440" w:rsidRPr="004146C8" w:rsidRDefault="003F0440" w:rsidP="002D126B">
            <w:pPr>
              <w:pStyle w:val="TableText"/>
              <w:rPr>
                <w:b/>
              </w:rPr>
            </w:pPr>
            <w:r w:rsidRPr="004146C8">
              <w:rPr>
                <w:b/>
                <w:snapToGrid w:val="0"/>
              </w:rPr>
              <w:t>Document ABO Incompatible Transfusions</w:t>
            </w:r>
          </w:p>
        </w:tc>
      </w:tr>
      <w:tr w:rsidR="003F0440" w:rsidRPr="00725902" w14:paraId="6C250E3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0B508F2" w14:textId="77777777" w:rsidR="003F0440" w:rsidRPr="00725902" w:rsidRDefault="003F0440" w:rsidP="002D126B">
            <w:pPr>
              <w:pStyle w:val="TableText"/>
            </w:pPr>
            <w:r>
              <w:t>VBECS does not enforce compatibility checks between the patient and the unit.</w:t>
            </w:r>
          </w:p>
        </w:tc>
      </w:tr>
      <w:tr w:rsidR="00CF6A19" w:rsidRPr="00725902" w14:paraId="51394C2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9F602B" w14:textId="77777777" w:rsidR="00CF6A19" w:rsidRDefault="00CF6A19" w:rsidP="002D126B">
            <w:pPr>
              <w:pStyle w:val="TableText"/>
            </w:pPr>
            <w:r>
              <w:t>VBECS does not update CPRS component order status when the Document ABO Incompatible Transfusion option is used.</w:t>
            </w:r>
          </w:p>
        </w:tc>
      </w:tr>
    </w:tbl>
    <w:p w14:paraId="1E2A6728" w14:textId="77777777" w:rsidR="00FD0D9D" w:rsidRDefault="00FD0D9D"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D4567F" w:rsidRPr="004146C8" w14:paraId="0E79DD50" w14:textId="77777777" w:rsidTr="000D08F0">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BC422DA" w14:textId="77777777" w:rsidR="00D4567F" w:rsidRPr="004146C8" w:rsidRDefault="00D05F0F" w:rsidP="000D08F0">
            <w:pPr>
              <w:pStyle w:val="TableText"/>
              <w:rPr>
                <w:b/>
              </w:rPr>
            </w:pPr>
            <w:r>
              <w:rPr>
                <w:b/>
                <w:snapToGrid w:val="0"/>
              </w:rPr>
              <w:t>Edit Financial Data</w:t>
            </w:r>
          </w:p>
        </w:tc>
      </w:tr>
      <w:tr w:rsidR="00D4567F" w:rsidRPr="00725902" w14:paraId="5991CC74" w14:textId="77777777" w:rsidTr="000D08F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42C10EA" w14:textId="77777777" w:rsidR="00D4567F" w:rsidRPr="00725902" w:rsidRDefault="00D05F0F" w:rsidP="000D08F0">
            <w:pPr>
              <w:pStyle w:val="TableText"/>
            </w:pPr>
            <w:r>
              <w:t>When a Technologist enters a unit ID and product code for a unit that is not in final status, VBECS does not enable the Special Test Cost field. An Enhanced Technologist or higher access can change the Special Test Cost field in the Edit Financial Data option.</w:t>
            </w:r>
            <w:r w:rsidR="005333AF">
              <w:t xml:space="preserve"> </w:t>
            </w:r>
            <w:r w:rsidR="005333AF" w:rsidRPr="005333AF">
              <w:rPr>
                <w:vanish/>
              </w:rPr>
              <w:t>DR 5012</w:t>
            </w:r>
          </w:p>
        </w:tc>
      </w:tr>
      <w:tr w:rsidR="00A753B8" w:rsidRPr="00725902" w14:paraId="2E147A89" w14:textId="77777777" w:rsidTr="000D08F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BDAFF7" w14:textId="7D1FA590" w:rsidR="00A753B8" w:rsidRDefault="00B44625" w:rsidP="000D08F0">
            <w:pPr>
              <w:pStyle w:val="TableText"/>
            </w:pPr>
            <w:r>
              <w:t>Base C</w:t>
            </w:r>
            <w:r w:rsidR="00A753B8">
              <w:t xml:space="preserve">ost entry is capped at </w:t>
            </w:r>
            <w:r>
              <w:t>99,</w:t>
            </w:r>
            <w:r w:rsidR="00A753B8">
              <w:t>999.</w:t>
            </w:r>
            <w:r w:rsidR="00676CAC">
              <w:t>00</w:t>
            </w:r>
            <w:r w:rsidR="00A753B8">
              <w:t>.</w:t>
            </w:r>
          </w:p>
        </w:tc>
      </w:tr>
      <w:tr w:rsidR="00B44625" w:rsidRPr="00725902" w14:paraId="55101A52" w14:textId="77777777" w:rsidTr="000D08F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47F5C98" w14:textId="44343B2F" w:rsidR="00B44625" w:rsidRDefault="00B44625" w:rsidP="000D08F0">
            <w:pPr>
              <w:pStyle w:val="TableText"/>
            </w:pPr>
            <w:r>
              <w:t>Special Testing Cost is capped at 9,999.99</w:t>
            </w:r>
          </w:p>
        </w:tc>
      </w:tr>
      <w:tr w:rsidR="00B44625" w:rsidRPr="00725902" w14:paraId="48D1A8C8" w14:textId="77777777" w:rsidTr="000D08F0">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F3174C" w14:textId="2D4E7293" w:rsidR="00B44625" w:rsidRDefault="00B44625" w:rsidP="000D08F0">
            <w:pPr>
              <w:pStyle w:val="TableText"/>
            </w:pPr>
            <w:r>
              <w:t>Return Credit is capped at 99,999.00.</w:t>
            </w:r>
          </w:p>
        </w:tc>
      </w:tr>
    </w:tbl>
    <w:p w14:paraId="495D6A43" w14:textId="77777777" w:rsidR="00D4567F" w:rsidRDefault="00D4567F" w:rsidP="00FC366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074DD4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FC26A4D" w14:textId="77777777" w:rsidR="003F0440" w:rsidRPr="004146C8" w:rsidRDefault="003F0440" w:rsidP="002D126B">
            <w:pPr>
              <w:pStyle w:val="TableText"/>
              <w:rPr>
                <w:b/>
              </w:rPr>
            </w:pPr>
            <w:r w:rsidRPr="004146C8">
              <w:rPr>
                <w:b/>
              </w:rPr>
              <w:t>Edit Unit Information</w:t>
            </w:r>
          </w:p>
        </w:tc>
      </w:tr>
      <w:tr w:rsidR="003F0440" w:rsidRPr="00725902" w14:paraId="6A1C65A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E597CFB" w14:textId="77777777" w:rsidR="003F0440" w:rsidRPr="00725902" w:rsidRDefault="003F0440" w:rsidP="002D126B">
            <w:pPr>
              <w:pStyle w:val="TableText"/>
            </w:pPr>
            <w:r>
              <w:t>VBECS does not limit the discarded plasma volume.</w:t>
            </w:r>
          </w:p>
        </w:tc>
      </w:tr>
      <w:tr w:rsidR="003F0440" w:rsidRPr="00725902" w14:paraId="3853F18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E748D0C" w14:textId="77777777" w:rsidR="003F0440" w:rsidRPr="00725902" w:rsidRDefault="00D20331" w:rsidP="00D20331">
            <w:pPr>
              <w:pStyle w:val="TableText"/>
            </w:pPr>
            <w:r>
              <w:rPr>
                <w:rFonts w:eastAsia="Arial Unicode MS"/>
              </w:rPr>
              <w:t>If errors are found in the unit’s product code</w:t>
            </w:r>
            <w:r>
              <w:t xml:space="preserve">, division or blood type at login, </w:t>
            </w:r>
            <w:r>
              <w:rPr>
                <w:rFonts w:eastAsia="Arial Unicode MS"/>
              </w:rPr>
              <w:t>supplier, or donation type, the user must inactivate the unit and reenter it correctly</w:t>
            </w:r>
            <w:r>
              <w:t>.</w:t>
            </w:r>
          </w:p>
        </w:tc>
      </w:tr>
      <w:tr w:rsidR="003F0440" w:rsidRPr="00725902" w14:paraId="0AE7CA2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766B985" w14:textId="77777777" w:rsidR="003F0440" w:rsidRPr="00725902" w:rsidRDefault="003F0440" w:rsidP="002D126B">
            <w:pPr>
              <w:pStyle w:val="TableText"/>
            </w:pPr>
            <w:r>
              <w:t xml:space="preserve">When a unit does not have a patient association, editable fields are available to an </w:t>
            </w:r>
            <w:r w:rsidR="00D03BCF" w:rsidRPr="00EC7489">
              <w:rPr>
                <w:rFonts w:ascii="Wingdings 3" w:hAnsi="Wingdings 3" w:cs="Wingdings"/>
              </w:rPr>
              <w:t></w:t>
            </w:r>
            <w:r w:rsidR="00D03BCF" w:rsidRPr="00EC7489">
              <w:rPr>
                <w:rFonts w:ascii="Wingdings 3" w:hAnsi="Wingdings 3" w:cs="Wingdings"/>
              </w:rPr>
              <w:t></w:t>
            </w:r>
            <w:r w:rsidR="00D03BCF" w:rsidRPr="00AA7C58">
              <w:t xml:space="preserve"> </w:t>
            </w:r>
            <w:r>
              <w:t>Enhanced Technologist.</w:t>
            </w:r>
          </w:p>
        </w:tc>
      </w:tr>
      <w:tr w:rsidR="00DD3B4E" w:rsidRPr="00725902" w14:paraId="7B6929B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423145" w14:textId="30912413" w:rsidR="00DD3B4E" w:rsidRDefault="00DD3B4E" w:rsidP="002D126B">
            <w:pPr>
              <w:pStyle w:val="TableText"/>
            </w:pPr>
            <w:r>
              <w:t xml:space="preserve">Only units in a Limited or Available </w:t>
            </w:r>
            <w:r w:rsidR="00AE3B37">
              <w:t>status</w:t>
            </w:r>
            <w:r>
              <w:t xml:space="preserve"> may be edited.</w:t>
            </w:r>
          </w:p>
        </w:tc>
      </w:tr>
      <w:tr w:rsidR="00DD3B4E" w:rsidRPr="00725902" w14:paraId="35B82A2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C73134D" w14:textId="77777777" w:rsidR="00DD3B4E" w:rsidRDefault="00DD3B4E" w:rsidP="002D126B">
            <w:pPr>
              <w:pStyle w:val="TableText"/>
            </w:pPr>
            <w:r>
              <w:t>Inactivation of the unit record is required when the user needs to change the unit’s information recorded at login: unit identification number, blood type, product code, unit expiration date, unit donation type, VA division or supplier.</w:t>
            </w:r>
          </w:p>
        </w:tc>
      </w:tr>
      <w:tr w:rsidR="00066D49" w:rsidRPr="00725902" w14:paraId="3F8FB36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1CAE3BD" w14:textId="53F25F47" w:rsidR="00066D49" w:rsidRDefault="00066D49" w:rsidP="002D126B">
            <w:pPr>
              <w:pStyle w:val="TableText"/>
            </w:pPr>
            <w:r w:rsidRPr="00066D49">
              <w:t>VBECS supports the scanning of ISBT 128 special testing information barcodes by detecting the appropriate hidden identifiers. Once the hidden identifier is removed, the special testing code is a varying length of digits, depending on the type of special testing barcode scanned.</w:t>
            </w:r>
          </w:p>
        </w:tc>
      </w:tr>
    </w:tbl>
    <w:p w14:paraId="7535979E" w14:textId="77777777" w:rsidR="00C1162B" w:rsidRDefault="00C1162B"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657B4" w14:paraId="28B09955"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40681DC" w14:textId="77777777" w:rsidR="003F0440" w:rsidRPr="003657B4" w:rsidRDefault="003F0440" w:rsidP="002D126B">
            <w:pPr>
              <w:pStyle w:val="TableText"/>
              <w:rPr>
                <w:b/>
              </w:rPr>
            </w:pPr>
            <w:r w:rsidRPr="003657B4">
              <w:rPr>
                <w:b/>
              </w:rPr>
              <w:t>Enter Daily QC Results</w:t>
            </w:r>
          </w:p>
        </w:tc>
      </w:tr>
      <w:tr w:rsidR="003F0440" w:rsidRPr="00725902" w14:paraId="39666E40"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9F72580" w14:textId="77777777" w:rsidR="003F0440" w:rsidRPr="00725902" w:rsidRDefault="003F0440" w:rsidP="002D126B">
            <w:pPr>
              <w:pStyle w:val="TableText"/>
            </w:pPr>
            <w:r>
              <w:t xml:space="preserve">Additional user-defined reagent types not available in Configure Daily QC or Enter Daily QC Results are not part of a reagent rack’s daily QC testing. </w:t>
            </w:r>
          </w:p>
        </w:tc>
      </w:tr>
    </w:tbl>
    <w:p w14:paraId="29A0636B" w14:textId="77777777" w:rsidR="00A04F10" w:rsidRDefault="00A04F10"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290344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912D55E" w14:textId="77777777" w:rsidR="003F0440" w:rsidRPr="00D65A81" w:rsidRDefault="003F0440" w:rsidP="002D126B">
            <w:pPr>
              <w:pStyle w:val="TableText"/>
              <w:rPr>
                <w:b/>
              </w:rPr>
            </w:pPr>
            <w:r w:rsidRPr="00D65A81">
              <w:rPr>
                <w:b/>
              </w:rPr>
              <w:t>Equipment</w:t>
            </w:r>
          </w:p>
        </w:tc>
      </w:tr>
      <w:tr w:rsidR="003F0440" w:rsidRPr="00725902" w14:paraId="7759806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132DD1D" w14:textId="77777777" w:rsidR="003F0440" w:rsidRPr="00725902" w:rsidRDefault="003F0440" w:rsidP="002D126B">
            <w:pPr>
              <w:pStyle w:val="TableText"/>
            </w:pPr>
            <w:r>
              <w:t>VBECS does not check for duplicate entries of equipment names and identifiers.</w:t>
            </w:r>
          </w:p>
        </w:tc>
      </w:tr>
      <w:tr w:rsidR="003F0440" w:rsidRPr="00725902" w14:paraId="643A01F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9F7AE2" w14:textId="77777777" w:rsidR="003F0440" w:rsidRPr="00725902" w:rsidRDefault="003F0440" w:rsidP="002D126B">
            <w:pPr>
              <w:pStyle w:val="TableText"/>
            </w:pPr>
            <w:r>
              <w:t>There is no retrospective data entry or user selection for th</w:t>
            </w:r>
            <w:r w:rsidR="00932460">
              <w:t>is option</w:t>
            </w:r>
            <w:r>
              <w:t>.</w:t>
            </w:r>
          </w:p>
        </w:tc>
      </w:tr>
    </w:tbl>
    <w:p w14:paraId="206B81EF" w14:textId="77777777" w:rsidR="00E039E6" w:rsidRDefault="00E039E6"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D7E27" w14:paraId="431D7FD0"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7646FAF" w14:textId="77777777" w:rsidR="003F0440" w:rsidRPr="00CD7E27" w:rsidRDefault="003F0440" w:rsidP="002D126B">
            <w:pPr>
              <w:pStyle w:val="TableText"/>
              <w:rPr>
                <w:b/>
              </w:rPr>
            </w:pPr>
            <w:r w:rsidRPr="00CD7E27">
              <w:rPr>
                <w:b/>
              </w:rPr>
              <w:t>Exception Report</w:t>
            </w:r>
          </w:p>
        </w:tc>
      </w:tr>
      <w:tr w:rsidR="003F0440" w:rsidRPr="00725902" w14:paraId="3EDA710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BD3656" w14:textId="77777777" w:rsidR="003F0440" w:rsidRPr="00725902" w:rsidRDefault="00B97396" w:rsidP="002D126B">
            <w:pPr>
              <w:pStyle w:val="TableText"/>
            </w:pPr>
            <w:r>
              <w:t>VBECS does not accommodate online review (verification, signature) of reports.</w:t>
            </w:r>
          </w:p>
        </w:tc>
      </w:tr>
      <w:tr w:rsidR="006E2623" w:rsidRPr="00725902" w14:paraId="78C6C35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D2F4068" w14:textId="77777777" w:rsidR="006E2623" w:rsidRDefault="006E2623" w:rsidP="002D126B">
            <w:pPr>
              <w:pStyle w:val="TableText"/>
            </w:pPr>
            <w:r>
              <w:t>Only the first twenty patient antigens will print on the report when an exception is generated for a unit issued with unsatisfied antigen negative requirements.</w:t>
            </w:r>
            <w:r w:rsidRPr="006E2623">
              <w:rPr>
                <w:vanish/>
              </w:rPr>
              <w:t xml:space="preserve"> DR 4820</w:t>
            </w:r>
          </w:p>
        </w:tc>
      </w:tr>
      <w:tr w:rsidR="00A570C0" w:rsidRPr="00725902" w14:paraId="010AF29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A89FE6" w14:textId="6B7A0EAC" w:rsidR="00A570C0" w:rsidRDefault="00A3133F" w:rsidP="002D126B">
            <w:pPr>
              <w:pStyle w:val="TableText"/>
            </w:pPr>
            <w:r>
              <w:t>In some areas of the report, the user ID is displayed instead of the user name.</w:t>
            </w:r>
            <w:r w:rsidR="00703803">
              <w:t xml:space="preserve"> </w:t>
            </w:r>
            <w:r w:rsidR="00703803" w:rsidRPr="00703803">
              <w:rPr>
                <w:vanish/>
              </w:rPr>
              <w:t>Defect 209133</w:t>
            </w:r>
          </w:p>
        </w:tc>
      </w:tr>
      <w:tr w:rsidR="00E04548" w:rsidRPr="00725902" w14:paraId="5FC89D8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7DEF779" w14:textId="7475847D" w:rsidR="00E04548" w:rsidRDefault="00F04B98" w:rsidP="002D126B">
            <w:pPr>
              <w:pStyle w:val="TableText"/>
            </w:pPr>
            <w:r w:rsidRPr="00F04B98">
              <w:t>The Exception Date displayed is not consistently recorded to data records. It will either be the time the user entered the exception comment or the time the user saved the data record</w:t>
            </w:r>
            <w:r w:rsidR="00E04548">
              <w:t>.</w:t>
            </w:r>
            <w:r w:rsidR="00676CAC" w:rsidRPr="00BA05F4">
              <w:rPr>
                <w:vanish/>
              </w:rPr>
              <w:t xml:space="preserve"> Defect 208987</w:t>
            </w:r>
          </w:p>
        </w:tc>
      </w:tr>
    </w:tbl>
    <w:p w14:paraId="7C40366B" w14:textId="77777777" w:rsidR="00142675" w:rsidRDefault="00142675" w:rsidP="00E039E6">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484"/>
        <w:gridCol w:w="5336"/>
        <w:gridCol w:w="3056"/>
        <w:gridCol w:w="484"/>
      </w:tblGrid>
      <w:tr w:rsidR="003F0440" w:rsidRPr="00725902" w14:paraId="14193451" w14:textId="77777777">
        <w:trPr>
          <w:cantSplit/>
          <w:tblHead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B3B3B3"/>
            <w:vAlign w:val="bottom"/>
          </w:tcPr>
          <w:p w14:paraId="02B926FC" w14:textId="77777777" w:rsidR="003F0440" w:rsidRPr="00D65A81" w:rsidRDefault="003F0440" w:rsidP="002D126B">
            <w:pPr>
              <w:pStyle w:val="TableText"/>
              <w:rPr>
                <w:b/>
              </w:rPr>
            </w:pPr>
            <w:r w:rsidRPr="00D65A81">
              <w:rPr>
                <w:b/>
              </w:rPr>
              <w:t>Finalize/Print TRW</w:t>
            </w:r>
          </w:p>
        </w:tc>
      </w:tr>
      <w:tr w:rsidR="003F0440" w:rsidRPr="00725902" w14:paraId="53C505F8"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vAlign w:val="bottom"/>
          </w:tcPr>
          <w:p w14:paraId="25F8C5B2" w14:textId="1656D706" w:rsidR="003F0440" w:rsidRPr="00725902" w:rsidRDefault="00142675" w:rsidP="002D126B">
            <w:pPr>
              <w:pStyle w:val="TableText"/>
            </w:pPr>
            <w:r>
              <w:t>The user cannot</w:t>
            </w:r>
            <w:r w:rsidRPr="00D23EF9">
              <w:t xml:space="preserve"> invalidate </w:t>
            </w:r>
            <w:r>
              <w:t xml:space="preserve">or change </w:t>
            </w:r>
            <w:r w:rsidRPr="00D23EF9">
              <w:t>a finalized TRW.</w:t>
            </w:r>
            <w:r w:rsidR="00C230C9">
              <w:t xml:space="preserve"> Contact the Service</w:t>
            </w:r>
            <w:r>
              <w:t xml:space="preserve"> Desk if a TRW needs to be updated after finalization.</w:t>
            </w:r>
            <w:r w:rsidR="00676CAC" w:rsidRPr="00FF7FFA">
              <w:rPr>
                <w:vanish/>
              </w:rPr>
              <w:t xml:space="preserve"> Defect 212150</w:t>
            </w:r>
          </w:p>
        </w:tc>
      </w:tr>
      <w:tr w:rsidR="003F0440" w:rsidRPr="00725902" w14:paraId="5FD073BE"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vAlign w:val="bottom"/>
          </w:tcPr>
          <w:p w14:paraId="4882DFCC" w14:textId="77777777" w:rsidR="003F0440" w:rsidRDefault="003F0440" w:rsidP="002D126B">
            <w:pPr>
              <w:pStyle w:val="TableText"/>
            </w:pPr>
            <w:r>
              <w:t>Transfusion reaction reports are not available to clinicians through CPRS: they must be printed and filed with patient charts.</w:t>
            </w:r>
          </w:p>
        </w:tc>
      </w:tr>
      <w:tr w:rsidR="00D03D1B" w:rsidRPr="00725902" w14:paraId="3BFAF5A3"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auto"/>
            <w:vAlign w:val="bottom"/>
          </w:tcPr>
          <w:p w14:paraId="26F91081" w14:textId="5F657657" w:rsidR="00D03D1B" w:rsidRDefault="00D03D1B" w:rsidP="00D03D1B">
            <w:pPr>
              <w:pStyle w:val="TableText"/>
            </w:pPr>
            <w:r>
              <w:t xml:space="preserve">There is no scroll bar on the TRW Serologic Tests tab. This limits the number of visible implicated units to ten (10). When more than ten (10) units are implicated in the transfusion reaction, order additional TRW test(s) as required. </w:t>
            </w:r>
            <w:r w:rsidRPr="00780C90">
              <w:rPr>
                <w:vanish/>
              </w:rPr>
              <w:t>Defect 577597</w:t>
            </w:r>
          </w:p>
        </w:tc>
      </w:tr>
      <w:tr w:rsidR="00C26EE9" w:rsidRPr="00725902" w14:paraId="0A4C89AC" w14:textId="77777777">
        <w:trPr>
          <w:cantSplit/>
        </w:trPr>
        <w:tc>
          <w:tcPr>
            <w:tcW w:w="9360" w:type="dxa"/>
            <w:gridSpan w:val="4"/>
            <w:tcBorders>
              <w:top w:val="single" w:sz="6" w:space="0" w:color="000000"/>
              <w:left w:val="single" w:sz="6" w:space="0" w:color="000000"/>
              <w:bottom w:val="nil"/>
              <w:right w:val="single" w:sz="6" w:space="0" w:color="000000"/>
            </w:tcBorders>
            <w:shd w:val="clear" w:color="auto" w:fill="auto"/>
            <w:vAlign w:val="bottom"/>
          </w:tcPr>
          <w:p w14:paraId="5AF529AC" w14:textId="77777777" w:rsidR="00C26EE9" w:rsidRDefault="00C26EE9" w:rsidP="002D126B">
            <w:pPr>
              <w:pStyle w:val="TableText"/>
            </w:pPr>
            <w:r>
              <w:t>VBECS displays these default values for transfusion reactions converted from VistA to VBECS. They do not reflect actual interpretations or results:</w:t>
            </w:r>
            <w:r>
              <w:rPr>
                <w:vanish/>
              </w:rPr>
              <w:t xml:space="preserve"> (DR 2,</w:t>
            </w:r>
            <w:r w:rsidRPr="00FF5006">
              <w:rPr>
                <w:vanish/>
              </w:rPr>
              <w:t>724)</w:t>
            </w:r>
          </w:p>
        </w:tc>
      </w:tr>
      <w:tr w:rsidR="00C26EE9" w:rsidRPr="00725902" w14:paraId="30B73F29" w14:textId="77777777">
        <w:trPr>
          <w:cantSplit/>
        </w:trPr>
        <w:tc>
          <w:tcPr>
            <w:tcW w:w="484" w:type="dxa"/>
            <w:vMerge w:val="restart"/>
            <w:tcBorders>
              <w:top w:val="nil"/>
              <w:left w:val="single" w:sz="6" w:space="0" w:color="000000"/>
              <w:bottom w:val="single" w:sz="6" w:space="0" w:color="000000"/>
              <w:right w:val="single" w:sz="6" w:space="0" w:color="000000"/>
            </w:tcBorders>
            <w:shd w:val="clear" w:color="auto" w:fill="auto"/>
          </w:tcPr>
          <w:p w14:paraId="354A4B53" w14:textId="77777777" w:rsidR="00C26EE9" w:rsidRPr="00FF5006" w:rsidRDefault="00C26EE9" w:rsidP="003F40DD">
            <w:pPr>
              <w:pStyle w:val="TableText"/>
              <w:rPr>
                <w:b/>
              </w:rPr>
            </w:pPr>
          </w:p>
        </w:tc>
        <w:tc>
          <w:tcPr>
            <w:tcW w:w="5336" w:type="dxa"/>
            <w:tcBorders>
              <w:top w:val="single" w:sz="6" w:space="0" w:color="000000"/>
              <w:left w:val="single" w:sz="6" w:space="0" w:color="000000"/>
              <w:bottom w:val="single" w:sz="6" w:space="0" w:color="000000"/>
              <w:right w:val="single" w:sz="6" w:space="0" w:color="000000"/>
            </w:tcBorders>
            <w:shd w:val="clear" w:color="auto" w:fill="B3B3B3"/>
          </w:tcPr>
          <w:p w14:paraId="7E387FB2" w14:textId="77777777" w:rsidR="00C26EE9" w:rsidRPr="00FF5006" w:rsidRDefault="00C26EE9" w:rsidP="003F40DD">
            <w:pPr>
              <w:pStyle w:val="TableText"/>
              <w:rPr>
                <w:b/>
              </w:rPr>
            </w:pPr>
            <w:r w:rsidRPr="00FF5006">
              <w:rPr>
                <w:b/>
              </w:rPr>
              <w:t>Converted Transfusion Reaction</w:t>
            </w:r>
          </w:p>
        </w:tc>
        <w:tc>
          <w:tcPr>
            <w:tcW w:w="3056" w:type="dxa"/>
            <w:tcBorders>
              <w:top w:val="single" w:sz="6" w:space="0" w:color="000000"/>
              <w:left w:val="single" w:sz="6" w:space="0" w:color="000000"/>
              <w:bottom w:val="single" w:sz="6" w:space="0" w:color="000000"/>
              <w:right w:val="single" w:sz="6" w:space="0" w:color="000000"/>
            </w:tcBorders>
            <w:shd w:val="clear" w:color="auto" w:fill="B3B3B3"/>
          </w:tcPr>
          <w:p w14:paraId="5887D9FB" w14:textId="77777777" w:rsidR="00C26EE9" w:rsidRPr="00FF5006" w:rsidRDefault="00C26EE9" w:rsidP="003F40DD">
            <w:pPr>
              <w:pStyle w:val="TableText"/>
              <w:rPr>
                <w:b/>
              </w:rPr>
            </w:pPr>
            <w:r w:rsidRPr="00FF5006">
              <w:rPr>
                <w:b/>
              </w:rPr>
              <w:t>Default</w:t>
            </w:r>
          </w:p>
        </w:tc>
        <w:tc>
          <w:tcPr>
            <w:tcW w:w="484" w:type="dxa"/>
            <w:vMerge w:val="restart"/>
            <w:tcBorders>
              <w:top w:val="nil"/>
              <w:left w:val="single" w:sz="6" w:space="0" w:color="000000"/>
              <w:bottom w:val="single" w:sz="6" w:space="0" w:color="000000"/>
              <w:right w:val="single" w:sz="6" w:space="0" w:color="000000"/>
            </w:tcBorders>
            <w:shd w:val="clear" w:color="auto" w:fill="auto"/>
          </w:tcPr>
          <w:p w14:paraId="6EC25802" w14:textId="77777777" w:rsidR="00C26EE9" w:rsidRPr="00FF5006" w:rsidRDefault="00C26EE9" w:rsidP="003F40DD">
            <w:pPr>
              <w:pStyle w:val="TableText"/>
              <w:rPr>
                <w:b/>
              </w:rPr>
            </w:pPr>
          </w:p>
        </w:tc>
      </w:tr>
      <w:tr w:rsidR="00C26EE9" w:rsidRPr="00725902" w14:paraId="1DA0E88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00FEDA3F"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C0747E7" w14:textId="77777777" w:rsidR="00C26EE9" w:rsidRDefault="00C26EE9" w:rsidP="003F40DD">
            <w:pPr>
              <w:pStyle w:val="TableText"/>
            </w:pPr>
            <w:r>
              <w:t xml:space="preserve">Pre-Transfusion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4E5E386B" w14:textId="77777777" w:rsidR="00C26EE9" w:rsidRDefault="00C26EE9"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0FA73B76" w14:textId="77777777" w:rsidR="00C26EE9" w:rsidRDefault="00C26EE9" w:rsidP="003F40DD">
            <w:pPr>
              <w:pStyle w:val="TableText"/>
            </w:pPr>
          </w:p>
        </w:tc>
      </w:tr>
      <w:tr w:rsidR="00C26EE9" w:rsidRPr="00725902" w14:paraId="6A39259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410426AE"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574CB32E" w14:textId="77777777" w:rsidR="00C26EE9" w:rsidRDefault="00C26EE9" w:rsidP="003F40DD">
            <w:pPr>
              <w:pStyle w:val="TableText"/>
            </w:pPr>
            <w:r>
              <w:t xml:space="preserve">Post-Transfusion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482E0FA" w14:textId="77777777" w:rsidR="00C26EE9" w:rsidRDefault="00C26EE9"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1BFD9490" w14:textId="77777777" w:rsidR="00C26EE9" w:rsidRDefault="00C26EE9" w:rsidP="003F40DD">
            <w:pPr>
              <w:pStyle w:val="TableText"/>
            </w:pPr>
          </w:p>
        </w:tc>
      </w:tr>
      <w:tr w:rsidR="00C26EE9" w:rsidRPr="00725902" w14:paraId="2F8A1ED4"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2D62E991"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6A73ADD" w14:textId="77777777" w:rsidR="00C26EE9" w:rsidRDefault="00D35B68" w:rsidP="003F40DD">
            <w:pPr>
              <w:pStyle w:val="TableText"/>
            </w:pPr>
            <w:r>
              <w:t>Symptom</w:t>
            </w:r>
            <w:r w:rsidR="00C26EE9">
              <w: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188A0C4D" w14:textId="77777777" w:rsidR="00C26EE9" w:rsidRDefault="00C26EE9" w:rsidP="003F40DD">
            <w:pPr>
              <w:pStyle w:val="TableText"/>
            </w:pPr>
            <w:r>
              <w:t>No symptoms identified.</w:t>
            </w:r>
          </w:p>
        </w:tc>
        <w:tc>
          <w:tcPr>
            <w:tcW w:w="484" w:type="dxa"/>
            <w:vMerge/>
            <w:tcBorders>
              <w:top w:val="nil"/>
              <w:left w:val="single" w:sz="6" w:space="0" w:color="000000"/>
              <w:bottom w:val="single" w:sz="6" w:space="0" w:color="000000"/>
              <w:right w:val="single" w:sz="6" w:space="0" w:color="000000"/>
            </w:tcBorders>
            <w:shd w:val="clear" w:color="auto" w:fill="auto"/>
          </w:tcPr>
          <w:p w14:paraId="03069B8D" w14:textId="77777777" w:rsidR="00C26EE9" w:rsidRDefault="00C26EE9" w:rsidP="003F40DD">
            <w:pPr>
              <w:pStyle w:val="TableText"/>
            </w:pPr>
          </w:p>
        </w:tc>
      </w:tr>
      <w:tr w:rsidR="00C26EE9" w:rsidRPr="00725902" w14:paraId="1BADA70D"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0CD841B"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751EF87" w14:textId="77777777" w:rsidR="00C26EE9" w:rsidRDefault="00C26EE9" w:rsidP="003F40DD">
            <w:pPr>
              <w:pStyle w:val="TableText"/>
            </w:pPr>
            <w:r>
              <w:t>Implicated units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2D5EE137" w14:textId="77777777" w:rsidR="00C26EE9" w:rsidRDefault="00C26EE9" w:rsidP="003F40DD">
            <w:pPr>
              <w:pStyle w:val="TableText"/>
            </w:pPr>
            <w:r>
              <w:t>No units implicated in reaction.</w:t>
            </w:r>
          </w:p>
        </w:tc>
        <w:tc>
          <w:tcPr>
            <w:tcW w:w="484" w:type="dxa"/>
            <w:vMerge/>
            <w:tcBorders>
              <w:top w:val="nil"/>
              <w:left w:val="single" w:sz="6" w:space="0" w:color="000000"/>
              <w:bottom w:val="single" w:sz="6" w:space="0" w:color="000000"/>
              <w:right w:val="single" w:sz="6" w:space="0" w:color="000000"/>
            </w:tcBorders>
            <w:shd w:val="clear" w:color="auto" w:fill="auto"/>
          </w:tcPr>
          <w:p w14:paraId="2BF2C649" w14:textId="77777777" w:rsidR="00C26EE9" w:rsidRDefault="00C26EE9" w:rsidP="003F40DD">
            <w:pPr>
              <w:pStyle w:val="TableText"/>
            </w:pPr>
          </w:p>
        </w:tc>
      </w:tr>
      <w:tr w:rsidR="00C26EE9" w:rsidRPr="00725902" w14:paraId="4361A692"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FEE70F7" w14:textId="77777777" w:rsidR="00C26EE9" w:rsidRDefault="00C26EE9"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2970AC5E" w14:textId="77777777" w:rsidR="00C26EE9" w:rsidRDefault="00C26EE9" w:rsidP="003F40DD">
            <w:pPr>
              <w:pStyle w:val="TableText"/>
            </w:pPr>
            <w:r>
              <w:t>Serologic tests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629156B5" w14:textId="77777777" w:rsidR="00C26EE9" w:rsidRDefault="00C26EE9" w:rsidP="003F40DD">
            <w:pPr>
              <w:pStyle w:val="TableText"/>
            </w:pPr>
            <w:r>
              <w:t>No serologic tests performed.</w:t>
            </w:r>
          </w:p>
        </w:tc>
        <w:tc>
          <w:tcPr>
            <w:tcW w:w="484" w:type="dxa"/>
            <w:vMerge/>
            <w:tcBorders>
              <w:top w:val="nil"/>
              <w:left w:val="single" w:sz="6" w:space="0" w:color="000000"/>
              <w:bottom w:val="single" w:sz="6" w:space="0" w:color="000000"/>
              <w:right w:val="single" w:sz="6" w:space="0" w:color="000000"/>
            </w:tcBorders>
            <w:shd w:val="clear" w:color="auto" w:fill="auto"/>
          </w:tcPr>
          <w:p w14:paraId="7CB83F4F" w14:textId="77777777" w:rsidR="00C26EE9" w:rsidRDefault="00C26EE9" w:rsidP="003F40DD">
            <w:pPr>
              <w:pStyle w:val="TableText"/>
            </w:pPr>
          </w:p>
        </w:tc>
      </w:tr>
    </w:tbl>
    <w:p w14:paraId="14400609"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2914EAB1"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7343652" w14:textId="77777777" w:rsidR="003F0440" w:rsidRPr="00D65A81" w:rsidRDefault="003F0440" w:rsidP="002D126B">
            <w:pPr>
              <w:pStyle w:val="TableText"/>
              <w:rPr>
                <w:b/>
              </w:rPr>
            </w:pPr>
            <w:r w:rsidRPr="00D65A81">
              <w:rPr>
                <w:b/>
              </w:rPr>
              <w:t>Free Directed Unit For Crossover</w:t>
            </w:r>
          </w:p>
        </w:tc>
      </w:tr>
      <w:tr w:rsidR="003F0440" w:rsidRPr="00725902" w14:paraId="14F0FD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27C485E" w14:textId="77777777" w:rsidR="003F0440" w:rsidRPr="00725902" w:rsidRDefault="003F0440" w:rsidP="002D126B">
            <w:pPr>
              <w:pStyle w:val="TableText"/>
            </w:pPr>
            <w:r>
              <w:t xml:space="preserve">The unit must not be in a final status to release the restriction. </w:t>
            </w:r>
          </w:p>
        </w:tc>
      </w:tr>
      <w:tr w:rsidR="003F0440" w:rsidRPr="00725902" w14:paraId="5467808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C2FE4BF" w14:textId="77777777" w:rsidR="003F0440" w:rsidRPr="00725902" w:rsidRDefault="003F0440" w:rsidP="002D126B">
            <w:pPr>
              <w:pStyle w:val="TableText"/>
            </w:pPr>
            <w:r>
              <w:t>This option does not allow the removal of patient restrictions for most of the ISBT donation types that are eligible for crossover.</w:t>
            </w:r>
          </w:p>
        </w:tc>
      </w:tr>
      <w:tr w:rsidR="003F0440" w:rsidRPr="00725902" w14:paraId="31A3588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1BB8328" w14:textId="77777777" w:rsidR="003F0440" w:rsidRPr="00725902" w:rsidRDefault="003F0440" w:rsidP="002D126B">
            <w:pPr>
              <w:pStyle w:val="TableText"/>
            </w:pPr>
            <w:r>
              <w:t>This option cannot process multiple directed units simultaneously.</w:t>
            </w:r>
          </w:p>
        </w:tc>
      </w:tr>
    </w:tbl>
    <w:p w14:paraId="6287A8A0"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4EC2129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95CF8D1" w14:textId="77777777" w:rsidR="003F0440" w:rsidRPr="007540C1" w:rsidRDefault="003F0440" w:rsidP="002D126B">
            <w:pPr>
              <w:pStyle w:val="TableText"/>
              <w:rPr>
                <w:b/>
              </w:rPr>
            </w:pPr>
            <w:r w:rsidRPr="007540C1">
              <w:rPr>
                <w:b/>
              </w:rPr>
              <w:t>Incoming Shipment</w:t>
            </w:r>
          </w:p>
        </w:tc>
      </w:tr>
      <w:tr w:rsidR="00D153E8" w:rsidRPr="00725902" w14:paraId="2BA892D9" w14:textId="77777777" w:rsidTr="00615FC3">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4988EBC" w14:textId="77777777" w:rsidR="00D153E8" w:rsidRPr="00725902" w:rsidRDefault="00D153E8" w:rsidP="00615FC3">
            <w:pPr>
              <w:pStyle w:val="TableText"/>
            </w:pPr>
            <w:r w:rsidRPr="009212B0">
              <w:t>VBECS does not check whether blood products with the same unit ID and different product codes are the same blood type.</w:t>
            </w:r>
          </w:p>
        </w:tc>
      </w:tr>
      <w:tr w:rsidR="003F0440" w:rsidRPr="00725902" w14:paraId="67301D7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650DCB7" w14:textId="77777777" w:rsidR="003F0440" w:rsidRPr="00725902" w:rsidRDefault="003F0440" w:rsidP="002D126B">
            <w:pPr>
              <w:pStyle w:val="TableText"/>
            </w:pPr>
            <w:r>
              <w:t>VBECS d</w:t>
            </w:r>
            <w:r w:rsidRPr="00F862E5">
              <w:t xml:space="preserve">oes not </w:t>
            </w:r>
            <w:r>
              <w:t>compare</w:t>
            </w:r>
            <w:r w:rsidRPr="00F862E5">
              <w:t xml:space="preserve"> </w:t>
            </w:r>
            <w:r>
              <w:t xml:space="preserve">the ABO/Rh </w:t>
            </w:r>
            <w:r w:rsidRPr="00F862E5">
              <w:t xml:space="preserve">of </w:t>
            </w:r>
            <w:r>
              <w:t>an</w:t>
            </w:r>
            <w:r w:rsidRPr="00F862E5">
              <w:t xml:space="preserve"> </w:t>
            </w:r>
            <w:r>
              <w:t>a</w:t>
            </w:r>
            <w:r w:rsidRPr="00F862E5">
              <w:t xml:space="preserve">utologous unit </w:t>
            </w:r>
            <w:r>
              <w:t xml:space="preserve">or display a message when the ABO/Rh </w:t>
            </w:r>
            <w:r w:rsidRPr="00F862E5">
              <w:t xml:space="preserve">is incompatible with the </w:t>
            </w:r>
            <w:r>
              <w:t>r</w:t>
            </w:r>
            <w:r w:rsidRPr="00F862E5">
              <w:t xml:space="preserve">estricted </w:t>
            </w:r>
            <w:r>
              <w:t>f</w:t>
            </w:r>
            <w:r w:rsidRPr="00F862E5">
              <w:t>or patient</w:t>
            </w:r>
            <w:r>
              <w:t>.</w:t>
            </w:r>
          </w:p>
        </w:tc>
      </w:tr>
      <w:tr w:rsidR="00A06C7F" w:rsidRPr="00725902" w14:paraId="54899B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BE8296A" w14:textId="63D6F4A8" w:rsidR="00A06C7F" w:rsidRPr="009212B0" w:rsidRDefault="00A06C7F" w:rsidP="005364D9">
            <w:pPr>
              <w:pStyle w:val="TableText"/>
            </w:pPr>
            <w:r w:rsidRPr="009A667D">
              <w:t>When a product type, code, or</w:t>
            </w:r>
            <w:r w:rsidRPr="009A667D">
              <w:rPr>
                <w:i/>
              </w:rPr>
              <w:t xml:space="preserve"> </w:t>
            </w:r>
            <w:r w:rsidRPr="009A667D">
              <w:t>local code is not in</w:t>
            </w:r>
            <w:r>
              <w:t xml:space="preserve"> VBECS or a blood supplier creates a product code, contact the </w:t>
            </w:r>
            <w:r w:rsidR="005364D9">
              <w:t>Service</w:t>
            </w:r>
            <w:r>
              <w:t xml:space="preserve"> Desk. See Customer Support for contact information.</w:t>
            </w:r>
          </w:p>
        </w:tc>
      </w:tr>
      <w:tr w:rsidR="00E85B7C" w:rsidRPr="00725902" w14:paraId="33828110"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3E252ED5" w14:textId="6D172A5F" w:rsidR="00E85B7C" w:rsidRPr="009A667D" w:rsidRDefault="003D07AE" w:rsidP="005364D9">
            <w:pPr>
              <w:pStyle w:val="TableText"/>
            </w:pPr>
            <w:r w:rsidRPr="00E63663">
              <w:rPr>
                <w:vanish/>
              </w:rPr>
              <w:t xml:space="preserve">BR_1.72 </w:t>
            </w:r>
            <w:r w:rsidR="00E85B7C">
              <w:t>The user may not save the unit record until the donation type and its requirements are satisfied.</w:t>
            </w:r>
          </w:p>
        </w:tc>
      </w:tr>
      <w:tr w:rsidR="00E85B7C" w:rsidRPr="00725902" w14:paraId="3C7BE75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9E1AEE" w14:textId="77777777" w:rsidR="00E85B7C" w:rsidRDefault="00E85B7C" w:rsidP="005364D9">
            <w:pPr>
              <w:pStyle w:val="TableText"/>
            </w:pPr>
            <w:r>
              <w:t>No longer supports the entry of blood products labeled in Codabar label type to new or existing invoices.</w:t>
            </w:r>
          </w:p>
        </w:tc>
      </w:tr>
      <w:tr w:rsidR="00E57D56" w:rsidRPr="00725902" w14:paraId="75700E3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65D382" w14:textId="0E4B075C" w:rsidR="00E57D56" w:rsidRPr="009212B0" w:rsidRDefault="003D07AE" w:rsidP="00E57D56">
            <w:pPr>
              <w:pStyle w:val="TableText"/>
            </w:pPr>
            <w:r w:rsidRPr="003D07AE">
              <w:t>The default unit expiration [Maximum Storage Time (MST)] is set to the longest possible storage time based on product type, core condition, attributes, and available references as a guide, but a user with the Traditional Supervisor role or higher can override the default MST  (see Blood Products section for more info). The MST is set at a higher level than an individual collection product code. VBECS does not know the specific collection details.  It is the responsibility of each user to accurately enter and process any one blood unit based on its expiration date/time as labeled by the collection facility</w:t>
            </w:r>
            <w:r w:rsidR="00E57D56" w:rsidRPr="008C1BD3">
              <w:t>.</w:t>
            </w:r>
            <w:r w:rsidR="00E57D56" w:rsidRPr="00E57D56">
              <w:t xml:space="preserve"> </w:t>
            </w:r>
            <w:r w:rsidR="00E57D56" w:rsidRPr="00E57D56">
              <w:rPr>
                <w:vanish/>
              </w:rPr>
              <w:t>Task 1280</w:t>
            </w:r>
          </w:p>
        </w:tc>
      </w:tr>
      <w:tr w:rsidR="003F0440" w:rsidRPr="00725902" w14:paraId="45082B2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4B59455" w14:textId="77777777" w:rsidR="003F0440" w:rsidRPr="00725902" w:rsidRDefault="003F0440" w:rsidP="002D126B">
            <w:pPr>
              <w:pStyle w:val="TableText"/>
            </w:pPr>
            <w:r w:rsidRPr="009212B0">
              <w:t>When blood products intended for quarantine are scanned, VBECS does not automatically quarantine them: the user must do so.</w:t>
            </w:r>
          </w:p>
        </w:tc>
      </w:tr>
      <w:tr w:rsidR="003F0440" w:rsidRPr="00725902" w14:paraId="5AB02FA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93D06F" w14:textId="77777777" w:rsidR="003F0440" w:rsidRPr="00725902" w:rsidRDefault="001C6E63" w:rsidP="002D126B">
            <w:pPr>
              <w:pStyle w:val="TableText"/>
            </w:pPr>
            <w:r>
              <w:t>VBECS does not recognize</w:t>
            </w:r>
            <w:r w:rsidR="003F0440" w:rsidRPr="009212B0">
              <w:t xml:space="preserve"> scan</w:t>
            </w:r>
            <w:r>
              <w:t>ned</w:t>
            </w:r>
            <w:r w:rsidR="003F0440" w:rsidRPr="009212B0">
              <w:t xml:space="preserve"> labels for </w:t>
            </w:r>
            <w:r w:rsidR="003F0440">
              <w:t>para-Bombay or B</w:t>
            </w:r>
            <w:r w:rsidR="003F0440" w:rsidRPr="009212B0">
              <w:t>ombay ISBT units.</w:t>
            </w:r>
          </w:p>
        </w:tc>
      </w:tr>
      <w:tr w:rsidR="00D153E8" w:rsidRPr="00725902" w14:paraId="04CCF261" w14:textId="77777777" w:rsidTr="00615FC3">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56DEA94" w14:textId="0D4CF2EA" w:rsidR="00D153E8" w:rsidRPr="00725902" w:rsidRDefault="00D153E8" w:rsidP="00615FC3">
            <w:pPr>
              <w:pStyle w:val="TableText"/>
            </w:pPr>
            <w:r>
              <w:t>VBECS does not allow duplicate IDs for the same product code.</w:t>
            </w:r>
          </w:p>
        </w:tc>
      </w:tr>
      <w:tr w:rsidR="003F0440" w:rsidRPr="00725902" w14:paraId="078A647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DCAC8E9" w14:textId="77777777" w:rsidR="003F0440" w:rsidRPr="00725902" w:rsidRDefault="003F0440" w:rsidP="002D126B">
            <w:pPr>
              <w:pStyle w:val="TableText"/>
            </w:pPr>
            <w:r>
              <w:t>When a user scans a p</w:t>
            </w:r>
            <w:r w:rsidRPr="00452BA4">
              <w:t xml:space="preserve">roduct </w:t>
            </w:r>
            <w:r>
              <w:t>c</w:t>
            </w:r>
            <w:r w:rsidRPr="00452BA4">
              <w:t xml:space="preserve">ode </w:t>
            </w:r>
            <w:r>
              <w:t>or</w:t>
            </w:r>
            <w:r w:rsidRPr="00452BA4">
              <w:t xml:space="preserve"> </w:t>
            </w:r>
            <w:r>
              <w:t>e</w:t>
            </w:r>
            <w:r w:rsidRPr="00452BA4">
              <w:t xml:space="preserve">xpiration </w:t>
            </w:r>
            <w:r>
              <w:t>d</w:t>
            </w:r>
            <w:r w:rsidRPr="00452BA4">
              <w:t>ate barcode in the Unit ID field</w:t>
            </w:r>
            <w:r>
              <w:t>, VBECS does not display the entered information or an</w:t>
            </w:r>
            <w:r w:rsidRPr="00452BA4">
              <w:t xml:space="preserve"> error icon. </w:t>
            </w:r>
          </w:p>
        </w:tc>
      </w:tr>
      <w:tr w:rsidR="00D153E8" w:rsidRPr="00725902" w14:paraId="1B57B6E6" w14:textId="77777777" w:rsidTr="00615FC3">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DF2EC14" w14:textId="77777777" w:rsidR="00D153E8" w:rsidRDefault="00D153E8" w:rsidP="00615FC3">
            <w:pPr>
              <w:pStyle w:val="TableText"/>
            </w:pPr>
            <w:r w:rsidRPr="004E2550">
              <w:t>VBECS supports the scanning of ISBT 128 special testing information barcodes by detecting the appropriate hidden identifiers.</w:t>
            </w:r>
            <w:r>
              <w:t xml:space="preserve"> </w:t>
            </w:r>
            <w:r w:rsidRPr="009B0984">
              <w:t>Once the hidden identifier is removed, the special testing code is a varying length of digits, depending on the type of special testing barcode scanned.</w:t>
            </w:r>
          </w:p>
        </w:tc>
      </w:tr>
      <w:tr w:rsidR="003F0440" w:rsidRPr="00725902" w14:paraId="38B103E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3D108E" w14:textId="5FF43602" w:rsidR="003F0440" w:rsidRPr="00725902" w:rsidRDefault="003F0440" w:rsidP="002D126B">
            <w:pPr>
              <w:pStyle w:val="TableText"/>
            </w:pPr>
            <w:r w:rsidRPr="00DC22C9">
              <w:t xml:space="preserve">When </w:t>
            </w:r>
            <w:r>
              <w:t>a user scans an ISBT product ID with “0” as the donation type (sixth character), VBECS indicates that the donation type is not specified. When the user selects a donation type from</w:t>
            </w:r>
            <w:r w:rsidRPr="00DC22C9">
              <w:t xml:space="preserve"> the </w:t>
            </w:r>
            <w:r w:rsidR="005131BC">
              <w:t>drop-down</w:t>
            </w:r>
            <w:r w:rsidRPr="00DC22C9">
              <w:t xml:space="preserve"> </w:t>
            </w:r>
            <w:r>
              <w:t xml:space="preserve">menu, VBECS replaces “0” with a recognizable </w:t>
            </w:r>
            <w:r w:rsidRPr="00DC22C9">
              <w:t>character in the product code text box and store</w:t>
            </w:r>
            <w:r>
              <w:t>s it as such</w:t>
            </w:r>
            <w:r w:rsidRPr="00DC22C9">
              <w:t xml:space="preserve">. </w:t>
            </w:r>
            <w:r>
              <w:t xml:space="preserve">When the user rescans the product ID, he must </w:t>
            </w:r>
            <w:r w:rsidRPr="00DC22C9">
              <w:t xml:space="preserve">manually </w:t>
            </w:r>
            <w:r>
              <w:t>replace</w:t>
            </w:r>
            <w:r w:rsidRPr="00DC22C9">
              <w:t xml:space="preserve"> </w:t>
            </w:r>
            <w:r>
              <w:t>“0” or search using the unit ID alone, or the unit ID and the first five characters of the product ID</w:t>
            </w:r>
            <w:r w:rsidRPr="00DC22C9">
              <w:t>.</w:t>
            </w:r>
            <w:r w:rsidR="00D153E8">
              <w:t xml:space="preserve"> When scanning a blood product derivative, this does not apply.</w:t>
            </w:r>
          </w:p>
        </w:tc>
      </w:tr>
      <w:tr w:rsidR="003F0440" w:rsidRPr="00725902" w14:paraId="2242BF7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F0B453" w14:textId="77777777" w:rsidR="003F0440" w:rsidRPr="00DC22C9" w:rsidRDefault="003F0440" w:rsidP="002D126B">
            <w:pPr>
              <w:pStyle w:val="TableText"/>
            </w:pPr>
            <w:r>
              <w:t>Blood product code entries in the blood product table include those from ICCBBA for ISBT 128. Product codes created after the release of VBECS cannot be entered until the updated tables are incorporated through patches to VBECS. Refuse acceptance of the unit, if possible.</w:t>
            </w:r>
            <w:r w:rsidR="003D71A3">
              <w:t xml:space="preserve"> </w:t>
            </w:r>
            <w:r>
              <w:t>U</w:t>
            </w:r>
            <w:r w:rsidRPr="009212B0">
              <w:t>ser</w:t>
            </w:r>
            <w:r>
              <w:t>s</w:t>
            </w:r>
            <w:r w:rsidRPr="009212B0">
              <w:t xml:space="preserve"> may not </w:t>
            </w:r>
            <w:r>
              <w:t>edit the blood product table.</w:t>
            </w:r>
          </w:p>
        </w:tc>
      </w:tr>
      <w:tr w:rsidR="003F0440" w:rsidRPr="00725902" w14:paraId="1B3C0FD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5B77CCF" w14:textId="77777777" w:rsidR="003F0440" w:rsidRPr="002F6D2F" w:rsidRDefault="003F0440" w:rsidP="002D126B">
            <w:pPr>
              <w:pStyle w:val="TableText"/>
            </w:pPr>
            <w:r>
              <w:t>ISBT 128 tables include blood product codes labeled as not for manufacturing or transfusion. VBECS does not restrict such products from being entered, issued, or transferred (l</w:t>
            </w:r>
            <w:r w:rsidR="00AA54D2">
              <w:t>ocal policy controls their use) and</w:t>
            </w:r>
            <w:r>
              <w:t xml:space="preserve"> does not accommodate blood modification for these products.</w:t>
            </w:r>
          </w:p>
        </w:tc>
      </w:tr>
      <w:tr w:rsidR="00155BBE" w:rsidRPr="00725902" w14:paraId="0B25EA73"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F214A23" w14:textId="0023B64C" w:rsidR="00155BBE" w:rsidRDefault="00155BBE" w:rsidP="002D126B">
            <w:pPr>
              <w:pStyle w:val="TableText"/>
            </w:pPr>
            <w:r>
              <w:t xml:space="preserve">No entry of an ICCBBA </w:t>
            </w:r>
            <w:r w:rsidRPr="00630C68">
              <w:t xml:space="preserve">Product Description Code </w:t>
            </w:r>
            <w:r>
              <w:t>starting with A, B, C, or D aka</w:t>
            </w:r>
            <w:r w:rsidRPr="00630C68">
              <w:t xml:space="preserve"> National or Local Codes A0000-D9999</w:t>
            </w:r>
            <w:r>
              <w:t>.</w:t>
            </w:r>
            <w:r w:rsidRPr="00630C68">
              <w:rPr>
                <w:i/>
              </w:rPr>
              <w:t xml:space="preserve"> If use of such a code is necessary for patient care, contact Service Desk and file a request fo</w:t>
            </w:r>
            <w:r>
              <w:rPr>
                <w:i/>
              </w:rPr>
              <w:t>r the code to be added to VBECS.</w:t>
            </w:r>
          </w:p>
        </w:tc>
      </w:tr>
    </w:tbl>
    <w:p w14:paraId="489FE710" w14:textId="5C80175F" w:rsidR="000E59E4" w:rsidRDefault="000E59E4"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1F9CB4C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9702DE0" w14:textId="34283C74" w:rsidR="003F0440" w:rsidRPr="00534C65" w:rsidRDefault="000E59E4" w:rsidP="002D126B">
            <w:pPr>
              <w:pStyle w:val="TableText"/>
              <w:rPr>
                <w:b/>
              </w:rPr>
            </w:pPr>
            <w:r>
              <w:br w:type="page"/>
            </w:r>
            <w:r w:rsidR="003F0440">
              <w:rPr>
                <w:b/>
              </w:rPr>
              <w:t>Invalidate Test Results</w:t>
            </w:r>
          </w:p>
        </w:tc>
      </w:tr>
      <w:tr w:rsidR="003F0440" w:rsidRPr="00725902" w14:paraId="20270195"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9D01E4B" w14:textId="77777777" w:rsidR="003F0440" w:rsidRPr="00A610E7" w:rsidRDefault="003F0440" w:rsidP="002D126B">
            <w:pPr>
              <w:pStyle w:val="TableText"/>
            </w:pPr>
            <w:r>
              <w:t>A user may not inactivate a component task in this option.</w:t>
            </w:r>
          </w:p>
        </w:tc>
      </w:tr>
      <w:tr w:rsidR="003F0440" w:rsidRPr="00725902" w14:paraId="7735529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3747EE8" w14:textId="77777777" w:rsidR="003F0440" w:rsidRPr="00A610E7" w:rsidRDefault="003F0440" w:rsidP="002D126B">
            <w:pPr>
              <w:pStyle w:val="TableText"/>
            </w:pPr>
            <w:r>
              <w:t>This option does not release units from patient assignment. The user must release “assigned” units before invalidating the test results.</w:t>
            </w:r>
          </w:p>
        </w:tc>
      </w:tr>
      <w:tr w:rsidR="003F0440" w:rsidRPr="00725902" w14:paraId="5B6F41CC"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AE2932" w14:textId="77777777" w:rsidR="003F0440" w:rsidRPr="00A610E7" w:rsidRDefault="003F0440" w:rsidP="002D126B">
            <w:pPr>
              <w:pStyle w:val="TableText"/>
            </w:pPr>
            <w:r>
              <w:t>T</w:t>
            </w:r>
            <w:r w:rsidRPr="001B2013">
              <w:t xml:space="preserve">o </w:t>
            </w:r>
            <w:r>
              <w:t>maintain</w:t>
            </w:r>
            <w:r w:rsidRPr="001B2013">
              <w:t xml:space="preserve"> a clear record</w:t>
            </w:r>
            <w:r>
              <w:t xml:space="preserve"> and system checks, the user must invalidate both original and repeat ABO/Rh tests</w:t>
            </w:r>
            <w:r w:rsidRPr="001B2013">
              <w:t xml:space="preserve">. </w:t>
            </w:r>
          </w:p>
        </w:tc>
      </w:tr>
      <w:tr w:rsidR="00C4014D" w:rsidRPr="00725902" w14:paraId="5A8EA8A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63C18C2" w14:textId="6A8B5E80" w:rsidR="00C4014D" w:rsidRDefault="007B38A2" w:rsidP="002D126B">
            <w:pPr>
              <w:pStyle w:val="TableText"/>
            </w:pPr>
            <w:r>
              <w:t>Do not invalidate part of the configured test. Doing this will put the specimen into a state where it cannot be processed</w:t>
            </w:r>
            <w:r w:rsidR="00676CAC">
              <w:t>. In</w:t>
            </w:r>
            <w:r>
              <w:t>validate all tests configured as part of the TAS regardless of which sub test (ABO/Rh, ABS or DAT) is the problem</w:t>
            </w:r>
            <w:r w:rsidR="00C4014D">
              <w:t xml:space="preserve">. </w:t>
            </w:r>
            <w:r w:rsidR="00676CAC" w:rsidRPr="00C17389">
              <w:rPr>
                <w:vanish/>
              </w:rPr>
              <w:t>DR 4685</w:t>
            </w:r>
            <w:r w:rsidR="00676CAC">
              <w:rPr>
                <w:vanish/>
              </w:rPr>
              <w:t xml:space="preserve"> DR 4854</w:t>
            </w:r>
          </w:p>
        </w:tc>
      </w:tr>
    </w:tbl>
    <w:p w14:paraId="2DE94199"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562E4F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8865B21" w14:textId="77777777" w:rsidR="003F0440" w:rsidRPr="00534C65" w:rsidRDefault="003F0440" w:rsidP="002D126B">
            <w:pPr>
              <w:pStyle w:val="TableText"/>
              <w:rPr>
                <w:b/>
              </w:rPr>
            </w:pPr>
            <w:r w:rsidRPr="00534C65">
              <w:rPr>
                <w:b/>
              </w:rPr>
              <w:t>Issue Blood Components</w:t>
            </w:r>
          </w:p>
        </w:tc>
      </w:tr>
      <w:tr w:rsidR="003F0440" w:rsidRPr="00725902" w14:paraId="1B4EB89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DF5D73B" w14:textId="77777777" w:rsidR="003F0440" w:rsidRPr="00725902" w:rsidRDefault="003F0440" w:rsidP="002D126B">
            <w:pPr>
              <w:pStyle w:val="TableText"/>
            </w:pPr>
            <w:r>
              <w:t xml:space="preserve">VBECS does not check </w:t>
            </w:r>
            <w:r w:rsidRPr="00F26B72">
              <w:t xml:space="preserve">for </w:t>
            </w:r>
            <w:r>
              <w:t>restricted</w:t>
            </w:r>
            <w:r w:rsidRPr="00F26B72">
              <w:t xml:space="preserve"> units </w:t>
            </w:r>
            <w:r>
              <w:t>(not</w:t>
            </w:r>
            <w:r w:rsidRPr="00F26B72">
              <w:t xml:space="preserve"> assigned to the patient</w:t>
            </w:r>
            <w:r>
              <w:t>)</w:t>
            </w:r>
            <w:r w:rsidRPr="00F26B72">
              <w:t xml:space="preserve"> received </w:t>
            </w:r>
            <w:r>
              <w:t>between selection and issue.</w:t>
            </w:r>
          </w:p>
        </w:tc>
      </w:tr>
      <w:tr w:rsidR="003F0440" w:rsidRPr="00725902" w14:paraId="6F65D49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60B6D1D" w14:textId="3F8E5B89" w:rsidR="003F0440" w:rsidRPr="00725902" w:rsidRDefault="003F0440" w:rsidP="002D126B">
            <w:pPr>
              <w:pStyle w:val="TableText"/>
            </w:pPr>
            <w:r>
              <w:t xml:space="preserve">All issue-to locations must be valid entries in the </w:t>
            </w:r>
            <w:r w:rsidRPr="00CA0045">
              <w:rPr>
                <w:bCs/>
              </w:rPr>
              <w:t>VistA</w:t>
            </w:r>
            <w:r>
              <w:t xml:space="preserve"> </w:t>
            </w:r>
            <w:r w:rsidR="00E56542">
              <w:t>HOSPITAL LOCATION (#44).</w:t>
            </w:r>
            <w:r>
              <w:t xml:space="preserve"> </w:t>
            </w:r>
          </w:p>
        </w:tc>
      </w:tr>
      <w:tr w:rsidR="00666930" w:rsidRPr="00725902" w14:paraId="0C5BFBE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09983A4" w14:textId="77777777" w:rsidR="00666930" w:rsidRDefault="00666930" w:rsidP="002D126B">
            <w:pPr>
              <w:pStyle w:val="TableText"/>
            </w:pPr>
            <w:r>
              <w:t xml:space="preserve">If VistA link is not available, the user may proceed with the issue process but the current issue-to hospital location is not recorded. All of the associated report records display “VistALink Down” in the Issue To location field. </w:t>
            </w:r>
            <w:r w:rsidRPr="00666930">
              <w:rPr>
                <w:vanish/>
              </w:rPr>
              <w:t>DR 5073</w:t>
            </w:r>
          </w:p>
        </w:tc>
      </w:tr>
      <w:tr w:rsidR="003F0440" w:rsidRPr="00725902" w14:paraId="40D0DC5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FDA9D49" w14:textId="27D4A561" w:rsidR="003F0440" w:rsidRPr="002F6D2F" w:rsidRDefault="003F0440" w:rsidP="002D126B">
            <w:pPr>
              <w:pStyle w:val="TableText"/>
            </w:pPr>
            <w:r>
              <w:t xml:space="preserve">ISBT 128 tables include blood product codes labeled as not for manufacturing or transfusion. VBECS does not restrict such products from being entered, issued, or transferred (local policy controls their use) </w:t>
            </w:r>
            <w:r w:rsidR="00676CAC">
              <w:t>and</w:t>
            </w:r>
            <w:r>
              <w:t xml:space="preserve"> does not accommodate blood modification for these products.</w:t>
            </w:r>
          </w:p>
        </w:tc>
      </w:tr>
      <w:tr w:rsidR="007E1B6B" w:rsidRPr="00725902" w14:paraId="147B0EFE"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7A23294" w14:textId="13C3C2F5" w:rsidR="007E1B6B" w:rsidRDefault="007E1B6B" w:rsidP="002D126B">
            <w:pPr>
              <w:pStyle w:val="TableText"/>
            </w:pPr>
            <w:r>
              <w:t>W</w:t>
            </w:r>
            <w:r w:rsidRPr="007E1B6B">
              <w:t xml:space="preserve">hen a site has configured </w:t>
            </w:r>
            <w:r w:rsidR="00E57947" w:rsidRPr="007E1B6B">
              <w:t>subservient</w:t>
            </w:r>
            <w:r w:rsidRPr="007E1B6B">
              <w:t xml:space="preserve"> VistA ins</w:t>
            </w:r>
            <w:r>
              <w:t xml:space="preserve">titutions to the VBECS division, users </w:t>
            </w:r>
            <w:r w:rsidRPr="007E1B6B">
              <w:t xml:space="preserve">can only issue </w:t>
            </w:r>
            <w:r>
              <w:t xml:space="preserve">units </w:t>
            </w:r>
            <w:r w:rsidRPr="007E1B6B">
              <w:t xml:space="preserve">to locations in the primary VistA. Sites may add locations to VistA to account for the relocations to the </w:t>
            </w:r>
            <w:r w:rsidR="00E57947" w:rsidRPr="007E1B6B">
              <w:t>subservient</w:t>
            </w:r>
            <w:r w:rsidRPr="007E1B6B">
              <w:t xml:space="preserve"> VistA institutions</w:t>
            </w:r>
            <w:r w:rsidR="00432F57">
              <w:t>.</w:t>
            </w:r>
            <w:r w:rsidR="00676CAC" w:rsidRPr="007E1B6B">
              <w:rPr>
                <w:vanish/>
              </w:rPr>
              <w:t xml:space="preserve"> DR 2,880</w:t>
            </w:r>
          </w:p>
        </w:tc>
      </w:tr>
      <w:tr w:rsidR="00432F57" w:rsidRPr="00725902" w14:paraId="64BFD51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FFAD4BA" w14:textId="77777777" w:rsidR="00432F57" w:rsidRDefault="00432F57" w:rsidP="002D126B">
            <w:pPr>
              <w:pStyle w:val="TableText"/>
            </w:pPr>
            <w:r>
              <w:t xml:space="preserve">BCE information </w:t>
            </w:r>
            <w:r w:rsidRPr="00C01E45">
              <w:t>applies ONLY when a BCE COTS product is available for communication and is configured.</w:t>
            </w:r>
          </w:p>
        </w:tc>
      </w:tr>
      <w:tr w:rsidR="00432F57" w:rsidRPr="00725902" w14:paraId="7C787EC3"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E5E8DF3" w14:textId="77777777" w:rsidR="00432F57" w:rsidRDefault="00432F57" w:rsidP="002D126B">
            <w:pPr>
              <w:pStyle w:val="TableText"/>
            </w:pPr>
            <w:r>
              <w:t xml:space="preserve">Changing a </w:t>
            </w:r>
            <w:r w:rsidRPr="00633316">
              <w:t>patient's</w:t>
            </w:r>
            <w:r>
              <w:t xml:space="preserve"> transfusion requirements</w:t>
            </w:r>
            <w:r w:rsidRPr="00633316">
              <w:t xml:space="preserve"> </w:t>
            </w:r>
            <w:r>
              <w:t xml:space="preserve">(component requirements, </w:t>
            </w:r>
            <w:r w:rsidRPr="00633316">
              <w:t>antigen negative requirement or antibody identified</w:t>
            </w:r>
            <w:r>
              <w:t>)</w:t>
            </w:r>
            <w:r w:rsidRPr="00633316">
              <w:t xml:space="preserve">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tc>
      </w:tr>
      <w:tr w:rsidR="005E6088" w:rsidRPr="00725902" w14:paraId="57862320"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1168201" w14:textId="3838E147" w:rsidR="005E6088" w:rsidRDefault="005E6088" w:rsidP="002D126B">
            <w:pPr>
              <w:pStyle w:val="TableText"/>
            </w:pPr>
            <w:r>
              <w:t xml:space="preserve">VBECS asks for a comment when issuing a unit that is assigned to two different patients. Enter a comment to issue the unit or release one of the patient assignments before issuing. The comment will appear on the Unit History Report in the Issue section. </w:t>
            </w:r>
            <w:r w:rsidRPr="00101C38">
              <w:rPr>
                <w:vanish/>
              </w:rPr>
              <w:t xml:space="preserve">Defect </w:t>
            </w:r>
            <w:r w:rsidR="00101C38" w:rsidRPr="00101C38">
              <w:rPr>
                <w:vanish/>
              </w:rPr>
              <w:t>208730</w:t>
            </w:r>
          </w:p>
        </w:tc>
      </w:tr>
      <w:tr w:rsidR="005D2A5F" w:rsidRPr="00725902" w14:paraId="134B30D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8C6F253" w14:textId="6D9E4C48" w:rsidR="005D2A5F" w:rsidRDefault="005D2A5F" w:rsidP="002D126B">
            <w:pPr>
              <w:pStyle w:val="TableText"/>
            </w:pPr>
            <w:r w:rsidRPr="005D2A5F">
              <w:t xml:space="preserve">Users should issue units in a timely manner to avoid the units being released from patient assignment by another user prior to the issue unit process completion. </w:t>
            </w:r>
            <w:r w:rsidRPr="005D2A5F">
              <w:rPr>
                <w:vanish/>
              </w:rPr>
              <w:t>Defect 127720</w:t>
            </w:r>
          </w:p>
        </w:tc>
      </w:tr>
    </w:tbl>
    <w:p w14:paraId="35A3F6BA" w14:textId="77777777" w:rsidR="00BF2429" w:rsidRDefault="00BF2429" w:rsidP="00BF2429">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69001A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E3D0905" w14:textId="77777777" w:rsidR="003F0440" w:rsidRPr="00534C65" w:rsidRDefault="003F0440" w:rsidP="002D126B">
            <w:pPr>
              <w:pStyle w:val="TableText"/>
              <w:rPr>
                <w:b/>
              </w:rPr>
            </w:pPr>
            <w:r w:rsidRPr="00534C65">
              <w:rPr>
                <w:b/>
              </w:rPr>
              <w:t>Justify ABO/Rh Change</w:t>
            </w:r>
          </w:p>
        </w:tc>
      </w:tr>
      <w:tr w:rsidR="003F0440" w:rsidRPr="00725902" w14:paraId="75FD517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D9C0875" w14:textId="77777777" w:rsidR="003F0440" w:rsidRPr="00725902" w:rsidRDefault="003F0440" w:rsidP="002D126B">
            <w:pPr>
              <w:pStyle w:val="TableText"/>
            </w:pPr>
            <w:r>
              <w:t>VBECS does not allow the selection or issue of certain blood components that may appear ABO/Rh compatible when discrepant ABO/Rh results are not justified.</w:t>
            </w:r>
          </w:p>
        </w:tc>
      </w:tr>
    </w:tbl>
    <w:p w14:paraId="122AF75C" w14:textId="77777777" w:rsidR="00123D20" w:rsidRDefault="00123D20"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34C65" w14:paraId="77FDBE7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6111274" w14:textId="77777777" w:rsidR="003F0440" w:rsidRPr="00534C65" w:rsidRDefault="00123D20" w:rsidP="002D126B">
            <w:pPr>
              <w:pStyle w:val="TableText"/>
              <w:rPr>
                <w:b/>
              </w:rPr>
            </w:pPr>
            <w:r>
              <w:br w:type="page"/>
            </w:r>
            <w:r w:rsidR="0045199A">
              <w:br w:type="page"/>
            </w:r>
            <w:r w:rsidR="003F0440" w:rsidRPr="00534C65">
              <w:rPr>
                <w:b/>
              </w:rPr>
              <w:t>Local Facilities</w:t>
            </w:r>
          </w:p>
        </w:tc>
      </w:tr>
      <w:tr w:rsidR="003F0440" w:rsidRPr="00725902" w14:paraId="779F79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C818CC9" w14:textId="77777777" w:rsidR="003F0440" w:rsidRDefault="003F0440" w:rsidP="002D126B">
            <w:pPr>
              <w:pStyle w:val="TableText"/>
            </w:pPr>
            <w:r>
              <w:t>A user may:</w:t>
            </w:r>
          </w:p>
          <w:p w14:paraId="7102F107" w14:textId="77777777" w:rsidR="003F0440" w:rsidRPr="00DA2271" w:rsidRDefault="003F0440" w:rsidP="00DA2271">
            <w:pPr>
              <w:pStyle w:val="TableTextBullet"/>
              <w:tabs>
                <w:tab w:val="clear" w:pos="288"/>
              </w:tabs>
            </w:pPr>
            <w:r w:rsidRPr="00DA2271">
              <w:t>Activate and edit collection facility records distributed with VBECS.</w:t>
            </w:r>
          </w:p>
          <w:p w14:paraId="18E59CF8" w14:textId="77777777" w:rsidR="003F0440" w:rsidRPr="00DA2271" w:rsidRDefault="003F0440" w:rsidP="00DA2271">
            <w:pPr>
              <w:pStyle w:val="TableTextBullet"/>
              <w:tabs>
                <w:tab w:val="clear" w:pos="288"/>
              </w:tabs>
            </w:pPr>
            <w:r w:rsidRPr="00DA2271">
              <w:t>Add and locally edit active collection facilities.</w:t>
            </w:r>
          </w:p>
          <w:p w14:paraId="3BC3A0A6" w14:textId="77777777" w:rsidR="00A65139" w:rsidRPr="00DA2271" w:rsidRDefault="003F0440" w:rsidP="00DA2271">
            <w:pPr>
              <w:pStyle w:val="TableTextBullet"/>
              <w:tabs>
                <w:tab w:val="clear" w:pos="288"/>
              </w:tabs>
            </w:pPr>
            <w:r w:rsidRPr="00DA2271">
              <w:t xml:space="preserve">Activate and/or deactivate local collection facilities. </w:t>
            </w:r>
          </w:p>
          <w:p w14:paraId="5AF6CFE1" w14:textId="77777777" w:rsidR="00A65139" w:rsidRPr="00B157B4" w:rsidRDefault="00A65139" w:rsidP="00DA2271">
            <w:pPr>
              <w:pStyle w:val="TableTextBullet"/>
              <w:tabs>
                <w:tab w:val="clear" w:pos="288"/>
              </w:tabs>
            </w:pPr>
            <w:r w:rsidRPr="00DA2271">
              <w:t>Edit a division</w:t>
            </w:r>
            <w:r>
              <w:t xml:space="preserve"> name, which may result in a mismatch between VistA and VBECS division names. </w:t>
            </w:r>
            <w:r w:rsidRPr="00A65139">
              <w:rPr>
                <w:vanish/>
              </w:rPr>
              <w:t>(DR 2,113)</w:t>
            </w:r>
          </w:p>
          <w:p w14:paraId="4991C0D5" w14:textId="77777777" w:rsidR="00B157B4" w:rsidRPr="00725902" w:rsidRDefault="00B157B4" w:rsidP="00AE19A0">
            <w:pPr>
              <w:pStyle w:val="TableTextBullet"/>
              <w:tabs>
                <w:tab w:val="clear" w:pos="288"/>
              </w:tabs>
            </w:pPr>
            <w:r w:rsidRPr="005705B4">
              <w:t>The Local Facility Address maximum length is 45 characters</w:t>
            </w:r>
            <w:r w:rsidR="00AE19A0">
              <w:t xml:space="preserve"> including spaces</w:t>
            </w:r>
            <w:r w:rsidRPr="005705B4">
              <w:t xml:space="preserve"> to allow the address to display on VBECS repo</w:t>
            </w:r>
            <w:r>
              <w:t xml:space="preserve">rts. The third line of the facility address is not displayed on VBECS reports. </w:t>
            </w:r>
            <w:r w:rsidRPr="00B157B4">
              <w:rPr>
                <w:vanish/>
              </w:rPr>
              <w:t>DR 4980</w:t>
            </w:r>
          </w:p>
        </w:tc>
      </w:tr>
    </w:tbl>
    <w:p w14:paraId="3C147A8B" w14:textId="0E7C612F" w:rsidR="000E59E4" w:rsidRDefault="000E59E4"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6B7CABA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ABFCF33" w14:textId="77777777" w:rsidR="003F0440" w:rsidRPr="007951E4" w:rsidRDefault="003F0440" w:rsidP="002D126B">
            <w:pPr>
              <w:pStyle w:val="TableText"/>
              <w:rPr>
                <w:b/>
              </w:rPr>
            </w:pPr>
            <w:r w:rsidRPr="007951E4">
              <w:rPr>
                <w:b/>
              </w:rPr>
              <w:t>Maintain Specimen</w:t>
            </w:r>
          </w:p>
        </w:tc>
      </w:tr>
      <w:tr w:rsidR="003F0440" w:rsidRPr="00725902" w14:paraId="37E8C62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8D2BEA7" w14:textId="77777777" w:rsidR="003F0440" w:rsidRPr="00725902" w:rsidRDefault="003F0440" w:rsidP="002D126B">
            <w:pPr>
              <w:pStyle w:val="TableText"/>
            </w:pPr>
            <w:r>
              <w:t xml:space="preserve">When a search by UID causes VBECS to time out, repeat the search by UID and patient name or by patient name only. </w:t>
            </w:r>
            <w:r w:rsidRPr="009303DE">
              <w:rPr>
                <w:vanish/>
              </w:rPr>
              <w:t>(UserDoc Tasks 1089 and 1090)</w:t>
            </w:r>
          </w:p>
        </w:tc>
      </w:tr>
      <w:tr w:rsidR="003F0440" w:rsidRPr="00725902" w14:paraId="1C0AD22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0612C4" w14:textId="77777777" w:rsidR="003F0440" w:rsidRPr="00725902" w:rsidRDefault="003F0440" w:rsidP="002D126B">
            <w:pPr>
              <w:pStyle w:val="TableText"/>
            </w:pPr>
            <w:r>
              <w:t>Specimen recollection requests must be made offline.</w:t>
            </w:r>
          </w:p>
        </w:tc>
      </w:tr>
      <w:tr w:rsidR="003F0440" w:rsidRPr="00725902" w14:paraId="0C0E3D4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62DF49E" w14:textId="77777777" w:rsidR="003F0440" w:rsidRPr="00725902" w:rsidRDefault="003F0440" w:rsidP="002D126B">
            <w:pPr>
              <w:pStyle w:val="TableText"/>
            </w:pPr>
            <w:r>
              <w:t>Designating a specimen as “unacceptable” after accepting a CPRS order closes that order and requires a new CPRS order and sample.</w:t>
            </w:r>
          </w:p>
        </w:tc>
      </w:tr>
    </w:tbl>
    <w:p w14:paraId="195255AB"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5B8C6C3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8D9EE00" w14:textId="77777777" w:rsidR="003F0440" w:rsidRPr="007951E4" w:rsidRDefault="003F0440" w:rsidP="002D126B">
            <w:pPr>
              <w:pStyle w:val="TableText"/>
              <w:rPr>
                <w:b/>
              </w:rPr>
            </w:pPr>
            <w:r w:rsidRPr="007951E4">
              <w:rPr>
                <w:b/>
              </w:rPr>
              <w:t>Modify Units</w:t>
            </w:r>
          </w:p>
        </w:tc>
      </w:tr>
      <w:tr w:rsidR="003F0440" w:rsidRPr="00725902" w14:paraId="549E7BF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5212BEA" w14:textId="77777777" w:rsidR="003F0440" w:rsidRPr="00725902" w:rsidRDefault="003F0440" w:rsidP="002D126B">
            <w:pPr>
              <w:pStyle w:val="TableText"/>
            </w:pPr>
            <w:r>
              <w:t>VBECS allows modification of units only in limited, assigned, crossmatched, and available statuses.</w:t>
            </w:r>
          </w:p>
        </w:tc>
      </w:tr>
      <w:tr w:rsidR="00E57D56" w:rsidRPr="00725902" w14:paraId="3718777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F07536D" w14:textId="77777777" w:rsidR="00E57D56" w:rsidRDefault="00E57D56" w:rsidP="00E57D56">
            <w:pPr>
              <w:pStyle w:val="TableText"/>
            </w:pPr>
            <w:r>
              <w:t xml:space="preserve">VBECS presents the conservative expiration date for target units. VBECS does not know the specific collection details.  It is the </w:t>
            </w:r>
            <w:r w:rsidR="004E2AB6">
              <w:t>responsibility</w:t>
            </w:r>
            <w:r>
              <w:t xml:space="preserve"> of each user to accurately enter and process any one blood unit based on its expiration date/time as labeled by the collection facility.</w:t>
            </w:r>
            <w:r w:rsidRPr="00E57D56">
              <w:t xml:space="preserve"> </w:t>
            </w:r>
            <w:r w:rsidRPr="00E57D56">
              <w:rPr>
                <w:vanish/>
              </w:rPr>
              <w:t>Task 1324</w:t>
            </w:r>
          </w:p>
        </w:tc>
      </w:tr>
      <w:tr w:rsidR="006A0516" w:rsidRPr="00725902" w14:paraId="349D849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AC7F54" w14:textId="73BA53C8" w:rsidR="006A0516" w:rsidRDefault="003D1470" w:rsidP="003D1470">
            <w:pPr>
              <w:pStyle w:val="TableText"/>
            </w:pPr>
            <w:r>
              <w:t xml:space="preserve">Pooling of units that have the attribute </w:t>
            </w:r>
            <w:r w:rsidR="00676CAC">
              <w:t>form</w:t>
            </w:r>
            <w:r>
              <w:t xml:space="preserve"> V0013 (irradiated) and attribute V0021005 (psoralen treatment) does not produce a target.</w:t>
            </w:r>
          </w:p>
        </w:tc>
      </w:tr>
    </w:tbl>
    <w:p w14:paraId="19F49536" w14:textId="77777777" w:rsidR="00D139EE" w:rsidRDefault="00D139EE"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26A77C6F"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70CF1DC" w14:textId="77777777" w:rsidR="003F0440" w:rsidRPr="007951E4" w:rsidRDefault="003F0440" w:rsidP="002D126B">
            <w:pPr>
              <w:pStyle w:val="TableText"/>
              <w:rPr>
                <w:b/>
              </w:rPr>
            </w:pPr>
            <w:r w:rsidRPr="007951E4">
              <w:rPr>
                <w:b/>
              </w:rPr>
              <w:t>Modify Units: Pool Units</w:t>
            </w:r>
          </w:p>
        </w:tc>
      </w:tr>
      <w:tr w:rsidR="003F0440" w:rsidRPr="00725902" w14:paraId="579CB7A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25D7D4D" w14:textId="77777777" w:rsidR="003F0440" w:rsidRPr="00725902" w:rsidRDefault="003F0440" w:rsidP="002D126B">
            <w:pPr>
              <w:pStyle w:val="TableText"/>
            </w:pPr>
            <w:r>
              <w:t>VBECS allows modification of units only in limited, assigned, crossmatched, and available statuses.</w:t>
            </w:r>
          </w:p>
        </w:tc>
      </w:tr>
      <w:tr w:rsidR="003F0440" w:rsidRPr="00725902" w14:paraId="48C65E0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3F7DB5" w14:textId="77777777" w:rsidR="003F0440" w:rsidRDefault="006F51AC" w:rsidP="002D126B">
            <w:pPr>
              <w:pStyle w:val="TableText"/>
            </w:pPr>
            <w:r w:rsidRPr="00D47D4A">
              <w:t>When a</w:t>
            </w:r>
            <w:r>
              <w:t xml:space="preserve"> user adds a</w:t>
            </w:r>
            <w:r w:rsidRPr="00D47D4A">
              <w:t xml:space="preserve"> biohazardous unit to a pool, </w:t>
            </w:r>
            <w:r>
              <w:t xml:space="preserve">VBECS does not designate the </w:t>
            </w:r>
            <w:r w:rsidRPr="00D47D4A">
              <w:t xml:space="preserve">pool </w:t>
            </w:r>
            <w:r>
              <w:t>as</w:t>
            </w:r>
            <w:r w:rsidRPr="00D47D4A">
              <w:t xml:space="preserve"> biohazardous</w:t>
            </w:r>
            <w:r>
              <w:t xml:space="preserve"> on the Blood Transfusion Record Form (BTRF) or Caution Tag</w:t>
            </w:r>
            <w:r w:rsidRPr="00D47D4A">
              <w:t>.</w:t>
            </w:r>
          </w:p>
        </w:tc>
      </w:tr>
    </w:tbl>
    <w:p w14:paraId="7D11DAC7" w14:textId="77777777" w:rsidR="00220D0D" w:rsidRDefault="00220D0D"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592CCC3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102F2E3" w14:textId="77777777" w:rsidR="003F0440" w:rsidRPr="00A76671" w:rsidRDefault="003F0440" w:rsidP="002D126B">
            <w:pPr>
              <w:pStyle w:val="TableText"/>
              <w:rPr>
                <w:b/>
              </w:rPr>
            </w:pPr>
            <w:r w:rsidRPr="00A76671">
              <w:rPr>
                <w:b/>
              </w:rPr>
              <w:t>Modify Units: Split a Unit</w:t>
            </w:r>
          </w:p>
        </w:tc>
      </w:tr>
      <w:tr w:rsidR="003F0440" w:rsidRPr="00725902" w14:paraId="485EEA6E"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26A2A349" w14:textId="7FB8D338" w:rsidR="003F0440" w:rsidRPr="00725902" w:rsidRDefault="00676CAC" w:rsidP="00A64FBF">
            <w:pPr>
              <w:pStyle w:val="TableText"/>
            </w:pPr>
            <w:r w:rsidRPr="00516343">
              <w:rPr>
                <w:vanish/>
              </w:rPr>
              <w:t xml:space="preserve">BR_25.21 </w:t>
            </w:r>
            <w:r w:rsidR="00A64FBF">
              <w:t>A unit previously split in VBECS cannot be split again. Only an ISBT unit that was split outside of VBECS can be split again.</w:t>
            </w:r>
          </w:p>
        </w:tc>
      </w:tr>
      <w:tr w:rsidR="00A64FBF" w:rsidRPr="00725902" w14:paraId="4BE6F791"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7C545FAA" w14:textId="708BFA9C" w:rsidR="00A64FBF" w:rsidRPr="00A64FBF" w:rsidRDefault="00676CAC" w:rsidP="00A64FBF">
            <w:pPr>
              <w:pStyle w:val="TableText"/>
            </w:pPr>
            <w:r w:rsidRPr="00516343">
              <w:rPr>
                <w:vanish/>
              </w:rPr>
              <w:t xml:space="preserve">BR_25.21 </w:t>
            </w:r>
            <w:r w:rsidR="00A64FBF">
              <w:t xml:space="preserve">A unit pooled in VBECS may </w:t>
            </w:r>
            <w:r w:rsidR="00E605B1">
              <w:t>not be split</w:t>
            </w:r>
            <w:r w:rsidR="00A64FBF">
              <w:t>.</w:t>
            </w:r>
          </w:p>
        </w:tc>
      </w:tr>
      <w:tr w:rsidR="00A64FBF" w:rsidRPr="00725902" w14:paraId="7CB1DFC3"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76B4446C" w14:textId="451A28D5" w:rsidR="00A64FBF" w:rsidRPr="00A64FBF" w:rsidRDefault="00676CAC" w:rsidP="00A64FBF">
            <w:pPr>
              <w:pStyle w:val="TableText"/>
            </w:pPr>
            <w:r w:rsidRPr="00516343">
              <w:rPr>
                <w:vanish/>
              </w:rPr>
              <w:t xml:space="preserve">BR_25.21 </w:t>
            </w:r>
            <w:r w:rsidR="00A64FBF">
              <w:t>A unit that has a division code present upon receipt in incoming shipment may be split in VBECS.</w:t>
            </w:r>
          </w:p>
        </w:tc>
      </w:tr>
    </w:tbl>
    <w:p w14:paraId="2F9A8681" w14:textId="77777777" w:rsidR="00DD7CAF" w:rsidRDefault="00DD7CAF" w:rsidP="00220D0D">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372A3" w14:paraId="2C2CF43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626DE5A" w14:textId="77777777" w:rsidR="003F0440" w:rsidRPr="004372A3" w:rsidRDefault="003F0440" w:rsidP="002D126B">
            <w:pPr>
              <w:pStyle w:val="TableText"/>
              <w:rPr>
                <w:b/>
              </w:rPr>
            </w:pPr>
            <w:r w:rsidRPr="004372A3">
              <w:rPr>
                <w:b/>
              </w:rPr>
              <w:t>Order Alerts</w:t>
            </w:r>
          </w:p>
        </w:tc>
      </w:tr>
      <w:tr w:rsidR="00BB0EAB" w:rsidRPr="00725902" w14:paraId="02470F9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A1D3CC" w14:textId="77777777" w:rsidR="00BB0EAB" w:rsidRDefault="00BB0EAB" w:rsidP="002D126B">
            <w:pPr>
              <w:pStyle w:val="TableText"/>
            </w:pPr>
            <w:r>
              <w:t>This is an alert only and contains limited information from the CPRS order.</w:t>
            </w:r>
            <w:r w:rsidR="00D53DC3">
              <w:t xml:space="preserve"> </w:t>
            </w:r>
            <w:r w:rsidR="00D53DC3" w:rsidRPr="00D53DC3">
              <w:rPr>
                <w:vanish/>
              </w:rPr>
              <w:t>Defect 368207</w:t>
            </w:r>
          </w:p>
        </w:tc>
      </w:tr>
      <w:tr w:rsidR="003F0440" w:rsidRPr="00725902" w14:paraId="188C3798"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2D6BC4" w14:textId="77777777" w:rsidR="003F0440" w:rsidRPr="00725902" w:rsidRDefault="003F0440" w:rsidP="002D126B">
            <w:pPr>
              <w:pStyle w:val="TableText"/>
            </w:pPr>
            <w:r>
              <w:t>This option does not create a mechanism to accept or reject orders or specimens or define reports for viewing orders.</w:t>
            </w:r>
          </w:p>
        </w:tc>
      </w:tr>
      <w:tr w:rsidR="003F0440" w:rsidRPr="00725902" w14:paraId="0E0A08A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63D704C" w14:textId="77777777" w:rsidR="003F0440" w:rsidRPr="00725902" w:rsidRDefault="003F0440" w:rsidP="002D126B">
            <w:pPr>
              <w:pStyle w:val="TableText"/>
            </w:pPr>
            <w:r>
              <w:t>The user may select the option to display printer alerts only when the designated printer is configured and available.</w:t>
            </w:r>
          </w:p>
        </w:tc>
      </w:tr>
      <w:tr w:rsidR="003F0440" w:rsidRPr="00725902" w14:paraId="7593097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1FA9781" w14:textId="77777777" w:rsidR="003F0440" w:rsidRPr="00725902" w:rsidRDefault="003F0440" w:rsidP="002D126B">
            <w:pPr>
              <w:pStyle w:val="TableText"/>
            </w:pPr>
            <w:r>
              <w:t>The printer</w:t>
            </w:r>
            <w:r w:rsidRPr="006C2ED3">
              <w:t xml:space="preserve"> </w:t>
            </w:r>
            <w:r>
              <w:t>must be configured by the System Administrator.</w:t>
            </w:r>
          </w:p>
        </w:tc>
      </w:tr>
    </w:tbl>
    <w:p w14:paraId="24DF7074" w14:textId="77777777" w:rsidR="00BA0F42" w:rsidRDefault="00BA0F42" w:rsidP="006272C5">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6E2623" w:rsidRPr="004372A3" w14:paraId="671AFB60" w14:textId="77777777" w:rsidTr="00266A3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AE9D19B" w14:textId="77777777" w:rsidR="006E2623" w:rsidRPr="004372A3" w:rsidRDefault="006E2623" w:rsidP="00266A37">
            <w:pPr>
              <w:pStyle w:val="TableText"/>
              <w:rPr>
                <w:b/>
              </w:rPr>
            </w:pPr>
            <w:r>
              <w:rPr>
                <w:b/>
              </w:rPr>
              <w:t>Order History Report</w:t>
            </w:r>
          </w:p>
        </w:tc>
      </w:tr>
      <w:tr w:rsidR="006E2623" w14:paraId="280DA821"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12A8A70" w14:textId="7B09015D" w:rsidR="006E2623" w:rsidRDefault="006E2623" w:rsidP="00266A37">
            <w:pPr>
              <w:pStyle w:val="TableText"/>
            </w:pPr>
            <w:r>
              <w:t>VBECS does not display the identity of the CPRS user who discontinues a signed order in CPRS. The CPRS order details option contains all pertinent order information.</w:t>
            </w:r>
            <w:r w:rsidRPr="006E2623">
              <w:rPr>
                <w:vanish/>
              </w:rPr>
              <w:t xml:space="preserve"> DR 3766</w:t>
            </w:r>
          </w:p>
        </w:tc>
      </w:tr>
      <w:tr w:rsidR="008E02D0" w14:paraId="30325FCB"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B5B149B" w14:textId="26675236" w:rsidR="008E02D0" w:rsidRDefault="008E02D0" w:rsidP="00266A37">
            <w:pPr>
              <w:pStyle w:val="TableText"/>
            </w:pPr>
            <w:r>
              <w:t>Cancel</w:t>
            </w:r>
            <w:r w:rsidR="002F7E19">
              <w:t>l</w:t>
            </w:r>
            <w:r>
              <w:t>ed orders are included on the Order Summary Report without a column/data to help identify them as cancel</w:t>
            </w:r>
            <w:r w:rsidR="002F7E19">
              <w:t>l</w:t>
            </w:r>
            <w:r>
              <w:t>ed. The Single Order History Report includes the cancel</w:t>
            </w:r>
            <w:r w:rsidR="002F7E19">
              <w:t>l</w:t>
            </w:r>
            <w:r>
              <w:t>ed order information. When the order is also cancel</w:t>
            </w:r>
            <w:r w:rsidR="002F7E19">
              <w:t>l</w:t>
            </w:r>
            <w:r>
              <w:t>ed in VistA, which would be the norm, there is a lab report that can be referenced</w:t>
            </w:r>
            <w:r w:rsidR="00F04B98">
              <w:t xml:space="preserve"> (See FAQ Order Status Clarification)</w:t>
            </w:r>
            <w:r>
              <w:t xml:space="preserve">. </w:t>
            </w:r>
            <w:r w:rsidRPr="008E02D0">
              <w:rPr>
                <w:vanish/>
              </w:rPr>
              <w:t>Defect 208877</w:t>
            </w:r>
          </w:p>
        </w:tc>
      </w:tr>
      <w:tr w:rsidR="00D03D1B" w14:paraId="158B77AF" w14:textId="77777777" w:rsidTr="00266A3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1131EA5" w14:textId="0F61859C" w:rsidR="00D03D1B" w:rsidRDefault="00D03D1B" w:rsidP="00D03D1B">
            <w:pPr>
              <w:pStyle w:val="TableText"/>
            </w:pPr>
            <w:r>
              <w:t xml:space="preserve">The Order History Report only displays the first twenty (20) characters of an ordering location. Ordering locations in VistA can be shortened or changed when the uniqueness of a location cannot be determined with the first twenty (20) characters. </w:t>
            </w:r>
            <w:r w:rsidRPr="003209A5">
              <w:rPr>
                <w:vanish/>
              </w:rPr>
              <w:t>Defect 209846</w:t>
            </w:r>
          </w:p>
        </w:tc>
      </w:tr>
    </w:tbl>
    <w:p w14:paraId="2EF7D1BB" w14:textId="77777777" w:rsidR="006E2623" w:rsidRDefault="006E2623" w:rsidP="006272C5">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4D45CD6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435C14E" w14:textId="77777777" w:rsidR="003F0440" w:rsidRPr="00A76671" w:rsidRDefault="003F0440" w:rsidP="002D126B">
            <w:pPr>
              <w:pStyle w:val="TableText"/>
              <w:rPr>
                <w:b/>
              </w:rPr>
            </w:pPr>
            <w:r w:rsidRPr="00A76671">
              <w:rPr>
                <w:b/>
              </w:rPr>
              <w:t>Order Reflex Tests</w:t>
            </w:r>
          </w:p>
        </w:tc>
      </w:tr>
      <w:tr w:rsidR="003F0440" w:rsidRPr="00725902" w14:paraId="39CDDC51"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09E53924" w14:textId="648C2DC7" w:rsidR="003F0440" w:rsidRPr="00725902" w:rsidRDefault="003F0440" w:rsidP="002D126B">
            <w:pPr>
              <w:pStyle w:val="TableText"/>
            </w:pPr>
            <w:r w:rsidRPr="009C34E7">
              <w:rPr>
                <w:rFonts w:cs="Arial"/>
                <w:vanish/>
              </w:rPr>
              <w:t>BR_45.10</w:t>
            </w:r>
            <w:r>
              <w:rPr>
                <w:rFonts w:cs="Arial"/>
                <w:vanish/>
              </w:rPr>
              <w:t xml:space="preserve"> </w:t>
            </w:r>
            <w:r>
              <w:t>A crossmatch (XM) and a repeat XM cannot be ordered unless they are associated with a specimen with a future expiration date and a phlebotomist is associated with that specimen.</w:t>
            </w:r>
            <w:r>
              <w:rPr>
                <w:rFonts w:cs="Arial"/>
                <w:vanish/>
              </w:rPr>
              <w:t xml:space="preserve"> </w:t>
            </w:r>
          </w:p>
        </w:tc>
      </w:tr>
      <w:tr w:rsidR="003F0440" w:rsidRPr="00725902" w14:paraId="284E43D4"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2989D8C8" w14:textId="70C51FCE" w:rsidR="003F0440" w:rsidRPr="00725902" w:rsidRDefault="00676CAC" w:rsidP="002D126B">
            <w:pPr>
              <w:pStyle w:val="TableText"/>
            </w:pPr>
            <w:r>
              <w:rPr>
                <w:rFonts w:cs="Arial"/>
                <w:vanish/>
              </w:rPr>
              <w:t xml:space="preserve">BR_98.02 </w:t>
            </w:r>
            <w:r w:rsidR="003F0440">
              <w:t>When a user selects weak D for the antigen typing test and the selected patient is Rh positive, VBECS warns that weak D testing cannot be performed</w:t>
            </w:r>
            <w:r w:rsidR="009913C5">
              <w:t xml:space="preserve"> (See FAQ Weak D Policy</w:t>
            </w:r>
            <w:r w:rsidR="008470B0">
              <w:t>)</w:t>
            </w:r>
            <w:r w:rsidR="003F0440">
              <w:t>. There is no override and VBECS does not add the test.</w:t>
            </w:r>
          </w:p>
        </w:tc>
      </w:tr>
    </w:tbl>
    <w:p w14:paraId="5D8CE751" w14:textId="77777777" w:rsidR="006272C5" w:rsidRDefault="006272C5" w:rsidP="006272C5">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14:paraId="7F0D0608" w14:textId="77777777" w:rsidTr="00CE4C78">
        <w:trPr>
          <w:cantSplit/>
          <w:tblHeader/>
        </w:trPr>
        <w:tc>
          <w:tcPr>
            <w:tcW w:w="9360" w:type="dxa"/>
            <w:shd w:val="clear" w:color="auto" w:fill="BFBFBF" w:themeFill="background1" w:themeFillShade="BF"/>
            <w:vAlign w:val="bottom"/>
          </w:tcPr>
          <w:p w14:paraId="0192FD53" w14:textId="77777777" w:rsidR="003F0440" w:rsidRPr="005E4113" w:rsidRDefault="003F0440" w:rsidP="002D126B">
            <w:pPr>
              <w:pStyle w:val="TableText"/>
              <w:rPr>
                <w:b/>
              </w:rPr>
            </w:pPr>
            <w:r>
              <w:rPr>
                <w:b/>
              </w:rPr>
              <w:t>Outgoing Shipment</w:t>
            </w:r>
          </w:p>
        </w:tc>
      </w:tr>
      <w:tr w:rsidR="003F0440" w:rsidRPr="00725902" w14:paraId="6250F971"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1AD598B" w14:textId="77777777" w:rsidR="003F0440" w:rsidRPr="00725902" w:rsidRDefault="003F0440" w:rsidP="002D126B">
            <w:pPr>
              <w:pStyle w:val="TableText"/>
            </w:pPr>
            <w:r>
              <w:t>A user may edit only unconfirmed invoices.</w:t>
            </w:r>
          </w:p>
        </w:tc>
      </w:tr>
      <w:tr w:rsidR="003F0440" w:rsidRPr="00725902" w14:paraId="25C20FD5"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77E5CFC" w14:textId="29D5D367" w:rsidR="003F0440" w:rsidRDefault="003F0440" w:rsidP="002D126B">
            <w:pPr>
              <w:pStyle w:val="TableText"/>
            </w:pPr>
            <w:r>
              <w:t xml:space="preserve">The </w:t>
            </w:r>
            <w:r w:rsidR="00313B75">
              <w:t>unit</w:t>
            </w:r>
            <w:r>
              <w:t xml:space="preserve"> test</w:t>
            </w:r>
            <w:r w:rsidR="00313B75">
              <w:t>ing data</w:t>
            </w:r>
            <w:r>
              <w:t xml:space="preserve"> </w:t>
            </w:r>
            <w:r w:rsidRPr="007F1742">
              <w:t xml:space="preserve">displayed on </w:t>
            </w:r>
            <w:r>
              <w:t>an</w:t>
            </w:r>
            <w:r w:rsidRPr="007F1742">
              <w:t xml:space="preserve"> invoice is limited to 8</w:t>
            </w:r>
            <w:r>
              <w:t>,000 characters per unit.</w:t>
            </w:r>
          </w:p>
        </w:tc>
      </w:tr>
    </w:tbl>
    <w:p w14:paraId="2688B3F9" w14:textId="16FCD4D7" w:rsidR="00590248" w:rsidRDefault="00590248"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B7221D" w:rsidRPr="005E4113" w14:paraId="52A47E59" w14:textId="77777777" w:rsidTr="001D3AF6">
        <w:trPr>
          <w:cantSplit/>
          <w:tblHeader/>
        </w:trPr>
        <w:tc>
          <w:tcPr>
            <w:tcW w:w="9360" w:type="dxa"/>
            <w:shd w:val="clear" w:color="auto" w:fill="BFBFBF" w:themeFill="background1" w:themeFillShade="BF"/>
            <w:vAlign w:val="bottom"/>
          </w:tcPr>
          <w:p w14:paraId="6D1B7D58" w14:textId="2F748AD0" w:rsidR="00B7221D" w:rsidRPr="005E4113" w:rsidRDefault="00B7221D" w:rsidP="001D3AF6">
            <w:pPr>
              <w:pStyle w:val="TableText"/>
              <w:rPr>
                <w:b/>
              </w:rPr>
            </w:pPr>
            <w:r>
              <w:rPr>
                <w:b/>
              </w:rPr>
              <w:t>Patient Information Toolbar</w:t>
            </w:r>
          </w:p>
        </w:tc>
      </w:tr>
      <w:tr w:rsidR="00B7221D" w:rsidRPr="00725902" w14:paraId="2B85176F" w14:textId="77777777" w:rsidTr="001D3AF6">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B8FED09" w14:textId="54A71168" w:rsidR="00B7221D" w:rsidRPr="00725902" w:rsidRDefault="00B7221D" w:rsidP="001D3AF6">
            <w:pPr>
              <w:pStyle w:val="TableText"/>
            </w:pPr>
            <w:r>
              <w:t xml:space="preserve">Recent Orders is showing Order Status values like “Not Started” and “Filled”, which are actually Task Statuses. </w:t>
            </w:r>
            <w:r w:rsidRPr="00B7221D">
              <w:rPr>
                <w:vanish/>
              </w:rPr>
              <w:t>Defect 214974</w:t>
            </w:r>
          </w:p>
        </w:tc>
      </w:tr>
      <w:tr w:rsidR="00D03D1B" w:rsidRPr="00725902" w14:paraId="4CD3A13A" w14:textId="77777777" w:rsidTr="001D3AF6">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BB1BE05" w14:textId="7B95DEAB" w:rsidR="00D03D1B" w:rsidRDefault="007A6A08" w:rsidP="007A6A08">
            <w:pPr>
              <w:pStyle w:val="TableText"/>
            </w:pPr>
            <w:r>
              <w:t xml:space="preserve">Completed TRWs do not display on the Recent Orders screen. Completed TRWs can be found by searching in the Reports, Finalize/Print TRW option. </w:t>
            </w:r>
            <w:r w:rsidRPr="003209A5">
              <w:rPr>
                <w:vanish/>
              </w:rPr>
              <w:t>Defect 2</w:t>
            </w:r>
            <w:r w:rsidR="008C5F1E">
              <w:rPr>
                <w:vanish/>
              </w:rPr>
              <w:t>10171</w:t>
            </w:r>
          </w:p>
        </w:tc>
      </w:tr>
    </w:tbl>
    <w:p w14:paraId="7C7E0B9A" w14:textId="0A900870" w:rsidR="00B7221D" w:rsidRDefault="00B7221D"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484"/>
        <w:gridCol w:w="5336"/>
        <w:gridCol w:w="3056"/>
        <w:gridCol w:w="484"/>
      </w:tblGrid>
      <w:tr w:rsidR="003F0440" w:rsidRPr="001E53C1" w14:paraId="2787D39D" w14:textId="77777777">
        <w:trPr>
          <w:cantSplit/>
          <w:tblHeader/>
        </w:trPr>
        <w:tc>
          <w:tcPr>
            <w:tcW w:w="9360" w:type="dxa"/>
            <w:gridSpan w:val="4"/>
            <w:tcBorders>
              <w:top w:val="single" w:sz="6" w:space="0" w:color="000000"/>
              <w:left w:val="single" w:sz="6" w:space="0" w:color="000000"/>
              <w:bottom w:val="single" w:sz="6" w:space="0" w:color="000000"/>
              <w:right w:val="single" w:sz="6" w:space="0" w:color="000000"/>
            </w:tcBorders>
            <w:shd w:val="clear" w:color="auto" w:fill="B3B3B3"/>
            <w:vAlign w:val="bottom"/>
          </w:tcPr>
          <w:p w14:paraId="656D2741" w14:textId="77777777" w:rsidR="003F0440" w:rsidRPr="001E53C1" w:rsidRDefault="003F0440" w:rsidP="002D126B">
            <w:pPr>
              <w:pStyle w:val="TableText"/>
              <w:rPr>
                <w:b/>
              </w:rPr>
            </w:pPr>
            <w:r w:rsidRPr="001E53C1">
              <w:rPr>
                <w:b/>
              </w:rPr>
              <w:t>Patient History Report</w:t>
            </w:r>
          </w:p>
        </w:tc>
      </w:tr>
      <w:tr w:rsidR="003F0440" w:rsidRPr="00725902" w14:paraId="178496EB" w14:textId="77777777">
        <w:trPr>
          <w:cantSplit/>
        </w:trPr>
        <w:tc>
          <w:tcPr>
            <w:tcW w:w="9360" w:type="dxa"/>
            <w:gridSpan w:val="4"/>
            <w:tcBorders>
              <w:top w:val="single" w:sz="6" w:space="0" w:color="000000"/>
              <w:left w:val="single" w:sz="6" w:space="0" w:color="000000"/>
              <w:bottom w:val="single" w:sz="6" w:space="0" w:color="000000"/>
              <w:right w:val="single" w:sz="6" w:space="0" w:color="000000"/>
            </w:tcBorders>
            <w:vAlign w:val="bottom"/>
          </w:tcPr>
          <w:p w14:paraId="20CDF033" w14:textId="1298AE10" w:rsidR="003F0440" w:rsidRDefault="003F0440" w:rsidP="002D126B">
            <w:pPr>
              <w:pStyle w:val="TableText"/>
            </w:pPr>
            <w:r>
              <w:t>When units are restricted for a patient during Incoming Shipment, VBECS does not display them on the Patient History Report.</w:t>
            </w:r>
            <w:r w:rsidR="005E6088">
              <w:t xml:space="preserve"> </w:t>
            </w:r>
            <w:r w:rsidR="005E6088" w:rsidRPr="005E6088">
              <w:rPr>
                <w:vanish/>
              </w:rPr>
              <w:t>Defect 212160</w:t>
            </w:r>
          </w:p>
        </w:tc>
      </w:tr>
      <w:tr w:rsidR="00E07645" w:rsidRPr="00725902" w14:paraId="5BC762E6" w14:textId="77777777">
        <w:trPr>
          <w:cantSplit/>
        </w:trPr>
        <w:tc>
          <w:tcPr>
            <w:tcW w:w="9360" w:type="dxa"/>
            <w:gridSpan w:val="4"/>
            <w:tcBorders>
              <w:top w:val="single" w:sz="6" w:space="0" w:color="000000"/>
              <w:left w:val="single" w:sz="6" w:space="0" w:color="000000"/>
              <w:bottom w:val="nil"/>
              <w:right w:val="single" w:sz="6" w:space="0" w:color="000000"/>
            </w:tcBorders>
            <w:shd w:val="clear" w:color="auto" w:fill="auto"/>
            <w:vAlign w:val="bottom"/>
          </w:tcPr>
          <w:p w14:paraId="549E664C" w14:textId="77777777" w:rsidR="00E07645" w:rsidRDefault="00E07645" w:rsidP="003F40DD">
            <w:pPr>
              <w:pStyle w:val="TableText"/>
            </w:pPr>
            <w:r>
              <w:t>VBECS displays these default values for transfusion reactions converted from VistA to VBECS. They do not reflect actual interpretations or results:</w:t>
            </w:r>
            <w:r>
              <w:rPr>
                <w:vanish/>
              </w:rPr>
              <w:t xml:space="preserve"> (DR 2,</w:t>
            </w:r>
            <w:r w:rsidRPr="00FF5006">
              <w:rPr>
                <w:vanish/>
              </w:rPr>
              <w:t>724)</w:t>
            </w:r>
          </w:p>
        </w:tc>
      </w:tr>
      <w:tr w:rsidR="00E07645" w:rsidRPr="00725902" w14:paraId="30771030" w14:textId="77777777">
        <w:trPr>
          <w:cantSplit/>
        </w:trPr>
        <w:tc>
          <w:tcPr>
            <w:tcW w:w="484" w:type="dxa"/>
            <w:vMerge w:val="restart"/>
            <w:tcBorders>
              <w:top w:val="nil"/>
              <w:left w:val="single" w:sz="6" w:space="0" w:color="000000"/>
              <w:bottom w:val="single" w:sz="6" w:space="0" w:color="000000"/>
              <w:right w:val="single" w:sz="6" w:space="0" w:color="000000"/>
            </w:tcBorders>
            <w:shd w:val="clear" w:color="auto" w:fill="auto"/>
          </w:tcPr>
          <w:p w14:paraId="0B2A03F9" w14:textId="77777777" w:rsidR="00E07645" w:rsidRPr="00FF5006" w:rsidRDefault="00E07645" w:rsidP="003F40DD">
            <w:pPr>
              <w:pStyle w:val="TableText"/>
              <w:rPr>
                <w:b/>
              </w:rPr>
            </w:pPr>
          </w:p>
        </w:tc>
        <w:tc>
          <w:tcPr>
            <w:tcW w:w="5336" w:type="dxa"/>
            <w:tcBorders>
              <w:top w:val="single" w:sz="6" w:space="0" w:color="000000"/>
              <w:left w:val="single" w:sz="6" w:space="0" w:color="000000"/>
              <w:bottom w:val="single" w:sz="6" w:space="0" w:color="000000"/>
              <w:right w:val="single" w:sz="6" w:space="0" w:color="000000"/>
            </w:tcBorders>
            <w:shd w:val="clear" w:color="auto" w:fill="B3B3B3"/>
          </w:tcPr>
          <w:p w14:paraId="65E728F1" w14:textId="77777777" w:rsidR="00E07645" w:rsidRPr="00FF5006" w:rsidRDefault="00E07645" w:rsidP="003F40DD">
            <w:pPr>
              <w:pStyle w:val="TableText"/>
              <w:rPr>
                <w:b/>
              </w:rPr>
            </w:pPr>
            <w:r w:rsidRPr="00FF5006">
              <w:rPr>
                <w:b/>
              </w:rPr>
              <w:t>Converted Transfusion Reaction</w:t>
            </w:r>
          </w:p>
        </w:tc>
        <w:tc>
          <w:tcPr>
            <w:tcW w:w="3056" w:type="dxa"/>
            <w:tcBorders>
              <w:top w:val="single" w:sz="6" w:space="0" w:color="000000"/>
              <w:left w:val="single" w:sz="6" w:space="0" w:color="000000"/>
              <w:bottom w:val="single" w:sz="6" w:space="0" w:color="000000"/>
              <w:right w:val="single" w:sz="6" w:space="0" w:color="000000"/>
            </w:tcBorders>
            <w:shd w:val="clear" w:color="auto" w:fill="B3B3B3"/>
          </w:tcPr>
          <w:p w14:paraId="701A9C4F" w14:textId="77777777" w:rsidR="00E07645" w:rsidRPr="00FF5006" w:rsidRDefault="00E07645" w:rsidP="003F40DD">
            <w:pPr>
              <w:pStyle w:val="TableText"/>
              <w:rPr>
                <w:b/>
              </w:rPr>
            </w:pPr>
            <w:r w:rsidRPr="00FF5006">
              <w:rPr>
                <w:b/>
              </w:rPr>
              <w:t>Default</w:t>
            </w:r>
          </w:p>
        </w:tc>
        <w:tc>
          <w:tcPr>
            <w:tcW w:w="484" w:type="dxa"/>
            <w:vMerge w:val="restart"/>
            <w:tcBorders>
              <w:top w:val="nil"/>
              <w:left w:val="single" w:sz="6" w:space="0" w:color="000000"/>
              <w:bottom w:val="single" w:sz="6" w:space="0" w:color="000000"/>
              <w:right w:val="single" w:sz="6" w:space="0" w:color="000000"/>
            </w:tcBorders>
            <w:shd w:val="clear" w:color="auto" w:fill="auto"/>
          </w:tcPr>
          <w:p w14:paraId="47EB7F14" w14:textId="77777777" w:rsidR="00E07645" w:rsidRPr="00FF5006" w:rsidRDefault="00E07645" w:rsidP="003F40DD">
            <w:pPr>
              <w:pStyle w:val="TableText"/>
              <w:rPr>
                <w:b/>
              </w:rPr>
            </w:pPr>
          </w:p>
        </w:tc>
      </w:tr>
      <w:tr w:rsidR="00E07645" w:rsidRPr="00725902" w14:paraId="1D0F38EE"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2B4C6D2"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4C3C47C5" w14:textId="77777777" w:rsidR="00E07645" w:rsidRDefault="00E07645" w:rsidP="003F40DD">
            <w:pPr>
              <w:pStyle w:val="TableText"/>
            </w:pPr>
            <w:r>
              <w:t xml:space="preserve">Pre-Transfusion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F9A3678" w14:textId="77777777" w:rsidR="00E07645" w:rsidRDefault="00E07645"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1A2874A2" w14:textId="77777777" w:rsidR="00E07645" w:rsidRDefault="00E07645" w:rsidP="003F40DD">
            <w:pPr>
              <w:pStyle w:val="TableText"/>
            </w:pPr>
          </w:p>
        </w:tc>
      </w:tr>
      <w:tr w:rsidR="00E07645" w:rsidRPr="00725902" w14:paraId="35878EF2"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6C07C046"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00683804" w14:textId="77777777" w:rsidR="00E07645" w:rsidRDefault="00E07645" w:rsidP="003F40DD">
            <w:pPr>
              <w:pStyle w:val="TableText"/>
            </w:pPr>
            <w:r>
              <w:t xml:space="preserve">Post-Transfusion Specimen Checks, Hemolysis Checks OK? </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3939AB39" w14:textId="77777777" w:rsidR="00E07645" w:rsidRDefault="00E07645" w:rsidP="003F40DD">
            <w:pPr>
              <w:pStyle w:val="TableText"/>
            </w:pPr>
            <w:r>
              <w:t>Yes</w:t>
            </w:r>
          </w:p>
        </w:tc>
        <w:tc>
          <w:tcPr>
            <w:tcW w:w="484" w:type="dxa"/>
            <w:vMerge/>
            <w:tcBorders>
              <w:top w:val="nil"/>
              <w:left w:val="single" w:sz="6" w:space="0" w:color="000000"/>
              <w:bottom w:val="single" w:sz="6" w:space="0" w:color="000000"/>
              <w:right w:val="single" w:sz="6" w:space="0" w:color="000000"/>
            </w:tcBorders>
            <w:shd w:val="clear" w:color="auto" w:fill="auto"/>
          </w:tcPr>
          <w:p w14:paraId="746A8545" w14:textId="77777777" w:rsidR="00E07645" w:rsidRDefault="00E07645" w:rsidP="003F40DD">
            <w:pPr>
              <w:pStyle w:val="TableText"/>
            </w:pPr>
          </w:p>
        </w:tc>
      </w:tr>
      <w:tr w:rsidR="00E07645" w:rsidRPr="00725902" w14:paraId="5F07E9E0"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2C839C87"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5018ACE0" w14:textId="77777777" w:rsidR="00E07645" w:rsidRDefault="00E07645" w:rsidP="003F40DD">
            <w:pPr>
              <w:pStyle w:val="TableText"/>
            </w:pPr>
            <w:r>
              <w:t>Symptoms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5DACF24D" w14:textId="77777777" w:rsidR="00E07645" w:rsidRDefault="00E07645" w:rsidP="003F40DD">
            <w:pPr>
              <w:pStyle w:val="TableText"/>
            </w:pPr>
            <w:r>
              <w:t>No symptoms identified.</w:t>
            </w:r>
          </w:p>
        </w:tc>
        <w:tc>
          <w:tcPr>
            <w:tcW w:w="484" w:type="dxa"/>
            <w:vMerge/>
            <w:tcBorders>
              <w:top w:val="nil"/>
              <w:left w:val="single" w:sz="6" w:space="0" w:color="000000"/>
              <w:bottom w:val="single" w:sz="6" w:space="0" w:color="000000"/>
              <w:right w:val="single" w:sz="6" w:space="0" w:color="000000"/>
            </w:tcBorders>
            <w:shd w:val="clear" w:color="auto" w:fill="auto"/>
          </w:tcPr>
          <w:p w14:paraId="4ED86783" w14:textId="77777777" w:rsidR="00E07645" w:rsidRDefault="00E07645" w:rsidP="003F40DD">
            <w:pPr>
              <w:pStyle w:val="TableText"/>
            </w:pPr>
          </w:p>
        </w:tc>
      </w:tr>
      <w:tr w:rsidR="00E07645" w:rsidRPr="00725902" w14:paraId="3409168A"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4DA415AF"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2AE0B637" w14:textId="77777777" w:rsidR="00E07645" w:rsidRDefault="00E07645" w:rsidP="003F40DD">
            <w:pPr>
              <w:pStyle w:val="TableText"/>
            </w:pPr>
            <w:r>
              <w:t>Implicated units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09BB1514" w14:textId="77777777" w:rsidR="00E07645" w:rsidRDefault="00E07645" w:rsidP="003F40DD">
            <w:pPr>
              <w:pStyle w:val="TableText"/>
            </w:pPr>
            <w:r>
              <w:t>No units implicated in reaction.</w:t>
            </w:r>
          </w:p>
        </w:tc>
        <w:tc>
          <w:tcPr>
            <w:tcW w:w="484" w:type="dxa"/>
            <w:vMerge/>
            <w:tcBorders>
              <w:top w:val="nil"/>
              <w:left w:val="single" w:sz="6" w:space="0" w:color="000000"/>
              <w:bottom w:val="single" w:sz="6" w:space="0" w:color="000000"/>
              <w:right w:val="single" w:sz="6" w:space="0" w:color="000000"/>
            </w:tcBorders>
            <w:shd w:val="clear" w:color="auto" w:fill="auto"/>
          </w:tcPr>
          <w:p w14:paraId="69246379" w14:textId="77777777" w:rsidR="00E07645" w:rsidRDefault="00E07645" w:rsidP="003F40DD">
            <w:pPr>
              <w:pStyle w:val="TableText"/>
            </w:pPr>
          </w:p>
        </w:tc>
      </w:tr>
      <w:tr w:rsidR="00E07645" w:rsidRPr="00725902" w14:paraId="5525363C" w14:textId="77777777">
        <w:trPr>
          <w:cantSplit/>
        </w:trPr>
        <w:tc>
          <w:tcPr>
            <w:tcW w:w="484" w:type="dxa"/>
            <w:vMerge/>
            <w:tcBorders>
              <w:top w:val="nil"/>
              <w:left w:val="single" w:sz="6" w:space="0" w:color="000000"/>
              <w:bottom w:val="single" w:sz="6" w:space="0" w:color="000000"/>
              <w:right w:val="single" w:sz="6" w:space="0" w:color="000000"/>
            </w:tcBorders>
            <w:shd w:val="clear" w:color="auto" w:fill="auto"/>
          </w:tcPr>
          <w:p w14:paraId="5BB27017" w14:textId="77777777" w:rsidR="00E07645" w:rsidRDefault="00E07645" w:rsidP="003F40DD">
            <w:pPr>
              <w:pStyle w:val="TableText"/>
            </w:pPr>
          </w:p>
        </w:tc>
        <w:tc>
          <w:tcPr>
            <w:tcW w:w="5336" w:type="dxa"/>
            <w:tcBorders>
              <w:top w:val="single" w:sz="6" w:space="0" w:color="000000"/>
              <w:left w:val="single" w:sz="6" w:space="0" w:color="000000"/>
              <w:bottom w:val="single" w:sz="6" w:space="0" w:color="000000"/>
              <w:right w:val="single" w:sz="6" w:space="0" w:color="000000"/>
            </w:tcBorders>
            <w:shd w:val="clear" w:color="auto" w:fill="auto"/>
          </w:tcPr>
          <w:p w14:paraId="678318E4" w14:textId="77777777" w:rsidR="00E07645" w:rsidRDefault="00E07645" w:rsidP="003F40DD">
            <w:pPr>
              <w:pStyle w:val="TableText"/>
            </w:pPr>
            <w:r>
              <w:t>Serologic tests</w:t>
            </w:r>
          </w:p>
        </w:tc>
        <w:tc>
          <w:tcPr>
            <w:tcW w:w="3056" w:type="dxa"/>
            <w:tcBorders>
              <w:top w:val="single" w:sz="6" w:space="0" w:color="000000"/>
              <w:left w:val="single" w:sz="6" w:space="0" w:color="000000"/>
              <w:bottom w:val="single" w:sz="6" w:space="0" w:color="000000"/>
              <w:right w:val="single" w:sz="6" w:space="0" w:color="000000"/>
            </w:tcBorders>
            <w:shd w:val="clear" w:color="auto" w:fill="auto"/>
          </w:tcPr>
          <w:p w14:paraId="2B5ECA4E" w14:textId="77777777" w:rsidR="00E07645" w:rsidRDefault="00E07645" w:rsidP="003F40DD">
            <w:pPr>
              <w:pStyle w:val="TableText"/>
            </w:pPr>
            <w:r>
              <w:t>No serologic tests performed.</w:t>
            </w:r>
          </w:p>
        </w:tc>
        <w:tc>
          <w:tcPr>
            <w:tcW w:w="484" w:type="dxa"/>
            <w:vMerge/>
            <w:tcBorders>
              <w:top w:val="nil"/>
              <w:left w:val="single" w:sz="6" w:space="0" w:color="000000"/>
              <w:bottom w:val="single" w:sz="6" w:space="0" w:color="000000"/>
              <w:right w:val="single" w:sz="6" w:space="0" w:color="000000"/>
            </w:tcBorders>
            <w:shd w:val="clear" w:color="auto" w:fill="auto"/>
          </w:tcPr>
          <w:p w14:paraId="6E83E641" w14:textId="77777777" w:rsidR="00E07645" w:rsidRDefault="00E07645" w:rsidP="003F40DD">
            <w:pPr>
              <w:pStyle w:val="TableText"/>
            </w:pPr>
          </w:p>
        </w:tc>
      </w:tr>
    </w:tbl>
    <w:p w14:paraId="3146E81A" w14:textId="77777777" w:rsidR="009D715F" w:rsidRDefault="009D715F" w:rsidP="009D715F">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9D715F" w:rsidRPr="005E4113" w14:paraId="0A597CC9" w14:textId="77777777" w:rsidTr="00615FC3">
        <w:trPr>
          <w:cantSplit/>
          <w:tblHeader/>
        </w:trPr>
        <w:tc>
          <w:tcPr>
            <w:tcW w:w="9360" w:type="dxa"/>
            <w:shd w:val="clear" w:color="auto" w:fill="BFBFBF" w:themeFill="background1" w:themeFillShade="BF"/>
            <w:vAlign w:val="bottom"/>
          </w:tcPr>
          <w:p w14:paraId="0842EBB7" w14:textId="77777777" w:rsidR="009D715F" w:rsidRPr="005E4113" w:rsidRDefault="009D715F" w:rsidP="00615FC3">
            <w:pPr>
              <w:pStyle w:val="TableText"/>
              <w:rPr>
                <w:b/>
              </w:rPr>
            </w:pPr>
            <w:r>
              <w:br w:type="page"/>
            </w:r>
            <w:r w:rsidRPr="005E4113">
              <w:rPr>
                <w:b/>
              </w:rPr>
              <w:t>Patient Merge</w:t>
            </w:r>
          </w:p>
        </w:tc>
      </w:tr>
      <w:tr w:rsidR="009D715F" w:rsidRPr="00725902" w14:paraId="0CA51D69" w14:textId="77777777" w:rsidTr="00615FC3">
        <w:tblPrEx>
          <w:tblBorders>
            <w:insideH w:val="none" w:sz="0" w:space="0" w:color="auto"/>
            <w:insideV w:val="none" w:sz="0" w:space="0" w:color="auto"/>
          </w:tblBorders>
          <w:shd w:val="clear" w:color="auto" w:fill="auto"/>
        </w:tblPrEx>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614F26E" w14:textId="77777777" w:rsidR="009D715F" w:rsidRPr="00D139EE" w:rsidRDefault="009D715F" w:rsidP="00615FC3">
            <w:pPr>
              <w:pStyle w:val="TableText"/>
            </w:pPr>
            <w:r w:rsidRPr="00D62E7A">
              <w:rPr>
                <w:vanish/>
              </w:rPr>
              <w:t>DR 2,527</w:t>
            </w:r>
            <w:r>
              <w:rPr>
                <w:vanish/>
              </w:rPr>
              <w:t xml:space="preserve"> </w:t>
            </w:r>
            <w:r>
              <w:t>The Traditional Supervisor or above must update patient records manually.</w:t>
            </w:r>
          </w:p>
        </w:tc>
      </w:tr>
      <w:tr w:rsidR="009D715F" w:rsidRPr="00725902" w14:paraId="26612205" w14:textId="77777777" w:rsidTr="00615FC3">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5660882" w14:textId="47705894" w:rsidR="009D715F" w:rsidRPr="00D139EE" w:rsidRDefault="009D715F" w:rsidP="00615FC3">
            <w:pPr>
              <w:pStyle w:val="TableTex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r w:rsidR="00676CAC" w:rsidRPr="00FF7FFA">
              <w:rPr>
                <w:vanish/>
              </w:rPr>
              <w:t>Defect 209990</w:t>
            </w:r>
          </w:p>
        </w:tc>
      </w:tr>
      <w:tr w:rsidR="009D715F" w:rsidRPr="00725902" w14:paraId="25A6B9B2" w14:textId="77777777" w:rsidTr="00615FC3">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762D588" w14:textId="3C030E4B" w:rsidR="009D715F" w:rsidRDefault="009D715F" w:rsidP="00615FC3">
            <w:pPr>
              <w:pStyle w:val="TableText"/>
            </w:pPr>
            <w:r>
              <w:t>Patient merges involving</w:t>
            </w:r>
            <w:r w:rsidRPr="00DD022C">
              <w:t xml:space="preserve"> patients with names that exceed the database standard for File #2 (30 characters) or do not have a first or last name in VistA are rejected and do not appear in VBECS. The VBECS System Administrator is notified of each rejection via an email to the address entered in VBECS Administrator “</w:t>
            </w:r>
            <w:r>
              <w:t>Email Alerts</w:t>
            </w:r>
            <w:r w:rsidRPr="00DD022C">
              <w:t>” field.</w:t>
            </w:r>
          </w:p>
        </w:tc>
      </w:tr>
      <w:tr w:rsidR="009D715F" w:rsidRPr="00725902" w14:paraId="7F194C5E" w14:textId="77777777" w:rsidTr="00615FC3">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82E9BBD" w14:textId="77777777" w:rsidR="009D715F" w:rsidRDefault="009D715F" w:rsidP="00615FC3">
            <w:pPr>
              <w:pStyle w:val="TableText"/>
            </w:pPr>
            <w:r>
              <w:t xml:space="preserve">VBECS displays duplicate merge events to the user for merge. Users can process one of the merge events manually and clear both merge alerts. The Master Veteran Index team is working on a patch to discontinue sending a duplicate message. </w:t>
            </w:r>
            <w:r w:rsidRPr="00FC36D7">
              <w:rPr>
                <w:vanish/>
              </w:rPr>
              <w:t>Defect 210029</w:t>
            </w:r>
          </w:p>
        </w:tc>
      </w:tr>
    </w:tbl>
    <w:p w14:paraId="0F9E87EC" w14:textId="77777777" w:rsidR="00E07645" w:rsidRDefault="00E07645"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71699C" w:rsidRPr="005E4113" w14:paraId="24D22E2E" w14:textId="77777777" w:rsidTr="00CE4C78">
        <w:trPr>
          <w:cantSplit/>
          <w:tblHeader/>
        </w:trPr>
        <w:tc>
          <w:tcPr>
            <w:tcW w:w="9360" w:type="dxa"/>
            <w:shd w:val="clear" w:color="auto" w:fill="BFBFBF" w:themeFill="background1" w:themeFillShade="BF"/>
            <w:vAlign w:val="bottom"/>
          </w:tcPr>
          <w:p w14:paraId="4FD12055" w14:textId="77777777" w:rsidR="0071699C" w:rsidRPr="005E4113" w:rsidRDefault="0071699C" w:rsidP="00E971D0">
            <w:pPr>
              <w:pStyle w:val="TableText"/>
              <w:rPr>
                <w:b/>
              </w:rPr>
            </w:pPr>
            <w:r>
              <w:rPr>
                <w:b/>
              </w:rPr>
              <w:t>Patient Search Screen</w:t>
            </w:r>
          </w:p>
        </w:tc>
      </w:tr>
      <w:tr w:rsidR="0071699C" w:rsidRPr="00725902" w14:paraId="413433CF"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E425143" w14:textId="77777777" w:rsidR="0071699C" w:rsidRPr="0071699C" w:rsidRDefault="0071699C" w:rsidP="0071699C">
            <w:pPr>
              <w:pStyle w:val="PlainText"/>
              <w:rPr>
                <w:rFonts w:ascii="Arial" w:eastAsia="Times New Roman" w:hAnsi="Arial"/>
                <w:sz w:val="18"/>
                <w:szCs w:val="24"/>
              </w:rPr>
            </w:pPr>
            <w:r w:rsidRPr="0071699C">
              <w:rPr>
                <w:rFonts w:ascii="Arial" w:eastAsia="Times New Roman" w:hAnsi="Arial"/>
                <w:sz w:val="18"/>
                <w:szCs w:val="24"/>
              </w:rPr>
              <w:t xml:space="preserve">VBECS updates information from VistA File #2, not VistA File #20. Name changes made in VistA File #20 will not appear in VBECS. Align File #2 with those changes to update VBECS. </w:t>
            </w:r>
            <w:r w:rsidRPr="0071699C">
              <w:rPr>
                <w:rFonts w:ascii="Arial" w:eastAsia="Times New Roman" w:hAnsi="Arial"/>
                <w:vanish/>
                <w:sz w:val="18"/>
                <w:szCs w:val="24"/>
              </w:rPr>
              <w:t>Task 585891</w:t>
            </w:r>
          </w:p>
        </w:tc>
      </w:tr>
      <w:tr w:rsidR="00696708" w:rsidRPr="00725902" w14:paraId="57EA97AB"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8D253EE" w14:textId="4C9FA4FF" w:rsidR="00696708" w:rsidRPr="00696708" w:rsidRDefault="00696708" w:rsidP="00696708">
            <w:pPr>
              <w:pStyle w:val="ListBullet"/>
              <w:numPr>
                <w:ilvl w:val="0"/>
                <w:numId w:val="0"/>
              </w:numPr>
            </w:pPr>
            <w:r w:rsidRPr="00696708">
              <w:rPr>
                <w:rFonts w:ascii="Arial" w:hAnsi="Arial"/>
                <w:spacing w:val="0"/>
                <w:sz w:val="18"/>
                <w:szCs w:val="24"/>
              </w:rPr>
              <w:t xml:space="preserve">Searching for non-alphanumeric characters (e.g., hyphens, etc.) </w:t>
            </w:r>
            <w:r w:rsidR="00511276">
              <w:rPr>
                <w:rFonts w:ascii="Arial" w:hAnsi="Arial"/>
                <w:spacing w:val="0"/>
                <w:sz w:val="18"/>
                <w:szCs w:val="24"/>
              </w:rPr>
              <w:t>is not supported</w:t>
            </w:r>
            <w:r w:rsidRPr="00696708">
              <w:rPr>
                <w:rFonts w:ascii="Arial" w:hAnsi="Arial"/>
                <w:spacing w:val="0"/>
                <w:sz w:val="18"/>
                <w:szCs w:val="24"/>
              </w:rPr>
              <w:t>.</w:t>
            </w:r>
            <w:r w:rsidR="00CE1233">
              <w:rPr>
                <w:rFonts w:ascii="Arial" w:hAnsi="Arial"/>
                <w:spacing w:val="0"/>
                <w:sz w:val="18"/>
                <w:szCs w:val="24"/>
              </w:rPr>
              <w:t xml:space="preserve"> </w:t>
            </w:r>
            <w:r w:rsidR="00CE1233" w:rsidRPr="009312D9">
              <w:rPr>
                <w:rFonts w:ascii="Arial" w:hAnsi="Arial"/>
                <w:vanish/>
                <w:spacing w:val="0"/>
                <w:sz w:val="18"/>
                <w:szCs w:val="24"/>
              </w:rPr>
              <w:t>Defect 209859</w:t>
            </w:r>
          </w:p>
        </w:tc>
      </w:tr>
    </w:tbl>
    <w:p w14:paraId="0285A9D3"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808B9" w14:paraId="4ED7759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CD0BC5F" w14:textId="77777777" w:rsidR="003F0440" w:rsidRPr="005808B9" w:rsidRDefault="003F0440" w:rsidP="002D126B">
            <w:pPr>
              <w:pStyle w:val="TableText"/>
              <w:rPr>
                <w:b/>
              </w:rPr>
            </w:pPr>
            <w:r w:rsidRPr="005808B9">
              <w:rPr>
                <w:b/>
              </w:rPr>
              <w:t>Patient Testing: Cancel an Active Order</w:t>
            </w:r>
          </w:p>
        </w:tc>
      </w:tr>
      <w:tr w:rsidR="003F0440" w:rsidRPr="001C59D2" w14:paraId="1BD5FDBD"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AC7BE22" w14:textId="77777777" w:rsidR="003F0440" w:rsidRPr="005808B9" w:rsidRDefault="003F0440" w:rsidP="002D126B">
            <w:pPr>
              <w:pStyle w:val="TableText"/>
            </w:pPr>
            <w:r>
              <w:t>Cancellation of one order does not affect other orders placed with it.</w:t>
            </w:r>
          </w:p>
        </w:tc>
      </w:tr>
      <w:tr w:rsidR="003F0440" w:rsidRPr="001C59D2" w14:paraId="2AFA344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B73F7E6" w14:textId="77777777" w:rsidR="003F0440" w:rsidRPr="001C59D2" w:rsidRDefault="003F0440" w:rsidP="002D126B">
            <w:pPr>
              <w:pStyle w:val="TableText"/>
              <w:rPr>
                <w:b/>
              </w:rPr>
            </w:pPr>
            <w:r>
              <w:t>Before a user may cancel a partially completed task, he must invalidate the results for that task, thereby changing its status to “not started.”</w:t>
            </w:r>
          </w:p>
        </w:tc>
      </w:tr>
    </w:tbl>
    <w:p w14:paraId="5BB38BA3" w14:textId="77777777" w:rsidR="003E754E" w:rsidRDefault="003E754E"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33B76" w14:paraId="42DA775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200C6E2" w14:textId="77777777" w:rsidR="003F0440" w:rsidRPr="00033B76" w:rsidRDefault="003E754E" w:rsidP="002D126B">
            <w:pPr>
              <w:pStyle w:val="TableText"/>
              <w:rPr>
                <w:b/>
              </w:rPr>
            </w:pPr>
            <w:r>
              <w:br w:type="page"/>
            </w:r>
            <w:r w:rsidR="003F0440" w:rsidRPr="00033B76">
              <w:rPr>
                <w:b/>
              </w:rPr>
              <w:t>Patient Testing: Enter Antibody Identification Results</w:t>
            </w:r>
          </w:p>
        </w:tc>
      </w:tr>
      <w:tr w:rsidR="003F0440" w:rsidRPr="001C59D2" w14:paraId="54BD7C1A"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220F0AA" w14:textId="77777777" w:rsidR="003F0440" w:rsidRDefault="003F0440" w:rsidP="002D126B">
            <w:pPr>
              <w:pStyle w:val="TableText"/>
            </w:pPr>
            <w:r>
              <w:t>When an antigen negative requirement is not configured for an antibody, the user may enter the requirement for a patient through Special Instructions &amp; Transfusion Requirements: Enter a Transfusion Requirement.</w:t>
            </w:r>
          </w:p>
        </w:tc>
      </w:tr>
    </w:tbl>
    <w:p w14:paraId="044EE331"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986D0E" w14:paraId="65FC014F"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16E77EF" w14:textId="77777777" w:rsidR="003F0440" w:rsidRPr="00986D0E" w:rsidRDefault="003F0440" w:rsidP="002D126B">
            <w:pPr>
              <w:pStyle w:val="TableText"/>
              <w:rPr>
                <w:b/>
              </w:rPr>
            </w:pPr>
            <w:r w:rsidRPr="00986D0E">
              <w:rPr>
                <w:b/>
              </w:rPr>
              <w:t>Patient Testing: General Instructions</w:t>
            </w:r>
          </w:p>
        </w:tc>
      </w:tr>
      <w:tr w:rsidR="003F0440" w:rsidRPr="001C59D2" w14:paraId="007F030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FCB2CB6" w14:textId="77777777" w:rsidR="003F0440" w:rsidRDefault="003F0440" w:rsidP="002D126B">
            <w:pPr>
              <w:pStyle w:val="TableText"/>
            </w:pPr>
            <w:r>
              <w:t>This test record is not editable after the user completes a test and saves it to the database. When a correction needs to be filed, a corrected report must be generated, as described in Invalidating Patient Test Results.</w:t>
            </w:r>
          </w:p>
        </w:tc>
      </w:tr>
      <w:tr w:rsidR="00B90645" w:rsidRPr="001C59D2" w14:paraId="4478A3A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3A322BE" w14:textId="2559D75F" w:rsidR="00B90645" w:rsidRDefault="00B90645" w:rsidP="00B90645">
            <w:pPr>
              <w:pStyle w:val="TableText"/>
            </w:pPr>
            <w:r>
              <w:t>User selection of partially completed testing grids with different phases of</w:t>
            </w:r>
            <w:r w:rsidR="00676CAC">
              <w:t xml:space="preserve"> testing</w:t>
            </w:r>
            <w:r>
              <w:t xml:space="preserve"> </w:t>
            </w:r>
            <w:r w:rsidR="009D715F">
              <w:t>(All Phases or AHG Only) as previously selected creates a testing discrepancy in VBECS</w:t>
            </w:r>
            <w:r>
              <w:t>.</w:t>
            </w:r>
          </w:p>
        </w:tc>
      </w:tr>
      <w:tr w:rsidR="006941AE" w:rsidRPr="001C59D2" w14:paraId="7FFACB06"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632AE75D" w14:textId="0937FE58" w:rsidR="006941AE" w:rsidRDefault="006941AE" w:rsidP="00B90645">
            <w:pPr>
              <w:pStyle w:val="TableText"/>
            </w:pPr>
            <w:r>
              <w:t>Limited batch testing to partially completed orders with the same testing grid selection, either All Phases or AHG Only.</w:t>
            </w:r>
            <w:r w:rsidR="002B25A3" w:rsidRPr="00B90645">
              <w:rPr>
                <w:vanish/>
              </w:rPr>
              <w:t xml:space="preserve"> DR 4218</w:t>
            </w:r>
          </w:p>
        </w:tc>
      </w:tr>
      <w:tr w:rsidR="006941AE" w:rsidRPr="001C59D2" w14:paraId="18A42BE2"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4BA921" w14:textId="6BF2D5B8" w:rsidR="006941AE" w:rsidRDefault="006941AE" w:rsidP="00B90645">
            <w:pPr>
              <w:pStyle w:val="TableText"/>
            </w:pPr>
            <w:r>
              <w:t>VBECS cannot compare test results for a patient when two users are entering test results for the same patient at the same time.</w:t>
            </w:r>
            <w:r w:rsidR="002B25A3" w:rsidRPr="000D669E">
              <w:rPr>
                <w:vanish/>
              </w:rPr>
              <w:t xml:space="preserve"> DR 4817</w:t>
            </w:r>
          </w:p>
        </w:tc>
      </w:tr>
      <w:tr w:rsidR="00A753B8" w:rsidRPr="001C59D2" w14:paraId="107CFCC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653309F" w14:textId="1E037795" w:rsidR="00A753B8" w:rsidRDefault="00A753B8" w:rsidP="00B90645">
            <w:pPr>
              <w:pStyle w:val="TableText"/>
            </w:pPr>
            <w:r>
              <w:t>Cost entry is capped at 999.</w:t>
            </w:r>
            <w:r w:rsidR="00E62957">
              <w:t>00</w:t>
            </w:r>
            <w:r>
              <w:t xml:space="preserve">. </w:t>
            </w:r>
            <w:r w:rsidRPr="00A753B8">
              <w:rPr>
                <w:vanish/>
              </w:rPr>
              <w:t>Defect 942523</w:t>
            </w:r>
          </w:p>
        </w:tc>
      </w:tr>
    </w:tbl>
    <w:p w14:paraId="6D344F38"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E4113" w14:paraId="6C97226E" w14:textId="77777777" w:rsidTr="00CE4C78">
        <w:trPr>
          <w:cantSplit/>
          <w:tblHeader/>
        </w:trPr>
        <w:tc>
          <w:tcPr>
            <w:tcW w:w="9360" w:type="dxa"/>
            <w:shd w:val="clear" w:color="auto" w:fill="BFBFBF" w:themeFill="background1" w:themeFillShade="BF"/>
            <w:vAlign w:val="bottom"/>
          </w:tcPr>
          <w:p w14:paraId="0AD01A8C" w14:textId="77777777" w:rsidR="003F0440" w:rsidRPr="005E4113" w:rsidRDefault="003F0440" w:rsidP="002D126B">
            <w:pPr>
              <w:pStyle w:val="TableText"/>
              <w:rPr>
                <w:b/>
              </w:rPr>
            </w:pPr>
            <w:r w:rsidRPr="005E4113">
              <w:rPr>
                <w:b/>
              </w:rPr>
              <w:t>Patient Testing: Pending Task List</w:t>
            </w:r>
          </w:p>
        </w:tc>
      </w:tr>
      <w:tr w:rsidR="003F0440" w:rsidRPr="00725902" w14:paraId="093A037D"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D10D14A" w14:textId="77777777" w:rsidR="003F0440" w:rsidRPr="00725902" w:rsidRDefault="003F0440" w:rsidP="002D126B">
            <w:pPr>
              <w:pStyle w:val="TableText"/>
            </w:pPr>
            <w:r>
              <w:t>This option is for diagnostic, blood component, and reflex test orders placed in or directed to the user’s division.</w:t>
            </w:r>
          </w:p>
        </w:tc>
      </w:tr>
      <w:tr w:rsidR="003F0440" w:rsidRPr="00725902" w14:paraId="719F90E4"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1A492C7" w14:textId="77777777" w:rsidR="003F0440" w:rsidRPr="00725902" w:rsidRDefault="003F0440" w:rsidP="002D126B">
            <w:pPr>
              <w:pStyle w:val="TableText"/>
            </w:pPr>
            <w:r>
              <w:t>The PTL does not include daily quality control, equipment maintenance schedules, or pending ABO/Rh confirmation and auxiliary tests on red blood cell units.</w:t>
            </w:r>
          </w:p>
        </w:tc>
      </w:tr>
      <w:tr w:rsidR="00B16403" w:rsidRPr="00725902" w14:paraId="6C5C13FB"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1186684D" w14:textId="77777777" w:rsidR="00B16403" w:rsidRDefault="00B16403" w:rsidP="002D126B">
            <w:pPr>
              <w:pStyle w:val="TableText"/>
            </w:pPr>
            <w:r w:rsidRPr="00696FA6">
              <w:t xml:space="preserve">Users may perform testing for no more than four patients in one </w:t>
            </w:r>
            <w:r>
              <w:t>VBECS</w:t>
            </w:r>
            <w:r w:rsidRPr="00696FA6">
              <w:t xml:space="preserve"> session.</w:t>
            </w:r>
          </w:p>
        </w:tc>
      </w:tr>
    </w:tbl>
    <w:p w14:paraId="2377855D"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D61D3" w14:paraId="39D8F62F" w14:textId="77777777" w:rsidTr="00CE4C78">
        <w:trPr>
          <w:cantSplit/>
          <w:tblHeader/>
        </w:trPr>
        <w:tc>
          <w:tcPr>
            <w:tcW w:w="9360" w:type="dxa"/>
            <w:shd w:val="clear" w:color="auto" w:fill="BFBFBF" w:themeFill="background1" w:themeFillShade="BF"/>
            <w:vAlign w:val="bottom"/>
          </w:tcPr>
          <w:p w14:paraId="3B43F9F5" w14:textId="77777777" w:rsidR="003F0440" w:rsidRPr="005D61D3" w:rsidRDefault="003F0440" w:rsidP="002D126B">
            <w:pPr>
              <w:pStyle w:val="TableText"/>
              <w:rPr>
                <w:b/>
              </w:rPr>
            </w:pPr>
            <w:r w:rsidRPr="005D61D3">
              <w:rPr>
                <w:b/>
              </w:rPr>
              <w:t>Patient Testing: Record a Crossmatch</w:t>
            </w:r>
          </w:p>
        </w:tc>
      </w:tr>
      <w:tr w:rsidR="003F0440" w:rsidRPr="00725902" w14:paraId="07362853" w14:textId="77777777" w:rsidTr="00CE4C78">
        <w:tblPrEx>
          <w:tblBorders>
            <w:insideH w:val="none" w:sz="0" w:space="0" w:color="auto"/>
            <w:insideV w:val="none" w:sz="0" w:space="0" w:color="auto"/>
          </w:tblBorders>
          <w:shd w:val="clear" w:color="auto" w:fill="auto"/>
        </w:tblPrEx>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3693C2B" w14:textId="77777777" w:rsidR="003F0440" w:rsidRPr="00725902" w:rsidRDefault="003F0440" w:rsidP="002D126B">
            <w:pPr>
              <w:pStyle w:val="TableText"/>
            </w:pPr>
            <w:r>
              <w:rPr>
                <w:rFonts w:cs="Arial"/>
                <w:vanish/>
              </w:rPr>
              <w:t xml:space="preserve">BR_40.01 </w:t>
            </w:r>
            <w:r>
              <w:t>The specimen associated with testing must have an expiration date and time that are later than the testing date and time entered in Patient Testing: Record Patient Test Results. When this is not the case, VBECS warns that the patient specimen expired. There is no override.</w:t>
            </w:r>
          </w:p>
        </w:tc>
      </w:tr>
      <w:tr w:rsidR="003F0440" w:rsidRPr="00725902" w14:paraId="298C27EC"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43B59E71" w14:textId="77777777" w:rsidR="003F0440" w:rsidRPr="00725902" w:rsidRDefault="003F0440" w:rsidP="002D126B">
            <w:pPr>
              <w:pStyle w:val="TableText"/>
            </w:pPr>
            <w:r>
              <w:t>This option does not include electronic crossmatch (eXM).</w:t>
            </w:r>
          </w:p>
        </w:tc>
      </w:tr>
    </w:tbl>
    <w:p w14:paraId="00E45E88" w14:textId="77777777" w:rsidR="000604AA" w:rsidRDefault="000604AA" w:rsidP="00726BF3">
      <w:pPr>
        <w:pStyle w:val="TableText"/>
      </w:pP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B3B3B3"/>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092276" w14:paraId="38B620FD" w14:textId="77777777" w:rsidTr="00CE4C78">
        <w:trPr>
          <w:cantSplit/>
          <w:tblHeader/>
        </w:trPr>
        <w:tc>
          <w:tcPr>
            <w:tcW w:w="9360" w:type="dxa"/>
            <w:shd w:val="clear" w:color="auto" w:fill="BFBFBF" w:themeFill="background1" w:themeFillShade="BF"/>
            <w:vAlign w:val="bottom"/>
          </w:tcPr>
          <w:p w14:paraId="4DBF2332" w14:textId="6A652A3E" w:rsidR="003F0440" w:rsidRPr="00092276" w:rsidRDefault="000604AA" w:rsidP="002D126B">
            <w:pPr>
              <w:pStyle w:val="TableText"/>
              <w:rPr>
                <w:b/>
              </w:rPr>
            </w:pPr>
            <w:r>
              <w:br w:type="page"/>
            </w:r>
            <w:r w:rsidR="003F0440" w:rsidRPr="00092276">
              <w:rPr>
                <w:b/>
              </w:rPr>
              <w:t>Patient Testing: Record a Direct Antiglobulin Test</w:t>
            </w:r>
          </w:p>
        </w:tc>
      </w:tr>
      <w:tr w:rsidR="003F0440" w:rsidRPr="00725902" w14:paraId="5E9C576B" w14:textId="77777777" w:rsidTr="00CE4C78">
        <w:tblPrEx>
          <w:tblBorders>
            <w:insideH w:val="none" w:sz="0" w:space="0" w:color="auto"/>
            <w:insideV w:val="none" w:sz="0" w:space="0" w:color="auto"/>
          </w:tblBorders>
          <w:shd w:val="clear" w:color="auto" w:fill="auto"/>
        </w:tblPrEx>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E1C4BFF" w14:textId="77777777" w:rsidR="003F0440" w:rsidRPr="00725902" w:rsidRDefault="003F0440" w:rsidP="002D126B">
            <w:pPr>
              <w:pStyle w:val="TableText"/>
            </w:pPr>
            <w:r>
              <w:t>VBECS does not check whether the lot and vial numbers selected for the positive control cells are different from those of the negative control cells.</w:t>
            </w:r>
          </w:p>
        </w:tc>
      </w:tr>
    </w:tbl>
    <w:p w14:paraId="4751CB5C" w14:textId="77777777" w:rsidR="00C46DE2" w:rsidRDefault="00C46DE2" w:rsidP="00C46DE2">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C46DE2" w:rsidRPr="001E53C1" w14:paraId="3DCE6FD5" w14:textId="77777777" w:rsidTr="00615FC3">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7F359F2" w14:textId="77777777" w:rsidR="00C46DE2" w:rsidRPr="001E53C1" w:rsidRDefault="00C46DE2" w:rsidP="00615FC3">
            <w:pPr>
              <w:pStyle w:val="TableText"/>
              <w:rPr>
                <w:b/>
              </w:rPr>
            </w:pPr>
            <w:r>
              <w:rPr>
                <w:b/>
              </w:rPr>
              <w:t>Patient Testing: Record a Patient ABO/Rh</w:t>
            </w:r>
          </w:p>
        </w:tc>
      </w:tr>
      <w:tr w:rsidR="00C46DE2" w14:paraId="5DEA01AC" w14:textId="77777777" w:rsidTr="00615FC3">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3A50CD4" w14:textId="66472201" w:rsidR="00C46DE2" w:rsidRDefault="00C46DE2" w:rsidP="00615FC3">
            <w:pPr>
              <w:pStyle w:val="PlainText"/>
            </w:pPr>
            <w:r w:rsidRPr="00D53DC3">
              <w:rPr>
                <w:rFonts w:ascii="Arial" w:eastAsia="Times New Roman" w:hAnsi="Arial"/>
                <w:sz w:val="18"/>
                <w:szCs w:val="24"/>
              </w:rPr>
              <w:t xml:space="preserve">VBECS does not allow entry of ABO or Rh subgroups as a </w:t>
            </w:r>
            <w:r w:rsidR="002B25A3" w:rsidRPr="002B25A3">
              <w:rPr>
                <w:rFonts w:ascii="Arial" w:eastAsia="Times New Roman" w:hAnsi="Arial"/>
                <w:sz w:val="18"/>
                <w:szCs w:val="24"/>
              </w:rPr>
              <w:t xml:space="preserve">'group' and/or 'type' </w:t>
            </w:r>
            <w:r w:rsidRPr="00D53DC3">
              <w:rPr>
                <w:rFonts w:ascii="Arial" w:eastAsia="Times New Roman" w:hAnsi="Arial"/>
                <w:sz w:val="18"/>
                <w:szCs w:val="24"/>
              </w:rPr>
              <w:t>when the previous blood group/type is "NR", indicating no recor</w:t>
            </w:r>
            <w:r>
              <w:rPr>
                <w:rFonts w:ascii="Arial" w:eastAsia="Times New Roman" w:hAnsi="Arial"/>
                <w:sz w:val="18"/>
                <w:szCs w:val="24"/>
              </w:rPr>
              <w:t>d of previous testing. S</w:t>
            </w:r>
            <w:r w:rsidRPr="00D53DC3">
              <w:rPr>
                <w:rFonts w:ascii="Arial" w:eastAsia="Times New Roman" w:hAnsi="Arial"/>
                <w:sz w:val="18"/>
                <w:szCs w:val="24"/>
              </w:rPr>
              <w:t>ee FAQ ABO Subgroup Interpretation and conta</w:t>
            </w:r>
            <w:r>
              <w:rPr>
                <w:rFonts w:ascii="Arial" w:eastAsia="Times New Roman" w:hAnsi="Arial"/>
                <w:sz w:val="18"/>
                <w:szCs w:val="24"/>
              </w:rPr>
              <w:t xml:space="preserve">ct the </w:t>
            </w:r>
            <w:r w:rsidRPr="00D53DC3">
              <w:rPr>
                <w:rFonts w:ascii="Arial" w:eastAsia="Times New Roman" w:hAnsi="Arial"/>
                <w:sz w:val="18"/>
                <w:szCs w:val="24"/>
              </w:rPr>
              <w:t>Service Desk for assistance, prior to adding patient transfusion records in VBECS, when possible.</w:t>
            </w:r>
            <w:r>
              <w:rPr>
                <w:rFonts w:ascii="Arial" w:eastAsia="Times New Roman" w:hAnsi="Arial"/>
                <w:sz w:val="18"/>
                <w:szCs w:val="24"/>
              </w:rPr>
              <w:t xml:space="preserve"> </w:t>
            </w:r>
            <w:r w:rsidRPr="00D53DC3">
              <w:rPr>
                <w:rFonts w:ascii="Arial" w:eastAsia="Times New Roman" w:hAnsi="Arial"/>
                <w:vanish/>
                <w:sz w:val="18"/>
                <w:szCs w:val="24"/>
              </w:rPr>
              <w:t>Defect 368207</w:t>
            </w:r>
          </w:p>
        </w:tc>
      </w:tr>
      <w:tr w:rsidR="00C46DE2" w14:paraId="742AD5DF" w14:textId="77777777" w:rsidTr="00615FC3">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54F0975" w14:textId="77777777" w:rsidR="00C46DE2" w:rsidRPr="00FE415F" w:rsidRDefault="00C46DE2" w:rsidP="00615FC3">
            <w:pPr>
              <w:pStyle w:val="TableText"/>
              <w:rPr>
                <w:b/>
              </w:rPr>
            </w:pPr>
            <w:r w:rsidRPr="00FE415F">
              <w:t xml:space="preserve">When the patient has no previous ABO/Rh test record (NR), the ABO/Rh test associated with the Type and Screen test (TAS) must be completed and saved prior to entering and saving a repeat ABO/Rh test on this specimen. </w:t>
            </w:r>
            <w:r w:rsidRPr="00FE415F">
              <w:rPr>
                <w:vanish/>
              </w:rPr>
              <w:t>Defect 231531</w:t>
            </w:r>
            <w:r>
              <w:rPr>
                <w:vanish/>
              </w:rPr>
              <w:t>, Task 474043</w:t>
            </w:r>
          </w:p>
        </w:tc>
      </w:tr>
      <w:tr w:rsidR="00C46DE2" w14:paraId="1C54C726" w14:textId="77777777" w:rsidTr="00615FC3">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A5BBC55" w14:textId="77777777" w:rsidR="00C46DE2" w:rsidRPr="00FE415F" w:rsidRDefault="00C46DE2" w:rsidP="00615FC3">
            <w:pPr>
              <w:pStyle w:val="TableText"/>
            </w:pPr>
            <w:r w:rsidRPr="00D25068">
              <w:t>A user is permitted to select two partially completed tests with different test phases (e.g., AHG only and All Phases) along with a not started test. The testing phase for the not started test will present as AHG only even though results for all phases are required by VBECS. Entering only AHG test results for the specimen that was not started and saving will result in a partially completed test that cannot be completed or invalidated.</w:t>
            </w:r>
            <w:r>
              <w:t xml:space="preserve"> Contact the Service Desk when you encounter this problem. Specimens that cannot be completed or invalidated require the attention of Tier 3 support. Select partially completed orders that have been previously saved with the same grid test pattern. Optionally, a not started test may be selected with these but must be tested with the same grid pattern to avoid the problem. </w:t>
            </w:r>
            <w:r w:rsidRPr="00027A1C">
              <w:rPr>
                <w:vanish/>
              </w:rPr>
              <w:t>Defect 210048</w:t>
            </w:r>
          </w:p>
        </w:tc>
      </w:tr>
      <w:tr w:rsidR="00C46DE2" w14:paraId="79EC2F93" w14:textId="77777777" w:rsidTr="00615FC3">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B68AE1B" w14:textId="77777777" w:rsidR="00C46DE2" w:rsidRPr="00FE415F" w:rsidRDefault="00C46DE2" w:rsidP="00615FC3">
            <w:pPr>
              <w:pStyle w:val="TableText"/>
            </w:pPr>
            <w:r>
              <w:t xml:space="preserve">When canceling out of a Discrepant ABO/Rh Typing override, the interpretations are cleared, but the testing results are not cleared. Correct the testing entries or click the red ‘X’ to clear the testing results. </w:t>
            </w:r>
            <w:r w:rsidRPr="00027A1C">
              <w:rPr>
                <w:vanish/>
              </w:rPr>
              <w:t>Defect 2</w:t>
            </w:r>
            <w:r>
              <w:rPr>
                <w:vanish/>
              </w:rPr>
              <w:t>08974</w:t>
            </w:r>
          </w:p>
        </w:tc>
      </w:tr>
    </w:tbl>
    <w:p w14:paraId="2ED27F49"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171BE" w14:paraId="2BE38C8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8623DA4" w14:textId="77777777" w:rsidR="003F0440" w:rsidRPr="002171BE" w:rsidRDefault="003F0440" w:rsidP="002D126B">
            <w:pPr>
              <w:pStyle w:val="TableText"/>
              <w:rPr>
                <w:b/>
              </w:rPr>
            </w:pPr>
            <w:r w:rsidRPr="002171BE">
              <w:rPr>
                <w:b/>
              </w:rPr>
              <w:t>Patient Tes</w:t>
            </w:r>
            <w:r w:rsidR="006941AE">
              <w:rPr>
                <w:b/>
              </w:rPr>
              <w:t xml:space="preserve">ting: Record a Patient Antibody </w:t>
            </w:r>
            <w:r w:rsidRPr="002171BE">
              <w:rPr>
                <w:b/>
              </w:rPr>
              <w:t>Screen</w:t>
            </w:r>
          </w:p>
        </w:tc>
      </w:tr>
      <w:tr w:rsidR="003F0440" w:rsidRPr="00725902" w14:paraId="46190C5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92E99D" w14:textId="77777777" w:rsidR="003F0440" w:rsidRDefault="003F0440" w:rsidP="002D126B">
            <w:pPr>
              <w:pStyle w:val="TableText"/>
            </w:pPr>
            <w:r>
              <w:t xml:space="preserve">This </w:t>
            </w:r>
            <w:r>
              <w:rPr>
                <w:szCs w:val="20"/>
              </w:rPr>
              <w:t>option is for patient testing only</w:t>
            </w:r>
            <w:r w:rsidR="001E7158">
              <w:rPr>
                <w:szCs w:val="20"/>
              </w:rPr>
              <w:t>.</w:t>
            </w:r>
          </w:p>
        </w:tc>
      </w:tr>
    </w:tbl>
    <w:p w14:paraId="49FA68ED" w14:textId="77777777" w:rsidR="0045199A" w:rsidRDefault="0045199A"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C03DD5" w14:paraId="34844A6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6981C59" w14:textId="77777777" w:rsidR="003F0440" w:rsidRPr="00B16403" w:rsidRDefault="003F0440" w:rsidP="002D126B">
            <w:pPr>
              <w:pStyle w:val="TableText"/>
              <w:rPr>
                <w:b/>
              </w:rPr>
            </w:pPr>
            <w:r w:rsidRPr="00B16403">
              <w:rPr>
                <w:b/>
              </w:rPr>
              <w:t>Patient Testing: Record a Patient Antigen Typing</w:t>
            </w:r>
          </w:p>
        </w:tc>
      </w:tr>
      <w:tr w:rsidR="003F0440" w:rsidRPr="00725902" w14:paraId="53715F5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227944E" w14:textId="4670E9DA" w:rsidR="003F0440" w:rsidRPr="0045199A" w:rsidRDefault="003F0440" w:rsidP="002D126B">
            <w:pPr>
              <w:pStyle w:val="TableText"/>
            </w:pPr>
            <w:r w:rsidRPr="0045199A">
              <w:t xml:space="preserve">Antigen typing applies only to red blood cell antigens. </w:t>
            </w:r>
            <w:r w:rsidR="002B25A3" w:rsidRPr="002B25A3">
              <w:t>(This option does not address platelet, HLA, or IgA antigens.)</w:t>
            </w:r>
          </w:p>
        </w:tc>
      </w:tr>
      <w:tr w:rsidR="003F0440" w:rsidRPr="00725902" w14:paraId="5849E3E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632867" w14:textId="77777777" w:rsidR="003F0440" w:rsidRPr="0045199A" w:rsidRDefault="003F0440" w:rsidP="002D126B">
            <w:pPr>
              <w:pStyle w:val="TableText"/>
            </w:pPr>
            <w:r w:rsidRPr="0045199A">
              <w:t>VBECS does not check:</w:t>
            </w:r>
          </w:p>
          <w:p w14:paraId="5A11E02B" w14:textId="77777777" w:rsidR="003F0440" w:rsidRPr="0045199A" w:rsidRDefault="00B84DA4" w:rsidP="002D126B">
            <w:pPr>
              <w:pStyle w:val="TableTextBullet"/>
            </w:pPr>
            <w:r w:rsidRPr="0045199A">
              <w:t>The patient antigen typing with the specificity of any patient’s antibodies entered</w:t>
            </w:r>
            <w:r w:rsidR="005C1078" w:rsidRPr="0045199A">
              <w:t>.</w:t>
            </w:r>
          </w:p>
          <w:p w14:paraId="7AD1A8E9" w14:textId="77777777" w:rsidR="003F0440" w:rsidRPr="0045199A" w:rsidRDefault="003F0440" w:rsidP="002D126B">
            <w:pPr>
              <w:pStyle w:val="TableTextBullet"/>
            </w:pPr>
            <w:r w:rsidRPr="0045199A">
              <w:t>Whether the lot and vial numbers selected for the positive control cells differ from those of the negative control cells</w:t>
            </w:r>
            <w:r w:rsidR="005C1078" w:rsidRPr="0045199A">
              <w:t>.</w:t>
            </w:r>
          </w:p>
        </w:tc>
      </w:tr>
      <w:tr w:rsidR="003F0440" w:rsidRPr="00725902" w14:paraId="74591E0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5BA3A3E" w14:textId="77777777" w:rsidR="003F0440" w:rsidRPr="0045199A" w:rsidRDefault="003F0440" w:rsidP="002D126B">
            <w:pPr>
              <w:pStyle w:val="TableText"/>
            </w:pPr>
            <w:r w:rsidRPr="0045199A">
              <w:t>The patient antigen typing result is not available to CPRS.</w:t>
            </w:r>
          </w:p>
        </w:tc>
      </w:tr>
    </w:tbl>
    <w:p w14:paraId="19E1297E" w14:textId="77777777" w:rsidR="00ED3C7A" w:rsidRDefault="00ED3C7A"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1C59D2" w14:paraId="492C0163"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E017680" w14:textId="77777777" w:rsidR="003F0440" w:rsidRPr="001C59D2" w:rsidRDefault="003F0440" w:rsidP="002D126B">
            <w:pPr>
              <w:pStyle w:val="TableText"/>
              <w:rPr>
                <w:b/>
              </w:rPr>
            </w:pPr>
            <w:r w:rsidRPr="001C59D2">
              <w:rPr>
                <w:b/>
              </w:rPr>
              <w:t>Patient Testing: Record a Transfusion Reaction Workup</w:t>
            </w:r>
          </w:p>
        </w:tc>
      </w:tr>
      <w:tr w:rsidR="003F0440" w:rsidRPr="00725902" w14:paraId="418EF4B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83E1A97" w14:textId="77777777" w:rsidR="003F0440" w:rsidRPr="00725902" w:rsidRDefault="00814F27" w:rsidP="00814F27">
            <w:pPr>
              <w:pStyle w:val="TableText"/>
            </w:pPr>
            <w:r>
              <w:t xml:space="preserve">Adverse reactions to transfusion detected at a later time (disease transmission) are not recorded through this option. Refer </w:t>
            </w:r>
            <w:r w:rsidR="00357A19">
              <w:t>to Transfusion</w:t>
            </w:r>
            <w:r>
              <w:t xml:space="preserve"> Complications Report.</w:t>
            </w:r>
          </w:p>
        </w:tc>
      </w:tr>
      <w:tr w:rsidR="00F8403B" w:rsidRPr="00725902" w14:paraId="7E0810E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4ECC80" w14:textId="77777777" w:rsidR="00F8403B" w:rsidRDefault="00F8403B" w:rsidP="00814F27">
            <w:pPr>
              <w:pStyle w:val="TableText"/>
            </w:pPr>
            <w:r>
              <w:t>Each tab is completed and saved and is not editable. To change information on a previously completed tab, the TRW must be invalidated and corrected in its entirety.</w:t>
            </w:r>
          </w:p>
        </w:tc>
      </w:tr>
      <w:tr w:rsidR="005C2727" w:rsidRPr="00725902" w14:paraId="69934FA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EF35F14" w14:textId="1FC54CE1" w:rsidR="005C2727" w:rsidRDefault="005C2727" w:rsidP="005C2727">
            <w:pPr>
              <w:pStyle w:val="TableText"/>
            </w:pPr>
            <w:r>
              <w:t xml:space="preserve">If comments are entered when a TRW is finalized as type "Other,” they won’t show on the CPRS Blood Bank Report. </w:t>
            </w:r>
            <w:r w:rsidRPr="00783514">
              <w:rPr>
                <w:vanish/>
              </w:rPr>
              <w:t>Defect 210332</w:t>
            </w:r>
          </w:p>
        </w:tc>
      </w:tr>
    </w:tbl>
    <w:p w14:paraId="167E70C7" w14:textId="77777777"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966663" w14:paraId="5A3CA4A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BB92E94" w14:textId="77777777" w:rsidR="003F0440" w:rsidRPr="00966663" w:rsidRDefault="003F0440" w:rsidP="002D126B">
            <w:pPr>
              <w:pStyle w:val="TableText"/>
              <w:rPr>
                <w:b/>
              </w:rPr>
            </w:pPr>
            <w:r w:rsidRPr="00966663">
              <w:rPr>
                <w:b/>
              </w:rPr>
              <w:t>Patient Testing Worklist and Testing Worklist Reports</w:t>
            </w:r>
          </w:p>
        </w:tc>
      </w:tr>
      <w:tr w:rsidR="003F0440" w:rsidRPr="00725902" w14:paraId="138E1CF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85800B" w14:textId="77777777" w:rsidR="003F0440" w:rsidRDefault="003F0440" w:rsidP="002D126B">
            <w:pPr>
              <w:pStyle w:val="TableText"/>
            </w:pPr>
            <w:r>
              <w:t>Reports do not include Transfusion Reaction Workup (TRW) test results.</w:t>
            </w:r>
          </w:p>
        </w:tc>
      </w:tr>
      <w:tr w:rsidR="003F0440" w:rsidRPr="00725902" w14:paraId="25DC515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DFAB41B" w14:textId="77777777" w:rsidR="003F0440" w:rsidRDefault="00B97396" w:rsidP="002D126B">
            <w:pPr>
              <w:pStyle w:val="TableText"/>
            </w:pPr>
            <w:r>
              <w:t>VBECS does not accommodate online review (verification, signature) of reports.</w:t>
            </w:r>
          </w:p>
        </w:tc>
      </w:tr>
      <w:tr w:rsidR="000751A2" w:rsidRPr="00725902" w14:paraId="3AED081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150918F" w14:textId="4A8BCF23" w:rsidR="000751A2" w:rsidRDefault="000751A2" w:rsidP="002D126B">
            <w:pPr>
              <w:pStyle w:val="TableText"/>
            </w:pPr>
            <w:r>
              <w:t>The Rack QC Testing Worklist Report section of the Testing Worklist Report does not contain a Processed By column. Maintain the original testing records for the QC that was performed offline with the testing tech information.  Do not change the testing tech name when entering results in VBECS so that the logged in tech that enters the results is included on the Testing Worklist report</w:t>
            </w:r>
            <w:r w:rsidR="00E47EDD">
              <w:t xml:space="preserve">. </w:t>
            </w:r>
            <w:r w:rsidR="00E47EDD" w:rsidRPr="00E47EDD">
              <w:rPr>
                <w:vanish/>
              </w:rPr>
              <w:t>Defect 214073</w:t>
            </w:r>
          </w:p>
        </w:tc>
      </w:tr>
    </w:tbl>
    <w:p w14:paraId="102A49A9" w14:textId="77777777" w:rsidR="00590248" w:rsidRDefault="00590248"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6D40D4" w:rsidRPr="001C59D2" w14:paraId="7C8AA0B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15888F3" w14:textId="77777777" w:rsidR="006D40D4" w:rsidRPr="001C59D2" w:rsidRDefault="006D40D4" w:rsidP="009532BE">
            <w:pPr>
              <w:pStyle w:val="TableText"/>
              <w:rPr>
                <w:b/>
              </w:rPr>
            </w:pPr>
            <w:r>
              <w:rPr>
                <w:b/>
              </w:rPr>
              <w:t>Post-Transfusion Information</w:t>
            </w:r>
          </w:p>
        </w:tc>
      </w:tr>
      <w:tr w:rsidR="006D40D4" w:rsidRPr="00725902" w14:paraId="065AF73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44E03A" w14:textId="77777777" w:rsidR="006D40D4" w:rsidRPr="00725902" w:rsidRDefault="006D40D4" w:rsidP="006D40D4">
            <w:pPr>
              <w:pStyle w:val="TableText"/>
            </w:pPr>
            <w:r>
              <w:t xml:space="preserve">VBECS cannot update a unit record to presumed transfused when a </w:t>
            </w:r>
            <w:r w:rsidRPr="004D0C24">
              <w:t xml:space="preserve">user has </w:t>
            </w:r>
            <w:r>
              <w:t xml:space="preserve">that </w:t>
            </w:r>
            <w:r w:rsidRPr="004D0C24">
              <w:t>unit record open (locked) in Enter Post Transfusion Information</w:t>
            </w:r>
            <w:r>
              <w:t xml:space="preserve">. VBECS will attempt to update the unit the next </w:t>
            </w:r>
            <w:r w:rsidRPr="004D0C24">
              <w:t xml:space="preserve">time the </w:t>
            </w:r>
            <w:r>
              <w:t xml:space="preserve">presumed transfused background routing </w:t>
            </w:r>
            <w:r w:rsidRPr="004D0C24">
              <w:t>runs if the unit remains in an issued status.</w:t>
            </w:r>
            <w:r>
              <w:t xml:space="preserve"> </w:t>
            </w:r>
            <w:r>
              <w:rPr>
                <w:vanish/>
              </w:rPr>
              <w:t>DR 3089</w:t>
            </w:r>
            <w:r w:rsidRPr="004D0C24" w:rsidDel="004D0C24">
              <w:t xml:space="preserve"> </w:t>
            </w:r>
          </w:p>
        </w:tc>
      </w:tr>
      <w:tr w:rsidR="00F20C8C" w:rsidRPr="00725902" w14:paraId="689AB8C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CA292E" w14:textId="3603DE42" w:rsidR="00F20C8C" w:rsidRDefault="00BC04D1" w:rsidP="006D40D4">
            <w:pPr>
              <w:pStyle w:val="TableText"/>
            </w:pPr>
            <w:r w:rsidRPr="00BC04D1">
              <w:t>If post-transfusion information is not transmitted to VBECS by the BCE COTS interface, the user will need to enter that information to update the record from presumed transfused to transfused</w:t>
            </w:r>
            <w:r w:rsidR="00F20C8C">
              <w:t>.</w:t>
            </w:r>
          </w:p>
        </w:tc>
      </w:tr>
      <w:tr w:rsidR="000E2D6A" w:rsidRPr="00725902" w14:paraId="510DDE6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2AEA573" w14:textId="77777777" w:rsidR="000E2D6A" w:rsidRDefault="006822AA" w:rsidP="006822AA">
            <w:pPr>
              <w:pStyle w:val="TableText"/>
            </w:pPr>
            <w:r>
              <w:t>The transfusion comments and volume transfused entered in the Transfusion Verification application as an update to a completed transfusion are not sent to VBECS.</w:t>
            </w:r>
            <w:r w:rsidRPr="006822AA">
              <w:rPr>
                <w:vanish/>
              </w:rPr>
              <w:t xml:space="preserve"> DR 4173 </w:t>
            </w:r>
          </w:p>
        </w:tc>
      </w:tr>
      <w:tr w:rsidR="00D26DD7" w:rsidRPr="00725902" w14:paraId="08E845A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C191285" w14:textId="103F6B41" w:rsidR="00D26DD7" w:rsidRDefault="00D26DD7" w:rsidP="00D26DD7">
            <w:pPr>
              <w:pStyle w:val="TableText"/>
            </w:pPr>
            <w:r>
              <w:t xml:space="preserve">Transfusion reaction symptoms are not </w:t>
            </w:r>
            <w:r w:rsidR="00BC04D1">
              <w:t>provided</w:t>
            </w:r>
            <w:r>
              <w:t xml:space="preserve"> to VBECS by the Transfusion Verification application unless a transfusion reaction has also been indicated for that event.</w:t>
            </w:r>
            <w:r w:rsidRPr="00D26DD7">
              <w:rPr>
                <w:vanish/>
              </w:rPr>
              <w:t xml:space="preserve"> DR 4217</w:t>
            </w:r>
          </w:p>
        </w:tc>
      </w:tr>
    </w:tbl>
    <w:p w14:paraId="1AB36EFE" w14:textId="760F28F8" w:rsidR="00726BF3" w:rsidRDefault="00726BF3"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E605B1" w:rsidRPr="001C59D2" w14:paraId="1A6D2188" w14:textId="77777777" w:rsidTr="008E15BE">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65737C1C" w14:textId="77777777" w:rsidR="00E605B1" w:rsidRPr="001C59D2" w:rsidRDefault="00E605B1" w:rsidP="008E15BE">
            <w:pPr>
              <w:pStyle w:val="TableText"/>
              <w:rPr>
                <w:b/>
              </w:rPr>
            </w:pPr>
            <w:r>
              <w:br w:type="page"/>
            </w:r>
            <w:r w:rsidRPr="001C59D2">
              <w:rPr>
                <w:b/>
              </w:rPr>
              <w:t>Print Unit Caution Tag &amp; Transfusion Record Form</w:t>
            </w:r>
          </w:p>
        </w:tc>
      </w:tr>
      <w:tr w:rsidR="00E605B1" w:rsidRPr="00725902" w14:paraId="4E622658"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7AC0C56" w14:textId="77777777" w:rsidR="00E605B1" w:rsidRPr="00725902" w:rsidRDefault="00E605B1" w:rsidP="008E15BE">
            <w:pPr>
              <w:pStyle w:val="TableText"/>
            </w:pPr>
            <w:r>
              <w:t>VBECS cannot reprint a Caution Tag on an expired unit or expired patient order.</w:t>
            </w:r>
          </w:p>
        </w:tc>
      </w:tr>
      <w:tr w:rsidR="00E605B1" w14:paraId="2BB8F603"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65D569" w14:textId="77777777" w:rsidR="00E605B1" w:rsidRDefault="00E605B1" w:rsidP="008E15BE">
            <w:pPr>
              <w:pStyle w:val="TableText"/>
            </w:pPr>
            <w:r>
              <w:t xml:space="preserve">VBECS does not print a unit’s </w:t>
            </w:r>
            <w:r w:rsidRPr="00D47D4A">
              <w:t>biohazardous</w:t>
            </w:r>
            <w:r>
              <w:t xml:space="preserve"> status on the BTRF or Caution Tag</w:t>
            </w:r>
            <w:r w:rsidRPr="00D47D4A">
              <w:t>.</w:t>
            </w:r>
          </w:p>
        </w:tc>
      </w:tr>
      <w:tr w:rsidR="00F73E1B" w14:paraId="68A6F69A" w14:textId="77777777" w:rsidTr="008E15BE">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3C506E8" w14:textId="36A344F9" w:rsidR="00F73E1B" w:rsidRDefault="00F73E1B" w:rsidP="008E15BE">
            <w:pPr>
              <w:pStyle w:val="TableText"/>
            </w:pPr>
            <w:r>
              <w:t xml:space="preserve">If a unit has been crossmatched by two different technologists, the Compatibility Interpretation section of the BTRF displays the technologist that performed the earlier XM testing. Handwrite the missing current technologist initials on the printed BTRF. </w:t>
            </w:r>
            <w:r w:rsidRPr="00F73E1B">
              <w:rPr>
                <w:vanish/>
              </w:rPr>
              <w:t>Defect 210195</w:t>
            </w:r>
          </w:p>
        </w:tc>
      </w:tr>
    </w:tbl>
    <w:p w14:paraId="3EA39932" w14:textId="3CB7F969" w:rsidR="00E605B1" w:rsidRDefault="00E605B1" w:rsidP="00726BF3">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26430" w14:paraId="08EB522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70B5C8F5" w14:textId="77777777" w:rsidR="003F0440" w:rsidRPr="00326430" w:rsidRDefault="003F0440" w:rsidP="002D126B">
            <w:pPr>
              <w:pStyle w:val="TableText"/>
              <w:rPr>
                <w:b/>
              </w:rPr>
            </w:pPr>
            <w:r w:rsidRPr="00326430">
              <w:rPr>
                <w:b/>
              </w:rPr>
              <w:t>Pro</w:t>
            </w:r>
            <w:r>
              <w:rPr>
                <w:b/>
              </w:rPr>
              <w:t>longed Transfusion Time Report</w:t>
            </w:r>
          </w:p>
        </w:tc>
      </w:tr>
      <w:tr w:rsidR="003F0440" w:rsidRPr="00725902" w14:paraId="399E556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6BC1C81" w14:textId="77777777" w:rsidR="003F0440" w:rsidRDefault="003F0440" w:rsidP="002D126B">
            <w:pPr>
              <w:pStyle w:val="TableText"/>
            </w:pPr>
            <w:r>
              <w:t>This report does not include p</w:t>
            </w:r>
            <w:r w:rsidR="00042B1F">
              <w:rPr>
                <w:rStyle w:val="ListBulletChar"/>
              </w:rPr>
              <w:t>r</w:t>
            </w:r>
            <w:r>
              <w:t>esumed transfused units or units issued to a remote storage location.</w:t>
            </w:r>
          </w:p>
        </w:tc>
      </w:tr>
      <w:tr w:rsidR="006A4AFF" w:rsidRPr="00725902" w14:paraId="05C9352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42F4DD1" w14:textId="1D2A9EA4" w:rsidR="006A4AFF" w:rsidRPr="006A4AFF" w:rsidRDefault="006A4AFF" w:rsidP="006A4AFF">
            <w:pPr>
              <w:pStyle w:val="TableText"/>
              <w:rPr>
                <w:sz w:val="20"/>
                <w:szCs w:val="20"/>
              </w:rPr>
            </w:pPr>
            <w:r>
              <w:t xml:space="preserve">Units issued to a remote storage location will display on the report when the transfusion start time is greater than 30 minutes after issue time. </w:t>
            </w:r>
            <w:r w:rsidRPr="00244DDA">
              <w:rPr>
                <w:vanish/>
              </w:rPr>
              <w:t>Defect 209735</w:t>
            </w:r>
          </w:p>
        </w:tc>
      </w:tr>
      <w:tr w:rsidR="006A4AFF" w:rsidRPr="00725902" w14:paraId="67A8AFD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95FB4D1" w14:textId="64A28025" w:rsidR="006A4AFF" w:rsidRDefault="006A4AFF" w:rsidP="002D126B">
            <w:pPr>
              <w:pStyle w:val="TableText"/>
            </w:pPr>
            <w:r>
              <w:t xml:space="preserve">Units issued to a remote storage location should not display to have a prolonged issue time as this setting indicates that the unit is issued to a monitored location maintained at the proper temperature for the product type. </w:t>
            </w:r>
            <w:r w:rsidRPr="006A4AFF">
              <w:rPr>
                <w:vanish/>
              </w:rPr>
              <w:t>Defect 209735</w:t>
            </w:r>
          </w:p>
        </w:tc>
      </w:tr>
      <w:tr w:rsidR="007C518F" w:rsidRPr="00725902" w14:paraId="11807A3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93997C6" w14:textId="56B960F4" w:rsidR="007C518F" w:rsidRDefault="007C518F" w:rsidP="002D126B">
            <w:pPr>
              <w:pStyle w:val="TableText"/>
            </w:pPr>
            <w:r>
              <w:t xml:space="preserve">The Delayed (minutes) column on the report is not subtracting 30 minutes when the Transfusion Start time is greater  than 30 minutes from the time of issue. Handwrite the correct Delayed (minutes) on the printed report. </w:t>
            </w:r>
            <w:r w:rsidRPr="007C518F">
              <w:rPr>
                <w:vanish/>
              </w:rPr>
              <w:t>Defect 209431</w:t>
            </w:r>
          </w:p>
        </w:tc>
      </w:tr>
    </w:tbl>
    <w:p w14:paraId="0A3E6640" w14:textId="77777777" w:rsidR="00BE53DD" w:rsidRDefault="00BE53DD"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042B1F" w:rsidRPr="00326430" w14:paraId="755362B7" w14:textId="77777777" w:rsidTr="00D9331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6E549F8" w14:textId="77777777" w:rsidR="00042B1F" w:rsidRPr="00326430" w:rsidRDefault="00042B1F" w:rsidP="00D93317">
            <w:pPr>
              <w:pStyle w:val="TableText"/>
              <w:rPr>
                <w:b/>
              </w:rPr>
            </w:pPr>
            <w:r>
              <w:rPr>
                <w:b/>
              </w:rPr>
              <w:t>Reagents</w:t>
            </w:r>
          </w:p>
        </w:tc>
      </w:tr>
      <w:tr w:rsidR="00042B1F" w14:paraId="458D8F4A"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AFF0C74"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VBECS does not display a reagent report by invoice number.</w:t>
            </w:r>
          </w:p>
        </w:tc>
      </w:tr>
      <w:tr w:rsidR="00042B1F" w14:paraId="4E9234A1"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2BED8DB"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The unsatisfactory portion of a shipment must be recorded individually.</w:t>
            </w:r>
          </w:p>
        </w:tc>
      </w:tr>
      <w:tr w:rsidR="00042B1F" w14:paraId="6511C8CF"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9F9F3FB" w14:textId="77777777" w:rsidR="00042B1F" w:rsidRPr="00042B1F" w:rsidRDefault="00042B1F" w:rsidP="00042B1F">
            <w:pPr>
              <w:pStyle w:val="ListBullet"/>
              <w:numPr>
                <w:ilvl w:val="0"/>
                <w:numId w:val="0"/>
              </w:numPr>
              <w:rPr>
                <w:rFonts w:ascii="Arial" w:hAnsi="Arial" w:cs="Arial"/>
                <w:sz w:val="18"/>
                <w:szCs w:val="18"/>
              </w:rPr>
            </w:pPr>
            <w:r w:rsidRPr="00042B1F">
              <w:rPr>
                <w:rFonts w:ascii="Arial" w:hAnsi="Arial" w:cs="Arial"/>
                <w:sz w:val="18"/>
                <w:szCs w:val="18"/>
              </w:rPr>
              <w:t>There is no retrospective data entry or user selection for these options.</w:t>
            </w:r>
          </w:p>
        </w:tc>
      </w:tr>
      <w:tr w:rsidR="00042B1F" w14:paraId="3622BDD7"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651AB3A" w14:textId="77777777" w:rsidR="00042B1F" w:rsidRPr="00042B1F" w:rsidRDefault="00042B1F" w:rsidP="00042B1F">
            <w:pPr>
              <w:pStyle w:val="ListBullet"/>
              <w:numPr>
                <w:ilvl w:val="0"/>
                <w:numId w:val="0"/>
              </w:numPr>
            </w:pPr>
            <w:r w:rsidRPr="00042B1F">
              <w:rPr>
                <w:rFonts w:ascii="Arial" w:hAnsi="Arial" w:cs="Arial"/>
                <w:sz w:val="18"/>
                <w:szCs w:val="18"/>
              </w:rPr>
              <w:t>Each site must set a standard for recording quantity: it may use the number of cases or the number of units within the cases.</w:t>
            </w:r>
          </w:p>
        </w:tc>
      </w:tr>
      <w:tr w:rsidR="00042B1F" w14:paraId="5580E09A"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D9BEFD" w14:textId="77777777" w:rsidR="00042B1F" w:rsidRPr="00042B1F" w:rsidRDefault="00042B1F" w:rsidP="00042B1F">
            <w:pPr>
              <w:pStyle w:val="ListBullet"/>
              <w:numPr>
                <w:ilvl w:val="0"/>
                <w:numId w:val="0"/>
              </w:numPr>
            </w:pPr>
            <w:r w:rsidRPr="00042B1F">
              <w:rPr>
                <w:rFonts w:ascii="Arial" w:hAnsi="Arial" w:cs="Arial"/>
                <w:sz w:val="18"/>
                <w:szCs w:val="18"/>
              </w:rPr>
              <w:t>When a user enters a lot number in the Lot # field and clicks the magnifying glass, VBECS displays only the first instance of a duplicate lot number.</w:t>
            </w:r>
            <w:r>
              <w:t xml:space="preserve"> </w:t>
            </w:r>
            <w:r w:rsidRPr="00F759ED">
              <w:rPr>
                <w:vanish/>
              </w:rPr>
              <w:t>(UserDoc Task 1083)</w:t>
            </w:r>
          </w:p>
        </w:tc>
      </w:tr>
      <w:tr w:rsidR="006A6CFF" w14:paraId="255B0D2E"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69BE2DE" w14:textId="6795D18E" w:rsidR="006A6CFF" w:rsidRPr="00042B1F" w:rsidRDefault="006A6CFF" w:rsidP="00042B1F">
            <w:pPr>
              <w:pStyle w:val="ListBullet"/>
              <w:numPr>
                <w:ilvl w:val="0"/>
                <w:numId w:val="0"/>
              </w:numPr>
              <w:rPr>
                <w:rFonts w:ascii="Arial" w:hAnsi="Arial" w:cs="Arial"/>
                <w:sz w:val="18"/>
                <w:szCs w:val="18"/>
              </w:rPr>
            </w:pPr>
            <w:r w:rsidRPr="006A6CFF">
              <w:rPr>
                <w:rFonts w:ascii="Arial" w:hAnsi="Arial" w:cs="Arial"/>
                <w:sz w:val="18"/>
                <w:szCs w:val="18"/>
              </w:rPr>
              <w:t xml:space="preserve">When reagents with the same Manufacturer Reagent Name and Lot Number are entered from multiple invoices, only one of the reagents is visible for update. </w:t>
            </w:r>
            <w:r w:rsidRPr="006A6CFF">
              <w:rPr>
                <w:rFonts w:ascii="Arial" w:hAnsi="Arial" w:cs="Arial"/>
                <w:vanish/>
                <w:sz w:val="18"/>
                <w:szCs w:val="18"/>
              </w:rPr>
              <w:t>Defect 209141</w:t>
            </w:r>
          </w:p>
        </w:tc>
      </w:tr>
      <w:tr w:rsidR="006A6CFF" w14:paraId="4DD0E8D8" w14:textId="77777777" w:rsidTr="00D9331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E701B38" w14:textId="720E55FE" w:rsidR="006A6CFF" w:rsidRPr="00042B1F" w:rsidRDefault="00A949F2" w:rsidP="00042B1F">
            <w:pPr>
              <w:pStyle w:val="ListBullet"/>
              <w:numPr>
                <w:ilvl w:val="0"/>
                <w:numId w:val="0"/>
              </w:numPr>
              <w:rPr>
                <w:rFonts w:ascii="Arial" w:hAnsi="Arial" w:cs="Arial"/>
                <w:sz w:val="18"/>
                <w:szCs w:val="18"/>
              </w:rPr>
            </w:pPr>
            <w:r w:rsidRPr="00A949F2">
              <w:rPr>
                <w:rFonts w:ascii="Arial" w:hAnsi="Arial" w:cs="Arial"/>
                <w:sz w:val="18"/>
                <w:szCs w:val="18"/>
              </w:rPr>
              <w:t>Reagents that have had their Number of Vials Available set to zero (0) are no longer visible on the Update Reagent Inventory screen or the Reagent Inventory Report. Print a copy of the Reagent Inventory Report prior to setting the Number of Vials Available to zero (0</w:t>
            </w:r>
            <w:r>
              <w:rPr>
                <w:rFonts w:ascii="Arial" w:hAnsi="Arial" w:cs="Arial"/>
                <w:sz w:val="18"/>
                <w:szCs w:val="18"/>
              </w:rPr>
              <w:t xml:space="preserve">). </w:t>
            </w:r>
            <w:r w:rsidRPr="00A949F2">
              <w:rPr>
                <w:rFonts w:ascii="Arial" w:hAnsi="Arial" w:cs="Arial"/>
                <w:vanish/>
                <w:sz w:val="18"/>
                <w:szCs w:val="18"/>
              </w:rPr>
              <w:t>Defects 208863, 208890, 210063</w:t>
            </w:r>
          </w:p>
        </w:tc>
      </w:tr>
    </w:tbl>
    <w:p w14:paraId="567ABA31" w14:textId="77777777" w:rsidR="00042B1F" w:rsidRDefault="00042B1F"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4C386A" w14:paraId="3C157238"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D45DBFE" w14:textId="77777777" w:rsidR="003F0440" w:rsidRPr="004C386A" w:rsidRDefault="003F0440" w:rsidP="002D126B">
            <w:pPr>
              <w:pStyle w:val="TableText"/>
              <w:rPr>
                <w:b/>
              </w:rPr>
            </w:pPr>
            <w:r w:rsidRPr="004C386A">
              <w:rPr>
                <w:b/>
              </w:rPr>
              <w:t>Release Units From Patient Assignment</w:t>
            </w:r>
          </w:p>
        </w:tc>
      </w:tr>
      <w:tr w:rsidR="003F0440" w:rsidRPr="00725902" w14:paraId="296FFFB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DCBAB1B" w14:textId="77777777" w:rsidR="003F0440" w:rsidRDefault="003F0440" w:rsidP="002D126B">
            <w:pPr>
              <w:pStyle w:val="TableText"/>
            </w:pPr>
            <w:r>
              <w:t>This option does not apply to the release of patient restrictions (autologous and directed).</w:t>
            </w:r>
          </w:p>
        </w:tc>
      </w:tr>
      <w:tr w:rsidR="003F0440" w:rsidRPr="00725902" w14:paraId="59E9746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8B16E83" w14:textId="77777777" w:rsidR="003F0440" w:rsidRDefault="003F0440" w:rsidP="002D126B">
            <w:pPr>
              <w:pStyle w:val="TableText"/>
            </w:pPr>
            <w:r>
              <w:t>When a patient, specimen</w:t>
            </w:r>
            <w:r w:rsidR="00112C24">
              <w:t>,</w:t>
            </w:r>
            <w:r>
              <w:t xml:space="preserve"> or blood unit expires, VBECS does not automatically release an assigned blood unit: a user must release the unit.</w:t>
            </w:r>
          </w:p>
        </w:tc>
      </w:tr>
    </w:tbl>
    <w:p w14:paraId="6C245575" w14:textId="77777777" w:rsidR="00152357" w:rsidRDefault="00152357"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1C59D2" w14:paraId="21F0EAF0"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8EF5DDE" w14:textId="77777777" w:rsidR="003F0440" w:rsidRPr="001C59D2" w:rsidRDefault="003F0440" w:rsidP="002D126B">
            <w:pPr>
              <w:pStyle w:val="TableText"/>
              <w:rPr>
                <w:b/>
              </w:rPr>
            </w:pPr>
            <w:r w:rsidRPr="001C59D2">
              <w:rPr>
                <w:b/>
              </w:rPr>
              <w:t>Remove Final Status</w:t>
            </w:r>
          </w:p>
        </w:tc>
      </w:tr>
      <w:tr w:rsidR="003F0440" w:rsidRPr="00725902" w14:paraId="4ECB9DFD"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71B222" w14:textId="77777777" w:rsidR="003F0440" w:rsidRPr="00725902" w:rsidRDefault="003F0440" w:rsidP="002D126B">
            <w:pPr>
              <w:pStyle w:val="TableText"/>
            </w:pPr>
            <w:r>
              <w:t>This option applies only to the release of units in final statuses.</w:t>
            </w:r>
          </w:p>
        </w:tc>
      </w:tr>
    </w:tbl>
    <w:p w14:paraId="7478D25E" w14:textId="77777777" w:rsidR="0074084F" w:rsidRDefault="0074084F"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20DAE" w:rsidRPr="002B0F17" w14:paraId="1506254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77029F3" w14:textId="77777777" w:rsidR="00320DAE" w:rsidRPr="002B0F17" w:rsidRDefault="00320DAE" w:rsidP="004F5220">
            <w:pPr>
              <w:pStyle w:val="TableText"/>
              <w:rPr>
                <w:b/>
              </w:rPr>
            </w:pPr>
            <w:r>
              <w:rPr>
                <w:b/>
              </w:rPr>
              <w:t>Select Units</w:t>
            </w:r>
          </w:p>
        </w:tc>
      </w:tr>
      <w:tr w:rsidR="001803E2" w:rsidRPr="002B0F17" w14:paraId="2F60E302" w14:textId="77777777">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27D19C2B" w14:textId="24217996" w:rsidR="001803E2" w:rsidRDefault="00BC04D1" w:rsidP="00320DAE">
            <w:pPr>
              <w:pStyle w:val="TableText"/>
            </w:pPr>
            <w:r>
              <w:rPr>
                <w:vanish/>
              </w:rPr>
              <w:t xml:space="preserve">Task 1,126 </w:t>
            </w:r>
            <w:r w:rsidR="001803E2">
              <w:t>When a u</w:t>
            </w:r>
            <w:r w:rsidR="001803E2" w:rsidRPr="00320DAE">
              <w:t>ser check</w:t>
            </w:r>
            <w:r w:rsidR="001803E2">
              <w:t>s</w:t>
            </w:r>
            <w:r w:rsidR="001803E2" w:rsidRPr="00320DAE">
              <w:t xml:space="preserve"> the </w:t>
            </w:r>
            <w:r w:rsidR="001803E2">
              <w:t>“</w:t>
            </w:r>
            <w:r w:rsidR="001803E2" w:rsidRPr="00320DAE">
              <w:t xml:space="preserve">D </w:t>
            </w:r>
            <w:r w:rsidR="001803E2">
              <w:t>P</w:t>
            </w:r>
            <w:r w:rsidR="001803E2" w:rsidRPr="00320DAE">
              <w:t>os</w:t>
            </w:r>
            <w:r w:rsidR="001803E2">
              <w:t>”</w:t>
            </w:r>
            <w:r w:rsidR="001803E2" w:rsidRPr="00320DAE">
              <w:t xml:space="preserve"> or </w:t>
            </w:r>
            <w:r w:rsidR="001803E2">
              <w:t>“</w:t>
            </w:r>
            <w:r w:rsidR="001803E2" w:rsidRPr="00320DAE">
              <w:t xml:space="preserve">D </w:t>
            </w:r>
            <w:r w:rsidR="001803E2">
              <w:t>N</w:t>
            </w:r>
            <w:r w:rsidR="001803E2" w:rsidRPr="00320DAE">
              <w:t>eg</w:t>
            </w:r>
            <w:r w:rsidR="001803E2">
              <w:t>”</w:t>
            </w:r>
            <w:r w:rsidR="001803E2" w:rsidRPr="00320DAE">
              <w:t xml:space="preserve"> check box to modify a search for blood</w:t>
            </w:r>
            <w:r w:rsidR="001803E2">
              <w:t>, VBECS returns no units, regardless of the availability of units</w:t>
            </w:r>
            <w:r w:rsidR="001803E2" w:rsidRPr="00320DAE">
              <w:t xml:space="preserve">. </w:t>
            </w:r>
          </w:p>
        </w:tc>
      </w:tr>
      <w:tr w:rsidR="00291E60" w:rsidRPr="002B0F17" w14:paraId="759C0A5E" w14:textId="77777777">
        <w:trPr>
          <w:cantSplit/>
          <w:hidden/>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2F17ED9" w14:textId="75E71980" w:rsidR="00291E60" w:rsidRPr="001803E2" w:rsidRDefault="00BC04D1" w:rsidP="001803E2">
            <w:pPr>
              <w:pStyle w:val="TableText"/>
            </w:pPr>
            <w:r w:rsidRPr="0065187A">
              <w:rPr>
                <w:vanish/>
              </w:rPr>
              <w:t>DR 2,578 DR 2,808</w:t>
            </w:r>
            <w:r w:rsidRPr="004E4368">
              <w:t xml:space="preserve">VBECS </w:t>
            </w:r>
            <w:r w:rsidR="001803E2" w:rsidRPr="004E4368">
              <w:t>displays a</w:t>
            </w:r>
            <w:r w:rsidR="001803E2">
              <w:t xml:space="preserve"> component</w:t>
            </w:r>
            <w:r w:rsidR="001803E2" w:rsidRPr="004E4368">
              <w:t xml:space="preserve"> order </w:t>
            </w:r>
            <w:r w:rsidR="001803E2">
              <w:t xml:space="preserve">as “Filled” </w:t>
            </w:r>
            <w:r w:rsidR="001803E2" w:rsidRPr="004E4368">
              <w:t xml:space="preserve">when the number of units </w:t>
            </w:r>
            <w:r w:rsidR="001803E2">
              <w:t>transfused</w:t>
            </w:r>
            <w:r w:rsidR="001803E2" w:rsidRPr="004E4368">
              <w:t xml:space="preserve"> and the number of units ordered are the same</w:t>
            </w:r>
            <w:r w:rsidR="001803E2">
              <w:t xml:space="preserve"> and continues to display the component order until the order expires. CPRS displays a component order as “Completed”. Therefore, CPRS displays the order as “Completed” before VBECS displays the order as “Filled.” The associated LAB order will then also be marked as “Completed”.</w:t>
            </w:r>
          </w:p>
        </w:tc>
      </w:tr>
      <w:tr w:rsidR="00320DAE" w:rsidRPr="002B0F17" w14:paraId="7A49245F"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7E46B98C" w14:textId="6EEE784D" w:rsidR="00320DAE" w:rsidRPr="00320DAE" w:rsidRDefault="001803E2" w:rsidP="00320DAE">
            <w:pPr>
              <w:pStyle w:val="TableText"/>
            </w:pPr>
            <w:r>
              <w:t>A Specimen UID must be accepted in</w:t>
            </w:r>
            <w:r w:rsidR="0063094B">
              <w:t xml:space="preserve"> </w:t>
            </w:r>
            <w:r>
              <w:t>VBECS to associate it with a component order. Any VBECS maintained TAS specimen UID may be associated with a component order by entering the number in the UID field.</w:t>
            </w:r>
            <w:r w:rsidRPr="001803E2">
              <w:t xml:space="preserve"> </w:t>
            </w:r>
            <w:r w:rsidRPr="001803E2">
              <w:rPr>
                <w:vanish/>
              </w:rPr>
              <w:t>Task 635428</w:t>
            </w:r>
          </w:p>
        </w:tc>
      </w:tr>
      <w:tr w:rsidR="007C518F" w:rsidRPr="002B0F17" w14:paraId="0F7931D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33EE8E4" w14:textId="6BC32E44" w:rsidR="007C518F" w:rsidRDefault="007C518F" w:rsidP="00320DAE">
            <w:pPr>
              <w:pStyle w:val="TableText"/>
            </w:pPr>
            <w:r>
              <w:t xml:space="preserve">When associating a specimen with a patient in the “Select Unit for a Patient” window, the “Expires” field within the “Associate with Specimen” panel displays the time in AM/PM format. VBECS normally displays date/time fields in “military” time format.  The workaround is to look in Maintain Specimen and check the expiration time military time format. </w:t>
            </w:r>
            <w:r w:rsidRPr="007C518F">
              <w:rPr>
                <w:vanish/>
              </w:rPr>
              <w:t>Defect 209052</w:t>
            </w:r>
          </w:p>
        </w:tc>
      </w:tr>
      <w:tr w:rsidR="007C518F" w:rsidRPr="002B0F17" w14:paraId="7FAA2A59" w14:textId="77777777">
        <w:trPr>
          <w:cantSplit/>
        </w:trPr>
        <w:tc>
          <w:tcPr>
            <w:tcW w:w="9360" w:type="dxa"/>
            <w:tcBorders>
              <w:top w:val="single" w:sz="6" w:space="0" w:color="000000"/>
              <w:left w:val="single" w:sz="6" w:space="0" w:color="000000"/>
              <w:bottom w:val="single" w:sz="6" w:space="0" w:color="000000"/>
              <w:right w:val="single" w:sz="6" w:space="0" w:color="000000"/>
            </w:tcBorders>
            <w:shd w:val="clear" w:color="auto" w:fill="auto"/>
            <w:vAlign w:val="bottom"/>
          </w:tcPr>
          <w:p w14:paraId="5DC8E947" w14:textId="2B17D392" w:rsidR="007C518F" w:rsidRDefault="009D0CAA" w:rsidP="00320DAE">
            <w:pPr>
              <w:pStyle w:val="TableText"/>
            </w:pPr>
            <w:r>
              <w:t>When an Rh positive unit is selected for an Rh negative patient with an antigen negative requirement for D, the user receives a message about unit not satisfying patient negative requirements for D instead of a message about unit being positive for D. The proper message is displayed upon unit issue</w:t>
            </w:r>
            <w:r w:rsidR="007C518F">
              <w:t xml:space="preserve">. </w:t>
            </w:r>
            <w:r w:rsidR="007C518F" w:rsidRPr="007C518F">
              <w:rPr>
                <w:vanish/>
              </w:rPr>
              <w:t>Defects 209338, 213537</w:t>
            </w:r>
          </w:p>
        </w:tc>
      </w:tr>
    </w:tbl>
    <w:p w14:paraId="63053BBB" w14:textId="77777777" w:rsidR="000604AA" w:rsidRDefault="000604AA"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2B0F17" w14:paraId="59FA784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020160B" w14:textId="76C4B2D1" w:rsidR="003F0440" w:rsidRPr="002B0F17" w:rsidRDefault="000604AA" w:rsidP="002D126B">
            <w:pPr>
              <w:pStyle w:val="TableText"/>
              <w:rPr>
                <w:b/>
              </w:rPr>
            </w:pPr>
            <w:r>
              <w:br w:type="page"/>
            </w:r>
            <w:r w:rsidR="003F0440" w:rsidRPr="002B0F17">
              <w:rPr>
                <w:b/>
              </w:rPr>
              <w:t>Special Instructions &amp; Transfusion Requirements: Enter a Transfusion Requirement</w:t>
            </w:r>
          </w:p>
        </w:tc>
      </w:tr>
      <w:tr w:rsidR="003F0440" w:rsidRPr="00725902" w14:paraId="1AB7BBF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8E595FB" w14:textId="77777777" w:rsidR="003F0440" w:rsidRDefault="003F0440" w:rsidP="002D126B">
            <w:pPr>
              <w:pStyle w:val="TableText"/>
            </w:pPr>
            <w:r>
              <w:t>Inactivation is defined and restricted by security level.</w:t>
            </w:r>
          </w:p>
        </w:tc>
      </w:tr>
      <w:tr w:rsidR="003F0440" w:rsidRPr="00725902" w14:paraId="29BAC2F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5B3B1DA" w14:textId="311ACC3C" w:rsidR="003F0440" w:rsidRPr="00725902" w:rsidRDefault="00947C97" w:rsidP="002D126B">
            <w:pPr>
              <w:pStyle w:val="TableText"/>
            </w:pPr>
            <w:r w:rsidRPr="00947C97">
              <w:rPr>
                <w:bCs/>
              </w:rPr>
              <w:t>VistA Special Instructions (SIs) from database conversion do not become TRs: they remain SIs. SIs are information only and are not enforced unless entered in the Component Requirements tab in Special Instructions &amp; Transfusion Requirements</w:t>
            </w:r>
            <w:r w:rsidR="003F0440">
              <w:t>.</w:t>
            </w:r>
          </w:p>
        </w:tc>
      </w:tr>
    </w:tbl>
    <w:p w14:paraId="7CD6AEEF" w14:textId="3D8642D3" w:rsidR="000E59E4" w:rsidRDefault="000E59E4"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FE21D7" w14:paraId="0D6A6506"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301F6EB" w14:textId="547FBBC5" w:rsidR="003F0440" w:rsidRPr="00FE21D7" w:rsidRDefault="000E59E4" w:rsidP="002D126B">
            <w:pPr>
              <w:pStyle w:val="TableText"/>
              <w:rPr>
                <w:b/>
              </w:rPr>
            </w:pPr>
            <w:r>
              <w:br w:type="page"/>
            </w:r>
            <w:r w:rsidR="003F0440" w:rsidRPr="00FE21D7">
              <w:rPr>
                <w:b/>
              </w:rPr>
              <w:t>Special Instructions &amp; Transfusion Requirements: Enter and Remove Special Instructions</w:t>
            </w:r>
          </w:p>
        </w:tc>
      </w:tr>
      <w:tr w:rsidR="003F0440" w:rsidRPr="00725902" w14:paraId="64627B2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5B24DE1" w14:textId="77777777" w:rsidR="003F0440" w:rsidRDefault="00DD6B21" w:rsidP="00DD6B21">
            <w:pPr>
              <w:pStyle w:val="TableText"/>
            </w:pPr>
            <w:r>
              <w:t>VBECS does not enforce Transfusion Requirements (TRs) or antigen negative requirements entered through this option.</w:t>
            </w:r>
          </w:p>
        </w:tc>
      </w:tr>
      <w:tr w:rsidR="00DD6B21" w:rsidRPr="00725902" w14:paraId="734569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11AFC14" w14:textId="77777777" w:rsidR="00DD6B21" w:rsidRDefault="00DD6B21" w:rsidP="00DD6B21">
            <w:pPr>
              <w:pStyle w:val="TableText"/>
            </w:pPr>
            <w:r>
              <w:t>SIs moved to VBECS during the database conversion may contain information that must be entered as TRs in VBECS. Inactivate the old SI and create a TR and new updated SI: the database conversion software cannot automatically translate the SI from database conversion into a rule-based TR.</w:t>
            </w:r>
          </w:p>
        </w:tc>
      </w:tr>
      <w:tr w:rsidR="003F0440" w:rsidRPr="00725902" w14:paraId="619BAFA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8F106B8" w14:textId="3DCA46ED" w:rsidR="003F0440" w:rsidRDefault="003F0440" w:rsidP="002D126B">
            <w:pPr>
              <w:pStyle w:val="TableText"/>
            </w:pPr>
            <w:r>
              <w:t>VBECS will truncate SI text from the VistA database conversion.</w:t>
            </w:r>
          </w:p>
        </w:tc>
      </w:tr>
    </w:tbl>
    <w:p w14:paraId="2CAED909" w14:textId="77777777" w:rsidR="0045199A" w:rsidRDefault="0045199A" w:rsidP="0015235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355A27" w14:paraId="1CC4B1CC"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AC904A9" w14:textId="77777777" w:rsidR="003F0440" w:rsidRPr="00355A27" w:rsidRDefault="003F0440" w:rsidP="002D126B">
            <w:pPr>
              <w:pStyle w:val="TableText"/>
              <w:rPr>
                <w:b/>
              </w:rPr>
            </w:pPr>
            <w:r w:rsidRPr="00355A27">
              <w:rPr>
                <w:b/>
              </w:rPr>
              <w:t>Supplies</w:t>
            </w:r>
          </w:p>
        </w:tc>
      </w:tr>
      <w:tr w:rsidR="003F0440" w:rsidRPr="00725902" w14:paraId="41CDDAD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40E58FE3" w14:textId="77777777" w:rsidR="003F0440" w:rsidRPr="00725902" w:rsidRDefault="003F0440" w:rsidP="002D126B">
            <w:pPr>
              <w:pStyle w:val="TableText"/>
            </w:pPr>
            <w:r>
              <w:t xml:space="preserve">The division’s modification processes may allow or require the user to select previously entered supplies for association with a blood unit’s modification. An inventory of containers (transfer bags) and sterile connection device (SCD) wafers is </w:t>
            </w:r>
            <w:r>
              <w:rPr>
                <w:i/>
              </w:rPr>
              <w:t>required</w:t>
            </w:r>
            <w:r>
              <w:t xml:space="preserve"> for various modification processes. </w:t>
            </w:r>
          </w:p>
        </w:tc>
      </w:tr>
      <w:tr w:rsidR="003F0440" w:rsidRPr="00725902" w14:paraId="5815013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1507E96" w14:textId="77777777" w:rsidR="003F0440" w:rsidRPr="00725902" w:rsidRDefault="003F0440" w:rsidP="002D126B">
            <w:pPr>
              <w:pStyle w:val="TableText"/>
            </w:pPr>
            <w:r>
              <w:t>There is no retrospective data entry or user selection for th</w:t>
            </w:r>
            <w:r w:rsidR="00932460">
              <w:t>is option</w:t>
            </w:r>
            <w:r>
              <w:t>.</w:t>
            </w:r>
          </w:p>
        </w:tc>
      </w:tr>
      <w:tr w:rsidR="003F0440" w:rsidRPr="00725902" w14:paraId="131D693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8DD0BE0" w14:textId="77777777" w:rsidR="003F0440" w:rsidRPr="00725902" w:rsidRDefault="003F0440" w:rsidP="002D126B">
            <w:pPr>
              <w:pStyle w:val="TableText"/>
            </w:pPr>
            <w:r>
              <w:t>The unsatisfactory portion of a shipment must be recorded individually.</w:t>
            </w:r>
          </w:p>
        </w:tc>
      </w:tr>
      <w:tr w:rsidR="003F0440" w:rsidRPr="00725902" w14:paraId="47CD2C7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5B3355" w14:textId="77777777" w:rsidR="003F0440" w:rsidRPr="00725902" w:rsidRDefault="003F0440" w:rsidP="002D126B">
            <w:pPr>
              <w:pStyle w:val="TableText"/>
            </w:pPr>
            <w:r>
              <w:t>Each site must set a standard for recording quantity: it may use the number of cases or the number of units within the cases.</w:t>
            </w:r>
          </w:p>
        </w:tc>
      </w:tr>
    </w:tbl>
    <w:p w14:paraId="2530340A" w14:textId="77777777" w:rsidR="00DA5F37" w:rsidRDefault="00DA5F37"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01896" w14:paraId="24C84824"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54936CE" w14:textId="77777777" w:rsidR="003F0440" w:rsidRPr="00D01896" w:rsidRDefault="003F0440" w:rsidP="002D126B">
            <w:pPr>
              <w:pStyle w:val="TableText"/>
              <w:rPr>
                <w:b/>
              </w:rPr>
            </w:pPr>
            <w:r w:rsidRPr="00D01896">
              <w:rPr>
                <w:b/>
              </w:rPr>
              <w:t>Transfusion Complications</w:t>
            </w:r>
            <w:r>
              <w:rPr>
                <w:b/>
              </w:rPr>
              <w:t xml:space="preserve"> Report</w:t>
            </w:r>
          </w:p>
        </w:tc>
      </w:tr>
      <w:tr w:rsidR="003F0440" w:rsidRPr="00725902" w14:paraId="19D514E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284559C" w14:textId="77777777" w:rsidR="003F0440" w:rsidRPr="00725902" w:rsidRDefault="003F0440" w:rsidP="002D126B">
            <w:pPr>
              <w:pStyle w:val="TableText"/>
            </w:pPr>
            <w:r>
              <w:t>The report does not include units in an issued status.</w:t>
            </w:r>
          </w:p>
        </w:tc>
      </w:tr>
      <w:tr w:rsidR="00CD5BA1" w:rsidRPr="00725902" w14:paraId="206DF3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A4411DB" w14:textId="3C824D5C" w:rsidR="00CD5BA1" w:rsidRDefault="00CD5BA1" w:rsidP="002D126B">
            <w:pPr>
              <w:pStyle w:val="TableText"/>
            </w:pPr>
            <w:r>
              <w:t xml:space="preserve">The report cannot be scheduled. </w:t>
            </w:r>
            <w:r w:rsidRPr="00CD5BA1">
              <w:rPr>
                <w:vanish/>
              </w:rPr>
              <w:t>Defect 210264</w:t>
            </w:r>
          </w:p>
        </w:tc>
      </w:tr>
    </w:tbl>
    <w:p w14:paraId="1E904DA5" w14:textId="77777777" w:rsidR="00C1162B" w:rsidRDefault="00C1162B"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01AF4" w14:paraId="03928B52"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0FF775A" w14:textId="77777777" w:rsidR="003F0440" w:rsidRPr="00501AF4" w:rsidRDefault="003F0440" w:rsidP="002D126B">
            <w:pPr>
              <w:pStyle w:val="TableText"/>
              <w:rPr>
                <w:b/>
              </w:rPr>
            </w:pPr>
            <w:r>
              <w:rPr>
                <w:b/>
              </w:rPr>
              <w:t>Transfusion Effectiveness Report</w:t>
            </w:r>
          </w:p>
        </w:tc>
      </w:tr>
      <w:tr w:rsidR="003F0440" w:rsidRPr="00725902" w14:paraId="5ABDA18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7F7712D" w14:textId="77777777" w:rsidR="003F0440" w:rsidRPr="00725902" w:rsidRDefault="003F0440" w:rsidP="002D126B">
            <w:pPr>
              <w:pStyle w:val="TableText"/>
            </w:pPr>
            <w:r>
              <w:t>The report does not include VBECS diagnostic tests.</w:t>
            </w:r>
          </w:p>
        </w:tc>
      </w:tr>
    </w:tbl>
    <w:p w14:paraId="37EA1A72" w14:textId="0248054A" w:rsidR="00DA5F37" w:rsidRDefault="00DA5F37"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7C518F" w:rsidRPr="00501AF4" w14:paraId="33068A92" w14:textId="77777777" w:rsidTr="00D12DC6">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469A9302" w14:textId="17B8C52B" w:rsidR="007C518F" w:rsidRPr="00501AF4" w:rsidRDefault="007C518F" w:rsidP="00D12DC6">
            <w:pPr>
              <w:pStyle w:val="TableText"/>
              <w:rPr>
                <w:b/>
              </w:rPr>
            </w:pPr>
            <w:r>
              <w:rPr>
                <w:b/>
              </w:rPr>
              <w:t>Transfusion Reaction Count Report</w:t>
            </w:r>
          </w:p>
        </w:tc>
      </w:tr>
      <w:tr w:rsidR="007C518F" w:rsidRPr="00725902" w14:paraId="75AC3518" w14:textId="77777777" w:rsidTr="00D12DC6">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CFECA86" w14:textId="0AC8BDF1" w:rsidR="007C518F" w:rsidRPr="00725902" w:rsidRDefault="00C25C1E" w:rsidP="00D12DC6">
            <w:pPr>
              <w:pStyle w:val="TableText"/>
            </w:pPr>
            <w:r>
              <w:t xml:space="preserve">Transfusion Reactions are only included on the report if the data were entered/updated during the selected date range. This means that retrospective entry of transfusion reactions may not display in the correct date range. The recorded date of the reaction is not considered in the selection criteria. Rerun the report for a date range that includes the date the data was entered or updated. For example, if a transfusion reaction that occurred on February 28 is retrospectively entered on March 1, it will only display on a report that includes March 1 in its date range. </w:t>
            </w:r>
            <w:r w:rsidRPr="00C25C1E">
              <w:rPr>
                <w:vanish/>
              </w:rPr>
              <w:t>Defect 209152</w:t>
            </w:r>
          </w:p>
        </w:tc>
      </w:tr>
    </w:tbl>
    <w:p w14:paraId="3EBC9FA1" w14:textId="77777777" w:rsidR="007C518F" w:rsidRDefault="007C518F"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501AF4" w14:paraId="09E39B9B"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2B056AEC" w14:textId="77777777" w:rsidR="003F0440" w:rsidRPr="00501AF4" w:rsidRDefault="003F0440" w:rsidP="002D126B">
            <w:pPr>
              <w:pStyle w:val="TableText"/>
              <w:rPr>
                <w:b/>
              </w:rPr>
            </w:pPr>
            <w:r>
              <w:rPr>
                <w:b/>
              </w:rPr>
              <w:t>Transfusion Requirements Report</w:t>
            </w:r>
          </w:p>
        </w:tc>
      </w:tr>
      <w:tr w:rsidR="003F0440" w:rsidRPr="00725902" w14:paraId="3F4A5407"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7BD541CD" w14:textId="4C04C0E9" w:rsidR="003F0440" w:rsidRPr="00725902" w:rsidRDefault="00BC04D1" w:rsidP="00934D16">
            <w:pPr>
              <w:pStyle w:val="TableText"/>
            </w:pPr>
            <w:r>
              <w:rPr>
                <w:rFonts w:cs="Arial"/>
                <w:vanish/>
              </w:rPr>
              <w:t xml:space="preserve">BR_89.01 </w:t>
            </w:r>
            <w:r w:rsidR="00934D16" w:rsidRPr="00B93109">
              <w:t xml:space="preserve">Deceased patient records do not appear on the report when </w:t>
            </w:r>
            <w:r w:rsidR="00934D16">
              <w:t xml:space="preserve">they are </w:t>
            </w:r>
            <w:r w:rsidR="00934D16" w:rsidRPr="00B93109">
              <w:t>generated after the patient has been marked</w:t>
            </w:r>
            <w:r w:rsidR="00934D16">
              <w:t xml:space="preserve"> as deceased</w:t>
            </w:r>
            <w:r w:rsidR="00934D16" w:rsidRPr="00B93109">
              <w:t xml:space="preserve"> in the VBECS database via a VistA Death Notification Update.</w:t>
            </w:r>
            <w:r w:rsidRPr="00684625">
              <w:rPr>
                <w:vanish/>
              </w:rPr>
              <w:t xml:space="preserve"> DR 5086</w:t>
            </w:r>
          </w:p>
        </w:tc>
      </w:tr>
      <w:tr w:rsidR="00C25C1E" w:rsidRPr="00725902" w14:paraId="6AF82E14"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71913702" w14:textId="4064FD74" w:rsidR="00C25C1E" w:rsidRPr="00B93109" w:rsidRDefault="00C25C1E" w:rsidP="00934D16">
            <w:pPr>
              <w:pStyle w:val="TableText"/>
            </w:pPr>
            <w:r w:rsidRPr="00684625">
              <w:t>The cumulative report is not displaying all patients on file. A patient with ABO/Rh testing and no other requirement appears on the partial Transfusion Requirements report, but not on the cumulative report</w:t>
            </w:r>
            <w:r>
              <w:t xml:space="preserve">. </w:t>
            </w:r>
            <w:r w:rsidRPr="00C25C1E">
              <w:rPr>
                <w:vanish/>
              </w:rPr>
              <w:t>Defect 208903</w:t>
            </w:r>
          </w:p>
        </w:tc>
      </w:tr>
      <w:tr w:rsidR="00C25C1E" w:rsidRPr="00725902" w14:paraId="411A30F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92C847" w14:textId="148DC2D2" w:rsidR="00C25C1E" w:rsidRPr="00B93109" w:rsidRDefault="00C25C1E" w:rsidP="00934D16">
            <w:pPr>
              <w:pStyle w:val="TableText"/>
            </w:pPr>
            <w:r>
              <w:t xml:space="preserve">A report printed with an end date of today or greater does not print “Partial” in the header. </w:t>
            </w:r>
            <w:r w:rsidRPr="00C25C1E">
              <w:rPr>
                <w:vanish/>
              </w:rPr>
              <w:t>Defect 208901</w:t>
            </w:r>
          </w:p>
        </w:tc>
      </w:tr>
    </w:tbl>
    <w:p w14:paraId="21866271" w14:textId="364E86CF" w:rsidR="000E59E4" w:rsidRDefault="000E59E4" w:rsidP="00DA5F37">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04DE956A"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B7B50FC" w14:textId="77777777" w:rsidR="003F0440" w:rsidRPr="00725902" w:rsidRDefault="003F0440" w:rsidP="002D126B">
            <w:pPr>
              <w:pStyle w:val="TableText"/>
            </w:pPr>
            <w:r w:rsidRPr="00501AF4">
              <w:rPr>
                <w:b/>
              </w:rPr>
              <w:t>Unit Antigen Typing</w:t>
            </w:r>
          </w:p>
        </w:tc>
      </w:tr>
      <w:tr w:rsidR="003F0440" w:rsidRPr="00725902" w14:paraId="0285699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16AA05" w14:textId="77777777" w:rsidR="003F0440" w:rsidRPr="00725902" w:rsidRDefault="003F0440" w:rsidP="002D126B">
            <w:pPr>
              <w:pStyle w:val="TableText"/>
            </w:pPr>
            <w:r>
              <w:t>Antigen typing applies only</w:t>
            </w:r>
            <w:r w:rsidR="006A2B09">
              <w:t xml:space="preserve"> to red blood cell antigens</w:t>
            </w:r>
            <w:r>
              <w:t>. This opt</w:t>
            </w:r>
            <w:r w:rsidR="006A2B09">
              <w:t>ion does not address platelet, histocompatibility locus antigens (</w:t>
            </w:r>
            <w:r>
              <w:t>HLAs</w:t>
            </w:r>
            <w:r w:rsidR="006A2B09">
              <w:t>)</w:t>
            </w:r>
            <w:r>
              <w:t xml:space="preserve">, or </w:t>
            </w:r>
            <w:r w:rsidR="006A2B09">
              <w:t>Immunoglobulin (</w:t>
            </w:r>
            <w:r>
              <w:t>IgA</w:t>
            </w:r>
            <w:r w:rsidR="006A2B09">
              <w:t>)</w:t>
            </w:r>
            <w:r>
              <w:t xml:space="preserve"> antigenicity.</w:t>
            </w:r>
          </w:p>
        </w:tc>
      </w:tr>
      <w:tr w:rsidR="006A2B09" w:rsidRPr="00725902" w14:paraId="0EB57B73"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330B5A6" w14:textId="77777777" w:rsidR="006A2B09" w:rsidRDefault="006A2B09" w:rsidP="002D126B">
            <w:pPr>
              <w:pStyle w:val="TableText"/>
            </w:pPr>
            <w:r>
              <w:t>Only blood units of the “WHOLE BLOOD” and “RED BLOOD CELLS” ICCBBA component classes can be selected for inclusion in the antigen type worklist.</w:t>
            </w:r>
          </w:p>
        </w:tc>
      </w:tr>
      <w:tr w:rsidR="006A2B09" w:rsidRPr="00725902" w14:paraId="3463ADC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34DA299" w14:textId="0FFAA118" w:rsidR="006A2B09" w:rsidRDefault="006A2B09" w:rsidP="002D126B">
            <w:pPr>
              <w:pStyle w:val="TableText"/>
            </w:pPr>
            <w:r>
              <w:t xml:space="preserve">Antigen typing is not required on products with = &gt; 2 mL </w:t>
            </w:r>
            <w:r w:rsidR="00AE3B37">
              <w:t>of RBC</w:t>
            </w:r>
            <w:r>
              <w:t xml:space="preserve"> contamination that are not Red Blood Cells or Whole Blood.</w:t>
            </w:r>
          </w:p>
        </w:tc>
      </w:tr>
      <w:tr w:rsidR="003F0440" w:rsidRPr="00725902" w14:paraId="253146A2"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F0EC891" w14:textId="77777777" w:rsidR="003F0440" w:rsidRPr="00725902" w:rsidRDefault="003F0440" w:rsidP="002D126B">
            <w:pPr>
              <w:pStyle w:val="TableText"/>
            </w:pPr>
            <w:r>
              <w:t>VBECS does not check whether the lot and vial numbers selected for the positive control cells differ from those of the negative control cells.</w:t>
            </w:r>
          </w:p>
        </w:tc>
      </w:tr>
      <w:tr w:rsidR="003F0440" w:rsidRPr="00725902" w14:paraId="44CE1B7F"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E6F7450" w14:textId="77777777" w:rsidR="003F0440" w:rsidRPr="00725902" w:rsidRDefault="003F0440" w:rsidP="002D126B">
            <w:pPr>
              <w:pStyle w:val="TableText"/>
            </w:pPr>
            <w:r>
              <w:t>D antigen typing must not be combined in batch testing of Rh positive units.</w:t>
            </w:r>
          </w:p>
        </w:tc>
      </w:tr>
      <w:tr w:rsidR="00A753B8" w:rsidRPr="00725902" w14:paraId="04912C55"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510D415B" w14:textId="03DFEEE4" w:rsidR="00A753B8" w:rsidRDefault="00A753B8" w:rsidP="002D126B">
            <w:pPr>
              <w:pStyle w:val="TableText"/>
            </w:pPr>
            <w:r>
              <w:t xml:space="preserve">The sort order of the selected units may not be inherited by the testing grid. Organize physical test materials according to the order of units presented on the testing grid. </w:t>
            </w:r>
            <w:r w:rsidRPr="00A753B8">
              <w:rPr>
                <w:vanish/>
              </w:rPr>
              <w:t>Defect 209578</w:t>
            </w:r>
          </w:p>
        </w:tc>
      </w:tr>
    </w:tbl>
    <w:p w14:paraId="3201A97C" w14:textId="5A84F23E" w:rsidR="00A753B8" w:rsidRDefault="00A753B8"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25902" w14:paraId="31D5B619"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04CFC56E" w14:textId="179D7D5F" w:rsidR="003F0440" w:rsidRPr="00402919" w:rsidRDefault="00A753B8" w:rsidP="002D126B">
            <w:pPr>
              <w:pStyle w:val="TableText"/>
              <w:rPr>
                <w:b/>
              </w:rPr>
            </w:pPr>
            <w:r>
              <w:br w:type="page"/>
            </w:r>
            <w:r w:rsidR="003F0440">
              <w:rPr>
                <w:b/>
              </w:rPr>
              <w:t>Unit History Report</w:t>
            </w:r>
          </w:p>
        </w:tc>
      </w:tr>
      <w:tr w:rsidR="003F0440" w14:paraId="17563F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EB7AC34" w14:textId="77777777" w:rsidR="003F0440" w:rsidRDefault="003F0440" w:rsidP="002D126B">
            <w:pPr>
              <w:pStyle w:val="TableText"/>
            </w:pPr>
            <w:r>
              <w:t>The report is not multidivisional.</w:t>
            </w:r>
          </w:p>
        </w:tc>
      </w:tr>
      <w:tr w:rsidR="00DD7CAF" w:rsidRPr="00C06411" w14:paraId="0392411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2DE41E1" w14:textId="77777777" w:rsidR="00DD7CAF" w:rsidRPr="00C06411" w:rsidRDefault="00DD7CAF" w:rsidP="005E39DA">
            <w:pPr>
              <w:pStyle w:val="TableText"/>
            </w:pPr>
            <w:r>
              <w:t xml:space="preserve">When a user retroactively updates a unit status through Discard or Quarantine, the Unit History Report displays the updated information, but does not display the date the change was made. </w:t>
            </w:r>
          </w:p>
        </w:tc>
      </w:tr>
      <w:tr w:rsidR="00CD5BA1" w:rsidRPr="00C06411" w14:paraId="5CD8363A"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3F95472C" w14:textId="34659750" w:rsidR="00CD5BA1" w:rsidRDefault="00CD5BA1" w:rsidP="005E39DA">
            <w:pPr>
              <w:pStyle w:val="TableText"/>
            </w:pPr>
            <w:r>
              <w:t>The r</w:t>
            </w:r>
            <w:r w:rsidRPr="001F1DB9">
              <w:t xml:space="preserve">eport </w:t>
            </w:r>
            <w:r>
              <w:t xml:space="preserve">will not indicate if a unit was returned to shipper, or shipped to another facility. This information can be found in the Cost Accounting Report. </w:t>
            </w:r>
            <w:r w:rsidRPr="00CD5BA1">
              <w:rPr>
                <w:vanish/>
              </w:rPr>
              <w:t>Defect 212158</w:t>
            </w:r>
          </w:p>
        </w:tc>
      </w:tr>
      <w:tr w:rsidR="00CD5BA1" w:rsidRPr="00C06411" w14:paraId="390BFB0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8881EA2" w14:textId="253E6417" w:rsidR="00CD5BA1" w:rsidRDefault="00CD5BA1" w:rsidP="005E39DA">
            <w:pPr>
              <w:pStyle w:val="TableText"/>
            </w:pPr>
            <w:r>
              <w:t xml:space="preserve">The report does not display the Antigen Testing Phase Change Exception. See the Exception Report for this information. </w:t>
            </w:r>
            <w:r w:rsidRPr="00CD5BA1">
              <w:rPr>
                <w:vanish/>
              </w:rPr>
              <w:t>Defect 209575</w:t>
            </w:r>
          </w:p>
        </w:tc>
      </w:tr>
      <w:tr w:rsidR="00E04548" w:rsidRPr="00C06411" w14:paraId="160A4FC1"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4D838DE" w14:textId="3B3009CD" w:rsidR="00E04548" w:rsidRDefault="00E04548" w:rsidP="005E39DA">
            <w:pPr>
              <w:pStyle w:val="TableText"/>
            </w:pPr>
            <w:r>
              <w:t xml:space="preserve">When a user retroactively updates a unit status through the Discard or Quarantine option, the Unit History Report displays the updated information, but does not display the date the change was made. </w:t>
            </w:r>
            <w:r w:rsidRPr="00E04548">
              <w:rPr>
                <w:vanish/>
              </w:rPr>
              <w:t>Defect 212537</w:t>
            </w:r>
          </w:p>
        </w:tc>
      </w:tr>
    </w:tbl>
    <w:p w14:paraId="1CD7B57F" w14:textId="77777777" w:rsidR="00DD7CAF" w:rsidRDefault="00DD7CAF"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DA7DE2" w14:paraId="1F092694"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A5A8E13" w14:textId="77777777" w:rsidR="003F0440" w:rsidRPr="00DA7DE2" w:rsidRDefault="003F0440" w:rsidP="002D126B">
            <w:pPr>
              <w:pStyle w:val="TableText"/>
              <w:rPr>
                <w:b/>
              </w:rPr>
            </w:pPr>
            <w:r w:rsidRPr="00DA7DE2">
              <w:rPr>
                <w:b/>
              </w:rPr>
              <w:t>Update User Roles</w:t>
            </w:r>
          </w:p>
        </w:tc>
      </w:tr>
      <w:tr w:rsidR="003F0440" w:rsidRPr="00725902" w14:paraId="1D2851EA" w14:textId="77777777">
        <w:trPr>
          <w:cantSplit/>
          <w:hidden/>
        </w:trPr>
        <w:tc>
          <w:tcPr>
            <w:tcW w:w="9360" w:type="dxa"/>
            <w:tcBorders>
              <w:top w:val="single" w:sz="6" w:space="0" w:color="000000"/>
              <w:left w:val="single" w:sz="6" w:space="0" w:color="000000"/>
              <w:bottom w:val="single" w:sz="6" w:space="0" w:color="000000"/>
              <w:right w:val="single" w:sz="6" w:space="0" w:color="000000"/>
            </w:tcBorders>
            <w:vAlign w:val="bottom"/>
          </w:tcPr>
          <w:p w14:paraId="3D19ADAB" w14:textId="77777777" w:rsidR="003F0440" w:rsidRDefault="003F0440" w:rsidP="002D126B">
            <w:pPr>
              <w:pStyle w:val="TableText"/>
            </w:pPr>
            <w:r>
              <w:rPr>
                <w:vanish/>
              </w:rPr>
              <w:t xml:space="preserve">BR_19.01, BR_19.03 </w:t>
            </w:r>
            <w:r>
              <w:t>One role at a time may be assigned to a user at a division. The role may be reset.</w:t>
            </w:r>
          </w:p>
        </w:tc>
      </w:tr>
      <w:tr w:rsidR="003F0440" w:rsidRPr="00725902" w14:paraId="2B6D838E"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DB3ADA" w14:textId="77777777" w:rsidR="003F0440" w:rsidRDefault="00DD0BFD" w:rsidP="00DD0BFD">
            <w:pPr>
              <w:pStyle w:val="TableText"/>
            </w:pPr>
            <w:r>
              <w:t xml:space="preserve">VBECS does not allow users </w:t>
            </w:r>
            <w:r w:rsidR="00AB565A">
              <w:rPr>
                <w:vanish/>
              </w:rPr>
              <w:t xml:space="preserve">BR_19.06 </w:t>
            </w:r>
            <w:r>
              <w:t>to edit or delete the sole Administrator/Supervisor.</w:t>
            </w:r>
          </w:p>
        </w:tc>
      </w:tr>
    </w:tbl>
    <w:p w14:paraId="235CA791" w14:textId="77777777" w:rsidR="00C84564" w:rsidRDefault="00C84564"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7F506D" w14:paraId="5C39C20E"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34953C5E" w14:textId="77777777" w:rsidR="003F0440" w:rsidRPr="007F506D" w:rsidRDefault="003F0440" w:rsidP="002D126B">
            <w:pPr>
              <w:pStyle w:val="TableText"/>
              <w:rPr>
                <w:b/>
              </w:rPr>
            </w:pPr>
            <w:r w:rsidRPr="007F506D">
              <w:rPr>
                <w:b/>
              </w:rPr>
              <w:t>Updated Patients and Deceased Patients</w:t>
            </w:r>
          </w:p>
        </w:tc>
      </w:tr>
      <w:tr w:rsidR="00D139EE" w:rsidRPr="00725902" w14:paraId="75FD70A9"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ED6801C" w14:textId="77777777" w:rsidR="00D139EE" w:rsidRDefault="00D139EE" w:rsidP="00D139EE">
            <w:pPr>
              <w:pStyle w:val="TableText"/>
            </w:pPr>
            <w:r>
              <w:t>Demographic and death event updates do not display information for patients without pending or active orders in VBECS. Updates will occur without user input.</w:t>
            </w:r>
          </w:p>
        </w:tc>
      </w:tr>
      <w:tr w:rsidR="00D139EE" w:rsidRPr="00725902" w14:paraId="751DB83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6D7EFF8" w14:textId="77777777" w:rsidR="00D139EE" w:rsidRDefault="00D139EE" w:rsidP="00D139EE">
            <w:pPr>
              <w:pStyle w:val="TableText"/>
            </w:pPr>
            <w:r>
              <w:t xml:space="preserve">VBECS does not notify users of additional VistA patient updates or merges while the icon is displayed. When a user views an update and there is an unprocessed patient merge, the Patient Alert icon remains on the screen until the Traditional Supervisor completes the update and clears the icon. </w:t>
            </w:r>
          </w:p>
        </w:tc>
      </w:tr>
      <w:tr w:rsidR="00D139EE" w:rsidRPr="00725902" w14:paraId="3C7C2A5B"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1030D586" w14:textId="77777777" w:rsidR="00D139EE" w:rsidRDefault="00D139EE" w:rsidP="00D139EE">
            <w:pPr>
              <w:pStyle w:val="TableText"/>
            </w:pPr>
            <w:r>
              <w:t>When VBECS notifies a user of an update to a patient’s prefix or suffix, VBECS does not display the updated information: the user must access VistA to view the updated information.</w:t>
            </w:r>
            <w:r w:rsidRPr="00C805FB">
              <w:rPr>
                <w:vanish/>
              </w:rPr>
              <w:t xml:space="preserve"> </w:t>
            </w:r>
            <w:r>
              <w:rPr>
                <w:vanish/>
              </w:rPr>
              <w:t>DR 2,714</w:t>
            </w:r>
          </w:p>
        </w:tc>
      </w:tr>
      <w:tr w:rsidR="00195D83" w:rsidRPr="00725902" w14:paraId="5EF2038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271B323" w14:textId="77777777" w:rsidR="00195D83" w:rsidRDefault="00195D83" w:rsidP="00D139EE">
            <w:pPr>
              <w:pStyle w:val="TableText"/>
            </w:pPr>
            <w:r>
              <w:t xml:space="preserve">Suffix data may be outdated but will be refreshed upon a new order for a patient. </w:t>
            </w:r>
            <w:r w:rsidRPr="006941AE">
              <w:rPr>
                <w:vanish/>
              </w:rPr>
              <w:t>Task 447307</w:t>
            </w:r>
          </w:p>
        </w:tc>
      </w:tr>
    </w:tbl>
    <w:p w14:paraId="057E4CA2" w14:textId="77777777" w:rsidR="00C84564" w:rsidRDefault="00C84564"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5E7BB7" w:rsidRPr="00FA7720" w14:paraId="358E15D6" w14:textId="77777777" w:rsidTr="00D25275">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594E8D42" w14:textId="77777777" w:rsidR="005E7BB7" w:rsidRPr="00FA7720" w:rsidRDefault="005E7BB7" w:rsidP="00D25275">
            <w:pPr>
              <w:pStyle w:val="TableText"/>
              <w:rPr>
                <w:b/>
              </w:rPr>
            </w:pPr>
            <w:r>
              <w:rPr>
                <w:b/>
              </w:rPr>
              <w:t>View Special Instructions and Transfusion Requirements</w:t>
            </w:r>
          </w:p>
        </w:tc>
      </w:tr>
      <w:tr w:rsidR="005E7BB7" w:rsidRPr="00725902" w14:paraId="4251E2B5" w14:textId="77777777" w:rsidTr="00D25275">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26E88C0F" w14:textId="77777777" w:rsidR="005E7BB7" w:rsidRPr="00725902" w:rsidRDefault="005E7BB7" w:rsidP="00D25275">
            <w:pPr>
              <w:pStyle w:val="TableText"/>
            </w:pPr>
            <w:r>
              <w:t xml:space="preserve">Changing </w:t>
            </w:r>
            <w:r w:rsidRPr="00633316">
              <w:t xml:space="preserve">a patient's antigen negative requirement or antibody identified after a unit is crossmatched does not provide an alert at Issue Unit regarding the type of crossmatch </w:t>
            </w:r>
            <w:r>
              <w:t xml:space="preserve">(electronic or serologic) </w:t>
            </w:r>
            <w:r w:rsidRPr="00633316">
              <w:t xml:space="preserve">performed on </w:t>
            </w:r>
            <w:r>
              <w:t xml:space="preserve">a </w:t>
            </w:r>
            <w:r w:rsidRPr="00633316">
              <w:t>unit</w:t>
            </w:r>
            <w:r>
              <w:t xml:space="preserve"> available for issue</w:t>
            </w:r>
            <w:r w:rsidRPr="00633316">
              <w:t>.</w:t>
            </w:r>
          </w:p>
        </w:tc>
      </w:tr>
      <w:tr w:rsidR="00972057" w:rsidRPr="00725902" w14:paraId="26429746" w14:textId="77777777" w:rsidTr="0097205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A87A9C3" w14:textId="77777777" w:rsidR="00972057" w:rsidRPr="00972057" w:rsidRDefault="00972057" w:rsidP="00972057">
            <w:pPr>
              <w:pStyle w:val="TableText"/>
              <w:rPr>
                <w:rFonts w:cs="Arial"/>
                <w:szCs w:val="18"/>
              </w:rPr>
            </w:pPr>
            <w:r w:rsidRPr="00972057">
              <w:rPr>
                <w:rFonts w:cs="Arial"/>
                <w:szCs w:val="18"/>
              </w:rPr>
              <w:t xml:space="preserve">This icon </w:t>
            </w:r>
            <w:r w:rsidRPr="00972057">
              <w:rPr>
                <w:rFonts w:cs="Arial"/>
                <w:noProof/>
                <w:szCs w:val="18"/>
              </w:rPr>
              <w:drawing>
                <wp:inline distT="0" distB="0" distL="0" distR="0" wp14:anchorId="2095B440" wp14:editId="536FF15E">
                  <wp:extent cx="156845" cy="156845"/>
                  <wp:effectExtent l="0" t="0" r="0" b="0"/>
                  <wp:docPr id="3" name="Picture 3" descr="View Special Instructions and Transfusion Require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ew Special Instructions and Transfusion Requirements ico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972057">
              <w:rPr>
                <w:rFonts w:cs="Arial"/>
                <w:szCs w:val="18"/>
              </w:rPr>
              <w:t> will be disabled when the icon is displayed:</w:t>
            </w:r>
          </w:p>
          <w:p w14:paraId="71887E6B" w14:textId="77777777" w:rsidR="00972057" w:rsidRPr="00C46DE2" w:rsidRDefault="00972057" w:rsidP="006F799E">
            <w:pPr>
              <w:pStyle w:val="TableTextBullet"/>
            </w:pPr>
            <w:r w:rsidRPr="00972057">
              <w:rPr>
                <w:rFonts w:cs="Arial"/>
                <w:szCs w:val="18"/>
              </w:rPr>
              <w:t xml:space="preserve">within the </w:t>
            </w:r>
            <w:r w:rsidRPr="00C46DE2">
              <w:t>patient search window because special instructions and transfusion requirements are already displayed automatically within this option.</w:t>
            </w:r>
          </w:p>
          <w:p w14:paraId="37A902C8" w14:textId="77777777" w:rsidR="00972057" w:rsidRPr="00F04B98" w:rsidRDefault="00972057" w:rsidP="006F799E">
            <w:pPr>
              <w:pStyle w:val="TableTextBullet"/>
            </w:pPr>
            <w:r w:rsidRPr="00C46DE2">
              <w:t>within this option</w:t>
            </w:r>
          </w:p>
          <w:p w14:paraId="76012DAF" w14:textId="1353C4E7" w:rsidR="00972057" w:rsidRPr="00972057" w:rsidRDefault="00972057" w:rsidP="006F799E">
            <w:pPr>
              <w:pStyle w:val="TableTextBullet"/>
              <w:rPr>
                <w:rFonts w:cs="Arial"/>
                <w:szCs w:val="18"/>
              </w:rPr>
            </w:pPr>
            <w:r w:rsidRPr="00F04B98">
              <w:t>the selected patient</w:t>
            </w:r>
            <w:r w:rsidRPr="00972057">
              <w:rPr>
                <w:rFonts w:cs="Arial"/>
                <w:szCs w:val="18"/>
              </w:rPr>
              <w:t xml:space="preserve"> does not have SIs or TRs to display.</w:t>
            </w:r>
            <w:r w:rsidR="00BC04D1" w:rsidRPr="00812458">
              <w:rPr>
                <w:vanish/>
              </w:rPr>
              <w:t xml:space="preserve"> Task 606914</w:t>
            </w:r>
          </w:p>
        </w:tc>
      </w:tr>
    </w:tbl>
    <w:p w14:paraId="1B7923C3" w14:textId="77777777" w:rsidR="005E7BB7" w:rsidRDefault="005E7BB7" w:rsidP="00C84564">
      <w:pPr>
        <w:pStyle w:val="TableText"/>
      </w:pPr>
    </w:p>
    <w:tbl>
      <w:tblPr>
        <w:tblW w:w="9360" w:type="dxa"/>
        <w:tblBorders>
          <w:top w:val="single" w:sz="6" w:space="0" w:color="000000"/>
          <w:left w:val="single" w:sz="6" w:space="0" w:color="000000"/>
          <w:bottom w:val="single" w:sz="6" w:space="0" w:color="000000"/>
          <w:right w:val="single" w:sz="6" w:space="0" w:color="000000"/>
        </w:tblBorders>
        <w:tblLayout w:type="fixed"/>
        <w:tblCellMar>
          <w:top w:w="60" w:type="dxa"/>
          <w:left w:w="60" w:type="dxa"/>
          <w:bottom w:w="60" w:type="dxa"/>
          <w:right w:w="60" w:type="dxa"/>
        </w:tblCellMar>
        <w:tblLook w:val="0000" w:firstRow="0" w:lastRow="0" w:firstColumn="0" w:lastColumn="0" w:noHBand="0" w:noVBand="0"/>
      </w:tblPr>
      <w:tblGrid>
        <w:gridCol w:w="9360"/>
      </w:tblGrid>
      <w:tr w:rsidR="003F0440" w:rsidRPr="00FA7720" w14:paraId="529991B7" w14:textId="77777777">
        <w:trPr>
          <w:cantSplit/>
          <w:tblHeader/>
        </w:trPr>
        <w:tc>
          <w:tcPr>
            <w:tcW w:w="9360" w:type="dxa"/>
            <w:tcBorders>
              <w:top w:val="single" w:sz="6" w:space="0" w:color="000000"/>
              <w:left w:val="single" w:sz="6" w:space="0" w:color="000000"/>
              <w:bottom w:val="single" w:sz="6" w:space="0" w:color="000000"/>
              <w:right w:val="single" w:sz="6" w:space="0" w:color="000000"/>
            </w:tcBorders>
            <w:shd w:val="clear" w:color="auto" w:fill="B3B3B3"/>
            <w:vAlign w:val="bottom"/>
          </w:tcPr>
          <w:p w14:paraId="115DB29B" w14:textId="77777777" w:rsidR="003F0440" w:rsidRPr="00FA7720" w:rsidRDefault="003F0440" w:rsidP="002D126B">
            <w:pPr>
              <w:pStyle w:val="TableText"/>
              <w:rPr>
                <w:b/>
              </w:rPr>
            </w:pPr>
            <w:r w:rsidRPr="00FA7720">
              <w:rPr>
                <w:b/>
              </w:rPr>
              <w:t>Workload Codes</w:t>
            </w:r>
          </w:p>
        </w:tc>
      </w:tr>
      <w:tr w:rsidR="003F0440" w:rsidRPr="00725902" w14:paraId="5D2B9D8C"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877F62A" w14:textId="77777777" w:rsidR="003F0440" w:rsidRPr="00725902" w:rsidRDefault="003F0440" w:rsidP="002D126B">
            <w:pPr>
              <w:pStyle w:val="TableText"/>
            </w:pPr>
            <w:r>
              <w:t>Transfusion-only sites must not map workload codes to processes such as ABO/Rh testing not performed on site.</w:t>
            </w:r>
          </w:p>
        </w:tc>
      </w:tr>
      <w:tr w:rsidR="003F2431" w:rsidRPr="00725902" w14:paraId="7886F3E7"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6D47DA19" w14:textId="4CA328BB" w:rsidR="003F2431" w:rsidRPr="003F2431" w:rsidRDefault="003F2431" w:rsidP="002D126B">
            <w:pPr>
              <w:pStyle w:val="TableText"/>
              <w:rPr>
                <w:b/>
              </w:rPr>
            </w:pPr>
            <w:r w:rsidRPr="003F2431">
              <w:t>Retrieved LMIP/NLT codes from VistA may have multiple CPT codes. Inactivating any of the associated CPT codes in VBECS will inactivate the LMIP/NLT code. Editing of the LMIP/NLT code associations must be done in VistA.</w:t>
            </w:r>
            <w:r w:rsidR="00BC04D1">
              <w:rPr>
                <w:vanish/>
              </w:rPr>
              <w:t xml:space="preserve"> DR 3090</w:t>
            </w:r>
            <w:r w:rsidR="00BC04D1">
              <w:t xml:space="preserve"> </w:t>
            </w:r>
            <w:r w:rsidR="00BC04D1" w:rsidRPr="00377878">
              <w:rPr>
                <w:vanish/>
              </w:rPr>
              <w:t>Defect 209370</w:t>
            </w:r>
          </w:p>
        </w:tc>
      </w:tr>
      <w:tr w:rsidR="00E25C40" w:rsidRPr="00725902" w14:paraId="14B33A36" w14:textId="77777777">
        <w:trPr>
          <w:cantSplit/>
        </w:trPr>
        <w:tc>
          <w:tcPr>
            <w:tcW w:w="9360" w:type="dxa"/>
            <w:tcBorders>
              <w:top w:val="single" w:sz="6" w:space="0" w:color="000000"/>
              <w:left w:val="single" w:sz="6" w:space="0" w:color="000000"/>
              <w:bottom w:val="single" w:sz="6" w:space="0" w:color="000000"/>
              <w:right w:val="single" w:sz="6" w:space="0" w:color="000000"/>
            </w:tcBorders>
            <w:vAlign w:val="bottom"/>
          </w:tcPr>
          <w:p w14:paraId="0A37AB4C" w14:textId="72DE27FF" w:rsidR="00E25C40" w:rsidRPr="003F2431" w:rsidRDefault="00E25C40" w:rsidP="002D126B">
            <w:pPr>
              <w:pStyle w:val="TableText"/>
            </w:pPr>
            <w:r>
              <w:t xml:space="preserve">Invalidating split units will result in extra workload equal to the number of splits created applied to the total number of units logged in. This occurs when split units are incorrectly processed in VBECS. </w:t>
            </w:r>
            <w:r w:rsidRPr="00E25C40">
              <w:rPr>
                <w:vanish/>
              </w:rPr>
              <w:t>Defect 209156</w:t>
            </w:r>
          </w:p>
        </w:tc>
      </w:tr>
    </w:tbl>
    <w:p w14:paraId="0890333C" w14:textId="77777777" w:rsidR="005C2727" w:rsidRDefault="005C2727">
      <w:pPr>
        <w:rPr>
          <w:sz w:val="22"/>
          <w:szCs w:val="22"/>
        </w:rPr>
      </w:pPr>
      <w:r>
        <w:br w:type="page"/>
      </w:r>
    </w:p>
    <w:p w14:paraId="387AA4DA" w14:textId="33F81B50" w:rsidR="00D9569F" w:rsidRDefault="00D9569F" w:rsidP="00AF2D0E">
      <w:pPr>
        <w:pStyle w:val="Heading2"/>
      </w:pPr>
      <w:bookmarkStart w:id="674" w:name="_Toc149064226"/>
      <w:bookmarkEnd w:id="673"/>
      <w:r>
        <w:t xml:space="preserve">Appendix </w:t>
      </w:r>
      <w:r w:rsidR="001B0B0C">
        <w:rPr>
          <w:noProof/>
        </w:rPr>
        <w:t>E</w:t>
      </w:r>
      <w:r>
        <w:t>: Known Defects and Anomalies</w:t>
      </w:r>
      <w:bookmarkEnd w:id="674"/>
      <w:r w:rsidR="00681D23">
        <w:fldChar w:fldCharType="begin"/>
      </w:r>
      <w:r w:rsidR="00681D23">
        <w:instrText xml:space="preserve"> XE "</w:instrText>
      </w:r>
      <w:r w:rsidR="00681D23" w:rsidRPr="00FB2A0A">
        <w:instrText>Known Defects and Anomalies</w:instrText>
      </w:r>
      <w:r w:rsidR="00681D23">
        <w:instrText xml:space="preserve">" </w:instrText>
      </w:r>
      <w:r w:rsidR="00681D23">
        <w:fldChar w:fldCharType="end"/>
      </w:r>
    </w:p>
    <w:p w14:paraId="185A3449" w14:textId="3908AA80" w:rsidR="00770D97" w:rsidRDefault="002D77E5" w:rsidP="002D77E5">
      <w:pPr>
        <w:pStyle w:val="BodyText"/>
      </w:pPr>
      <w:r>
        <w:t xml:space="preserve">Users may retrieve </w:t>
      </w:r>
      <w:r w:rsidR="00770D97">
        <w:t xml:space="preserve">a </w:t>
      </w:r>
      <w:r>
        <w:t xml:space="preserve">copy of the </w:t>
      </w:r>
      <w:r w:rsidRPr="002D77E5">
        <w:rPr>
          <w:i/>
          <w:iCs/>
        </w:rPr>
        <w:t>VBECS 2.3.</w:t>
      </w:r>
      <w:r w:rsidR="00656AFE">
        <w:rPr>
          <w:i/>
          <w:iCs/>
        </w:rPr>
        <w:t>4</w:t>
      </w:r>
      <w:r w:rsidRPr="002D77E5">
        <w:rPr>
          <w:i/>
          <w:iCs/>
        </w:rPr>
        <w:t xml:space="preserve"> Known Defects and Anomalies</w:t>
      </w:r>
      <w:r>
        <w:t xml:space="preserve"> document from</w:t>
      </w:r>
      <w:r w:rsidR="00770D97">
        <w:t xml:space="preserve">: </w:t>
      </w:r>
    </w:p>
    <w:p w14:paraId="04A380F5" w14:textId="152C2DC6" w:rsidR="00770D97" w:rsidRPr="007F445A" w:rsidRDefault="00A53403" w:rsidP="003E663B">
      <w:pPr>
        <w:pStyle w:val="TableTextBullet"/>
        <w:rPr>
          <w:rFonts w:ascii="Times New Roman" w:hAnsi="Times New Roman"/>
          <w:sz w:val="22"/>
          <w:szCs w:val="22"/>
        </w:rPr>
      </w:pPr>
      <w:hyperlink r:id="rId221" w:history="1">
        <w:r w:rsidR="002D77E5" w:rsidRPr="007F445A">
          <w:rPr>
            <w:rStyle w:val="Hyperlink"/>
            <w:rFonts w:ascii="Times New Roman" w:hAnsi="Times New Roman"/>
            <w:sz w:val="22"/>
            <w:szCs w:val="22"/>
          </w:rPr>
          <w:t>VistA Documentation Library (VDL) Web site</w:t>
        </w:r>
      </w:hyperlink>
      <w:r w:rsidR="00770D97" w:rsidRPr="007F445A">
        <w:rPr>
          <w:rFonts w:ascii="Times New Roman" w:hAnsi="Times New Roman"/>
          <w:sz w:val="22"/>
          <w:szCs w:val="22"/>
        </w:rPr>
        <w:t xml:space="preserve"> (content may have redactions)</w:t>
      </w:r>
    </w:p>
    <w:p w14:paraId="55859C79" w14:textId="359C27FB" w:rsidR="002D77E5" w:rsidRPr="00F64D50" w:rsidRDefault="00F64D50" w:rsidP="003E663B">
      <w:pPr>
        <w:pStyle w:val="TableTextBullet"/>
        <w:rPr>
          <w:rFonts w:ascii="Times New Roman" w:hAnsi="Times New Roman"/>
          <w:sz w:val="22"/>
          <w:szCs w:val="22"/>
          <w:highlight w:val="yellow"/>
        </w:rPr>
      </w:pPr>
      <w:r w:rsidRPr="00F64D50">
        <w:rPr>
          <w:rFonts w:ascii="Times New Roman" w:hAnsi="Times New Roman"/>
          <w:sz w:val="22"/>
          <w:szCs w:val="22"/>
          <w:highlight w:val="yellow"/>
        </w:rPr>
        <w:t>REDACTED</w:t>
      </w:r>
    </w:p>
    <w:p w14:paraId="0A88DB2B" w14:textId="2070C290" w:rsidR="002A21AE" w:rsidRDefault="000C342D">
      <w:pPr>
        <w:pStyle w:val="Heading2"/>
      </w:pPr>
      <w:r>
        <w:br w:type="page"/>
      </w:r>
      <w:bookmarkStart w:id="675" w:name="_Toc149064227"/>
      <w:r w:rsidR="002A21AE">
        <w:t xml:space="preserve">Appendix </w:t>
      </w:r>
      <w:r w:rsidR="001B0B0C">
        <w:rPr>
          <w:noProof/>
        </w:rPr>
        <w:t>F</w:t>
      </w:r>
      <w:r w:rsidR="002A21AE">
        <w:t>: System Validation</w:t>
      </w:r>
      <w:bookmarkEnd w:id="675"/>
      <w:r w:rsidR="002A21AE">
        <w:fldChar w:fldCharType="begin"/>
      </w:r>
      <w:r w:rsidR="002A21AE">
        <w:instrText xml:space="preserve"> XE </w:instrText>
      </w:r>
      <w:r w:rsidR="00FA7E65">
        <w:instrText>“</w:instrText>
      </w:r>
      <w:r w:rsidR="002A21AE">
        <w:instrText>System Validation</w:instrText>
      </w:r>
      <w:r w:rsidR="00FA7E65">
        <w:instrText>”</w:instrText>
      </w:r>
      <w:r w:rsidR="002A21AE">
        <w:instrText xml:space="preserve"> </w:instrText>
      </w:r>
      <w:r w:rsidR="002A21AE">
        <w:fldChar w:fldCharType="end"/>
      </w:r>
    </w:p>
    <w:p w14:paraId="3F4CBE4A" w14:textId="77777777" w:rsidR="002E3C00" w:rsidRDefault="002E3C00" w:rsidP="002E3C00">
      <w:pPr>
        <w:pStyle w:val="Heading3"/>
      </w:pPr>
      <w:bookmarkStart w:id="676" w:name="_Toc114462089"/>
      <w:bookmarkStart w:id="677" w:name="_Toc149064228"/>
      <w:r>
        <w:t>Introduction</w:t>
      </w:r>
      <w:bookmarkEnd w:id="676"/>
      <w:bookmarkEnd w:id="677"/>
      <w:r w:rsidR="00E21F36">
        <w:fldChar w:fldCharType="begin"/>
      </w:r>
      <w:r w:rsidR="00E21F36">
        <w:instrText xml:space="preserve"> XE " System Validation:</w:instrText>
      </w:r>
      <w:r w:rsidR="00E21F36" w:rsidRPr="0081226B">
        <w:instrText>Introduction</w:instrText>
      </w:r>
      <w:r w:rsidR="00E21F36">
        <w:instrText xml:space="preserve">" </w:instrText>
      </w:r>
      <w:r w:rsidR="00E21F36">
        <w:fldChar w:fldCharType="end"/>
      </w:r>
    </w:p>
    <w:p w14:paraId="7E2CE329" w14:textId="49FE8710" w:rsidR="00AB21DA" w:rsidRDefault="00AB21DA" w:rsidP="00AB21DA">
      <w:pPr>
        <w:pStyle w:val="BodyText"/>
      </w:pPr>
      <w:r>
        <w:t>Each facility is responsible for validating</w:t>
      </w:r>
      <w:r w:rsidRPr="00437093">
        <w:t xml:space="preserve"> </w:t>
      </w:r>
      <w:r>
        <w:t xml:space="preserve">the VBECS </w:t>
      </w:r>
      <w:r w:rsidRPr="00437093">
        <w:t xml:space="preserve">installation, operation, and </w:t>
      </w:r>
      <w:r>
        <w:t>performance</w:t>
      </w:r>
      <w:r w:rsidRPr="00437093">
        <w:t xml:space="preserve"> </w:t>
      </w:r>
      <w:r>
        <w:t>before</w:t>
      </w:r>
      <w:r w:rsidRPr="00437093">
        <w:t xml:space="preserve"> using </w:t>
      </w:r>
      <w:r>
        <w:t xml:space="preserve">VBECS </w:t>
      </w:r>
      <w:r w:rsidRPr="00437093">
        <w:t>in a live (production) environment.</w:t>
      </w:r>
      <w:r>
        <w:t xml:space="preserve"> This includes evaluating</w:t>
      </w:r>
      <w:r w:rsidRPr="00437093">
        <w:t xml:space="preserve"> local intend</w:t>
      </w:r>
      <w:r>
        <w:t>ed uses of the software and</w:t>
      </w:r>
      <w:r w:rsidR="00503461">
        <w:t xml:space="preserve"> changing settings </w:t>
      </w:r>
      <w:r w:rsidRPr="00437093">
        <w:t xml:space="preserve">to conform to </w:t>
      </w:r>
      <w:r>
        <w:t>the</w:t>
      </w:r>
      <w:r w:rsidRPr="00437093">
        <w:t xml:space="preserve"> facility’s procedures, processes, and policies</w:t>
      </w:r>
      <w:r w:rsidR="00033719">
        <w:t xml:space="preserve"> (See FAQ How to file a New Service</w:t>
      </w:r>
      <w:r w:rsidR="00553ED0">
        <w:t xml:space="preserve"> Request for Changes to VBECS)</w:t>
      </w:r>
      <w:r w:rsidRPr="00437093">
        <w:t xml:space="preserve">. Use internal operating procedures and policies to validate that the software </w:t>
      </w:r>
      <w:r>
        <w:t>performs</w:t>
      </w:r>
      <w:r w:rsidRPr="00437093">
        <w:t xml:space="preserve"> in accordan</w:t>
      </w:r>
      <w:r>
        <w:t>c</w:t>
      </w:r>
      <w:r w:rsidRPr="00437093">
        <w:t>e with your site’s parameters.</w:t>
      </w:r>
      <w:r w:rsidR="00066BE2">
        <w:t xml:space="preserve"> </w:t>
      </w:r>
      <w:r w:rsidR="00EF39BA">
        <w:t>Determine the level of validation required for c</w:t>
      </w:r>
      <w:r w:rsidR="00066BE2">
        <w:t>hanges to h</w:t>
      </w:r>
      <w:r w:rsidR="00EF39BA">
        <w:t>ardware and software</w:t>
      </w:r>
      <w:r w:rsidR="00066BE2">
        <w:t>.</w:t>
      </w:r>
      <w:r w:rsidR="00AF3C57">
        <w:t xml:space="preserve"> (See FAQ </w:t>
      </w:r>
      <w:r w:rsidR="00BC2656">
        <w:t>Ancillary VistA Validation</w:t>
      </w:r>
      <w:r w:rsidR="00AF3C57">
        <w:t>).</w:t>
      </w:r>
    </w:p>
    <w:p w14:paraId="1B13AAA3" w14:textId="77777777" w:rsidR="0096773B" w:rsidRDefault="0096773B" w:rsidP="0096773B">
      <w:pPr>
        <w:pStyle w:val="Caution"/>
        <w:rPr>
          <w:szCs w:val="15"/>
        </w:rPr>
      </w:pPr>
      <w:r w:rsidRPr="009830A4">
        <w:t xml:space="preserve">This section describes only basic system validation. Sample test scripts are available from the </w:t>
      </w:r>
      <w:r w:rsidRPr="004002F6">
        <w:t>National Training &amp; Education Office</w:t>
      </w:r>
      <w:r w:rsidRPr="009830A4">
        <w:t xml:space="preserve"> </w:t>
      </w:r>
      <w:r>
        <w:t>(</w:t>
      </w:r>
      <w:r w:rsidRPr="009830A4">
        <w:t>NT&amp;EO</w:t>
      </w:r>
      <w:r>
        <w:t>)</w:t>
      </w:r>
      <w:r w:rsidRPr="009830A4">
        <w:t>.</w:t>
      </w:r>
    </w:p>
    <w:p w14:paraId="5C85E3BD" w14:textId="77777777" w:rsidR="009D2266" w:rsidRDefault="009D2266" w:rsidP="009D2266">
      <w:pPr>
        <w:pStyle w:val="Heading3"/>
      </w:pPr>
      <w:bookmarkStart w:id="678" w:name="_Toc149064229"/>
      <w:r>
        <w:t>Validation Plan</w:t>
      </w:r>
      <w:bookmarkEnd w:id="678"/>
      <w:r w:rsidR="00AB21DA">
        <w:fldChar w:fldCharType="begin"/>
      </w:r>
      <w:r w:rsidR="00AB21DA">
        <w:instrText xml:space="preserve"> XE " System Validation:Validation Plan" </w:instrText>
      </w:r>
      <w:r w:rsidR="00AB21DA">
        <w:fldChar w:fldCharType="end"/>
      </w:r>
    </w:p>
    <w:p w14:paraId="177EB02A" w14:textId="77777777" w:rsidR="001F3C29" w:rsidRDefault="009D2266" w:rsidP="001F3C29">
      <w:pPr>
        <w:pStyle w:val="BodyText"/>
      </w:pPr>
      <w:r w:rsidRPr="00437093">
        <w:t xml:space="preserve">Write a </w:t>
      </w:r>
      <w:r>
        <w:t>validation</w:t>
      </w:r>
      <w:r w:rsidRPr="00437093">
        <w:t xml:space="preserve"> plan</w:t>
      </w:r>
      <w:r>
        <w:t xml:space="preserve"> with clearly stated goals and strategies</w:t>
      </w:r>
      <w:r w:rsidRPr="00437093">
        <w:t xml:space="preserve"> to demonstrate that </w:t>
      </w:r>
      <w:r>
        <w:t xml:space="preserve">the system hardware, application, </w:t>
      </w:r>
      <w:r w:rsidRPr="00437093">
        <w:t>new feature</w:t>
      </w:r>
      <w:r>
        <w:t>s,</w:t>
      </w:r>
      <w:r w:rsidRPr="00437093">
        <w:t xml:space="preserve"> </w:t>
      </w:r>
      <w:r>
        <w:t>and</w:t>
      </w:r>
      <w:r w:rsidRPr="00437093">
        <w:t xml:space="preserve"> software patch</w:t>
      </w:r>
      <w:r>
        <w:t>es</w:t>
      </w:r>
      <w:r w:rsidRPr="00437093">
        <w:t xml:space="preserve"> function as expected in your facility’s environment.</w:t>
      </w:r>
      <w:r>
        <w:t xml:space="preserve"> Include descriptions of documents, hardware and software Verification &amp; Validation (V&amp;V) tools, techniques, methods, and operating and test environments to be used. </w:t>
      </w:r>
      <w:r w:rsidR="001F3C29" w:rsidRPr="00437093">
        <w:t xml:space="preserve">Determine </w:t>
      </w:r>
      <w:r w:rsidR="001F3C29">
        <w:t xml:space="preserve">and document </w:t>
      </w:r>
      <w:r w:rsidR="001F3C29" w:rsidRPr="00437093">
        <w:t>when an option is not applicable to your facilit</w:t>
      </w:r>
      <w:r w:rsidR="001F3C29">
        <w:t>y and does not require testing.</w:t>
      </w:r>
    </w:p>
    <w:p w14:paraId="72390150" w14:textId="77777777" w:rsidR="009D2266" w:rsidRDefault="009D2266" w:rsidP="001F3C29">
      <w:pPr>
        <w:pStyle w:val="BodyText"/>
      </w:pPr>
      <w:r>
        <w:t xml:space="preserve">You may separate this plan into three major sections: </w:t>
      </w:r>
    </w:p>
    <w:p w14:paraId="0FF453E6" w14:textId="77777777" w:rsidR="009D2266" w:rsidRPr="009D2266" w:rsidRDefault="009D2266" w:rsidP="009D2266">
      <w:pPr>
        <w:pStyle w:val="Heading4"/>
        <w:rPr>
          <w:vertAlign w:val="superscript"/>
        </w:rPr>
      </w:pPr>
      <w:r>
        <w:t xml:space="preserve">Installation Qualification </w:t>
      </w:r>
      <w:r w:rsidR="00AB21DA">
        <w:fldChar w:fldCharType="begin"/>
      </w:r>
      <w:r w:rsidR="00AB21DA">
        <w:instrText xml:space="preserve"> XE " System Validation:Installation Qualification" </w:instrText>
      </w:r>
      <w:r w:rsidR="00AB21DA">
        <w:fldChar w:fldCharType="end"/>
      </w:r>
    </w:p>
    <w:p w14:paraId="2B435F85" w14:textId="77777777" w:rsidR="009D2266" w:rsidRPr="009D2266" w:rsidRDefault="00AB21DA" w:rsidP="009D2266">
      <w:pPr>
        <w:pStyle w:val="BodyText"/>
        <w:rPr>
          <w:vertAlign w:val="superscript"/>
        </w:rPr>
      </w:pPr>
      <w:r>
        <w:t xml:space="preserve">The Installation Qualification (IQ) section includes </w:t>
      </w:r>
      <w:r w:rsidR="009D2266" w:rsidRPr="00437093">
        <w:t>system identification, definition of physical properties, interfaces and peripheral devices</w:t>
      </w:r>
      <w:r w:rsidR="009D2266">
        <w:t>,</w:t>
      </w:r>
      <w:r w:rsidR="009D2266" w:rsidRPr="00437093">
        <w:t xml:space="preserve"> and general functionality.</w:t>
      </w:r>
      <w:r w:rsidR="009D2266">
        <w:t xml:space="preserve"> Determine what types of testing must be done</w:t>
      </w:r>
      <w:r w:rsidR="003A7C77">
        <w:t>. C</w:t>
      </w:r>
      <w:r w:rsidR="009D2266">
        <w:t>reate test cases</w:t>
      </w:r>
      <w:r w:rsidR="009D2266" w:rsidRPr="00437093">
        <w:t xml:space="preserve"> in accordance with your </w:t>
      </w:r>
      <w:r w:rsidR="009D2266">
        <w:t>internal procedures</w:t>
      </w:r>
      <w:r w:rsidR="00F1479E">
        <w:t xml:space="preserve"> and intended use</w:t>
      </w:r>
      <w:r w:rsidR="009D2266">
        <w:t xml:space="preserve">. </w:t>
      </w:r>
    </w:p>
    <w:p w14:paraId="52B4374C" w14:textId="77777777" w:rsidR="009D2266" w:rsidRPr="009D2266" w:rsidRDefault="009D2266" w:rsidP="009D2266">
      <w:pPr>
        <w:pStyle w:val="BodyText"/>
        <w:rPr>
          <w:vertAlign w:val="superscript"/>
        </w:rPr>
      </w:pPr>
      <w:r>
        <w:t xml:space="preserve">Apply </w:t>
      </w:r>
      <w:r w:rsidRPr="00437093">
        <w:t xml:space="preserve">review, analysis, and testing techniques to determine whether </w:t>
      </w:r>
      <w:r>
        <w:t>VBECS hardware and peripheral components co</w:t>
      </w:r>
      <w:r w:rsidRPr="00437093">
        <w:t>mply with requirements</w:t>
      </w:r>
      <w:r>
        <w:t>, including</w:t>
      </w:r>
      <w:r w:rsidRPr="00437093">
        <w:t xml:space="preserve"> functionality and attributes such as consistency, safety, and security.</w:t>
      </w:r>
      <w:r>
        <w:t xml:space="preserve"> </w:t>
      </w:r>
    </w:p>
    <w:p w14:paraId="66BA5179" w14:textId="77777777" w:rsidR="009D2266" w:rsidRDefault="009D2266" w:rsidP="009D2266">
      <w:pPr>
        <w:pStyle w:val="Heading4"/>
      </w:pPr>
      <w:r>
        <w:t>Operational Qualificati</w:t>
      </w:r>
      <w:r w:rsidR="00AB21DA">
        <w:t>on</w:t>
      </w:r>
      <w:r w:rsidR="00AB21DA">
        <w:fldChar w:fldCharType="begin"/>
      </w:r>
      <w:r w:rsidR="00AB21DA">
        <w:instrText xml:space="preserve"> XE " System Validation:Operational Qualification" </w:instrText>
      </w:r>
      <w:r w:rsidR="00AB21DA">
        <w:fldChar w:fldCharType="end"/>
      </w:r>
    </w:p>
    <w:p w14:paraId="14D47A42" w14:textId="77777777" w:rsidR="008F2FBA" w:rsidRDefault="00AB21DA" w:rsidP="009D2266">
      <w:pPr>
        <w:pStyle w:val="BodyText"/>
      </w:pPr>
      <w:r>
        <w:t>The Operational Qualification (OQ) section includes</w:t>
      </w:r>
      <w:r w:rsidR="009D2266">
        <w:t xml:space="preserve"> testing the software</w:t>
      </w:r>
      <w:r w:rsidR="009C7E9A">
        <w:t xml:space="preserve"> (</w:t>
      </w:r>
      <w:r w:rsidR="009C4EA7" w:rsidRPr="00437093">
        <w:t xml:space="preserve">the </w:t>
      </w:r>
      <w:r w:rsidR="009C4EA7">
        <w:t>primary validation</w:t>
      </w:r>
      <w:r w:rsidR="009C4EA7" w:rsidRPr="00437093">
        <w:t xml:space="preserve"> activity</w:t>
      </w:r>
      <w:r w:rsidR="009C7E9A">
        <w:t>)</w:t>
      </w:r>
      <w:r w:rsidR="009D2266">
        <w:t>. Use your OQ to</w:t>
      </w:r>
      <w:r w:rsidR="009D2266" w:rsidRPr="00437093">
        <w:t xml:space="preserve"> challenge </w:t>
      </w:r>
      <w:r w:rsidR="0025598B">
        <w:t xml:space="preserve">VBECS </w:t>
      </w:r>
      <w:r w:rsidR="009D2266" w:rsidRPr="00437093">
        <w:t xml:space="preserve">and </w:t>
      </w:r>
      <w:r w:rsidR="0025598B">
        <w:t>the connection to VistA</w:t>
      </w:r>
      <w:r w:rsidR="005857F1">
        <w:t>.</w:t>
      </w:r>
      <w:r w:rsidR="009D2266" w:rsidRPr="00437093">
        <w:t xml:space="preserve"> </w:t>
      </w:r>
      <w:r w:rsidR="009D2266">
        <w:t>Base t</w:t>
      </w:r>
      <w:r w:rsidR="009D2266" w:rsidRPr="00437093">
        <w:t xml:space="preserve">he number and types of tests on the criticality of the </w:t>
      </w:r>
      <w:r w:rsidR="009D2266">
        <w:t>software function. The focus of this validation is to test the limits of what the system allows you to do, not how the system will be used.</w:t>
      </w:r>
      <w:r w:rsidR="009D2266" w:rsidRPr="009D2266">
        <w:t xml:space="preserve"> </w:t>
      </w:r>
      <w:r w:rsidR="008F2FBA">
        <w:t xml:space="preserve">Each facility will have a different level of validation based on local </w:t>
      </w:r>
      <w:r w:rsidR="00066BE2">
        <w:t>practices</w:t>
      </w:r>
      <w:r w:rsidR="008F2FBA">
        <w:t>.</w:t>
      </w:r>
    </w:p>
    <w:p w14:paraId="3662EDA6" w14:textId="77777777" w:rsidR="008F2FBA" w:rsidRDefault="009D2266" w:rsidP="009D2266">
      <w:pPr>
        <w:pStyle w:val="BodyText"/>
      </w:pPr>
      <w:r>
        <w:t>Analyze risks to ensure that</w:t>
      </w:r>
      <w:r w:rsidRPr="00437093">
        <w:t xml:space="preserve"> the scope and degree of validation</w:t>
      </w:r>
      <w:r>
        <w:t xml:space="preserve"> are</w:t>
      </w:r>
      <w:r w:rsidRPr="00437093">
        <w:t xml:space="preserve"> </w:t>
      </w:r>
      <w:r w:rsidR="00F1479E">
        <w:t>appropriate</w:t>
      </w:r>
      <w:r w:rsidRPr="00437093">
        <w:t xml:space="preserve">. </w:t>
      </w:r>
      <w:r>
        <w:t>(A</w:t>
      </w:r>
      <w:r w:rsidRPr="00437093">
        <w:t xml:space="preserve"> system </w:t>
      </w:r>
      <w:r>
        <w:t>error that may</w:t>
      </w:r>
      <w:r w:rsidRPr="00437093">
        <w:t xml:space="preserve"> result in direct and severe patient harm require</w:t>
      </w:r>
      <w:r>
        <w:t>s</w:t>
      </w:r>
      <w:r w:rsidRPr="00437093">
        <w:t xml:space="preserve"> more </w:t>
      </w:r>
      <w:r>
        <w:t>detailed and rigorous</w:t>
      </w:r>
      <w:r w:rsidRPr="00437093">
        <w:t xml:space="preserve"> </w:t>
      </w:r>
      <w:r>
        <w:t>testing than one</w:t>
      </w:r>
      <w:r w:rsidRPr="00437093">
        <w:t xml:space="preserve"> that </w:t>
      </w:r>
      <w:r>
        <w:t>may have</w:t>
      </w:r>
      <w:r w:rsidRPr="00437093">
        <w:t xml:space="preserve"> minor consequences.</w:t>
      </w:r>
      <w:r>
        <w:t xml:space="preserve">) </w:t>
      </w:r>
    </w:p>
    <w:p w14:paraId="0C43D193" w14:textId="77777777" w:rsidR="009D2266" w:rsidRDefault="009D2266" w:rsidP="009D2266">
      <w:pPr>
        <w:pStyle w:val="BodyText"/>
      </w:pPr>
      <w:r>
        <w:t>Create a t</w:t>
      </w:r>
      <w:r w:rsidRPr="00437093">
        <w:t xml:space="preserve">esting environment as </w:t>
      </w:r>
      <w:r>
        <w:t>much like</w:t>
      </w:r>
      <w:r w:rsidRPr="00437093">
        <w:t xml:space="preserve"> the production environment as possible.</w:t>
      </w:r>
      <w:r>
        <w:t xml:space="preserve"> Design t</w:t>
      </w:r>
      <w:r w:rsidRPr="00437093">
        <w:t>est case</w:t>
      </w:r>
      <w:r>
        <w:t>s to:</w:t>
      </w:r>
    </w:p>
    <w:p w14:paraId="20CBA6D5" w14:textId="77777777" w:rsidR="009D2266" w:rsidRPr="003409A2" w:rsidRDefault="009D2266" w:rsidP="009D2266">
      <w:pPr>
        <w:pStyle w:val="ListBullet"/>
      </w:pPr>
      <w:r w:rsidRPr="003409A2">
        <w:t>Address critical software functions.</w:t>
      </w:r>
    </w:p>
    <w:p w14:paraId="3FCBF639" w14:textId="77777777" w:rsidR="009D2266" w:rsidRPr="007108E9" w:rsidRDefault="009D2266" w:rsidP="009D2266">
      <w:pPr>
        <w:pStyle w:val="ListBullet"/>
      </w:pPr>
      <w:r w:rsidRPr="007108E9">
        <w:t>Detect failures and flaws.</w:t>
      </w:r>
    </w:p>
    <w:p w14:paraId="0EB1AF11" w14:textId="77777777" w:rsidR="009D2266" w:rsidRPr="00437093" w:rsidRDefault="009D2266" w:rsidP="009D2266">
      <w:pPr>
        <w:pStyle w:val="ListBullet"/>
      </w:pPr>
      <w:r w:rsidRPr="007108E9">
        <w:t xml:space="preserve">Verify and challenge system </w:t>
      </w:r>
      <w:r w:rsidR="00803E72">
        <w:t>functions and limitations</w:t>
      </w:r>
      <w:r w:rsidRPr="007108E9">
        <w:t>,</w:t>
      </w:r>
      <w:r w:rsidR="00A41AB9">
        <w:t xml:space="preserve"> and user documentation.</w:t>
      </w:r>
    </w:p>
    <w:p w14:paraId="5195E828" w14:textId="77777777" w:rsidR="009D2266" w:rsidRPr="009D2266" w:rsidRDefault="009D2266" w:rsidP="009D2266">
      <w:pPr>
        <w:pStyle w:val="BodyText"/>
      </w:pPr>
      <w:r w:rsidRPr="009D2266">
        <w:t xml:space="preserve">Verify data from VistA displayed in VBECS and data from VBECS displayed in VistA. </w:t>
      </w:r>
      <w:r w:rsidR="00BE2EB7">
        <w:t>(</w:t>
      </w:r>
      <w:r w:rsidRPr="009D2266">
        <w:t>Results will vary based on your VBECS settings.</w:t>
      </w:r>
      <w:r w:rsidR="00BE2EB7">
        <w:t>)</w:t>
      </w:r>
      <w:r w:rsidRPr="009D2266">
        <w:t xml:space="preserve"> Evaluate the output of the testing and determine whether the test passed or failed.</w:t>
      </w:r>
    </w:p>
    <w:p w14:paraId="7EF81D38" w14:textId="77777777" w:rsidR="009D2266" w:rsidRPr="009D2266" w:rsidRDefault="009D2266" w:rsidP="009D2266">
      <w:pPr>
        <w:pStyle w:val="BodyText"/>
      </w:pPr>
      <w:r w:rsidRPr="009D2266">
        <w:t>Maintain evidence of software testing, as part of the validation record, in accordance with standards established by accrediting agencies associated with the blood bank and laboratory. Include, at minimum, your inputs, outputs, and evidence that tests performed were satisfactory or unsatisfactory. (You may record input manually, make copies of unit labels or patient information, capture screen shots</w:t>
      </w:r>
      <w:r w:rsidR="00BE2EB7">
        <w:rPr>
          <w:rStyle w:val="FootnoteReference"/>
        </w:rPr>
        <w:footnoteReference w:id="8"/>
      </w:r>
      <w:r w:rsidRPr="009D2266">
        <w:t xml:space="preserve"> from VistA and VBECS, print various reports, etc.)</w:t>
      </w:r>
    </w:p>
    <w:p w14:paraId="0F85F39E" w14:textId="77777777" w:rsidR="009D2266" w:rsidRDefault="00AB21DA" w:rsidP="009D2266">
      <w:pPr>
        <w:pStyle w:val="Heading4"/>
      </w:pPr>
      <w:r>
        <w:t>Performance Qualification</w:t>
      </w:r>
      <w:r>
        <w:fldChar w:fldCharType="begin"/>
      </w:r>
      <w:r>
        <w:instrText xml:space="preserve"> XE " System Validation:Performance Qualification" </w:instrText>
      </w:r>
      <w:r>
        <w:fldChar w:fldCharType="end"/>
      </w:r>
    </w:p>
    <w:p w14:paraId="20DFBB0F" w14:textId="77777777" w:rsidR="009D2266" w:rsidRDefault="00AB21DA" w:rsidP="009D2266">
      <w:pPr>
        <w:pStyle w:val="BodyText"/>
      </w:pPr>
      <w:r>
        <w:t>The Performance Qualification (PQ) section focuses</w:t>
      </w:r>
      <w:r w:rsidR="009D2266">
        <w:t xml:space="preserve"> on the integration of the application and processes into your facility. This begins with the revision of Standard Operation Procedures (SOPs) and policies to include the proper use of the new system. Once the SOPs are in place and validated, train the users. Ensure that training materials and records are complete before allowing users to operate the system. Document the validation, including:</w:t>
      </w:r>
    </w:p>
    <w:p w14:paraId="4217ECF1" w14:textId="77777777" w:rsidR="009D2266" w:rsidRPr="001124B5" w:rsidRDefault="009D2266" w:rsidP="009D2266">
      <w:pPr>
        <w:pStyle w:val="ListBullet"/>
      </w:pPr>
      <w:r>
        <w:t>P</w:t>
      </w:r>
      <w:r w:rsidRPr="001124B5">
        <w:t>ersonnel participating in validation activities</w:t>
      </w:r>
    </w:p>
    <w:p w14:paraId="2AE99FC3" w14:textId="77777777" w:rsidR="009D2266" w:rsidRDefault="009D2266" w:rsidP="009D2266">
      <w:pPr>
        <w:pStyle w:val="ListBullet"/>
      </w:pPr>
      <w:r>
        <w:t>H</w:t>
      </w:r>
      <w:r w:rsidRPr="001124B5">
        <w:t xml:space="preserve">ardware and software change </w:t>
      </w:r>
      <w:r>
        <w:t>controls</w:t>
      </w:r>
    </w:p>
    <w:p w14:paraId="5FA2B6E2" w14:textId="77777777" w:rsidR="009D2266" w:rsidRDefault="009D2266" w:rsidP="009D2266">
      <w:pPr>
        <w:pStyle w:val="ListBullet"/>
      </w:pPr>
      <w:r>
        <w:t>Testing results</w:t>
      </w:r>
    </w:p>
    <w:p w14:paraId="004EDB0A" w14:textId="77777777" w:rsidR="009D2266" w:rsidRPr="001124B5" w:rsidRDefault="009D2266" w:rsidP="009D2266">
      <w:pPr>
        <w:pStyle w:val="ListBullet"/>
      </w:pPr>
      <w:r w:rsidRPr="001124B5">
        <w:t>SOP reviews, training plans, installation and implementation</w:t>
      </w:r>
    </w:p>
    <w:p w14:paraId="6C35C76D" w14:textId="77777777" w:rsidR="009D2266" w:rsidRPr="001124B5" w:rsidRDefault="009D2266" w:rsidP="009D2266">
      <w:pPr>
        <w:pStyle w:val="ListBullet"/>
      </w:pPr>
      <w:r>
        <w:t>Evaluation and acceptance</w:t>
      </w:r>
    </w:p>
    <w:p w14:paraId="663094A9" w14:textId="77777777" w:rsidR="009D2266" w:rsidRDefault="009D2266" w:rsidP="009D2266">
      <w:pPr>
        <w:pStyle w:val="ListBullet"/>
      </w:pPr>
      <w:r>
        <w:t>R</w:t>
      </w:r>
      <w:r w:rsidRPr="001124B5">
        <w:t>eview a</w:t>
      </w:r>
      <w:r>
        <w:t>nd approval authority and dates</w:t>
      </w:r>
    </w:p>
    <w:p w14:paraId="43C6117D" w14:textId="77777777" w:rsidR="005556BB" w:rsidRDefault="00BE2EB7" w:rsidP="005556BB">
      <w:pPr>
        <w:pStyle w:val="Heading3"/>
      </w:pPr>
      <w:r>
        <w:br w:type="page"/>
      </w:r>
      <w:bookmarkStart w:id="679" w:name="_Toc149064230"/>
      <w:r w:rsidR="005556BB">
        <w:t>Record System Settings</w:t>
      </w:r>
      <w:bookmarkEnd w:id="679"/>
      <w:r w:rsidR="005556BB">
        <w:fldChar w:fldCharType="begin"/>
      </w:r>
      <w:r w:rsidR="005556BB">
        <w:instrText xml:space="preserve"> XE " System Validation:Record System Settings" </w:instrText>
      </w:r>
      <w:r w:rsidR="005556BB">
        <w:fldChar w:fldCharType="end"/>
      </w:r>
    </w:p>
    <w:p w14:paraId="2099D043" w14:textId="77777777" w:rsidR="00AB21DA" w:rsidRDefault="00AB21DA" w:rsidP="00AB21DA">
      <w:pPr>
        <w:pStyle w:val="BodyText"/>
        <w:rPr>
          <w:szCs w:val="15"/>
        </w:rPr>
      </w:pPr>
      <w:r>
        <w:rPr>
          <w:szCs w:val="15"/>
        </w:rPr>
        <w:t>These sections describe how to capture system settings in preparation for validation.</w:t>
      </w:r>
    </w:p>
    <w:p w14:paraId="47D76ABD" w14:textId="77777777" w:rsidR="002E3C00" w:rsidRDefault="002E3C00" w:rsidP="002E3C00">
      <w:pPr>
        <w:pStyle w:val="Heading3"/>
      </w:pPr>
      <w:bookmarkStart w:id="680" w:name="_Toc114462094"/>
      <w:bookmarkStart w:id="681" w:name="_Toc149064231"/>
      <w:r>
        <w:t>Configure Division</w:t>
      </w:r>
      <w:bookmarkEnd w:id="680"/>
      <w:bookmarkEnd w:id="681"/>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Division</w:instrText>
      </w:r>
      <w:r w:rsidR="00992E88">
        <w:instrText xml:space="preserve">" </w:instrText>
      </w:r>
      <w:r w:rsidR="00992E88">
        <w:fldChar w:fldCharType="end"/>
      </w:r>
    </w:p>
    <w:p w14:paraId="2E26AAAE" w14:textId="42FAABC4" w:rsidR="002E3C00" w:rsidRDefault="002E3C00" w:rsidP="002E3C00">
      <w:pPr>
        <w:pStyle w:val="BodyText"/>
      </w:pPr>
      <w:r>
        <w:t xml:space="preserve">A user defines site parameters that affect how VBECS behaves at a specific division. VBECS may be configured to function differently at each division within a </w:t>
      </w:r>
      <w:r w:rsidR="00373BCF">
        <w:t>multidivisional</w:t>
      </w:r>
      <w:r>
        <w:t xml:space="preserve"> database. Site parameters may be redefined.</w:t>
      </w:r>
      <w:r w:rsidR="00250936">
        <w:t xml:space="preserve"> For more information, see </w:t>
      </w:r>
      <w:r w:rsidR="00EE455E">
        <w:t xml:space="preserve">Appendix </w:t>
      </w:r>
      <w:r w:rsidR="00EE455E">
        <w:rPr>
          <w:noProof/>
        </w:rPr>
        <w:t>G</w:t>
      </w:r>
      <w:r w:rsidR="00EE455E">
        <w:t>: Work Process Flowcharts</w:t>
      </w:r>
      <w:r w:rsidR="00250936">
        <w:t>.</w:t>
      </w:r>
    </w:p>
    <w:p w14:paraId="1C6E9CC5" w14:textId="77777777" w:rsidR="002E3C00" w:rsidRDefault="002E3C00" w:rsidP="002E3C00">
      <w:pPr>
        <w:pStyle w:val="Heading4"/>
        <w:rPr>
          <w:b w:val="0"/>
        </w:rPr>
      </w:pPr>
      <w:r>
        <w:t>User Roles with Access to This Option</w:t>
      </w:r>
      <w:r>
        <w:rPr>
          <w:b w:val="0"/>
        </w:rPr>
        <w:t xml:space="preserve"> </w:t>
      </w:r>
    </w:p>
    <w:p w14:paraId="5A80F6F3"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208EA9C3" w14:textId="77777777" w:rsidR="002E3C00" w:rsidRDefault="00B74754" w:rsidP="002E3C00">
      <w:pPr>
        <w:pStyle w:val="Heading4"/>
      </w:pPr>
      <w:r>
        <w:t>Preparation for Testing</w:t>
      </w:r>
    </w:p>
    <w:p w14:paraId="1C135D62" w14:textId="77777777" w:rsidR="004635C9" w:rsidRDefault="002E3C00" w:rsidP="00925CAD">
      <w:pPr>
        <w:pStyle w:val="ListNumber"/>
        <w:numPr>
          <w:ilvl w:val="0"/>
          <w:numId w:val="16"/>
        </w:numPr>
        <w:tabs>
          <w:tab w:val="clear" w:pos="720"/>
          <w:tab w:val="num" w:pos="360"/>
        </w:tabs>
        <w:ind w:left="360"/>
      </w:pPr>
      <w:r>
        <w:t xml:space="preserve">Select </w:t>
      </w:r>
      <w:r w:rsidRPr="00600497">
        <w:rPr>
          <w:b/>
        </w:rPr>
        <w:t>Configure Division</w:t>
      </w:r>
      <w:r>
        <w:t xml:space="preserve">. </w:t>
      </w:r>
    </w:p>
    <w:p w14:paraId="2DF22D47" w14:textId="77777777" w:rsidR="002E3C00" w:rsidRDefault="002E3C00" w:rsidP="00925CAD">
      <w:pPr>
        <w:pStyle w:val="ListNumber"/>
        <w:numPr>
          <w:ilvl w:val="0"/>
          <w:numId w:val="16"/>
        </w:numPr>
        <w:tabs>
          <w:tab w:val="clear" w:pos="720"/>
          <w:tab w:val="num" w:pos="360"/>
        </w:tabs>
        <w:ind w:left="360"/>
      </w:pPr>
      <w:r>
        <w:t>Record:</w:t>
      </w:r>
    </w:p>
    <w:p w14:paraId="3EBFCADE" w14:textId="77777777" w:rsidR="00F8408D" w:rsidRPr="00010A5B" w:rsidRDefault="00F8408D" w:rsidP="009329C1">
      <w:pPr>
        <w:pStyle w:val="ListBullet"/>
        <w:tabs>
          <w:tab w:val="right" w:leader="underscore" w:pos="9360"/>
        </w:tabs>
      </w:pPr>
      <w:r w:rsidRPr="00010A5B">
        <w:t>ICCBBA registration number:</w:t>
      </w:r>
      <w:r w:rsidR="002C2290">
        <w:tab/>
      </w:r>
    </w:p>
    <w:p w14:paraId="5ED68AD3" w14:textId="77777777" w:rsidR="00010A5B" w:rsidRPr="00010A5B" w:rsidRDefault="002E3C00" w:rsidP="009329C1">
      <w:pPr>
        <w:pStyle w:val="ListBullet"/>
        <w:tabs>
          <w:tab w:val="right" w:leader="underscore" w:pos="9360"/>
        </w:tabs>
      </w:pPr>
      <w:r w:rsidRPr="00010A5B">
        <w:t>Blood Bank Medical Director</w:t>
      </w:r>
      <w:r w:rsidR="004C67FE" w:rsidRPr="00010A5B">
        <w:t>’s name</w:t>
      </w:r>
      <w:r w:rsidRPr="00010A5B">
        <w:t xml:space="preserve"> as you</w:t>
      </w:r>
      <w:r w:rsidR="00F8408D" w:rsidRPr="00010A5B">
        <w:t xml:space="preserve"> want it to appear on reports:</w:t>
      </w:r>
      <w:r w:rsidR="009329C1">
        <w:tab/>
      </w:r>
    </w:p>
    <w:p w14:paraId="6798BB3C" w14:textId="77777777" w:rsidR="002E3C00" w:rsidRDefault="002E3C00" w:rsidP="009329C1">
      <w:pPr>
        <w:pStyle w:val="ListBullet"/>
        <w:tabs>
          <w:tab w:val="right" w:leader="underscore" w:pos="9360"/>
        </w:tabs>
      </w:pPr>
      <w:r>
        <w:t>Latest expiration date (default: three days) for specimens, in accordance with l</w:t>
      </w:r>
      <w:r w:rsidR="00F8408D">
        <w:t xml:space="preserve">ocal policies and procedures: </w:t>
      </w:r>
      <w:r w:rsidR="00F8408D">
        <w:tab/>
      </w:r>
    </w:p>
    <w:p w14:paraId="6953CCED" w14:textId="77777777" w:rsidR="00F8408D" w:rsidRDefault="002E3C00" w:rsidP="00925CAD">
      <w:pPr>
        <w:pStyle w:val="ListNumber"/>
        <w:numPr>
          <w:ilvl w:val="0"/>
          <w:numId w:val="16"/>
        </w:numPr>
        <w:tabs>
          <w:tab w:val="clear" w:pos="720"/>
          <w:tab w:val="num" w:pos="360"/>
          <w:tab w:val="right" w:leader="underscore" w:pos="9360"/>
        </w:tabs>
        <w:ind w:left="360"/>
      </w:pPr>
      <w:r>
        <w:t>Is your division full service (FS) or transfusion only (TO)?</w:t>
      </w:r>
      <w:r>
        <w:tab/>
      </w:r>
    </w:p>
    <w:p w14:paraId="4EE9A206" w14:textId="77777777" w:rsidR="00F8408D" w:rsidRDefault="002E3C00" w:rsidP="00925CAD">
      <w:pPr>
        <w:pStyle w:val="ListNumber"/>
        <w:numPr>
          <w:ilvl w:val="0"/>
          <w:numId w:val="16"/>
        </w:numPr>
        <w:tabs>
          <w:tab w:val="clear" w:pos="720"/>
          <w:tab w:val="num" w:pos="360"/>
          <w:tab w:val="right" w:leader="underscore" w:pos="9360"/>
        </w:tabs>
        <w:ind w:left="360"/>
      </w:pPr>
      <w:r>
        <w:t xml:space="preserve">If your site does not perform </w:t>
      </w:r>
      <w:r w:rsidRPr="00FB7F8D">
        <w:t>on-site testing</w:t>
      </w:r>
      <w:r>
        <w:t>, continue at Order Alerts.</w:t>
      </w:r>
    </w:p>
    <w:p w14:paraId="73F998AB" w14:textId="77777777" w:rsidR="002E3C00" w:rsidRDefault="002E3C00" w:rsidP="00925CAD">
      <w:pPr>
        <w:pStyle w:val="ListNumber"/>
        <w:numPr>
          <w:ilvl w:val="0"/>
          <w:numId w:val="16"/>
        </w:numPr>
        <w:tabs>
          <w:tab w:val="clear" w:pos="720"/>
          <w:tab w:val="num" w:pos="360"/>
          <w:tab w:val="right" w:leader="underscore" w:pos="9360"/>
        </w:tabs>
        <w:ind w:left="360"/>
      </w:pPr>
      <w:r>
        <w:t>If your division is full service, do you want to enable electronic crossmatch?</w:t>
      </w:r>
      <w:r>
        <w:tab/>
      </w:r>
    </w:p>
    <w:p w14:paraId="4962C5D1" w14:textId="77777777" w:rsidR="002E3C00" w:rsidRPr="00FB7F8D" w:rsidRDefault="002E3C00" w:rsidP="00925CAD">
      <w:pPr>
        <w:pStyle w:val="ListNumber"/>
        <w:numPr>
          <w:ilvl w:val="0"/>
          <w:numId w:val="16"/>
        </w:numPr>
        <w:tabs>
          <w:tab w:val="clear" w:pos="720"/>
          <w:tab w:val="num" w:pos="360"/>
          <w:tab w:val="right" w:leader="underscore" w:pos="9360"/>
        </w:tabs>
        <w:ind w:left="360"/>
      </w:pPr>
      <w:r w:rsidRPr="00FB7F8D">
        <w:t>Print</w:t>
      </w:r>
      <w:r w:rsidR="00EB160D">
        <w:t>, sign, date,</w:t>
      </w:r>
      <w:r w:rsidRPr="00FB7F8D">
        <w:t xml:space="preserve"> and save an </w:t>
      </w:r>
      <w:r>
        <w:t>A</w:t>
      </w:r>
      <w:r w:rsidRPr="00FB7F8D">
        <w:t xml:space="preserve">udit </w:t>
      </w:r>
      <w:r>
        <w:t>Trail R</w:t>
      </w:r>
      <w:r w:rsidRPr="00FB7F8D">
        <w:t>e</w:t>
      </w:r>
      <w:r w:rsidR="00600497">
        <w:t>port for your validation record.</w:t>
      </w:r>
    </w:p>
    <w:p w14:paraId="6D4BB9C4" w14:textId="77777777" w:rsidR="002E3C00" w:rsidRDefault="002E3C00" w:rsidP="002E3C00">
      <w:pPr>
        <w:pStyle w:val="Heading3"/>
      </w:pPr>
      <w:bookmarkStart w:id="682" w:name="_Toc85895784"/>
      <w:bookmarkStart w:id="683" w:name="_Toc113264241"/>
      <w:bookmarkStart w:id="684" w:name="_Toc114462095"/>
      <w:bookmarkStart w:id="685" w:name="_Toc149064232"/>
      <w:r w:rsidRPr="00FB7F8D">
        <w:t>Configure Testi</w:t>
      </w:r>
      <w:r>
        <w:t>ng: Full Service</w:t>
      </w:r>
      <w:bookmarkEnd w:id="682"/>
      <w:bookmarkEnd w:id="683"/>
      <w:bookmarkEnd w:id="684"/>
      <w:bookmarkEnd w:id="685"/>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Testing\: Full Service</w:instrText>
      </w:r>
      <w:r w:rsidR="00992E88">
        <w:instrText xml:space="preserve">" </w:instrText>
      </w:r>
      <w:r w:rsidR="00992E88">
        <w:fldChar w:fldCharType="end"/>
      </w:r>
    </w:p>
    <w:p w14:paraId="0D22820D" w14:textId="777CD8D4" w:rsidR="002E3C00" w:rsidRPr="007970BE" w:rsidRDefault="002E3C00" w:rsidP="002E3C00">
      <w:pPr>
        <w:pStyle w:val="BodyText"/>
      </w:pPr>
      <w:r>
        <w:t>The user sets testing preferences in accordance with a division’s medical policies.</w:t>
      </w:r>
      <w:r w:rsidR="000150E9">
        <w:t xml:space="preserve"> For more information, see </w:t>
      </w:r>
      <w:r w:rsidR="00EE455E">
        <w:t xml:space="preserve">Appendix </w:t>
      </w:r>
      <w:r w:rsidR="00EE455E">
        <w:rPr>
          <w:noProof/>
        </w:rPr>
        <w:t>G</w:t>
      </w:r>
      <w:r w:rsidR="00EE455E">
        <w:t>: Work Process Flowcharts</w:t>
      </w:r>
      <w:r w:rsidR="000150E9">
        <w:t>.</w:t>
      </w:r>
    </w:p>
    <w:p w14:paraId="7FE3EB49" w14:textId="77777777" w:rsidR="002E3C00" w:rsidRDefault="002E3C00" w:rsidP="002E3C00">
      <w:pPr>
        <w:pStyle w:val="Heading4"/>
        <w:rPr>
          <w:b w:val="0"/>
        </w:rPr>
      </w:pPr>
      <w:r>
        <w:t>User Roles with Access to This Option</w:t>
      </w:r>
      <w:r>
        <w:rPr>
          <w:b w:val="0"/>
        </w:rPr>
        <w:t xml:space="preserve"> </w:t>
      </w:r>
    </w:p>
    <w:p w14:paraId="65C6430F"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020773E4" w14:textId="77777777" w:rsidR="002E3C00" w:rsidRDefault="00B74754" w:rsidP="002E3C00">
      <w:pPr>
        <w:pStyle w:val="Heading4"/>
      </w:pPr>
      <w:r>
        <w:t>Preparation for Testing</w:t>
      </w:r>
    </w:p>
    <w:p w14:paraId="72F59258" w14:textId="77777777" w:rsidR="002E3C00" w:rsidRPr="00600497" w:rsidRDefault="002E3C00" w:rsidP="00925CAD">
      <w:pPr>
        <w:pStyle w:val="ListNumber"/>
        <w:numPr>
          <w:ilvl w:val="0"/>
          <w:numId w:val="17"/>
        </w:numPr>
        <w:tabs>
          <w:tab w:val="clear" w:pos="720"/>
          <w:tab w:val="num" w:pos="360"/>
        </w:tabs>
        <w:ind w:left="360"/>
      </w:pPr>
      <w:r>
        <w:t>S</w:t>
      </w:r>
      <w:r w:rsidRPr="00600497">
        <w:t>et testing preferences.</w:t>
      </w:r>
    </w:p>
    <w:p w14:paraId="51FC33BB" w14:textId="77777777" w:rsidR="002E3C00" w:rsidRPr="00600497" w:rsidRDefault="002E3C00" w:rsidP="00925CAD">
      <w:pPr>
        <w:pStyle w:val="ListNumber"/>
        <w:numPr>
          <w:ilvl w:val="0"/>
          <w:numId w:val="17"/>
        </w:numPr>
        <w:tabs>
          <w:tab w:val="clear" w:pos="720"/>
          <w:tab w:val="num" w:pos="360"/>
        </w:tabs>
        <w:ind w:left="360"/>
      </w:pPr>
      <w:r w:rsidRPr="00600497">
        <w:t>Capture and save a screen shot of each piece of information.</w:t>
      </w:r>
    </w:p>
    <w:p w14:paraId="53595DC8" w14:textId="77777777" w:rsidR="00232E43" w:rsidRPr="00FB7F8D" w:rsidRDefault="00232E43" w:rsidP="00925CAD">
      <w:pPr>
        <w:pStyle w:val="ListNumber"/>
        <w:numPr>
          <w:ilvl w:val="0"/>
          <w:numId w:val="17"/>
        </w:numPr>
        <w:tabs>
          <w:tab w:val="clear" w:pos="720"/>
          <w:tab w:val="num" w:pos="360"/>
        </w:tabs>
        <w:ind w:left="360"/>
      </w:pPr>
      <w:bookmarkStart w:id="686" w:name="_Toc85895786"/>
      <w:bookmarkStart w:id="687" w:name="_Toc113264243"/>
      <w:bookmarkStart w:id="688" w:name="_Toc114462096"/>
      <w:bookmarkStart w:id="689" w:name="_Toc85895785"/>
      <w:bookmarkStart w:id="690" w:name="_Toc113264242"/>
      <w:r w:rsidRPr="00600497">
        <w:t xml:space="preserve">Print, </w:t>
      </w:r>
      <w:r>
        <w:t>sign, date,</w:t>
      </w:r>
      <w:r w:rsidRPr="00FB7F8D">
        <w:t xml:space="preserve"> and save an </w:t>
      </w:r>
      <w:r>
        <w:t>A</w:t>
      </w:r>
      <w:r w:rsidRPr="00FB7F8D">
        <w:t xml:space="preserve">udit </w:t>
      </w:r>
      <w:r>
        <w:t>Trail R</w:t>
      </w:r>
      <w:r w:rsidRPr="00FB7F8D">
        <w:t>eport for your validation record.</w:t>
      </w:r>
    </w:p>
    <w:p w14:paraId="266F9B1F" w14:textId="77777777" w:rsidR="002E3C00" w:rsidRDefault="007F0132" w:rsidP="002E3C00">
      <w:pPr>
        <w:pStyle w:val="Heading3"/>
      </w:pPr>
      <w:r>
        <w:br w:type="page"/>
      </w:r>
      <w:bookmarkStart w:id="691" w:name="_Toc149064233"/>
      <w:r w:rsidR="002E3C00">
        <w:t>Product Modifications</w:t>
      </w:r>
      <w:bookmarkEnd w:id="686"/>
      <w:bookmarkEnd w:id="687"/>
      <w:r w:rsidR="002E3C00">
        <w:t>: Full Service</w:t>
      </w:r>
      <w:bookmarkEnd w:id="688"/>
      <w:bookmarkEnd w:id="691"/>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Product Modifications\: Full Service</w:instrText>
      </w:r>
      <w:r w:rsidR="00992E88">
        <w:instrText xml:space="preserve">" </w:instrText>
      </w:r>
      <w:r w:rsidR="00992E88">
        <w:fldChar w:fldCharType="end"/>
      </w:r>
    </w:p>
    <w:p w14:paraId="229EC975" w14:textId="269E4221" w:rsidR="002E3C00" w:rsidRPr="007970BE" w:rsidRDefault="002E3C00" w:rsidP="002E3C00">
      <w:pPr>
        <w:pStyle w:val="BodyText"/>
      </w:pPr>
      <w:r>
        <w:t>The user enables the types of modifications made at a division.</w:t>
      </w:r>
      <w:r w:rsidR="008D2779">
        <w:t xml:space="preserve"> For more information, see </w:t>
      </w:r>
      <w:r w:rsidR="00EE455E">
        <w:t xml:space="preserve">Appendix </w:t>
      </w:r>
      <w:r w:rsidR="00EE455E">
        <w:rPr>
          <w:noProof/>
        </w:rPr>
        <w:t>G</w:t>
      </w:r>
      <w:r w:rsidR="00EE455E">
        <w:t>: Work Process Flowcharts</w:t>
      </w:r>
      <w:r w:rsidR="008D2779">
        <w:t>.</w:t>
      </w:r>
    </w:p>
    <w:p w14:paraId="40A35523" w14:textId="77777777" w:rsidR="002E3C00" w:rsidRDefault="002E3C00" w:rsidP="002E3C00">
      <w:pPr>
        <w:pStyle w:val="Heading4"/>
        <w:rPr>
          <w:b w:val="0"/>
        </w:rPr>
      </w:pPr>
      <w:r>
        <w:t>User Roles with Access to This Option</w:t>
      </w:r>
      <w:r>
        <w:rPr>
          <w:b w:val="0"/>
        </w:rPr>
        <w:t xml:space="preserve"> </w:t>
      </w:r>
    </w:p>
    <w:p w14:paraId="5505EC11" w14:textId="77777777" w:rsidR="002E3C00" w:rsidRPr="00B22CCD"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5F3E2589" w14:textId="77777777" w:rsidR="002E3C00" w:rsidRDefault="00B74754" w:rsidP="002E3C00">
      <w:pPr>
        <w:pStyle w:val="Heading4"/>
      </w:pPr>
      <w:r>
        <w:t>Preparation for Testing</w:t>
      </w:r>
    </w:p>
    <w:p w14:paraId="6E32DF0B" w14:textId="77777777" w:rsidR="002E3C00" w:rsidRDefault="002E3C00" w:rsidP="002E3C00">
      <w:pPr>
        <w:pStyle w:val="BodyText"/>
      </w:pPr>
      <w:r>
        <w:t>Modification processes are disabled by default. You must activate modification types performed at your facility. You may select none, some, or all. Enter a processing cost for each modification type, as applicable. You may update these settings later.</w:t>
      </w:r>
    </w:p>
    <w:p w14:paraId="30A3A6E0" w14:textId="0DDB179C" w:rsidR="002E3C00" w:rsidRDefault="002E3C00" w:rsidP="00AD60CF">
      <w:pPr>
        <w:pStyle w:val="Caption"/>
        <w:ind w:left="288" w:hanging="288"/>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27</w:t>
      </w:r>
      <w:r w:rsidR="004E20BD">
        <w:rPr>
          <w:noProof/>
        </w:rPr>
        <w:fldChar w:fldCharType="end"/>
      </w:r>
      <w:r>
        <w:t>: Modification Types and Costs</w:t>
      </w:r>
      <w:r w:rsidR="00AD60CF">
        <w:fldChar w:fldCharType="begin"/>
      </w:r>
      <w:r w:rsidR="00AD60CF">
        <w:instrText xml:space="preserve"> XE "Tables:</w:instrText>
      </w:r>
      <w:r w:rsidR="00AD60CF" w:rsidRPr="0046419F">
        <w:instrText>Modification Types and Costs</w:instrText>
      </w:r>
      <w:r w:rsidR="00AD60CF">
        <w:instrText xml:space="preserve">" </w:instrText>
      </w:r>
      <w:r w:rsidR="00AD60CF">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1440"/>
        <w:gridCol w:w="1440"/>
        <w:gridCol w:w="1440"/>
      </w:tblGrid>
      <w:tr w:rsidR="002E3C00" w:rsidRPr="00020DA9" w14:paraId="696AE1E5" w14:textId="77777777">
        <w:trPr>
          <w:cantSplit/>
          <w:tblHeader/>
        </w:trPr>
        <w:tc>
          <w:tcPr>
            <w:tcW w:w="2160" w:type="dxa"/>
            <w:vMerge w:val="restart"/>
            <w:shd w:val="clear" w:color="auto" w:fill="B3B3B3"/>
            <w:vAlign w:val="bottom"/>
          </w:tcPr>
          <w:p w14:paraId="1145BF36" w14:textId="77777777" w:rsidR="002E3C00" w:rsidRPr="00020DA9" w:rsidRDefault="002E3C00" w:rsidP="002E3C00">
            <w:pPr>
              <w:pStyle w:val="TableText"/>
              <w:rPr>
                <w:b/>
              </w:rPr>
            </w:pPr>
            <w:r w:rsidRPr="00020DA9">
              <w:rPr>
                <w:b/>
              </w:rPr>
              <w:t>Modification Type</w:t>
            </w:r>
          </w:p>
        </w:tc>
        <w:tc>
          <w:tcPr>
            <w:tcW w:w="1440" w:type="dxa"/>
            <w:gridSpan w:val="2"/>
            <w:shd w:val="clear" w:color="auto" w:fill="B3B3B3"/>
            <w:vAlign w:val="bottom"/>
          </w:tcPr>
          <w:p w14:paraId="3BC53A4F" w14:textId="77777777" w:rsidR="002E3C00" w:rsidRPr="00020DA9" w:rsidRDefault="002E3C00" w:rsidP="003B2CDC">
            <w:pPr>
              <w:pStyle w:val="TableText"/>
              <w:jc w:val="center"/>
              <w:rPr>
                <w:b/>
              </w:rPr>
            </w:pPr>
            <w:r>
              <w:rPr>
                <w:b/>
              </w:rPr>
              <w:t>Modification Processes</w:t>
            </w:r>
          </w:p>
        </w:tc>
        <w:tc>
          <w:tcPr>
            <w:tcW w:w="1440" w:type="dxa"/>
            <w:vMerge w:val="restart"/>
            <w:shd w:val="clear" w:color="auto" w:fill="B3B3B3"/>
            <w:vAlign w:val="bottom"/>
          </w:tcPr>
          <w:p w14:paraId="185AAB50" w14:textId="77777777" w:rsidR="002E3C00" w:rsidRPr="00020DA9" w:rsidRDefault="002E3C00" w:rsidP="002E3C00">
            <w:pPr>
              <w:pStyle w:val="TableText"/>
              <w:rPr>
                <w:b/>
              </w:rPr>
            </w:pPr>
            <w:r>
              <w:rPr>
                <w:b/>
              </w:rPr>
              <w:t xml:space="preserve">Processing </w:t>
            </w:r>
            <w:r w:rsidRPr="00020DA9">
              <w:rPr>
                <w:b/>
              </w:rPr>
              <w:t>Cost</w:t>
            </w:r>
          </w:p>
        </w:tc>
      </w:tr>
      <w:tr w:rsidR="002E3C00" w:rsidRPr="00020DA9" w14:paraId="495177D7" w14:textId="77777777">
        <w:trPr>
          <w:cantSplit/>
          <w:tblHeader/>
        </w:trPr>
        <w:tc>
          <w:tcPr>
            <w:tcW w:w="2160" w:type="dxa"/>
            <w:vMerge/>
            <w:shd w:val="clear" w:color="auto" w:fill="B3B3B3"/>
          </w:tcPr>
          <w:p w14:paraId="4468F31F" w14:textId="77777777" w:rsidR="002E3C00" w:rsidRPr="00020DA9" w:rsidRDefault="002E3C00" w:rsidP="002E3C00">
            <w:pPr>
              <w:pStyle w:val="TableText"/>
              <w:rPr>
                <w:b/>
              </w:rPr>
            </w:pPr>
          </w:p>
        </w:tc>
        <w:tc>
          <w:tcPr>
            <w:tcW w:w="1440" w:type="dxa"/>
            <w:shd w:val="clear" w:color="auto" w:fill="B3B3B3"/>
          </w:tcPr>
          <w:p w14:paraId="0943B971" w14:textId="77777777" w:rsidR="002E3C00" w:rsidRPr="00020DA9" w:rsidRDefault="002E3C00" w:rsidP="002E3C00">
            <w:pPr>
              <w:pStyle w:val="TableText"/>
              <w:rPr>
                <w:b/>
              </w:rPr>
            </w:pPr>
            <w:r w:rsidRPr="00020DA9">
              <w:rPr>
                <w:b/>
              </w:rPr>
              <w:t>Enabled</w:t>
            </w:r>
          </w:p>
        </w:tc>
        <w:tc>
          <w:tcPr>
            <w:tcW w:w="1440" w:type="dxa"/>
            <w:shd w:val="clear" w:color="auto" w:fill="B3B3B3"/>
          </w:tcPr>
          <w:p w14:paraId="062DDAFA" w14:textId="77777777" w:rsidR="002E3C00" w:rsidRPr="00020DA9" w:rsidRDefault="002E3C00" w:rsidP="002E3C00">
            <w:pPr>
              <w:pStyle w:val="TableText"/>
              <w:rPr>
                <w:b/>
              </w:rPr>
            </w:pPr>
            <w:r w:rsidRPr="00020DA9">
              <w:rPr>
                <w:b/>
              </w:rPr>
              <w:t>Disabled</w:t>
            </w:r>
          </w:p>
        </w:tc>
        <w:tc>
          <w:tcPr>
            <w:tcW w:w="1440" w:type="dxa"/>
            <w:vMerge/>
            <w:shd w:val="clear" w:color="auto" w:fill="B3B3B3"/>
          </w:tcPr>
          <w:p w14:paraId="283661C5" w14:textId="77777777" w:rsidR="002E3C00" w:rsidRPr="00020DA9" w:rsidRDefault="002E3C00" w:rsidP="002E3C00">
            <w:pPr>
              <w:pStyle w:val="TableText"/>
              <w:rPr>
                <w:b/>
              </w:rPr>
            </w:pPr>
          </w:p>
        </w:tc>
      </w:tr>
      <w:tr w:rsidR="002E3C00" w14:paraId="608696F1" w14:textId="77777777">
        <w:trPr>
          <w:cantSplit/>
        </w:trPr>
        <w:tc>
          <w:tcPr>
            <w:tcW w:w="2160" w:type="dxa"/>
          </w:tcPr>
          <w:p w14:paraId="556F5290" w14:textId="77777777" w:rsidR="002E3C00" w:rsidRDefault="002E3C00" w:rsidP="002E3C00">
            <w:pPr>
              <w:pStyle w:val="TableText"/>
            </w:pPr>
            <w:r>
              <w:t>Thaw</w:t>
            </w:r>
          </w:p>
        </w:tc>
        <w:tc>
          <w:tcPr>
            <w:tcW w:w="1440" w:type="dxa"/>
          </w:tcPr>
          <w:p w14:paraId="2ABF47E3" w14:textId="77777777" w:rsidR="002E3C00" w:rsidRDefault="002E3C00" w:rsidP="002E3C00">
            <w:pPr>
              <w:pStyle w:val="TableText"/>
            </w:pPr>
          </w:p>
        </w:tc>
        <w:tc>
          <w:tcPr>
            <w:tcW w:w="1440" w:type="dxa"/>
          </w:tcPr>
          <w:p w14:paraId="0735A6AF" w14:textId="77777777" w:rsidR="002E3C00" w:rsidRDefault="002E3C00" w:rsidP="002E3C00">
            <w:pPr>
              <w:pStyle w:val="TableText"/>
            </w:pPr>
          </w:p>
        </w:tc>
        <w:tc>
          <w:tcPr>
            <w:tcW w:w="1440" w:type="dxa"/>
          </w:tcPr>
          <w:p w14:paraId="30484B89" w14:textId="77777777" w:rsidR="002E3C00" w:rsidRDefault="002E3C00" w:rsidP="002E3C00">
            <w:pPr>
              <w:pStyle w:val="TableText"/>
            </w:pPr>
          </w:p>
        </w:tc>
      </w:tr>
      <w:tr w:rsidR="002E3C00" w14:paraId="62717EA5" w14:textId="77777777">
        <w:trPr>
          <w:cantSplit/>
        </w:trPr>
        <w:tc>
          <w:tcPr>
            <w:tcW w:w="2160" w:type="dxa"/>
          </w:tcPr>
          <w:p w14:paraId="26598307" w14:textId="77777777" w:rsidR="002E3C00" w:rsidRDefault="002E3C00" w:rsidP="002E3C00">
            <w:pPr>
              <w:pStyle w:val="TableText"/>
            </w:pPr>
            <w:r>
              <w:t xml:space="preserve">Pool </w:t>
            </w:r>
          </w:p>
        </w:tc>
        <w:tc>
          <w:tcPr>
            <w:tcW w:w="1440" w:type="dxa"/>
          </w:tcPr>
          <w:p w14:paraId="53047776" w14:textId="77777777" w:rsidR="002E3C00" w:rsidRDefault="002E3C00" w:rsidP="002E3C00">
            <w:pPr>
              <w:pStyle w:val="TableText"/>
            </w:pPr>
          </w:p>
        </w:tc>
        <w:tc>
          <w:tcPr>
            <w:tcW w:w="1440" w:type="dxa"/>
          </w:tcPr>
          <w:p w14:paraId="6D67D47D" w14:textId="77777777" w:rsidR="002E3C00" w:rsidRDefault="002E3C00" w:rsidP="002E3C00">
            <w:pPr>
              <w:pStyle w:val="TableText"/>
            </w:pPr>
          </w:p>
        </w:tc>
        <w:tc>
          <w:tcPr>
            <w:tcW w:w="1440" w:type="dxa"/>
          </w:tcPr>
          <w:p w14:paraId="434FAB75" w14:textId="77777777" w:rsidR="002E3C00" w:rsidRDefault="002E3C00" w:rsidP="002E3C00">
            <w:pPr>
              <w:pStyle w:val="TableText"/>
            </w:pPr>
          </w:p>
        </w:tc>
      </w:tr>
      <w:tr w:rsidR="002E3C00" w14:paraId="6EDBEAD7" w14:textId="77777777">
        <w:trPr>
          <w:cantSplit/>
        </w:trPr>
        <w:tc>
          <w:tcPr>
            <w:tcW w:w="2160" w:type="dxa"/>
          </w:tcPr>
          <w:p w14:paraId="3714634C" w14:textId="77777777" w:rsidR="002E3C00" w:rsidRDefault="002E3C00" w:rsidP="002E3C00">
            <w:pPr>
              <w:pStyle w:val="TableText"/>
            </w:pPr>
            <w:r>
              <w:t>Thaw/Pool Cryo</w:t>
            </w:r>
          </w:p>
        </w:tc>
        <w:tc>
          <w:tcPr>
            <w:tcW w:w="1440" w:type="dxa"/>
          </w:tcPr>
          <w:p w14:paraId="24322EE8" w14:textId="77777777" w:rsidR="002E3C00" w:rsidRDefault="002E3C00" w:rsidP="002E3C00">
            <w:pPr>
              <w:pStyle w:val="TableText"/>
            </w:pPr>
          </w:p>
        </w:tc>
        <w:tc>
          <w:tcPr>
            <w:tcW w:w="1440" w:type="dxa"/>
          </w:tcPr>
          <w:p w14:paraId="343E3B05" w14:textId="77777777" w:rsidR="002E3C00" w:rsidRDefault="002E3C00" w:rsidP="002E3C00">
            <w:pPr>
              <w:pStyle w:val="TableText"/>
            </w:pPr>
          </w:p>
        </w:tc>
        <w:tc>
          <w:tcPr>
            <w:tcW w:w="1440" w:type="dxa"/>
          </w:tcPr>
          <w:p w14:paraId="526B0642" w14:textId="77777777" w:rsidR="002E3C00" w:rsidRDefault="002E3C00" w:rsidP="002E3C00">
            <w:pPr>
              <w:pStyle w:val="TableText"/>
            </w:pPr>
          </w:p>
        </w:tc>
      </w:tr>
      <w:tr w:rsidR="002E3C00" w14:paraId="2F4BABEA" w14:textId="77777777">
        <w:trPr>
          <w:cantSplit/>
        </w:trPr>
        <w:tc>
          <w:tcPr>
            <w:tcW w:w="2160" w:type="dxa"/>
          </w:tcPr>
          <w:p w14:paraId="05CD2448" w14:textId="77777777" w:rsidR="002E3C00" w:rsidRDefault="002E3C00" w:rsidP="002E3C00">
            <w:pPr>
              <w:pStyle w:val="TableText"/>
            </w:pPr>
            <w:r>
              <w:t>Split/Divide</w:t>
            </w:r>
          </w:p>
        </w:tc>
        <w:tc>
          <w:tcPr>
            <w:tcW w:w="1440" w:type="dxa"/>
          </w:tcPr>
          <w:p w14:paraId="29F5A078" w14:textId="77777777" w:rsidR="002E3C00" w:rsidRDefault="002E3C00" w:rsidP="002E3C00">
            <w:pPr>
              <w:pStyle w:val="TableText"/>
            </w:pPr>
          </w:p>
        </w:tc>
        <w:tc>
          <w:tcPr>
            <w:tcW w:w="1440" w:type="dxa"/>
          </w:tcPr>
          <w:p w14:paraId="4F19EBEB" w14:textId="77777777" w:rsidR="002E3C00" w:rsidRDefault="002E3C00" w:rsidP="002E3C00">
            <w:pPr>
              <w:pStyle w:val="TableText"/>
            </w:pPr>
          </w:p>
        </w:tc>
        <w:tc>
          <w:tcPr>
            <w:tcW w:w="1440" w:type="dxa"/>
          </w:tcPr>
          <w:p w14:paraId="307C656C" w14:textId="77777777" w:rsidR="002E3C00" w:rsidRDefault="002E3C00" w:rsidP="002E3C00">
            <w:pPr>
              <w:pStyle w:val="TableText"/>
            </w:pPr>
          </w:p>
        </w:tc>
      </w:tr>
      <w:tr w:rsidR="002E3C00" w14:paraId="1B87C748" w14:textId="77777777">
        <w:trPr>
          <w:cantSplit/>
        </w:trPr>
        <w:tc>
          <w:tcPr>
            <w:tcW w:w="2160" w:type="dxa"/>
          </w:tcPr>
          <w:p w14:paraId="050EF505" w14:textId="77777777" w:rsidR="002E3C00" w:rsidRDefault="002E3C00" w:rsidP="002E3C00">
            <w:pPr>
              <w:pStyle w:val="TableText"/>
            </w:pPr>
            <w:r>
              <w:t>Irradiate</w:t>
            </w:r>
          </w:p>
        </w:tc>
        <w:tc>
          <w:tcPr>
            <w:tcW w:w="1440" w:type="dxa"/>
          </w:tcPr>
          <w:p w14:paraId="29DA7F75" w14:textId="77777777" w:rsidR="002E3C00" w:rsidRDefault="002E3C00" w:rsidP="002E3C00">
            <w:pPr>
              <w:pStyle w:val="TableText"/>
            </w:pPr>
          </w:p>
        </w:tc>
        <w:tc>
          <w:tcPr>
            <w:tcW w:w="1440" w:type="dxa"/>
          </w:tcPr>
          <w:p w14:paraId="3E587FA6" w14:textId="77777777" w:rsidR="002E3C00" w:rsidRDefault="002E3C00" w:rsidP="002E3C00">
            <w:pPr>
              <w:pStyle w:val="TableText"/>
            </w:pPr>
          </w:p>
        </w:tc>
        <w:tc>
          <w:tcPr>
            <w:tcW w:w="1440" w:type="dxa"/>
          </w:tcPr>
          <w:p w14:paraId="6425DC78" w14:textId="77777777" w:rsidR="002E3C00" w:rsidRDefault="002E3C00" w:rsidP="002E3C00">
            <w:pPr>
              <w:pStyle w:val="TableText"/>
            </w:pPr>
          </w:p>
        </w:tc>
      </w:tr>
      <w:tr w:rsidR="002E3C00" w14:paraId="43B1EF78" w14:textId="77777777">
        <w:trPr>
          <w:cantSplit/>
        </w:trPr>
        <w:tc>
          <w:tcPr>
            <w:tcW w:w="2160" w:type="dxa"/>
          </w:tcPr>
          <w:p w14:paraId="42F4C6E9" w14:textId="77777777" w:rsidR="002E3C00" w:rsidRDefault="002E3C00" w:rsidP="002E3C00">
            <w:pPr>
              <w:pStyle w:val="TableText"/>
            </w:pPr>
            <w:r>
              <w:t xml:space="preserve">Leukoreduce </w:t>
            </w:r>
          </w:p>
        </w:tc>
        <w:tc>
          <w:tcPr>
            <w:tcW w:w="1440" w:type="dxa"/>
          </w:tcPr>
          <w:p w14:paraId="437FA37F" w14:textId="77777777" w:rsidR="002E3C00" w:rsidRDefault="002E3C00" w:rsidP="002E3C00">
            <w:pPr>
              <w:pStyle w:val="TableText"/>
            </w:pPr>
          </w:p>
        </w:tc>
        <w:tc>
          <w:tcPr>
            <w:tcW w:w="1440" w:type="dxa"/>
          </w:tcPr>
          <w:p w14:paraId="12B02A96" w14:textId="77777777" w:rsidR="002E3C00" w:rsidRDefault="002E3C00" w:rsidP="002E3C00">
            <w:pPr>
              <w:pStyle w:val="TableText"/>
            </w:pPr>
          </w:p>
        </w:tc>
        <w:tc>
          <w:tcPr>
            <w:tcW w:w="1440" w:type="dxa"/>
          </w:tcPr>
          <w:p w14:paraId="0B5E821B" w14:textId="77777777" w:rsidR="002E3C00" w:rsidRDefault="002E3C00" w:rsidP="002E3C00">
            <w:pPr>
              <w:pStyle w:val="TableText"/>
            </w:pPr>
          </w:p>
        </w:tc>
      </w:tr>
      <w:tr w:rsidR="002E3C00" w14:paraId="287B1CD8" w14:textId="77777777">
        <w:trPr>
          <w:cantSplit/>
        </w:trPr>
        <w:tc>
          <w:tcPr>
            <w:tcW w:w="2160" w:type="dxa"/>
          </w:tcPr>
          <w:p w14:paraId="1C3CA823" w14:textId="77777777" w:rsidR="002E3C00" w:rsidRDefault="002E3C00" w:rsidP="002E3C00">
            <w:pPr>
              <w:pStyle w:val="TableText"/>
            </w:pPr>
            <w:r>
              <w:t xml:space="preserve">Volume </w:t>
            </w:r>
            <w:r w:rsidR="007F68C7">
              <w:t>R</w:t>
            </w:r>
            <w:r>
              <w:t>educe</w:t>
            </w:r>
          </w:p>
        </w:tc>
        <w:tc>
          <w:tcPr>
            <w:tcW w:w="1440" w:type="dxa"/>
          </w:tcPr>
          <w:p w14:paraId="5E0AFC83" w14:textId="77777777" w:rsidR="002E3C00" w:rsidRDefault="002E3C00" w:rsidP="002E3C00">
            <w:pPr>
              <w:pStyle w:val="TableText"/>
            </w:pPr>
          </w:p>
        </w:tc>
        <w:tc>
          <w:tcPr>
            <w:tcW w:w="1440" w:type="dxa"/>
          </w:tcPr>
          <w:p w14:paraId="66861776" w14:textId="77777777" w:rsidR="002E3C00" w:rsidRDefault="002E3C00" w:rsidP="002E3C00">
            <w:pPr>
              <w:pStyle w:val="TableText"/>
            </w:pPr>
          </w:p>
        </w:tc>
        <w:tc>
          <w:tcPr>
            <w:tcW w:w="1440" w:type="dxa"/>
          </w:tcPr>
          <w:p w14:paraId="413EFCF5" w14:textId="77777777" w:rsidR="002E3C00" w:rsidRDefault="002E3C00" w:rsidP="002E3C00">
            <w:pPr>
              <w:pStyle w:val="TableText"/>
            </w:pPr>
          </w:p>
        </w:tc>
      </w:tr>
      <w:tr w:rsidR="002E3C00" w14:paraId="335448F9" w14:textId="77777777">
        <w:trPr>
          <w:cantSplit/>
        </w:trPr>
        <w:tc>
          <w:tcPr>
            <w:tcW w:w="2160" w:type="dxa"/>
          </w:tcPr>
          <w:p w14:paraId="160E5C25" w14:textId="77777777" w:rsidR="002E3C00" w:rsidRDefault="002E3C00" w:rsidP="002E3C00">
            <w:pPr>
              <w:pStyle w:val="TableText"/>
            </w:pPr>
            <w:r>
              <w:t>Wash</w:t>
            </w:r>
          </w:p>
        </w:tc>
        <w:tc>
          <w:tcPr>
            <w:tcW w:w="1440" w:type="dxa"/>
          </w:tcPr>
          <w:p w14:paraId="3FF1AA78" w14:textId="77777777" w:rsidR="002E3C00" w:rsidRDefault="002E3C00" w:rsidP="002E3C00">
            <w:pPr>
              <w:pStyle w:val="TableText"/>
            </w:pPr>
          </w:p>
        </w:tc>
        <w:tc>
          <w:tcPr>
            <w:tcW w:w="1440" w:type="dxa"/>
          </w:tcPr>
          <w:p w14:paraId="35258BD2" w14:textId="77777777" w:rsidR="002E3C00" w:rsidRDefault="002E3C00" w:rsidP="002E3C00">
            <w:pPr>
              <w:pStyle w:val="TableText"/>
            </w:pPr>
          </w:p>
        </w:tc>
        <w:tc>
          <w:tcPr>
            <w:tcW w:w="1440" w:type="dxa"/>
          </w:tcPr>
          <w:p w14:paraId="7C71C30A" w14:textId="77777777" w:rsidR="002E3C00" w:rsidRDefault="002E3C00" w:rsidP="002E3C00">
            <w:pPr>
              <w:pStyle w:val="TableText"/>
            </w:pPr>
          </w:p>
        </w:tc>
      </w:tr>
      <w:tr w:rsidR="002E3C00" w14:paraId="6904D62B" w14:textId="77777777">
        <w:trPr>
          <w:cantSplit/>
        </w:trPr>
        <w:tc>
          <w:tcPr>
            <w:tcW w:w="2160" w:type="dxa"/>
          </w:tcPr>
          <w:p w14:paraId="4380597D" w14:textId="77777777" w:rsidR="002E3C00" w:rsidRDefault="002E3C00" w:rsidP="002E3C00">
            <w:pPr>
              <w:pStyle w:val="TableText"/>
            </w:pPr>
            <w:r>
              <w:t>Rejuvenate</w:t>
            </w:r>
          </w:p>
        </w:tc>
        <w:tc>
          <w:tcPr>
            <w:tcW w:w="1440" w:type="dxa"/>
          </w:tcPr>
          <w:p w14:paraId="2DF5F2DE" w14:textId="77777777" w:rsidR="002E3C00" w:rsidRDefault="002E3C00" w:rsidP="002E3C00">
            <w:pPr>
              <w:pStyle w:val="TableText"/>
            </w:pPr>
          </w:p>
        </w:tc>
        <w:tc>
          <w:tcPr>
            <w:tcW w:w="1440" w:type="dxa"/>
          </w:tcPr>
          <w:p w14:paraId="4F72FC0C" w14:textId="77777777" w:rsidR="002E3C00" w:rsidRDefault="002E3C00" w:rsidP="002E3C00">
            <w:pPr>
              <w:pStyle w:val="TableText"/>
            </w:pPr>
          </w:p>
        </w:tc>
        <w:tc>
          <w:tcPr>
            <w:tcW w:w="1440" w:type="dxa"/>
          </w:tcPr>
          <w:p w14:paraId="093C4A8E" w14:textId="77777777" w:rsidR="002E3C00" w:rsidRDefault="002E3C00" w:rsidP="002E3C00">
            <w:pPr>
              <w:pStyle w:val="TableText"/>
            </w:pPr>
          </w:p>
        </w:tc>
      </w:tr>
      <w:tr w:rsidR="002E3C00" w14:paraId="639D9B42" w14:textId="77777777">
        <w:trPr>
          <w:cantSplit/>
        </w:trPr>
        <w:tc>
          <w:tcPr>
            <w:tcW w:w="2160" w:type="dxa"/>
          </w:tcPr>
          <w:p w14:paraId="79990C61" w14:textId="77777777" w:rsidR="002E3C00" w:rsidRDefault="002E3C00" w:rsidP="002E3C00">
            <w:pPr>
              <w:pStyle w:val="TableText"/>
            </w:pPr>
            <w:r>
              <w:t>Freeze</w:t>
            </w:r>
          </w:p>
        </w:tc>
        <w:tc>
          <w:tcPr>
            <w:tcW w:w="1440" w:type="dxa"/>
          </w:tcPr>
          <w:p w14:paraId="7F7CE07E" w14:textId="77777777" w:rsidR="002E3C00" w:rsidRDefault="002E3C00" w:rsidP="002E3C00">
            <w:pPr>
              <w:pStyle w:val="TableText"/>
            </w:pPr>
          </w:p>
        </w:tc>
        <w:tc>
          <w:tcPr>
            <w:tcW w:w="1440" w:type="dxa"/>
          </w:tcPr>
          <w:p w14:paraId="74BD3A55" w14:textId="77777777" w:rsidR="002E3C00" w:rsidRDefault="002E3C00" w:rsidP="002E3C00">
            <w:pPr>
              <w:pStyle w:val="TableText"/>
            </w:pPr>
          </w:p>
        </w:tc>
        <w:tc>
          <w:tcPr>
            <w:tcW w:w="1440" w:type="dxa"/>
          </w:tcPr>
          <w:p w14:paraId="1A73B2C3" w14:textId="77777777" w:rsidR="002E3C00" w:rsidRDefault="002E3C00" w:rsidP="002E3C00">
            <w:pPr>
              <w:pStyle w:val="TableText"/>
            </w:pPr>
          </w:p>
        </w:tc>
      </w:tr>
      <w:tr w:rsidR="002E3C00" w14:paraId="370ED9E5" w14:textId="77777777">
        <w:trPr>
          <w:cantSplit/>
        </w:trPr>
        <w:tc>
          <w:tcPr>
            <w:tcW w:w="2160" w:type="dxa"/>
          </w:tcPr>
          <w:p w14:paraId="305A2A90" w14:textId="77777777" w:rsidR="002E3C00" w:rsidRDefault="002E3C00" w:rsidP="002E3C00">
            <w:pPr>
              <w:pStyle w:val="TableText"/>
            </w:pPr>
            <w:r>
              <w:t>Deglycerolize</w:t>
            </w:r>
          </w:p>
        </w:tc>
        <w:tc>
          <w:tcPr>
            <w:tcW w:w="1440" w:type="dxa"/>
          </w:tcPr>
          <w:p w14:paraId="0E1FAC42" w14:textId="77777777" w:rsidR="002E3C00" w:rsidRDefault="002E3C00" w:rsidP="002E3C00">
            <w:pPr>
              <w:pStyle w:val="TableText"/>
            </w:pPr>
          </w:p>
        </w:tc>
        <w:tc>
          <w:tcPr>
            <w:tcW w:w="1440" w:type="dxa"/>
          </w:tcPr>
          <w:p w14:paraId="70202090" w14:textId="77777777" w:rsidR="002E3C00" w:rsidRDefault="002E3C00" w:rsidP="002E3C00">
            <w:pPr>
              <w:pStyle w:val="TableText"/>
            </w:pPr>
          </w:p>
        </w:tc>
        <w:tc>
          <w:tcPr>
            <w:tcW w:w="1440" w:type="dxa"/>
          </w:tcPr>
          <w:p w14:paraId="1B8E242F" w14:textId="77777777" w:rsidR="002E3C00" w:rsidRDefault="002E3C00" w:rsidP="002E3C00">
            <w:pPr>
              <w:pStyle w:val="TableText"/>
            </w:pPr>
          </w:p>
        </w:tc>
      </w:tr>
    </w:tbl>
    <w:p w14:paraId="4FC9F038" w14:textId="77777777" w:rsidR="002E3C00" w:rsidRDefault="002E3C00" w:rsidP="002E3C00">
      <w:pPr>
        <w:rPr>
          <w:sz w:val="15"/>
          <w:szCs w:val="15"/>
        </w:rPr>
      </w:pPr>
    </w:p>
    <w:p w14:paraId="11117FDE" w14:textId="77777777" w:rsidR="002E3C00" w:rsidRPr="00600497" w:rsidRDefault="002E3C00" w:rsidP="00925CAD">
      <w:pPr>
        <w:pStyle w:val="ListNumber"/>
        <w:numPr>
          <w:ilvl w:val="0"/>
          <w:numId w:val="18"/>
        </w:numPr>
        <w:tabs>
          <w:tab w:val="clear" w:pos="720"/>
          <w:tab w:val="num" w:pos="360"/>
        </w:tabs>
        <w:ind w:left="360"/>
      </w:pPr>
      <w:r w:rsidRPr="00600497">
        <w:t xml:space="preserve">Capture and save a screen shot of each piece of information. </w:t>
      </w:r>
    </w:p>
    <w:p w14:paraId="67633439" w14:textId="77777777" w:rsidR="00232E43" w:rsidRPr="00FB7F8D" w:rsidRDefault="00232E43" w:rsidP="00925CAD">
      <w:pPr>
        <w:pStyle w:val="ListNumber"/>
        <w:numPr>
          <w:ilvl w:val="0"/>
          <w:numId w:val="18"/>
        </w:numPr>
        <w:tabs>
          <w:tab w:val="clear" w:pos="720"/>
          <w:tab w:val="num" w:pos="360"/>
        </w:tabs>
        <w:ind w:left="360"/>
      </w:pPr>
      <w:bookmarkStart w:id="692" w:name="_Toc114462097"/>
      <w:r w:rsidRPr="00600497">
        <w:t>Pri</w:t>
      </w:r>
      <w:r w:rsidRPr="00FB7F8D">
        <w:t>nt</w:t>
      </w:r>
      <w:r>
        <w:t>, sign, date,</w:t>
      </w:r>
      <w:r w:rsidRPr="00FB7F8D">
        <w:t xml:space="preserve"> and save an </w:t>
      </w:r>
      <w:r>
        <w:t>A</w:t>
      </w:r>
      <w:r w:rsidRPr="00FB7F8D">
        <w:t xml:space="preserve">udit </w:t>
      </w:r>
      <w:r>
        <w:t>Trail R</w:t>
      </w:r>
      <w:r w:rsidRPr="00FB7F8D">
        <w:t>eport for your validation record.</w:t>
      </w:r>
    </w:p>
    <w:p w14:paraId="63D760F9" w14:textId="77777777" w:rsidR="002E3C00" w:rsidRDefault="007F0132" w:rsidP="002E3C00">
      <w:pPr>
        <w:pStyle w:val="Heading3"/>
      </w:pPr>
      <w:r>
        <w:br w:type="page"/>
      </w:r>
      <w:bookmarkStart w:id="693" w:name="_Toc149064234"/>
      <w:r w:rsidR="002E3C00">
        <w:t>Order Alerts</w:t>
      </w:r>
      <w:bookmarkEnd w:id="692"/>
      <w:bookmarkEnd w:id="693"/>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Order Alerts</w:instrText>
      </w:r>
      <w:r w:rsidR="00992E88">
        <w:instrText xml:space="preserve">" </w:instrText>
      </w:r>
      <w:r w:rsidR="00992E88">
        <w:fldChar w:fldCharType="end"/>
      </w:r>
    </w:p>
    <w:p w14:paraId="58B00A5F" w14:textId="228942CE" w:rsidR="00283731" w:rsidRDefault="00283731" w:rsidP="00283731">
      <w:pPr>
        <w:pStyle w:val="BodyText"/>
      </w:pPr>
      <w:r>
        <w:t>The user configures diagnostic test or component order alerts that appear at login, and turns them on or off. The alerts notify users when new orders are entered, updated, or cancel</w:t>
      </w:r>
      <w:r w:rsidR="002F7E19">
        <w:t>l</w:t>
      </w:r>
      <w:r>
        <w:t xml:space="preserve">ed in </w:t>
      </w:r>
      <w:r w:rsidRPr="00CA0045">
        <w:rPr>
          <w:bCs/>
        </w:rPr>
        <w:t>VistA</w:t>
      </w:r>
      <w:r>
        <w:rPr>
          <w:bCs/>
        </w:rPr>
        <w:t>.</w:t>
      </w:r>
      <w:r w:rsidR="00250936">
        <w:rPr>
          <w:bCs/>
        </w:rPr>
        <w:t xml:space="preserve"> For more information, see </w:t>
      </w:r>
      <w:r w:rsidR="00EE455E">
        <w:t xml:space="preserve">Appendix </w:t>
      </w:r>
      <w:r w:rsidR="00EE455E">
        <w:rPr>
          <w:noProof/>
        </w:rPr>
        <w:t>G</w:t>
      </w:r>
      <w:r w:rsidR="00EE455E">
        <w:t>: Work Process Flowcharts</w:t>
      </w:r>
      <w:r w:rsidR="00250936">
        <w:rPr>
          <w:bCs/>
        </w:rPr>
        <w:t>.</w:t>
      </w:r>
    </w:p>
    <w:p w14:paraId="748AB726" w14:textId="77777777" w:rsidR="002E3C00" w:rsidRDefault="002E3C00" w:rsidP="002E3C00">
      <w:pPr>
        <w:pStyle w:val="Heading4"/>
        <w:rPr>
          <w:b w:val="0"/>
        </w:rPr>
      </w:pPr>
      <w:r>
        <w:t>User Roles with Access to This Option</w:t>
      </w:r>
      <w:r>
        <w:rPr>
          <w:b w:val="0"/>
        </w:rPr>
        <w:t xml:space="preserve"> </w:t>
      </w:r>
    </w:p>
    <w:p w14:paraId="08A12871" w14:textId="77777777" w:rsidR="002E3C00" w:rsidRPr="008F337A"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r>
        <w:rPr>
          <w:snapToGrid w:val="0"/>
        </w:rPr>
        <w:t xml:space="preserve"> </w:t>
      </w:r>
    </w:p>
    <w:p w14:paraId="29991F70" w14:textId="77777777" w:rsidR="002E3C00" w:rsidRDefault="00B74754" w:rsidP="002E3C00">
      <w:pPr>
        <w:pStyle w:val="Heading4"/>
      </w:pPr>
      <w:r>
        <w:t>Preparation for Testing</w:t>
      </w:r>
    </w:p>
    <w:p w14:paraId="7257E1DA" w14:textId="77777777" w:rsidR="002E3C00" w:rsidRPr="00600497" w:rsidRDefault="002E3C00" w:rsidP="00925CAD">
      <w:pPr>
        <w:pStyle w:val="ListNumber"/>
        <w:numPr>
          <w:ilvl w:val="0"/>
          <w:numId w:val="19"/>
        </w:numPr>
        <w:tabs>
          <w:tab w:val="clear" w:pos="720"/>
          <w:tab w:val="num" w:pos="360"/>
        </w:tabs>
        <w:ind w:left="360"/>
      </w:pPr>
      <w:r w:rsidRPr="00600497">
        <w:t xml:space="preserve">Capture and save a screen shot of each piece of information. </w:t>
      </w:r>
    </w:p>
    <w:p w14:paraId="3080640E" w14:textId="77777777" w:rsidR="00232E43" w:rsidRPr="00FB7F8D" w:rsidRDefault="00232E43" w:rsidP="00925CAD">
      <w:pPr>
        <w:pStyle w:val="ListNumber"/>
        <w:numPr>
          <w:ilvl w:val="0"/>
          <w:numId w:val="19"/>
        </w:numPr>
        <w:tabs>
          <w:tab w:val="clear" w:pos="720"/>
          <w:tab w:val="num" w:pos="360"/>
        </w:tabs>
        <w:ind w:left="360"/>
      </w:pPr>
      <w:r w:rsidRPr="00600497">
        <w:t>P</w:t>
      </w:r>
      <w:r w:rsidRPr="00FB7F8D">
        <w:t>rint</w:t>
      </w:r>
      <w:r>
        <w:t>, sign, date,</w:t>
      </w:r>
      <w:r w:rsidRPr="00FB7F8D">
        <w:t xml:space="preserve"> and save an </w:t>
      </w:r>
      <w:r>
        <w:t>A</w:t>
      </w:r>
      <w:r w:rsidRPr="00FB7F8D">
        <w:t xml:space="preserve">udit </w:t>
      </w:r>
      <w:r>
        <w:t>Trail R</w:t>
      </w:r>
      <w:r w:rsidRPr="00FB7F8D">
        <w:t>eport for your validation record.</w:t>
      </w:r>
    </w:p>
    <w:p w14:paraId="488B2A4D" w14:textId="77777777" w:rsidR="002E3C00" w:rsidRDefault="007F0132" w:rsidP="002E3C00">
      <w:pPr>
        <w:pStyle w:val="Heading3"/>
      </w:pPr>
      <w:bookmarkStart w:id="694" w:name="_Toc114462098"/>
      <w:r>
        <w:br w:type="page"/>
      </w:r>
      <w:bookmarkStart w:id="695" w:name="_Toc149064235"/>
      <w:r w:rsidR="002E3C00">
        <w:t>Configure Daily QC: Full Service</w:t>
      </w:r>
      <w:bookmarkEnd w:id="689"/>
      <w:bookmarkEnd w:id="690"/>
      <w:bookmarkEnd w:id="694"/>
      <w:bookmarkEnd w:id="695"/>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Configure Daily QC\: Full Service</w:instrText>
      </w:r>
      <w:r w:rsidR="00992E88">
        <w:instrText xml:space="preserve">" </w:instrText>
      </w:r>
      <w:r w:rsidR="00992E88">
        <w:fldChar w:fldCharType="end"/>
      </w:r>
    </w:p>
    <w:p w14:paraId="1DE2B52D" w14:textId="3C94A2A2" w:rsidR="002E3C00" w:rsidRDefault="002E3C00" w:rsidP="002E3C00">
      <w:pPr>
        <w:pStyle w:val="BodyText"/>
      </w:pPr>
      <w:r>
        <w:t>The user sets up the routine reagent racks and QC template for the division before performing daily reagent QC.</w:t>
      </w:r>
      <w:r w:rsidR="00E435F1">
        <w:t xml:space="preserve"> </w:t>
      </w:r>
      <w:r w:rsidR="00250936">
        <w:t xml:space="preserve">For more information, see </w:t>
      </w:r>
      <w:r w:rsidR="00EE455E">
        <w:t xml:space="preserve">Appendix </w:t>
      </w:r>
      <w:r w:rsidR="00EE455E">
        <w:rPr>
          <w:noProof/>
        </w:rPr>
        <w:t>G</w:t>
      </w:r>
      <w:r w:rsidR="00EE455E">
        <w:t>: Work Process Flowcharts</w:t>
      </w:r>
      <w:r w:rsidR="00250936">
        <w:t>.</w:t>
      </w:r>
    </w:p>
    <w:p w14:paraId="1D4D33BA" w14:textId="77777777" w:rsidR="002E3C00" w:rsidRDefault="002E3C00" w:rsidP="002E3C00">
      <w:pPr>
        <w:pStyle w:val="Heading4"/>
        <w:rPr>
          <w:b w:val="0"/>
        </w:rPr>
      </w:pPr>
      <w:r>
        <w:t>User Roles with Access to This Option</w:t>
      </w:r>
      <w:r>
        <w:rPr>
          <w:b w:val="0"/>
        </w:rPr>
        <w:t xml:space="preserve"> </w:t>
      </w:r>
    </w:p>
    <w:p w14:paraId="35C618C6" w14:textId="77777777" w:rsidR="002E3C00" w:rsidRPr="00B22CCD"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Pr>
          <w:snapToGrid w:val="0"/>
        </w:rPr>
        <w:t xml:space="preserve"> </w:t>
      </w:r>
    </w:p>
    <w:p w14:paraId="0BB1323C" w14:textId="77777777" w:rsidR="002E3C00" w:rsidRDefault="00B74754" w:rsidP="002E3C00">
      <w:pPr>
        <w:pStyle w:val="Heading4"/>
      </w:pPr>
      <w:r>
        <w:t>Preparation for Testing</w:t>
      </w:r>
    </w:p>
    <w:p w14:paraId="27E0D428" w14:textId="77777777" w:rsidR="00717BAF" w:rsidRDefault="002E3C00" w:rsidP="00925CAD">
      <w:pPr>
        <w:pStyle w:val="ListNumber"/>
        <w:numPr>
          <w:ilvl w:val="0"/>
          <w:numId w:val="29"/>
        </w:numPr>
        <w:tabs>
          <w:tab w:val="clear" w:pos="720"/>
          <w:tab w:val="num" w:pos="360"/>
          <w:tab w:val="right" w:leader="underscore" w:pos="9360"/>
        </w:tabs>
        <w:ind w:left="360"/>
      </w:pPr>
      <w:r>
        <w:t>If you perform daily reagent rack quality control using a commercial kit, select the commercial kit template. If not, select the non-commercial k</w:t>
      </w:r>
      <w:r w:rsidR="00717BAF">
        <w:t>it template. Template selected:</w:t>
      </w:r>
      <w:r w:rsidR="00717BAF">
        <w:tab/>
      </w:r>
    </w:p>
    <w:p w14:paraId="7737CA62" w14:textId="77777777" w:rsidR="00717BAF" w:rsidRDefault="002E3C00" w:rsidP="00925CAD">
      <w:pPr>
        <w:pStyle w:val="ListNumber"/>
        <w:numPr>
          <w:ilvl w:val="0"/>
          <w:numId w:val="29"/>
        </w:numPr>
        <w:tabs>
          <w:tab w:val="clear" w:pos="720"/>
          <w:tab w:val="num" w:pos="360"/>
          <w:tab w:val="right" w:leader="underscore" w:pos="9360"/>
        </w:tabs>
        <w:ind w:left="360"/>
      </w:pPr>
      <w:r>
        <w:t>Daily alert time at which users will be prompted to perform QC:</w:t>
      </w:r>
      <w:r w:rsidR="001D1E93">
        <w:tab/>
      </w:r>
    </w:p>
    <w:p w14:paraId="325C1939" w14:textId="77777777" w:rsidR="00717BAF" w:rsidRDefault="002E3C00" w:rsidP="00925CAD">
      <w:pPr>
        <w:pStyle w:val="ListNumber"/>
        <w:numPr>
          <w:ilvl w:val="0"/>
          <w:numId w:val="29"/>
        </w:numPr>
        <w:tabs>
          <w:tab w:val="clear" w:pos="720"/>
          <w:tab w:val="num" w:pos="360"/>
          <w:tab w:val="right" w:leader="underscore" w:pos="9360"/>
        </w:tabs>
        <w:ind w:left="360"/>
      </w:pPr>
      <w:r>
        <w:t>Do you want to use letters or n</w:t>
      </w:r>
      <w:r w:rsidR="00717BAF">
        <w:t>umbers as rack names?</w:t>
      </w:r>
      <w:r w:rsidR="001D1E93">
        <w:tab/>
      </w:r>
    </w:p>
    <w:p w14:paraId="124070DC" w14:textId="77777777" w:rsidR="00717BAF" w:rsidRDefault="002E3C00" w:rsidP="00925CAD">
      <w:pPr>
        <w:pStyle w:val="ListNumber"/>
        <w:numPr>
          <w:ilvl w:val="0"/>
          <w:numId w:val="29"/>
        </w:numPr>
        <w:tabs>
          <w:tab w:val="clear" w:pos="720"/>
          <w:tab w:val="num" w:pos="360"/>
          <w:tab w:val="right" w:leader="underscore" w:pos="9360"/>
        </w:tabs>
        <w:ind w:left="360"/>
      </w:pPr>
      <w:r>
        <w:t xml:space="preserve">Maximum number </w:t>
      </w:r>
      <w:r w:rsidR="00717BAF">
        <w:t>of reagent racks for daily use:</w:t>
      </w:r>
      <w:r w:rsidR="001D1E93">
        <w:tab/>
      </w:r>
    </w:p>
    <w:p w14:paraId="4D365088" w14:textId="77777777" w:rsidR="00717BAF" w:rsidRDefault="00717BAF" w:rsidP="00925CAD">
      <w:pPr>
        <w:pStyle w:val="ListNumber"/>
        <w:numPr>
          <w:ilvl w:val="0"/>
          <w:numId w:val="29"/>
        </w:numPr>
        <w:tabs>
          <w:tab w:val="clear" w:pos="720"/>
          <w:tab w:val="num" w:pos="360"/>
          <w:tab w:val="right" w:leader="underscore" w:pos="9360"/>
        </w:tabs>
        <w:ind w:left="360"/>
      </w:pPr>
      <w:r>
        <w:t>Primary enhancement medium:</w:t>
      </w:r>
      <w:r w:rsidR="001D1E93">
        <w:tab/>
      </w:r>
    </w:p>
    <w:p w14:paraId="37BC5C7B" w14:textId="77777777" w:rsidR="00717BAF" w:rsidRDefault="00717BAF" w:rsidP="00925CAD">
      <w:pPr>
        <w:pStyle w:val="ListNumber"/>
        <w:numPr>
          <w:ilvl w:val="0"/>
          <w:numId w:val="29"/>
        </w:numPr>
        <w:tabs>
          <w:tab w:val="clear" w:pos="720"/>
          <w:tab w:val="num" w:pos="360"/>
          <w:tab w:val="right" w:leader="underscore" w:pos="9360"/>
        </w:tabs>
        <w:ind w:left="360"/>
      </w:pPr>
      <w:r>
        <w:t>Secondary enhancement medium:</w:t>
      </w:r>
      <w:r w:rsidR="001D1E93">
        <w:tab/>
      </w:r>
    </w:p>
    <w:p w14:paraId="5034A3D0" w14:textId="77777777" w:rsidR="00717BAF" w:rsidRDefault="002E3C00" w:rsidP="001D1E93">
      <w:pPr>
        <w:pStyle w:val="BodyText"/>
      </w:pPr>
      <w:r>
        <w:t>The template contains the minimum number of tests required to test the reagents. Select additional tests that are part of your daily reagent rack QC, in accordance with local policies and procedures.</w:t>
      </w:r>
      <w:bookmarkStart w:id="696" w:name="_Toc85895787"/>
      <w:bookmarkStart w:id="697" w:name="_Toc113264244"/>
    </w:p>
    <w:p w14:paraId="0E7D4732" w14:textId="77777777" w:rsidR="00717BAF" w:rsidRDefault="002E3C00" w:rsidP="00925CAD">
      <w:pPr>
        <w:pStyle w:val="ListNumber"/>
        <w:numPr>
          <w:ilvl w:val="0"/>
          <w:numId w:val="29"/>
        </w:numPr>
        <w:tabs>
          <w:tab w:val="clear" w:pos="720"/>
          <w:tab w:val="num" w:pos="360"/>
          <w:tab w:val="right" w:leader="underscore" w:pos="9360"/>
        </w:tabs>
        <w:ind w:left="360"/>
      </w:pPr>
      <w:r>
        <w:t>Capture and save</w:t>
      </w:r>
      <w:r w:rsidRPr="00FB7F8D">
        <w:t xml:space="preserve"> a screen shot of </w:t>
      </w:r>
      <w:r>
        <w:t>each piece of</w:t>
      </w:r>
      <w:r w:rsidRPr="00FB7F8D">
        <w:t xml:space="preserve"> information. </w:t>
      </w:r>
    </w:p>
    <w:p w14:paraId="7720FA77" w14:textId="77777777" w:rsidR="00232E43" w:rsidRPr="00FB7F8D" w:rsidRDefault="00232E43" w:rsidP="00925CAD">
      <w:pPr>
        <w:pStyle w:val="ListNumber"/>
        <w:numPr>
          <w:ilvl w:val="0"/>
          <w:numId w:val="29"/>
        </w:numPr>
        <w:tabs>
          <w:tab w:val="clear" w:pos="720"/>
          <w:tab w:val="num" w:pos="360"/>
          <w:tab w:val="right" w:leader="underscore" w:pos="9360"/>
        </w:tabs>
        <w:ind w:left="360"/>
      </w:pPr>
      <w:r w:rsidRPr="00FB7F8D">
        <w:t>Print</w:t>
      </w:r>
      <w:r>
        <w:t>, sign, date,</w:t>
      </w:r>
      <w:r w:rsidRPr="00FB7F8D">
        <w:t xml:space="preserve"> and save an </w:t>
      </w:r>
      <w:r>
        <w:t>A</w:t>
      </w:r>
      <w:r w:rsidRPr="00FB7F8D">
        <w:t xml:space="preserve">udit </w:t>
      </w:r>
      <w:r>
        <w:t>Trail R</w:t>
      </w:r>
      <w:r w:rsidRPr="00FB7F8D">
        <w:t>eport for your validation record.</w:t>
      </w:r>
    </w:p>
    <w:p w14:paraId="47359500" w14:textId="77777777" w:rsidR="002E3C00" w:rsidRDefault="007F0132" w:rsidP="002E3C00">
      <w:pPr>
        <w:pStyle w:val="Heading3"/>
      </w:pPr>
      <w:bookmarkStart w:id="698" w:name="_Toc114462099"/>
      <w:r>
        <w:br w:type="page"/>
      </w:r>
      <w:bookmarkStart w:id="699" w:name="_Toc149064236"/>
      <w:r w:rsidR="002E3C00">
        <w:t xml:space="preserve">Maintain </w:t>
      </w:r>
      <w:r w:rsidR="002E3C00" w:rsidRPr="00BD1428">
        <w:t>Minimum Levels</w:t>
      </w:r>
      <w:bookmarkEnd w:id="696"/>
      <w:bookmarkEnd w:id="697"/>
      <w:r w:rsidR="002E3C00">
        <w:t>: Full Service</w:t>
      </w:r>
      <w:bookmarkEnd w:id="698"/>
      <w:bookmarkEnd w:id="699"/>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Maintain Minimum Levels\: Full Service</w:instrText>
      </w:r>
      <w:r w:rsidR="00992E88">
        <w:instrText xml:space="preserve">" </w:instrText>
      </w:r>
      <w:r w:rsidR="00992E88">
        <w:fldChar w:fldCharType="end"/>
      </w:r>
    </w:p>
    <w:p w14:paraId="6DA1FEE2" w14:textId="4616A518" w:rsidR="002E3C00" w:rsidRPr="00CF3293" w:rsidRDefault="002E3C00" w:rsidP="002E3C00">
      <w:pPr>
        <w:pStyle w:val="BodyText"/>
        <w:rPr>
          <w:rFonts w:cs="Arial"/>
          <w:snapToGrid w:val="0"/>
          <w:color w:val="000000"/>
          <w:szCs w:val="18"/>
        </w:rPr>
      </w:pPr>
      <w:r>
        <w:t>The user sets minimum stock levels for reagent types used in the division.</w:t>
      </w:r>
      <w:r w:rsidR="00250936">
        <w:t xml:space="preserve"> For more information, see </w:t>
      </w:r>
      <w:r w:rsidR="00EE455E">
        <w:t xml:space="preserve">Appendix </w:t>
      </w:r>
      <w:r w:rsidR="00EE455E">
        <w:rPr>
          <w:noProof/>
        </w:rPr>
        <w:t>G</w:t>
      </w:r>
      <w:r w:rsidR="00EE455E">
        <w:t>: Work Process Flowcharts</w:t>
      </w:r>
      <w:r w:rsidR="00250936">
        <w:t>.</w:t>
      </w:r>
    </w:p>
    <w:p w14:paraId="7ABC14CA" w14:textId="77777777" w:rsidR="002E3C00" w:rsidRDefault="002E3C00" w:rsidP="002E3C00">
      <w:pPr>
        <w:pStyle w:val="Heading4"/>
        <w:rPr>
          <w:b w:val="0"/>
        </w:rPr>
      </w:pPr>
      <w:r>
        <w:t>User Roles with Access to This Option</w:t>
      </w:r>
      <w:r>
        <w:rPr>
          <w:b w:val="0"/>
        </w:rPr>
        <w:t xml:space="preserve"> </w:t>
      </w:r>
    </w:p>
    <w:p w14:paraId="1C7690C8"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Traditional Supervisor</w:t>
      </w:r>
    </w:p>
    <w:p w14:paraId="0B9D04D4" w14:textId="77777777" w:rsidR="002E3C00" w:rsidRDefault="00B74754" w:rsidP="002E3C00">
      <w:pPr>
        <w:pStyle w:val="Heading4"/>
      </w:pPr>
      <w:r>
        <w:t>Preparation for Testing</w:t>
      </w:r>
    </w:p>
    <w:p w14:paraId="21CEE706" w14:textId="77777777" w:rsidR="002E3C00" w:rsidRDefault="002E3C00" w:rsidP="002E3C00">
      <w:pPr>
        <w:pStyle w:val="BodyText"/>
      </w:pPr>
      <w:r>
        <w:t>You may enter the minimum number of vials for each reagent type that your blood bank stocks to alert staff when it reaches a critical level.</w:t>
      </w:r>
    </w:p>
    <w:p w14:paraId="198198E4" w14:textId="77777777" w:rsidR="002E3C00" w:rsidRPr="00600497" w:rsidRDefault="002E3C00" w:rsidP="00925CAD">
      <w:pPr>
        <w:pStyle w:val="ListNumber"/>
        <w:numPr>
          <w:ilvl w:val="0"/>
          <w:numId w:val="20"/>
        </w:numPr>
      </w:pPr>
      <w:bookmarkStart w:id="700" w:name="_Toc113264245"/>
      <w:r w:rsidRPr="00600497">
        <w:t xml:space="preserve">Capture and save a screen shot of each piece of information. </w:t>
      </w:r>
    </w:p>
    <w:p w14:paraId="1BD30FCA" w14:textId="77777777" w:rsidR="00232E43" w:rsidRPr="00FB7F8D" w:rsidRDefault="00232E43" w:rsidP="00925CAD">
      <w:pPr>
        <w:pStyle w:val="ListNumber"/>
        <w:numPr>
          <w:ilvl w:val="0"/>
          <w:numId w:val="20"/>
        </w:numPr>
      </w:pPr>
      <w:r w:rsidRPr="00600497">
        <w:t>Pr</w:t>
      </w:r>
      <w:r w:rsidRPr="00FB7F8D">
        <w:t>int</w:t>
      </w:r>
      <w:r>
        <w:t>, sign, date,</w:t>
      </w:r>
      <w:r w:rsidRPr="00FB7F8D">
        <w:t xml:space="preserve"> and save an </w:t>
      </w:r>
      <w:r>
        <w:t>A</w:t>
      </w:r>
      <w:r w:rsidRPr="00FB7F8D">
        <w:t xml:space="preserve">udit </w:t>
      </w:r>
      <w:r>
        <w:t>Trail R</w:t>
      </w:r>
      <w:r w:rsidRPr="00FB7F8D">
        <w:t>eport for your validation record.</w:t>
      </w:r>
    </w:p>
    <w:p w14:paraId="0B116B43" w14:textId="77777777" w:rsidR="002E3C00" w:rsidRDefault="009E1D3B" w:rsidP="002E3C00">
      <w:pPr>
        <w:pStyle w:val="Heading3"/>
      </w:pPr>
      <w:bookmarkStart w:id="701" w:name="_Toc114462100"/>
      <w:r>
        <w:br w:type="page"/>
      </w:r>
      <w:bookmarkStart w:id="702" w:name="_Toc149064237"/>
      <w:r w:rsidR="002E3C00" w:rsidRPr="00515B51">
        <w:t>Log In Reagent</w:t>
      </w:r>
      <w:bookmarkEnd w:id="700"/>
      <w:r w:rsidR="002E3C00">
        <w:t>s: Full Service</w:t>
      </w:r>
      <w:bookmarkEnd w:id="701"/>
      <w:bookmarkEnd w:id="702"/>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Log In Reagents\: Full Service</w:instrText>
      </w:r>
      <w:r w:rsidR="00992E88">
        <w:instrText xml:space="preserve">" </w:instrText>
      </w:r>
      <w:r w:rsidR="00992E88">
        <w:fldChar w:fldCharType="end"/>
      </w:r>
    </w:p>
    <w:p w14:paraId="364CA9A1" w14:textId="5895B150" w:rsidR="002E3C00" w:rsidRPr="00FA7E65" w:rsidRDefault="002E3C00" w:rsidP="002E3C00">
      <w:pPr>
        <w:pStyle w:val="BodyText"/>
      </w:pPr>
      <w:r w:rsidRPr="00FA7E65">
        <w:t>A user records the receipt of specific reagents by type. The reagent record includes the date the shipment was received, reagent name, lot number, expiration date, manufacturer, and number of vials received in a shipment.</w:t>
      </w:r>
      <w:r w:rsidR="00250936">
        <w:t xml:space="preserve"> For more information, see </w:t>
      </w:r>
      <w:r w:rsidR="00EE455E">
        <w:t xml:space="preserve">Appendix </w:t>
      </w:r>
      <w:r w:rsidR="00EE455E">
        <w:rPr>
          <w:noProof/>
        </w:rPr>
        <w:t>G</w:t>
      </w:r>
      <w:r w:rsidR="00EE455E">
        <w:t>: Work Process Flowcharts</w:t>
      </w:r>
      <w:r w:rsidR="00250936">
        <w:t>.</w:t>
      </w:r>
    </w:p>
    <w:p w14:paraId="3614597C" w14:textId="77777777" w:rsidR="002E3C00" w:rsidRDefault="002E3C00" w:rsidP="002E3C00">
      <w:pPr>
        <w:pStyle w:val="Heading4"/>
      </w:pPr>
      <w:r>
        <w:t>User Roles with Access to This Option</w:t>
      </w:r>
    </w:p>
    <w:p w14:paraId="45B9B546" w14:textId="77777777" w:rsidR="002E3C00" w:rsidRPr="00FC5C6B" w:rsidRDefault="002E3C00" w:rsidP="002E3C00">
      <w:pPr>
        <w:pStyle w:val="Roles"/>
      </w:pPr>
      <w:r>
        <w:t>All users</w:t>
      </w:r>
    </w:p>
    <w:p w14:paraId="006C265C" w14:textId="77777777" w:rsidR="002E3C00" w:rsidRDefault="00B74754" w:rsidP="002E3C00">
      <w:pPr>
        <w:pStyle w:val="Heading4"/>
      </w:pPr>
      <w:r>
        <w:t>Preparation for Testing</w:t>
      </w:r>
    </w:p>
    <w:p w14:paraId="5008486D" w14:textId="77777777" w:rsidR="002E3C00" w:rsidRPr="00600497" w:rsidRDefault="00387ADD" w:rsidP="00925CAD">
      <w:pPr>
        <w:pStyle w:val="ListNumber"/>
        <w:numPr>
          <w:ilvl w:val="0"/>
          <w:numId w:val="21"/>
        </w:numPr>
        <w:tabs>
          <w:tab w:val="clear" w:pos="720"/>
          <w:tab w:val="num" w:pos="360"/>
        </w:tabs>
        <w:ind w:left="360"/>
      </w:pPr>
      <w:r>
        <w:t>Enter reagent types</w:t>
      </w:r>
      <w:r w:rsidRPr="00600497">
        <w:t xml:space="preserve"> and quantities used</w:t>
      </w:r>
      <w:r w:rsidR="002E3C00" w:rsidRPr="00600497">
        <w:t>.</w:t>
      </w:r>
      <w:r w:rsidRPr="00600497">
        <w:t xml:space="preserve"> (</w:t>
      </w:r>
      <w:r w:rsidR="002E3C00" w:rsidRPr="00600497">
        <w:t xml:space="preserve">For QC validation, </w:t>
      </w:r>
      <w:r w:rsidRPr="00600497">
        <w:t>enter</w:t>
      </w:r>
      <w:r w:rsidR="002E3C00" w:rsidRPr="00600497">
        <w:t xml:space="preserve"> a lot number that was received and found unsatisfactory, and a lot number that expires at 23:59 on the day that you test the reagent rack QC.</w:t>
      </w:r>
      <w:r w:rsidRPr="00600497">
        <w:t>)</w:t>
      </w:r>
    </w:p>
    <w:p w14:paraId="68CF4F7E" w14:textId="77777777" w:rsidR="002E3C00" w:rsidRPr="00600497" w:rsidRDefault="00675FB9" w:rsidP="00925CAD">
      <w:pPr>
        <w:pStyle w:val="ListNumber"/>
        <w:numPr>
          <w:ilvl w:val="0"/>
          <w:numId w:val="21"/>
        </w:numPr>
        <w:tabs>
          <w:tab w:val="clear" w:pos="720"/>
          <w:tab w:val="num" w:pos="360"/>
        </w:tabs>
        <w:ind w:left="360"/>
      </w:pPr>
      <w:r>
        <w:t>C</w:t>
      </w:r>
      <w:r w:rsidR="002E3C00" w:rsidRPr="00600497">
        <w:t xml:space="preserve">apture and save a screen shot of all entries. </w:t>
      </w:r>
    </w:p>
    <w:p w14:paraId="74298E87" w14:textId="77777777" w:rsidR="00232E43" w:rsidRPr="00FB7F8D" w:rsidRDefault="002E3C00" w:rsidP="00925CAD">
      <w:pPr>
        <w:pStyle w:val="ListNumber"/>
        <w:numPr>
          <w:ilvl w:val="0"/>
          <w:numId w:val="21"/>
        </w:numPr>
        <w:tabs>
          <w:tab w:val="clear" w:pos="720"/>
          <w:tab w:val="num" w:pos="360"/>
        </w:tabs>
        <w:ind w:left="360"/>
      </w:pPr>
      <w:r w:rsidRPr="00600497">
        <w:t>Print</w:t>
      </w:r>
      <w:r w:rsidR="009A1A60" w:rsidRPr="00600497">
        <w:t>, sign, date,</w:t>
      </w:r>
      <w:r w:rsidRPr="00600497">
        <w:t xml:space="preserve"> and</w:t>
      </w:r>
      <w:r>
        <w:t xml:space="preserve"> save the </w:t>
      </w:r>
      <w:r w:rsidR="009A1A60">
        <w:t>View/Print Inventory (R</w:t>
      </w:r>
      <w:r>
        <w:t>eagent</w:t>
      </w:r>
      <w:r w:rsidR="009A1A60">
        <w:t>) R</w:t>
      </w:r>
      <w:r>
        <w:t>eport for your validation record.</w:t>
      </w:r>
    </w:p>
    <w:p w14:paraId="794DD79C" w14:textId="77777777" w:rsidR="002E3C00" w:rsidRDefault="007F0132" w:rsidP="002E3C00">
      <w:pPr>
        <w:pStyle w:val="Heading3"/>
      </w:pPr>
      <w:bookmarkStart w:id="703" w:name="_Toc85895788"/>
      <w:bookmarkStart w:id="704" w:name="_Toc113264246"/>
      <w:bookmarkStart w:id="705" w:name="_Toc114462101"/>
      <w:r>
        <w:br w:type="page"/>
      </w:r>
      <w:bookmarkStart w:id="706" w:name="_Toc149064238"/>
      <w:r w:rsidR="002E3C00">
        <w:t>Blood Products</w:t>
      </w:r>
      <w:bookmarkEnd w:id="703"/>
      <w:bookmarkEnd w:id="704"/>
      <w:bookmarkEnd w:id="705"/>
      <w:bookmarkEnd w:id="706"/>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Blood Products</w:instrText>
      </w:r>
      <w:r w:rsidR="00992E88">
        <w:instrText xml:space="preserve">" </w:instrText>
      </w:r>
      <w:r w:rsidR="00992E88">
        <w:fldChar w:fldCharType="end"/>
      </w:r>
    </w:p>
    <w:p w14:paraId="3A558491" w14:textId="0F403E26" w:rsidR="002E3C00" w:rsidRPr="0094769F" w:rsidRDefault="002E3C00" w:rsidP="002E3C00">
      <w:pPr>
        <w:pStyle w:val="BodyText"/>
      </w:pPr>
      <w:r>
        <w:t>The user activates, deactivates, and edits a limited number of variables for an existing blood product</w:t>
      </w:r>
      <w:r w:rsidR="00AE3B37">
        <w:t xml:space="preserve"> site parameter. VBECS provides</w:t>
      </w:r>
      <w:r>
        <w:t xml:space="preserve"> an ISBT 128 Blood Product reference table to facilitate these and other actions.</w:t>
      </w:r>
      <w:r w:rsidR="00E435F1">
        <w:t xml:space="preserve"> </w:t>
      </w:r>
      <w:r w:rsidR="00250936">
        <w:t xml:space="preserve">For more information, see </w:t>
      </w:r>
      <w:r w:rsidR="00EE455E">
        <w:t xml:space="preserve">Appendix </w:t>
      </w:r>
      <w:r w:rsidR="00EE455E">
        <w:rPr>
          <w:noProof/>
        </w:rPr>
        <w:t>G</w:t>
      </w:r>
      <w:r w:rsidR="00EE455E">
        <w:t>: Work Process Flowcharts</w:t>
      </w:r>
      <w:r w:rsidR="00250936">
        <w:t>.</w:t>
      </w:r>
    </w:p>
    <w:p w14:paraId="7DCB831E" w14:textId="77777777" w:rsidR="002E3C00" w:rsidRDefault="002E3C00" w:rsidP="002E3C00">
      <w:pPr>
        <w:pStyle w:val="Heading4"/>
      </w:pPr>
      <w:r>
        <w:t>User Roles with Access to This Option</w:t>
      </w:r>
    </w:p>
    <w:p w14:paraId="03720AF1" w14:textId="77777777" w:rsidR="002E3C00" w:rsidRPr="00FC5C6B" w:rsidRDefault="002E3C00" w:rsidP="002E3C00">
      <w:pPr>
        <w:pStyle w:val="Roles"/>
      </w:pPr>
      <w:r>
        <w:t>All users</w:t>
      </w:r>
    </w:p>
    <w:p w14:paraId="491A6889" w14:textId="77777777" w:rsidR="002E3C00" w:rsidRDefault="00B74754" w:rsidP="002E3C00">
      <w:pPr>
        <w:pStyle w:val="Heading4"/>
      </w:pPr>
      <w:r>
        <w:t>Preparation for Testing</w:t>
      </w:r>
    </w:p>
    <w:p w14:paraId="15293753" w14:textId="77777777" w:rsidR="002E3C00" w:rsidRDefault="002E3C00" w:rsidP="002E3C00">
      <w:pPr>
        <w:pStyle w:val="BodyText"/>
      </w:pPr>
      <w:r>
        <w:t>Activate blood products here or during incoming shipment. It may be helpful to set up your most common products</w:t>
      </w:r>
      <w:r w:rsidR="00CC08BC">
        <w:t xml:space="preserve"> before </w:t>
      </w:r>
      <w:r>
        <w:t>e</w:t>
      </w:r>
      <w:r w:rsidR="002C235F">
        <w:t>ntering blood inventory in</w:t>
      </w:r>
      <w:r>
        <w:t xml:space="preserve"> the system.</w:t>
      </w:r>
    </w:p>
    <w:p w14:paraId="693C1FAD" w14:textId="77777777" w:rsidR="002E3C00" w:rsidRDefault="002C235F" w:rsidP="002E3C00">
      <w:pPr>
        <w:pStyle w:val="BodyText"/>
      </w:pPr>
      <w:r>
        <w:t xml:space="preserve">Healthcare Common Procedure Coding System (HCPCS) </w:t>
      </w:r>
      <w:r w:rsidR="002E3C00">
        <w:t>codes are provided by your hospital’s VistA file</w:t>
      </w:r>
      <w:r w:rsidR="00CC08BC">
        <w:t>. S</w:t>
      </w:r>
      <w:r w:rsidR="002E3C00">
        <w:t>elect the code that is associated with the blood product.</w:t>
      </w:r>
    </w:p>
    <w:p w14:paraId="4298165A" w14:textId="77777777" w:rsidR="00061FCF" w:rsidRPr="00600497" w:rsidRDefault="00061FCF" w:rsidP="00925CAD">
      <w:pPr>
        <w:pStyle w:val="ListNumber"/>
        <w:numPr>
          <w:ilvl w:val="0"/>
          <w:numId w:val="22"/>
        </w:numPr>
      </w:pPr>
      <w:r w:rsidRPr="00600497">
        <w:t>Use the sample worksheet to record information.</w:t>
      </w:r>
    </w:p>
    <w:p w14:paraId="5F9E40C0" w14:textId="77777777" w:rsidR="002E3C00" w:rsidRPr="00600497" w:rsidRDefault="002E3C00" w:rsidP="00925CAD">
      <w:pPr>
        <w:pStyle w:val="ListNumber"/>
        <w:numPr>
          <w:ilvl w:val="0"/>
          <w:numId w:val="22"/>
        </w:numPr>
      </w:pPr>
      <w:r w:rsidRPr="00600497">
        <w:t xml:space="preserve">Capture and save a screen shot of each piece of information before continuing. </w:t>
      </w:r>
    </w:p>
    <w:p w14:paraId="5526FF95" w14:textId="77777777" w:rsidR="00232E43" w:rsidRPr="00FB7F8D" w:rsidRDefault="00232E43" w:rsidP="00925CAD">
      <w:pPr>
        <w:pStyle w:val="ListNumber"/>
        <w:numPr>
          <w:ilvl w:val="0"/>
          <w:numId w:val="22"/>
        </w:numPr>
      </w:pPr>
      <w:r w:rsidRPr="00600497">
        <w:t>Pr</w:t>
      </w:r>
      <w:r w:rsidRPr="00FB7F8D">
        <w:t>int</w:t>
      </w:r>
      <w:r>
        <w:t>, sign, date,</w:t>
      </w:r>
      <w:r w:rsidRPr="00FB7F8D">
        <w:t xml:space="preserve"> and save an </w:t>
      </w:r>
      <w:r>
        <w:t>A</w:t>
      </w:r>
      <w:r w:rsidRPr="00FB7F8D">
        <w:t xml:space="preserve">udit </w:t>
      </w:r>
      <w:r>
        <w:t>Trail R</w:t>
      </w:r>
      <w:r w:rsidRPr="00FB7F8D">
        <w:t>eport for your validation record.</w:t>
      </w:r>
    </w:p>
    <w:p w14:paraId="5427DE4E" w14:textId="25CCF87B" w:rsidR="002E3C00" w:rsidRDefault="002E3C00" w:rsidP="002E3C00">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28</w:t>
      </w:r>
      <w:r w:rsidR="004E20BD">
        <w:rPr>
          <w:noProof/>
        </w:rPr>
        <w:fldChar w:fldCharType="end"/>
      </w:r>
      <w:r>
        <w:t>: Sample Blood Products Worksheet</w:t>
      </w:r>
      <w:r w:rsidR="00AD60CF">
        <w:fldChar w:fldCharType="begin"/>
      </w:r>
      <w:r w:rsidR="00F272D5">
        <w:instrText xml:space="preserve"> XE "Tables:</w:instrText>
      </w:r>
      <w:r w:rsidR="00AD60CF" w:rsidRPr="0046419F">
        <w:instrText>Sample Blood Products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222"/>
        <w:gridCol w:w="7"/>
        <w:gridCol w:w="1223"/>
        <w:gridCol w:w="6"/>
        <w:gridCol w:w="2008"/>
        <w:gridCol w:w="1224"/>
        <w:gridCol w:w="1223"/>
        <w:gridCol w:w="1223"/>
      </w:tblGrid>
      <w:tr w:rsidR="00AF76D5" w:rsidRPr="00B562A7" w14:paraId="50BF70D9" w14:textId="77777777">
        <w:trPr>
          <w:tblHeader/>
        </w:trPr>
        <w:tc>
          <w:tcPr>
            <w:tcW w:w="2446" w:type="dxa"/>
            <w:gridSpan w:val="2"/>
            <w:tcBorders>
              <w:top w:val="single" w:sz="4" w:space="0" w:color="auto"/>
              <w:left w:val="single" w:sz="4" w:space="0" w:color="auto"/>
              <w:bottom w:val="single" w:sz="4" w:space="0" w:color="auto"/>
              <w:right w:val="single" w:sz="4" w:space="0" w:color="auto"/>
            </w:tcBorders>
            <w:shd w:val="clear" w:color="auto" w:fill="B3B3B3"/>
            <w:vAlign w:val="bottom"/>
          </w:tcPr>
          <w:p w14:paraId="188834C0" w14:textId="77777777" w:rsidR="00AF76D5" w:rsidRPr="00B562A7" w:rsidRDefault="00AF76D5" w:rsidP="009E1D3B">
            <w:pPr>
              <w:pStyle w:val="TableText"/>
              <w:jc w:val="center"/>
              <w:rPr>
                <w:b/>
              </w:rPr>
            </w:pPr>
            <w:r>
              <w:rPr>
                <w:b/>
              </w:rPr>
              <w:t>Blood Product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B3B3B3"/>
            <w:vAlign w:val="bottom"/>
          </w:tcPr>
          <w:p w14:paraId="3C5C5822" w14:textId="77777777" w:rsidR="00AF76D5" w:rsidRPr="00B562A7" w:rsidRDefault="00AF76D5" w:rsidP="009C7C13">
            <w:pPr>
              <w:pStyle w:val="TableText"/>
              <w:rPr>
                <w:b/>
              </w:rPr>
            </w:pPr>
            <w:r>
              <w:rPr>
                <w:b/>
              </w:rPr>
              <w:t>HCPCS</w:t>
            </w:r>
          </w:p>
        </w:tc>
        <w:tc>
          <w:tcPr>
            <w:tcW w:w="5678" w:type="dxa"/>
            <w:gridSpan w:val="4"/>
            <w:tcBorders>
              <w:top w:val="single" w:sz="4" w:space="0" w:color="auto"/>
              <w:left w:val="single" w:sz="4" w:space="0" w:color="auto"/>
              <w:bottom w:val="single" w:sz="4" w:space="0" w:color="auto"/>
              <w:right w:val="single" w:sz="4" w:space="0" w:color="auto"/>
            </w:tcBorders>
            <w:shd w:val="clear" w:color="auto" w:fill="B3B3B3"/>
            <w:vAlign w:val="bottom"/>
          </w:tcPr>
          <w:p w14:paraId="3DADD489" w14:textId="77777777" w:rsidR="00AF76D5" w:rsidRPr="00B562A7" w:rsidRDefault="00AF76D5" w:rsidP="009E1D3B">
            <w:pPr>
              <w:pStyle w:val="TableText"/>
              <w:jc w:val="center"/>
              <w:rPr>
                <w:b/>
              </w:rPr>
            </w:pPr>
            <w:r>
              <w:rPr>
                <w:b/>
              </w:rPr>
              <w:t>Product Shippers</w:t>
            </w:r>
          </w:p>
        </w:tc>
      </w:tr>
      <w:tr w:rsidR="00AF76D5" w:rsidRPr="00B562A7" w14:paraId="26541F76" w14:textId="77777777">
        <w:trPr>
          <w:tblHeader/>
        </w:trPr>
        <w:tc>
          <w:tcPr>
            <w:tcW w:w="1224" w:type="dxa"/>
            <w:shd w:val="clear" w:color="auto" w:fill="B3B3B3"/>
            <w:vAlign w:val="bottom"/>
          </w:tcPr>
          <w:p w14:paraId="5B590FF2" w14:textId="77777777" w:rsidR="002E3C00" w:rsidRPr="00B562A7" w:rsidRDefault="002E3C00" w:rsidP="002E3C00">
            <w:pPr>
              <w:pStyle w:val="TableText"/>
              <w:rPr>
                <w:b/>
              </w:rPr>
            </w:pPr>
            <w:r w:rsidRPr="00B562A7">
              <w:rPr>
                <w:b/>
              </w:rPr>
              <w:t xml:space="preserve">Product </w:t>
            </w:r>
            <w:r w:rsidRPr="00B562A7">
              <w:rPr>
                <w:b/>
              </w:rPr>
              <w:br/>
              <w:t>Code</w:t>
            </w:r>
          </w:p>
        </w:tc>
        <w:tc>
          <w:tcPr>
            <w:tcW w:w="1229" w:type="dxa"/>
            <w:gridSpan w:val="2"/>
            <w:shd w:val="clear" w:color="auto" w:fill="B3B3B3"/>
            <w:vAlign w:val="bottom"/>
          </w:tcPr>
          <w:p w14:paraId="02C58BF6" w14:textId="77777777" w:rsidR="002E3C00" w:rsidRPr="00B562A7" w:rsidRDefault="002E3C00" w:rsidP="002E3C00">
            <w:pPr>
              <w:pStyle w:val="TableText"/>
              <w:rPr>
                <w:b/>
              </w:rPr>
            </w:pPr>
            <w:r w:rsidRPr="00B562A7">
              <w:rPr>
                <w:b/>
              </w:rPr>
              <w:t>Short Product Name</w:t>
            </w:r>
          </w:p>
        </w:tc>
        <w:tc>
          <w:tcPr>
            <w:tcW w:w="1223" w:type="dxa"/>
            <w:shd w:val="clear" w:color="auto" w:fill="B3B3B3"/>
            <w:vAlign w:val="bottom"/>
          </w:tcPr>
          <w:p w14:paraId="6F97160F" w14:textId="77777777" w:rsidR="002E3C00" w:rsidRPr="00B562A7" w:rsidRDefault="00AF76D5" w:rsidP="002E3C00">
            <w:pPr>
              <w:pStyle w:val="TableText"/>
              <w:rPr>
                <w:b/>
              </w:rPr>
            </w:pPr>
            <w:r>
              <w:rPr>
                <w:b/>
              </w:rPr>
              <w:t>HCPCS C</w:t>
            </w:r>
            <w:r w:rsidR="002E3C00" w:rsidRPr="00B562A7">
              <w:rPr>
                <w:b/>
              </w:rPr>
              <w:t>ode</w:t>
            </w:r>
          </w:p>
        </w:tc>
        <w:tc>
          <w:tcPr>
            <w:tcW w:w="2014" w:type="dxa"/>
            <w:gridSpan w:val="2"/>
            <w:shd w:val="clear" w:color="auto" w:fill="B3B3B3"/>
            <w:vAlign w:val="bottom"/>
          </w:tcPr>
          <w:p w14:paraId="12363869" w14:textId="77777777" w:rsidR="002E3C00" w:rsidRPr="00B562A7" w:rsidRDefault="002E3C00" w:rsidP="002E3C00">
            <w:pPr>
              <w:pStyle w:val="TableText"/>
              <w:rPr>
                <w:b/>
              </w:rPr>
            </w:pPr>
            <w:r w:rsidRPr="00B562A7">
              <w:rPr>
                <w:b/>
              </w:rPr>
              <w:t>Shipper</w:t>
            </w:r>
            <w:r>
              <w:rPr>
                <w:b/>
              </w:rPr>
              <w:t xml:space="preserve"> Name</w:t>
            </w:r>
          </w:p>
        </w:tc>
        <w:tc>
          <w:tcPr>
            <w:tcW w:w="1224" w:type="dxa"/>
            <w:shd w:val="clear" w:color="auto" w:fill="B3B3B3"/>
            <w:vAlign w:val="bottom"/>
          </w:tcPr>
          <w:p w14:paraId="451EE165" w14:textId="77777777" w:rsidR="002E3C00" w:rsidRPr="00B562A7" w:rsidRDefault="002E3C00" w:rsidP="002E3C00">
            <w:pPr>
              <w:pStyle w:val="TableText"/>
              <w:rPr>
                <w:b/>
              </w:rPr>
            </w:pPr>
            <w:r w:rsidRPr="00B562A7">
              <w:rPr>
                <w:b/>
              </w:rPr>
              <w:t xml:space="preserve">FDA </w:t>
            </w:r>
            <w:r w:rsidR="00D54264">
              <w:rPr>
                <w:b/>
              </w:rPr>
              <w:t>Reg. #</w:t>
            </w:r>
          </w:p>
        </w:tc>
        <w:tc>
          <w:tcPr>
            <w:tcW w:w="1223" w:type="dxa"/>
            <w:shd w:val="clear" w:color="auto" w:fill="B3B3B3"/>
            <w:vAlign w:val="bottom"/>
          </w:tcPr>
          <w:p w14:paraId="4CB9C3F2" w14:textId="77777777" w:rsidR="002E3C00" w:rsidRPr="00B562A7" w:rsidRDefault="002E3C00" w:rsidP="002E3C00">
            <w:pPr>
              <w:pStyle w:val="TableText"/>
              <w:rPr>
                <w:b/>
              </w:rPr>
            </w:pPr>
            <w:r w:rsidRPr="00B562A7">
              <w:rPr>
                <w:b/>
              </w:rPr>
              <w:t xml:space="preserve">Cost </w:t>
            </w:r>
            <w:r>
              <w:rPr>
                <w:b/>
              </w:rPr>
              <w:t>($)</w:t>
            </w:r>
          </w:p>
        </w:tc>
        <w:tc>
          <w:tcPr>
            <w:tcW w:w="1223" w:type="dxa"/>
            <w:shd w:val="clear" w:color="auto" w:fill="B3B3B3"/>
            <w:vAlign w:val="bottom"/>
          </w:tcPr>
          <w:p w14:paraId="0D9EF61B" w14:textId="77777777" w:rsidR="002E3C00" w:rsidRPr="00B562A7" w:rsidRDefault="002E3C00" w:rsidP="002E3C00">
            <w:pPr>
              <w:pStyle w:val="TableText"/>
              <w:rPr>
                <w:b/>
              </w:rPr>
            </w:pPr>
            <w:r w:rsidRPr="00B562A7">
              <w:rPr>
                <w:b/>
              </w:rPr>
              <w:t xml:space="preserve">Return </w:t>
            </w:r>
            <w:r>
              <w:rPr>
                <w:b/>
              </w:rPr>
              <w:t>Credit %</w:t>
            </w:r>
          </w:p>
        </w:tc>
      </w:tr>
      <w:tr w:rsidR="00AF76D5" w14:paraId="498DCF79" w14:textId="77777777">
        <w:tc>
          <w:tcPr>
            <w:tcW w:w="1224" w:type="dxa"/>
          </w:tcPr>
          <w:p w14:paraId="0447A772" w14:textId="749CB281" w:rsidR="002E3C00" w:rsidRDefault="0093638C" w:rsidP="002E3C00">
            <w:pPr>
              <w:pStyle w:val="TableText"/>
            </w:pPr>
            <w:r>
              <w:t>E0142</w:t>
            </w:r>
          </w:p>
        </w:tc>
        <w:tc>
          <w:tcPr>
            <w:tcW w:w="1229" w:type="dxa"/>
            <w:gridSpan w:val="2"/>
          </w:tcPr>
          <w:p w14:paraId="4BEF6F05" w14:textId="77777777" w:rsidR="002E3C00" w:rsidRDefault="002E3C00" w:rsidP="002E3C00">
            <w:pPr>
              <w:pStyle w:val="TableText"/>
            </w:pPr>
            <w:r>
              <w:t>RBC</w:t>
            </w:r>
            <w:r w:rsidR="0017175D">
              <w:t xml:space="preserve"> ACD-A</w:t>
            </w:r>
          </w:p>
        </w:tc>
        <w:tc>
          <w:tcPr>
            <w:tcW w:w="1223" w:type="dxa"/>
          </w:tcPr>
          <w:p w14:paraId="3B82EBE8" w14:textId="77777777" w:rsidR="002E3C00" w:rsidRDefault="00D54264" w:rsidP="002E3C00">
            <w:pPr>
              <w:pStyle w:val="TableText"/>
            </w:pPr>
            <w:r>
              <w:t>P2028</w:t>
            </w:r>
          </w:p>
        </w:tc>
        <w:tc>
          <w:tcPr>
            <w:tcW w:w="2014" w:type="dxa"/>
            <w:gridSpan w:val="2"/>
          </w:tcPr>
          <w:p w14:paraId="28A0FC00" w14:textId="77777777" w:rsidR="002E3C00" w:rsidRDefault="00D54264" w:rsidP="002E3C00">
            <w:pPr>
              <w:pStyle w:val="TableText"/>
            </w:pPr>
            <w:r>
              <w:t>Abington Memorial Hospital</w:t>
            </w:r>
          </w:p>
        </w:tc>
        <w:tc>
          <w:tcPr>
            <w:tcW w:w="1224" w:type="dxa"/>
          </w:tcPr>
          <w:p w14:paraId="42F041E0" w14:textId="77777777" w:rsidR="002E3C00" w:rsidRDefault="00D54264" w:rsidP="002E3C00">
            <w:pPr>
              <w:pStyle w:val="TableText"/>
            </w:pPr>
            <w:r>
              <w:t>2577690</w:t>
            </w:r>
          </w:p>
        </w:tc>
        <w:tc>
          <w:tcPr>
            <w:tcW w:w="1223" w:type="dxa"/>
          </w:tcPr>
          <w:p w14:paraId="161BF8DB" w14:textId="77777777" w:rsidR="002E3C00" w:rsidRDefault="002E3C00" w:rsidP="002E3C00">
            <w:pPr>
              <w:pStyle w:val="TableText"/>
            </w:pPr>
            <w:r>
              <w:t>$150.00</w:t>
            </w:r>
          </w:p>
        </w:tc>
        <w:tc>
          <w:tcPr>
            <w:tcW w:w="1223" w:type="dxa"/>
          </w:tcPr>
          <w:p w14:paraId="4A26B22A" w14:textId="77777777" w:rsidR="002E3C00" w:rsidRDefault="002E3C00" w:rsidP="002E3C00">
            <w:pPr>
              <w:pStyle w:val="TableText"/>
            </w:pPr>
            <w:r>
              <w:t>0</w:t>
            </w:r>
          </w:p>
        </w:tc>
      </w:tr>
    </w:tbl>
    <w:p w14:paraId="605D231B" w14:textId="682A232C" w:rsidR="00B24B8C" w:rsidRDefault="00B24B8C" w:rsidP="00B24B8C">
      <w:pPr>
        <w:pStyle w:val="Caption"/>
      </w:pPr>
      <w:bookmarkStart w:id="707" w:name="_Toc85895789"/>
      <w:bookmarkStart w:id="708" w:name="_Toc113264247"/>
      <w:bookmarkStart w:id="709" w:name="_Toc114462102"/>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29</w:t>
      </w:r>
      <w:r w:rsidR="004E20BD">
        <w:rPr>
          <w:noProof/>
        </w:rPr>
        <w:fldChar w:fldCharType="end"/>
      </w:r>
      <w:r>
        <w:t>: Blood Products Worksheet</w:t>
      </w:r>
      <w:r>
        <w:fldChar w:fldCharType="begin"/>
      </w:r>
      <w:r>
        <w:instrText xml:space="preserve"> XE "Tables:</w:instrText>
      </w:r>
      <w:r w:rsidRPr="0046419F">
        <w:instrText>Blood Products Worksheet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222"/>
        <w:gridCol w:w="7"/>
        <w:gridCol w:w="1223"/>
        <w:gridCol w:w="6"/>
        <w:gridCol w:w="2008"/>
        <w:gridCol w:w="1224"/>
        <w:gridCol w:w="1223"/>
        <w:gridCol w:w="1223"/>
      </w:tblGrid>
      <w:tr w:rsidR="00B24B8C" w:rsidRPr="00B562A7" w14:paraId="1FBB39A1" w14:textId="77777777">
        <w:trPr>
          <w:tblHeader/>
        </w:trPr>
        <w:tc>
          <w:tcPr>
            <w:tcW w:w="2446" w:type="dxa"/>
            <w:gridSpan w:val="2"/>
            <w:tcBorders>
              <w:top w:val="single" w:sz="4" w:space="0" w:color="auto"/>
              <w:left w:val="single" w:sz="4" w:space="0" w:color="auto"/>
              <w:bottom w:val="single" w:sz="4" w:space="0" w:color="auto"/>
              <w:right w:val="single" w:sz="4" w:space="0" w:color="auto"/>
            </w:tcBorders>
            <w:shd w:val="clear" w:color="auto" w:fill="B3B3B3"/>
          </w:tcPr>
          <w:p w14:paraId="7018ADF4" w14:textId="77777777" w:rsidR="00B24B8C" w:rsidRPr="00B562A7" w:rsidRDefault="00B24B8C" w:rsidP="009E1D3B">
            <w:pPr>
              <w:pStyle w:val="TableText"/>
              <w:jc w:val="center"/>
              <w:rPr>
                <w:b/>
              </w:rPr>
            </w:pPr>
            <w:r>
              <w:rPr>
                <w:b/>
              </w:rPr>
              <w:t>Blood Product</w:t>
            </w:r>
          </w:p>
        </w:tc>
        <w:tc>
          <w:tcPr>
            <w:tcW w:w="1236" w:type="dxa"/>
            <w:gridSpan w:val="3"/>
            <w:tcBorders>
              <w:top w:val="single" w:sz="4" w:space="0" w:color="auto"/>
              <w:left w:val="single" w:sz="4" w:space="0" w:color="auto"/>
              <w:bottom w:val="single" w:sz="4" w:space="0" w:color="auto"/>
              <w:right w:val="single" w:sz="4" w:space="0" w:color="auto"/>
            </w:tcBorders>
            <w:shd w:val="clear" w:color="auto" w:fill="B3B3B3"/>
          </w:tcPr>
          <w:p w14:paraId="7DD66019" w14:textId="77777777" w:rsidR="00B24B8C" w:rsidRPr="00B562A7" w:rsidRDefault="00B24B8C" w:rsidP="009C7C13">
            <w:pPr>
              <w:pStyle w:val="TableText"/>
              <w:rPr>
                <w:b/>
              </w:rPr>
            </w:pPr>
            <w:r>
              <w:rPr>
                <w:b/>
              </w:rPr>
              <w:t>HCPCS</w:t>
            </w:r>
          </w:p>
        </w:tc>
        <w:tc>
          <w:tcPr>
            <w:tcW w:w="5678" w:type="dxa"/>
            <w:gridSpan w:val="4"/>
            <w:tcBorders>
              <w:top w:val="single" w:sz="4" w:space="0" w:color="auto"/>
              <w:left w:val="single" w:sz="4" w:space="0" w:color="auto"/>
              <w:bottom w:val="single" w:sz="4" w:space="0" w:color="auto"/>
              <w:right w:val="single" w:sz="4" w:space="0" w:color="auto"/>
            </w:tcBorders>
            <w:shd w:val="clear" w:color="auto" w:fill="B3B3B3"/>
          </w:tcPr>
          <w:p w14:paraId="2431A608" w14:textId="77777777" w:rsidR="00B24B8C" w:rsidRPr="00B562A7" w:rsidRDefault="00B24B8C" w:rsidP="009E1D3B">
            <w:pPr>
              <w:pStyle w:val="TableText"/>
              <w:jc w:val="center"/>
              <w:rPr>
                <w:b/>
              </w:rPr>
            </w:pPr>
            <w:r>
              <w:rPr>
                <w:b/>
              </w:rPr>
              <w:t>Product Shippers</w:t>
            </w:r>
          </w:p>
        </w:tc>
      </w:tr>
      <w:tr w:rsidR="00B24B8C" w:rsidRPr="00B562A7" w14:paraId="5CD87ECF" w14:textId="77777777">
        <w:trPr>
          <w:tblHeader/>
        </w:trPr>
        <w:tc>
          <w:tcPr>
            <w:tcW w:w="1224" w:type="dxa"/>
            <w:shd w:val="clear" w:color="auto" w:fill="B3B3B3"/>
            <w:vAlign w:val="bottom"/>
          </w:tcPr>
          <w:p w14:paraId="6C9E9C38" w14:textId="77777777" w:rsidR="00B24B8C" w:rsidRPr="00B562A7" w:rsidRDefault="00B24B8C" w:rsidP="001D706D">
            <w:pPr>
              <w:pStyle w:val="TableText"/>
              <w:rPr>
                <w:b/>
              </w:rPr>
            </w:pPr>
            <w:r w:rsidRPr="00B562A7">
              <w:rPr>
                <w:b/>
              </w:rPr>
              <w:t xml:space="preserve">Product </w:t>
            </w:r>
            <w:r w:rsidRPr="00B562A7">
              <w:rPr>
                <w:b/>
              </w:rPr>
              <w:br/>
              <w:t>Code</w:t>
            </w:r>
          </w:p>
        </w:tc>
        <w:tc>
          <w:tcPr>
            <w:tcW w:w="1229" w:type="dxa"/>
            <w:gridSpan w:val="2"/>
            <w:shd w:val="clear" w:color="auto" w:fill="B3B3B3"/>
            <w:vAlign w:val="bottom"/>
          </w:tcPr>
          <w:p w14:paraId="1BDBFC2B" w14:textId="77777777" w:rsidR="00B24B8C" w:rsidRPr="00B562A7" w:rsidRDefault="00B24B8C" w:rsidP="001D706D">
            <w:pPr>
              <w:pStyle w:val="TableText"/>
              <w:rPr>
                <w:b/>
              </w:rPr>
            </w:pPr>
            <w:r w:rsidRPr="00B562A7">
              <w:rPr>
                <w:b/>
              </w:rPr>
              <w:t>Short Product Name</w:t>
            </w:r>
          </w:p>
        </w:tc>
        <w:tc>
          <w:tcPr>
            <w:tcW w:w="1223" w:type="dxa"/>
            <w:shd w:val="clear" w:color="auto" w:fill="B3B3B3"/>
            <w:vAlign w:val="bottom"/>
          </w:tcPr>
          <w:p w14:paraId="6165BFC8" w14:textId="77777777" w:rsidR="00B24B8C" w:rsidRPr="00B562A7" w:rsidRDefault="00B24B8C" w:rsidP="001D706D">
            <w:pPr>
              <w:pStyle w:val="TableText"/>
              <w:rPr>
                <w:b/>
              </w:rPr>
            </w:pPr>
            <w:r>
              <w:rPr>
                <w:b/>
              </w:rPr>
              <w:t>HCPCS C</w:t>
            </w:r>
            <w:r w:rsidRPr="00B562A7">
              <w:rPr>
                <w:b/>
              </w:rPr>
              <w:t>ode</w:t>
            </w:r>
          </w:p>
        </w:tc>
        <w:tc>
          <w:tcPr>
            <w:tcW w:w="2014" w:type="dxa"/>
            <w:gridSpan w:val="2"/>
            <w:shd w:val="clear" w:color="auto" w:fill="B3B3B3"/>
            <w:vAlign w:val="bottom"/>
          </w:tcPr>
          <w:p w14:paraId="177B4469" w14:textId="77777777" w:rsidR="00B24B8C" w:rsidRPr="00B562A7" w:rsidRDefault="00B24B8C" w:rsidP="001D706D">
            <w:pPr>
              <w:pStyle w:val="TableText"/>
              <w:rPr>
                <w:b/>
              </w:rPr>
            </w:pPr>
            <w:r w:rsidRPr="00B562A7">
              <w:rPr>
                <w:b/>
              </w:rPr>
              <w:t>Shipper</w:t>
            </w:r>
            <w:r>
              <w:rPr>
                <w:b/>
              </w:rPr>
              <w:t xml:space="preserve"> Name</w:t>
            </w:r>
          </w:p>
        </w:tc>
        <w:tc>
          <w:tcPr>
            <w:tcW w:w="1224" w:type="dxa"/>
            <w:shd w:val="clear" w:color="auto" w:fill="B3B3B3"/>
            <w:vAlign w:val="bottom"/>
          </w:tcPr>
          <w:p w14:paraId="6EFC2112" w14:textId="77777777" w:rsidR="00B24B8C" w:rsidRPr="00B562A7" w:rsidRDefault="00B24B8C" w:rsidP="001D706D">
            <w:pPr>
              <w:pStyle w:val="TableText"/>
              <w:rPr>
                <w:b/>
              </w:rPr>
            </w:pPr>
            <w:r w:rsidRPr="00B562A7">
              <w:rPr>
                <w:b/>
              </w:rPr>
              <w:t xml:space="preserve">FDA </w:t>
            </w:r>
            <w:r>
              <w:rPr>
                <w:b/>
              </w:rPr>
              <w:t>Reg. #</w:t>
            </w:r>
          </w:p>
        </w:tc>
        <w:tc>
          <w:tcPr>
            <w:tcW w:w="1223" w:type="dxa"/>
            <w:shd w:val="clear" w:color="auto" w:fill="B3B3B3"/>
            <w:vAlign w:val="bottom"/>
          </w:tcPr>
          <w:p w14:paraId="598DA0D4" w14:textId="77777777" w:rsidR="00B24B8C" w:rsidRPr="00B562A7" w:rsidRDefault="00B24B8C" w:rsidP="001D706D">
            <w:pPr>
              <w:pStyle w:val="TableText"/>
              <w:rPr>
                <w:b/>
              </w:rPr>
            </w:pPr>
            <w:r w:rsidRPr="00B562A7">
              <w:rPr>
                <w:b/>
              </w:rPr>
              <w:t xml:space="preserve">Cost </w:t>
            </w:r>
            <w:r>
              <w:rPr>
                <w:b/>
              </w:rPr>
              <w:t>($)</w:t>
            </w:r>
          </w:p>
        </w:tc>
        <w:tc>
          <w:tcPr>
            <w:tcW w:w="1223" w:type="dxa"/>
            <w:shd w:val="clear" w:color="auto" w:fill="B3B3B3"/>
            <w:vAlign w:val="bottom"/>
          </w:tcPr>
          <w:p w14:paraId="295FD76F" w14:textId="77777777" w:rsidR="00B24B8C" w:rsidRPr="00B562A7" w:rsidRDefault="00B24B8C" w:rsidP="001D706D">
            <w:pPr>
              <w:pStyle w:val="TableText"/>
              <w:rPr>
                <w:b/>
              </w:rPr>
            </w:pPr>
            <w:r w:rsidRPr="00B562A7">
              <w:rPr>
                <w:b/>
              </w:rPr>
              <w:t xml:space="preserve">Return </w:t>
            </w:r>
            <w:r>
              <w:rPr>
                <w:b/>
              </w:rPr>
              <w:t>Credit %</w:t>
            </w:r>
          </w:p>
        </w:tc>
      </w:tr>
      <w:tr w:rsidR="00B24B8C" w14:paraId="4777899E" w14:textId="77777777">
        <w:tc>
          <w:tcPr>
            <w:tcW w:w="1224" w:type="dxa"/>
          </w:tcPr>
          <w:p w14:paraId="7885C1F5" w14:textId="77777777" w:rsidR="00B24B8C" w:rsidRDefault="00B24B8C" w:rsidP="001D706D">
            <w:pPr>
              <w:pStyle w:val="TableText"/>
            </w:pPr>
          </w:p>
        </w:tc>
        <w:tc>
          <w:tcPr>
            <w:tcW w:w="1229" w:type="dxa"/>
            <w:gridSpan w:val="2"/>
          </w:tcPr>
          <w:p w14:paraId="3E6ED063" w14:textId="77777777" w:rsidR="00B24B8C" w:rsidRDefault="00B24B8C" w:rsidP="001D706D">
            <w:pPr>
              <w:pStyle w:val="TableText"/>
            </w:pPr>
          </w:p>
        </w:tc>
        <w:tc>
          <w:tcPr>
            <w:tcW w:w="1223" w:type="dxa"/>
          </w:tcPr>
          <w:p w14:paraId="3C3D2D86" w14:textId="77777777" w:rsidR="00B24B8C" w:rsidRDefault="00B24B8C" w:rsidP="001D706D">
            <w:pPr>
              <w:pStyle w:val="TableText"/>
            </w:pPr>
          </w:p>
        </w:tc>
        <w:tc>
          <w:tcPr>
            <w:tcW w:w="2014" w:type="dxa"/>
            <w:gridSpan w:val="2"/>
          </w:tcPr>
          <w:p w14:paraId="12083311" w14:textId="77777777" w:rsidR="00B24B8C" w:rsidRDefault="00B24B8C" w:rsidP="001D706D">
            <w:pPr>
              <w:pStyle w:val="TableText"/>
            </w:pPr>
          </w:p>
        </w:tc>
        <w:tc>
          <w:tcPr>
            <w:tcW w:w="1224" w:type="dxa"/>
          </w:tcPr>
          <w:p w14:paraId="5F9BCE4B" w14:textId="77777777" w:rsidR="00B24B8C" w:rsidRDefault="00B24B8C" w:rsidP="001D706D">
            <w:pPr>
              <w:pStyle w:val="TableText"/>
            </w:pPr>
          </w:p>
        </w:tc>
        <w:tc>
          <w:tcPr>
            <w:tcW w:w="1223" w:type="dxa"/>
          </w:tcPr>
          <w:p w14:paraId="7745F925" w14:textId="77777777" w:rsidR="00B24B8C" w:rsidRDefault="00B24B8C" w:rsidP="001D706D">
            <w:pPr>
              <w:pStyle w:val="TableText"/>
            </w:pPr>
          </w:p>
        </w:tc>
        <w:tc>
          <w:tcPr>
            <w:tcW w:w="1223" w:type="dxa"/>
          </w:tcPr>
          <w:p w14:paraId="527401D7" w14:textId="77777777" w:rsidR="00B24B8C" w:rsidRDefault="00B24B8C" w:rsidP="001D706D">
            <w:pPr>
              <w:pStyle w:val="TableText"/>
            </w:pPr>
          </w:p>
        </w:tc>
      </w:tr>
      <w:tr w:rsidR="00B24B8C" w14:paraId="67154AA5" w14:textId="77777777">
        <w:tc>
          <w:tcPr>
            <w:tcW w:w="1224" w:type="dxa"/>
          </w:tcPr>
          <w:p w14:paraId="4FE75D8C" w14:textId="77777777" w:rsidR="00B24B8C" w:rsidRDefault="00B24B8C" w:rsidP="001D706D">
            <w:pPr>
              <w:pStyle w:val="TableText"/>
            </w:pPr>
          </w:p>
        </w:tc>
        <w:tc>
          <w:tcPr>
            <w:tcW w:w="1229" w:type="dxa"/>
            <w:gridSpan w:val="2"/>
          </w:tcPr>
          <w:p w14:paraId="79FC93F4" w14:textId="77777777" w:rsidR="00B24B8C" w:rsidRDefault="00B24B8C" w:rsidP="001D706D">
            <w:pPr>
              <w:pStyle w:val="TableText"/>
            </w:pPr>
          </w:p>
        </w:tc>
        <w:tc>
          <w:tcPr>
            <w:tcW w:w="1223" w:type="dxa"/>
          </w:tcPr>
          <w:p w14:paraId="69C4FE82" w14:textId="77777777" w:rsidR="00B24B8C" w:rsidRDefault="00B24B8C" w:rsidP="001D706D">
            <w:pPr>
              <w:pStyle w:val="TableText"/>
            </w:pPr>
          </w:p>
        </w:tc>
        <w:tc>
          <w:tcPr>
            <w:tcW w:w="2014" w:type="dxa"/>
            <w:gridSpan w:val="2"/>
          </w:tcPr>
          <w:p w14:paraId="4564BFA1" w14:textId="77777777" w:rsidR="00B24B8C" w:rsidRDefault="00B24B8C" w:rsidP="001D706D">
            <w:pPr>
              <w:pStyle w:val="TableText"/>
            </w:pPr>
          </w:p>
        </w:tc>
        <w:tc>
          <w:tcPr>
            <w:tcW w:w="1224" w:type="dxa"/>
          </w:tcPr>
          <w:p w14:paraId="45186DBD" w14:textId="77777777" w:rsidR="00B24B8C" w:rsidRDefault="00B24B8C" w:rsidP="001D706D">
            <w:pPr>
              <w:pStyle w:val="TableText"/>
            </w:pPr>
          </w:p>
        </w:tc>
        <w:tc>
          <w:tcPr>
            <w:tcW w:w="1223" w:type="dxa"/>
          </w:tcPr>
          <w:p w14:paraId="5536B4DD" w14:textId="77777777" w:rsidR="00B24B8C" w:rsidRDefault="00B24B8C" w:rsidP="001D706D">
            <w:pPr>
              <w:pStyle w:val="TableText"/>
            </w:pPr>
          </w:p>
        </w:tc>
        <w:tc>
          <w:tcPr>
            <w:tcW w:w="1223" w:type="dxa"/>
          </w:tcPr>
          <w:p w14:paraId="2EC56DE2" w14:textId="77777777" w:rsidR="00B24B8C" w:rsidRDefault="00B24B8C" w:rsidP="001D706D">
            <w:pPr>
              <w:pStyle w:val="TableText"/>
            </w:pPr>
          </w:p>
        </w:tc>
      </w:tr>
      <w:tr w:rsidR="00B24B8C" w14:paraId="1657ED2E" w14:textId="77777777">
        <w:tc>
          <w:tcPr>
            <w:tcW w:w="1224" w:type="dxa"/>
          </w:tcPr>
          <w:p w14:paraId="36DD8A16" w14:textId="77777777" w:rsidR="00B24B8C" w:rsidRDefault="00B24B8C" w:rsidP="001D706D">
            <w:pPr>
              <w:pStyle w:val="TableText"/>
            </w:pPr>
          </w:p>
        </w:tc>
        <w:tc>
          <w:tcPr>
            <w:tcW w:w="1229" w:type="dxa"/>
            <w:gridSpan w:val="2"/>
          </w:tcPr>
          <w:p w14:paraId="6C074847" w14:textId="77777777" w:rsidR="00B24B8C" w:rsidRDefault="00B24B8C" w:rsidP="001D706D">
            <w:pPr>
              <w:pStyle w:val="TableText"/>
            </w:pPr>
          </w:p>
        </w:tc>
        <w:tc>
          <w:tcPr>
            <w:tcW w:w="1223" w:type="dxa"/>
          </w:tcPr>
          <w:p w14:paraId="6E6CC746" w14:textId="77777777" w:rsidR="00B24B8C" w:rsidRDefault="00B24B8C" w:rsidP="001D706D">
            <w:pPr>
              <w:pStyle w:val="TableText"/>
            </w:pPr>
          </w:p>
        </w:tc>
        <w:tc>
          <w:tcPr>
            <w:tcW w:w="2014" w:type="dxa"/>
            <w:gridSpan w:val="2"/>
          </w:tcPr>
          <w:p w14:paraId="5E25AF74" w14:textId="77777777" w:rsidR="00B24B8C" w:rsidRDefault="00B24B8C" w:rsidP="001D706D">
            <w:pPr>
              <w:pStyle w:val="TableText"/>
            </w:pPr>
          </w:p>
        </w:tc>
        <w:tc>
          <w:tcPr>
            <w:tcW w:w="1224" w:type="dxa"/>
          </w:tcPr>
          <w:p w14:paraId="66C8EC0D" w14:textId="77777777" w:rsidR="00B24B8C" w:rsidRDefault="00B24B8C" w:rsidP="001D706D">
            <w:pPr>
              <w:pStyle w:val="TableText"/>
            </w:pPr>
          </w:p>
        </w:tc>
        <w:tc>
          <w:tcPr>
            <w:tcW w:w="1223" w:type="dxa"/>
          </w:tcPr>
          <w:p w14:paraId="451492AD" w14:textId="77777777" w:rsidR="00B24B8C" w:rsidRDefault="00B24B8C" w:rsidP="001D706D">
            <w:pPr>
              <w:pStyle w:val="TableText"/>
            </w:pPr>
          </w:p>
        </w:tc>
        <w:tc>
          <w:tcPr>
            <w:tcW w:w="1223" w:type="dxa"/>
          </w:tcPr>
          <w:p w14:paraId="414BDC87" w14:textId="77777777" w:rsidR="00B24B8C" w:rsidRDefault="00B24B8C" w:rsidP="001D706D">
            <w:pPr>
              <w:pStyle w:val="TableText"/>
            </w:pPr>
          </w:p>
        </w:tc>
      </w:tr>
      <w:tr w:rsidR="00B24B8C" w14:paraId="6143EDCD" w14:textId="77777777">
        <w:tc>
          <w:tcPr>
            <w:tcW w:w="1224" w:type="dxa"/>
          </w:tcPr>
          <w:p w14:paraId="4632B1C9" w14:textId="77777777" w:rsidR="00B24B8C" w:rsidRDefault="00B24B8C" w:rsidP="001D706D">
            <w:pPr>
              <w:pStyle w:val="TableText"/>
            </w:pPr>
          </w:p>
        </w:tc>
        <w:tc>
          <w:tcPr>
            <w:tcW w:w="1229" w:type="dxa"/>
            <w:gridSpan w:val="2"/>
          </w:tcPr>
          <w:p w14:paraId="21DB4F14" w14:textId="77777777" w:rsidR="00B24B8C" w:rsidRDefault="00B24B8C" w:rsidP="001D706D">
            <w:pPr>
              <w:pStyle w:val="TableText"/>
            </w:pPr>
          </w:p>
        </w:tc>
        <w:tc>
          <w:tcPr>
            <w:tcW w:w="1223" w:type="dxa"/>
          </w:tcPr>
          <w:p w14:paraId="75756AAF" w14:textId="77777777" w:rsidR="00B24B8C" w:rsidRDefault="00B24B8C" w:rsidP="001D706D">
            <w:pPr>
              <w:pStyle w:val="TableText"/>
            </w:pPr>
          </w:p>
        </w:tc>
        <w:tc>
          <w:tcPr>
            <w:tcW w:w="2014" w:type="dxa"/>
            <w:gridSpan w:val="2"/>
          </w:tcPr>
          <w:p w14:paraId="348AB329" w14:textId="77777777" w:rsidR="00B24B8C" w:rsidRDefault="00B24B8C" w:rsidP="001D706D">
            <w:pPr>
              <w:pStyle w:val="TableText"/>
            </w:pPr>
          </w:p>
        </w:tc>
        <w:tc>
          <w:tcPr>
            <w:tcW w:w="1224" w:type="dxa"/>
          </w:tcPr>
          <w:p w14:paraId="480801D6" w14:textId="77777777" w:rsidR="00B24B8C" w:rsidRDefault="00B24B8C" w:rsidP="001D706D">
            <w:pPr>
              <w:pStyle w:val="TableText"/>
            </w:pPr>
          </w:p>
        </w:tc>
        <w:tc>
          <w:tcPr>
            <w:tcW w:w="1223" w:type="dxa"/>
          </w:tcPr>
          <w:p w14:paraId="763B55B1" w14:textId="77777777" w:rsidR="00B24B8C" w:rsidRDefault="00B24B8C" w:rsidP="001D706D">
            <w:pPr>
              <w:pStyle w:val="TableText"/>
            </w:pPr>
          </w:p>
        </w:tc>
        <w:tc>
          <w:tcPr>
            <w:tcW w:w="1223" w:type="dxa"/>
          </w:tcPr>
          <w:p w14:paraId="5D53572B" w14:textId="77777777" w:rsidR="00B24B8C" w:rsidRDefault="00B24B8C" w:rsidP="001D706D">
            <w:pPr>
              <w:pStyle w:val="TableText"/>
            </w:pPr>
          </w:p>
        </w:tc>
      </w:tr>
      <w:tr w:rsidR="00B24B8C" w14:paraId="20C83CD3" w14:textId="77777777">
        <w:tc>
          <w:tcPr>
            <w:tcW w:w="1224" w:type="dxa"/>
          </w:tcPr>
          <w:p w14:paraId="0606C1DE" w14:textId="77777777" w:rsidR="00B24B8C" w:rsidRDefault="00B24B8C" w:rsidP="001D706D">
            <w:pPr>
              <w:pStyle w:val="TableText"/>
            </w:pPr>
          </w:p>
        </w:tc>
        <w:tc>
          <w:tcPr>
            <w:tcW w:w="1229" w:type="dxa"/>
            <w:gridSpan w:val="2"/>
          </w:tcPr>
          <w:p w14:paraId="4C4826CF" w14:textId="77777777" w:rsidR="00B24B8C" w:rsidRDefault="00B24B8C" w:rsidP="001D706D">
            <w:pPr>
              <w:pStyle w:val="TableText"/>
            </w:pPr>
          </w:p>
        </w:tc>
        <w:tc>
          <w:tcPr>
            <w:tcW w:w="1223" w:type="dxa"/>
          </w:tcPr>
          <w:p w14:paraId="07059FC8" w14:textId="77777777" w:rsidR="00B24B8C" w:rsidRDefault="00B24B8C" w:rsidP="001D706D">
            <w:pPr>
              <w:pStyle w:val="TableText"/>
            </w:pPr>
          </w:p>
        </w:tc>
        <w:tc>
          <w:tcPr>
            <w:tcW w:w="2014" w:type="dxa"/>
            <w:gridSpan w:val="2"/>
          </w:tcPr>
          <w:p w14:paraId="7DCF6131" w14:textId="77777777" w:rsidR="00B24B8C" w:rsidRDefault="00B24B8C" w:rsidP="001D706D">
            <w:pPr>
              <w:pStyle w:val="TableText"/>
            </w:pPr>
          </w:p>
        </w:tc>
        <w:tc>
          <w:tcPr>
            <w:tcW w:w="1224" w:type="dxa"/>
          </w:tcPr>
          <w:p w14:paraId="17D09515" w14:textId="77777777" w:rsidR="00B24B8C" w:rsidRDefault="00B24B8C" w:rsidP="001D706D">
            <w:pPr>
              <w:pStyle w:val="TableText"/>
            </w:pPr>
          </w:p>
        </w:tc>
        <w:tc>
          <w:tcPr>
            <w:tcW w:w="1223" w:type="dxa"/>
          </w:tcPr>
          <w:p w14:paraId="37F3F8E8" w14:textId="77777777" w:rsidR="00B24B8C" w:rsidRDefault="00B24B8C" w:rsidP="001D706D">
            <w:pPr>
              <w:pStyle w:val="TableText"/>
            </w:pPr>
          </w:p>
        </w:tc>
        <w:tc>
          <w:tcPr>
            <w:tcW w:w="1223" w:type="dxa"/>
          </w:tcPr>
          <w:p w14:paraId="25A0B18D" w14:textId="77777777" w:rsidR="00B24B8C" w:rsidRDefault="00B24B8C" w:rsidP="001D706D">
            <w:pPr>
              <w:pStyle w:val="TableText"/>
            </w:pPr>
          </w:p>
        </w:tc>
      </w:tr>
      <w:tr w:rsidR="00B24B8C" w14:paraId="3FEEF0D0" w14:textId="77777777">
        <w:tc>
          <w:tcPr>
            <w:tcW w:w="1224" w:type="dxa"/>
          </w:tcPr>
          <w:p w14:paraId="3CD232E2" w14:textId="77777777" w:rsidR="00B24B8C" w:rsidRDefault="00B24B8C" w:rsidP="001D706D">
            <w:pPr>
              <w:pStyle w:val="TableText"/>
            </w:pPr>
          </w:p>
        </w:tc>
        <w:tc>
          <w:tcPr>
            <w:tcW w:w="1229" w:type="dxa"/>
            <w:gridSpan w:val="2"/>
          </w:tcPr>
          <w:p w14:paraId="66F6E5D6" w14:textId="77777777" w:rsidR="00B24B8C" w:rsidRDefault="00B24B8C" w:rsidP="001D706D">
            <w:pPr>
              <w:pStyle w:val="TableText"/>
            </w:pPr>
          </w:p>
        </w:tc>
        <w:tc>
          <w:tcPr>
            <w:tcW w:w="1223" w:type="dxa"/>
          </w:tcPr>
          <w:p w14:paraId="28DC2580" w14:textId="77777777" w:rsidR="00B24B8C" w:rsidRDefault="00B24B8C" w:rsidP="001D706D">
            <w:pPr>
              <w:pStyle w:val="TableText"/>
            </w:pPr>
          </w:p>
        </w:tc>
        <w:tc>
          <w:tcPr>
            <w:tcW w:w="2014" w:type="dxa"/>
            <w:gridSpan w:val="2"/>
          </w:tcPr>
          <w:p w14:paraId="2097626A" w14:textId="77777777" w:rsidR="00B24B8C" w:rsidRDefault="00B24B8C" w:rsidP="001D706D">
            <w:pPr>
              <w:pStyle w:val="TableText"/>
            </w:pPr>
          </w:p>
        </w:tc>
        <w:tc>
          <w:tcPr>
            <w:tcW w:w="1224" w:type="dxa"/>
          </w:tcPr>
          <w:p w14:paraId="6AA737D9" w14:textId="77777777" w:rsidR="00B24B8C" w:rsidRDefault="00B24B8C" w:rsidP="001D706D">
            <w:pPr>
              <w:pStyle w:val="TableText"/>
            </w:pPr>
          </w:p>
        </w:tc>
        <w:tc>
          <w:tcPr>
            <w:tcW w:w="1223" w:type="dxa"/>
          </w:tcPr>
          <w:p w14:paraId="2C167AA4" w14:textId="77777777" w:rsidR="00B24B8C" w:rsidRDefault="00B24B8C" w:rsidP="001D706D">
            <w:pPr>
              <w:pStyle w:val="TableText"/>
            </w:pPr>
          </w:p>
        </w:tc>
        <w:tc>
          <w:tcPr>
            <w:tcW w:w="1223" w:type="dxa"/>
          </w:tcPr>
          <w:p w14:paraId="756BB440" w14:textId="77777777" w:rsidR="00B24B8C" w:rsidRDefault="00B24B8C" w:rsidP="001D706D">
            <w:pPr>
              <w:pStyle w:val="TableText"/>
            </w:pPr>
          </w:p>
        </w:tc>
      </w:tr>
      <w:tr w:rsidR="00B24B8C" w14:paraId="065CFE03" w14:textId="77777777">
        <w:tc>
          <w:tcPr>
            <w:tcW w:w="1224" w:type="dxa"/>
          </w:tcPr>
          <w:p w14:paraId="4C993540" w14:textId="77777777" w:rsidR="00B24B8C" w:rsidRDefault="00B24B8C" w:rsidP="001D706D">
            <w:pPr>
              <w:pStyle w:val="TableText"/>
            </w:pPr>
          </w:p>
        </w:tc>
        <w:tc>
          <w:tcPr>
            <w:tcW w:w="1229" w:type="dxa"/>
            <w:gridSpan w:val="2"/>
          </w:tcPr>
          <w:p w14:paraId="2C9CC25A" w14:textId="77777777" w:rsidR="00B24B8C" w:rsidRDefault="00B24B8C" w:rsidP="001D706D">
            <w:pPr>
              <w:pStyle w:val="TableText"/>
            </w:pPr>
          </w:p>
        </w:tc>
        <w:tc>
          <w:tcPr>
            <w:tcW w:w="1223" w:type="dxa"/>
          </w:tcPr>
          <w:p w14:paraId="14D8B1F7" w14:textId="77777777" w:rsidR="00B24B8C" w:rsidRDefault="00B24B8C" w:rsidP="001D706D">
            <w:pPr>
              <w:pStyle w:val="TableText"/>
            </w:pPr>
          </w:p>
        </w:tc>
        <w:tc>
          <w:tcPr>
            <w:tcW w:w="2014" w:type="dxa"/>
            <w:gridSpan w:val="2"/>
          </w:tcPr>
          <w:p w14:paraId="58301E35" w14:textId="77777777" w:rsidR="00B24B8C" w:rsidRDefault="00B24B8C" w:rsidP="001D706D">
            <w:pPr>
              <w:pStyle w:val="TableText"/>
            </w:pPr>
          </w:p>
        </w:tc>
        <w:tc>
          <w:tcPr>
            <w:tcW w:w="1224" w:type="dxa"/>
          </w:tcPr>
          <w:p w14:paraId="4903AA0D" w14:textId="77777777" w:rsidR="00B24B8C" w:rsidRDefault="00B24B8C" w:rsidP="001D706D">
            <w:pPr>
              <w:pStyle w:val="TableText"/>
            </w:pPr>
          </w:p>
        </w:tc>
        <w:tc>
          <w:tcPr>
            <w:tcW w:w="1223" w:type="dxa"/>
          </w:tcPr>
          <w:p w14:paraId="2C9F838C" w14:textId="77777777" w:rsidR="00B24B8C" w:rsidRDefault="00B24B8C" w:rsidP="001D706D">
            <w:pPr>
              <w:pStyle w:val="TableText"/>
            </w:pPr>
          </w:p>
        </w:tc>
        <w:tc>
          <w:tcPr>
            <w:tcW w:w="1223" w:type="dxa"/>
          </w:tcPr>
          <w:p w14:paraId="7E866EFE" w14:textId="77777777" w:rsidR="00B24B8C" w:rsidRDefault="00B24B8C" w:rsidP="001D706D">
            <w:pPr>
              <w:pStyle w:val="TableText"/>
            </w:pPr>
          </w:p>
        </w:tc>
      </w:tr>
    </w:tbl>
    <w:p w14:paraId="0C9DB6C3" w14:textId="77777777" w:rsidR="002E3C00" w:rsidRDefault="007F0132" w:rsidP="002E3C00">
      <w:pPr>
        <w:pStyle w:val="Heading3"/>
      </w:pPr>
      <w:r>
        <w:br w:type="page"/>
      </w:r>
      <w:bookmarkStart w:id="710" w:name="_Toc149064239"/>
      <w:r w:rsidR="002E3C00">
        <w:t>Local Facilities</w:t>
      </w:r>
      <w:bookmarkEnd w:id="707"/>
      <w:bookmarkEnd w:id="708"/>
      <w:bookmarkEnd w:id="709"/>
      <w:bookmarkEnd w:id="710"/>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Local Facilities</w:instrText>
      </w:r>
      <w:r w:rsidR="00992E88">
        <w:instrText xml:space="preserve">" </w:instrText>
      </w:r>
      <w:r w:rsidR="00992E88">
        <w:fldChar w:fldCharType="end"/>
      </w:r>
    </w:p>
    <w:p w14:paraId="197918DB" w14:textId="686F6D75" w:rsidR="002E3C00" w:rsidRDefault="002E3C00" w:rsidP="002E3C00">
      <w:pPr>
        <w:pStyle w:val="BodyText"/>
      </w:pPr>
      <w:r>
        <w:t>The user customizes collection facility information.</w:t>
      </w:r>
      <w:r w:rsidR="008D2779">
        <w:t xml:space="preserve"> For more information, see </w:t>
      </w:r>
      <w:r w:rsidR="00EE455E">
        <w:t xml:space="preserve">Appendix </w:t>
      </w:r>
      <w:r w:rsidR="00EE455E">
        <w:rPr>
          <w:noProof/>
        </w:rPr>
        <w:t>G</w:t>
      </w:r>
      <w:r w:rsidR="00EE455E">
        <w:t>: Work Process Flowcharts</w:t>
      </w:r>
      <w:r w:rsidR="008D2779">
        <w:t>.</w:t>
      </w:r>
    </w:p>
    <w:p w14:paraId="55BB3E02" w14:textId="77777777" w:rsidR="002E3C00" w:rsidRDefault="002E3C00" w:rsidP="002E3C00">
      <w:pPr>
        <w:pStyle w:val="Heading4"/>
      </w:pPr>
      <w:r>
        <w:t>User Roles with Access to This Option</w:t>
      </w:r>
    </w:p>
    <w:p w14:paraId="0B46B244" w14:textId="77777777" w:rsidR="002E3C00" w:rsidRDefault="002E3C00" w:rsidP="002E3C00">
      <w:pPr>
        <w:pStyle w:val="Roles"/>
      </w:pPr>
      <w:r>
        <w:t>All users (activate a facility)</w:t>
      </w:r>
    </w:p>
    <w:p w14:paraId="32317E85" w14:textId="77777777" w:rsidR="002E3C00" w:rsidRPr="00FC5C6B"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 (add a facility)</w:t>
      </w:r>
    </w:p>
    <w:p w14:paraId="2FCF876A" w14:textId="77777777" w:rsidR="002E3C00" w:rsidRDefault="00B74754" w:rsidP="002E3C00">
      <w:pPr>
        <w:pStyle w:val="Heading4"/>
      </w:pPr>
      <w:r>
        <w:t>Preparation for Testing</w:t>
      </w:r>
    </w:p>
    <w:p w14:paraId="478AB1D8" w14:textId="77777777" w:rsidR="00061FCF" w:rsidRPr="00600497" w:rsidRDefault="00061FCF" w:rsidP="00925CAD">
      <w:pPr>
        <w:pStyle w:val="ListNumber"/>
        <w:numPr>
          <w:ilvl w:val="0"/>
          <w:numId w:val="23"/>
        </w:numPr>
        <w:tabs>
          <w:tab w:val="clear" w:pos="720"/>
          <w:tab w:val="num" w:pos="360"/>
        </w:tabs>
        <w:ind w:left="360"/>
      </w:pPr>
      <w:r w:rsidRPr="00600497">
        <w:t>Use the sample worksheet to record information.</w:t>
      </w:r>
    </w:p>
    <w:p w14:paraId="2ED5781F" w14:textId="77777777" w:rsidR="002E3C00" w:rsidRPr="00600497" w:rsidRDefault="002E3C00" w:rsidP="00925CAD">
      <w:pPr>
        <w:pStyle w:val="ListNumber"/>
        <w:numPr>
          <w:ilvl w:val="0"/>
          <w:numId w:val="23"/>
        </w:numPr>
        <w:tabs>
          <w:tab w:val="clear" w:pos="720"/>
          <w:tab w:val="num" w:pos="360"/>
        </w:tabs>
        <w:ind w:left="360"/>
      </w:pPr>
      <w:r w:rsidRPr="00600497">
        <w:t xml:space="preserve">Capture and save a screen shot of each piece of information. </w:t>
      </w:r>
    </w:p>
    <w:p w14:paraId="4E6E1022" w14:textId="77777777" w:rsidR="00232E43" w:rsidRPr="00FB7F8D" w:rsidRDefault="00232E43" w:rsidP="00925CAD">
      <w:pPr>
        <w:pStyle w:val="ListNumber"/>
        <w:numPr>
          <w:ilvl w:val="0"/>
          <w:numId w:val="23"/>
        </w:numPr>
        <w:tabs>
          <w:tab w:val="clear" w:pos="720"/>
          <w:tab w:val="num" w:pos="360"/>
        </w:tabs>
        <w:ind w:left="360"/>
      </w:pPr>
      <w:r w:rsidRPr="00600497">
        <w:t>Print, sign, date, and save an Audit Trail Report for your v</w:t>
      </w:r>
      <w:r w:rsidRPr="00FB7F8D">
        <w:t>alidation record.</w:t>
      </w:r>
    </w:p>
    <w:p w14:paraId="6F6DBE24" w14:textId="6EB23EE2" w:rsidR="002E3C00" w:rsidRDefault="002E3C00" w:rsidP="002E3C00">
      <w:pPr>
        <w:pStyle w:val="Caption"/>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30</w:t>
      </w:r>
      <w:r w:rsidR="004E20BD">
        <w:rPr>
          <w:noProof/>
        </w:rPr>
        <w:fldChar w:fldCharType="end"/>
      </w:r>
      <w:r>
        <w:t>: Sample Local Facilities Worksheet</w:t>
      </w:r>
      <w:r w:rsidR="00AD60CF">
        <w:fldChar w:fldCharType="begin"/>
      </w:r>
      <w:r w:rsidR="00292A7B">
        <w:instrText xml:space="preserve"> XE "Tables:</w:instrText>
      </w:r>
      <w:r w:rsidR="00AD60CF" w:rsidRPr="0046419F">
        <w:instrText>Sample Local Facilities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160"/>
        <w:gridCol w:w="1440"/>
        <w:gridCol w:w="1440"/>
        <w:gridCol w:w="1440"/>
        <w:gridCol w:w="1440"/>
      </w:tblGrid>
      <w:tr w:rsidR="00400E39" w:rsidRPr="00B562A7" w14:paraId="10F6FA58" w14:textId="77777777">
        <w:trPr>
          <w:tblHeader/>
        </w:trPr>
        <w:tc>
          <w:tcPr>
            <w:tcW w:w="1440" w:type="dxa"/>
            <w:vMerge w:val="restart"/>
            <w:shd w:val="clear" w:color="auto" w:fill="B3B3B3"/>
            <w:vAlign w:val="bottom"/>
          </w:tcPr>
          <w:p w14:paraId="60246A74" w14:textId="77777777" w:rsidR="00400E39" w:rsidRPr="00B562A7" w:rsidRDefault="00400E39" w:rsidP="002E3C00">
            <w:pPr>
              <w:pStyle w:val="TableText"/>
              <w:rPr>
                <w:b/>
              </w:rPr>
            </w:pPr>
            <w:r>
              <w:rPr>
                <w:b/>
              </w:rPr>
              <w:t>FDA Reg. No.</w:t>
            </w:r>
          </w:p>
        </w:tc>
        <w:tc>
          <w:tcPr>
            <w:tcW w:w="2160" w:type="dxa"/>
            <w:vMerge w:val="restart"/>
            <w:shd w:val="clear" w:color="auto" w:fill="B3B3B3"/>
            <w:vAlign w:val="bottom"/>
          </w:tcPr>
          <w:p w14:paraId="7014DC40" w14:textId="77777777" w:rsidR="00400E39" w:rsidRPr="00B562A7" w:rsidRDefault="00400E39" w:rsidP="002E3C00">
            <w:pPr>
              <w:pStyle w:val="TableText"/>
              <w:rPr>
                <w:b/>
              </w:rPr>
            </w:pPr>
            <w:r>
              <w:rPr>
                <w:b/>
              </w:rPr>
              <w:t>Facility Name</w:t>
            </w:r>
          </w:p>
        </w:tc>
        <w:tc>
          <w:tcPr>
            <w:tcW w:w="1440" w:type="dxa"/>
            <w:vMerge w:val="restart"/>
            <w:shd w:val="clear" w:color="auto" w:fill="B3B3B3"/>
            <w:vAlign w:val="bottom"/>
          </w:tcPr>
          <w:p w14:paraId="6B52639B" w14:textId="77777777" w:rsidR="00400E39" w:rsidRPr="00B562A7" w:rsidRDefault="00400E39" w:rsidP="002E3C00">
            <w:pPr>
              <w:pStyle w:val="TableText"/>
              <w:rPr>
                <w:b/>
              </w:rPr>
            </w:pPr>
            <w:r>
              <w:rPr>
                <w:b/>
              </w:rPr>
              <w:t>ICCBBA Reg. No.</w:t>
            </w:r>
          </w:p>
        </w:tc>
        <w:tc>
          <w:tcPr>
            <w:tcW w:w="2880" w:type="dxa"/>
            <w:gridSpan w:val="2"/>
            <w:shd w:val="clear" w:color="auto" w:fill="B3B3B3"/>
            <w:vAlign w:val="bottom"/>
          </w:tcPr>
          <w:p w14:paraId="52C421ED" w14:textId="77777777" w:rsidR="00400E39" w:rsidRPr="00B562A7" w:rsidRDefault="00400E39" w:rsidP="001E4018">
            <w:pPr>
              <w:pStyle w:val="TableText"/>
              <w:jc w:val="center"/>
              <w:rPr>
                <w:b/>
              </w:rPr>
            </w:pPr>
            <w:r>
              <w:rPr>
                <w:b/>
              </w:rPr>
              <w:t>Facility Type</w:t>
            </w:r>
          </w:p>
        </w:tc>
        <w:tc>
          <w:tcPr>
            <w:tcW w:w="1440" w:type="dxa"/>
            <w:vMerge w:val="restart"/>
            <w:shd w:val="clear" w:color="auto" w:fill="B3B3B3"/>
            <w:vAlign w:val="bottom"/>
          </w:tcPr>
          <w:p w14:paraId="49565B3C" w14:textId="77777777" w:rsidR="00400E39" w:rsidRPr="00B562A7" w:rsidRDefault="00400E39" w:rsidP="002E3C00">
            <w:pPr>
              <w:pStyle w:val="TableText"/>
              <w:rPr>
                <w:b/>
              </w:rPr>
            </w:pPr>
            <w:r>
              <w:rPr>
                <w:b/>
              </w:rPr>
              <w:t>Active Facility?</w:t>
            </w:r>
          </w:p>
        </w:tc>
      </w:tr>
      <w:tr w:rsidR="00400E39" w:rsidRPr="00B562A7" w14:paraId="7C445CC1" w14:textId="77777777">
        <w:trPr>
          <w:tblHeader/>
        </w:trPr>
        <w:tc>
          <w:tcPr>
            <w:tcW w:w="1440" w:type="dxa"/>
            <w:vMerge/>
            <w:shd w:val="clear" w:color="auto" w:fill="B3B3B3"/>
          </w:tcPr>
          <w:p w14:paraId="6DEECADF" w14:textId="77777777" w:rsidR="00400E39" w:rsidRPr="00B562A7" w:rsidRDefault="00400E39" w:rsidP="002E3C00">
            <w:pPr>
              <w:pStyle w:val="TableText"/>
              <w:rPr>
                <w:b/>
              </w:rPr>
            </w:pPr>
          </w:p>
        </w:tc>
        <w:tc>
          <w:tcPr>
            <w:tcW w:w="2160" w:type="dxa"/>
            <w:vMerge/>
            <w:shd w:val="clear" w:color="auto" w:fill="B3B3B3"/>
          </w:tcPr>
          <w:p w14:paraId="7CE9C318" w14:textId="77777777" w:rsidR="00400E39" w:rsidRPr="00B562A7" w:rsidRDefault="00400E39" w:rsidP="002E3C00">
            <w:pPr>
              <w:pStyle w:val="TableText"/>
              <w:rPr>
                <w:b/>
              </w:rPr>
            </w:pPr>
          </w:p>
        </w:tc>
        <w:tc>
          <w:tcPr>
            <w:tcW w:w="1440" w:type="dxa"/>
            <w:vMerge/>
            <w:shd w:val="clear" w:color="auto" w:fill="B3B3B3"/>
          </w:tcPr>
          <w:p w14:paraId="2EEE7A1D" w14:textId="77777777" w:rsidR="00400E39" w:rsidRPr="00B562A7" w:rsidRDefault="00400E39" w:rsidP="002E3C00">
            <w:pPr>
              <w:pStyle w:val="TableText"/>
              <w:rPr>
                <w:b/>
              </w:rPr>
            </w:pPr>
          </w:p>
        </w:tc>
        <w:tc>
          <w:tcPr>
            <w:tcW w:w="1440" w:type="dxa"/>
            <w:shd w:val="clear" w:color="auto" w:fill="B3B3B3"/>
            <w:vAlign w:val="bottom"/>
          </w:tcPr>
          <w:p w14:paraId="0DCF70E5" w14:textId="77777777" w:rsidR="00400E39" w:rsidRPr="00B562A7" w:rsidRDefault="00400E39" w:rsidP="002E3C00">
            <w:pPr>
              <w:pStyle w:val="TableText"/>
              <w:rPr>
                <w:b/>
              </w:rPr>
            </w:pPr>
            <w:r>
              <w:rPr>
                <w:b/>
              </w:rPr>
              <w:t>Collection Facility?</w:t>
            </w:r>
          </w:p>
        </w:tc>
        <w:tc>
          <w:tcPr>
            <w:tcW w:w="1440" w:type="dxa"/>
            <w:shd w:val="clear" w:color="auto" w:fill="B3B3B3"/>
            <w:vAlign w:val="bottom"/>
          </w:tcPr>
          <w:p w14:paraId="6A2ACA2B" w14:textId="77777777" w:rsidR="00400E39" w:rsidRPr="00B562A7" w:rsidRDefault="00400E39" w:rsidP="002E3C00">
            <w:pPr>
              <w:pStyle w:val="TableText"/>
              <w:rPr>
                <w:b/>
              </w:rPr>
            </w:pPr>
            <w:r>
              <w:rPr>
                <w:b/>
              </w:rPr>
              <w:t>Testing Facility?</w:t>
            </w:r>
          </w:p>
        </w:tc>
        <w:tc>
          <w:tcPr>
            <w:tcW w:w="1440" w:type="dxa"/>
            <w:vMerge/>
            <w:shd w:val="clear" w:color="auto" w:fill="B3B3B3"/>
          </w:tcPr>
          <w:p w14:paraId="069AD0AE" w14:textId="77777777" w:rsidR="00400E39" w:rsidRPr="00B562A7" w:rsidRDefault="00400E39" w:rsidP="002E3C00">
            <w:pPr>
              <w:pStyle w:val="TableText"/>
              <w:rPr>
                <w:b/>
              </w:rPr>
            </w:pPr>
          </w:p>
        </w:tc>
      </w:tr>
      <w:tr w:rsidR="00400E39" w14:paraId="32A79386" w14:textId="77777777">
        <w:tc>
          <w:tcPr>
            <w:tcW w:w="1440" w:type="dxa"/>
          </w:tcPr>
          <w:p w14:paraId="65A74522" w14:textId="77777777" w:rsidR="00400E39" w:rsidRDefault="009E20D1" w:rsidP="002E3C00">
            <w:pPr>
              <w:pStyle w:val="TableText"/>
            </w:pPr>
            <w:r>
              <w:t>2577690</w:t>
            </w:r>
          </w:p>
        </w:tc>
        <w:tc>
          <w:tcPr>
            <w:tcW w:w="2160" w:type="dxa"/>
          </w:tcPr>
          <w:p w14:paraId="5D140E47" w14:textId="77777777" w:rsidR="00400E39" w:rsidRDefault="009E20D1" w:rsidP="002E3C00">
            <w:pPr>
              <w:pStyle w:val="TableText"/>
            </w:pPr>
            <w:r>
              <w:t>Abington Memorial Hospital</w:t>
            </w:r>
          </w:p>
        </w:tc>
        <w:tc>
          <w:tcPr>
            <w:tcW w:w="1440" w:type="dxa"/>
          </w:tcPr>
          <w:p w14:paraId="6574AD55" w14:textId="77777777" w:rsidR="00400E39" w:rsidRDefault="009E20D1" w:rsidP="002E3C00">
            <w:pPr>
              <w:pStyle w:val="TableText"/>
            </w:pPr>
            <w:r>
              <w:t>W0002</w:t>
            </w:r>
          </w:p>
        </w:tc>
        <w:tc>
          <w:tcPr>
            <w:tcW w:w="1440" w:type="dxa"/>
          </w:tcPr>
          <w:p w14:paraId="482A732A" w14:textId="77777777" w:rsidR="00400E39" w:rsidRDefault="009E20D1" w:rsidP="002E3C00">
            <w:pPr>
              <w:pStyle w:val="TableText"/>
            </w:pPr>
            <w:r>
              <w:sym w:font="Wingdings" w:char="F0FC"/>
            </w:r>
          </w:p>
        </w:tc>
        <w:tc>
          <w:tcPr>
            <w:tcW w:w="1440" w:type="dxa"/>
          </w:tcPr>
          <w:p w14:paraId="1F90F192" w14:textId="77777777" w:rsidR="00400E39" w:rsidRDefault="00400E39" w:rsidP="002E3C00">
            <w:pPr>
              <w:pStyle w:val="TableText"/>
            </w:pPr>
          </w:p>
        </w:tc>
        <w:tc>
          <w:tcPr>
            <w:tcW w:w="1440" w:type="dxa"/>
          </w:tcPr>
          <w:p w14:paraId="16902351" w14:textId="77777777" w:rsidR="00400E39" w:rsidRDefault="009E20D1" w:rsidP="002E3C00">
            <w:pPr>
              <w:pStyle w:val="TableText"/>
            </w:pPr>
            <w:r>
              <w:sym w:font="Wingdings" w:char="F0FC"/>
            </w:r>
          </w:p>
        </w:tc>
      </w:tr>
    </w:tbl>
    <w:p w14:paraId="61D33EE3" w14:textId="6658B036" w:rsidR="00B24B8C" w:rsidRDefault="00B24B8C" w:rsidP="00B24B8C">
      <w:pPr>
        <w:pStyle w:val="Caption"/>
      </w:pPr>
      <w:bookmarkStart w:id="711" w:name="_Toc85895790"/>
      <w:bookmarkStart w:id="712" w:name="_Toc113264248"/>
      <w:bookmarkStart w:id="713" w:name="_Toc114462103"/>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31</w:t>
      </w:r>
      <w:r w:rsidR="004E20BD">
        <w:rPr>
          <w:noProof/>
        </w:rPr>
        <w:fldChar w:fldCharType="end"/>
      </w:r>
      <w:r>
        <w:t>: Local Facilities Worksheet</w:t>
      </w:r>
      <w:r>
        <w:fldChar w:fldCharType="begin"/>
      </w:r>
      <w:r>
        <w:instrText xml:space="preserve"> XE "Tables:</w:instrText>
      </w:r>
      <w:r w:rsidRPr="0046419F">
        <w:instrText>Local Facilities Worksheet</w:instrText>
      </w:r>
      <w:r>
        <w:instrText xml:space="preserve">" </w:instrText>
      </w:r>
      <w:r>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160"/>
        <w:gridCol w:w="1440"/>
        <w:gridCol w:w="1440"/>
        <w:gridCol w:w="1440"/>
        <w:gridCol w:w="1440"/>
      </w:tblGrid>
      <w:tr w:rsidR="00B24B8C" w:rsidRPr="00B562A7" w14:paraId="5B602E98" w14:textId="77777777">
        <w:trPr>
          <w:tblHeader/>
        </w:trPr>
        <w:tc>
          <w:tcPr>
            <w:tcW w:w="1440" w:type="dxa"/>
            <w:vMerge w:val="restart"/>
            <w:shd w:val="clear" w:color="auto" w:fill="B3B3B3"/>
            <w:vAlign w:val="bottom"/>
          </w:tcPr>
          <w:p w14:paraId="0020880D" w14:textId="77777777" w:rsidR="00B24B8C" w:rsidRPr="00B562A7" w:rsidRDefault="00B24B8C" w:rsidP="001D706D">
            <w:pPr>
              <w:pStyle w:val="TableText"/>
              <w:rPr>
                <w:b/>
              </w:rPr>
            </w:pPr>
            <w:r>
              <w:rPr>
                <w:b/>
              </w:rPr>
              <w:t>FDA Reg. No.</w:t>
            </w:r>
          </w:p>
        </w:tc>
        <w:tc>
          <w:tcPr>
            <w:tcW w:w="2160" w:type="dxa"/>
            <w:vMerge w:val="restart"/>
            <w:shd w:val="clear" w:color="auto" w:fill="B3B3B3"/>
            <w:vAlign w:val="bottom"/>
          </w:tcPr>
          <w:p w14:paraId="7B0FF851" w14:textId="77777777" w:rsidR="00B24B8C" w:rsidRPr="00B562A7" w:rsidRDefault="00B24B8C" w:rsidP="001D706D">
            <w:pPr>
              <w:pStyle w:val="TableText"/>
              <w:rPr>
                <w:b/>
              </w:rPr>
            </w:pPr>
            <w:r>
              <w:rPr>
                <w:b/>
              </w:rPr>
              <w:t>Facility Name</w:t>
            </w:r>
          </w:p>
        </w:tc>
        <w:tc>
          <w:tcPr>
            <w:tcW w:w="1440" w:type="dxa"/>
            <w:vMerge w:val="restart"/>
            <w:shd w:val="clear" w:color="auto" w:fill="B3B3B3"/>
            <w:vAlign w:val="bottom"/>
          </w:tcPr>
          <w:p w14:paraId="2EB631F7" w14:textId="77777777" w:rsidR="00B24B8C" w:rsidRPr="00B562A7" w:rsidRDefault="00B24B8C" w:rsidP="001D706D">
            <w:pPr>
              <w:pStyle w:val="TableText"/>
              <w:rPr>
                <w:b/>
              </w:rPr>
            </w:pPr>
            <w:r>
              <w:rPr>
                <w:b/>
              </w:rPr>
              <w:t>ICCBBA Reg. No.</w:t>
            </w:r>
          </w:p>
        </w:tc>
        <w:tc>
          <w:tcPr>
            <w:tcW w:w="1440" w:type="dxa"/>
            <w:gridSpan w:val="2"/>
            <w:shd w:val="clear" w:color="auto" w:fill="B3B3B3"/>
            <w:vAlign w:val="bottom"/>
          </w:tcPr>
          <w:p w14:paraId="1EA7A03B" w14:textId="77777777" w:rsidR="00B24B8C" w:rsidRPr="00B562A7" w:rsidRDefault="00B24B8C" w:rsidP="001E4018">
            <w:pPr>
              <w:pStyle w:val="TableText"/>
              <w:jc w:val="center"/>
              <w:rPr>
                <w:b/>
              </w:rPr>
            </w:pPr>
            <w:r>
              <w:rPr>
                <w:b/>
              </w:rPr>
              <w:t>Facility Type</w:t>
            </w:r>
          </w:p>
        </w:tc>
        <w:tc>
          <w:tcPr>
            <w:tcW w:w="1440" w:type="dxa"/>
            <w:vMerge w:val="restart"/>
            <w:shd w:val="clear" w:color="auto" w:fill="B3B3B3"/>
            <w:vAlign w:val="bottom"/>
          </w:tcPr>
          <w:p w14:paraId="1FBAC68F" w14:textId="77777777" w:rsidR="00B24B8C" w:rsidRPr="00B562A7" w:rsidRDefault="00B24B8C" w:rsidP="001D706D">
            <w:pPr>
              <w:pStyle w:val="TableText"/>
              <w:rPr>
                <w:b/>
              </w:rPr>
            </w:pPr>
            <w:r>
              <w:rPr>
                <w:b/>
              </w:rPr>
              <w:t>Active Facility?</w:t>
            </w:r>
          </w:p>
        </w:tc>
      </w:tr>
      <w:tr w:rsidR="00B24B8C" w:rsidRPr="00B562A7" w14:paraId="228D1FD3" w14:textId="77777777">
        <w:trPr>
          <w:tblHeader/>
        </w:trPr>
        <w:tc>
          <w:tcPr>
            <w:tcW w:w="1440" w:type="dxa"/>
            <w:vMerge/>
            <w:shd w:val="clear" w:color="auto" w:fill="B3B3B3"/>
          </w:tcPr>
          <w:p w14:paraId="13E86479" w14:textId="77777777" w:rsidR="00B24B8C" w:rsidRPr="00B562A7" w:rsidRDefault="00B24B8C" w:rsidP="001D706D">
            <w:pPr>
              <w:pStyle w:val="TableText"/>
              <w:rPr>
                <w:b/>
              </w:rPr>
            </w:pPr>
          </w:p>
        </w:tc>
        <w:tc>
          <w:tcPr>
            <w:tcW w:w="2160" w:type="dxa"/>
            <w:vMerge/>
            <w:shd w:val="clear" w:color="auto" w:fill="B3B3B3"/>
          </w:tcPr>
          <w:p w14:paraId="556334F9" w14:textId="77777777" w:rsidR="00B24B8C" w:rsidRPr="00B562A7" w:rsidRDefault="00B24B8C" w:rsidP="001D706D">
            <w:pPr>
              <w:pStyle w:val="TableText"/>
              <w:rPr>
                <w:b/>
              </w:rPr>
            </w:pPr>
          </w:p>
        </w:tc>
        <w:tc>
          <w:tcPr>
            <w:tcW w:w="1440" w:type="dxa"/>
            <w:vMerge/>
            <w:shd w:val="clear" w:color="auto" w:fill="B3B3B3"/>
          </w:tcPr>
          <w:p w14:paraId="59F40514" w14:textId="77777777" w:rsidR="00B24B8C" w:rsidRPr="00B562A7" w:rsidRDefault="00B24B8C" w:rsidP="001D706D">
            <w:pPr>
              <w:pStyle w:val="TableText"/>
              <w:rPr>
                <w:b/>
              </w:rPr>
            </w:pPr>
          </w:p>
        </w:tc>
        <w:tc>
          <w:tcPr>
            <w:tcW w:w="1440" w:type="dxa"/>
            <w:shd w:val="clear" w:color="auto" w:fill="B3B3B3"/>
          </w:tcPr>
          <w:p w14:paraId="0173BB31" w14:textId="77777777" w:rsidR="00B24B8C" w:rsidRPr="00B562A7" w:rsidRDefault="00B24B8C" w:rsidP="001D706D">
            <w:pPr>
              <w:pStyle w:val="TableText"/>
              <w:rPr>
                <w:b/>
              </w:rPr>
            </w:pPr>
            <w:r>
              <w:rPr>
                <w:b/>
              </w:rPr>
              <w:t>Collection Facility?</w:t>
            </w:r>
          </w:p>
        </w:tc>
        <w:tc>
          <w:tcPr>
            <w:tcW w:w="1440" w:type="dxa"/>
            <w:shd w:val="clear" w:color="auto" w:fill="B3B3B3"/>
          </w:tcPr>
          <w:p w14:paraId="4FE101FE" w14:textId="77777777" w:rsidR="00B24B8C" w:rsidRPr="00B562A7" w:rsidRDefault="00B24B8C" w:rsidP="001D706D">
            <w:pPr>
              <w:pStyle w:val="TableText"/>
              <w:rPr>
                <w:b/>
              </w:rPr>
            </w:pPr>
            <w:r>
              <w:rPr>
                <w:b/>
              </w:rPr>
              <w:t>Testing Facility?</w:t>
            </w:r>
          </w:p>
        </w:tc>
        <w:tc>
          <w:tcPr>
            <w:tcW w:w="1440" w:type="dxa"/>
            <w:vMerge/>
            <w:shd w:val="clear" w:color="auto" w:fill="B3B3B3"/>
          </w:tcPr>
          <w:p w14:paraId="06165A26" w14:textId="77777777" w:rsidR="00B24B8C" w:rsidRPr="00B562A7" w:rsidRDefault="00B24B8C" w:rsidP="001D706D">
            <w:pPr>
              <w:pStyle w:val="TableText"/>
              <w:rPr>
                <w:b/>
              </w:rPr>
            </w:pPr>
          </w:p>
        </w:tc>
      </w:tr>
      <w:tr w:rsidR="00B24B8C" w14:paraId="111E4BFC" w14:textId="77777777">
        <w:tc>
          <w:tcPr>
            <w:tcW w:w="1440" w:type="dxa"/>
          </w:tcPr>
          <w:p w14:paraId="1B0AA816" w14:textId="77777777" w:rsidR="00B24B8C" w:rsidRDefault="00B24B8C" w:rsidP="001D706D">
            <w:pPr>
              <w:pStyle w:val="TableText"/>
            </w:pPr>
          </w:p>
        </w:tc>
        <w:tc>
          <w:tcPr>
            <w:tcW w:w="2160" w:type="dxa"/>
          </w:tcPr>
          <w:p w14:paraId="02DF23F2" w14:textId="77777777" w:rsidR="00B24B8C" w:rsidRDefault="00B24B8C" w:rsidP="001D706D">
            <w:pPr>
              <w:pStyle w:val="TableText"/>
            </w:pPr>
          </w:p>
        </w:tc>
        <w:tc>
          <w:tcPr>
            <w:tcW w:w="1440" w:type="dxa"/>
          </w:tcPr>
          <w:p w14:paraId="4572A71F" w14:textId="77777777" w:rsidR="00B24B8C" w:rsidRDefault="00B24B8C" w:rsidP="001D706D">
            <w:pPr>
              <w:pStyle w:val="TableText"/>
            </w:pPr>
          </w:p>
        </w:tc>
        <w:tc>
          <w:tcPr>
            <w:tcW w:w="1440" w:type="dxa"/>
          </w:tcPr>
          <w:p w14:paraId="5A82308C" w14:textId="77777777" w:rsidR="00B24B8C" w:rsidRDefault="00B24B8C" w:rsidP="001D706D">
            <w:pPr>
              <w:pStyle w:val="TableText"/>
            </w:pPr>
          </w:p>
        </w:tc>
        <w:tc>
          <w:tcPr>
            <w:tcW w:w="1440" w:type="dxa"/>
          </w:tcPr>
          <w:p w14:paraId="4F8D44FF" w14:textId="77777777" w:rsidR="00B24B8C" w:rsidRDefault="00B24B8C" w:rsidP="001D706D">
            <w:pPr>
              <w:pStyle w:val="TableText"/>
            </w:pPr>
          </w:p>
        </w:tc>
        <w:tc>
          <w:tcPr>
            <w:tcW w:w="1440" w:type="dxa"/>
          </w:tcPr>
          <w:p w14:paraId="799CD82E" w14:textId="77777777" w:rsidR="00B24B8C" w:rsidRDefault="00B24B8C" w:rsidP="001D706D">
            <w:pPr>
              <w:pStyle w:val="TableText"/>
            </w:pPr>
          </w:p>
        </w:tc>
      </w:tr>
      <w:tr w:rsidR="00B24B8C" w14:paraId="22E7CDCA" w14:textId="77777777">
        <w:tc>
          <w:tcPr>
            <w:tcW w:w="1440" w:type="dxa"/>
          </w:tcPr>
          <w:p w14:paraId="5255ABFB" w14:textId="77777777" w:rsidR="00B24B8C" w:rsidRDefault="00B24B8C" w:rsidP="001D706D">
            <w:pPr>
              <w:pStyle w:val="TableText"/>
            </w:pPr>
          </w:p>
        </w:tc>
        <w:tc>
          <w:tcPr>
            <w:tcW w:w="2160" w:type="dxa"/>
          </w:tcPr>
          <w:p w14:paraId="3BB3A72F" w14:textId="77777777" w:rsidR="00B24B8C" w:rsidRDefault="00B24B8C" w:rsidP="001D706D">
            <w:pPr>
              <w:pStyle w:val="TableText"/>
            </w:pPr>
          </w:p>
        </w:tc>
        <w:tc>
          <w:tcPr>
            <w:tcW w:w="1440" w:type="dxa"/>
          </w:tcPr>
          <w:p w14:paraId="7621783C" w14:textId="77777777" w:rsidR="00B24B8C" w:rsidRDefault="00B24B8C" w:rsidP="001D706D">
            <w:pPr>
              <w:pStyle w:val="TableText"/>
            </w:pPr>
          </w:p>
        </w:tc>
        <w:tc>
          <w:tcPr>
            <w:tcW w:w="1440" w:type="dxa"/>
          </w:tcPr>
          <w:p w14:paraId="7D0E7E8B" w14:textId="77777777" w:rsidR="00B24B8C" w:rsidRDefault="00B24B8C" w:rsidP="001D706D">
            <w:pPr>
              <w:pStyle w:val="TableText"/>
            </w:pPr>
          </w:p>
        </w:tc>
        <w:tc>
          <w:tcPr>
            <w:tcW w:w="1440" w:type="dxa"/>
          </w:tcPr>
          <w:p w14:paraId="3019984D" w14:textId="77777777" w:rsidR="00B24B8C" w:rsidRDefault="00B24B8C" w:rsidP="001D706D">
            <w:pPr>
              <w:pStyle w:val="TableText"/>
            </w:pPr>
          </w:p>
        </w:tc>
        <w:tc>
          <w:tcPr>
            <w:tcW w:w="1440" w:type="dxa"/>
          </w:tcPr>
          <w:p w14:paraId="60F49AE9" w14:textId="77777777" w:rsidR="00B24B8C" w:rsidRDefault="00B24B8C" w:rsidP="001D706D">
            <w:pPr>
              <w:pStyle w:val="TableText"/>
            </w:pPr>
          </w:p>
        </w:tc>
      </w:tr>
      <w:tr w:rsidR="00B24B8C" w14:paraId="024D7CAB" w14:textId="77777777">
        <w:tc>
          <w:tcPr>
            <w:tcW w:w="1440" w:type="dxa"/>
          </w:tcPr>
          <w:p w14:paraId="31CE7C80" w14:textId="77777777" w:rsidR="00B24B8C" w:rsidRDefault="00B24B8C" w:rsidP="001D706D">
            <w:pPr>
              <w:pStyle w:val="TableText"/>
            </w:pPr>
          </w:p>
        </w:tc>
        <w:tc>
          <w:tcPr>
            <w:tcW w:w="2160" w:type="dxa"/>
          </w:tcPr>
          <w:p w14:paraId="598B043A" w14:textId="77777777" w:rsidR="00B24B8C" w:rsidRDefault="00B24B8C" w:rsidP="001D706D">
            <w:pPr>
              <w:pStyle w:val="TableText"/>
            </w:pPr>
          </w:p>
        </w:tc>
        <w:tc>
          <w:tcPr>
            <w:tcW w:w="1440" w:type="dxa"/>
          </w:tcPr>
          <w:p w14:paraId="452E1B15" w14:textId="77777777" w:rsidR="00B24B8C" w:rsidRDefault="00B24B8C" w:rsidP="001D706D">
            <w:pPr>
              <w:pStyle w:val="TableText"/>
            </w:pPr>
          </w:p>
        </w:tc>
        <w:tc>
          <w:tcPr>
            <w:tcW w:w="1440" w:type="dxa"/>
          </w:tcPr>
          <w:p w14:paraId="14D1D1B1" w14:textId="77777777" w:rsidR="00B24B8C" w:rsidRDefault="00B24B8C" w:rsidP="001D706D">
            <w:pPr>
              <w:pStyle w:val="TableText"/>
            </w:pPr>
          </w:p>
        </w:tc>
        <w:tc>
          <w:tcPr>
            <w:tcW w:w="1440" w:type="dxa"/>
          </w:tcPr>
          <w:p w14:paraId="50663DB4" w14:textId="77777777" w:rsidR="00B24B8C" w:rsidRDefault="00B24B8C" w:rsidP="001D706D">
            <w:pPr>
              <w:pStyle w:val="TableText"/>
            </w:pPr>
          </w:p>
        </w:tc>
        <w:tc>
          <w:tcPr>
            <w:tcW w:w="1440" w:type="dxa"/>
          </w:tcPr>
          <w:p w14:paraId="7D5A0A63" w14:textId="77777777" w:rsidR="00B24B8C" w:rsidRDefault="00B24B8C" w:rsidP="001D706D">
            <w:pPr>
              <w:pStyle w:val="TableText"/>
            </w:pPr>
          </w:p>
        </w:tc>
      </w:tr>
      <w:tr w:rsidR="00B24B8C" w14:paraId="7724B31F" w14:textId="77777777">
        <w:tc>
          <w:tcPr>
            <w:tcW w:w="1440" w:type="dxa"/>
          </w:tcPr>
          <w:p w14:paraId="71B4539B" w14:textId="77777777" w:rsidR="00B24B8C" w:rsidRDefault="00B24B8C" w:rsidP="001D706D">
            <w:pPr>
              <w:pStyle w:val="TableText"/>
            </w:pPr>
          </w:p>
        </w:tc>
        <w:tc>
          <w:tcPr>
            <w:tcW w:w="2160" w:type="dxa"/>
          </w:tcPr>
          <w:p w14:paraId="2DF856F3" w14:textId="77777777" w:rsidR="00B24B8C" w:rsidRDefault="00B24B8C" w:rsidP="001D706D">
            <w:pPr>
              <w:pStyle w:val="TableText"/>
            </w:pPr>
          </w:p>
        </w:tc>
        <w:tc>
          <w:tcPr>
            <w:tcW w:w="1440" w:type="dxa"/>
          </w:tcPr>
          <w:p w14:paraId="2B2C7993" w14:textId="77777777" w:rsidR="00B24B8C" w:rsidRDefault="00B24B8C" w:rsidP="001D706D">
            <w:pPr>
              <w:pStyle w:val="TableText"/>
            </w:pPr>
          </w:p>
        </w:tc>
        <w:tc>
          <w:tcPr>
            <w:tcW w:w="1440" w:type="dxa"/>
          </w:tcPr>
          <w:p w14:paraId="6440D950" w14:textId="77777777" w:rsidR="00B24B8C" w:rsidRDefault="00B24B8C" w:rsidP="001D706D">
            <w:pPr>
              <w:pStyle w:val="TableText"/>
            </w:pPr>
          </w:p>
        </w:tc>
        <w:tc>
          <w:tcPr>
            <w:tcW w:w="1440" w:type="dxa"/>
          </w:tcPr>
          <w:p w14:paraId="26DDB4E5" w14:textId="77777777" w:rsidR="00B24B8C" w:rsidRDefault="00B24B8C" w:rsidP="001D706D">
            <w:pPr>
              <w:pStyle w:val="TableText"/>
            </w:pPr>
          </w:p>
        </w:tc>
        <w:tc>
          <w:tcPr>
            <w:tcW w:w="1440" w:type="dxa"/>
          </w:tcPr>
          <w:p w14:paraId="22717F13" w14:textId="77777777" w:rsidR="00B24B8C" w:rsidRDefault="00B24B8C" w:rsidP="001D706D">
            <w:pPr>
              <w:pStyle w:val="TableText"/>
            </w:pPr>
          </w:p>
        </w:tc>
      </w:tr>
      <w:tr w:rsidR="00B24B8C" w14:paraId="54A14584" w14:textId="77777777">
        <w:tc>
          <w:tcPr>
            <w:tcW w:w="1440" w:type="dxa"/>
          </w:tcPr>
          <w:p w14:paraId="55F8A771" w14:textId="77777777" w:rsidR="00B24B8C" w:rsidRDefault="00B24B8C" w:rsidP="001D706D">
            <w:pPr>
              <w:pStyle w:val="TableText"/>
            </w:pPr>
          </w:p>
        </w:tc>
        <w:tc>
          <w:tcPr>
            <w:tcW w:w="2160" w:type="dxa"/>
          </w:tcPr>
          <w:p w14:paraId="3F3C8B91" w14:textId="77777777" w:rsidR="00B24B8C" w:rsidRDefault="00B24B8C" w:rsidP="001D706D">
            <w:pPr>
              <w:pStyle w:val="TableText"/>
            </w:pPr>
          </w:p>
        </w:tc>
        <w:tc>
          <w:tcPr>
            <w:tcW w:w="1440" w:type="dxa"/>
          </w:tcPr>
          <w:p w14:paraId="10C31AA3" w14:textId="77777777" w:rsidR="00B24B8C" w:rsidRDefault="00B24B8C" w:rsidP="001D706D">
            <w:pPr>
              <w:pStyle w:val="TableText"/>
            </w:pPr>
          </w:p>
        </w:tc>
        <w:tc>
          <w:tcPr>
            <w:tcW w:w="1440" w:type="dxa"/>
          </w:tcPr>
          <w:p w14:paraId="27E19457" w14:textId="77777777" w:rsidR="00B24B8C" w:rsidRDefault="00B24B8C" w:rsidP="001D706D">
            <w:pPr>
              <w:pStyle w:val="TableText"/>
            </w:pPr>
          </w:p>
        </w:tc>
        <w:tc>
          <w:tcPr>
            <w:tcW w:w="1440" w:type="dxa"/>
          </w:tcPr>
          <w:p w14:paraId="14049F21" w14:textId="77777777" w:rsidR="00B24B8C" w:rsidRDefault="00B24B8C" w:rsidP="001D706D">
            <w:pPr>
              <w:pStyle w:val="TableText"/>
            </w:pPr>
          </w:p>
        </w:tc>
        <w:tc>
          <w:tcPr>
            <w:tcW w:w="1440" w:type="dxa"/>
          </w:tcPr>
          <w:p w14:paraId="10598072" w14:textId="77777777" w:rsidR="00B24B8C" w:rsidRDefault="00B24B8C" w:rsidP="001D706D">
            <w:pPr>
              <w:pStyle w:val="TableText"/>
            </w:pPr>
          </w:p>
        </w:tc>
      </w:tr>
      <w:tr w:rsidR="00B24B8C" w14:paraId="54E81E91" w14:textId="77777777">
        <w:tc>
          <w:tcPr>
            <w:tcW w:w="1440" w:type="dxa"/>
          </w:tcPr>
          <w:p w14:paraId="49F4CA52" w14:textId="77777777" w:rsidR="00B24B8C" w:rsidRDefault="00B24B8C" w:rsidP="001D706D">
            <w:pPr>
              <w:pStyle w:val="TableText"/>
            </w:pPr>
          </w:p>
        </w:tc>
        <w:tc>
          <w:tcPr>
            <w:tcW w:w="2160" w:type="dxa"/>
          </w:tcPr>
          <w:p w14:paraId="4F027ECF" w14:textId="77777777" w:rsidR="00B24B8C" w:rsidRDefault="00B24B8C" w:rsidP="001D706D">
            <w:pPr>
              <w:pStyle w:val="TableText"/>
            </w:pPr>
          </w:p>
        </w:tc>
        <w:tc>
          <w:tcPr>
            <w:tcW w:w="1440" w:type="dxa"/>
          </w:tcPr>
          <w:p w14:paraId="2DC7AEEE" w14:textId="77777777" w:rsidR="00B24B8C" w:rsidRDefault="00B24B8C" w:rsidP="001D706D">
            <w:pPr>
              <w:pStyle w:val="TableText"/>
            </w:pPr>
          </w:p>
        </w:tc>
        <w:tc>
          <w:tcPr>
            <w:tcW w:w="1440" w:type="dxa"/>
          </w:tcPr>
          <w:p w14:paraId="608EB13B" w14:textId="77777777" w:rsidR="00B24B8C" w:rsidRDefault="00B24B8C" w:rsidP="001D706D">
            <w:pPr>
              <w:pStyle w:val="TableText"/>
            </w:pPr>
          </w:p>
        </w:tc>
        <w:tc>
          <w:tcPr>
            <w:tcW w:w="1440" w:type="dxa"/>
          </w:tcPr>
          <w:p w14:paraId="5D321D4B" w14:textId="77777777" w:rsidR="00B24B8C" w:rsidRDefault="00B24B8C" w:rsidP="001D706D">
            <w:pPr>
              <w:pStyle w:val="TableText"/>
            </w:pPr>
          </w:p>
        </w:tc>
        <w:tc>
          <w:tcPr>
            <w:tcW w:w="1440" w:type="dxa"/>
          </w:tcPr>
          <w:p w14:paraId="669A9F8F" w14:textId="77777777" w:rsidR="00B24B8C" w:rsidRDefault="00B24B8C" w:rsidP="001D706D">
            <w:pPr>
              <w:pStyle w:val="TableText"/>
            </w:pPr>
          </w:p>
        </w:tc>
      </w:tr>
      <w:tr w:rsidR="00B24B8C" w14:paraId="1377B9AE" w14:textId="77777777">
        <w:tc>
          <w:tcPr>
            <w:tcW w:w="1440" w:type="dxa"/>
          </w:tcPr>
          <w:p w14:paraId="67E996E9" w14:textId="77777777" w:rsidR="00B24B8C" w:rsidRDefault="00B24B8C" w:rsidP="001D706D">
            <w:pPr>
              <w:pStyle w:val="TableText"/>
            </w:pPr>
          </w:p>
        </w:tc>
        <w:tc>
          <w:tcPr>
            <w:tcW w:w="2160" w:type="dxa"/>
          </w:tcPr>
          <w:p w14:paraId="074F5A9D" w14:textId="77777777" w:rsidR="00B24B8C" w:rsidRDefault="00B24B8C" w:rsidP="001D706D">
            <w:pPr>
              <w:pStyle w:val="TableText"/>
            </w:pPr>
          </w:p>
        </w:tc>
        <w:tc>
          <w:tcPr>
            <w:tcW w:w="1440" w:type="dxa"/>
          </w:tcPr>
          <w:p w14:paraId="0A53F714" w14:textId="77777777" w:rsidR="00B24B8C" w:rsidRDefault="00B24B8C" w:rsidP="001D706D">
            <w:pPr>
              <w:pStyle w:val="TableText"/>
            </w:pPr>
          </w:p>
        </w:tc>
        <w:tc>
          <w:tcPr>
            <w:tcW w:w="1440" w:type="dxa"/>
          </w:tcPr>
          <w:p w14:paraId="523A7D07" w14:textId="77777777" w:rsidR="00B24B8C" w:rsidRDefault="00B24B8C" w:rsidP="001D706D">
            <w:pPr>
              <w:pStyle w:val="TableText"/>
            </w:pPr>
          </w:p>
        </w:tc>
        <w:tc>
          <w:tcPr>
            <w:tcW w:w="1440" w:type="dxa"/>
          </w:tcPr>
          <w:p w14:paraId="28DB4951" w14:textId="77777777" w:rsidR="00B24B8C" w:rsidRDefault="00B24B8C" w:rsidP="001D706D">
            <w:pPr>
              <w:pStyle w:val="TableText"/>
            </w:pPr>
          </w:p>
        </w:tc>
        <w:tc>
          <w:tcPr>
            <w:tcW w:w="1440" w:type="dxa"/>
          </w:tcPr>
          <w:p w14:paraId="7F985EBF" w14:textId="77777777" w:rsidR="00B24B8C" w:rsidRDefault="00B24B8C" w:rsidP="001D706D">
            <w:pPr>
              <w:pStyle w:val="TableText"/>
            </w:pPr>
          </w:p>
        </w:tc>
      </w:tr>
    </w:tbl>
    <w:p w14:paraId="6CAC66D1" w14:textId="77777777" w:rsidR="002E3C00" w:rsidRDefault="0050722E" w:rsidP="005129E1">
      <w:pPr>
        <w:pStyle w:val="Heading3"/>
      </w:pPr>
      <w:r>
        <w:br w:type="page"/>
      </w:r>
      <w:bookmarkStart w:id="714" w:name="_Toc149064240"/>
      <w:r w:rsidR="002E3C00">
        <w:t>Component Classes</w:t>
      </w:r>
      <w:bookmarkEnd w:id="711"/>
      <w:bookmarkEnd w:id="712"/>
      <w:bookmarkEnd w:id="713"/>
      <w:bookmarkEnd w:id="714"/>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Component Classes</w:instrText>
      </w:r>
      <w:r w:rsidR="00992E88">
        <w:instrText xml:space="preserve">" </w:instrText>
      </w:r>
      <w:r w:rsidR="00992E88">
        <w:fldChar w:fldCharType="end"/>
      </w:r>
    </w:p>
    <w:p w14:paraId="2CF13F76" w14:textId="75183D1F" w:rsidR="002E3C00" w:rsidRDefault="002E3C00" w:rsidP="002E3C00">
      <w:pPr>
        <w:pStyle w:val="BodyText"/>
      </w:pPr>
      <w:r>
        <w:t>The user configures the component class parameters for the selected division.</w:t>
      </w:r>
      <w:r w:rsidR="008D2779">
        <w:t xml:space="preserve"> For more information, see </w:t>
      </w:r>
      <w:r w:rsidR="00EE455E">
        <w:t xml:space="preserve">Appendix </w:t>
      </w:r>
      <w:r w:rsidR="00EE455E">
        <w:rPr>
          <w:noProof/>
        </w:rPr>
        <w:t>G</w:t>
      </w:r>
      <w:r w:rsidR="00EE455E">
        <w:t>: Work Process Flowcharts</w:t>
      </w:r>
      <w:r w:rsidR="008D2779">
        <w:t>.</w:t>
      </w:r>
    </w:p>
    <w:p w14:paraId="3E1C5C1F" w14:textId="77777777" w:rsidR="002E3C00" w:rsidRDefault="002E3C00" w:rsidP="002E3C00">
      <w:pPr>
        <w:pStyle w:val="Heading4"/>
        <w:rPr>
          <w:b w:val="0"/>
        </w:rPr>
      </w:pPr>
      <w:r>
        <w:t>User Roles with Access to This Option</w:t>
      </w:r>
      <w:r>
        <w:rPr>
          <w:b w:val="0"/>
        </w:rPr>
        <w:t xml:space="preserve"> </w:t>
      </w:r>
    </w:p>
    <w:p w14:paraId="6106EB53" w14:textId="77777777" w:rsidR="002E3C00" w:rsidRPr="00404CAF" w:rsidRDefault="002E3C00" w:rsidP="002E3C00">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617EB5BA" w14:textId="77777777" w:rsidR="002E3C00" w:rsidRDefault="00B74754" w:rsidP="002E3C00">
      <w:pPr>
        <w:pStyle w:val="Heading4"/>
      </w:pPr>
      <w:r>
        <w:t>Preparation for Testing</w:t>
      </w:r>
    </w:p>
    <w:p w14:paraId="550E93F5" w14:textId="77777777" w:rsidR="00061FCF" w:rsidRPr="00600497" w:rsidRDefault="00061FCF" w:rsidP="00925CAD">
      <w:pPr>
        <w:pStyle w:val="ListNumber"/>
        <w:numPr>
          <w:ilvl w:val="0"/>
          <w:numId w:val="24"/>
        </w:numPr>
        <w:tabs>
          <w:tab w:val="clear" w:pos="720"/>
          <w:tab w:val="num" w:pos="360"/>
        </w:tabs>
        <w:ind w:left="360"/>
      </w:pPr>
      <w:r w:rsidRPr="00600497">
        <w:t>Use the sample worksheet to record information.</w:t>
      </w:r>
    </w:p>
    <w:p w14:paraId="2B4F13B8" w14:textId="77777777" w:rsidR="002E3C00" w:rsidRPr="00600497" w:rsidRDefault="002E3C00" w:rsidP="00925CAD">
      <w:pPr>
        <w:pStyle w:val="ListNumber"/>
        <w:numPr>
          <w:ilvl w:val="0"/>
          <w:numId w:val="24"/>
        </w:numPr>
        <w:tabs>
          <w:tab w:val="clear" w:pos="720"/>
          <w:tab w:val="num" w:pos="360"/>
        </w:tabs>
        <w:ind w:left="360"/>
      </w:pPr>
      <w:r w:rsidRPr="00600497">
        <w:t xml:space="preserve">Capture and save a screen shot of each piece of information. </w:t>
      </w:r>
    </w:p>
    <w:p w14:paraId="13B43B09" w14:textId="77777777" w:rsidR="00232E43" w:rsidRPr="00FB7F8D" w:rsidRDefault="00232E43" w:rsidP="00925CAD">
      <w:pPr>
        <w:pStyle w:val="ListNumber"/>
        <w:numPr>
          <w:ilvl w:val="0"/>
          <w:numId w:val="24"/>
        </w:numPr>
        <w:tabs>
          <w:tab w:val="clear" w:pos="720"/>
          <w:tab w:val="num" w:pos="360"/>
        </w:tabs>
        <w:ind w:left="360"/>
      </w:pPr>
      <w:r w:rsidRPr="00600497">
        <w:t>Pri</w:t>
      </w:r>
      <w:r w:rsidRPr="00FB7F8D">
        <w:t>nt</w:t>
      </w:r>
      <w:r>
        <w:t>, sign, date,</w:t>
      </w:r>
      <w:r w:rsidRPr="00FB7F8D">
        <w:t xml:space="preserve"> and save an </w:t>
      </w:r>
      <w:r>
        <w:t>A</w:t>
      </w:r>
      <w:r w:rsidRPr="00FB7F8D">
        <w:t xml:space="preserve">udit </w:t>
      </w:r>
      <w:r>
        <w:t>Trail R</w:t>
      </w:r>
      <w:r w:rsidRPr="00FB7F8D">
        <w:t>eport for your validation record.</w:t>
      </w:r>
    </w:p>
    <w:p w14:paraId="04497CCC" w14:textId="4528BFF1" w:rsidR="002E3C00" w:rsidRDefault="002E3C00" w:rsidP="002E3C00">
      <w:pPr>
        <w:pStyle w:val="Caption"/>
        <w:rPr>
          <w:sz w:val="15"/>
          <w:szCs w:val="15"/>
        </w:rPr>
      </w:pPr>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32</w:t>
      </w:r>
      <w:r w:rsidR="004E20BD">
        <w:rPr>
          <w:noProof/>
        </w:rPr>
        <w:fldChar w:fldCharType="end"/>
      </w:r>
      <w:r>
        <w:t>: Component Class Requirements</w:t>
      </w:r>
      <w:r w:rsidR="00061FCF">
        <w:t xml:space="preserve"> Worksheet</w:t>
      </w:r>
      <w:r w:rsidR="00AD60CF">
        <w:fldChar w:fldCharType="begin"/>
      </w:r>
      <w:r w:rsidR="00292A7B">
        <w:instrText xml:space="preserve"> XE "Tables:</w:instrText>
      </w:r>
      <w:r w:rsidR="00AD60CF" w:rsidRPr="0046419F">
        <w:instrText>Component Class Requirements Worksheet</w:instrText>
      </w:r>
      <w:r w:rsidR="00AD60CF">
        <w:instrText xml:space="preserve">" </w:instrText>
      </w:r>
      <w:r w:rsidR="00AD60CF">
        <w:fldChar w:fldCharType="end"/>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9"/>
        <w:gridCol w:w="1689"/>
        <w:gridCol w:w="1440"/>
        <w:gridCol w:w="1620"/>
        <w:gridCol w:w="1136"/>
        <w:gridCol w:w="1672"/>
      </w:tblGrid>
      <w:tr w:rsidR="000A4CE0" w:rsidRPr="007121BA" w14:paraId="60C923E3" w14:textId="77777777">
        <w:trPr>
          <w:tblHeader/>
        </w:trPr>
        <w:tc>
          <w:tcPr>
            <w:tcW w:w="2019" w:type="dxa"/>
            <w:shd w:val="clear" w:color="auto" w:fill="B3B3B3"/>
            <w:vAlign w:val="bottom"/>
          </w:tcPr>
          <w:p w14:paraId="12455E40" w14:textId="77777777" w:rsidR="000A4CE0" w:rsidRPr="007121BA" w:rsidRDefault="000A4CE0" w:rsidP="002E3C00">
            <w:pPr>
              <w:pStyle w:val="TableText"/>
              <w:rPr>
                <w:b/>
              </w:rPr>
            </w:pPr>
            <w:r w:rsidRPr="007121BA">
              <w:rPr>
                <w:b/>
              </w:rPr>
              <w:t>Component Class</w:t>
            </w:r>
          </w:p>
        </w:tc>
        <w:tc>
          <w:tcPr>
            <w:tcW w:w="1689" w:type="dxa"/>
            <w:shd w:val="clear" w:color="auto" w:fill="B3B3B3"/>
            <w:vAlign w:val="bottom"/>
          </w:tcPr>
          <w:p w14:paraId="0A3D8350" w14:textId="77777777" w:rsidR="000A4CE0" w:rsidRPr="007121BA" w:rsidRDefault="000A4CE0" w:rsidP="002E3C00">
            <w:pPr>
              <w:pStyle w:val="TableText"/>
              <w:rPr>
                <w:b/>
              </w:rPr>
            </w:pPr>
            <w:r>
              <w:rPr>
                <w:b/>
              </w:rPr>
              <w:t>R</w:t>
            </w:r>
            <w:r w:rsidR="000C4296">
              <w:rPr>
                <w:b/>
              </w:rPr>
              <w:t xml:space="preserve">equire Current Specimen </w:t>
            </w:r>
            <w:r>
              <w:rPr>
                <w:b/>
              </w:rPr>
              <w:t>ABO/Rh Results?</w:t>
            </w:r>
          </w:p>
        </w:tc>
        <w:tc>
          <w:tcPr>
            <w:tcW w:w="1440" w:type="dxa"/>
            <w:shd w:val="clear" w:color="auto" w:fill="B3B3B3"/>
            <w:vAlign w:val="bottom"/>
          </w:tcPr>
          <w:p w14:paraId="74E3412B" w14:textId="77777777" w:rsidR="000A4CE0" w:rsidRPr="007121BA" w:rsidRDefault="000A4CE0" w:rsidP="002E3C00">
            <w:pPr>
              <w:pStyle w:val="TableText"/>
              <w:rPr>
                <w:b/>
              </w:rPr>
            </w:pPr>
            <w:r w:rsidRPr="007121BA">
              <w:rPr>
                <w:b/>
              </w:rPr>
              <w:t xml:space="preserve">Maximum </w:t>
            </w:r>
            <w:r>
              <w:rPr>
                <w:b/>
              </w:rPr>
              <w:t>T</w:t>
            </w:r>
            <w:r w:rsidRPr="007121BA">
              <w:rPr>
                <w:b/>
              </w:rPr>
              <w:t xml:space="preserve">ransfusion </w:t>
            </w:r>
            <w:r>
              <w:rPr>
                <w:b/>
              </w:rPr>
              <w:t>Time</w:t>
            </w:r>
            <w:r>
              <w:rPr>
                <w:rStyle w:val="FootnoteReference"/>
                <w:b/>
              </w:rPr>
              <w:footnoteReference w:id="9"/>
            </w:r>
          </w:p>
        </w:tc>
        <w:tc>
          <w:tcPr>
            <w:tcW w:w="1620" w:type="dxa"/>
            <w:shd w:val="clear" w:color="auto" w:fill="B3B3B3"/>
            <w:vAlign w:val="bottom"/>
          </w:tcPr>
          <w:p w14:paraId="4D47F5CC" w14:textId="77777777" w:rsidR="000A4CE0" w:rsidRPr="007121BA" w:rsidRDefault="000A4CE0" w:rsidP="002E3C00">
            <w:pPr>
              <w:pStyle w:val="TableText"/>
              <w:rPr>
                <w:b/>
              </w:rPr>
            </w:pPr>
            <w:r>
              <w:rPr>
                <w:b/>
              </w:rPr>
              <w:t>Laboratory Test Name</w:t>
            </w:r>
          </w:p>
        </w:tc>
        <w:tc>
          <w:tcPr>
            <w:tcW w:w="1136" w:type="dxa"/>
            <w:shd w:val="clear" w:color="auto" w:fill="B3B3B3"/>
            <w:vAlign w:val="bottom"/>
          </w:tcPr>
          <w:p w14:paraId="5CAD7198" w14:textId="77777777" w:rsidR="000A4CE0" w:rsidRPr="007121BA" w:rsidRDefault="000A4CE0" w:rsidP="002E3C00">
            <w:pPr>
              <w:pStyle w:val="TableText"/>
              <w:rPr>
                <w:b/>
              </w:rPr>
            </w:pPr>
            <w:r>
              <w:rPr>
                <w:b/>
              </w:rPr>
              <w:t>Specimen Type</w:t>
            </w:r>
          </w:p>
        </w:tc>
        <w:tc>
          <w:tcPr>
            <w:tcW w:w="1672" w:type="dxa"/>
            <w:shd w:val="clear" w:color="auto" w:fill="B3B3B3"/>
            <w:vAlign w:val="bottom"/>
          </w:tcPr>
          <w:p w14:paraId="04EBAFEF" w14:textId="77777777" w:rsidR="000A4CE0" w:rsidRPr="007121BA" w:rsidRDefault="000A4CE0" w:rsidP="002E3C00">
            <w:pPr>
              <w:pStyle w:val="TableText"/>
              <w:rPr>
                <w:b/>
              </w:rPr>
            </w:pPr>
            <w:r>
              <w:rPr>
                <w:b/>
              </w:rPr>
              <w:t>Threshold Result</w:t>
            </w:r>
          </w:p>
        </w:tc>
      </w:tr>
      <w:tr w:rsidR="000A4CE0" w:rsidRPr="009B35EA" w14:paraId="166954CE" w14:textId="77777777">
        <w:tc>
          <w:tcPr>
            <w:tcW w:w="2019" w:type="dxa"/>
          </w:tcPr>
          <w:p w14:paraId="1F72A0EC" w14:textId="77777777" w:rsidR="000A4CE0" w:rsidRPr="009B35EA" w:rsidRDefault="000A4CE0" w:rsidP="002E3C00">
            <w:pPr>
              <w:pStyle w:val="TableText"/>
            </w:pPr>
            <w:r>
              <w:t>RED BLOOD CELLS</w:t>
            </w:r>
          </w:p>
        </w:tc>
        <w:tc>
          <w:tcPr>
            <w:tcW w:w="1689" w:type="dxa"/>
          </w:tcPr>
          <w:p w14:paraId="0B942EF7" w14:textId="77777777" w:rsidR="000A4CE0" w:rsidRPr="009B35EA" w:rsidRDefault="000A4CE0" w:rsidP="002E3C00">
            <w:pPr>
              <w:pStyle w:val="TableText"/>
            </w:pPr>
            <w:r>
              <w:sym w:font="Wingdings" w:char="F0FC"/>
            </w:r>
            <w:r>
              <w:t xml:space="preserve"> (uneditable)</w:t>
            </w:r>
          </w:p>
        </w:tc>
        <w:tc>
          <w:tcPr>
            <w:tcW w:w="1440" w:type="dxa"/>
          </w:tcPr>
          <w:p w14:paraId="4EDA7A2B" w14:textId="77777777" w:rsidR="000A4CE0" w:rsidRPr="009B35EA" w:rsidRDefault="000A4CE0" w:rsidP="002E3C00">
            <w:pPr>
              <w:pStyle w:val="TableText"/>
            </w:pPr>
          </w:p>
        </w:tc>
        <w:tc>
          <w:tcPr>
            <w:tcW w:w="1620" w:type="dxa"/>
          </w:tcPr>
          <w:p w14:paraId="2E8DA58E" w14:textId="77777777" w:rsidR="000A4CE0" w:rsidRPr="009B35EA" w:rsidRDefault="000A4CE0" w:rsidP="002E3C00">
            <w:pPr>
              <w:pStyle w:val="TableText"/>
            </w:pPr>
          </w:p>
        </w:tc>
        <w:tc>
          <w:tcPr>
            <w:tcW w:w="1136" w:type="dxa"/>
          </w:tcPr>
          <w:p w14:paraId="0B14FB93" w14:textId="77777777" w:rsidR="000A4CE0" w:rsidRPr="009B35EA" w:rsidRDefault="000A4CE0" w:rsidP="002E3C00">
            <w:pPr>
              <w:pStyle w:val="TableText"/>
            </w:pPr>
          </w:p>
        </w:tc>
        <w:tc>
          <w:tcPr>
            <w:tcW w:w="1672" w:type="dxa"/>
          </w:tcPr>
          <w:p w14:paraId="3F03F8B7" w14:textId="77777777" w:rsidR="000A4CE0" w:rsidRPr="009B35EA" w:rsidRDefault="000A4CE0" w:rsidP="002E3C00">
            <w:pPr>
              <w:pStyle w:val="TableText"/>
            </w:pPr>
          </w:p>
        </w:tc>
      </w:tr>
      <w:tr w:rsidR="000A4CE0" w:rsidRPr="009B35EA" w14:paraId="4635BF1A" w14:textId="77777777">
        <w:tc>
          <w:tcPr>
            <w:tcW w:w="2019" w:type="dxa"/>
          </w:tcPr>
          <w:p w14:paraId="61E731E2" w14:textId="77777777" w:rsidR="000A4CE0" w:rsidRPr="009B35EA" w:rsidRDefault="000A4CE0" w:rsidP="002E3C00">
            <w:pPr>
              <w:pStyle w:val="TableText"/>
            </w:pPr>
            <w:r>
              <w:t>FRESH FROZEN PLASMA</w:t>
            </w:r>
          </w:p>
        </w:tc>
        <w:tc>
          <w:tcPr>
            <w:tcW w:w="1689" w:type="dxa"/>
          </w:tcPr>
          <w:p w14:paraId="7D719D24" w14:textId="77777777" w:rsidR="000A4CE0" w:rsidRPr="009B35EA" w:rsidRDefault="000A4CE0" w:rsidP="002E3C00">
            <w:pPr>
              <w:pStyle w:val="TableText"/>
            </w:pPr>
          </w:p>
        </w:tc>
        <w:tc>
          <w:tcPr>
            <w:tcW w:w="1440" w:type="dxa"/>
          </w:tcPr>
          <w:p w14:paraId="0AA65974" w14:textId="77777777" w:rsidR="000A4CE0" w:rsidRPr="009B35EA" w:rsidRDefault="000A4CE0" w:rsidP="002E3C00">
            <w:pPr>
              <w:pStyle w:val="TableText"/>
            </w:pPr>
          </w:p>
        </w:tc>
        <w:tc>
          <w:tcPr>
            <w:tcW w:w="1620" w:type="dxa"/>
          </w:tcPr>
          <w:p w14:paraId="2AC275DB" w14:textId="77777777" w:rsidR="000A4CE0" w:rsidRPr="009B35EA" w:rsidRDefault="000A4CE0" w:rsidP="002E3C00">
            <w:pPr>
              <w:pStyle w:val="TableText"/>
            </w:pPr>
          </w:p>
        </w:tc>
        <w:tc>
          <w:tcPr>
            <w:tcW w:w="1136" w:type="dxa"/>
          </w:tcPr>
          <w:p w14:paraId="01302DAD" w14:textId="77777777" w:rsidR="000A4CE0" w:rsidRPr="009B35EA" w:rsidRDefault="000A4CE0" w:rsidP="002E3C00">
            <w:pPr>
              <w:pStyle w:val="TableText"/>
            </w:pPr>
          </w:p>
        </w:tc>
        <w:tc>
          <w:tcPr>
            <w:tcW w:w="1672" w:type="dxa"/>
          </w:tcPr>
          <w:p w14:paraId="3054F487" w14:textId="77777777" w:rsidR="000A4CE0" w:rsidRPr="009B35EA" w:rsidRDefault="000A4CE0" w:rsidP="002E3C00">
            <w:pPr>
              <w:pStyle w:val="TableText"/>
            </w:pPr>
          </w:p>
        </w:tc>
      </w:tr>
      <w:tr w:rsidR="000A4CE0" w:rsidRPr="009B35EA" w14:paraId="1A9F7FBA" w14:textId="77777777">
        <w:tc>
          <w:tcPr>
            <w:tcW w:w="2019" w:type="dxa"/>
          </w:tcPr>
          <w:p w14:paraId="16F1288B" w14:textId="77777777" w:rsidR="000A4CE0" w:rsidRDefault="000A4CE0" w:rsidP="002E3C00">
            <w:pPr>
              <w:pStyle w:val="TableText"/>
            </w:pPr>
            <w:r>
              <w:t>PLATELETS</w:t>
            </w:r>
          </w:p>
        </w:tc>
        <w:tc>
          <w:tcPr>
            <w:tcW w:w="1689" w:type="dxa"/>
          </w:tcPr>
          <w:p w14:paraId="3CAD216E" w14:textId="77777777" w:rsidR="000A4CE0" w:rsidRDefault="000A4CE0" w:rsidP="002E3C00">
            <w:pPr>
              <w:pStyle w:val="TableText"/>
            </w:pPr>
          </w:p>
        </w:tc>
        <w:tc>
          <w:tcPr>
            <w:tcW w:w="1440" w:type="dxa"/>
          </w:tcPr>
          <w:p w14:paraId="58E856FF" w14:textId="77777777" w:rsidR="000A4CE0" w:rsidRPr="009B35EA" w:rsidRDefault="000A4CE0" w:rsidP="002E3C00">
            <w:pPr>
              <w:pStyle w:val="TableText"/>
            </w:pPr>
          </w:p>
        </w:tc>
        <w:tc>
          <w:tcPr>
            <w:tcW w:w="1620" w:type="dxa"/>
          </w:tcPr>
          <w:p w14:paraId="645E4CE6" w14:textId="77777777" w:rsidR="000A4CE0" w:rsidRPr="009B35EA" w:rsidRDefault="000A4CE0" w:rsidP="002E3C00">
            <w:pPr>
              <w:pStyle w:val="TableText"/>
            </w:pPr>
          </w:p>
        </w:tc>
        <w:tc>
          <w:tcPr>
            <w:tcW w:w="1136" w:type="dxa"/>
          </w:tcPr>
          <w:p w14:paraId="10B912B6" w14:textId="77777777" w:rsidR="000A4CE0" w:rsidRPr="009B35EA" w:rsidRDefault="000A4CE0" w:rsidP="002E3C00">
            <w:pPr>
              <w:pStyle w:val="TableText"/>
            </w:pPr>
          </w:p>
        </w:tc>
        <w:tc>
          <w:tcPr>
            <w:tcW w:w="1672" w:type="dxa"/>
          </w:tcPr>
          <w:p w14:paraId="270F8CF6" w14:textId="77777777" w:rsidR="000A4CE0" w:rsidRPr="009B35EA" w:rsidRDefault="000A4CE0" w:rsidP="002E3C00">
            <w:pPr>
              <w:pStyle w:val="TableText"/>
            </w:pPr>
          </w:p>
        </w:tc>
      </w:tr>
      <w:tr w:rsidR="000A4CE0" w:rsidRPr="009B35EA" w14:paraId="1B3C8D36" w14:textId="77777777">
        <w:tc>
          <w:tcPr>
            <w:tcW w:w="2019" w:type="dxa"/>
          </w:tcPr>
          <w:p w14:paraId="73F3CB8C" w14:textId="77777777" w:rsidR="000A4CE0" w:rsidRPr="009B35EA" w:rsidRDefault="000A4CE0" w:rsidP="002E3C00">
            <w:pPr>
              <w:pStyle w:val="TableText"/>
            </w:pPr>
            <w:r>
              <w:t>CRYOPRECIPITATE</w:t>
            </w:r>
          </w:p>
        </w:tc>
        <w:tc>
          <w:tcPr>
            <w:tcW w:w="1689" w:type="dxa"/>
          </w:tcPr>
          <w:p w14:paraId="6AD4B6EA" w14:textId="77777777" w:rsidR="000A4CE0" w:rsidRPr="009B35EA" w:rsidRDefault="000A4CE0" w:rsidP="002E3C00">
            <w:pPr>
              <w:pStyle w:val="TableText"/>
            </w:pPr>
          </w:p>
        </w:tc>
        <w:tc>
          <w:tcPr>
            <w:tcW w:w="1440" w:type="dxa"/>
          </w:tcPr>
          <w:p w14:paraId="7D7A0EFD" w14:textId="77777777" w:rsidR="000A4CE0" w:rsidRPr="009B35EA" w:rsidRDefault="000A4CE0" w:rsidP="002E3C00">
            <w:pPr>
              <w:pStyle w:val="TableText"/>
            </w:pPr>
          </w:p>
        </w:tc>
        <w:tc>
          <w:tcPr>
            <w:tcW w:w="1620" w:type="dxa"/>
          </w:tcPr>
          <w:p w14:paraId="4E9DF3F9" w14:textId="77777777" w:rsidR="000A4CE0" w:rsidRPr="009B35EA" w:rsidRDefault="000A4CE0" w:rsidP="002E3C00">
            <w:pPr>
              <w:pStyle w:val="TableText"/>
            </w:pPr>
          </w:p>
        </w:tc>
        <w:tc>
          <w:tcPr>
            <w:tcW w:w="1136" w:type="dxa"/>
          </w:tcPr>
          <w:p w14:paraId="1CA57F3C" w14:textId="77777777" w:rsidR="000A4CE0" w:rsidRPr="009B35EA" w:rsidRDefault="000A4CE0" w:rsidP="002E3C00">
            <w:pPr>
              <w:pStyle w:val="TableText"/>
            </w:pPr>
          </w:p>
        </w:tc>
        <w:tc>
          <w:tcPr>
            <w:tcW w:w="1672" w:type="dxa"/>
          </w:tcPr>
          <w:p w14:paraId="140EEA3B" w14:textId="77777777" w:rsidR="000A4CE0" w:rsidRPr="009B35EA" w:rsidRDefault="000A4CE0" w:rsidP="002E3C00">
            <w:pPr>
              <w:pStyle w:val="TableText"/>
            </w:pPr>
          </w:p>
        </w:tc>
      </w:tr>
      <w:tr w:rsidR="000A4CE0" w:rsidRPr="009B35EA" w14:paraId="3DC32E95" w14:textId="77777777">
        <w:tc>
          <w:tcPr>
            <w:tcW w:w="2019" w:type="dxa"/>
          </w:tcPr>
          <w:p w14:paraId="7D0217CC" w14:textId="77777777" w:rsidR="000A4CE0" w:rsidRPr="009B35EA" w:rsidRDefault="000A4CE0" w:rsidP="002E3C00">
            <w:pPr>
              <w:pStyle w:val="TableText"/>
            </w:pPr>
            <w:r>
              <w:t>WHOLE BLOOD</w:t>
            </w:r>
          </w:p>
        </w:tc>
        <w:tc>
          <w:tcPr>
            <w:tcW w:w="1689" w:type="dxa"/>
          </w:tcPr>
          <w:p w14:paraId="5457DC61" w14:textId="77777777" w:rsidR="000A4CE0" w:rsidRPr="009B35EA" w:rsidRDefault="000A4CE0" w:rsidP="002E3C00">
            <w:pPr>
              <w:pStyle w:val="TableText"/>
            </w:pPr>
            <w:r>
              <w:sym w:font="Wingdings" w:char="F0FC"/>
            </w:r>
            <w:r>
              <w:t xml:space="preserve"> (uneditable)</w:t>
            </w:r>
          </w:p>
        </w:tc>
        <w:tc>
          <w:tcPr>
            <w:tcW w:w="1440" w:type="dxa"/>
          </w:tcPr>
          <w:p w14:paraId="49AE4509" w14:textId="77777777" w:rsidR="000A4CE0" w:rsidRPr="009B35EA" w:rsidRDefault="000A4CE0" w:rsidP="002E3C00">
            <w:pPr>
              <w:pStyle w:val="TableText"/>
            </w:pPr>
          </w:p>
        </w:tc>
        <w:tc>
          <w:tcPr>
            <w:tcW w:w="1620" w:type="dxa"/>
          </w:tcPr>
          <w:p w14:paraId="3D9B5545" w14:textId="77777777" w:rsidR="000A4CE0" w:rsidRPr="009B35EA" w:rsidRDefault="000A4CE0" w:rsidP="002E3C00">
            <w:pPr>
              <w:pStyle w:val="TableText"/>
            </w:pPr>
          </w:p>
        </w:tc>
        <w:tc>
          <w:tcPr>
            <w:tcW w:w="1136" w:type="dxa"/>
          </w:tcPr>
          <w:p w14:paraId="0B22FA3B" w14:textId="77777777" w:rsidR="000A4CE0" w:rsidRPr="009B35EA" w:rsidRDefault="000A4CE0" w:rsidP="002E3C00">
            <w:pPr>
              <w:pStyle w:val="TableText"/>
            </w:pPr>
          </w:p>
        </w:tc>
        <w:tc>
          <w:tcPr>
            <w:tcW w:w="1672" w:type="dxa"/>
          </w:tcPr>
          <w:p w14:paraId="57E66BD2" w14:textId="77777777" w:rsidR="000A4CE0" w:rsidRPr="009B35EA" w:rsidRDefault="000A4CE0" w:rsidP="002E3C00">
            <w:pPr>
              <w:pStyle w:val="TableText"/>
            </w:pPr>
          </w:p>
        </w:tc>
      </w:tr>
      <w:tr w:rsidR="000A4CE0" w:rsidRPr="009B35EA" w14:paraId="0887783C" w14:textId="77777777">
        <w:tc>
          <w:tcPr>
            <w:tcW w:w="2019" w:type="dxa"/>
          </w:tcPr>
          <w:p w14:paraId="03DED510" w14:textId="77777777" w:rsidR="000A4CE0" w:rsidRPr="009B35EA" w:rsidRDefault="000A4CE0" w:rsidP="002E3C00">
            <w:pPr>
              <w:pStyle w:val="TableText"/>
            </w:pPr>
            <w:r>
              <w:t>OTHER</w:t>
            </w:r>
          </w:p>
        </w:tc>
        <w:tc>
          <w:tcPr>
            <w:tcW w:w="1689" w:type="dxa"/>
          </w:tcPr>
          <w:p w14:paraId="16A06C81" w14:textId="77777777" w:rsidR="000A4CE0" w:rsidRPr="009B35EA" w:rsidRDefault="000A4CE0" w:rsidP="002E3C00">
            <w:pPr>
              <w:pStyle w:val="TableText"/>
            </w:pPr>
          </w:p>
        </w:tc>
        <w:tc>
          <w:tcPr>
            <w:tcW w:w="1440" w:type="dxa"/>
          </w:tcPr>
          <w:p w14:paraId="236F525A" w14:textId="77777777" w:rsidR="000A4CE0" w:rsidRPr="009B35EA" w:rsidRDefault="000A4CE0" w:rsidP="002E3C00">
            <w:pPr>
              <w:pStyle w:val="TableText"/>
            </w:pPr>
          </w:p>
        </w:tc>
        <w:tc>
          <w:tcPr>
            <w:tcW w:w="1620" w:type="dxa"/>
          </w:tcPr>
          <w:p w14:paraId="00B71719" w14:textId="77777777" w:rsidR="000A4CE0" w:rsidRPr="009B35EA" w:rsidRDefault="000A4CE0" w:rsidP="002E3C00">
            <w:pPr>
              <w:pStyle w:val="TableText"/>
            </w:pPr>
          </w:p>
        </w:tc>
        <w:tc>
          <w:tcPr>
            <w:tcW w:w="1136" w:type="dxa"/>
          </w:tcPr>
          <w:p w14:paraId="0AFDC9BD" w14:textId="77777777" w:rsidR="000A4CE0" w:rsidRPr="009B35EA" w:rsidRDefault="000A4CE0" w:rsidP="002E3C00">
            <w:pPr>
              <w:pStyle w:val="TableText"/>
            </w:pPr>
          </w:p>
        </w:tc>
        <w:tc>
          <w:tcPr>
            <w:tcW w:w="1672" w:type="dxa"/>
          </w:tcPr>
          <w:p w14:paraId="45311F38" w14:textId="77777777" w:rsidR="000A4CE0" w:rsidRPr="009B35EA" w:rsidRDefault="000A4CE0" w:rsidP="002E3C00">
            <w:pPr>
              <w:pStyle w:val="TableText"/>
            </w:pPr>
          </w:p>
        </w:tc>
      </w:tr>
    </w:tbl>
    <w:p w14:paraId="65C9CFE8" w14:textId="77777777" w:rsidR="002E3C00" w:rsidRDefault="003E754E" w:rsidP="002E3C00">
      <w:pPr>
        <w:pStyle w:val="Heading3"/>
      </w:pPr>
      <w:bookmarkStart w:id="715" w:name="_Toc85895792"/>
      <w:bookmarkStart w:id="716" w:name="_Toc113264250"/>
      <w:bookmarkStart w:id="717" w:name="_Toc114462104"/>
      <w:bookmarkStart w:id="718" w:name="_Toc85895791"/>
      <w:bookmarkStart w:id="719" w:name="_Toc113264249"/>
      <w:r>
        <w:br w:type="page"/>
      </w:r>
      <w:bookmarkStart w:id="720" w:name="_Toc149064241"/>
      <w:r w:rsidR="002E3C00" w:rsidRPr="008F671D">
        <w:t>Transfusion Complication</w:t>
      </w:r>
      <w:bookmarkEnd w:id="715"/>
      <w:bookmarkEnd w:id="716"/>
      <w:r w:rsidR="002E3C00" w:rsidRPr="008F671D">
        <w:t>s</w:t>
      </w:r>
      <w:bookmarkEnd w:id="717"/>
      <w:bookmarkEnd w:id="720"/>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Transfusion Complications</w:instrText>
      </w:r>
      <w:r w:rsidR="00992E88">
        <w:instrText xml:space="preserve">" </w:instrText>
      </w:r>
      <w:r w:rsidR="00992E88">
        <w:fldChar w:fldCharType="end"/>
      </w:r>
    </w:p>
    <w:p w14:paraId="0A39D459" w14:textId="06EA4444" w:rsidR="002E3C00" w:rsidRPr="00CA68EE" w:rsidRDefault="002E3C00" w:rsidP="00E10142">
      <w:pPr>
        <w:pStyle w:val="BodyText"/>
      </w:pPr>
      <w:r>
        <w:t>The user defines Laboratory tests and threshold values used to generate a report listing patients transfused within a specified period who may have developed a transfusion-associated disease.</w:t>
      </w:r>
      <w:r w:rsidR="008D2779">
        <w:t xml:space="preserve"> For more information, see </w:t>
      </w:r>
      <w:r w:rsidR="00EE455E">
        <w:t xml:space="preserve">Appendix </w:t>
      </w:r>
      <w:r w:rsidR="00EE455E">
        <w:rPr>
          <w:noProof/>
        </w:rPr>
        <w:t>G</w:t>
      </w:r>
      <w:r w:rsidR="00EE455E">
        <w:t>: Work Process Flowcharts</w:t>
      </w:r>
      <w:r w:rsidR="008D2779">
        <w:t>.</w:t>
      </w:r>
    </w:p>
    <w:p w14:paraId="6793FE5F" w14:textId="77777777" w:rsidR="002E3C00" w:rsidRDefault="002E3C00" w:rsidP="002E3C00">
      <w:pPr>
        <w:pStyle w:val="Heading4"/>
        <w:rPr>
          <w:b w:val="0"/>
        </w:rPr>
      </w:pPr>
      <w:r>
        <w:t>User Roles with Access to This Option</w:t>
      </w:r>
      <w:r>
        <w:rPr>
          <w:b w:val="0"/>
        </w:rPr>
        <w:t xml:space="preserve"> </w:t>
      </w:r>
    </w:p>
    <w:p w14:paraId="33926A83" w14:textId="77777777" w:rsidR="002E3C00" w:rsidRPr="00404CAF" w:rsidRDefault="002E3C00" w:rsidP="002E3C00">
      <w:pPr>
        <w:pStyle w:val="Roles"/>
        <w:rPr>
          <w:i/>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130D01ED" w14:textId="77777777" w:rsidR="002E3C00" w:rsidRDefault="00B74754" w:rsidP="002E3C00">
      <w:pPr>
        <w:pStyle w:val="Heading4"/>
      </w:pPr>
      <w:r>
        <w:t>Preparation for Testing</w:t>
      </w:r>
    </w:p>
    <w:p w14:paraId="750FAEDF" w14:textId="77777777" w:rsidR="00061FCF" w:rsidRPr="00600497" w:rsidRDefault="00061FCF" w:rsidP="00925CAD">
      <w:pPr>
        <w:pStyle w:val="ListNumber"/>
        <w:numPr>
          <w:ilvl w:val="0"/>
          <w:numId w:val="25"/>
        </w:numPr>
        <w:tabs>
          <w:tab w:val="clear" w:pos="720"/>
          <w:tab w:val="num" w:pos="360"/>
        </w:tabs>
        <w:ind w:left="360"/>
      </w:pPr>
      <w:r>
        <w:t>Use t</w:t>
      </w:r>
      <w:r w:rsidRPr="00600497">
        <w:t>he sample worksheet to record information.</w:t>
      </w:r>
    </w:p>
    <w:p w14:paraId="75B48FAE" w14:textId="77777777" w:rsidR="002E3C00" w:rsidRPr="00600497" w:rsidRDefault="002E3C00" w:rsidP="00925CAD">
      <w:pPr>
        <w:pStyle w:val="ListNumber"/>
        <w:numPr>
          <w:ilvl w:val="0"/>
          <w:numId w:val="25"/>
        </w:numPr>
        <w:tabs>
          <w:tab w:val="clear" w:pos="720"/>
          <w:tab w:val="num" w:pos="360"/>
        </w:tabs>
        <w:ind w:left="360"/>
      </w:pPr>
      <w:r w:rsidRPr="00600497">
        <w:t>Capture and save a screen shot of all entries.</w:t>
      </w:r>
    </w:p>
    <w:p w14:paraId="2AF8EAFE" w14:textId="77777777" w:rsidR="00232E43" w:rsidRPr="00FB7F8D" w:rsidRDefault="00232E43" w:rsidP="00925CAD">
      <w:pPr>
        <w:pStyle w:val="ListNumber"/>
        <w:numPr>
          <w:ilvl w:val="0"/>
          <w:numId w:val="25"/>
        </w:numPr>
        <w:tabs>
          <w:tab w:val="clear" w:pos="720"/>
          <w:tab w:val="num" w:pos="360"/>
        </w:tabs>
        <w:ind w:left="360"/>
      </w:pPr>
      <w:r w:rsidRPr="00600497">
        <w:t xml:space="preserve">Print, </w:t>
      </w:r>
      <w:r>
        <w:t>sign, date,</w:t>
      </w:r>
      <w:r w:rsidRPr="00FB7F8D">
        <w:t xml:space="preserve"> and save an </w:t>
      </w:r>
      <w:r>
        <w:t>A</w:t>
      </w:r>
      <w:r w:rsidRPr="00FB7F8D">
        <w:t xml:space="preserve">udit </w:t>
      </w:r>
      <w:r>
        <w:t>Trail R</w:t>
      </w:r>
      <w:r w:rsidRPr="00FB7F8D">
        <w:t>eport for your validation record.</w:t>
      </w:r>
    </w:p>
    <w:p w14:paraId="2A5BD197" w14:textId="7889BFF5" w:rsidR="00061FCF" w:rsidRDefault="00061FCF" w:rsidP="00061FCF">
      <w:pPr>
        <w:pStyle w:val="Caption"/>
        <w:rPr>
          <w:sz w:val="15"/>
          <w:szCs w:val="15"/>
        </w:rPr>
      </w:pPr>
      <w:bookmarkStart w:id="721" w:name="_Toc114462105"/>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33</w:t>
      </w:r>
      <w:r w:rsidR="004E20BD">
        <w:rPr>
          <w:noProof/>
        </w:rPr>
        <w:fldChar w:fldCharType="end"/>
      </w:r>
      <w:r>
        <w:t>: Transfusion Complications Worksheet</w:t>
      </w:r>
      <w:r w:rsidR="00AD60CF">
        <w:fldChar w:fldCharType="begin"/>
      </w:r>
      <w:r w:rsidR="00292A7B">
        <w:instrText xml:space="preserve"> XE "Tables:</w:instrText>
      </w:r>
      <w:r w:rsidR="00AD60CF" w:rsidRPr="0046419F">
        <w:instrText>Transfusion Complications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3120"/>
        <w:gridCol w:w="3120"/>
      </w:tblGrid>
      <w:tr w:rsidR="001A5A46" w:rsidRPr="007121BA" w14:paraId="5115ECC0" w14:textId="77777777">
        <w:trPr>
          <w:tblHeader/>
        </w:trPr>
        <w:tc>
          <w:tcPr>
            <w:tcW w:w="2088" w:type="dxa"/>
            <w:shd w:val="clear" w:color="auto" w:fill="B3B3B3"/>
            <w:vAlign w:val="bottom"/>
          </w:tcPr>
          <w:p w14:paraId="1F8453FE" w14:textId="77777777" w:rsidR="001A5A46" w:rsidRPr="007121BA" w:rsidRDefault="001A5A46" w:rsidP="005129E1">
            <w:pPr>
              <w:pStyle w:val="TableText"/>
              <w:rPr>
                <w:b/>
              </w:rPr>
            </w:pPr>
            <w:r>
              <w:rPr>
                <w:b/>
              </w:rPr>
              <w:t>Laboratory Test Name</w:t>
            </w:r>
          </w:p>
        </w:tc>
        <w:tc>
          <w:tcPr>
            <w:tcW w:w="2088" w:type="dxa"/>
            <w:shd w:val="clear" w:color="auto" w:fill="B3B3B3"/>
            <w:vAlign w:val="bottom"/>
          </w:tcPr>
          <w:p w14:paraId="3296EB5A" w14:textId="77777777" w:rsidR="001A5A46" w:rsidRPr="007121BA" w:rsidRDefault="001A5A46" w:rsidP="005129E1">
            <w:pPr>
              <w:pStyle w:val="TableText"/>
              <w:rPr>
                <w:b/>
              </w:rPr>
            </w:pPr>
            <w:r>
              <w:rPr>
                <w:b/>
              </w:rPr>
              <w:t>Specimen Type</w:t>
            </w:r>
          </w:p>
        </w:tc>
        <w:tc>
          <w:tcPr>
            <w:tcW w:w="2088" w:type="dxa"/>
            <w:shd w:val="clear" w:color="auto" w:fill="B3B3B3"/>
            <w:vAlign w:val="bottom"/>
          </w:tcPr>
          <w:p w14:paraId="62CF9863" w14:textId="77777777" w:rsidR="001A5A46" w:rsidRPr="007121BA" w:rsidRDefault="001A5A46" w:rsidP="005129E1">
            <w:pPr>
              <w:pStyle w:val="TableText"/>
              <w:rPr>
                <w:b/>
              </w:rPr>
            </w:pPr>
            <w:r>
              <w:rPr>
                <w:b/>
              </w:rPr>
              <w:t>Threshold Result</w:t>
            </w:r>
          </w:p>
        </w:tc>
      </w:tr>
      <w:tr w:rsidR="001A5A46" w:rsidRPr="009B35EA" w14:paraId="09B1F63C" w14:textId="77777777">
        <w:tc>
          <w:tcPr>
            <w:tcW w:w="2088" w:type="dxa"/>
          </w:tcPr>
          <w:p w14:paraId="512852F9" w14:textId="77777777" w:rsidR="001A5A46" w:rsidRPr="009B35EA" w:rsidRDefault="001A5A46" w:rsidP="005129E1">
            <w:pPr>
              <w:pStyle w:val="TableText"/>
            </w:pPr>
          </w:p>
        </w:tc>
        <w:tc>
          <w:tcPr>
            <w:tcW w:w="2088" w:type="dxa"/>
          </w:tcPr>
          <w:p w14:paraId="1303F067" w14:textId="77777777" w:rsidR="001A5A46" w:rsidRPr="009B35EA" w:rsidRDefault="001A5A46" w:rsidP="005129E1">
            <w:pPr>
              <w:pStyle w:val="TableText"/>
            </w:pPr>
          </w:p>
        </w:tc>
        <w:tc>
          <w:tcPr>
            <w:tcW w:w="2088" w:type="dxa"/>
          </w:tcPr>
          <w:p w14:paraId="192A6002" w14:textId="77777777" w:rsidR="001A5A46" w:rsidRPr="009B35EA" w:rsidRDefault="001A5A46" w:rsidP="005129E1">
            <w:pPr>
              <w:pStyle w:val="TableText"/>
            </w:pPr>
          </w:p>
        </w:tc>
      </w:tr>
      <w:tr w:rsidR="001A5A46" w:rsidRPr="009B35EA" w14:paraId="38F89BA3" w14:textId="77777777">
        <w:tc>
          <w:tcPr>
            <w:tcW w:w="2088" w:type="dxa"/>
          </w:tcPr>
          <w:p w14:paraId="0B40168B" w14:textId="77777777" w:rsidR="001A5A46" w:rsidRPr="009B35EA" w:rsidRDefault="001A5A46" w:rsidP="005129E1">
            <w:pPr>
              <w:pStyle w:val="TableText"/>
            </w:pPr>
          </w:p>
        </w:tc>
        <w:tc>
          <w:tcPr>
            <w:tcW w:w="2088" w:type="dxa"/>
          </w:tcPr>
          <w:p w14:paraId="34AD958F" w14:textId="77777777" w:rsidR="001A5A46" w:rsidRPr="009B35EA" w:rsidRDefault="001A5A46" w:rsidP="005129E1">
            <w:pPr>
              <w:pStyle w:val="TableText"/>
            </w:pPr>
          </w:p>
        </w:tc>
        <w:tc>
          <w:tcPr>
            <w:tcW w:w="2088" w:type="dxa"/>
          </w:tcPr>
          <w:p w14:paraId="024F583C" w14:textId="77777777" w:rsidR="001A5A46" w:rsidRPr="009B35EA" w:rsidRDefault="001A5A46" w:rsidP="005129E1">
            <w:pPr>
              <w:pStyle w:val="TableText"/>
            </w:pPr>
          </w:p>
        </w:tc>
      </w:tr>
      <w:tr w:rsidR="001A5A46" w:rsidRPr="009B35EA" w14:paraId="13498A20" w14:textId="77777777">
        <w:tc>
          <w:tcPr>
            <w:tcW w:w="2088" w:type="dxa"/>
          </w:tcPr>
          <w:p w14:paraId="34778BA4" w14:textId="77777777" w:rsidR="001A5A46" w:rsidRPr="009B35EA" w:rsidRDefault="001A5A46" w:rsidP="005129E1">
            <w:pPr>
              <w:pStyle w:val="TableText"/>
            </w:pPr>
          </w:p>
        </w:tc>
        <w:tc>
          <w:tcPr>
            <w:tcW w:w="2088" w:type="dxa"/>
          </w:tcPr>
          <w:p w14:paraId="6934F1BC" w14:textId="77777777" w:rsidR="001A5A46" w:rsidRPr="009B35EA" w:rsidRDefault="001A5A46" w:rsidP="005129E1">
            <w:pPr>
              <w:pStyle w:val="TableText"/>
            </w:pPr>
          </w:p>
        </w:tc>
        <w:tc>
          <w:tcPr>
            <w:tcW w:w="2088" w:type="dxa"/>
          </w:tcPr>
          <w:p w14:paraId="2F2AAD5D" w14:textId="77777777" w:rsidR="001A5A46" w:rsidRPr="009B35EA" w:rsidRDefault="001A5A46" w:rsidP="005129E1">
            <w:pPr>
              <w:pStyle w:val="TableText"/>
            </w:pPr>
          </w:p>
        </w:tc>
      </w:tr>
      <w:tr w:rsidR="001A5A46" w:rsidRPr="009B35EA" w14:paraId="2C6D59BD" w14:textId="77777777">
        <w:tc>
          <w:tcPr>
            <w:tcW w:w="2088" w:type="dxa"/>
          </w:tcPr>
          <w:p w14:paraId="0744B017" w14:textId="77777777" w:rsidR="001A5A46" w:rsidRPr="009B35EA" w:rsidRDefault="001A5A46" w:rsidP="005129E1">
            <w:pPr>
              <w:pStyle w:val="TableText"/>
            </w:pPr>
          </w:p>
        </w:tc>
        <w:tc>
          <w:tcPr>
            <w:tcW w:w="2088" w:type="dxa"/>
          </w:tcPr>
          <w:p w14:paraId="71241A40" w14:textId="77777777" w:rsidR="001A5A46" w:rsidRPr="009B35EA" w:rsidRDefault="001A5A46" w:rsidP="005129E1">
            <w:pPr>
              <w:pStyle w:val="TableText"/>
            </w:pPr>
          </w:p>
        </w:tc>
        <w:tc>
          <w:tcPr>
            <w:tcW w:w="2088" w:type="dxa"/>
          </w:tcPr>
          <w:p w14:paraId="110FF66C" w14:textId="77777777" w:rsidR="001A5A46" w:rsidRPr="009B35EA" w:rsidRDefault="001A5A46" w:rsidP="005129E1">
            <w:pPr>
              <w:pStyle w:val="TableText"/>
            </w:pPr>
          </w:p>
        </w:tc>
      </w:tr>
      <w:tr w:rsidR="001A5A46" w:rsidRPr="009B35EA" w14:paraId="022B3A67" w14:textId="77777777">
        <w:tc>
          <w:tcPr>
            <w:tcW w:w="2088" w:type="dxa"/>
          </w:tcPr>
          <w:p w14:paraId="7A186C97" w14:textId="77777777" w:rsidR="001A5A46" w:rsidRPr="009B35EA" w:rsidRDefault="001A5A46" w:rsidP="005129E1">
            <w:pPr>
              <w:pStyle w:val="TableText"/>
            </w:pPr>
          </w:p>
        </w:tc>
        <w:tc>
          <w:tcPr>
            <w:tcW w:w="2088" w:type="dxa"/>
          </w:tcPr>
          <w:p w14:paraId="160AE142" w14:textId="77777777" w:rsidR="001A5A46" w:rsidRPr="009B35EA" w:rsidRDefault="001A5A46" w:rsidP="005129E1">
            <w:pPr>
              <w:pStyle w:val="TableText"/>
            </w:pPr>
          </w:p>
        </w:tc>
        <w:tc>
          <w:tcPr>
            <w:tcW w:w="2088" w:type="dxa"/>
          </w:tcPr>
          <w:p w14:paraId="3A7052F4" w14:textId="77777777" w:rsidR="001A5A46" w:rsidRPr="009B35EA" w:rsidRDefault="001A5A46" w:rsidP="005129E1">
            <w:pPr>
              <w:pStyle w:val="TableText"/>
            </w:pPr>
          </w:p>
        </w:tc>
      </w:tr>
      <w:tr w:rsidR="001A5A46" w:rsidRPr="009B35EA" w14:paraId="2BAC9291" w14:textId="77777777">
        <w:tc>
          <w:tcPr>
            <w:tcW w:w="2088" w:type="dxa"/>
          </w:tcPr>
          <w:p w14:paraId="4F6C3A23" w14:textId="77777777" w:rsidR="001A5A46" w:rsidRPr="009B35EA" w:rsidRDefault="001A5A46" w:rsidP="005129E1">
            <w:pPr>
              <w:pStyle w:val="TableText"/>
            </w:pPr>
          </w:p>
        </w:tc>
        <w:tc>
          <w:tcPr>
            <w:tcW w:w="2088" w:type="dxa"/>
          </w:tcPr>
          <w:p w14:paraId="05FF3DD1" w14:textId="77777777" w:rsidR="001A5A46" w:rsidRPr="009B35EA" w:rsidRDefault="001A5A46" w:rsidP="005129E1">
            <w:pPr>
              <w:pStyle w:val="TableText"/>
            </w:pPr>
          </w:p>
        </w:tc>
        <w:tc>
          <w:tcPr>
            <w:tcW w:w="2088" w:type="dxa"/>
          </w:tcPr>
          <w:p w14:paraId="2BF33107" w14:textId="77777777" w:rsidR="001A5A46" w:rsidRPr="009B35EA" w:rsidRDefault="001A5A46" w:rsidP="005129E1">
            <w:pPr>
              <w:pStyle w:val="TableText"/>
            </w:pPr>
          </w:p>
        </w:tc>
      </w:tr>
    </w:tbl>
    <w:p w14:paraId="348192B6" w14:textId="77777777" w:rsidR="002E3C00" w:rsidRDefault="007F0132" w:rsidP="005129E1">
      <w:pPr>
        <w:pStyle w:val="Heading3"/>
      </w:pPr>
      <w:r>
        <w:br w:type="page"/>
      </w:r>
      <w:bookmarkStart w:id="722" w:name="_Toc149064242"/>
      <w:r w:rsidR="002E3C00" w:rsidRPr="008F671D">
        <w:t xml:space="preserve">Transfusion </w:t>
      </w:r>
      <w:bookmarkEnd w:id="718"/>
      <w:r w:rsidR="002E3C00" w:rsidRPr="008F671D">
        <w:t>Effectiveness</w:t>
      </w:r>
      <w:bookmarkEnd w:id="719"/>
      <w:bookmarkEnd w:id="721"/>
      <w:bookmarkEnd w:id="722"/>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Transfusion Effectiveness</w:instrText>
      </w:r>
      <w:r w:rsidR="00992E88">
        <w:instrText xml:space="preserve">" </w:instrText>
      </w:r>
      <w:r w:rsidR="00992E88">
        <w:fldChar w:fldCharType="end"/>
      </w:r>
    </w:p>
    <w:p w14:paraId="69E613B3" w14:textId="355299BB" w:rsidR="002E3C00" w:rsidRPr="00BA1922" w:rsidRDefault="002E3C00" w:rsidP="002E3C00">
      <w:pPr>
        <w:pStyle w:val="BodyText"/>
      </w:pPr>
      <w:r>
        <w:t xml:space="preserve">The user defines Laboratory tests to monitor the effectiveness of transfusions. </w:t>
      </w:r>
      <w:r w:rsidR="008D2779">
        <w:t xml:space="preserve">For more information, see </w:t>
      </w:r>
      <w:r w:rsidR="00EE455E">
        <w:t xml:space="preserve">Appendix </w:t>
      </w:r>
      <w:r w:rsidR="00EE455E">
        <w:rPr>
          <w:noProof/>
        </w:rPr>
        <w:t>G</w:t>
      </w:r>
      <w:r w:rsidR="00EE455E">
        <w:t>: Work Process Flowcharts</w:t>
      </w:r>
      <w:r w:rsidR="008D2779">
        <w:t>.</w:t>
      </w:r>
    </w:p>
    <w:p w14:paraId="3A8EB416" w14:textId="77777777" w:rsidR="002E3C00" w:rsidRDefault="002E3C00" w:rsidP="002E3C00">
      <w:pPr>
        <w:pStyle w:val="Heading4"/>
        <w:rPr>
          <w:b w:val="0"/>
        </w:rPr>
      </w:pPr>
      <w:r>
        <w:t>User Roles with Access to This Option</w:t>
      </w:r>
      <w:r>
        <w:rPr>
          <w:b w:val="0"/>
        </w:rPr>
        <w:t xml:space="preserve"> </w:t>
      </w:r>
    </w:p>
    <w:p w14:paraId="0F9F85B7"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sidRPr="00FD030D">
        <w:t xml:space="preserve"> </w:t>
      </w:r>
    </w:p>
    <w:p w14:paraId="75D96929" w14:textId="77777777" w:rsidR="002E3C00" w:rsidRDefault="00B74754" w:rsidP="002E3C00">
      <w:pPr>
        <w:pStyle w:val="Heading4"/>
      </w:pPr>
      <w:r>
        <w:t>Preparation for Testing</w:t>
      </w:r>
    </w:p>
    <w:p w14:paraId="30A44620" w14:textId="77777777" w:rsidR="005243DA" w:rsidRPr="00600497" w:rsidRDefault="005243DA" w:rsidP="00925CAD">
      <w:pPr>
        <w:pStyle w:val="ListNumber"/>
        <w:numPr>
          <w:ilvl w:val="0"/>
          <w:numId w:val="26"/>
        </w:numPr>
        <w:tabs>
          <w:tab w:val="clear" w:pos="720"/>
          <w:tab w:val="num" w:pos="360"/>
        </w:tabs>
        <w:ind w:left="360"/>
      </w:pPr>
      <w:bookmarkStart w:id="723" w:name="_Toc85895793"/>
      <w:bookmarkStart w:id="724" w:name="_Toc113264251"/>
      <w:r>
        <w:t>Use the sa</w:t>
      </w:r>
      <w:r w:rsidRPr="00600497">
        <w:t>mple worksheet to record information.</w:t>
      </w:r>
    </w:p>
    <w:p w14:paraId="292319C2" w14:textId="77777777" w:rsidR="002E3C00" w:rsidRPr="00600497" w:rsidRDefault="002E3C00" w:rsidP="00925CAD">
      <w:pPr>
        <w:pStyle w:val="ListNumber"/>
        <w:numPr>
          <w:ilvl w:val="0"/>
          <w:numId w:val="26"/>
        </w:numPr>
        <w:tabs>
          <w:tab w:val="clear" w:pos="720"/>
          <w:tab w:val="num" w:pos="360"/>
        </w:tabs>
        <w:ind w:left="360"/>
      </w:pPr>
      <w:r w:rsidRPr="00600497">
        <w:t>Capture and save a screen shot of all entries.</w:t>
      </w:r>
    </w:p>
    <w:p w14:paraId="42A0030A" w14:textId="77777777" w:rsidR="00232E43" w:rsidRPr="00FB7F8D" w:rsidRDefault="00232E43" w:rsidP="00925CAD">
      <w:pPr>
        <w:pStyle w:val="ListNumber"/>
        <w:numPr>
          <w:ilvl w:val="0"/>
          <w:numId w:val="26"/>
        </w:numPr>
        <w:tabs>
          <w:tab w:val="clear" w:pos="720"/>
          <w:tab w:val="num" w:pos="360"/>
        </w:tabs>
        <w:ind w:left="360"/>
      </w:pPr>
      <w:r w:rsidRPr="00600497">
        <w:t>Print, si</w:t>
      </w:r>
      <w:r>
        <w:t>gn, date,</w:t>
      </w:r>
      <w:r w:rsidRPr="00FB7F8D">
        <w:t xml:space="preserve"> and save an </w:t>
      </w:r>
      <w:r>
        <w:t>A</w:t>
      </w:r>
      <w:r w:rsidRPr="00FB7F8D">
        <w:t xml:space="preserve">udit </w:t>
      </w:r>
      <w:r>
        <w:t>Trail R</w:t>
      </w:r>
      <w:r w:rsidRPr="00FB7F8D">
        <w:t>eport for your validation record.</w:t>
      </w:r>
    </w:p>
    <w:p w14:paraId="0FA16F20" w14:textId="76D77751" w:rsidR="00061FCF" w:rsidRDefault="00061FCF" w:rsidP="00061FCF">
      <w:pPr>
        <w:pStyle w:val="Caption"/>
      </w:pPr>
      <w:bookmarkStart w:id="725" w:name="_Toc114462106"/>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34</w:t>
      </w:r>
      <w:r w:rsidR="004E20BD">
        <w:rPr>
          <w:noProof/>
        </w:rPr>
        <w:fldChar w:fldCharType="end"/>
      </w:r>
      <w:r>
        <w:t>: Transfusion Effectiveness Worksheet</w:t>
      </w:r>
      <w:r w:rsidR="00AD60CF">
        <w:fldChar w:fldCharType="begin"/>
      </w:r>
      <w:r w:rsidR="00292A7B">
        <w:instrText xml:space="preserve"> XE "Tables:</w:instrText>
      </w:r>
      <w:r w:rsidR="00AD60CF" w:rsidRPr="0046419F">
        <w:instrText>Transfusion Effectiveness Worksheet</w:instrText>
      </w:r>
      <w:r w:rsidR="00AD60CF">
        <w:instrText xml:space="preserve">" </w:instrText>
      </w:r>
      <w:r w:rsidR="00AD60CF">
        <w:fldChar w:fldCharType="end"/>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0"/>
        <w:gridCol w:w="3120"/>
        <w:gridCol w:w="3120"/>
      </w:tblGrid>
      <w:tr w:rsidR="003D7F63" w:rsidRPr="007121BA" w14:paraId="03B2ABD8" w14:textId="77777777">
        <w:trPr>
          <w:tblHeader/>
        </w:trPr>
        <w:tc>
          <w:tcPr>
            <w:tcW w:w="2088" w:type="dxa"/>
            <w:shd w:val="clear" w:color="auto" w:fill="B3B3B3"/>
            <w:vAlign w:val="bottom"/>
          </w:tcPr>
          <w:p w14:paraId="3F30E5F5" w14:textId="77777777" w:rsidR="003D7F63" w:rsidRPr="007121BA" w:rsidRDefault="003D7F63" w:rsidP="005129E1">
            <w:pPr>
              <w:pStyle w:val="TableText"/>
              <w:rPr>
                <w:b/>
              </w:rPr>
            </w:pPr>
            <w:r>
              <w:rPr>
                <w:b/>
              </w:rPr>
              <w:t>Laboratory Test Name</w:t>
            </w:r>
          </w:p>
        </w:tc>
        <w:tc>
          <w:tcPr>
            <w:tcW w:w="2088" w:type="dxa"/>
            <w:shd w:val="clear" w:color="auto" w:fill="B3B3B3"/>
            <w:vAlign w:val="bottom"/>
          </w:tcPr>
          <w:p w14:paraId="51F2BED8" w14:textId="77777777" w:rsidR="003D7F63" w:rsidRPr="007121BA" w:rsidRDefault="003D7F63" w:rsidP="005129E1">
            <w:pPr>
              <w:pStyle w:val="TableText"/>
              <w:rPr>
                <w:b/>
              </w:rPr>
            </w:pPr>
            <w:r>
              <w:rPr>
                <w:b/>
              </w:rPr>
              <w:t>Specimen Type</w:t>
            </w:r>
          </w:p>
        </w:tc>
        <w:tc>
          <w:tcPr>
            <w:tcW w:w="2088" w:type="dxa"/>
            <w:shd w:val="clear" w:color="auto" w:fill="B3B3B3"/>
            <w:vAlign w:val="bottom"/>
          </w:tcPr>
          <w:p w14:paraId="68905250" w14:textId="77777777" w:rsidR="003D7F63" w:rsidRPr="007121BA" w:rsidRDefault="003D7F63" w:rsidP="005129E1">
            <w:pPr>
              <w:pStyle w:val="TableText"/>
              <w:rPr>
                <w:b/>
              </w:rPr>
            </w:pPr>
            <w:r>
              <w:rPr>
                <w:b/>
              </w:rPr>
              <w:t>Threshold Result</w:t>
            </w:r>
          </w:p>
        </w:tc>
      </w:tr>
      <w:tr w:rsidR="003D7F63" w:rsidRPr="009B35EA" w14:paraId="04045009" w14:textId="77777777">
        <w:tc>
          <w:tcPr>
            <w:tcW w:w="2088" w:type="dxa"/>
          </w:tcPr>
          <w:p w14:paraId="78773CB5" w14:textId="77777777" w:rsidR="003D7F63" w:rsidRPr="009B35EA" w:rsidRDefault="003D7F63" w:rsidP="005129E1">
            <w:pPr>
              <w:pStyle w:val="TableText"/>
            </w:pPr>
          </w:p>
        </w:tc>
        <w:tc>
          <w:tcPr>
            <w:tcW w:w="2088" w:type="dxa"/>
          </w:tcPr>
          <w:p w14:paraId="1160D149" w14:textId="77777777" w:rsidR="003D7F63" w:rsidRPr="009B35EA" w:rsidRDefault="003D7F63" w:rsidP="005129E1">
            <w:pPr>
              <w:pStyle w:val="TableText"/>
            </w:pPr>
          </w:p>
        </w:tc>
        <w:tc>
          <w:tcPr>
            <w:tcW w:w="2088" w:type="dxa"/>
          </w:tcPr>
          <w:p w14:paraId="4A4995CA" w14:textId="77777777" w:rsidR="003D7F63" w:rsidRPr="009B35EA" w:rsidRDefault="003D7F63" w:rsidP="005129E1">
            <w:pPr>
              <w:pStyle w:val="TableText"/>
            </w:pPr>
          </w:p>
        </w:tc>
      </w:tr>
      <w:tr w:rsidR="003D7F63" w:rsidRPr="009B35EA" w14:paraId="0FD52F18" w14:textId="77777777">
        <w:tc>
          <w:tcPr>
            <w:tcW w:w="2088" w:type="dxa"/>
          </w:tcPr>
          <w:p w14:paraId="347F2118" w14:textId="77777777" w:rsidR="003D7F63" w:rsidRPr="009B35EA" w:rsidRDefault="003D7F63" w:rsidP="005129E1">
            <w:pPr>
              <w:pStyle w:val="TableText"/>
            </w:pPr>
          </w:p>
        </w:tc>
        <w:tc>
          <w:tcPr>
            <w:tcW w:w="2088" w:type="dxa"/>
          </w:tcPr>
          <w:p w14:paraId="0C255590" w14:textId="77777777" w:rsidR="003D7F63" w:rsidRPr="009B35EA" w:rsidRDefault="003D7F63" w:rsidP="005129E1">
            <w:pPr>
              <w:pStyle w:val="TableText"/>
            </w:pPr>
          </w:p>
        </w:tc>
        <w:tc>
          <w:tcPr>
            <w:tcW w:w="2088" w:type="dxa"/>
          </w:tcPr>
          <w:p w14:paraId="0F501F80" w14:textId="77777777" w:rsidR="003D7F63" w:rsidRPr="009B35EA" w:rsidRDefault="003D7F63" w:rsidP="005129E1">
            <w:pPr>
              <w:pStyle w:val="TableText"/>
            </w:pPr>
          </w:p>
        </w:tc>
      </w:tr>
      <w:tr w:rsidR="003D7F63" w:rsidRPr="009B35EA" w14:paraId="5A49B314" w14:textId="77777777">
        <w:tc>
          <w:tcPr>
            <w:tcW w:w="2088" w:type="dxa"/>
          </w:tcPr>
          <w:p w14:paraId="007C6B0A" w14:textId="77777777" w:rsidR="003D7F63" w:rsidRPr="009B35EA" w:rsidRDefault="003D7F63" w:rsidP="005129E1">
            <w:pPr>
              <w:pStyle w:val="TableText"/>
            </w:pPr>
          </w:p>
        </w:tc>
        <w:tc>
          <w:tcPr>
            <w:tcW w:w="2088" w:type="dxa"/>
          </w:tcPr>
          <w:p w14:paraId="4022FE67" w14:textId="77777777" w:rsidR="003D7F63" w:rsidRPr="009B35EA" w:rsidRDefault="003D7F63" w:rsidP="005129E1">
            <w:pPr>
              <w:pStyle w:val="TableText"/>
            </w:pPr>
          </w:p>
        </w:tc>
        <w:tc>
          <w:tcPr>
            <w:tcW w:w="2088" w:type="dxa"/>
          </w:tcPr>
          <w:p w14:paraId="19868FDC" w14:textId="77777777" w:rsidR="003D7F63" w:rsidRPr="009B35EA" w:rsidRDefault="003D7F63" w:rsidP="005129E1">
            <w:pPr>
              <w:pStyle w:val="TableText"/>
            </w:pPr>
          </w:p>
        </w:tc>
      </w:tr>
      <w:tr w:rsidR="003D7F63" w:rsidRPr="009B35EA" w14:paraId="2A51DBD1" w14:textId="77777777">
        <w:tc>
          <w:tcPr>
            <w:tcW w:w="2088" w:type="dxa"/>
          </w:tcPr>
          <w:p w14:paraId="5867DD08" w14:textId="77777777" w:rsidR="003D7F63" w:rsidRPr="009B35EA" w:rsidRDefault="003D7F63" w:rsidP="005129E1">
            <w:pPr>
              <w:pStyle w:val="TableText"/>
            </w:pPr>
          </w:p>
        </w:tc>
        <w:tc>
          <w:tcPr>
            <w:tcW w:w="2088" w:type="dxa"/>
          </w:tcPr>
          <w:p w14:paraId="239762C9" w14:textId="77777777" w:rsidR="003D7F63" w:rsidRPr="009B35EA" w:rsidRDefault="003D7F63" w:rsidP="005129E1">
            <w:pPr>
              <w:pStyle w:val="TableText"/>
            </w:pPr>
          </w:p>
        </w:tc>
        <w:tc>
          <w:tcPr>
            <w:tcW w:w="2088" w:type="dxa"/>
          </w:tcPr>
          <w:p w14:paraId="01B57B8F" w14:textId="77777777" w:rsidR="003D7F63" w:rsidRPr="009B35EA" w:rsidRDefault="003D7F63" w:rsidP="005129E1">
            <w:pPr>
              <w:pStyle w:val="TableText"/>
            </w:pPr>
          </w:p>
        </w:tc>
      </w:tr>
      <w:tr w:rsidR="003D7F63" w:rsidRPr="009B35EA" w14:paraId="420C2F35" w14:textId="77777777">
        <w:tc>
          <w:tcPr>
            <w:tcW w:w="2088" w:type="dxa"/>
          </w:tcPr>
          <w:p w14:paraId="216AA39E" w14:textId="77777777" w:rsidR="003D7F63" w:rsidRPr="009B35EA" w:rsidRDefault="003D7F63" w:rsidP="005129E1">
            <w:pPr>
              <w:pStyle w:val="TableText"/>
            </w:pPr>
          </w:p>
        </w:tc>
        <w:tc>
          <w:tcPr>
            <w:tcW w:w="2088" w:type="dxa"/>
          </w:tcPr>
          <w:p w14:paraId="1313A1D8" w14:textId="77777777" w:rsidR="003D7F63" w:rsidRPr="009B35EA" w:rsidRDefault="003D7F63" w:rsidP="005129E1">
            <w:pPr>
              <w:pStyle w:val="TableText"/>
            </w:pPr>
          </w:p>
        </w:tc>
        <w:tc>
          <w:tcPr>
            <w:tcW w:w="2088" w:type="dxa"/>
          </w:tcPr>
          <w:p w14:paraId="73348CD8" w14:textId="77777777" w:rsidR="003D7F63" w:rsidRPr="009B35EA" w:rsidRDefault="003D7F63" w:rsidP="005129E1">
            <w:pPr>
              <w:pStyle w:val="TableText"/>
            </w:pPr>
          </w:p>
        </w:tc>
      </w:tr>
      <w:tr w:rsidR="003D7F63" w:rsidRPr="009B35EA" w14:paraId="53E35225" w14:textId="77777777">
        <w:tc>
          <w:tcPr>
            <w:tcW w:w="2088" w:type="dxa"/>
          </w:tcPr>
          <w:p w14:paraId="687BDE17" w14:textId="77777777" w:rsidR="003D7F63" w:rsidRPr="009B35EA" w:rsidRDefault="003D7F63" w:rsidP="005129E1">
            <w:pPr>
              <w:pStyle w:val="TableText"/>
            </w:pPr>
          </w:p>
        </w:tc>
        <w:tc>
          <w:tcPr>
            <w:tcW w:w="2088" w:type="dxa"/>
          </w:tcPr>
          <w:p w14:paraId="73041063" w14:textId="77777777" w:rsidR="003D7F63" w:rsidRPr="009B35EA" w:rsidRDefault="003D7F63" w:rsidP="005129E1">
            <w:pPr>
              <w:pStyle w:val="TableText"/>
            </w:pPr>
          </w:p>
        </w:tc>
        <w:tc>
          <w:tcPr>
            <w:tcW w:w="2088" w:type="dxa"/>
          </w:tcPr>
          <w:p w14:paraId="7DF5A5B7" w14:textId="77777777" w:rsidR="003D7F63" w:rsidRPr="009B35EA" w:rsidRDefault="003D7F63" w:rsidP="005129E1">
            <w:pPr>
              <w:pStyle w:val="TableText"/>
            </w:pPr>
          </w:p>
        </w:tc>
      </w:tr>
    </w:tbl>
    <w:p w14:paraId="09BB7AFD" w14:textId="77777777" w:rsidR="002E3C00" w:rsidRDefault="003E754E" w:rsidP="005129E1">
      <w:pPr>
        <w:pStyle w:val="Heading3"/>
        <w:rPr>
          <w:snapToGrid w:val="0"/>
        </w:rPr>
      </w:pPr>
      <w:r>
        <w:rPr>
          <w:snapToGrid w:val="0"/>
        </w:rPr>
        <w:br w:type="page"/>
      </w:r>
      <w:bookmarkStart w:id="726" w:name="_Toc149064243"/>
      <w:r w:rsidR="002E3C00">
        <w:rPr>
          <w:snapToGrid w:val="0"/>
        </w:rPr>
        <w:t>Workload Codes</w:t>
      </w:r>
      <w:bookmarkEnd w:id="723"/>
      <w:bookmarkEnd w:id="724"/>
      <w:bookmarkEnd w:id="725"/>
      <w:bookmarkEnd w:id="726"/>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Workload Codes</w:instrText>
      </w:r>
      <w:r w:rsidR="00992E88">
        <w:instrText xml:space="preserve">" </w:instrText>
      </w:r>
      <w:r w:rsidR="00992E88">
        <w:rPr>
          <w:snapToGrid w:val="0"/>
        </w:rPr>
        <w:fldChar w:fldCharType="end"/>
      </w:r>
    </w:p>
    <w:p w14:paraId="7869F2AE" w14:textId="1DBA8653" w:rsidR="002E3C00" w:rsidRDefault="002E3C00" w:rsidP="002E3C00">
      <w:pPr>
        <w:pStyle w:val="BodyText"/>
      </w:pPr>
      <w:r>
        <w:t xml:space="preserve">The user assigns workload Laboratory Management Index Program/National Laboratory Test (LMIP/NLT) tests to processes performed through VBECS. VBECS test names are associated with </w:t>
      </w:r>
      <w:r w:rsidRPr="00CA0045">
        <w:rPr>
          <w:bCs/>
        </w:rPr>
        <w:t>VistA</w:t>
      </w:r>
      <w:r>
        <w:t xml:space="preserve"> workload codes, </w:t>
      </w:r>
      <w:r w:rsidR="003E1A15">
        <w:t>used</w:t>
      </w:r>
      <w:r>
        <w:t xml:space="preserve"> when compiling and storing data to provide workload-related reports to </w:t>
      </w:r>
      <w:r w:rsidRPr="00CA0045">
        <w:rPr>
          <w:bCs/>
        </w:rPr>
        <w:t>VistA</w:t>
      </w:r>
      <w:r>
        <w:t>.</w:t>
      </w:r>
      <w:r w:rsidR="008D2779">
        <w:t xml:space="preserve"> For more information, see </w:t>
      </w:r>
      <w:r w:rsidR="00EE455E">
        <w:t xml:space="preserve">Appendix </w:t>
      </w:r>
      <w:r w:rsidR="00EE455E">
        <w:rPr>
          <w:noProof/>
        </w:rPr>
        <w:t>G</w:t>
      </w:r>
      <w:r w:rsidR="00EE455E">
        <w:t>: Work Process Flowcharts</w:t>
      </w:r>
      <w:r w:rsidR="008D2779">
        <w:t>.</w:t>
      </w:r>
    </w:p>
    <w:p w14:paraId="138FF4F3" w14:textId="77777777" w:rsidR="002E3C00" w:rsidRDefault="002E3C00" w:rsidP="002E3C00">
      <w:pPr>
        <w:pStyle w:val="Heading4"/>
        <w:rPr>
          <w:b w:val="0"/>
        </w:rPr>
      </w:pPr>
      <w:r>
        <w:t>User Roles with Access to This Option</w:t>
      </w:r>
      <w:r>
        <w:rPr>
          <w:b w:val="0"/>
        </w:rPr>
        <w:t xml:space="preserve"> </w:t>
      </w:r>
    </w:p>
    <w:p w14:paraId="14B4CBF2"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w:t>
      </w:r>
    </w:p>
    <w:p w14:paraId="7700C932" w14:textId="77777777" w:rsidR="002E3C00" w:rsidRDefault="00B74754" w:rsidP="002E3C00">
      <w:pPr>
        <w:pStyle w:val="Heading4"/>
      </w:pPr>
      <w:r>
        <w:t>Preparation for Testing</w:t>
      </w:r>
    </w:p>
    <w:p w14:paraId="74336B89"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73B16805" w14:textId="77777777" w:rsidR="002E3C00" w:rsidRDefault="002E3C00" w:rsidP="002E3C00">
      <w:pPr>
        <w:pStyle w:val="Heading3"/>
      </w:pPr>
      <w:bookmarkStart w:id="727" w:name="_Toc85895794"/>
      <w:bookmarkStart w:id="728" w:name="_Toc113264252"/>
      <w:bookmarkStart w:id="729" w:name="_Toc114462107"/>
      <w:bookmarkStart w:id="730" w:name="_Toc149064244"/>
      <w:r>
        <w:rPr>
          <w:snapToGrid w:val="0"/>
        </w:rPr>
        <w:t xml:space="preserve">Canned </w:t>
      </w:r>
      <w:r>
        <w:t>Comments</w:t>
      </w:r>
      <w:bookmarkEnd w:id="727"/>
      <w:bookmarkEnd w:id="728"/>
      <w:bookmarkEnd w:id="729"/>
      <w:bookmarkEnd w:id="730"/>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 xml:space="preserve">Canned </w:instrText>
      </w:r>
      <w:r w:rsidR="00992E88" w:rsidRPr="00B0596E">
        <w:instrText>Comments</w:instrText>
      </w:r>
      <w:r w:rsidR="00992E88">
        <w:instrText xml:space="preserve">" </w:instrText>
      </w:r>
      <w:r w:rsidR="00992E88">
        <w:fldChar w:fldCharType="end"/>
      </w:r>
    </w:p>
    <w:p w14:paraId="77F06E64" w14:textId="35D7DADF" w:rsidR="007B6183" w:rsidRPr="007B6183" w:rsidRDefault="007B6183" w:rsidP="007B6183">
      <w:pPr>
        <w:pStyle w:val="BodyText"/>
      </w:pPr>
      <w:r>
        <w:t>The user defines canned comments</w:t>
      </w:r>
      <w:r w:rsidR="008A1C39">
        <w:t>,</w:t>
      </w:r>
      <w:r>
        <w:t xml:space="preserve"> </w:t>
      </w:r>
      <w:r w:rsidR="008A1C39">
        <w:t xml:space="preserve">by category, </w:t>
      </w:r>
      <w:r>
        <w:t>for a division.</w:t>
      </w:r>
      <w:r w:rsidR="00250936">
        <w:t xml:space="preserve"> For more information, see </w:t>
      </w:r>
      <w:r w:rsidR="00EE455E">
        <w:t xml:space="preserve">Appendix </w:t>
      </w:r>
      <w:r w:rsidR="00EE455E">
        <w:rPr>
          <w:noProof/>
        </w:rPr>
        <w:t>G</w:t>
      </w:r>
      <w:r w:rsidR="00EE455E">
        <w:t>: Work Process Flowcharts</w:t>
      </w:r>
      <w:r w:rsidR="00250936">
        <w:t>.</w:t>
      </w:r>
    </w:p>
    <w:p w14:paraId="5DC7E5CB" w14:textId="77777777" w:rsidR="002E3C00" w:rsidRDefault="002E3C00" w:rsidP="002E3C00">
      <w:pPr>
        <w:pStyle w:val="Heading4"/>
        <w:rPr>
          <w:b w:val="0"/>
        </w:rPr>
      </w:pPr>
      <w:r>
        <w:t>User Roles with Access to This Option</w:t>
      </w:r>
      <w:r>
        <w:rPr>
          <w:b w:val="0"/>
        </w:rPr>
        <w:t xml:space="preserve"> </w:t>
      </w:r>
    </w:p>
    <w:p w14:paraId="58C77323"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r>
        <w:rPr>
          <w:snapToGrid w:val="0"/>
        </w:rPr>
        <w:t xml:space="preserve"> </w:t>
      </w:r>
    </w:p>
    <w:p w14:paraId="7698F01C" w14:textId="77777777" w:rsidR="002E3C00" w:rsidRDefault="00B74754" w:rsidP="002E3C00">
      <w:pPr>
        <w:pStyle w:val="Heading4"/>
      </w:pPr>
      <w:r>
        <w:t>Preparation for Testing</w:t>
      </w:r>
    </w:p>
    <w:p w14:paraId="64405FAD"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14A35348" w14:textId="77777777" w:rsidR="002E3C00" w:rsidRDefault="002E3C00" w:rsidP="002E3C00">
      <w:pPr>
        <w:pStyle w:val="Heading3"/>
      </w:pPr>
      <w:bookmarkStart w:id="731" w:name="_Toc85895795"/>
      <w:bookmarkStart w:id="732" w:name="_Toc113264253"/>
      <w:bookmarkStart w:id="733" w:name="_Toc114462108"/>
      <w:bookmarkStart w:id="734" w:name="_Toc149064245"/>
      <w:r>
        <w:t>MSBOS</w:t>
      </w:r>
      <w:bookmarkEnd w:id="731"/>
      <w:bookmarkEnd w:id="732"/>
      <w:bookmarkEnd w:id="733"/>
      <w:bookmarkEnd w:id="734"/>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MSBOS</w:instrText>
      </w:r>
      <w:r w:rsidR="00992E88">
        <w:instrText xml:space="preserve">" </w:instrText>
      </w:r>
      <w:r w:rsidR="00992E88">
        <w:fldChar w:fldCharType="end"/>
      </w:r>
    </w:p>
    <w:p w14:paraId="58BEA60E" w14:textId="53F9ECEE" w:rsidR="002E3C00" w:rsidRPr="006D697F" w:rsidRDefault="002E3C00" w:rsidP="00DD75E5">
      <w:pPr>
        <w:pStyle w:val="BodyText"/>
      </w:pPr>
      <w:r>
        <w:t>The user defines parameters for comparing blood component orders placed by a clinician with the Maximum Surgical Blood Ordering Schedule (MSBOS).</w:t>
      </w:r>
      <w:r w:rsidR="00250936">
        <w:t xml:space="preserve"> For more information, see </w:t>
      </w:r>
      <w:r w:rsidR="00EE455E">
        <w:t xml:space="preserve">Appendix </w:t>
      </w:r>
      <w:r w:rsidR="00EE455E">
        <w:rPr>
          <w:noProof/>
        </w:rPr>
        <w:t>G</w:t>
      </w:r>
      <w:r w:rsidR="00EE455E">
        <w:t>: Work Process Flowcharts</w:t>
      </w:r>
      <w:r w:rsidR="00250936">
        <w:t>.</w:t>
      </w:r>
    </w:p>
    <w:p w14:paraId="24F54A11" w14:textId="77777777" w:rsidR="002E3C00" w:rsidRDefault="002E3C00" w:rsidP="002E3C00">
      <w:pPr>
        <w:pStyle w:val="Heading4"/>
        <w:rPr>
          <w:b w:val="0"/>
        </w:rPr>
      </w:pPr>
      <w:r>
        <w:t>User Roles with Access to This Option</w:t>
      </w:r>
      <w:r>
        <w:rPr>
          <w:b w:val="0"/>
        </w:rPr>
        <w:t xml:space="preserve"> </w:t>
      </w:r>
    </w:p>
    <w:p w14:paraId="712745FD"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 </w:t>
      </w:r>
    </w:p>
    <w:p w14:paraId="0AB4F69F" w14:textId="77777777" w:rsidR="002E3C00" w:rsidRDefault="00B74754" w:rsidP="002E3C00">
      <w:pPr>
        <w:pStyle w:val="Heading4"/>
      </w:pPr>
      <w:r>
        <w:t>Preparation for Testing</w:t>
      </w:r>
    </w:p>
    <w:p w14:paraId="5B65E10A"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6E772E12" w14:textId="77777777" w:rsidR="002E3C00" w:rsidRDefault="002E3C00" w:rsidP="002E3C00">
      <w:pPr>
        <w:pStyle w:val="Heading3"/>
        <w:rPr>
          <w:snapToGrid w:val="0"/>
        </w:rPr>
      </w:pPr>
      <w:bookmarkStart w:id="735" w:name="_Toc85895796"/>
      <w:bookmarkStart w:id="736" w:name="_Toc113264254"/>
      <w:bookmarkStart w:id="737" w:name="_Toc114462109"/>
      <w:bookmarkStart w:id="738" w:name="_Toc149064246"/>
      <w:r>
        <w:rPr>
          <w:snapToGrid w:val="0"/>
        </w:rPr>
        <w:t>Edit Invoice Text</w:t>
      </w:r>
      <w:bookmarkEnd w:id="735"/>
      <w:bookmarkEnd w:id="736"/>
      <w:bookmarkEnd w:id="737"/>
      <w:bookmarkEnd w:id="738"/>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Edit Invoice Text</w:instrText>
      </w:r>
      <w:r w:rsidR="00992E88">
        <w:instrText xml:space="preserve">" </w:instrText>
      </w:r>
      <w:r w:rsidR="00992E88">
        <w:rPr>
          <w:snapToGrid w:val="0"/>
        </w:rPr>
        <w:fldChar w:fldCharType="end"/>
      </w:r>
    </w:p>
    <w:p w14:paraId="6D2F68E4" w14:textId="77777777" w:rsidR="002E3C00" w:rsidRPr="00E0423B" w:rsidRDefault="002E3C00" w:rsidP="002E3C00">
      <w:pPr>
        <w:pStyle w:val="BodyText"/>
      </w:pPr>
      <w:r>
        <w:t xml:space="preserve">The user may edit the explanatory text above the signature on the last page of a shipping invoice. </w:t>
      </w:r>
    </w:p>
    <w:p w14:paraId="4ED7D283" w14:textId="77777777" w:rsidR="002E3C00" w:rsidRDefault="002E3C00" w:rsidP="002E3C00">
      <w:pPr>
        <w:pStyle w:val="Heading4"/>
        <w:rPr>
          <w:b w:val="0"/>
        </w:rPr>
      </w:pPr>
      <w:r>
        <w:t>User Roles with Access to This Option</w:t>
      </w:r>
      <w:r>
        <w:rPr>
          <w:b w:val="0"/>
        </w:rPr>
        <w:t xml:space="preserve"> </w:t>
      </w:r>
    </w:p>
    <w:p w14:paraId="48B3C3C8"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336AA17B" w14:textId="77777777" w:rsidR="002E3C00" w:rsidRDefault="00B74754" w:rsidP="002E3C00">
      <w:pPr>
        <w:pStyle w:val="Heading4"/>
      </w:pPr>
      <w:r>
        <w:t>Preparation for Testing</w:t>
      </w:r>
    </w:p>
    <w:p w14:paraId="1CC1ACA6" w14:textId="77777777" w:rsidR="00232E43" w:rsidRPr="00FB7F8D" w:rsidRDefault="00232E43" w:rsidP="008A1C39">
      <w:pPr>
        <w:pStyle w:val="BodyText"/>
      </w:pPr>
      <w:r w:rsidRPr="00FB7F8D">
        <w:t>Print</w:t>
      </w:r>
      <w:r>
        <w:t>, sign, date,</w:t>
      </w:r>
      <w:r w:rsidRPr="00FB7F8D">
        <w:t xml:space="preserve"> and save an </w:t>
      </w:r>
      <w:r>
        <w:t>A</w:t>
      </w:r>
      <w:r w:rsidRPr="00FB7F8D">
        <w:t xml:space="preserve">udit </w:t>
      </w:r>
      <w:r>
        <w:t>Trail R</w:t>
      </w:r>
      <w:r w:rsidRPr="00FB7F8D">
        <w:t>eport for your validation record.</w:t>
      </w:r>
    </w:p>
    <w:p w14:paraId="4D09224A" w14:textId="77777777" w:rsidR="002E3C00" w:rsidRDefault="001D3D7A" w:rsidP="002E3C00">
      <w:pPr>
        <w:pStyle w:val="Heading3"/>
        <w:rPr>
          <w:snapToGrid w:val="0"/>
        </w:rPr>
      </w:pPr>
      <w:bookmarkStart w:id="739" w:name="_Toc85895797"/>
      <w:bookmarkStart w:id="740" w:name="_Toc113264255"/>
      <w:bookmarkStart w:id="741" w:name="_Toc114462110"/>
      <w:r>
        <w:rPr>
          <w:snapToGrid w:val="0"/>
        </w:rPr>
        <w:br w:type="page"/>
      </w:r>
      <w:bookmarkStart w:id="742" w:name="_Toc149064247"/>
      <w:r w:rsidR="002E3C00">
        <w:rPr>
          <w:snapToGrid w:val="0"/>
        </w:rPr>
        <w:t>Antibodies</w:t>
      </w:r>
      <w:bookmarkEnd w:id="739"/>
      <w:bookmarkEnd w:id="740"/>
      <w:bookmarkEnd w:id="741"/>
      <w:bookmarkEnd w:id="742"/>
      <w:r w:rsidR="00E21F36">
        <w:rPr>
          <w:snapToGrid w:val="0"/>
        </w:rPr>
        <w:fldChar w:fldCharType="begin"/>
      </w:r>
      <w:r w:rsidR="00E21F36">
        <w:instrText xml:space="preserve"> XE " System Validation:</w:instrText>
      </w:r>
      <w:r w:rsidR="00E21F36" w:rsidRPr="0081226B">
        <w:rPr>
          <w:snapToGrid w:val="0"/>
        </w:rPr>
        <w:instrText>Antibodies</w:instrText>
      </w:r>
      <w:r w:rsidR="00E21F36">
        <w:instrText xml:space="preserve">" </w:instrText>
      </w:r>
      <w:r w:rsidR="00E21F36">
        <w:rPr>
          <w:snapToGrid w:val="0"/>
        </w:rPr>
        <w:fldChar w:fldCharType="end"/>
      </w:r>
    </w:p>
    <w:p w14:paraId="72753D62" w14:textId="0E3F45FB" w:rsidR="002E3C00" w:rsidRDefault="002E3C00" w:rsidP="002E3C00">
      <w:pPr>
        <w:pStyle w:val="BodyText"/>
      </w:pPr>
      <w:r>
        <w:t xml:space="preserve">The user </w:t>
      </w:r>
      <w:r w:rsidR="00E15B34">
        <w:t xml:space="preserve">may </w:t>
      </w:r>
      <w:r>
        <w:t>edit certain fields in the supplied antibody table</w:t>
      </w:r>
      <w:r w:rsidR="00191728">
        <w:t xml:space="preserve"> (</w:t>
      </w:r>
      <w:r w:rsidR="00EE455E">
        <w:t xml:space="preserve">Table </w:t>
      </w:r>
      <w:r w:rsidR="00EE455E">
        <w:rPr>
          <w:noProof/>
        </w:rPr>
        <w:t>14</w:t>
      </w:r>
      <w:r w:rsidR="00191728">
        <w:t>).</w:t>
      </w:r>
      <w:r w:rsidR="0063037F">
        <w:t xml:space="preserve"> Use</w:t>
      </w:r>
      <w:r w:rsidR="00191728">
        <w:t xml:space="preserve"> </w:t>
      </w:r>
      <w:r w:rsidR="00EE455E">
        <w:t xml:space="preserve">Table </w:t>
      </w:r>
      <w:r w:rsidR="00EE455E">
        <w:rPr>
          <w:noProof/>
        </w:rPr>
        <w:t>35</w:t>
      </w:r>
      <w:r w:rsidR="0063037F">
        <w:t xml:space="preserve"> (</w:t>
      </w:r>
      <w:r w:rsidR="00191728">
        <w:t xml:space="preserve">extracted from </w:t>
      </w:r>
      <w:r w:rsidR="00EE455E">
        <w:t xml:space="preserve">Table </w:t>
      </w:r>
      <w:r w:rsidR="00EE455E">
        <w:rPr>
          <w:noProof/>
        </w:rPr>
        <w:t>14</w:t>
      </w:r>
      <w:r w:rsidR="0063037F">
        <w:t>) to document local decisions on antigen-negative settings.</w:t>
      </w:r>
      <w:r w:rsidR="003C6D47">
        <w:t xml:space="preserve"> </w:t>
      </w:r>
      <w:r w:rsidR="008D2779">
        <w:t xml:space="preserve">For more information, see </w:t>
      </w:r>
      <w:r w:rsidR="00EE455E">
        <w:t xml:space="preserve">Appendix </w:t>
      </w:r>
      <w:r w:rsidR="00EE455E">
        <w:rPr>
          <w:noProof/>
        </w:rPr>
        <w:t>G</w:t>
      </w:r>
      <w:r w:rsidR="00EE455E">
        <w:t>: Work Process Flowcharts</w:t>
      </w:r>
      <w:r w:rsidR="008D2779">
        <w:t>.</w:t>
      </w:r>
      <w:r w:rsidR="00432FCC" w:rsidRPr="00E15B34">
        <w:rPr>
          <w:vanish/>
        </w:rPr>
        <w:t>(DR 2,617)</w:t>
      </w:r>
    </w:p>
    <w:p w14:paraId="16C0C3E7" w14:textId="3ED1DB2C" w:rsidR="00E15B34" w:rsidRDefault="00E15B34" w:rsidP="00E15B34">
      <w:pPr>
        <w:pStyle w:val="Caption"/>
      </w:pPr>
      <w:bookmarkStart w:id="743" w:name="_Ref169421522"/>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35</w:t>
      </w:r>
      <w:r w:rsidR="004E20BD">
        <w:rPr>
          <w:noProof/>
        </w:rPr>
        <w:fldChar w:fldCharType="end"/>
      </w:r>
      <w:bookmarkEnd w:id="743"/>
      <w:r>
        <w:t>: User-Defined Antigen Negative Requirements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0"/>
        <w:gridCol w:w="1331"/>
        <w:gridCol w:w="1053"/>
        <w:gridCol w:w="1331"/>
        <w:gridCol w:w="4315"/>
      </w:tblGrid>
      <w:tr w:rsidR="004E75A5" w:rsidRPr="004E75A5" w14:paraId="2C39DC9A" w14:textId="77777777">
        <w:trPr>
          <w:tblHeader/>
        </w:trPr>
        <w:tc>
          <w:tcPr>
            <w:tcW w:w="2661" w:type="dxa"/>
            <w:gridSpan w:val="2"/>
            <w:tcBorders>
              <w:bottom w:val="single" w:sz="4" w:space="0" w:color="auto"/>
            </w:tcBorders>
            <w:shd w:val="clear" w:color="auto" w:fill="B3B3B3"/>
            <w:vAlign w:val="bottom"/>
          </w:tcPr>
          <w:p w14:paraId="7C282C96" w14:textId="77777777" w:rsidR="004E75A5" w:rsidRPr="004E75A5" w:rsidRDefault="004E75A5" w:rsidP="004E75A5">
            <w:pPr>
              <w:pStyle w:val="TableText"/>
              <w:jc w:val="center"/>
              <w:rPr>
                <w:b/>
              </w:rPr>
            </w:pPr>
            <w:r w:rsidRPr="004E75A5">
              <w:rPr>
                <w:b/>
              </w:rPr>
              <w:t>Antibody Name</w:t>
            </w:r>
          </w:p>
        </w:tc>
        <w:tc>
          <w:tcPr>
            <w:tcW w:w="1053" w:type="dxa"/>
            <w:vMerge w:val="restart"/>
            <w:shd w:val="clear" w:color="auto" w:fill="B3B3B3"/>
            <w:vAlign w:val="bottom"/>
          </w:tcPr>
          <w:p w14:paraId="2C43751F" w14:textId="77777777" w:rsidR="004E75A5" w:rsidRPr="004E75A5" w:rsidRDefault="004E75A5" w:rsidP="00432FCC">
            <w:pPr>
              <w:pStyle w:val="TableText"/>
              <w:rPr>
                <w:b/>
                <w:bCs/>
              </w:rPr>
            </w:pPr>
            <w:r w:rsidRPr="004E75A5">
              <w:rPr>
                <w:b/>
                <w:bCs/>
              </w:rPr>
              <w:t>Clinically Significant?</w:t>
            </w:r>
          </w:p>
        </w:tc>
        <w:tc>
          <w:tcPr>
            <w:tcW w:w="1331" w:type="dxa"/>
            <w:vMerge w:val="restart"/>
            <w:shd w:val="clear" w:color="auto" w:fill="B3B3B3"/>
            <w:vAlign w:val="bottom"/>
          </w:tcPr>
          <w:p w14:paraId="32F0FF34" w14:textId="77777777" w:rsidR="004E75A5" w:rsidRPr="004E75A5" w:rsidRDefault="004E75A5" w:rsidP="00432FCC">
            <w:pPr>
              <w:pStyle w:val="TableText"/>
              <w:rPr>
                <w:b/>
              </w:rPr>
            </w:pPr>
            <w:r w:rsidRPr="004E75A5">
              <w:rPr>
                <w:b/>
              </w:rPr>
              <w:t>VBECS Antigen Negative Setting Default</w:t>
            </w:r>
          </w:p>
        </w:tc>
        <w:tc>
          <w:tcPr>
            <w:tcW w:w="4315" w:type="dxa"/>
            <w:vMerge w:val="restart"/>
            <w:shd w:val="clear" w:color="auto" w:fill="B3B3B3"/>
            <w:vAlign w:val="bottom"/>
          </w:tcPr>
          <w:p w14:paraId="627B38AB" w14:textId="77777777" w:rsidR="004E75A5" w:rsidRPr="004E75A5" w:rsidRDefault="004E75A5" w:rsidP="00432FCC">
            <w:pPr>
              <w:pStyle w:val="TableText"/>
              <w:rPr>
                <w:rFonts w:eastAsia="Symbol"/>
                <w:b/>
              </w:rPr>
            </w:pPr>
            <w:r w:rsidRPr="004E75A5">
              <w:rPr>
                <w:rFonts w:eastAsia="Symbol"/>
                <w:b/>
              </w:rPr>
              <w:t>Local comments and decisions on antigen-negative settings.</w:t>
            </w:r>
          </w:p>
        </w:tc>
      </w:tr>
      <w:tr w:rsidR="004E75A5" w:rsidRPr="004E75A5" w14:paraId="5A60FF33" w14:textId="77777777">
        <w:trPr>
          <w:tblHeader/>
        </w:trPr>
        <w:tc>
          <w:tcPr>
            <w:tcW w:w="1330" w:type="dxa"/>
            <w:shd w:val="clear" w:color="auto" w:fill="B3B3B3"/>
            <w:vAlign w:val="bottom"/>
          </w:tcPr>
          <w:p w14:paraId="42D0C9AD" w14:textId="77777777" w:rsidR="004E75A5" w:rsidRPr="004E75A5" w:rsidRDefault="004E75A5" w:rsidP="00432FCC">
            <w:pPr>
              <w:pStyle w:val="TableText"/>
              <w:rPr>
                <w:b/>
              </w:rPr>
            </w:pPr>
            <w:r w:rsidRPr="004E75A5">
              <w:rPr>
                <w:b/>
              </w:rPr>
              <w:t>VBECS</w:t>
            </w:r>
          </w:p>
        </w:tc>
        <w:tc>
          <w:tcPr>
            <w:tcW w:w="1331" w:type="dxa"/>
            <w:shd w:val="clear" w:color="auto" w:fill="B3B3B3"/>
            <w:vAlign w:val="bottom"/>
          </w:tcPr>
          <w:p w14:paraId="5ED5C17F" w14:textId="77777777" w:rsidR="004E75A5" w:rsidRPr="004E75A5" w:rsidRDefault="004E75A5" w:rsidP="00432FCC">
            <w:pPr>
              <w:pStyle w:val="TableText"/>
              <w:rPr>
                <w:b/>
              </w:rPr>
            </w:pPr>
            <w:r w:rsidRPr="004E75A5">
              <w:rPr>
                <w:b/>
              </w:rPr>
              <w:t>VistA</w:t>
            </w:r>
          </w:p>
        </w:tc>
        <w:tc>
          <w:tcPr>
            <w:tcW w:w="1053" w:type="dxa"/>
            <w:vMerge/>
            <w:shd w:val="clear" w:color="auto" w:fill="auto"/>
            <w:vAlign w:val="bottom"/>
          </w:tcPr>
          <w:p w14:paraId="496D0233" w14:textId="77777777" w:rsidR="004E75A5" w:rsidRPr="004E75A5" w:rsidRDefault="004E75A5" w:rsidP="00432FCC">
            <w:pPr>
              <w:pStyle w:val="TableText"/>
              <w:rPr>
                <w:b/>
                <w:bCs/>
              </w:rPr>
            </w:pPr>
          </w:p>
        </w:tc>
        <w:tc>
          <w:tcPr>
            <w:tcW w:w="1331" w:type="dxa"/>
            <w:vMerge/>
            <w:shd w:val="clear" w:color="auto" w:fill="auto"/>
            <w:vAlign w:val="bottom"/>
          </w:tcPr>
          <w:p w14:paraId="75FA28EE" w14:textId="77777777" w:rsidR="004E75A5" w:rsidRPr="004E75A5" w:rsidRDefault="004E75A5" w:rsidP="00432FCC">
            <w:pPr>
              <w:pStyle w:val="TableText"/>
              <w:rPr>
                <w:b/>
              </w:rPr>
            </w:pPr>
          </w:p>
        </w:tc>
        <w:tc>
          <w:tcPr>
            <w:tcW w:w="4315" w:type="dxa"/>
            <w:vMerge/>
            <w:shd w:val="clear" w:color="auto" w:fill="auto"/>
            <w:vAlign w:val="bottom"/>
          </w:tcPr>
          <w:p w14:paraId="19011A77" w14:textId="77777777" w:rsidR="004E75A5" w:rsidRPr="004E75A5" w:rsidRDefault="004E75A5" w:rsidP="00432FCC">
            <w:pPr>
              <w:pStyle w:val="TableText"/>
              <w:rPr>
                <w:rFonts w:eastAsia="Symbol"/>
                <w:b/>
              </w:rPr>
            </w:pPr>
          </w:p>
        </w:tc>
      </w:tr>
      <w:tr w:rsidR="00432FCC" w14:paraId="1FE49D31" w14:textId="77777777">
        <w:tc>
          <w:tcPr>
            <w:tcW w:w="1330" w:type="dxa"/>
            <w:shd w:val="clear" w:color="auto" w:fill="auto"/>
            <w:vAlign w:val="center"/>
          </w:tcPr>
          <w:p w14:paraId="562B3BAA" w14:textId="77777777" w:rsidR="00432FCC" w:rsidRDefault="00432FCC" w:rsidP="00432FCC">
            <w:pPr>
              <w:pStyle w:val="TableText"/>
              <w:rPr>
                <w:rFonts w:eastAsia="Symbol"/>
              </w:rPr>
            </w:pPr>
            <w:r>
              <w:t>Anti-Kp(a)</w:t>
            </w:r>
          </w:p>
        </w:tc>
        <w:tc>
          <w:tcPr>
            <w:tcW w:w="1331" w:type="dxa"/>
            <w:shd w:val="clear" w:color="auto" w:fill="auto"/>
            <w:vAlign w:val="center"/>
          </w:tcPr>
          <w:p w14:paraId="539CD76D" w14:textId="77777777" w:rsidR="00432FCC" w:rsidRDefault="00432FCC" w:rsidP="00432FCC">
            <w:pPr>
              <w:pStyle w:val="TableText"/>
              <w:rPr>
                <w:rFonts w:eastAsia="Symbol"/>
              </w:rPr>
            </w:pPr>
            <w:r>
              <w:t>Anti-Kp(a)</w:t>
            </w:r>
          </w:p>
        </w:tc>
        <w:tc>
          <w:tcPr>
            <w:tcW w:w="1053" w:type="dxa"/>
            <w:shd w:val="clear" w:color="auto" w:fill="auto"/>
            <w:vAlign w:val="center"/>
          </w:tcPr>
          <w:p w14:paraId="4301554D" w14:textId="77777777" w:rsidR="00432FCC" w:rsidRDefault="00432FCC" w:rsidP="00432FCC">
            <w:pPr>
              <w:pStyle w:val="TableText"/>
              <w:rPr>
                <w:b/>
                <w:bCs/>
              </w:rPr>
            </w:pPr>
            <w:r>
              <w:rPr>
                <w:bCs/>
              </w:rPr>
              <w:t>Yes</w:t>
            </w:r>
          </w:p>
        </w:tc>
        <w:tc>
          <w:tcPr>
            <w:tcW w:w="1331" w:type="dxa"/>
            <w:shd w:val="clear" w:color="auto" w:fill="auto"/>
            <w:vAlign w:val="center"/>
          </w:tcPr>
          <w:p w14:paraId="2532499C" w14:textId="77777777" w:rsidR="00432FCC" w:rsidRDefault="00432FCC" w:rsidP="00432FCC">
            <w:pPr>
              <w:pStyle w:val="TableText"/>
              <w:rPr>
                <w:rFonts w:eastAsia="Symbol"/>
              </w:rPr>
            </w:pPr>
            <w:r>
              <w:t>No</w:t>
            </w:r>
          </w:p>
        </w:tc>
        <w:tc>
          <w:tcPr>
            <w:tcW w:w="4315" w:type="dxa"/>
            <w:shd w:val="clear" w:color="auto" w:fill="auto"/>
            <w:vAlign w:val="center"/>
          </w:tcPr>
          <w:p w14:paraId="153EA8F6" w14:textId="77777777" w:rsidR="00432FCC" w:rsidRDefault="00432FCC" w:rsidP="00432FCC">
            <w:pPr>
              <w:pStyle w:val="TableText"/>
              <w:rPr>
                <w:rFonts w:eastAsia="Symbol"/>
              </w:rPr>
            </w:pPr>
          </w:p>
        </w:tc>
      </w:tr>
      <w:tr w:rsidR="00432FCC" w14:paraId="7040FE4C" w14:textId="77777777">
        <w:tc>
          <w:tcPr>
            <w:tcW w:w="1330" w:type="dxa"/>
            <w:shd w:val="clear" w:color="auto" w:fill="auto"/>
            <w:vAlign w:val="center"/>
          </w:tcPr>
          <w:p w14:paraId="206F20A4" w14:textId="77777777" w:rsidR="00432FCC" w:rsidRDefault="00432FCC" w:rsidP="00432FCC">
            <w:pPr>
              <w:pStyle w:val="TableText"/>
              <w:rPr>
                <w:rFonts w:eastAsia="Symbol"/>
              </w:rPr>
            </w:pPr>
            <w:r>
              <w:t>Anti-Kp(b)</w:t>
            </w:r>
          </w:p>
        </w:tc>
        <w:tc>
          <w:tcPr>
            <w:tcW w:w="1331" w:type="dxa"/>
            <w:shd w:val="clear" w:color="auto" w:fill="auto"/>
            <w:vAlign w:val="center"/>
          </w:tcPr>
          <w:p w14:paraId="62440420" w14:textId="77777777" w:rsidR="00432FCC" w:rsidRDefault="00432FCC" w:rsidP="00432FCC">
            <w:pPr>
              <w:pStyle w:val="TableText"/>
              <w:rPr>
                <w:rFonts w:eastAsia="Symbol"/>
              </w:rPr>
            </w:pPr>
            <w:r>
              <w:t>Anti-Kp(b)</w:t>
            </w:r>
          </w:p>
        </w:tc>
        <w:tc>
          <w:tcPr>
            <w:tcW w:w="1053" w:type="dxa"/>
            <w:shd w:val="clear" w:color="auto" w:fill="auto"/>
            <w:vAlign w:val="center"/>
          </w:tcPr>
          <w:p w14:paraId="665F2394" w14:textId="77777777" w:rsidR="00432FCC" w:rsidRDefault="00432FCC" w:rsidP="00432FCC">
            <w:pPr>
              <w:pStyle w:val="TableText"/>
              <w:rPr>
                <w:b/>
                <w:bCs/>
              </w:rPr>
            </w:pPr>
            <w:r>
              <w:rPr>
                <w:bCs/>
              </w:rPr>
              <w:t>Yes</w:t>
            </w:r>
          </w:p>
        </w:tc>
        <w:tc>
          <w:tcPr>
            <w:tcW w:w="1331" w:type="dxa"/>
            <w:shd w:val="clear" w:color="auto" w:fill="auto"/>
            <w:vAlign w:val="center"/>
          </w:tcPr>
          <w:p w14:paraId="6AE4CA71" w14:textId="77777777" w:rsidR="00432FCC" w:rsidRDefault="00432FCC" w:rsidP="00432FCC">
            <w:pPr>
              <w:pStyle w:val="TableText"/>
              <w:rPr>
                <w:rFonts w:eastAsia="Symbol"/>
              </w:rPr>
            </w:pPr>
            <w:r>
              <w:t>No</w:t>
            </w:r>
          </w:p>
        </w:tc>
        <w:tc>
          <w:tcPr>
            <w:tcW w:w="4315" w:type="dxa"/>
            <w:shd w:val="clear" w:color="auto" w:fill="auto"/>
            <w:vAlign w:val="center"/>
          </w:tcPr>
          <w:p w14:paraId="66373D8C" w14:textId="77777777" w:rsidR="00432FCC" w:rsidRDefault="00432FCC" w:rsidP="00432FCC">
            <w:pPr>
              <w:pStyle w:val="TableText"/>
              <w:rPr>
                <w:rFonts w:eastAsia="Symbol"/>
              </w:rPr>
            </w:pPr>
          </w:p>
        </w:tc>
      </w:tr>
      <w:tr w:rsidR="00432FCC" w14:paraId="4833EEB3" w14:textId="77777777">
        <w:tc>
          <w:tcPr>
            <w:tcW w:w="1330" w:type="dxa"/>
            <w:shd w:val="clear" w:color="auto" w:fill="auto"/>
            <w:vAlign w:val="center"/>
          </w:tcPr>
          <w:p w14:paraId="08688CAB" w14:textId="77777777" w:rsidR="00432FCC" w:rsidRDefault="00432FCC" w:rsidP="00432FCC">
            <w:pPr>
              <w:pStyle w:val="TableText"/>
              <w:rPr>
                <w:rFonts w:eastAsia="Symbol"/>
              </w:rPr>
            </w:pPr>
            <w:r>
              <w:t>Anti-M</w:t>
            </w:r>
          </w:p>
        </w:tc>
        <w:tc>
          <w:tcPr>
            <w:tcW w:w="1331" w:type="dxa"/>
            <w:shd w:val="clear" w:color="auto" w:fill="auto"/>
            <w:vAlign w:val="center"/>
          </w:tcPr>
          <w:p w14:paraId="2DE934B2" w14:textId="77777777" w:rsidR="00432FCC" w:rsidRDefault="00432FCC" w:rsidP="00432FCC">
            <w:pPr>
              <w:pStyle w:val="TableText"/>
            </w:pPr>
            <w:r>
              <w:t>Anti-M</w:t>
            </w:r>
          </w:p>
        </w:tc>
        <w:tc>
          <w:tcPr>
            <w:tcW w:w="1053" w:type="dxa"/>
            <w:shd w:val="clear" w:color="auto" w:fill="auto"/>
            <w:vAlign w:val="center"/>
          </w:tcPr>
          <w:p w14:paraId="66974975" w14:textId="77777777" w:rsidR="00432FCC" w:rsidRDefault="00432FCC" w:rsidP="00432FCC">
            <w:pPr>
              <w:pStyle w:val="TableText"/>
            </w:pPr>
            <w:r>
              <w:t>No</w:t>
            </w:r>
          </w:p>
        </w:tc>
        <w:tc>
          <w:tcPr>
            <w:tcW w:w="1331" w:type="dxa"/>
            <w:shd w:val="clear" w:color="auto" w:fill="auto"/>
            <w:vAlign w:val="center"/>
          </w:tcPr>
          <w:p w14:paraId="54EA0191" w14:textId="77777777" w:rsidR="00432FCC" w:rsidRDefault="00432FCC" w:rsidP="00432FCC">
            <w:pPr>
              <w:pStyle w:val="TableText"/>
              <w:rPr>
                <w:rFonts w:eastAsia="Symbol"/>
              </w:rPr>
            </w:pPr>
            <w:r>
              <w:t>No</w:t>
            </w:r>
          </w:p>
        </w:tc>
        <w:tc>
          <w:tcPr>
            <w:tcW w:w="4315" w:type="dxa"/>
            <w:shd w:val="clear" w:color="auto" w:fill="auto"/>
            <w:vAlign w:val="center"/>
          </w:tcPr>
          <w:p w14:paraId="304AFF61" w14:textId="77777777" w:rsidR="00432FCC" w:rsidRDefault="00432FCC" w:rsidP="00432FCC">
            <w:pPr>
              <w:pStyle w:val="TableText"/>
              <w:rPr>
                <w:rFonts w:eastAsia="Symbol"/>
              </w:rPr>
            </w:pPr>
          </w:p>
        </w:tc>
      </w:tr>
      <w:tr w:rsidR="00432FCC" w14:paraId="14F1B003" w14:textId="77777777">
        <w:tc>
          <w:tcPr>
            <w:tcW w:w="1330" w:type="dxa"/>
            <w:shd w:val="clear" w:color="auto" w:fill="auto"/>
            <w:vAlign w:val="center"/>
          </w:tcPr>
          <w:p w14:paraId="0B59274A" w14:textId="77777777" w:rsidR="00432FCC" w:rsidRDefault="00432FCC" w:rsidP="00432FCC">
            <w:pPr>
              <w:pStyle w:val="TableText"/>
              <w:rPr>
                <w:rFonts w:eastAsia="Symbol"/>
              </w:rPr>
            </w:pPr>
            <w:r>
              <w:t>Anti-N</w:t>
            </w:r>
          </w:p>
        </w:tc>
        <w:tc>
          <w:tcPr>
            <w:tcW w:w="1331" w:type="dxa"/>
            <w:shd w:val="clear" w:color="auto" w:fill="auto"/>
            <w:vAlign w:val="center"/>
          </w:tcPr>
          <w:p w14:paraId="764508B0" w14:textId="77777777" w:rsidR="00432FCC" w:rsidRDefault="00432FCC" w:rsidP="00432FCC">
            <w:pPr>
              <w:pStyle w:val="TableText"/>
            </w:pPr>
            <w:r>
              <w:t>Anti-N</w:t>
            </w:r>
          </w:p>
        </w:tc>
        <w:tc>
          <w:tcPr>
            <w:tcW w:w="1053" w:type="dxa"/>
            <w:shd w:val="clear" w:color="auto" w:fill="auto"/>
            <w:vAlign w:val="center"/>
          </w:tcPr>
          <w:p w14:paraId="516B3ABA" w14:textId="77777777" w:rsidR="00432FCC" w:rsidRDefault="00432FCC" w:rsidP="00432FCC">
            <w:pPr>
              <w:pStyle w:val="TableText"/>
            </w:pPr>
            <w:r>
              <w:t>No</w:t>
            </w:r>
          </w:p>
        </w:tc>
        <w:tc>
          <w:tcPr>
            <w:tcW w:w="1331" w:type="dxa"/>
            <w:shd w:val="clear" w:color="auto" w:fill="auto"/>
            <w:vAlign w:val="center"/>
          </w:tcPr>
          <w:p w14:paraId="19B8D5E7" w14:textId="77777777" w:rsidR="00432FCC" w:rsidRDefault="00432FCC" w:rsidP="00432FCC">
            <w:pPr>
              <w:pStyle w:val="TableText"/>
              <w:rPr>
                <w:rFonts w:eastAsia="Symbol"/>
              </w:rPr>
            </w:pPr>
            <w:r>
              <w:t>No</w:t>
            </w:r>
          </w:p>
        </w:tc>
        <w:tc>
          <w:tcPr>
            <w:tcW w:w="4315" w:type="dxa"/>
            <w:shd w:val="clear" w:color="auto" w:fill="auto"/>
            <w:vAlign w:val="center"/>
          </w:tcPr>
          <w:p w14:paraId="62F2BAB5" w14:textId="77777777" w:rsidR="00432FCC" w:rsidRDefault="00432FCC" w:rsidP="00432FCC">
            <w:pPr>
              <w:pStyle w:val="TableText"/>
              <w:rPr>
                <w:rFonts w:eastAsia="Symbol"/>
              </w:rPr>
            </w:pPr>
          </w:p>
        </w:tc>
      </w:tr>
      <w:tr w:rsidR="00432FCC" w14:paraId="4831F528" w14:textId="77777777">
        <w:tc>
          <w:tcPr>
            <w:tcW w:w="1330" w:type="dxa"/>
            <w:shd w:val="clear" w:color="auto" w:fill="auto"/>
            <w:vAlign w:val="center"/>
          </w:tcPr>
          <w:p w14:paraId="16FA190B" w14:textId="77777777" w:rsidR="00432FCC" w:rsidRDefault="00432FCC" w:rsidP="00432FCC">
            <w:pPr>
              <w:pStyle w:val="TableText"/>
              <w:rPr>
                <w:rFonts w:eastAsia="Symbol"/>
              </w:rPr>
            </w:pPr>
            <w:r>
              <w:t>Anti-U</w:t>
            </w:r>
          </w:p>
        </w:tc>
        <w:tc>
          <w:tcPr>
            <w:tcW w:w="1331" w:type="dxa"/>
            <w:shd w:val="clear" w:color="auto" w:fill="auto"/>
            <w:vAlign w:val="center"/>
          </w:tcPr>
          <w:p w14:paraId="139F6615" w14:textId="77777777" w:rsidR="00432FCC" w:rsidRDefault="00432FCC" w:rsidP="00432FCC">
            <w:pPr>
              <w:pStyle w:val="TableText"/>
              <w:rPr>
                <w:b/>
                <w:bCs/>
              </w:rPr>
            </w:pPr>
            <w:r>
              <w:t>Anti-U</w:t>
            </w:r>
          </w:p>
        </w:tc>
        <w:tc>
          <w:tcPr>
            <w:tcW w:w="1053" w:type="dxa"/>
            <w:shd w:val="clear" w:color="auto" w:fill="auto"/>
            <w:vAlign w:val="center"/>
          </w:tcPr>
          <w:p w14:paraId="651BF81D" w14:textId="77777777" w:rsidR="00432FCC" w:rsidRDefault="00432FCC" w:rsidP="00432FCC">
            <w:pPr>
              <w:pStyle w:val="TableText"/>
              <w:rPr>
                <w:b/>
                <w:bCs/>
              </w:rPr>
            </w:pPr>
            <w:r>
              <w:rPr>
                <w:bCs/>
              </w:rPr>
              <w:t>Yes</w:t>
            </w:r>
          </w:p>
        </w:tc>
        <w:tc>
          <w:tcPr>
            <w:tcW w:w="1331" w:type="dxa"/>
            <w:shd w:val="clear" w:color="auto" w:fill="auto"/>
            <w:vAlign w:val="center"/>
          </w:tcPr>
          <w:p w14:paraId="7D0A4B1F" w14:textId="77777777" w:rsidR="00432FCC" w:rsidRDefault="00432FCC" w:rsidP="00432FCC">
            <w:pPr>
              <w:pStyle w:val="TableText"/>
              <w:rPr>
                <w:rFonts w:eastAsia="Symbol"/>
              </w:rPr>
            </w:pPr>
            <w:r>
              <w:t>No</w:t>
            </w:r>
          </w:p>
        </w:tc>
        <w:tc>
          <w:tcPr>
            <w:tcW w:w="4315" w:type="dxa"/>
            <w:shd w:val="clear" w:color="auto" w:fill="auto"/>
            <w:vAlign w:val="center"/>
          </w:tcPr>
          <w:p w14:paraId="0EF0D542" w14:textId="77777777" w:rsidR="00432FCC" w:rsidRDefault="00432FCC" w:rsidP="00432FCC">
            <w:pPr>
              <w:pStyle w:val="TableText"/>
              <w:rPr>
                <w:rFonts w:eastAsia="Symbol"/>
              </w:rPr>
            </w:pPr>
          </w:p>
        </w:tc>
      </w:tr>
      <w:tr w:rsidR="00432FCC" w14:paraId="2F4864A6" w14:textId="77777777">
        <w:tc>
          <w:tcPr>
            <w:tcW w:w="1330" w:type="dxa"/>
            <w:shd w:val="clear" w:color="auto" w:fill="auto"/>
            <w:vAlign w:val="center"/>
          </w:tcPr>
          <w:p w14:paraId="3F96D181" w14:textId="77777777" w:rsidR="00432FCC" w:rsidRDefault="00432FCC" w:rsidP="00432FCC">
            <w:pPr>
              <w:pStyle w:val="TableText"/>
              <w:rPr>
                <w:rFonts w:eastAsia="Symbol"/>
              </w:rPr>
            </w:pPr>
            <w:r>
              <w:t>Anti-P1</w:t>
            </w:r>
          </w:p>
        </w:tc>
        <w:tc>
          <w:tcPr>
            <w:tcW w:w="1331" w:type="dxa"/>
            <w:shd w:val="clear" w:color="auto" w:fill="auto"/>
            <w:vAlign w:val="center"/>
          </w:tcPr>
          <w:p w14:paraId="17F010C4" w14:textId="77777777" w:rsidR="00432FCC" w:rsidRDefault="00432FCC" w:rsidP="00432FCC">
            <w:pPr>
              <w:pStyle w:val="TableText"/>
            </w:pPr>
            <w:r>
              <w:t>Anti-P1</w:t>
            </w:r>
          </w:p>
        </w:tc>
        <w:tc>
          <w:tcPr>
            <w:tcW w:w="1053" w:type="dxa"/>
            <w:shd w:val="clear" w:color="auto" w:fill="auto"/>
            <w:vAlign w:val="center"/>
          </w:tcPr>
          <w:p w14:paraId="6FBFECF1" w14:textId="77777777" w:rsidR="00432FCC" w:rsidRDefault="00432FCC" w:rsidP="00432FCC">
            <w:pPr>
              <w:pStyle w:val="TableText"/>
            </w:pPr>
            <w:r>
              <w:t>No</w:t>
            </w:r>
          </w:p>
        </w:tc>
        <w:tc>
          <w:tcPr>
            <w:tcW w:w="1331" w:type="dxa"/>
            <w:shd w:val="clear" w:color="auto" w:fill="auto"/>
            <w:vAlign w:val="center"/>
          </w:tcPr>
          <w:p w14:paraId="30F1CD2B" w14:textId="77777777" w:rsidR="00432FCC" w:rsidRDefault="00432FCC" w:rsidP="00432FCC">
            <w:pPr>
              <w:pStyle w:val="TableText"/>
              <w:rPr>
                <w:rFonts w:eastAsia="Symbol"/>
              </w:rPr>
            </w:pPr>
            <w:r>
              <w:t>No</w:t>
            </w:r>
          </w:p>
        </w:tc>
        <w:tc>
          <w:tcPr>
            <w:tcW w:w="4315" w:type="dxa"/>
            <w:shd w:val="clear" w:color="auto" w:fill="auto"/>
            <w:vAlign w:val="center"/>
          </w:tcPr>
          <w:p w14:paraId="4758A896" w14:textId="77777777" w:rsidR="00432FCC" w:rsidRDefault="00432FCC" w:rsidP="00432FCC">
            <w:pPr>
              <w:pStyle w:val="TableText"/>
              <w:rPr>
                <w:rFonts w:eastAsia="Symbol"/>
              </w:rPr>
            </w:pPr>
          </w:p>
        </w:tc>
      </w:tr>
      <w:tr w:rsidR="00432FCC" w14:paraId="27116DB1" w14:textId="77777777">
        <w:tc>
          <w:tcPr>
            <w:tcW w:w="1330" w:type="dxa"/>
            <w:shd w:val="clear" w:color="auto" w:fill="auto"/>
            <w:vAlign w:val="center"/>
          </w:tcPr>
          <w:p w14:paraId="074A0C33" w14:textId="77777777" w:rsidR="00432FCC" w:rsidRDefault="00432FCC" w:rsidP="00432FCC">
            <w:pPr>
              <w:pStyle w:val="TableText"/>
              <w:rPr>
                <w:rFonts w:eastAsia="Symbol"/>
              </w:rPr>
            </w:pPr>
            <w:r>
              <w:t>Anti-Le(a)</w:t>
            </w:r>
          </w:p>
        </w:tc>
        <w:tc>
          <w:tcPr>
            <w:tcW w:w="1331" w:type="dxa"/>
            <w:shd w:val="clear" w:color="auto" w:fill="auto"/>
            <w:vAlign w:val="center"/>
          </w:tcPr>
          <w:p w14:paraId="3EC2B67A" w14:textId="77777777" w:rsidR="00432FCC" w:rsidRDefault="00432FCC" w:rsidP="00432FCC">
            <w:pPr>
              <w:pStyle w:val="TableText"/>
              <w:rPr>
                <w:rFonts w:eastAsia="Symbol"/>
              </w:rPr>
            </w:pPr>
            <w:r>
              <w:t>Anti-Le(a)</w:t>
            </w:r>
          </w:p>
        </w:tc>
        <w:tc>
          <w:tcPr>
            <w:tcW w:w="1053" w:type="dxa"/>
            <w:shd w:val="clear" w:color="auto" w:fill="auto"/>
            <w:vAlign w:val="center"/>
          </w:tcPr>
          <w:p w14:paraId="4EDF37C4" w14:textId="77777777" w:rsidR="00432FCC" w:rsidRDefault="00432FCC" w:rsidP="00432FCC">
            <w:pPr>
              <w:pStyle w:val="TableText"/>
            </w:pPr>
            <w:r>
              <w:t>No</w:t>
            </w:r>
          </w:p>
        </w:tc>
        <w:tc>
          <w:tcPr>
            <w:tcW w:w="1331" w:type="dxa"/>
            <w:shd w:val="clear" w:color="auto" w:fill="auto"/>
            <w:vAlign w:val="center"/>
          </w:tcPr>
          <w:p w14:paraId="646B450D" w14:textId="77777777" w:rsidR="00432FCC" w:rsidRDefault="00432FCC" w:rsidP="00432FCC">
            <w:pPr>
              <w:pStyle w:val="TableText"/>
              <w:rPr>
                <w:rFonts w:eastAsia="Symbol"/>
              </w:rPr>
            </w:pPr>
            <w:r>
              <w:t>No</w:t>
            </w:r>
          </w:p>
        </w:tc>
        <w:tc>
          <w:tcPr>
            <w:tcW w:w="4315" w:type="dxa"/>
            <w:shd w:val="clear" w:color="auto" w:fill="auto"/>
            <w:vAlign w:val="center"/>
          </w:tcPr>
          <w:p w14:paraId="0244DE51" w14:textId="77777777" w:rsidR="00432FCC" w:rsidRDefault="00432FCC" w:rsidP="00432FCC">
            <w:pPr>
              <w:pStyle w:val="TableText"/>
              <w:rPr>
                <w:rFonts w:eastAsia="Symbol"/>
              </w:rPr>
            </w:pPr>
          </w:p>
        </w:tc>
      </w:tr>
      <w:tr w:rsidR="00432FCC" w14:paraId="0377B19B" w14:textId="77777777">
        <w:tc>
          <w:tcPr>
            <w:tcW w:w="1330" w:type="dxa"/>
            <w:shd w:val="clear" w:color="auto" w:fill="auto"/>
            <w:vAlign w:val="center"/>
          </w:tcPr>
          <w:p w14:paraId="62A9F5D8" w14:textId="77777777" w:rsidR="00432FCC" w:rsidRDefault="00432FCC" w:rsidP="00432FCC">
            <w:pPr>
              <w:pStyle w:val="TableText"/>
              <w:rPr>
                <w:rFonts w:eastAsia="Symbol"/>
              </w:rPr>
            </w:pPr>
            <w:r>
              <w:t>Anti-Le(b)</w:t>
            </w:r>
          </w:p>
        </w:tc>
        <w:tc>
          <w:tcPr>
            <w:tcW w:w="1331" w:type="dxa"/>
            <w:shd w:val="clear" w:color="auto" w:fill="auto"/>
            <w:vAlign w:val="center"/>
          </w:tcPr>
          <w:p w14:paraId="2D494872" w14:textId="77777777" w:rsidR="00432FCC" w:rsidRDefault="00432FCC" w:rsidP="00432FCC">
            <w:pPr>
              <w:pStyle w:val="TableText"/>
              <w:rPr>
                <w:rFonts w:eastAsia="Symbol"/>
              </w:rPr>
            </w:pPr>
            <w:r>
              <w:t>Anti-Le(b)</w:t>
            </w:r>
          </w:p>
        </w:tc>
        <w:tc>
          <w:tcPr>
            <w:tcW w:w="1053" w:type="dxa"/>
            <w:shd w:val="clear" w:color="auto" w:fill="auto"/>
            <w:vAlign w:val="center"/>
          </w:tcPr>
          <w:p w14:paraId="6F6D033F" w14:textId="77777777" w:rsidR="00432FCC" w:rsidRDefault="00432FCC" w:rsidP="00432FCC">
            <w:pPr>
              <w:pStyle w:val="TableText"/>
            </w:pPr>
            <w:r>
              <w:t>No</w:t>
            </w:r>
          </w:p>
        </w:tc>
        <w:tc>
          <w:tcPr>
            <w:tcW w:w="1331" w:type="dxa"/>
            <w:shd w:val="clear" w:color="auto" w:fill="auto"/>
            <w:vAlign w:val="center"/>
          </w:tcPr>
          <w:p w14:paraId="44226CD1" w14:textId="77777777" w:rsidR="00432FCC" w:rsidRDefault="00432FCC" w:rsidP="00432FCC">
            <w:pPr>
              <w:pStyle w:val="TableText"/>
              <w:rPr>
                <w:rFonts w:eastAsia="Symbol"/>
              </w:rPr>
            </w:pPr>
            <w:r>
              <w:t>No</w:t>
            </w:r>
          </w:p>
        </w:tc>
        <w:tc>
          <w:tcPr>
            <w:tcW w:w="4315" w:type="dxa"/>
            <w:shd w:val="clear" w:color="auto" w:fill="auto"/>
            <w:vAlign w:val="center"/>
          </w:tcPr>
          <w:p w14:paraId="77B55B2C" w14:textId="77777777" w:rsidR="00432FCC" w:rsidRDefault="00432FCC" w:rsidP="00432FCC">
            <w:pPr>
              <w:pStyle w:val="TableText"/>
              <w:rPr>
                <w:rFonts w:eastAsia="Symbol"/>
              </w:rPr>
            </w:pPr>
          </w:p>
        </w:tc>
      </w:tr>
      <w:tr w:rsidR="00432FCC" w14:paraId="29A0A11C" w14:textId="77777777">
        <w:tc>
          <w:tcPr>
            <w:tcW w:w="1330" w:type="dxa"/>
            <w:shd w:val="clear" w:color="auto" w:fill="auto"/>
            <w:vAlign w:val="center"/>
          </w:tcPr>
          <w:p w14:paraId="21E53C49" w14:textId="77777777" w:rsidR="00432FCC" w:rsidRDefault="00432FCC" w:rsidP="00432FCC">
            <w:pPr>
              <w:pStyle w:val="TableText"/>
              <w:rPr>
                <w:rFonts w:eastAsia="Symbol"/>
              </w:rPr>
            </w:pPr>
            <w:r>
              <w:t>Anti-</w:t>
            </w:r>
            <w:proofErr w:type="spellStart"/>
            <w:r>
              <w:t>Js</w:t>
            </w:r>
            <w:proofErr w:type="spellEnd"/>
            <w:r>
              <w:t>(a)</w:t>
            </w:r>
          </w:p>
        </w:tc>
        <w:tc>
          <w:tcPr>
            <w:tcW w:w="1331" w:type="dxa"/>
            <w:shd w:val="clear" w:color="auto" w:fill="auto"/>
            <w:vAlign w:val="center"/>
          </w:tcPr>
          <w:p w14:paraId="7246801A" w14:textId="77777777" w:rsidR="00432FCC" w:rsidRDefault="00432FCC" w:rsidP="00432FCC">
            <w:pPr>
              <w:pStyle w:val="TableText"/>
              <w:rPr>
                <w:rFonts w:eastAsia="Symbol"/>
              </w:rPr>
            </w:pPr>
            <w:r>
              <w:t>Anti-</w:t>
            </w:r>
            <w:proofErr w:type="spellStart"/>
            <w:r>
              <w:t>Js</w:t>
            </w:r>
            <w:proofErr w:type="spellEnd"/>
            <w:r>
              <w:t>(a)</w:t>
            </w:r>
          </w:p>
        </w:tc>
        <w:tc>
          <w:tcPr>
            <w:tcW w:w="1053" w:type="dxa"/>
            <w:shd w:val="clear" w:color="auto" w:fill="auto"/>
            <w:vAlign w:val="center"/>
          </w:tcPr>
          <w:p w14:paraId="15AD5F82" w14:textId="77777777" w:rsidR="00432FCC" w:rsidRDefault="00432FCC" w:rsidP="00432FCC">
            <w:pPr>
              <w:pStyle w:val="TableText"/>
              <w:rPr>
                <w:b/>
                <w:bCs/>
              </w:rPr>
            </w:pPr>
            <w:r>
              <w:rPr>
                <w:bCs/>
              </w:rPr>
              <w:t>Yes</w:t>
            </w:r>
          </w:p>
        </w:tc>
        <w:tc>
          <w:tcPr>
            <w:tcW w:w="1331" w:type="dxa"/>
            <w:shd w:val="clear" w:color="auto" w:fill="auto"/>
            <w:vAlign w:val="center"/>
          </w:tcPr>
          <w:p w14:paraId="3735ADA8" w14:textId="77777777" w:rsidR="00432FCC" w:rsidRDefault="00432FCC" w:rsidP="00432FCC">
            <w:pPr>
              <w:pStyle w:val="TableText"/>
              <w:rPr>
                <w:rFonts w:eastAsia="Symbol"/>
              </w:rPr>
            </w:pPr>
            <w:r>
              <w:t>No</w:t>
            </w:r>
          </w:p>
        </w:tc>
        <w:tc>
          <w:tcPr>
            <w:tcW w:w="4315" w:type="dxa"/>
            <w:shd w:val="clear" w:color="auto" w:fill="auto"/>
            <w:vAlign w:val="center"/>
          </w:tcPr>
          <w:p w14:paraId="2153DF0C" w14:textId="77777777" w:rsidR="00432FCC" w:rsidRDefault="00432FCC" w:rsidP="00432FCC">
            <w:pPr>
              <w:pStyle w:val="TableText"/>
              <w:rPr>
                <w:rFonts w:eastAsia="Symbol"/>
              </w:rPr>
            </w:pPr>
          </w:p>
        </w:tc>
      </w:tr>
      <w:tr w:rsidR="00432FCC" w14:paraId="64BAEDB1" w14:textId="77777777">
        <w:tc>
          <w:tcPr>
            <w:tcW w:w="1330" w:type="dxa"/>
            <w:shd w:val="clear" w:color="auto" w:fill="auto"/>
            <w:vAlign w:val="center"/>
          </w:tcPr>
          <w:p w14:paraId="1251692B" w14:textId="77777777" w:rsidR="00432FCC" w:rsidRDefault="00432FCC" w:rsidP="00432FCC">
            <w:pPr>
              <w:pStyle w:val="TableText"/>
              <w:rPr>
                <w:rFonts w:eastAsia="Symbol"/>
              </w:rPr>
            </w:pPr>
            <w:r>
              <w:t>Anti-</w:t>
            </w:r>
            <w:proofErr w:type="spellStart"/>
            <w:r>
              <w:t>Js</w:t>
            </w:r>
            <w:proofErr w:type="spellEnd"/>
            <w:r>
              <w:t>(b)</w:t>
            </w:r>
          </w:p>
        </w:tc>
        <w:tc>
          <w:tcPr>
            <w:tcW w:w="1331" w:type="dxa"/>
            <w:shd w:val="clear" w:color="auto" w:fill="auto"/>
            <w:vAlign w:val="center"/>
          </w:tcPr>
          <w:p w14:paraId="583C60B9" w14:textId="77777777" w:rsidR="00432FCC" w:rsidRDefault="00432FCC" w:rsidP="00432FCC">
            <w:pPr>
              <w:pStyle w:val="TableText"/>
              <w:rPr>
                <w:rFonts w:eastAsia="Symbol"/>
              </w:rPr>
            </w:pPr>
            <w:r>
              <w:t>Anti-</w:t>
            </w:r>
            <w:proofErr w:type="spellStart"/>
            <w:r>
              <w:t>Js</w:t>
            </w:r>
            <w:proofErr w:type="spellEnd"/>
            <w:r>
              <w:t>(b)</w:t>
            </w:r>
          </w:p>
        </w:tc>
        <w:tc>
          <w:tcPr>
            <w:tcW w:w="1053" w:type="dxa"/>
            <w:shd w:val="clear" w:color="auto" w:fill="auto"/>
            <w:vAlign w:val="center"/>
          </w:tcPr>
          <w:p w14:paraId="1F578BB3" w14:textId="77777777" w:rsidR="00432FCC" w:rsidRDefault="00432FCC" w:rsidP="00432FCC">
            <w:pPr>
              <w:pStyle w:val="TableText"/>
              <w:rPr>
                <w:b/>
                <w:bCs/>
              </w:rPr>
            </w:pPr>
            <w:r>
              <w:rPr>
                <w:bCs/>
              </w:rPr>
              <w:t>Yes</w:t>
            </w:r>
          </w:p>
        </w:tc>
        <w:tc>
          <w:tcPr>
            <w:tcW w:w="1331" w:type="dxa"/>
            <w:shd w:val="clear" w:color="auto" w:fill="auto"/>
            <w:vAlign w:val="center"/>
          </w:tcPr>
          <w:p w14:paraId="7C971A7B" w14:textId="77777777" w:rsidR="00432FCC" w:rsidRDefault="00432FCC" w:rsidP="00432FCC">
            <w:pPr>
              <w:pStyle w:val="TableText"/>
              <w:rPr>
                <w:rFonts w:eastAsia="Symbol"/>
              </w:rPr>
            </w:pPr>
            <w:r>
              <w:t>No</w:t>
            </w:r>
          </w:p>
        </w:tc>
        <w:tc>
          <w:tcPr>
            <w:tcW w:w="4315" w:type="dxa"/>
            <w:shd w:val="clear" w:color="auto" w:fill="auto"/>
            <w:vAlign w:val="center"/>
          </w:tcPr>
          <w:p w14:paraId="4BDFD353" w14:textId="77777777" w:rsidR="00432FCC" w:rsidRDefault="00432FCC" w:rsidP="00432FCC">
            <w:pPr>
              <w:pStyle w:val="TableText"/>
              <w:rPr>
                <w:rFonts w:eastAsia="Symbol"/>
              </w:rPr>
            </w:pPr>
          </w:p>
        </w:tc>
      </w:tr>
      <w:tr w:rsidR="00432FCC" w14:paraId="5D943A75" w14:textId="77777777">
        <w:tc>
          <w:tcPr>
            <w:tcW w:w="1330" w:type="dxa"/>
            <w:shd w:val="clear" w:color="auto" w:fill="auto"/>
            <w:vAlign w:val="center"/>
          </w:tcPr>
          <w:p w14:paraId="723D97A2" w14:textId="77777777" w:rsidR="00432FCC" w:rsidRDefault="00432FCC" w:rsidP="00432FCC">
            <w:pPr>
              <w:pStyle w:val="TableText"/>
              <w:rPr>
                <w:rFonts w:eastAsia="Symbol"/>
              </w:rPr>
            </w:pPr>
            <w:r>
              <w:t>Anti-Lu(a)</w:t>
            </w:r>
          </w:p>
        </w:tc>
        <w:tc>
          <w:tcPr>
            <w:tcW w:w="1331" w:type="dxa"/>
            <w:shd w:val="clear" w:color="auto" w:fill="auto"/>
            <w:vAlign w:val="center"/>
          </w:tcPr>
          <w:p w14:paraId="3FEF171D" w14:textId="77777777" w:rsidR="00432FCC" w:rsidRDefault="00432FCC" w:rsidP="00432FCC">
            <w:pPr>
              <w:pStyle w:val="TableText"/>
            </w:pPr>
            <w:r>
              <w:t>Anti-Lu(a)</w:t>
            </w:r>
          </w:p>
        </w:tc>
        <w:tc>
          <w:tcPr>
            <w:tcW w:w="1053" w:type="dxa"/>
            <w:shd w:val="clear" w:color="auto" w:fill="auto"/>
            <w:vAlign w:val="center"/>
          </w:tcPr>
          <w:p w14:paraId="525697B7" w14:textId="77777777" w:rsidR="00432FCC" w:rsidRDefault="00432FCC" w:rsidP="00432FCC">
            <w:pPr>
              <w:pStyle w:val="TableText"/>
            </w:pPr>
            <w:r>
              <w:t>No</w:t>
            </w:r>
          </w:p>
        </w:tc>
        <w:tc>
          <w:tcPr>
            <w:tcW w:w="1331" w:type="dxa"/>
            <w:shd w:val="clear" w:color="auto" w:fill="auto"/>
            <w:vAlign w:val="center"/>
          </w:tcPr>
          <w:p w14:paraId="5F071BB3" w14:textId="77777777" w:rsidR="00432FCC" w:rsidRDefault="00432FCC" w:rsidP="00432FCC">
            <w:pPr>
              <w:pStyle w:val="TableText"/>
              <w:rPr>
                <w:rFonts w:eastAsia="Symbol"/>
              </w:rPr>
            </w:pPr>
            <w:r>
              <w:t>No</w:t>
            </w:r>
          </w:p>
        </w:tc>
        <w:tc>
          <w:tcPr>
            <w:tcW w:w="4315" w:type="dxa"/>
            <w:shd w:val="clear" w:color="auto" w:fill="auto"/>
            <w:vAlign w:val="center"/>
          </w:tcPr>
          <w:p w14:paraId="2EBE8229" w14:textId="77777777" w:rsidR="00432FCC" w:rsidRDefault="00432FCC" w:rsidP="00432FCC">
            <w:pPr>
              <w:pStyle w:val="TableText"/>
              <w:rPr>
                <w:rFonts w:eastAsia="Symbol"/>
              </w:rPr>
            </w:pPr>
          </w:p>
        </w:tc>
      </w:tr>
      <w:tr w:rsidR="00432FCC" w14:paraId="15EE9629" w14:textId="77777777">
        <w:tc>
          <w:tcPr>
            <w:tcW w:w="1330" w:type="dxa"/>
            <w:shd w:val="clear" w:color="auto" w:fill="auto"/>
            <w:vAlign w:val="center"/>
          </w:tcPr>
          <w:p w14:paraId="1A9372FF" w14:textId="77777777" w:rsidR="00432FCC" w:rsidRDefault="00432FCC" w:rsidP="00432FCC">
            <w:pPr>
              <w:pStyle w:val="TableText"/>
              <w:rPr>
                <w:rFonts w:eastAsia="Symbol"/>
              </w:rPr>
            </w:pPr>
            <w:r>
              <w:t>Anti-Lu(b)</w:t>
            </w:r>
          </w:p>
        </w:tc>
        <w:tc>
          <w:tcPr>
            <w:tcW w:w="1331" w:type="dxa"/>
            <w:shd w:val="clear" w:color="auto" w:fill="auto"/>
            <w:vAlign w:val="center"/>
          </w:tcPr>
          <w:p w14:paraId="25AF67F8" w14:textId="77777777" w:rsidR="00432FCC" w:rsidRDefault="00432FCC" w:rsidP="00432FCC">
            <w:pPr>
              <w:pStyle w:val="TableText"/>
            </w:pPr>
            <w:r>
              <w:t>Anti-Lu(b)</w:t>
            </w:r>
          </w:p>
        </w:tc>
        <w:tc>
          <w:tcPr>
            <w:tcW w:w="1053" w:type="dxa"/>
            <w:shd w:val="clear" w:color="auto" w:fill="auto"/>
            <w:vAlign w:val="center"/>
          </w:tcPr>
          <w:p w14:paraId="55346BEF" w14:textId="77777777" w:rsidR="00432FCC" w:rsidRDefault="00432FCC" w:rsidP="00432FCC">
            <w:pPr>
              <w:pStyle w:val="TableText"/>
            </w:pPr>
            <w:r>
              <w:t>No</w:t>
            </w:r>
          </w:p>
        </w:tc>
        <w:tc>
          <w:tcPr>
            <w:tcW w:w="1331" w:type="dxa"/>
            <w:shd w:val="clear" w:color="auto" w:fill="auto"/>
            <w:vAlign w:val="center"/>
          </w:tcPr>
          <w:p w14:paraId="571D9DAB" w14:textId="77777777" w:rsidR="00432FCC" w:rsidRDefault="00432FCC" w:rsidP="00432FCC">
            <w:pPr>
              <w:pStyle w:val="TableText"/>
              <w:rPr>
                <w:rFonts w:eastAsia="Symbol"/>
              </w:rPr>
            </w:pPr>
            <w:r>
              <w:t>No</w:t>
            </w:r>
          </w:p>
        </w:tc>
        <w:tc>
          <w:tcPr>
            <w:tcW w:w="4315" w:type="dxa"/>
            <w:shd w:val="clear" w:color="auto" w:fill="auto"/>
            <w:vAlign w:val="center"/>
          </w:tcPr>
          <w:p w14:paraId="26368DE7" w14:textId="77777777" w:rsidR="00432FCC" w:rsidRDefault="00432FCC" w:rsidP="00432FCC">
            <w:pPr>
              <w:pStyle w:val="TableText"/>
              <w:rPr>
                <w:rFonts w:eastAsia="Symbol"/>
              </w:rPr>
            </w:pPr>
          </w:p>
        </w:tc>
      </w:tr>
      <w:tr w:rsidR="00432FCC" w14:paraId="0561D482" w14:textId="77777777">
        <w:tc>
          <w:tcPr>
            <w:tcW w:w="1330" w:type="dxa"/>
            <w:shd w:val="clear" w:color="auto" w:fill="auto"/>
            <w:vAlign w:val="center"/>
          </w:tcPr>
          <w:p w14:paraId="7D03620E" w14:textId="77777777" w:rsidR="00432FCC" w:rsidRDefault="00432FCC" w:rsidP="00432FCC">
            <w:pPr>
              <w:pStyle w:val="TableText"/>
              <w:rPr>
                <w:rFonts w:eastAsia="Symbol"/>
              </w:rPr>
            </w:pPr>
            <w:r>
              <w:t>Anti-Lu3</w:t>
            </w:r>
          </w:p>
        </w:tc>
        <w:tc>
          <w:tcPr>
            <w:tcW w:w="1331" w:type="dxa"/>
            <w:shd w:val="clear" w:color="auto" w:fill="auto"/>
            <w:vAlign w:val="center"/>
          </w:tcPr>
          <w:p w14:paraId="05D5B803" w14:textId="77777777" w:rsidR="00432FCC" w:rsidRPr="006E05B3" w:rsidRDefault="00432FCC" w:rsidP="00432FCC">
            <w:pPr>
              <w:pStyle w:val="TableText"/>
              <w:rPr>
                <w:b/>
                <w:lang w:val="fr-FR"/>
              </w:rPr>
            </w:pPr>
            <w:r w:rsidRPr="006E05B3">
              <w:rPr>
                <w:lang w:val="fr-FR"/>
              </w:rPr>
              <w:t>Anti-Lu(a)Lu(b)</w:t>
            </w:r>
          </w:p>
        </w:tc>
        <w:tc>
          <w:tcPr>
            <w:tcW w:w="1053" w:type="dxa"/>
            <w:shd w:val="clear" w:color="auto" w:fill="auto"/>
            <w:vAlign w:val="center"/>
          </w:tcPr>
          <w:p w14:paraId="7301078E" w14:textId="77777777" w:rsidR="00432FCC" w:rsidRDefault="00432FCC" w:rsidP="00432FCC">
            <w:pPr>
              <w:pStyle w:val="TableText"/>
              <w:rPr>
                <w:b/>
              </w:rPr>
            </w:pPr>
            <w:r>
              <w:t>No</w:t>
            </w:r>
          </w:p>
        </w:tc>
        <w:tc>
          <w:tcPr>
            <w:tcW w:w="1331" w:type="dxa"/>
            <w:shd w:val="clear" w:color="auto" w:fill="auto"/>
            <w:vAlign w:val="center"/>
          </w:tcPr>
          <w:p w14:paraId="098BC2D5" w14:textId="77777777" w:rsidR="00432FCC" w:rsidRDefault="00432FCC" w:rsidP="00432FCC">
            <w:pPr>
              <w:pStyle w:val="TableText"/>
              <w:rPr>
                <w:rFonts w:eastAsia="Symbol"/>
              </w:rPr>
            </w:pPr>
            <w:r>
              <w:t>No</w:t>
            </w:r>
          </w:p>
        </w:tc>
        <w:tc>
          <w:tcPr>
            <w:tcW w:w="4315" w:type="dxa"/>
            <w:shd w:val="clear" w:color="auto" w:fill="auto"/>
            <w:vAlign w:val="center"/>
          </w:tcPr>
          <w:p w14:paraId="51BE1CC0" w14:textId="77777777" w:rsidR="00432FCC" w:rsidRDefault="00432FCC" w:rsidP="00432FCC">
            <w:pPr>
              <w:pStyle w:val="TableText"/>
              <w:rPr>
                <w:rFonts w:eastAsia="Symbol"/>
              </w:rPr>
            </w:pPr>
          </w:p>
        </w:tc>
      </w:tr>
      <w:tr w:rsidR="00432FCC" w14:paraId="77E2EC5E" w14:textId="77777777">
        <w:tc>
          <w:tcPr>
            <w:tcW w:w="1330" w:type="dxa"/>
            <w:shd w:val="clear" w:color="auto" w:fill="auto"/>
            <w:vAlign w:val="center"/>
          </w:tcPr>
          <w:p w14:paraId="15224224" w14:textId="77777777" w:rsidR="00432FCC" w:rsidRDefault="00432FCC" w:rsidP="00432FCC">
            <w:pPr>
              <w:pStyle w:val="TableText"/>
              <w:rPr>
                <w:rFonts w:eastAsia="Symbol"/>
              </w:rPr>
            </w:pPr>
            <w:r>
              <w:t>Anti-C(w)</w:t>
            </w:r>
          </w:p>
        </w:tc>
        <w:tc>
          <w:tcPr>
            <w:tcW w:w="1331" w:type="dxa"/>
            <w:shd w:val="clear" w:color="auto" w:fill="auto"/>
            <w:vAlign w:val="center"/>
          </w:tcPr>
          <w:p w14:paraId="5E501A6B" w14:textId="77777777" w:rsidR="00432FCC" w:rsidRDefault="00432FCC" w:rsidP="00432FCC">
            <w:pPr>
              <w:pStyle w:val="TableText"/>
            </w:pPr>
            <w:r>
              <w:t>Anti-Cw</w:t>
            </w:r>
          </w:p>
        </w:tc>
        <w:tc>
          <w:tcPr>
            <w:tcW w:w="1053" w:type="dxa"/>
            <w:shd w:val="clear" w:color="auto" w:fill="auto"/>
            <w:vAlign w:val="center"/>
          </w:tcPr>
          <w:p w14:paraId="421275AE" w14:textId="77777777" w:rsidR="00432FCC" w:rsidRDefault="00432FCC" w:rsidP="00432FCC">
            <w:pPr>
              <w:pStyle w:val="TableText"/>
            </w:pPr>
            <w:r>
              <w:rPr>
                <w:bCs/>
              </w:rPr>
              <w:t>Yes</w:t>
            </w:r>
          </w:p>
        </w:tc>
        <w:tc>
          <w:tcPr>
            <w:tcW w:w="1331" w:type="dxa"/>
            <w:shd w:val="clear" w:color="auto" w:fill="auto"/>
            <w:vAlign w:val="center"/>
          </w:tcPr>
          <w:p w14:paraId="593962E2" w14:textId="77777777" w:rsidR="00432FCC" w:rsidRDefault="00432FCC" w:rsidP="00432FCC">
            <w:pPr>
              <w:pStyle w:val="TableText"/>
              <w:rPr>
                <w:rFonts w:eastAsia="Symbol"/>
              </w:rPr>
            </w:pPr>
            <w:r>
              <w:t>No</w:t>
            </w:r>
          </w:p>
        </w:tc>
        <w:tc>
          <w:tcPr>
            <w:tcW w:w="4315" w:type="dxa"/>
            <w:shd w:val="clear" w:color="auto" w:fill="auto"/>
            <w:vAlign w:val="center"/>
          </w:tcPr>
          <w:p w14:paraId="09936DAB" w14:textId="77777777" w:rsidR="00432FCC" w:rsidRDefault="00432FCC" w:rsidP="00432FCC">
            <w:pPr>
              <w:pStyle w:val="TableText"/>
              <w:rPr>
                <w:rFonts w:eastAsia="Symbol"/>
              </w:rPr>
            </w:pPr>
          </w:p>
        </w:tc>
      </w:tr>
      <w:tr w:rsidR="00432FCC" w14:paraId="2E180A18" w14:textId="77777777">
        <w:tc>
          <w:tcPr>
            <w:tcW w:w="1330" w:type="dxa"/>
            <w:shd w:val="clear" w:color="auto" w:fill="auto"/>
            <w:vAlign w:val="center"/>
          </w:tcPr>
          <w:p w14:paraId="5792DBA4" w14:textId="77777777" w:rsidR="00432FCC" w:rsidRDefault="00432FCC" w:rsidP="00432FCC">
            <w:pPr>
              <w:pStyle w:val="TableText"/>
              <w:rPr>
                <w:rFonts w:eastAsia="Symbol"/>
              </w:rPr>
            </w:pPr>
            <w:r>
              <w:t>Anti-C(x)</w:t>
            </w:r>
          </w:p>
        </w:tc>
        <w:tc>
          <w:tcPr>
            <w:tcW w:w="1331" w:type="dxa"/>
            <w:shd w:val="clear" w:color="auto" w:fill="auto"/>
            <w:vAlign w:val="center"/>
          </w:tcPr>
          <w:p w14:paraId="38010868" w14:textId="77777777" w:rsidR="00432FCC" w:rsidRDefault="00432FCC" w:rsidP="00432FCC">
            <w:pPr>
              <w:pStyle w:val="TableText"/>
              <w:rPr>
                <w:rFonts w:eastAsia="Symbol"/>
              </w:rPr>
            </w:pPr>
            <w:r>
              <w:t>Anti-Cx</w:t>
            </w:r>
          </w:p>
        </w:tc>
        <w:tc>
          <w:tcPr>
            <w:tcW w:w="1053" w:type="dxa"/>
            <w:shd w:val="clear" w:color="auto" w:fill="auto"/>
            <w:vAlign w:val="center"/>
          </w:tcPr>
          <w:p w14:paraId="1AAC51DA" w14:textId="77777777" w:rsidR="00432FCC" w:rsidRDefault="00432FCC" w:rsidP="00432FCC">
            <w:pPr>
              <w:pStyle w:val="TableText"/>
            </w:pPr>
            <w:r>
              <w:rPr>
                <w:bCs/>
              </w:rPr>
              <w:t>Yes</w:t>
            </w:r>
          </w:p>
        </w:tc>
        <w:tc>
          <w:tcPr>
            <w:tcW w:w="1331" w:type="dxa"/>
            <w:shd w:val="clear" w:color="auto" w:fill="auto"/>
            <w:vAlign w:val="center"/>
          </w:tcPr>
          <w:p w14:paraId="5FCCEA64" w14:textId="77777777" w:rsidR="00432FCC" w:rsidRDefault="00432FCC" w:rsidP="00432FCC">
            <w:pPr>
              <w:pStyle w:val="TableText"/>
              <w:rPr>
                <w:rFonts w:eastAsia="Symbol"/>
              </w:rPr>
            </w:pPr>
            <w:r>
              <w:t>No</w:t>
            </w:r>
          </w:p>
        </w:tc>
        <w:tc>
          <w:tcPr>
            <w:tcW w:w="4315" w:type="dxa"/>
            <w:shd w:val="clear" w:color="auto" w:fill="auto"/>
            <w:vAlign w:val="center"/>
          </w:tcPr>
          <w:p w14:paraId="5348E222" w14:textId="77777777" w:rsidR="00432FCC" w:rsidRDefault="00432FCC" w:rsidP="00432FCC">
            <w:pPr>
              <w:pStyle w:val="TableText"/>
              <w:rPr>
                <w:rFonts w:eastAsia="Symbol"/>
              </w:rPr>
            </w:pPr>
          </w:p>
        </w:tc>
      </w:tr>
      <w:tr w:rsidR="00432FCC" w14:paraId="24906BEA" w14:textId="77777777">
        <w:tc>
          <w:tcPr>
            <w:tcW w:w="1330" w:type="dxa"/>
            <w:shd w:val="clear" w:color="auto" w:fill="auto"/>
            <w:vAlign w:val="center"/>
          </w:tcPr>
          <w:p w14:paraId="6B480917" w14:textId="77777777" w:rsidR="00432FCC" w:rsidRDefault="00432FCC" w:rsidP="00432FCC">
            <w:pPr>
              <w:pStyle w:val="TableText"/>
              <w:rPr>
                <w:rFonts w:eastAsia="Symbol"/>
              </w:rPr>
            </w:pPr>
            <w:r>
              <w:t>Anti-E(w)</w:t>
            </w:r>
          </w:p>
        </w:tc>
        <w:tc>
          <w:tcPr>
            <w:tcW w:w="1331" w:type="dxa"/>
            <w:shd w:val="clear" w:color="auto" w:fill="auto"/>
            <w:vAlign w:val="center"/>
          </w:tcPr>
          <w:p w14:paraId="4591B768" w14:textId="77777777" w:rsidR="00432FCC" w:rsidRDefault="00432FCC" w:rsidP="00432FCC">
            <w:pPr>
              <w:pStyle w:val="TableText"/>
              <w:rPr>
                <w:rFonts w:eastAsia="Symbol"/>
              </w:rPr>
            </w:pPr>
            <w:r>
              <w:t>Anti-E(w)</w:t>
            </w:r>
          </w:p>
        </w:tc>
        <w:tc>
          <w:tcPr>
            <w:tcW w:w="1053" w:type="dxa"/>
            <w:shd w:val="clear" w:color="auto" w:fill="auto"/>
            <w:vAlign w:val="center"/>
          </w:tcPr>
          <w:p w14:paraId="0235FAF5" w14:textId="77777777" w:rsidR="00432FCC" w:rsidRDefault="00432FCC" w:rsidP="00432FCC">
            <w:pPr>
              <w:pStyle w:val="TableText"/>
            </w:pPr>
            <w:r>
              <w:rPr>
                <w:bCs/>
              </w:rPr>
              <w:t>Yes</w:t>
            </w:r>
          </w:p>
        </w:tc>
        <w:tc>
          <w:tcPr>
            <w:tcW w:w="1331" w:type="dxa"/>
            <w:shd w:val="clear" w:color="auto" w:fill="auto"/>
            <w:vAlign w:val="center"/>
          </w:tcPr>
          <w:p w14:paraId="6BE94B3D" w14:textId="77777777" w:rsidR="00432FCC" w:rsidRDefault="00432FCC" w:rsidP="00432FCC">
            <w:pPr>
              <w:pStyle w:val="TableText"/>
              <w:rPr>
                <w:rFonts w:eastAsia="Symbol"/>
              </w:rPr>
            </w:pPr>
            <w:r>
              <w:t>No</w:t>
            </w:r>
          </w:p>
        </w:tc>
        <w:tc>
          <w:tcPr>
            <w:tcW w:w="4315" w:type="dxa"/>
            <w:shd w:val="clear" w:color="auto" w:fill="auto"/>
            <w:vAlign w:val="center"/>
          </w:tcPr>
          <w:p w14:paraId="6FF852E1" w14:textId="77777777" w:rsidR="00432FCC" w:rsidRDefault="00432FCC" w:rsidP="00432FCC">
            <w:pPr>
              <w:pStyle w:val="TableText"/>
              <w:rPr>
                <w:rFonts w:eastAsia="Symbol"/>
              </w:rPr>
            </w:pPr>
          </w:p>
        </w:tc>
      </w:tr>
      <w:tr w:rsidR="00432FCC" w14:paraId="244FDE05" w14:textId="77777777">
        <w:tc>
          <w:tcPr>
            <w:tcW w:w="1330" w:type="dxa"/>
            <w:shd w:val="clear" w:color="auto" w:fill="auto"/>
            <w:vAlign w:val="center"/>
          </w:tcPr>
          <w:p w14:paraId="5388B252" w14:textId="77777777" w:rsidR="00432FCC" w:rsidRDefault="00432FCC" w:rsidP="00432FCC">
            <w:pPr>
              <w:pStyle w:val="TableText"/>
              <w:rPr>
                <w:rFonts w:eastAsia="Symbol"/>
              </w:rPr>
            </w:pPr>
            <w:r>
              <w:t>Anti-V</w:t>
            </w:r>
          </w:p>
        </w:tc>
        <w:tc>
          <w:tcPr>
            <w:tcW w:w="1331" w:type="dxa"/>
            <w:shd w:val="clear" w:color="auto" w:fill="auto"/>
            <w:vAlign w:val="center"/>
          </w:tcPr>
          <w:p w14:paraId="3E2DC41D" w14:textId="77777777" w:rsidR="00432FCC" w:rsidRDefault="00432FCC" w:rsidP="00432FCC">
            <w:pPr>
              <w:pStyle w:val="TableText"/>
            </w:pPr>
            <w:r>
              <w:t>Anti-V</w:t>
            </w:r>
          </w:p>
        </w:tc>
        <w:tc>
          <w:tcPr>
            <w:tcW w:w="1053" w:type="dxa"/>
            <w:shd w:val="clear" w:color="auto" w:fill="auto"/>
            <w:vAlign w:val="center"/>
          </w:tcPr>
          <w:p w14:paraId="7CC95B95" w14:textId="77777777" w:rsidR="00432FCC" w:rsidRDefault="00432FCC" w:rsidP="00432FCC">
            <w:pPr>
              <w:pStyle w:val="TableText"/>
            </w:pPr>
            <w:r>
              <w:rPr>
                <w:bCs/>
              </w:rPr>
              <w:t>Yes</w:t>
            </w:r>
          </w:p>
        </w:tc>
        <w:tc>
          <w:tcPr>
            <w:tcW w:w="1331" w:type="dxa"/>
            <w:shd w:val="clear" w:color="auto" w:fill="auto"/>
            <w:vAlign w:val="center"/>
          </w:tcPr>
          <w:p w14:paraId="53CB552B" w14:textId="77777777" w:rsidR="00432FCC" w:rsidRDefault="00432FCC" w:rsidP="00432FCC">
            <w:pPr>
              <w:pStyle w:val="TableText"/>
              <w:rPr>
                <w:rFonts w:eastAsia="Symbol"/>
              </w:rPr>
            </w:pPr>
            <w:r>
              <w:t>No</w:t>
            </w:r>
          </w:p>
        </w:tc>
        <w:tc>
          <w:tcPr>
            <w:tcW w:w="4315" w:type="dxa"/>
            <w:shd w:val="clear" w:color="auto" w:fill="auto"/>
            <w:vAlign w:val="center"/>
          </w:tcPr>
          <w:p w14:paraId="3A8F3E25" w14:textId="77777777" w:rsidR="00432FCC" w:rsidRDefault="00432FCC" w:rsidP="00432FCC">
            <w:pPr>
              <w:pStyle w:val="TableText"/>
              <w:rPr>
                <w:rFonts w:eastAsia="Symbol"/>
              </w:rPr>
            </w:pPr>
          </w:p>
        </w:tc>
      </w:tr>
      <w:tr w:rsidR="00432FCC" w14:paraId="29DAB553" w14:textId="77777777">
        <w:tc>
          <w:tcPr>
            <w:tcW w:w="1330" w:type="dxa"/>
            <w:shd w:val="clear" w:color="auto" w:fill="auto"/>
            <w:vAlign w:val="center"/>
          </w:tcPr>
          <w:p w14:paraId="270531B8" w14:textId="77777777" w:rsidR="00432FCC" w:rsidRDefault="00432FCC" w:rsidP="00432FCC">
            <w:pPr>
              <w:pStyle w:val="TableText"/>
              <w:rPr>
                <w:rFonts w:eastAsia="Symbol"/>
              </w:rPr>
            </w:pPr>
            <w:r>
              <w:t>Anti-Xg(a)</w:t>
            </w:r>
          </w:p>
        </w:tc>
        <w:tc>
          <w:tcPr>
            <w:tcW w:w="1331" w:type="dxa"/>
            <w:shd w:val="clear" w:color="auto" w:fill="auto"/>
            <w:vAlign w:val="center"/>
          </w:tcPr>
          <w:p w14:paraId="0D5139C3" w14:textId="77777777" w:rsidR="00432FCC" w:rsidRDefault="00432FCC" w:rsidP="00432FCC">
            <w:pPr>
              <w:pStyle w:val="TableText"/>
            </w:pPr>
            <w:r>
              <w:t>Anti-Xg(a)</w:t>
            </w:r>
          </w:p>
        </w:tc>
        <w:tc>
          <w:tcPr>
            <w:tcW w:w="1053" w:type="dxa"/>
            <w:shd w:val="clear" w:color="auto" w:fill="auto"/>
            <w:vAlign w:val="center"/>
          </w:tcPr>
          <w:p w14:paraId="0021A01F" w14:textId="77777777" w:rsidR="00432FCC" w:rsidRDefault="00432FCC" w:rsidP="00432FCC">
            <w:pPr>
              <w:pStyle w:val="TableText"/>
            </w:pPr>
            <w:r>
              <w:t>No</w:t>
            </w:r>
          </w:p>
        </w:tc>
        <w:tc>
          <w:tcPr>
            <w:tcW w:w="1331" w:type="dxa"/>
            <w:shd w:val="clear" w:color="auto" w:fill="auto"/>
            <w:vAlign w:val="center"/>
          </w:tcPr>
          <w:p w14:paraId="2508742B" w14:textId="77777777" w:rsidR="00432FCC" w:rsidRDefault="00432FCC" w:rsidP="00432FCC">
            <w:pPr>
              <w:pStyle w:val="TableText"/>
              <w:rPr>
                <w:rFonts w:eastAsia="Symbol"/>
              </w:rPr>
            </w:pPr>
            <w:r>
              <w:t>No</w:t>
            </w:r>
          </w:p>
        </w:tc>
        <w:tc>
          <w:tcPr>
            <w:tcW w:w="4315" w:type="dxa"/>
            <w:shd w:val="clear" w:color="auto" w:fill="auto"/>
            <w:vAlign w:val="center"/>
          </w:tcPr>
          <w:p w14:paraId="505D6439" w14:textId="77777777" w:rsidR="00432FCC" w:rsidRDefault="00432FCC" w:rsidP="00432FCC">
            <w:pPr>
              <w:pStyle w:val="TableText"/>
              <w:rPr>
                <w:rFonts w:eastAsia="Symbol"/>
              </w:rPr>
            </w:pPr>
          </w:p>
        </w:tc>
      </w:tr>
      <w:tr w:rsidR="00432FCC" w14:paraId="3C608747" w14:textId="77777777">
        <w:tc>
          <w:tcPr>
            <w:tcW w:w="1330" w:type="dxa"/>
            <w:shd w:val="clear" w:color="auto" w:fill="auto"/>
            <w:vAlign w:val="center"/>
          </w:tcPr>
          <w:p w14:paraId="466B0A18" w14:textId="77777777" w:rsidR="00432FCC" w:rsidRDefault="00432FCC" w:rsidP="00432FCC">
            <w:pPr>
              <w:pStyle w:val="TableText"/>
              <w:rPr>
                <w:rFonts w:eastAsia="Symbol"/>
              </w:rPr>
            </w:pPr>
            <w:r>
              <w:t>Anti-M(g)</w:t>
            </w:r>
          </w:p>
        </w:tc>
        <w:tc>
          <w:tcPr>
            <w:tcW w:w="1331" w:type="dxa"/>
            <w:shd w:val="clear" w:color="auto" w:fill="auto"/>
            <w:vAlign w:val="center"/>
          </w:tcPr>
          <w:p w14:paraId="136F0580" w14:textId="77777777" w:rsidR="00432FCC" w:rsidRDefault="00432FCC" w:rsidP="00432FCC">
            <w:pPr>
              <w:pStyle w:val="TableText"/>
            </w:pPr>
            <w:r>
              <w:t>Anti-M(g)</w:t>
            </w:r>
          </w:p>
        </w:tc>
        <w:tc>
          <w:tcPr>
            <w:tcW w:w="1053" w:type="dxa"/>
            <w:shd w:val="clear" w:color="auto" w:fill="auto"/>
            <w:vAlign w:val="center"/>
          </w:tcPr>
          <w:p w14:paraId="2532BD9E" w14:textId="77777777" w:rsidR="00432FCC" w:rsidRDefault="00432FCC" w:rsidP="00432FCC">
            <w:pPr>
              <w:pStyle w:val="TableText"/>
            </w:pPr>
            <w:r>
              <w:t>No</w:t>
            </w:r>
          </w:p>
        </w:tc>
        <w:tc>
          <w:tcPr>
            <w:tcW w:w="1331" w:type="dxa"/>
            <w:shd w:val="clear" w:color="auto" w:fill="auto"/>
            <w:vAlign w:val="center"/>
          </w:tcPr>
          <w:p w14:paraId="26A12021" w14:textId="77777777" w:rsidR="00432FCC" w:rsidRDefault="00432FCC" w:rsidP="00432FCC">
            <w:pPr>
              <w:pStyle w:val="TableText"/>
              <w:rPr>
                <w:rFonts w:eastAsia="Symbol"/>
              </w:rPr>
            </w:pPr>
            <w:r>
              <w:t>No</w:t>
            </w:r>
          </w:p>
        </w:tc>
        <w:tc>
          <w:tcPr>
            <w:tcW w:w="4315" w:type="dxa"/>
            <w:shd w:val="clear" w:color="auto" w:fill="auto"/>
            <w:vAlign w:val="center"/>
          </w:tcPr>
          <w:p w14:paraId="0E5A61A4" w14:textId="77777777" w:rsidR="00432FCC" w:rsidRDefault="00432FCC" w:rsidP="00432FCC">
            <w:pPr>
              <w:pStyle w:val="TableText"/>
              <w:rPr>
                <w:rFonts w:eastAsia="Symbol"/>
              </w:rPr>
            </w:pPr>
          </w:p>
        </w:tc>
      </w:tr>
      <w:tr w:rsidR="00432FCC" w14:paraId="6C5353FE" w14:textId="77777777">
        <w:tc>
          <w:tcPr>
            <w:tcW w:w="1330" w:type="dxa"/>
            <w:shd w:val="clear" w:color="auto" w:fill="auto"/>
            <w:vAlign w:val="center"/>
          </w:tcPr>
          <w:p w14:paraId="5E327932" w14:textId="77777777" w:rsidR="00432FCC" w:rsidRDefault="00432FCC" w:rsidP="00432FCC">
            <w:pPr>
              <w:pStyle w:val="TableText"/>
              <w:rPr>
                <w:rFonts w:eastAsia="Symbol"/>
              </w:rPr>
            </w:pPr>
            <w:r>
              <w:t>Anti-Mi(a)</w:t>
            </w:r>
          </w:p>
        </w:tc>
        <w:tc>
          <w:tcPr>
            <w:tcW w:w="1331" w:type="dxa"/>
            <w:shd w:val="clear" w:color="auto" w:fill="auto"/>
            <w:vAlign w:val="center"/>
          </w:tcPr>
          <w:p w14:paraId="51605B2A" w14:textId="77777777" w:rsidR="00432FCC" w:rsidRDefault="00432FCC" w:rsidP="00432FCC">
            <w:pPr>
              <w:pStyle w:val="TableText"/>
            </w:pPr>
            <w:r>
              <w:t>Anti-Mi(a)</w:t>
            </w:r>
          </w:p>
        </w:tc>
        <w:tc>
          <w:tcPr>
            <w:tcW w:w="1053" w:type="dxa"/>
            <w:shd w:val="clear" w:color="auto" w:fill="auto"/>
            <w:vAlign w:val="center"/>
          </w:tcPr>
          <w:p w14:paraId="78963897" w14:textId="77777777" w:rsidR="00432FCC" w:rsidRDefault="00432FCC" w:rsidP="00432FCC">
            <w:pPr>
              <w:pStyle w:val="TableText"/>
            </w:pPr>
            <w:r>
              <w:t>No</w:t>
            </w:r>
          </w:p>
        </w:tc>
        <w:tc>
          <w:tcPr>
            <w:tcW w:w="1331" w:type="dxa"/>
            <w:shd w:val="clear" w:color="auto" w:fill="auto"/>
            <w:vAlign w:val="center"/>
          </w:tcPr>
          <w:p w14:paraId="3605ECFF" w14:textId="77777777" w:rsidR="00432FCC" w:rsidRDefault="00432FCC" w:rsidP="00432FCC">
            <w:pPr>
              <w:pStyle w:val="TableText"/>
              <w:rPr>
                <w:rFonts w:eastAsia="Symbol"/>
              </w:rPr>
            </w:pPr>
            <w:r>
              <w:t>No</w:t>
            </w:r>
          </w:p>
        </w:tc>
        <w:tc>
          <w:tcPr>
            <w:tcW w:w="4315" w:type="dxa"/>
            <w:shd w:val="clear" w:color="auto" w:fill="auto"/>
            <w:vAlign w:val="center"/>
          </w:tcPr>
          <w:p w14:paraId="1C61BB18" w14:textId="77777777" w:rsidR="00432FCC" w:rsidRDefault="00432FCC" w:rsidP="00432FCC">
            <w:pPr>
              <w:pStyle w:val="TableText"/>
              <w:rPr>
                <w:rFonts w:eastAsia="Symbol"/>
              </w:rPr>
            </w:pPr>
          </w:p>
        </w:tc>
      </w:tr>
      <w:tr w:rsidR="00432FCC" w14:paraId="237BBAA0" w14:textId="77777777">
        <w:tc>
          <w:tcPr>
            <w:tcW w:w="1330" w:type="dxa"/>
            <w:shd w:val="clear" w:color="auto" w:fill="auto"/>
            <w:vAlign w:val="center"/>
          </w:tcPr>
          <w:p w14:paraId="53CA3407" w14:textId="77777777" w:rsidR="00432FCC" w:rsidRDefault="00432FCC" w:rsidP="00432FCC">
            <w:pPr>
              <w:pStyle w:val="TableText"/>
              <w:rPr>
                <w:rFonts w:eastAsia="Symbol"/>
              </w:rPr>
            </w:pPr>
            <w:r>
              <w:t>Anti-P</w:t>
            </w:r>
          </w:p>
        </w:tc>
        <w:tc>
          <w:tcPr>
            <w:tcW w:w="1331" w:type="dxa"/>
            <w:shd w:val="clear" w:color="auto" w:fill="auto"/>
            <w:vAlign w:val="center"/>
          </w:tcPr>
          <w:p w14:paraId="0F3ADB05" w14:textId="77777777" w:rsidR="00432FCC" w:rsidRDefault="00432FCC" w:rsidP="00432FCC">
            <w:pPr>
              <w:pStyle w:val="TableText"/>
            </w:pPr>
            <w:r>
              <w:t>Anti-P</w:t>
            </w:r>
          </w:p>
        </w:tc>
        <w:tc>
          <w:tcPr>
            <w:tcW w:w="1053" w:type="dxa"/>
            <w:shd w:val="clear" w:color="auto" w:fill="auto"/>
            <w:vAlign w:val="center"/>
          </w:tcPr>
          <w:p w14:paraId="5FF10690" w14:textId="77777777" w:rsidR="00432FCC" w:rsidRDefault="00432FCC" w:rsidP="00432FCC">
            <w:pPr>
              <w:pStyle w:val="TableText"/>
            </w:pPr>
            <w:r>
              <w:t>No</w:t>
            </w:r>
          </w:p>
        </w:tc>
        <w:tc>
          <w:tcPr>
            <w:tcW w:w="1331" w:type="dxa"/>
            <w:shd w:val="clear" w:color="auto" w:fill="auto"/>
            <w:vAlign w:val="center"/>
          </w:tcPr>
          <w:p w14:paraId="3C95A18C" w14:textId="77777777" w:rsidR="00432FCC" w:rsidRDefault="00432FCC" w:rsidP="00432FCC">
            <w:pPr>
              <w:pStyle w:val="TableText"/>
              <w:rPr>
                <w:rFonts w:eastAsia="Symbol"/>
              </w:rPr>
            </w:pPr>
            <w:r>
              <w:t>No</w:t>
            </w:r>
          </w:p>
        </w:tc>
        <w:tc>
          <w:tcPr>
            <w:tcW w:w="4315" w:type="dxa"/>
            <w:shd w:val="clear" w:color="auto" w:fill="auto"/>
            <w:vAlign w:val="center"/>
          </w:tcPr>
          <w:p w14:paraId="53634C87" w14:textId="77777777" w:rsidR="00432FCC" w:rsidRDefault="00432FCC" w:rsidP="00432FCC">
            <w:pPr>
              <w:pStyle w:val="TableText"/>
              <w:rPr>
                <w:rFonts w:eastAsia="Symbol"/>
              </w:rPr>
            </w:pPr>
          </w:p>
        </w:tc>
      </w:tr>
      <w:tr w:rsidR="00432FCC" w14:paraId="20928266" w14:textId="77777777">
        <w:tc>
          <w:tcPr>
            <w:tcW w:w="1330" w:type="dxa"/>
            <w:shd w:val="clear" w:color="auto" w:fill="auto"/>
            <w:vAlign w:val="center"/>
          </w:tcPr>
          <w:p w14:paraId="5CB34EF6" w14:textId="77777777" w:rsidR="00432FCC" w:rsidRDefault="00432FCC" w:rsidP="00432FCC">
            <w:pPr>
              <w:pStyle w:val="TableText"/>
              <w:rPr>
                <w:rFonts w:eastAsia="Symbol"/>
              </w:rPr>
            </w:pPr>
            <w:r>
              <w:t>Anti-A1</w:t>
            </w:r>
          </w:p>
        </w:tc>
        <w:tc>
          <w:tcPr>
            <w:tcW w:w="1331" w:type="dxa"/>
            <w:shd w:val="clear" w:color="auto" w:fill="auto"/>
            <w:vAlign w:val="center"/>
          </w:tcPr>
          <w:p w14:paraId="65E90E1A" w14:textId="77777777" w:rsidR="00432FCC" w:rsidRDefault="00432FCC" w:rsidP="00432FCC">
            <w:pPr>
              <w:pStyle w:val="TableText"/>
            </w:pPr>
            <w:r>
              <w:t>Anti-A-1</w:t>
            </w:r>
          </w:p>
        </w:tc>
        <w:tc>
          <w:tcPr>
            <w:tcW w:w="1053" w:type="dxa"/>
            <w:shd w:val="clear" w:color="auto" w:fill="auto"/>
            <w:vAlign w:val="center"/>
          </w:tcPr>
          <w:p w14:paraId="38CEFA60" w14:textId="77777777" w:rsidR="00432FCC" w:rsidRDefault="00432FCC" w:rsidP="00432FCC">
            <w:pPr>
              <w:pStyle w:val="TableText"/>
            </w:pPr>
            <w:r>
              <w:t>No</w:t>
            </w:r>
          </w:p>
        </w:tc>
        <w:tc>
          <w:tcPr>
            <w:tcW w:w="1331" w:type="dxa"/>
            <w:shd w:val="clear" w:color="auto" w:fill="auto"/>
            <w:vAlign w:val="center"/>
          </w:tcPr>
          <w:p w14:paraId="7768032C" w14:textId="77777777" w:rsidR="00432FCC" w:rsidRDefault="00432FCC" w:rsidP="00432FCC">
            <w:pPr>
              <w:pStyle w:val="TableText"/>
              <w:rPr>
                <w:rFonts w:eastAsia="Symbol"/>
              </w:rPr>
            </w:pPr>
            <w:r>
              <w:t>No</w:t>
            </w:r>
          </w:p>
        </w:tc>
        <w:tc>
          <w:tcPr>
            <w:tcW w:w="4315" w:type="dxa"/>
            <w:shd w:val="clear" w:color="auto" w:fill="auto"/>
            <w:vAlign w:val="center"/>
          </w:tcPr>
          <w:p w14:paraId="6C4EA811" w14:textId="77777777" w:rsidR="00432FCC" w:rsidRDefault="00432FCC" w:rsidP="00432FCC">
            <w:pPr>
              <w:pStyle w:val="TableText"/>
              <w:rPr>
                <w:rFonts w:eastAsia="Symbol"/>
              </w:rPr>
            </w:pPr>
          </w:p>
        </w:tc>
      </w:tr>
      <w:tr w:rsidR="00432FCC" w14:paraId="3A09738E" w14:textId="77777777">
        <w:tc>
          <w:tcPr>
            <w:tcW w:w="1330" w:type="dxa"/>
            <w:shd w:val="clear" w:color="auto" w:fill="auto"/>
            <w:vAlign w:val="center"/>
          </w:tcPr>
          <w:p w14:paraId="2FA13E06" w14:textId="77777777" w:rsidR="00432FCC" w:rsidRDefault="00432FCC" w:rsidP="00432FCC">
            <w:pPr>
              <w:pStyle w:val="TableText"/>
              <w:rPr>
                <w:rFonts w:eastAsia="Symbol"/>
              </w:rPr>
            </w:pPr>
            <w:r>
              <w:t>Anti-H</w:t>
            </w:r>
          </w:p>
        </w:tc>
        <w:tc>
          <w:tcPr>
            <w:tcW w:w="1331" w:type="dxa"/>
            <w:shd w:val="clear" w:color="auto" w:fill="auto"/>
            <w:vAlign w:val="center"/>
          </w:tcPr>
          <w:p w14:paraId="57D54425" w14:textId="77777777" w:rsidR="00432FCC" w:rsidRDefault="00432FCC" w:rsidP="00432FCC">
            <w:pPr>
              <w:pStyle w:val="TableText"/>
              <w:rPr>
                <w:rFonts w:eastAsia="Symbol"/>
              </w:rPr>
            </w:pPr>
            <w:r>
              <w:t>Anti-H</w:t>
            </w:r>
          </w:p>
        </w:tc>
        <w:tc>
          <w:tcPr>
            <w:tcW w:w="1053" w:type="dxa"/>
            <w:shd w:val="clear" w:color="auto" w:fill="auto"/>
            <w:vAlign w:val="center"/>
          </w:tcPr>
          <w:p w14:paraId="2BA422B9" w14:textId="77777777" w:rsidR="00432FCC" w:rsidRDefault="00432FCC" w:rsidP="00432FCC">
            <w:pPr>
              <w:pStyle w:val="TableText"/>
            </w:pPr>
            <w:r>
              <w:t>No</w:t>
            </w:r>
          </w:p>
        </w:tc>
        <w:tc>
          <w:tcPr>
            <w:tcW w:w="1331" w:type="dxa"/>
            <w:shd w:val="clear" w:color="auto" w:fill="auto"/>
            <w:vAlign w:val="center"/>
          </w:tcPr>
          <w:p w14:paraId="52D4E088" w14:textId="77777777" w:rsidR="00432FCC" w:rsidRDefault="00432FCC" w:rsidP="00432FCC">
            <w:pPr>
              <w:pStyle w:val="TableText"/>
              <w:rPr>
                <w:rFonts w:eastAsia="Symbol"/>
              </w:rPr>
            </w:pPr>
            <w:r>
              <w:t>No</w:t>
            </w:r>
          </w:p>
        </w:tc>
        <w:tc>
          <w:tcPr>
            <w:tcW w:w="4315" w:type="dxa"/>
            <w:shd w:val="clear" w:color="auto" w:fill="auto"/>
            <w:vAlign w:val="center"/>
          </w:tcPr>
          <w:p w14:paraId="4BB6ACA1" w14:textId="77777777" w:rsidR="00432FCC" w:rsidRDefault="00432FCC" w:rsidP="00432FCC">
            <w:pPr>
              <w:pStyle w:val="TableText"/>
              <w:rPr>
                <w:rFonts w:eastAsia="Symbol"/>
              </w:rPr>
            </w:pPr>
          </w:p>
        </w:tc>
      </w:tr>
      <w:tr w:rsidR="00432FCC" w14:paraId="268810BC" w14:textId="77777777">
        <w:tc>
          <w:tcPr>
            <w:tcW w:w="1330" w:type="dxa"/>
            <w:shd w:val="clear" w:color="auto" w:fill="auto"/>
            <w:vAlign w:val="center"/>
          </w:tcPr>
          <w:p w14:paraId="17A2EAFA" w14:textId="77777777" w:rsidR="00432FCC" w:rsidRDefault="00432FCC" w:rsidP="00432FCC">
            <w:pPr>
              <w:pStyle w:val="TableText"/>
              <w:rPr>
                <w:rFonts w:eastAsia="Symbol"/>
              </w:rPr>
            </w:pPr>
            <w:r>
              <w:t>Anti-Le(ab)</w:t>
            </w:r>
          </w:p>
        </w:tc>
        <w:tc>
          <w:tcPr>
            <w:tcW w:w="1331" w:type="dxa"/>
            <w:shd w:val="clear" w:color="auto" w:fill="auto"/>
            <w:vAlign w:val="center"/>
          </w:tcPr>
          <w:p w14:paraId="601D2ADF" w14:textId="77777777" w:rsidR="00432FCC" w:rsidRDefault="00432FCC" w:rsidP="00432FCC">
            <w:pPr>
              <w:pStyle w:val="TableText"/>
            </w:pPr>
            <w:r>
              <w:t>Anti-Le(x)</w:t>
            </w:r>
          </w:p>
        </w:tc>
        <w:tc>
          <w:tcPr>
            <w:tcW w:w="1053" w:type="dxa"/>
            <w:shd w:val="clear" w:color="auto" w:fill="auto"/>
            <w:vAlign w:val="center"/>
          </w:tcPr>
          <w:p w14:paraId="5A0293BD" w14:textId="77777777" w:rsidR="00432FCC" w:rsidRDefault="00432FCC" w:rsidP="00432FCC">
            <w:pPr>
              <w:pStyle w:val="TableText"/>
            </w:pPr>
            <w:r>
              <w:t>No</w:t>
            </w:r>
          </w:p>
        </w:tc>
        <w:tc>
          <w:tcPr>
            <w:tcW w:w="1331" w:type="dxa"/>
            <w:shd w:val="clear" w:color="auto" w:fill="auto"/>
            <w:vAlign w:val="center"/>
          </w:tcPr>
          <w:p w14:paraId="2FEA94A0" w14:textId="77777777" w:rsidR="00432FCC" w:rsidRDefault="00432FCC" w:rsidP="00432FCC">
            <w:pPr>
              <w:pStyle w:val="TableText"/>
              <w:rPr>
                <w:rFonts w:eastAsia="Symbol"/>
              </w:rPr>
            </w:pPr>
            <w:r>
              <w:t>No</w:t>
            </w:r>
          </w:p>
        </w:tc>
        <w:tc>
          <w:tcPr>
            <w:tcW w:w="4315" w:type="dxa"/>
            <w:shd w:val="clear" w:color="auto" w:fill="auto"/>
            <w:vAlign w:val="center"/>
          </w:tcPr>
          <w:p w14:paraId="5554853B" w14:textId="77777777" w:rsidR="00432FCC" w:rsidRDefault="00432FCC" w:rsidP="00432FCC">
            <w:pPr>
              <w:pStyle w:val="TableText"/>
              <w:rPr>
                <w:rFonts w:eastAsia="Symbol"/>
              </w:rPr>
            </w:pPr>
          </w:p>
        </w:tc>
      </w:tr>
      <w:tr w:rsidR="00432FCC" w14:paraId="31F6FEE5" w14:textId="77777777">
        <w:tc>
          <w:tcPr>
            <w:tcW w:w="1330" w:type="dxa"/>
            <w:shd w:val="clear" w:color="auto" w:fill="auto"/>
            <w:vAlign w:val="center"/>
          </w:tcPr>
          <w:p w14:paraId="4CF6D024" w14:textId="77777777" w:rsidR="00432FCC" w:rsidRDefault="00432FCC" w:rsidP="00432FCC">
            <w:pPr>
              <w:pStyle w:val="TableText"/>
              <w:rPr>
                <w:rFonts w:eastAsia="Symbol"/>
              </w:rPr>
            </w:pPr>
            <w:r>
              <w:t>Anti-Di(a)</w:t>
            </w:r>
          </w:p>
        </w:tc>
        <w:tc>
          <w:tcPr>
            <w:tcW w:w="1331" w:type="dxa"/>
            <w:shd w:val="clear" w:color="auto" w:fill="auto"/>
            <w:vAlign w:val="center"/>
          </w:tcPr>
          <w:p w14:paraId="339BD8BC" w14:textId="77777777" w:rsidR="00432FCC" w:rsidRDefault="00432FCC" w:rsidP="00432FCC">
            <w:pPr>
              <w:pStyle w:val="TableText"/>
              <w:rPr>
                <w:rFonts w:eastAsia="Symbol"/>
              </w:rPr>
            </w:pPr>
            <w:r>
              <w:t>Anti-Di(a)</w:t>
            </w:r>
          </w:p>
        </w:tc>
        <w:tc>
          <w:tcPr>
            <w:tcW w:w="1053" w:type="dxa"/>
            <w:shd w:val="clear" w:color="auto" w:fill="auto"/>
            <w:vAlign w:val="center"/>
          </w:tcPr>
          <w:p w14:paraId="7CD66E19" w14:textId="77777777" w:rsidR="00432FCC" w:rsidRDefault="00432FCC" w:rsidP="00432FCC">
            <w:pPr>
              <w:pStyle w:val="TableText"/>
            </w:pPr>
            <w:r>
              <w:t>No</w:t>
            </w:r>
          </w:p>
        </w:tc>
        <w:tc>
          <w:tcPr>
            <w:tcW w:w="1331" w:type="dxa"/>
            <w:shd w:val="clear" w:color="auto" w:fill="auto"/>
            <w:vAlign w:val="center"/>
          </w:tcPr>
          <w:p w14:paraId="494AB210" w14:textId="77777777" w:rsidR="00432FCC" w:rsidRDefault="00432FCC" w:rsidP="00432FCC">
            <w:pPr>
              <w:pStyle w:val="TableText"/>
              <w:rPr>
                <w:rFonts w:eastAsia="Symbol"/>
              </w:rPr>
            </w:pPr>
            <w:r>
              <w:t>No</w:t>
            </w:r>
          </w:p>
        </w:tc>
        <w:tc>
          <w:tcPr>
            <w:tcW w:w="4315" w:type="dxa"/>
            <w:shd w:val="clear" w:color="auto" w:fill="auto"/>
            <w:vAlign w:val="center"/>
          </w:tcPr>
          <w:p w14:paraId="519DE8C0" w14:textId="77777777" w:rsidR="00432FCC" w:rsidRDefault="00432FCC" w:rsidP="00432FCC">
            <w:pPr>
              <w:pStyle w:val="TableText"/>
              <w:rPr>
                <w:rFonts w:eastAsia="Symbol"/>
              </w:rPr>
            </w:pPr>
          </w:p>
        </w:tc>
      </w:tr>
      <w:tr w:rsidR="00432FCC" w14:paraId="54C2C607" w14:textId="77777777">
        <w:tc>
          <w:tcPr>
            <w:tcW w:w="1330" w:type="dxa"/>
            <w:shd w:val="clear" w:color="auto" w:fill="auto"/>
            <w:vAlign w:val="center"/>
          </w:tcPr>
          <w:p w14:paraId="6B9D554E" w14:textId="77777777" w:rsidR="00432FCC" w:rsidRDefault="00432FCC" w:rsidP="00432FCC">
            <w:pPr>
              <w:pStyle w:val="TableText"/>
              <w:rPr>
                <w:rFonts w:eastAsia="Symbol"/>
              </w:rPr>
            </w:pPr>
            <w:r>
              <w:t>Anti-Di(b)</w:t>
            </w:r>
          </w:p>
        </w:tc>
        <w:tc>
          <w:tcPr>
            <w:tcW w:w="1331" w:type="dxa"/>
            <w:shd w:val="clear" w:color="auto" w:fill="auto"/>
            <w:vAlign w:val="center"/>
          </w:tcPr>
          <w:p w14:paraId="0DDE816F" w14:textId="77777777" w:rsidR="00432FCC" w:rsidRDefault="00432FCC" w:rsidP="00432FCC">
            <w:pPr>
              <w:pStyle w:val="TableText"/>
              <w:rPr>
                <w:rFonts w:eastAsia="Symbol"/>
              </w:rPr>
            </w:pPr>
            <w:r>
              <w:t>Anti-Di(b)</w:t>
            </w:r>
          </w:p>
        </w:tc>
        <w:tc>
          <w:tcPr>
            <w:tcW w:w="1053" w:type="dxa"/>
            <w:shd w:val="clear" w:color="auto" w:fill="auto"/>
            <w:vAlign w:val="center"/>
          </w:tcPr>
          <w:p w14:paraId="2C18289C" w14:textId="77777777" w:rsidR="00432FCC" w:rsidRDefault="00432FCC" w:rsidP="00432FCC">
            <w:pPr>
              <w:pStyle w:val="TableText"/>
            </w:pPr>
            <w:r>
              <w:t>No</w:t>
            </w:r>
          </w:p>
        </w:tc>
        <w:tc>
          <w:tcPr>
            <w:tcW w:w="1331" w:type="dxa"/>
            <w:shd w:val="clear" w:color="auto" w:fill="auto"/>
            <w:vAlign w:val="center"/>
          </w:tcPr>
          <w:p w14:paraId="35DAC5BC" w14:textId="77777777" w:rsidR="00432FCC" w:rsidRDefault="00432FCC" w:rsidP="00432FCC">
            <w:pPr>
              <w:pStyle w:val="TableText"/>
              <w:rPr>
                <w:rFonts w:eastAsia="Symbol"/>
              </w:rPr>
            </w:pPr>
            <w:r>
              <w:t>No</w:t>
            </w:r>
          </w:p>
        </w:tc>
        <w:tc>
          <w:tcPr>
            <w:tcW w:w="4315" w:type="dxa"/>
            <w:shd w:val="clear" w:color="auto" w:fill="auto"/>
            <w:vAlign w:val="center"/>
          </w:tcPr>
          <w:p w14:paraId="24E087B4" w14:textId="77777777" w:rsidR="00432FCC" w:rsidRDefault="00432FCC" w:rsidP="00432FCC">
            <w:pPr>
              <w:pStyle w:val="TableText"/>
              <w:rPr>
                <w:rFonts w:eastAsia="Symbol"/>
              </w:rPr>
            </w:pPr>
          </w:p>
        </w:tc>
      </w:tr>
      <w:tr w:rsidR="00432FCC" w14:paraId="74E34594" w14:textId="77777777">
        <w:tc>
          <w:tcPr>
            <w:tcW w:w="1330" w:type="dxa"/>
            <w:shd w:val="clear" w:color="auto" w:fill="auto"/>
            <w:vAlign w:val="center"/>
          </w:tcPr>
          <w:p w14:paraId="4F33D8E1" w14:textId="77777777" w:rsidR="00432FCC" w:rsidRDefault="00432FCC" w:rsidP="00432FCC">
            <w:pPr>
              <w:pStyle w:val="TableText"/>
              <w:rPr>
                <w:rFonts w:eastAsia="Symbol"/>
              </w:rPr>
            </w:pPr>
            <w:r>
              <w:t>Anti-Do(a)</w:t>
            </w:r>
          </w:p>
        </w:tc>
        <w:tc>
          <w:tcPr>
            <w:tcW w:w="1331" w:type="dxa"/>
            <w:shd w:val="clear" w:color="auto" w:fill="auto"/>
            <w:vAlign w:val="center"/>
          </w:tcPr>
          <w:p w14:paraId="1313FD84" w14:textId="77777777" w:rsidR="00432FCC" w:rsidRDefault="00432FCC" w:rsidP="00432FCC">
            <w:pPr>
              <w:pStyle w:val="TableText"/>
              <w:rPr>
                <w:rFonts w:eastAsia="Symbol"/>
              </w:rPr>
            </w:pPr>
            <w:r>
              <w:t>Anti-Do(a)</w:t>
            </w:r>
          </w:p>
        </w:tc>
        <w:tc>
          <w:tcPr>
            <w:tcW w:w="1053" w:type="dxa"/>
            <w:shd w:val="clear" w:color="auto" w:fill="auto"/>
            <w:vAlign w:val="center"/>
          </w:tcPr>
          <w:p w14:paraId="00F17943" w14:textId="77777777" w:rsidR="00432FCC" w:rsidRDefault="00432FCC" w:rsidP="00432FCC">
            <w:pPr>
              <w:pStyle w:val="TableText"/>
            </w:pPr>
            <w:r>
              <w:t>No</w:t>
            </w:r>
          </w:p>
        </w:tc>
        <w:tc>
          <w:tcPr>
            <w:tcW w:w="1331" w:type="dxa"/>
            <w:shd w:val="clear" w:color="auto" w:fill="auto"/>
            <w:vAlign w:val="center"/>
          </w:tcPr>
          <w:p w14:paraId="4AC5BDAE" w14:textId="77777777" w:rsidR="00432FCC" w:rsidRDefault="00432FCC" w:rsidP="00432FCC">
            <w:pPr>
              <w:pStyle w:val="TableText"/>
              <w:rPr>
                <w:rFonts w:eastAsia="Symbol"/>
              </w:rPr>
            </w:pPr>
            <w:r>
              <w:t>No</w:t>
            </w:r>
          </w:p>
        </w:tc>
        <w:tc>
          <w:tcPr>
            <w:tcW w:w="4315" w:type="dxa"/>
            <w:shd w:val="clear" w:color="auto" w:fill="auto"/>
            <w:vAlign w:val="center"/>
          </w:tcPr>
          <w:p w14:paraId="1F0A9AD9" w14:textId="77777777" w:rsidR="00432FCC" w:rsidRDefault="00432FCC" w:rsidP="00432FCC">
            <w:pPr>
              <w:pStyle w:val="TableText"/>
            </w:pPr>
          </w:p>
        </w:tc>
      </w:tr>
      <w:tr w:rsidR="00432FCC" w14:paraId="263040EC" w14:textId="77777777">
        <w:tc>
          <w:tcPr>
            <w:tcW w:w="1330" w:type="dxa"/>
            <w:shd w:val="clear" w:color="auto" w:fill="auto"/>
            <w:vAlign w:val="center"/>
          </w:tcPr>
          <w:p w14:paraId="4DF13B4C" w14:textId="77777777" w:rsidR="00432FCC" w:rsidRDefault="00432FCC" w:rsidP="00432FCC">
            <w:pPr>
              <w:pStyle w:val="TableText"/>
              <w:rPr>
                <w:rFonts w:eastAsia="Symbol"/>
              </w:rPr>
            </w:pPr>
            <w:r>
              <w:t>Anti-Do(b)</w:t>
            </w:r>
          </w:p>
        </w:tc>
        <w:tc>
          <w:tcPr>
            <w:tcW w:w="1331" w:type="dxa"/>
            <w:shd w:val="clear" w:color="auto" w:fill="auto"/>
            <w:vAlign w:val="center"/>
          </w:tcPr>
          <w:p w14:paraId="3A7CA841" w14:textId="77777777" w:rsidR="00432FCC" w:rsidRDefault="00432FCC" w:rsidP="00432FCC">
            <w:pPr>
              <w:pStyle w:val="TableText"/>
              <w:rPr>
                <w:rFonts w:eastAsia="Symbol"/>
              </w:rPr>
            </w:pPr>
            <w:r>
              <w:t>None</w:t>
            </w:r>
          </w:p>
        </w:tc>
        <w:tc>
          <w:tcPr>
            <w:tcW w:w="1053" w:type="dxa"/>
            <w:shd w:val="clear" w:color="auto" w:fill="auto"/>
            <w:vAlign w:val="center"/>
          </w:tcPr>
          <w:p w14:paraId="5B4F90B1" w14:textId="77777777" w:rsidR="00432FCC" w:rsidRDefault="00432FCC" w:rsidP="00432FCC">
            <w:pPr>
              <w:pStyle w:val="TableText"/>
            </w:pPr>
            <w:r>
              <w:t>No</w:t>
            </w:r>
          </w:p>
        </w:tc>
        <w:tc>
          <w:tcPr>
            <w:tcW w:w="1331" w:type="dxa"/>
            <w:shd w:val="clear" w:color="auto" w:fill="auto"/>
            <w:vAlign w:val="center"/>
          </w:tcPr>
          <w:p w14:paraId="166EB04B" w14:textId="77777777" w:rsidR="00432FCC" w:rsidRDefault="00432FCC" w:rsidP="00432FCC">
            <w:pPr>
              <w:pStyle w:val="TableText"/>
              <w:rPr>
                <w:rFonts w:eastAsia="Symbol"/>
              </w:rPr>
            </w:pPr>
            <w:r>
              <w:t>No</w:t>
            </w:r>
          </w:p>
        </w:tc>
        <w:tc>
          <w:tcPr>
            <w:tcW w:w="4315" w:type="dxa"/>
            <w:shd w:val="clear" w:color="auto" w:fill="auto"/>
            <w:vAlign w:val="center"/>
          </w:tcPr>
          <w:p w14:paraId="2F6DE67E" w14:textId="77777777" w:rsidR="00432FCC" w:rsidRDefault="00432FCC" w:rsidP="00432FCC">
            <w:pPr>
              <w:pStyle w:val="TableText"/>
            </w:pPr>
          </w:p>
        </w:tc>
      </w:tr>
      <w:tr w:rsidR="00432FCC" w14:paraId="3783B6D0" w14:textId="77777777">
        <w:tc>
          <w:tcPr>
            <w:tcW w:w="1330" w:type="dxa"/>
            <w:shd w:val="clear" w:color="auto" w:fill="auto"/>
            <w:vAlign w:val="center"/>
          </w:tcPr>
          <w:p w14:paraId="24376CB6" w14:textId="77777777" w:rsidR="00432FCC" w:rsidRDefault="00432FCC" w:rsidP="00432FCC">
            <w:pPr>
              <w:pStyle w:val="TableText"/>
              <w:rPr>
                <w:rFonts w:eastAsia="Symbol"/>
              </w:rPr>
            </w:pPr>
            <w:r>
              <w:t>Anti-Co(a)</w:t>
            </w:r>
          </w:p>
        </w:tc>
        <w:tc>
          <w:tcPr>
            <w:tcW w:w="1331" w:type="dxa"/>
            <w:shd w:val="clear" w:color="auto" w:fill="auto"/>
            <w:vAlign w:val="center"/>
          </w:tcPr>
          <w:p w14:paraId="7D5246D3" w14:textId="77777777" w:rsidR="00432FCC" w:rsidRDefault="00432FCC" w:rsidP="00432FCC">
            <w:pPr>
              <w:pStyle w:val="TableText"/>
              <w:rPr>
                <w:rFonts w:eastAsia="Symbol"/>
              </w:rPr>
            </w:pPr>
            <w:r>
              <w:t>None</w:t>
            </w:r>
          </w:p>
        </w:tc>
        <w:tc>
          <w:tcPr>
            <w:tcW w:w="1053" w:type="dxa"/>
            <w:shd w:val="clear" w:color="auto" w:fill="auto"/>
            <w:vAlign w:val="center"/>
          </w:tcPr>
          <w:p w14:paraId="5873FC25" w14:textId="77777777" w:rsidR="00432FCC" w:rsidRDefault="00432FCC" w:rsidP="00432FCC">
            <w:pPr>
              <w:pStyle w:val="TableText"/>
            </w:pPr>
            <w:r>
              <w:t>No</w:t>
            </w:r>
          </w:p>
        </w:tc>
        <w:tc>
          <w:tcPr>
            <w:tcW w:w="1331" w:type="dxa"/>
            <w:shd w:val="clear" w:color="auto" w:fill="auto"/>
            <w:vAlign w:val="center"/>
          </w:tcPr>
          <w:p w14:paraId="749CFC11" w14:textId="77777777" w:rsidR="00432FCC" w:rsidRDefault="00432FCC" w:rsidP="00432FCC">
            <w:pPr>
              <w:pStyle w:val="TableText"/>
              <w:rPr>
                <w:rFonts w:eastAsia="Symbol"/>
              </w:rPr>
            </w:pPr>
            <w:r>
              <w:t>No</w:t>
            </w:r>
          </w:p>
        </w:tc>
        <w:tc>
          <w:tcPr>
            <w:tcW w:w="4315" w:type="dxa"/>
            <w:shd w:val="clear" w:color="auto" w:fill="auto"/>
            <w:vAlign w:val="center"/>
          </w:tcPr>
          <w:p w14:paraId="457F1635" w14:textId="77777777" w:rsidR="00432FCC" w:rsidRDefault="00432FCC" w:rsidP="00432FCC">
            <w:pPr>
              <w:pStyle w:val="TableText"/>
            </w:pPr>
          </w:p>
        </w:tc>
      </w:tr>
      <w:tr w:rsidR="00432FCC" w14:paraId="74C605E6" w14:textId="77777777">
        <w:tc>
          <w:tcPr>
            <w:tcW w:w="1330" w:type="dxa"/>
            <w:shd w:val="clear" w:color="auto" w:fill="auto"/>
            <w:vAlign w:val="center"/>
          </w:tcPr>
          <w:p w14:paraId="53090EF2" w14:textId="77777777" w:rsidR="00432FCC" w:rsidRDefault="00432FCC" w:rsidP="00432FCC">
            <w:pPr>
              <w:pStyle w:val="TableText"/>
              <w:rPr>
                <w:rFonts w:eastAsia="Symbol"/>
              </w:rPr>
            </w:pPr>
            <w:r>
              <w:t>Anti-Co(b)</w:t>
            </w:r>
          </w:p>
        </w:tc>
        <w:tc>
          <w:tcPr>
            <w:tcW w:w="1331" w:type="dxa"/>
            <w:shd w:val="clear" w:color="auto" w:fill="auto"/>
            <w:vAlign w:val="center"/>
          </w:tcPr>
          <w:p w14:paraId="1D8F3B66" w14:textId="77777777" w:rsidR="00432FCC" w:rsidRDefault="00432FCC" w:rsidP="00432FCC">
            <w:pPr>
              <w:pStyle w:val="TableText"/>
              <w:rPr>
                <w:rFonts w:eastAsia="Symbol"/>
              </w:rPr>
            </w:pPr>
            <w:r>
              <w:t>None</w:t>
            </w:r>
          </w:p>
        </w:tc>
        <w:tc>
          <w:tcPr>
            <w:tcW w:w="1053" w:type="dxa"/>
            <w:shd w:val="clear" w:color="auto" w:fill="auto"/>
            <w:vAlign w:val="center"/>
          </w:tcPr>
          <w:p w14:paraId="1AE67799" w14:textId="77777777" w:rsidR="00432FCC" w:rsidRDefault="00432FCC" w:rsidP="00432FCC">
            <w:pPr>
              <w:pStyle w:val="TableText"/>
            </w:pPr>
            <w:r>
              <w:t>No</w:t>
            </w:r>
          </w:p>
        </w:tc>
        <w:tc>
          <w:tcPr>
            <w:tcW w:w="1331" w:type="dxa"/>
            <w:shd w:val="clear" w:color="auto" w:fill="auto"/>
            <w:vAlign w:val="center"/>
          </w:tcPr>
          <w:p w14:paraId="1686DD42" w14:textId="77777777" w:rsidR="00432FCC" w:rsidRDefault="00432FCC" w:rsidP="00432FCC">
            <w:pPr>
              <w:pStyle w:val="TableText"/>
              <w:rPr>
                <w:rFonts w:eastAsia="Symbol"/>
              </w:rPr>
            </w:pPr>
            <w:r>
              <w:t>No</w:t>
            </w:r>
          </w:p>
        </w:tc>
        <w:tc>
          <w:tcPr>
            <w:tcW w:w="4315" w:type="dxa"/>
            <w:shd w:val="clear" w:color="auto" w:fill="auto"/>
            <w:vAlign w:val="center"/>
          </w:tcPr>
          <w:p w14:paraId="4EE2FB0D" w14:textId="77777777" w:rsidR="00432FCC" w:rsidRDefault="00432FCC" w:rsidP="00432FCC">
            <w:pPr>
              <w:pStyle w:val="TableText"/>
            </w:pPr>
          </w:p>
        </w:tc>
      </w:tr>
      <w:tr w:rsidR="00432FCC" w14:paraId="3DD97EE7" w14:textId="77777777">
        <w:tc>
          <w:tcPr>
            <w:tcW w:w="1330" w:type="dxa"/>
            <w:shd w:val="clear" w:color="auto" w:fill="auto"/>
            <w:vAlign w:val="center"/>
          </w:tcPr>
          <w:p w14:paraId="6BDD4323" w14:textId="77777777" w:rsidR="00432FCC" w:rsidRDefault="00432FCC" w:rsidP="00432FCC">
            <w:pPr>
              <w:pStyle w:val="TableText"/>
              <w:rPr>
                <w:rFonts w:eastAsia="Symbol"/>
              </w:rPr>
            </w:pPr>
            <w:r>
              <w:t>Anti-LW(a)</w:t>
            </w:r>
          </w:p>
        </w:tc>
        <w:tc>
          <w:tcPr>
            <w:tcW w:w="1331" w:type="dxa"/>
            <w:shd w:val="clear" w:color="auto" w:fill="auto"/>
            <w:vAlign w:val="center"/>
          </w:tcPr>
          <w:p w14:paraId="226575DA" w14:textId="77777777" w:rsidR="00432FCC" w:rsidRDefault="00432FCC" w:rsidP="00432FCC">
            <w:pPr>
              <w:pStyle w:val="TableText"/>
            </w:pPr>
            <w:r>
              <w:t>None</w:t>
            </w:r>
          </w:p>
        </w:tc>
        <w:tc>
          <w:tcPr>
            <w:tcW w:w="1053" w:type="dxa"/>
            <w:shd w:val="clear" w:color="auto" w:fill="auto"/>
            <w:vAlign w:val="center"/>
          </w:tcPr>
          <w:p w14:paraId="2966E179" w14:textId="77777777" w:rsidR="00432FCC" w:rsidRDefault="00432FCC" w:rsidP="00432FCC">
            <w:pPr>
              <w:pStyle w:val="TableText"/>
            </w:pPr>
            <w:r>
              <w:t>No</w:t>
            </w:r>
          </w:p>
        </w:tc>
        <w:tc>
          <w:tcPr>
            <w:tcW w:w="1331" w:type="dxa"/>
            <w:shd w:val="clear" w:color="auto" w:fill="auto"/>
            <w:vAlign w:val="center"/>
          </w:tcPr>
          <w:p w14:paraId="6AE4980D" w14:textId="77777777" w:rsidR="00432FCC" w:rsidRDefault="00432FCC" w:rsidP="00432FCC">
            <w:pPr>
              <w:pStyle w:val="TableText"/>
              <w:rPr>
                <w:rFonts w:eastAsia="Symbol"/>
              </w:rPr>
            </w:pPr>
            <w:r>
              <w:t>No</w:t>
            </w:r>
          </w:p>
        </w:tc>
        <w:tc>
          <w:tcPr>
            <w:tcW w:w="4315" w:type="dxa"/>
            <w:shd w:val="clear" w:color="auto" w:fill="auto"/>
            <w:vAlign w:val="center"/>
          </w:tcPr>
          <w:p w14:paraId="5EAA144C" w14:textId="77777777" w:rsidR="00432FCC" w:rsidRDefault="00432FCC" w:rsidP="00432FCC">
            <w:pPr>
              <w:pStyle w:val="TableText"/>
            </w:pPr>
          </w:p>
        </w:tc>
      </w:tr>
      <w:tr w:rsidR="00432FCC" w14:paraId="7B3B9739" w14:textId="77777777">
        <w:tc>
          <w:tcPr>
            <w:tcW w:w="1330" w:type="dxa"/>
            <w:shd w:val="clear" w:color="auto" w:fill="auto"/>
            <w:vAlign w:val="center"/>
          </w:tcPr>
          <w:p w14:paraId="5BE62ED8" w14:textId="77777777" w:rsidR="00432FCC" w:rsidRDefault="00432FCC" w:rsidP="00432FCC">
            <w:pPr>
              <w:pStyle w:val="TableText"/>
              <w:rPr>
                <w:rFonts w:eastAsia="Symbol"/>
              </w:rPr>
            </w:pPr>
            <w:r>
              <w:t>Anti-LW(b)</w:t>
            </w:r>
          </w:p>
        </w:tc>
        <w:tc>
          <w:tcPr>
            <w:tcW w:w="1331" w:type="dxa"/>
            <w:shd w:val="clear" w:color="auto" w:fill="auto"/>
            <w:vAlign w:val="center"/>
          </w:tcPr>
          <w:p w14:paraId="28A006E3" w14:textId="77777777" w:rsidR="00432FCC" w:rsidRDefault="00432FCC" w:rsidP="00432FCC">
            <w:pPr>
              <w:pStyle w:val="TableText"/>
            </w:pPr>
            <w:r>
              <w:t>None</w:t>
            </w:r>
          </w:p>
        </w:tc>
        <w:tc>
          <w:tcPr>
            <w:tcW w:w="1053" w:type="dxa"/>
            <w:shd w:val="clear" w:color="auto" w:fill="auto"/>
            <w:vAlign w:val="center"/>
          </w:tcPr>
          <w:p w14:paraId="1E34F3F4" w14:textId="77777777" w:rsidR="00432FCC" w:rsidRDefault="00432FCC" w:rsidP="00432FCC">
            <w:pPr>
              <w:pStyle w:val="TableText"/>
            </w:pPr>
            <w:r>
              <w:t>No</w:t>
            </w:r>
          </w:p>
        </w:tc>
        <w:tc>
          <w:tcPr>
            <w:tcW w:w="1331" w:type="dxa"/>
            <w:shd w:val="clear" w:color="auto" w:fill="auto"/>
            <w:vAlign w:val="center"/>
          </w:tcPr>
          <w:p w14:paraId="707FA809" w14:textId="77777777" w:rsidR="00432FCC" w:rsidRDefault="00432FCC" w:rsidP="00432FCC">
            <w:pPr>
              <w:pStyle w:val="TableText"/>
              <w:rPr>
                <w:rFonts w:eastAsia="Symbol"/>
              </w:rPr>
            </w:pPr>
            <w:r>
              <w:t>No</w:t>
            </w:r>
          </w:p>
        </w:tc>
        <w:tc>
          <w:tcPr>
            <w:tcW w:w="4315" w:type="dxa"/>
            <w:shd w:val="clear" w:color="auto" w:fill="auto"/>
            <w:vAlign w:val="center"/>
          </w:tcPr>
          <w:p w14:paraId="6C5E5DA6" w14:textId="77777777" w:rsidR="00432FCC" w:rsidRDefault="00432FCC" w:rsidP="00432FCC">
            <w:pPr>
              <w:pStyle w:val="TableText"/>
            </w:pPr>
          </w:p>
        </w:tc>
      </w:tr>
      <w:tr w:rsidR="00432FCC" w14:paraId="562D0A79" w14:textId="77777777">
        <w:tc>
          <w:tcPr>
            <w:tcW w:w="1330" w:type="dxa"/>
            <w:shd w:val="clear" w:color="auto" w:fill="auto"/>
            <w:vAlign w:val="center"/>
          </w:tcPr>
          <w:p w14:paraId="38255188" w14:textId="77777777" w:rsidR="00432FCC" w:rsidRDefault="00432FCC" w:rsidP="00432FCC">
            <w:pPr>
              <w:pStyle w:val="TableText"/>
              <w:rPr>
                <w:rFonts w:eastAsia="Symbol"/>
              </w:rPr>
            </w:pPr>
            <w:r>
              <w:t>Anti-Sc1</w:t>
            </w:r>
          </w:p>
        </w:tc>
        <w:tc>
          <w:tcPr>
            <w:tcW w:w="1331" w:type="dxa"/>
            <w:shd w:val="clear" w:color="auto" w:fill="auto"/>
            <w:vAlign w:val="center"/>
          </w:tcPr>
          <w:p w14:paraId="0AB59092" w14:textId="77777777" w:rsidR="00432FCC" w:rsidRDefault="00432FCC" w:rsidP="00432FCC">
            <w:pPr>
              <w:pStyle w:val="TableText"/>
              <w:rPr>
                <w:rFonts w:eastAsia="Symbol"/>
              </w:rPr>
            </w:pPr>
            <w:r>
              <w:t>None</w:t>
            </w:r>
          </w:p>
        </w:tc>
        <w:tc>
          <w:tcPr>
            <w:tcW w:w="1053" w:type="dxa"/>
            <w:shd w:val="clear" w:color="auto" w:fill="auto"/>
            <w:vAlign w:val="center"/>
          </w:tcPr>
          <w:p w14:paraId="7277F36C" w14:textId="77777777" w:rsidR="00432FCC" w:rsidRDefault="00432FCC" w:rsidP="00432FCC">
            <w:pPr>
              <w:pStyle w:val="TableText"/>
            </w:pPr>
            <w:r>
              <w:t>No</w:t>
            </w:r>
          </w:p>
        </w:tc>
        <w:tc>
          <w:tcPr>
            <w:tcW w:w="1331" w:type="dxa"/>
            <w:shd w:val="clear" w:color="auto" w:fill="auto"/>
            <w:vAlign w:val="center"/>
          </w:tcPr>
          <w:p w14:paraId="7EC273E3" w14:textId="77777777" w:rsidR="00432FCC" w:rsidRDefault="00432FCC" w:rsidP="00432FCC">
            <w:pPr>
              <w:pStyle w:val="TableText"/>
              <w:rPr>
                <w:rFonts w:eastAsia="Symbol"/>
              </w:rPr>
            </w:pPr>
            <w:r>
              <w:t>No</w:t>
            </w:r>
          </w:p>
        </w:tc>
        <w:tc>
          <w:tcPr>
            <w:tcW w:w="4315" w:type="dxa"/>
            <w:shd w:val="clear" w:color="auto" w:fill="auto"/>
            <w:vAlign w:val="center"/>
          </w:tcPr>
          <w:p w14:paraId="04E4BCD6" w14:textId="77777777" w:rsidR="00432FCC" w:rsidRDefault="00432FCC" w:rsidP="00432FCC">
            <w:pPr>
              <w:pStyle w:val="TableText"/>
              <w:rPr>
                <w:rFonts w:eastAsia="Symbol"/>
              </w:rPr>
            </w:pPr>
          </w:p>
        </w:tc>
      </w:tr>
      <w:tr w:rsidR="00432FCC" w14:paraId="5D907C98" w14:textId="77777777">
        <w:tc>
          <w:tcPr>
            <w:tcW w:w="1330" w:type="dxa"/>
            <w:shd w:val="clear" w:color="auto" w:fill="auto"/>
            <w:vAlign w:val="center"/>
          </w:tcPr>
          <w:p w14:paraId="18F7AEA8" w14:textId="77777777" w:rsidR="00432FCC" w:rsidRDefault="00432FCC" w:rsidP="00432FCC">
            <w:pPr>
              <w:pStyle w:val="TableText"/>
              <w:rPr>
                <w:rFonts w:eastAsia="Symbol"/>
              </w:rPr>
            </w:pPr>
            <w:r>
              <w:t>Anti-Sc2</w:t>
            </w:r>
          </w:p>
        </w:tc>
        <w:tc>
          <w:tcPr>
            <w:tcW w:w="1331" w:type="dxa"/>
            <w:shd w:val="clear" w:color="auto" w:fill="auto"/>
            <w:vAlign w:val="center"/>
          </w:tcPr>
          <w:p w14:paraId="70F42FAE" w14:textId="77777777" w:rsidR="00432FCC" w:rsidRDefault="00432FCC" w:rsidP="00432FCC">
            <w:pPr>
              <w:pStyle w:val="TableText"/>
              <w:rPr>
                <w:rFonts w:eastAsia="Symbol"/>
              </w:rPr>
            </w:pPr>
            <w:r>
              <w:t>None</w:t>
            </w:r>
          </w:p>
        </w:tc>
        <w:tc>
          <w:tcPr>
            <w:tcW w:w="1053" w:type="dxa"/>
            <w:shd w:val="clear" w:color="auto" w:fill="auto"/>
            <w:vAlign w:val="center"/>
          </w:tcPr>
          <w:p w14:paraId="62D61F71" w14:textId="77777777" w:rsidR="00432FCC" w:rsidRDefault="00432FCC" w:rsidP="00432FCC">
            <w:pPr>
              <w:pStyle w:val="TableText"/>
            </w:pPr>
            <w:r>
              <w:t>No</w:t>
            </w:r>
          </w:p>
        </w:tc>
        <w:tc>
          <w:tcPr>
            <w:tcW w:w="1331" w:type="dxa"/>
            <w:shd w:val="clear" w:color="auto" w:fill="auto"/>
            <w:vAlign w:val="center"/>
          </w:tcPr>
          <w:p w14:paraId="4B812E5B" w14:textId="77777777" w:rsidR="00432FCC" w:rsidRDefault="00432FCC" w:rsidP="00432FCC">
            <w:pPr>
              <w:pStyle w:val="TableText"/>
              <w:rPr>
                <w:rFonts w:eastAsia="Symbol"/>
              </w:rPr>
            </w:pPr>
            <w:r>
              <w:t>No</w:t>
            </w:r>
          </w:p>
        </w:tc>
        <w:tc>
          <w:tcPr>
            <w:tcW w:w="4315" w:type="dxa"/>
            <w:shd w:val="clear" w:color="auto" w:fill="auto"/>
            <w:vAlign w:val="center"/>
          </w:tcPr>
          <w:p w14:paraId="35DC4003" w14:textId="77777777" w:rsidR="00432FCC" w:rsidRDefault="00432FCC" w:rsidP="00432FCC">
            <w:pPr>
              <w:pStyle w:val="TableText"/>
              <w:rPr>
                <w:rFonts w:eastAsia="Symbol"/>
              </w:rPr>
            </w:pPr>
          </w:p>
        </w:tc>
      </w:tr>
      <w:tr w:rsidR="00432FCC" w14:paraId="516C89D1" w14:textId="77777777">
        <w:tc>
          <w:tcPr>
            <w:tcW w:w="1330" w:type="dxa"/>
            <w:shd w:val="clear" w:color="auto" w:fill="auto"/>
            <w:vAlign w:val="center"/>
          </w:tcPr>
          <w:p w14:paraId="0B08B454" w14:textId="77777777" w:rsidR="00432FCC" w:rsidRDefault="00432FCC" w:rsidP="00432FCC">
            <w:pPr>
              <w:pStyle w:val="TableText"/>
              <w:rPr>
                <w:rFonts w:eastAsia="Symbol"/>
              </w:rPr>
            </w:pPr>
            <w:r>
              <w:t>Anti-Sd(a)</w:t>
            </w:r>
          </w:p>
        </w:tc>
        <w:tc>
          <w:tcPr>
            <w:tcW w:w="1331" w:type="dxa"/>
            <w:shd w:val="clear" w:color="auto" w:fill="auto"/>
            <w:vAlign w:val="center"/>
          </w:tcPr>
          <w:p w14:paraId="67FABD93" w14:textId="77777777" w:rsidR="00432FCC" w:rsidRDefault="00432FCC" w:rsidP="00432FCC">
            <w:pPr>
              <w:pStyle w:val="TableText"/>
              <w:rPr>
                <w:rFonts w:eastAsia="Symbol"/>
              </w:rPr>
            </w:pPr>
            <w:r>
              <w:t>None</w:t>
            </w:r>
          </w:p>
        </w:tc>
        <w:tc>
          <w:tcPr>
            <w:tcW w:w="1053" w:type="dxa"/>
            <w:shd w:val="clear" w:color="auto" w:fill="auto"/>
            <w:vAlign w:val="center"/>
          </w:tcPr>
          <w:p w14:paraId="1947A00C" w14:textId="77777777" w:rsidR="00432FCC" w:rsidRDefault="00432FCC" w:rsidP="00432FCC">
            <w:pPr>
              <w:pStyle w:val="TableText"/>
            </w:pPr>
            <w:r>
              <w:t>No</w:t>
            </w:r>
          </w:p>
        </w:tc>
        <w:tc>
          <w:tcPr>
            <w:tcW w:w="1331" w:type="dxa"/>
            <w:shd w:val="clear" w:color="auto" w:fill="auto"/>
            <w:vAlign w:val="center"/>
          </w:tcPr>
          <w:p w14:paraId="6BD3B88F" w14:textId="77777777" w:rsidR="00432FCC" w:rsidRDefault="00432FCC" w:rsidP="00432FCC">
            <w:pPr>
              <w:pStyle w:val="TableText"/>
              <w:rPr>
                <w:rFonts w:eastAsia="Symbol"/>
              </w:rPr>
            </w:pPr>
            <w:r>
              <w:t>No</w:t>
            </w:r>
          </w:p>
        </w:tc>
        <w:tc>
          <w:tcPr>
            <w:tcW w:w="4315" w:type="dxa"/>
            <w:shd w:val="clear" w:color="auto" w:fill="auto"/>
            <w:vAlign w:val="center"/>
          </w:tcPr>
          <w:p w14:paraId="345C3BBD" w14:textId="77777777" w:rsidR="00432FCC" w:rsidRDefault="00432FCC" w:rsidP="00432FCC">
            <w:pPr>
              <w:pStyle w:val="TableText"/>
              <w:rPr>
                <w:rFonts w:eastAsia="Symbol"/>
              </w:rPr>
            </w:pPr>
          </w:p>
        </w:tc>
      </w:tr>
      <w:tr w:rsidR="00432FCC" w14:paraId="3025134C" w14:textId="77777777">
        <w:tc>
          <w:tcPr>
            <w:tcW w:w="1330" w:type="dxa"/>
            <w:shd w:val="clear" w:color="auto" w:fill="auto"/>
            <w:vAlign w:val="center"/>
          </w:tcPr>
          <w:p w14:paraId="4BEFEDB1" w14:textId="77777777" w:rsidR="00432FCC" w:rsidRDefault="00432FCC" w:rsidP="00432FCC">
            <w:pPr>
              <w:pStyle w:val="TableText"/>
              <w:rPr>
                <w:rFonts w:eastAsia="Symbol"/>
              </w:rPr>
            </w:pPr>
            <w:r>
              <w:t>Anti-Au(a)</w:t>
            </w:r>
          </w:p>
        </w:tc>
        <w:tc>
          <w:tcPr>
            <w:tcW w:w="1331" w:type="dxa"/>
            <w:shd w:val="clear" w:color="auto" w:fill="auto"/>
            <w:vAlign w:val="center"/>
          </w:tcPr>
          <w:p w14:paraId="4E7E862D" w14:textId="77777777" w:rsidR="00432FCC" w:rsidRDefault="00432FCC" w:rsidP="00432FCC">
            <w:pPr>
              <w:pStyle w:val="TableText"/>
              <w:rPr>
                <w:rFonts w:eastAsia="Symbol"/>
              </w:rPr>
            </w:pPr>
            <w:r>
              <w:t>Anti-Au(a)</w:t>
            </w:r>
          </w:p>
        </w:tc>
        <w:tc>
          <w:tcPr>
            <w:tcW w:w="1053" w:type="dxa"/>
            <w:shd w:val="clear" w:color="auto" w:fill="auto"/>
            <w:vAlign w:val="center"/>
          </w:tcPr>
          <w:p w14:paraId="66EE553F" w14:textId="77777777" w:rsidR="00432FCC" w:rsidRDefault="00432FCC" w:rsidP="00432FCC">
            <w:pPr>
              <w:pStyle w:val="TableText"/>
            </w:pPr>
            <w:r>
              <w:t>No</w:t>
            </w:r>
          </w:p>
        </w:tc>
        <w:tc>
          <w:tcPr>
            <w:tcW w:w="1331" w:type="dxa"/>
            <w:shd w:val="clear" w:color="auto" w:fill="auto"/>
            <w:vAlign w:val="center"/>
          </w:tcPr>
          <w:p w14:paraId="6049371D" w14:textId="77777777" w:rsidR="00432FCC" w:rsidRDefault="00432FCC" w:rsidP="00432FCC">
            <w:pPr>
              <w:pStyle w:val="TableText"/>
              <w:rPr>
                <w:rFonts w:eastAsia="Symbol"/>
              </w:rPr>
            </w:pPr>
            <w:r>
              <w:t>No</w:t>
            </w:r>
          </w:p>
        </w:tc>
        <w:tc>
          <w:tcPr>
            <w:tcW w:w="4315" w:type="dxa"/>
            <w:shd w:val="clear" w:color="auto" w:fill="auto"/>
            <w:vAlign w:val="center"/>
          </w:tcPr>
          <w:p w14:paraId="73D43C95" w14:textId="77777777" w:rsidR="00432FCC" w:rsidRDefault="00432FCC" w:rsidP="00432FCC">
            <w:pPr>
              <w:pStyle w:val="TableText"/>
            </w:pPr>
          </w:p>
        </w:tc>
      </w:tr>
      <w:tr w:rsidR="00432FCC" w14:paraId="322CE894" w14:textId="77777777">
        <w:tc>
          <w:tcPr>
            <w:tcW w:w="1330" w:type="dxa"/>
            <w:shd w:val="clear" w:color="auto" w:fill="auto"/>
            <w:vAlign w:val="center"/>
          </w:tcPr>
          <w:p w14:paraId="19620522" w14:textId="77777777" w:rsidR="00432FCC" w:rsidRDefault="00432FCC" w:rsidP="00432FCC">
            <w:pPr>
              <w:pStyle w:val="TableText"/>
            </w:pPr>
            <w:r>
              <w:t>Anti-Au(b)</w:t>
            </w:r>
          </w:p>
        </w:tc>
        <w:tc>
          <w:tcPr>
            <w:tcW w:w="1331" w:type="dxa"/>
            <w:shd w:val="clear" w:color="auto" w:fill="auto"/>
            <w:vAlign w:val="center"/>
          </w:tcPr>
          <w:p w14:paraId="606B9781" w14:textId="77777777" w:rsidR="00432FCC" w:rsidRDefault="00432FCC" w:rsidP="00432FCC">
            <w:pPr>
              <w:pStyle w:val="TableText"/>
              <w:rPr>
                <w:rFonts w:eastAsia="Symbol"/>
              </w:rPr>
            </w:pPr>
            <w:r>
              <w:t>None</w:t>
            </w:r>
          </w:p>
        </w:tc>
        <w:tc>
          <w:tcPr>
            <w:tcW w:w="1053" w:type="dxa"/>
            <w:shd w:val="clear" w:color="auto" w:fill="auto"/>
            <w:vAlign w:val="center"/>
          </w:tcPr>
          <w:p w14:paraId="1AA02BDF" w14:textId="77777777" w:rsidR="00432FCC" w:rsidRDefault="00432FCC" w:rsidP="00432FCC">
            <w:pPr>
              <w:pStyle w:val="TableText"/>
            </w:pPr>
            <w:r>
              <w:t>No</w:t>
            </w:r>
          </w:p>
        </w:tc>
        <w:tc>
          <w:tcPr>
            <w:tcW w:w="1331" w:type="dxa"/>
            <w:shd w:val="clear" w:color="auto" w:fill="auto"/>
            <w:vAlign w:val="center"/>
          </w:tcPr>
          <w:p w14:paraId="0DBFD518" w14:textId="77777777" w:rsidR="00432FCC" w:rsidRDefault="00432FCC" w:rsidP="00432FCC">
            <w:pPr>
              <w:pStyle w:val="TableText"/>
            </w:pPr>
            <w:r>
              <w:t>No</w:t>
            </w:r>
          </w:p>
        </w:tc>
        <w:tc>
          <w:tcPr>
            <w:tcW w:w="4315" w:type="dxa"/>
            <w:shd w:val="clear" w:color="auto" w:fill="auto"/>
            <w:vAlign w:val="center"/>
          </w:tcPr>
          <w:p w14:paraId="135EAD59" w14:textId="77777777" w:rsidR="00432FCC" w:rsidRDefault="00432FCC" w:rsidP="00432FCC">
            <w:pPr>
              <w:pStyle w:val="TableText"/>
            </w:pPr>
          </w:p>
        </w:tc>
      </w:tr>
      <w:tr w:rsidR="00432FCC" w14:paraId="5FDECAC2" w14:textId="77777777">
        <w:tc>
          <w:tcPr>
            <w:tcW w:w="1330" w:type="dxa"/>
            <w:shd w:val="clear" w:color="auto" w:fill="auto"/>
            <w:vAlign w:val="center"/>
          </w:tcPr>
          <w:p w14:paraId="7FE346E9" w14:textId="77777777" w:rsidR="00432FCC" w:rsidRDefault="00432FCC" w:rsidP="00432FCC">
            <w:pPr>
              <w:pStyle w:val="TableText"/>
              <w:rPr>
                <w:rFonts w:eastAsia="Symbol"/>
              </w:rPr>
            </w:pPr>
            <w:r>
              <w:t>Anti-Ch</w:t>
            </w:r>
          </w:p>
        </w:tc>
        <w:tc>
          <w:tcPr>
            <w:tcW w:w="1331" w:type="dxa"/>
            <w:shd w:val="clear" w:color="auto" w:fill="auto"/>
            <w:vAlign w:val="center"/>
          </w:tcPr>
          <w:p w14:paraId="4D244DFB" w14:textId="77777777" w:rsidR="00432FCC" w:rsidRDefault="00432FCC" w:rsidP="00432FCC">
            <w:pPr>
              <w:pStyle w:val="TableText"/>
              <w:rPr>
                <w:rFonts w:eastAsia="Symbol"/>
              </w:rPr>
            </w:pPr>
            <w:r>
              <w:t>None</w:t>
            </w:r>
          </w:p>
        </w:tc>
        <w:tc>
          <w:tcPr>
            <w:tcW w:w="1053" w:type="dxa"/>
            <w:shd w:val="clear" w:color="auto" w:fill="auto"/>
            <w:vAlign w:val="center"/>
          </w:tcPr>
          <w:p w14:paraId="04D08169" w14:textId="77777777" w:rsidR="00432FCC" w:rsidRDefault="00432FCC" w:rsidP="00432FCC">
            <w:pPr>
              <w:pStyle w:val="TableText"/>
            </w:pPr>
            <w:r>
              <w:t>No</w:t>
            </w:r>
          </w:p>
        </w:tc>
        <w:tc>
          <w:tcPr>
            <w:tcW w:w="1331" w:type="dxa"/>
            <w:shd w:val="clear" w:color="auto" w:fill="auto"/>
            <w:vAlign w:val="center"/>
          </w:tcPr>
          <w:p w14:paraId="4E0149D9" w14:textId="77777777" w:rsidR="00432FCC" w:rsidRDefault="00432FCC" w:rsidP="00432FCC">
            <w:pPr>
              <w:pStyle w:val="TableText"/>
              <w:rPr>
                <w:rFonts w:eastAsia="Symbol"/>
              </w:rPr>
            </w:pPr>
            <w:r>
              <w:t>No</w:t>
            </w:r>
          </w:p>
        </w:tc>
        <w:tc>
          <w:tcPr>
            <w:tcW w:w="4315" w:type="dxa"/>
            <w:shd w:val="clear" w:color="auto" w:fill="auto"/>
            <w:vAlign w:val="center"/>
          </w:tcPr>
          <w:p w14:paraId="227AE639" w14:textId="77777777" w:rsidR="00432FCC" w:rsidRDefault="00432FCC" w:rsidP="00432FCC">
            <w:pPr>
              <w:pStyle w:val="TableText"/>
            </w:pPr>
          </w:p>
        </w:tc>
      </w:tr>
      <w:tr w:rsidR="00432FCC" w14:paraId="1394641F" w14:textId="77777777">
        <w:tc>
          <w:tcPr>
            <w:tcW w:w="1330" w:type="dxa"/>
            <w:shd w:val="clear" w:color="auto" w:fill="auto"/>
            <w:vAlign w:val="center"/>
          </w:tcPr>
          <w:p w14:paraId="01155B35" w14:textId="77777777" w:rsidR="00432FCC" w:rsidRDefault="00432FCC" w:rsidP="00432FCC">
            <w:pPr>
              <w:pStyle w:val="TableText"/>
              <w:rPr>
                <w:rFonts w:eastAsia="Symbol"/>
              </w:rPr>
            </w:pPr>
            <w:r>
              <w:t>Anti-Rg</w:t>
            </w:r>
          </w:p>
        </w:tc>
        <w:tc>
          <w:tcPr>
            <w:tcW w:w="1331" w:type="dxa"/>
            <w:shd w:val="clear" w:color="auto" w:fill="auto"/>
            <w:vAlign w:val="center"/>
          </w:tcPr>
          <w:p w14:paraId="2B58B4DB" w14:textId="77777777" w:rsidR="00432FCC" w:rsidRDefault="00432FCC" w:rsidP="00432FCC">
            <w:pPr>
              <w:pStyle w:val="TableText"/>
              <w:rPr>
                <w:rFonts w:eastAsia="Symbol"/>
              </w:rPr>
            </w:pPr>
            <w:r>
              <w:t>None</w:t>
            </w:r>
          </w:p>
        </w:tc>
        <w:tc>
          <w:tcPr>
            <w:tcW w:w="1053" w:type="dxa"/>
            <w:shd w:val="clear" w:color="auto" w:fill="auto"/>
            <w:vAlign w:val="center"/>
          </w:tcPr>
          <w:p w14:paraId="051EFCAC" w14:textId="77777777" w:rsidR="00432FCC" w:rsidRDefault="00432FCC" w:rsidP="00432FCC">
            <w:pPr>
              <w:pStyle w:val="TableText"/>
            </w:pPr>
            <w:r>
              <w:t>No</w:t>
            </w:r>
          </w:p>
        </w:tc>
        <w:tc>
          <w:tcPr>
            <w:tcW w:w="1331" w:type="dxa"/>
            <w:shd w:val="clear" w:color="auto" w:fill="auto"/>
            <w:vAlign w:val="center"/>
          </w:tcPr>
          <w:p w14:paraId="10CFF990" w14:textId="77777777" w:rsidR="00432FCC" w:rsidRDefault="00432FCC" w:rsidP="00432FCC">
            <w:pPr>
              <w:pStyle w:val="TableText"/>
              <w:rPr>
                <w:rFonts w:eastAsia="Symbol"/>
              </w:rPr>
            </w:pPr>
            <w:r>
              <w:t>No</w:t>
            </w:r>
          </w:p>
        </w:tc>
        <w:tc>
          <w:tcPr>
            <w:tcW w:w="4315" w:type="dxa"/>
            <w:shd w:val="clear" w:color="auto" w:fill="auto"/>
            <w:vAlign w:val="center"/>
          </w:tcPr>
          <w:p w14:paraId="15A5C572" w14:textId="77777777" w:rsidR="00432FCC" w:rsidRDefault="00432FCC" w:rsidP="00432FCC">
            <w:pPr>
              <w:pStyle w:val="TableText"/>
            </w:pPr>
          </w:p>
        </w:tc>
      </w:tr>
      <w:tr w:rsidR="00432FCC" w14:paraId="60B75C7E" w14:textId="77777777">
        <w:tc>
          <w:tcPr>
            <w:tcW w:w="1330" w:type="dxa"/>
            <w:shd w:val="clear" w:color="auto" w:fill="auto"/>
            <w:vAlign w:val="center"/>
          </w:tcPr>
          <w:p w14:paraId="3ED1AFD9" w14:textId="77777777" w:rsidR="00432FCC" w:rsidRDefault="00432FCC" w:rsidP="00432FCC">
            <w:pPr>
              <w:pStyle w:val="TableText"/>
              <w:rPr>
                <w:rFonts w:eastAsia="Symbol"/>
              </w:rPr>
            </w:pPr>
            <w:r>
              <w:t>Anti-Cs(a)</w:t>
            </w:r>
          </w:p>
        </w:tc>
        <w:tc>
          <w:tcPr>
            <w:tcW w:w="1331" w:type="dxa"/>
            <w:shd w:val="clear" w:color="auto" w:fill="auto"/>
            <w:vAlign w:val="center"/>
          </w:tcPr>
          <w:p w14:paraId="0D53EAF8" w14:textId="77777777" w:rsidR="00432FCC" w:rsidRDefault="00432FCC" w:rsidP="00432FCC">
            <w:pPr>
              <w:pStyle w:val="TableText"/>
              <w:rPr>
                <w:rFonts w:eastAsia="Symbol"/>
              </w:rPr>
            </w:pPr>
            <w:r>
              <w:t>None</w:t>
            </w:r>
          </w:p>
        </w:tc>
        <w:tc>
          <w:tcPr>
            <w:tcW w:w="1053" w:type="dxa"/>
            <w:shd w:val="clear" w:color="auto" w:fill="auto"/>
            <w:vAlign w:val="center"/>
          </w:tcPr>
          <w:p w14:paraId="6769E0B1" w14:textId="77777777" w:rsidR="00432FCC" w:rsidRDefault="00432FCC" w:rsidP="00432FCC">
            <w:pPr>
              <w:pStyle w:val="TableText"/>
            </w:pPr>
            <w:r>
              <w:t>No</w:t>
            </w:r>
          </w:p>
        </w:tc>
        <w:tc>
          <w:tcPr>
            <w:tcW w:w="1331" w:type="dxa"/>
            <w:shd w:val="clear" w:color="auto" w:fill="auto"/>
            <w:vAlign w:val="center"/>
          </w:tcPr>
          <w:p w14:paraId="63DDD3C5" w14:textId="77777777" w:rsidR="00432FCC" w:rsidRDefault="00432FCC" w:rsidP="00432FCC">
            <w:pPr>
              <w:pStyle w:val="TableText"/>
              <w:rPr>
                <w:rFonts w:eastAsia="Symbol"/>
              </w:rPr>
            </w:pPr>
            <w:r>
              <w:t>No</w:t>
            </w:r>
          </w:p>
        </w:tc>
        <w:tc>
          <w:tcPr>
            <w:tcW w:w="4315" w:type="dxa"/>
            <w:shd w:val="clear" w:color="auto" w:fill="auto"/>
            <w:vAlign w:val="center"/>
          </w:tcPr>
          <w:p w14:paraId="501214DE" w14:textId="77777777" w:rsidR="00432FCC" w:rsidRDefault="00432FCC" w:rsidP="00432FCC">
            <w:pPr>
              <w:pStyle w:val="TableText"/>
            </w:pPr>
          </w:p>
        </w:tc>
      </w:tr>
      <w:tr w:rsidR="00432FCC" w14:paraId="71827A4C" w14:textId="77777777">
        <w:tc>
          <w:tcPr>
            <w:tcW w:w="1330" w:type="dxa"/>
            <w:shd w:val="clear" w:color="auto" w:fill="auto"/>
            <w:vAlign w:val="center"/>
          </w:tcPr>
          <w:p w14:paraId="7564316D" w14:textId="77777777" w:rsidR="00432FCC" w:rsidRDefault="00432FCC" w:rsidP="00432FCC">
            <w:pPr>
              <w:pStyle w:val="TableText"/>
              <w:rPr>
                <w:rFonts w:eastAsia="Symbol"/>
              </w:rPr>
            </w:pPr>
            <w:r>
              <w:t>Anti-Yk(a)</w:t>
            </w:r>
          </w:p>
        </w:tc>
        <w:tc>
          <w:tcPr>
            <w:tcW w:w="1331" w:type="dxa"/>
            <w:shd w:val="clear" w:color="auto" w:fill="auto"/>
            <w:vAlign w:val="center"/>
          </w:tcPr>
          <w:p w14:paraId="1FC912C5" w14:textId="77777777" w:rsidR="00432FCC" w:rsidRDefault="00432FCC" w:rsidP="00432FCC">
            <w:pPr>
              <w:pStyle w:val="TableText"/>
              <w:rPr>
                <w:rFonts w:eastAsia="Symbol"/>
              </w:rPr>
            </w:pPr>
            <w:r>
              <w:t>None</w:t>
            </w:r>
          </w:p>
        </w:tc>
        <w:tc>
          <w:tcPr>
            <w:tcW w:w="1053" w:type="dxa"/>
            <w:shd w:val="clear" w:color="auto" w:fill="auto"/>
            <w:vAlign w:val="center"/>
          </w:tcPr>
          <w:p w14:paraId="7FE1BFE4" w14:textId="77777777" w:rsidR="00432FCC" w:rsidRDefault="00432FCC" w:rsidP="00432FCC">
            <w:pPr>
              <w:pStyle w:val="TableText"/>
            </w:pPr>
            <w:r>
              <w:t>No</w:t>
            </w:r>
          </w:p>
        </w:tc>
        <w:tc>
          <w:tcPr>
            <w:tcW w:w="1331" w:type="dxa"/>
            <w:shd w:val="clear" w:color="auto" w:fill="auto"/>
            <w:vAlign w:val="center"/>
          </w:tcPr>
          <w:p w14:paraId="128B941A" w14:textId="77777777" w:rsidR="00432FCC" w:rsidRDefault="00432FCC" w:rsidP="00432FCC">
            <w:pPr>
              <w:pStyle w:val="TableText"/>
              <w:rPr>
                <w:rFonts w:eastAsia="Symbol"/>
              </w:rPr>
            </w:pPr>
            <w:r>
              <w:t>No</w:t>
            </w:r>
          </w:p>
        </w:tc>
        <w:tc>
          <w:tcPr>
            <w:tcW w:w="4315" w:type="dxa"/>
            <w:shd w:val="clear" w:color="auto" w:fill="auto"/>
            <w:vAlign w:val="center"/>
          </w:tcPr>
          <w:p w14:paraId="0FBD701B" w14:textId="77777777" w:rsidR="00432FCC" w:rsidRDefault="00432FCC" w:rsidP="00432FCC">
            <w:pPr>
              <w:pStyle w:val="TableText"/>
            </w:pPr>
          </w:p>
        </w:tc>
      </w:tr>
      <w:tr w:rsidR="00432FCC" w14:paraId="6C764451" w14:textId="77777777">
        <w:tc>
          <w:tcPr>
            <w:tcW w:w="1330" w:type="dxa"/>
            <w:shd w:val="clear" w:color="auto" w:fill="auto"/>
            <w:vAlign w:val="center"/>
          </w:tcPr>
          <w:p w14:paraId="359AA22E" w14:textId="77777777" w:rsidR="00432FCC" w:rsidRDefault="00432FCC" w:rsidP="00432FCC">
            <w:pPr>
              <w:pStyle w:val="TableText"/>
              <w:rPr>
                <w:rFonts w:eastAsia="Symbol"/>
              </w:rPr>
            </w:pPr>
            <w:r>
              <w:t>Anti-Kn(a)</w:t>
            </w:r>
          </w:p>
        </w:tc>
        <w:tc>
          <w:tcPr>
            <w:tcW w:w="1331" w:type="dxa"/>
            <w:shd w:val="clear" w:color="auto" w:fill="auto"/>
            <w:vAlign w:val="center"/>
          </w:tcPr>
          <w:p w14:paraId="084CA032" w14:textId="77777777" w:rsidR="00432FCC" w:rsidRDefault="00432FCC" w:rsidP="00432FCC">
            <w:pPr>
              <w:pStyle w:val="TableText"/>
              <w:rPr>
                <w:rFonts w:eastAsia="Symbol"/>
              </w:rPr>
            </w:pPr>
            <w:r>
              <w:t>None</w:t>
            </w:r>
          </w:p>
        </w:tc>
        <w:tc>
          <w:tcPr>
            <w:tcW w:w="1053" w:type="dxa"/>
            <w:shd w:val="clear" w:color="auto" w:fill="auto"/>
            <w:vAlign w:val="center"/>
          </w:tcPr>
          <w:p w14:paraId="7EAA5DB3" w14:textId="77777777" w:rsidR="00432FCC" w:rsidRDefault="00432FCC" w:rsidP="00432FCC">
            <w:pPr>
              <w:pStyle w:val="TableText"/>
            </w:pPr>
            <w:r>
              <w:t>No</w:t>
            </w:r>
          </w:p>
        </w:tc>
        <w:tc>
          <w:tcPr>
            <w:tcW w:w="1331" w:type="dxa"/>
            <w:shd w:val="clear" w:color="auto" w:fill="auto"/>
            <w:vAlign w:val="center"/>
          </w:tcPr>
          <w:p w14:paraId="68D99D6D" w14:textId="77777777" w:rsidR="00432FCC" w:rsidRDefault="00432FCC" w:rsidP="00432FCC">
            <w:pPr>
              <w:pStyle w:val="TableText"/>
              <w:rPr>
                <w:rFonts w:eastAsia="Symbol"/>
              </w:rPr>
            </w:pPr>
            <w:r>
              <w:t>No</w:t>
            </w:r>
          </w:p>
        </w:tc>
        <w:tc>
          <w:tcPr>
            <w:tcW w:w="4315" w:type="dxa"/>
            <w:shd w:val="clear" w:color="auto" w:fill="auto"/>
            <w:vAlign w:val="center"/>
          </w:tcPr>
          <w:p w14:paraId="7F79531C" w14:textId="77777777" w:rsidR="00432FCC" w:rsidRDefault="00432FCC" w:rsidP="00432FCC">
            <w:pPr>
              <w:pStyle w:val="TableText"/>
            </w:pPr>
          </w:p>
        </w:tc>
      </w:tr>
      <w:tr w:rsidR="00432FCC" w14:paraId="58863466" w14:textId="77777777">
        <w:tc>
          <w:tcPr>
            <w:tcW w:w="1330" w:type="dxa"/>
            <w:shd w:val="clear" w:color="auto" w:fill="auto"/>
            <w:vAlign w:val="center"/>
          </w:tcPr>
          <w:p w14:paraId="1027CE0A" w14:textId="77777777" w:rsidR="00432FCC" w:rsidRDefault="00432FCC" w:rsidP="00432FCC">
            <w:pPr>
              <w:pStyle w:val="TableText"/>
              <w:rPr>
                <w:rFonts w:eastAsia="Symbol"/>
              </w:rPr>
            </w:pPr>
            <w:r>
              <w:t>Anti-McC(a)</w:t>
            </w:r>
          </w:p>
        </w:tc>
        <w:tc>
          <w:tcPr>
            <w:tcW w:w="1331" w:type="dxa"/>
            <w:shd w:val="clear" w:color="auto" w:fill="auto"/>
            <w:vAlign w:val="center"/>
          </w:tcPr>
          <w:p w14:paraId="62181DC9" w14:textId="77777777" w:rsidR="00432FCC" w:rsidRDefault="00432FCC" w:rsidP="00432FCC">
            <w:pPr>
              <w:pStyle w:val="TableText"/>
            </w:pPr>
            <w:r>
              <w:t>None</w:t>
            </w:r>
          </w:p>
        </w:tc>
        <w:tc>
          <w:tcPr>
            <w:tcW w:w="1053" w:type="dxa"/>
            <w:shd w:val="clear" w:color="auto" w:fill="auto"/>
            <w:vAlign w:val="center"/>
          </w:tcPr>
          <w:p w14:paraId="523BA526" w14:textId="77777777" w:rsidR="00432FCC" w:rsidRDefault="00432FCC" w:rsidP="00432FCC">
            <w:pPr>
              <w:pStyle w:val="TableText"/>
            </w:pPr>
            <w:r>
              <w:t>No</w:t>
            </w:r>
          </w:p>
        </w:tc>
        <w:tc>
          <w:tcPr>
            <w:tcW w:w="1331" w:type="dxa"/>
            <w:shd w:val="clear" w:color="auto" w:fill="auto"/>
            <w:vAlign w:val="center"/>
          </w:tcPr>
          <w:p w14:paraId="553B89AE" w14:textId="77777777" w:rsidR="00432FCC" w:rsidRDefault="00432FCC" w:rsidP="00432FCC">
            <w:pPr>
              <w:pStyle w:val="TableText"/>
              <w:rPr>
                <w:rFonts w:eastAsia="Symbol"/>
              </w:rPr>
            </w:pPr>
            <w:r>
              <w:t>No</w:t>
            </w:r>
          </w:p>
        </w:tc>
        <w:tc>
          <w:tcPr>
            <w:tcW w:w="4315" w:type="dxa"/>
            <w:shd w:val="clear" w:color="auto" w:fill="auto"/>
            <w:vAlign w:val="center"/>
          </w:tcPr>
          <w:p w14:paraId="681DC11C" w14:textId="77777777" w:rsidR="00432FCC" w:rsidRDefault="00432FCC" w:rsidP="00432FCC">
            <w:pPr>
              <w:pStyle w:val="TableText"/>
            </w:pPr>
          </w:p>
        </w:tc>
      </w:tr>
      <w:tr w:rsidR="00432FCC" w14:paraId="19209105" w14:textId="77777777">
        <w:tc>
          <w:tcPr>
            <w:tcW w:w="1330" w:type="dxa"/>
            <w:shd w:val="clear" w:color="auto" w:fill="auto"/>
            <w:vAlign w:val="center"/>
          </w:tcPr>
          <w:p w14:paraId="2F95161B" w14:textId="77777777" w:rsidR="00432FCC" w:rsidRDefault="00432FCC" w:rsidP="00432FCC">
            <w:pPr>
              <w:pStyle w:val="TableText"/>
              <w:rPr>
                <w:rFonts w:eastAsia="Symbol"/>
              </w:rPr>
            </w:pPr>
            <w:r>
              <w:t>Anti-JMH</w:t>
            </w:r>
          </w:p>
        </w:tc>
        <w:tc>
          <w:tcPr>
            <w:tcW w:w="1331" w:type="dxa"/>
            <w:shd w:val="clear" w:color="auto" w:fill="auto"/>
            <w:vAlign w:val="center"/>
          </w:tcPr>
          <w:p w14:paraId="057DD69D" w14:textId="77777777" w:rsidR="00432FCC" w:rsidRDefault="00432FCC" w:rsidP="00432FCC">
            <w:pPr>
              <w:pStyle w:val="TableText"/>
            </w:pPr>
            <w:r>
              <w:t>None</w:t>
            </w:r>
          </w:p>
        </w:tc>
        <w:tc>
          <w:tcPr>
            <w:tcW w:w="1053" w:type="dxa"/>
            <w:shd w:val="clear" w:color="auto" w:fill="auto"/>
            <w:vAlign w:val="center"/>
          </w:tcPr>
          <w:p w14:paraId="479EFF7B" w14:textId="77777777" w:rsidR="00432FCC" w:rsidRDefault="00432FCC" w:rsidP="00432FCC">
            <w:pPr>
              <w:pStyle w:val="TableText"/>
            </w:pPr>
            <w:r>
              <w:t>No</w:t>
            </w:r>
          </w:p>
        </w:tc>
        <w:tc>
          <w:tcPr>
            <w:tcW w:w="1331" w:type="dxa"/>
            <w:shd w:val="clear" w:color="auto" w:fill="auto"/>
            <w:vAlign w:val="center"/>
          </w:tcPr>
          <w:p w14:paraId="39BBDF3C" w14:textId="77777777" w:rsidR="00432FCC" w:rsidRDefault="00432FCC" w:rsidP="00432FCC">
            <w:pPr>
              <w:pStyle w:val="TableText"/>
              <w:rPr>
                <w:rFonts w:eastAsia="Symbol"/>
              </w:rPr>
            </w:pPr>
            <w:r>
              <w:t>No</w:t>
            </w:r>
          </w:p>
        </w:tc>
        <w:tc>
          <w:tcPr>
            <w:tcW w:w="4315" w:type="dxa"/>
            <w:shd w:val="clear" w:color="auto" w:fill="auto"/>
            <w:vAlign w:val="center"/>
          </w:tcPr>
          <w:p w14:paraId="776FDA8F" w14:textId="77777777" w:rsidR="00432FCC" w:rsidRDefault="00432FCC" w:rsidP="00432FCC">
            <w:pPr>
              <w:pStyle w:val="TableText"/>
            </w:pPr>
          </w:p>
        </w:tc>
      </w:tr>
      <w:tr w:rsidR="00432FCC" w14:paraId="1471BF81" w14:textId="77777777">
        <w:tc>
          <w:tcPr>
            <w:tcW w:w="1330" w:type="dxa"/>
            <w:shd w:val="clear" w:color="auto" w:fill="auto"/>
            <w:vAlign w:val="center"/>
          </w:tcPr>
          <w:p w14:paraId="1168240B" w14:textId="77777777" w:rsidR="00432FCC" w:rsidRDefault="00432FCC" w:rsidP="00432FCC">
            <w:pPr>
              <w:pStyle w:val="TableText"/>
              <w:rPr>
                <w:rFonts w:eastAsia="Symbol"/>
              </w:rPr>
            </w:pPr>
            <w:r>
              <w:t>Anti-Yt(a)</w:t>
            </w:r>
          </w:p>
        </w:tc>
        <w:tc>
          <w:tcPr>
            <w:tcW w:w="1331" w:type="dxa"/>
            <w:shd w:val="clear" w:color="auto" w:fill="auto"/>
            <w:vAlign w:val="center"/>
          </w:tcPr>
          <w:p w14:paraId="633B6873" w14:textId="77777777" w:rsidR="00432FCC" w:rsidRDefault="00432FCC" w:rsidP="00432FCC">
            <w:pPr>
              <w:pStyle w:val="TableText"/>
              <w:rPr>
                <w:rFonts w:eastAsia="Symbol"/>
              </w:rPr>
            </w:pPr>
            <w:r>
              <w:t>None</w:t>
            </w:r>
          </w:p>
        </w:tc>
        <w:tc>
          <w:tcPr>
            <w:tcW w:w="1053" w:type="dxa"/>
            <w:shd w:val="clear" w:color="auto" w:fill="auto"/>
            <w:vAlign w:val="center"/>
          </w:tcPr>
          <w:p w14:paraId="7922F54A" w14:textId="77777777" w:rsidR="00432FCC" w:rsidRDefault="00432FCC" w:rsidP="00432FCC">
            <w:pPr>
              <w:pStyle w:val="TableText"/>
            </w:pPr>
            <w:r>
              <w:t>No</w:t>
            </w:r>
          </w:p>
        </w:tc>
        <w:tc>
          <w:tcPr>
            <w:tcW w:w="1331" w:type="dxa"/>
            <w:shd w:val="clear" w:color="auto" w:fill="auto"/>
            <w:vAlign w:val="center"/>
          </w:tcPr>
          <w:p w14:paraId="4D291F34" w14:textId="77777777" w:rsidR="00432FCC" w:rsidRDefault="00432FCC" w:rsidP="00432FCC">
            <w:pPr>
              <w:pStyle w:val="TableText"/>
              <w:rPr>
                <w:rFonts w:eastAsia="Symbol"/>
              </w:rPr>
            </w:pPr>
            <w:r>
              <w:t>No</w:t>
            </w:r>
          </w:p>
        </w:tc>
        <w:tc>
          <w:tcPr>
            <w:tcW w:w="4315" w:type="dxa"/>
            <w:shd w:val="clear" w:color="auto" w:fill="auto"/>
            <w:vAlign w:val="center"/>
          </w:tcPr>
          <w:p w14:paraId="3D9EE987" w14:textId="77777777" w:rsidR="00432FCC" w:rsidRDefault="00432FCC" w:rsidP="00432FCC">
            <w:pPr>
              <w:pStyle w:val="TableText"/>
              <w:rPr>
                <w:rFonts w:eastAsia="Symbol"/>
              </w:rPr>
            </w:pPr>
          </w:p>
        </w:tc>
      </w:tr>
      <w:tr w:rsidR="00432FCC" w14:paraId="4B741AE6" w14:textId="77777777">
        <w:tc>
          <w:tcPr>
            <w:tcW w:w="1330" w:type="dxa"/>
            <w:shd w:val="clear" w:color="auto" w:fill="auto"/>
            <w:vAlign w:val="center"/>
          </w:tcPr>
          <w:p w14:paraId="6ACC7B12" w14:textId="77777777" w:rsidR="00432FCC" w:rsidRDefault="00432FCC" w:rsidP="00432FCC">
            <w:pPr>
              <w:pStyle w:val="TableText"/>
              <w:rPr>
                <w:rFonts w:eastAsia="Symbol"/>
              </w:rPr>
            </w:pPr>
            <w:r>
              <w:t>Anti-Yt(b)</w:t>
            </w:r>
          </w:p>
        </w:tc>
        <w:tc>
          <w:tcPr>
            <w:tcW w:w="1331" w:type="dxa"/>
            <w:shd w:val="clear" w:color="auto" w:fill="auto"/>
            <w:vAlign w:val="center"/>
          </w:tcPr>
          <w:p w14:paraId="419A5F1E" w14:textId="77777777" w:rsidR="00432FCC" w:rsidRDefault="00432FCC" w:rsidP="00432FCC">
            <w:pPr>
              <w:pStyle w:val="TableText"/>
              <w:rPr>
                <w:rFonts w:eastAsia="Symbol"/>
              </w:rPr>
            </w:pPr>
            <w:r>
              <w:t>None</w:t>
            </w:r>
          </w:p>
        </w:tc>
        <w:tc>
          <w:tcPr>
            <w:tcW w:w="1053" w:type="dxa"/>
            <w:shd w:val="clear" w:color="auto" w:fill="auto"/>
            <w:vAlign w:val="center"/>
          </w:tcPr>
          <w:p w14:paraId="5A3FEC38" w14:textId="77777777" w:rsidR="00432FCC" w:rsidRDefault="00432FCC" w:rsidP="00432FCC">
            <w:pPr>
              <w:pStyle w:val="TableText"/>
            </w:pPr>
            <w:r>
              <w:t>No</w:t>
            </w:r>
          </w:p>
        </w:tc>
        <w:tc>
          <w:tcPr>
            <w:tcW w:w="1331" w:type="dxa"/>
            <w:shd w:val="clear" w:color="auto" w:fill="auto"/>
            <w:vAlign w:val="center"/>
          </w:tcPr>
          <w:p w14:paraId="615616E1" w14:textId="77777777" w:rsidR="00432FCC" w:rsidRDefault="00432FCC" w:rsidP="00432FCC">
            <w:pPr>
              <w:pStyle w:val="TableText"/>
              <w:rPr>
                <w:rFonts w:eastAsia="Symbol"/>
              </w:rPr>
            </w:pPr>
            <w:r>
              <w:t>No</w:t>
            </w:r>
          </w:p>
        </w:tc>
        <w:tc>
          <w:tcPr>
            <w:tcW w:w="4315" w:type="dxa"/>
            <w:shd w:val="clear" w:color="auto" w:fill="auto"/>
            <w:vAlign w:val="center"/>
          </w:tcPr>
          <w:p w14:paraId="3EB89D37" w14:textId="77777777" w:rsidR="00432FCC" w:rsidRDefault="00432FCC" w:rsidP="00432FCC">
            <w:pPr>
              <w:pStyle w:val="TableText"/>
              <w:rPr>
                <w:rFonts w:eastAsia="Symbol"/>
              </w:rPr>
            </w:pPr>
          </w:p>
        </w:tc>
      </w:tr>
    </w:tbl>
    <w:p w14:paraId="4038D42E" w14:textId="77777777" w:rsidR="002E3C00" w:rsidRDefault="002E3C00" w:rsidP="002E3C00">
      <w:pPr>
        <w:pStyle w:val="Heading4"/>
        <w:rPr>
          <w:b w:val="0"/>
        </w:rPr>
      </w:pPr>
      <w:r>
        <w:t>User Roles with Access to This Option</w:t>
      </w:r>
      <w:r>
        <w:rPr>
          <w:b w:val="0"/>
        </w:rPr>
        <w:t xml:space="preserve"> </w:t>
      </w:r>
    </w:p>
    <w:p w14:paraId="5F30AE65"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Enhanced Supervisor</w:t>
      </w:r>
    </w:p>
    <w:p w14:paraId="699F2FAE" w14:textId="77777777" w:rsidR="002E3C00" w:rsidRDefault="00B74754" w:rsidP="002E3C00">
      <w:pPr>
        <w:pStyle w:val="Heading4"/>
      </w:pPr>
      <w:r>
        <w:t>Preparation for Testing</w:t>
      </w:r>
    </w:p>
    <w:p w14:paraId="1AF521FF" w14:textId="77777777" w:rsidR="002E3C00" w:rsidRPr="00600497" w:rsidRDefault="002E3C00" w:rsidP="00925CAD">
      <w:pPr>
        <w:pStyle w:val="ListNumber"/>
        <w:numPr>
          <w:ilvl w:val="0"/>
          <w:numId w:val="27"/>
        </w:numPr>
        <w:tabs>
          <w:tab w:val="clear" w:pos="720"/>
          <w:tab w:val="num" w:pos="360"/>
        </w:tabs>
        <w:ind w:left="360"/>
      </w:pPr>
      <w:r w:rsidRPr="00600497">
        <w:t>Change the antigen negative requirement setting on those currently not invoked. Change the percent compatible for your donor population.</w:t>
      </w:r>
    </w:p>
    <w:p w14:paraId="4925E9CF" w14:textId="77777777" w:rsidR="00232E43" w:rsidRPr="00FB7F8D" w:rsidRDefault="00232E43" w:rsidP="00925CAD">
      <w:pPr>
        <w:pStyle w:val="ListNumber"/>
        <w:numPr>
          <w:ilvl w:val="0"/>
          <w:numId w:val="27"/>
        </w:numPr>
        <w:tabs>
          <w:tab w:val="clear" w:pos="720"/>
          <w:tab w:val="num" w:pos="360"/>
        </w:tabs>
        <w:ind w:left="360"/>
      </w:pPr>
      <w:r w:rsidRPr="00600497">
        <w:t>P</w:t>
      </w:r>
      <w:r w:rsidRPr="00FB7F8D">
        <w:t>rint</w:t>
      </w:r>
      <w:r>
        <w:t>, sign, date,</w:t>
      </w:r>
      <w:r w:rsidRPr="00FB7F8D">
        <w:t xml:space="preserve"> and save an </w:t>
      </w:r>
      <w:r>
        <w:t>A</w:t>
      </w:r>
      <w:r w:rsidRPr="00FB7F8D">
        <w:t xml:space="preserve">udit </w:t>
      </w:r>
      <w:r>
        <w:t>Trail R</w:t>
      </w:r>
      <w:r w:rsidRPr="00FB7F8D">
        <w:t>eport for your validation record.</w:t>
      </w:r>
    </w:p>
    <w:p w14:paraId="4E87908D" w14:textId="77777777" w:rsidR="002E3C00" w:rsidRDefault="002E3C00" w:rsidP="002E3C00">
      <w:pPr>
        <w:pStyle w:val="Heading3"/>
      </w:pPr>
      <w:bookmarkStart w:id="744" w:name="_Toc85895798"/>
      <w:bookmarkStart w:id="745" w:name="_Toc113264256"/>
      <w:bookmarkStart w:id="746" w:name="_Toc114462111"/>
      <w:bookmarkStart w:id="747" w:name="_Toc149064248"/>
      <w:r>
        <w:t>Update User Roles</w:t>
      </w:r>
      <w:bookmarkEnd w:id="744"/>
      <w:bookmarkEnd w:id="745"/>
      <w:bookmarkEnd w:id="746"/>
      <w:bookmarkEnd w:id="747"/>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Update User Roles</w:instrText>
      </w:r>
      <w:r w:rsidR="00992E88">
        <w:instrText xml:space="preserve">" </w:instrText>
      </w:r>
      <w:r w:rsidR="00992E88">
        <w:fldChar w:fldCharType="end"/>
      </w:r>
    </w:p>
    <w:p w14:paraId="41C14FB5" w14:textId="79280600" w:rsidR="002E3C00" w:rsidRDefault="002E3C00" w:rsidP="002E3C00">
      <w:pPr>
        <w:pStyle w:val="BodyText"/>
      </w:pPr>
      <w:r>
        <w:t>The user reviews and changes the user roles and associated security levels that determine which options and functions are available to a user in the division.</w:t>
      </w:r>
      <w:r w:rsidR="0056674A">
        <w:t xml:space="preserve"> For additional information, see </w:t>
      </w:r>
      <w:r w:rsidR="00EE455E">
        <w:t xml:space="preserve">Appendix </w:t>
      </w:r>
      <w:r w:rsidR="00EE455E">
        <w:rPr>
          <w:noProof/>
        </w:rPr>
        <w:t>G</w:t>
      </w:r>
      <w:r w:rsidR="00EE455E">
        <w:t>: Work Process Flowcharts</w:t>
      </w:r>
      <w:r w:rsidR="0056674A">
        <w:t>.</w:t>
      </w:r>
    </w:p>
    <w:p w14:paraId="301BAE78" w14:textId="77777777" w:rsidR="002E3C00" w:rsidRDefault="002E3C00" w:rsidP="002E3C00">
      <w:pPr>
        <w:pStyle w:val="Heading4"/>
        <w:rPr>
          <w:b w:val="0"/>
        </w:rPr>
      </w:pPr>
      <w:r>
        <w:t>User Roles with Access to This Option</w:t>
      </w:r>
      <w:r>
        <w:rPr>
          <w:b w:val="0"/>
        </w:rPr>
        <w:t xml:space="preserve"> </w:t>
      </w:r>
    </w:p>
    <w:p w14:paraId="3100F1A9" w14:textId="77777777" w:rsidR="002E3C00" w:rsidRDefault="002E3C00" w:rsidP="002E3C00">
      <w:pPr>
        <w:pStyle w:val="Roles"/>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Administrator/Supervisor (change user roles)</w:t>
      </w:r>
    </w:p>
    <w:p w14:paraId="0C439F7D" w14:textId="77777777" w:rsidR="002E3C00" w:rsidRDefault="002E3C00" w:rsidP="002E3C00">
      <w:pPr>
        <w:pStyle w:val="Roles"/>
        <w:rPr>
          <w:snapToGrid w:val="0"/>
        </w:rPr>
      </w:pPr>
      <w:r w:rsidRPr="00EC7489">
        <w:rPr>
          <w:rFonts w:ascii="Wingdings 3" w:hAnsi="Wingdings 3" w:cs="Wingdings"/>
        </w:rPr>
        <w:t></w:t>
      </w:r>
      <w:r w:rsidRPr="00EC7489">
        <w:rPr>
          <w:rFonts w:ascii="Wingdings 3" w:hAnsi="Wingdings 3" w:cs="Wingdings"/>
        </w:rPr>
        <w:t></w:t>
      </w:r>
      <w:r w:rsidRPr="00EC7489">
        <w:rPr>
          <w:rFonts w:ascii="Wingdings 3" w:hAnsi="Wingdings 3" w:cs="Wingdings"/>
        </w:rPr>
        <w:t></w:t>
      </w:r>
      <w:r>
        <w:t xml:space="preserve"> </w:t>
      </w:r>
      <w:r>
        <w:rPr>
          <w:snapToGrid w:val="0"/>
        </w:rPr>
        <w:t>Lead Technologist (view user roles)</w:t>
      </w:r>
    </w:p>
    <w:p w14:paraId="194A2FA4" w14:textId="77777777" w:rsidR="002E3C00" w:rsidRDefault="00B74754" w:rsidP="002E3C00">
      <w:pPr>
        <w:pStyle w:val="Heading4"/>
      </w:pPr>
      <w:r>
        <w:t>Preparation for Testing</w:t>
      </w:r>
    </w:p>
    <w:p w14:paraId="4E126704" w14:textId="77777777" w:rsidR="002E3C00" w:rsidRPr="00600497" w:rsidRDefault="002E3C00" w:rsidP="00925CAD">
      <w:pPr>
        <w:pStyle w:val="ListNumber"/>
        <w:numPr>
          <w:ilvl w:val="0"/>
          <w:numId w:val="28"/>
        </w:numPr>
        <w:tabs>
          <w:tab w:val="clear" w:pos="720"/>
          <w:tab w:val="num" w:pos="360"/>
        </w:tabs>
        <w:ind w:left="360"/>
      </w:pPr>
      <w:r>
        <w:t xml:space="preserve">It is </w:t>
      </w:r>
      <w:r w:rsidRPr="00600497">
        <w:t xml:space="preserve">recommended to assign one Lead Technologist on each shift to respond to system overrides. </w:t>
      </w:r>
    </w:p>
    <w:p w14:paraId="3306E663" w14:textId="77777777" w:rsidR="00DD41F5" w:rsidRPr="00FB7F8D" w:rsidRDefault="00DD41F5" w:rsidP="00925CAD">
      <w:pPr>
        <w:pStyle w:val="ListNumber"/>
        <w:numPr>
          <w:ilvl w:val="0"/>
          <w:numId w:val="28"/>
        </w:numPr>
        <w:tabs>
          <w:tab w:val="clear" w:pos="720"/>
          <w:tab w:val="num" w:pos="360"/>
        </w:tabs>
        <w:ind w:left="360"/>
      </w:pPr>
      <w:r w:rsidRPr="00600497">
        <w:t>Prin</w:t>
      </w:r>
      <w:r w:rsidRPr="00FB7F8D">
        <w:t>t</w:t>
      </w:r>
      <w:r>
        <w:t>, sign, date,</w:t>
      </w:r>
      <w:r w:rsidRPr="00FB7F8D">
        <w:t xml:space="preserve"> and save an </w:t>
      </w:r>
      <w:r>
        <w:t>A</w:t>
      </w:r>
      <w:r w:rsidRPr="00FB7F8D">
        <w:t xml:space="preserve">udit </w:t>
      </w:r>
      <w:r>
        <w:t>Trail R</w:t>
      </w:r>
      <w:r w:rsidRPr="00FB7F8D">
        <w:t>eport for your validation record.</w:t>
      </w:r>
    </w:p>
    <w:p w14:paraId="2AC126F4" w14:textId="77777777" w:rsidR="002E3C00" w:rsidRDefault="002E3C00" w:rsidP="00A57833">
      <w:pPr>
        <w:pStyle w:val="Heading3"/>
        <w:rPr>
          <w:snapToGrid w:val="0"/>
        </w:rPr>
      </w:pPr>
      <w:bookmarkStart w:id="748" w:name="_Toc114462112"/>
      <w:bookmarkStart w:id="749" w:name="_Toc149064249"/>
      <w:r>
        <w:rPr>
          <w:snapToGrid w:val="0"/>
        </w:rPr>
        <w:t>Testing</w:t>
      </w:r>
      <w:bookmarkEnd w:id="748"/>
      <w:bookmarkEnd w:id="749"/>
      <w:r w:rsidR="00992E88">
        <w:rPr>
          <w:snapToGrid w:val="0"/>
        </w:rPr>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rPr>
          <w:snapToGrid w:val="0"/>
        </w:rPr>
        <w:instrText>Testing</w:instrText>
      </w:r>
      <w:r w:rsidR="00992E88">
        <w:instrText xml:space="preserve">" </w:instrText>
      </w:r>
      <w:r w:rsidR="00992E88">
        <w:rPr>
          <w:snapToGrid w:val="0"/>
        </w:rPr>
        <w:fldChar w:fldCharType="end"/>
      </w:r>
    </w:p>
    <w:p w14:paraId="4F0020F4" w14:textId="77777777" w:rsidR="002E3C00" w:rsidRDefault="002E3C00" w:rsidP="002E3C00">
      <w:pPr>
        <w:pStyle w:val="BodyText"/>
        <w:rPr>
          <w:szCs w:val="15"/>
        </w:rPr>
      </w:pPr>
      <w:r>
        <w:rPr>
          <w:szCs w:val="15"/>
        </w:rPr>
        <w:t>Sample test scripts will be provided during the implementation of VBECS. Each site</w:t>
      </w:r>
      <w:r w:rsidRPr="00695B8D">
        <w:rPr>
          <w:szCs w:val="15"/>
        </w:rPr>
        <w:t xml:space="preserve"> </w:t>
      </w:r>
      <w:r>
        <w:rPr>
          <w:szCs w:val="15"/>
        </w:rPr>
        <w:t>must</w:t>
      </w:r>
      <w:r w:rsidRPr="00695B8D">
        <w:rPr>
          <w:szCs w:val="15"/>
        </w:rPr>
        <w:t xml:space="preserve"> evaluate </w:t>
      </w:r>
      <w:r>
        <w:rPr>
          <w:szCs w:val="15"/>
        </w:rPr>
        <w:t>the intended uses of the software</w:t>
      </w:r>
      <w:r w:rsidRPr="00695B8D">
        <w:rPr>
          <w:szCs w:val="15"/>
        </w:rPr>
        <w:t xml:space="preserve"> and make appropriate changes (additions</w:t>
      </w:r>
      <w:r>
        <w:rPr>
          <w:szCs w:val="15"/>
        </w:rPr>
        <w:t xml:space="preserve"> or deletions) to the</w:t>
      </w:r>
      <w:r w:rsidRPr="00695B8D">
        <w:rPr>
          <w:szCs w:val="15"/>
        </w:rPr>
        <w:t xml:space="preserve"> facility’s procedures</w:t>
      </w:r>
      <w:r>
        <w:rPr>
          <w:szCs w:val="15"/>
        </w:rPr>
        <w:t xml:space="preserve">, </w:t>
      </w:r>
      <w:r w:rsidRPr="00695B8D">
        <w:rPr>
          <w:szCs w:val="15"/>
        </w:rPr>
        <w:t>processes</w:t>
      </w:r>
      <w:r>
        <w:rPr>
          <w:szCs w:val="15"/>
        </w:rPr>
        <w:t>, policies, and test scripts</w:t>
      </w:r>
      <w:r w:rsidRPr="00695B8D">
        <w:rPr>
          <w:szCs w:val="15"/>
        </w:rPr>
        <w:t>.</w:t>
      </w:r>
      <w:r>
        <w:rPr>
          <w:szCs w:val="15"/>
        </w:rPr>
        <w:t xml:space="preserve"> </w:t>
      </w:r>
    </w:p>
    <w:p w14:paraId="52FD00F7" w14:textId="77777777" w:rsidR="002E3C00" w:rsidRDefault="002E3C00" w:rsidP="002E3C00">
      <w:pPr>
        <w:pStyle w:val="Caution"/>
        <w:rPr>
          <w:szCs w:val="15"/>
        </w:rPr>
      </w:pPr>
      <w:r w:rsidRPr="00695B8D">
        <w:rPr>
          <w:szCs w:val="15"/>
        </w:rPr>
        <w:t>You are required to validate your process</w:t>
      </w:r>
      <w:r>
        <w:rPr>
          <w:szCs w:val="15"/>
        </w:rPr>
        <w:t xml:space="preserve"> and how you use the software. You must also validate</w:t>
      </w:r>
      <w:r w:rsidRPr="00695B8D">
        <w:rPr>
          <w:szCs w:val="15"/>
        </w:rPr>
        <w:t xml:space="preserve"> the software </w:t>
      </w:r>
      <w:r>
        <w:rPr>
          <w:szCs w:val="15"/>
        </w:rPr>
        <w:t>itself</w:t>
      </w:r>
      <w:r w:rsidRPr="00695B8D">
        <w:rPr>
          <w:szCs w:val="15"/>
        </w:rPr>
        <w:t>.</w:t>
      </w:r>
      <w:r>
        <w:rPr>
          <w:szCs w:val="15"/>
        </w:rPr>
        <w:t xml:space="preserve"> </w:t>
      </w:r>
      <w:r>
        <w:t>Training users is an integral part of the validation process.</w:t>
      </w:r>
    </w:p>
    <w:p w14:paraId="4F1AD2C7" w14:textId="77777777" w:rsidR="002E3C00" w:rsidRDefault="00200B6D" w:rsidP="00A57833">
      <w:pPr>
        <w:pStyle w:val="Heading3"/>
      </w:pPr>
      <w:bookmarkStart w:id="750" w:name="_Toc85895801"/>
      <w:bookmarkStart w:id="751" w:name="_Toc113264257"/>
      <w:bookmarkStart w:id="752" w:name="_Toc114462113"/>
      <w:r>
        <w:br w:type="page"/>
      </w:r>
      <w:bookmarkStart w:id="753" w:name="_Toc149064250"/>
      <w:r w:rsidR="002E3C00">
        <w:t xml:space="preserve">VBECS </w:t>
      </w:r>
      <w:r w:rsidR="00297B5F">
        <w:t xml:space="preserve">Forms and </w:t>
      </w:r>
      <w:r w:rsidR="002E3C00">
        <w:t>Reports</w:t>
      </w:r>
      <w:bookmarkEnd w:id="750"/>
      <w:bookmarkEnd w:id="751"/>
      <w:bookmarkEnd w:id="752"/>
      <w:bookmarkEnd w:id="753"/>
      <w:r w:rsidR="00992E88">
        <w:fldChar w:fldCharType="begin"/>
      </w:r>
      <w:r w:rsidR="00992E88">
        <w:instrText xml:space="preserve"> XE "</w:instrText>
      </w:r>
      <w:r w:rsidR="00992E88" w:rsidRPr="00992E88">
        <w:instrText xml:space="preserve"> </w:instrText>
      </w:r>
      <w:r w:rsidR="00992E88" w:rsidRPr="00FC6AF9">
        <w:instrText>System Validation:</w:instrText>
      </w:r>
      <w:r w:rsidR="00992E88" w:rsidRPr="00B0596E">
        <w:instrText>VBECS Forms and Reports</w:instrText>
      </w:r>
      <w:r w:rsidR="00992E88">
        <w:instrText xml:space="preserve">" </w:instrText>
      </w:r>
      <w:r w:rsidR="00992E88">
        <w:fldChar w:fldCharType="end"/>
      </w:r>
    </w:p>
    <w:p w14:paraId="53150E55" w14:textId="48BAC9C9" w:rsidR="00297B5F" w:rsidRDefault="002E3C00" w:rsidP="002E3C00">
      <w:pPr>
        <w:pStyle w:val="BodyText"/>
        <w:sectPr w:rsidR="00297B5F" w:rsidSect="00EE771C">
          <w:headerReference w:type="even" r:id="rId222"/>
          <w:pgSz w:w="12240" w:h="15840" w:code="1"/>
          <w:pgMar w:top="1440" w:right="1440" w:bottom="1440" w:left="1440" w:header="720" w:footer="720" w:gutter="0"/>
          <w:cols w:space="720"/>
          <w:docGrid w:linePitch="360"/>
        </w:sectPr>
      </w:pPr>
      <w:r>
        <w:t xml:space="preserve">Print </w:t>
      </w:r>
      <w:r w:rsidR="00AE3F2C">
        <w:t xml:space="preserve">and review these </w:t>
      </w:r>
      <w:r>
        <w:t xml:space="preserve">reports </w:t>
      </w:r>
      <w:r w:rsidR="00AE3F2C">
        <w:t>and forms at the end of</w:t>
      </w:r>
      <w:r>
        <w:t xml:space="preserve"> validation testing. </w:t>
      </w:r>
      <w:bookmarkStart w:id="754" w:name="Check1"/>
      <w:r w:rsidR="001D57AF">
        <w:t xml:space="preserve"> (See FAQ Documenting</w:t>
      </w:r>
      <w:r w:rsidR="00A04AD4">
        <w:t xml:space="preserve"> Unhandled Exceptions)</w:t>
      </w:r>
    </w:p>
    <w:p w14:paraId="69D3BE4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bookmarkEnd w:id="754"/>
      <w:r>
        <w:rPr>
          <w:snapToGrid w:val="0"/>
        </w:rPr>
        <w:t xml:space="preserve"> Administrative Data </w:t>
      </w:r>
    </w:p>
    <w:p w14:paraId="7B36824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Audit Trail </w:t>
      </w:r>
    </w:p>
    <w:p w14:paraId="752FCBC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Blood Availability </w:t>
      </w:r>
    </w:p>
    <w:p w14:paraId="45A8AAB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Cost Accounting </w:t>
      </w:r>
    </w:p>
    <w:p w14:paraId="72AA153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w:t>
      </w:r>
      <w:r>
        <w:t xml:space="preserve">C:T Ratio </w:t>
      </w:r>
    </w:p>
    <w:p w14:paraId="01FC6D39"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Division Transfusion </w:t>
      </w:r>
    </w:p>
    <w:p w14:paraId="4BF6C49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Division Workload </w:t>
      </w:r>
    </w:p>
    <w:p w14:paraId="54E117D2"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Exception </w:t>
      </w:r>
    </w:p>
    <w:p w14:paraId="5A5BB5E5"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Finalize/Print TRW</w:t>
      </w:r>
    </w:p>
    <w:p w14:paraId="0B5DED88"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Inappropriate Transfusion Request </w:t>
      </w:r>
    </w:p>
    <w:p w14:paraId="2D6E3DFE"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Issued/Returned </w:t>
      </w:r>
    </w:p>
    <w:p w14:paraId="794D0CF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Maintain Equipment (Print)</w:t>
      </w:r>
    </w:p>
    <w:p w14:paraId="1BF75BD0"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Order History </w:t>
      </w:r>
    </w:p>
    <w:p w14:paraId="7B8A0C9B" w14:textId="77777777" w:rsidR="00200B6D" w:rsidRDefault="00200B6D" w:rsidP="00200B6D">
      <w:pPr>
        <w:pStyle w:val="BodyText"/>
        <w:rPr>
          <w:snapToGrid w:val="0"/>
        </w:rPr>
      </w:pPr>
      <w:r>
        <w:rPr>
          <w:snapToGrid w:val="0"/>
        </w:rPr>
        <w:br w:type="column"/>
      </w: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Patient History </w:t>
      </w:r>
    </w:p>
    <w:p w14:paraId="7A129289" w14:textId="77777777" w:rsidR="002E3C00" w:rsidRDefault="002E3C00" w:rsidP="002E3C00">
      <w:pPr>
        <w:pStyle w:val="BodyText"/>
        <w:rPr>
          <w:snapToGrid w:val="0"/>
          <w:color w:val="00000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Print Unit Caution Tag &amp; Transfusion Record Form </w:t>
      </w:r>
    </w:p>
    <w:p w14:paraId="358C984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w:t>
      </w:r>
      <w:r>
        <w:t xml:space="preserve">Prolonged Transfusion Time </w:t>
      </w:r>
    </w:p>
    <w:p w14:paraId="6DBA4457"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Testing Worklist </w:t>
      </w:r>
    </w:p>
    <w:p w14:paraId="1DDC9D1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Transfusion Complications </w:t>
      </w:r>
    </w:p>
    <w:p w14:paraId="3382588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Transfusion Effectiveness </w:t>
      </w:r>
    </w:p>
    <w:p w14:paraId="2A8B64ED"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w:t>
      </w:r>
      <w:r>
        <w:t xml:space="preserve">Transfusion Reaction Count </w:t>
      </w:r>
    </w:p>
    <w:p w14:paraId="40AB93D1"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Transfusion Requirements </w:t>
      </w:r>
    </w:p>
    <w:p w14:paraId="115289DA"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Unit History </w:t>
      </w:r>
    </w:p>
    <w:p w14:paraId="267F2A44"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View/Print Equipment Inventory</w:t>
      </w:r>
    </w:p>
    <w:p w14:paraId="778543C6"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View/Print Inventory (Reagent)</w:t>
      </w:r>
    </w:p>
    <w:p w14:paraId="4E85F14C" w14:textId="77777777" w:rsidR="002E3C00" w:rsidRDefault="002E3C00" w:rsidP="002E3C00">
      <w:pPr>
        <w:pStyle w:val="BodyText"/>
        <w:rPr>
          <w:snapToGrid w:val="0"/>
        </w:rPr>
      </w:pPr>
      <w:r>
        <w:rPr>
          <w:snapToGrid w:val="0"/>
        </w:rPr>
        <w:fldChar w:fldCharType="begin">
          <w:ffData>
            <w:name w:val="Check1"/>
            <w:enabled/>
            <w:calcOnExit w:val="0"/>
            <w:checkBox>
              <w:sizeAuto/>
              <w:default w:val="0"/>
            </w:checkBox>
          </w:ffData>
        </w:fldChar>
      </w:r>
      <w:r>
        <w:rPr>
          <w:snapToGrid w:val="0"/>
        </w:rPr>
        <w:instrText xml:space="preserve"> FORMCHECKBOX </w:instrText>
      </w:r>
      <w:r w:rsidR="00A53403">
        <w:rPr>
          <w:snapToGrid w:val="0"/>
        </w:rPr>
      </w:r>
      <w:r w:rsidR="00A53403">
        <w:rPr>
          <w:snapToGrid w:val="0"/>
        </w:rPr>
        <w:fldChar w:fldCharType="separate"/>
      </w:r>
      <w:r>
        <w:rPr>
          <w:snapToGrid w:val="0"/>
        </w:rPr>
        <w:fldChar w:fldCharType="end"/>
      </w:r>
      <w:r>
        <w:rPr>
          <w:snapToGrid w:val="0"/>
        </w:rPr>
        <w:t xml:space="preserve"> View/Print Supply Inventory</w:t>
      </w:r>
    </w:p>
    <w:p w14:paraId="0386DFE2" w14:textId="77777777" w:rsidR="00297B5F" w:rsidRDefault="00297B5F">
      <w:pPr>
        <w:pStyle w:val="Heading2"/>
        <w:sectPr w:rsidR="00297B5F" w:rsidSect="00EE771C">
          <w:type w:val="continuous"/>
          <w:pgSz w:w="12240" w:h="15840" w:code="1"/>
          <w:pgMar w:top="1440" w:right="1440" w:bottom="1440" w:left="1440" w:header="720" w:footer="720" w:gutter="0"/>
          <w:cols w:num="2" w:space="720"/>
          <w:docGrid w:linePitch="360"/>
        </w:sectPr>
      </w:pPr>
    </w:p>
    <w:p w14:paraId="1B97B4E6" w14:textId="7AB18B3F" w:rsidR="002A21AE" w:rsidRDefault="002A21AE">
      <w:pPr>
        <w:pStyle w:val="Heading2"/>
      </w:pPr>
      <w:bookmarkStart w:id="755" w:name="_Ref508960075"/>
      <w:bookmarkStart w:id="756" w:name="_Ref508960255"/>
      <w:bookmarkStart w:id="757" w:name="_Ref508960299"/>
      <w:bookmarkStart w:id="758" w:name="_Ref508960349"/>
      <w:bookmarkStart w:id="759" w:name="_Ref508960702"/>
      <w:bookmarkStart w:id="760" w:name="_Ref508960811"/>
      <w:bookmarkStart w:id="761" w:name="_Toc149064251"/>
      <w:r>
        <w:t xml:space="preserve">Appendix </w:t>
      </w:r>
      <w:r w:rsidR="001B0B0C">
        <w:rPr>
          <w:noProof/>
        </w:rPr>
        <w:t>G</w:t>
      </w:r>
      <w:r>
        <w:t xml:space="preserve">: </w:t>
      </w:r>
      <w:r w:rsidR="00681DED">
        <w:t>Work Process Flowcharts</w:t>
      </w:r>
      <w:bookmarkEnd w:id="755"/>
      <w:bookmarkEnd w:id="756"/>
      <w:bookmarkEnd w:id="757"/>
      <w:bookmarkEnd w:id="758"/>
      <w:bookmarkEnd w:id="759"/>
      <w:bookmarkEnd w:id="760"/>
      <w:bookmarkEnd w:id="761"/>
      <w:r>
        <w:fldChar w:fldCharType="begin"/>
      </w:r>
      <w:r>
        <w:instrText xml:space="preserve"> XE </w:instrText>
      </w:r>
      <w:r w:rsidR="00FA7E65">
        <w:instrText>“</w:instrText>
      </w:r>
      <w:r w:rsidR="00681DED">
        <w:instrText>Work Process Flowcharts</w:instrText>
      </w:r>
      <w:r w:rsidR="00FA7E65">
        <w:instrText>”</w:instrText>
      </w:r>
      <w:r>
        <w:instrText xml:space="preserve"> </w:instrText>
      </w:r>
      <w:r>
        <w:fldChar w:fldCharType="end"/>
      </w:r>
    </w:p>
    <w:p w14:paraId="2603A1D7" w14:textId="2460AC4E" w:rsidR="006D442F" w:rsidRDefault="006D442F" w:rsidP="006D442F">
      <w:pPr>
        <w:pStyle w:val="Caption"/>
      </w:pPr>
      <w:bookmarkStart w:id="762" w:name="_Ref50836787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121</w:t>
      </w:r>
      <w:r w:rsidR="004E20BD">
        <w:rPr>
          <w:noProof/>
        </w:rPr>
        <w:fldChar w:fldCharType="end"/>
      </w:r>
      <w:bookmarkEnd w:id="762"/>
      <w:r>
        <w:t>: Configure Division Settings: Full-Service Divisions</w:t>
      </w:r>
    </w:p>
    <w:p w14:paraId="7464771D" w14:textId="37303656" w:rsidR="007F032F" w:rsidRDefault="00627964" w:rsidP="00B31CBF">
      <w:pPr>
        <w:pStyle w:val="BodyText"/>
      </w:pPr>
      <w:r>
        <w:object w:dxaOrig="9595" w:dyaOrig="14410" w14:anchorId="5EB7BA31">
          <v:shape id="_x0000_i1034" type="#_x0000_t75" alt="Work Process Flowcharta" style="width:338.25pt;height:7in" o:ole="">
            <v:imagedata r:id="rId223" o:title=""/>
          </v:shape>
          <o:OLEObject Type="Embed" ProgID="Visio.Drawing.11" ShapeID="_x0000_i1034" DrawAspect="Content" ObjectID="_1767790631" r:id="rId224"/>
        </w:object>
      </w:r>
    </w:p>
    <w:p w14:paraId="4D3A94B6" w14:textId="2C0FA84D" w:rsidR="006D442F" w:rsidRDefault="007F032F" w:rsidP="006D442F">
      <w:pPr>
        <w:pStyle w:val="Caption"/>
      </w:pPr>
      <w:r>
        <w:br w:type="page"/>
      </w:r>
      <w:bookmarkStart w:id="763" w:name="_Ref508368046"/>
      <w:r w:rsidR="006D442F">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122</w:t>
      </w:r>
      <w:r w:rsidR="004E20BD">
        <w:rPr>
          <w:noProof/>
        </w:rPr>
        <w:fldChar w:fldCharType="end"/>
      </w:r>
      <w:bookmarkEnd w:id="763"/>
      <w:r w:rsidR="006D442F">
        <w:t>: Configure Division Settings: Transfusion-Only Divisions</w:t>
      </w:r>
    </w:p>
    <w:p w14:paraId="5B67E9A6" w14:textId="2D3B0554" w:rsidR="00E5778C" w:rsidRDefault="00627964" w:rsidP="00B31CBF">
      <w:pPr>
        <w:pStyle w:val="BodyText"/>
      </w:pPr>
      <w:r>
        <w:object w:dxaOrig="7435" w:dyaOrig="14410" w14:anchorId="496ED972">
          <v:shape id="_x0000_i1035" type="#_x0000_t75" alt="Configure Division Settings: Transfusion-Only Division" style="width:295.5pt;height:8in;mso-position-vertical:absolute" o:ole="">
            <v:imagedata r:id="rId225" o:title=""/>
          </v:shape>
          <o:OLEObject Type="Embed" ProgID="Visio.Drawing.11" ShapeID="_x0000_i1035" DrawAspect="Content" ObjectID="_1767790632" r:id="rId226"/>
        </w:object>
      </w:r>
    </w:p>
    <w:p w14:paraId="3C7B75D9" w14:textId="2DA4D070" w:rsidR="006D442F" w:rsidRDefault="000753FE" w:rsidP="006D442F">
      <w:pPr>
        <w:pStyle w:val="Caption"/>
      </w:pPr>
      <w:r>
        <w:br w:type="page"/>
      </w:r>
      <w:bookmarkStart w:id="764" w:name="_Ref508369253"/>
      <w:r w:rsidR="006D442F">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123</w:t>
      </w:r>
      <w:r w:rsidR="004E20BD">
        <w:rPr>
          <w:noProof/>
        </w:rPr>
        <w:fldChar w:fldCharType="end"/>
      </w:r>
      <w:bookmarkEnd w:id="764"/>
      <w:r w:rsidR="006D442F">
        <w:t>: Maintain Reagents and Daily QC: Full Service Divisions</w:t>
      </w:r>
    </w:p>
    <w:p w14:paraId="6764D8ED" w14:textId="5D2A927F" w:rsidR="00F47ED0" w:rsidRPr="00F47ED0" w:rsidRDefault="00627964" w:rsidP="00B31CBF">
      <w:pPr>
        <w:pStyle w:val="BodyText"/>
      </w:pPr>
      <w:r>
        <w:object w:dxaOrig="10119" w:dyaOrig="10037" w14:anchorId="3C98B69E">
          <v:shape id="_x0000_i1036" type="#_x0000_t75" alt="Maintain Reagents and Daily QC: Full Service Divisions" style="width:468pt;height:460.5pt" o:ole="">
            <v:imagedata r:id="rId227" o:title=""/>
          </v:shape>
          <o:OLEObject Type="Embed" ProgID="Visio.Drawing.11" ShapeID="_x0000_i1036" DrawAspect="Content" ObjectID="_1767790633" r:id="rId228"/>
        </w:object>
      </w:r>
    </w:p>
    <w:p w14:paraId="22E2E6CC" w14:textId="77777777" w:rsidR="00292ED0" w:rsidRDefault="00292ED0" w:rsidP="00292ED0">
      <w:pPr>
        <w:pStyle w:val="Heading3"/>
        <w:sectPr w:rsidR="00292ED0" w:rsidSect="00EE771C">
          <w:pgSz w:w="12240" w:h="15840" w:code="1"/>
          <w:pgMar w:top="1440" w:right="1440" w:bottom="1440" w:left="1440" w:header="720" w:footer="720" w:gutter="0"/>
          <w:cols w:space="720"/>
          <w:docGrid w:linePitch="360"/>
        </w:sectPr>
      </w:pPr>
    </w:p>
    <w:p w14:paraId="75BCECC2" w14:textId="3CE66075" w:rsidR="006D442F" w:rsidRDefault="006D442F" w:rsidP="006D442F">
      <w:pPr>
        <w:pStyle w:val="Caption"/>
      </w:pPr>
      <w:bookmarkStart w:id="765" w:name="_Ref50836943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124</w:t>
      </w:r>
      <w:r w:rsidR="004E20BD">
        <w:rPr>
          <w:noProof/>
        </w:rPr>
        <w:fldChar w:fldCharType="end"/>
      </w:r>
      <w:bookmarkEnd w:id="765"/>
      <w:r>
        <w:t>: Process Incoming Shipment: Full-Service Divisions</w:t>
      </w:r>
    </w:p>
    <w:p w14:paraId="6BD3C7B5" w14:textId="041696EC" w:rsidR="00292ED0" w:rsidRDefault="00EA6850" w:rsidP="00B31CBF">
      <w:pPr>
        <w:pStyle w:val="BodyText"/>
      </w:pPr>
      <w:r>
        <w:t xml:space="preserve"> </w:t>
      </w:r>
      <w:r w:rsidR="00627964">
        <w:object w:dxaOrig="14258" w:dyaOrig="10675" w14:anchorId="49A29AD2">
          <v:shape id="_x0000_i1037" type="#_x0000_t75" alt="Process Incoming Shipment: Full-Service Divisions" style="width:489.75pt;height:5in;mso-position-vertical:absolute" o:ole="">
            <v:imagedata r:id="rId229" o:title=""/>
          </v:shape>
          <o:OLEObject Type="Embed" ProgID="Visio.Drawing.11" ShapeID="_x0000_i1037" DrawAspect="Content" ObjectID="_1767790634" r:id="rId230"/>
        </w:object>
      </w:r>
      <w:r w:rsidR="00292ED0">
        <w:t xml:space="preserve"> </w:t>
      </w:r>
    </w:p>
    <w:p w14:paraId="36A16710" w14:textId="78A6CD1F" w:rsidR="006D442F" w:rsidRDefault="00292ED0" w:rsidP="006D442F">
      <w:pPr>
        <w:pStyle w:val="Caption"/>
      </w:pPr>
      <w:r>
        <w:br w:type="page"/>
      </w:r>
      <w:bookmarkStart w:id="766" w:name="_Ref508370163"/>
      <w:r w:rsidR="006D442F">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125</w:t>
      </w:r>
      <w:r w:rsidR="004E20BD">
        <w:rPr>
          <w:noProof/>
        </w:rPr>
        <w:fldChar w:fldCharType="end"/>
      </w:r>
      <w:bookmarkEnd w:id="766"/>
      <w:r w:rsidR="006D442F">
        <w:t>: Process Incoming Shipment: Transfusion-Only Divisions</w:t>
      </w:r>
    </w:p>
    <w:p w14:paraId="68FB9179" w14:textId="385AE2DF" w:rsidR="00292ED0" w:rsidRDefault="00627964" w:rsidP="00B31CBF">
      <w:pPr>
        <w:pStyle w:val="BodyText"/>
        <w:sectPr w:rsidR="00292ED0" w:rsidSect="00EE771C">
          <w:footerReference w:type="default" r:id="rId231"/>
          <w:pgSz w:w="15840" w:h="12240" w:orient="landscape" w:code="1"/>
          <w:pgMar w:top="1440" w:right="1440" w:bottom="1440" w:left="1440" w:header="720" w:footer="720" w:gutter="0"/>
          <w:cols w:space="720"/>
          <w:docGrid w:linePitch="360"/>
        </w:sectPr>
      </w:pPr>
      <w:r>
        <w:object w:dxaOrig="12835" w:dyaOrig="9370" w14:anchorId="7E1A58CE">
          <v:shape id="_x0000_i1038" type="#_x0000_t75" alt="Process Incoming Shipment: Transfusion-Only Divisions" style="width:496.5pt;height:5in;mso-position-vertical:absolute" o:ole="">
            <v:imagedata r:id="rId232" o:title=""/>
          </v:shape>
          <o:OLEObject Type="Embed" ProgID="Visio.Drawing.11" ShapeID="_x0000_i1038" DrawAspect="Content" ObjectID="_1767790635" r:id="rId233"/>
        </w:object>
      </w:r>
    </w:p>
    <w:p w14:paraId="1608C5CC" w14:textId="4C46596D" w:rsidR="006D442F" w:rsidRDefault="006D442F" w:rsidP="006D442F">
      <w:pPr>
        <w:pStyle w:val="Caption"/>
      </w:pPr>
      <w:bookmarkStart w:id="767" w:name="_Ref508368325"/>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126</w:t>
      </w:r>
      <w:r w:rsidR="004E20BD">
        <w:rPr>
          <w:noProof/>
        </w:rPr>
        <w:fldChar w:fldCharType="end"/>
      </w:r>
      <w:bookmarkEnd w:id="767"/>
      <w:r>
        <w:t>: Modify Units</w:t>
      </w:r>
    </w:p>
    <w:p w14:paraId="6998D9BB" w14:textId="2FA8F07D" w:rsidR="00011FD2" w:rsidRDefault="00627964" w:rsidP="00011FD2">
      <w:pPr>
        <w:pStyle w:val="BodyText"/>
      </w:pPr>
      <w:r>
        <w:object w:dxaOrig="11058" w:dyaOrig="13019" w14:anchorId="53CDD3F7">
          <v:shape id="_x0000_i1039" type="#_x0000_t75" alt="Modify Units Flowchart" style="width:489.75pt;height:8in" o:ole="">
            <v:imagedata r:id="rId234" o:title=""/>
          </v:shape>
          <o:OLEObject Type="Embed" ProgID="Visio.Drawing.11" ShapeID="_x0000_i1039" DrawAspect="Content" ObjectID="_1767790636" r:id="rId235"/>
        </w:object>
      </w:r>
    </w:p>
    <w:p w14:paraId="27E5C4BC" w14:textId="6D9D0E92" w:rsidR="006D442F" w:rsidRDefault="00B31CBF" w:rsidP="006D442F">
      <w:pPr>
        <w:pStyle w:val="Caption"/>
      </w:pPr>
      <w:r>
        <w:br w:type="page"/>
      </w:r>
      <w:bookmarkStart w:id="768" w:name="_Ref508370524"/>
      <w:r w:rsidR="006D442F">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127</w:t>
      </w:r>
      <w:r w:rsidR="004E20BD">
        <w:rPr>
          <w:noProof/>
        </w:rPr>
        <w:fldChar w:fldCharType="end"/>
      </w:r>
      <w:bookmarkEnd w:id="768"/>
      <w:r w:rsidR="006D442F">
        <w:t>: Issue, Return or Transfuse Units: Full Service Divisions</w:t>
      </w:r>
    </w:p>
    <w:p w14:paraId="34B9260E" w14:textId="201C99DC" w:rsidR="00B31CBF" w:rsidRDefault="00847FF1" w:rsidP="00B31CBF">
      <w:pPr>
        <w:pStyle w:val="BodyText"/>
      </w:pPr>
      <w:r>
        <w:object w:dxaOrig="11018" w:dyaOrig="12880" w14:anchorId="1A4991C2">
          <v:shape id="_x0000_i1040" type="#_x0000_t75" alt="Issue, Return or Transfuse: Full Service Divisions flowchart" style="width:468pt;height:547.5pt;mso-position-vertical:absolute" o:ole="">
            <v:imagedata r:id="rId236" o:title=""/>
          </v:shape>
          <o:OLEObject Type="Embed" ProgID="Visio.Drawing.11" ShapeID="_x0000_i1040" DrawAspect="Content" ObjectID="_1767790637" r:id="rId237"/>
        </w:object>
      </w:r>
    </w:p>
    <w:p w14:paraId="3DF5C50C" w14:textId="431B0A8D" w:rsidR="006D442F" w:rsidRDefault="00B31CBF" w:rsidP="006D442F">
      <w:pPr>
        <w:pStyle w:val="Caption"/>
      </w:pPr>
      <w:r>
        <w:br w:type="page"/>
      </w:r>
      <w:bookmarkStart w:id="769" w:name="_Ref508370542"/>
      <w:r w:rsidR="006D442F">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128</w:t>
      </w:r>
      <w:r w:rsidR="004E20BD">
        <w:rPr>
          <w:noProof/>
        </w:rPr>
        <w:fldChar w:fldCharType="end"/>
      </w:r>
      <w:bookmarkEnd w:id="769"/>
      <w:r w:rsidR="006D442F">
        <w:t>: Issue, or Transfuse: Transfusion-Only Divisions</w:t>
      </w:r>
    </w:p>
    <w:p w14:paraId="18952EA9" w14:textId="5759F595" w:rsidR="00B31CBF" w:rsidRDefault="00EC2164" w:rsidP="00B31CBF">
      <w:pPr>
        <w:pStyle w:val="BodyText"/>
        <w:sectPr w:rsidR="00B31CBF" w:rsidSect="00EE771C">
          <w:footerReference w:type="default" r:id="rId238"/>
          <w:pgSz w:w="12240" w:h="15840" w:code="1"/>
          <w:pgMar w:top="1440" w:right="1440" w:bottom="1440" w:left="1440" w:header="720" w:footer="720" w:gutter="0"/>
          <w:cols w:space="720"/>
          <w:docGrid w:linePitch="360"/>
        </w:sectPr>
      </w:pPr>
      <w:r>
        <w:object w:dxaOrig="8917" w:dyaOrig="11170" w14:anchorId="13698FF4">
          <v:shape id="_x0000_i1041" type="#_x0000_t75" alt="Issue or Transfuse: Transfusion-Only Divisions flowchart" style="width:461.25pt;height:8in;mso-position-vertical:absolute" o:ole="">
            <v:imagedata r:id="rId239" o:title=""/>
          </v:shape>
          <o:OLEObject Type="Embed" ProgID="Visio.Drawing.11" ShapeID="_x0000_i1041" DrawAspect="Content" ObjectID="_1767790638" r:id="rId240"/>
        </w:object>
      </w:r>
    </w:p>
    <w:p w14:paraId="2E2BBFF2" w14:textId="065AE35E" w:rsidR="006D442F" w:rsidRDefault="006D442F" w:rsidP="006D442F">
      <w:pPr>
        <w:pStyle w:val="Caption"/>
      </w:pPr>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129</w:t>
      </w:r>
      <w:r w:rsidR="004E20BD">
        <w:rPr>
          <w:noProof/>
        </w:rPr>
        <w:fldChar w:fldCharType="end"/>
      </w:r>
      <w:r>
        <w:t>: Process a Patient Order</w:t>
      </w:r>
    </w:p>
    <w:p w14:paraId="5F6F6361" w14:textId="6BA6645A" w:rsidR="00B31CBF" w:rsidRDefault="00F44E08" w:rsidP="00B31CBF">
      <w:pPr>
        <w:pStyle w:val="BodyText"/>
      </w:pPr>
      <w:r>
        <w:object w:dxaOrig="13914" w:dyaOrig="9592" w14:anchorId="53C43A43">
          <v:shape id="_x0000_i1042" type="#_x0000_t75" alt="Process a Patient Order flow diagram" style="width:525pt;height:5in" o:ole="">
            <v:imagedata r:id="rId241" o:title=""/>
          </v:shape>
          <o:OLEObject Type="Embed" ProgID="Visio.Drawing.11" ShapeID="_x0000_i1042" DrawAspect="Content" ObjectID="_1767790639" r:id="rId242"/>
        </w:object>
      </w:r>
    </w:p>
    <w:p w14:paraId="4F44707B" w14:textId="7FD2549F" w:rsidR="006D442F" w:rsidRDefault="00B31CBF" w:rsidP="006D442F">
      <w:pPr>
        <w:pStyle w:val="Caption"/>
      </w:pPr>
      <w:r>
        <w:br w:type="page"/>
      </w:r>
      <w:r w:rsidR="006D442F">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130</w:t>
      </w:r>
      <w:r w:rsidR="004E20BD">
        <w:rPr>
          <w:noProof/>
        </w:rPr>
        <w:fldChar w:fldCharType="end"/>
      </w:r>
      <w:r w:rsidR="006D442F">
        <w:t>: Patient Testing</w:t>
      </w:r>
    </w:p>
    <w:p w14:paraId="0F9BFC46" w14:textId="6549D5F8" w:rsidR="00B31CBF" w:rsidRDefault="00B31CBF" w:rsidP="00B31CBF">
      <w:pPr>
        <w:pStyle w:val="BodyText"/>
      </w:pPr>
      <w:r>
        <w:t xml:space="preserve"> </w:t>
      </w:r>
      <w:r w:rsidR="00F44E08">
        <w:object w:dxaOrig="14245" w:dyaOrig="9235" w14:anchorId="29FC0624">
          <v:shape id="_x0000_i1043" type="#_x0000_t75" alt="Patient Testing flow diagram" style="width:554.25pt;height:5in" o:ole="">
            <v:imagedata r:id="rId243" o:title=""/>
          </v:shape>
          <o:OLEObject Type="Embed" ProgID="Visio.Drawing.11" ShapeID="_x0000_i1043" DrawAspect="Content" ObjectID="_1767790640" r:id="rId244"/>
        </w:object>
      </w:r>
    </w:p>
    <w:p w14:paraId="6E29B7E2" w14:textId="77777777" w:rsidR="000F62D6" w:rsidRDefault="000F62D6" w:rsidP="00B31CBF">
      <w:pPr>
        <w:pStyle w:val="Heading3"/>
        <w:sectPr w:rsidR="000F62D6" w:rsidSect="00EE771C">
          <w:footerReference w:type="default" r:id="rId245"/>
          <w:pgSz w:w="15840" w:h="12240" w:orient="landscape" w:code="1"/>
          <w:pgMar w:top="1440" w:right="1440" w:bottom="1440" w:left="1440" w:header="720" w:footer="720" w:gutter="0"/>
          <w:cols w:space="720"/>
          <w:docGrid w:linePitch="360"/>
        </w:sectPr>
      </w:pPr>
    </w:p>
    <w:p w14:paraId="51804A9E" w14:textId="24EFAFDB" w:rsidR="003D7CE8" w:rsidRPr="00E309DC" w:rsidRDefault="003D7CE8" w:rsidP="00CB2427">
      <w:pPr>
        <w:pStyle w:val="Heading2"/>
        <w:rPr>
          <w:b w:val="0"/>
          <w:bCs w:val="0"/>
          <w:i w:val="0"/>
          <w:sz w:val="18"/>
          <w:szCs w:val="18"/>
        </w:rPr>
      </w:pPr>
      <w:bookmarkStart w:id="770" w:name="_Ref300911707"/>
      <w:bookmarkStart w:id="771" w:name="_Toc149064252"/>
      <w:bookmarkStart w:id="772" w:name="_Hlk4563241"/>
      <w:bookmarkStart w:id="773" w:name="_Ref170005444"/>
      <w:r>
        <w:t xml:space="preserve">Appendix </w:t>
      </w:r>
      <w:r w:rsidR="001B0B0C">
        <w:rPr>
          <w:noProof/>
        </w:rPr>
        <w:t>H</w:t>
      </w:r>
      <w:r>
        <w:t>: Frequently Asked Questions</w:t>
      </w:r>
      <w:bookmarkEnd w:id="770"/>
      <w:bookmarkEnd w:id="771"/>
      <w:r>
        <w:fldChar w:fldCharType="begin"/>
      </w:r>
      <w:r>
        <w:instrText xml:space="preserve"> XE "Frequently Asked Questions" </w:instrText>
      </w:r>
      <w:r>
        <w:fldChar w:fldCharType="end"/>
      </w:r>
      <w:r>
        <w:t xml:space="preserve"> </w:t>
      </w:r>
      <w:r w:rsidRPr="003D7CE8">
        <w:rPr>
          <w:b w:val="0"/>
          <w:bCs w:val="0"/>
          <w:i w:val="0"/>
          <w:vanish/>
          <w:sz w:val="18"/>
          <w:szCs w:val="18"/>
        </w:rPr>
        <w:t>Appendix added for DR 3971</w:t>
      </w:r>
    </w:p>
    <w:p w14:paraId="0E128A29" w14:textId="77777777" w:rsidR="00770D97" w:rsidRDefault="003D7CE8" w:rsidP="00E309DC">
      <w:pPr>
        <w:pStyle w:val="BodyText"/>
      </w:pPr>
      <w:r w:rsidRPr="005129F7">
        <w:t>Frequently Asked Ques</w:t>
      </w:r>
      <w:r w:rsidR="006340B9">
        <w:t xml:space="preserve">tions (FAQs) are </w:t>
      </w:r>
      <w:r w:rsidRPr="005129F7">
        <w:t xml:space="preserve">released as </w:t>
      </w:r>
      <w:r w:rsidR="004E2AB6" w:rsidRPr="005129F7">
        <w:t>standalone</w:t>
      </w:r>
      <w:r w:rsidRPr="005129F7">
        <w:t xml:space="preserve"> documents. </w:t>
      </w:r>
    </w:p>
    <w:p w14:paraId="70EF4F1C" w14:textId="77777777" w:rsidR="00770D97" w:rsidRDefault="003D7CE8" w:rsidP="00E309DC">
      <w:pPr>
        <w:pStyle w:val="BodyText"/>
      </w:pPr>
      <w:r w:rsidRPr="005129F7">
        <w:t>Topi</w:t>
      </w:r>
      <w:r w:rsidR="006340B9">
        <w:t xml:space="preserve">cs are </w:t>
      </w:r>
      <w:r w:rsidR="001C317F" w:rsidRPr="005129F7">
        <w:t xml:space="preserve">explained in a </w:t>
      </w:r>
      <w:r w:rsidRPr="005129F7">
        <w:t>question and answer</w:t>
      </w:r>
      <w:r w:rsidR="001C317F" w:rsidRPr="005129F7">
        <w:t xml:space="preserve"> format</w:t>
      </w:r>
      <w:r w:rsidRPr="005129F7">
        <w:t>.</w:t>
      </w:r>
      <w:r w:rsidR="00EB3B6D">
        <w:t xml:space="preserve"> </w:t>
      </w:r>
    </w:p>
    <w:p w14:paraId="41BB706E" w14:textId="3C318277" w:rsidR="003D7CE8" w:rsidRDefault="00EB3B6D" w:rsidP="00E309DC">
      <w:pPr>
        <w:pStyle w:val="BodyText"/>
      </w:pPr>
      <w:r>
        <w:t xml:space="preserve">FAQs are available at the </w:t>
      </w:r>
      <w:r w:rsidR="00F64D50" w:rsidRPr="00F64D50">
        <w:rPr>
          <w:highlight w:val="yellow"/>
        </w:rPr>
        <w:t>REDACTED</w:t>
      </w:r>
      <w:r w:rsidR="009E642E">
        <w:t xml:space="preserve"> and are version specific</w:t>
      </w:r>
      <w:r w:rsidR="00770D97">
        <w:t>.</w:t>
      </w:r>
    </w:p>
    <w:bookmarkEnd w:id="772"/>
    <w:p w14:paraId="01BE9862" w14:textId="4705A5E6" w:rsidR="00D64A23" w:rsidRDefault="00566EC6" w:rsidP="00AD591C">
      <w:pPr>
        <w:pStyle w:val="Heading2"/>
      </w:pPr>
      <w:r>
        <w:br w:type="page"/>
      </w:r>
      <w:bookmarkStart w:id="774" w:name="_Toc149064253"/>
      <w:r w:rsidR="0059697E" w:rsidRPr="00566EC6">
        <w:t xml:space="preserve">Appendix </w:t>
      </w:r>
      <w:r w:rsidR="001B0B0C">
        <w:rPr>
          <w:noProof/>
        </w:rPr>
        <w:t>I</w:t>
      </w:r>
      <w:r w:rsidR="0059697E" w:rsidRPr="00566EC6">
        <w:t xml:space="preserve">: </w:t>
      </w:r>
      <w:r w:rsidR="00CD6052" w:rsidRPr="00566EC6">
        <w:t>Common Error Corrections</w:t>
      </w:r>
      <w:bookmarkEnd w:id="774"/>
      <w:r w:rsidR="00D64A23" w:rsidRPr="00566EC6">
        <w:fldChar w:fldCharType="begin"/>
      </w:r>
      <w:r w:rsidR="00D64A23" w:rsidRPr="00566EC6">
        <w:instrText xml:space="preserve"> XE "</w:instrText>
      </w:r>
      <w:r w:rsidR="00CD6052" w:rsidRPr="00566EC6">
        <w:instrText>Common Error Corrections</w:instrText>
      </w:r>
      <w:r w:rsidR="00D64A23" w:rsidRPr="00566EC6">
        <w:instrText xml:space="preserve">" </w:instrText>
      </w:r>
      <w:r w:rsidR="00D64A23" w:rsidRPr="00566EC6">
        <w:fldChar w:fldCharType="end"/>
      </w:r>
    </w:p>
    <w:p w14:paraId="07E89D1B" w14:textId="77777777" w:rsidR="00F8157F" w:rsidRPr="00233049" w:rsidRDefault="00233049" w:rsidP="00D64A23">
      <w:pPr>
        <w:rPr>
          <w:rFonts w:ascii="Arial" w:hAnsi="Arial" w:cs="Arial"/>
          <w:bCs/>
          <w:vanish/>
          <w:sz w:val="18"/>
          <w:szCs w:val="18"/>
        </w:rPr>
      </w:pPr>
      <w:r w:rsidRPr="00233049">
        <w:rPr>
          <w:rFonts w:ascii="Arial" w:hAnsi="Arial" w:cs="Arial"/>
          <w:bCs/>
          <w:vanish/>
          <w:sz w:val="18"/>
          <w:szCs w:val="18"/>
        </w:rPr>
        <w:t>Appendix added for DR 3,673</w:t>
      </w:r>
      <w:r w:rsidR="004C5B40">
        <w:rPr>
          <w:rFonts w:ascii="Arial" w:hAnsi="Arial" w:cs="Arial"/>
          <w:bCs/>
          <w:vanish/>
          <w:sz w:val="18"/>
          <w:szCs w:val="18"/>
        </w:rPr>
        <w:t xml:space="preserve"> and DR 3638</w:t>
      </w:r>
    </w:p>
    <w:p w14:paraId="01DFBC74" w14:textId="77777777" w:rsidR="00D64A23" w:rsidRPr="00C2774B" w:rsidRDefault="00D64A23" w:rsidP="00C2774B">
      <w:pPr>
        <w:pStyle w:val="Heading3"/>
      </w:pPr>
      <w:bookmarkStart w:id="775" w:name="_Toc149064254"/>
      <w:r w:rsidRPr="00C2774B">
        <w:t xml:space="preserve">Correct </w:t>
      </w:r>
      <w:r w:rsidR="00F8157F" w:rsidRPr="00C2774B">
        <w:t>Patient Test Results</w:t>
      </w:r>
      <w:bookmarkEnd w:id="775"/>
    </w:p>
    <w:p w14:paraId="7F4D559D" w14:textId="77777777" w:rsidR="00F915DD" w:rsidRPr="00092A53" w:rsidRDefault="00F915DD" w:rsidP="00F915DD">
      <w:pPr>
        <w:rPr>
          <w:b/>
          <w:sz w:val="22"/>
          <w:szCs w:val="22"/>
        </w:rPr>
      </w:pPr>
      <w:r w:rsidRPr="00092A53">
        <w:rPr>
          <w:b/>
          <w:sz w:val="22"/>
          <w:szCs w:val="22"/>
        </w:rPr>
        <w:t>Define the problem:</w:t>
      </w:r>
    </w:p>
    <w:p w14:paraId="54DA74C8" w14:textId="77777777" w:rsidR="00F915DD" w:rsidRPr="00092A53" w:rsidRDefault="00F915DD" w:rsidP="00F915DD">
      <w:pPr>
        <w:ind w:firstLine="720"/>
        <w:rPr>
          <w:sz w:val="22"/>
          <w:szCs w:val="22"/>
        </w:rPr>
      </w:pPr>
      <w:r w:rsidRPr="00092A53">
        <w:rPr>
          <w:sz w:val="22"/>
          <w:szCs w:val="22"/>
        </w:rPr>
        <w:t>Specifically what data needs correction?</w:t>
      </w:r>
    </w:p>
    <w:p w14:paraId="5BBEF332" w14:textId="77777777" w:rsidR="00F915DD" w:rsidRPr="00092A53" w:rsidRDefault="00F915DD" w:rsidP="00F915DD">
      <w:pPr>
        <w:ind w:firstLine="720"/>
        <w:rPr>
          <w:sz w:val="22"/>
          <w:szCs w:val="22"/>
        </w:rPr>
      </w:pPr>
      <w:r w:rsidRPr="00092A53">
        <w:rPr>
          <w:sz w:val="22"/>
          <w:szCs w:val="22"/>
        </w:rPr>
        <w:t>Is it a patient test?</w:t>
      </w:r>
    </w:p>
    <w:p w14:paraId="4784BD80" w14:textId="77777777" w:rsidR="00F915DD" w:rsidRPr="00092A53" w:rsidRDefault="00F915DD" w:rsidP="00F915DD">
      <w:pPr>
        <w:ind w:firstLine="720"/>
        <w:rPr>
          <w:sz w:val="22"/>
          <w:szCs w:val="22"/>
        </w:rPr>
      </w:pPr>
      <w:r w:rsidRPr="00092A53">
        <w:rPr>
          <w:sz w:val="22"/>
          <w:szCs w:val="22"/>
        </w:rPr>
        <w:t>Are any units assigned to the specimen UID associated with this patient order?</w:t>
      </w:r>
    </w:p>
    <w:p w14:paraId="4A66A666" w14:textId="77777777" w:rsidR="00F915DD" w:rsidRPr="00092A53" w:rsidRDefault="00F915DD" w:rsidP="00D64A23">
      <w:pPr>
        <w:rPr>
          <w:sz w:val="22"/>
          <w:szCs w:val="22"/>
        </w:rPr>
      </w:pPr>
    </w:p>
    <w:p w14:paraId="5F0A7B28" w14:textId="77777777" w:rsidR="006730CD" w:rsidRPr="00092A53" w:rsidRDefault="00D64A23" w:rsidP="00D64A23">
      <w:pPr>
        <w:rPr>
          <w:sz w:val="22"/>
          <w:szCs w:val="22"/>
        </w:rPr>
      </w:pPr>
      <w:r w:rsidRPr="00092A53">
        <w:rPr>
          <w:sz w:val="22"/>
          <w:szCs w:val="22"/>
        </w:rPr>
        <w:t xml:space="preserve">The </w:t>
      </w:r>
      <w:r w:rsidR="006730CD" w:rsidRPr="00092A53">
        <w:rPr>
          <w:sz w:val="22"/>
          <w:szCs w:val="22"/>
        </w:rPr>
        <w:t xml:space="preserve">path to transfusion is linear and </w:t>
      </w:r>
      <w:r w:rsidRPr="00092A53">
        <w:rPr>
          <w:sz w:val="22"/>
          <w:szCs w:val="22"/>
        </w:rPr>
        <w:t>follow</w:t>
      </w:r>
      <w:r w:rsidR="006730CD" w:rsidRPr="00092A53">
        <w:rPr>
          <w:sz w:val="22"/>
          <w:szCs w:val="22"/>
        </w:rPr>
        <w:t>s</w:t>
      </w:r>
      <w:r w:rsidRPr="00092A53">
        <w:rPr>
          <w:sz w:val="22"/>
          <w:szCs w:val="22"/>
        </w:rPr>
        <w:t xml:space="preserve"> the path from assignment to issue to transfusion. VBECS requires the unit-patient </w:t>
      </w:r>
      <w:r w:rsidR="006730CD" w:rsidRPr="00092A53">
        <w:rPr>
          <w:sz w:val="22"/>
          <w:szCs w:val="22"/>
        </w:rPr>
        <w:t xml:space="preserve">connection to be </w:t>
      </w:r>
      <w:r w:rsidR="00423CC1" w:rsidRPr="00092A53">
        <w:rPr>
          <w:sz w:val="22"/>
          <w:szCs w:val="22"/>
        </w:rPr>
        <w:t>severed</w:t>
      </w:r>
      <w:r w:rsidR="006730CD" w:rsidRPr="00092A53">
        <w:rPr>
          <w:sz w:val="22"/>
          <w:szCs w:val="22"/>
        </w:rPr>
        <w:t xml:space="preserve"> in order to </w:t>
      </w:r>
      <w:r w:rsidR="00423CC1" w:rsidRPr="00092A53">
        <w:rPr>
          <w:sz w:val="22"/>
          <w:szCs w:val="22"/>
        </w:rPr>
        <w:t>change</w:t>
      </w:r>
      <w:r w:rsidRPr="00092A53">
        <w:rPr>
          <w:sz w:val="22"/>
          <w:szCs w:val="22"/>
        </w:rPr>
        <w:t xml:space="preserve"> patient testing used to evaluate compatibility.</w:t>
      </w:r>
    </w:p>
    <w:p w14:paraId="3023A126" w14:textId="77777777" w:rsidR="00D64A23" w:rsidRPr="00092A53" w:rsidRDefault="00D64A23" w:rsidP="00D64A23">
      <w:pPr>
        <w:rPr>
          <w:sz w:val="22"/>
          <w:szCs w:val="22"/>
        </w:rPr>
      </w:pPr>
      <w:r w:rsidRPr="00092A53">
        <w:rPr>
          <w:b/>
          <w:sz w:val="22"/>
          <w:szCs w:val="22"/>
        </w:rPr>
        <w:t>All the units must be released from assignment, no matter when the error occurred and needs correction.</w:t>
      </w:r>
      <w:r w:rsidR="006B6B74" w:rsidRPr="00092A53">
        <w:rPr>
          <w:sz w:val="22"/>
          <w:szCs w:val="22"/>
        </w:rPr>
        <w:t xml:space="preserve">  </w:t>
      </w:r>
      <w:r w:rsidRPr="00092A53">
        <w:rPr>
          <w:sz w:val="22"/>
          <w:szCs w:val="22"/>
        </w:rPr>
        <w:t xml:space="preserve">VBECS requires undoing all of the unit associations </w:t>
      </w:r>
      <w:r w:rsidR="006730CD" w:rsidRPr="00092A53">
        <w:rPr>
          <w:sz w:val="22"/>
          <w:szCs w:val="22"/>
        </w:rPr>
        <w:t xml:space="preserve">so the computer can re-evaluate the corrected </w:t>
      </w:r>
      <w:r w:rsidRPr="00092A53">
        <w:rPr>
          <w:sz w:val="22"/>
          <w:szCs w:val="22"/>
        </w:rPr>
        <w:t>information entered</w:t>
      </w:r>
      <w:r w:rsidR="006730CD" w:rsidRPr="00092A53">
        <w:rPr>
          <w:sz w:val="22"/>
          <w:szCs w:val="22"/>
        </w:rPr>
        <w:t xml:space="preserve"> and </w:t>
      </w:r>
      <w:r w:rsidRPr="00092A53">
        <w:rPr>
          <w:sz w:val="22"/>
          <w:szCs w:val="22"/>
        </w:rPr>
        <w:t xml:space="preserve">present any warnings </w:t>
      </w:r>
      <w:r w:rsidR="006730CD" w:rsidRPr="00092A53">
        <w:rPr>
          <w:sz w:val="22"/>
          <w:szCs w:val="22"/>
        </w:rPr>
        <w:t>or</w:t>
      </w:r>
      <w:r w:rsidRPr="00092A53">
        <w:rPr>
          <w:sz w:val="22"/>
          <w:szCs w:val="22"/>
        </w:rPr>
        <w:t xml:space="preserve"> overrides based on th</w:t>
      </w:r>
      <w:r w:rsidR="006730CD" w:rsidRPr="00092A53">
        <w:rPr>
          <w:sz w:val="22"/>
          <w:szCs w:val="22"/>
        </w:rPr>
        <w:t>at</w:t>
      </w:r>
      <w:r w:rsidRPr="00092A53">
        <w:rPr>
          <w:sz w:val="22"/>
          <w:szCs w:val="22"/>
        </w:rPr>
        <w:t xml:space="preserve"> new information.</w:t>
      </w:r>
    </w:p>
    <w:p w14:paraId="61E9ECB2" w14:textId="77777777" w:rsidR="00D64A23" w:rsidRPr="00092A53" w:rsidRDefault="00D64A23" w:rsidP="00D64A23">
      <w:pPr>
        <w:rPr>
          <w:sz w:val="22"/>
          <w:szCs w:val="22"/>
        </w:rPr>
      </w:pPr>
    </w:p>
    <w:p w14:paraId="662A43DA" w14:textId="77777777" w:rsidR="00D64A23" w:rsidRPr="00092A53" w:rsidRDefault="00D64A23" w:rsidP="00D64A23">
      <w:pPr>
        <w:rPr>
          <w:sz w:val="22"/>
          <w:szCs w:val="22"/>
        </w:rPr>
      </w:pPr>
      <w:r w:rsidRPr="00092A53">
        <w:rPr>
          <w:sz w:val="22"/>
          <w:szCs w:val="22"/>
        </w:rPr>
        <w:t>Information to gather before you start trying to correct any test results:</w:t>
      </w:r>
    </w:p>
    <w:p w14:paraId="7E79DE34" w14:textId="77777777" w:rsidR="00D64A23" w:rsidRPr="00092A53" w:rsidRDefault="00D64A23" w:rsidP="00925CAD">
      <w:pPr>
        <w:numPr>
          <w:ilvl w:val="0"/>
          <w:numId w:val="33"/>
        </w:numPr>
        <w:spacing w:line="276" w:lineRule="auto"/>
        <w:rPr>
          <w:sz w:val="22"/>
          <w:szCs w:val="22"/>
        </w:rPr>
      </w:pPr>
      <w:r w:rsidRPr="00092A53">
        <w:rPr>
          <w:sz w:val="22"/>
          <w:szCs w:val="22"/>
        </w:rPr>
        <w:t xml:space="preserve">Actual dates/times of processing for retrospective data entry </w:t>
      </w:r>
    </w:p>
    <w:p w14:paraId="244E7331" w14:textId="77777777" w:rsidR="00D64A23" w:rsidRPr="00092A53" w:rsidRDefault="00D64A23" w:rsidP="00925CAD">
      <w:pPr>
        <w:numPr>
          <w:ilvl w:val="1"/>
          <w:numId w:val="33"/>
        </w:numPr>
        <w:spacing w:line="276" w:lineRule="auto"/>
        <w:ind w:left="1080"/>
        <w:rPr>
          <w:sz w:val="22"/>
          <w:szCs w:val="22"/>
        </w:rPr>
      </w:pPr>
      <w:r w:rsidRPr="00092A53">
        <w:rPr>
          <w:sz w:val="22"/>
          <w:szCs w:val="22"/>
        </w:rPr>
        <w:t>Testing Worklist Report: Test result entry information details from the testing grids, reaction results, tech who did the work, any comments they entered</w:t>
      </w:r>
    </w:p>
    <w:p w14:paraId="70A5F3D7" w14:textId="77777777" w:rsidR="00D64A23" w:rsidRPr="00092A53" w:rsidRDefault="00D64A23" w:rsidP="00925CAD">
      <w:pPr>
        <w:numPr>
          <w:ilvl w:val="1"/>
          <w:numId w:val="33"/>
        </w:numPr>
        <w:spacing w:line="276" w:lineRule="auto"/>
        <w:ind w:left="1080"/>
        <w:rPr>
          <w:sz w:val="22"/>
          <w:szCs w:val="22"/>
        </w:rPr>
      </w:pPr>
      <w:r w:rsidRPr="00092A53">
        <w:rPr>
          <w:sz w:val="22"/>
          <w:szCs w:val="22"/>
        </w:rPr>
        <w:t>Unit History Report: Unit modification, Issue and Transfusion details</w:t>
      </w:r>
    </w:p>
    <w:p w14:paraId="29888587" w14:textId="77777777" w:rsidR="00D64A23" w:rsidRPr="00092A53" w:rsidRDefault="00D64A23" w:rsidP="00925CAD">
      <w:pPr>
        <w:numPr>
          <w:ilvl w:val="1"/>
          <w:numId w:val="33"/>
        </w:numPr>
        <w:spacing w:line="276" w:lineRule="auto"/>
        <w:ind w:left="1080"/>
        <w:rPr>
          <w:sz w:val="22"/>
          <w:szCs w:val="22"/>
        </w:rPr>
      </w:pPr>
      <w:r w:rsidRPr="00092A53">
        <w:rPr>
          <w:sz w:val="22"/>
          <w:szCs w:val="22"/>
        </w:rPr>
        <w:t>Patient History Report: Other patient information</w:t>
      </w:r>
    </w:p>
    <w:p w14:paraId="757760C9" w14:textId="77777777" w:rsidR="00D64A23" w:rsidRPr="00092A53" w:rsidRDefault="00D64A23" w:rsidP="00925CAD">
      <w:pPr>
        <w:numPr>
          <w:ilvl w:val="1"/>
          <w:numId w:val="33"/>
        </w:numPr>
        <w:spacing w:line="276" w:lineRule="auto"/>
        <w:ind w:left="1080"/>
        <w:rPr>
          <w:sz w:val="22"/>
          <w:szCs w:val="22"/>
        </w:rPr>
      </w:pPr>
      <w:r w:rsidRPr="00092A53">
        <w:rPr>
          <w:sz w:val="22"/>
          <w:szCs w:val="22"/>
        </w:rPr>
        <w:t>Order History report: See the search option only for the CPRS Order Number if you have to retrieve an expired order. You do not need to actually open the report.</w:t>
      </w:r>
    </w:p>
    <w:p w14:paraId="7FC8E990" w14:textId="77777777" w:rsidR="00D64A23" w:rsidRPr="00092A53" w:rsidRDefault="00D64A23" w:rsidP="00925CAD">
      <w:pPr>
        <w:numPr>
          <w:ilvl w:val="1"/>
          <w:numId w:val="33"/>
        </w:numPr>
        <w:spacing w:line="276" w:lineRule="auto"/>
        <w:ind w:left="1080"/>
        <w:rPr>
          <w:sz w:val="22"/>
          <w:szCs w:val="22"/>
        </w:rPr>
      </w:pPr>
      <w:r w:rsidRPr="00092A53">
        <w:rPr>
          <w:sz w:val="22"/>
          <w:szCs w:val="22"/>
        </w:rPr>
        <w:t>Any offline results that may need to be entered.</w:t>
      </w:r>
    </w:p>
    <w:p w14:paraId="59B544E7" w14:textId="087742B4" w:rsidR="00D64A23" w:rsidRPr="00092A53" w:rsidRDefault="000A750D" w:rsidP="00925CAD">
      <w:pPr>
        <w:numPr>
          <w:ilvl w:val="1"/>
          <w:numId w:val="33"/>
        </w:numPr>
        <w:spacing w:line="276" w:lineRule="auto"/>
        <w:ind w:left="1080"/>
        <w:rPr>
          <w:sz w:val="22"/>
          <w:szCs w:val="22"/>
        </w:rPr>
      </w:pPr>
      <w:r>
        <w:rPr>
          <w:sz w:val="22"/>
          <w:szCs w:val="22"/>
        </w:rPr>
        <w:t>Tracking system</w:t>
      </w:r>
      <w:r w:rsidR="00D64A23" w:rsidRPr="00092A53">
        <w:rPr>
          <w:sz w:val="22"/>
          <w:szCs w:val="22"/>
        </w:rPr>
        <w:t xml:space="preserve"> numbers from the Known </w:t>
      </w:r>
      <w:r w:rsidR="000612EF">
        <w:rPr>
          <w:sz w:val="22"/>
          <w:szCs w:val="22"/>
        </w:rPr>
        <w:t xml:space="preserve">Defects and </w:t>
      </w:r>
      <w:r w:rsidR="00D64A23" w:rsidRPr="00092A53">
        <w:rPr>
          <w:sz w:val="22"/>
          <w:szCs w:val="22"/>
        </w:rPr>
        <w:t xml:space="preserve">Anomalies document related to this problem. Have the user enter this number in the comment details field for all overrides processed.  </w:t>
      </w:r>
    </w:p>
    <w:p w14:paraId="1A213B0C" w14:textId="77777777" w:rsidR="00D64A23" w:rsidRPr="00092A53" w:rsidRDefault="00D64A23" w:rsidP="00925CAD">
      <w:pPr>
        <w:numPr>
          <w:ilvl w:val="1"/>
          <w:numId w:val="33"/>
        </w:numPr>
        <w:spacing w:line="276" w:lineRule="auto"/>
        <w:ind w:left="1080"/>
        <w:rPr>
          <w:sz w:val="22"/>
          <w:szCs w:val="22"/>
        </w:rPr>
      </w:pPr>
      <w:r w:rsidRPr="00092A53">
        <w:rPr>
          <w:sz w:val="22"/>
          <w:szCs w:val="22"/>
        </w:rPr>
        <w:t>Any local incident number that they may need to enter as a comment.</w:t>
      </w:r>
    </w:p>
    <w:p w14:paraId="07E2E8C5" w14:textId="77777777" w:rsidR="00C93673" w:rsidRPr="00C2774B" w:rsidRDefault="00737AD4" w:rsidP="00C2774B">
      <w:pPr>
        <w:pStyle w:val="Heading3"/>
      </w:pPr>
      <w:bookmarkStart w:id="776" w:name="_Toc149064255"/>
      <w:r w:rsidRPr="00C2774B">
        <w:t>Invalidate</w:t>
      </w:r>
      <w:r w:rsidR="00C93673" w:rsidRPr="00C2774B">
        <w:t xml:space="preserve"> Test Results</w:t>
      </w:r>
      <w:bookmarkEnd w:id="776"/>
    </w:p>
    <w:p w14:paraId="270883E4" w14:textId="77777777" w:rsidR="00C93673" w:rsidRPr="00092A53" w:rsidRDefault="00C93673" w:rsidP="00C93673">
      <w:pPr>
        <w:rPr>
          <w:b/>
          <w:sz w:val="22"/>
          <w:szCs w:val="22"/>
        </w:rPr>
      </w:pPr>
      <w:r w:rsidRPr="00092A53">
        <w:rPr>
          <w:b/>
          <w:sz w:val="22"/>
          <w:szCs w:val="22"/>
        </w:rPr>
        <w:t>Important nuances about invalidating tests:</w:t>
      </w:r>
    </w:p>
    <w:p w14:paraId="0CB88FC2" w14:textId="77777777" w:rsidR="00C93673" w:rsidRPr="00092A53" w:rsidRDefault="00C93673" w:rsidP="00925CAD">
      <w:pPr>
        <w:numPr>
          <w:ilvl w:val="0"/>
          <w:numId w:val="34"/>
        </w:numPr>
        <w:spacing w:line="276" w:lineRule="auto"/>
        <w:ind w:left="1080"/>
        <w:rPr>
          <w:sz w:val="22"/>
          <w:szCs w:val="22"/>
        </w:rPr>
      </w:pPr>
      <w:r w:rsidRPr="00092A53">
        <w:rPr>
          <w:sz w:val="22"/>
          <w:szCs w:val="22"/>
        </w:rPr>
        <w:t xml:space="preserve">When a </w:t>
      </w:r>
      <w:r w:rsidR="00CF7148" w:rsidRPr="00092A53">
        <w:rPr>
          <w:sz w:val="22"/>
          <w:szCs w:val="22"/>
        </w:rPr>
        <w:t>Type and Screen (</w:t>
      </w:r>
      <w:r w:rsidRPr="00092A53">
        <w:rPr>
          <w:sz w:val="22"/>
          <w:szCs w:val="22"/>
        </w:rPr>
        <w:t>TAS</w:t>
      </w:r>
      <w:r w:rsidR="00CF7148" w:rsidRPr="00092A53">
        <w:rPr>
          <w:sz w:val="22"/>
          <w:szCs w:val="22"/>
        </w:rPr>
        <w:t>)</w:t>
      </w:r>
      <w:r w:rsidRPr="00092A53">
        <w:rPr>
          <w:sz w:val="22"/>
          <w:szCs w:val="22"/>
        </w:rPr>
        <w:t xml:space="preserve"> test needs to be invalidated, all the tests in the TAS test configuration must be invalidated to be able to select a test on the </w:t>
      </w:r>
      <w:r w:rsidR="00CF7148" w:rsidRPr="00092A53">
        <w:rPr>
          <w:sz w:val="22"/>
          <w:szCs w:val="22"/>
        </w:rPr>
        <w:t>Pending Task List (</w:t>
      </w:r>
      <w:r w:rsidRPr="00092A53">
        <w:rPr>
          <w:sz w:val="22"/>
          <w:szCs w:val="22"/>
        </w:rPr>
        <w:t>PTL</w:t>
      </w:r>
      <w:r w:rsidR="00CF7148" w:rsidRPr="00092A53">
        <w:rPr>
          <w:sz w:val="22"/>
          <w:szCs w:val="22"/>
        </w:rPr>
        <w:t>)</w:t>
      </w:r>
      <w:r w:rsidRPr="00092A53">
        <w:rPr>
          <w:sz w:val="22"/>
          <w:szCs w:val="22"/>
        </w:rPr>
        <w:t xml:space="preserve"> (It is a loop of a partially completed test).</w:t>
      </w:r>
    </w:p>
    <w:p w14:paraId="1F6FB55C" w14:textId="77777777" w:rsidR="00C93673" w:rsidRPr="00092A53" w:rsidRDefault="00C93673" w:rsidP="00925CAD">
      <w:pPr>
        <w:numPr>
          <w:ilvl w:val="0"/>
          <w:numId w:val="34"/>
        </w:numPr>
        <w:spacing w:line="276" w:lineRule="auto"/>
        <w:ind w:left="1080"/>
        <w:rPr>
          <w:sz w:val="22"/>
          <w:szCs w:val="22"/>
        </w:rPr>
      </w:pPr>
      <w:r w:rsidRPr="00092A53">
        <w:rPr>
          <w:sz w:val="22"/>
          <w:szCs w:val="22"/>
        </w:rPr>
        <w:t xml:space="preserve">When an </w:t>
      </w:r>
      <w:r w:rsidR="004E2AB6" w:rsidRPr="00092A53">
        <w:rPr>
          <w:sz w:val="22"/>
          <w:szCs w:val="22"/>
        </w:rPr>
        <w:t>Antibody</w:t>
      </w:r>
      <w:r w:rsidR="00CF7148" w:rsidRPr="00092A53">
        <w:rPr>
          <w:sz w:val="22"/>
          <w:szCs w:val="22"/>
        </w:rPr>
        <w:t xml:space="preserve"> Identification (</w:t>
      </w:r>
      <w:r w:rsidRPr="00092A53">
        <w:rPr>
          <w:sz w:val="22"/>
          <w:szCs w:val="22"/>
        </w:rPr>
        <w:t>ABID</w:t>
      </w:r>
      <w:r w:rsidR="00CF7148" w:rsidRPr="00092A53">
        <w:rPr>
          <w:sz w:val="22"/>
          <w:szCs w:val="22"/>
        </w:rPr>
        <w:t>)</w:t>
      </w:r>
      <w:r w:rsidRPr="00092A53">
        <w:rPr>
          <w:sz w:val="22"/>
          <w:szCs w:val="22"/>
        </w:rPr>
        <w:t xml:space="preserve"> test is invalid</w:t>
      </w:r>
      <w:r w:rsidR="001866C8" w:rsidRPr="00092A53">
        <w:rPr>
          <w:sz w:val="22"/>
          <w:szCs w:val="22"/>
        </w:rPr>
        <w:t>at</w:t>
      </w:r>
      <w:r w:rsidRPr="00092A53">
        <w:rPr>
          <w:sz w:val="22"/>
          <w:szCs w:val="22"/>
        </w:rPr>
        <w:t>ed:</w:t>
      </w:r>
    </w:p>
    <w:p w14:paraId="1B8D4086" w14:textId="77777777" w:rsidR="00C93673" w:rsidRPr="00092A53" w:rsidRDefault="00C93673" w:rsidP="00925CAD">
      <w:pPr>
        <w:numPr>
          <w:ilvl w:val="1"/>
          <w:numId w:val="34"/>
        </w:numPr>
        <w:spacing w:line="276" w:lineRule="auto"/>
        <w:ind w:left="1530"/>
        <w:rPr>
          <w:sz w:val="22"/>
          <w:szCs w:val="22"/>
        </w:rPr>
      </w:pPr>
      <w:r w:rsidRPr="00092A53">
        <w:rPr>
          <w:sz w:val="22"/>
          <w:szCs w:val="22"/>
        </w:rPr>
        <w:t>The antibody specificities will be removed from the Special Instructions/Transfusion requirements Antibodies Identified at the same time.  This also clears any antigen negative requirements that are created by the antibody identified.</w:t>
      </w:r>
    </w:p>
    <w:p w14:paraId="14F10DB4" w14:textId="77777777" w:rsidR="00C93673" w:rsidRPr="00092A53" w:rsidRDefault="00C93673" w:rsidP="00925CAD">
      <w:pPr>
        <w:numPr>
          <w:ilvl w:val="1"/>
          <w:numId w:val="34"/>
        </w:numPr>
        <w:spacing w:line="276" w:lineRule="auto"/>
        <w:ind w:left="1530"/>
        <w:rPr>
          <w:sz w:val="22"/>
          <w:szCs w:val="22"/>
        </w:rPr>
      </w:pPr>
      <w:r w:rsidRPr="00092A53">
        <w:rPr>
          <w:sz w:val="22"/>
          <w:szCs w:val="22"/>
        </w:rPr>
        <w:t xml:space="preserve"> If separate antigen negative requirements for each of these were entered in SI/TR, they will require update separately. </w:t>
      </w:r>
    </w:p>
    <w:p w14:paraId="7EA76EA1" w14:textId="75DAC76D" w:rsidR="00C93673" w:rsidRPr="00092A53" w:rsidRDefault="00C93673" w:rsidP="00925CAD">
      <w:pPr>
        <w:numPr>
          <w:ilvl w:val="1"/>
          <w:numId w:val="34"/>
        </w:numPr>
        <w:spacing w:line="276" w:lineRule="auto"/>
        <w:ind w:left="1530"/>
        <w:rPr>
          <w:b/>
          <w:sz w:val="22"/>
          <w:szCs w:val="22"/>
        </w:rPr>
      </w:pPr>
      <w:r w:rsidRPr="00092A53">
        <w:rPr>
          <w:b/>
          <w:sz w:val="22"/>
          <w:szCs w:val="22"/>
        </w:rPr>
        <w:t xml:space="preserve">If you need to enter corrected results for the ABID, be sure you check the box to </w:t>
      </w:r>
      <w:r w:rsidR="00227337">
        <w:rPr>
          <w:b/>
          <w:sz w:val="22"/>
          <w:szCs w:val="22"/>
        </w:rPr>
        <w:t>“A</w:t>
      </w:r>
      <w:r w:rsidRPr="00092A53">
        <w:rPr>
          <w:b/>
          <w:sz w:val="22"/>
          <w:szCs w:val="22"/>
        </w:rPr>
        <w:t>dd</w:t>
      </w:r>
      <w:r w:rsidR="00227337">
        <w:rPr>
          <w:b/>
          <w:sz w:val="22"/>
          <w:szCs w:val="22"/>
        </w:rPr>
        <w:t xml:space="preserve"> test to the Pending Task List to allow for replacement results”</w:t>
      </w:r>
      <w:r w:rsidRPr="00092A53">
        <w:rPr>
          <w:b/>
          <w:sz w:val="22"/>
          <w:szCs w:val="22"/>
        </w:rPr>
        <w:t>.  If not, you will have to reorder the reflex test.</w:t>
      </w:r>
    </w:p>
    <w:p w14:paraId="784C1830" w14:textId="77777777" w:rsidR="00C93673" w:rsidRPr="00092A53" w:rsidRDefault="00C93673" w:rsidP="00D64A23">
      <w:pPr>
        <w:rPr>
          <w:sz w:val="22"/>
          <w:szCs w:val="22"/>
        </w:rPr>
      </w:pPr>
    </w:p>
    <w:p w14:paraId="1A48D377" w14:textId="18A10911" w:rsidR="00D64A23" w:rsidRPr="00092A53" w:rsidRDefault="00D64A23" w:rsidP="00D64A23">
      <w:pPr>
        <w:rPr>
          <w:sz w:val="22"/>
          <w:szCs w:val="22"/>
        </w:rPr>
      </w:pPr>
      <w:r w:rsidRPr="00092A53">
        <w:rPr>
          <w:sz w:val="22"/>
          <w:szCs w:val="22"/>
        </w:rPr>
        <w:t xml:space="preserve">A </w:t>
      </w:r>
      <w:r w:rsidR="00CF7148" w:rsidRPr="00092A53">
        <w:rPr>
          <w:sz w:val="22"/>
          <w:szCs w:val="22"/>
        </w:rPr>
        <w:t>f</w:t>
      </w:r>
      <w:r w:rsidRPr="00092A53">
        <w:rPr>
          <w:sz w:val="22"/>
          <w:szCs w:val="22"/>
        </w:rPr>
        <w:t xml:space="preserve">inalized Transfusion Reaction </w:t>
      </w:r>
      <w:r w:rsidR="00CF7148" w:rsidRPr="00092A53">
        <w:rPr>
          <w:sz w:val="22"/>
          <w:szCs w:val="22"/>
        </w:rPr>
        <w:t>W</w:t>
      </w:r>
      <w:r w:rsidRPr="00092A53">
        <w:rPr>
          <w:sz w:val="22"/>
          <w:szCs w:val="22"/>
        </w:rPr>
        <w:t>orkup</w:t>
      </w:r>
      <w:r w:rsidR="00CF7148" w:rsidRPr="00092A53">
        <w:rPr>
          <w:sz w:val="22"/>
          <w:szCs w:val="22"/>
        </w:rPr>
        <w:t xml:space="preserve"> (TRW)</w:t>
      </w:r>
      <w:r w:rsidRPr="00092A53">
        <w:rPr>
          <w:sz w:val="22"/>
          <w:szCs w:val="22"/>
        </w:rPr>
        <w:t xml:space="preserve"> cannot be invalidated. </w:t>
      </w:r>
      <w:r w:rsidR="00CF7148" w:rsidRPr="00092A53">
        <w:rPr>
          <w:sz w:val="22"/>
          <w:szCs w:val="22"/>
        </w:rPr>
        <w:t xml:space="preserve">Invalidation requires a </w:t>
      </w:r>
      <w:r w:rsidR="00435359">
        <w:rPr>
          <w:sz w:val="22"/>
          <w:szCs w:val="22"/>
        </w:rPr>
        <w:t>Service</w:t>
      </w:r>
      <w:r w:rsidR="003E31A0">
        <w:rPr>
          <w:sz w:val="22"/>
          <w:szCs w:val="22"/>
        </w:rPr>
        <w:t xml:space="preserve"> Desk</w:t>
      </w:r>
      <w:r w:rsidR="00CF7148" w:rsidRPr="00092A53">
        <w:rPr>
          <w:sz w:val="22"/>
          <w:szCs w:val="22"/>
        </w:rPr>
        <w:t xml:space="preserve"> ticket to have the development team intervene and make that correction.</w:t>
      </w:r>
      <w:r w:rsidRPr="00092A53">
        <w:rPr>
          <w:sz w:val="22"/>
          <w:szCs w:val="22"/>
        </w:rPr>
        <w:t xml:space="preserve"> A TRW that has not been </w:t>
      </w:r>
      <w:r w:rsidR="00CF7148" w:rsidRPr="00092A53">
        <w:rPr>
          <w:sz w:val="22"/>
          <w:szCs w:val="22"/>
        </w:rPr>
        <w:t>f</w:t>
      </w:r>
      <w:r w:rsidRPr="00092A53">
        <w:rPr>
          <w:sz w:val="22"/>
          <w:szCs w:val="22"/>
        </w:rPr>
        <w:t>inalized can be invalidated and re</w:t>
      </w:r>
      <w:r w:rsidR="00CF7148" w:rsidRPr="00092A53">
        <w:rPr>
          <w:sz w:val="22"/>
          <w:szCs w:val="22"/>
        </w:rPr>
        <w:t>-</w:t>
      </w:r>
      <w:r w:rsidRPr="00092A53">
        <w:rPr>
          <w:sz w:val="22"/>
          <w:szCs w:val="22"/>
        </w:rPr>
        <w:t xml:space="preserve">entered as any other VBECS test. </w:t>
      </w:r>
    </w:p>
    <w:p w14:paraId="76E5309A" w14:textId="77777777" w:rsidR="00D64A23" w:rsidRPr="00092A53" w:rsidRDefault="00D64A23" w:rsidP="00D64A23">
      <w:pPr>
        <w:rPr>
          <w:b/>
          <w:sz w:val="22"/>
          <w:szCs w:val="22"/>
        </w:rPr>
      </w:pPr>
      <w:r w:rsidRPr="00092A53">
        <w:rPr>
          <w:b/>
          <w:sz w:val="22"/>
          <w:szCs w:val="22"/>
        </w:rPr>
        <w:t>Where to start...</w:t>
      </w:r>
    </w:p>
    <w:p w14:paraId="518682E0" w14:textId="77777777" w:rsidR="00D64A23" w:rsidRPr="00092A53" w:rsidRDefault="00D64A23" w:rsidP="00925CAD">
      <w:pPr>
        <w:numPr>
          <w:ilvl w:val="0"/>
          <w:numId w:val="36"/>
        </w:numPr>
        <w:spacing w:line="276" w:lineRule="auto"/>
        <w:rPr>
          <w:b/>
          <w:sz w:val="22"/>
          <w:szCs w:val="22"/>
        </w:rPr>
      </w:pPr>
      <w:r w:rsidRPr="00092A53">
        <w:rPr>
          <w:b/>
          <w:sz w:val="22"/>
          <w:szCs w:val="22"/>
        </w:rPr>
        <w:t xml:space="preserve">Are the units transfused?  </w:t>
      </w:r>
    </w:p>
    <w:p w14:paraId="305799D4" w14:textId="77777777" w:rsidR="00D64A23" w:rsidRPr="00092A53" w:rsidRDefault="00D64A23" w:rsidP="00D64A23">
      <w:pPr>
        <w:ind w:firstLine="720"/>
        <w:rPr>
          <w:sz w:val="22"/>
          <w:szCs w:val="22"/>
        </w:rPr>
      </w:pPr>
      <w:r w:rsidRPr="00092A53">
        <w:rPr>
          <w:sz w:val="22"/>
          <w:szCs w:val="22"/>
        </w:rPr>
        <w:t>Go to Supervisor, Remove Final Status to get the unit back to an issued status.</w:t>
      </w:r>
    </w:p>
    <w:p w14:paraId="2BB51450" w14:textId="77777777" w:rsidR="00D64A23" w:rsidRPr="00092A53" w:rsidRDefault="00D64A23" w:rsidP="00925CAD">
      <w:pPr>
        <w:numPr>
          <w:ilvl w:val="0"/>
          <w:numId w:val="36"/>
        </w:numPr>
        <w:spacing w:line="276" w:lineRule="auto"/>
        <w:rPr>
          <w:b/>
          <w:sz w:val="22"/>
          <w:szCs w:val="22"/>
        </w:rPr>
      </w:pPr>
      <w:r w:rsidRPr="00092A53">
        <w:rPr>
          <w:b/>
          <w:sz w:val="22"/>
          <w:szCs w:val="22"/>
        </w:rPr>
        <w:t xml:space="preserve">Are the units issued? </w:t>
      </w:r>
    </w:p>
    <w:p w14:paraId="5CD900AD" w14:textId="77777777" w:rsidR="00D64A23" w:rsidRPr="00092A53" w:rsidRDefault="00D64A23" w:rsidP="00D64A23">
      <w:pPr>
        <w:ind w:firstLine="720"/>
        <w:rPr>
          <w:sz w:val="22"/>
          <w:szCs w:val="22"/>
        </w:rPr>
      </w:pPr>
      <w:r w:rsidRPr="00092A53">
        <w:rPr>
          <w:sz w:val="22"/>
          <w:szCs w:val="22"/>
        </w:rPr>
        <w:t xml:space="preserve">Go to Return Unit from Issue by either the patient or blood unit menu. </w:t>
      </w:r>
    </w:p>
    <w:p w14:paraId="0BFBCEDB" w14:textId="77777777" w:rsidR="00D64A23" w:rsidRPr="00092A53" w:rsidRDefault="00D64A23" w:rsidP="00D64A23">
      <w:pPr>
        <w:ind w:left="720"/>
        <w:rPr>
          <w:sz w:val="22"/>
          <w:szCs w:val="22"/>
        </w:rPr>
      </w:pPr>
      <w:r w:rsidRPr="00092A53">
        <w:rPr>
          <w:sz w:val="22"/>
          <w:szCs w:val="22"/>
        </w:rPr>
        <w:t>Return the unit from issue at the current date and time.</w:t>
      </w:r>
    </w:p>
    <w:p w14:paraId="563B7183" w14:textId="77777777" w:rsidR="00D64A23" w:rsidRPr="00092A53" w:rsidRDefault="00D64A23" w:rsidP="00925CAD">
      <w:pPr>
        <w:numPr>
          <w:ilvl w:val="0"/>
          <w:numId w:val="36"/>
        </w:numPr>
        <w:spacing w:line="276" w:lineRule="auto"/>
        <w:rPr>
          <w:b/>
          <w:sz w:val="22"/>
          <w:szCs w:val="22"/>
        </w:rPr>
      </w:pPr>
      <w:r w:rsidRPr="00092A53">
        <w:rPr>
          <w:b/>
          <w:sz w:val="22"/>
          <w:szCs w:val="22"/>
        </w:rPr>
        <w:t xml:space="preserve">Are the units selected for a patient? </w:t>
      </w:r>
    </w:p>
    <w:p w14:paraId="417E9325" w14:textId="77777777" w:rsidR="00D64A23" w:rsidRPr="00092A53" w:rsidRDefault="00D64A23" w:rsidP="00D64A23">
      <w:pPr>
        <w:ind w:firstLine="720"/>
        <w:rPr>
          <w:sz w:val="22"/>
          <w:szCs w:val="22"/>
        </w:rPr>
      </w:pPr>
      <w:r w:rsidRPr="00092A53">
        <w:rPr>
          <w:sz w:val="22"/>
          <w:szCs w:val="22"/>
        </w:rPr>
        <w:t>Go to Release Units from Assignment by either the patient or blood unit menu.</w:t>
      </w:r>
    </w:p>
    <w:p w14:paraId="2FDFC324" w14:textId="77777777" w:rsidR="00D64A23" w:rsidRPr="00092A53" w:rsidRDefault="00D64A23" w:rsidP="00D64A23">
      <w:pPr>
        <w:rPr>
          <w:sz w:val="22"/>
          <w:szCs w:val="22"/>
        </w:rPr>
      </w:pPr>
    </w:p>
    <w:p w14:paraId="364E079B" w14:textId="77777777" w:rsidR="00D64A23" w:rsidRPr="00092A53" w:rsidRDefault="00D64A23" w:rsidP="00D64A23">
      <w:pPr>
        <w:rPr>
          <w:sz w:val="22"/>
          <w:szCs w:val="22"/>
        </w:rPr>
      </w:pPr>
      <w:r w:rsidRPr="00092A53">
        <w:rPr>
          <w:sz w:val="22"/>
          <w:szCs w:val="22"/>
        </w:rPr>
        <w:t>When the units are no longer assigned to the patient, go into Invalidate Patient Testing by the Patient Menu and invalidate the patient test.</w:t>
      </w:r>
    </w:p>
    <w:p w14:paraId="6A86A2BE" w14:textId="77777777" w:rsidR="00D64A23" w:rsidRPr="004A517D" w:rsidRDefault="00D64A23" w:rsidP="00D64A23">
      <w:pPr>
        <w:rPr>
          <w:rFonts w:ascii="Arial" w:hAnsi="Arial" w:cs="Arial"/>
          <w:sz w:val="20"/>
          <w:szCs w:val="20"/>
        </w:rPr>
      </w:pPr>
    </w:p>
    <w:p w14:paraId="4A1E4045" w14:textId="422D199D" w:rsidR="00D64A23" w:rsidRPr="004A517D" w:rsidRDefault="00057948" w:rsidP="00D64A23">
      <w:pPr>
        <w:rPr>
          <w:rFonts w:ascii="Arial" w:hAnsi="Arial" w:cs="Arial"/>
          <w:b/>
          <w:color w:val="FF0000"/>
          <w:sz w:val="20"/>
          <w:szCs w:val="20"/>
        </w:rPr>
      </w:pPr>
      <w:r>
        <w:rPr>
          <w:rFonts w:ascii="Arial" w:hAnsi="Arial" w:cs="Arial"/>
          <w:noProof/>
          <w:sz w:val="20"/>
          <w:szCs w:val="20"/>
        </w:rPr>
        <mc:AlternateContent>
          <mc:Choice Requires="wps">
            <w:drawing>
              <wp:anchor distT="0" distB="0" distL="114300" distR="114300" simplePos="0" relativeHeight="252023296" behindDoc="0" locked="0" layoutInCell="1" allowOverlap="1" wp14:anchorId="448458D6" wp14:editId="6BC02E37">
                <wp:simplePos x="0" y="0"/>
                <wp:positionH relativeFrom="column">
                  <wp:posOffset>-133350</wp:posOffset>
                </wp:positionH>
                <wp:positionV relativeFrom="paragraph">
                  <wp:posOffset>-66675</wp:posOffset>
                </wp:positionV>
                <wp:extent cx="6086475" cy="457200"/>
                <wp:effectExtent l="9525" t="9525" r="9525" b="9525"/>
                <wp:wrapNone/>
                <wp:docPr id="16" name="Rectangle 1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4572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11AAF" id="Rectangle 1214" o:spid="_x0000_s1026" alt="&quot;&quot;" style="position:absolute;margin-left:-10.5pt;margin-top:-5.25pt;width:479.25pt;height:36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" filled="f" strokecolor="red" strokeweight="1.5pt"/>
            </w:pict>
          </mc:Fallback>
        </mc:AlternateContent>
      </w:r>
      <w:r w:rsidR="00D64A23" w:rsidRPr="004A517D">
        <w:rPr>
          <w:rFonts w:ascii="Arial" w:hAnsi="Arial" w:cs="Arial"/>
          <w:b/>
          <w:color w:val="FF0000"/>
          <w:sz w:val="20"/>
          <w:szCs w:val="20"/>
        </w:rPr>
        <w:t xml:space="preserve">STOP and make sure the user checks the box </w:t>
      </w:r>
      <w:r w:rsidR="00561E05">
        <w:rPr>
          <w:rFonts w:ascii="Arial" w:hAnsi="Arial" w:cs="Arial"/>
          <w:b/>
          <w:color w:val="FF0000"/>
          <w:sz w:val="20"/>
          <w:szCs w:val="20"/>
        </w:rPr>
        <w:t xml:space="preserve">“Add test to the Pending Task List to allow for replacement results” </w:t>
      </w:r>
      <w:r w:rsidR="00D64A23" w:rsidRPr="004A517D">
        <w:rPr>
          <w:rFonts w:ascii="Arial" w:hAnsi="Arial" w:cs="Arial"/>
          <w:b/>
          <w:color w:val="FF0000"/>
          <w:sz w:val="20"/>
          <w:szCs w:val="20"/>
        </w:rPr>
        <w:t>if they want the test to appear on the PTL for correction.</w:t>
      </w:r>
    </w:p>
    <w:p w14:paraId="05946A77" w14:textId="77777777" w:rsidR="00D64A23" w:rsidRPr="004A517D" w:rsidRDefault="00D64A23" w:rsidP="00D64A23">
      <w:pPr>
        <w:rPr>
          <w:rFonts w:ascii="Arial" w:hAnsi="Arial" w:cs="Arial"/>
          <w:b/>
          <w:color w:val="FF0000"/>
          <w:sz w:val="20"/>
          <w:szCs w:val="20"/>
        </w:rPr>
      </w:pPr>
    </w:p>
    <w:p w14:paraId="29C51114" w14:textId="77777777" w:rsidR="00D64A23" w:rsidRPr="00C2774B" w:rsidRDefault="00D64A23" w:rsidP="00C2774B">
      <w:pPr>
        <w:pStyle w:val="Heading3"/>
      </w:pPr>
      <w:bookmarkStart w:id="777" w:name="_Toc149064256"/>
      <w:r w:rsidRPr="00C2774B">
        <w:t>UN-Pooling a Pooled Unit (in the computer only)</w:t>
      </w:r>
      <w:bookmarkEnd w:id="777"/>
    </w:p>
    <w:p w14:paraId="082CE870" w14:textId="77777777" w:rsidR="00D64A23" w:rsidRPr="00092A53" w:rsidRDefault="00D64A23" w:rsidP="00D64A23">
      <w:pPr>
        <w:rPr>
          <w:sz w:val="22"/>
          <w:szCs w:val="22"/>
        </w:rPr>
      </w:pPr>
      <w:r w:rsidRPr="00092A53">
        <w:rPr>
          <w:sz w:val="22"/>
          <w:szCs w:val="22"/>
        </w:rPr>
        <w:t>This may happen when a pool is created in the computer and the physical pool was not created after all.</w:t>
      </w:r>
    </w:p>
    <w:p w14:paraId="3DDDBEB2" w14:textId="77777777" w:rsidR="00D64A23" w:rsidRPr="00092A53" w:rsidRDefault="00D64A23" w:rsidP="00D64A23">
      <w:pPr>
        <w:rPr>
          <w:sz w:val="22"/>
          <w:szCs w:val="22"/>
        </w:rPr>
      </w:pPr>
      <w:r w:rsidRPr="00092A53">
        <w:rPr>
          <w:sz w:val="22"/>
          <w:szCs w:val="22"/>
        </w:rPr>
        <w:t xml:space="preserve">If there is a patient assignment, issue or transfusion, that must be removed first as described above in the </w:t>
      </w:r>
      <w:r w:rsidRPr="00092A53">
        <w:rPr>
          <w:b/>
          <w:sz w:val="22"/>
          <w:szCs w:val="22"/>
        </w:rPr>
        <w:t xml:space="preserve">Where to start </w:t>
      </w:r>
      <w:r w:rsidRPr="00092A53">
        <w:rPr>
          <w:sz w:val="22"/>
          <w:szCs w:val="22"/>
        </w:rPr>
        <w:t>section.</w:t>
      </w:r>
    </w:p>
    <w:p w14:paraId="7EE97A5E" w14:textId="77777777" w:rsidR="00D64A23" w:rsidRPr="00092A53" w:rsidRDefault="00D64A23" w:rsidP="00925CAD">
      <w:pPr>
        <w:numPr>
          <w:ilvl w:val="0"/>
          <w:numId w:val="35"/>
        </w:numPr>
        <w:spacing w:line="276" w:lineRule="auto"/>
        <w:rPr>
          <w:sz w:val="22"/>
          <w:szCs w:val="22"/>
        </w:rPr>
      </w:pPr>
      <w:r w:rsidRPr="00092A53">
        <w:rPr>
          <w:sz w:val="22"/>
          <w:szCs w:val="22"/>
        </w:rPr>
        <w:t>Go to Blood Unit, Edit Unit Information and INACTIVATE the Pooled Unit.</w:t>
      </w:r>
    </w:p>
    <w:p w14:paraId="5E0861D5" w14:textId="77777777" w:rsidR="00D64A23" w:rsidRPr="00092A53" w:rsidRDefault="00D64A23" w:rsidP="00925CAD">
      <w:pPr>
        <w:numPr>
          <w:ilvl w:val="0"/>
          <w:numId w:val="35"/>
        </w:numPr>
        <w:spacing w:line="276" w:lineRule="auto"/>
        <w:rPr>
          <w:sz w:val="22"/>
          <w:szCs w:val="22"/>
        </w:rPr>
      </w:pPr>
      <w:r w:rsidRPr="00092A53">
        <w:rPr>
          <w:sz w:val="22"/>
          <w:szCs w:val="22"/>
        </w:rPr>
        <w:t>Go to Supervisor, Remove Final Status, select each original unit removing the MODIFIED status and making each available.</w:t>
      </w:r>
    </w:p>
    <w:p w14:paraId="029E019F" w14:textId="77777777" w:rsidR="00D64A23" w:rsidRPr="00092A53" w:rsidRDefault="001866C8" w:rsidP="00925CAD">
      <w:pPr>
        <w:numPr>
          <w:ilvl w:val="0"/>
          <w:numId w:val="35"/>
        </w:numPr>
        <w:spacing w:line="276" w:lineRule="auto"/>
        <w:rPr>
          <w:sz w:val="22"/>
          <w:szCs w:val="22"/>
        </w:rPr>
      </w:pPr>
      <w:r w:rsidRPr="00092A53">
        <w:rPr>
          <w:sz w:val="22"/>
          <w:szCs w:val="22"/>
        </w:rPr>
        <w:t xml:space="preserve">Repeat Step </w:t>
      </w:r>
      <w:r w:rsidR="00D64A23" w:rsidRPr="00092A53">
        <w:rPr>
          <w:sz w:val="22"/>
          <w:szCs w:val="22"/>
        </w:rPr>
        <w:t>2 for each original unit included in the pool.</w:t>
      </w:r>
    </w:p>
    <w:p w14:paraId="02B0F10E" w14:textId="77777777" w:rsidR="006B6B74" w:rsidRPr="00C2774B" w:rsidRDefault="00E91569" w:rsidP="00C2774B">
      <w:pPr>
        <w:pStyle w:val="Heading3"/>
        <w:rPr>
          <w:szCs w:val="20"/>
        </w:rPr>
      </w:pPr>
      <w:bookmarkStart w:id="778" w:name="_Toc149064257"/>
      <w:r>
        <w:t>UN-Modifying a U</w:t>
      </w:r>
      <w:r w:rsidR="00092A53" w:rsidRPr="00C2774B">
        <w:t>nit</w:t>
      </w:r>
      <w:bookmarkEnd w:id="778"/>
      <w:r w:rsidR="00D64A23" w:rsidRPr="00C2774B">
        <w:rPr>
          <w:szCs w:val="20"/>
        </w:rPr>
        <w:t xml:space="preserve"> </w:t>
      </w:r>
    </w:p>
    <w:p w14:paraId="591C53B8" w14:textId="77777777" w:rsidR="00D64A23" w:rsidRPr="00092A53" w:rsidRDefault="00D64A23" w:rsidP="00D64A23">
      <w:pPr>
        <w:rPr>
          <w:sz w:val="22"/>
          <w:szCs w:val="22"/>
        </w:rPr>
      </w:pPr>
      <w:r w:rsidRPr="00092A53">
        <w:rPr>
          <w:sz w:val="22"/>
          <w:szCs w:val="22"/>
        </w:rPr>
        <w:t>Go to Supervisor, Remove Final Status.</w:t>
      </w:r>
    </w:p>
    <w:p w14:paraId="2EC49C12" w14:textId="77777777" w:rsidR="00392A54" w:rsidRDefault="00D64A23" w:rsidP="00D64A23">
      <w:pPr>
        <w:rPr>
          <w:sz w:val="22"/>
          <w:szCs w:val="22"/>
        </w:rPr>
      </w:pPr>
      <w:r w:rsidRPr="00092A53">
        <w:rPr>
          <w:sz w:val="22"/>
          <w:szCs w:val="22"/>
        </w:rPr>
        <w:t xml:space="preserve">If there is a patient assignment, issue or transfusion, that must be removed first as described above in the </w:t>
      </w:r>
      <w:r w:rsidRPr="00092A53">
        <w:rPr>
          <w:b/>
          <w:sz w:val="22"/>
          <w:szCs w:val="22"/>
        </w:rPr>
        <w:t>Where to start</w:t>
      </w:r>
      <w:r w:rsidRPr="00092A53">
        <w:rPr>
          <w:sz w:val="22"/>
          <w:szCs w:val="22"/>
        </w:rPr>
        <w:t xml:space="preserve"> section.</w:t>
      </w:r>
    </w:p>
    <w:p w14:paraId="3522F3DD" w14:textId="0C359B7C" w:rsidR="00657069" w:rsidRDefault="00D64A23" w:rsidP="00E43C60">
      <w:pPr>
        <w:pStyle w:val="Heading2"/>
      </w:pPr>
      <w:r>
        <w:br w:type="page"/>
      </w:r>
      <w:bookmarkStart w:id="779" w:name="_Ref256684287"/>
      <w:bookmarkStart w:id="780" w:name="_Toc149064258"/>
      <w:r w:rsidR="0062532A">
        <w:t xml:space="preserve">Appendix </w:t>
      </w:r>
      <w:bookmarkEnd w:id="773"/>
      <w:r w:rsidR="001B0B0C">
        <w:rPr>
          <w:noProof/>
        </w:rPr>
        <w:t>J</w:t>
      </w:r>
      <w:r w:rsidR="0062532A">
        <w:t xml:space="preserve">: </w:t>
      </w:r>
      <w:r w:rsidR="00657069">
        <w:t>Recommended Report Usage</w:t>
      </w:r>
      <w:bookmarkEnd w:id="779"/>
      <w:bookmarkEnd w:id="780"/>
      <w:r w:rsidR="00681D23">
        <w:fldChar w:fldCharType="begin"/>
      </w:r>
      <w:r w:rsidR="00681D23">
        <w:instrText xml:space="preserve"> XE "</w:instrText>
      </w:r>
      <w:r w:rsidR="00681D23" w:rsidRPr="00AE2CB0">
        <w:instrText>Recommended Report Usage</w:instrText>
      </w:r>
      <w:r w:rsidR="00681D23">
        <w:instrText xml:space="preserve">" </w:instrText>
      </w:r>
      <w:r w:rsidR="00681D23">
        <w:fldChar w:fldCharType="end"/>
      </w:r>
      <w:r w:rsidR="00657069">
        <w:t xml:space="preserve"> </w:t>
      </w:r>
    </w:p>
    <w:p w14:paraId="18F22667" w14:textId="194E71B5" w:rsidR="00E24CBD" w:rsidRDefault="00EE455E" w:rsidP="00E24CBD">
      <w:pPr>
        <w:pStyle w:val="BodyText"/>
      </w:pPr>
      <w:r>
        <w:t xml:space="preserve">Table </w:t>
      </w:r>
      <w:r>
        <w:rPr>
          <w:noProof/>
        </w:rPr>
        <w:t>36</w:t>
      </w:r>
      <w:r w:rsidR="00E24CBD">
        <w:t xml:space="preserve"> lists reports, how often to run them, and how to use them. These are recommendations for meeting </w:t>
      </w:r>
      <w:r w:rsidR="00FE73F7">
        <w:t>regulatory requirements</w:t>
      </w:r>
      <w:r w:rsidR="00E24CBD">
        <w:t>.</w:t>
      </w:r>
      <w:r w:rsidR="006C1675">
        <w:t xml:space="preserve"> Reports</w:t>
      </w:r>
      <w:r w:rsidR="00462332">
        <w:t>, including the non-individual Blood Availability Report,</w:t>
      </w:r>
      <w:r w:rsidR="006C1675">
        <w:t xml:space="preserve"> are available through the Reports </w:t>
      </w:r>
      <w:r w:rsidR="00954B52">
        <w:t>menu item</w:t>
      </w:r>
      <w:r w:rsidR="006C1675">
        <w:t>. The</w:t>
      </w:r>
      <w:r w:rsidR="00462332">
        <w:t xml:space="preserve"> patient-specific</w:t>
      </w:r>
      <w:r w:rsidR="006C1675">
        <w:t xml:space="preserve"> Blood Availability Report is available through the Patients </w:t>
      </w:r>
      <w:r w:rsidR="00954B52">
        <w:t>menu item</w:t>
      </w:r>
      <w:r w:rsidR="006C1675">
        <w:t>.</w:t>
      </w:r>
    </w:p>
    <w:p w14:paraId="1CB801FB" w14:textId="79EF381D" w:rsidR="00E24CBD" w:rsidRDefault="00E24CBD" w:rsidP="00E24CBD">
      <w:pPr>
        <w:pStyle w:val="Caption"/>
      </w:pPr>
      <w:bookmarkStart w:id="781" w:name="_Ref126732565"/>
      <w:bookmarkStart w:id="782" w:name="_Ref126504669"/>
      <w:r>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36</w:t>
      </w:r>
      <w:r w:rsidR="004E20BD">
        <w:rPr>
          <w:noProof/>
        </w:rPr>
        <w:fldChar w:fldCharType="end"/>
      </w:r>
      <w:bookmarkEnd w:id="781"/>
      <w:r>
        <w:t>: Recommended Report Usage</w:t>
      </w:r>
      <w:bookmarkEnd w:id="782"/>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0"/>
        <w:gridCol w:w="2039"/>
        <w:gridCol w:w="2580"/>
        <w:gridCol w:w="3461"/>
      </w:tblGrid>
      <w:tr w:rsidR="00462332" w:rsidRPr="00E24CBD" w14:paraId="6447BBAD" w14:textId="77777777">
        <w:trPr>
          <w:cantSplit/>
          <w:tblHeader/>
        </w:trPr>
        <w:tc>
          <w:tcPr>
            <w:tcW w:w="1728" w:type="dxa"/>
            <w:shd w:val="clear" w:color="auto" w:fill="B3B3B3"/>
            <w:vAlign w:val="bottom"/>
          </w:tcPr>
          <w:p w14:paraId="5A30B560" w14:textId="77777777" w:rsidR="00462332" w:rsidRPr="00E24CBD" w:rsidRDefault="00462332" w:rsidP="00E24CBD">
            <w:pPr>
              <w:pStyle w:val="TableText"/>
              <w:rPr>
                <w:b/>
                <w:snapToGrid w:val="0"/>
              </w:rPr>
            </w:pPr>
            <w:r>
              <w:rPr>
                <w:b/>
                <w:snapToGrid w:val="0"/>
              </w:rPr>
              <w:t>Run This Report:</w:t>
            </w:r>
          </w:p>
        </w:tc>
        <w:tc>
          <w:tcPr>
            <w:tcW w:w="2810" w:type="dxa"/>
            <w:shd w:val="clear" w:color="auto" w:fill="B3B3B3"/>
            <w:vAlign w:val="bottom"/>
          </w:tcPr>
          <w:p w14:paraId="19AB10C0" w14:textId="77777777" w:rsidR="00462332" w:rsidRPr="00E24CBD" w:rsidRDefault="00462332" w:rsidP="00E24CBD">
            <w:pPr>
              <w:pStyle w:val="TableText"/>
              <w:rPr>
                <w:b/>
                <w:snapToGrid w:val="0"/>
              </w:rPr>
            </w:pPr>
            <w:r>
              <w:rPr>
                <w:b/>
                <w:snapToGrid w:val="0"/>
              </w:rPr>
              <w:t>Report</w:t>
            </w:r>
            <w:r w:rsidR="00695BEA">
              <w:rPr>
                <w:b/>
                <w:snapToGrid w:val="0"/>
              </w:rPr>
              <w:t xml:space="preserve"> Option</w:t>
            </w:r>
          </w:p>
        </w:tc>
        <w:tc>
          <w:tcPr>
            <w:tcW w:w="3582" w:type="dxa"/>
            <w:shd w:val="clear" w:color="auto" w:fill="B3B3B3"/>
            <w:vAlign w:val="bottom"/>
          </w:tcPr>
          <w:p w14:paraId="52AE464D" w14:textId="77777777" w:rsidR="00462332" w:rsidRPr="00E24CBD" w:rsidRDefault="00695BEA" w:rsidP="00E24CBD">
            <w:pPr>
              <w:pStyle w:val="TableText"/>
              <w:rPr>
                <w:b/>
                <w:snapToGrid w:val="0"/>
              </w:rPr>
            </w:pPr>
            <w:r>
              <w:rPr>
                <w:b/>
                <w:snapToGrid w:val="0"/>
              </w:rPr>
              <w:t>Purpose</w:t>
            </w:r>
          </w:p>
        </w:tc>
        <w:tc>
          <w:tcPr>
            <w:tcW w:w="4840" w:type="dxa"/>
            <w:shd w:val="clear" w:color="auto" w:fill="B3B3B3"/>
            <w:vAlign w:val="bottom"/>
          </w:tcPr>
          <w:p w14:paraId="02CBECCA" w14:textId="77777777" w:rsidR="00462332" w:rsidRPr="00E24CBD" w:rsidRDefault="00695BEA" w:rsidP="00E24CBD">
            <w:pPr>
              <w:pStyle w:val="TableText"/>
              <w:rPr>
                <w:b/>
                <w:snapToGrid w:val="0"/>
              </w:rPr>
            </w:pPr>
            <w:r>
              <w:rPr>
                <w:b/>
                <w:snapToGrid w:val="0"/>
              </w:rPr>
              <w:t>To Meet Regulatory Requirements:</w:t>
            </w:r>
          </w:p>
        </w:tc>
      </w:tr>
      <w:tr w:rsidR="00462332" w14:paraId="56FBAB27" w14:textId="77777777">
        <w:trPr>
          <w:cantSplit/>
        </w:trPr>
        <w:tc>
          <w:tcPr>
            <w:tcW w:w="1728" w:type="dxa"/>
            <w:vMerge w:val="restart"/>
          </w:tcPr>
          <w:p w14:paraId="2EF7C1D4" w14:textId="77777777" w:rsidR="00462332" w:rsidRDefault="00462332" w:rsidP="00E24CBD">
            <w:pPr>
              <w:pStyle w:val="TableText"/>
              <w:rPr>
                <w:snapToGrid w:val="0"/>
              </w:rPr>
            </w:pPr>
            <w:r>
              <w:rPr>
                <w:snapToGrid w:val="0"/>
              </w:rPr>
              <w:t>Daily</w:t>
            </w:r>
          </w:p>
        </w:tc>
        <w:tc>
          <w:tcPr>
            <w:tcW w:w="2810" w:type="dxa"/>
          </w:tcPr>
          <w:p w14:paraId="71D3B4A9" w14:textId="77777777" w:rsidR="00462332" w:rsidRDefault="00462332" w:rsidP="00E24CBD">
            <w:pPr>
              <w:pStyle w:val="TableText"/>
              <w:rPr>
                <w:snapToGrid w:val="0"/>
              </w:rPr>
            </w:pPr>
            <w:r>
              <w:rPr>
                <w:snapToGrid w:val="0"/>
              </w:rPr>
              <w:t>Audit Trail</w:t>
            </w:r>
          </w:p>
        </w:tc>
        <w:tc>
          <w:tcPr>
            <w:tcW w:w="3582" w:type="dxa"/>
          </w:tcPr>
          <w:p w14:paraId="61C69EA5" w14:textId="77777777" w:rsidR="00462332" w:rsidRDefault="00462332" w:rsidP="00E24CBD">
            <w:pPr>
              <w:pStyle w:val="TableText"/>
              <w:rPr>
                <w:snapToGrid w:val="0"/>
              </w:rPr>
            </w:pPr>
            <w:r>
              <w:t xml:space="preserve">Quality </w:t>
            </w:r>
            <w:r w:rsidR="000A04E1">
              <w:t>a</w:t>
            </w:r>
            <w:r>
              <w:t>ssurance (QA) report details data changes in system.</w:t>
            </w:r>
          </w:p>
        </w:tc>
        <w:tc>
          <w:tcPr>
            <w:tcW w:w="4840" w:type="dxa"/>
          </w:tcPr>
          <w:p w14:paraId="1BC10579" w14:textId="77777777" w:rsidR="00462332" w:rsidRDefault="00462332" w:rsidP="00E24CBD">
            <w:pPr>
              <w:pStyle w:val="TableText"/>
              <w:rPr>
                <w:snapToGrid w:val="0"/>
              </w:rPr>
            </w:pPr>
            <w:r>
              <w:rPr>
                <w:snapToGrid w:val="0"/>
              </w:rPr>
              <w:t>Print, review, sign</w:t>
            </w:r>
            <w:r w:rsidR="000A04E1">
              <w:rPr>
                <w:snapToGrid w:val="0"/>
              </w:rPr>
              <w:t>,</w:t>
            </w:r>
            <w:r>
              <w:rPr>
                <w:snapToGrid w:val="0"/>
              </w:rPr>
              <w:t xml:space="preserve"> </w:t>
            </w:r>
            <w:r w:rsidR="00695BEA">
              <w:rPr>
                <w:snapToGrid w:val="0"/>
              </w:rPr>
              <w:t xml:space="preserve">date, </w:t>
            </w:r>
            <w:r>
              <w:rPr>
                <w:snapToGrid w:val="0"/>
              </w:rPr>
              <w:t>and save hard</w:t>
            </w:r>
            <w:r w:rsidR="00695BEA">
              <w:rPr>
                <w:snapToGrid w:val="0"/>
              </w:rPr>
              <w:t xml:space="preserve"> </w:t>
            </w:r>
            <w:r>
              <w:rPr>
                <w:snapToGrid w:val="0"/>
              </w:rPr>
              <w:t>copy.</w:t>
            </w:r>
          </w:p>
        </w:tc>
      </w:tr>
      <w:tr w:rsidR="00462332" w14:paraId="522B04DF" w14:textId="77777777">
        <w:trPr>
          <w:cantSplit/>
        </w:trPr>
        <w:tc>
          <w:tcPr>
            <w:tcW w:w="1728" w:type="dxa"/>
            <w:vMerge/>
          </w:tcPr>
          <w:p w14:paraId="0FE1D9DA" w14:textId="77777777" w:rsidR="00462332" w:rsidRDefault="00462332" w:rsidP="00E24CBD">
            <w:pPr>
              <w:pStyle w:val="TableText"/>
              <w:rPr>
                <w:snapToGrid w:val="0"/>
              </w:rPr>
            </w:pPr>
          </w:p>
        </w:tc>
        <w:tc>
          <w:tcPr>
            <w:tcW w:w="2810" w:type="dxa"/>
          </w:tcPr>
          <w:p w14:paraId="666F3C23" w14:textId="77777777" w:rsidR="00462332" w:rsidRDefault="00462332" w:rsidP="00E24CBD">
            <w:pPr>
              <w:pStyle w:val="TableText"/>
              <w:rPr>
                <w:snapToGrid w:val="0"/>
              </w:rPr>
            </w:pPr>
            <w:r>
              <w:rPr>
                <w:snapToGrid w:val="0"/>
              </w:rPr>
              <w:t>Blood Availability</w:t>
            </w:r>
          </w:p>
        </w:tc>
        <w:tc>
          <w:tcPr>
            <w:tcW w:w="3582" w:type="dxa"/>
          </w:tcPr>
          <w:p w14:paraId="5462F08B" w14:textId="77777777" w:rsidR="00462332" w:rsidRDefault="00462332" w:rsidP="00E24CBD">
            <w:pPr>
              <w:pStyle w:val="TableText"/>
              <w:rPr>
                <w:snapToGrid w:val="0"/>
              </w:rPr>
            </w:pPr>
            <w:r>
              <w:t>Inventory report</w:t>
            </w:r>
          </w:p>
        </w:tc>
        <w:tc>
          <w:tcPr>
            <w:tcW w:w="4840" w:type="dxa"/>
          </w:tcPr>
          <w:p w14:paraId="72B2D890" w14:textId="77777777" w:rsidR="00462332" w:rsidRDefault="00462332" w:rsidP="00E24CBD">
            <w:pPr>
              <w:pStyle w:val="TableText"/>
              <w:rPr>
                <w:snapToGrid w:val="0"/>
              </w:rPr>
            </w:pPr>
            <w:r>
              <w:rPr>
                <w:snapToGrid w:val="0"/>
              </w:rPr>
              <w:t xml:space="preserve">This report may not be needed by </w:t>
            </w:r>
            <w:r w:rsidR="00695BEA">
              <w:rPr>
                <w:snapToGrid w:val="0"/>
              </w:rPr>
              <w:t>transfusion-</w:t>
            </w:r>
            <w:r>
              <w:rPr>
                <w:snapToGrid w:val="0"/>
              </w:rPr>
              <w:t xml:space="preserve">only or </w:t>
            </w:r>
            <w:r w:rsidR="00695BEA">
              <w:rPr>
                <w:snapToGrid w:val="0"/>
              </w:rPr>
              <w:t>other sites</w:t>
            </w:r>
            <w:r>
              <w:rPr>
                <w:snapToGrid w:val="0"/>
              </w:rPr>
              <w:t>.</w:t>
            </w:r>
          </w:p>
        </w:tc>
      </w:tr>
      <w:tr w:rsidR="00462332" w14:paraId="4001AA1F" w14:textId="77777777">
        <w:trPr>
          <w:cantSplit/>
        </w:trPr>
        <w:tc>
          <w:tcPr>
            <w:tcW w:w="1728" w:type="dxa"/>
            <w:vMerge/>
          </w:tcPr>
          <w:p w14:paraId="5766C2E4" w14:textId="77777777" w:rsidR="00462332" w:rsidRDefault="00462332" w:rsidP="00E24CBD">
            <w:pPr>
              <w:pStyle w:val="TableText"/>
              <w:rPr>
                <w:snapToGrid w:val="0"/>
              </w:rPr>
            </w:pPr>
          </w:p>
        </w:tc>
        <w:tc>
          <w:tcPr>
            <w:tcW w:w="2810" w:type="dxa"/>
          </w:tcPr>
          <w:p w14:paraId="1C4F838A" w14:textId="77777777" w:rsidR="00462332" w:rsidRDefault="00462332" w:rsidP="00E24CBD">
            <w:pPr>
              <w:pStyle w:val="TableText"/>
              <w:rPr>
                <w:snapToGrid w:val="0"/>
              </w:rPr>
            </w:pPr>
            <w:r>
              <w:rPr>
                <w:snapToGrid w:val="0"/>
              </w:rPr>
              <w:t>Exception Report</w:t>
            </w:r>
          </w:p>
        </w:tc>
        <w:tc>
          <w:tcPr>
            <w:tcW w:w="3582" w:type="dxa"/>
          </w:tcPr>
          <w:p w14:paraId="31760F63" w14:textId="77777777" w:rsidR="00462332" w:rsidRDefault="00462332" w:rsidP="00E24CBD">
            <w:pPr>
              <w:pStyle w:val="TableText"/>
              <w:rPr>
                <w:snapToGrid w:val="0"/>
              </w:rPr>
            </w:pPr>
            <w:r>
              <w:t>QA report details overrides of system rules processed by users.</w:t>
            </w:r>
          </w:p>
        </w:tc>
        <w:tc>
          <w:tcPr>
            <w:tcW w:w="4840" w:type="dxa"/>
          </w:tcPr>
          <w:p w14:paraId="19392308" w14:textId="77777777" w:rsidR="00462332" w:rsidRDefault="002A03C9" w:rsidP="00E24CBD">
            <w:pPr>
              <w:pStyle w:val="TableText"/>
              <w:rPr>
                <w:snapToGrid w:val="0"/>
              </w:rPr>
            </w:pPr>
            <w:r>
              <w:rPr>
                <w:snapToGrid w:val="0"/>
              </w:rPr>
              <w:t>Print, review, sign, date, and save hard copy.</w:t>
            </w:r>
          </w:p>
        </w:tc>
      </w:tr>
      <w:tr w:rsidR="00462332" w14:paraId="3CF30ED4" w14:textId="77777777">
        <w:trPr>
          <w:cantSplit/>
        </w:trPr>
        <w:tc>
          <w:tcPr>
            <w:tcW w:w="1728" w:type="dxa"/>
            <w:vMerge/>
          </w:tcPr>
          <w:p w14:paraId="1AE8344A" w14:textId="77777777" w:rsidR="00462332" w:rsidRDefault="00462332" w:rsidP="00E24CBD">
            <w:pPr>
              <w:pStyle w:val="TableText"/>
              <w:rPr>
                <w:snapToGrid w:val="0"/>
              </w:rPr>
            </w:pPr>
          </w:p>
        </w:tc>
        <w:tc>
          <w:tcPr>
            <w:tcW w:w="2810" w:type="dxa"/>
          </w:tcPr>
          <w:p w14:paraId="592ACA3B" w14:textId="77777777" w:rsidR="00462332" w:rsidRDefault="00462332" w:rsidP="00E24CBD">
            <w:pPr>
              <w:pStyle w:val="TableText"/>
              <w:rPr>
                <w:snapToGrid w:val="0"/>
              </w:rPr>
            </w:pPr>
            <w:r>
              <w:rPr>
                <w:snapToGrid w:val="0"/>
              </w:rPr>
              <w:t>Testing Worklist Report</w:t>
            </w:r>
          </w:p>
        </w:tc>
        <w:tc>
          <w:tcPr>
            <w:tcW w:w="3582" w:type="dxa"/>
          </w:tcPr>
          <w:p w14:paraId="599D20FC" w14:textId="77777777" w:rsidR="00462332" w:rsidRDefault="00462332" w:rsidP="00E24CBD">
            <w:pPr>
              <w:pStyle w:val="TableText"/>
              <w:rPr>
                <w:snapToGrid w:val="0"/>
              </w:rPr>
            </w:pPr>
            <w:r>
              <w:t>QA report displays all testing within a division.</w:t>
            </w:r>
          </w:p>
        </w:tc>
        <w:tc>
          <w:tcPr>
            <w:tcW w:w="4840" w:type="dxa"/>
          </w:tcPr>
          <w:p w14:paraId="7C073E6E" w14:textId="77777777" w:rsidR="00462332" w:rsidRDefault="00462332" w:rsidP="00E24CBD">
            <w:pPr>
              <w:pStyle w:val="TableText"/>
              <w:rPr>
                <w:snapToGrid w:val="0"/>
              </w:rPr>
            </w:pPr>
            <w:r>
              <w:rPr>
                <w:snapToGrid w:val="0"/>
              </w:rPr>
              <w:t>Print Patient Testing, Unit testing, Rack QC and miscellaneous reagent QC.</w:t>
            </w:r>
            <w:r w:rsidR="002A03C9">
              <w:rPr>
                <w:snapToGrid w:val="0"/>
              </w:rPr>
              <w:t xml:space="preserve"> Print, review, sign, date, and save hard copy.</w:t>
            </w:r>
          </w:p>
        </w:tc>
      </w:tr>
      <w:tr w:rsidR="00462332" w14:paraId="2DF9F914" w14:textId="77777777">
        <w:trPr>
          <w:cantSplit/>
        </w:trPr>
        <w:tc>
          <w:tcPr>
            <w:tcW w:w="1728" w:type="dxa"/>
          </w:tcPr>
          <w:p w14:paraId="538CA113" w14:textId="77777777" w:rsidR="00462332" w:rsidRDefault="00462332" w:rsidP="00FE73F7">
            <w:pPr>
              <w:pStyle w:val="TableText"/>
              <w:rPr>
                <w:snapToGrid w:val="0"/>
              </w:rPr>
            </w:pPr>
            <w:r>
              <w:rPr>
                <w:snapToGrid w:val="0"/>
              </w:rPr>
              <w:t>Daily or Weekly</w:t>
            </w:r>
          </w:p>
        </w:tc>
        <w:tc>
          <w:tcPr>
            <w:tcW w:w="2810" w:type="dxa"/>
          </w:tcPr>
          <w:p w14:paraId="550C295F" w14:textId="77777777" w:rsidR="00462332" w:rsidRDefault="00462332" w:rsidP="00FE73F7">
            <w:pPr>
              <w:pStyle w:val="TableText"/>
              <w:rPr>
                <w:snapToGrid w:val="0"/>
              </w:rPr>
            </w:pPr>
            <w:r>
              <w:rPr>
                <w:snapToGrid w:val="0"/>
              </w:rPr>
              <w:t>Issued/Returned Report</w:t>
            </w:r>
          </w:p>
        </w:tc>
        <w:tc>
          <w:tcPr>
            <w:tcW w:w="3582" w:type="dxa"/>
          </w:tcPr>
          <w:p w14:paraId="4E9C08B0" w14:textId="77777777" w:rsidR="00462332" w:rsidRDefault="00462332" w:rsidP="00FE73F7">
            <w:pPr>
              <w:pStyle w:val="TableText"/>
              <w:rPr>
                <w:snapToGrid w:val="0"/>
              </w:rPr>
            </w:pPr>
            <w:r>
              <w:t>QA report displays all relocation transactions.</w:t>
            </w:r>
          </w:p>
        </w:tc>
        <w:tc>
          <w:tcPr>
            <w:tcW w:w="4840" w:type="dxa"/>
          </w:tcPr>
          <w:p w14:paraId="53062659" w14:textId="77777777" w:rsidR="00462332" w:rsidRDefault="00462332" w:rsidP="00FE73F7">
            <w:pPr>
              <w:pStyle w:val="TableText"/>
              <w:rPr>
                <w:snapToGrid w:val="0"/>
              </w:rPr>
            </w:pPr>
            <w:r>
              <w:rPr>
                <w:snapToGrid w:val="0"/>
              </w:rPr>
              <w:t>Review for anomalies and take corrective action.</w:t>
            </w:r>
          </w:p>
        </w:tc>
      </w:tr>
      <w:tr w:rsidR="00462332" w14:paraId="06313914" w14:textId="77777777">
        <w:trPr>
          <w:cantSplit/>
        </w:trPr>
        <w:tc>
          <w:tcPr>
            <w:tcW w:w="1728" w:type="dxa"/>
            <w:tcBorders>
              <w:bottom w:val="single" w:sz="4" w:space="0" w:color="auto"/>
            </w:tcBorders>
          </w:tcPr>
          <w:p w14:paraId="69D53873" w14:textId="77777777" w:rsidR="00462332" w:rsidRDefault="00462332" w:rsidP="00E24CBD">
            <w:pPr>
              <w:pStyle w:val="TableText"/>
              <w:rPr>
                <w:snapToGrid w:val="0"/>
              </w:rPr>
            </w:pPr>
            <w:r>
              <w:rPr>
                <w:snapToGrid w:val="0"/>
              </w:rPr>
              <w:t>Daily, Weekly</w:t>
            </w:r>
            <w:r w:rsidR="008C3117">
              <w:rPr>
                <w:snapToGrid w:val="0"/>
              </w:rPr>
              <w:t xml:space="preserve">, </w:t>
            </w:r>
            <w:r>
              <w:rPr>
                <w:snapToGrid w:val="0"/>
              </w:rPr>
              <w:t>and Monthly</w:t>
            </w:r>
          </w:p>
        </w:tc>
        <w:tc>
          <w:tcPr>
            <w:tcW w:w="2810" w:type="dxa"/>
            <w:tcBorders>
              <w:bottom w:val="single" w:sz="4" w:space="0" w:color="auto"/>
            </w:tcBorders>
          </w:tcPr>
          <w:p w14:paraId="33E378DB" w14:textId="77777777" w:rsidR="00462332" w:rsidRDefault="00462332" w:rsidP="00E24CBD">
            <w:pPr>
              <w:pStyle w:val="TableText"/>
              <w:rPr>
                <w:snapToGrid w:val="0"/>
              </w:rPr>
            </w:pPr>
            <w:r>
              <w:rPr>
                <w:snapToGrid w:val="0"/>
              </w:rPr>
              <w:t>Transfusion Requirements Report</w:t>
            </w:r>
          </w:p>
        </w:tc>
        <w:tc>
          <w:tcPr>
            <w:tcW w:w="3582" w:type="dxa"/>
            <w:tcBorders>
              <w:bottom w:val="single" w:sz="4" w:space="0" w:color="auto"/>
            </w:tcBorders>
          </w:tcPr>
          <w:p w14:paraId="38A044AC" w14:textId="77777777" w:rsidR="00462332" w:rsidRDefault="00462332" w:rsidP="00E24CBD">
            <w:pPr>
              <w:pStyle w:val="TableText"/>
              <w:rPr>
                <w:snapToGrid w:val="0"/>
              </w:rPr>
            </w:pPr>
            <w:r>
              <w:t>A compendium of p</w:t>
            </w:r>
            <w:r w:rsidR="000A04E1">
              <w:t>atient blood types, SI</w:t>
            </w:r>
            <w:r>
              <w:t>s</w:t>
            </w:r>
            <w:r w:rsidR="000A04E1">
              <w:t>, and TRs</w:t>
            </w:r>
            <w:r>
              <w:t xml:space="preserve"> are printed for use during downtime.</w:t>
            </w:r>
          </w:p>
        </w:tc>
        <w:tc>
          <w:tcPr>
            <w:tcW w:w="4840" w:type="dxa"/>
            <w:tcBorders>
              <w:bottom w:val="single" w:sz="4" w:space="0" w:color="auto"/>
            </w:tcBorders>
          </w:tcPr>
          <w:p w14:paraId="77774F86" w14:textId="77777777" w:rsidR="008B7391" w:rsidRDefault="008B7391" w:rsidP="008B7391">
            <w:pPr>
              <w:pStyle w:val="TableTextBullet"/>
              <w:rPr>
                <w:snapToGrid w:val="0"/>
              </w:rPr>
            </w:pPr>
            <w:r>
              <w:rPr>
                <w:snapToGrid w:val="0"/>
              </w:rPr>
              <w:t>Days 1–6: print report daily.</w:t>
            </w:r>
          </w:p>
          <w:p w14:paraId="3732CE1A" w14:textId="77777777" w:rsidR="008B7391" w:rsidRDefault="008B7391" w:rsidP="008B7391">
            <w:pPr>
              <w:pStyle w:val="TableTextBullet"/>
              <w:rPr>
                <w:snapToGrid w:val="0"/>
              </w:rPr>
            </w:pPr>
            <w:r>
              <w:rPr>
                <w:snapToGrid w:val="0"/>
              </w:rPr>
              <w:t>Day 7: print report for previous week; discard daily reports.</w:t>
            </w:r>
          </w:p>
          <w:p w14:paraId="33199031" w14:textId="77777777" w:rsidR="008B7391" w:rsidRDefault="008B7391" w:rsidP="008B7391">
            <w:pPr>
              <w:pStyle w:val="TableTextBullet"/>
              <w:rPr>
                <w:snapToGrid w:val="0"/>
              </w:rPr>
            </w:pPr>
            <w:r>
              <w:rPr>
                <w:snapToGrid w:val="0"/>
              </w:rPr>
              <w:t>Start of month: print report for previous month; discard weekly reports.</w:t>
            </w:r>
          </w:p>
          <w:p w14:paraId="76BD6BFC" w14:textId="77777777" w:rsidR="008B7391" w:rsidRDefault="008B7391" w:rsidP="008B7391">
            <w:pPr>
              <w:pStyle w:val="TableTextBullet"/>
              <w:rPr>
                <w:snapToGrid w:val="0"/>
              </w:rPr>
            </w:pPr>
            <w:r>
              <w:rPr>
                <w:snapToGrid w:val="0"/>
              </w:rPr>
              <w:t>Start of year: print report for previous year; discard monthly reports.</w:t>
            </w:r>
          </w:p>
          <w:p w14:paraId="5BE487A0" w14:textId="77777777" w:rsidR="008B7391" w:rsidRDefault="008B7391" w:rsidP="00E24CBD">
            <w:pPr>
              <w:pStyle w:val="TableText"/>
              <w:rPr>
                <w:snapToGrid w:val="0"/>
              </w:rPr>
            </w:pPr>
          </w:p>
          <w:p w14:paraId="6933E04F" w14:textId="77777777" w:rsidR="00462332" w:rsidRDefault="00D64989" w:rsidP="00E24CBD">
            <w:pPr>
              <w:pStyle w:val="TableText"/>
              <w:rPr>
                <w:snapToGrid w:val="0"/>
              </w:rPr>
            </w:pPr>
            <w:r>
              <w:rPr>
                <w:snapToGrid w:val="0"/>
              </w:rPr>
              <w:t>Generate c</w:t>
            </w:r>
            <w:r w:rsidR="00462332">
              <w:rPr>
                <w:snapToGrid w:val="0"/>
              </w:rPr>
              <w:t xml:space="preserve">umulative reports </w:t>
            </w:r>
            <w:r>
              <w:rPr>
                <w:snapToGrid w:val="0"/>
              </w:rPr>
              <w:t xml:space="preserve">starting with the date of first data entry through the current date to include </w:t>
            </w:r>
            <w:r w:rsidR="00462332">
              <w:rPr>
                <w:snapToGrid w:val="0"/>
              </w:rPr>
              <w:t>all patient records.</w:t>
            </w:r>
            <w:r w:rsidR="00D10CA6">
              <w:rPr>
                <w:snapToGrid w:val="0"/>
              </w:rPr>
              <w:t xml:space="preserve"> Store reports so that they are easily accessible.</w:t>
            </w:r>
          </w:p>
        </w:tc>
      </w:tr>
      <w:tr w:rsidR="00F3040D" w14:paraId="68D7E104" w14:textId="77777777">
        <w:trPr>
          <w:cantSplit/>
        </w:trPr>
        <w:tc>
          <w:tcPr>
            <w:tcW w:w="1728" w:type="dxa"/>
            <w:vMerge w:val="restart"/>
          </w:tcPr>
          <w:p w14:paraId="296769D7" w14:textId="77777777" w:rsidR="00F3040D" w:rsidRDefault="00F3040D" w:rsidP="00FE73F7">
            <w:pPr>
              <w:pStyle w:val="TableText"/>
              <w:rPr>
                <w:snapToGrid w:val="0"/>
              </w:rPr>
            </w:pPr>
            <w:r>
              <w:rPr>
                <w:snapToGrid w:val="0"/>
              </w:rPr>
              <w:t>Weekly</w:t>
            </w:r>
          </w:p>
        </w:tc>
        <w:tc>
          <w:tcPr>
            <w:tcW w:w="2810" w:type="dxa"/>
          </w:tcPr>
          <w:p w14:paraId="7F543212" w14:textId="77777777" w:rsidR="00F3040D" w:rsidRDefault="00F3040D" w:rsidP="00E24CBD">
            <w:pPr>
              <w:pStyle w:val="TableText"/>
              <w:rPr>
                <w:snapToGrid w:val="0"/>
              </w:rPr>
            </w:pPr>
            <w:r>
              <w:rPr>
                <w:snapToGrid w:val="0"/>
              </w:rPr>
              <w:t>Prolonged Transfusion Time Report</w:t>
            </w:r>
          </w:p>
        </w:tc>
        <w:tc>
          <w:tcPr>
            <w:tcW w:w="3582" w:type="dxa"/>
          </w:tcPr>
          <w:p w14:paraId="5C11DBFE" w14:textId="77777777" w:rsidR="00F3040D" w:rsidRDefault="00F3040D" w:rsidP="00E24CBD">
            <w:pPr>
              <w:pStyle w:val="TableText"/>
              <w:rPr>
                <w:snapToGrid w:val="0"/>
              </w:rPr>
            </w:pPr>
            <w:r>
              <w:t>Details units that were not infused within the required time frame.</w:t>
            </w:r>
          </w:p>
        </w:tc>
        <w:tc>
          <w:tcPr>
            <w:tcW w:w="4840" w:type="dxa"/>
            <w:vMerge w:val="restart"/>
          </w:tcPr>
          <w:p w14:paraId="34317811" w14:textId="77777777" w:rsidR="00F3040D" w:rsidRDefault="00F3040D" w:rsidP="00E24CBD">
            <w:pPr>
              <w:pStyle w:val="TableText"/>
              <w:rPr>
                <w:snapToGrid w:val="0"/>
              </w:rPr>
            </w:pPr>
            <w:r>
              <w:rPr>
                <w:snapToGrid w:val="0"/>
              </w:rPr>
              <w:t>Generate these reports for blood utilization committee and other quality management activities.</w:t>
            </w:r>
          </w:p>
        </w:tc>
      </w:tr>
      <w:tr w:rsidR="00F3040D" w14:paraId="43FE00EB" w14:textId="77777777">
        <w:trPr>
          <w:cantSplit/>
        </w:trPr>
        <w:tc>
          <w:tcPr>
            <w:tcW w:w="1728" w:type="dxa"/>
            <w:vMerge/>
          </w:tcPr>
          <w:p w14:paraId="3CE0432D" w14:textId="77777777" w:rsidR="00F3040D" w:rsidRDefault="00F3040D" w:rsidP="00FE73F7">
            <w:pPr>
              <w:pStyle w:val="TableText"/>
              <w:rPr>
                <w:snapToGrid w:val="0"/>
              </w:rPr>
            </w:pPr>
          </w:p>
        </w:tc>
        <w:tc>
          <w:tcPr>
            <w:tcW w:w="2810" w:type="dxa"/>
          </w:tcPr>
          <w:p w14:paraId="027DDE55" w14:textId="77777777" w:rsidR="00F3040D" w:rsidRDefault="00F3040D" w:rsidP="00FE73F7">
            <w:pPr>
              <w:pStyle w:val="TableText"/>
              <w:rPr>
                <w:snapToGrid w:val="0"/>
              </w:rPr>
            </w:pPr>
            <w:r>
              <w:rPr>
                <w:snapToGrid w:val="0"/>
              </w:rPr>
              <w:t>Transfusion Effectiveness Report</w:t>
            </w:r>
          </w:p>
        </w:tc>
        <w:tc>
          <w:tcPr>
            <w:tcW w:w="3582" w:type="dxa"/>
          </w:tcPr>
          <w:p w14:paraId="31C71335" w14:textId="77777777" w:rsidR="00F3040D" w:rsidRDefault="00F3040D" w:rsidP="00FE73F7">
            <w:pPr>
              <w:pStyle w:val="TableText"/>
              <w:rPr>
                <w:snapToGrid w:val="0"/>
              </w:rPr>
            </w:pPr>
            <w:r>
              <w:t>Compares transfusions with user-configured lab data indicators to monitor appropriate blood usage.</w:t>
            </w:r>
          </w:p>
        </w:tc>
        <w:tc>
          <w:tcPr>
            <w:tcW w:w="4840" w:type="dxa"/>
            <w:vMerge/>
          </w:tcPr>
          <w:p w14:paraId="3D38B82A" w14:textId="77777777" w:rsidR="00F3040D" w:rsidRDefault="00F3040D" w:rsidP="00FE73F7">
            <w:pPr>
              <w:pStyle w:val="TableText"/>
              <w:rPr>
                <w:snapToGrid w:val="0"/>
              </w:rPr>
            </w:pPr>
          </w:p>
        </w:tc>
      </w:tr>
      <w:tr w:rsidR="00F3040D" w14:paraId="252D11B1" w14:textId="77777777">
        <w:trPr>
          <w:cantSplit/>
        </w:trPr>
        <w:tc>
          <w:tcPr>
            <w:tcW w:w="1728" w:type="dxa"/>
            <w:vMerge w:val="restart"/>
          </w:tcPr>
          <w:p w14:paraId="0276132A" w14:textId="77777777" w:rsidR="00F3040D" w:rsidRDefault="00F3040D" w:rsidP="00FE73F7">
            <w:pPr>
              <w:pStyle w:val="TableText"/>
              <w:rPr>
                <w:snapToGrid w:val="0"/>
              </w:rPr>
            </w:pPr>
            <w:r>
              <w:rPr>
                <w:snapToGrid w:val="0"/>
              </w:rPr>
              <w:t>Weekly or Monthly</w:t>
            </w:r>
          </w:p>
        </w:tc>
        <w:tc>
          <w:tcPr>
            <w:tcW w:w="2810" w:type="dxa"/>
          </w:tcPr>
          <w:p w14:paraId="06C9D2EE" w14:textId="77777777" w:rsidR="00F3040D" w:rsidRDefault="00F3040D" w:rsidP="00FE73F7">
            <w:pPr>
              <w:pStyle w:val="TableText"/>
              <w:rPr>
                <w:snapToGrid w:val="0"/>
              </w:rPr>
            </w:pPr>
            <w:r>
              <w:rPr>
                <w:snapToGrid w:val="0"/>
              </w:rPr>
              <w:t>C:T Ratio Report</w:t>
            </w:r>
          </w:p>
        </w:tc>
        <w:tc>
          <w:tcPr>
            <w:tcW w:w="3582" w:type="dxa"/>
          </w:tcPr>
          <w:p w14:paraId="07ADAF70" w14:textId="77777777" w:rsidR="00F3040D" w:rsidRDefault="00F3040D" w:rsidP="00FE73F7">
            <w:pPr>
              <w:pStyle w:val="TableText"/>
              <w:rPr>
                <w:snapToGrid w:val="0"/>
              </w:rPr>
            </w:pPr>
            <w:r>
              <w:t>Details crossmatch-to-transfusion ratio by physician or treating specialty.</w:t>
            </w:r>
          </w:p>
        </w:tc>
        <w:tc>
          <w:tcPr>
            <w:tcW w:w="4840" w:type="dxa"/>
            <w:vMerge/>
          </w:tcPr>
          <w:p w14:paraId="2D2FFDEC" w14:textId="77777777" w:rsidR="00F3040D" w:rsidRDefault="00F3040D" w:rsidP="00FE73F7">
            <w:pPr>
              <w:pStyle w:val="TableText"/>
              <w:rPr>
                <w:snapToGrid w:val="0"/>
              </w:rPr>
            </w:pPr>
          </w:p>
        </w:tc>
      </w:tr>
      <w:tr w:rsidR="00F3040D" w14:paraId="777582CC" w14:textId="77777777">
        <w:trPr>
          <w:cantSplit/>
        </w:trPr>
        <w:tc>
          <w:tcPr>
            <w:tcW w:w="1728" w:type="dxa"/>
            <w:vMerge/>
          </w:tcPr>
          <w:p w14:paraId="4D0C86C5" w14:textId="77777777" w:rsidR="00F3040D" w:rsidRDefault="00F3040D" w:rsidP="00E24CBD">
            <w:pPr>
              <w:pStyle w:val="TableText"/>
              <w:rPr>
                <w:snapToGrid w:val="0"/>
              </w:rPr>
            </w:pPr>
          </w:p>
        </w:tc>
        <w:tc>
          <w:tcPr>
            <w:tcW w:w="2810" w:type="dxa"/>
          </w:tcPr>
          <w:p w14:paraId="749B1ABD" w14:textId="77777777" w:rsidR="00F3040D" w:rsidRDefault="00F3040D" w:rsidP="00E24CBD">
            <w:pPr>
              <w:pStyle w:val="TableText"/>
              <w:rPr>
                <w:snapToGrid w:val="0"/>
              </w:rPr>
            </w:pPr>
            <w:r>
              <w:rPr>
                <w:snapToGrid w:val="0"/>
              </w:rPr>
              <w:t>Transfusion Complications Report</w:t>
            </w:r>
          </w:p>
        </w:tc>
        <w:tc>
          <w:tcPr>
            <w:tcW w:w="3582" w:type="dxa"/>
          </w:tcPr>
          <w:p w14:paraId="7D5DC96E" w14:textId="6417106A" w:rsidR="00F3040D" w:rsidRDefault="00F3040D" w:rsidP="00E24CBD">
            <w:pPr>
              <w:pStyle w:val="TableText"/>
              <w:rPr>
                <w:snapToGrid w:val="0"/>
              </w:rPr>
            </w:pPr>
            <w:r>
              <w:t xml:space="preserve">Compares transfusions with user configured lab data indicators to monitor </w:t>
            </w:r>
            <w:r w:rsidR="00AE3B37">
              <w:t>adverse effects</w:t>
            </w:r>
            <w:r>
              <w:t xml:space="preserve"> from transfusion.</w:t>
            </w:r>
          </w:p>
        </w:tc>
        <w:tc>
          <w:tcPr>
            <w:tcW w:w="4840" w:type="dxa"/>
            <w:vMerge/>
          </w:tcPr>
          <w:p w14:paraId="12057C12" w14:textId="77777777" w:rsidR="00F3040D" w:rsidRDefault="00F3040D" w:rsidP="00E24CBD">
            <w:pPr>
              <w:pStyle w:val="TableText"/>
              <w:rPr>
                <w:snapToGrid w:val="0"/>
              </w:rPr>
            </w:pPr>
          </w:p>
        </w:tc>
      </w:tr>
      <w:tr w:rsidR="00F3040D" w14:paraId="05E5E7FF" w14:textId="77777777">
        <w:trPr>
          <w:cantSplit/>
        </w:trPr>
        <w:tc>
          <w:tcPr>
            <w:tcW w:w="1728" w:type="dxa"/>
            <w:vMerge/>
            <w:tcBorders>
              <w:bottom w:val="single" w:sz="4" w:space="0" w:color="auto"/>
            </w:tcBorders>
          </w:tcPr>
          <w:p w14:paraId="7227B827" w14:textId="77777777" w:rsidR="00F3040D" w:rsidRDefault="00F3040D" w:rsidP="00E24CBD">
            <w:pPr>
              <w:pStyle w:val="TableText"/>
              <w:rPr>
                <w:snapToGrid w:val="0"/>
              </w:rPr>
            </w:pPr>
          </w:p>
        </w:tc>
        <w:tc>
          <w:tcPr>
            <w:tcW w:w="2810" w:type="dxa"/>
            <w:tcBorders>
              <w:bottom w:val="single" w:sz="4" w:space="0" w:color="auto"/>
            </w:tcBorders>
          </w:tcPr>
          <w:p w14:paraId="78D0ADAB" w14:textId="77777777" w:rsidR="00F3040D" w:rsidRDefault="00F3040D" w:rsidP="00E24CBD">
            <w:pPr>
              <w:pStyle w:val="TableText"/>
              <w:rPr>
                <w:snapToGrid w:val="0"/>
              </w:rPr>
            </w:pPr>
            <w:r>
              <w:rPr>
                <w:snapToGrid w:val="0"/>
              </w:rPr>
              <w:t>Inappropriate Transfusion Request Report</w:t>
            </w:r>
          </w:p>
        </w:tc>
        <w:tc>
          <w:tcPr>
            <w:tcW w:w="3582" w:type="dxa"/>
            <w:tcBorders>
              <w:bottom w:val="single" w:sz="4" w:space="0" w:color="auto"/>
            </w:tcBorders>
          </w:tcPr>
          <w:p w14:paraId="78A382E9" w14:textId="77777777" w:rsidR="00F3040D" w:rsidRDefault="00F3040D" w:rsidP="00E24CBD">
            <w:pPr>
              <w:pStyle w:val="TableText"/>
            </w:pPr>
            <w:r>
              <w:t>Details requests for blood products that did not meet the facility’s transfusion criteria.</w:t>
            </w:r>
          </w:p>
        </w:tc>
        <w:tc>
          <w:tcPr>
            <w:tcW w:w="4840" w:type="dxa"/>
            <w:vMerge/>
            <w:tcBorders>
              <w:bottom w:val="single" w:sz="4" w:space="0" w:color="auto"/>
            </w:tcBorders>
          </w:tcPr>
          <w:p w14:paraId="33E22659" w14:textId="77777777" w:rsidR="00F3040D" w:rsidRDefault="00F3040D" w:rsidP="00E24CBD">
            <w:pPr>
              <w:pStyle w:val="TableText"/>
              <w:rPr>
                <w:snapToGrid w:val="0"/>
              </w:rPr>
            </w:pPr>
          </w:p>
        </w:tc>
      </w:tr>
      <w:tr w:rsidR="00FF05B8" w14:paraId="719B376E" w14:textId="77777777">
        <w:trPr>
          <w:cantSplit/>
        </w:trPr>
        <w:tc>
          <w:tcPr>
            <w:tcW w:w="1728" w:type="dxa"/>
            <w:vMerge w:val="restart"/>
          </w:tcPr>
          <w:p w14:paraId="6001D5EF" w14:textId="77777777" w:rsidR="00FF05B8" w:rsidRDefault="00FF05B8" w:rsidP="00E24CBD">
            <w:pPr>
              <w:pStyle w:val="TableText"/>
              <w:rPr>
                <w:snapToGrid w:val="0"/>
              </w:rPr>
            </w:pPr>
            <w:r>
              <w:rPr>
                <w:snapToGrid w:val="0"/>
              </w:rPr>
              <w:t>Monthly</w:t>
            </w:r>
          </w:p>
        </w:tc>
        <w:tc>
          <w:tcPr>
            <w:tcW w:w="2810" w:type="dxa"/>
          </w:tcPr>
          <w:p w14:paraId="417929C9" w14:textId="77777777" w:rsidR="00FF05B8" w:rsidRDefault="00FF05B8" w:rsidP="00E24CBD">
            <w:pPr>
              <w:pStyle w:val="TableText"/>
              <w:rPr>
                <w:snapToGrid w:val="0"/>
              </w:rPr>
            </w:pPr>
            <w:r>
              <w:rPr>
                <w:snapToGrid w:val="0"/>
              </w:rPr>
              <w:t>Administrative Data Report</w:t>
            </w:r>
          </w:p>
        </w:tc>
        <w:tc>
          <w:tcPr>
            <w:tcW w:w="3582" w:type="dxa"/>
          </w:tcPr>
          <w:p w14:paraId="6044D670" w14:textId="77777777" w:rsidR="00FF05B8" w:rsidRDefault="00FF05B8" w:rsidP="00E24CBD">
            <w:pPr>
              <w:pStyle w:val="TableText"/>
            </w:pPr>
            <w:r>
              <w:t xml:space="preserve">Management report details products received, transfused, and returned. </w:t>
            </w:r>
          </w:p>
        </w:tc>
        <w:tc>
          <w:tcPr>
            <w:tcW w:w="4840" w:type="dxa"/>
            <w:vMerge w:val="restart"/>
          </w:tcPr>
          <w:p w14:paraId="4BE37F66" w14:textId="77777777" w:rsidR="00FF05B8" w:rsidRDefault="00FF05B8" w:rsidP="00E24CBD">
            <w:pPr>
              <w:pStyle w:val="TableText"/>
              <w:rPr>
                <w:snapToGrid w:val="0"/>
              </w:rPr>
            </w:pPr>
            <w:r>
              <w:rPr>
                <w:snapToGrid w:val="0"/>
              </w:rPr>
              <w:t>Generate these reports for administrative purposes.</w:t>
            </w:r>
          </w:p>
        </w:tc>
      </w:tr>
      <w:tr w:rsidR="00FF05B8" w14:paraId="2649B545" w14:textId="77777777">
        <w:trPr>
          <w:cantSplit/>
        </w:trPr>
        <w:tc>
          <w:tcPr>
            <w:tcW w:w="1728" w:type="dxa"/>
            <w:vMerge/>
          </w:tcPr>
          <w:p w14:paraId="6AAA6CD2" w14:textId="77777777" w:rsidR="00FF05B8" w:rsidRDefault="00FF05B8" w:rsidP="00E24CBD">
            <w:pPr>
              <w:pStyle w:val="TableText"/>
              <w:rPr>
                <w:snapToGrid w:val="0"/>
              </w:rPr>
            </w:pPr>
          </w:p>
        </w:tc>
        <w:tc>
          <w:tcPr>
            <w:tcW w:w="2810" w:type="dxa"/>
          </w:tcPr>
          <w:p w14:paraId="271DA9DA" w14:textId="77777777" w:rsidR="00FF05B8" w:rsidRDefault="00FF05B8" w:rsidP="00E24CBD">
            <w:pPr>
              <w:pStyle w:val="TableText"/>
              <w:rPr>
                <w:snapToGrid w:val="0"/>
              </w:rPr>
            </w:pPr>
            <w:r>
              <w:rPr>
                <w:snapToGrid w:val="0"/>
              </w:rPr>
              <w:t>Cost Accounting Report</w:t>
            </w:r>
          </w:p>
        </w:tc>
        <w:tc>
          <w:tcPr>
            <w:tcW w:w="3582" w:type="dxa"/>
          </w:tcPr>
          <w:p w14:paraId="3809E9CF" w14:textId="77777777" w:rsidR="00FF05B8" w:rsidRDefault="00FF05B8" w:rsidP="00E24CBD">
            <w:pPr>
              <w:pStyle w:val="TableText"/>
            </w:pPr>
            <w:r>
              <w:t>Management report of expenditure by invoice number.</w:t>
            </w:r>
          </w:p>
        </w:tc>
        <w:tc>
          <w:tcPr>
            <w:tcW w:w="4840" w:type="dxa"/>
            <w:vMerge/>
          </w:tcPr>
          <w:p w14:paraId="6F5B8D54" w14:textId="77777777" w:rsidR="00FF05B8" w:rsidRDefault="00FF05B8" w:rsidP="00E24CBD">
            <w:pPr>
              <w:pStyle w:val="TableText"/>
              <w:rPr>
                <w:snapToGrid w:val="0"/>
              </w:rPr>
            </w:pPr>
          </w:p>
        </w:tc>
      </w:tr>
      <w:tr w:rsidR="00FF05B8" w14:paraId="0018A2E6" w14:textId="77777777">
        <w:trPr>
          <w:cantSplit/>
        </w:trPr>
        <w:tc>
          <w:tcPr>
            <w:tcW w:w="1728" w:type="dxa"/>
            <w:vMerge/>
          </w:tcPr>
          <w:p w14:paraId="74BBE551" w14:textId="77777777" w:rsidR="00FF05B8" w:rsidRDefault="00FF05B8" w:rsidP="00E24CBD">
            <w:pPr>
              <w:pStyle w:val="TableText"/>
              <w:rPr>
                <w:snapToGrid w:val="0"/>
              </w:rPr>
            </w:pPr>
          </w:p>
        </w:tc>
        <w:tc>
          <w:tcPr>
            <w:tcW w:w="2810" w:type="dxa"/>
          </w:tcPr>
          <w:p w14:paraId="675938AE" w14:textId="77777777" w:rsidR="00FF05B8" w:rsidRDefault="00FF05B8" w:rsidP="00E24CBD">
            <w:pPr>
              <w:pStyle w:val="TableText"/>
              <w:rPr>
                <w:snapToGrid w:val="0"/>
              </w:rPr>
            </w:pPr>
            <w:r>
              <w:rPr>
                <w:snapToGrid w:val="0"/>
              </w:rPr>
              <w:t>Division Transfusion Report</w:t>
            </w:r>
          </w:p>
        </w:tc>
        <w:tc>
          <w:tcPr>
            <w:tcW w:w="3582" w:type="dxa"/>
          </w:tcPr>
          <w:p w14:paraId="64E0468C" w14:textId="77777777" w:rsidR="00FF05B8" w:rsidRDefault="00FF05B8" w:rsidP="00E24CBD">
            <w:pPr>
              <w:pStyle w:val="TableText"/>
            </w:pPr>
            <w:r>
              <w:t>Details of units transfused during a selected period.</w:t>
            </w:r>
          </w:p>
        </w:tc>
        <w:tc>
          <w:tcPr>
            <w:tcW w:w="4840" w:type="dxa"/>
            <w:vMerge/>
          </w:tcPr>
          <w:p w14:paraId="0AFF52D0" w14:textId="77777777" w:rsidR="00FF05B8" w:rsidRDefault="00FF05B8" w:rsidP="00E24CBD">
            <w:pPr>
              <w:pStyle w:val="TableText"/>
              <w:rPr>
                <w:snapToGrid w:val="0"/>
              </w:rPr>
            </w:pPr>
          </w:p>
        </w:tc>
      </w:tr>
      <w:tr w:rsidR="00FF05B8" w14:paraId="346DA509" w14:textId="77777777">
        <w:trPr>
          <w:cantSplit/>
        </w:trPr>
        <w:tc>
          <w:tcPr>
            <w:tcW w:w="1728" w:type="dxa"/>
            <w:vMerge/>
          </w:tcPr>
          <w:p w14:paraId="4C2E00E9" w14:textId="77777777" w:rsidR="00FF05B8" w:rsidRDefault="00FF05B8" w:rsidP="00E24CBD">
            <w:pPr>
              <w:pStyle w:val="TableText"/>
              <w:rPr>
                <w:snapToGrid w:val="0"/>
              </w:rPr>
            </w:pPr>
          </w:p>
        </w:tc>
        <w:tc>
          <w:tcPr>
            <w:tcW w:w="2810" w:type="dxa"/>
          </w:tcPr>
          <w:p w14:paraId="1BE5BCB2" w14:textId="77777777" w:rsidR="00FF05B8" w:rsidRDefault="00FF05B8" w:rsidP="00E24CBD">
            <w:pPr>
              <w:pStyle w:val="TableText"/>
              <w:rPr>
                <w:snapToGrid w:val="0"/>
              </w:rPr>
            </w:pPr>
            <w:r>
              <w:rPr>
                <w:snapToGrid w:val="0"/>
              </w:rPr>
              <w:t>Division Workload Report</w:t>
            </w:r>
          </w:p>
        </w:tc>
        <w:tc>
          <w:tcPr>
            <w:tcW w:w="3582" w:type="dxa"/>
          </w:tcPr>
          <w:p w14:paraId="5784B5CE" w14:textId="77777777" w:rsidR="00FF05B8" w:rsidRDefault="00FF05B8" w:rsidP="00E24CBD">
            <w:pPr>
              <w:pStyle w:val="TableText"/>
            </w:pPr>
            <w:r>
              <w:t>Totals workload types for one or all divisions.</w:t>
            </w:r>
          </w:p>
        </w:tc>
        <w:tc>
          <w:tcPr>
            <w:tcW w:w="4840" w:type="dxa"/>
            <w:vMerge/>
          </w:tcPr>
          <w:p w14:paraId="193F8212" w14:textId="77777777" w:rsidR="00FF05B8" w:rsidRDefault="00FF05B8" w:rsidP="00E24CBD">
            <w:pPr>
              <w:pStyle w:val="TableText"/>
              <w:rPr>
                <w:snapToGrid w:val="0"/>
              </w:rPr>
            </w:pPr>
          </w:p>
        </w:tc>
      </w:tr>
      <w:tr w:rsidR="00462332" w14:paraId="21D78B97" w14:textId="77777777">
        <w:trPr>
          <w:cantSplit/>
        </w:trPr>
        <w:tc>
          <w:tcPr>
            <w:tcW w:w="1728" w:type="dxa"/>
            <w:vMerge/>
            <w:tcBorders>
              <w:bottom w:val="single" w:sz="4" w:space="0" w:color="auto"/>
            </w:tcBorders>
          </w:tcPr>
          <w:p w14:paraId="6D612275" w14:textId="77777777" w:rsidR="00462332" w:rsidRDefault="00462332" w:rsidP="00E24CBD">
            <w:pPr>
              <w:pStyle w:val="TableText"/>
              <w:rPr>
                <w:snapToGrid w:val="0"/>
              </w:rPr>
            </w:pPr>
          </w:p>
        </w:tc>
        <w:tc>
          <w:tcPr>
            <w:tcW w:w="2810" w:type="dxa"/>
            <w:tcBorders>
              <w:bottom w:val="single" w:sz="4" w:space="0" w:color="auto"/>
            </w:tcBorders>
          </w:tcPr>
          <w:p w14:paraId="4273DAB0" w14:textId="77777777" w:rsidR="00462332" w:rsidRDefault="00462332" w:rsidP="00E24CBD">
            <w:pPr>
              <w:pStyle w:val="TableText"/>
              <w:rPr>
                <w:snapToGrid w:val="0"/>
              </w:rPr>
            </w:pPr>
            <w:r>
              <w:rPr>
                <w:snapToGrid w:val="0"/>
              </w:rPr>
              <w:t>Transfusion Reaction Count Report</w:t>
            </w:r>
          </w:p>
        </w:tc>
        <w:tc>
          <w:tcPr>
            <w:tcW w:w="3582" w:type="dxa"/>
            <w:tcBorders>
              <w:bottom w:val="single" w:sz="4" w:space="0" w:color="auto"/>
            </w:tcBorders>
          </w:tcPr>
          <w:p w14:paraId="71997943" w14:textId="77777777" w:rsidR="00462332" w:rsidRDefault="004A69AE" w:rsidP="00E24CBD">
            <w:pPr>
              <w:pStyle w:val="TableText"/>
            </w:pPr>
            <w:r>
              <w:t>Details transfusion reactions that are ordered, pending, completed, or finalized for one or all divisions.</w:t>
            </w:r>
          </w:p>
        </w:tc>
        <w:tc>
          <w:tcPr>
            <w:tcW w:w="4840" w:type="dxa"/>
            <w:tcBorders>
              <w:bottom w:val="single" w:sz="4" w:space="0" w:color="auto"/>
            </w:tcBorders>
          </w:tcPr>
          <w:p w14:paraId="27CDEBB0" w14:textId="77777777" w:rsidR="00462332" w:rsidRDefault="00A7582C" w:rsidP="00E24CBD">
            <w:pPr>
              <w:pStyle w:val="TableText"/>
              <w:rPr>
                <w:snapToGrid w:val="0"/>
              </w:rPr>
            </w:pPr>
            <w:r>
              <w:rPr>
                <w:snapToGrid w:val="0"/>
              </w:rPr>
              <w:t>Generate this report for blood utilization committee and other quality management activities.</w:t>
            </w:r>
          </w:p>
        </w:tc>
      </w:tr>
      <w:tr w:rsidR="00462332" w14:paraId="1E1A89B4" w14:textId="77777777">
        <w:trPr>
          <w:cantSplit/>
        </w:trPr>
        <w:tc>
          <w:tcPr>
            <w:tcW w:w="1728" w:type="dxa"/>
          </w:tcPr>
          <w:p w14:paraId="6512F2B9" w14:textId="77777777" w:rsidR="00462332" w:rsidRDefault="00462332" w:rsidP="00E24CBD">
            <w:pPr>
              <w:pStyle w:val="TableText"/>
              <w:rPr>
                <w:snapToGrid w:val="0"/>
              </w:rPr>
            </w:pPr>
            <w:r>
              <w:rPr>
                <w:snapToGrid w:val="0"/>
              </w:rPr>
              <w:t>As needed</w:t>
            </w:r>
          </w:p>
        </w:tc>
        <w:tc>
          <w:tcPr>
            <w:tcW w:w="2810" w:type="dxa"/>
          </w:tcPr>
          <w:p w14:paraId="22F69F5E" w14:textId="77777777" w:rsidR="00462332" w:rsidRDefault="00462332" w:rsidP="00E24CBD">
            <w:pPr>
              <w:pStyle w:val="TableText"/>
              <w:rPr>
                <w:snapToGrid w:val="0"/>
              </w:rPr>
            </w:pPr>
            <w:r>
              <w:rPr>
                <w:snapToGrid w:val="0"/>
              </w:rPr>
              <w:t>Finalize/Print TRW</w:t>
            </w:r>
          </w:p>
        </w:tc>
        <w:tc>
          <w:tcPr>
            <w:tcW w:w="3582" w:type="dxa"/>
          </w:tcPr>
          <w:p w14:paraId="6A4C8BCC" w14:textId="77777777" w:rsidR="00462332" w:rsidRDefault="00462332" w:rsidP="00E24CBD">
            <w:pPr>
              <w:pStyle w:val="TableText"/>
            </w:pPr>
            <w:r>
              <w:t>Pati</w:t>
            </w:r>
            <w:r w:rsidR="001D65B4">
              <w:t>ent Transfusion Reaction Report</w:t>
            </w:r>
            <w:r w:rsidR="00695BEA">
              <w:t xml:space="preserve"> details a transfusion reaction episode.</w:t>
            </w:r>
          </w:p>
        </w:tc>
        <w:tc>
          <w:tcPr>
            <w:tcW w:w="4840" w:type="dxa"/>
          </w:tcPr>
          <w:p w14:paraId="159C0939" w14:textId="77777777" w:rsidR="00462332" w:rsidRDefault="00F3040D" w:rsidP="00E24CBD">
            <w:pPr>
              <w:pStyle w:val="TableText"/>
              <w:rPr>
                <w:snapToGrid w:val="0"/>
              </w:rPr>
            </w:pPr>
            <w:r>
              <w:rPr>
                <w:snapToGrid w:val="0"/>
              </w:rPr>
              <w:t>Print, review, sign, date, and save hard copy.</w:t>
            </w:r>
          </w:p>
        </w:tc>
      </w:tr>
    </w:tbl>
    <w:p w14:paraId="7B21887E" w14:textId="6A742D2D" w:rsidR="002A21AE" w:rsidRDefault="002A21AE">
      <w:pPr>
        <w:pStyle w:val="Heading2"/>
      </w:pPr>
      <w:r>
        <w:br w:type="page"/>
      </w:r>
      <w:bookmarkStart w:id="783" w:name="_Toc149064259"/>
      <w:r>
        <w:t xml:space="preserve">Appendix </w:t>
      </w:r>
      <w:r w:rsidR="001B0B0C">
        <w:rPr>
          <w:noProof/>
        </w:rPr>
        <w:t>K</w:t>
      </w:r>
      <w:r>
        <w:t>: Barcode Scanner Configuration</w:t>
      </w:r>
      <w:r w:rsidR="003C3D1E">
        <w:t xml:space="preserve"> and Troubleshooting</w:t>
      </w:r>
      <w:bookmarkEnd w:id="783"/>
      <w:r>
        <w:fldChar w:fldCharType="begin"/>
      </w:r>
      <w:r>
        <w:instrText xml:space="preserve"> XE </w:instrText>
      </w:r>
      <w:r w:rsidR="00FA7E65">
        <w:instrText>“</w:instrText>
      </w:r>
      <w:r>
        <w:instrText>Barcode Scanner Configuration</w:instrText>
      </w:r>
      <w:r w:rsidR="003C3D1E">
        <w:instrText xml:space="preserve"> and Troubleshooting</w:instrText>
      </w:r>
      <w:r w:rsidR="00FA7E65">
        <w:instrText>”</w:instrText>
      </w:r>
      <w:r>
        <w:instrText xml:space="preserve"> </w:instrText>
      </w:r>
      <w:r>
        <w:fldChar w:fldCharType="end"/>
      </w:r>
      <w:r>
        <w:fldChar w:fldCharType="begin"/>
      </w:r>
      <w:r>
        <w:instrText xml:space="preserve"> XE </w:instrText>
      </w:r>
      <w:r w:rsidR="00FA7E65">
        <w:instrText>“</w:instrText>
      </w:r>
      <w:r>
        <w:instrText>Figures:Barcode Scanner Configuration</w:instrText>
      </w:r>
      <w:r w:rsidR="00FA7E65">
        <w:instrText>”</w:instrText>
      </w:r>
      <w:r>
        <w:instrText xml:space="preserve"> </w:instrText>
      </w:r>
      <w:r>
        <w:fldChar w:fldCharType="end"/>
      </w:r>
    </w:p>
    <w:p w14:paraId="507E3C43" w14:textId="77777777" w:rsidR="003C3D1E" w:rsidRDefault="006F3CD3" w:rsidP="00FA7E65">
      <w:pPr>
        <w:pStyle w:val="BodyText"/>
      </w:pPr>
      <w:r>
        <w:t xml:space="preserve">Make sure the cord is plugged into the </w:t>
      </w:r>
      <w:r w:rsidR="003C3D1E">
        <w:t xml:space="preserve">scanner </w:t>
      </w:r>
      <w:r>
        <w:t>and the computer</w:t>
      </w:r>
      <w:r w:rsidR="00A723D5">
        <w:t xml:space="preserve">. </w:t>
      </w:r>
      <w:r w:rsidR="00733A22">
        <w:t xml:space="preserve">Point the scanner at a piece of white paper and squeeze the trigger to verify that the laser works. </w:t>
      </w:r>
    </w:p>
    <w:p w14:paraId="15DAC529" w14:textId="77777777" w:rsidR="00A723D5" w:rsidRDefault="00A723D5" w:rsidP="00A723D5">
      <w:pPr>
        <w:pStyle w:val="Caution"/>
      </w:pPr>
      <w:r>
        <w:t>For correct barcode scanning results, the Caps Lock key must not be engaged.</w:t>
      </w:r>
      <w:r w:rsidRPr="00340676">
        <w:rPr>
          <w:vanish/>
        </w:rPr>
        <w:t>(DR 2,733)</w:t>
      </w:r>
      <w:r>
        <w:t xml:space="preserve"> </w:t>
      </w:r>
    </w:p>
    <w:p w14:paraId="04CA822D" w14:textId="77777777" w:rsidR="00A723D5" w:rsidRDefault="00A723D5" w:rsidP="00FA7E65">
      <w:pPr>
        <w:pStyle w:val="BodyText"/>
      </w:pPr>
    </w:p>
    <w:p w14:paraId="67F0A860" w14:textId="77777777" w:rsidR="001C2F8E" w:rsidRDefault="00057948" w:rsidP="002A4F71">
      <w:pPr>
        <w:pStyle w:val="Caution"/>
      </w:pPr>
      <w:r>
        <w:rPr>
          <w:noProof/>
        </w:rPr>
        <w:drawing>
          <wp:inline distT="0" distB="0" distL="0" distR="0" wp14:anchorId="4ED5B5B0" wp14:editId="339A0B64">
            <wp:extent cx="267970" cy="221615"/>
            <wp:effectExtent l="0" t="0" r="0" b="6985"/>
            <wp:docPr id="284" name="Picture 284" descr="Caution bo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Caution box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221615"/>
                    </a:xfrm>
                    <a:prstGeom prst="rect">
                      <a:avLst/>
                    </a:prstGeom>
                    <a:noFill/>
                    <a:ln>
                      <a:noFill/>
                    </a:ln>
                  </pic:spPr>
                </pic:pic>
              </a:graphicData>
            </a:graphic>
          </wp:inline>
        </w:drawing>
      </w:r>
      <w:r w:rsidR="001C2F8E">
        <w:t xml:space="preserve"> </w:t>
      </w:r>
      <w:r w:rsidR="00416C59">
        <w:t>Never</w:t>
      </w:r>
      <w:r w:rsidR="001C2F8E">
        <w:t xml:space="preserve"> look directly at the laser.</w:t>
      </w:r>
      <w:r w:rsidR="00416C59" w:rsidRPr="00416C59">
        <w:t xml:space="preserve"> </w:t>
      </w:r>
      <w:r w:rsidR="00416C59">
        <w:t>Never direct the laser</w:t>
      </w:r>
      <w:r w:rsidR="00416C59" w:rsidRPr="001D19BF">
        <w:t xml:space="preserve"> </w:t>
      </w:r>
      <w:r w:rsidR="002126A9">
        <w:t xml:space="preserve">beam </w:t>
      </w:r>
      <w:r w:rsidR="00416C59" w:rsidRPr="001D19BF">
        <w:t xml:space="preserve">toward </w:t>
      </w:r>
      <w:r w:rsidR="00416C59">
        <w:t>yourself</w:t>
      </w:r>
      <w:r w:rsidR="00416C59" w:rsidRPr="001D19BF">
        <w:t xml:space="preserve"> or </w:t>
      </w:r>
      <w:r w:rsidR="002126A9">
        <w:t xml:space="preserve">another person. Avoid mirror-like surfaces such as </w:t>
      </w:r>
      <w:r w:rsidR="002126A9" w:rsidRPr="001D19BF">
        <w:t>glass, metal</w:t>
      </w:r>
      <w:r w:rsidR="002126A9">
        <w:t>,</w:t>
      </w:r>
      <w:r w:rsidR="002126A9" w:rsidRPr="001D19BF">
        <w:t xml:space="preserve"> </w:t>
      </w:r>
      <w:r w:rsidR="002E50AD">
        <w:t xml:space="preserve">watches, jewelry, </w:t>
      </w:r>
      <w:r w:rsidR="002126A9" w:rsidRPr="001D19BF">
        <w:t>and other highly reflective materials</w:t>
      </w:r>
      <w:r w:rsidR="002126A9">
        <w:t xml:space="preserve"> when directing the laser beam.</w:t>
      </w:r>
    </w:p>
    <w:p w14:paraId="16785547" w14:textId="5AB481E0" w:rsidR="002A21AE" w:rsidRDefault="002A21AE" w:rsidP="00FA7E65">
      <w:pPr>
        <w:pStyle w:val="BodyText"/>
      </w:pPr>
      <w:r>
        <w:t xml:space="preserve">To configure a barcode scanner, scan the barcode </w:t>
      </w:r>
      <w:r w:rsidR="007C0D69">
        <w:t xml:space="preserve">in </w:t>
      </w:r>
      <w:r w:rsidR="00EE455E">
        <w:t xml:space="preserve">Figure </w:t>
      </w:r>
      <w:r w:rsidR="00EE455E">
        <w:rPr>
          <w:noProof/>
        </w:rPr>
        <w:t>131</w:t>
      </w:r>
      <w:r>
        <w:t>.</w:t>
      </w:r>
      <w:r w:rsidR="002E50AD">
        <w:t xml:space="preserve"> Repeat this process if scanned data are incorrectly displayed on the terminal. Consult the product reference guide or call the </w:t>
      </w:r>
      <w:r w:rsidR="00E551C3">
        <w:t xml:space="preserve">Service </w:t>
      </w:r>
      <w:r w:rsidR="002E50AD">
        <w:t>Desk for further assistance.</w:t>
      </w:r>
    </w:p>
    <w:p w14:paraId="216C3593" w14:textId="77777777" w:rsidR="001E3F01" w:rsidRDefault="00584AF9" w:rsidP="00FA7E65">
      <w:pPr>
        <w:pStyle w:val="BodyText"/>
      </w:pPr>
      <w:r>
        <w:t>If your site uses barcode symbology for specimens not covered in these instructions, use the configuration barcodes in the manual included with the scanner.</w:t>
      </w:r>
    </w:p>
    <w:p w14:paraId="4F500565" w14:textId="0DE21F74" w:rsidR="002A4F71" w:rsidRDefault="002A4F71" w:rsidP="002A4F71">
      <w:pPr>
        <w:pStyle w:val="Caption"/>
      </w:pPr>
      <w:bookmarkStart w:id="784" w:name="_Ref126728954"/>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131</w:t>
      </w:r>
      <w:r w:rsidR="004E20BD">
        <w:rPr>
          <w:noProof/>
        </w:rPr>
        <w:fldChar w:fldCharType="end"/>
      </w:r>
      <w:bookmarkEnd w:id="784"/>
      <w:r>
        <w:t>: Barcode Scanner Configuration</w:t>
      </w:r>
    </w:p>
    <w:p w14:paraId="4BEBC7FC" w14:textId="04EF140A" w:rsidR="00F64D50" w:rsidRPr="00DD2CF2" w:rsidRDefault="00F64D50" w:rsidP="00DD2CF2">
      <w:pPr>
        <w:pStyle w:val="BodyText"/>
        <w:sectPr w:rsidR="00F64D50" w:rsidRPr="00DD2CF2" w:rsidSect="00EF717F">
          <w:footerReference w:type="default" r:id="rId246"/>
          <w:pgSz w:w="12240" w:h="15840" w:code="1"/>
          <w:pgMar w:top="1440" w:right="1440" w:bottom="1440" w:left="1440" w:header="720" w:footer="720" w:gutter="0"/>
          <w:cols w:space="720"/>
          <w:docGrid w:linePitch="360"/>
        </w:sectPr>
      </w:pPr>
      <w:bookmarkStart w:id="785" w:name="_Toc97523648"/>
      <w:bookmarkStart w:id="786" w:name="_Toc97527618"/>
      <w:r w:rsidRPr="00F64D50">
        <w:rPr>
          <w:noProof/>
          <w:highlight w:val="yellow"/>
        </w:rPr>
        <w:t>REDACTED</w:t>
      </w:r>
    </w:p>
    <w:bookmarkEnd w:id="785"/>
    <w:bookmarkEnd w:id="786"/>
    <w:p w14:paraId="28D3B8BF" w14:textId="77777777" w:rsidR="006B60EF" w:rsidRDefault="00DF1B1E" w:rsidP="0086066C">
      <w:pPr>
        <w:pStyle w:val="Heading2"/>
      </w:pPr>
      <w:r>
        <w:br w:type="page"/>
      </w:r>
      <w:bookmarkStart w:id="787" w:name="_Toc149064260"/>
      <w:r w:rsidR="00100549">
        <w:t>Appe</w:t>
      </w:r>
      <w:r w:rsidR="000A1A0F">
        <w:t>ndix L</w:t>
      </w:r>
      <w:r w:rsidR="00FC6E10">
        <w:t>: System Responses to Active</w:t>
      </w:r>
      <w:r w:rsidR="0010333F">
        <w:t xml:space="preserve"> Transfusion Requirements</w:t>
      </w:r>
      <w:r w:rsidR="00FC6E10">
        <w:t xml:space="preserve"> in Select Unit and Issue Blood Component</w:t>
      </w:r>
      <w:bookmarkEnd w:id="787"/>
      <w:r w:rsidR="00115A2A" w:rsidRPr="00115A2A">
        <w:rPr>
          <w:rFonts w:ascii="Arial Bold" w:hAnsi="Arial Bold"/>
          <w:vanish/>
        </w:rPr>
        <w:t xml:space="preserve"> DR 4501</w:t>
      </w:r>
      <w:r w:rsidR="00FC6E10">
        <w:fldChar w:fldCharType="begin"/>
      </w:r>
      <w:r w:rsidR="00FC6E10">
        <w:instrText xml:space="preserve"> XE “System Responses to Active Transfusion Requirements in Select Unit and Issue Blood Component” </w:instrText>
      </w:r>
      <w:r w:rsidR="00FC6E10">
        <w:fldChar w:fldCharType="end"/>
      </w:r>
    </w:p>
    <w:p w14:paraId="5D635040" w14:textId="77777777" w:rsidR="009125FD" w:rsidRDefault="009125FD" w:rsidP="009125FD"/>
    <w:p w14:paraId="460A916C" w14:textId="5AB3E590" w:rsidR="00052726" w:rsidRPr="00052726" w:rsidRDefault="00052726" w:rsidP="00052726">
      <w:pPr>
        <w:rPr>
          <w:sz w:val="22"/>
          <w:szCs w:val="22"/>
        </w:rPr>
      </w:pPr>
      <w:r w:rsidRPr="00052726">
        <w:rPr>
          <w:sz w:val="22"/>
          <w:szCs w:val="22"/>
        </w:rPr>
        <w:t>The followi</w:t>
      </w:r>
      <w:r w:rsidR="00BE2EF9">
        <w:rPr>
          <w:sz w:val="22"/>
          <w:szCs w:val="22"/>
        </w:rPr>
        <w:t>ng series of tables</w:t>
      </w:r>
      <w:r w:rsidR="000612EF">
        <w:rPr>
          <w:sz w:val="22"/>
          <w:szCs w:val="22"/>
        </w:rPr>
        <w:t xml:space="preserve"> </w:t>
      </w:r>
      <w:r w:rsidRPr="00052726">
        <w:rPr>
          <w:sz w:val="22"/>
          <w:szCs w:val="22"/>
        </w:rPr>
        <w:t>detail VBECS response to an active transfusion requirement, component class of the unit selected and the user’s VBECS role at unit selection and blood component issue.</w:t>
      </w:r>
    </w:p>
    <w:p w14:paraId="1E79C4D6" w14:textId="77777777" w:rsidR="00052726" w:rsidRPr="00052726" w:rsidRDefault="00052726" w:rsidP="00052726">
      <w:pPr>
        <w:rPr>
          <w:sz w:val="22"/>
          <w:szCs w:val="22"/>
        </w:rPr>
      </w:pPr>
    </w:p>
    <w:p w14:paraId="40810F19" w14:textId="4BE0DED5" w:rsidR="00052726" w:rsidRPr="00052726" w:rsidRDefault="00EE455E" w:rsidP="00052726">
      <w:pPr>
        <w:rPr>
          <w:sz w:val="22"/>
          <w:szCs w:val="22"/>
        </w:rPr>
      </w:pPr>
      <w:r w:rsidRPr="00EE455E">
        <w:rPr>
          <w:sz w:val="22"/>
          <w:szCs w:val="22"/>
        </w:rPr>
        <w:t xml:space="preserve">Figure </w:t>
      </w:r>
      <w:r w:rsidRPr="00EE455E">
        <w:rPr>
          <w:noProof/>
          <w:sz w:val="22"/>
          <w:szCs w:val="22"/>
        </w:rPr>
        <w:t>132</w:t>
      </w:r>
      <w:r w:rsidRPr="00EE455E">
        <w:rPr>
          <w:sz w:val="22"/>
          <w:szCs w:val="22"/>
        </w:rPr>
        <w:t>: Irradiate Cellular Products Only and Select Blood Unit</w:t>
      </w:r>
    </w:p>
    <w:p w14:paraId="322D0541" w14:textId="4B1707BE" w:rsidR="00052726" w:rsidRPr="00052726" w:rsidRDefault="00EE455E" w:rsidP="00052726">
      <w:pPr>
        <w:rPr>
          <w:sz w:val="22"/>
          <w:szCs w:val="22"/>
        </w:rPr>
      </w:pPr>
      <w:r w:rsidRPr="00EE455E">
        <w:rPr>
          <w:sz w:val="22"/>
          <w:szCs w:val="22"/>
        </w:rPr>
        <w:t xml:space="preserve">Figure </w:t>
      </w:r>
      <w:r w:rsidRPr="00EE455E">
        <w:rPr>
          <w:noProof/>
          <w:sz w:val="22"/>
          <w:szCs w:val="22"/>
        </w:rPr>
        <w:t>133</w:t>
      </w:r>
      <w:r w:rsidRPr="00EE455E">
        <w:rPr>
          <w:sz w:val="22"/>
          <w:szCs w:val="22"/>
        </w:rPr>
        <w:t>: Irradiate Cellular Products Only and Issue Blood Component</w:t>
      </w:r>
    </w:p>
    <w:p w14:paraId="042F59EC" w14:textId="451100D0" w:rsidR="00052726" w:rsidRPr="00052726" w:rsidRDefault="00EE455E" w:rsidP="00052726">
      <w:pPr>
        <w:rPr>
          <w:sz w:val="22"/>
          <w:szCs w:val="22"/>
        </w:rPr>
      </w:pPr>
      <w:r w:rsidRPr="00EE455E">
        <w:rPr>
          <w:sz w:val="22"/>
          <w:szCs w:val="22"/>
        </w:rPr>
        <w:t xml:space="preserve">Figure </w:t>
      </w:r>
      <w:r w:rsidRPr="00EE455E">
        <w:rPr>
          <w:noProof/>
          <w:sz w:val="22"/>
          <w:szCs w:val="22"/>
        </w:rPr>
        <w:t>134</w:t>
      </w:r>
      <w:r w:rsidRPr="00EE455E">
        <w:rPr>
          <w:sz w:val="22"/>
          <w:szCs w:val="22"/>
        </w:rPr>
        <w:t>: Leuko-reduce Cellular Products and Select Blood Unit</w:t>
      </w:r>
    </w:p>
    <w:p w14:paraId="279954E7" w14:textId="576FCD0D" w:rsidR="00052726" w:rsidRPr="00052726" w:rsidRDefault="00EE455E" w:rsidP="00052726">
      <w:pPr>
        <w:rPr>
          <w:sz w:val="22"/>
          <w:szCs w:val="22"/>
        </w:rPr>
      </w:pPr>
      <w:r w:rsidRPr="00EE455E">
        <w:rPr>
          <w:sz w:val="22"/>
          <w:szCs w:val="22"/>
        </w:rPr>
        <w:t xml:space="preserve">Figure </w:t>
      </w:r>
      <w:r w:rsidRPr="00EE455E">
        <w:rPr>
          <w:noProof/>
          <w:sz w:val="22"/>
          <w:szCs w:val="22"/>
        </w:rPr>
        <w:t>135</w:t>
      </w:r>
      <w:r w:rsidRPr="00EE455E">
        <w:rPr>
          <w:sz w:val="22"/>
          <w:szCs w:val="22"/>
        </w:rPr>
        <w:t>: Leuko-reduce Cellular Products and Issue Blood Component</w:t>
      </w:r>
    </w:p>
    <w:p w14:paraId="405AF52A" w14:textId="67D578C1" w:rsidR="00052726" w:rsidRPr="00052726" w:rsidRDefault="00EE455E" w:rsidP="00052726">
      <w:pPr>
        <w:rPr>
          <w:sz w:val="22"/>
          <w:szCs w:val="22"/>
        </w:rPr>
      </w:pPr>
      <w:r w:rsidRPr="00EE455E">
        <w:rPr>
          <w:sz w:val="22"/>
          <w:szCs w:val="22"/>
        </w:rPr>
        <w:t xml:space="preserve">Figure </w:t>
      </w:r>
      <w:r w:rsidRPr="00EE455E">
        <w:rPr>
          <w:noProof/>
          <w:sz w:val="22"/>
          <w:szCs w:val="22"/>
        </w:rPr>
        <w:t>136</w:t>
      </w:r>
      <w:r w:rsidRPr="00EE455E">
        <w:rPr>
          <w:sz w:val="22"/>
          <w:szCs w:val="22"/>
        </w:rPr>
        <w:t>: Washed Red Blood Cell (RBC) Products and Select Blood Unit</w:t>
      </w:r>
    </w:p>
    <w:p w14:paraId="7C7C1E87" w14:textId="4702DE03" w:rsidR="00052726" w:rsidRPr="00052726" w:rsidRDefault="00EE455E" w:rsidP="00052726">
      <w:pPr>
        <w:rPr>
          <w:sz w:val="22"/>
          <w:szCs w:val="22"/>
        </w:rPr>
      </w:pPr>
      <w:r w:rsidRPr="00EE455E">
        <w:rPr>
          <w:sz w:val="22"/>
          <w:szCs w:val="22"/>
        </w:rPr>
        <w:t xml:space="preserve">Figure </w:t>
      </w:r>
      <w:r w:rsidRPr="00EE455E">
        <w:rPr>
          <w:noProof/>
          <w:sz w:val="22"/>
          <w:szCs w:val="22"/>
        </w:rPr>
        <w:t>137</w:t>
      </w:r>
      <w:r w:rsidRPr="00EE455E">
        <w:rPr>
          <w:sz w:val="22"/>
          <w:szCs w:val="22"/>
        </w:rPr>
        <w:t>: Washed Red Blood Cell (RBC) Products and Issue Blood Component</w:t>
      </w:r>
    </w:p>
    <w:p w14:paraId="40AC0BD1" w14:textId="1822242A" w:rsidR="00052726" w:rsidRPr="00052726" w:rsidRDefault="00EE455E" w:rsidP="00052726">
      <w:pPr>
        <w:rPr>
          <w:sz w:val="22"/>
          <w:szCs w:val="22"/>
        </w:rPr>
      </w:pPr>
      <w:r w:rsidRPr="00EE455E">
        <w:rPr>
          <w:sz w:val="22"/>
          <w:szCs w:val="22"/>
        </w:rPr>
        <w:t xml:space="preserve">Figure </w:t>
      </w:r>
      <w:r w:rsidRPr="00EE455E">
        <w:rPr>
          <w:noProof/>
          <w:sz w:val="22"/>
          <w:szCs w:val="22"/>
        </w:rPr>
        <w:t>138</w:t>
      </w:r>
      <w:r w:rsidRPr="00EE455E">
        <w:rPr>
          <w:sz w:val="22"/>
          <w:szCs w:val="22"/>
        </w:rPr>
        <w:t>: Washed PLATELET (PLT) Products and Select Blood Unit</w:t>
      </w:r>
    </w:p>
    <w:p w14:paraId="234E249F" w14:textId="14C600A8" w:rsidR="00052726" w:rsidRPr="00052726" w:rsidRDefault="00EE455E" w:rsidP="00052726">
      <w:pPr>
        <w:rPr>
          <w:sz w:val="22"/>
          <w:szCs w:val="22"/>
        </w:rPr>
      </w:pPr>
      <w:r w:rsidRPr="00EE455E">
        <w:rPr>
          <w:sz w:val="22"/>
          <w:szCs w:val="22"/>
        </w:rPr>
        <w:t xml:space="preserve">Figure </w:t>
      </w:r>
      <w:r w:rsidRPr="00EE455E">
        <w:rPr>
          <w:noProof/>
          <w:sz w:val="22"/>
          <w:szCs w:val="22"/>
        </w:rPr>
        <w:t>139</w:t>
      </w:r>
      <w:r w:rsidRPr="00EE455E">
        <w:rPr>
          <w:sz w:val="22"/>
          <w:szCs w:val="22"/>
        </w:rPr>
        <w:t>: Washed PLATELET (PLT) Products and Issue Blood Component</w:t>
      </w:r>
    </w:p>
    <w:p w14:paraId="07DFBD7C" w14:textId="6DACF332" w:rsidR="00052726" w:rsidRPr="00052726" w:rsidRDefault="00EE455E" w:rsidP="00052726">
      <w:pPr>
        <w:rPr>
          <w:sz w:val="22"/>
          <w:szCs w:val="22"/>
        </w:rPr>
      </w:pPr>
      <w:r w:rsidRPr="00EE455E">
        <w:rPr>
          <w:sz w:val="22"/>
          <w:szCs w:val="22"/>
        </w:rPr>
        <w:t xml:space="preserve">Figure </w:t>
      </w:r>
      <w:r w:rsidRPr="00EE455E">
        <w:rPr>
          <w:noProof/>
          <w:sz w:val="22"/>
          <w:szCs w:val="22"/>
        </w:rPr>
        <w:t>140</w:t>
      </w:r>
      <w:r w:rsidRPr="00EE455E">
        <w:rPr>
          <w:sz w:val="22"/>
          <w:szCs w:val="22"/>
        </w:rPr>
        <w:t>: Sickle Cell Negative RBC Products and Select Blood Unit</w:t>
      </w:r>
    </w:p>
    <w:p w14:paraId="2D74E9BB" w14:textId="39FC601B" w:rsidR="00052726" w:rsidRPr="00052726" w:rsidRDefault="00EE455E" w:rsidP="00052726">
      <w:pPr>
        <w:rPr>
          <w:sz w:val="22"/>
          <w:szCs w:val="22"/>
        </w:rPr>
      </w:pPr>
      <w:r w:rsidRPr="00EE455E">
        <w:rPr>
          <w:sz w:val="22"/>
          <w:szCs w:val="22"/>
        </w:rPr>
        <w:t xml:space="preserve">Figure </w:t>
      </w:r>
      <w:r w:rsidRPr="00EE455E">
        <w:rPr>
          <w:noProof/>
          <w:sz w:val="22"/>
          <w:szCs w:val="22"/>
        </w:rPr>
        <w:t>141</w:t>
      </w:r>
      <w:r w:rsidRPr="00EE455E">
        <w:rPr>
          <w:sz w:val="22"/>
          <w:szCs w:val="22"/>
        </w:rPr>
        <w:t>: Sickle Cell Negative RBC Products and Issue Blood Component</w:t>
      </w:r>
    </w:p>
    <w:p w14:paraId="793780CC" w14:textId="02E0A709" w:rsidR="00052726" w:rsidRPr="00052726" w:rsidRDefault="00EE455E" w:rsidP="00052726">
      <w:pPr>
        <w:rPr>
          <w:sz w:val="22"/>
          <w:szCs w:val="22"/>
        </w:rPr>
      </w:pPr>
      <w:r w:rsidRPr="00EE455E">
        <w:rPr>
          <w:sz w:val="22"/>
          <w:szCs w:val="22"/>
        </w:rPr>
        <w:t xml:space="preserve">Figure </w:t>
      </w:r>
      <w:r w:rsidRPr="00EE455E">
        <w:rPr>
          <w:noProof/>
          <w:sz w:val="22"/>
          <w:szCs w:val="22"/>
        </w:rPr>
        <w:t>142</w:t>
      </w:r>
      <w:r w:rsidRPr="00EE455E">
        <w:rPr>
          <w:sz w:val="22"/>
          <w:szCs w:val="22"/>
        </w:rPr>
        <w:t>: CMV Negative Cellular Products* and Select Blood Unit</w:t>
      </w:r>
    </w:p>
    <w:p w14:paraId="61551874" w14:textId="32E53CE8" w:rsidR="00052726" w:rsidRPr="00052726" w:rsidRDefault="00EE455E" w:rsidP="00052726">
      <w:pPr>
        <w:rPr>
          <w:sz w:val="22"/>
          <w:szCs w:val="22"/>
        </w:rPr>
      </w:pPr>
      <w:r w:rsidRPr="00EE455E">
        <w:rPr>
          <w:sz w:val="22"/>
          <w:szCs w:val="22"/>
        </w:rPr>
        <w:t xml:space="preserve">Figure </w:t>
      </w:r>
      <w:r w:rsidRPr="00EE455E">
        <w:rPr>
          <w:noProof/>
          <w:sz w:val="22"/>
          <w:szCs w:val="22"/>
        </w:rPr>
        <w:t>143</w:t>
      </w:r>
      <w:r w:rsidRPr="00EE455E">
        <w:rPr>
          <w:sz w:val="22"/>
          <w:szCs w:val="22"/>
        </w:rPr>
        <w:t>: CMV Negative Cellular Products* and Issue Blood Component</w:t>
      </w:r>
      <w:r w:rsidR="00052726" w:rsidRPr="00052726">
        <w:rPr>
          <w:sz w:val="22"/>
          <w:szCs w:val="22"/>
        </w:rPr>
        <w:t xml:space="preserve">  </w:t>
      </w:r>
    </w:p>
    <w:p w14:paraId="18980E35" w14:textId="77777777" w:rsidR="00052726" w:rsidRPr="00D13051" w:rsidRDefault="00052726" w:rsidP="00052726"/>
    <w:p w14:paraId="1C65C898" w14:textId="79779065" w:rsidR="00C15299" w:rsidRDefault="00C15299" w:rsidP="00C15299">
      <w:pPr>
        <w:pStyle w:val="Caption"/>
      </w:pPr>
      <w:bookmarkStart w:id="788" w:name="_Ref407612048"/>
      <w:bookmarkStart w:id="789" w:name="_Ref34350239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132</w:t>
      </w:r>
      <w:r w:rsidR="004E20BD">
        <w:rPr>
          <w:noProof/>
        </w:rPr>
        <w:fldChar w:fldCharType="end"/>
      </w:r>
      <w:bookmarkEnd w:id="788"/>
      <w:r>
        <w:t>: Irradiate Cellular Products Only and Select Blood Unit</w:t>
      </w:r>
      <w:bookmarkEnd w:id="789"/>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2189"/>
        <w:gridCol w:w="1530"/>
        <w:gridCol w:w="1350"/>
        <w:gridCol w:w="3330"/>
      </w:tblGrid>
      <w:tr w:rsidR="009125FD" w:rsidRPr="005C5D59" w14:paraId="65F7BE78"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07CD31AF"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 Unit: IRRADIATED</w:t>
            </w:r>
          </w:p>
        </w:tc>
      </w:tr>
      <w:tr w:rsidR="009125FD" w:rsidRPr="005C5D59" w14:paraId="4AB80CA1"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6C52EEC3"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2189" w:type="dxa"/>
            <w:tcBorders>
              <w:left w:val="single" w:sz="4" w:space="0" w:color="000000"/>
              <w:bottom w:val="single" w:sz="4" w:space="0" w:color="000000"/>
              <w:right w:val="single" w:sz="4" w:space="0" w:color="000000"/>
            </w:tcBorders>
            <w:shd w:val="pct25" w:color="auto" w:fill="auto"/>
            <w:vAlign w:val="bottom"/>
            <w:hideMark/>
          </w:tcPr>
          <w:p w14:paraId="449EA1A1"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53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4AB81D2"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3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2A01116"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333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1BC2A86"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2C8135D3"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11C94DF0"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Irradiate</w:t>
            </w:r>
          </w:p>
          <w:p w14:paraId="72BFB4AB"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 xml:space="preserve">Cellular </w:t>
            </w:r>
            <w:r w:rsidRPr="004F6C19">
              <w:rPr>
                <w:rFonts w:ascii="Arial" w:hAnsi="Arial" w:cs="Arial"/>
                <w:b/>
                <w:sz w:val="28"/>
                <w:szCs w:val="28"/>
              </w:rPr>
              <w:br/>
              <w:t>Products</w:t>
            </w:r>
          </w:p>
          <w:p w14:paraId="3F830513" w14:textId="77777777" w:rsidR="009125FD" w:rsidRPr="005C5D59" w:rsidRDefault="009125FD" w:rsidP="009125FD">
            <w:pPr>
              <w:jc w:val="center"/>
              <w:rPr>
                <w:rFonts w:ascii="Arial" w:hAnsi="Arial" w:cs="Arial"/>
                <w:sz w:val="18"/>
                <w:szCs w:val="18"/>
              </w:rPr>
            </w:pPr>
            <w:r w:rsidRPr="004F6C19">
              <w:rPr>
                <w:rFonts w:ascii="Arial" w:hAnsi="Arial" w:cs="Arial"/>
                <w:b/>
                <w:sz w:val="28"/>
                <w:szCs w:val="28"/>
              </w:rPr>
              <w:t>Only</w:t>
            </w:r>
          </w:p>
        </w:tc>
        <w:tc>
          <w:tcPr>
            <w:tcW w:w="2189" w:type="dxa"/>
            <w:tcBorders>
              <w:top w:val="single" w:sz="4" w:space="0" w:color="000000"/>
              <w:left w:val="single" w:sz="4" w:space="0" w:color="000000"/>
              <w:right w:val="single" w:sz="4" w:space="0" w:color="000000"/>
            </w:tcBorders>
            <w:shd w:val="pct10" w:color="auto" w:fill="auto"/>
            <w:vAlign w:val="center"/>
            <w:hideMark/>
          </w:tcPr>
          <w:p w14:paraId="2066749C"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15943BD2"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 </w:t>
            </w:r>
          </w:p>
          <w:p w14:paraId="72C7B523"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727CF559"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530" w:type="dxa"/>
            <w:tcBorders>
              <w:top w:val="single" w:sz="4" w:space="0" w:color="000000"/>
              <w:left w:val="single" w:sz="4" w:space="0" w:color="000000"/>
              <w:right w:val="single" w:sz="4" w:space="0" w:color="000000"/>
            </w:tcBorders>
            <w:shd w:val="pct10" w:color="auto" w:fill="auto"/>
            <w:vAlign w:val="center"/>
            <w:hideMark/>
          </w:tcPr>
          <w:p w14:paraId="3EDD5E6E"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Irradiated</w:t>
            </w:r>
          </w:p>
        </w:tc>
        <w:tc>
          <w:tcPr>
            <w:tcW w:w="1350" w:type="dxa"/>
            <w:tcBorders>
              <w:top w:val="single" w:sz="4" w:space="0" w:color="000000"/>
              <w:left w:val="single" w:sz="4" w:space="0" w:color="000000"/>
              <w:right w:val="single" w:sz="4" w:space="0" w:color="000000"/>
            </w:tcBorders>
            <w:shd w:val="pct10" w:color="auto" w:fill="auto"/>
            <w:vAlign w:val="center"/>
            <w:hideMark/>
          </w:tcPr>
          <w:p w14:paraId="4D7C689E" w14:textId="77777777" w:rsidR="009125FD" w:rsidRPr="005C5D59" w:rsidRDefault="009125FD" w:rsidP="009125FD">
            <w:pPr>
              <w:jc w:val="center"/>
              <w:rPr>
                <w:rFonts w:ascii="Arial" w:hAnsi="Arial" w:cs="Arial"/>
                <w:b/>
                <w:sz w:val="18"/>
                <w:szCs w:val="18"/>
              </w:rPr>
            </w:pPr>
            <w:r w:rsidRPr="00825E94">
              <w:rPr>
                <w:rFonts w:ascii="Arial" w:hAnsi="Arial" w:cs="Arial"/>
                <w:b/>
                <w:sz w:val="18"/>
                <w:szCs w:val="18"/>
              </w:rPr>
              <w:t>ALL VBECS Users</w:t>
            </w:r>
          </w:p>
        </w:tc>
        <w:tc>
          <w:tcPr>
            <w:tcW w:w="3330" w:type="dxa"/>
            <w:tcBorders>
              <w:top w:val="single" w:sz="4" w:space="0" w:color="000000"/>
              <w:left w:val="single" w:sz="4" w:space="0" w:color="000000"/>
              <w:right w:val="single" w:sz="4" w:space="0" w:color="000000"/>
            </w:tcBorders>
            <w:shd w:val="pct10" w:color="auto" w:fill="auto"/>
            <w:vAlign w:val="center"/>
          </w:tcPr>
          <w:p w14:paraId="38C65A41"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146B966B" w14:textId="77777777" w:rsidTr="009125FD">
        <w:trPr>
          <w:cantSplit/>
          <w:trHeight w:val="576"/>
        </w:trPr>
        <w:tc>
          <w:tcPr>
            <w:tcW w:w="1843" w:type="dxa"/>
            <w:vMerge/>
            <w:tcBorders>
              <w:left w:val="single" w:sz="4" w:space="0" w:color="000000"/>
              <w:right w:val="single" w:sz="4" w:space="0" w:color="000000"/>
            </w:tcBorders>
            <w:vAlign w:val="bottom"/>
          </w:tcPr>
          <w:p w14:paraId="73FA9AB1" w14:textId="77777777" w:rsidR="009125FD" w:rsidRPr="005C5D59" w:rsidRDefault="009125FD" w:rsidP="009125FD">
            <w:pPr>
              <w:rPr>
                <w:rFonts w:ascii="Arial" w:hAnsi="Arial" w:cs="Arial"/>
                <w:b/>
                <w:sz w:val="18"/>
                <w:szCs w:val="18"/>
              </w:rPr>
            </w:pPr>
          </w:p>
        </w:tc>
        <w:tc>
          <w:tcPr>
            <w:tcW w:w="2189" w:type="dxa"/>
            <w:tcBorders>
              <w:top w:val="single" w:sz="4" w:space="0" w:color="000000"/>
              <w:left w:val="single" w:sz="4" w:space="0" w:color="000000"/>
              <w:bottom w:val="single" w:sz="4" w:space="0" w:color="000000"/>
              <w:right w:val="single" w:sz="4" w:space="0" w:color="000000"/>
            </w:tcBorders>
            <w:vAlign w:val="center"/>
          </w:tcPr>
          <w:p w14:paraId="700D7D98"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509835D1"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 WHOLE BLOOD </w:t>
            </w:r>
          </w:p>
          <w:p w14:paraId="7A5567AB"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3976F5AB"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530" w:type="dxa"/>
            <w:tcBorders>
              <w:top w:val="single" w:sz="4" w:space="0" w:color="000000"/>
              <w:left w:val="single" w:sz="4" w:space="0" w:color="000000"/>
              <w:bottom w:val="single" w:sz="4" w:space="0" w:color="000000"/>
              <w:right w:val="single" w:sz="4" w:space="0" w:color="000000"/>
            </w:tcBorders>
            <w:vAlign w:val="center"/>
          </w:tcPr>
          <w:p w14:paraId="23BB865A"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350" w:type="dxa"/>
            <w:tcBorders>
              <w:top w:val="single" w:sz="4" w:space="0" w:color="000000"/>
              <w:left w:val="single" w:sz="4" w:space="0" w:color="000000"/>
              <w:bottom w:val="single" w:sz="4" w:space="0" w:color="000000"/>
              <w:right w:val="single" w:sz="4" w:space="0" w:color="000000"/>
            </w:tcBorders>
            <w:vAlign w:val="center"/>
          </w:tcPr>
          <w:p w14:paraId="6C1DED61" w14:textId="77777777" w:rsidR="009125FD" w:rsidRPr="005C5D59" w:rsidRDefault="009125FD" w:rsidP="009125FD">
            <w:pPr>
              <w:jc w:val="center"/>
              <w:rPr>
                <w:rFonts w:ascii="Arial" w:hAnsi="Arial" w:cs="Arial"/>
                <w:sz w:val="18"/>
                <w:szCs w:val="18"/>
              </w:rPr>
            </w:pPr>
            <w:r w:rsidRPr="00825E94">
              <w:rPr>
                <w:rFonts w:ascii="Arial" w:hAnsi="Arial" w:cs="Arial"/>
                <w:b/>
                <w:sz w:val="18"/>
                <w:szCs w:val="18"/>
              </w:rPr>
              <w:t>ALL VBECS Users</w:t>
            </w:r>
          </w:p>
        </w:tc>
        <w:tc>
          <w:tcPr>
            <w:tcW w:w="3330" w:type="dxa"/>
            <w:tcBorders>
              <w:top w:val="single" w:sz="4" w:space="0" w:color="000000"/>
              <w:left w:val="single" w:sz="4" w:space="0" w:color="000000"/>
              <w:right w:val="single" w:sz="4" w:space="0" w:color="000000"/>
            </w:tcBorders>
          </w:tcPr>
          <w:p w14:paraId="53289567"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Transfusio</w:t>
            </w:r>
            <w:r>
              <w:rPr>
                <w:rStyle w:val="StyleTableText9ptCharChar"/>
                <w:rFonts w:cs="Arial"/>
              </w:rPr>
              <w:t xml:space="preserve">n Requirement is not satisfied; </w:t>
            </w:r>
            <w:r w:rsidRPr="005C5D59">
              <w:rPr>
                <w:rStyle w:val="StyleTableText9ptCharChar"/>
                <w:rFonts w:cs="Arial"/>
              </w:rPr>
              <w:t xml:space="preserve">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56F8714D"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141F6B7F"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7E7651F2" w14:textId="77777777" w:rsidR="009125FD" w:rsidRDefault="009125FD" w:rsidP="009125FD"/>
    <w:p w14:paraId="1C32B145" w14:textId="7A475BAC" w:rsidR="00C15299" w:rsidRDefault="009125FD" w:rsidP="00C15299">
      <w:pPr>
        <w:pStyle w:val="Caption"/>
      </w:pPr>
      <w:r>
        <w:br w:type="page"/>
      </w:r>
      <w:bookmarkStart w:id="790" w:name="_Ref407612064"/>
      <w:bookmarkStart w:id="791" w:name="_Ref343502433"/>
      <w:r w:rsidR="00C15299">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133</w:t>
      </w:r>
      <w:r w:rsidR="004E20BD">
        <w:rPr>
          <w:noProof/>
        </w:rPr>
        <w:fldChar w:fldCharType="end"/>
      </w:r>
      <w:bookmarkEnd w:id="790"/>
      <w:r w:rsidR="00C15299">
        <w:t>: Irradiate Cellular Products Only and Issue Blood Component</w:t>
      </w:r>
      <w:bookmarkEnd w:id="791"/>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7E567714"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5FC75D63" w14:textId="77777777" w:rsidR="009125FD" w:rsidRPr="005C5D59" w:rsidRDefault="009125FD" w:rsidP="009125FD">
            <w:pPr>
              <w:rPr>
                <w:rFonts w:ascii="Arial" w:hAnsi="Arial" w:cs="Arial"/>
                <w:b/>
                <w:sz w:val="18"/>
                <w:szCs w:val="18"/>
              </w:rPr>
            </w:pPr>
            <w:r w:rsidRPr="005C5D59">
              <w:rPr>
                <w:rFonts w:ascii="Arial" w:hAnsi="Arial" w:cs="Arial"/>
                <w:b/>
                <w:sz w:val="18"/>
                <w:szCs w:val="18"/>
              </w:rPr>
              <w:t>Issue Blood Component: IRRADIATED</w:t>
            </w:r>
          </w:p>
        </w:tc>
      </w:tr>
      <w:tr w:rsidR="009125FD" w:rsidRPr="005C5D59" w14:paraId="2735C82E"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56232B7B"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1E47F935"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A3032D5"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361AE148"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0416112"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27970CA7"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554D61FA"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Irradiate</w:t>
            </w:r>
          </w:p>
          <w:p w14:paraId="14B4A8C9" w14:textId="77777777" w:rsidR="009125FD" w:rsidRPr="004F6C19" w:rsidRDefault="009125FD" w:rsidP="009125FD">
            <w:pPr>
              <w:jc w:val="center"/>
              <w:rPr>
                <w:rFonts w:ascii="Arial" w:hAnsi="Arial" w:cs="Arial"/>
                <w:b/>
                <w:sz w:val="28"/>
                <w:szCs w:val="28"/>
              </w:rPr>
            </w:pPr>
            <w:r w:rsidRPr="004F6C19">
              <w:rPr>
                <w:rFonts w:ascii="Arial" w:hAnsi="Arial" w:cs="Arial"/>
                <w:b/>
                <w:sz w:val="28"/>
                <w:szCs w:val="28"/>
              </w:rPr>
              <w:t xml:space="preserve">Cellular </w:t>
            </w:r>
            <w:r w:rsidRPr="004F6C19">
              <w:rPr>
                <w:rFonts w:ascii="Arial" w:hAnsi="Arial" w:cs="Arial"/>
                <w:b/>
                <w:sz w:val="28"/>
                <w:szCs w:val="28"/>
              </w:rPr>
              <w:br/>
              <w:t>Products</w:t>
            </w:r>
          </w:p>
          <w:p w14:paraId="71BBEF3F" w14:textId="77777777" w:rsidR="009125FD" w:rsidRPr="005C5D59" w:rsidRDefault="009125FD" w:rsidP="009125FD">
            <w:pPr>
              <w:jc w:val="center"/>
              <w:rPr>
                <w:rFonts w:ascii="Arial" w:hAnsi="Arial" w:cs="Arial"/>
                <w:sz w:val="18"/>
                <w:szCs w:val="18"/>
              </w:rPr>
            </w:pPr>
            <w:r w:rsidRPr="004F6C19">
              <w:rPr>
                <w:rFonts w:ascii="Arial" w:hAnsi="Arial" w:cs="Arial"/>
                <w:b/>
                <w:sz w:val="28"/>
                <w:szCs w:val="28"/>
              </w:rPr>
              <w:t>Only</w:t>
            </w:r>
          </w:p>
        </w:tc>
        <w:tc>
          <w:tcPr>
            <w:tcW w:w="1620" w:type="dxa"/>
            <w:tcBorders>
              <w:top w:val="single" w:sz="4" w:space="0" w:color="000000"/>
              <w:left w:val="single" w:sz="4" w:space="0" w:color="000000"/>
              <w:right w:val="single" w:sz="4" w:space="0" w:color="000000"/>
            </w:tcBorders>
            <w:shd w:val="pct10" w:color="auto" w:fill="auto"/>
            <w:vAlign w:val="center"/>
            <w:hideMark/>
          </w:tcPr>
          <w:p w14:paraId="51D647FC"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24947161" w14:textId="77777777" w:rsidR="009125FD"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p w14:paraId="6DCE601D"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214A3C7C"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37FF35F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Irradiated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54C530AC"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2BE91352"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1A7E6804" w14:textId="77777777" w:rsidTr="009125FD">
        <w:trPr>
          <w:cantSplit/>
          <w:trHeight w:val="1758"/>
        </w:trPr>
        <w:tc>
          <w:tcPr>
            <w:tcW w:w="1692" w:type="dxa"/>
            <w:vMerge/>
            <w:tcBorders>
              <w:left w:val="single" w:sz="4" w:space="0" w:color="000000"/>
              <w:right w:val="single" w:sz="4" w:space="0" w:color="000000"/>
            </w:tcBorders>
            <w:vAlign w:val="bottom"/>
          </w:tcPr>
          <w:p w14:paraId="68CD30AB"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22D0ED56"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442DAE38"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WHOLE BLOOD</w:t>
            </w:r>
          </w:p>
          <w:p w14:paraId="27817A1B"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2D361688"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vAlign w:val="center"/>
          </w:tcPr>
          <w:p w14:paraId="0F0B2624"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620" w:type="dxa"/>
            <w:tcBorders>
              <w:top w:val="single" w:sz="4" w:space="0" w:color="000000"/>
              <w:left w:val="single" w:sz="4" w:space="0" w:color="000000"/>
              <w:right w:val="single" w:sz="4" w:space="0" w:color="000000"/>
            </w:tcBorders>
            <w:vAlign w:val="center"/>
          </w:tcPr>
          <w:p w14:paraId="39C2F88A" w14:textId="77777777" w:rsidR="009125FD" w:rsidRPr="0081278B" w:rsidRDefault="009125FD" w:rsidP="009125FD">
            <w:pPr>
              <w:ind w:left="18"/>
              <w:rPr>
                <w:rFonts w:ascii="Arial" w:hAnsi="Arial" w:cs="Arial"/>
                <w:sz w:val="18"/>
                <w:szCs w:val="18"/>
              </w:rPr>
            </w:pPr>
            <w:r w:rsidRPr="0081278B">
              <w:rPr>
                <w:rFonts w:ascii="Arial" w:hAnsi="Arial" w:cs="Arial"/>
                <w:noProof/>
                <w:sz w:val="18"/>
                <w:szCs w:val="18"/>
              </w:rPr>
              <w:t>Technologist</w:t>
            </w:r>
          </w:p>
          <w:p w14:paraId="07C58839" w14:textId="77777777" w:rsidR="009125FD" w:rsidRPr="00836EE2" w:rsidRDefault="009125FD" w:rsidP="009125FD">
            <w:pPr>
              <w:ind w:left="18"/>
              <w:jc w:val="center"/>
              <w:rPr>
                <w:rFonts w:ascii="Arial" w:hAnsi="Arial" w:cs="Arial"/>
                <w:sz w:val="18"/>
                <w:szCs w:val="18"/>
              </w:rPr>
            </w:pPr>
          </w:p>
          <w:p w14:paraId="4007AE20" w14:textId="77777777" w:rsidR="009125FD" w:rsidRPr="0081278B" w:rsidRDefault="009125FD" w:rsidP="009125FD">
            <w:pPr>
              <w:ind w:left="18"/>
              <w:rPr>
                <w:rFonts w:ascii="Arial" w:hAnsi="Arial" w:cs="Arial"/>
                <w:noProof/>
                <w:sz w:val="18"/>
                <w:szCs w:val="18"/>
              </w:rPr>
            </w:pPr>
            <w:r w:rsidRPr="0081278B">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01AFDD0B"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2BF9330"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54F4FE60" w14:textId="77777777" w:rsidTr="009125FD">
        <w:trPr>
          <w:cantSplit/>
          <w:trHeight w:val="2343"/>
        </w:trPr>
        <w:tc>
          <w:tcPr>
            <w:tcW w:w="1692" w:type="dxa"/>
            <w:vMerge/>
            <w:tcBorders>
              <w:left w:val="single" w:sz="4" w:space="0" w:color="000000"/>
              <w:right w:val="single" w:sz="4" w:space="0" w:color="000000"/>
            </w:tcBorders>
            <w:vAlign w:val="bottom"/>
          </w:tcPr>
          <w:p w14:paraId="7E69282F"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23377EE6"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RED BLOOD CELLS </w:t>
            </w:r>
          </w:p>
          <w:p w14:paraId="230BFFB8"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WHOLE BLOOD</w:t>
            </w:r>
          </w:p>
          <w:p w14:paraId="1E5DF83C"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PLATELETS</w:t>
            </w:r>
          </w:p>
          <w:p w14:paraId="1608C6BA" w14:textId="77777777" w:rsidR="009125FD" w:rsidRPr="005C5D59" w:rsidRDefault="009125FD" w:rsidP="009125FD">
            <w:pPr>
              <w:spacing w:before="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vAlign w:val="center"/>
          </w:tcPr>
          <w:p w14:paraId="69BC987F" w14:textId="77777777" w:rsidR="009125FD" w:rsidRPr="005C5D59" w:rsidRDefault="009125FD" w:rsidP="009125FD">
            <w:pPr>
              <w:jc w:val="center"/>
              <w:rPr>
                <w:rFonts w:ascii="Arial" w:hAnsi="Arial" w:cs="Arial"/>
                <w:color w:val="FF0000"/>
                <w:sz w:val="18"/>
                <w:szCs w:val="18"/>
              </w:rPr>
            </w:pPr>
            <w:r w:rsidRPr="005C5D59">
              <w:rPr>
                <w:rFonts w:ascii="Arial" w:hAnsi="Arial" w:cs="Arial"/>
                <w:b/>
                <w:color w:val="FF0000"/>
                <w:sz w:val="18"/>
                <w:szCs w:val="18"/>
              </w:rPr>
              <w:t>Not Irradiated</w:t>
            </w:r>
          </w:p>
        </w:tc>
        <w:tc>
          <w:tcPr>
            <w:tcW w:w="1620" w:type="dxa"/>
            <w:tcBorders>
              <w:top w:val="single" w:sz="4" w:space="0" w:color="000000"/>
              <w:left w:val="single" w:sz="4" w:space="0" w:color="000000"/>
              <w:right w:val="single" w:sz="4" w:space="0" w:color="000000"/>
            </w:tcBorders>
            <w:vAlign w:val="center"/>
          </w:tcPr>
          <w:p w14:paraId="0333328E"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Lead Technologist</w:t>
            </w:r>
          </w:p>
          <w:p w14:paraId="5E273312"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Traditional Supervisor</w:t>
            </w:r>
          </w:p>
          <w:p w14:paraId="20DF304E"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Enhanced Supervisor</w:t>
            </w:r>
          </w:p>
          <w:p w14:paraId="2D4CE6FF" w14:textId="77777777" w:rsidR="009125FD" w:rsidRPr="0081278B" w:rsidRDefault="009125FD" w:rsidP="009125FD">
            <w:pPr>
              <w:spacing w:before="120"/>
              <w:ind w:left="18"/>
              <w:rPr>
                <w:rFonts w:ascii="Arial" w:hAnsi="Arial" w:cs="Arial"/>
                <w:sz w:val="18"/>
                <w:szCs w:val="18"/>
              </w:rPr>
            </w:pPr>
            <w:r w:rsidRPr="0081278B">
              <w:rPr>
                <w:rFonts w:ascii="Arial" w:hAnsi="Arial" w:cs="Arial"/>
                <w:sz w:val="18"/>
                <w:szCs w:val="18"/>
              </w:rPr>
              <w:t>Administrator/Supervisor</w:t>
            </w:r>
          </w:p>
          <w:p w14:paraId="7A468320"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7E214F31"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Irradiate Cellular Products Only Transfusion Requirement is not satisfied</w:t>
            </w:r>
            <w:r w:rsidRPr="005C5D59">
              <w:rPr>
                <w:rFonts w:ascii="Arial" w:hAnsi="Arial" w:cs="Arial"/>
                <w:sz w:val="18"/>
                <w:szCs w:val="18"/>
              </w:rPr>
              <w:t xml:space="preserve"> and prompts the user whether to proceed. </w:t>
            </w:r>
          </w:p>
          <w:p w14:paraId="5EE812A5"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082029EC" w14:textId="33F7E9F4"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 xml:space="preserve">on details for </w:t>
            </w:r>
            <w:r w:rsidR="00AE3B37">
              <w:rPr>
                <w:rFonts w:ascii="Arial" w:hAnsi="Arial" w:cs="Arial"/>
                <w:sz w:val="18"/>
                <w:szCs w:val="18"/>
              </w:rPr>
              <w:t>inclusion in</w:t>
            </w:r>
            <w:r>
              <w:rPr>
                <w:rFonts w:ascii="Arial" w:hAnsi="Arial" w:cs="Arial"/>
                <w:sz w:val="18"/>
                <w:szCs w:val="18"/>
              </w:rPr>
              <w:t xml:space="preserve">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Pr>
                <w:rFonts w:ascii="Arial" w:hAnsi="Arial" w:cs="Arial"/>
                <w:sz w:val="18"/>
                <w:szCs w:val="18"/>
              </w:rPr>
              <w:t>.</w:t>
            </w:r>
          </w:p>
        </w:tc>
      </w:tr>
    </w:tbl>
    <w:p w14:paraId="55CF9931" w14:textId="77777777" w:rsidR="009125FD" w:rsidRPr="000B5AC8" w:rsidRDefault="009125FD" w:rsidP="009125FD"/>
    <w:p w14:paraId="1834D15B" w14:textId="444ACF02" w:rsidR="00C15299" w:rsidRDefault="009125FD" w:rsidP="00C15299">
      <w:pPr>
        <w:pStyle w:val="Caption"/>
      </w:pPr>
      <w:r>
        <w:br w:type="page"/>
      </w:r>
      <w:bookmarkStart w:id="792" w:name="_Ref407612076"/>
      <w:bookmarkStart w:id="793" w:name="_Ref343502457"/>
      <w:r w:rsidR="00C15299">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134</w:t>
      </w:r>
      <w:r w:rsidR="004E20BD">
        <w:rPr>
          <w:noProof/>
        </w:rPr>
        <w:fldChar w:fldCharType="end"/>
      </w:r>
      <w:bookmarkEnd w:id="792"/>
      <w:r w:rsidR="00C15299">
        <w:t>: Leuko-reduce Cellular Products and Select Blood Unit</w:t>
      </w:r>
      <w:bookmarkEnd w:id="793"/>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4F9CBE01"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3D5060C2"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sidRPr="00996892">
              <w:rPr>
                <w:rFonts w:ascii="Arial" w:hAnsi="Arial" w:cs="Arial"/>
                <w:b/>
                <w:sz w:val="18"/>
                <w:szCs w:val="18"/>
              </w:rPr>
              <w:t>Leuko-reduce</w:t>
            </w:r>
            <w:r>
              <w:rPr>
                <w:rFonts w:ascii="Arial" w:hAnsi="Arial" w:cs="Arial"/>
                <w:b/>
                <w:sz w:val="18"/>
                <w:szCs w:val="18"/>
              </w:rPr>
              <w:t xml:space="preserve"> Cellular Products</w:t>
            </w:r>
          </w:p>
        </w:tc>
      </w:tr>
      <w:tr w:rsidR="009125FD" w:rsidRPr="005C5D59" w14:paraId="35BE6EA8"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4B3209CC"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59AEC45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0AFAA75"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E2B045A"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352ACDD"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35C6CE1"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5A7EABC" w14:textId="77777777" w:rsidR="009125FD" w:rsidRPr="00A92752" w:rsidRDefault="009125FD" w:rsidP="009125FD">
            <w:pPr>
              <w:jc w:val="center"/>
              <w:rPr>
                <w:rFonts w:ascii="Arial" w:hAnsi="Arial" w:cs="Arial"/>
                <w:b/>
                <w:sz w:val="28"/>
                <w:szCs w:val="28"/>
              </w:rPr>
            </w:pPr>
            <w:r w:rsidRPr="00A92752">
              <w:rPr>
                <w:rFonts w:ascii="Arial" w:hAnsi="Arial" w:cs="Arial"/>
                <w:b/>
                <w:sz w:val="28"/>
                <w:szCs w:val="28"/>
              </w:rPr>
              <w:t>Leuko-reduce Cellular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75E527FA"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 xml:space="preserve">RED BLOOD CELLS   </w:t>
            </w:r>
          </w:p>
          <w:p w14:paraId="733BA16C"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WHOLE BLOOD</w:t>
            </w:r>
          </w:p>
          <w:p w14:paraId="51AC92F6"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 xml:space="preserve"> 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648EC267" w14:textId="77777777" w:rsidR="009125FD" w:rsidRPr="00052726" w:rsidRDefault="009125FD" w:rsidP="009125FD">
            <w:pPr>
              <w:jc w:val="center"/>
              <w:rPr>
                <w:rFonts w:ascii="Arial" w:hAnsi="Arial" w:cs="Arial"/>
                <w:b/>
                <w:sz w:val="18"/>
                <w:szCs w:val="18"/>
              </w:rPr>
            </w:pPr>
            <w:r w:rsidRPr="00052726">
              <w:rPr>
                <w:rFonts w:ascii="Arial" w:hAnsi="Arial" w:cs="Arial"/>
                <w:sz w:val="18"/>
                <w:szCs w:val="18"/>
              </w:rPr>
              <w:t>Leuko-reduced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53C4DDDB"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427FFEBD"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No warning message will display.</w:t>
            </w:r>
          </w:p>
        </w:tc>
      </w:tr>
      <w:tr w:rsidR="009125FD" w:rsidRPr="005C5D59" w14:paraId="01AB8FF7" w14:textId="77777777" w:rsidTr="009125FD">
        <w:trPr>
          <w:cantSplit/>
          <w:trHeight w:val="1983"/>
        </w:trPr>
        <w:tc>
          <w:tcPr>
            <w:tcW w:w="1692" w:type="dxa"/>
            <w:vMerge/>
            <w:tcBorders>
              <w:left w:val="single" w:sz="4" w:space="0" w:color="000000"/>
              <w:right w:val="single" w:sz="4" w:space="0" w:color="000000"/>
            </w:tcBorders>
            <w:vAlign w:val="bottom"/>
          </w:tcPr>
          <w:p w14:paraId="4BC9D3DF"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18D1ED94"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RED BLOOD CELLS</w:t>
            </w:r>
          </w:p>
          <w:p w14:paraId="4893F8E4"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WHOLE BLOOD</w:t>
            </w:r>
          </w:p>
          <w:p w14:paraId="6FC03085" w14:textId="77777777" w:rsidR="009125FD" w:rsidRPr="00052726" w:rsidRDefault="009125FD" w:rsidP="009125FD">
            <w:pPr>
              <w:spacing w:before="120"/>
              <w:jc w:val="center"/>
              <w:rPr>
                <w:rFonts w:ascii="Arial" w:hAnsi="Arial" w:cs="Arial"/>
                <w:sz w:val="18"/>
                <w:szCs w:val="18"/>
              </w:rPr>
            </w:pPr>
            <w:r w:rsidRPr="00052726">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B125B86" w14:textId="77777777" w:rsidR="009125FD" w:rsidRPr="00052726" w:rsidRDefault="009125FD" w:rsidP="009125FD">
            <w:pPr>
              <w:jc w:val="center"/>
              <w:rPr>
                <w:rFonts w:ascii="Arial" w:hAnsi="Arial" w:cs="Arial"/>
                <w:b/>
                <w:color w:val="FF0000"/>
                <w:sz w:val="18"/>
                <w:szCs w:val="18"/>
              </w:rPr>
            </w:pPr>
            <w:r w:rsidRPr="00052726">
              <w:rPr>
                <w:rFonts w:ascii="Arial" w:hAnsi="Arial" w:cs="Arial"/>
                <w:b/>
                <w:color w:val="FF0000"/>
                <w:sz w:val="18"/>
                <w:szCs w:val="18"/>
              </w:rPr>
              <w:t>Not  Leuko-reduced</w:t>
            </w:r>
          </w:p>
          <w:p w14:paraId="4A4DEB3C" w14:textId="77777777" w:rsidR="009125FD" w:rsidRPr="00052726" w:rsidRDefault="009125FD" w:rsidP="009125FD">
            <w:pPr>
              <w:rPr>
                <w:rFonts w:ascii="Arial" w:hAnsi="Arial" w:cs="Arial"/>
                <w:b/>
                <w:color w:val="FF0000"/>
                <w:sz w:val="18"/>
                <w:szCs w:val="18"/>
              </w:rPr>
            </w:pPr>
          </w:p>
        </w:tc>
        <w:tc>
          <w:tcPr>
            <w:tcW w:w="1620" w:type="dxa"/>
            <w:tcBorders>
              <w:top w:val="single" w:sz="4" w:space="0" w:color="000000"/>
              <w:left w:val="single" w:sz="4" w:space="0" w:color="000000"/>
              <w:right w:val="single" w:sz="4" w:space="0" w:color="000000"/>
            </w:tcBorders>
            <w:vAlign w:val="center"/>
          </w:tcPr>
          <w:p w14:paraId="2A46488C" w14:textId="77777777" w:rsidR="009125FD" w:rsidRPr="00052726" w:rsidRDefault="009125FD" w:rsidP="009125FD">
            <w:pPr>
              <w:jc w:val="center"/>
              <w:rPr>
                <w:rFonts w:ascii="Arial" w:hAnsi="Arial" w:cs="Arial"/>
                <w:sz w:val="18"/>
                <w:szCs w:val="18"/>
              </w:rPr>
            </w:pPr>
            <w:r w:rsidRPr="00052726">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vAlign w:val="bottom"/>
          </w:tcPr>
          <w:p w14:paraId="6559DDFA" w14:textId="77777777" w:rsidR="009125FD" w:rsidRPr="00052726" w:rsidRDefault="009125FD" w:rsidP="009125FD">
            <w:pPr>
              <w:pStyle w:val="TableText"/>
              <w:spacing w:before="120"/>
              <w:rPr>
                <w:rStyle w:val="StyleTableText9ptCharChar"/>
                <w:rFonts w:cs="Arial"/>
                <w:i/>
                <w:szCs w:val="18"/>
              </w:rPr>
            </w:pPr>
            <w:r w:rsidRPr="00052726">
              <w:rPr>
                <w:rStyle w:val="StyleTableText9ptCharChar"/>
                <w:rFonts w:cs="Arial"/>
                <w:szCs w:val="18"/>
              </w:rPr>
              <w:t xml:space="preserve">The Transfusion Requirement is not satisfied; the system emits an audible alert and displays a warning message: </w:t>
            </w:r>
            <w:r w:rsidRPr="00052726">
              <w:rPr>
                <w:rStyle w:val="StyleTableText9ptCharChar"/>
                <w:rFonts w:cs="Arial"/>
                <w:i/>
                <w:szCs w:val="18"/>
              </w:rPr>
              <w:t>This unit does not currently satisfy all of the patient’s Transfusion Requirements. Further processing is needed. Continue to select this unit?</w:t>
            </w:r>
          </w:p>
          <w:p w14:paraId="43A5A5B9" w14:textId="77777777" w:rsidR="009125FD" w:rsidRPr="00052726" w:rsidRDefault="009125FD" w:rsidP="009125FD">
            <w:pPr>
              <w:pStyle w:val="TableText"/>
              <w:rPr>
                <w:rStyle w:val="StyleTableText9ptCharChar"/>
                <w:rFonts w:cs="Arial"/>
                <w:szCs w:val="18"/>
              </w:rPr>
            </w:pPr>
            <w:r w:rsidRPr="00052726">
              <w:rPr>
                <w:rStyle w:val="StyleTableText9ptCharChar"/>
                <w:rFonts w:cs="Arial"/>
                <w:szCs w:val="18"/>
              </w:rPr>
              <w:t>If the user clicks “No,” the screen is cleared.</w:t>
            </w:r>
          </w:p>
          <w:p w14:paraId="44D3853F" w14:textId="77777777" w:rsidR="009125FD" w:rsidRPr="00052726" w:rsidRDefault="009125FD" w:rsidP="009125FD">
            <w:pPr>
              <w:pStyle w:val="TableText"/>
              <w:rPr>
                <w:rFonts w:cs="Arial"/>
                <w:noProof/>
                <w:szCs w:val="18"/>
              </w:rPr>
            </w:pPr>
            <w:r w:rsidRPr="00052726">
              <w:rPr>
                <w:rStyle w:val="StyleTableText9ptCharChar"/>
                <w:rFonts w:cs="Arial"/>
                <w:szCs w:val="18"/>
              </w:rPr>
              <w:t>If the user clicks “Yes,” selection can continue to select the unit.</w:t>
            </w:r>
          </w:p>
        </w:tc>
      </w:tr>
    </w:tbl>
    <w:p w14:paraId="2DBEB48C" w14:textId="77777777" w:rsidR="009125FD" w:rsidRDefault="009125FD" w:rsidP="009125FD">
      <w:pPr>
        <w:spacing w:after="200" w:line="276" w:lineRule="auto"/>
        <w:rPr>
          <w:b/>
          <w:bCs/>
          <w:sz w:val="18"/>
          <w:szCs w:val="18"/>
        </w:rPr>
      </w:pPr>
    </w:p>
    <w:p w14:paraId="08213316" w14:textId="4B90C72F" w:rsidR="00C15299" w:rsidRDefault="00C15299" w:rsidP="00C15299">
      <w:pPr>
        <w:pStyle w:val="Caption"/>
      </w:pPr>
      <w:bookmarkStart w:id="794" w:name="_Ref407612094"/>
      <w:bookmarkStart w:id="795" w:name="_Ref343502482"/>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135</w:t>
      </w:r>
      <w:r w:rsidR="004E20BD">
        <w:rPr>
          <w:noProof/>
        </w:rPr>
        <w:fldChar w:fldCharType="end"/>
      </w:r>
      <w:bookmarkEnd w:id="794"/>
      <w:r>
        <w:t>: Leuko-reduce Cellular Products and Issue Blood Component</w:t>
      </w:r>
      <w:bookmarkEnd w:id="795"/>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4024AAEA"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7CB17D66"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871BF2">
              <w:rPr>
                <w:rFonts w:ascii="Arial" w:hAnsi="Arial" w:cs="Arial"/>
                <w:b/>
                <w:sz w:val="20"/>
                <w:szCs w:val="20"/>
              </w:rPr>
              <w:t>Leuko-reduce Cellular Products</w:t>
            </w:r>
          </w:p>
        </w:tc>
      </w:tr>
      <w:tr w:rsidR="009125FD" w:rsidRPr="005C5D59" w14:paraId="1F028434"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59BDAC65"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5C8B9347"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19DFCE8"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4FC429F"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C94AECB"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7E1E632F" w14:textId="77777777" w:rsidTr="009125FD">
        <w:trPr>
          <w:cantSplit/>
          <w:trHeight w:val="1302"/>
        </w:trPr>
        <w:tc>
          <w:tcPr>
            <w:tcW w:w="1692" w:type="dxa"/>
            <w:vMerge w:val="restart"/>
            <w:tcBorders>
              <w:top w:val="single" w:sz="4" w:space="0" w:color="000000"/>
              <w:left w:val="single" w:sz="4" w:space="0" w:color="000000"/>
              <w:right w:val="single" w:sz="4" w:space="0" w:color="000000"/>
            </w:tcBorders>
            <w:vAlign w:val="center"/>
            <w:hideMark/>
          </w:tcPr>
          <w:p w14:paraId="3E968C71" w14:textId="77777777" w:rsidR="009125FD" w:rsidRPr="00A92752" w:rsidRDefault="009125FD" w:rsidP="009125FD">
            <w:pPr>
              <w:jc w:val="center"/>
              <w:rPr>
                <w:rFonts w:ascii="Arial" w:hAnsi="Arial" w:cs="Arial"/>
                <w:sz w:val="28"/>
                <w:szCs w:val="28"/>
              </w:rPr>
            </w:pPr>
            <w:r w:rsidRPr="00A92752">
              <w:rPr>
                <w:rFonts w:ascii="Arial" w:hAnsi="Arial" w:cs="Arial"/>
                <w:b/>
                <w:sz w:val="28"/>
                <w:szCs w:val="28"/>
              </w:rPr>
              <w:t>Leuko-reduce Cellular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3096A4D1"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1E3DB0A2"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WHOLE BLOOD </w:t>
            </w:r>
          </w:p>
          <w:p w14:paraId="0E9043DB" w14:textId="40DDAD5B" w:rsidR="009125FD" w:rsidRPr="005C5D59" w:rsidRDefault="009125FD" w:rsidP="000612EF">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4F87D178"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Leuko-reduced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87BC92E"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2FE1A25C"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061FFBA8" w14:textId="77777777" w:rsidTr="009125FD">
        <w:trPr>
          <w:cantSplit/>
          <w:trHeight w:val="1379"/>
        </w:trPr>
        <w:tc>
          <w:tcPr>
            <w:tcW w:w="1692" w:type="dxa"/>
            <w:vMerge/>
            <w:tcBorders>
              <w:left w:val="single" w:sz="4" w:space="0" w:color="000000"/>
              <w:right w:val="single" w:sz="4" w:space="0" w:color="000000"/>
            </w:tcBorders>
            <w:vAlign w:val="bottom"/>
          </w:tcPr>
          <w:p w14:paraId="6ECFF204"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3A846BAE"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0523BF2B"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WHOLE BLOOD</w:t>
            </w:r>
          </w:p>
          <w:p w14:paraId="476976A3"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3F936E3" w14:textId="77777777" w:rsidR="009125FD" w:rsidRPr="005C5D59" w:rsidRDefault="009125FD" w:rsidP="009125FD">
            <w:pPr>
              <w:jc w:val="center"/>
              <w:rPr>
                <w:rFonts w:ascii="Arial" w:hAnsi="Arial" w:cs="Arial"/>
                <w:color w:val="FF0000"/>
                <w:sz w:val="18"/>
                <w:szCs w:val="18"/>
              </w:rPr>
            </w:pPr>
            <w:r w:rsidRPr="00871BF2">
              <w:rPr>
                <w:rFonts w:ascii="Arial" w:hAnsi="Arial" w:cs="Arial"/>
                <w:b/>
                <w:color w:val="FF0000"/>
                <w:sz w:val="18"/>
                <w:szCs w:val="18"/>
              </w:rPr>
              <w:t>Not  Leuko-reduced</w:t>
            </w:r>
          </w:p>
        </w:tc>
        <w:tc>
          <w:tcPr>
            <w:tcW w:w="1620" w:type="dxa"/>
            <w:tcBorders>
              <w:top w:val="single" w:sz="4" w:space="0" w:color="000000"/>
              <w:left w:val="single" w:sz="4" w:space="0" w:color="000000"/>
              <w:right w:val="single" w:sz="4" w:space="0" w:color="000000"/>
            </w:tcBorders>
            <w:vAlign w:val="center"/>
          </w:tcPr>
          <w:p w14:paraId="7ABB7CFA" w14:textId="77777777" w:rsidR="009125FD" w:rsidRPr="00A92752" w:rsidRDefault="009125FD" w:rsidP="009125FD">
            <w:pPr>
              <w:ind w:left="18"/>
              <w:rPr>
                <w:rFonts w:ascii="Arial" w:hAnsi="Arial" w:cs="Arial"/>
                <w:sz w:val="18"/>
                <w:szCs w:val="18"/>
              </w:rPr>
            </w:pPr>
            <w:r w:rsidRPr="00A92752">
              <w:rPr>
                <w:rFonts w:ascii="Arial" w:hAnsi="Arial" w:cs="Arial"/>
                <w:noProof/>
                <w:sz w:val="18"/>
                <w:szCs w:val="18"/>
              </w:rPr>
              <w:t>Technologist</w:t>
            </w:r>
          </w:p>
          <w:p w14:paraId="05B66CD9" w14:textId="77777777" w:rsidR="009125FD" w:rsidRPr="00836EE2" w:rsidRDefault="009125FD" w:rsidP="009125FD">
            <w:pPr>
              <w:ind w:left="18"/>
              <w:rPr>
                <w:rFonts w:ascii="Arial" w:hAnsi="Arial" w:cs="Arial"/>
                <w:sz w:val="18"/>
                <w:szCs w:val="18"/>
              </w:rPr>
            </w:pPr>
          </w:p>
          <w:p w14:paraId="427A7535" w14:textId="77777777" w:rsidR="009125FD" w:rsidRPr="00A92752" w:rsidRDefault="009125FD" w:rsidP="009125FD">
            <w:pPr>
              <w:ind w:left="18"/>
              <w:rPr>
                <w:rFonts w:ascii="Arial" w:hAnsi="Arial" w:cs="Arial"/>
                <w:noProof/>
                <w:sz w:val="18"/>
                <w:szCs w:val="18"/>
              </w:rPr>
            </w:pPr>
            <w:r w:rsidRPr="00A92752">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6EEF4AD1"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6D162896"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76E0ECE6" w14:textId="77777777" w:rsidTr="009125FD">
        <w:trPr>
          <w:cantSplit/>
          <w:trHeight w:val="2343"/>
        </w:trPr>
        <w:tc>
          <w:tcPr>
            <w:tcW w:w="1692" w:type="dxa"/>
            <w:vMerge/>
            <w:tcBorders>
              <w:left w:val="single" w:sz="4" w:space="0" w:color="000000"/>
              <w:right w:val="single" w:sz="4" w:space="0" w:color="000000"/>
            </w:tcBorders>
            <w:vAlign w:val="bottom"/>
          </w:tcPr>
          <w:p w14:paraId="14060492"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45EA12C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3FDF4FE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WHOLE BLOOD</w:t>
            </w:r>
          </w:p>
          <w:p w14:paraId="75095B88"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030971F6" w14:textId="77777777" w:rsidR="009125FD" w:rsidRPr="005C5D59" w:rsidRDefault="009125FD" w:rsidP="009125FD">
            <w:pPr>
              <w:jc w:val="center"/>
              <w:rPr>
                <w:rFonts w:ascii="Arial" w:hAnsi="Arial" w:cs="Arial"/>
                <w:color w:val="FF0000"/>
                <w:sz w:val="18"/>
                <w:szCs w:val="18"/>
              </w:rPr>
            </w:pPr>
            <w:r w:rsidRPr="00871BF2">
              <w:rPr>
                <w:rFonts w:ascii="Arial" w:hAnsi="Arial" w:cs="Arial"/>
                <w:b/>
                <w:color w:val="FF0000"/>
                <w:sz w:val="18"/>
                <w:szCs w:val="18"/>
              </w:rPr>
              <w:t>Not  Leuko-reduced</w:t>
            </w:r>
          </w:p>
        </w:tc>
        <w:tc>
          <w:tcPr>
            <w:tcW w:w="1620" w:type="dxa"/>
            <w:tcBorders>
              <w:top w:val="single" w:sz="4" w:space="0" w:color="000000"/>
              <w:left w:val="single" w:sz="4" w:space="0" w:color="000000"/>
              <w:right w:val="single" w:sz="4" w:space="0" w:color="000000"/>
            </w:tcBorders>
            <w:vAlign w:val="center"/>
          </w:tcPr>
          <w:p w14:paraId="1C65A018"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Lead Technologist</w:t>
            </w:r>
          </w:p>
          <w:p w14:paraId="01BB7544"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Traditional Supervisor</w:t>
            </w:r>
          </w:p>
          <w:p w14:paraId="0F8E7332"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Enhanced Supervisor</w:t>
            </w:r>
          </w:p>
          <w:p w14:paraId="66E5EF33" w14:textId="77777777" w:rsidR="009125FD" w:rsidRPr="00A92752" w:rsidRDefault="009125FD" w:rsidP="009125FD">
            <w:pPr>
              <w:spacing w:before="120"/>
              <w:ind w:left="18"/>
              <w:rPr>
                <w:rFonts w:ascii="Arial" w:hAnsi="Arial" w:cs="Arial"/>
                <w:sz w:val="18"/>
                <w:szCs w:val="18"/>
              </w:rPr>
            </w:pPr>
            <w:r w:rsidRPr="00A92752">
              <w:rPr>
                <w:rFonts w:ascii="Arial" w:hAnsi="Arial" w:cs="Arial"/>
                <w:sz w:val="18"/>
                <w:szCs w:val="18"/>
              </w:rPr>
              <w:t>Administrator/Supervisor</w:t>
            </w:r>
          </w:p>
          <w:p w14:paraId="1E16648D"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5C1C33B6"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2A405A">
              <w:rPr>
                <w:rFonts w:ascii="Arial" w:hAnsi="Arial" w:cs="Arial"/>
                <w:i/>
                <w:sz w:val="18"/>
                <w:szCs w:val="18"/>
              </w:rPr>
              <w:t xml:space="preserve">Patient’s Leuko-reduce Cellular Products </w:t>
            </w:r>
            <w:r w:rsidRPr="00836EE2">
              <w:rPr>
                <w:rFonts w:ascii="Arial" w:hAnsi="Arial" w:cs="Arial"/>
                <w:i/>
                <w:sz w:val="18"/>
                <w:szCs w:val="18"/>
              </w:rPr>
              <w:t>Transfusion Requirement is not satisfied</w:t>
            </w:r>
            <w:r w:rsidRPr="005C5D59">
              <w:rPr>
                <w:rFonts w:ascii="Arial" w:hAnsi="Arial" w:cs="Arial"/>
                <w:sz w:val="18"/>
                <w:szCs w:val="18"/>
              </w:rPr>
              <w:t xml:space="preserve"> and prompts the user whether to proceed. </w:t>
            </w:r>
          </w:p>
          <w:p w14:paraId="40F8B9B0"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20F87659" w14:textId="61C13907" w:rsidR="009125FD" w:rsidRPr="005C5D59" w:rsidRDefault="009125FD" w:rsidP="009125FD">
            <w:pPr>
              <w:rPr>
                <w:rFonts w:ascii="Arial" w:hAnsi="Arial" w:cs="Arial"/>
                <w:sz w:val="18"/>
                <w:szCs w:val="18"/>
              </w:rPr>
            </w:pPr>
            <w:r>
              <w:rPr>
                <w:rFonts w:ascii="Arial" w:hAnsi="Arial" w:cs="Arial"/>
                <w:sz w:val="18"/>
                <w:szCs w:val="18"/>
              </w:rPr>
              <w:t>If the user responds “Yes”,</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2DED3914" w14:textId="77777777" w:rsidR="009125FD" w:rsidRDefault="009125FD" w:rsidP="009125FD"/>
    <w:p w14:paraId="00B3821F" w14:textId="0E35CFB6" w:rsidR="00C15299" w:rsidRDefault="00C15299" w:rsidP="00C15299">
      <w:pPr>
        <w:pStyle w:val="Caption"/>
      </w:pPr>
      <w:bookmarkStart w:id="796" w:name="_Ref407610736"/>
      <w:bookmarkStart w:id="797" w:name="_Ref343502500"/>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136</w:t>
      </w:r>
      <w:r w:rsidR="004E20BD">
        <w:rPr>
          <w:noProof/>
        </w:rPr>
        <w:fldChar w:fldCharType="end"/>
      </w:r>
      <w:bookmarkEnd w:id="796"/>
      <w:r>
        <w:t>: Washed Red Blood Cell (RBC) Products and Select Blood Unit</w:t>
      </w:r>
      <w:bookmarkEnd w:id="797"/>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13DBE092"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0193882D"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sidRPr="00B62010">
              <w:rPr>
                <w:rFonts w:ascii="Arial" w:hAnsi="Arial" w:cs="Arial"/>
                <w:b/>
                <w:sz w:val="18"/>
                <w:szCs w:val="18"/>
              </w:rPr>
              <w:t xml:space="preserve"> Washed R</w:t>
            </w:r>
            <w:r>
              <w:rPr>
                <w:rFonts w:ascii="Arial" w:hAnsi="Arial" w:cs="Arial"/>
                <w:b/>
                <w:sz w:val="18"/>
                <w:szCs w:val="18"/>
              </w:rPr>
              <w:t xml:space="preserve">ed </w:t>
            </w:r>
            <w:r w:rsidRPr="00B62010">
              <w:rPr>
                <w:rFonts w:ascii="Arial" w:hAnsi="Arial" w:cs="Arial"/>
                <w:b/>
                <w:sz w:val="18"/>
                <w:szCs w:val="18"/>
              </w:rPr>
              <w:t>B</w:t>
            </w:r>
            <w:r>
              <w:rPr>
                <w:rFonts w:ascii="Arial" w:hAnsi="Arial" w:cs="Arial"/>
                <w:b/>
                <w:sz w:val="18"/>
                <w:szCs w:val="18"/>
              </w:rPr>
              <w:t xml:space="preserve">lood </w:t>
            </w:r>
            <w:r w:rsidRPr="00B62010">
              <w:rPr>
                <w:rFonts w:ascii="Arial" w:hAnsi="Arial" w:cs="Arial"/>
                <w:b/>
                <w:sz w:val="18"/>
                <w:szCs w:val="18"/>
              </w:rPr>
              <w:t>C</w:t>
            </w:r>
            <w:r>
              <w:rPr>
                <w:rFonts w:ascii="Arial" w:hAnsi="Arial" w:cs="Arial"/>
                <w:b/>
                <w:sz w:val="18"/>
                <w:szCs w:val="18"/>
              </w:rPr>
              <w:t>ell (RBC)</w:t>
            </w:r>
            <w:r w:rsidRPr="00B62010">
              <w:rPr>
                <w:rFonts w:ascii="Arial" w:hAnsi="Arial" w:cs="Arial"/>
                <w:b/>
                <w:sz w:val="18"/>
                <w:szCs w:val="18"/>
              </w:rPr>
              <w:t xml:space="preserve"> products</w:t>
            </w:r>
          </w:p>
        </w:tc>
      </w:tr>
      <w:tr w:rsidR="009125FD" w:rsidRPr="005C5D59" w14:paraId="09464BB7"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7543052E"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272AB9D9"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D288CEE"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7B34ACD"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044940C4"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086D5D5"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8D35AE8" w14:textId="77777777" w:rsidR="009125FD" w:rsidRPr="00A92752" w:rsidRDefault="009125FD" w:rsidP="009125FD">
            <w:pPr>
              <w:jc w:val="center"/>
              <w:rPr>
                <w:rFonts w:ascii="Arial" w:hAnsi="Arial" w:cs="Arial"/>
                <w:b/>
                <w:sz w:val="28"/>
                <w:szCs w:val="28"/>
              </w:rPr>
            </w:pPr>
            <w:r w:rsidRPr="00A92752">
              <w:rPr>
                <w:rFonts w:ascii="Arial" w:hAnsi="Arial" w:cs="Arial"/>
                <w:b/>
                <w:sz w:val="28"/>
                <w:szCs w:val="28"/>
              </w:rPr>
              <w:t>Washed RBC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0F5375AA"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0FD5A625"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tc>
        <w:tc>
          <w:tcPr>
            <w:tcW w:w="1260" w:type="dxa"/>
            <w:tcBorders>
              <w:top w:val="single" w:sz="4" w:space="0" w:color="000000"/>
              <w:left w:val="single" w:sz="4" w:space="0" w:color="000000"/>
              <w:right w:val="single" w:sz="4" w:space="0" w:color="000000"/>
            </w:tcBorders>
            <w:shd w:val="pct10" w:color="auto" w:fill="auto"/>
            <w:vAlign w:val="center"/>
            <w:hideMark/>
          </w:tcPr>
          <w:p w14:paraId="12539370"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B4BF9CB"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CBAACE0"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490ABF8" w14:textId="77777777" w:rsidTr="009125FD">
        <w:trPr>
          <w:cantSplit/>
          <w:trHeight w:val="1008"/>
        </w:trPr>
        <w:tc>
          <w:tcPr>
            <w:tcW w:w="1692" w:type="dxa"/>
            <w:vMerge/>
            <w:tcBorders>
              <w:left w:val="single" w:sz="4" w:space="0" w:color="000000"/>
              <w:right w:val="single" w:sz="4" w:space="0" w:color="000000"/>
            </w:tcBorders>
            <w:vAlign w:val="bottom"/>
          </w:tcPr>
          <w:p w14:paraId="0FC618A9"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3DACBB6D"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269F08A2" w14:textId="77777777" w:rsidR="009125FD" w:rsidRDefault="009125FD" w:rsidP="009125FD">
            <w:pPr>
              <w:jc w:val="center"/>
              <w:rPr>
                <w:rFonts w:ascii="Arial" w:hAnsi="Arial" w:cs="Arial"/>
                <w:sz w:val="18"/>
                <w:szCs w:val="18"/>
              </w:rPr>
            </w:pPr>
          </w:p>
          <w:p w14:paraId="3E1B05FE"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2DC1C4A1"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bottom w:val="single" w:sz="4" w:space="0" w:color="000000"/>
              <w:right w:val="single" w:sz="4" w:space="0" w:color="000000"/>
            </w:tcBorders>
            <w:vAlign w:val="center"/>
          </w:tcPr>
          <w:p w14:paraId="7DA128C7"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tcPr>
          <w:p w14:paraId="2AA667C2"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4CE754EB"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1B1943C"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6D2231B1" w14:textId="77777777" w:rsidR="009125FD" w:rsidRDefault="009125FD" w:rsidP="009125FD"/>
    <w:p w14:paraId="53D94305" w14:textId="3B706C5B" w:rsidR="00C15299" w:rsidRDefault="00C15299" w:rsidP="00C15299">
      <w:pPr>
        <w:pStyle w:val="Caption"/>
      </w:pPr>
      <w:bookmarkStart w:id="798" w:name="_Ref407610749"/>
      <w:bookmarkStart w:id="799" w:name="_Ref343502523"/>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137</w:t>
      </w:r>
      <w:r w:rsidR="004E20BD">
        <w:rPr>
          <w:noProof/>
        </w:rPr>
        <w:fldChar w:fldCharType="end"/>
      </w:r>
      <w:bookmarkEnd w:id="798"/>
      <w:r>
        <w:t>: Washed Red Blood Cell (RBC) Products and Issue Blood Component</w:t>
      </w:r>
      <w:bookmarkEnd w:id="799"/>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2BDC3A16"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50ECEA10"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B62010">
              <w:rPr>
                <w:rFonts w:ascii="Arial" w:hAnsi="Arial" w:cs="Arial"/>
                <w:b/>
                <w:sz w:val="18"/>
                <w:szCs w:val="18"/>
              </w:rPr>
              <w:t>Washed RBC products</w:t>
            </w:r>
          </w:p>
        </w:tc>
      </w:tr>
      <w:tr w:rsidR="009125FD" w:rsidRPr="005C5D59" w14:paraId="0A4051F5"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3AAD2267"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1F0D9D0A"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84E5761"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07B20C5"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EA4FB10"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596B14B5"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6094DFDF" w14:textId="77777777" w:rsidR="009125FD" w:rsidRPr="00D93607" w:rsidRDefault="009125FD" w:rsidP="009125FD">
            <w:pPr>
              <w:jc w:val="center"/>
              <w:rPr>
                <w:rFonts w:ascii="Arial" w:hAnsi="Arial" w:cs="Arial"/>
                <w:sz w:val="32"/>
                <w:szCs w:val="32"/>
              </w:rPr>
            </w:pPr>
            <w:r w:rsidRPr="00D93607">
              <w:rPr>
                <w:rFonts w:ascii="Arial" w:hAnsi="Arial" w:cs="Arial"/>
                <w:sz w:val="32"/>
                <w:szCs w:val="32"/>
              </w:rPr>
              <w:t>Washed RBC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4A5D4CDF"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85ADF33" w14:textId="77777777" w:rsidR="009125FD" w:rsidRPr="005C5D59" w:rsidRDefault="009125FD" w:rsidP="009125FD">
            <w:pPr>
              <w:spacing w:before="120"/>
              <w:jc w:val="center"/>
              <w:rPr>
                <w:rFonts w:ascii="Arial" w:hAnsi="Arial" w:cs="Arial"/>
                <w:sz w:val="18"/>
                <w:szCs w:val="18"/>
              </w:rPr>
            </w:pPr>
            <w:r w:rsidRPr="005C5D59">
              <w:rPr>
                <w:rFonts w:ascii="Arial" w:hAnsi="Arial" w:cs="Arial"/>
                <w:sz w:val="18"/>
                <w:szCs w:val="18"/>
              </w:rPr>
              <w:t xml:space="preserve">WHOLE BLOOD </w:t>
            </w:r>
          </w:p>
        </w:tc>
        <w:tc>
          <w:tcPr>
            <w:tcW w:w="1260" w:type="dxa"/>
            <w:tcBorders>
              <w:top w:val="single" w:sz="4" w:space="0" w:color="000000"/>
              <w:left w:val="single" w:sz="4" w:space="0" w:color="000000"/>
              <w:right w:val="single" w:sz="4" w:space="0" w:color="000000"/>
            </w:tcBorders>
            <w:shd w:val="pct10" w:color="auto" w:fill="auto"/>
            <w:vAlign w:val="center"/>
            <w:hideMark/>
          </w:tcPr>
          <w:p w14:paraId="51319FB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77C8F07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72BD0B65"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C2FA535" w14:textId="77777777" w:rsidTr="009125FD">
        <w:trPr>
          <w:cantSplit/>
          <w:trHeight w:val="1295"/>
        </w:trPr>
        <w:tc>
          <w:tcPr>
            <w:tcW w:w="1692" w:type="dxa"/>
            <w:vMerge/>
            <w:tcBorders>
              <w:left w:val="single" w:sz="4" w:space="0" w:color="000000"/>
              <w:right w:val="single" w:sz="4" w:space="0" w:color="000000"/>
            </w:tcBorders>
            <w:vAlign w:val="bottom"/>
          </w:tcPr>
          <w:p w14:paraId="7C0636B2"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156D4DCB"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1D4E136E" w14:textId="77777777" w:rsidR="009125FD" w:rsidRPr="005C5D59" w:rsidRDefault="009125FD" w:rsidP="009125FD">
            <w:pPr>
              <w:jc w:val="center"/>
              <w:rPr>
                <w:rFonts w:ascii="Arial" w:hAnsi="Arial" w:cs="Arial"/>
                <w:sz w:val="18"/>
                <w:szCs w:val="18"/>
              </w:rPr>
            </w:pPr>
          </w:p>
          <w:p w14:paraId="574C1CA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1DF42DA1"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3B872FBD" w14:textId="77777777" w:rsidR="009125FD" w:rsidRPr="00D93607" w:rsidRDefault="009125FD" w:rsidP="009125FD">
            <w:pPr>
              <w:ind w:left="18"/>
              <w:rPr>
                <w:rFonts w:ascii="Arial" w:hAnsi="Arial" w:cs="Arial"/>
                <w:sz w:val="18"/>
                <w:szCs w:val="18"/>
              </w:rPr>
            </w:pPr>
            <w:r w:rsidRPr="00D93607">
              <w:rPr>
                <w:rFonts w:ascii="Arial" w:hAnsi="Arial" w:cs="Arial"/>
                <w:noProof/>
                <w:sz w:val="18"/>
                <w:szCs w:val="18"/>
              </w:rPr>
              <w:t>Technologist</w:t>
            </w:r>
          </w:p>
          <w:p w14:paraId="4C3F2C9E" w14:textId="77777777" w:rsidR="009125FD" w:rsidRPr="00836EE2" w:rsidRDefault="009125FD" w:rsidP="009125FD">
            <w:pPr>
              <w:ind w:left="18"/>
              <w:rPr>
                <w:rFonts w:ascii="Arial" w:hAnsi="Arial" w:cs="Arial"/>
                <w:sz w:val="18"/>
                <w:szCs w:val="18"/>
              </w:rPr>
            </w:pPr>
          </w:p>
          <w:p w14:paraId="2E9F83C3" w14:textId="77777777" w:rsidR="009125FD" w:rsidRPr="00D93607" w:rsidRDefault="009125FD" w:rsidP="009125FD">
            <w:pPr>
              <w:ind w:left="18"/>
              <w:rPr>
                <w:rFonts w:ascii="Arial" w:hAnsi="Arial" w:cs="Arial"/>
                <w:noProof/>
                <w:sz w:val="18"/>
                <w:szCs w:val="18"/>
              </w:rPr>
            </w:pPr>
            <w:r w:rsidRPr="00D93607">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388EABED"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4668601"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68909F89" w14:textId="77777777" w:rsidTr="009125FD">
        <w:trPr>
          <w:cantSplit/>
          <w:trHeight w:val="2343"/>
        </w:trPr>
        <w:tc>
          <w:tcPr>
            <w:tcW w:w="1692" w:type="dxa"/>
            <w:vMerge/>
            <w:tcBorders>
              <w:left w:val="single" w:sz="4" w:space="0" w:color="000000"/>
              <w:right w:val="single" w:sz="4" w:space="0" w:color="000000"/>
            </w:tcBorders>
            <w:vAlign w:val="bottom"/>
          </w:tcPr>
          <w:p w14:paraId="4AE1E215"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right w:val="single" w:sz="4" w:space="0" w:color="000000"/>
            </w:tcBorders>
            <w:vAlign w:val="center"/>
          </w:tcPr>
          <w:p w14:paraId="56AB14F9"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C506A06" w14:textId="77777777" w:rsidR="009125FD" w:rsidRPr="005C5D59" w:rsidRDefault="009125FD" w:rsidP="009125FD">
            <w:pPr>
              <w:jc w:val="center"/>
              <w:rPr>
                <w:rFonts w:ascii="Arial" w:hAnsi="Arial" w:cs="Arial"/>
                <w:sz w:val="18"/>
                <w:szCs w:val="18"/>
              </w:rPr>
            </w:pPr>
          </w:p>
          <w:p w14:paraId="340052A7"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0B6FAEDB"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693C765"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Lead Technologist</w:t>
            </w:r>
          </w:p>
          <w:p w14:paraId="7E556499"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Traditional Supervisor</w:t>
            </w:r>
          </w:p>
          <w:p w14:paraId="2D014BE7"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Enhanced Supervisor</w:t>
            </w:r>
          </w:p>
          <w:p w14:paraId="25C99C62" w14:textId="77777777" w:rsidR="009125FD" w:rsidRPr="00D93607" w:rsidRDefault="009125FD" w:rsidP="009125FD">
            <w:pPr>
              <w:spacing w:before="120"/>
              <w:ind w:left="18"/>
              <w:rPr>
                <w:rFonts w:ascii="Arial" w:hAnsi="Arial" w:cs="Arial"/>
                <w:sz w:val="18"/>
                <w:szCs w:val="18"/>
              </w:rPr>
            </w:pPr>
            <w:r w:rsidRPr="00D93607">
              <w:rPr>
                <w:rFonts w:ascii="Arial" w:hAnsi="Arial" w:cs="Arial"/>
                <w:sz w:val="18"/>
                <w:szCs w:val="18"/>
              </w:rPr>
              <w:t>Administrator/Supervisor</w:t>
            </w:r>
          </w:p>
          <w:p w14:paraId="42812FAC"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710EABAE"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Washed RBC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5ADD1604"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6EA26F31" w14:textId="1B24609C"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0F454AFA" w14:textId="77777777" w:rsidR="009125FD" w:rsidRPr="00825E94" w:rsidRDefault="009125FD" w:rsidP="009125FD"/>
    <w:p w14:paraId="705A0420" w14:textId="5375734D" w:rsidR="00C15299" w:rsidRDefault="009125FD" w:rsidP="00C15299">
      <w:pPr>
        <w:pStyle w:val="Caption"/>
      </w:pPr>
      <w:r>
        <w:br w:type="page"/>
      </w:r>
      <w:bookmarkStart w:id="800" w:name="_Ref407610759"/>
      <w:bookmarkStart w:id="801" w:name="_Ref343502547"/>
      <w:r w:rsidR="00C15299">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138</w:t>
      </w:r>
      <w:r w:rsidR="004E20BD">
        <w:rPr>
          <w:noProof/>
        </w:rPr>
        <w:fldChar w:fldCharType="end"/>
      </w:r>
      <w:bookmarkEnd w:id="800"/>
      <w:r w:rsidR="00C15299">
        <w:t>: Washed PLATELET (PLT) Products and Select Blood Unit</w:t>
      </w:r>
      <w:bookmarkEnd w:id="801"/>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692"/>
        <w:gridCol w:w="1620"/>
        <w:gridCol w:w="1260"/>
        <w:gridCol w:w="1620"/>
        <w:gridCol w:w="4050"/>
      </w:tblGrid>
      <w:tr w:rsidR="009125FD" w:rsidRPr="005C5D59" w14:paraId="3C553A8A"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485D3F61"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w:t>
            </w:r>
            <w:r w:rsidRPr="00B62010">
              <w:rPr>
                <w:rFonts w:ascii="Arial" w:hAnsi="Arial" w:cs="Arial"/>
                <w:b/>
                <w:sz w:val="20"/>
                <w:szCs w:val="20"/>
              </w:rPr>
              <w:t>Washed PLT products</w:t>
            </w:r>
          </w:p>
        </w:tc>
      </w:tr>
      <w:tr w:rsidR="009125FD" w:rsidRPr="005C5D59" w14:paraId="290AB0E0" w14:textId="77777777" w:rsidTr="009125FD">
        <w:trPr>
          <w:cantSplit/>
          <w:trHeight w:val="432"/>
          <w:tblHeader/>
        </w:trPr>
        <w:tc>
          <w:tcPr>
            <w:tcW w:w="1692" w:type="dxa"/>
            <w:tcBorders>
              <w:left w:val="single" w:sz="4" w:space="0" w:color="000000"/>
              <w:bottom w:val="single" w:sz="4" w:space="0" w:color="000000"/>
              <w:right w:val="single" w:sz="4" w:space="0" w:color="000000"/>
            </w:tcBorders>
            <w:shd w:val="pct25" w:color="auto" w:fill="auto"/>
            <w:vAlign w:val="bottom"/>
            <w:hideMark/>
          </w:tcPr>
          <w:p w14:paraId="2CB392DB"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620" w:type="dxa"/>
            <w:tcBorders>
              <w:left w:val="single" w:sz="4" w:space="0" w:color="000000"/>
              <w:bottom w:val="single" w:sz="4" w:space="0" w:color="000000"/>
              <w:right w:val="single" w:sz="4" w:space="0" w:color="000000"/>
            </w:tcBorders>
            <w:shd w:val="pct25" w:color="auto" w:fill="auto"/>
            <w:vAlign w:val="bottom"/>
            <w:hideMark/>
          </w:tcPr>
          <w:p w14:paraId="0015A36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92AFAC3"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0E30233"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FD85390"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61CFBE6B" w14:textId="77777777" w:rsidTr="009125FD">
        <w:trPr>
          <w:cantSplit/>
          <w:trHeight w:val="284"/>
        </w:trPr>
        <w:tc>
          <w:tcPr>
            <w:tcW w:w="1692" w:type="dxa"/>
            <w:vMerge w:val="restart"/>
            <w:tcBorders>
              <w:top w:val="single" w:sz="4" w:space="0" w:color="000000"/>
              <w:left w:val="single" w:sz="4" w:space="0" w:color="000000"/>
              <w:right w:val="single" w:sz="4" w:space="0" w:color="000000"/>
            </w:tcBorders>
            <w:vAlign w:val="center"/>
            <w:hideMark/>
          </w:tcPr>
          <w:p w14:paraId="1A305B11"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Washed PLT products</w:t>
            </w:r>
          </w:p>
        </w:tc>
        <w:tc>
          <w:tcPr>
            <w:tcW w:w="1620" w:type="dxa"/>
            <w:tcBorders>
              <w:top w:val="single" w:sz="4" w:space="0" w:color="000000"/>
              <w:left w:val="single" w:sz="4" w:space="0" w:color="000000"/>
              <w:right w:val="single" w:sz="4" w:space="0" w:color="000000"/>
            </w:tcBorders>
            <w:shd w:val="pct10" w:color="auto" w:fill="auto"/>
            <w:vAlign w:val="center"/>
            <w:hideMark/>
          </w:tcPr>
          <w:p w14:paraId="13A038DD" w14:textId="4A142249" w:rsidR="009125FD" w:rsidRPr="005C5D59" w:rsidRDefault="009125FD" w:rsidP="000612EF">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04B2451D"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4612204F"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406E4812"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07E9E9E3" w14:textId="77777777" w:rsidTr="009125FD">
        <w:trPr>
          <w:cantSplit/>
          <w:trHeight w:val="432"/>
        </w:trPr>
        <w:tc>
          <w:tcPr>
            <w:tcW w:w="1692" w:type="dxa"/>
            <w:vMerge/>
            <w:tcBorders>
              <w:left w:val="single" w:sz="4" w:space="0" w:color="000000"/>
              <w:right w:val="single" w:sz="4" w:space="0" w:color="000000"/>
            </w:tcBorders>
            <w:vAlign w:val="bottom"/>
          </w:tcPr>
          <w:p w14:paraId="79C8ED94" w14:textId="77777777" w:rsidR="009125FD" w:rsidRPr="005C5D59" w:rsidRDefault="009125FD" w:rsidP="009125FD">
            <w:pPr>
              <w:rPr>
                <w:rFonts w:ascii="Arial" w:hAnsi="Arial" w:cs="Arial"/>
                <w:b/>
                <w:sz w:val="18"/>
                <w:szCs w:val="18"/>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1D89E50" w14:textId="150AC5DD" w:rsidR="009125FD" w:rsidRPr="005C5D59" w:rsidRDefault="009125FD" w:rsidP="000612EF">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bottom w:val="single" w:sz="4" w:space="0" w:color="000000"/>
              <w:right w:val="single" w:sz="4" w:space="0" w:color="000000"/>
            </w:tcBorders>
            <w:vAlign w:val="center"/>
          </w:tcPr>
          <w:p w14:paraId="6E3E1A5B"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F86173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p w14:paraId="363550A7" w14:textId="77777777" w:rsidR="009125FD" w:rsidRPr="005C5D59" w:rsidRDefault="009125FD" w:rsidP="009125FD">
            <w:pPr>
              <w:jc w:val="center"/>
              <w:rPr>
                <w:rFonts w:ascii="Arial" w:hAnsi="Arial" w:cs="Arial"/>
                <w:sz w:val="18"/>
                <w:szCs w:val="18"/>
              </w:rPr>
            </w:pPr>
          </w:p>
        </w:tc>
        <w:tc>
          <w:tcPr>
            <w:tcW w:w="4050" w:type="dxa"/>
            <w:tcBorders>
              <w:top w:val="single" w:sz="4" w:space="0" w:color="000000"/>
              <w:left w:val="single" w:sz="4" w:space="0" w:color="000000"/>
              <w:right w:val="single" w:sz="4" w:space="0" w:color="000000"/>
            </w:tcBorders>
          </w:tcPr>
          <w:p w14:paraId="3663EEEF"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Transfusio</w:t>
            </w:r>
            <w:r>
              <w:rPr>
                <w:rStyle w:val="StyleTableText9ptCharChar"/>
                <w:rFonts w:cs="Arial"/>
              </w:rPr>
              <w:t xml:space="preserve">n Requirement is not satisfied; </w:t>
            </w:r>
            <w:r w:rsidRPr="005C5D59">
              <w:rPr>
                <w:rStyle w:val="StyleTableText9ptCharChar"/>
                <w:rFonts w:cs="Arial"/>
              </w:rPr>
              <w:t xml:space="preserve">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2D21F9E"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4213AD3E"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bl>
    <w:p w14:paraId="33BE4C15" w14:textId="77777777" w:rsidR="009125FD" w:rsidRDefault="009125FD" w:rsidP="009125FD"/>
    <w:p w14:paraId="26799853" w14:textId="28858645" w:rsidR="00C15299" w:rsidRDefault="00C15299" w:rsidP="00C15299">
      <w:pPr>
        <w:pStyle w:val="Caption"/>
      </w:pPr>
      <w:bookmarkStart w:id="802" w:name="_Ref407610771"/>
      <w:bookmarkStart w:id="803" w:name="_Ref343502567"/>
      <w:r>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139</w:t>
      </w:r>
      <w:r w:rsidR="004E20BD">
        <w:rPr>
          <w:noProof/>
        </w:rPr>
        <w:fldChar w:fldCharType="end"/>
      </w:r>
      <w:bookmarkEnd w:id="802"/>
      <w:r>
        <w:t>: Washed PLATELET (PLT) Products and Issue Blood Component</w:t>
      </w:r>
      <w:bookmarkEnd w:id="803"/>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211D6B0"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21D561B3"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sidRPr="00B62010">
              <w:rPr>
                <w:rFonts w:ascii="Arial" w:hAnsi="Arial" w:cs="Arial"/>
                <w:b/>
                <w:sz w:val="20"/>
                <w:szCs w:val="20"/>
              </w:rPr>
              <w:t>Washed PLT products</w:t>
            </w:r>
          </w:p>
        </w:tc>
      </w:tr>
      <w:tr w:rsidR="009125FD" w:rsidRPr="005C5D59" w14:paraId="512D1789"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5165DC6D"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4BC62E2B"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center"/>
          </w:tcPr>
          <w:p w14:paraId="0CE60908"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Selected</w:t>
            </w:r>
            <w:r>
              <w:rPr>
                <w:rFonts w:ascii="Arial" w:hAnsi="Arial" w:cs="Arial"/>
                <w:b/>
                <w:sz w:val="18"/>
                <w:szCs w:val="18"/>
              </w:rPr>
              <w:t xml:space="preserve"> Platelet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FF53079"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2C51977B"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15BE479F"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49ECB20B"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Washed PLT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18773095" w14:textId="77777777" w:rsidR="009125FD" w:rsidRPr="005C5D59" w:rsidRDefault="009125FD" w:rsidP="009125FD">
            <w:pPr>
              <w:jc w:val="center"/>
              <w:rPr>
                <w:rFonts w:ascii="Arial" w:hAnsi="Arial" w:cs="Arial"/>
                <w:sz w:val="18"/>
                <w:szCs w:val="18"/>
              </w:rPr>
            </w:pPr>
            <w:r>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shd w:val="pct10" w:color="auto" w:fill="auto"/>
            <w:vAlign w:val="center"/>
            <w:hideMark/>
          </w:tcPr>
          <w:p w14:paraId="2F8F7CC7"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Washed</w:t>
            </w:r>
          </w:p>
        </w:tc>
        <w:tc>
          <w:tcPr>
            <w:tcW w:w="1620" w:type="dxa"/>
            <w:tcBorders>
              <w:top w:val="single" w:sz="4" w:space="0" w:color="000000"/>
              <w:left w:val="single" w:sz="4" w:space="0" w:color="000000"/>
              <w:right w:val="single" w:sz="4" w:space="0" w:color="000000"/>
            </w:tcBorders>
            <w:shd w:val="pct10" w:color="auto" w:fill="auto"/>
            <w:vAlign w:val="center"/>
            <w:hideMark/>
          </w:tcPr>
          <w:p w14:paraId="2EB29E0F"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5666F0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3EB6D1BE" w14:textId="77777777" w:rsidTr="009125FD">
        <w:trPr>
          <w:cantSplit/>
          <w:trHeight w:val="432"/>
        </w:trPr>
        <w:tc>
          <w:tcPr>
            <w:tcW w:w="1843" w:type="dxa"/>
            <w:vMerge/>
            <w:tcBorders>
              <w:left w:val="single" w:sz="4" w:space="0" w:color="000000"/>
              <w:right w:val="single" w:sz="4" w:space="0" w:color="000000"/>
            </w:tcBorders>
            <w:vAlign w:val="bottom"/>
          </w:tcPr>
          <w:p w14:paraId="3FCE5DB4"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6AED8C0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3622710A"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62576DF7" w14:textId="77777777" w:rsidR="009125FD" w:rsidRPr="00FB56F0" w:rsidRDefault="009125FD" w:rsidP="009125FD">
            <w:pPr>
              <w:ind w:left="18"/>
              <w:rPr>
                <w:rFonts w:ascii="Arial" w:hAnsi="Arial" w:cs="Arial"/>
                <w:sz w:val="18"/>
                <w:szCs w:val="18"/>
              </w:rPr>
            </w:pPr>
            <w:r w:rsidRPr="00FB56F0">
              <w:rPr>
                <w:rFonts w:ascii="Arial" w:hAnsi="Arial" w:cs="Arial"/>
                <w:noProof/>
                <w:sz w:val="18"/>
                <w:szCs w:val="18"/>
              </w:rPr>
              <w:t>Technologist</w:t>
            </w:r>
          </w:p>
          <w:p w14:paraId="4F2274B2" w14:textId="77777777" w:rsidR="009125FD" w:rsidRPr="00836EE2" w:rsidRDefault="009125FD" w:rsidP="009125FD">
            <w:pPr>
              <w:ind w:left="18"/>
              <w:rPr>
                <w:rFonts w:ascii="Arial" w:hAnsi="Arial" w:cs="Arial"/>
                <w:sz w:val="18"/>
                <w:szCs w:val="18"/>
              </w:rPr>
            </w:pPr>
          </w:p>
          <w:p w14:paraId="77E3B3F1" w14:textId="77777777" w:rsidR="009125FD" w:rsidRPr="00FB56F0" w:rsidRDefault="009125FD" w:rsidP="009125FD">
            <w:pPr>
              <w:ind w:left="18"/>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757B183D"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0E5DC763"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6F89C75" w14:textId="77777777" w:rsidTr="009125FD">
        <w:trPr>
          <w:cantSplit/>
          <w:trHeight w:val="432"/>
        </w:trPr>
        <w:tc>
          <w:tcPr>
            <w:tcW w:w="1843" w:type="dxa"/>
            <w:vMerge/>
            <w:tcBorders>
              <w:left w:val="single" w:sz="4" w:space="0" w:color="000000"/>
              <w:right w:val="single" w:sz="4" w:space="0" w:color="000000"/>
            </w:tcBorders>
            <w:vAlign w:val="bottom"/>
          </w:tcPr>
          <w:p w14:paraId="06994962"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41A0E288"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tc>
        <w:tc>
          <w:tcPr>
            <w:tcW w:w="1260" w:type="dxa"/>
            <w:tcBorders>
              <w:top w:val="single" w:sz="4" w:space="0" w:color="000000"/>
              <w:left w:val="single" w:sz="4" w:space="0" w:color="000000"/>
              <w:right w:val="single" w:sz="4" w:space="0" w:color="000000"/>
            </w:tcBorders>
            <w:vAlign w:val="center"/>
          </w:tcPr>
          <w:p w14:paraId="541F6282" w14:textId="77777777" w:rsidR="009125FD" w:rsidRPr="00825E94" w:rsidRDefault="009125FD" w:rsidP="009125FD">
            <w:pPr>
              <w:jc w:val="center"/>
              <w:rPr>
                <w:rFonts w:ascii="Arial" w:hAnsi="Arial" w:cs="Arial"/>
                <w:b/>
                <w:color w:val="FF0000"/>
                <w:sz w:val="18"/>
                <w:szCs w:val="18"/>
              </w:rPr>
            </w:pPr>
            <w:r w:rsidRPr="00825E94">
              <w:rPr>
                <w:rFonts w:ascii="Arial" w:hAnsi="Arial" w:cs="Arial"/>
                <w:b/>
                <w:color w:val="FF0000"/>
                <w:sz w:val="18"/>
                <w:szCs w:val="18"/>
              </w:rPr>
              <w:t>Not Washed</w:t>
            </w:r>
          </w:p>
        </w:tc>
        <w:tc>
          <w:tcPr>
            <w:tcW w:w="1620" w:type="dxa"/>
            <w:tcBorders>
              <w:top w:val="single" w:sz="4" w:space="0" w:color="000000"/>
              <w:left w:val="single" w:sz="4" w:space="0" w:color="000000"/>
              <w:right w:val="single" w:sz="4" w:space="0" w:color="000000"/>
            </w:tcBorders>
            <w:vAlign w:val="center"/>
          </w:tcPr>
          <w:p w14:paraId="5312ECAB"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Lead Technologist</w:t>
            </w:r>
          </w:p>
          <w:p w14:paraId="180E34FD"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Traditional Supervisor</w:t>
            </w:r>
          </w:p>
          <w:p w14:paraId="741391B8"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Enhanced Supervisor</w:t>
            </w:r>
          </w:p>
          <w:p w14:paraId="2DCA287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Administrator/Supervisor</w:t>
            </w:r>
          </w:p>
          <w:p w14:paraId="3F7E66C5"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6F3966BC"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Washed PLT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08272BF8"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61CE6B56" w14:textId="613D96F1"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4A9702A7" w14:textId="77777777" w:rsidR="009125FD" w:rsidRDefault="009125FD" w:rsidP="009125FD"/>
    <w:p w14:paraId="1E4DABD1" w14:textId="1109869E" w:rsidR="00C15299" w:rsidRDefault="009125FD" w:rsidP="00C15299">
      <w:pPr>
        <w:pStyle w:val="Caption"/>
      </w:pPr>
      <w:r>
        <w:br w:type="page"/>
      </w:r>
      <w:bookmarkStart w:id="804" w:name="_Ref407610782"/>
      <w:bookmarkStart w:id="805" w:name="_Ref343502582"/>
      <w:r w:rsidR="00C15299">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140</w:t>
      </w:r>
      <w:r w:rsidR="004E20BD">
        <w:rPr>
          <w:noProof/>
        </w:rPr>
        <w:fldChar w:fldCharType="end"/>
      </w:r>
      <w:bookmarkEnd w:id="804"/>
      <w:r w:rsidR="00C15299">
        <w:t>: Sickle Cell Negative RBC Products and Select Blood Unit</w:t>
      </w:r>
      <w:bookmarkEnd w:id="805"/>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3E5C63B0"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24C54107"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w:t>
            </w:r>
            <w:r w:rsidRPr="00B62010">
              <w:rPr>
                <w:rFonts w:ascii="Arial" w:hAnsi="Arial" w:cs="Arial"/>
                <w:b/>
                <w:sz w:val="18"/>
                <w:szCs w:val="18"/>
              </w:rPr>
              <w:t>Sickle Cell Negative RBC products</w:t>
            </w:r>
          </w:p>
        </w:tc>
      </w:tr>
      <w:tr w:rsidR="009125FD" w:rsidRPr="005C5D59" w14:paraId="6ED49BE2"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79692EFA"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533C1711"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34DD6E5"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C39E25D"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3ADD516"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41B6E18C"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6D6D26B5" w14:textId="77777777" w:rsidR="009125FD" w:rsidRPr="00D93607" w:rsidRDefault="009125FD" w:rsidP="009125FD">
            <w:pPr>
              <w:jc w:val="center"/>
              <w:rPr>
                <w:rFonts w:ascii="Arial" w:hAnsi="Arial" w:cs="Arial"/>
                <w:b/>
                <w:sz w:val="28"/>
                <w:szCs w:val="28"/>
              </w:rPr>
            </w:pPr>
            <w:r w:rsidRPr="00D93607">
              <w:rPr>
                <w:rFonts w:ascii="Arial" w:hAnsi="Arial" w:cs="Arial"/>
                <w:b/>
                <w:sz w:val="28"/>
                <w:szCs w:val="28"/>
              </w:rPr>
              <w:t>Sickle Cell Negative RBC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0F72E677"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RED BLO</w:t>
            </w:r>
            <w:r>
              <w:rPr>
                <w:rFonts w:ascii="Arial" w:hAnsi="Arial" w:cs="Arial"/>
                <w:sz w:val="18"/>
                <w:szCs w:val="18"/>
              </w:rPr>
              <w:t>OD CELLS</w:t>
            </w:r>
          </w:p>
          <w:p w14:paraId="46002EAF" w14:textId="77777777" w:rsidR="009125FD" w:rsidRPr="005C5D59" w:rsidRDefault="009125FD" w:rsidP="009125FD">
            <w:pPr>
              <w:spacing w:after="120"/>
              <w:jc w:val="center"/>
              <w:rPr>
                <w:rFonts w:ascii="Arial" w:hAnsi="Arial" w:cs="Arial"/>
                <w:sz w:val="18"/>
                <w:szCs w:val="18"/>
              </w:rPr>
            </w:pPr>
            <w:r>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shd w:val="pct10" w:color="auto" w:fill="auto"/>
            <w:vAlign w:val="center"/>
            <w:hideMark/>
          </w:tcPr>
          <w:p w14:paraId="100BC60B"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Sickle Cell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2EB95F00"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87E5606"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40B44BD5" w14:textId="77777777" w:rsidTr="009125FD">
        <w:trPr>
          <w:cantSplit/>
          <w:trHeight w:val="1152"/>
        </w:trPr>
        <w:tc>
          <w:tcPr>
            <w:tcW w:w="1843" w:type="dxa"/>
            <w:vMerge/>
            <w:tcBorders>
              <w:left w:val="single" w:sz="4" w:space="0" w:color="000000"/>
              <w:right w:val="single" w:sz="4" w:space="0" w:color="000000"/>
            </w:tcBorders>
            <w:vAlign w:val="bottom"/>
          </w:tcPr>
          <w:p w14:paraId="1FF788A2"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6418158"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4A0C0CA5" w14:textId="77777777" w:rsidR="009125FD" w:rsidRDefault="009125FD" w:rsidP="009125FD">
            <w:pPr>
              <w:jc w:val="center"/>
              <w:rPr>
                <w:rFonts w:ascii="Arial" w:hAnsi="Arial" w:cs="Arial"/>
                <w:sz w:val="18"/>
                <w:szCs w:val="18"/>
              </w:rPr>
            </w:pPr>
          </w:p>
          <w:p w14:paraId="4B4E0390"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0AEB7B31" w14:textId="77777777" w:rsidR="009125FD" w:rsidRPr="00871BF2" w:rsidRDefault="009125FD" w:rsidP="009125FD">
            <w:pPr>
              <w:jc w:val="center"/>
              <w:rPr>
                <w:rFonts w:ascii="Arial" w:hAnsi="Arial" w:cs="Arial"/>
                <w:b/>
                <w:color w:val="FF0000"/>
                <w:sz w:val="18"/>
                <w:szCs w:val="18"/>
              </w:rPr>
            </w:pPr>
            <w:r>
              <w:rPr>
                <w:rFonts w:ascii="Arial" w:hAnsi="Arial" w:cs="Arial"/>
                <w:b/>
                <w:color w:val="FF0000"/>
                <w:sz w:val="18"/>
                <w:szCs w:val="18"/>
              </w:rPr>
              <w:t>Not Sickle Cell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06E1AC0B" w14:textId="77777777" w:rsidR="009125FD" w:rsidRPr="00FB56F0" w:rsidRDefault="009125FD" w:rsidP="009125FD">
            <w:pPr>
              <w:ind w:left="18"/>
              <w:rPr>
                <w:rFonts w:ascii="Arial" w:hAnsi="Arial" w:cs="Arial"/>
                <w:sz w:val="18"/>
                <w:szCs w:val="18"/>
              </w:rPr>
            </w:pPr>
            <w:r w:rsidRPr="00FB56F0">
              <w:rPr>
                <w:rFonts w:ascii="Arial" w:hAnsi="Arial" w:cs="Arial"/>
                <w:noProof/>
                <w:sz w:val="18"/>
                <w:szCs w:val="18"/>
              </w:rPr>
              <w:t>Technologist</w:t>
            </w:r>
          </w:p>
          <w:p w14:paraId="1A91E00A" w14:textId="77777777" w:rsidR="009125FD" w:rsidRPr="00836EE2" w:rsidRDefault="009125FD" w:rsidP="009125FD">
            <w:pPr>
              <w:ind w:left="18"/>
              <w:rPr>
                <w:rFonts w:ascii="Arial" w:hAnsi="Arial" w:cs="Arial"/>
                <w:sz w:val="18"/>
                <w:szCs w:val="18"/>
              </w:rPr>
            </w:pPr>
          </w:p>
          <w:p w14:paraId="694CA264" w14:textId="77777777" w:rsidR="009125FD" w:rsidRPr="00FB56F0" w:rsidRDefault="009125FD" w:rsidP="009125FD">
            <w:pPr>
              <w:ind w:left="18"/>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tcPr>
          <w:p w14:paraId="3BFED076"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9901B8E"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87DE482"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r w:rsidR="009125FD" w:rsidRPr="005C5D59" w14:paraId="3D68306A" w14:textId="77777777" w:rsidTr="009125FD">
        <w:trPr>
          <w:cantSplit/>
          <w:trHeight w:val="1152"/>
        </w:trPr>
        <w:tc>
          <w:tcPr>
            <w:tcW w:w="1843" w:type="dxa"/>
            <w:vMerge/>
            <w:tcBorders>
              <w:left w:val="single" w:sz="4" w:space="0" w:color="000000"/>
              <w:right w:val="single" w:sz="4" w:space="0" w:color="000000"/>
            </w:tcBorders>
            <w:vAlign w:val="bottom"/>
          </w:tcPr>
          <w:p w14:paraId="5FCE06D7"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DE9457C"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791BAF03" w14:textId="77777777" w:rsidR="009125FD" w:rsidRDefault="009125FD" w:rsidP="009125FD">
            <w:pPr>
              <w:jc w:val="center"/>
              <w:rPr>
                <w:rFonts w:ascii="Arial" w:hAnsi="Arial" w:cs="Arial"/>
                <w:sz w:val="18"/>
                <w:szCs w:val="18"/>
              </w:rPr>
            </w:pPr>
          </w:p>
          <w:p w14:paraId="361607C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bottom w:val="single" w:sz="4" w:space="0" w:color="000000"/>
              <w:right w:val="single" w:sz="4" w:space="0" w:color="000000"/>
            </w:tcBorders>
            <w:vAlign w:val="center"/>
          </w:tcPr>
          <w:p w14:paraId="0635BA69"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Not Sickle Cell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563D027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Lead Technologist</w:t>
            </w:r>
          </w:p>
          <w:p w14:paraId="7D93A102"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Traditional Supervisor</w:t>
            </w:r>
          </w:p>
          <w:p w14:paraId="2394C283"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Enhanced Supervisor</w:t>
            </w:r>
          </w:p>
          <w:p w14:paraId="1CF6EDF0" w14:textId="77777777" w:rsidR="009125FD" w:rsidRPr="00FB56F0" w:rsidRDefault="009125FD" w:rsidP="009125FD">
            <w:pPr>
              <w:spacing w:before="120"/>
              <w:ind w:left="18"/>
              <w:rPr>
                <w:rFonts w:ascii="Arial" w:hAnsi="Arial" w:cs="Arial"/>
                <w:sz w:val="18"/>
                <w:szCs w:val="18"/>
              </w:rPr>
            </w:pPr>
            <w:r w:rsidRPr="00FB56F0">
              <w:rPr>
                <w:rFonts w:ascii="Arial" w:hAnsi="Arial" w:cs="Arial"/>
                <w:sz w:val="18"/>
                <w:szCs w:val="18"/>
              </w:rPr>
              <w:t>Administrator/Supervisor</w:t>
            </w:r>
          </w:p>
          <w:p w14:paraId="4812DB91" w14:textId="77777777" w:rsidR="009125FD" w:rsidRPr="008B278A" w:rsidRDefault="009125FD" w:rsidP="009125FD">
            <w:pPr>
              <w:ind w:left="18"/>
              <w:rPr>
                <w:rFonts w:ascii="Arial" w:hAnsi="Arial" w:cs="Arial"/>
                <w:sz w:val="18"/>
                <w:szCs w:val="18"/>
              </w:rPr>
            </w:pPr>
          </w:p>
        </w:tc>
        <w:tc>
          <w:tcPr>
            <w:tcW w:w="4050" w:type="dxa"/>
            <w:tcBorders>
              <w:left w:val="single" w:sz="4" w:space="0" w:color="000000"/>
              <w:right w:val="single" w:sz="4" w:space="0" w:color="000000"/>
            </w:tcBorders>
            <w:vAlign w:val="bottom"/>
          </w:tcPr>
          <w:p w14:paraId="167E192D" w14:textId="77777777" w:rsidR="009125FD" w:rsidRPr="00496950" w:rsidRDefault="009125FD" w:rsidP="009125FD">
            <w:pPr>
              <w:pStyle w:val="TableText"/>
              <w:rPr>
                <w:rStyle w:val="StyleTableText9ptCharChar"/>
                <w:i/>
              </w:rPr>
            </w:pPr>
            <w:r w:rsidRPr="003D487C">
              <w:t>The following warning(s) is informational:</w:t>
            </w:r>
            <w:r>
              <w:t xml:space="preserve"> </w:t>
            </w:r>
            <w:r w:rsidRPr="00496950">
              <w:rPr>
                <w:i/>
              </w:rPr>
              <w:t xml:space="preserve">This unit does not currently satisfy the patient’s </w:t>
            </w:r>
            <w:r w:rsidRPr="00496950">
              <w:rPr>
                <w:i/>
                <w:noProof/>
              </w:rPr>
              <w:t xml:space="preserve">Sickle Cell Negative </w:t>
            </w:r>
            <w:r w:rsidRPr="00496950">
              <w:rPr>
                <w:i/>
              </w:rPr>
              <w:t xml:space="preserve">Transfusion Requirements. </w:t>
            </w:r>
            <w:r w:rsidRPr="00496950">
              <w:rPr>
                <w:rStyle w:val="StyleTableText9ptCharChar"/>
                <w:i/>
              </w:rPr>
              <w:t>Further processing is needed. Continue to select this unit?</w:t>
            </w:r>
          </w:p>
          <w:p w14:paraId="7E98A278" w14:textId="77777777" w:rsidR="009125FD" w:rsidRPr="00496950" w:rsidRDefault="009125FD" w:rsidP="009125FD">
            <w:pPr>
              <w:pStyle w:val="TableText"/>
              <w:rPr>
                <w:rStyle w:val="StyleTableText9ptCharChar"/>
                <w:i/>
              </w:rPr>
            </w:pPr>
            <w:r w:rsidRPr="00496950">
              <w:rPr>
                <w:rStyle w:val="StyleTableText9ptCharChar"/>
                <w:i/>
              </w:rPr>
              <w:t>Do you wish to proceed with the selection of unit &lt;insert unit ID number&gt;:?</w:t>
            </w:r>
          </w:p>
          <w:p w14:paraId="409DCE9A" w14:textId="77777777" w:rsidR="009125FD" w:rsidRPr="003D487C" w:rsidRDefault="009125FD" w:rsidP="009125FD">
            <w:pPr>
              <w:pStyle w:val="TableText"/>
              <w:rPr>
                <w:noProof/>
              </w:rPr>
            </w:pPr>
            <w:r w:rsidRPr="003D487C">
              <w:rPr>
                <w:noProof/>
              </w:rPr>
              <w:t xml:space="preserve">If “No,” is selected, the screen is cleared and a new blood unit must be selected. </w:t>
            </w:r>
          </w:p>
          <w:p w14:paraId="010BD147" w14:textId="77777777" w:rsidR="009125FD" w:rsidRPr="0081278B" w:rsidRDefault="009125FD" w:rsidP="009125FD">
            <w:pPr>
              <w:pStyle w:val="TableText"/>
              <w:rPr>
                <w:i/>
                <w:noProof/>
              </w:rPr>
            </w:pPr>
            <w:r w:rsidRPr="003D487C">
              <w:rPr>
                <w:noProof/>
              </w:rPr>
              <w:t>If “Yes,” is selected, a comment is required and the details of the transaction are captured for later in</w:t>
            </w:r>
            <w:r>
              <w:rPr>
                <w:noProof/>
              </w:rPr>
              <w:t xml:space="preserve">clusion in an exception report entry: </w:t>
            </w:r>
            <w:r w:rsidRPr="0081278B">
              <w:rPr>
                <w:i/>
                <w:noProof/>
              </w:rPr>
              <w:t>Transfusion Requirement incompatible unit selected</w:t>
            </w:r>
            <w:r w:rsidR="005C48D9">
              <w:rPr>
                <w:i/>
                <w:noProof/>
              </w:rPr>
              <w:t>.</w:t>
            </w:r>
          </w:p>
        </w:tc>
      </w:tr>
    </w:tbl>
    <w:p w14:paraId="61161F02" w14:textId="77777777" w:rsidR="009125FD" w:rsidRDefault="009125FD" w:rsidP="009125FD"/>
    <w:p w14:paraId="28B0867D" w14:textId="6E2D832C" w:rsidR="00C15299" w:rsidRDefault="009125FD" w:rsidP="00C15299">
      <w:pPr>
        <w:pStyle w:val="Caption"/>
      </w:pPr>
      <w:r>
        <w:br w:type="page"/>
      </w:r>
      <w:bookmarkStart w:id="806" w:name="_Ref343502619"/>
      <w:r w:rsidR="00C15299">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141</w:t>
      </w:r>
      <w:r w:rsidR="004E20BD">
        <w:rPr>
          <w:noProof/>
        </w:rPr>
        <w:fldChar w:fldCharType="end"/>
      </w:r>
      <w:r w:rsidR="00C15299">
        <w:t>: Sickle Cell Negative RBC Products and Issue Blood Component</w:t>
      </w:r>
      <w:bookmarkEnd w:id="806"/>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64A22684"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17243F6E"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Pr>
                <w:rFonts w:ascii="Arial" w:hAnsi="Arial" w:cs="Arial"/>
                <w:b/>
                <w:sz w:val="20"/>
                <w:szCs w:val="20"/>
              </w:rPr>
              <w:t>Sickle Cell Negative RBC</w:t>
            </w:r>
            <w:r w:rsidRPr="00871BF2">
              <w:rPr>
                <w:rFonts w:ascii="Arial" w:hAnsi="Arial" w:cs="Arial"/>
                <w:b/>
                <w:sz w:val="20"/>
                <w:szCs w:val="20"/>
              </w:rPr>
              <w:t xml:space="preserve"> Products</w:t>
            </w:r>
          </w:p>
        </w:tc>
      </w:tr>
      <w:tr w:rsidR="009125FD" w:rsidRPr="005C5D59" w14:paraId="5C8AFEBA"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3BAC81B3"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63F89182"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1F30E21"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7471E306"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01F519E"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42C79AA5"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5B5B07BA" w14:textId="77777777" w:rsidR="009125FD" w:rsidRPr="00D93607" w:rsidRDefault="009125FD" w:rsidP="009125FD">
            <w:pPr>
              <w:jc w:val="center"/>
              <w:rPr>
                <w:rFonts w:ascii="Arial" w:hAnsi="Arial" w:cs="Arial"/>
                <w:sz w:val="28"/>
                <w:szCs w:val="28"/>
              </w:rPr>
            </w:pPr>
            <w:r w:rsidRPr="00D93607">
              <w:rPr>
                <w:rFonts w:ascii="Arial" w:hAnsi="Arial" w:cs="Arial"/>
                <w:b/>
                <w:sz w:val="28"/>
                <w:szCs w:val="28"/>
              </w:rPr>
              <w:t>Sickle Cell Negative RBC products</w:t>
            </w:r>
          </w:p>
        </w:tc>
        <w:tc>
          <w:tcPr>
            <w:tcW w:w="1469" w:type="dxa"/>
            <w:tcBorders>
              <w:top w:val="single" w:sz="4" w:space="0" w:color="000000"/>
              <w:left w:val="single" w:sz="4" w:space="0" w:color="000000"/>
              <w:right w:val="single" w:sz="4" w:space="0" w:color="000000"/>
            </w:tcBorders>
            <w:shd w:val="pct10" w:color="auto" w:fill="auto"/>
            <w:vAlign w:val="center"/>
            <w:hideMark/>
          </w:tcPr>
          <w:p w14:paraId="4E444276" w14:textId="77777777" w:rsidR="009125FD" w:rsidRDefault="009125FD" w:rsidP="009125FD">
            <w:pPr>
              <w:spacing w:before="120" w:after="120"/>
              <w:jc w:val="center"/>
              <w:rPr>
                <w:rFonts w:ascii="Arial" w:hAnsi="Arial" w:cs="Arial"/>
                <w:sz w:val="18"/>
                <w:szCs w:val="18"/>
              </w:rPr>
            </w:pPr>
            <w:r>
              <w:rPr>
                <w:rFonts w:ascii="Arial" w:hAnsi="Arial" w:cs="Arial"/>
                <w:sz w:val="18"/>
                <w:szCs w:val="18"/>
              </w:rPr>
              <w:t>RED BLOOD CELLS</w:t>
            </w:r>
          </w:p>
          <w:p w14:paraId="2BB6852E" w14:textId="77777777" w:rsidR="009125FD" w:rsidRPr="005C5D59" w:rsidRDefault="009125FD" w:rsidP="009125FD">
            <w:pPr>
              <w:spacing w:after="120"/>
              <w:jc w:val="center"/>
              <w:rPr>
                <w:rFonts w:ascii="Arial" w:hAnsi="Arial" w:cs="Arial"/>
                <w:sz w:val="18"/>
                <w:szCs w:val="18"/>
              </w:rPr>
            </w:pPr>
            <w:r>
              <w:rPr>
                <w:rFonts w:ascii="Arial" w:hAnsi="Arial" w:cs="Arial"/>
                <w:sz w:val="18"/>
                <w:szCs w:val="18"/>
              </w:rPr>
              <w:t xml:space="preserve"> WHOLE BLOOD</w:t>
            </w:r>
          </w:p>
        </w:tc>
        <w:tc>
          <w:tcPr>
            <w:tcW w:w="1260" w:type="dxa"/>
            <w:tcBorders>
              <w:top w:val="single" w:sz="4" w:space="0" w:color="000000"/>
              <w:left w:val="single" w:sz="4" w:space="0" w:color="000000"/>
              <w:right w:val="single" w:sz="4" w:space="0" w:color="000000"/>
            </w:tcBorders>
            <w:shd w:val="pct10" w:color="auto" w:fill="auto"/>
            <w:vAlign w:val="center"/>
            <w:hideMark/>
          </w:tcPr>
          <w:p w14:paraId="14200729"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Sickle Cell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2BBF746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6AE087D3"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637EC0A7" w14:textId="77777777" w:rsidTr="009125FD">
        <w:trPr>
          <w:cantSplit/>
          <w:trHeight w:val="864"/>
        </w:trPr>
        <w:tc>
          <w:tcPr>
            <w:tcW w:w="1843" w:type="dxa"/>
            <w:vMerge/>
            <w:tcBorders>
              <w:left w:val="single" w:sz="4" w:space="0" w:color="000000"/>
              <w:right w:val="single" w:sz="4" w:space="0" w:color="000000"/>
            </w:tcBorders>
            <w:vAlign w:val="bottom"/>
          </w:tcPr>
          <w:p w14:paraId="7E84827B"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3C8EA105"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46C40BDE" w14:textId="77777777" w:rsidR="009125FD" w:rsidRDefault="009125FD" w:rsidP="009125FD">
            <w:pPr>
              <w:jc w:val="center"/>
              <w:rPr>
                <w:rFonts w:ascii="Arial" w:hAnsi="Arial" w:cs="Arial"/>
                <w:sz w:val="18"/>
                <w:szCs w:val="18"/>
              </w:rPr>
            </w:pPr>
          </w:p>
          <w:p w14:paraId="6A080F53"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5240CE86"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NOT</w:t>
            </w:r>
          </w:p>
          <w:p w14:paraId="1B3FCFB0"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Sickle Cell Negative</w:t>
            </w:r>
          </w:p>
        </w:tc>
        <w:tc>
          <w:tcPr>
            <w:tcW w:w="1620" w:type="dxa"/>
            <w:tcBorders>
              <w:top w:val="single" w:sz="4" w:space="0" w:color="000000"/>
              <w:left w:val="single" w:sz="4" w:space="0" w:color="000000"/>
              <w:right w:val="single" w:sz="4" w:space="0" w:color="000000"/>
            </w:tcBorders>
            <w:vAlign w:val="center"/>
          </w:tcPr>
          <w:p w14:paraId="7A0F40B7" w14:textId="77777777" w:rsidR="009125FD" w:rsidRPr="00FB56F0" w:rsidRDefault="009125FD" w:rsidP="009125FD">
            <w:pPr>
              <w:ind w:left="36"/>
              <w:rPr>
                <w:rFonts w:ascii="Arial" w:hAnsi="Arial" w:cs="Arial"/>
                <w:sz w:val="18"/>
                <w:szCs w:val="18"/>
              </w:rPr>
            </w:pPr>
            <w:r w:rsidRPr="00FB56F0">
              <w:rPr>
                <w:rFonts w:ascii="Arial" w:hAnsi="Arial" w:cs="Arial"/>
                <w:noProof/>
                <w:sz w:val="18"/>
                <w:szCs w:val="18"/>
              </w:rPr>
              <w:t>Technologist</w:t>
            </w:r>
          </w:p>
          <w:p w14:paraId="3632AC02" w14:textId="77777777" w:rsidR="009125FD" w:rsidRPr="00836EE2" w:rsidRDefault="009125FD" w:rsidP="009125FD">
            <w:pPr>
              <w:ind w:left="36"/>
              <w:rPr>
                <w:rFonts w:ascii="Arial" w:hAnsi="Arial" w:cs="Arial"/>
                <w:sz w:val="18"/>
                <w:szCs w:val="18"/>
              </w:rPr>
            </w:pPr>
          </w:p>
          <w:p w14:paraId="50FDA88F" w14:textId="77777777" w:rsidR="009125FD" w:rsidRPr="00FB56F0" w:rsidRDefault="009125FD" w:rsidP="009125FD">
            <w:pPr>
              <w:ind w:left="36"/>
              <w:rPr>
                <w:rFonts w:ascii="Arial" w:hAnsi="Arial" w:cs="Arial"/>
                <w:noProof/>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2E385C01"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432E54FA"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BB0137C" w14:textId="77777777" w:rsidTr="009125FD">
        <w:trPr>
          <w:cantSplit/>
          <w:trHeight w:val="1296"/>
        </w:trPr>
        <w:tc>
          <w:tcPr>
            <w:tcW w:w="1843" w:type="dxa"/>
            <w:vMerge/>
            <w:tcBorders>
              <w:left w:val="single" w:sz="4" w:space="0" w:color="000000"/>
              <w:right w:val="single" w:sz="4" w:space="0" w:color="000000"/>
            </w:tcBorders>
            <w:vAlign w:val="bottom"/>
          </w:tcPr>
          <w:p w14:paraId="10B1AB99"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0B10D9C3" w14:textId="77777777" w:rsidR="009125FD"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207EC4C4" w14:textId="77777777" w:rsidR="009125FD" w:rsidRDefault="009125FD" w:rsidP="009125FD">
            <w:pPr>
              <w:jc w:val="center"/>
              <w:rPr>
                <w:rFonts w:ascii="Arial" w:hAnsi="Arial" w:cs="Arial"/>
                <w:sz w:val="18"/>
                <w:szCs w:val="18"/>
              </w:rPr>
            </w:pPr>
          </w:p>
          <w:p w14:paraId="3A4F4C26"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tc>
        <w:tc>
          <w:tcPr>
            <w:tcW w:w="1260" w:type="dxa"/>
            <w:tcBorders>
              <w:top w:val="single" w:sz="4" w:space="0" w:color="000000"/>
              <w:left w:val="single" w:sz="4" w:space="0" w:color="000000"/>
              <w:right w:val="single" w:sz="4" w:space="0" w:color="000000"/>
            </w:tcBorders>
            <w:vAlign w:val="center"/>
          </w:tcPr>
          <w:p w14:paraId="0F292972"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 xml:space="preserve">NOT </w:t>
            </w:r>
          </w:p>
          <w:p w14:paraId="3927B383" w14:textId="77777777" w:rsidR="009125FD" w:rsidRPr="005356E6" w:rsidRDefault="009125FD" w:rsidP="009125FD">
            <w:pPr>
              <w:jc w:val="center"/>
              <w:rPr>
                <w:rFonts w:ascii="Arial" w:hAnsi="Arial" w:cs="Arial"/>
                <w:b/>
                <w:color w:val="FF0000"/>
                <w:sz w:val="18"/>
                <w:szCs w:val="18"/>
              </w:rPr>
            </w:pPr>
            <w:r w:rsidRPr="005356E6">
              <w:rPr>
                <w:rFonts w:ascii="Arial" w:hAnsi="Arial" w:cs="Arial"/>
                <w:b/>
                <w:color w:val="FF0000"/>
                <w:sz w:val="18"/>
                <w:szCs w:val="18"/>
              </w:rPr>
              <w:t>Sickle Cell Negative</w:t>
            </w:r>
          </w:p>
        </w:tc>
        <w:tc>
          <w:tcPr>
            <w:tcW w:w="1620" w:type="dxa"/>
            <w:tcBorders>
              <w:top w:val="single" w:sz="4" w:space="0" w:color="000000"/>
              <w:left w:val="single" w:sz="4" w:space="0" w:color="000000"/>
              <w:right w:val="single" w:sz="4" w:space="0" w:color="000000"/>
            </w:tcBorders>
            <w:vAlign w:val="center"/>
          </w:tcPr>
          <w:p w14:paraId="431E6BCD"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Lead Technologist</w:t>
            </w:r>
          </w:p>
          <w:p w14:paraId="011A6EB1"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Traditional Supervisor</w:t>
            </w:r>
          </w:p>
          <w:p w14:paraId="6E154042"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Enhanced Supervisor</w:t>
            </w:r>
          </w:p>
          <w:p w14:paraId="404F1A84"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Administrator/Supervisor</w:t>
            </w:r>
          </w:p>
          <w:p w14:paraId="35B9069B" w14:textId="77777777" w:rsidR="009125FD" w:rsidRPr="008B278A" w:rsidRDefault="009125FD" w:rsidP="009125FD">
            <w:pPr>
              <w:ind w:left="198" w:hanging="162"/>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163F3B2F"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Sickle Cell Negative RBC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12CE2982"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0A1B12E2" w14:textId="7F1AFB9F"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3CE85C68" w14:textId="77777777" w:rsidR="009125FD" w:rsidRDefault="009125FD" w:rsidP="009125FD"/>
    <w:p w14:paraId="392DCBE3" w14:textId="56527941" w:rsidR="00C15299" w:rsidRDefault="00DA0A28" w:rsidP="00C15299">
      <w:pPr>
        <w:pStyle w:val="Caption"/>
      </w:pPr>
      <w:r>
        <w:br w:type="page"/>
      </w:r>
      <w:bookmarkStart w:id="807" w:name="_Ref343502634"/>
      <w:r w:rsidR="00C15299">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142</w:t>
      </w:r>
      <w:r w:rsidR="004E20BD">
        <w:rPr>
          <w:noProof/>
        </w:rPr>
        <w:fldChar w:fldCharType="end"/>
      </w:r>
      <w:r w:rsidR="00C15299">
        <w:t>: CMV Negative Cellular Products* and Select Blood Unit</w:t>
      </w:r>
      <w:bookmarkEnd w:id="807"/>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6D882AD" w14:textId="77777777" w:rsidTr="009125FD">
        <w:trPr>
          <w:cantSplit/>
          <w:trHeight w:val="305"/>
          <w:tblHeader/>
        </w:trPr>
        <w:tc>
          <w:tcPr>
            <w:tcW w:w="10242" w:type="dxa"/>
            <w:gridSpan w:val="5"/>
            <w:tcBorders>
              <w:top w:val="single" w:sz="4" w:space="0" w:color="000000"/>
              <w:left w:val="single" w:sz="4" w:space="0" w:color="000000"/>
              <w:right w:val="single" w:sz="4" w:space="0" w:color="000000"/>
            </w:tcBorders>
            <w:shd w:val="pct25" w:color="auto" w:fill="auto"/>
            <w:vAlign w:val="bottom"/>
            <w:hideMark/>
          </w:tcPr>
          <w:p w14:paraId="2CF38F98"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Select Unit: </w:t>
            </w:r>
            <w:r>
              <w:rPr>
                <w:rFonts w:ascii="Arial" w:hAnsi="Arial" w:cs="Arial"/>
                <w:b/>
                <w:sz w:val="18"/>
                <w:szCs w:val="18"/>
              </w:rPr>
              <w:t xml:space="preserve"> CMV </w:t>
            </w:r>
            <w:r w:rsidRPr="00C22EDE">
              <w:rPr>
                <w:rFonts w:ascii="Arial" w:hAnsi="Arial" w:cs="Arial"/>
                <w:b/>
                <w:sz w:val="18"/>
                <w:szCs w:val="18"/>
              </w:rPr>
              <w:t>Negative Cellular Products</w:t>
            </w:r>
          </w:p>
        </w:tc>
      </w:tr>
      <w:tr w:rsidR="009125FD" w:rsidRPr="005C5D59" w14:paraId="344289E1"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0B19F321"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7D90E904"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3B4828DA" w14:textId="77777777" w:rsidR="009125FD" w:rsidRPr="005C5D59" w:rsidRDefault="009125FD" w:rsidP="009125FD">
            <w:pPr>
              <w:jc w:val="cente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5A540A56" w14:textId="77777777" w:rsidR="009125FD" w:rsidRPr="005C5D59" w:rsidRDefault="009125FD" w:rsidP="009125FD">
            <w:pPr>
              <w:jc w:val="center"/>
              <w:rPr>
                <w:rFonts w:ascii="Arial" w:hAnsi="Arial" w:cs="Arial"/>
                <w:b/>
                <w:sz w:val="18"/>
                <w:szCs w:val="18"/>
              </w:rPr>
            </w:pPr>
            <w:r w:rsidRPr="005C5D59">
              <w:rPr>
                <w:rFonts w:ascii="Arial" w:hAnsi="Arial" w:cs="Arial"/>
                <w:b/>
                <w:sz w:val="18"/>
                <w:szCs w:val="18"/>
              </w:rPr>
              <w:t>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51D6898" w14:textId="77777777" w:rsidR="009125FD" w:rsidRPr="005C5D59" w:rsidRDefault="009125FD" w:rsidP="009125FD">
            <w:pPr>
              <w:jc w:val="center"/>
              <w:rPr>
                <w:rFonts w:ascii="Arial" w:hAnsi="Arial" w:cs="Arial"/>
                <w:b/>
                <w:sz w:val="18"/>
                <w:szCs w:val="18"/>
              </w:rPr>
            </w:pPr>
            <w:r>
              <w:rPr>
                <w:rFonts w:ascii="Arial" w:hAnsi="Arial" w:cs="Arial"/>
                <w:b/>
                <w:sz w:val="18"/>
                <w:szCs w:val="18"/>
              </w:rPr>
              <w:t xml:space="preserve">VBECS </w:t>
            </w:r>
            <w:r w:rsidRPr="005C5D59">
              <w:rPr>
                <w:rFonts w:ascii="Arial" w:hAnsi="Arial" w:cs="Arial"/>
                <w:b/>
                <w:sz w:val="18"/>
                <w:szCs w:val="18"/>
              </w:rPr>
              <w:t>Response</w:t>
            </w:r>
          </w:p>
        </w:tc>
      </w:tr>
      <w:tr w:rsidR="009125FD" w:rsidRPr="005C5D59" w14:paraId="1F427197"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77B03D79" w14:textId="77777777" w:rsidR="009125FD" w:rsidRPr="00B62010" w:rsidRDefault="009125FD" w:rsidP="009125FD">
            <w:pPr>
              <w:jc w:val="center"/>
              <w:rPr>
                <w:rFonts w:ascii="Arial" w:hAnsi="Arial" w:cs="Arial"/>
                <w:b/>
                <w:sz w:val="20"/>
                <w:szCs w:val="20"/>
              </w:rPr>
            </w:pPr>
            <w:r w:rsidRPr="00A92752">
              <w:rPr>
                <w:rFonts w:ascii="Arial" w:hAnsi="Arial" w:cs="Arial"/>
                <w:b/>
                <w:sz w:val="28"/>
                <w:szCs w:val="28"/>
              </w:rPr>
              <w:t>CMV negative cellular products</w:t>
            </w:r>
            <w:r w:rsidRPr="00B62010">
              <w:rPr>
                <w:rFonts w:ascii="Arial" w:hAnsi="Arial" w:cs="Arial"/>
                <w:b/>
                <w:sz w:val="20"/>
                <w:szCs w:val="20"/>
              </w:rPr>
              <w:t xml:space="preserve">*  </w:t>
            </w:r>
          </w:p>
        </w:tc>
        <w:tc>
          <w:tcPr>
            <w:tcW w:w="1469" w:type="dxa"/>
            <w:tcBorders>
              <w:top w:val="single" w:sz="4" w:space="0" w:color="000000"/>
              <w:left w:val="single" w:sz="4" w:space="0" w:color="000000"/>
              <w:right w:val="single" w:sz="4" w:space="0" w:color="000000"/>
            </w:tcBorders>
            <w:shd w:val="pct10" w:color="auto" w:fill="auto"/>
            <w:vAlign w:val="center"/>
            <w:hideMark/>
          </w:tcPr>
          <w:p w14:paraId="3F3348C3"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RED BLOOD CELLS </w:t>
            </w:r>
          </w:p>
          <w:p w14:paraId="2D7B39C8"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WHOLE BLOOD</w:t>
            </w:r>
          </w:p>
          <w:p w14:paraId="6B64786F"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PLATELETS</w:t>
            </w:r>
          </w:p>
          <w:p w14:paraId="086D1ECF" w14:textId="77777777"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5D438EA4" w14:textId="77777777" w:rsidR="009125FD" w:rsidRPr="00F80646" w:rsidRDefault="009125FD" w:rsidP="009125FD">
            <w:pPr>
              <w:jc w:val="center"/>
              <w:rPr>
                <w:rFonts w:ascii="Arial" w:hAnsi="Arial" w:cs="Arial"/>
                <w:b/>
                <w:sz w:val="18"/>
                <w:szCs w:val="18"/>
              </w:rPr>
            </w:pPr>
            <w:r w:rsidRPr="008E2609">
              <w:rPr>
                <w:rFonts w:ascii="Arial" w:hAnsi="Arial" w:cs="Arial"/>
                <w:sz w:val="18"/>
                <w:szCs w:val="18"/>
              </w:rPr>
              <w:t>CMV Negative</w:t>
            </w:r>
            <w:r>
              <w:rPr>
                <w:rFonts w:ascii="Arial" w:hAnsi="Arial" w:cs="Arial"/>
                <w:b/>
                <w:sz w:val="18"/>
                <w:szCs w:val="18"/>
              </w:rPr>
              <w:t>*</w:t>
            </w:r>
          </w:p>
        </w:tc>
        <w:tc>
          <w:tcPr>
            <w:tcW w:w="1620" w:type="dxa"/>
            <w:tcBorders>
              <w:top w:val="single" w:sz="4" w:space="0" w:color="000000"/>
              <w:left w:val="single" w:sz="4" w:space="0" w:color="000000"/>
              <w:right w:val="single" w:sz="4" w:space="0" w:color="000000"/>
            </w:tcBorders>
            <w:shd w:val="pct10" w:color="auto" w:fill="auto"/>
            <w:vAlign w:val="center"/>
            <w:hideMark/>
          </w:tcPr>
          <w:p w14:paraId="03C40033"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1148571B"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776A7F15" w14:textId="77777777" w:rsidTr="009125FD">
        <w:trPr>
          <w:cantSplit/>
          <w:trHeight w:val="576"/>
        </w:trPr>
        <w:tc>
          <w:tcPr>
            <w:tcW w:w="1843" w:type="dxa"/>
            <w:vMerge/>
            <w:tcBorders>
              <w:left w:val="single" w:sz="4" w:space="0" w:color="000000"/>
              <w:right w:val="single" w:sz="4" w:space="0" w:color="000000"/>
            </w:tcBorders>
            <w:vAlign w:val="bottom"/>
          </w:tcPr>
          <w:p w14:paraId="530C6BF8"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1E96F930" w14:textId="77777777" w:rsidR="009125FD" w:rsidRDefault="009125FD" w:rsidP="009125FD">
            <w:pPr>
              <w:rPr>
                <w:rFonts w:ascii="Arial" w:hAnsi="Arial" w:cs="Arial"/>
                <w:sz w:val="18"/>
                <w:szCs w:val="18"/>
              </w:rPr>
            </w:pPr>
            <w:r w:rsidRPr="005C5D59">
              <w:rPr>
                <w:rFonts w:ascii="Arial" w:hAnsi="Arial" w:cs="Arial"/>
                <w:sz w:val="18"/>
                <w:szCs w:val="18"/>
              </w:rPr>
              <w:t>RED BLOOD CELLS</w:t>
            </w:r>
          </w:p>
          <w:p w14:paraId="20E27617" w14:textId="77777777" w:rsidR="009125FD" w:rsidRDefault="009125FD" w:rsidP="009125FD">
            <w:pPr>
              <w:rPr>
                <w:rFonts w:ascii="Arial" w:hAnsi="Arial" w:cs="Arial"/>
                <w:sz w:val="18"/>
                <w:szCs w:val="18"/>
              </w:rPr>
            </w:pPr>
          </w:p>
          <w:p w14:paraId="2AD9070E" w14:textId="77777777" w:rsidR="009125FD" w:rsidRDefault="009125FD" w:rsidP="009125FD">
            <w:pPr>
              <w:rPr>
                <w:rFonts w:ascii="Arial" w:hAnsi="Arial" w:cs="Arial"/>
                <w:sz w:val="18"/>
                <w:szCs w:val="18"/>
              </w:rPr>
            </w:pPr>
            <w:r w:rsidRPr="005C5D59">
              <w:rPr>
                <w:rFonts w:ascii="Arial" w:hAnsi="Arial" w:cs="Arial"/>
                <w:sz w:val="18"/>
                <w:szCs w:val="18"/>
              </w:rPr>
              <w:t>WHOLE BLOOD</w:t>
            </w:r>
          </w:p>
          <w:p w14:paraId="62F06E7D" w14:textId="77777777" w:rsidR="009125FD" w:rsidRDefault="009125FD" w:rsidP="009125FD">
            <w:pPr>
              <w:rPr>
                <w:rFonts w:ascii="Arial" w:hAnsi="Arial" w:cs="Arial"/>
                <w:sz w:val="18"/>
                <w:szCs w:val="18"/>
              </w:rPr>
            </w:pPr>
          </w:p>
          <w:p w14:paraId="3CCB9969" w14:textId="77777777" w:rsidR="009125FD" w:rsidRDefault="009125FD" w:rsidP="009125FD">
            <w:pPr>
              <w:rPr>
                <w:rFonts w:ascii="Arial" w:hAnsi="Arial" w:cs="Arial"/>
                <w:sz w:val="18"/>
                <w:szCs w:val="18"/>
              </w:rPr>
            </w:pPr>
            <w:r w:rsidRPr="005C5D59">
              <w:rPr>
                <w:rFonts w:ascii="Arial" w:hAnsi="Arial" w:cs="Arial"/>
                <w:sz w:val="18"/>
                <w:szCs w:val="18"/>
              </w:rPr>
              <w:t>PLATELETS</w:t>
            </w:r>
          </w:p>
          <w:p w14:paraId="69C92F7A" w14:textId="77777777" w:rsidR="009125FD" w:rsidRDefault="009125FD" w:rsidP="009125FD">
            <w:pPr>
              <w:rPr>
                <w:rFonts w:ascii="Arial" w:hAnsi="Arial" w:cs="Arial"/>
                <w:color w:val="000000"/>
                <w:sz w:val="18"/>
                <w:szCs w:val="18"/>
              </w:rPr>
            </w:pPr>
            <w:r w:rsidRPr="005C5D59">
              <w:rPr>
                <w:rFonts w:ascii="Arial" w:hAnsi="Arial" w:cs="Arial"/>
                <w:color w:val="000000"/>
                <w:sz w:val="18"/>
                <w:szCs w:val="18"/>
              </w:rPr>
              <w:t xml:space="preserve"> </w:t>
            </w:r>
          </w:p>
          <w:p w14:paraId="662F4F75" w14:textId="77777777" w:rsidR="009125FD" w:rsidRPr="005C5D59" w:rsidRDefault="009125FD" w:rsidP="009125FD">
            <w:pP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40082A2C"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1446BEB1" w14:textId="77777777" w:rsidR="009125FD" w:rsidRPr="00871BF2" w:rsidRDefault="009125FD" w:rsidP="009125FD">
            <w:pPr>
              <w:jc w:val="center"/>
              <w:rPr>
                <w:rFonts w:ascii="Arial" w:hAnsi="Arial" w:cs="Arial"/>
                <w:b/>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790E4492" w14:textId="77777777" w:rsidR="009125FD" w:rsidRPr="00FB56F0" w:rsidRDefault="009125FD" w:rsidP="009125FD">
            <w:pPr>
              <w:rPr>
                <w:rFonts w:ascii="Arial" w:hAnsi="Arial" w:cs="Arial"/>
                <w:sz w:val="18"/>
                <w:szCs w:val="18"/>
              </w:rPr>
            </w:pPr>
            <w:r w:rsidRPr="00FB56F0">
              <w:rPr>
                <w:rFonts w:ascii="Arial" w:hAnsi="Arial" w:cs="Arial"/>
                <w:noProof/>
                <w:sz w:val="18"/>
                <w:szCs w:val="18"/>
              </w:rPr>
              <w:t>Technologist</w:t>
            </w:r>
          </w:p>
          <w:p w14:paraId="33697EB0" w14:textId="77777777" w:rsidR="009125FD" w:rsidRPr="00836EE2" w:rsidRDefault="009125FD" w:rsidP="009125FD">
            <w:pPr>
              <w:ind w:left="36"/>
              <w:rPr>
                <w:rFonts w:ascii="Arial" w:hAnsi="Arial" w:cs="Arial"/>
                <w:sz w:val="18"/>
                <w:szCs w:val="18"/>
              </w:rPr>
            </w:pPr>
          </w:p>
          <w:p w14:paraId="712E0445" w14:textId="77777777" w:rsidR="009125FD" w:rsidRPr="005C5D59" w:rsidRDefault="009125FD" w:rsidP="009125FD">
            <w:pPr>
              <w:rPr>
                <w:rFonts w:ascii="Arial" w:hAnsi="Arial" w:cs="Arial"/>
                <w:sz w:val="18"/>
                <w:szCs w:val="18"/>
              </w:rPr>
            </w:pPr>
            <w:r w:rsidRPr="00FB56F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tcPr>
          <w:p w14:paraId="0D66BF35" w14:textId="77777777" w:rsidR="009125FD" w:rsidRPr="007F3B3C" w:rsidRDefault="009125FD" w:rsidP="009125FD">
            <w:pPr>
              <w:pStyle w:val="TableText"/>
              <w:spacing w:before="120"/>
              <w:rPr>
                <w:rStyle w:val="StyleTableText9ptCharChar"/>
                <w:rFonts w:cs="Arial"/>
                <w:i/>
              </w:rPr>
            </w:pPr>
            <w:r w:rsidRPr="005C5D59">
              <w:rPr>
                <w:rStyle w:val="StyleTableText9ptCharChar"/>
                <w:rFonts w:cs="Arial"/>
              </w:rPr>
              <w:t>The Transfusi</w:t>
            </w:r>
            <w:r>
              <w:rPr>
                <w:rStyle w:val="StyleTableText9ptCharChar"/>
                <w:rFonts w:cs="Arial"/>
              </w:rPr>
              <w:t>on Requirement is not satisfied;</w:t>
            </w:r>
            <w:r w:rsidRPr="005C5D59">
              <w:rPr>
                <w:rStyle w:val="StyleTableText9ptCharChar"/>
                <w:rFonts w:cs="Arial"/>
              </w:rPr>
              <w:t xml:space="preserve"> the system emits an audible alert and displays a warning message: </w:t>
            </w:r>
            <w:r w:rsidRPr="007F3B3C">
              <w:rPr>
                <w:rStyle w:val="StyleTableText9ptCharChar"/>
                <w:rFonts w:cs="Arial"/>
                <w:i/>
              </w:rPr>
              <w:t>This unit does not currently satisfy all of the patient’s Transfusion Requirements. Further processing is needed. Continue to select this unit?</w:t>
            </w:r>
          </w:p>
          <w:p w14:paraId="39C21CB6" w14:textId="77777777" w:rsidR="009125FD" w:rsidRPr="005C5D59" w:rsidRDefault="009125FD" w:rsidP="009125FD">
            <w:pPr>
              <w:pStyle w:val="TableText"/>
              <w:rPr>
                <w:rStyle w:val="StyleTableText9ptCharChar"/>
                <w:rFonts w:cs="Arial"/>
              </w:rPr>
            </w:pPr>
            <w:r w:rsidRPr="005C5D59">
              <w:rPr>
                <w:rStyle w:val="StyleTableText9ptCharChar"/>
                <w:rFonts w:cs="Arial"/>
              </w:rPr>
              <w:t>If</w:t>
            </w:r>
            <w:r>
              <w:rPr>
                <w:rStyle w:val="StyleTableText9ptCharChar"/>
                <w:rFonts w:cs="Arial"/>
              </w:rPr>
              <w:t xml:space="preserve"> the user clicks </w:t>
            </w:r>
            <w:r w:rsidRPr="005C5D59">
              <w:rPr>
                <w:rStyle w:val="StyleTableText9ptCharChar"/>
                <w:rFonts w:cs="Arial"/>
              </w:rPr>
              <w:t>“No,” the screen is cleared.</w:t>
            </w:r>
          </w:p>
          <w:p w14:paraId="66D43E64" w14:textId="77777777" w:rsidR="009125FD" w:rsidRPr="005C5D59" w:rsidRDefault="009125FD" w:rsidP="009125FD">
            <w:pPr>
              <w:pStyle w:val="TableText"/>
              <w:rPr>
                <w:rFonts w:cs="Arial"/>
                <w:noProof/>
              </w:rPr>
            </w:pPr>
            <w:r w:rsidRPr="005C5D59">
              <w:rPr>
                <w:rStyle w:val="StyleTableText9ptCharChar"/>
                <w:rFonts w:cs="Arial"/>
              </w:rPr>
              <w:t xml:space="preserve">If </w:t>
            </w:r>
            <w:r>
              <w:rPr>
                <w:rStyle w:val="StyleTableText9ptCharChar"/>
                <w:rFonts w:cs="Arial"/>
              </w:rPr>
              <w:t>the user clicks “Yes,” selection can continue to select the unit.</w:t>
            </w:r>
          </w:p>
        </w:tc>
      </w:tr>
      <w:tr w:rsidR="009125FD" w:rsidRPr="005C5D59" w14:paraId="141FFD8D" w14:textId="77777777" w:rsidTr="009125FD">
        <w:trPr>
          <w:cantSplit/>
          <w:trHeight w:val="576"/>
        </w:trPr>
        <w:tc>
          <w:tcPr>
            <w:tcW w:w="1843" w:type="dxa"/>
            <w:vMerge/>
            <w:tcBorders>
              <w:left w:val="single" w:sz="4" w:space="0" w:color="000000"/>
              <w:right w:val="single" w:sz="4" w:space="0" w:color="000000"/>
            </w:tcBorders>
            <w:vAlign w:val="bottom"/>
          </w:tcPr>
          <w:p w14:paraId="4B9A3307"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bottom w:val="single" w:sz="4" w:space="0" w:color="000000"/>
              <w:right w:val="single" w:sz="4" w:space="0" w:color="000000"/>
            </w:tcBorders>
            <w:vAlign w:val="center"/>
          </w:tcPr>
          <w:p w14:paraId="75A46AAE" w14:textId="77777777" w:rsidR="009125FD" w:rsidRDefault="009125FD" w:rsidP="009125FD">
            <w:pPr>
              <w:rPr>
                <w:rFonts w:ascii="Arial" w:hAnsi="Arial" w:cs="Arial"/>
                <w:sz w:val="18"/>
                <w:szCs w:val="18"/>
              </w:rPr>
            </w:pPr>
            <w:r w:rsidRPr="005C5D59">
              <w:rPr>
                <w:rFonts w:ascii="Arial" w:hAnsi="Arial" w:cs="Arial"/>
                <w:sz w:val="18"/>
                <w:szCs w:val="18"/>
              </w:rPr>
              <w:t>RED BLOOD CELLS</w:t>
            </w:r>
          </w:p>
          <w:p w14:paraId="3F9D9EEE" w14:textId="77777777" w:rsidR="009125FD" w:rsidRDefault="009125FD" w:rsidP="009125FD">
            <w:pPr>
              <w:rPr>
                <w:rFonts w:ascii="Arial" w:hAnsi="Arial" w:cs="Arial"/>
                <w:sz w:val="18"/>
                <w:szCs w:val="18"/>
              </w:rPr>
            </w:pPr>
          </w:p>
          <w:p w14:paraId="1CE6E4E8" w14:textId="77777777" w:rsidR="009125FD" w:rsidRDefault="009125FD" w:rsidP="009125FD">
            <w:pPr>
              <w:rPr>
                <w:rFonts w:ascii="Arial" w:hAnsi="Arial" w:cs="Arial"/>
                <w:sz w:val="18"/>
                <w:szCs w:val="18"/>
              </w:rPr>
            </w:pPr>
            <w:r w:rsidRPr="005C5D59">
              <w:rPr>
                <w:rFonts w:ascii="Arial" w:hAnsi="Arial" w:cs="Arial"/>
                <w:sz w:val="18"/>
                <w:szCs w:val="18"/>
              </w:rPr>
              <w:t>WHOLE BLOOD</w:t>
            </w:r>
          </w:p>
          <w:p w14:paraId="60E866F4" w14:textId="77777777" w:rsidR="009125FD" w:rsidRDefault="009125FD" w:rsidP="009125FD">
            <w:pPr>
              <w:rPr>
                <w:rFonts w:ascii="Arial" w:hAnsi="Arial" w:cs="Arial"/>
                <w:sz w:val="18"/>
                <w:szCs w:val="18"/>
              </w:rPr>
            </w:pPr>
          </w:p>
          <w:p w14:paraId="4EC29434" w14:textId="77777777" w:rsidR="009125FD" w:rsidRDefault="009125FD" w:rsidP="009125FD">
            <w:pPr>
              <w:rPr>
                <w:rFonts w:ascii="Arial" w:hAnsi="Arial" w:cs="Arial"/>
                <w:sz w:val="18"/>
                <w:szCs w:val="18"/>
              </w:rPr>
            </w:pPr>
            <w:r w:rsidRPr="005C5D59">
              <w:rPr>
                <w:rFonts w:ascii="Arial" w:hAnsi="Arial" w:cs="Arial"/>
                <w:sz w:val="18"/>
                <w:szCs w:val="18"/>
              </w:rPr>
              <w:t>PLATELETS</w:t>
            </w:r>
          </w:p>
          <w:p w14:paraId="19BC6882" w14:textId="77777777" w:rsidR="009125FD" w:rsidRDefault="009125FD" w:rsidP="009125FD">
            <w:pPr>
              <w:rPr>
                <w:rFonts w:ascii="Arial" w:hAnsi="Arial" w:cs="Arial"/>
                <w:color w:val="000000"/>
                <w:sz w:val="18"/>
                <w:szCs w:val="18"/>
              </w:rPr>
            </w:pPr>
            <w:r w:rsidRPr="005C5D59">
              <w:rPr>
                <w:rFonts w:ascii="Arial" w:hAnsi="Arial" w:cs="Arial"/>
                <w:color w:val="000000"/>
                <w:sz w:val="18"/>
                <w:szCs w:val="18"/>
              </w:rPr>
              <w:t xml:space="preserve"> </w:t>
            </w:r>
          </w:p>
          <w:p w14:paraId="6C01FFFE" w14:textId="77777777" w:rsidR="009125FD" w:rsidRPr="005C5D59" w:rsidRDefault="009125FD" w:rsidP="009125FD">
            <w:pPr>
              <w:rPr>
                <w:rFonts w:ascii="Arial" w:hAnsi="Arial" w:cs="Arial"/>
                <w:color w:val="000000"/>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23C69907"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14E96ECC"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bottom w:val="single" w:sz="4" w:space="0" w:color="000000"/>
              <w:right w:val="single" w:sz="4" w:space="0" w:color="000000"/>
            </w:tcBorders>
            <w:vAlign w:val="center"/>
          </w:tcPr>
          <w:p w14:paraId="5A4C4600"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Lead Technologist</w:t>
            </w:r>
          </w:p>
          <w:p w14:paraId="3B264930"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Traditional Supervisor</w:t>
            </w:r>
          </w:p>
          <w:p w14:paraId="46D29273"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Enhanced Supervisor</w:t>
            </w:r>
          </w:p>
          <w:p w14:paraId="174921B8" w14:textId="77777777" w:rsidR="009125FD" w:rsidRPr="00FB56F0" w:rsidRDefault="009125FD" w:rsidP="009125FD">
            <w:pPr>
              <w:spacing w:before="120"/>
              <w:ind w:left="36"/>
              <w:rPr>
                <w:rFonts w:ascii="Arial" w:hAnsi="Arial" w:cs="Arial"/>
                <w:sz w:val="18"/>
                <w:szCs w:val="18"/>
              </w:rPr>
            </w:pPr>
            <w:r w:rsidRPr="00FB56F0">
              <w:rPr>
                <w:rFonts w:ascii="Arial" w:hAnsi="Arial" w:cs="Arial"/>
                <w:sz w:val="18"/>
                <w:szCs w:val="18"/>
              </w:rPr>
              <w:t>Administrator/Supervisor</w:t>
            </w:r>
          </w:p>
          <w:p w14:paraId="6B9F3E72" w14:textId="77777777" w:rsidR="009125FD" w:rsidRPr="008B278A" w:rsidRDefault="009125FD" w:rsidP="009125FD">
            <w:pPr>
              <w:ind w:left="198" w:hanging="162"/>
              <w:rPr>
                <w:rFonts w:ascii="Arial" w:hAnsi="Arial" w:cs="Arial"/>
                <w:sz w:val="18"/>
                <w:szCs w:val="18"/>
              </w:rPr>
            </w:pPr>
          </w:p>
        </w:tc>
        <w:tc>
          <w:tcPr>
            <w:tcW w:w="4050" w:type="dxa"/>
            <w:tcBorders>
              <w:left w:val="single" w:sz="4" w:space="0" w:color="000000"/>
              <w:bottom w:val="single" w:sz="4" w:space="0" w:color="000000"/>
              <w:right w:val="single" w:sz="4" w:space="0" w:color="000000"/>
            </w:tcBorders>
            <w:vAlign w:val="bottom"/>
          </w:tcPr>
          <w:p w14:paraId="572B9ADE"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 xml:space="preserve">Patient’s </w:t>
            </w:r>
            <w:r>
              <w:rPr>
                <w:rFonts w:ascii="Arial" w:hAnsi="Arial" w:cs="Arial"/>
                <w:i/>
                <w:sz w:val="18"/>
                <w:szCs w:val="18"/>
              </w:rPr>
              <w:t>CMV Negative cellular products</w:t>
            </w:r>
            <w:r w:rsidRPr="00836EE2">
              <w:rPr>
                <w:rFonts w:ascii="Arial" w:hAnsi="Arial" w:cs="Arial"/>
                <w:i/>
                <w:sz w:val="18"/>
                <w:szCs w:val="18"/>
              </w:rPr>
              <w:t xml:space="preserve"> Transfusion Requirement is not satisfied</w:t>
            </w:r>
            <w:r w:rsidRPr="005C5D59">
              <w:rPr>
                <w:rFonts w:ascii="Arial" w:hAnsi="Arial" w:cs="Arial"/>
                <w:sz w:val="18"/>
                <w:szCs w:val="18"/>
              </w:rPr>
              <w:t xml:space="preserve"> and prompts the user whether to proceed. </w:t>
            </w:r>
          </w:p>
          <w:p w14:paraId="3EE10F70"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5B1A1EE4" w14:textId="3974F950"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 xml:space="preserve">on details for </w:t>
            </w:r>
            <w:r w:rsidR="00AE3B37">
              <w:rPr>
                <w:rFonts w:ascii="Arial" w:hAnsi="Arial" w:cs="Arial"/>
                <w:sz w:val="18"/>
                <w:szCs w:val="18"/>
              </w:rPr>
              <w:t>inclusion in</w:t>
            </w:r>
            <w:r>
              <w:rPr>
                <w:rFonts w:ascii="Arial" w:hAnsi="Arial" w:cs="Arial"/>
                <w:sz w:val="18"/>
                <w:szCs w:val="18"/>
              </w:rPr>
              <w:t xml:space="preserve">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Unit issued with unsatisfied Transfusion Requirement</w:t>
            </w:r>
            <w:r w:rsidR="005C48D9">
              <w:rPr>
                <w:rFonts w:ascii="Arial" w:hAnsi="Arial" w:cs="Arial"/>
                <w:i/>
                <w:sz w:val="18"/>
                <w:szCs w:val="18"/>
              </w:rPr>
              <w:t>.</w:t>
            </w:r>
          </w:p>
        </w:tc>
      </w:tr>
    </w:tbl>
    <w:p w14:paraId="2A4ED334" w14:textId="77777777" w:rsidR="009125FD" w:rsidRPr="005C48D9" w:rsidRDefault="009125FD" w:rsidP="009125FD">
      <w:pPr>
        <w:ind w:left="36"/>
        <w:rPr>
          <w:sz w:val="22"/>
          <w:szCs w:val="22"/>
        </w:rPr>
      </w:pPr>
      <w:r w:rsidRPr="005C48D9">
        <w:rPr>
          <w:sz w:val="22"/>
          <w:szCs w:val="22"/>
        </w:rPr>
        <w:t>*VistA test results are not evaluated by VBECS.</w:t>
      </w:r>
      <w:r w:rsidRPr="005C48D9">
        <w:rPr>
          <w:color w:val="000000"/>
          <w:sz w:val="22"/>
          <w:szCs w:val="22"/>
        </w:rPr>
        <w:t xml:space="preserve"> CMV Negative status is recorded during receipt at Incoming Shipment or added to the unit record in Edit Unit Information.</w:t>
      </w:r>
      <w:r w:rsidRPr="005C48D9">
        <w:rPr>
          <w:sz w:val="22"/>
          <w:szCs w:val="22"/>
        </w:rPr>
        <w:t xml:space="preserve"> All product types in OTHER are evaluated for the requirement including those that are non-cellular.</w:t>
      </w:r>
    </w:p>
    <w:p w14:paraId="2D094896" w14:textId="77777777" w:rsidR="009125FD" w:rsidRDefault="009125FD" w:rsidP="009125FD"/>
    <w:p w14:paraId="58325C09" w14:textId="30CDFDEE" w:rsidR="00C15299" w:rsidRDefault="00DA0A28" w:rsidP="00BE14D5">
      <w:pPr>
        <w:pStyle w:val="Caption"/>
      </w:pPr>
      <w:r>
        <w:br w:type="page"/>
      </w:r>
      <w:bookmarkStart w:id="808" w:name="_Ref343502649"/>
      <w:r w:rsidR="00BE14D5">
        <w:t xml:space="preserve">Figure </w:t>
      </w:r>
      <w:r w:rsidR="004E20BD">
        <w:rPr>
          <w:noProof/>
        </w:rPr>
        <w:fldChar w:fldCharType="begin"/>
      </w:r>
      <w:r w:rsidR="004E20BD">
        <w:rPr>
          <w:noProof/>
        </w:rPr>
        <w:instrText xml:space="preserve"> SEQ Figure \* ARABIC </w:instrText>
      </w:r>
      <w:r w:rsidR="004E20BD">
        <w:rPr>
          <w:noProof/>
        </w:rPr>
        <w:fldChar w:fldCharType="separate"/>
      </w:r>
      <w:r w:rsidR="00ED2D38">
        <w:rPr>
          <w:noProof/>
        </w:rPr>
        <w:t>143</w:t>
      </w:r>
      <w:r w:rsidR="004E20BD">
        <w:rPr>
          <w:noProof/>
        </w:rPr>
        <w:fldChar w:fldCharType="end"/>
      </w:r>
      <w:r w:rsidR="00BE14D5">
        <w:t>: CMV Negative Cellular Products* and Issue Blood Component</w:t>
      </w:r>
      <w:bookmarkEnd w:id="808"/>
    </w:p>
    <w:tbl>
      <w:tblPr>
        <w:tblW w:w="10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firstRow="1" w:lastRow="0" w:firstColumn="1" w:lastColumn="0" w:noHBand="0" w:noVBand="1"/>
      </w:tblPr>
      <w:tblGrid>
        <w:gridCol w:w="1843"/>
        <w:gridCol w:w="1469"/>
        <w:gridCol w:w="1260"/>
        <w:gridCol w:w="1620"/>
        <w:gridCol w:w="4050"/>
      </w:tblGrid>
      <w:tr w:rsidR="009125FD" w:rsidRPr="005C5D59" w14:paraId="1F21A5BD" w14:textId="77777777" w:rsidTr="009125FD">
        <w:trPr>
          <w:cantSplit/>
          <w:trHeight w:val="432"/>
          <w:tblHeader/>
        </w:trPr>
        <w:tc>
          <w:tcPr>
            <w:tcW w:w="10242" w:type="dxa"/>
            <w:gridSpan w:val="5"/>
            <w:tcBorders>
              <w:left w:val="single" w:sz="4" w:space="0" w:color="000000"/>
              <w:bottom w:val="single" w:sz="4" w:space="0" w:color="000000"/>
              <w:right w:val="single" w:sz="4" w:space="0" w:color="000000"/>
            </w:tcBorders>
            <w:shd w:val="pct25" w:color="auto" w:fill="auto"/>
            <w:vAlign w:val="bottom"/>
          </w:tcPr>
          <w:p w14:paraId="1F01B24B" w14:textId="77777777" w:rsidR="009125FD" w:rsidRPr="005C5D59" w:rsidRDefault="009125FD" w:rsidP="009125FD">
            <w:pPr>
              <w:rPr>
                <w:rFonts w:ascii="Arial" w:hAnsi="Arial" w:cs="Arial"/>
                <w:b/>
                <w:sz w:val="18"/>
                <w:szCs w:val="18"/>
              </w:rPr>
            </w:pPr>
            <w:r w:rsidRPr="005C5D59">
              <w:rPr>
                <w:rFonts w:ascii="Arial" w:hAnsi="Arial" w:cs="Arial"/>
                <w:b/>
                <w:sz w:val="18"/>
                <w:szCs w:val="18"/>
              </w:rPr>
              <w:t xml:space="preserve">Issue Blood Component: </w:t>
            </w:r>
            <w:r>
              <w:rPr>
                <w:rFonts w:ascii="Arial" w:hAnsi="Arial" w:cs="Arial"/>
                <w:b/>
                <w:sz w:val="18"/>
                <w:szCs w:val="18"/>
              </w:rPr>
              <w:t>CMV Negative Cellular Products</w:t>
            </w:r>
          </w:p>
        </w:tc>
      </w:tr>
      <w:tr w:rsidR="009125FD" w:rsidRPr="005C5D59" w14:paraId="6D1F34E8" w14:textId="77777777" w:rsidTr="009125FD">
        <w:trPr>
          <w:cantSplit/>
          <w:trHeight w:val="432"/>
          <w:tblHeader/>
        </w:trPr>
        <w:tc>
          <w:tcPr>
            <w:tcW w:w="1843" w:type="dxa"/>
            <w:tcBorders>
              <w:left w:val="single" w:sz="4" w:space="0" w:color="000000"/>
              <w:bottom w:val="single" w:sz="4" w:space="0" w:color="000000"/>
              <w:right w:val="single" w:sz="4" w:space="0" w:color="000000"/>
            </w:tcBorders>
            <w:shd w:val="pct25" w:color="auto" w:fill="auto"/>
            <w:vAlign w:val="bottom"/>
            <w:hideMark/>
          </w:tcPr>
          <w:p w14:paraId="68E009DE" w14:textId="77777777" w:rsidR="009125FD" w:rsidRPr="005C5D59" w:rsidRDefault="009125FD" w:rsidP="009125FD">
            <w:pPr>
              <w:rPr>
                <w:rFonts w:ascii="Arial" w:hAnsi="Arial" w:cs="Arial"/>
                <w:b/>
                <w:sz w:val="18"/>
                <w:szCs w:val="18"/>
              </w:rPr>
            </w:pPr>
            <w:r w:rsidRPr="005C5D59">
              <w:rPr>
                <w:rFonts w:ascii="Arial" w:hAnsi="Arial" w:cs="Arial"/>
                <w:b/>
                <w:sz w:val="18"/>
                <w:szCs w:val="18"/>
              </w:rPr>
              <w:t>Patient Active Transfusion Requirement</w:t>
            </w:r>
          </w:p>
        </w:tc>
        <w:tc>
          <w:tcPr>
            <w:tcW w:w="1469" w:type="dxa"/>
            <w:tcBorders>
              <w:left w:val="single" w:sz="4" w:space="0" w:color="000000"/>
              <w:bottom w:val="single" w:sz="4" w:space="0" w:color="000000"/>
              <w:right w:val="single" w:sz="4" w:space="0" w:color="000000"/>
            </w:tcBorders>
            <w:shd w:val="pct25" w:color="auto" w:fill="auto"/>
            <w:vAlign w:val="bottom"/>
            <w:hideMark/>
          </w:tcPr>
          <w:p w14:paraId="75E76B0D" w14:textId="77777777" w:rsidR="009125FD" w:rsidRPr="005C5D59" w:rsidRDefault="009125FD" w:rsidP="009125FD">
            <w:pPr>
              <w:rPr>
                <w:rFonts w:ascii="Arial" w:hAnsi="Arial" w:cs="Arial"/>
                <w:b/>
                <w:color w:val="000000"/>
                <w:sz w:val="18"/>
                <w:szCs w:val="18"/>
                <w:highlight w:val="yellow"/>
              </w:rPr>
            </w:pPr>
            <w:r w:rsidRPr="005C5D59">
              <w:rPr>
                <w:rFonts w:ascii="Arial" w:hAnsi="Arial" w:cs="Arial"/>
                <w:b/>
                <w:sz w:val="18"/>
                <w:szCs w:val="18"/>
              </w:rPr>
              <w:t>Ordered Component Class*</w:t>
            </w:r>
          </w:p>
        </w:tc>
        <w:tc>
          <w:tcPr>
            <w:tcW w:w="126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4A02D705" w14:textId="77777777" w:rsidR="009125FD" w:rsidRPr="005C5D59" w:rsidRDefault="009125FD" w:rsidP="009125FD">
            <w:pPr>
              <w:rPr>
                <w:rFonts w:ascii="Arial" w:hAnsi="Arial" w:cs="Arial"/>
                <w:b/>
                <w:sz w:val="18"/>
                <w:szCs w:val="18"/>
              </w:rPr>
            </w:pPr>
            <w:r>
              <w:rPr>
                <w:rFonts w:ascii="Arial" w:hAnsi="Arial" w:cs="Arial"/>
                <w:b/>
                <w:sz w:val="18"/>
                <w:szCs w:val="18"/>
              </w:rPr>
              <w:t>Selected U</w:t>
            </w:r>
            <w:r w:rsidRPr="005C5D59">
              <w:rPr>
                <w:rFonts w:ascii="Arial" w:hAnsi="Arial" w:cs="Arial"/>
                <w:b/>
                <w:sz w:val="18"/>
                <w:szCs w:val="18"/>
              </w:rPr>
              <w:t>nit is</w:t>
            </w:r>
          </w:p>
        </w:tc>
        <w:tc>
          <w:tcPr>
            <w:tcW w:w="162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69FFBA0C" w14:textId="77777777" w:rsidR="009125FD" w:rsidRPr="005C5D59" w:rsidRDefault="009125FD" w:rsidP="009125FD">
            <w:pPr>
              <w:rPr>
                <w:rFonts w:ascii="Arial" w:hAnsi="Arial" w:cs="Arial"/>
                <w:b/>
                <w:sz w:val="18"/>
                <w:szCs w:val="18"/>
              </w:rPr>
            </w:pPr>
            <w:r w:rsidRPr="005C5D59">
              <w:rPr>
                <w:rFonts w:ascii="Arial" w:hAnsi="Arial" w:cs="Arial"/>
                <w:b/>
                <w:sz w:val="18"/>
                <w:szCs w:val="18"/>
              </w:rPr>
              <w:t>Selected User Role</w:t>
            </w:r>
          </w:p>
        </w:tc>
        <w:tc>
          <w:tcPr>
            <w:tcW w:w="4050" w:type="dxa"/>
            <w:tcBorders>
              <w:top w:val="single" w:sz="4" w:space="0" w:color="000000"/>
              <w:left w:val="single" w:sz="4" w:space="0" w:color="000000"/>
              <w:bottom w:val="single" w:sz="4" w:space="0" w:color="000000"/>
              <w:right w:val="single" w:sz="4" w:space="0" w:color="000000"/>
            </w:tcBorders>
            <w:shd w:val="pct25" w:color="auto" w:fill="auto"/>
            <w:vAlign w:val="bottom"/>
          </w:tcPr>
          <w:p w14:paraId="12915965" w14:textId="77777777" w:rsidR="009125FD" w:rsidRPr="005C5D59" w:rsidRDefault="009125FD" w:rsidP="009125FD">
            <w:pPr>
              <w:rPr>
                <w:rFonts w:ascii="Arial" w:hAnsi="Arial" w:cs="Arial"/>
                <w:b/>
                <w:sz w:val="18"/>
                <w:szCs w:val="18"/>
              </w:rPr>
            </w:pPr>
            <w:r w:rsidRPr="005C5D59">
              <w:rPr>
                <w:rFonts w:ascii="Arial" w:hAnsi="Arial" w:cs="Arial"/>
                <w:b/>
                <w:sz w:val="18"/>
                <w:szCs w:val="18"/>
              </w:rPr>
              <w:t>Expected System Response</w:t>
            </w:r>
          </w:p>
        </w:tc>
      </w:tr>
      <w:tr w:rsidR="009125FD" w:rsidRPr="005C5D59" w14:paraId="7BAEC679" w14:textId="77777777" w:rsidTr="009125FD">
        <w:trPr>
          <w:cantSplit/>
          <w:trHeight w:val="284"/>
        </w:trPr>
        <w:tc>
          <w:tcPr>
            <w:tcW w:w="1843" w:type="dxa"/>
            <w:vMerge w:val="restart"/>
            <w:tcBorders>
              <w:top w:val="single" w:sz="4" w:space="0" w:color="000000"/>
              <w:left w:val="single" w:sz="4" w:space="0" w:color="000000"/>
              <w:right w:val="single" w:sz="4" w:space="0" w:color="000000"/>
            </w:tcBorders>
            <w:vAlign w:val="center"/>
            <w:hideMark/>
          </w:tcPr>
          <w:p w14:paraId="613D917B" w14:textId="77777777" w:rsidR="009125FD" w:rsidRPr="00A92752" w:rsidRDefault="009125FD" w:rsidP="009125FD">
            <w:pPr>
              <w:jc w:val="center"/>
              <w:rPr>
                <w:rFonts w:ascii="Arial" w:hAnsi="Arial" w:cs="Arial"/>
                <w:sz w:val="28"/>
                <w:szCs w:val="28"/>
              </w:rPr>
            </w:pPr>
            <w:r w:rsidRPr="00A92752">
              <w:rPr>
                <w:rFonts w:ascii="Arial" w:hAnsi="Arial" w:cs="Arial"/>
                <w:b/>
                <w:sz w:val="28"/>
                <w:szCs w:val="28"/>
              </w:rPr>
              <w:t xml:space="preserve">CMV negative cellular products*  </w:t>
            </w:r>
          </w:p>
        </w:tc>
        <w:tc>
          <w:tcPr>
            <w:tcW w:w="1469" w:type="dxa"/>
            <w:tcBorders>
              <w:top w:val="single" w:sz="4" w:space="0" w:color="000000"/>
              <w:left w:val="single" w:sz="4" w:space="0" w:color="000000"/>
              <w:right w:val="single" w:sz="4" w:space="0" w:color="000000"/>
            </w:tcBorders>
            <w:shd w:val="pct10" w:color="auto" w:fill="auto"/>
            <w:vAlign w:val="center"/>
            <w:hideMark/>
          </w:tcPr>
          <w:p w14:paraId="1202F66D"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RED BLOOD CELLS</w:t>
            </w:r>
          </w:p>
          <w:p w14:paraId="16B465CD" w14:textId="77777777" w:rsidR="009125FD" w:rsidRDefault="009125FD" w:rsidP="009125FD">
            <w:pPr>
              <w:spacing w:after="120"/>
              <w:jc w:val="center"/>
              <w:rPr>
                <w:rFonts w:ascii="Arial" w:hAnsi="Arial" w:cs="Arial"/>
                <w:sz w:val="18"/>
                <w:szCs w:val="18"/>
              </w:rPr>
            </w:pPr>
            <w:r w:rsidRPr="005C5D59">
              <w:rPr>
                <w:rFonts w:ascii="Arial" w:hAnsi="Arial" w:cs="Arial"/>
                <w:sz w:val="18"/>
                <w:szCs w:val="18"/>
              </w:rPr>
              <w:t xml:space="preserve"> WHOLE BLOOD </w:t>
            </w:r>
          </w:p>
          <w:p w14:paraId="21B237C6" w14:textId="77777777" w:rsidR="009125FD" w:rsidRPr="005C5D59" w:rsidRDefault="009125FD" w:rsidP="009125FD">
            <w:pPr>
              <w:spacing w:after="120"/>
              <w:jc w:val="center"/>
              <w:rPr>
                <w:rFonts w:ascii="Arial" w:hAnsi="Arial" w:cs="Arial"/>
                <w:sz w:val="18"/>
                <w:szCs w:val="18"/>
              </w:rPr>
            </w:pPr>
            <w:r w:rsidRPr="005C5D59">
              <w:rPr>
                <w:rFonts w:ascii="Arial" w:hAnsi="Arial" w:cs="Arial"/>
                <w:sz w:val="18"/>
                <w:szCs w:val="18"/>
              </w:rPr>
              <w:t>PLATELETS</w:t>
            </w:r>
          </w:p>
          <w:p w14:paraId="4D1279A6" w14:textId="77777777" w:rsidR="009125FD" w:rsidRPr="005C5D59" w:rsidRDefault="009125FD" w:rsidP="009125FD">
            <w:pPr>
              <w:spacing w:after="120"/>
              <w:jc w:val="center"/>
              <w:rPr>
                <w:rFonts w:ascii="Arial" w:hAnsi="Arial" w:cs="Arial"/>
                <w:sz w:val="18"/>
                <w:szCs w:val="18"/>
              </w:rPr>
            </w:pPr>
            <w:r w:rsidRPr="005C5D59">
              <w:rPr>
                <w:rFonts w:ascii="Arial" w:hAnsi="Arial" w:cs="Arial"/>
                <w:color w:val="000000"/>
                <w:sz w:val="18"/>
                <w:szCs w:val="18"/>
              </w:rPr>
              <w:t>OTHER</w:t>
            </w:r>
          </w:p>
        </w:tc>
        <w:tc>
          <w:tcPr>
            <w:tcW w:w="1260" w:type="dxa"/>
            <w:tcBorders>
              <w:top w:val="single" w:sz="4" w:space="0" w:color="000000"/>
              <w:left w:val="single" w:sz="4" w:space="0" w:color="000000"/>
              <w:right w:val="single" w:sz="4" w:space="0" w:color="000000"/>
            </w:tcBorders>
            <w:shd w:val="pct10" w:color="auto" w:fill="auto"/>
            <w:vAlign w:val="center"/>
            <w:hideMark/>
          </w:tcPr>
          <w:p w14:paraId="58D1C386"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CMV Negative*</w:t>
            </w:r>
          </w:p>
        </w:tc>
        <w:tc>
          <w:tcPr>
            <w:tcW w:w="1620" w:type="dxa"/>
            <w:tcBorders>
              <w:top w:val="single" w:sz="4" w:space="0" w:color="000000"/>
              <w:left w:val="single" w:sz="4" w:space="0" w:color="000000"/>
              <w:right w:val="single" w:sz="4" w:space="0" w:color="000000"/>
            </w:tcBorders>
            <w:shd w:val="pct10" w:color="auto" w:fill="auto"/>
            <w:vAlign w:val="center"/>
            <w:hideMark/>
          </w:tcPr>
          <w:p w14:paraId="0246CCF1" w14:textId="77777777" w:rsidR="009125FD" w:rsidRPr="008E2609" w:rsidRDefault="009125FD" w:rsidP="009125FD">
            <w:pPr>
              <w:jc w:val="center"/>
              <w:rPr>
                <w:rFonts w:ascii="Arial" w:hAnsi="Arial" w:cs="Arial"/>
                <w:sz w:val="18"/>
                <w:szCs w:val="18"/>
              </w:rPr>
            </w:pPr>
            <w:r w:rsidRPr="008E2609">
              <w:rPr>
                <w:rFonts w:ascii="Arial" w:hAnsi="Arial" w:cs="Arial"/>
                <w:sz w:val="18"/>
                <w:szCs w:val="18"/>
              </w:rPr>
              <w:t>ALL VBECS Users</w:t>
            </w:r>
          </w:p>
        </w:tc>
        <w:tc>
          <w:tcPr>
            <w:tcW w:w="4050" w:type="dxa"/>
            <w:tcBorders>
              <w:top w:val="single" w:sz="4" w:space="0" w:color="000000"/>
              <w:left w:val="single" w:sz="4" w:space="0" w:color="000000"/>
              <w:right w:val="single" w:sz="4" w:space="0" w:color="000000"/>
            </w:tcBorders>
            <w:shd w:val="pct10" w:color="auto" w:fill="auto"/>
            <w:vAlign w:val="center"/>
          </w:tcPr>
          <w:p w14:paraId="7130E42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No warning message will display.</w:t>
            </w:r>
          </w:p>
        </w:tc>
      </w:tr>
      <w:tr w:rsidR="009125FD" w:rsidRPr="005C5D59" w14:paraId="669657E0" w14:textId="77777777" w:rsidTr="009125FD">
        <w:trPr>
          <w:cantSplit/>
          <w:trHeight w:val="1863"/>
        </w:trPr>
        <w:tc>
          <w:tcPr>
            <w:tcW w:w="1843" w:type="dxa"/>
            <w:vMerge/>
            <w:tcBorders>
              <w:left w:val="single" w:sz="4" w:space="0" w:color="000000"/>
              <w:right w:val="single" w:sz="4" w:space="0" w:color="000000"/>
            </w:tcBorders>
            <w:vAlign w:val="bottom"/>
          </w:tcPr>
          <w:p w14:paraId="7B011A59"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right w:val="single" w:sz="4" w:space="0" w:color="000000"/>
            </w:tcBorders>
            <w:vAlign w:val="center"/>
          </w:tcPr>
          <w:p w14:paraId="745CB50D" w14:textId="77777777" w:rsidR="009125FD" w:rsidRDefault="009125FD" w:rsidP="009125FD">
            <w:pPr>
              <w:jc w:val="center"/>
              <w:rPr>
                <w:rFonts w:ascii="Arial" w:hAnsi="Arial" w:cs="Arial"/>
                <w:sz w:val="18"/>
                <w:szCs w:val="18"/>
              </w:rPr>
            </w:pPr>
            <w:r w:rsidRPr="005C5D59">
              <w:rPr>
                <w:rFonts w:ascii="Arial" w:hAnsi="Arial" w:cs="Arial"/>
                <w:sz w:val="18"/>
                <w:szCs w:val="18"/>
              </w:rPr>
              <w:t>RED BLOOD CELLS</w:t>
            </w:r>
          </w:p>
          <w:p w14:paraId="239AA325"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 xml:space="preserve"> </w:t>
            </w:r>
          </w:p>
          <w:p w14:paraId="7E7179C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p w14:paraId="625B0351" w14:textId="77777777" w:rsidR="009125FD" w:rsidRDefault="009125FD" w:rsidP="009125FD">
            <w:pPr>
              <w:jc w:val="center"/>
              <w:rPr>
                <w:rFonts w:ascii="Arial" w:hAnsi="Arial" w:cs="Arial"/>
                <w:sz w:val="18"/>
                <w:szCs w:val="18"/>
              </w:rPr>
            </w:pPr>
          </w:p>
          <w:p w14:paraId="589B23D9"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p w14:paraId="52BB2B79" w14:textId="77777777" w:rsidR="009125FD" w:rsidRDefault="009125FD" w:rsidP="009125FD">
            <w:pPr>
              <w:jc w:val="center"/>
              <w:rPr>
                <w:rFonts w:ascii="Arial" w:hAnsi="Arial" w:cs="Arial"/>
                <w:color w:val="000000"/>
                <w:sz w:val="18"/>
                <w:szCs w:val="18"/>
              </w:rPr>
            </w:pPr>
          </w:p>
          <w:p w14:paraId="717FB385" w14:textId="77777777"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right w:val="single" w:sz="4" w:space="0" w:color="000000"/>
            </w:tcBorders>
            <w:vAlign w:val="center"/>
          </w:tcPr>
          <w:p w14:paraId="4B16EB1A"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494632F7"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right w:val="single" w:sz="4" w:space="0" w:color="000000"/>
            </w:tcBorders>
            <w:vAlign w:val="center"/>
          </w:tcPr>
          <w:p w14:paraId="251E0480" w14:textId="77777777" w:rsidR="009125FD" w:rsidRPr="000E5D20" w:rsidRDefault="009125FD" w:rsidP="009125FD">
            <w:pPr>
              <w:ind w:left="18"/>
              <w:rPr>
                <w:rFonts w:ascii="Arial" w:hAnsi="Arial" w:cs="Arial"/>
                <w:sz w:val="18"/>
                <w:szCs w:val="18"/>
              </w:rPr>
            </w:pPr>
            <w:r w:rsidRPr="000E5D20">
              <w:rPr>
                <w:rFonts w:ascii="Arial" w:hAnsi="Arial" w:cs="Arial"/>
                <w:noProof/>
                <w:sz w:val="18"/>
                <w:szCs w:val="18"/>
              </w:rPr>
              <w:t>Technologist</w:t>
            </w:r>
          </w:p>
          <w:p w14:paraId="0B9F6304" w14:textId="77777777" w:rsidR="009125FD" w:rsidRPr="00836EE2" w:rsidRDefault="009125FD" w:rsidP="009125FD">
            <w:pPr>
              <w:ind w:left="18"/>
              <w:rPr>
                <w:rFonts w:ascii="Arial" w:hAnsi="Arial" w:cs="Arial"/>
                <w:sz w:val="18"/>
                <w:szCs w:val="18"/>
              </w:rPr>
            </w:pPr>
          </w:p>
          <w:p w14:paraId="7CA652FC" w14:textId="77777777" w:rsidR="009125FD" w:rsidRPr="000E5D20" w:rsidRDefault="009125FD" w:rsidP="009125FD">
            <w:pPr>
              <w:ind w:left="18"/>
              <w:rPr>
                <w:rFonts w:ascii="Arial" w:hAnsi="Arial" w:cs="Arial"/>
                <w:noProof/>
                <w:sz w:val="18"/>
                <w:szCs w:val="18"/>
              </w:rPr>
            </w:pPr>
            <w:r w:rsidRPr="000E5D20">
              <w:rPr>
                <w:rFonts w:ascii="Arial" w:hAnsi="Arial" w:cs="Arial"/>
                <w:noProof/>
                <w:sz w:val="18"/>
                <w:szCs w:val="18"/>
              </w:rPr>
              <w:t>Enhanced Technologist</w:t>
            </w:r>
          </w:p>
        </w:tc>
        <w:tc>
          <w:tcPr>
            <w:tcW w:w="4050" w:type="dxa"/>
            <w:tcBorders>
              <w:top w:val="single" w:sz="4" w:space="0" w:color="000000"/>
              <w:left w:val="single" w:sz="4" w:space="0" w:color="000000"/>
              <w:right w:val="single" w:sz="4" w:space="0" w:color="000000"/>
            </w:tcBorders>
            <w:vAlign w:val="bottom"/>
          </w:tcPr>
          <w:p w14:paraId="13CA9924" w14:textId="77777777" w:rsidR="009125FD"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Patient’s Transfusion Requirement is not satisfied.</w:t>
            </w:r>
            <w:r w:rsidRPr="005C5D59">
              <w:rPr>
                <w:rFonts w:ascii="Arial" w:hAnsi="Arial" w:cs="Arial"/>
                <w:sz w:val="18"/>
                <w:szCs w:val="18"/>
              </w:rPr>
              <w:t xml:space="preserve"> </w:t>
            </w:r>
            <w:r w:rsidRPr="007F3B3C">
              <w:rPr>
                <w:rFonts w:ascii="Arial" w:hAnsi="Arial" w:cs="Arial"/>
                <w:i/>
                <w:sz w:val="18"/>
                <w:szCs w:val="18"/>
              </w:rPr>
              <w:t>You do not have the proper security to issue this unit. Further processing is needed and must be documented in VBECS.</w:t>
            </w:r>
            <w:r w:rsidRPr="005C5D59">
              <w:rPr>
                <w:rFonts w:ascii="Arial" w:hAnsi="Arial" w:cs="Arial"/>
                <w:sz w:val="18"/>
                <w:szCs w:val="18"/>
              </w:rPr>
              <w:t xml:space="preserve"> </w:t>
            </w:r>
          </w:p>
          <w:p w14:paraId="5E61BCD6" w14:textId="77777777" w:rsidR="009125FD" w:rsidRPr="005C5D59" w:rsidRDefault="009125FD" w:rsidP="009125FD">
            <w:pPr>
              <w:rPr>
                <w:rFonts w:ascii="Arial" w:hAnsi="Arial" w:cs="Arial"/>
                <w:sz w:val="18"/>
                <w:szCs w:val="18"/>
              </w:rPr>
            </w:pPr>
            <w:r>
              <w:rPr>
                <w:rFonts w:ascii="Arial" w:hAnsi="Arial" w:cs="Arial"/>
                <w:sz w:val="18"/>
                <w:szCs w:val="18"/>
              </w:rPr>
              <w:t>The tech may not issue this unit in the computer.</w:t>
            </w:r>
          </w:p>
        </w:tc>
      </w:tr>
      <w:tr w:rsidR="009125FD" w:rsidRPr="005C5D59" w14:paraId="4715D7AE" w14:textId="77777777" w:rsidTr="009125FD">
        <w:trPr>
          <w:cantSplit/>
          <w:trHeight w:val="2898"/>
        </w:trPr>
        <w:tc>
          <w:tcPr>
            <w:tcW w:w="1843" w:type="dxa"/>
            <w:vMerge/>
            <w:tcBorders>
              <w:left w:val="single" w:sz="4" w:space="0" w:color="000000"/>
              <w:right w:val="single" w:sz="4" w:space="0" w:color="000000"/>
            </w:tcBorders>
            <w:vAlign w:val="bottom"/>
          </w:tcPr>
          <w:p w14:paraId="30B60910" w14:textId="77777777" w:rsidR="009125FD" w:rsidRPr="005C5D59" w:rsidRDefault="009125FD" w:rsidP="009125FD">
            <w:pPr>
              <w:rPr>
                <w:rFonts w:ascii="Arial" w:hAnsi="Arial" w:cs="Arial"/>
                <w:b/>
                <w:sz w:val="18"/>
                <w:szCs w:val="18"/>
              </w:rPr>
            </w:pPr>
          </w:p>
        </w:tc>
        <w:tc>
          <w:tcPr>
            <w:tcW w:w="1469" w:type="dxa"/>
            <w:tcBorders>
              <w:top w:val="single" w:sz="4" w:space="0" w:color="000000"/>
              <w:left w:val="single" w:sz="4" w:space="0" w:color="000000"/>
              <w:right w:val="single" w:sz="4" w:space="0" w:color="000000"/>
            </w:tcBorders>
            <w:vAlign w:val="center"/>
          </w:tcPr>
          <w:p w14:paraId="528678BD"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 xml:space="preserve">RED BLOOD CELLS </w:t>
            </w:r>
          </w:p>
          <w:p w14:paraId="0BD2C0E8" w14:textId="77777777" w:rsidR="009125FD" w:rsidRDefault="009125FD" w:rsidP="009125FD">
            <w:pPr>
              <w:jc w:val="center"/>
              <w:rPr>
                <w:rFonts w:ascii="Arial" w:hAnsi="Arial" w:cs="Arial"/>
                <w:sz w:val="18"/>
                <w:szCs w:val="18"/>
              </w:rPr>
            </w:pPr>
          </w:p>
          <w:p w14:paraId="2F3F3A61"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WHOLE BLOOD</w:t>
            </w:r>
          </w:p>
          <w:p w14:paraId="27AF7AA0" w14:textId="77777777" w:rsidR="009125FD" w:rsidRDefault="009125FD" w:rsidP="009125FD">
            <w:pPr>
              <w:jc w:val="center"/>
              <w:rPr>
                <w:rFonts w:ascii="Arial" w:hAnsi="Arial" w:cs="Arial"/>
                <w:sz w:val="18"/>
                <w:szCs w:val="18"/>
              </w:rPr>
            </w:pPr>
          </w:p>
          <w:p w14:paraId="1200085F" w14:textId="77777777" w:rsidR="009125FD" w:rsidRPr="005C5D59" w:rsidRDefault="009125FD" w:rsidP="009125FD">
            <w:pPr>
              <w:jc w:val="center"/>
              <w:rPr>
                <w:rFonts w:ascii="Arial" w:hAnsi="Arial" w:cs="Arial"/>
                <w:sz w:val="18"/>
                <w:szCs w:val="18"/>
              </w:rPr>
            </w:pPr>
            <w:r w:rsidRPr="005C5D59">
              <w:rPr>
                <w:rFonts w:ascii="Arial" w:hAnsi="Arial" w:cs="Arial"/>
                <w:sz w:val="18"/>
                <w:szCs w:val="18"/>
              </w:rPr>
              <w:t>PLATELETS</w:t>
            </w:r>
          </w:p>
          <w:p w14:paraId="264DD97D" w14:textId="77777777" w:rsidR="009125FD" w:rsidRDefault="009125FD" w:rsidP="009125FD">
            <w:pPr>
              <w:jc w:val="center"/>
              <w:rPr>
                <w:rFonts w:ascii="Arial" w:hAnsi="Arial" w:cs="Arial"/>
                <w:color w:val="000000"/>
                <w:sz w:val="18"/>
                <w:szCs w:val="18"/>
              </w:rPr>
            </w:pPr>
          </w:p>
          <w:p w14:paraId="139D5400" w14:textId="77777777" w:rsidR="009125FD" w:rsidRPr="005C5D59" w:rsidRDefault="009125FD" w:rsidP="009125FD">
            <w:pPr>
              <w:jc w:val="center"/>
              <w:rPr>
                <w:rFonts w:ascii="Arial" w:hAnsi="Arial" w:cs="Arial"/>
                <w:sz w:val="18"/>
                <w:szCs w:val="18"/>
              </w:rPr>
            </w:pPr>
            <w:r w:rsidRPr="005C5D59">
              <w:rPr>
                <w:rFonts w:ascii="Arial" w:hAnsi="Arial" w:cs="Arial"/>
                <w:color w:val="000000"/>
                <w:sz w:val="18"/>
                <w:szCs w:val="18"/>
              </w:rPr>
              <w:t>OTHER</w:t>
            </w:r>
            <w:r>
              <w:rPr>
                <w:rFonts w:ascii="Arial" w:hAnsi="Arial" w:cs="Arial"/>
                <w:color w:val="000000"/>
                <w:sz w:val="18"/>
                <w:szCs w:val="18"/>
              </w:rPr>
              <w:t>*</w:t>
            </w:r>
          </w:p>
        </w:tc>
        <w:tc>
          <w:tcPr>
            <w:tcW w:w="1260" w:type="dxa"/>
            <w:tcBorders>
              <w:top w:val="single" w:sz="4" w:space="0" w:color="000000"/>
              <w:left w:val="single" w:sz="4" w:space="0" w:color="000000"/>
              <w:right w:val="single" w:sz="4" w:space="0" w:color="000000"/>
            </w:tcBorders>
            <w:vAlign w:val="center"/>
          </w:tcPr>
          <w:p w14:paraId="15AC3156" w14:textId="77777777" w:rsidR="009125FD" w:rsidRDefault="009125FD" w:rsidP="009125FD">
            <w:pPr>
              <w:jc w:val="center"/>
              <w:rPr>
                <w:rFonts w:ascii="Arial" w:hAnsi="Arial" w:cs="Arial"/>
                <w:b/>
                <w:color w:val="FF0000"/>
                <w:sz w:val="18"/>
                <w:szCs w:val="18"/>
              </w:rPr>
            </w:pPr>
            <w:r>
              <w:rPr>
                <w:rFonts w:ascii="Arial" w:hAnsi="Arial" w:cs="Arial"/>
                <w:b/>
                <w:color w:val="FF0000"/>
                <w:sz w:val="18"/>
                <w:szCs w:val="18"/>
              </w:rPr>
              <w:t xml:space="preserve">Not </w:t>
            </w:r>
          </w:p>
          <w:p w14:paraId="09ED5F9A" w14:textId="77777777" w:rsidR="009125FD" w:rsidRPr="005C5D59" w:rsidRDefault="009125FD" w:rsidP="009125FD">
            <w:pPr>
              <w:jc w:val="center"/>
              <w:rPr>
                <w:rFonts w:ascii="Arial" w:hAnsi="Arial" w:cs="Arial"/>
                <w:color w:val="FF0000"/>
                <w:sz w:val="18"/>
                <w:szCs w:val="18"/>
              </w:rPr>
            </w:pPr>
            <w:r>
              <w:rPr>
                <w:rFonts w:ascii="Arial" w:hAnsi="Arial" w:cs="Arial"/>
                <w:b/>
                <w:color w:val="FF0000"/>
                <w:sz w:val="18"/>
                <w:szCs w:val="18"/>
              </w:rPr>
              <w:t>CMV negative</w:t>
            </w:r>
          </w:p>
        </w:tc>
        <w:tc>
          <w:tcPr>
            <w:tcW w:w="1620" w:type="dxa"/>
            <w:tcBorders>
              <w:top w:val="single" w:sz="4" w:space="0" w:color="000000"/>
              <w:left w:val="single" w:sz="4" w:space="0" w:color="000000"/>
              <w:right w:val="single" w:sz="4" w:space="0" w:color="000000"/>
            </w:tcBorders>
            <w:vAlign w:val="center"/>
          </w:tcPr>
          <w:p w14:paraId="727942A0"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Lead Technologist</w:t>
            </w:r>
          </w:p>
          <w:p w14:paraId="30FDF05B"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Traditional Supervisor</w:t>
            </w:r>
          </w:p>
          <w:p w14:paraId="18FAB332"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Enhanced Supervisor</w:t>
            </w:r>
          </w:p>
          <w:p w14:paraId="64B93A5C" w14:textId="77777777" w:rsidR="009125FD" w:rsidRPr="000E5D20" w:rsidRDefault="009125FD" w:rsidP="009125FD">
            <w:pPr>
              <w:spacing w:before="120"/>
              <w:ind w:left="18"/>
              <w:rPr>
                <w:rFonts w:ascii="Arial" w:hAnsi="Arial" w:cs="Arial"/>
                <w:sz w:val="18"/>
                <w:szCs w:val="18"/>
              </w:rPr>
            </w:pPr>
            <w:r w:rsidRPr="000E5D20">
              <w:rPr>
                <w:rFonts w:ascii="Arial" w:hAnsi="Arial" w:cs="Arial"/>
                <w:sz w:val="18"/>
                <w:szCs w:val="18"/>
              </w:rPr>
              <w:t>Administrator/Supervisor</w:t>
            </w:r>
          </w:p>
          <w:p w14:paraId="3100DA47" w14:textId="77777777" w:rsidR="009125FD" w:rsidRPr="008B278A" w:rsidRDefault="009125FD" w:rsidP="009125FD">
            <w:pPr>
              <w:ind w:left="18"/>
              <w:rPr>
                <w:rFonts w:ascii="Arial" w:hAnsi="Arial" w:cs="Arial"/>
                <w:sz w:val="18"/>
                <w:szCs w:val="18"/>
              </w:rPr>
            </w:pPr>
          </w:p>
        </w:tc>
        <w:tc>
          <w:tcPr>
            <w:tcW w:w="4050" w:type="dxa"/>
            <w:tcBorders>
              <w:top w:val="single" w:sz="4" w:space="0" w:color="000000"/>
              <w:left w:val="single" w:sz="4" w:space="0" w:color="000000"/>
              <w:right w:val="single" w:sz="4" w:space="0" w:color="000000"/>
            </w:tcBorders>
            <w:vAlign w:val="bottom"/>
          </w:tcPr>
          <w:p w14:paraId="08C29D21" w14:textId="77777777" w:rsidR="009125FD" w:rsidRPr="005C5D59" w:rsidRDefault="009125FD" w:rsidP="009125FD">
            <w:pPr>
              <w:rPr>
                <w:rFonts w:ascii="Arial" w:hAnsi="Arial" w:cs="Arial"/>
                <w:sz w:val="18"/>
                <w:szCs w:val="18"/>
              </w:rPr>
            </w:pPr>
            <w:r w:rsidRPr="005C5D59">
              <w:rPr>
                <w:rFonts w:ascii="Arial" w:hAnsi="Arial" w:cs="Arial"/>
                <w:sz w:val="18"/>
                <w:szCs w:val="18"/>
              </w:rPr>
              <w:t xml:space="preserve">The system displays the warning message: </w:t>
            </w:r>
            <w:r w:rsidRPr="00836EE2">
              <w:rPr>
                <w:rFonts w:ascii="Arial" w:hAnsi="Arial" w:cs="Arial"/>
                <w:i/>
                <w:sz w:val="18"/>
                <w:szCs w:val="18"/>
              </w:rPr>
              <w:t>Patient’</w:t>
            </w:r>
            <w:r w:rsidRPr="0033381C">
              <w:rPr>
                <w:rFonts w:ascii="Arial" w:hAnsi="Arial" w:cs="Arial"/>
                <w:i/>
                <w:sz w:val="18"/>
                <w:szCs w:val="18"/>
              </w:rPr>
              <w:t xml:space="preserve">s </w:t>
            </w:r>
            <w:r w:rsidRPr="0033381C">
              <w:rPr>
                <w:rFonts w:ascii="Arial" w:hAnsi="Arial" w:cs="Arial"/>
                <w:sz w:val="18"/>
                <w:szCs w:val="18"/>
              </w:rPr>
              <w:t>CMV Negative Cellular Products</w:t>
            </w:r>
            <w:r w:rsidRPr="0033381C">
              <w:rPr>
                <w:rFonts w:ascii="Arial" w:hAnsi="Arial" w:cs="Arial"/>
                <w:i/>
                <w:sz w:val="18"/>
                <w:szCs w:val="18"/>
              </w:rPr>
              <w:t xml:space="preserve"> Transfusion </w:t>
            </w:r>
            <w:r w:rsidRPr="00836EE2">
              <w:rPr>
                <w:rFonts w:ascii="Arial" w:hAnsi="Arial" w:cs="Arial"/>
                <w:i/>
                <w:sz w:val="18"/>
                <w:szCs w:val="18"/>
              </w:rPr>
              <w:t>Requirement is not satisfied</w:t>
            </w:r>
            <w:r w:rsidRPr="005C5D59">
              <w:rPr>
                <w:rFonts w:ascii="Arial" w:hAnsi="Arial" w:cs="Arial"/>
                <w:sz w:val="18"/>
                <w:szCs w:val="18"/>
              </w:rPr>
              <w:t xml:space="preserve"> and prompts the user whether to proceed. </w:t>
            </w:r>
          </w:p>
          <w:p w14:paraId="2D12AB78" w14:textId="77777777" w:rsidR="009125FD" w:rsidRPr="005C5D59" w:rsidRDefault="009125FD" w:rsidP="009125FD">
            <w:pPr>
              <w:rPr>
                <w:rFonts w:ascii="Arial" w:hAnsi="Arial" w:cs="Arial"/>
                <w:sz w:val="18"/>
                <w:szCs w:val="18"/>
              </w:rPr>
            </w:pPr>
            <w:r w:rsidRPr="005C5D59">
              <w:rPr>
                <w:rFonts w:ascii="Arial" w:hAnsi="Arial" w:cs="Arial"/>
                <w:sz w:val="18"/>
                <w:szCs w:val="18"/>
              </w:rPr>
              <w:t>If the user responds “No”</w:t>
            </w:r>
            <w:r>
              <w:rPr>
                <w:rFonts w:ascii="Arial" w:hAnsi="Arial" w:cs="Arial"/>
                <w:sz w:val="18"/>
                <w:szCs w:val="18"/>
              </w:rPr>
              <w:t>,</w:t>
            </w:r>
            <w:r w:rsidRPr="005C5D59">
              <w:rPr>
                <w:rFonts w:ascii="Arial" w:hAnsi="Arial" w:cs="Arial"/>
                <w:sz w:val="18"/>
                <w:szCs w:val="18"/>
              </w:rPr>
              <w:t xml:space="preserve"> the system wi</w:t>
            </w:r>
            <w:r>
              <w:rPr>
                <w:rFonts w:ascii="Arial" w:hAnsi="Arial" w:cs="Arial"/>
                <w:sz w:val="18"/>
                <w:szCs w:val="18"/>
              </w:rPr>
              <w:t>ll clear the selected unit.</w:t>
            </w:r>
          </w:p>
          <w:p w14:paraId="4048E213" w14:textId="1385DD22" w:rsidR="009125FD" w:rsidRPr="005C5D59" w:rsidRDefault="009125FD" w:rsidP="009125FD">
            <w:pPr>
              <w:rPr>
                <w:rFonts w:ascii="Arial" w:hAnsi="Arial" w:cs="Arial"/>
                <w:sz w:val="18"/>
                <w:szCs w:val="18"/>
              </w:rPr>
            </w:pPr>
            <w:r w:rsidRPr="005C5D59">
              <w:rPr>
                <w:rFonts w:ascii="Arial" w:hAnsi="Arial" w:cs="Arial"/>
                <w:sz w:val="18"/>
                <w:szCs w:val="18"/>
              </w:rPr>
              <w:t>If the user responds “Yes”</w:t>
            </w:r>
            <w:r>
              <w:rPr>
                <w:rFonts w:ascii="Arial" w:hAnsi="Arial" w:cs="Arial"/>
                <w:sz w:val="18"/>
                <w:szCs w:val="18"/>
              </w:rPr>
              <w:t>,</w:t>
            </w:r>
            <w:r w:rsidRPr="005C5D59">
              <w:rPr>
                <w:rFonts w:ascii="Arial" w:hAnsi="Arial" w:cs="Arial"/>
                <w:sz w:val="18"/>
                <w:szCs w:val="18"/>
              </w:rPr>
              <w:t xml:space="preserve"> the system will require a comment (free text or canned, “unit issue” context) and capture the transacti</w:t>
            </w:r>
            <w:r>
              <w:rPr>
                <w:rFonts w:ascii="Arial" w:hAnsi="Arial" w:cs="Arial"/>
                <w:sz w:val="18"/>
                <w:szCs w:val="18"/>
              </w:rPr>
              <w:t>on details for inclusion in an Exception R</w:t>
            </w:r>
            <w:r w:rsidRPr="005C5D59">
              <w:rPr>
                <w:rFonts w:ascii="Arial" w:hAnsi="Arial" w:cs="Arial"/>
                <w:sz w:val="18"/>
                <w:szCs w:val="18"/>
              </w:rPr>
              <w:t>eport</w:t>
            </w:r>
            <w:r>
              <w:rPr>
                <w:rFonts w:ascii="Arial" w:hAnsi="Arial" w:cs="Arial"/>
                <w:sz w:val="18"/>
                <w:szCs w:val="18"/>
              </w:rPr>
              <w:t xml:space="preserve"> entry</w:t>
            </w:r>
            <w:r w:rsidRPr="005C5D59">
              <w:rPr>
                <w:rFonts w:ascii="Arial" w:hAnsi="Arial" w:cs="Arial"/>
                <w:sz w:val="18"/>
                <w:szCs w:val="18"/>
              </w:rPr>
              <w:t xml:space="preserve">: </w:t>
            </w:r>
            <w:r w:rsidRPr="005C5D59">
              <w:rPr>
                <w:rFonts w:ascii="Arial" w:hAnsi="Arial" w:cs="Arial"/>
                <w:i/>
                <w:sz w:val="18"/>
                <w:szCs w:val="18"/>
              </w:rPr>
              <w:t xml:space="preserve">Unit issued with unsatisfied Transfusion </w:t>
            </w:r>
            <w:r w:rsidR="00AE3B37" w:rsidRPr="005C5D59">
              <w:rPr>
                <w:rFonts w:ascii="Arial" w:hAnsi="Arial" w:cs="Arial"/>
                <w:i/>
                <w:sz w:val="18"/>
                <w:szCs w:val="18"/>
              </w:rPr>
              <w:t>Requirement</w:t>
            </w:r>
            <w:r w:rsidR="00AE3B37" w:rsidRPr="005C5D59">
              <w:rPr>
                <w:rFonts w:ascii="Arial" w:hAnsi="Arial" w:cs="Arial"/>
                <w:sz w:val="18"/>
                <w:szCs w:val="18"/>
              </w:rPr>
              <w:t>.</w:t>
            </w:r>
          </w:p>
        </w:tc>
      </w:tr>
    </w:tbl>
    <w:p w14:paraId="2C0013D1" w14:textId="77777777" w:rsidR="009125FD" w:rsidRPr="005C48D9" w:rsidRDefault="009125FD" w:rsidP="009125FD">
      <w:pPr>
        <w:ind w:left="36"/>
        <w:rPr>
          <w:sz w:val="22"/>
          <w:szCs w:val="22"/>
        </w:rPr>
      </w:pPr>
      <w:r w:rsidRPr="005C48D9">
        <w:rPr>
          <w:sz w:val="22"/>
          <w:szCs w:val="22"/>
        </w:rPr>
        <w:t>*VistA test results are not evaluated by VBECS.</w:t>
      </w:r>
      <w:r w:rsidRPr="005C48D9">
        <w:rPr>
          <w:color w:val="000000"/>
          <w:sz w:val="22"/>
          <w:szCs w:val="22"/>
        </w:rPr>
        <w:t xml:space="preserve"> CMV Negative status is recorded during receipt at Incoming Shipment or added to the unit record in Edit Unit Information.</w:t>
      </w:r>
      <w:r w:rsidRPr="005C48D9">
        <w:rPr>
          <w:sz w:val="22"/>
          <w:szCs w:val="22"/>
        </w:rPr>
        <w:t xml:space="preserve"> All product types in OTHER are evaluated for the requirement including those that are non-cellular.</w:t>
      </w:r>
    </w:p>
    <w:p w14:paraId="4BAE68EA" w14:textId="77777777" w:rsidR="00D32A05" w:rsidRPr="001C29FC" w:rsidRDefault="00D32A05" w:rsidP="00D32A05">
      <w:pPr>
        <w:pStyle w:val="Heading2"/>
      </w:pPr>
      <w:r>
        <w:br w:type="page"/>
      </w:r>
      <w:bookmarkStart w:id="809" w:name="_Ref139877903"/>
      <w:bookmarkStart w:id="810" w:name="_Toc355768163"/>
      <w:bookmarkStart w:id="811" w:name="_Toc358977308"/>
      <w:bookmarkStart w:id="812" w:name="_Toc149064261"/>
      <w:bookmarkStart w:id="813" w:name="_Toc54684874"/>
      <w:bookmarkStart w:id="814" w:name="_Toc137529672"/>
      <w:r w:rsidRPr="001C29FC">
        <w:t xml:space="preserve">Appendix </w:t>
      </w:r>
      <w:r w:rsidR="000A1A0F">
        <w:t>M</w:t>
      </w:r>
      <w:r w:rsidRPr="001C29FC">
        <w:t>: Workload Process Mapping to Application Option Table</w:t>
      </w:r>
      <w:bookmarkEnd w:id="809"/>
      <w:bookmarkEnd w:id="810"/>
      <w:bookmarkEnd w:id="811"/>
      <w:bookmarkEnd w:id="812"/>
      <w:r w:rsidR="00601D23">
        <w:t xml:space="preserve"> </w:t>
      </w:r>
      <w:r w:rsidR="00601D23" w:rsidRPr="00601D23">
        <w:rPr>
          <w:rFonts w:ascii="Arial Bold" w:hAnsi="Arial Bold"/>
          <w:vanish/>
        </w:rPr>
        <w:t>DR 4679</w:t>
      </w:r>
      <w:r w:rsidRPr="001C29FC">
        <w:fldChar w:fldCharType="begin"/>
      </w:r>
      <w:r w:rsidRPr="001C29FC">
        <w:instrText xml:space="preserve"> XE "Workload Process Mapping to Application Option Table" </w:instrText>
      </w:r>
      <w:r w:rsidRPr="001C29FC">
        <w:fldChar w:fldCharType="end"/>
      </w:r>
    </w:p>
    <w:bookmarkEnd w:id="813"/>
    <w:bookmarkEnd w:id="814"/>
    <w:p w14:paraId="7CFBBBAF" w14:textId="59DDFF06" w:rsidR="00D32A05" w:rsidRPr="001C29FC" w:rsidRDefault="00EE455E" w:rsidP="00D32A05">
      <w:pPr>
        <w:pStyle w:val="BodyText"/>
      </w:pPr>
      <w:r w:rsidRPr="001C29FC">
        <w:t xml:space="preserve">Table </w:t>
      </w:r>
      <w:r>
        <w:rPr>
          <w:noProof/>
        </w:rPr>
        <w:t>37</w:t>
      </w:r>
      <w:r w:rsidR="00D544AC">
        <w:t xml:space="preserve"> </w:t>
      </w:r>
      <w:r w:rsidR="00D32A05" w:rsidRPr="001C29FC">
        <w:t>associates record saves with workload processes. The data fields identified for transmission at the completion of a Workload Event are based on current VistA workload-related files and fields. VBECS will transmit information to a new flat file. There are no donor workload types in VBECS.</w:t>
      </w:r>
    </w:p>
    <w:p w14:paraId="605C313E" w14:textId="0951B5C8" w:rsidR="00D32A05" w:rsidRPr="001C29FC" w:rsidRDefault="00D32A05" w:rsidP="00D32A05">
      <w:pPr>
        <w:pStyle w:val="Caption"/>
      </w:pPr>
      <w:bookmarkStart w:id="815" w:name="_Ref257016527"/>
      <w:bookmarkStart w:id="816" w:name="_Ref256080480"/>
      <w:r w:rsidRPr="001C29FC">
        <w:t xml:space="preserve">Table </w:t>
      </w:r>
      <w:r w:rsidR="004E20BD">
        <w:rPr>
          <w:noProof/>
        </w:rPr>
        <w:fldChar w:fldCharType="begin"/>
      </w:r>
      <w:r w:rsidR="004E20BD">
        <w:rPr>
          <w:noProof/>
        </w:rPr>
        <w:instrText xml:space="preserve"> SEQ Table \* ARABIC </w:instrText>
      </w:r>
      <w:r w:rsidR="004E20BD">
        <w:rPr>
          <w:noProof/>
        </w:rPr>
        <w:fldChar w:fldCharType="separate"/>
      </w:r>
      <w:r w:rsidR="00ED2D38">
        <w:rPr>
          <w:noProof/>
        </w:rPr>
        <w:t>37</w:t>
      </w:r>
      <w:r w:rsidR="004E20BD">
        <w:rPr>
          <w:noProof/>
        </w:rPr>
        <w:fldChar w:fldCharType="end"/>
      </w:r>
      <w:bookmarkEnd w:id="815"/>
      <w:r w:rsidRPr="001C29FC">
        <w:t>: Workload Process Mapping to Application Option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1442"/>
        <w:gridCol w:w="1633"/>
        <w:gridCol w:w="4482"/>
      </w:tblGrid>
      <w:tr w:rsidR="00D32A05" w:rsidRPr="001C29FC" w14:paraId="740561A9" w14:textId="77777777" w:rsidTr="000A750D">
        <w:trPr>
          <w:cantSplit/>
          <w:tblHeader/>
        </w:trPr>
        <w:tc>
          <w:tcPr>
            <w:tcW w:w="1803" w:type="dxa"/>
            <w:tcBorders>
              <w:bottom w:val="single" w:sz="4" w:space="0" w:color="auto"/>
            </w:tcBorders>
            <w:shd w:val="clear" w:color="auto" w:fill="C0C0C0"/>
            <w:vAlign w:val="bottom"/>
          </w:tcPr>
          <w:bookmarkEnd w:id="816"/>
          <w:p w14:paraId="4BD9FD5A" w14:textId="77777777" w:rsidR="00D32A05" w:rsidRPr="001C29FC" w:rsidRDefault="00D32A05" w:rsidP="00D32A05">
            <w:pPr>
              <w:pStyle w:val="TableText"/>
              <w:rPr>
                <w:b/>
              </w:rPr>
            </w:pPr>
            <w:r w:rsidRPr="001C29FC">
              <w:rPr>
                <w:b/>
              </w:rPr>
              <w:t>Record Save Option</w:t>
            </w:r>
          </w:p>
        </w:tc>
        <w:tc>
          <w:tcPr>
            <w:tcW w:w="1442" w:type="dxa"/>
            <w:tcBorders>
              <w:bottom w:val="single" w:sz="4" w:space="0" w:color="auto"/>
            </w:tcBorders>
            <w:shd w:val="clear" w:color="auto" w:fill="C0C0C0"/>
            <w:vAlign w:val="bottom"/>
          </w:tcPr>
          <w:p w14:paraId="04D939C5" w14:textId="77777777" w:rsidR="00D32A05" w:rsidRPr="001C29FC" w:rsidRDefault="00D32A05" w:rsidP="00D32A05">
            <w:pPr>
              <w:pStyle w:val="TableText"/>
              <w:rPr>
                <w:b/>
              </w:rPr>
            </w:pPr>
            <w:r w:rsidRPr="001C29FC">
              <w:rPr>
                <w:b/>
              </w:rPr>
              <w:t>VBECS Process</w:t>
            </w:r>
          </w:p>
        </w:tc>
        <w:tc>
          <w:tcPr>
            <w:tcW w:w="1633" w:type="dxa"/>
            <w:tcBorders>
              <w:bottom w:val="single" w:sz="4" w:space="0" w:color="auto"/>
            </w:tcBorders>
            <w:shd w:val="clear" w:color="auto" w:fill="C0C0C0"/>
            <w:vAlign w:val="bottom"/>
          </w:tcPr>
          <w:p w14:paraId="1C89E667" w14:textId="77777777" w:rsidR="00D32A05" w:rsidRPr="001C29FC" w:rsidRDefault="00D32A05" w:rsidP="00D32A05">
            <w:pPr>
              <w:pStyle w:val="TableText"/>
              <w:rPr>
                <w:b/>
              </w:rPr>
            </w:pPr>
            <w:r w:rsidRPr="001C29FC">
              <w:rPr>
                <w:b/>
              </w:rPr>
              <w:t>Transaction Type [P (Patient), U (Unit), M (Miscellaneous)]</w:t>
            </w:r>
          </w:p>
        </w:tc>
        <w:tc>
          <w:tcPr>
            <w:tcW w:w="4482" w:type="dxa"/>
            <w:tcBorders>
              <w:bottom w:val="single" w:sz="4" w:space="0" w:color="auto"/>
            </w:tcBorders>
            <w:shd w:val="clear" w:color="auto" w:fill="C0C0C0"/>
            <w:vAlign w:val="bottom"/>
          </w:tcPr>
          <w:p w14:paraId="7158BADB" w14:textId="77777777" w:rsidR="00D32A05" w:rsidRPr="001C29FC" w:rsidRDefault="00D32A05" w:rsidP="00D32A05">
            <w:pPr>
              <w:pStyle w:val="TableText"/>
              <w:rPr>
                <w:b/>
              </w:rPr>
            </w:pPr>
            <w:r w:rsidRPr="001C29FC">
              <w:rPr>
                <w:b/>
              </w:rPr>
              <w:t xml:space="preserve">Explanation </w:t>
            </w:r>
          </w:p>
        </w:tc>
      </w:tr>
      <w:tr w:rsidR="00D32A05" w:rsidRPr="001C29FC" w14:paraId="2BE45ABA" w14:textId="77777777" w:rsidTr="00D32A05">
        <w:trPr>
          <w:cantSplit/>
        </w:trPr>
        <w:tc>
          <w:tcPr>
            <w:tcW w:w="1803" w:type="dxa"/>
            <w:shd w:val="clear" w:color="auto" w:fill="auto"/>
            <w:vAlign w:val="bottom"/>
          </w:tcPr>
          <w:p w14:paraId="0D808536"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168322FD" w14:textId="77777777" w:rsidR="00D32A05" w:rsidRPr="001C29FC" w:rsidRDefault="00D32A05" w:rsidP="00D32A05">
            <w:pPr>
              <w:pStyle w:val="TableText"/>
              <w:rPr>
                <w:color w:val="000000"/>
                <w:szCs w:val="18"/>
              </w:rPr>
            </w:pPr>
            <w:r w:rsidRPr="001C29FC">
              <w:rPr>
                <w:color w:val="000000"/>
                <w:szCs w:val="18"/>
              </w:rPr>
              <w:t>ABO Forward and reverse typing (patient)</w:t>
            </w:r>
          </w:p>
        </w:tc>
        <w:tc>
          <w:tcPr>
            <w:tcW w:w="1633" w:type="dxa"/>
            <w:shd w:val="clear" w:color="auto" w:fill="auto"/>
          </w:tcPr>
          <w:p w14:paraId="3FE20A7E"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5DB961A8" w14:textId="77777777" w:rsidR="00D32A05" w:rsidRPr="001C29FC" w:rsidRDefault="00D32A05" w:rsidP="00D32A05">
            <w:pPr>
              <w:pStyle w:val="TableText"/>
              <w:rPr>
                <w:color w:val="000000"/>
                <w:szCs w:val="18"/>
              </w:rPr>
            </w:pPr>
            <w:r w:rsidRPr="001C29FC">
              <w:rPr>
                <w:color w:val="000000"/>
                <w:szCs w:val="18"/>
              </w:rPr>
              <w:t>An ABO/Rh test for “pre” or “post” is enabled and a valid interpretation other than Not Tested is selected. A workload event is accrued separately for “Pre” and “Post” entries.</w:t>
            </w:r>
          </w:p>
        </w:tc>
      </w:tr>
      <w:tr w:rsidR="00D32A05" w:rsidRPr="001C29FC" w14:paraId="007B18B4" w14:textId="77777777" w:rsidTr="00D32A05">
        <w:trPr>
          <w:cantSplit/>
        </w:trPr>
        <w:tc>
          <w:tcPr>
            <w:tcW w:w="1803" w:type="dxa"/>
            <w:shd w:val="clear" w:color="auto" w:fill="auto"/>
            <w:vAlign w:val="bottom"/>
          </w:tcPr>
          <w:p w14:paraId="72794C3D" w14:textId="77777777" w:rsidR="00D32A05" w:rsidRPr="001C29FC" w:rsidRDefault="00D32A05" w:rsidP="00D32A05">
            <w:pPr>
              <w:pStyle w:val="TableText"/>
            </w:pPr>
            <w:r w:rsidRPr="001C29FC">
              <w:t>Record Patient ABO/Rh</w:t>
            </w:r>
          </w:p>
        </w:tc>
        <w:tc>
          <w:tcPr>
            <w:tcW w:w="1442" w:type="dxa"/>
            <w:vMerge/>
            <w:shd w:val="clear" w:color="auto" w:fill="auto"/>
          </w:tcPr>
          <w:p w14:paraId="326EA29E" w14:textId="77777777" w:rsidR="00D32A05" w:rsidRPr="001C29FC" w:rsidRDefault="00D32A05" w:rsidP="00D32A05">
            <w:pPr>
              <w:pStyle w:val="TableText"/>
              <w:rPr>
                <w:color w:val="000000"/>
                <w:szCs w:val="18"/>
              </w:rPr>
            </w:pPr>
          </w:p>
        </w:tc>
        <w:tc>
          <w:tcPr>
            <w:tcW w:w="1633" w:type="dxa"/>
            <w:shd w:val="clear" w:color="auto" w:fill="auto"/>
          </w:tcPr>
          <w:p w14:paraId="596154F3"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0604C80C"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CPRS-ordered ABO/Rh test is performed.</w:t>
            </w:r>
          </w:p>
        </w:tc>
      </w:tr>
      <w:tr w:rsidR="00D32A05" w:rsidRPr="001C29FC" w14:paraId="289CB147" w14:textId="77777777" w:rsidTr="00D32A05">
        <w:trPr>
          <w:cantSplit/>
        </w:trPr>
        <w:tc>
          <w:tcPr>
            <w:tcW w:w="1803" w:type="dxa"/>
            <w:shd w:val="clear" w:color="auto" w:fill="auto"/>
            <w:vAlign w:val="bottom"/>
          </w:tcPr>
          <w:p w14:paraId="0D6F688B" w14:textId="77777777" w:rsidR="00D32A05" w:rsidRPr="001C29FC" w:rsidRDefault="00D32A05" w:rsidP="00D32A05">
            <w:pPr>
              <w:pStyle w:val="TableText"/>
            </w:pPr>
            <w:r w:rsidRPr="001C29FC">
              <w:t>Invalidate Patient Test Results*</w:t>
            </w:r>
          </w:p>
        </w:tc>
        <w:tc>
          <w:tcPr>
            <w:tcW w:w="1442" w:type="dxa"/>
            <w:vMerge/>
            <w:shd w:val="clear" w:color="auto" w:fill="auto"/>
          </w:tcPr>
          <w:p w14:paraId="060A43FD" w14:textId="77777777" w:rsidR="00D32A05" w:rsidRPr="001C29FC" w:rsidRDefault="00D32A05" w:rsidP="00D32A05">
            <w:pPr>
              <w:pStyle w:val="TableText"/>
              <w:rPr>
                <w:color w:val="000000"/>
                <w:szCs w:val="18"/>
              </w:rPr>
            </w:pPr>
          </w:p>
        </w:tc>
        <w:tc>
          <w:tcPr>
            <w:tcW w:w="1633" w:type="dxa"/>
            <w:shd w:val="clear" w:color="auto" w:fill="auto"/>
          </w:tcPr>
          <w:p w14:paraId="52DEF552"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E763A05" w14:textId="77777777" w:rsidR="00D32A05" w:rsidRPr="001C29FC" w:rsidRDefault="00D32A05" w:rsidP="00D32A05">
            <w:pPr>
              <w:pStyle w:val="TableText"/>
              <w:rPr>
                <w:szCs w:val="18"/>
              </w:rPr>
            </w:pPr>
            <w:r w:rsidRPr="001C29FC">
              <w:rPr>
                <w:szCs w:val="18"/>
              </w:rPr>
              <w:t>Accrue workload when a completed ABO/Rh test is invalidated.</w:t>
            </w:r>
          </w:p>
        </w:tc>
      </w:tr>
      <w:tr w:rsidR="00D32A05" w:rsidRPr="001C29FC" w14:paraId="0E9BD986" w14:textId="77777777" w:rsidTr="00D32A05">
        <w:trPr>
          <w:cantSplit/>
          <w:tblHeader/>
        </w:trPr>
        <w:tc>
          <w:tcPr>
            <w:tcW w:w="1803" w:type="dxa"/>
            <w:shd w:val="clear" w:color="auto" w:fill="auto"/>
            <w:vAlign w:val="bottom"/>
          </w:tcPr>
          <w:p w14:paraId="1E49B402" w14:textId="77777777" w:rsidR="00D32A05" w:rsidRPr="001C29FC" w:rsidRDefault="00D32A05" w:rsidP="00D32A05">
            <w:pPr>
              <w:pStyle w:val="TableText"/>
            </w:pPr>
            <w:r w:rsidRPr="001C29FC">
              <w:t>Record Patient ABO/Rh</w:t>
            </w:r>
          </w:p>
        </w:tc>
        <w:tc>
          <w:tcPr>
            <w:tcW w:w="1442" w:type="dxa"/>
            <w:vMerge w:val="restart"/>
            <w:shd w:val="clear" w:color="auto" w:fill="auto"/>
          </w:tcPr>
          <w:p w14:paraId="0C8B6195" w14:textId="77777777" w:rsidR="00D32A05" w:rsidRPr="001C29FC" w:rsidRDefault="00D32A05" w:rsidP="00D32A05">
            <w:pPr>
              <w:pStyle w:val="TableText"/>
              <w:rPr>
                <w:color w:val="000000"/>
                <w:szCs w:val="18"/>
              </w:rPr>
            </w:pPr>
            <w:r w:rsidRPr="001C29FC">
              <w:rPr>
                <w:color w:val="000000"/>
                <w:szCs w:val="18"/>
              </w:rPr>
              <w:t>ABO Forward and reverse typing (patient) Repeat Test</w:t>
            </w:r>
          </w:p>
        </w:tc>
        <w:tc>
          <w:tcPr>
            <w:tcW w:w="1633" w:type="dxa"/>
            <w:shd w:val="clear" w:color="auto" w:fill="auto"/>
          </w:tcPr>
          <w:p w14:paraId="5A2B5516"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B6C2387"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ABO/Rh test is performed, completed, and saved.</w:t>
            </w:r>
          </w:p>
        </w:tc>
      </w:tr>
      <w:tr w:rsidR="00D32A05" w:rsidRPr="001C29FC" w14:paraId="3BA13E34" w14:textId="77777777" w:rsidTr="00D32A05">
        <w:trPr>
          <w:cantSplit/>
          <w:tblHeader/>
        </w:trPr>
        <w:tc>
          <w:tcPr>
            <w:tcW w:w="1803" w:type="dxa"/>
            <w:shd w:val="clear" w:color="auto" w:fill="auto"/>
            <w:vAlign w:val="bottom"/>
          </w:tcPr>
          <w:p w14:paraId="0BF4973D" w14:textId="77777777" w:rsidR="00D32A05" w:rsidRPr="001C29FC" w:rsidRDefault="00D32A05" w:rsidP="00D32A05">
            <w:pPr>
              <w:pStyle w:val="TableText"/>
            </w:pPr>
            <w:r w:rsidRPr="001C29FC">
              <w:t>Invalidate Patient Test Results*</w:t>
            </w:r>
          </w:p>
        </w:tc>
        <w:tc>
          <w:tcPr>
            <w:tcW w:w="1442" w:type="dxa"/>
            <w:vMerge/>
            <w:shd w:val="clear" w:color="auto" w:fill="auto"/>
          </w:tcPr>
          <w:p w14:paraId="415AC36C" w14:textId="77777777" w:rsidR="00D32A05" w:rsidRPr="001C29FC" w:rsidRDefault="00D32A05" w:rsidP="00D32A05">
            <w:pPr>
              <w:pStyle w:val="TableText"/>
              <w:rPr>
                <w:color w:val="000000"/>
                <w:szCs w:val="18"/>
              </w:rPr>
            </w:pPr>
          </w:p>
        </w:tc>
        <w:tc>
          <w:tcPr>
            <w:tcW w:w="1633" w:type="dxa"/>
            <w:shd w:val="clear" w:color="auto" w:fill="auto"/>
          </w:tcPr>
          <w:p w14:paraId="5207CBEB"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1026CD5E" w14:textId="77777777" w:rsidR="00D32A05" w:rsidRPr="001C29FC" w:rsidRDefault="00D32A05" w:rsidP="00D32A05">
            <w:pPr>
              <w:pStyle w:val="TableText"/>
              <w:rPr>
                <w:szCs w:val="18"/>
              </w:rPr>
            </w:pPr>
            <w:r w:rsidRPr="001C29FC">
              <w:rPr>
                <w:szCs w:val="18"/>
              </w:rPr>
              <w:t>Accrue workload when a reflex or repeat ABO/Rh test is invalidated.</w:t>
            </w:r>
          </w:p>
        </w:tc>
      </w:tr>
      <w:tr w:rsidR="00D32A05" w:rsidRPr="001C29FC" w14:paraId="37C2B7A7" w14:textId="77777777" w:rsidTr="00D32A05">
        <w:trPr>
          <w:cantSplit/>
          <w:tblHeader/>
        </w:trPr>
        <w:tc>
          <w:tcPr>
            <w:tcW w:w="1803" w:type="dxa"/>
            <w:shd w:val="clear" w:color="auto" w:fill="auto"/>
            <w:vAlign w:val="bottom"/>
          </w:tcPr>
          <w:p w14:paraId="33DC2D6E" w14:textId="77777777" w:rsidR="00D32A05" w:rsidRPr="001C29FC" w:rsidRDefault="00D32A05" w:rsidP="00D32A05">
            <w:pPr>
              <w:pStyle w:val="TableText"/>
            </w:pPr>
            <w:r w:rsidRPr="001C29FC">
              <w:t>ABO/Rh Confirmation</w:t>
            </w:r>
          </w:p>
        </w:tc>
        <w:tc>
          <w:tcPr>
            <w:tcW w:w="1442" w:type="dxa"/>
            <w:vMerge w:val="restart"/>
            <w:shd w:val="clear" w:color="auto" w:fill="auto"/>
          </w:tcPr>
          <w:p w14:paraId="20C794F4" w14:textId="77777777" w:rsidR="00D32A05" w:rsidRPr="001C29FC" w:rsidRDefault="00D32A05" w:rsidP="00D32A05">
            <w:pPr>
              <w:pStyle w:val="TableText"/>
              <w:rPr>
                <w:color w:val="000000"/>
                <w:szCs w:val="18"/>
              </w:rPr>
            </w:pPr>
            <w:r w:rsidRPr="001C29FC">
              <w:rPr>
                <w:color w:val="000000"/>
                <w:szCs w:val="18"/>
              </w:rPr>
              <w:t>ABO forward typing (unit)</w:t>
            </w:r>
          </w:p>
        </w:tc>
        <w:tc>
          <w:tcPr>
            <w:tcW w:w="1633" w:type="dxa"/>
            <w:shd w:val="clear" w:color="auto" w:fill="auto"/>
          </w:tcPr>
          <w:p w14:paraId="23AA0CC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DB8708D" w14:textId="77777777" w:rsidR="00D32A05" w:rsidRPr="001C29FC" w:rsidRDefault="00D32A05" w:rsidP="00D32A05">
            <w:pPr>
              <w:pStyle w:val="TableText"/>
              <w:rPr>
                <w:color w:val="000000"/>
                <w:szCs w:val="18"/>
              </w:rPr>
            </w:pPr>
            <w:r w:rsidRPr="001C29FC">
              <w:rPr>
                <w:color w:val="000000"/>
                <w:szCs w:val="18"/>
              </w:rPr>
              <w:t>An ABO confirmation test is performed. When multiple units are selected in a batch, each unit in the batch accrues a workload event. Note: Workload generated during Anti-D testing is not included in the unit’s confirmation test. Workload is not accrued when an ABO or Rh discrepancy override is processed and VBECS releases all patient assignments. Workload is not accrued when VBECS quarantines the unit due to a discrepancy. There is no special handling for workload collection for additional confirmation tests on a unit.</w:t>
            </w:r>
          </w:p>
        </w:tc>
      </w:tr>
      <w:tr w:rsidR="00D32A05" w:rsidRPr="001C29FC" w14:paraId="4A2FFB2C" w14:textId="77777777" w:rsidTr="00D32A05">
        <w:trPr>
          <w:cantSplit/>
          <w:tblHeader/>
        </w:trPr>
        <w:tc>
          <w:tcPr>
            <w:tcW w:w="1803" w:type="dxa"/>
            <w:shd w:val="clear" w:color="auto" w:fill="auto"/>
            <w:vAlign w:val="bottom"/>
          </w:tcPr>
          <w:p w14:paraId="440C40C2" w14:textId="77777777" w:rsidR="00D32A05" w:rsidRPr="001C29FC" w:rsidRDefault="00D32A05" w:rsidP="00D32A05">
            <w:pPr>
              <w:pStyle w:val="TableText"/>
            </w:pPr>
            <w:r w:rsidRPr="001C29FC">
              <w:t>Edit Unit Information*</w:t>
            </w:r>
          </w:p>
        </w:tc>
        <w:tc>
          <w:tcPr>
            <w:tcW w:w="1442" w:type="dxa"/>
            <w:vMerge/>
            <w:shd w:val="clear" w:color="auto" w:fill="auto"/>
          </w:tcPr>
          <w:p w14:paraId="251D2A12" w14:textId="77777777" w:rsidR="00D32A05" w:rsidRPr="001C29FC" w:rsidRDefault="00D32A05" w:rsidP="00D32A05">
            <w:pPr>
              <w:pStyle w:val="TableText"/>
              <w:rPr>
                <w:color w:val="000000"/>
                <w:szCs w:val="18"/>
              </w:rPr>
            </w:pPr>
          </w:p>
        </w:tc>
        <w:tc>
          <w:tcPr>
            <w:tcW w:w="1633" w:type="dxa"/>
            <w:shd w:val="clear" w:color="auto" w:fill="auto"/>
          </w:tcPr>
          <w:p w14:paraId="6AE3B4FA"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CA2BCC1"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ABO confirmation test is invalidated.</w:t>
            </w:r>
          </w:p>
        </w:tc>
      </w:tr>
      <w:tr w:rsidR="00D32A05" w:rsidRPr="001C29FC" w14:paraId="07745057" w14:textId="77777777" w:rsidTr="00D32A05">
        <w:trPr>
          <w:cantSplit/>
          <w:tblHeader/>
        </w:trPr>
        <w:tc>
          <w:tcPr>
            <w:tcW w:w="1803" w:type="dxa"/>
            <w:shd w:val="clear" w:color="auto" w:fill="auto"/>
            <w:vAlign w:val="bottom"/>
          </w:tcPr>
          <w:p w14:paraId="2DC3B6A1" w14:textId="77777777" w:rsidR="00D32A05" w:rsidRPr="001C29FC" w:rsidRDefault="00D32A05" w:rsidP="00D32A05">
            <w:pPr>
              <w:pStyle w:val="TableText"/>
            </w:pPr>
            <w:r w:rsidRPr="001C29FC">
              <w:t>ABO/Rh Confirmation</w:t>
            </w:r>
          </w:p>
        </w:tc>
        <w:tc>
          <w:tcPr>
            <w:tcW w:w="1442" w:type="dxa"/>
            <w:vMerge w:val="restart"/>
            <w:shd w:val="clear" w:color="auto" w:fill="auto"/>
          </w:tcPr>
          <w:p w14:paraId="48420AB1" w14:textId="77777777" w:rsidR="00D32A05" w:rsidRPr="001C29FC" w:rsidRDefault="00D32A05" w:rsidP="00D32A05">
            <w:pPr>
              <w:pStyle w:val="TableText"/>
              <w:rPr>
                <w:color w:val="000000"/>
                <w:szCs w:val="18"/>
              </w:rPr>
            </w:pPr>
            <w:r w:rsidRPr="001C29FC">
              <w:rPr>
                <w:color w:val="000000"/>
                <w:szCs w:val="18"/>
              </w:rPr>
              <w:t>ABO/Rh forward typing (unit)</w:t>
            </w:r>
          </w:p>
        </w:tc>
        <w:tc>
          <w:tcPr>
            <w:tcW w:w="1633" w:type="dxa"/>
            <w:shd w:val="clear" w:color="auto" w:fill="auto"/>
          </w:tcPr>
          <w:p w14:paraId="28A0F7BA"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24C62BA" w14:textId="77777777" w:rsidR="00D32A05" w:rsidRPr="001C29FC" w:rsidRDefault="00D32A05" w:rsidP="00D32A05">
            <w:pPr>
              <w:pStyle w:val="TableText"/>
              <w:rPr>
                <w:color w:val="000000"/>
                <w:szCs w:val="18"/>
              </w:rPr>
            </w:pPr>
            <w:r w:rsidRPr="001C29FC">
              <w:rPr>
                <w:color w:val="000000"/>
                <w:szCs w:val="18"/>
              </w:rPr>
              <w:t>An ABO/Rh confirmation test is performed. When multiple units are selected in a batch, each unit in the batch accrues a workload event. Note: Workload generated during Anti-D is part of the unit’s confirmation test. Workload is not accrued when an ABO or Rh discrepancy override is processed and VBECS releases all patient assignments. Workload is not accrued when VBECS quarantines the unit due to a discrepancy. Any unit successfully confirmed accrues workload. For split modifications: workload is not inherited by split units. A split unit that requires confirmation accrues confirmation workload at the time of testing. There is no special handling for workload collection for additional confirmation tests on a unit.</w:t>
            </w:r>
          </w:p>
        </w:tc>
      </w:tr>
      <w:tr w:rsidR="00D32A05" w:rsidRPr="001C29FC" w14:paraId="734B920C" w14:textId="77777777" w:rsidTr="00D32A05">
        <w:trPr>
          <w:cantSplit/>
          <w:tblHeader/>
        </w:trPr>
        <w:tc>
          <w:tcPr>
            <w:tcW w:w="1803" w:type="dxa"/>
            <w:shd w:val="clear" w:color="auto" w:fill="auto"/>
            <w:vAlign w:val="bottom"/>
          </w:tcPr>
          <w:p w14:paraId="143ADA1F" w14:textId="77777777" w:rsidR="00D32A05" w:rsidRPr="001C29FC" w:rsidRDefault="00D32A05" w:rsidP="00D32A05">
            <w:pPr>
              <w:pStyle w:val="TableText"/>
            </w:pPr>
            <w:r w:rsidRPr="001C29FC">
              <w:t>Edit Unit Information*</w:t>
            </w:r>
          </w:p>
        </w:tc>
        <w:tc>
          <w:tcPr>
            <w:tcW w:w="1442" w:type="dxa"/>
            <w:vMerge/>
            <w:shd w:val="clear" w:color="auto" w:fill="auto"/>
          </w:tcPr>
          <w:p w14:paraId="30CE99CD" w14:textId="77777777" w:rsidR="00D32A05" w:rsidRPr="001C29FC" w:rsidRDefault="00D32A05" w:rsidP="00D32A05">
            <w:pPr>
              <w:pStyle w:val="TableText"/>
              <w:rPr>
                <w:color w:val="000000"/>
                <w:szCs w:val="18"/>
              </w:rPr>
            </w:pPr>
          </w:p>
        </w:tc>
        <w:tc>
          <w:tcPr>
            <w:tcW w:w="1633" w:type="dxa"/>
            <w:shd w:val="clear" w:color="auto" w:fill="auto"/>
          </w:tcPr>
          <w:p w14:paraId="00EF0C5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DB9284A"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ABO/Rh confirmation test is invalidated.</w:t>
            </w:r>
          </w:p>
        </w:tc>
      </w:tr>
      <w:tr w:rsidR="00D32A05" w:rsidRPr="001C29FC" w14:paraId="2B53A10D" w14:textId="77777777" w:rsidTr="00D32A05">
        <w:trPr>
          <w:cantSplit/>
          <w:tblHeader/>
        </w:trPr>
        <w:tc>
          <w:tcPr>
            <w:tcW w:w="1803" w:type="dxa"/>
            <w:shd w:val="clear" w:color="auto" w:fill="auto"/>
          </w:tcPr>
          <w:p w14:paraId="352EC2C8" w14:textId="77777777" w:rsidR="00D32A05" w:rsidRPr="001C29FC" w:rsidRDefault="00D32A05" w:rsidP="00D32A05">
            <w:pPr>
              <w:pStyle w:val="TableText"/>
              <w:rPr>
                <w:szCs w:val="18"/>
              </w:rPr>
            </w:pPr>
            <w:r w:rsidRPr="001C29FC">
              <w:rPr>
                <w:szCs w:val="18"/>
              </w:rPr>
              <w:t>Accept Order</w:t>
            </w:r>
          </w:p>
        </w:tc>
        <w:tc>
          <w:tcPr>
            <w:tcW w:w="1442" w:type="dxa"/>
            <w:shd w:val="clear" w:color="auto" w:fill="auto"/>
          </w:tcPr>
          <w:p w14:paraId="5DF34633" w14:textId="77777777" w:rsidR="00D32A05" w:rsidRPr="001C29FC" w:rsidRDefault="00D32A05" w:rsidP="00D32A05">
            <w:pPr>
              <w:pStyle w:val="TableText"/>
              <w:rPr>
                <w:szCs w:val="18"/>
              </w:rPr>
            </w:pPr>
            <w:r w:rsidRPr="001C29FC">
              <w:rPr>
                <w:szCs w:val="18"/>
              </w:rPr>
              <w:t>Accept Order</w:t>
            </w:r>
          </w:p>
        </w:tc>
        <w:tc>
          <w:tcPr>
            <w:tcW w:w="1633" w:type="dxa"/>
            <w:shd w:val="clear" w:color="auto" w:fill="auto"/>
          </w:tcPr>
          <w:p w14:paraId="58D900AC"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17FBA0C7" w14:textId="4A5077DE" w:rsidR="00D32A05" w:rsidRPr="001C29FC" w:rsidRDefault="00D32A05" w:rsidP="00D32A05">
            <w:pPr>
              <w:pStyle w:val="TableText"/>
              <w:rPr>
                <w:szCs w:val="18"/>
              </w:rPr>
            </w:pPr>
            <w:r w:rsidRPr="001C29FC">
              <w:rPr>
                <w:szCs w:val="18"/>
              </w:rPr>
              <w:t xml:space="preserve">Accrue workload when an order is accepted. When </w:t>
            </w:r>
            <w:r w:rsidR="00AE3B37" w:rsidRPr="001C29FC">
              <w:rPr>
                <w:szCs w:val="18"/>
              </w:rPr>
              <w:t>multiple orders</w:t>
            </w:r>
            <w:r w:rsidRPr="001C29FC">
              <w:rPr>
                <w:szCs w:val="18"/>
              </w:rPr>
              <w:t xml:space="preserve"> are selected, each order accrues workload.</w:t>
            </w:r>
          </w:p>
        </w:tc>
      </w:tr>
      <w:tr w:rsidR="00D32A05" w:rsidRPr="001C29FC" w14:paraId="47478126" w14:textId="77777777" w:rsidTr="00D32A05">
        <w:trPr>
          <w:cantSplit/>
          <w:tblHeader/>
        </w:trPr>
        <w:tc>
          <w:tcPr>
            <w:tcW w:w="1803" w:type="dxa"/>
            <w:shd w:val="clear" w:color="auto" w:fill="auto"/>
            <w:vAlign w:val="bottom"/>
          </w:tcPr>
          <w:p w14:paraId="42563063" w14:textId="77777777" w:rsidR="00D32A05" w:rsidRPr="001C29FC" w:rsidRDefault="00D32A05" w:rsidP="00D32A05">
            <w:pPr>
              <w:pStyle w:val="TableText"/>
            </w:pPr>
            <w:r w:rsidRPr="001C29FC">
              <w:t>Enter Antibody Identification Results</w:t>
            </w:r>
          </w:p>
        </w:tc>
        <w:tc>
          <w:tcPr>
            <w:tcW w:w="1442" w:type="dxa"/>
            <w:vMerge w:val="restart"/>
            <w:shd w:val="clear" w:color="auto" w:fill="auto"/>
          </w:tcPr>
          <w:p w14:paraId="7F8B166F" w14:textId="77777777" w:rsidR="00D32A05" w:rsidRPr="001C29FC" w:rsidRDefault="00D32A05" w:rsidP="00D32A05">
            <w:pPr>
              <w:pStyle w:val="TableText"/>
              <w:rPr>
                <w:color w:val="000000"/>
                <w:szCs w:val="18"/>
              </w:rPr>
            </w:pPr>
            <w:r w:rsidRPr="001C29FC">
              <w:rPr>
                <w:color w:val="000000"/>
                <w:szCs w:val="18"/>
              </w:rPr>
              <w:t>Antibody identification Work-Up</w:t>
            </w:r>
          </w:p>
        </w:tc>
        <w:tc>
          <w:tcPr>
            <w:tcW w:w="1633" w:type="dxa"/>
            <w:shd w:val="clear" w:color="auto" w:fill="auto"/>
          </w:tcPr>
          <w:p w14:paraId="15E8A3A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18DBE75C" w14:textId="77777777" w:rsidR="00D32A05" w:rsidRPr="001C29FC" w:rsidRDefault="00D32A05" w:rsidP="00D32A05">
            <w:pPr>
              <w:pStyle w:val="TableText"/>
              <w:rPr>
                <w:color w:val="000000"/>
                <w:szCs w:val="18"/>
              </w:rPr>
            </w:pPr>
            <w:r w:rsidRPr="001C29FC">
              <w:rPr>
                <w:color w:val="000000"/>
                <w:szCs w:val="18"/>
              </w:rPr>
              <w:t xml:space="preserve">User enters additional workload associated with the individual </w:t>
            </w:r>
            <w:proofErr w:type="gramStart"/>
            <w:r w:rsidRPr="001C29FC">
              <w:rPr>
                <w:color w:val="000000"/>
                <w:szCs w:val="18"/>
              </w:rPr>
              <w:t>reflex-ordered</w:t>
            </w:r>
            <w:proofErr w:type="gramEnd"/>
            <w:r w:rsidRPr="001C29FC">
              <w:rPr>
                <w:color w:val="000000"/>
                <w:szCs w:val="18"/>
              </w:rPr>
              <w:t xml:space="preserve"> ABID. The selected VBECS multiplier will multiply against the VistA multiplier and display the (multiplication) product on the Division Workload Report.</w:t>
            </w:r>
          </w:p>
        </w:tc>
      </w:tr>
      <w:tr w:rsidR="00D32A05" w:rsidRPr="001C29FC" w14:paraId="1DB62068" w14:textId="77777777" w:rsidTr="00D32A05">
        <w:trPr>
          <w:cantSplit/>
          <w:tblHeader/>
        </w:trPr>
        <w:tc>
          <w:tcPr>
            <w:tcW w:w="1803" w:type="dxa"/>
            <w:shd w:val="clear" w:color="auto" w:fill="auto"/>
            <w:vAlign w:val="bottom"/>
          </w:tcPr>
          <w:p w14:paraId="1D3268A5"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1E5539D" w14:textId="77777777" w:rsidR="00D32A05" w:rsidRPr="001C29FC" w:rsidRDefault="00D32A05" w:rsidP="00D32A05">
            <w:pPr>
              <w:pStyle w:val="TableText"/>
              <w:rPr>
                <w:color w:val="000000"/>
                <w:szCs w:val="18"/>
              </w:rPr>
            </w:pPr>
          </w:p>
        </w:tc>
        <w:tc>
          <w:tcPr>
            <w:tcW w:w="1633" w:type="dxa"/>
            <w:shd w:val="clear" w:color="auto" w:fill="auto"/>
          </w:tcPr>
          <w:p w14:paraId="45C5876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5E92ED3" w14:textId="77777777" w:rsidR="00D32A05" w:rsidRPr="001C29FC" w:rsidRDefault="00D32A05" w:rsidP="00D32A05">
            <w:pPr>
              <w:pStyle w:val="TableText"/>
              <w:rPr>
                <w:color w:val="000000"/>
                <w:szCs w:val="18"/>
              </w:rPr>
            </w:pPr>
            <w:r w:rsidRPr="001C29FC">
              <w:rPr>
                <w:color w:val="000000"/>
                <w:szCs w:val="18"/>
              </w:rPr>
              <w:t xml:space="preserve">Accrue workload when the ABID is invalidated. </w:t>
            </w:r>
          </w:p>
        </w:tc>
      </w:tr>
      <w:tr w:rsidR="00D32A05" w:rsidRPr="001C29FC" w14:paraId="03FACF23" w14:textId="77777777" w:rsidTr="00D32A05">
        <w:trPr>
          <w:cantSplit/>
          <w:tblHeader/>
        </w:trPr>
        <w:tc>
          <w:tcPr>
            <w:tcW w:w="1803" w:type="dxa"/>
            <w:shd w:val="clear" w:color="auto" w:fill="auto"/>
            <w:vAlign w:val="bottom"/>
          </w:tcPr>
          <w:p w14:paraId="6F0601C2"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547E505C" w14:textId="77777777" w:rsidR="00D32A05" w:rsidRPr="001C29FC" w:rsidRDefault="00D32A05" w:rsidP="00D32A05">
            <w:pPr>
              <w:pStyle w:val="TableText"/>
              <w:rPr>
                <w:color w:val="000000"/>
                <w:szCs w:val="18"/>
              </w:rPr>
            </w:pPr>
            <w:r w:rsidRPr="001C29FC">
              <w:rPr>
                <w:color w:val="000000"/>
                <w:szCs w:val="18"/>
              </w:rPr>
              <w:t>Antibody Screen (patient)</w:t>
            </w:r>
          </w:p>
        </w:tc>
        <w:tc>
          <w:tcPr>
            <w:tcW w:w="1633" w:type="dxa"/>
            <w:shd w:val="clear" w:color="auto" w:fill="auto"/>
          </w:tcPr>
          <w:p w14:paraId="0CDDAE0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2F69AC11" w14:textId="77777777" w:rsidR="00D32A05" w:rsidRPr="001C29FC" w:rsidRDefault="00D32A05" w:rsidP="00D32A05">
            <w:pPr>
              <w:pStyle w:val="TableText"/>
              <w:rPr>
                <w:color w:val="000000"/>
                <w:szCs w:val="18"/>
              </w:rPr>
            </w:pPr>
            <w:r w:rsidRPr="001C29FC">
              <w:rPr>
                <w:color w:val="000000"/>
                <w:szCs w:val="18"/>
              </w:rPr>
              <w:t>An ABS test for “pre” or “post” is enabled and a valid interpretation other than Not Tested is selected. A workload event is accrued separately for “Pre” and “Post” entries.</w:t>
            </w:r>
          </w:p>
        </w:tc>
      </w:tr>
      <w:tr w:rsidR="00D32A05" w:rsidRPr="001C29FC" w14:paraId="28A84649" w14:textId="77777777" w:rsidTr="00D32A05">
        <w:trPr>
          <w:cantSplit/>
          <w:tblHeader/>
        </w:trPr>
        <w:tc>
          <w:tcPr>
            <w:tcW w:w="1803" w:type="dxa"/>
            <w:shd w:val="clear" w:color="auto" w:fill="auto"/>
            <w:vAlign w:val="bottom"/>
          </w:tcPr>
          <w:p w14:paraId="47E925B7" w14:textId="77777777" w:rsidR="00D32A05" w:rsidRPr="001C29FC" w:rsidRDefault="00D32A05" w:rsidP="00D32A05">
            <w:pPr>
              <w:pStyle w:val="TableText"/>
            </w:pPr>
            <w:r w:rsidRPr="001C29FC">
              <w:t>Record Patient Antibody Screen</w:t>
            </w:r>
          </w:p>
        </w:tc>
        <w:tc>
          <w:tcPr>
            <w:tcW w:w="1442" w:type="dxa"/>
            <w:vMerge/>
            <w:shd w:val="clear" w:color="auto" w:fill="auto"/>
          </w:tcPr>
          <w:p w14:paraId="5658B991" w14:textId="77777777" w:rsidR="00D32A05" w:rsidRPr="001C29FC" w:rsidRDefault="00D32A05" w:rsidP="00D32A05">
            <w:pPr>
              <w:pStyle w:val="TableText"/>
              <w:rPr>
                <w:color w:val="000000"/>
                <w:szCs w:val="18"/>
              </w:rPr>
            </w:pPr>
          </w:p>
        </w:tc>
        <w:tc>
          <w:tcPr>
            <w:tcW w:w="1633" w:type="dxa"/>
            <w:shd w:val="clear" w:color="auto" w:fill="auto"/>
          </w:tcPr>
          <w:p w14:paraId="24D3D29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D426EF9"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ordered ABS test is performed.</w:t>
            </w:r>
          </w:p>
        </w:tc>
      </w:tr>
      <w:tr w:rsidR="00D32A05" w:rsidRPr="001C29FC" w14:paraId="2829DBAB" w14:textId="77777777" w:rsidTr="00D32A05">
        <w:trPr>
          <w:cantSplit/>
          <w:tblHeader/>
        </w:trPr>
        <w:tc>
          <w:tcPr>
            <w:tcW w:w="1803" w:type="dxa"/>
            <w:shd w:val="clear" w:color="auto" w:fill="auto"/>
            <w:vAlign w:val="bottom"/>
          </w:tcPr>
          <w:p w14:paraId="5A9D33DD" w14:textId="77777777" w:rsidR="00D32A05" w:rsidRPr="001C29FC" w:rsidRDefault="00D32A05" w:rsidP="00D32A05">
            <w:pPr>
              <w:pStyle w:val="TableText"/>
            </w:pPr>
            <w:r w:rsidRPr="001C29FC">
              <w:t>Invalidate Patient Test Results*</w:t>
            </w:r>
          </w:p>
        </w:tc>
        <w:tc>
          <w:tcPr>
            <w:tcW w:w="1442" w:type="dxa"/>
            <w:vMerge/>
            <w:shd w:val="clear" w:color="auto" w:fill="auto"/>
          </w:tcPr>
          <w:p w14:paraId="5BDB7ADA" w14:textId="77777777" w:rsidR="00D32A05" w:rsidRPr="001C29FC" w:rsidRDefault="00D32A05" w:rsidP="00D32A05">
            <w:pPr>
              <w:pStyle w:val="TableText"/>
              <w:rPr>
                <w:color w:val="000000"/>
                <w:szCs w:val="18"/>
              </w:rPr>
            </w:pPr>
          </w:p>
        </w:tc>
        <w:tc>
          <w:tcPr>
            <w:tcW w:w="1633" w:type="dxa"/>
            <w:shd w:val="clear" w:color="auto" w:fill="auto"/>
          </w:tcPr>
          <w:p w14:paraId="0E04E7AC"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D38693B" w14:textId="77777777" w:rsidR="00D32A05" w:rsidRPr="001C29FC" w:rsidRDefault="00D32A05" w:rsidP="00D32A05">
            <w:pPr>
              <w:pStyle w:val="TableText"/>
              <w:rPr>
                <w:szCs w:val="18"/>
              </w:rPr>
            </w:pPr>
            <w:r w:rsidRPr="001C29FC">
              <w:rPr>
                <w:szCs w:val="18"/>
              </w:rPr>
              <w:t>Accrue workload when a completed ABS test is invalidated.</w:t>
            </w:r>
          </w:p>
        </w:tc>
      </w:tr>
      <w:tr w:rsidR="00D32A05" w:rsidRPr="001C29FC" w14:paraId="126A7B73" w14:textId="77777777" w:rsidTr="00D32A05">
        <w:trPr>
          <w:cantSplit/>
          <w:tblHeader/>
        </w:trPr>
        <w:tc>
          <w:tcPr>
            <w:tcW w:w="1803" w:type="dxa"/>
            <w:shd w:val="clear" w:color="auto" w:fill="auto"/>
            <w:vAlign w:val="bottom"/>
          </w:tcPr>
          <w:p w14:paraId="68DD03DD" w14:textId="77777777" w:rsidR="00D32A05" w:rsidRPr="001C29FC" w:rsidRDefault="00D32A05" w:rsidP="00D32A05">
            <w:pPr>
              <w:pStyle w:val="TableText"/>
            </w:pPr>
            <w:r w:rsidRPr="001C29FC">
              <w:t>Record Patient Antibody Screen</w:t>
            </w:r>
          </w:p>
        </w:tc>
        <w:tc>
          <w:tcPr>
            <w:tcW w:w="1442" w:type="dxa"/>
            <w:vMerge w:val="restart"/>
            <w:shd w:val="clear" w:color="auto" w:fill="auto"/>
          </w:tcPr>
          <w:p w14:paraId="01EA1FD6" w14:textId="77777777" w:rsidR="00D32A05" w:rsidRPr="001C29FC" w:rsidRDefault="00D32A05" w:rsidP="00D32A05">
            <w:pPr>
              <w:pStyle w:val="TableText"/>
              <w:rPr>
                <w:color w:val="000000"/>
                <w:szCs w:val="18"/>
              </w:rPr>
            </w:pPr>
            <w:r w:rsidRPr="001C29FC">
              <w:rPr>
                <w:color w:val="000000"/>
                <w:szCs w:val="18"/>
              </w:rPr>
              <w:t>Antibody Screen (patient) Repeat Test</w:t>
            </w:r>
          </w:p>
        </w:tc>
        <w:tc>
          <w:tcPr>
            <w:tcW w:w="1633" w:type="dxa"/>
            <w:shd w:val="clear" w:color="auto" w:fill="auto"/>
          </w:tcPr>
          <w:p w14:paraId="0DD41376"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1BFB4A9F"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ABS test is performed, completed, and saved.</w:t>
            </w:r>
          </w:p>
        </w:tc>
      </w:tr>
      <w:tr w:rsidR="00D32A05" w:rsidRPr="001C29FC" w14:paraId="4CAFB0BE" w14:textId="77777777" w:rsidTr="00D32A05">
        <w:trPr>
          <w:cantSplit/>
          <w:tblHeader/>
        </w:trPr>
        <w:tc>
          <w:tcPr>
            <w:tcW w:w="1803" w:type="dxa"/>
            <w:shd w:val="clear" w:color="auto" w:fill="auto"/>
            <w:vAlign w:val="bottom"/>
          </w:tcPr>
          <w:p w14:paraId="1A0E9B69"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D6CBA33" w14:textId="77777777" w:rsidR="00D32A05" w:rsidRPr="001C29FC" w:rsidRDefault="00D32A05" w:rsidP="00D32A05">
            <w:pPr>
              <w:pStyle w:val="TableText"/>
              <w:rPr>
                <w:color w:val="000000"/>
                <w:szCs w:val="18"/>
              </w:rPr>
            </w:pPr>
          </w:p>
        </w:tc>
        <w:tc>
          <w:tcPr>
            <w:tcW w:w="1633" w:type="dxa"/>
            <w:shd w:val="clear" w:color="auto" w:fill="auto"/>
          </w:tcPr>
          <w:p w14:paraId="0F301311"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258332A" w14:textId="77777777" w:rsidR="00D32A05" w:rsidRPr="001C29FC" w:rsidRDefault="00D32A05" w:rsidP="00D32A05">
            <w:pPr>
              <w:pStyle w:val="TableText"/>
              <w:rPr>
                <w:szCs w:val="18"/>
              </w:rPr>
            </w:pPr>
            <w:r w:rsidRPr="001C29FC">
              <w:rPr>
                <w:szCs w:val="18"/>
              </w:rPr>
              <w:t>Accrue workload when a reflex or repeat ABS test is invalidated.</w:t>
            </w:r>
          </w:p>
        </w:tc>
      </w:tr>
      <w:tr w:rsidR="00D32A05" w:rsidRPr="001C29FC" w14:paraId="3922D859" w14:textId="77777777" w:rsidTr="00D32A05">
        <w:trPr>
          <w:cantSplit/>
          <w:tblHeader/>
        </w:trPr>
        <w:tc>
          <w:tcPr>
            <w:tcW w:w="1803" w:type="dxa"/>
            <w:shd w:val="clear" w:color="auto" w:fill="auto"/>
            <w:vAlign w:val="bottom"/>
          </w:tcPr>
          <w:p w14:paraId="0B1C44BD" w14:textId="77777777" w:rsidR="00D32A05" w:rsidRPr="001C29FC" w:rsidRDefault="00D32A05" w:rsidP="00D32A05">
            <w:pPr>
              <w:pStyle w:val="TableText"/>
            </w:pPr>
            <w:r w:rsidRPr="001C29FC">
              <w:t>Unit Antigen Typing / Patient Antigen Typing</w:t>
            </w:r>
          </w:p>
        </w:tc>
        <w:tc>
          <w:tcPr>
            <w:tcW w:w="1442" w:type="dxa"/>
            <w:shd w:val="clear" w:color="auto" w:fill="auto"/>
          </w:tcPr>
          <w:p w14:paraId="5685C6B9" w14:textId="77777777" w:rsidR="00D32A05" w:rsidRPr="001C29FC" w:rsidRDefault="00D32A05" w:rsidP="00D32A05">
            <w:pPr>
              <w:pStyle w:val="TableText"/>
              <w:rPr>
                <w:color w:val="000000"/>
                <w:szCs w:val="18"/>
              </w:rPr>
            </w:pPr>
            <w:r w:rsidRPr="001C29FC">
              <w:rPr>
                <w:color w:val="000000"/>
                <w:szCs w:val="18"/>
              </w:rPr>
              <w:t>Antigen phenotyping, Single Test phase (QC)</w:t>
            </w:r>
          </w:p>
        </w:tc>
        <w:tc>
          <w:tcPr>
            <w:tcW w:w="1633" w:type="dxa"/>
            <w:shd w:val="clear" w:color="auto" w:fill="auto"/>
          </w:tcPr>
          <w:p w14:paraId="65258CA8"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6C9206FC"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Antiserum QC in Unit or Patient Antigen Typing includes the testing of both the positive and negative control cells, per specificity by lot number, when only one phase of reactivity is chosen for the test grid (IS or AHG). One workload event is collected per completed tab for regular or repeat antigen tests.</w:t>
            </w:r>
          </w:p>
        </w:tc>
      </w:tr>
      <w:tr w:rsidR="00D32A05" w:rsidRPr="001C29FC" w14:paraId="1D542A79" w14:textId="77777777" w:rsidTr="00D32A05">
        <w:trPr>
          <w:cantSplit/>
          <w:tblHeader/>
        </w:trPr>
        <w:tc>
          <w:tcPr>
            <w:tcW w:w="1803" w:type="dxa"/>
            <w:shd w:val="clear" w:color="auto" w:fill="auto"/>
            <w:vAlign w:val="bottom"/>
          </w:tcPr>
          <w:p w14:paraId="08D2B044" w14:textId="77777777" w:rsidR="00D32A05" w:rsidRPr="001C29FC" w:rsidRDefault="00D32A05" w:rsidP="00D32A05">
            <w:pPr>
              <w:pStyle w:val="TableText"/>
            </w:pPr>
            <w:r w:rsidRPr="001C29FC">
              <w:t>Unit Antigen Typing / Patient Antigen Typing</w:t>
            </w:r>
          </w:p>
        </w:tc>
        <w:tc>
          <w:tcPr>
            <w:tcW w:w="1442" w:type="dxa"/>
            <w:shd w:val="clear" w:color="auto" w:fill="auto"/>
          </w:tcPr>
          <w:p w14:paraId="15C0E3B1" w14:textId="77777777" w:rsidR="00D32A05" w:rsidRPr="001C29FC" w:rsidRDefault="00D32A05" w:rsidP="00D32A05">
            <w:pPr>
              <w:pStyle w:val="TableText"/>
              <w:rPr>
                <w:color w:val="000000"/>
                <w:szCs w:val="18"/>
              </w:rPr>
            </w:pPr>
            <w:r w:rsidRPr="001C29FC">
              <w:rPr>
                <w:color w:val="000000"/>
                <w:szCs w:val="18"/>
              </w:rPr>
              <w:t>Antigen phenotyping, Multiple Test phases (QC)</w:t>
            </w:r>
          </w:p>
        </w:tc>
        <w:tc>
          <w:tcPr>
            <w:tcW w:w="1633" w:type="dxa"/>
            <w:shd w:val="clear" w:color="auto" w:fill="auto"/>
          </w:tcPr>
          <w:p w14:paraId="23EBBF9D"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2622BA5C"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Antiserum QC in Unit or Patient Antigen Typing includes the testing of both the positive and negative control cells, per specificity by lot number, when only multiple phases of reactivity are chosen for the test grid, IS/RT, RT/37, or weak D. One workload event is collected per completed tab for regular or repeat antigen tests.</w:t>
            </w:r>
            <w:r w:rsidRPr="001C29FC">
              <w:rPr>
                <w:color w:val="000000"/>
                <w:szCs w:val="18"/>
              </w:rPr>
              <w:br/>
              <w:t>When weak D is the selected test, QC may not be accrued for the rack selection. QC is accrued when positive and negative cells must be tested for the lot number.</w:t>
            </w:r>
          </w:p>
        </w:tc>
      </w:tr>
      <w:tr w:rsidR="00D32A05" w:rsidRPr="001C29FC" w14:paraId="5872D581" w14:textId="77777777" w:rsidTr="00D32A05">
        <w:trPr>
          <w:cantSplit/>
          <w:tblHeader/>
        </w:trPr>
        <w:tc>
          <w:tcPr>
            <w:tcW w:w="1803" w:type="dxa"/>
            <w:shd w:val="clear" w:color="auto" w:fill="auto"/>
          </w:tcPr>
          <w:p w14:paraId="40EE2FA3" w14:textId="77777777" w:rsidR="00D32A05" w:rsidRPr="001C29FC" w:rsidRDefault="00D32A05" w:rsidP="00D32A05">
            <w:pPr>
              <w:pStyle w:val="TableText"/>
              <w:rPr>
                <w:szCs w:val="18"/>
              </w:rPr>
            </w:pPr>
            <w:r w:rsidRPr="001C29FC">
              <w:rPr>
                <w:szCs w:val="18"/>
              </w:rPr>
              <w:t>Cancel Pending Order</w:t>
            </w:r>
          </w:p>
        </w:tc>
        <w:tc>
          <w:tcPr>
            <w:tcW w:w="1442" w:type="dxa"/>
            <w:shd w:val="clear" w:color="auto" w:fill="auto"/>
          </w:tcPr>
          <w:p w14:paraId="0CA6453A" w14:textId="77777777" w:rsidR="00D32A05" w:rsidRPr="001C29FC" w:rsidRDefault="00D32A05" w:rsidP="00D32A05">
            <w:pPr>
              <w:pStyle w:val="TableText"/>
              <w:rPr>
                <w:szCs w:val="18"/>
              </w:rPr>
            </w:pPr>
            <w:r w:rsidRPr="001C29FC">
              <w:rPr>
                <w:szCs w:val="18"/>
              </w:rPr>
              <w:t>Cancel Order</w:t>
            </w:r>
          </w:p>
        </w:tc>
        <w:tc>
          <w:tcPr>
            <w:tcW w:w="1633" w:type="dxa"/>
            <w:shd w:val="clear" w:color="auto" w:fill="auto"/>
          </w:tcPr>
          <w:p w14:paraId="61BA80B5"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4AE89A43" w14:textId="6839BF4A" w:rsidR="00D32A05" w:rsidRPr="001C29FC" w:rsidRDefault="00D32A05" w:rsidP="00D32A05">
            <w:pPr>
              <w:pStyle w:val="TableText"/>
              <w:rPr>
                <w:szCs w:val="18"/>
              </w:rPr>
            </w:pPr>
            <w:r w:rsidRPr="001C29FC">
              <w:rPr>
                <w:szCs w:val="18"/>
              </w:rPr>
              <w:t>Accrue workload when an order on the pending order list is cancel</w:t>
            </w:r>
            <w:r w:rsidR="002F7E19">
              <w:rPr>
                <w:szCs w:val="18"/>
              </w:rPr>
              <w:t>l</w:t>
            </w:r>
            <w:r w:rsidRPr="001C29FC">
              <w:rPr>
                <w:szCs w:val="18"/>
              </w:rPr>
              <w:t>ed. When multiple orders are cance</w:t>
            </w:r>
            <w:r w:rsidR="002F7E19">
              <w:rPr>
                <w:szCs w:val="18"/>
              </w:rPr>
              <w:t>l</w:t>
            </w:r>
            <w:r w:rsidRPr="001C29FC">
              <w:rPr>
                <w:szCs w:val="18"/>
              </w:rPr>
              <w:t>led, each order accrues workload.</w:t>
            </w:r>
          </w:p>
        </w:tc>
      </w:tr>
      <w:tr w:rsidR="00D32A05" w:rsidRPr="001C29FC" w14:paraId="4AA1AB6F" w14:textId="77777777" w:rsidTr="00D32A05">
        <w:trPr>
          <w:cantSplit/>
          <w:tblHeader/>
        </w:trPr>
        <w:tc>
          <w:tcPr>
            <w:tcW w:w="1803" w:type="dxa"/>
            <w:shd w:val="clear" w:color="auto" w:fill="auto"/>
            <w:vAlign w:val="bottom"/>
          </w:tcPr>
          <w:p w14:paraId="4875958C" w14:textId="77777777" w:rsidR="00D32A05" w:rsidRPr="001C29FC" w:rsidRDefault="00D32A05" w:rsidP="00D32A05">
            <w:pPr>
              <w:pStyle w:val="TableText"/>
            </w:pPr>
            <w:r w:rsidRPr="001C29FC">
              <w:t>Cancel Active Order</w:t>
            </w:r>
          </w:p>
        </w:tc>
        <w:tc>
          <w:tcPr>
            <w:tcW w:w="1442" w:type="dxa"/>
            <w:shd w:val="clear" w:color="auto" w:fill="auto"/>
          </w:tcPr>
          <w:p w14:paraId="61F6F3F9" w14:textId="77777777" w:rsidR="00D32A05" w:rsidRPr="001C29FC" w:rsidRDefault="00D32A05" w:rsidP="00D32A05">
            <w:pPr>
              <w:pStyle w:val="TableText"/>
              <w:rPr>
                <w:szCs w:val="18"/>
              </w:rPr>
            </w:pPr>
            <w:r w:rsidRPr="001C29FC">
              <w:rPr>
                <w:szCs w:val="18"/>
              </w:rPr>
              <w:t>Cancel Order</w:t>
            </w:r>
          </w:p>
        </w:tc>
        <w:tc>
          <w:tcPr>
            <w:tcW w:w="1633" w:type="dxa"/>
            <w:shd w:val="clear" w:color="auto" w:fill="auto"/>
          </w:tcPr>
          <w:p w14:paraId="59FA88AC"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B5A19EE" w14:textId="7E88F02E" w:rsidR="00D32A05" w:rsidRPr="001C29FC" w:rsidRDefault="00D32A05" w:rsidP="00D32A05">
            <w:pPr>
              <w:pStyle w:val="TableText"/>
              <w:rPr>
                <w:szCs w:val="18"/>
              </w:rPr>
            </w:pPr>
            <w:r w:rsidRPr="001C29FC">
              <w:rPr>
                <w:szCs w:val="18"/>
              </w:rPr>
              <w:t>Accrue workload when an order on the pending task list is cancel</w:t>
            </w:r>
            <w:r w:rsidR="002F7E19">
              <w:rPr>
                <w:szCs w:val="18"/>
              </w:rPr>
              <w:t>l</w:t>
            </w:r>
            <w:r w:rsidRPr="001C29FC">
              <w:rPr>
                <w:szCs w:val="18"/>
              </w:rPr>
              <w:t>ed. When multiple orders are cance</w:t>
            </w:r>
            <w:r w:rsidR="002F7E19">
              <w:rPr>
                <w:szCs w:val="18"/>
              </w:rPr>
              <w:t>l</w:t>
            </w:r>
            <w:r w:rsidRPr="001C29FC">
              <w:rPr>
                <w:szCs w:val="18"/>
              </w:rPr>
              <w:t>led, each order accrues workload.</w:t>
            </w:r>
          </w:p>
        </w:tc>
      </w:tr>
      <w:tr w:rsidR="00D32A05" w:rsidRPr="001C29FC" w14:paraId="582D8404" w14:textId="77777777" w:rsidTr="00D32A05">
        <w:trPr>
          <w:cantSplit/>
          <w:tblHeader/>
        </w:trPr>
        <w:tc>
          <w:tcPr>
            <w:tcW w:w="1803" w:type="dxa"/>
            <w:shd w:val="clear" w:color="auto" w:fill="auto"/>
            <w:vAlign w:val="bottom"/>
          </w:tcPr>
          <w:p w14:paraId="373A916C" w14:textId="77777777" w:rsidR="00D32A05" w:rsidRPr="001C29FC" w:rsidRDefault="00D32A05" w:rsidP="00D32A05">
            <w:pPr>
              <w:pStyle w:val="TableText"/>
              <w:rPr>
                <w:szCs w:val="18"/>
              </w:rPr>
            </w:pPr>
            <w:r w:rsidRPr="001C29FC">
              <w:rPr>
                <w:snapToGrid w:val="0"/>
                <w:szCs w:val="18"/>
              </w:rPr>
              <w:t>Select Units for Crossmatch</w:t>
            </w:r>
          </w:p>
        </w:tc>
        <w:tc>
          <w:tcPr>
            <w:tcW w:w="1442" w:type="dxa"/>
            <w:shd w:val="clear" w:color="auto" w:fill="auto"/>
          </w:tcPr>
          <w:p w14:paraId="5CE9BCBE" w14:textId="77777777" w:rsidR="00D32A05" w:rsidRPr="001C29FC" w:rsidRDefault="00D32A05" w:rsidP="00D32A05">
            <w:pPr>
              <w:pStyle w:val="TableText"/>
              <w:rPr>
                <w:szCs w:val="18"/>
              </w:rPr>
            </w:pPr>
            <w:r w:rsidRPr="001C29FC">
              <w:rPr>
                <w:szCs w:val="18"/>
              </w:rPr>
              <w:t>Crossmatch unit, electronic</w:t>
            </w:r>
          </w:p>
        </w:tc>
        <w:tc>
          <w:tcPr>
            <w:tcW w:w="1633" w:type="dxa"/>
            <w:shd w:val="clear" w:color="auto" w:fill="auto"/>
          </w:tcPr>
          <w:p w14:paraId="0DFA9D1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268590F" w14:textId="77777777" w:rsidR="00D32A05" w:rsidRPr="001C29FC" w:rsidRDefault="00D32A05" w:rsidP="00D32A05">
            <w:pPr>
              <w:pStyle w:val="TableText"/>
              <w:rPr>
                <w:color w:val="000000"/>
                <w:szCs w:val="18"/>
              </w:rPr>
            </w:pPr>
            <w:r w:rsidRPr="001C29FC">
              <w:rPr>
                <w:color w:val="000000"/>
                <w:szCs w:val="18"/>
              </w:rPr>
              <w:t>This process is invoked when an individual unit is selected for patient assignment and the unit is electronically crossmatched. When multiple units are selected, each unit accrues workload.</w:t>
            </w:r>
          </w:p>
        </w:tc>
      </w:tr>
      <w:tr w:rsidR="00D32A05" w:rsidRPr="001C29FC" w14:paraId="208D3262" w14:textId="77777777" w:rsidTr="00D32A05">
        <w:trPr>
          <w:cantSplit/>
          <w:tblHeader/>
        </w:trPr>
        <w:tc>
          <w:tcPr>
            <w:tcW w:w="1803" w:type="dxa"/>
            <w:shd w:val="clear" w:color="auto" w:fill="auto"/>
            <w:vAlign w:val="bottom"/>
          </w:tcPr>
          <w:p w14:paraId="652E790C" w14:textId="77777777" w:rsidR="00D32A05" w:rsidRPr="001C29FC" w:rsidRDefault="00D32A05" w:rsidP="00D32A05">
            <w:pPr>
              <w:pStyle w:val="TableText"/>
            </w:pPr>
            <w:r w:rsidRPr="001C29FC">
              <w:t>Enter Crossmatch Results</w:t>
            </w:r>
          </w:p>
        </w:tc>
        <w:tc>
          <w:tcPr>
            <w:tcW w:w="1442" w:type="dxa"/>
            <w:vMerge w:val="restart"/>
            <w:shd w:val="clear" w:color="auto" w:fill="auto"/>
          </w:tcPr>
          <w:p w14:paraId="42E6BB45" w14:textId="77777777" w:rsidR="00D32A05" w:rsidRPr="001C29FC" w:rsidRDefault="00D32A05" w:rsidP="00D32A05">
            <w:pPr>
              <w:pStyle w:val="TableText"/>
              <w:rPr>
                <w:color w:val="000000"/>
                <w:szCs w:val="18"/>
              </w:rPr>
            </w:pPr>
            <w:r w:rsidRPr="001C29FC">
              <w:rPr>
                <w:color w:val="000000"/>
                <w:szCs w:val="18"/>
              </w:rPr>
              <w:t>Crossmatch unit, serologic immediate spin</w:t>
            </w:r>
          </w:p>
        </w:tc>
        <w:tc>
          <w:tcPr>
            <w:tcW w:w="1633" w:type="dxa"/>
            <w:shd w:val="clear" w:color="auto" w:fill="auto"/>
          </w:tcPr>
          <w:p w14:paraId="28AB0DD9"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53F181F"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only the IS phase, is completed, and is saved. When multiple units are selected, each unit accrues workload.</w:t>
            </w:r>
          </w:p>
        </w:tc>
      </w:tr>
      <w:tr w:rsidR="00D32A05" w:rsidRPr="001C29FC" w14:paraId="711098F7" w14:textId="77777777" w:rsidTr="00D32A05">
        <w:trPr>
          <w:cantSplit/>
          <w:tblHeader/>
        </w:trPr>
        <w:tc>
          <w:tcPr>
            <w:tcW w:w="1803" w:type="dxa"/>
            <w:shd w:val="clear" w:color="auto" w:fill="auto"/>
            <w:vAlign w:val="bottom"/>
          </w:tcPr>
          <w:p w14:paraId="63D29A43" w14:textId="77777777" w:rsidR="00D32A05" w:rsidRPr="001C29FC" w:rsidRDefault="00D32A05" w:rsidP="00D32A05">
            <w:pPr>
              <w:pStyle w:val="TableText"/>
            </w:pPr>
            <w:r w:rsidRPr="001C29FC">
              <w:t>Invalidate Patient Test Results*</w:t>
            </w:r>
          </w:p>
        </w:tc>
        <w:tc>
          <w:tcPr>
            <w:tcW w:w="1442" w:type="dxa"/>
            <w:vMerge/>
            <w:shd w:val="clear" w:color="auto" w:fill="auto"/>
          </w:tcPr>
          <w:p w14:paraId="2174F32E" w14:textId="77777777" w:rsidR="00D32A05" w:rsidRPr="001C29FC" w:rsidRDefault="00D32A05" w:rsidP="00D32A05">
            <w:pPr>
              <w:pStyle w:val="TableText"/>
              <w:rPr>
                <w:color w:val="000000"/>
                <w:szCs w:val="18"/>
              </w:rPr>
            </w:pPr>
          </w:p>
        </w:tc>
        <w:tc>
          <w:tcPr>
            <w:tcW w:w="1633" w:type="dxa"/>
            <w:shd w:val="clear" w:color="auto" w:fill="auto"/>
          </w:tcPr>
          <w:p w14:paraId="1EA1E256" w14:textId="77777777" w:rsidR="00D32A05" w:rsidRPr="001C29FC" w:rsidRDefault="00D32A05" w:rsidP="00D32A05">
            <w:pPr>
              <w:pStyle w:val="TableText"/>
              <w:rPr>
                <w:szCs w:val="18"/>
              </w:rPr>
            </w:pPr>
            <w:r w:rsidRPr="001C29FC">
              <w:rPr>
                <w:szCs w:val="18"/>
              </w:rPr>
              <w:t>P</w:t>
            </w:r>
          </w:p>
        </w:tc>
        <w:tc>
          <w:tcPr>
            <w:tcW w:w="4482" w:type="dxa"/>
            <w:shd w:val="clear" w:color="auto" w:fill="auto"/>
          </w:tcPr>
          <w:p w14:paraId="4374C0AE" w14:textId="77777777" w:rsidR="00D32A05" w:rsidRPr="001C29FC" w:rsidRDefault="00D32A05" w:rsidP="00D32A05">
            <w:pPr>
              <w:pStyle w:val="TableText"/>
              <w:rPr>
                <w:szCs w:val="18"/>
              </w:rPr>
            </w:pPr>
            <w:r w:rsidRPr="001C29FC">
              <w:rPr>
                <w:szCs w:val="18"/>
              </w:rPr>
              <w:t>Accrue workload when a completed crossmatch test is invalidated. This applies to the workload originally saved with the serologic immediate spin test.</w:t>
            </w:r>
          </w:p>
        </w:tc>
      </w:tr>
      <w:tr w:rsidR="00D32A05" w:rsidRPr="001C29FC" w14:paraId="70424B84" w14:textId="77777777" w:rsidTr="00D32A05">
        <w:trPr>
          <w:cantSplit/>
          <w:tblHeader/>
        </w:trPr>
        <w:tc>
          <w:tcPr>
            <w:tcW w:w="1803" w:type="dxa"/>
            <w:shd w:val="clear" w:color="auto" w:fill="auto"/>
            <w:vAlign w:val="bottom"/>
          </w:tcPr>
          <w:p w14:paraId="24C9400E"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57AB2A88" w14:textId="77777777" w:rsidR="00D32A05" w:rsidRPr="001C29FC" w:rsidRDefault="00D32A05" w:rsidP="00D32A05">
            <w:pPr>
              <w:pStyle w:val="TableText"/>
              <w:rPr>
                <w:color w:val="000000"/>
                <w:szCs w:val="18"/>
              </w:rPr>
            </w:pPr>
            <w:r w:rsidRPr="001C29FC">
              <w:rPr>
                <w:color w:val="000000"/>
                <w:szCs w:val="18"/>
              </w:rPr>
              <w:t>Crossmatch unit, serological Coombs</w:t>
            </w:r>
          </w:p>
        </w:tc>
        <w:tc>
          <w:tcPr>
            <w:tcW w:w="1633" w:type="dxa"/>
            <w:shd w:val="clear" w:color="auto" w:fill="auto"/>
          </w:tcPr>
          <w:p w14:paraId="5C8B8E4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0DD2E33" w14:textId="77777777" w:rsidR="00D32A05" w:rsidRPr="001C29FC" w:rsidRDefault="00D32A05" w:rsidP="00D32A05">
            <w:pPr>
              <w:pStyle w:val="TableText"/>
              <w:rPr>
                <w:color w:val="000000"/>
                <w:szCs w:val="18"/>
              </w:rPr>
            </w:pPr>
            <w:r w:rsidRPr="001C29FC">
              <w:rPr>
                <w:color w:val="000000"/>
                <w:szCs w:val="18"/>
              </w:rPr>
              <w:t>A crossmatch test for “pre” or “post” is enabled and a valid interpretation other than Not Tested is selected. A workload event is accrued separately for “Pre” and “Post” entries.</w:t>
            </w:r>
            <w:r w:rsidRPr="001C29FC">
              <w:rPr>
                <w:color w:val="000000"/>
                <w:szCs w:val="18"/>
              </w:rPr>
              <w:br/>
              <w:t>When multiple units are selected, each unit accrues workload.</w:t>
            </w:r>
          </w:p>
        </w:tc>
      </w:tr>
      <w:tr w:rsidR="00D32A05" w:rsidRPr="001C29FC" w14:paraId="45BA8A52" w14:textId="77777777" w:rsidTr="00D32A05">
        <w:trPr>
          <w:cantSplit/>
          <w:tblHeader/>
        </w:trPr>
        <w:tc>
          <w:tcPr>
            <w:tcW w:w="1803" w:type="dxa"/>
            <w:shd w:val="clear" w:color="auto" w:fill="auto"/>
            <w:vAlign w:val="bottom"/>
          </w:tcPr>
          <w:p w14:paraId="3A5803DC" w14:textId="77777777" w:rsidR="00D32A05" w:rsidRPr="001C29FC" w:rsidRDefault="00D32A05" w:rsidP="00D32A05">
            <w:pPr>
              <w:pStyle w:val="TableText"/>
            </w:pPr>
            <w:r w:rsidRPr="001C29FC">
              <w:t>Enter Crossmatch Results</w:t>
            </w:r>
          </w:p>
        </w:tc>
        <w:tc>
          <w:tcPr>
            <w:tcW w:w="1442" w:type="dxa"/>
            <w:vMerge/>
            <w:shd w:val="clear" w:color="auto" w:fill="auto"/>
          </w:tcPr>
          <w:p w14:paraId="5D98E0F8" w14:textId="77777777" w:rsidR="00D32A05" w:rsidRPr="001C29FC" w:rsidRDefault="00D32A05" w:rsidP="00D32A05">
            <w:pPr>
              <w:pStyle w:val="TableText"/>
              <w:rPr>
                <w:color w:val="000000"/>
                <w:szCs w:val="18"/>
              </w:rPr>
            </w:pPr>
          </w:p>
        </w:tc>
        <w:tc>
          <w:tcPr>
            <w:tcW w:w="1633" w:type="dxa"/>
            <w:shd w:val="clear" w:color="auto" w:fill="auto"/>
          </w:tcPr>
          <w:p w14:paraId="4CFB5FF6"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29D4059"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all phases or only the AHG phase, is completed, and is saved. When multiple units are selected, each unit accrues workload.</w:t>
            </w:r>
          </w:p>
        </w:tc>
      </w:tr>
      <w:tr w:rsidR="00D32A05" w:rsidRPr="001C29FC" w14:paraId="72A75416" w14:textId="77777777" w:rsidTr="00D32A05">
        <w:trPr>
          <w:cantSplit/>
          <w:tblHeader/>
        </w:trPr>
        <w:tc>
          <w:tcPr>
            <w:tcW w:w="1803" w:type="dxa"/>
            <w:shd w:val="clear" w:color="auto" w:fill="auto"/>
            <w:vAlign w:val="bottom"/>
          </w:tcPr>
          <w:p w14:paraId="20594C86" w14:textId="77777777" w:rsidR="00D32A05" w:rsidRPr="001C29FC" w:rsidRDefault="00D32A05" w:rsidP="00D32A05">
            <w:pPr>
              <w:pStyle w:val="TableText"/>
            </w:pPr>
            <w:r w:rsidRPr="001C29FC">
              <w:t>Invalidate Patient Test Results*</w:t>
            </w:r>
          </w:p>
        </w:tc>
        <w:tc>
          <w:tcPr>
            <w:tcW w:w="1442" w:type="dxa"/>
            <w:vMerge/>
            <w:shd w:val="clear" w:color="auto" w:fill="auto"/>
          </w:tcPr>
          <w:p w14:paraId="1CD97744" w14:textId="77777777" w:rsidR="00D32A05" w:rsidRPr="001C29FC" w:rsidRDefault="00D32A05" w:rsidP="00D32A05">
            <w:pPr>
              <w:pStyle w:val="TableText"/>
              <w:rPr>
                <w:color w:val="000000"/>
                <w:szCs w:val="18"/>
              </w:rPr>
            </w:pPr>
          </w:p>
        </w:tc>
        <w:tc>
          <w:tcPr>
            <w:tcW w:w="1633" w:type="dxa"/>
            <w:shd w:val="clear" w:color="auto" w:fill="auto"/>
          </w:tcPr>
          <w:p w14:paraId="5DC12339" w14:textId="77777777" w:rsidR="00D32A05" w:rsidRPr="001C29FC" w:rsidRDefault="00D32A05" w:rsidP="00D32A05">
            <w:pPr>
              <w:pStyle w:val="TableText"/>
              <w:rPr>
                <w:szCs w:val="18"/>
              </w:rPr>
            </w:pPr>
            <w:r w:rsidRPr="001C29FC">
              <w:rPr>
                <w:szCs w:val="18"/>
              </w:rPr>
              <w:t>P</w:t>
            </w:r>
          </w:p>
        </w:tc>
        <w:tc>
          <w:tcPr>
            <w:tcW w:w="4482" w:type="dxa"/>
            <w:shd w:val="clear" w:color="auto" w:fill="auto"/>
          </w:tcPr>
          <w:p w14:paraId="55713266" w14:textId="77777777" w:rsidR="00D32A05" w:rsidRPr="001C29FC" w:rsidRDefault="00D32A05" w:rsidP="00D32A05">
            <w:pPr>
              <w:pStyle w:val="TableText"/>
              <w:rPr>
                <w:szCs w:val="18"/>
              </w:rPr>
            </w:pPr>
            <w:r w:rsidRPr="001C29FC">
              <w:rPr>
                <w:szCs w:val="18"/>
              </w:rPr>
              <w:t>Accrue workload when a completed crossmatch test is invalidated. This applies to the workload originally saved with the test, serological Coombs.</w:t>
            </w:r>
          </w:p>
        </w:tc>
      </w:tr>
      <w:tr w:rsidR="00D32A05" w:rsidRPr="001C29FC" w14:paraId="744E086E" w14:textId="77777777" w:rsidTr="00D32A05">
        <w:trPr>
          <w:cantSplit/>
          <w:tblHeader/>
        </w:trPr>
        <w:tc>
          <w:tcPr>
            <w:tcW w:w="1803" w:type="dxa"/>
            <w:shd w:val="clear" w:color="auto" w:fill="auto"/>
            <w:vAlign w:val="bottom"/>
          </w:tcPr>
          <w:p w14:paraId="1851B273" w14:textId="77777777" w:rsidR="00D32A05" w:rsidRPr="001C29FC" w:rsidRDefault="00D32A05" w:rsidP="00D32A05">
            <w:pPr>
              <w:pStyle w:val="TableText"/>
            </w:pPr>
            <w:r w:rsidRPr="001C29FC">
              <w:t>Enter Crossmatch Results</w:t>
            </w:r>
          </w:p>
        </w:tc>
        <w:tc>
          <w:tcPr>
            <w:tcW w:w="1442" w:type="dxa"/>
            <w:vMerge w:val="restart"/>
            <w:shd w:val="clear" w:color="auto" w:fill="auto"/>
          </w:tcPr>
          <w:p w14:paraId="1137B355" w14:textId="77777777" w:rsidR="00D32A05" w:rsidRPr="001C29FC" w:rsidRDefault="00D32A05" w:rsidP="00D32A05">
            <w:pPr>
              <w:pStyle w:val="TableText"/>
              <w:rPr>
                <w:color w:val="000000"/>
                <w:szCs w:val="18"/>
              </w:rPr>
            </w:pPr>
            <w:r w:rsidRPr="001C29FC">
              <w:rPr>
                <w:color w:val="000000"/>
                <w:szCs w:val="18"/>
              </w:rPr>
              <w:t>Crossmatch, Repeat Test</w:t>
            </w:r>
          </w:p>
        </w:tc>
        <w:tc>
          <w:tcPr>
            <w:tcW w:w="1633" w:type="dxa"/>
            <w:shd w:val="clear" w:color="auto" w:fill="auto"/>
          </w:tcPr>
          <w:p w14:paraId="20E77748"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6AD7CFDC"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unit crossmatch is selected to include all phases or IS or only the AHG phase, is completed, and is saved. When multiple units are selected, each unit accrues workload.</w:t>
            </w:r>
          </w:p>
        </w:tc>
      </w:tr>
      <w:tr w:rsidR="00D32A05" w:rsidRPr="001C29FC" w14:paraId="61C51A0A" w14:textId="77777777" w:rsidTr="00D32A05">
        <w:trPr>
          <w:cantSplit/>
          <w:tblHeader/>
        </w:trPr>
        <w:tc>
          <w:tcPr>
            <w:tcW w:w="1803" w:type="dxa"/>
            <w:shd w:val="clear" w:color="auto" w:fill="auto"/>
            <w:vAlign w:val="bottom"/>
          </w:tcPr>
          <w:p w14:paraId="70A6582C" w14:textId="77777777" w:rsidR="00D32A05" w:rsidRPr="001C29FC" w:rsidRDefault="00D32A05" w:rsidP="00D32A05">
            <w:pPr>
              <w:pStyle w:val="TableText"/>
            </w:pPr>
            <w:r w:rsidRPr="001C29FC">
              <w:t>Invalidate Patient Test Results*</w:t>
            </w:r>
          </w:p>
        </w:tc>
        <w:tc>
          <w:tcPr>
            <w:tcW w:w="1442" w:type="dxa"/>
            <w:vMerge/>
            <w:shd w:val="clear" w:color="auto" w:fill="auto"/>
          </w:tcPr>
          <w:p w14:paraId="389185B3" w14:textId="77777777" w:rsidR="00D32A05" w:rsidRPr="001C29FC" w:rsidRDefault="00D32A05" w:rsidP="00D32A05">
            <w:pPr>
              <w:pStyle w:val="TableText"/>
              <w:rPr>
                <w:color w:val="000000"/>
                <w:szCs w:val="18"/>
              </w:rPr>
            </w:pPr>
          </w:p>
        </w:tc>
        <w:tc>
          <w:tcPr>
            <w:tcW w:w="1633" w:type="dxa"/>
            <w:shd w:val="clear" w:color="auto" w:fill="auto"/>
          </w:tcPr>
          <w:p w14:paraId="41C2E54A"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6CE329BD" w14:textId="77777777" w:rsidR="00D32A05" w:rsidRPr="001C29FC" w:rsidRDefault="00D32A05" w:rsidP="00D32A05">
            <w:pPr>
              <w:pStyle w:val="TableText"/>
              <w:rPr>
                <w:szCs w:val="18"/>
              </w:rPr>
            </w:pPr>
            <w:r w:rsidRPr="001C29FC">
              <w:rPr>
                <w:szCs w:val="18"/>
              </w:rPr>
              <w:t>Accrue workload when an individual unit crossmatch is invalidated.</w:t>
            </w:r>
          </w:p>
        </w:tc>
      </w:tr>
      <w:tr w:rsidR="00D32A05" w:rsidRPr="001C29FC" w14:paraId="42D1CB35" w14:textId="77777777" w:rsidTr="00D32A05">
        <w:trPr>
          <w:cantSplit/>
          <w:tblHeader/>
        </w:trPr>
        <w:tc>
          <w:tcPr>
            <w:tcW w:w="1803" w:type="dxa"/>
            <w:shd w:val="clear" w:color="auto" w:fill="auto"/>
            <w:vAlign w:val="bottom"/>
          </w:tcPr>
          <w:p w14:paraId="6184DE80" w14:textId="77777777" w:rsidR="00D32A05" w:rsidRPr="001C29FC" w:rsidRDefault="00D32A05" w:rsidP="00D32A05">
            <w:pPr>
              <w:pStyle w:val="TableText"/>
              <w:rPr>
                <w:szCs w:val="18"/>
              </w:rPr>
            </w:pPr>
            <w:r w:rsidRPr="001C29FC">
              <w:rPr>
                <w:snapToGrid w:val="0"/>
                <w:szCs w:val="18"/>
              </w:rPr>
              <w:t>Enter Daily QC Results</w:t>
            </w:r>
          </w:p>
        </w:tc>
        <w:tc>
          <w:tcPr>
            <w:tcW w:w="1442" w:type="dxa"/>
            <w:shd w:val="clear" w:color="auto" w:fill="auto"/>
          </w:tcPr>
          <w:p w14:paraId="4158D1C8" w14:textId="77777777" w:rsidR="00D32A05" w:rsidRPr="001C29FC" w:rsidRDefault="00D32A05" w:rsidP="00D32A05">
            <w:pPr>
              <w:pStyle w:val="TableText"/>
              <w:rPr>
                <w:color w:val="000000"/>
                <w:szCs w:val="18"/>
              </w:rPr>
            </w:pPr>
            <w:r w:rsidRPr="001C29FC">
              <w:rPr>
                <w:color w:val="000000"/>
                <w:szCs w:val="18"/>
              </w:rPr>
              <w:t>Daily Rack Quality Control (QC)</w:t>
            </w:r>
          </w:p>
        </w:tc>
        <w:tc>
          <w:tcPr>
            <w:tcW w:w="1633" w:type="dxa"/>
            <w:shd w:val="clear" w:color="auto" w:fill="auto"/>
          </w:tcPr>
          <w:p w14:paraId="0774B41C"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232E5078"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Daily QC rack completed for one individual rack includes all rows in configured QC. When multiple racks are tested, each completed and saved tab accrues a workload event.</w:t>
            </w:r>
          </w:p>
        </w:tc>
      </w:tr>
      <w:tr w:rsidR="00D32A05" w:rsidRPr="001C29FC" w14:paraId="02CD6797" w14:textId="77777777" w:rsidTr="00D32A05">
        <w:trPr>
          <w:cantSplit/>
          <w:tblHeader/>
        </w:trPr>
        <w:tc>
          <w:tcPr>
            <w:tcW w:w="1803" w:type="dxa"/>
            <w:shd w:val="clear" w:color="auto" w:fill="auto"/>
            <w:vAlign w:val="bottom"/>
          </w:tcPr>
          <w:p w14:paraId="056D9244" w14:textId="77777777" w:rsidR="00D32A05" w:rsidRPr="001C29FC" w:rsidRDefault="00D32A05" w:rsidP="00D32A05">
            <w:pPr>
              <w:pStyle w:val="TableText"/>
            </w:pPr>
            <w:r w:rsidRPr="001C29FC">
              <w:t>Record Patient Direct Antiglobulin Test</w:t>
            </w:r>
          </w:p>
        </w:tc>
        <w:tc>
          <w:tcPr>
            <w:tcW w:w="1442" w:type="dxa"/>
            <w:shd w:val="clear" w:color="auto" w:fill="auto"/>
          </w:tcPr>
          <w:p w14:paraId="5790DE4B" w14:textId="77777777" w:rsidR="00D32A05" w:rsidRPr="001C29FC" w:rsidRDefault="00D32A05" w:rsidP="00D32A05">
            <w:pPr>
              <w:pStyle w:val="TableText"/>
              <w:rPr>
                <w:color w:val="000000"/>
                <w:szCs w:val="18"/>
              </w:rPr>
            </w:pPr>
            <w:r w:rsidRPr="001C29FC">
              <w:rPr>
                <w:color w:val="000000"/>
                <w:szCs w:val="18"/>
              </w:rPr>
              <w:t>DAT (QC)</w:t>
            </w:r>
          </w:p>
        </w:tc>
        <w:tc>
          <w:tcPr>
            <w:tcW w:w="1633" w:type="dxa"/>
            <w:shd w:val="clear" w:color="auto" w:fill="auto"/>
          </w:tcPr>
          <w:p w14:paraId="6BACC7CC"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vAlign w:val="bottom"/>
          </w:tcPr>
          <w:p w14:paraId="5E79D42B" w14:textId="77777777" w:rsidR="00D32A05" w:rsidRPr="001C29FC" w:rsidRDefault="00D32A05" w:rsidP="00D32A05">
            <w:pPr>
              <w:pStyle w:val="TableText"/>
              <w:rPr>
                <w:szCs w:val="18"/>
              </w:rPr>
            </w:pPr>
            <w:r w:rsidRPr="001C29FC">
              <w:rPr>
                <w:szCs w:val="18"/>
              </w:rPr>
              <w:t xml:space="preserve">Accrue workload when </w:t>
            </w:r>
            <w:r w:rsidRPr="001C29FC">
              <w:rPr>
                <w:color w:val="000000"/>
                <w:szCs w:val="18"/>
              </w:rPr>
              <w:t>Reagent QC completed in Patient DAT testing includes the testing of both the positive and negative control cells, per specificity per lot number, when only one phase of reactivity is chosen for the test grid (IS or AHG). One workload event is collected per completed tab for regular or repeat antiglobulin tests (PS, IgG, Comp).</w:t>
            </w:r>
          </w:p>
        </w:tc>
      </w:tr>
      <w:tr w:rsidR="00D32A05" w:rsidRPr="001C29FC" w14:paraId="030E518F" w14:textId="77777777" w:rsidTr="00D32A05">
        <w:trPr>
          <w:cantSplit/>
          <w:tblHeader/>
        </w:trPr>
        <w:tc>
          <w:tcPr>
            <w:tcW w:w="1803" w:type="dxa"/>
            <w:shd w:val="clear" w:color="auto" w:fill="auto"/>
            <w:vAlign w:val="bottom"/>
          </w:tcPr>
          <w:p w14:paraId="1D0BC9E6"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684D3F51" w14:textId="77777777" w:rsidR="00D32A05" w:rsidRPr="001C29FC" w:rsidRDefault="00D32A05" w:rsidP="00D32A05">
            <w:pPr>
              <w:pStyle w:val="TableText"/>
              <w:rPr>
                <w:color w:val="000000"/>
                <w:szCs w:val="18"/>
              </w:rPr>
            </w:pPr>
            <w:r w:rsidRPr="001C29FC">
              <w:rPr>
                <w:color w:val="000000"/>
                <w:szCs w:val="18"/>
              </w:rPr>
              <w:t>Direct Antiglobulin Test (DAT)</w:t>
            </w:r>
          </w:p>
        </w:tc>
        <w:tc>
          <w:tcPr>
            <w:tcW w:w="1633" w:type="dxa"/>
            <w:shd w:val="clear" w:color="auto" w:fill="auto"/>
          </w:tcPr>
          <w:p w14:paraId="7682F132"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186C0526" w14:textId="77777777" w:rsidR="00D32A05" w:rsidRPr="001C29FC" w:rsidRDefault="00D32A05" w:rsidP="00D32A05">
            <w:pPr>
              <w:pStyle w:val="TableText"/>
              <w:rPr>
                <w:color w:val="000000"/>
                <w:szCs w:val="18"/>
              </w:rPr>
            </w:pPr>
            <w:r w:rsidRPr="001C29FC">
              <w:rPr>
                <w:color w:val="000000"/>
                <w:szCs w:val="18"/>
              </w:rPr>
              <w:t>A DAT test for “pre” or “post” is enabled and a valid interpretation other than Not Tested is selected. A workload event is accrued separately for “Pre” and “Post “entries.</w:t>
            </w:r>
          </w:p>
        </w:tc>
      </w:tr>
      <w:tr w:rsidR="00D32A05" w:rsidRPr="001C29FC" w14:paraId="7E2C13E8" w14:textId="77777777" w:rsidTr="00D32A05">
        <w:trPr>
          <w:cantSplit/>
          <w:tblHeader/>
        </w:trPr>
        <w:tc>
          <w:tcPr>
            <w:tcW w:w="1803" w:type="dxa"/>
            <w:shd w:val="clear" w:color="auto" w:fill="auto"/>
            <w:vAlign w:val="bottom"/>
          </w:tcPr>
          <w:p w14:paraId="575B8AC1" w14:textId="77777777" w:rsidR="00D32A05" w:rsidRPr="001C29FC" w:rsidRDefault="00D32A05" w:rsidP="00D32A05">
            <w:pPr>
              <w:pStyle w:val="TableText"/>
            </w:pPr>
            <w:r w:rsidRPr="001C29FC">
              <w:t>Record Patient Direct Antiglobulin Test</w:t>
            </w:r>
          </w:p>
        </w:tc>
        <w:tc>
          <w:tcPr>
            <w:tcW w:w="1442" w:type="dxa"/>
            <w:vMerge/>
            <w:shd w:val="clear" w:color="auto" w:fill="auto"/>
          </w:tcPr>
          <w:p w14:paraId="6DE6E39B" w14:textId="77777777" w:rsidR="00D32A05" w:rsidRPr="001C29FC" w:rsidRDefault="00D32A05" w:rsidP="00D32A05">
            <w:pPr>
              <w:pStyle w:val="TableText"/>
              <w:rPr>
                <w:color w:val="000000"/>
                <w:szCs w:val="18"/>
              </w:rPr>
            </w:pPr>
          </w:p>
        </w:tc>
        <w:tc>
          <w:tcPr>
            <w:tcW w:w="1633" w:type="dxa"/>
            <w:shd w:val="clear" w:color="auto" w:fill="auto"/>
          </w:tcPr>
          <w:p w14:paraId="4DB6ABD1"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3EA4A2A"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DAT is completed and saved. This count is used for all antiglobulin tests (PS, IgG, Comp) when ordered from CPRS or Reflex testing.</w:t>
            </w:r>
          </w:p>
        </w:tc>
      </w:tr>
      <w:tr w:rsidR="00D32A05" w:rsidRPr="001C29FC" w14:paraId="0875FCFC" w14:textId="77777777" w:rsidTr="00D32A05">
        <w:trPr>
          <w:cantSplit/>
          <w:tblHeader/>
        </w:trPr>
        <w:tc>
          <w:tcPr>
            <w:tcW w:w="1803" w:type="dxa"/>
            <w:shd w:val="clear" w:color="auto" w:fill="auto"/>
            <w:vAlign w:val="bottom"/>
          </w:tcPr>
          <w:p w14:paraId="7C04A5C9" w14:textId="77777777" w:rsidR="00D32A05" w:rsidRPr="001C29FC" w:rsidRDefault="00D32A05" w:rsidP="00D32A05">
            <w:pPr>
              <w:pStyle w:val="TableText"/>
            </w:pPr>
            <w:r w:rsidRPr="001C29FC">
              <w:t>Invalidate Patient Test Results*</w:t>
            </w:r>
          </w:p>
        </w:tc>
        <w:tc>
          <w:tcPr>
            <w:tcW w:w="1442" w:type="dxa"/>
            <w:vMerge/>
            <w:shd w:val="clear" w:color="auto" w:fill="auto"/>
          </w:tcPr>
          <w:p w14:paraId="59590F9F" w14:textId="77777777" w:rsidR="00D32A05" w:rsidRPr="001C29FC" w:rsidRDefault="00D32A05" w:rsidP="00D32A05">
            <w:pPr>
              <w:pStyle w:val="TableText"/>
              <w:rPr>
                <w:color w:val="000000"/>
                <w:szCs w:val="18"/>
              </w:rPr>
            </w:pPr>
          </w:p>
        </w:tc>
        <w:tc>
          <w:tcPr>
            <w:tcW w:w="1633" w:type="dxa"/>
            <w:shd w:val="clear" w:color="auto" w:fill="auto"/>
          </w:tcPr>
          <w:p w14:paraId="48B92D7D"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0312EF61" w14:textId="77777777" w:rsidR="00D32A05" w:rsidRPr="001C29FC" w:rsidRDefault="00D32A05" w:rsidP="00D32A05">
            <w:pPr>
              <w:pStyle w:val="TableText"/>
              <w:rPr>
                <w:szCs w:val="18"/>
              </w:rPr>
            </w:pPr>
            <w:r w:rsidRPr="001C29FC">
              <w:rPr>
                <w:szCs w:val="18"/>
              </w:rPr>
              <w:t xml:space="preserve">Accrue workload when a completed DAT, PS, IgG, or Comp is invalidated. </w:t>
            </w:r>
          </w:p>
        </w:tc>
      </w:tr>
      <w:tr w:rsidR="00D32A05" w:rsidRPr="001C29FC" w14:paraId="09999057" w14:textId="77777777" w:rsidTr="00D32A05">
        <w:trPr>
          <w:cantSplit/>
          <w:tblHeader/>
        </w:trPr>
        <w:tc>
          <w:tcPr>
            <w:tcW w:w="1803" w:type="dxa"/>
            <w:shd w:val="clear" w:color="auto" w:fill="auto"/>
            <w:vAlign w:val="bottom"/>
          </w:tcPr>
          <w:p w14:paraId="3177117D" w14:textId="77777777" w:rsidR="00D32A05" w:rsidRPr="001C29FC" w:rsidRDefault="00D32A05" w:rsidP="00D32A05">
            <w:pPr>
              <w:pStyle w:val="TableText"/>
            </w:pPr>
            <w:r w:rsidRPr="001C29FC">
              <w:t>Record Patient Direct Antiglobulin Test</w:t>
            </w:r>
          </w:p>
        </w:tc>
        <w:tc>
          <w:tcPr>
            <w:tcW w:w="1442" w:type="dxa"/>
            <w:vMerge w:val="restart"/>
            <w:shd w:val="clear" w:color="auto" w:fill="auto"/>
          </w:tcPr>
          <w:p w14:paraId="3FE6ACE3" w14:textId="77777777" w:rsidR="00D32A05" w:rsidRPr="001C29FC" w:rsidRDefault="00D32A05" w:rsidP="00D32A05">
            <w:pPr>
              <w:pStyle w:val="TableText"/>
              <w:rPr>
                <w:color w:val="000000"/>
                <w:szCs w:val="18"/>
              </w:rPr>
            </w:pPr>
            <w:r w:rsidRPr="001C29FC">
              <w:rPr>
                <w:color w:val="000000"/>
                <w:szCs w:val="18"/>
              </w:rPr>
              <w:t>Direct Antiglobulin Test (DAT) Repeat test</w:t>
            </w:r>
          </w:p>
        </w:tc>
        <w:tc>
          <w:tcPr>
            <w:tcW w:w="1633" w:type="dxa"/>
            <w:shd w:val="clear" w:color="auto" w:fill="auto"/>
          </w:tcPr>
          <w:p w14:paraId="0F834BCF"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3AFFFCFF"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reflex or repeat DAT test is performed, completed, and saved. This applies to all repeat antiglobulin tests (PS, IgG, Comp).</w:t>
            </w:r>
          </w:p>
        </w:tc>
      </w:tr>
      <w:tr w:rsidR="00D32A05" w:rsidRPr="001C29FC" w14:paraId="13B1131C" w14:textId="77777777" w:rsidTr="00D32A05">
        <w:trPr>
          <w:cantSplit/>
          <w:tblHeader/>
        </w:trPr>
        <w:tc>
          <w:tcPr>
            <w:tcW w:w="1803" w:type="dxa"/>
            <w:shd w:val="clear" w:color="auto" w:fill="auto"/>
            <w:vAlign w:val="bottom"/>
          </w:tcPr>
          <w:p w14:paraId="63431AF1" w14:textId="77777777" w:rsidR="00D32A05" w:rsidRPr="001C29FC" w:rsidRDefault="00D32A05" w:rsidP="00D32A05">
            <w:pPr>
              <w:pStyle w:val="TableText"/>
            </w:pPr>
            <w:r w:rsidRPr="001C29FC">
              <w:t>Invalidate Patient Test Results*</w:t>
            </w:r>
          </w:p>
        </w:tc>
        <w:tc>
          <w:tcPr>
            <w:tcW w:w="1442" w:type="dxa"/>
            <w:vMerge/>
            <w:shd w:val="clear" w:color="auto" w:fill="auto"/>
          </w:tcPr>
          <w:p w14:paraId="206D7861" w14:textId="77777777" w:rsidR="00D32A05" w:rsidRPr="001C29FC" w:rsidRDefault="00D32A05" w:rsidP="00D32A05">
            <w:pPr>
              <w:pStyle w:val="TableText"/>
              <w:rPr>
                <w:color w:val="000000"/>
                <w:szCs w:val="18"/>
              </w:rPr>
            </w:pPr>
          </w:p>
        </w:tc>
        <w:tc>
          <w:tcPr>
            <w:tcW w:w="1633" w:type="dxa"/>
            <w:shd w:val="clear" w:color="auto" w:fill="auto"/>
          </w:tcPr>
          <w:p w14:paraId="22AFD923" w14:textId="77777777" w:rsidR="00D32A05" w:rsidRPr="001C29FC" w:rsidRDefault="00D32A05" w:rsidP="00D32A05">
            <w:pPr>
              <w:pStyle w:val="TableText"/>
              <w:rPr>
                <w:color w:val="000000"/>
                <w:szCs w:val="18"/>
              </w:rPr>
            </w:pPr>
            <w:r w:rsidRPr="001C29FC">
              <w:rPr>
                <w:color w:val="000000"/>
                <w:szCs w:val="18"/>
              </w:rPr>
              <w:t>M</w:t>
            </w:r>
          </w:p>
        </w:tc>
        <w:tc>
          <w:tcPr>
            <w:tcW w:w="4482" w:type="dxa"/>
            <w:shd w:val="clear" w:color="auto" w:fill="auto"/>
          </w:tcPr>
          <w:p w14:paraId="4F29DA85" w14:textId="77777777" w:rsidR="00D32A05" w:rsidRPr="001C29FC" w:rsidRDefault="00D32A05" w:rsidP="00D32A05">
            <w:pPr>
              <w:pStyle w:val="TableText"/>
              <w:rPr>
                <w:szCs w:val="18"/>
              </w:rPr>
            </w:pPr>
            <w:r w:rsidRPr="001C29FC">
              <w:rPr>
                <w:szCs w:val="18"/>
              </w:rPr>
              <w:t>Accrue workload when a completed Repeat DAT, PS, IgG, or Comp is invalidated.</w:t>
            </w:r>
          </w:p>
        </w:tc>
      </w:tr>
      <w:tr w:rsidR="00D32A05" w:rsidRPr="001C29FC" w14:paraId="6C1DF3E1" w14:textId="77777777" w:rsidTr="00D32A05">
        <w:trPr>
          <w:cantSplit/>
          <w:tblHeader/>
        </w:trPr>
        <w:tc>
          <w:tcPr>
            <w:tcW w:w="1803" w:type="dxa"/>
            <w:shd w:val="clear" w:color="auto" w:fill="auto"/>
            <w:vAlign w:val="bottom"/>
          </w:tcPr>
          <w:p w14:paraId="0B36D724" w14:textId="77777777" w:rsidR="00D32A05" w:rsidRPr="001C29FC" w:rsidRDefault="00D32A05" w:rsidP="00D32A05">
            <w:pPr>
              <w:pStyle w:val="TableText"/>
            </w:pPr>
            <w:r w:rsidRPr="001C29FC">
              <w:t>Modify Units</w:t>
            </w:r>
          </w:p>
        </w:tc>
        <w:tc>
          <w:tcPr>
            <w:tcW w:w="1442" w:type="dxa"/>
            <w:vMerge w:val="restart"/>
            <w:shd w:val="clear" w:color="auto" w:fill="auto"/>
          </w:tcPr>
          <w:p w14:paraId="51E83BDF" w14:textId="77777777" w:rsidR="00D32A05" w:rsidRPr="001C29FC" w:rsidRDefault="00D32A05" w:rsidP="00D32A05">
            <w:pPr>
              <w:pStyle w:val="TableText"/>
              <w:rPr>
                <w:color w:val="000000"/>
                <w:szCs w:val="18"/>
              </w:rPr>
            </w:pPr>
            <w:r w:rsidRPr="001C29FC">
              <w:rPr>
                <w:color w:val="000000"/>
                <w:szCs w:val="18"/>
              </w:rPr>
              <w:t>Deglycerolize unit</w:t>
            </w:r>
          </w:p>
        </w:tc>
        <w:tc>
          <w:tcPr>
            <w:tcW w:w="1633" w:type="dxa"/>
            <w:shd w:val="clear" w:color="auto" w:fill="auto"/>
          </w:tcPr>
          <w:p w14:paraId="554DB1E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0AEC73B"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Deglycerolize modification type. Note: Workload is not accrued when a patient assignment is processed and VBECS releases all other patient assignments. Workload is not accrued when VBECS is required to quarantine the unit.</w:t>
            </w:r>
          </w:p>
        </w:tc>
      </w:tr>
      <w:tr w:rsidR="00D32A05" w:rsidRPr="001C29FC" w14:paraId="11D144B2" w14:textId="77777777" w:rsidTr="00D32A05">
        <w:trPr>
          <w:cantSplit/>
          <w:tblHeader/>
        </w:trPr>
        <w:tc>
          <w:tcPr>
            <w:tcW w:w="1803" w:type="dxa"/>
            <w:shd w:val="clear" w:color="auto" w:fill="auto"/>
            <w:vAlign w:val="bottom"/>
          </w:tcPr>
          <w:p w14:paraId="5421E996" w14:textId="77777777" w:rsidR="00D32A05" w:rsidRPr="001C29FC" w:rsidRDefault="00D32A05" w:rsidP="00D32A05">
            <w:pPr>
              <w:pStyle w:val="TableText"/>
            </w:pPr>
            <w:r w:rsidRPr="001C29FC">
              <w:t>Remove Final Status*</w:t>
            </w:r>
          </w:p>
        </w:tc>
        <w:tc>
          <w:tcPr>
            <w:tcW w:w="1442" w:type="dxa"/>
            <w:vMerge/>
            <w:shd w:val="clear" w:color="auto" w:fill="auto"/>
          </w:tcPr>
          <w:p w14:paraId="340AFA3B" w14:textId="77777777" w:rsidR="00D32A05" w:rsidRPr="001C29FC" w:rsidRDefault="00D32A05" w:rsidP="00D32A05">
            <w:pPr>
              <w:pStyle w:val="TableText"/>
              <w:rPr>
                <w:color w:val="000000"/>
                <w:szCs w:val="18"/>
              </w:rPr>
            </w:pPr>
          </w:p>
        </w:tc>
        <w:tc>
          <w:tcPr>
            <w:tcW w:w="1633" w:type="dxa"/>
            <w:shd w:val="clear" w:color="auto" w:fill="auto"/>
          </w:tcPr>
          <w:p w14:paraId="242E820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73E084D"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“Deglycerolize.”</w:t>
            </w:r>
          </w:p>
        </w:tc>
      </w:tr>
      <w:tr w:rsidR="00D32A05" w:rsidRPr="001C29FC" w14:paraId="09391075" w14:textId="77777777" w:rsidTr="00D32A05">
        <w:trPr>
          <w:cantSplit/>
          <w:tblHeader/>
        </w:trPr>
        <w:tc>
          <w:tcPr>
            <w:tcW w:w="1803" w:type="dxa"/>
            <w:shd w:val="clear" w:color="auto" w:fill="auto"/>
          </w:tcPr>
          <w:p w14:paraId="24452886" w14:textId="77777777" w:rsidR="00D32A05" w:rsidRPr="001C29FC" w:rsidRDefault="00D32A05" w:rsidP="00D32A05">
            <w:pPr>
              <w:pStyle w:val="TableText"/>
              <w:rPr>
                <w:color w:val="000000"/>
                <w:szCs w:val="18"/>
              </w:rPr>
            </w:pPr>
            <w:r w:rsidRPr="001C29FC">
              <w:rPr>
                <w:color w:val="000000"/>
                <w:szCs w:val="18"/>
              </w:rPr>
              <w:t>Discard or Quarantine Unit</w:t>
            </w:r>
          </w:p>
        </w:tc>
        <w:tc>
          <w:tcPr>
            <w:tcW w:w="1442" w:type="dxa"/>
            <w:vMerge w:val="restart"/>
            <w:shd w:val="clear" w:color="auto" w:fill="auto"/>
          </w:tcPr>
          <w:p w14:paraId="0C305794" w14:textId="77777777" w:rsidR="00D32A05" w:rsidRPr="001C29FC" w:rsidRDefault="00D32A05" w:rsidP="00D32A05">
            <w:pPr>
              <w:pStyle w:val="TableText"/>
              <w:rPr>
                <w:color w:val="000000"/>
                <w:szCs w:val="18"/>
              </w:rPr>
            </w:pPr>
            <w:r w:rsidRPr="001C29FC">
              <w:rPr>
                <w:color w:val="000000"/>
                <w:szCs w:val="18"/>
              </w:rPr>
              <w:t>Discard unit</w:t>
            </w:r>
          </w:p>
        </w:tc>
        <w:tc>
          <w:tcPr>
            <w:tcW w:w="1633" w:type="dxa"/>
            <w:shd w:val="clear" w:color="auto" w:fill="auto"/>
          </w:tcPr>
          <w:p w14:paraId="359C736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E03F775" w14:textId="77777777" w:rsidR="00D32A05" w:rsidRPr="001C29FC" w:rsidRDefault="00770D73" w:rsidP="00D32A05">
            <w:pPr>
              <w:pStyle w:val="TableText"/>
              <w:rPr>
                <w:szCs w:val="18"/>
              </w:rPr>
            </w:pPr>
            <w:r w:rsidRPr="001C29FC">
              <w:rPr>
                <w:szCs w:val="18"/>
              </w:rPr>
              <w:t>Accrue workload when a</w:t>
            </w:r>
            <w:r w:rsidRPr="001C29FC">
              <w:rPr>
                <w:color w:val="000000"/>
                <w:szCs w:val="18"/>
              </w:rPr>
              <w:t xml:space="preserve"> unit is discarded for waste or credit. When a batch of units is selected, each unit accrues workload.</w:t>
            </w:r>
          </w:p>
        </w:tc>
      </w:tr>
      <w:tr w:rsidR="00D32A05" w:rsidRPr="001C29FC" w14:paraId="6C2A3574" w14:textId="77777777" w:rsidTr="00D32A05">
        <w:trPr>
          <w:cantSplit/>
          <w:tblHeader/>
        </w:trPr>
        <w:tc>
          <w:tcPr>
            <w:tcW w:w="1803" w:type="dxa"/>
            <w:shd w:val="clear" w:color="auto" w:fill="auto"/>
            <w:vAlign w:val="bottom"/>
          </w:tcPr>
          <w:p w14:paraId="6D3920E2" w14:textId="77777777" w:rsidR="00D32A05" w:rsidRPr="001C29FC" w:rsidRDefault="00D32A05" w:rsidP="00D32A05">
            <w:pPr>
              <w:pStyle w:val="TableText"/>
            </w:pPr>
            <w:r w:rsidRPr="001C29FC">
              <w:t>Remove Final Status*</w:t>
            </w:r>
          </w:p>
        </w:tc>
        <w:tc>
          <w:tcPr>
            <w:tcW w:w="1442" w:type="dxa"/>
            <w:vMerge/>
            <w:shd w:val="clear" w:color="auto" w:fill="auto"/>
          </w:tcPr>
          <w:p w14:paraId="43AF69C6" w14:textId="77777777" w:rsidR="00D32A05" w:rsidRPr="001C29FC" w:rsidRDefault="00D32A05" w:rsidP="00D32A05">
            <w:pPr>
              <w:pStyle w:val="TableText"/>
              <w:rPr>
                <w:color w:val="000000"/>
                <w:szCs w:val="18"/>
              </w:rPr>
            </w:pPr>
          </w:p>
        </w:tc>
        <w:tc>
          <w:tcPr>
            <w:tcW w:w="1633" w:type="dxa"/>
            <w:shd w:val="clear" w:color="auto" w:fill="auto"/>
          </w:tcPr>
          <w:p w14:paraId="3B79AB8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5B5D7F2" w14:textId="77777777" w:rsidR="00D32A05" w:rsidRPr="001C29FC" w:rsidRDefault="00D32A05" w:rsidP="00D32A05">
            <w:pPr>
              <w:pStyle w:val="TableText"/>
              <w:rPr>
                <w:szCs w:val="18"/>
              </w:rPr>
            </w:pPr>
            <w:r w:rsidRPr="001C29FC">
              <w:rPr>
                <w:szCs w:val="18"/>
              </w:rPr>
              <w:t>Accrue workload when a</w:t>
            </w:r>
            <w:r w:rsidR="00770D73">
              <w:rPr>
                <w:color w:val="000000"/>
                <w:szCs w:val="18"/>
              </w:rPr>
              <w:t>n individual blood unit’s status is invalidated. When a batch of units is selected, each unit accrues workload.</w:t>
            </w:r>
          </w:p>
        </w:tc>
      </w:tr>
      <w:tr w:rsidR="00D32A05" w:rsidRPr="001C29FC" w14:paraId="2B535C34" w14:textId="77777777" w:rsidTr="00D32A05">
        <w:trPr>
          <w:cantSplit/>
          <w:tblHeader/>
        </w:trPr>
        <w:tc>
          <w:tcPr>
            <w:tcW w:w="1803" w:type="dxa"/>
            <w:shd w:val="clear" w:color="auto" w:fill="auto"/>
            <w:vAlign w:val="bottom"/>
          </w:tcPr>
          <w:p w14:paraId="2A519B7A" w14:textId="77777777" w:rsidR="00D32A05" w:rsidRPr="001C29FC" w:rsidRDefault="00D32A05" w:rsidP="00D32A05">
            <w:pPr>
              <w:pStyle w:val="TableText"/>
            </w:pPr>
            <w:r w:rsidRPr="001C29FC">
              <w:t>Modify Units</w:t>
            </w:r>
          </w:p>
        </w:tc>
        <w:tc>
          <w:tcPr>
            <w:tcW w:w="1442" w:type="dxa"/>
            <w:vMerge w:val="restart"/>
            <w:shd w:val="clear" w:color="auto" w:fill="auto"/>
          </w:tcPr>
          <w:p w14:paraId="17C6665F" w14:textId="77777777" w:rsidR="00D32A05" w:rsidRPr="001C29FC" w:rsidRDefault="00D32A05" w:rsidP="00D32A05">
            <w:pPr>
              <w:pStyle w:val="TableText"/>
              <w:rPr>
                <w:color w:val="000000"/>
                <w:szCs w:val="18"/>
              </w:rPr>
            </w:pPr>
            <w:r w:rsidRPr="001C29FC">
              <w:rPr>
                <w:color w:val="000000"/>
                <w:szCs w:val="18"/>
              </w:rPr>
              <w:t>Freeze unit</w:t>
            </w:r>
          </w:p>
        </w:tc>
        <w:tc>
          <w:tcPr>
            <w:tcW w:w="1633" w:type="dxa"/>
            <w:shd w:val="clear" w:color="auto" w:fill="auto"/>
          </w:tcPr>
          <w:p w14:paraId="3152163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52A1AD0"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Freeze modification type. Note: Workload is not accrued when a patient assignment is processed and VBECS releases all other patient assignments. Workload is not accrued when VBECS is required to quarantine the unit.</w:t>
            </w:r>
          </w:p>
        </w:tc>
      </w:tr>
      <w:tr w:rsidR="00D32A05" w:rsidRPr="001C29FC" w14:paraId="6B524452" w14:textId="77777777" w:rsidTr="00D32A05">
        <w:trPr>
          <w:cantSplit/>
          <w:tblHeader/>
        </w:trPr>
        <w:tc>
          <w:tcPr>
            <w:tcW w:w="1803" w:type="dxa"/>
            <w:shd w:val="clear" w:color="auto" w:fill="auto"/>
            <w:vAlign w:val="bottom"/>
          </w:tcPr>
          <w:p w14:paraId="38050B09" w14:textId="77777777" w:rsidR="00D32A05" w:rsidRPr="001C29FC" w:rsidRDefault="00D32A05" w:rsidP="00D32A05">
            <w:pPr>
              <w:pStyle w:val="TableText"/>
            </w:pPr>
            <w:r w:rsidRPr="001C29FC">
              <w:t>Remove Final Status*</w:t>
            </w:r>
          </w:p>
        </w:tc>
        <w:tc>
          <w:tcPr>
            <w:tcW w:w="1442" w:type="dxa"/>
            <w:vMerge/>
            <w:shd w:val="clear" w:color="auto" w:fill="auto"/>
          </w:tcPr>
          <w:p w14:paraId="3485316F" w14:textId="77777777" w:rsidR="00D32A05" w:rsidRPr="001C29FC" w:rsidRDefault="00D32A05" w:rsidP="00D32A05">
            <w:pPr>
              <w:pStyle w:val="TableText"/>
              <w:rPr>
                <w:color w:val="000000"/>
                <w:szCs w:val="18"/>
              </w:rPr>
            </w:pPr>
          </w:p>
        </w:tc>
        <w:tc>
          <w:tcPr>
            <w:tcW w:w="1633" w:type="dxa"/>
            <w:shd w:val="clear" w:color="auto" w:fill="auto"/>
          </w:tcPr>
          <w:p w14:paraId="74C64F0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6D1D7D7"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“Freeze.”</w:t>
            </w:r>
          </w:p>
        </w:tc>
      </w:tr>
      <w:tr w:rsidR="00D32A05" w:rsidRPr="001C29FC" w14:paraId="5681BB3D" w14:textId="77777777" w:rsidTr="00D32A05">
        <w:trPr>
          <w:cantSplit/>
          <w:tblHeader/>
        </w:trPr>
        <w:tc>
          <w:tcPr>
            <w:tcW w:w="1803" w:type="dxa"/>
            <w:shd w:val="clear" w:color="auto" w:fill="auto"/>
            <w:vAlign w:val="bottom"/>
          </w:tcPr>
          <w:p w14:paraId="4E13E950" w14:textId="77777777" w:rsidR="00D32A05" w:rsidRPr="001C29FC" w:rsidRDefault="00D32A05" w:rsidP="00D32A05">
            <w:pPr>
              <w:pStyle w:val="TableText"/>
            </w:pPr>
            <w:r w:rsidRPr="001C29FC">
              <w:t>Modify Units</w:t>
            </w:r>
          </w:p>
        </w:tc>
        <w:tc>
          <w:tcPr>
            <w:tcW w:w="1442" w:type="dxa"/>
            <w:vMerge w:val="restart"/>
            <w:shd w:val="clear" w:color="auto" w:fill="auto"/>
          </w:tcPr>
          <w:p w14:paraId="6CEA6EB6" w14:textId="77777777" w:rsidR="00D32A05" w:rsidRPr="001C29FC" w:rsidRDefault="00D32A05" w:rsidP="00D32A05">
            <w:pPr>
              <w:pStyle w:val="TableText"/>
              <w:rPr>
                <w:color w:val="000000"/>
                <w:szCs w:val="18"/>
              </w:rPr>
            </w:pPr>
            <w:r w:rsidRPr="001C29FC">
              <w:rPr>
                <w:color w:val="000000"/>
                <w:szCs w:val="18"/>
              </w:rPr>
              <w:t>Irradiate unit</w:t>
            </w:r>
          </w:p>
        </w:tc>
        <w:tc>
          <w:tcPr>
            <w:tcW w:w="1633" w:type="dxa"/>
            <w:shd w:val="clear" w:color="auto" w:fill="auto"/>
          </w:tcPr>
          <w:p w14:paraId="78A63559"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B5993A4"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Irradiate modification type. When a batch of units is irradiated, each unit accrues workload. Note: Workload is not accrued when a patient assignment is processed and VBECS releases all other patient assignments. Workload is not accrued when VBECS is required to quarantine the unit.</w:t>
            </w:r>
          </w:p>
        </w:tc>
      </w:tr>
      <w:tr w:rsidR="00D32A05" w:rsidRPr="001C29FC" w14:paraId="510E5F80" w14:textId="77777777" w:rsidTr="00D32A05">
        <w:trPr>
          <w:cantSplit/>
          <w:tblHeader/>
        </w:trPr>
        <w:tc>
          <w:tcPr>
            <w:tcW w:w="1803" w:type="dxa"/>
            <w:shd w:val="clear" w:color="auto" w:fill="auto"/>
            <w:vAlign w:val="bottom"/>
          </w:tcPr>
          <w:p w14:paraId="49F909FF" w14:textId="77777777" w:rsidR="00D32A05" w:rsidRPr="001C29FC" w:rsidRDefault="00D32A05" w:rsidP="00D32A05">
            <w:pPr>
              <w:pStyle w:val="TableText"/>
            </w:pPr>
            <w:r w:rsidRPr="001C29FC">
              <w:t>Remove Final Status*</w:t>
            </w:r>
          </w:p>
        </w:tc>
        <w:tc>
          <w:tcPr>
            <w:tcW w:w="1442" w:type="dxa"/>
            <w:vMerge/>
            <w:shd w:val="clear" w:color="auto" w:fill="auto"/>
          </w:tcPr>
          <w:p w14:paraId="7201589F" w14:textId="77777777" w:rsidR="00D32A05" w:rsidRPr="001C29FC" w:rsidRDefault="00D32A05" w:rsidP="00D32A05">
            <w:pPr>
              <w:pStyle w:val="TableText"/>
              <w:rPr>
                <w:color w:val="000000"/>
                <w:szCs w:val="18"/>
              </w:rPr>
            </w:pPr>
          </w:p>
        </w:tc>
        <w:tc>
          <w:tcPr>
            <w:tcW w:w="1633" w:type="dxa"/>
            <w:shd w:val="clear" w:color="auto" w:fill="auto"/>
          </w:tcPr>
          <w:p w14:paraId="38B1B59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8F1B13"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“Irradiate.”</w:t>
            </w:r>
          </w:p>
        </w:tc>
      </w:tr>
      <w:tr w:rsidR="00D32A05" w:rsidRPr="001C29FC" w14:paraId="3DA829A9" w14:textId="77777777" w:rsidTr="00D32A05">
        <w:trPr>
          <w:cantSplit/>
          <w:tblHeader/>
        </w:trPr>
        <w:tc>
          <w:tcPr>
            <w:tcW w:w="1803" w:type="dxa"/>
            <w:shd w:val="clear" w:color="auto" w:fill="auto"/>
            <w:vAlign w:val="bottom"/>
          </w:tcPr>
          <w:p w14:paraId="2F7282CC" w14:textId="77777777" w:rsidR="00D32A05" w:rsidRPr="001C29FC" w:rsidRDefault="00D32A05" w:rsidP="00D32A05">
            <w:pPr>
              <w:pStyle w:val="TableText"/>
            </w:pPr>
            <w:r w:rsidRPr="001C29FC">
              <w:t>Modify Units</w:t>
            </w:r>
          </w:p>
        </w:tc>
        <w:tc>
          <w:tcPr>
            <w:tcW w:w="1442" w:type="dxa"/>
            <w:vMerge w:val="restart"/>
            <w:shd w:val="clear" w:color="auto" w:fill="auto"/>
          </w:tcPr>
          <w:p w14:paraId="5710A905" w14:textId="77777777" w:rsidR="00D32A05" w:rsidRPr="001C29FC" w:rsidRDefault="00D32A05" w:rsidP="00D32A05">
            <w:pPr>
              <w:pStyle w:val="TableText"/>
              <w:rPr>
                <w:color w:val="000000"/>
                <w:szCs w:val="18"/>
              </w:rPr>
            </w:pPr>
            <w:r w:rsidRPr="001C29FC">
              <w:rPr>
                <w:color w:val="000000"/>
                <w:szCs w:val="18"/>
              </w:rPr>
              <w:t>Leukoreduce unit</w:t>
            </w:r>
          </w:p>
        </w:tc>
        <w:tc>
          <w:tcPr>
            <w:tcW w:w="1633" w:type="dxa"/>
            <w:shd w:val="clear" w:color="auto" w:fill="auto"/>
          </w:tcPr>
          <w:p w14:paraId="353107A6"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4FF352F"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Leukoreduce modification type.</w:t>
            </w:r>
            <w:r w:rsidRPr="001C29FC">
              <w:rPr>
                <w:color w:val="000000"/>
                <w:szCs w:val="18"/>
              </w:rPr>
              <w:br/>
              <w:t>Note: Workload is not accrued when a patient assignment is processed and VBECS releases all other patient assignments. Workload is not accrued when VBECS is required to quarantine the unit.</w:t>
            </w:r>
          </w:p>
        </w:tc>
      </w:tr>
      <w:tr w:rsidR="00D32A05" w:rsidRPr="001C29FC" w14:paraId="2F2A61DA" w14:textId="77777777" w:rsidTr="00D32A05">
        <w:trPr>
          <w:cantSplit/>
          <w:tblHeader/>
        </w:trPr>
        <w:tc>
          <w:tcPr>
            <w:tcW w:w="1803" w:type="dxa"/>
            <w:shd w:val="clear" w:color="auto" w:fill="auto"/>
            <w:vAlign w:val="bottom"/>
          </w:tcPr>
          <w:p w14:paraId="77530D36" w14:textId="77777777" w:rsidR="00D32A05" w:rsidRPr="001C29FC" w:rsidRDefault="00D32A05" w:rsidP="00D32A05">
            <w:pPr>
              <w:pStyle w:val="TableText"/>
            </w:pPr>
            <w:r w:rsidRPr="001C29FC">
              <w:t>Remove Final Status*</w:t>
            </w:r>
          </w:p>
        </w:tc>
        <w:tc>
          <w:tcPr>
            <w:tcW w:w="1442" w:type="dxa"/>
            <w:vMerge/>
            <w:shd w:val="clear" w:color="auto" w:fill="auto"/>
          </w:tcPr>
          <w:p w14:paraId="482EC222" w14:textId="77777777" w:rsidR="00D32A05" w:rsidRPr="001C29FC" w:rsidRDefault="00D32A05" w:rsidP="00D32A05">
            <w:pPr>
              <w:pStyle w:val="TableText"/>
              <w:rPr>
                <w:color w:val="000000"/>
                <w:szCs w:val="18"/>
              </w:rPr>
            </w:pPr>
          </w:p>
        </w:tc>
        <w:tc>
          <w:tcPr>
            <w:tcW w:w="1633" w:type="dxa"/>
            <w:shd w:val="clear" w:color="auto" w:fill="auto"/>
          </w:tcPr>
          <w:p w14:paraId="44DA736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B895910"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“Leukoreduce.”</w:t>
            </w:r>
          </w:p>
        </w:tc>
      </w:tr>
      <w:tr w:rsidR="00D32A05" w:rsidRPr="001C29FC" w14:paraId="7EA4C4C8" w14:textId="77777777" w:rsidTr="00D32A05">
        <w:trPr>
          <w:cantSplit/>
          <w:tblHeader/>
        </w:trPr>
        <w:tc>
          <w:tcPr>
            <w:tcW w:w="1803" w:type="dxa"/>
            <w:shd w:val="clear" w:color="auto" w:fill="auto"/>
            <w:vAlign w:val="bottom"/>
          </w:tcPr>
          <w:p w14:paraId="07F8B407" w14:textId="77777777" w:rsidR="00D32A05" w:rsidRPr="001C29FC" w:rsidRDefault="00D32A05" w:rsidP="00D32A05">
            <w:pPr>
              <w:pStyle w:val="TableText"/>
            </w:pPr>
            <w:r w:rsidRPr="001C29FC">
              <w:t>Split a Unit</w:t>
            </w:r>
          </w:p>
        </w:tc>
        <w:tc>
          <w:tcPr>
            <w:tcW w:w="1442" w:type="dxa"/>
            <w:vMerge w:val="restart"/>
            <w:shd w:val="clear" w:color="auto" w:fill="auto"/>
          </w:tcPr>
          <w:p w14:paraId="6B1F1D1F" w14:textId="77777777" w:rsidR="00D32A05" w:rsidRPr="001C29FC" w:rsidRDefault="00D32A05" w:rsidP="00D32A05">
            <w:pPr>
              <w:pStyle w:val="TableText"/>
              <w:rPr>
                <w:color w:val="000000"/>
                <w:szCs w:val="18"/>
              </w:rPr>
            </w:pPr>
            <w:r w:rsidRPr="001C29FC">
              <w:rPr>
                <w:color w:val="000000"/>
                <w:szCs w:val="18"/>
              </w:rPr>
              <w:t>Split unit</w:t>
            </w:r>
          </w:p>
        </w:tc>
        <w:tc>
          <w:tcPr>
            <w:tcW w:w="1633" w:type="dxa"/>
            <w:shd w:val="clear" w:color="auto" w:fill="auto"/>
          </w:tcPr>
          <w:p w14:paraId="23AD3163"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64C7802"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unit modification of Split and a single workload event is recorded regardless of the number of units created by the modification.</w:t>
            </w:r>
            <w:r w:rsidRPr="001C29FC">
              <w:rPr>
                <w:i/>
                <w:iCs/>
                <w:color w:val="000000"/>
                <w:szCs w:val="18"/>
              </w:rPr>
              <w:t xml:space="preserve"> </w:t>
            </w:r>
            <w:r w:rsidRPr="001C29FC">
              <w:rPr>
                <w:iCs/>
                <w:color w:val="000000"/>
                <w:szCs w:val="18"/>
              </w:rPr>
              <w:t xml:space="preserve">Note: Workload is not accrued when a patient assignment is processed and VBECS releases all other patient assignments. Workload is not accrued when VBECS is required to quarantine the unit. </w:t>
            </w:r>
          </w:p>
        </w:tc>
      </w:tr>
      <w:tr w:rsidR="00D32A05" w:rsidRPr="001C29FC" w14:paraId="6BD4DEC1" w14:textId="77777777" w:rsidTr="00D32A05">
        <w:trPr>
          <w:cantSplit/>
          <w:tblHeader/>
        </w:trPr>
        <w:tc>
          <w:tcPr>
            <w:tcW w:w="1803" w:type="dxa"/>
            <w:shd w:val="clear" w:color="auto" w:fill="auto"/>
            <w:vAlign w:val="bottom"/>
          </w:tcPr>
          <w:p w14:paraId="121E279E" w14:textId="77777777" w:rsidR="00D32A05" w:rsidRPr="001C29FC" w:rsidRDefault="00D32A05" w:rsidP="00D32A05">
            <w:pPr>
              <w:pStyle w:val="TableText"/>
            </w:pPr>
            <w:r w:rsidRPr="001C29FC">
              <w:t>Remove Final Status*</w:t>
            </w:r>
          </w:p>
        </w:tc>
        <w:tc>
          <w:tcPr>
            <w:tcW w:w="1442" w:type="dxa"/>
            <w:vMerge/>
            <w:shd w:val="clear" w:color="auto" w:fill="auto"/>
          </w:tcPr>
          <w:p w14:paraId="29E28EB9" w14:textId="77777777" w:rsidR="00D32A05" w:rsidRPr="001C29FC" w:rsidRDefault="00D32A05" w:rsidP="00D32A05">
            <w:pPr>
              <w:pStyle w:val="TableText"/>
              <w:rPr>
                <w:color w:val="000000"/>
                <w:szCs w:val="18"/>
              </w:rPr>
            </w:pPr>
          </w:p>
        </w:tc>
        <w:tc>
          <w:tcPr>
            <w:tcW w:w="1633" w:type="dxa"/>
            <w:shd w:val="clear" w:color="auto" w:fill="auto"/>
          </w:tcPr>
          <w:p w14:paraId="738A1D2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8C7799" w14:textId="77777777" w:rsidR="00D32A05" w:rsidRPr="001C29FC" w:rsidRDefault="00D32A05" w:rsidP="00D32A05">
            <w:pPr>
              <w:pStyle w:val="TableText"/>
              <w:rPr>
                <w:color w:val="000000"/>
                <w:szCs w:val="18"/>
              </w:rPr>
            </w:pPr>
            <w:r w:rsidRPr="001C29FC">
              <w:rPr>
                <w:color w:val="000000"/>
                <w:szCs w:val="18"/>
              </w:rPr>
              <w:t>A Split Unit has its unit status invalidated. A single workload event is recorded regardless of the number of units originally created by the modification.</w:t>
            </w:r>
          </w:p>
        </w:tc>
      </w:tr>
      <w:tr w:rsidR="00D32A05" w:rsidRPr="001C29FC" w14:paraId="1932BBEE" w14:textId="77777777" w:rsidTr="00D32A05">
        <w:trPr>
          <w:cantSplit/>
          <w:tblHeader/>
        </w:trPr>
        <w:tc>
          <w:tcPr>
            <w:tcW w:w="1803" w:type="dxa"/>
            <w:shd w:val="clear" w:color="auto" w:fill="auto"/>
            <w:vAlign w:val="bottom"/>
          </w:tcPr>
          <w:p w14:paraId="60727877" w14:textId="77777777" w:rsidR="00D32A05" w:rsidRPr="001C29FC" w:rsidRDefault="00D32A05" w:rsidP="00D32A05">
            <w:pPr>
              <w:pStyle w:val="TableText"/>
            </w:pPr>
            <w:r w:rsidRPr="001C29FC">
              <w:t>Modify Units</w:t>
            </w:r>
          </w:p>
        </w:tc>
        <w:tc>
          <w:tcPr>
            <w:tcW w:w="1442" w:type="dxa"/>
            <w:vMerge w:val="restart"/>
            <w:shd w:val="clear" w:color="auto" w:fill="auto"/>
          </w:tcPr>
          <w:p w14:paraId="22844BDE" w14:textId="77777777" w:rsidR="00D32A05" w:rsidRPr="001C29FC" w:rsidRDefault="00D32A05" w:rsidP="00D32A05">
            <w:pPr>
              <w:pStyle w:val="TableText"/>
              <w:rPr>
                <w:color w:val="000000"/>
                <w:szCs w:val="18"/>
              </w:rPr>
            </w:pPr>
            <w:r w:rsidRPr="001C29FC">
              <w:rPr>
                <w:color w:val="000000"/>
                <w:szCs w:val="18"/>
              </w:rPr>
              <w:t>Rejuvenate unit</w:t>
            </w:r>
          </w:p>
        </w:tc>
        <w:tc>
          <w:tcPr>
            <w:tcW w:w="1633" w:type="dxa"/>
            <w:shd w:val="clear" w:color="auto" w:fill="auto"/>
          </w:tcPr>
          <w:p w14:paraId="485F46E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A311D03"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Rejuvenate modification type. </w:t>
            </w:r>
            <w:r w:rsidRPr="001C29FC">
              <w:rPr>
                <w:color w:val="000000"/>
                <w:szCs w:val="18"/>
              </w:rPr>
              <w:br/>
              <w:t>Note: Workload is not accrued when a patient assignment is processed and VBECS releases all other patient assignments. Workload is not accrued when VBECS is required to quarantine the unit.</w:t>
            </w:r>
          </w:p>
        </w:tc>
      </w:tr>
      <w:tr w:rsidR="00D32A05" w:rsidRPr="001C29FC" w14:paraId="39B0F9AD" w14:textId="77777777" w:rsidTr="00D32A05">
        <w:trPr>
          <w:cantSplit/>
          <w:tblHeader/>
        </w:trPr>
        <w:tc>
          <w:tcPr>
            <w:tcW w:w="1803" w:type="dxa"/>
            <w:shd w:val="clear" w:color="auto" w:fill="auto"/>
            <w:vAlign w:val="bottom"/>
          </w:tcPr>
          <w:p w14:paraId="4A606A02" w14:textId="77777777" w:rsidR="00D32A05" w:rsidRPr="001C29FC" w:rsidRDefault="00D32A05" w:rsidP="00D32A05">
            <w:pPr>
              <w:pStyle w:val="TableText"/>
            </w:pPr>
            <w:r w:rsidRPr="001C29FC">
              <w:t>Remove Final Status*</w:t>
            </w:r>
          </w:p>
        </w:tc>
        <w:tc>
          <w:tcPr>
            <w:tcW w:w="1442" w:type="dxa"/>
            <w:vMerge/>
            <w:shd w:val="clear" w:color="auto" w:fill="auto"/>
          </w:tcPr>
          <w:p w14:paraId="6FCFB2AE" w14:textId="77777777" w:rsidR="00D32A05" w:rsidRPr="001C29FC" w:rsidRDefault="00D32A05" w:rsidP="00D32A05">
            <w:pPr>
              <w:pStyle w:val="TableText"/>
              <w:rPr>
                <w:color w:val="000000"/>
                <w:szCs w:val="18"/>
              </w:rPr>
            </w:pPr>
          </w:p>
        </w:tc>
        <w:tc>
          <w:tcPr>
            <w:tcW w:w="1633" w:type="dxa"/>
            <w:shd w:val="clear" w:color="auto" w:fill="auto"/>
          </w:tcPr>
          <w:p w14:paraId="0E06A2E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FA3CB0A"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“Rejuvenate. “</w:t>
            </w:r>
          </w:p>
        </w:tc>
      </w:tr>
      <w:tr w:rsidR="00D32A05" w:rsidRPr="001C29FC" w14:paraId="735BEE58" w14:textId="77777777" w:rsidTr="00D32A05">
        <w:trPr>
          <w:cantSplit/>
          <w:tblHeader/>
        </w:trPr>
        <w:tc>
          <w:tcPr>
            <w:tcW w:w="1803" w:type="dxa"/>
            <w:shd w:val="clear" w:color="auto" w:fill="auto"/>
            <w:vAlign w:val="bottom"/>
          </w:tcPr>
          <w:p w14:paraId="556740C8" w14:textId="77777777" w:rsidR="00D32A05" w:rsidRPr="001C29FC" w:rsidRDefault="00D32A05" w:rsidP="00D32A05">
            <w:pPr>
              <w:pStyle w:val="TableText"/>
            </w:pPr>
            <w:r w:rsidRPr="001C29FC">
              <w:t>Modify Units</w:t>
            </w:r>
          </w:p>
        </w:tc>
        <w:tc>
          <w:tcPr>
            <w:tcW w:w="1442" w:type="dxa"/>
            <w:vMerge w:val="restart"/>
            <w:shd w:val="clear" w:color="auto" w:fill="auto"/>
          </w:tcPr>
          <w:p w14:paraId="752D17D0" w14:textId="77777777" w:rsidR="00D32A05" w:rsidRPr="001C29FC" w:rsidRDefault="00D32A05" w:rsidP="00D32A05">
            <w:pPr>
              <w:pStyle w:val="TableText"/>
              <w:rPr>
                <w:color w:val="000000"/>
                <w:szCs w:val="18"/>
              </w:rPr>
            </w:pPr>
            <w:r w:rsidRPr="001C29FC">
              <w:rPr>
                <w:color w:val="000000"/>
                <w:szCs w:val="18"/>
              </w:rPr>
              <w:t xml:space="preserve">Thaw </w:t>
            </w:r>
          </w:p>
        </w:tc>
        <w:tc>
          <w:tcPr>
            <w:tcW w:w="1633" w:type="dxa"/>
            <w:shd w:val="clear" w:color="auto" w:fill="auto"/>
          </w:tcPr>
          <w:p w14:paraId="5DF77AA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A2833E6" w14:textId="77777777" w:rsidR="00D32A05" w:rsidRPr="001C29FC" w:rsidRDefault="00D32A05" w:rsidP="00D32A05">
            <w:pPr>
              <w:pStyle w:val="TableText"/>
              <w:rPr>
                <w:szCs w:val="18"/>
              </w:rPr>
            </w:pPr>
            <w:r w:rsidRPr="001C29FC">
              <w:rPr>
                <w:szCs w:val="18"/>
              </w:rPr>
              <w:t>Accrue workload when an</w:t>
            </w:r>
            <w:r w:rsidRPr="001C29FC">
              <w:rPr>
                <w:color w:val="000000"/>
                <w:szCs w:val="18"/>
              </w:rPr>
              <w:t xml:space="preserve"> individual blood unit is processed by the Thaw modification type. When a batch of units is thawed, each unit accrues workload. This applies to Thaw FFP and Thaw Cryo. Note: Workload is not accrued when a patient assignment is processed and VBECS releases all other patient assignments. Workload is not accrued when VBECS is required to quarantine the unit.</w:t>
            </w:r>
          </w:p>
        </w:tc>
      </w:tr>
      <w:tr w:rsidR="00D32A05" w:rsidRPr="001C29FC" w14:paraId="364A5A4D" w14:textId="77777777" w:rsidTr="00D32A05">
        <w:trPr>
          <w:cantSplit/>
          <w:tblHeader/>
        </w:trPr>
        <w:tc>
          <w:tcPr>
            <w:tcW w:w="1803" w:type="dxa"/>
            <w:shd w:val="clear" w:color="auto" w:fill="auto"/>
            <w:vAlign w:val="bottom"/>
          </w:tcPr>
          <w:p w14:paraId="28D3A679" w14:textId="77777777" w:rsidR="00D32A05" w:rsidRPr="001C29FC" w:rsidRDefault="00D32A05" w:rsidP="00D32A05">
            <w:pPr>
              <w:pStyle w:val="TableText"/>
            </w:pPr>
            <w:r w:rsidRPr="001C29FC">
              <w:t>Remove Final Status*</w:t>
            </w:r>
          </w:p>
        </w:tc>
        <w:tc>
          <w:tcPr>
            <w:tcW w:w="1442" w:type="dxa"/>
            <w:vMerge/>
            <w:shd w:val="clear" w:color="auto" w:fill="auto"/>
          </w:tcPr>
          <w:p w14:paraId="5AA63736" w14:textId="77777777" w:rsidR="00D32A05" w:rsidRPr="001C29FC" w:rsidRDefault="00D32A05" w:rsidP="00D32A05">
            <w:pPr>
              <w:pStyle w:val="TableText"/>
              <w:rPr>
                <w:color w:val="000000"/>
                <w:szCs w:val="18"/>
              </w:rPr>
            </w:pPr>
          </w:p>
        </w:tc>
        <w:tc>
          <w:tcPr>
            <w:tcW w:w="1633" w:type="dxa"/>
            <w:shd w:val="clear" w:color="auto" w:fill="auto"/>
          </w:tcPr>
          <w:p w14:paraId="35A108DB"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DDD8528"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“Thaw.” This modification type is applicable to Thaw FFP and Thaw Cryo.</w:t>
            </w:r>
          </w:p>
        </w:tc>
      </w:tr>
      <w:tr w:rsidR="00D32A05" w:rsidRPr="001C29FC" w14:paraId="00D0AFDD" w14:textId="77777777" w:rsidTr="00D32A05">
        <w:trPr>
          <w:cantSplit/>
          <w:tblHeader/>
        </w:trPr>
        <w:tc>
          <w:tcPr>
            <w:tcW w:w="1803" w:type="dxa"/>
            <w:shd w:val="clear" w:color="auto" w:fill="auto"/>
            <w:vAlign w:val="bottom"/>
          </w:tcPr>
          <w:p w14:paraId="5D76FEBB" w14:textId="77777777" w:rsidR="00D32A05" w:rsidRPr="001C29FC" w:rsidRDefault="00D32A05" w:rsidP="00D32A05">
            <w:pPr>
              <w:pStyle w:val="TableText"/>
            </w:pPr>
            <w:r w:rsidRPr="001C29FC">
              <w:t>Modify Units</w:t>
            </w:r>
          </w:p>
        </w:tc>
        <w:tc>
          <w:tcPr>
            <w:tcW w:w="1442" w:type="dxa"/>
            <w:vMerge w:val="restart"/>
            <w:shd w:val="clear" w:color="auto" w:fill="auto"/>
          </w:tcPr>
          <w:p w14:paraId="39174611" w14:textId="77777777" w:rsidR="00D32A05" w:rsidRPr="001C29FC" w:rsidRDefault="00D32A05" w:rsidP="00D32A05">
            <w:pPr>
              <w:pStyle w:val="TableText"/>
              <w:rPr>
                <w:color w:val="000000"/>
                <w:szCs w:val="18"/>
              </w:rPr>
            </w:pPr>
            <w:r w:rsidRPr="001C29FC">
              <w:rPr>
                <w:color w:val="000000"/>
                <w:szCs w:val="18"/>
              </w:rPr>
              <w:t>Wash unit</w:t>
            </w:r>
          </w:p>
        </w:tc>
        <w:tc>
          <w:tcPr>
            <w:tcW w:w="1633" w:type="dxa"/>
            <w:shd w:val="clear" w:color="auto" w:fill="auto"/>
          </w:tcPr>
          <w:p w14:paraId="4CE7D6DD"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52AAA35"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is processed by the Wash modification type. Note: Workload is not accrued when a patient assignment is processed and VBECS releases all other patient assignments. Workload is not accrued when VBECS is required to quarantine the unit.</w:t>
            </w:r>
          </w:p>
        </w:tc>
      </w:tr>
      <w:tr w:rsidR="00D32A05" w:rsidRPr="001C29FC" w14:paraId="6C6B9973" w14:textId="77777777" w:rsidTr="00D32A05">
        <w:trPr>
          <w:cantSplit/>
          <w:tblHeader/>
        </w:trPr>
        <w:tc>
          <w:tcPr>
            <w:tcW w:w="1803" w:type="dxa"/>
            <w:shd w:val="clear" w:color="auto" w:fill="auto"/>
            <w:vAlign w:val="bottom"/>
          </w:tcPr>
          <w:p w14:paraId="60F76775" w14:textId="77777777" w:rsidR="00D32A05" w:rsidRPr="001C29FC" w:rsidRDefault="00D32A05" w:rsidP="00D32A05">
            <w:pPr>
              <w:pStyle w:val="TableText"/>
            </w:pPr>
            <w:r w:rsidRPr="001C29FC">
              <w:t>Remove Final Status*</w:t>
            </w:r>
          </w:p>
        </w:tc>
        <w:tc>
          <w:tcPr>
            <w:tcW w:w="1442" w:type="dxa"/>
            <w:vMerge/>
            <w:shd w:val="clear" w:color="auto" w:fill="auto"/>
          </w:tcPr>
          <w:p w14:paraId="0E48D9DC" w14:textId="77777777" w:rsidR="00D32A05" w:rsidRPr="001C29FC" w:rsidRDefault="00D32A05" w:rsidP="00D32A05">
            <w:pPr>
              <w:pStyle w:val="TableText"/>
              <w:rPr>
                <w:color w:val="000000"/>
                <w:szCs w:val="18"/>
              </w:rPr>
            </w:pPr>
          </w:p>
        </w:tc>
        <w:tc>
          <w:tcPr>
            <w:tcW w:w="1633" w:type="dxa"/>
            <w:shd w:val="clear" w:color="auto" w:fill="auto"/>
          </w:tcPr>
          <w:p w14:paraId="1BDA908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AE69EEC"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“Wash.”</w:t>
            </w:r>
          </w:p>
        </w:tc>
      </w:tr>
      <w:tr w:rsidR="00D32A05" w:rsidRPr="001C29FC" w14:paraId="15392456" w14:textId="77777777" w:rsidTr="00D32A05">
        <w:trPr>
          <w:cantSplit/>
          <w:tblHeader/>
        </w:trPr>
        <w:tc>
          <w:tcPr>
            <w:tcW w:w="1803" w:type="dxa"/>
            <w:shd w:val="clear" w:color="auto" w:fill="auto"/>
            <w:vAlign w:val="bottom"/>
          </w:tcPr>
          <w:p w14:paraId="76EAC92F" w14:textId="77777777" w:rsidR="00D32A05" w:rsidRPr="001C29FC" w:rsidRDefault="00D32A05" w:rsidP="00D32A05">
            <w:pPr>
              <w:pStyle w:val="TableText"/>
            </w:pPr>
            <w:r w:rsidRPr="001C29FC">
              <w:t>Modify Units</w:t>
            </w:r>
          </w:p>
        </w:tc>
        <w:tc>
          <w:tcPr>
            <w:tcW w:w="1442" w:type="dxa"/>
            <w:vMerge w:val="restart"/>
            <w:shd w:val="clear" w:color="auto" w:fill="auto"/>
          </w:tcPr>
          <w:p w14:paraId="28350C62" w14:textId="77777777" w:rsidR="00D32A05" w:rsidRPr="001C29FC" w:rsidRDefault="00D32A05" w:rsidP="00D32A05">
            <w:pPr>
              <w:pStyle w:val="TableText"/>
              <w:rPr>
                <w:color w:val="000000"/>
                <w:szCs w:val="18"/>
              </w:rPr>
            </w:pPr>
            <w:r w:rsidRPr="001C29FC">
              <w:rPr>
                <w:color w:val="000000"/>
                <w:szCs w:val="18"/>
              </w:rPr>
              <w:t>Volume Reduce</w:t>
            </w:r>
          </w:p>
        </w:tc>
        <w:tc>
          <w:tcPr>
            <w:tcW w:w="1633" w:type="dxa"/>
            <w:shd w:val="clear" w:color="auto" w:fill="auto"/>
          </w:tcPr>
          <w:p w14:paraId="1628CC4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6311D2D"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is processed by the Volume Reduce modification type. Note: Workload is not accrued when a patient assignment is processed and VBECS releases all other patient assignments. Workload is not accrued when VBECS is required to quarantine the unit.</w:t>
            </w:r>
          </w:p>
        </w:tc>
      </w:tr>
      <w:tr w:rsidR="00D32A05" w:rsidRPr="001C29FC" w14:paraId="170BA842" w14:textId="77777777" w:rsidTr="00D32A05">
        <w:trPr>
          <w:cantSplit/>
          <w:tblHeader/>
        </w:trPr>
        <w:tc>
          <w:tcPr>
            <w:tcW w:w="1803" w:type="dxa"/>
            <w:shd w:val="clear" w:color="auto" w:fill="auto"/>
            <w:vAlign w:val="bottom"/>
          </w:tcPr>
          <w:p w14:paraId="4C33BAAD" w14:textId="77777777" w:rsidR="00D32A05" w:rsidRPr="001C29FC" w:rsidRDefault="00D32A05" w:rsidP="00D32A05">
            <w:pPr>
              <w:pStyle w:val="TableText"/>
            </w:pPr>
            <w:r w:rsidRPr="001C29FC">
              <w:t>Remove Final Status*</w:t>
            </w:r>
          </w:p>
        </w:tc>
        <w:tc>
          <w:tcPr>
            <w:tcW w:w="1442" w:type="dxa"/>
            <w:vMerge/>
            <w:shd w:val="clear" w:color="auto" w:fill="auto"/>
          </w:tcPr>
          <w:p w14:paraId="778D6AF7" w14:textId="77777777" w:rsidR="00D32A05" w:rsidRPr="001C29FC" w:rsidRDefault="00D32A05" w:rsidP="00D32A05">
            <w:pPr>
              <w:pStyle w:val="TableText"/>
              <w:rPr>
                <w:color w:val="000000"/>
                <w:szCs w:val="18"/>
              </w:rPr>
            </w:pPr>
          </w:p>
        </w:tc>
        <w:tc>
          <w:tcPr>
            <w:tcW w:w="1633" w:type="dxa"/>
            <w:shd w:val="clear" w:color="auto" w:fill="auto"/>
          </w:tcPr>
          <w:p w14:paraId="074D8A0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4B60C88"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original modification process was Volume Reduce.</w:t>
            </w:r>
          </w:p>
        </w:tc>
      </w:tr>
      <w:tr w:rsidR="00D32A05" w:rsidRPr="001C29FC" w14:paraId="34A89218" w14:textId="77777777" w:rsidTr="00D32A05">
        <w:trPr>
          <w:cantSplit/>
          <w:tblHeader/>
        </w:trPr>
        <w:tc>
          <w:tcPr>
            <w:tcW w:w="1803" w:type="dxa"/>
            <w:shd w:val="clear" w:color="auto" w:fill="auto"/>
            <w:vAlign w:val="bottom"/>
          </w:tcPr>
          <w:p w14:paraId="3542A034" w14:textId="77777777" w:rsidR="00D32A05" w:rsidRPr="001C29FC" w:rsidRDefault="00D32A05" w:rsidP="00D32A05">
            <w:pPr>
              <w:pStyle w:val="TableText"/>
              <w:rPr>
                <w:szCs w:val="18"/>
              </w:rPr>
            </w:pPr>
            <w:r w:rsidRPr="001C29FC">
              <w:rPr>
                <w:snapToGrid w:val="0"/>
                <w:szCs w:val="18"/>
              </w:rPr>
              <w:t>Issue Blood Components</w:t>
            </w:r>
          </w:p>
        </w:tc>
        <w:tc>
          <w:tcPr>
            <w:tcW w:w="1442" w:type="dxa"/>
            <w:shd w:val="clear" w:color="auto" w:fill="auto"/>
          </w:tcPr>
          <w:p w14:paraId="5808B585" w14:textId="77777777" w:rsidR="00D32A05" w:rsidRPr="001C29FC" w:rsidRDefault="00D32A05" w:rsidP="00D32A05">
            <w:pPr>
              <w:pStyle w:val="TableText"/>
              <w:rPr>
                <w:color w:val="000000"/>
                <w:szCs w:val="18"/>
              </w:rPr>
            </w:pPr>
            <w:r w:rsidRPr="001C29FC">
              <w:rPr>
                <w:color w:val="000000"/>
                <w:szCs w:val="18"/>
              </w:rPr>
              <w:t>Issue unit</w:t>
            </w:r>
          </w:p>
        </w:tc>
        <w:tc>
          <w:tcPr>
            <w:tcW w:w="1633" w:type="dxa"/>
            <w:shd w:val="clear" w:color="auto" w:fill="auto"/>
          </w:tcPr>
          <w:p w14:paraId="612885DB"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6AA41AE4"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unit is issued to a patient. When a batch of units is processed, each unit invokes one workload process.</w:t>
            </w:r>
          </w:p>
        </w:tc>
      </w:tr>
      <w:tr w:rsidR="00D32A05" w:rsidRPr="001C29FC" w14:paraId="69E50D11" w14:textId="77777777" w:rsidTr="00D32A05">
        <w:trPr>
          <w:cantSplit/>
          <w:tblHeader/>
        </w:trPr>
        <w:tc>
          <w:tcPr>
            <w:tcW w:w="1803" w:type="dxa"/>
            <w:shd w:val="clear" w:color="auto" w:fill="auto"/>
            <w:vAlign w:val="bottom"/>
          </w:tcPr>
          <w:p w14:paraId="41F96076" w14:textId="77777777" w:rsidR="00D32A05" w:rsidRPr="001C29FC" w:rsidRDefault="00D32A05" w:rsidP="00D32A05">
            <w:pPr>
              <w:pStyle w:val="TableText"/>
            </w:pPr>
            <w:r w:rsidRPr="001C29FC">
              <w:t>Justify Patient ABO/Rh Change</w:t>
            </w:r>
          </w:p>
        </w:tc>
        <w:tc>
          <w:tcPr>
            <w:tcW w:w="1442" w:type="dxa"/>
            <w:shd w:val="clear" w:color="auto" w:fill="auto"/>
          </w:tcPr>
          <w:p w14:paraId="16F65C1F" w14:textId="77777777" w:rsidR="00D32A05" w:rsidRPr="001C29FC" w:rsidRDefault="00D32A05" w:rsidP="00D32A05">
            <w:pPr>
              <w:pStyle w:val="TableText"/>
              <w:rPr>
                <w:color w:val="000000"/>
                <w:szCs w:val="18"/>
              </w:rPr>
            </w:pPr>
            <w:r w:rsidRPr="001C29FC">
              <w:rPr>
                <w:color w:val="000000"/>
                <w:szCs w:val="18"/>
              </w:rPr>
              <w:t>Justification</w:t>
            </w:r>
          </w:p>
        </w:tc>
        <w:tc>
          <w:tcPr>
            <w:tcW w:w="1633" w:type="dxa"/>
            <w:shd w:val="clear" w:color="auto" w:fill="auto"/>
          </w:tcPr>
          <w:p w14:paraId="0438CF2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126FE65C" w14:textId="77777777" w:rsidR="00D32A05" w:rsidRPr="001C29FC" w:rsidRDefault="00D32A05" w:rsidP="00D32A05">
            <w:pPr>
              <w:pStyle w:val="TableText"/>
              <w:rPr>
                <w:color w:val="000000"/>
                <w:szCs w:val="18"/>
              </w:rPr>
            </w:pPr>
            <w:r w:rsidRPr="001C29FC">
              <w:rPr>
                <w:color w:val="000000"/>
                <w:szCs w:val="18"/>
              </w:rPr>
              <w:t>Workload is accrued when a patient’s ABO or Rh typing is justified. One workload event is accrued per patient justification.</w:t>
            </w:r>
          </w:p>
        </w:tc>
      </w:tr>
      <w:tr w:rsidR="00D32A05" w:rsidRPr="001C29FC" w14:paraId="1C518839" w14:textId="77777777" w:rsidTr="00D32A05">
        <w:trPr>
          <w:cantSplit/>
          <w:tblHeader/>
        </w:trPr>
        <w:tc>
          <w:tcPr>
            <w:tcW w:w="1803" w:type="dxa"/>
            <w:shd w:val="clear" w:color="auto" w:fill="auto"/>
          </w:tcPr>
          <w:p w14:paraId="1333477B" w14:textId="77777777" w:rsidR="00D32A05" w:rsidRPr="001C29FC" w:rsidRDefault="00D32A05" w:rsidP="00D32A05">
            <w:pPr>
              <w:pStyle w:val="TableText"/>
              <w:rPr>
                <w:szCs w:val="18"/>
              </w:rPr>
            </w:pPr>
            <w:r w:rsidRPr="001C29FC">
              <w:rPr>
                <w:szCs w:val="18"/>
              </w:rPr>
              <w:t>Login Equipment</w:t>
            </w:r>
          </w:p>
        </w:tc>
        <w:tc>
          <w:tcPr>
            <w:tcW w:w="1442" w:type="dxa"/>
            <w:shd w:val="clear" w:color="auto" w:fill="auto"/>
          </w:tcPr>
          <w:p w14:paraId="3149E84A" w14:textId="77777777" w:rsidR="00D32A05" w:rsidRPr="001C29FC" w:rsidRDefault="00D32A05" w:rsidP="00D32A05">
            <w:pPr>
              <w:pStyle w:val="TableText"/>
              <w:rPr>
                <w:szCs w:val="18"/>
              </w:rPr>
            </w:pPr>
            <w:r w:rsidRPr="001C29FC">
              <w:rPr>
                <w:szCs w:val="18"/>
              </w:rPr>
              <w:t>Login Equipment</w:t>
            </w:r>
          </w:p>
        </w:tc>
        <w:tc>
          <w:tcPr>
            <w:tcW w:w="1633" w:type="dxa"/>
            <w:shd w:val="clear" w:color="auto" w:fill="auto"/>
          </w:tcPr>
          <w:p w14:paraId="7B6137F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5BAD242C" w14:textId="77777777" w:rsidR="00D32A05" w:rsidRPr="001C29FC" w:rsidRDefault="00D32A05" w:rsidP="00D32A05">
            <w:pPr>
              <w:pStyle w:val="TableText"/>
              <w:rPr>
                <w:szCs w:val="18"/>
              </w:rPr>
            </w:pPr>
            <w:r w:rsidRPr="001C29FC">
              <w:rPr>
                <w:szCs w:val="18"/>
              </w:rPr>
              <w:t>Accrue workload when a lot number of any type of equipment is logged into the system. When multiple lot numbers are processed in a batch, each lot number’s workload is counted.</w:t>
            </w:r>
          </w:p>
        </w:tc>
      </w:tr>
      <w:tr w:rsidR="00D32A05" w:rsidRPr="001C29FC" w14:paraId="7694AB3E" w14:textId="77777777" w:rsidTr="00D32A05">
        <w:trPr>
          <w:cantSplit/>
          <w:tblHeader/>
        </w:trPr>
        <w:tc>
          <w:tcPr>
            <w:tcW w:w="1803" w:type="dxa"/>
            <w:shd w:val="clear" w:color="auto" w:fill="auto"/>
          </w:tcPr>
          <w:p w14:paraId="7EE3BD2F" w14:textId="77777777" w:rsidR="00D32A05" w:rsidRPr="001C29FC" w:rsidRDefault="00D32A05" w:rsidP="00D32A05">
            <w:pPr>
              <w:pStyle w:val="TableText"/>
              <w:rPr>
                <w:szCs w:val="18"/>
              </w:rPr>
            </w:pPr>
            <w:r w:rsidRPr="001C29FC">
              <w:rPr>
                <w:szCs w:val="18"/>
              </w:rPr>
              <w:t>Login Reagent</w:t>
            </w:r>
          </w:p>
        </w:tc>
        <w:tc>
          <w:tcPr>
            <w:tcW w:w="1442" w:type="dxa"/>
            <w:shd w:val="clear" w:color="auto" w:fill="auto"/>
          </w:tcPr>
          <w:p w14:paraId="01DDA30C" w14:textId="77777777" w:rsidR="00D32A05" w:rsidRPr="001C29FC" w:rsidRDefault="00D32A05" w:rsidP="00D32A05">
            <w:pPr>
              <w:pStyle w:val="TableText"/>
              <w:rPr>
                <w:szCs w:val="18"/>
              </w:rPr>
            </w:pPr>
            <w:r w:rsidRPr="001C29FC">
              <w:rPr>
                <w:szCs w:val="18"/>
              </w:rPr>
              <w:t>Login Reagent</w:t>
            </w:r>
          </w:p>
        </w:tc>
        <w:tc>
          <w:tcPr>
            <w:tcW w:w="1633" w:type="dxa"/>
            <w:shd w:val="clear" w:color="auto" w:fill="auto"/>
          </w:tcPr>
          <w:p w14:paraId="2EC4B749"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4BB840A4" w14:textId="77777777" w:rsidR="00D32A05" w:rsidRPr="001C29FC" w:rsidRDefault="00D32A05" w:rsidP="00D32A05">
            <w:pPr>
              <w:pStyle w:val="TableText"/>
              <w:rPr>
                <w:szCs w:val="18"/>
              </w:rPr>
            </w:pPr>
            <w:r w:rsidRPr="001C29FC">
              <w:rPr>
                <w:szCs w:val="18"/>
              </w:rPr>
              <w:t>Accrue workload when a lot number of any type of reagent is logged into the system. When multiple lot numbers are processed in a batch, each lot number’s workload is counted.</w:t>
            </w:r>
          </w:p>
        </w:tc>
      </w:tr>
      <w:tr w:rsidR="00D32A05" w:rsidRPr="001C29FC" w14:paraId="2DCBD0FB" w14:textId="77777777" w:rsidTr="00D32A05">
        <w:trPr>
          <w:cantSplit/>
          <w:tblHeader/>
        </w:trPr>
        <w:tc>
          <w:tcPr>
            <w:tcW w:w="1803" w:type="dxa"/>
            <w:shd w:val="clear" w:color="auto" w:fill="auto"/>
          </w:tcPr>
          <w:p w14:paraId="407A574B" w14:textId="77777777" w:rsidR="00D32A05" w:rsidRPr="001C29FC" w:rsidRDefault="00D32A05" w:rsidP="00D32A05">
            <w:pPr>
              <w:pStyle w:val="TableText"/>
              <w:rPr>
                <w:szCs w:val="18"/>
              </w:rPr>
            </w:pPr>
            <w:r w:rsidRPr="001C29FC">
              <w:rPr>
                <w:szCs w:val="18"/>
              </w:rPr>
              <w:t>Login Supply</w:t>
            </w:r>
          </w:p>
        </w:tc>
        <w:tc>
          <w:tcPr>
            <w:tcW w:w="1442" w:type="dxa"/>
            <w:shd w:val="clear" w:color="auto" w:fill="auto"/>
          </w:tcPr>
          <w:p w14:paraId="3073B622" w14:textId="77777777" w:rsidR="00D32A05" w:rsidRPr="001C29FC" w:rsidRDefault="00D32A05" w:rsidP="00D32A05">
            <w:pPr>
              <w:pStyle w:val="TableText"/>
              <w:rPr>
                <w:szCs w:val="18"/>
              </w:rPr>
            </w:pPr>
            <w:r w:rsidRPr="001C29FC">
              <w:rPr>
                <w:szCs w:val="18"/>
              </w:rPr>
              <w:t>Login Supply</w:t>
            </w:r>
          </w:p>
        </w:tc>
        <w:tc>
          <w:tcPr>
            <w:tcW w:w="1633" w:type="dxa"/>
            <w:shd w:val="clear" w:color="auto" w:fill="auto"/>
          </w:tcPr>
          <w:p w14:paraId="621F00AE"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5A69F43E" w14:textId="77777777" w:rsidR="00D32A05" w:rsidRPr="001C29FC" w:rsidRDefault="00D32A05" w:rsidP="00D32A05">
            <w:pPr>
              <w:pStyle w:val="TableText"/>
              <w:rPr>
                <w:szCs w:val="18"/>
              </w:rPr>
            </w:pPr>
            <w:r w:rsidRPr="001C29FC">
              <w:rPr>
                <w:szCs w:val="18"/>
              </w:rPr>
              <w:t>Accrue workload when a lot number of any type of supply is logged into the system. When multiple lot numbers are processed in a batch, each lot number’s workload is counted.</w:t>
            </w:r>
          </w:p>
        </w:tc>
      </w:tr>
      <w:tr w:rsidR="00D32A05" w:rsidRPr="001C29FC" w14:paraId="3C4ECD7E" w14:textId="77777777" w:rsidTr="00D32A05">
        <w:trPr>
          <w:cantSplit/>
          <w:tblHeader/>
        </w:trPr>
        <w:tc>
          <w:tcPr>
            <w:tcW w:w="1803" w:type="dxa"/>
            <w:shd w:val="clear" w:color="auto" w:fill="auto"/>
          </w:tcPr>
          <w:p w14:paraId="7F1CFA95" w14:textId="77777777" w:rsidR="00D32A05" w:rsidRPr="001C29FC" w:rsidRDefault="00D32A05" w:rsidP="00D32A05">
            <w:pPr>
              <w:pStyle w:val="TableText"/>
              <w:rPr>
                <w:szCs w:val="18"/>
              </w:rPr>
            </w:pPr>
            <w:r w:rsidRPr="001C29FC">
              <w:rPr>
                <w:szCs w:val="18"/>
              </w:rPr>
              <w:t>Maintain Specimen</w:t>
            </w:r>
          </w:p>
        </w:tc>
        <w:tc>
          <w:tcPr>
            <w:tcW w:w="1442" w:type="dxa"/>
            <w:shd w:val="clear" w:color="auto" w:fill="auto"/>
          </w:tcPr>
          <w:p w14:paraId="15C61853" w14:textId="77777777" w:rsidR="00D32A05" w:rsidRPr="001C29FC" w:rsidRDefault="00D32A05" w:rsidP="00D32A05">
            <w:pPr>
              <w:pStyle w:val="TableText"/>
              <w:rPr>
                <w:szCs w:val="18"/>
              </w:rPr>
            </w:pPr>
            <w:r w:rsidRPr="001C29FC">
              <w:rPr>
                <w:szCs w:val="18"/>
              </w:rPr>
              <w:t>Maintain Specimen</w:t>
            </w:r>
          </w:p>
        </w:tc>
        <w:tc>
          <w:tcPr>
            <w:tcW w:w="1633" w:type="dxa"/>
            <w:shd w:val="clear" w:color="auto" w:fill="auto"/>
          </w:tcPr>
          <w:p w14:paraId="6B9FD4BB"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6DB10D0E" w14:textId="77777777" w:rsidR="00D32A05" w:rsidRPr="001C29FC" w:rsidRDefault="00D32A05" w:rsidP="00D32A05">
            <w:pPr>
              <w:pStyle w:val="TableText"/>
              <w:rPr>
                <w:szCs w:val="18"/>
              </w:rPr>
            </w:pPr>
            <w:r w:rsidRPr="001C29FC">
              <w:rPr>
                <w:szCs w:val="18"/>
              </w:rPr>
              <w:t>Accrue workload when a specimen is maintained during order acceptance and is required for acceptance of the order. Note: This is collected in addition to the accept order workload accrued by accepting an order. Marking a specimen unacceptable does not create a negative workload event.</w:t>
            </w:r>
          </w:p>
        </w:tc>
      </w:tr>
      <w:tr w:rsidR="00D32A05" w:rsidRPr="001C29FC" w14:paraId="3A1F18DF" w14:textId="77777777" w:rsidTr="00D32A05">
        <w:trPr>
          <w:cantSplit/>
          <w:tblHeader/>
        </w:trPr>
        <w:tc>
          <w:tcPr>
            <w:tcW w:w="1803" w:type="dxa"/>
            <w:shd w:val="clear" w:color="auto" w:fill="auto"/>
          </w:tcPr>
          <w:p w14:paraId="362E3AE8" w14:textId="77777777" w:rsidR="00D32A05" w:rsidRPr="001C29FC" w:rsidRDefault="00D32A05" w:rsidP="00D32A05">
            <w:pPr>
              <w:pStyle w:val="TableText"/>
              <w:rPr>
                <w:color w:val="000000"/>
                <w:szCs w:val="18"/>
              </w:rPr>
            </w:pPr>
            <w:r w:rsidRPr="001C29FC">
              <w:rPr>
                <w:color w:val="000000"/>
                <w:szCs w:val="18"/>
              </w:rPr>
              <w:t>Patient antigen phenotype</w:t>
            </w:r>
          </w:p>
        </w:tc>
        <w:tc>
          <w:tcPr>
            <w:tcW w:w="1442" w:type="dxa"/>
            <w:vMerge w:val="restart"/>
            <w:shd w:val="clear" w:color="auto" w:fill="auto"/>
          </w:tcPr>
          <w:p w14:paraId="2696B1D8" w14:textId="77777777" w:rsidR="00D32A05" w:rsidRPr="001C29FC" w:rsidRDefault="00D32A05" w:rsidP="00D32A05">
            <w:pPr>
              <w:pStyle w:val="TableText"/>
              <w:rPr>
                <w:color w:val="000000"/>
                <w:szCs w:val="18"/>
              </w:rPr>
            </w:pPr>
            <w:r w:rsidRPr="001C29FC">
              <w:rPr>
                <w:color w:val="000000"/>
                <w:szCs w:val="18"/>
              </w:rPr>
              <w:t>Patient antigen phenotype (multiple phases)</w:t>
            </w:r>
          </w:p>
        </w:tc>
        <w:tc>
          <w:tcPr>
            <w:tcW w:w="1633" w:type="dxa"/>
            <w:shd w:val="clear" w:color="auto" w:fill="auto"/>
          </w:tcPr>
          <w:p w14:paraId="7E3183F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CA03BB3"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patient antigen phenotype test with IS/RT or IS/37 phases is completed and saved. One workload event is collected per completed tab for repeat or regular antigen tests.</w:t>
            </w:r>
          </w:p>
        </w:tc>
      </w:tr>
      <w:tr w:rsidR="00D32A05" w:rsidRPr="001C29FC" w14:paraId="03895546" w14:textId="77777777" w:rsidTr="00D32A05">
        <w:trPr>
          <w:cantSplit/>
          <w:tblHeader/>
        </w:trPr>
        <w:tc>
          <w:tcPr>
            <w:tcW w:w="1803" w:type="dxa"/>
            <w:shd w:val="clear" w:color="auto" w:fill="auto"/>
          </w:tcPr>
          <w:p w14:paraId="5609EA7E" w14:textId="77777777" w:rsidR="00D32A05" w:rsidRPr="001C29FC" w:rsidRDefault="00D32A05" w:rsidP="00D32A05">
            <w:pPr>
              <w:pStyle w:val="TableText"/>
              <w:rPr>
                <w:szCs w:val="18"/>
              </w:rPr>
            </w:pPr>
            <w:r w:rsidRPr="001C29FC">
              <w:rPr>
                <w:szCs w:val="18"/>
              </w:rPr>
              <w:t>Invalidate Patient Test Results*</w:t>
            </w:r>
          </w:p>
        </w:tc>
        <w:tc>
          <w:tcPr>
            <w:tcW w:w="1442" w:type="dxa"/>
            <w:vMerge/>
            <w:shd w:val="clear" w:color="auto" w:fill="auto"/>
          </w:tcPr>
          <w:p w14:paraId="5575C88D" w14:textId="77777777" w:rsidR="00D32A05" w:rsidRPr="001C29FC" w:rsidRDefault="00D32A05" w:rsidP="00D32A05">
            <w:pPr>
              <w:pStyle w:val="TableText"/>
              <w:rPr>
                <w:color w:val="000000"/>
                <w:szCs w:val="18"/>
              </w:rPr>
            </w:pPr>
          </w:p>
        </w:tc>
        <w:tc>
          <w:tcPr>
            <w:tcW w:w="1633" w:type="dxa"/>
            <w:shd w:val="clear" w:color="auto" w:fill="auto"/>
          </w:tcPr>
          <w:p w14:paraId="229BAED4"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98EBA2E" w14:textId="77777777" w:rsidR="00D32A05" w:rsidRPr="001C29FC" w:rsidRDefault="00D32A05" w:rsidP="00D32A05">
            <w:pPr>
              <w:pStyle w:val="TableText"/>
              <w:rPr>
                <w:szCs w:val="18"/>
              </w:rPr>
            </w:pPr>
            <w:r w:rsidRPr="001C29FC">
              <w:rPr>
                <w:szCs w:val="18"/>
              </w:rPr>
              <w:t xml:space="preserve">Accrue workload when a patient antigen phenotype test as defined by the antiserum specificity tested with any phases is invalidated. </w:t>
            </w:r>
          </w:p>
        </w:tc>
      </w:tr>
      <w:tr w:rsidR="00D32A05" w:rsidRPr="001C29FC" w14:paraId="58A66A97" w14:textId="77777777" w:rsidTr="00D32A05">
        <w:trPr>
          <w:cantSplit/>
          <w:tblHeader/>
        </w:trPr>
        <w:tc>
          <w:tcPr>
            <w:tcW w:w="1803" w:type="dxa"/>
            <w:shd w:val="clear" w:color="auto" w:fill="auto"/>
          </w:tcPr>
          <w:p w14:paraId="46991ABF" w14:textId="77777777" w:rsidR="00D32A05" w:rsidRPr="001C29FC" w:rsidRDefault="00D32A05" w:rsidP="00D32A05">
            <w:pPr>
              <w:pStyle w:val="TableText"/>
              <w:rPr>
                <w:color w:val="000000"/>
                <w:szCs w:val="18"/>
              </w:rPr>
            </w:pPr>
            <w:r w:rsidRPr="001C29FC">
              <w:rPr>
                <w:color w:val="000000"/>
                <w:szCs w:val="18"/>
              </w:rPr>
              <w:t>Patient antigen phenotype</w:t>
            </w:r>
          </w:p>
        </w:tc>
        <w:tc>
          <w:tcPr>
            <w:tcW w:w="1442" w:type="dxa"/>
            <w:vMerge w:val="restart"/>
            <w:shd w:val="clear" w:color="auto" w:fill="auto"/>
          </w:tcPr>
          <w:p w14:paraId="7AA3F3B0" w14:textId="77777777" w:rsidR="00D32A05" w:rsidRPr="001C29FC" w:rsidRDefault="00D32A05" w:rsidP="00D32A05">
            <w:pPr>
              <w:pStyle w:val="TableText"/>
              <w:rPr>
                <w:color w:val="000000"/>
                <w:szCs w:val="18"/>
              </w:rPr>
            </w:pPr>
            <w:r w:rsidRPr="001C29FC">
              <w:rPr>
                <w:color w:val="000000"/>
                <w:szCs w:val="18"/>
              </w:rPr>
              <w:t>Patient antigen phenotype (single phase)</w:t>
            </w:r>
          </w:p>
        </w:tc>
        <w:tc>
          <w:tcPr>
            <w:tcW w:w="1633" w:type="dxa"/>
            <w:shd w:val="clear" w:color="auto" w:fill="auto"/>
          </w:tcPr>
          <w:p w14:paraId="7EC8B320"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748CCD21"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patient antigen phenotype test with AHG or IS phase is completed and saved. One workload event is collected per completed tab for repeat or regular antigen tests.</w:t>
            </w:r>
          </w:p>
        </w:tc>
      </w:tr>
      <w:tr w:rsidR="00D32A05" w:rsidRPr="001C29FC" w14:paraId="395465C8" w14:textId="77777777" w:rsidTr="00D32A05">
        <w:trPr>
          <w:cantSplit/>
          <w:tblHeader/>
        </w:trPr>
        <w:tc>
          <w:tcPr>
            <w:tcW w:w="1803" w:type="dxa"/>
            <w:shd w:val="clear" w:color="auto" w:fill="auto"/>
          </w:tcPr>
          <w:p w14:paraId="03540996" w14:textId="77777777" w:rsidR="00D32A05" w:rsidRPr="001C29FC" w:rsidRDefault="00D32A05" w:rsidP="00D32A05">
            <w:pPr>
              <w:pStyle w:val="TableText"/>
              <w:rPr>
                <w:szCs w:val="18"/>
              </w:rPr>
            </w:pPr>
            <w:r w:rsidRPr="001C29FC">
              <w:rPr>
                <w:szCs w:val="18"/>
              </w:rPr>
              <w:t>Invalidate Patient Test Results*</w:t>
            </w:r>
          </w:p>
        </w:tc>
        <w:tc>
          <w:tcPr>
            <w:tcW w:w="1442" w:type="dxa"/>
            <w:vMerge/>
            <w:shd w:val="clear" w:color="auto" w:fill="auto"/>
          </w:tcPr>
          <w:p w14:paraId="4A007417" w14:textId="77777777" w:rsidR="00D32A05" w:rsidRPr="001C29FC" w:rsidRDefault="00D32A05" w:rsidP="00D32A05">
            <w:pPr>
              <w:pStyle w:val="TableText"/>
              <w:rPr>
                <w:color w:val="000000"/>
                <w:szCs w:val="18"/>
              </w:rPr>
            </w:pPr>
          </w:p>
        </w:tc>
        <w:tc>
          <w:tcPr>
            <w:tcW w:w="1633" w:type="dxa"/>
            <w:shd w:val="clear" w:color="auto" w:fill="auto"/>
          </w:tcPr>
          <w:p w14:paraId="0E7283D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5A3834F4" w14:textId="060ACEAF" w:rsidR="00D32A05" w:rsidRPr="001C29FC" w:rsidRDefault="00D32A05" w:rsidP="00D32A05">
            <w:pPr>
              <w:pStyle w:val="TableText"/>
              <w:rPr>
                <w:szCs w:val="18"/>
              </w:rPr>
            </w:pPr>
            <w:r w:rsidRPr="001C29FC">
              <w:rPr>
                <w:szCs w:val="18"/>
              </w:rPr>
              <w:t xml:space="preserve">Accrue workload when a patient antigen phenotype test as defined by the antiserum specificity tested with </w:t>
            </w:r>
            <w:r w:rsidR="00AE3B37" w:rsidRPr="001C29FC">
              <w:rPr>
                <w:szCs w:val="18"/>
              </w:rPr>
              <w:t>a single phase</w:t>
            </w:r>
            <w:r w:rsidRPr="001C29FC">
              <w:rPr>
                <w:szCs w:val="18"/>
              </w:rPr>
              <w:t xml:space="preserve"> is invalidated. </w:t>
            </w:r>
          </w:p>
        </w:tc>
      </w:tr>
      <w:tr w:rsidR="00D32A05" w:rsidRPr="001C29FC" w14:paraId="18618A98" w14:textId="77777777" w:rsidTr="00D32A05">
        <w:trPr>
          <w:cantSplit/>
          <w:tblHeader/>
        </w:trPr>
        <w:tc>
          <w:tcPr>
            <w:tcW w:w="1803" w:type="dxa"/>
            <w:shd w:val="clear" w:color="auto" w:fill="auto"/>
            <w:vAlign w:val="bottom"/>
          </w:tcPr>
          <w:p w14:paraId="75D18E22" w14:textId="77777777" w:rsidR="00D32A05" w:rsidRPr="001C29FC" w:rsidRDefault="00D32A05" w:rsidP="00D32A05">
            <w:pPr>
              <w:pStyle w:val="TableText"/>
            </w:pPr>
            <w:r w:rsidRPr="001C29FC">
              <w:t>Pool Units</w:t>
            </w:r>
          </w:p>
        </w:tc>
        <w:tc>
          <w:tcPr>
            <w:tcW w:w="1442" w:type="dxa"/>
            <w:vMerge w:val="restart"/>
            <w:shd w:val="clear" w:color="auto" w:fill="auto"/>
          </w:tcPr>
          <w:p w14:paraId="03469E73" w14:textId="77777777" w:rsidR="00D32A05" w:rsidRPr="001C29FC" w:rsidRDefault="00D32A05" w:rsidP="00D32A05">
            <w:pPr>
              <w:pStyle w:val="TableText"/>
              <w:rPr>
                <w:color w:val="000000"/>
                <w:szCs w:val="18"/>
              </w:rPr>
            </w:pPr>
            <w:r w:rsidRPr="001C29FC">
              <w:rPr>
                <w:color w:val="000000"/>
                <w:szCs w:val="18"/>
              </w:rPr>
              <w:t>Pool unit</w:t>
            </w:r>
          </w:p>
          <w:p w14:paraId="47394B10" w14:textId="77777777" w:rsidR="00D32A05" w:rsidRPr="001C29FC" w:rsidRDefault="00D32A05" w:rsidP="00D32A05">
            <w:pPr>
              <w:pStyle w:val="TableText"/>
              <w:rPr>
                <w:color w:val="000000"/>
                <w:szCs w:val="18"/>
              </w:rPr>
            </w:pPr>
            <w:r w:rsidRPr="001C29FC">
              <w:rPr>
                <w:color w:val="000000"/>
                <w:szCs w:val="18"/>
              </w:rPr>
              <w:t> </w:t>
            </w:r>
          </w:p>
        </w:tc>
        <w:tc>
          <w:tcPr>
            <w:tcW w:w="1633" w:type="dxa"/>
            <w:shd w:val="clear" w:color="auto" w:fill="auto"/>
          </w:tcPr>
          <w:p w14:paraId="7C0181DF"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0E04FC8"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pooled unit is created and a single workload event is recorded regardless of the number of units included in the pooled unit. This applies to the Pool modification type. Add/Remove unit from a pool does not accrue any workload.</w:t>
            </w:r>
            <w:r w:rsidRPr="001C29FC">
              <w:rPr>
                <w:iCs/>
                <w:color w:val="000000"/>
                <w:szCs w:val="18"/>
              </w:rPr>
              <w:t xml:space="preserve"> Note: Workload is not accrued when a patient assignment is processed and VBECS releases all other patient assignments. Workload is not accrued when VBECS is required to quarantine the unit.</w:t>
            </w:r>
          </w:p>
        </w:tc>
      </w:tr>
      <w:tr w:rsidR="00D32A05" w:rsidRPr="001C29FC" w14:paraId="326FFF1C" w14:textId="77777777" w:rsidTr="00D32A05">
        <w:trPr>
          <w:cantSplit/>
          <w:tblHeader/>
        </w:trPr>
        <w:tc>
          <w:tcPr>
            <w:tcW w:w="1803" w:type="dxa"/>
            <w:shd w:val="clear" w:color="auto" w:fill="auto"/>
            <w:vAlign w:val="bottom"/>
          </w:tcPr>
          <w:p w14:paraId="710EA203" w14:textId="77777777" w:rsidR="00D32A05" w:rsidRPr="001C29FC" w:rsidRDefault="00D32A05" w:rsidP="00D32A05">
            <w:pPr>
              <w:pStyle w:val="TableText"/>
            </w:pPr>
            <w:r w:rsidRPr="001C29FC">
              <w:t>Edit Unit Information*</w:t>
            </w:r>
          </w:p>
        </w:tc>
        <w:tc>
          <w:tcPr>
            <w:tcW w:w="1442" w:type="dxa"/>
            <w:vMerge/>
            <w:shd w:val="clear" w:color="auto" w:fill="auto"/>
          </w:tcPr>
          <w:p w14:paraId="596A4127" w14:textId="77777777" w:rsidR="00D32A05" w:rsidRPr="001C29FC" w:rsidRDefault="00D32A05" w:rsidP="00D32A05">
            <w:pPr>
              <w:pStyle w:val="TableText"/>
              <w:rPr>
                <w:color w:val="000000"/>
                <w:szCs w:val="18"/>
              </w:rPr>
            </w:pPr>
          </w:p>
        </w:tc>
        <w:tc>
          <w:tcPr>
            <w:tcW w:w="1633" w:type="dxa"/>
            <w:shd w:val="clear" w:color="auto" w:fill="auto"/>
          </w:tcPr>
          <w:p w14:paraId="5C525CF1"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EC47958"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if the pooled unit was created in VBECS. </w:t>
            </w:r>
          </w:p>
        </w:tc>
      </w:tr>
      <w:tr w:rsidR="00D32A05" w:rsidRPr="001C29FC" w14:paraId="2F75EA45" w14:textId="77777777" w:rsidTr="00D32A05">
        <w:trPr>
          <w:cantSplit/>
          <w:tblHeader/>
        </w:trPr>
        <w:tc>
          <w:tcPr>
            <w:tcW w:w="1803" w:type="dxa"/>
            <w:shd w:val="clear" w:color="auto" w:fill="auto"/>
            <w:vAlign w:val="bottom"/>
          </w:tcPr>
          <w:p w14:paraId="0D9A9C5B" w14:textId="77777777" w:rsidR="00D32A05" w:rsidRPr="001C29FC" w:rsidRDefault="00D32A05" w:rsidP="00D32A05">
            <w:pPr>
              <w:pStyle w:val="TableText"/>
            </w:pPr>
            <w:r w:rsidRPr="001C29FC">
              <w:t>Remove Final Status</w:t>
            </w:r>
          </w:p>
        </w:tc>
        <w:tc>
          <w:tcPr>
            <w:tcW w:w="1442" w:type="dxa"/>
            <w:vMerge/>
            <w:shd w:val="clear" w:color="auto" w:fill="auto"/>
          </w:tcPr>
          <w:p w14:paraId="7F6D17F6" w14:textId="77777777" w:rsidR="00D32A05" w:rsidRPr="001C29FC" w:rsidRDefault="00D32A05" w:rsidP="00D32A05">
            <w:pPr>
              <w:pStyle w:val="TableText"/>
              <w:rPr>
                <w:color w:val="000000"/>
                <w:szCs w:val="18"/>
              </w:rPr>
            </w:pPr>
          </w:p>
        </w:tc>
        <w:tc>
          <w:tcPr>
            <w:tcW w:w="1633" w:type="dxa"/>
            <w:shd w:val="clear" w:color="auto" w:fill="auto"/>
          </w:tcPr>
          <w:p w14:paraId="173D2E75" w14:textId="77777777" w:rsidR="00D32A05" w:rsidRPr="001C29FC" w:rsidRDefault="00D32A05" w:rsidP="00D32A05">
            <w:pPr>
              <w:pStyle w:val="TableText"/>
              <w:rPr>
                <w:color w:val="000000"/>
                <w:szCs w:val="18"/>
              </w:rPr>
            </w:pPr>
            <w:r w:rsidRPr="001C29FC">
              <w:rPr>
                <w:color w:val="000000"/>
                <w:szCs w:val="18"/>
              </w:rPr>
              <w:t>N/A</w:t>
            </w:r>
          </w:p>
        </w:tc>
        <w:tc>
          <w:tcPr>
            <w:tcW w:w="4482" w:type="dxa"/>
            <w:shd w:val="clear" w:color="auto" w:fill="auto"/>
          </w:tcPr>
          <w:p w14:paraId="212BFC2C" w14:textId="77777777" w:rsidR="00D32A05" w:rsidRPr="001C29FC" w:rsidRDefault="00D32A05" w:rsidP="00D32A05">
            <w:pPr>
              <w:pStyle w:val="TableText"/>
              <w:rPr>
                <w:color w:val="000000"/>
                <w:szCs w:val="18"/>
              </w:rPr>
            </w:pPr>
            <w:r w:rsidRPr="001C29FC">
              <w:rPr>
                <w:color w:val="000000"/>
                <w:szCs w:val="18"/>
              </w:rPr>
              <w:t xml:space="preserve">No effect on workload accrual when a unit is removed from a modified status that was included in a pool. </w:t>
            </w:r>
          </w:p>
        </w:tc>
      </w:tr>
      <w:tr w:rsidR="00D32A05" w:rsidRPr="001C29FC" w14:paraId="3C26AEC4" w14:textId="77777777" w:rsidTr="00D32A05">
        <w:trPr>
          <w:cantSplit/>
          <w:tblHeader/>
        </w:trPr>
        <w:tc>
          <w:tcPr>
            <w:tcW w:w="1803" w:type="dxa"/>
            <w:shd w:val="clear" w:color="auto" w:fill="auto"/>
            <w:vAlign w:val="bottom"/>
          </w:tcPr>
          <w:p w14:paraId="59A91B14" w14:textId="77777777" w:rsidR="00D32A05" w:rsidRPr="001C29FC" w:rsidRDefault="00D32A05" w:rsidP="00D32A05">
            <w:pPr>
              <w:pStyle w:val="TableText"/>
            </w:pPr>
            <w:r w:rsidRPr="001C29FC">
              <w:t>Discard or Quarantine Unit</w:t>
            </w:r>
          </w:p>
        </w:tc>
        <w:tc>
          <w:tcPr>
            <w:tcW w:w="1442" w:type="dxa"/>
            <w:shd w:val="clear" w:color="auto" w:fill="auto"/>
          </w:tcPr>
          <w:p w14:paraId="4780A914" w14:textId="77777777" w:rsidR="00D32A05" w:rsidRPr="001C29FC" w:rsidRDefault="00D32A05" w:rsidP="00D32A05">
            <w:pPr>
              <w:pStyle w:val="TableText"/>
              <w:rPr>
                <w:color w:val="000000"/>
                <w:szCs w:val="18"/>
              </w:rPr>
            </w:pPr>
            <w:r w:rsidRPr="001C29FC">
              <w:rPr>
                <w:color w:val="000000"/>
                <w:szCs w:val="18"/>
              </w:rPr>
              <w:t>Quarantine unit</w:t>
            </w:r>
          </w:p>
        </w:tc>
        <w:tc>
          <w:tcPr>
            <w:tcW w:w="1633" w:type="dxa"/>
            <w:shd w:val="clear" w:color="auto" w:fill="auto"/>
          </w:tcPr>
          <w:p w14:paraId="2DE343CD"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2ACD9A8" w14:textId="77777777" w:rsidR="00D32A05" w:rsidRPr="001C29FC" w:rsidRDefault="00D32A05" w:rsidP="00D32A05">
            <w:pPr>
              <w:pStyle w:val="TableText"/>
              <w:rPr>
                <w:color w:val="000000"/>
                <w:szCs w:val="18"/>
              </w:rPr>
            </w:pPr>
            <w:r w:rsidRPr="001C29FC">
              <w:rPr>
                <w:color w:val="000000"/>
                <w:szCs w:val="18"/>
              </w:rPr>
              <w:t>Accrue workload when a unit is marked for quarantine. When a batch of units is selected, each unit accrues workload.</w:t>
            </w:r>
          </w:p>
        </w:tc>
      </w:tr>
      <w:tr w:rsidR="00D32A05" w:rsidRPr="001C29FC" w14:paraId="5B6A1F06" w14:textId="77777777" w:rsidTr="00D32A05">
        <w:trPr>
          <w:cantSplit/>
          <w:tblHeader/>
        </w:trPr>
        <w:tc>
          <w:tcPr>
            <w:tcW w:w="1803" w:type="dxa"/>
            <w:shd w:val="clear" w:color="auto" w:fill="auto"/>
            <w:vAlign w:val="bottom"/>
          </w:tcPr>
          <w:p w14:paraId="330B598B" w14:textId="77777777" w:rsidR="00D32A05" w:rsidRPr="001C29FC" w:rsidRDefault="00D32A05" w:rsidP="00D32A05">
            <w:pPr>
              <w:pStyle w:val="TableText"/>
              <w:rPr>
                <w:szCs w:val="18"/>
              </w:rPr>
            </w:pPr>
            <w:r w:rsidRPr="001C29FC">
              <w:rPr>
                <w:snapToGrid w:val="0"/>
                <w:szCs w:val="18"/>
              </w:rPr>
              <w:t>Free Directed Unit For Crossover</w:t>
            </w:r>
          </w:p>
        </w:tc>
        <w:tc>
          <w:tcPr>
            <w:tcW w:w="1442" w:type="dxa"/>
            <w:shd w:val="clear" w:color="auto" w:fill="auto"/>
          </w:tcPr>
          <w:p w14:paraId="5576E6C9" w14:textId="77777777" w:rsidR="00D32A05" w:rsidRPr="001C29FC" w:rsidRDefault="00D32A05" w:rsidP="00D32A05">
            <w:pPr>
              <w:pStyle w:val="TableText"/>
              <w:rPr>
                <w:color w:val="000000"/>
                <w:szCs w:val="18"/>
              </w:rPr>
            </w:pPr>
            <w:r w:rsidRPr="001C29FC">
              <w:rPr>
                <w:color w:val="000000"/>
                <w:szCs w:val="18"/>
              </w:rPr>
              <w:t>Release directed unit</w:t>
            </w:r>
          </w:p>
        </w:tc>
        <w:tc>
          <w:tcPr>
            <w:tcW w:w="1633" w:type="dxa"/>
            <w:shd w:val="clear" w:color="auto" w:fill="auto"/>
          </w:tcPr>
          <w:p w14:paraId="4D809D3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A1B110E" w14:textId="77777777" w:rsidR="00D32A05" w:rsidRPr="001C29FC" w:rsidRDefault="00D32A05" w:rsidP="00D32A05">
            <w:pPr>
              <w:pStyle w:val="TableText"/>
              <w:rPr>
                <w:szCs w:val="18"/>
              </w:rPr>
            </w:pPr>
            <w:r w:rsidRPr="001C29FC">
              <w:rPr>
                <w:szCs w:val="18"/>
              </w:rPr>
              <w:t>Accrue workload when a</w:t>
            </w:r>
            <w:r w:rsidRPr="001C29FC">
              <w:rPr>
                <w:color w:val="000000"/>
                <w:szCs w:val="18"/>
              </w:rPr>
              <w:t>n individual blood unit with the restriction type of “directed” is released for use as an allogeneic unit.</w:t>
            </w:r>
          </w:p>
        </w:tc>
      </w:tr>
      <w:tr w:rsidR="00D32A05" w:rsidRPr="001C29FC" w14:paraId="69586C89" w14:textId="77777777" w:rsidTr="00D32A05">
        <w:trPr>
          <w:cantSplit/>
          <w:tblHeader/>
        </w:trPr>
        <w:tc>
          <w:tcPr>
            <w:tcW w:w="1803" w:type="dxa"/>
            <w:shd w:val="clear" w:color="auto" w:fill="auto"/>
            <w:vAlign w:val="bottom"/>
          </w:tcPr>
          <w:p w14:paraId="11351A53" w14:textId="77777777" w:rsidR="00D32A05" w:rsidRPr="001C29FC" w:rsidRDefault="00D32A05" w:rsidP="00D32A05">
            <w:pPr>
              <w:pStyle w:val="TableText"/>
            </w:pPr>
            <w:r w:rsidRPr="001C29FC">
              <w:t>Release Unit from Patient Assignment</w:t>
            </w:r>
          </w:p>
        </w:tc>
        <w:tc>
          <w:tcPr>
            <w:tcW w:w="1442" w:type="dxa"/>
            <w:shd w:val="clear" w:color="auto" w:fill="auto"/>
          </w:tcPr>
          <w:p w14:paraId="3D3FA045" w14:textId="77777777" w:rsidR="00D32A05" w:rsidRPr="001C29FC" w:rsidRDefault="00D32A05" w:rsidP="00D32A05">
            <w:pPr>
              <w:pStyle w:val="TableText"/>
              <w:rPr>
                <w:color w:val="000000"/>
                <w:szCs w:val="18"/>
              </w:rPr>
            </w:pPr>
            <w:r w:rsidRPr="001C29FC">
              <w:rPr>
                <w:color w:val="000000"/>
                <w:szCs w:val="18"/>
              </w:rPr>
              <w:t>Release unit from patient back to inventory</w:t>
            </w:r>
          </w:p>
        </w:tc>
        <w:tc>
          <w:tcPr>
            <w:tcW w:w="1633" w:type="dxa"/>
            <w:shd w:val="clear" w:color="auto" w:fill="auto"/>
          </w:tcPr>
          <w:p w14:paraId="4CF440CC"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5166A1C2"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unit is released from patient assignment. When multiple units are selected, each unit accrues workload.</w:t>
            </w:r>
          </w:p>
        </w:tc>
      </w:tr>
      <w:tr w:rsidR="00D32A05" w:rsidRPr="001C29FC" w14:paraId="22EF9C65" w14:textId="77777777" w:rsidTr="00D32A05">
        <w:trPr>
          <w:cantSplit/>
          <w:tblHeader/>
        </w:trPr>
        <w:tc>
          <w:tcPr>
            <w:tcW w:w="1803" w:type="dxa"/>
            <w:shd w:val="clear" w:color="auto" w:fill="auto"/>
            <w:vAlign w:val="bottom"/>
          </w:tcPr>
          <w:p w14:paraId="0048B48A" w14:textId="77777777" w:rsidR="00D32A05" w:rsidRPr="001C29FC" w:rsidRDefault="00D32A05" w:rsidP="00D32A05">
            <w:pPr>
              <w:pStyle w:val="TableText"/>
            </w:pPr>
            <w:r w:rsidRPr="001C29FC">
              <w:t>Discard or Quarantine Unit</w:t>
            </w:r>
          </w:p>
        </w:tc>
        <w:tc>
          <w:tcPr>
            <w:tcW w:w="1442" w:type="dxa"/>
            <w:shd w:val="clear" w:color="auto" w:fill="auto"/>
          </w:tcPr>
          <w:p w14:paraId="0042D3C6" w14:textId="77777777" w:rsidR="00D32A05" w:rsidRPr="001C29FC" w:rsidRDefault="00D32A05" w:rsidP="00D32A05">
            <w:pPr>
              <w:pStyle w:val="TableText"/>
              <w:rPr>
                <w:color w:val="000000"/>
                <w:szCs w:val="18"/>
              </w:rPr>
            </w:pPr>
            <w:r w:rsidRPr="001C29FC">
              <w:rPr>
                <w:color w:val="000000"/>
                <w:szCs w:val="18"/>
              </w:rPr>
              <w:t xml:space="preserve">Release unit from Quarantine </w:t>
            </w:r>
          </w:p>
        </w:tc>
        <w:tc>
          <w:tcPr>
            <w:tcW w:w="1633" w:type="dxa"/>
            <w:shd w:val="clear" w:color="auto" w:fill="auto"/>
          </w:tcPr>
          <w:p w14:paraId="1EC30AE8"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B861C11" w14:textId="77777777" w:rsidR="00D32A05" w:rsidRPr="001C29FC" w:rsidRDefault="00D32A05" w:rsidP="00D32A05">
            <w:pPr>
              <w:pStyle w:val="TableText"/>
              <w:rPr>
                <w:color w:val="000000"/>
                <w:szCs w:val="18"/>
              </w:rPr>
            </w:pPr>
            <w:r w:rsidRPr="001C29FC">
              <w:rPr>
                <w:color w:val="000000"/>
                <w:szCs w:val="18"/>
              </w:rPr>
              <w:t>Accrue workload when a unit is released from quarantine. When a batch of units is selected, each unit accrues workload.</w:t>
            </w:r>
          </w:p>
        </w:tc>
      </w:tr>
      <w:tr w:rsidR="00D32A05" w:rsidRPr="001C29FC" w14:paraId="0F1BD992" w14:textId="77777777" w:rsidTr="00D32A05">
        <w:trPr>
          <w:cantSplit/>
          <w:tblHeader/>
        </w:trPr>
        <w:tc>
          <w:tcPr>
            <w:tcW w:w="1803" w:type="dxa"/>
            <w:shd w:val="clear" w:color="auto" w:fill="auto"/>
          </w:tcPr>
          <w:p w14:paraId="5D4F932D" w14:textId="77777777" w:rsidR="00D32A05" w:rsidRPr="001C29FC" w:rsidRDefault="00D32A05" w:rsidP="00D32A05">
            <w:pPr>
              <w:pStyle w:val="TableText"/>
              <w:rPr>
                <w:color w:val="000000"/>
                <w:szCs w:val="18"/>
              </w:rPr>
            </w:pPr>
            <w:r w:rsidRPr="001C29FC">
              <w:rPr>
                <w:color w:val="000000"/>
                <w:szCs w:val="18"/>
              </w:rPr>
              <w:t>Return Issued Unit</w:t>
            </w:r>
          </w:p>
        </w:tc>
        <w:tc>
          <w:tcPr>
            <w:tcW w:w="1442" w:type="dxa"/>
            <w:shd w:val="clear" w:color="auto" w:fill="auto"/>
          </w:tcPr>
          <w:p w14:paraId="50CDFFEF" w14:textId="77777777" w:rsidR="00D32A05" w:rsidRPr="001C29FC" w:rsidRDefault="00D32A05" w:rsidP="00D32A05">
            <w:pPr>
              <w:pStyle w:val="TableText"/>
              <w:rPr>
                <w:color w:val="000000"/>
                <w:szCs w:val="18"/>
              </w:rPr>
            </w:pPr>
            <w:r w:rsidRPr="001C29FC">
              <w:rPr>
                <w:color w:val="000000"/>
                <w:szCs w:val="18"/>
              </w:rPr>
              <w:t>Return Issued unit</w:t>
            </w:r>
          </w:p>
        </w:tc>
        <w:tc>
          <w:tcPr>
            <w:tcW w:w="1633" w:type="dxa"/>
            <w:shd w:val="clear" w:color="auto" w:fill="auto"/>
          </w:tcPr>
          <w:p w14:paraId="09E064D2"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0887C79" w14:textId="77777777" w:rsidR="00D32A05" w:rsidRPr="001C29FC" w:rsidRDefault="00D32A05" w:rsidP="00D32A05">
            <w:pPr>
              <w:pStyle w:val="TableText"/>
              <w:rPr>
                <w:szCs w:val="18"/>
              </w:rPr>
            </w:pPr>
            <w:r w:rsidRPr="001C29FC">
              <w:rPr>
                <w:szCs w:val="18"/>
              </w:rPr>
              <w:t>Accrue workload when a</w:t>
            </w:r>
            <w:r w:rsidRPr="001C29FC">
              <w:rPr>
                <w:color w:val="000000"/>
                <w:szCs w:val="18"/>
              </w:rPr>
              <w:t xml:space="preserve"> unit is returned from issue status. </w:t>
            </w:r>
          </w:p>
        </w:tc>
      </w:tr>
      <w:tr w:rsidR="00D32A05" w:rsidRPr="001C29FC" w14:paraId="0D589DC6" w14:textId="77777777" w:rsidTr="00D32A05">
        <w:trPr>
          <w:cantSplit/>
          <w:tblHeader/>
        </w:trPr>
        <w:tc>
          <w:tcPr>
            <w:tcW w:w="1803" w:type="dxa"/>
            <w:shd w:val="clear" w:color="auto" w:fill="auto"/>
            <w:vAlign w:val="bottom"/>
          </w:tcPr>
          <w:p w14:paraId="3A765E94" w14:textId="77777777" w:rsidR="00D32A05" w:rsidRPr="001C29FC" w:rsidRDefault="00D32A05" w:rsidP="00D32A05">
            <w:pPr>
              <w:pStyle w:val="TableText"/>
            </w:pPr>
            <w:r w:rsidRPr="001C29FC">
              <w:t>Modify Units</w:t>
            </w:r>
          </w:p>
        </w:tc>
        <w:tc>
          <w:tcPr>
            <w:tcW w:w="1442" w:type="dxa"/>
            <w:vMerge w:val="restart"/>
            <w:shd w:val="clear" w:color="auto" w:fill="auto"/>
          </w:tcPr>
          <w:p w14:paraId="6A171D01" w14:textId="77777777" w:rsidR="00D32A05" w:rsidRPr="001C29FC" w:rsidRDefault="00D32A05" w:rsidP="00D32A05">
            <w:pPr>
              <w:pStyle w:val="TableText"/>
              <w:rPr>
                <w:color w:val="000000"/>
                <w:szCs w:val="18"/>
              </w:rPr>
            </w:pPr>
            <w:r w:rsidRPr="001C29FC">
              <w:rPr>
                <w:color w:val="000000"/>
                <w:szCs w:val="18"/>
              </w:rPr>
              <w:t>Thaw/pool Cryo</w:t>
            </w:r>
          </w:p>
        </w:tc>
        <w:tc>
          <w:tcPr>
            <w:tcW w:w="1633" w:type="dxa"/>
            <w:shd w:val="clear" w:color="auto" w:fill="auto"/>
          </w:tcPr>
          <w:p w14:paraId="13C0B19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269BBDB"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unit has a modification of Thaw/Pool Cryo. A single workload event is recorded regardless of the number of units included in the pooled unit. Note: Workload is not accrued when a patient assignment is processed and VBECS releases all other patient assignments. Workload is not accrued when VBECS is required to quarantine the unit.</w:t>
            </w:r>
          </w:p>
        </w:tc>
      </w:tr>
      <w:tr w:rsidR="00D32A05" w:rsidRPr="001C29FC" w14:paraId="5B139039" w14:textId="77777777" w:rsidTr="00D32A05">
        <w:trPr>
          <w:cantSplit/>
          <w:tblHeader/>
        </w:trPr>
        <w:tc>
          <w:tcPr>
            <w:tcW w:w="1803" w:type="dxa"/>
            <w:shd w:val="clear" w:color="auto" w:fill="auto"/>
            <w:vAlign w:val="bottom"/>
          </w:tcPr>
          <w:p w14:paraId="1BA966E9" w14:textId="77777777" w:rsidR="00D32A05" w:rsidRPr="001C29FC" w:rsidRDefault="00D32A05" w:rsidP="00D32A05">
            <w:pPr>
              <w:pStyle w:val="TableText"/>
            </w:pPr>
            <w:r w:rsidRPr="001C29FC">
              <w:t>Edit Unit Information*</w:t>
            </w:r>
          </w:p>
        </w:tc>
        <w:tc>
          <w:tcPr>
            <w:tcW w:w="1442" w:type="dxa"/>
            <w:vMerge/>
            <w:shd w:val="clear" w:color="auto" w:fill="auto"/>
          </w:tcPr>
          <w:p w14:paraId="4CDDB20A" w14:textId="77777777" w:rsidR="00D32A05" w:rsidRPr="001C29FC" w:rsidRDefault="00D32A05" w:rsidP="00D32A05">
            <w:pPr>
              <w:pStyle w:val="TableText"/>
              <w:rPr>
                <w:color w:val="000000"/>
                <w:szCs w:val="18"/>
              </w:rPr>
            </w:pPr>
          </w:p>
        </w:tc>
        <w:tc>
          <w:tcPr>
            <w:tcW w:w="1633" w:type="dxa"/>
            <w:shd w:val="clear" w:color="auto" w:fill="auto"/>
          </w:tcPr>
          <w:p w14:paraId="700408B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5CF4193"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(unit record inactivated) when the pooled unit was created in VBECS. </w:t>
            </w:r>
          </w:p>
        </w:tc>
      </w:tr>
      <w:tr w:rsidR="00D32A05" w:rsidRPr="001C29FC" w14:paraId="6B2015F2" w14:textId="77777777" w:rsidTr="00D32A05">
        <w:trPr>
          <w:cantSplit/>
          <w:tblHeader/>
        </w:trPr>
        <w:tc>
          <w:tcPr>
            <w:tcW w:w="1803" w:type="dxa"/>
            <w:shd w:val="clear" w:color="auto" w:fill="auto"/>
            <w:vAlign w:val="bottom"/>
          </w:tcPr>
          <w:p w14:paraId="1890C329" w14:textId="77777777" w:rsidR="00D32A05" w:rsidRPr="001C29FC" w:rsidRDefault="00D32A05" w:rsidP="00D32A05">
            <w:pPr>
              <w:pStyle w:val="TableText"/>
            </w:pPr>
            <w:r w:rsidRPr="001C29FC">
              <w:t>Remove Final Status</w:t>
            </w:r>
          </w:p>
        </w:tc>
        <w:tc>
          <w:tcPr>
            <w:tcW w:w="1442" w:type="dxa"/>
            <w:vMerge/>
            <w:shd w:val="clear" w:color="auto" w:fill="auto"/>
          </w:tcPr>
          <w:p w14:paraId="049BB751" w14:textId="77777777" w:rsidR="00D32A05" w:rsidRPr="001C29FC" w:rsidRDefault="00D32A05" w:rsidP="00D32A05">
            <w:pPr>
              <w:pStyle w:val="TableText"/>
              <w:rPr>
                <w:color w:val="000000"/>
                <w:szCs w:val="18"/>
              </w:rPr>
            </w:pPr>
          </w:p>
        </w:tc>
        <w:tc>
          <w:tcPr>
            <w:tcW w:w="1633" w:type="dxa"/>
            <w:shd w:val="clear" w:color="auto" w:fill="auto"/>
          </w:tcPr>
          <w:p w14:paraId="64D45379" w14:textId="77777777" w:rsidR="00D32A05" w:rsidRPr="001C29FC" w:rsidRDefault="00D32A05" w:rsidP="00D32A05">
            <w:pPr>
              <w:pStyle w:val="TableText"/>
              <w:rPr>
                <w:color w:val="000000"/>
                <w:szCs w:val="18"/>
              </w:rPr>
            </w:pPr>
            <w:r w:rsidRPr="001C29FC">
              <w:rPr>
                <w:color w:val="000000"/>
                <w:szCs w:val="18"/>
              </w:rPr>
              <w:t>N/A</w:t>
            </w:r>
          </w:p>
        </w:tc>
        <w:tc>
          <w:tcPr>
            <w:tcW w:w="4482" w:type="dxa"/>
            <w:shd w:val="clear" w:color="auto" w:fill="auto"/>
          </w:tcPr>
          <w:p w14:paraId="409339E0" w14:textId="77777777" w:rsidR="00D32A05" w:rsidRPr="001C29FC" w:rsidRDefault="00D32A05" w:rsidP="00D32A05">
            <w:pPr>
              <w:pStyle w:val="TableText"/>
              <w:rPr>
                <w:color w:val="000000"/>
                <w:szCs w:val="18"/>
              </w:rPr>
            </w:pPr>
            <w:r w:rsidRPr="001C29FC">
              <w:rPr>
                <w:color w:val="000000"/>
                <w:szCs w:val="18"/>
              </w:rPr>
              <w:t xml:space="preserve">There is no effect on workload accrual when a unit is removed from a modified status that was included in a Thaw/pool Cryo pool. </w:t>
            </w:r>
          </w:p>
        </w:tc>
      </w:tr>
      <w:tr w:rsidR="00D32A05" w:rsidRPr="001C29FC" w14:paraId="42B6ADF1" w14:textId="77777777" w:rsidTr="00D32A05">
        <w:trPr>
          <w:cantSplit/>
          <w:tblHeader/>
        </w:trPr>
        <w:tc>
          <w:tcPr>
            <w:tcW w:w="1803" w:type="dxa"/>
            <w:shd w:val="clear" w:color="auto" w:fill="auto"/>
          </w:tcPr>
          <w:p w14:paraId="48F6E15F" w14:textId="77777777" w:rsidR="00D32A05" w:rsidRPr="001C29FC" w:rsidRDefault="00D32A05" w:rsidP="00D32A05">
            <w:pPr>
              <w:pStyle w:val="TableText"/>
              <w:rPr>
                <w:color w:val="000000"/>
                <w:szCs w:val="18"/>
              </w:rPr>
            </w:pPr>
            <w:r w:rsidRPr="001C29FC">
              <w:rPr>
                <w:color w:val="000000"/>
                <w:szCs w:val="18"/>
              </w:rPr>
              <w:t>Enter Post-Transfusion Details</w:t>
            </w:r>
          </w:p>
        </w:tc>
        <w:tc>
          <w:tcPr>
            <w:tcW w:w="1442" w:type="dxa"/>
            <w:vMerge w:val="restart"/>
            <w:shd w:val="clear" w:color="auto" w:fill="auto"/>
          </w:tcPr>
          <w:p w14:paraId="4230C81D" w14:textId="77777777" w:rsidR="00D32A05" w:rsidRPr="001C29FC" w:rsidRDefault="00D32A05" w:rsidP="00D32A05">
            <w:pPr>
              <w:pStyle w:val="TableText"/>
              <w:rPr>
                <w:color w:val="000000"/>
                <w:szCs w:val="18"/>
              </w:rPr>
            </w:pPr>
            <w:r w:rsidRPr="001C29FC">
              <w:rPr>
                <w:color w:val="000000"/>
                <w:szCs w:val="18"/>
              </w:rPr>
              <w:t>Transfuse Unit</w:t>
            </w:r>
          </w:p>
        </w:tc>
        <w:tc>
          <w:tcPr>
            <w:tcW w:w="1633" w:type="dxa"/>
            <w:shd w:val="clear" w:color="auto" w:fill="auto"/>
          </w:tcPr>
          <w:p w14:paraId="6479C8C4"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F17E4F1" w14:textId="77777777" w:rsidR="00D32A05" w:rsidRPr="001C29FC" w:rsidRDefault="00D32A05" w:rsidP="00D32A05">
            <w:pPr>
              <w:pStyle w:val="TableText"/>
              <w:rPr>
                <w:szCs w:val="18"/>
              </w:rPr>
            </w:pPr>
            <w:r w:rsidRPr="001C29FC">
              <w:rPr>
                <w:szCs w:val="18"/>
              </w:rPr>
              <w:t xml:space="preserve">Accrue workload when an </w:t>
            </w:r>
            <w:r w:rsidRPr="001C29FC">
              <w:rPr>
                <w:color w:val="000000"/>
                <w:szCs w:val="18"/>
              </w:rPr>
              <w:t>individual blood unit’s status is updated to “transfused.“</w:t>
            </w:r>
          </w:p>
        </w:tc>
      </w:tr>
      <w:tr w:rsidR="00D32A05" w:rsidRPr="001C29FC" w14:paraId="5AEEFA5A" w14:textId="77777777" w:rsidTr="00D32A05">
        <w:trPr>
          <w:cantSplit/>
          <w:tblHeader/>
        </w:trPr>
        <w:tc>
          <w:tcPr>
            <w:tcW w:w="1803" w:type="dxa"/>
            <w:shd w:val="clear" w:color="auto" w:fill="auto"/>
            <w:vAlign w:val="bottom"/>
          </w:tcPr>
          <w:p w14:paraId="753BDFD2" w14:textId="77777777" w:rsidR="00D32A05" w:rsidRPr="001C29FC" w:rsidRDefault="00D32A05" w:rsidP="00D32A05">
            <w:pPr>
              <w:pStyle w:val="TableText"/>
            </w:pPr>
            <w:r w:rsidRPr="001C29FC">
              <w:t>Remove Final Status*</w:t>
            </w:r>
          </w:p>
        </w:tc>
        <w:tc>
          <w:tcPr>
            <w:tcW w:w="1442" w:type="dxa"/>
            <w:vMerge/>
            <w:shd w:val="clear" w:color="auto" w:fill="auto"/>
          </w:tcPr>
          <w:p w14:paraId="1506835D" w14:textId="77777777" w:rsidR="00D32A05" w:rsidRPr="001C29FC" w:rsidRDefault="00D32A05" w:rsidP="00D32A05">
            <w:pPr>
              <w:pStyle w:val="TableText"/>
              <w:rPr>
                <w:color w:val="000000"/>
                <w:szCs w:val="18"/>
              </w:rPr>
            </w:pPr>
          </w:p>
        </w:tc>
        <w:tc>
          <w:tcPr>
            <w:tcW w:w="1633" w:type="dxa"/>
            <w:shd w:val="clear" w:color="auto" w:fill="auto"/>
          </w:tcPr>
          <w:p w14:paraId="35EA34DE"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4FAF752" w14:textId="77777777" w:rsidR="00D32A05" w:rsidRPr="001C29FC" w:rsidRDefault="00D32A05" w:rsidP="00D32A05">
            <w:pPr>
              <w:pStyle w:val="TableText"/>
              <w:rPr>
                <w:color w:val="000000"/>
                <w:szCs w:val="18"/>
              </w:rPr>
            </w:pPr>
            <w:r w:rsidRPr="001C29FC">
              <w:rPr>
                <w:color w:val="000000"/>
                <w:szCs w:val="18"/>
              </w:rPr>
              <w:t>An individual blood unit’s status is invalidated when the unit was in a status of “transfused.”</w:t>
            </w:r>
          </w:p>
        </w:tc>
      </w:tr>
      <w:tr w:rsidR="00D32A05" w:rsidRPr="001C29FC" w14:paraId="54D9D6F5" w14:textId="77777777" w:rsidTr="00D32A05">
        <w:trPr>
          <w:cantSplit/>
          <w:tblHeader/>
        </w:trPr>
        <w:tc>
          <w:tcPr>
            <w:tcW w:w="1803" w:type="dxa"/>
            <w:shd w:val="clear" w:color="auto" w:fill="auto"/>
            <w:vAlign w:val="bottom"/>
          </w:tcPr>
          <w:p w14:paraId="1D072863" w14:textId="77777777" w:rsidR="00D32A05" w:rsidRPr="001C29FC" w:rsidRDefault="00D32A05" w:rsidP="00D32A05">
            <w:pPr>
              <w:pStyle w:val="TableText"/>
            </w:pPr>
            <w:r w:rsidRPr="001C29FC">
              <w:t>Record a Transfusion Reaction Workup</w:t>
            </w:r>
          </w:p>
        </w:tc>
        <w:tc>
          <w:tcPr>
            <w:tcW w:w="1442" w:type="dxa"/>
            <w:vMerge w:val="restart"/>
            <w:shd w:val="clear" w:color="auto" w:fill="auto"/>
          </w:tcPr>
          <w:p w14:paraId="36A521B3" w14:textId="77777777" w:rsidR="00D32A05" w:rsidRPr="001C29FC" w:rsidRDefault="00D32A05" w:rsidP="00D32A05">
            <w:pPr>
              <w:pStyle w:val="TableText"/>
              <w:rPr>
                <w:color w:val="000000"/>
                <w:szCs w:val="18"/>
              </w:rPr>
            </w:pPr>
            <w:r w:rsidRPr="001C29FC">
              <w:rPr>
                <w:color w:val="000000"/>
                <w:szCs w:val="18"/>
              </w:rPr>
              <w:t>Transfusion Reaction Investigation</w:t>
            </w:r>
          </w:p>
        </w:tc>
        <w:tc>
          <w:tcPr>
            <w:tcW w:w="1633" w:type="dxa"/>
            <w:shd w:val="clear" w:color="auto" w:fill="auto"/>
          </w:tcPr>
          <w:p w14:paraId="780AB1A8"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D4E6DDF" w14:textId="77777777" w:rsidR="00D32A05" w:rsidRPr="001C29FC" w:rsidRDefault="00D32A05" w:rsidP="00D32A05">
            <w:pPr>
              <w:pStyle w:val="TableText"/>
              <w:rPr>
                <w:color w:val="000000"/>
                <w:szCs w:val="18"/>
              </w:rPr>
            </w:pPr>
            <w:r w:rsidRPr="001C29FC">
              <w:rPr>
                <w:color w:val="000000"/>
                <w:szCs w:val="18"/>
              </w:rPr>
              <w:t xml:space="preserve">Accrue workload when a transfusion reaction investigation is saved. </w:t>
            </w:r>
            <w:r w:rsidRPr="001C29FC">
              <w:rPr>
                <w:iCs/>
                <w:color w:val="000000"/>
                <w:szCs w:val="18"/>
              </w:rPr>
              <w:t xml:space="preserve">This does </w:t>
            </w:r>
            <w:r w:rsidRPr="001C29FC">
              <w:rPr>
                <w:color w:val="000000"/>
                <w:szCs w:val="18"/>
              </w:rPr>
              <w:t>not</w:t>
            </w:r>
            <w:r w:rsidRPr="001C29FC">
              <w:rPr>
                <w:iCs/>
                <w:color w:val="000000"/>
                <w:szCs w:val="18"/>
              </w:rPr>
              <w:t xml:space="preserve"> include workload accrued by the optional TRW serologic testing.</w:t>
            </w:r>
          </w:p>
        </w:tc>
      </w:tr>
      <w:tr w:rsidR="00D32A05" w:rsidRPr="001C29FC" w14:paraId="09666470" w14:textId="77777777" w:rsidTr="00D32A05">
        <w:trPr>
          <w:cantSplit/>
          <w:tblHeader/>
        </w:trPr>
        <w:tc>
          <w:tcPr>
            <w:tcW w:w="1803" w:type="dxa"/>
            <w:shd w:val="clear" w:color="auto" w:fill="auto"/>
            <w:vAlign w:val="bottom"/>
          </w:tcPr>
          <w:p w14:paraId="441851C4" w14:textId="77777777" w:rsidR="00D32A05" w:rsidRPr="001C29FC" w:rsidRDefault="00D32A05" w:rsidP="00D32A05">
            <w:pPr>
              <w:pStyle w:val="TableText"/>
            </w:pPr>
            <w:r w:rsidRPr="001C29FC">
              <w:t>Invalidate Patient Test Results*</w:t>
            </w:r>
          </w:p>
        </w:tc>
        <w:tc>
          <w:tcPr>
            <w:tcW w:w="1442" w:type="dxa"/>
            <w:vMerge/>
            <w:shd w:val="clear" w:color="auto" w:fill="auto"/>
          </w:tcPr>
          <w:p w14:paraId="7405A118" w14:textId="77777777" w:rsidR="00D32A05" w:rsidRPr="001C29FC" w:rsidRDefault="00D32A05" w:rsidP="00D32A05">
            <w:pPr>
              <w:pStyle w:val="TableText"/>
              <w:rPr>
                <w:color w:val="000000"/>
                <w:szCs w:val="18"/>
              </w:rPr>
            </w:pPr>
          </w:p>
        </w:tc>
        <w:tc>
          <w:tcPr>
            <w:tcW w:w="1633" w:type="dxa"/>
            <w:shd w:val="clear" w:color="auto" w:fill="auto"/>
          </w:tcPr>
          <w:p w14:paraId="17020E35" w14:textId="77777777" w:rsidR="00D32A05" w:rsidRPr="001C29FC" w:rsidRDefault="00D32A05" w:rsidP="00D32A05">
            <w:pPr>
              <w:pStyle w:val="TableText"/>
              <w:rPr>
                <w:color w:val="000000"/>
                <w:szCs w:val="18"/>
              </w:rPr>
            </w:pPr>
            <w:r w:rsidRPr="001C29FC">
              <w:rPr>
                <w:color w:val="000000"/>
                <w:szCs w:val="18"/>
              </w:rPr>
              <w:t>P</w:t>
            </w:r>
          </w:p>
        </w:tc>
        <w:tc>
          <w:tcPr>
            <w:tcW w:w="4482" w:type="dxa"/>
            <w:shd w:val="clear" w:color="auto" w:fill="auto"/>
          </w:tcPr>
          <w:p w14:paraId="44E7BDBA" w14:textId="77777777" w:rsidR="00D32A05" w:rsidRPr="001C29FC" w:rsidRDefault="00D32A05" w:rsidP="00D32A05">
            <w:pPr>
              <w:pStyle w:val="TableText"/>
              <w:rPr>
                <w:szCs w:val="18"/>
              </w:rPr>
            </w:pPr>
            <w:r w:rsidRPr="001C29FC">
              <w:rPr>
                <w:szCs w:val="18"/>
              </w:rPr>
              <w:t xml:space="preserve">Accrue workload when a </w:t>
            </w:r>
            <w:r w:rsidRPr="001C29FC">
              <w:rPr>
                <w:color w:val="000000"/>
                <w:szCs w:val="18"/>
              </w:rPr>
              <w:t>transfusion reaction investigation previously saved is invalidated.</w:t>
            </w:r>
          </w:p>
        </w:tc>
      </w:tr>
      <w:tr w:rsidR="00D32A05" w:rsidRPr="001C29FC" w14:paraId="70913AAF" w14:textId="77777777" w:rsidTr="00D32A05">
        <w:trPr>
          <w:cantSplit/>
          <w:tblHeader/>
        </w:trPr>
        <w:tc>
          <w:tcPr>
            <w:tcW w:w="1803" w:type="dxa"/>
            <w:shd w:val="clear" w:color="auto" w:fill="auto"/>
            <w:vAlign w:val="bottom"/>
          </w:tcPr>
          <w:p w14:paraId="3827C453" w14:textId="77777777" w:rsidR="00D32A05" w:rsidRPr="001C29FC" w:rsidRDefault="00D32A05" w:rsidP="00D32A05">
            <w:pPr>
              <w:pStyle w:val="TableText"/>
            </w:pPr>
            <w:r w:rsidRPr="001C29FC">
              <w:t>Unit Antigen Typing</w:t>
            </w:r>
          </w:p>
        </w:tc>
        <w:tc>
          <w:tcPr>
            <w:tcW w:w="1442" w:type="dxa"/>
            <w:vMerge w:val="restart"/>
            <w:shd w:val="clear" w:color="auto" w:fill="auto"/>
          </w:tcPr>
          <w:p w14:paraId="68A3815C" w14:textId="77777777" w:rsidR="00D32A05" w:rsidRPr="001C29FC" w:rsidRDefault="00D32A05" w:rsidP="00D32A05">
            <w:pPr>
              <w:pStyle w:val="TableText"/>
              <w:rPr>
                <w:color w:val="000000"/>
                <w:szCs w:val="18"/>
              </w:rPr>
            </w:pPr>
            <w:r w:rsidRPr="001C29FC">
              <w:rPr>
                <w:color w:val="000000"/>
                <w:szCs w:val="18"/>
              </w:rPr>
              <w:t>Unit Antigen phenotyping, Multiple Test phases</w:t>
            </w:r>
          </w:p>
        </w:tc>
        <w:tc>
          <w:tcPr>
            <w:tcW w:w="1633" w:type="dxa"/>
            <w:shd w:val="clear" w:color="auto" w:fill="auto"/>
          </w:tcPr>
          <w:p w14:paraId="63A6A52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0B199C63"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IS/RT or IS/37 phases is selected and completed for an individual blood unit. There is no special handling for workload collection for additional repeat antigen typing tests on a unit.</w:t>
            </w:r>
          </w:p>
        </w:tc>
      </w:tr>
      <w:tr w:rsidR="00D32A05" w:rsidRPr="001C29FC" w14:paraId="06CDB613" w14:textId="77777777" w:rsidTr="00D32A05">
        <w:trPr>
          <w:cantSplit/>
          <w:tblHeader/>
        </w:trPr>
        <w:tc>
          <w:tcPr>
            <w:tcW w:w="1803" w:type="dxa"/>
            <w:shd w:val="clear" w:color="auto" w:fill="auto"/>
            <w:vAlign w:val="bottom"/>
          </w:tcPr>
          <w:p w14:paraId="0E8538AC" w14:textId="77777777" w:rsidR="00D32A05" w:rsidRPr="001C29FC" w:rsidRDefault="00D32A05" w:rsidP="00D32A05">
            <w:pPr>
              <w:pStyle w:val="TableText"/>
            </w:pPr>
            <w:r w:rsidRPr="001C29FC">
              <w:t>Edit Unit Information*</w:t>
            </w:r>
          </w:p>
        </w:tc>
        <w:tc>
          <w:tcPr>
            <w:tcW w:w="1442" w:type="dxa"/>
            <w:vMerge/>
            <w:shd w:val="clear" w:color="auto" w:fill="auto"/>
          </w:tcPr>
          <w:p w14:paraId="27DBE3F2" w14:textId="77777777" w:rsidR="00D32A05" w:rsidRPr="001C29FC" w:rsidRDefault="00D32A05" w:rsidP="00D32A05">
            <w:pPr>
              <w:pStyle w:val="TableText"/>
              <w:rPr>
                <w:color w:val="000000"/>
                <w:szCs w:val="18"/>
              </w:rPr>
            </w:pPr>
          </w:p>
        </w:tc>
        <w:tc>
          <w:tcPr>
            <w:tcW w:w="1633" w:type="dxa"/>
            <w:shd w:val="clear" w:color="auto" w:fill="auto"/>
          </w:tcPr>
          <w:p w14:paraId="39C47D00"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41FC4AC8"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Multiple Test phases is invalidated for an individual blood unit.</w:t>
            </w:r>
          </w:p>
        </w:tc>
      </w:tr>
      <w:tr w:rsidR="00D32A05" w:rsidRPr="001C29FC" w14:paraId="180ECF9E" w14:textId="77777777" w:rsidTr="00D32A05">
        <w:trPr>
          <w:cantSplit/>
          <w:tblHeader/>
        </w:trPr>
        <w:tc>
          <w:tcPr>
            <w:tcW w:w="1803" w:type="dxa"/>
            <w:shd w:val="clear" w:color="auto" w:fill="auto"/>
            <w:vAlign w:val="bottom"/>
          </w:tcPr>
          <w:p w14:paraId="1CCE9B18" w14:textId="77777777" w:rsidR="00D32A05" w:rsidRPr="001C29FC" w:rsidRDefault="00D32A05" w:rsidP="00D32A05">
            <w:pPr>
              <w:pStyle w:val="TableText"/>
            </w:pPr>
            <w:r w:rsidRPr="001C29FC">
              <w:t>Unit Antigen Typing</w:t>
            </w:r>
          </w:p>
        </w:tc>
        <w:tc>
          <w:tcPr>
            <w:tcW w:w="1442" w:type="dxa"/>
            <w:vMerge w:val="restart"/>
            <w:shd w:val="clear" w:color="auto" w:fill="auto"/>
          </w:tcPr>
          <w:p w14:paraId="3D20B74B" w14:textId="77777777" w:rsidR="00D32A05" w:rsidRPr="001C29FC" w:rsidRDefault="00D32A05" w:rsidP="00D32A05">
            <w:pPr>
              <w:pStyle w:val="TableText"/>
              <w:rPr>
                <w:color w:val="000000"/>
                <w:szCs w:val="18"/>
              </w:rPr>
            </w:pPr>
            <w:r w:rsidRPr="001C29FC">
              <w:rPr>
                <w:color w:val="000000"/>
                <w:szCs w:val="18"/>
              </w:rPr>
              <w:t>Unit Antigen phenotyping, Single Test phase</w:t>
            </w:r>
          </w:p>
        </w:tc>
        <w:tc>
          <w:tcPr>
            <w:tcW w:w="1633" w:type="dxa"/>
            <w:shd w:val="clear" w:color="auto" w:fill="auto"/>
          </w:tcPr>
          <w:p w14:paraId="2B248E57"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4756E22" w14:textId="77777777" w:rsidR="00D32A05" w:rsidRPr="001C29FC" w:rsidRDefault="00D32A05" w:rsidP="00D32A05">
            <w:pPr>
              <w:pStyle w:val="TableText"/>
              <w:rPr>
                <w:color w:val="000000"/>
                <w:szCs w:val="18"/>
              </w:rPr>
            </w:pPr>
            <w:r w:rsidRPr="001C29FC">
              <w:rPr>
                <w:color w:val="000000"/>
                <w:szCs w:val="18"/>
              </w:rPr>
              <w:t>A unit antigen phenotype test with AHG or IS phase is selected and completed for an individual blood unit. There is no special handling for workload collection for additional repeat antigen typing tests on a unit.</w:t>
            </w:r>
          </w:p>
        </w:tc>
      </w:tr>
      <w:tr w:rsidR="00D32A05" w:rsidRPr="001C29FC" w14:paraId="14F52D0F" w14:textId="77777777" w:rsidTr="00D32A05">
        <w:trPr>
          <w:cantSplit/>
          <w:tblHeader/>
        </w:trPr>
        <w:tc>
          <w:tcPr>
            <w:tcW w:w="1803" w:type="dxa"/>
            <w:shd w:val="clear" w:color="auto" w:fill="auto"/>
            <w:vAlign w:val="bottom"/>
          </w:tcPr>
          <w:p w14:paraId="0B3F9BE5" w14:textId="77777777" w:rsidR="00D32A05" w:rsidRPr="001C29FC" w:rsidRDefault="00D32A05" w:rsidP="00D32A05">
            <w:pPr>
              <w:pStyle w:val="TableText"/>
            </w:pPr>
            <w:r w:rsidRPr="001C29FC">
              <w:t>Edit Unit Information*</w:t>
            </w:r>
          </w:p>
        </w:tc>
        <w:tc>
          <w:tcPr>
            <w:tcW w:w="1442" w:type="dxa"/>
            <w:vMerge/>
            <w:shd w:val="clear" w:color="auto" w:fill="auto"/>
          </w:tcPr>
          <w:p w14:paraId="224C5C36" w14:textId="77777777" w:rsidR="00D32A05" w:rsidRPr="001C29FC" w:rsidRDefault="00D32A05" w:rsidP="00D32A05">
            <w:pPr>
              <w:pStyle w:val="TableText"/>
              <w:rPr>
                <w:color w:val="000000"/>
                <w:szCs w:val="18"/>
              </w:rPr>
            </w:pPr>
          </w:p>
        </w:tc>
        <w:tc>
          <w:tcPr>
            <w:tcW w:w="1633" w:type="dxa"/>
            <w:shd w:val="clear" w:color="auto" w:fill="auto"/>
          </w:tcPr>
          <w:p w14:paraId="667A4A0C"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7C77A4AB" w14:textId="77777777" w:rsidR="00D32A05" w:rsidRPr="001C29FC" w:rsidRDefault="00D32A05" w:rsidP="00D32A05">
            <w:pPr>
              <w:pStyle w:val="TableText"/>
              <w:rPr>
                <w:color w:val="000000"/>
                <w:szCs w:val="18"/>
              </w:rPr>
            </w:pPr>
            <w:r w:rsidRPr="001C29FC">
              <w:rPr>
                <w:color w:val="000000"/>
                <w:szCs w:val="18"/>
              </w:rPr>
              <w:t>Accrue workload when a unit antigen phenotype test with Single Test phase is invalidated for an individual blood unit.</w:t>
            </w:r>
          </w:p>
        </w:tc>
      </w:tr>
      <w:tr w:rsidR="00D32A05" w:rsidRPr="001C29FC" w14:paraId="18B6AEA9" w14:textId="77777777" w:rsidTr="00D32A05">
        <w:trPr>
          <w:cantSplit/>
          <w:tblHeader/>
        </w:trPr>
        <w:tc>
          <w:tcPr>
            <w:tcW w:w="1803" w:type="dxa"/>
            <w:shd w:val="clear" w:color="auto" w:fill="auto"/>
            <w:vAlign w:val="bottom"/>
          </w:tcPr>
          <w:p w14:paraId="1CCE5285" w14:textId="77777777" w:rsidR="00D32A05" w:rsidRPr="001C29FC" w:rsidRDefault="00D32A05" w:rsidP="00D32A05">
            <w:pPr>
              <w:pStyle w:val="TableText"/>
            </w:pPr>
            <w:r w:rsidRPr="001C29FC">
              <w:t>Incoming Shipment</w:t>
            </w:r>
          </w:p>
        </w:tc>
        <w:tc>
          <w:tcPr>
            <w:tcW w:w="1442" w:type="dxa"/>
            <w:vMerge w:val="restart"/>
            <w:shd w:val="clear" w:color="auto" w:fill="auto"/>
          </w:tcPr>
          <w:p w14:paraId="32408964" w14:textId="77777777" w:rsidR="00D32A05" w:rsidRPr="001C29FC" w:rsidRDefault="00D32A05" w:rsidP="00D32A05">
            <w:pPr>
              <w:pStyle w:val="TableText"/>
              <w:rPr>
                <w:color w:val="000000"/>
                <w:szCs w:val="18"/>
              </w:rPr>
            </w:pPr>
            <w:r w:rsidRPr="001C29FC">
              <w:rPr>
                <w:color w:val="000000"/>
                <w:szCs w:val="18"/>
              </w:rPr>
              <w:t>Unit login</w:t>
            </w:r>
          </w:p>
        </w:tc>
        <w:tc>
          <w:tcPr>
            <w:tcW w:w="1633" w:type="dxa"/>
            <w:shd w:val="clear" w:color="auto" w:fill="auto"/>
          </w:tcPr>
          <w:p w14:paraId="70E3895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64187112" w14:textId="77777777" w:rsidR="00D32A05" w:rsidRPr="001C29FC" w:rsidRDefault="00D32A05" w:rsidP="00D32A05">
            <w:pPr>
              <w:pStyle w:val="TableText"/>
              <w:rPr>
                <w:color w:val="000000"/>
                <w:szCs w:val="18"/>
              </w:rPr>
            </w:pPr>
            <w:r w:rsidRPr="001C29FC">
              <w:rPr>
                <w:color w:val="000000"/>
                <w:szCs w:val="18"/>
              </w:rPr>
              <w:t>An individual unit record is activated as “saved” to an incoming shipment invoice. When multiple units are entered, each unit added to the database accrues workload.</w:t>
            </w:r>
          </w:p>
        </w:tc>
      </w:tr>
      <w:tr w:rsidR="00D32A05" w:rsidRPr="001C29FC" w14:paraId="096B693D" w14:textId="77777777" w:rsidTr="00D32A05">
        <w:trPr>
          <w:cantSplit/>
          <w:tblHeader/>
        </w:trPr>
        <w:tc>
          <w:tcPr>
            <w:tcW w:w="1803" w:type="dxa"/>
            <w:shd w:val="clear" w:color="auto" w:fill="auto"/>
            <w:vAlign w:val="bottom"/>
          </w:tcPr>
          <w:p w14:paraId="33574B2F" w14:textId="77777777" w:rsidR="00D32A05" w:rsidRPr="001C29FC" w:rsidRDefault="00D32A05" w:rsidP="00D32A05">
            <w:pPr>
              <w:pStyle w:val="TableText"/>
            </w:pPr>
            <w:r w:rsidRPr="001C29FC">
              <w:t>Edit Unit Information*</w:t>
            </w:r>
          </w:p>
        </w:tc>
        <w:tc>
          <w:tcPr>
            <w:tcW w:w="1442" w:type="dxa"/>
            <w:vMerge/>
            <w:shd w:val="clear" w:color="auto" w:fill="auto"/>
          </w:tcPr>
          <w:p w14:paraId="36EC0FFC" w14:textId="77777777" w:rsidR="00D32A05" w:rsidRPr="001C29FC" w:rsidRDefault="00D32A05" w:rsidP="00D32A05">
            <w:pPr>
              <w:pStyle w:val="TableText"/>
              <w:rPr>
                <w:color w:val="000000"/>
                <w:szCs w:val="18"/>
              </w:rPr>
            </w:pPr>
          </w:p>
        </w:tc>
        <w:tc>
          <w:tcPr>
            <w:tcW w:w="1633" w:type="dxa"/>
            <w:shd w:val="clear" w:color="auto" w:fill="auto"/>
          </w:tcPr>
          <w:p w14:paraId="192DFC15"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142C7AB0" w14:textId="77777777" w:rsidR="00D32A05" w:rsidRPr="001C29FC" w:rsidRDefault="00D32A05" w:rsidP="00D32A05">
            <w:pPr>
              <w:pStyle w:val="TableText"/>
              <w:rPr>
                <w:szCs w:val="18"/>
              </w:rPr>
            </w:pPr>
            <w:r w:rsidRPr="001C29FC">
              <w:rPr>
                <w:szCs w:val="18"/>
              </w:rPr>
              <w:t>Accrue workload when a u</w:t>
            </w:r>
            <w:r w:rsidRPr="001C29FC">
              <w:rPr>
                <w:color w:val="000000"/>
                <w:szCs w:val="18"/>
              </w:rPr>
              <w:t xml:space="preserve">nit is inactivated and logged in through incoming shipment or is a pooled unit created in VBECS. When the unit was created by split modification, no workload is invalidated in this option. </w:t>
            </w:r>
          </w:p>
        </w:tc>
      </w:tr>
      <w:tr w:rsidR="00D32A05" w:rsidRPr="001C29FC" w14:paraId="38AE045E" w14:textId="77777777" w:rsidTr="00D32A05">
        <w:trPr>
          <w:cantSplit/>
          <w:tblHeader/>
        </w:trPr>
        <w:tc>
          <w:tcPr>
            <w:tcW w:w="1803" w:type="dxa"/>
            <w:shd w:val="clear" w:color="auto" w:fill="auto"/>
            <w:vAlign w:val="bottom"/>
          </w:tcPr>
          <w:p w14:paraId="78B0FE95" w14:textId="77777777" w:rsidR="00D32A05" w:rsidRPr="001C29FC" w:rsidRDefault="00D32A05" w:rsidP="00D32A05">
            <w:pPr>
              <w:pStyle w:val="TableText"/>
            </w:pPr>
            <w:r w:rsidRPr="001C29FC">
              <w:t>Outgoing Shipment</w:t>
            </w:r>
          </w:p>
        </w:tc>
        <w:tc>
          <w:tcPr>
            <w:tcW w:w="1442" w:type="dxa"/>
            <w:vMerge w:val="restart"/>
            <w:shd w:val="clear" w:color="auto" w:fill="auto"/>
          </w:tcPr>
          <w:p w14:paraId="39238786" w14:textId="77777777" w:rsidR="00D32A05" w:rsidRPr="001C29FC" w:rsidRDefault="00D32A05" w:rsidP="00D32A05">
            <w:pPr>
              <w:pStyle w:val="TableText"/>
              <w:rPr>
                <w:color w:val="000000"/>
                <w:szCs w:val="18"/>
              </w:rPr>
            </w:pPr>
            <w:r w:rsidRPr="001C29FC">
              <w:rPr>
                <w:color w:val="000000"/>
                <w:szCs w:val="18"/>
              </w:rPr>
              <w:t>Unit logout</w:t>
            </w:r>
          </w:p>
        </w:tc>
        <w:tc>
          <w:tcPr>
            <w:tcW w:w="1633" w:type="dxa"/>
            <w:shd w:val="clear" w:color="auto" w:fill="auto"/>
          </w:tcPr>
          <w:p w14:paraId="23130103"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2B1AA80F" w14:textId="77777777" w:rsidR="00D32A05" w:rsidRPr="001C29FC" w:rsidRDefault="00D32A05" w:rsidP="00D32A05">
            <w:pPr>
              <w:pStyle w:val="TableText"/>
              <w:rPr>
                <w:color w:val="000000"/>
                <w:szCs w:val="18"/>
              </w:rPr>
            </w:pPr>
            <w:r w:rsidRPr="001C29FC">
              <w:rPr>
                <w:color w:val="000000"/>
                <w:szCs w:val="18"/>
              </w:rPr>
              <w:t>An individual unit’s status is updated to “</w:t>
            </w:r>
            <w:r w:rsidRPr="001C29FC">
              <w:rPr>
                <w:iCs/>
                <w:color w:val="000000"/>
                <w:szCs w:val="18"/>
              </w:rPr>
              <w:t>transferred”</w:t>
            </w:r>
            <w:r w:rsidRPr="001C29FC">
              <w:rPr>
                <w:color w:val="000000"/>
                <w:szCs w:val="18"/>
              </w:rPr>
              <w:t xml:space="preserve"> on a confirmed outgoing shipment invoice. When multiple units are selected, each unit accrues workload. Accrue workload on confirmation of the invoice, not the addition of a unit to a temporary outgoing shipment invoice: an invoice may be confirmed only once.</w:t>
            </w:r>
          </w:p>
        </w:tc>
      </w:tr>
      <w:tr w:rsidR="00D32A05" w:rsidRPr="001C29FC" w14:paraId="771E3CA0" w14:textId="77777777" w:rsidTr="00D32A05">
        <w:trPr>
          <w:cantSplit/>
          <w:tblHeader/>
        </w:trPr>
        <w:tc>
          <w:tcPr>
            <w:tcW w:w="1803" w:type="dxa"/>
            <w:shd w:val="clear" w:color="auto" w:fill="auto"/>
            <w:vAlign w:val="bottom"/>
          </w:tcPr>
          <w:p w14:paraId="06EA577A" w14:textId="77777777" w:rsidR="00D32A05" w:rsidRPr="001C29FC" w:rsidRDefault="00D32A05" w:rsidP="00D32A05">
            <w:pPr>
              <w:pStyle w:val="TableText"/>
            </w:pPr>
            <w:r w:rsidRPr="001C29FC">
              <w:t>Remove Final Status*</w:t>
            </w:r>
          </w:p>
        </w:tc>
        <w:tc>
          <w:tcPr>
            <w:tcW w:w="1442" w:type="dxa"/>
            <w:vMerge/>
            <w:shd w:val="clear" w:color="auto" w:fill="auto"/>
          </w:tcPr>
          <w:p w14:paraId="672AA82D" w14:textId="77777777" w:rsidR="00D32A05" w:rsidRPr="001C29FC" w:rsidRDefault="00D32A05" w:rsidP="00D32A05">
            <w:pPr>
              <w:pStyle w:val="TableText"/>
              <w:rPr>
                <w:color w:val="000000"/>
                <w:szCs w:val="18"/>
              </w:rPr>
            </w:pPr>
          </w:p>
        </w:tc>
        <w:tc>
          <w:tcPr>
            <w:tcW w:w="1633" w:type="dxa"/>
            <w:shd w:val="clear" w:color="auto" w:fill="auto"/>
          </w:tcPr>
          <w:p w14:paraId="6A82C3C6" w14:textId="77777777" w:rsidR="00D32A05" w:rsidRPr="001C29FC" w:rsidRDefault="00D32A05" w:rsidP="00D32A05">
            <w:pPr>
              <w:pStyle w:val="TableText"/>
              <w:rPr>
                <w:color w:val="000000"/>
                <w:szCs w:val="18"/>
              </w:rPr>
            </w:pPr>
            <w:r w:rsidRPr="001C29FC">
              <w:rPr>
                <w:color w:val="000000"/>
                <w:szCs w:val="18"/>
              </w:rPr>
              <w:t>U</w:t>
            </w:r>
          </w:p>
        </w:tc>
        <w:tc>
          <w:tcPr>
            <w:tcW w:w="4482" w:type="dxa"/>
            <w:shd w:val="clear" w:color="auto" w:fill="auto"/>
          </w:tcPr>
          <w:p w14:paraId="359D85AE" w14:textId="77777777" w:rsidR="00D32A05" w:rsidRPr="001C29FC" w:rsidRDefault="00D32A05" w:rsidP="00D32A05">
            <w:pPr>
              <w:pStyle w:val="TableText"/>
              <w:rPr>
                <w:color w:val="000000"/>
                <w:szCs w:val="18"/>
              </w:rPr>
            </w:pPr>
            <w:r w:rsidRPr="001C29FC">
              <w:rPr>
                <w:color w:val="000000"/>
                <w:szCs w:val="18"/>
              </w:rPr>
              <w:t>An individual unit status is invalidated when the unit had a previous unit status of “transferred.”</w:t>
            </w:r>
          </w:p>
        </w:tc>
      </w:tr>
      <w:tr w:rsidR="00D32A05" w:rsidRPr="001C29FC" w14:paraId="77784C04" w14:textId="77777777" w:rsidTr="00D32A05">
        <w:trPr>
          <w:cantSplit/>
          <w:tblHeader/>
        </w:trPr>
        <w:tc>
          <w:tcPr>
            <w:tcW w:w="1803" w:type="dxa"/>
            <w:shd w:val="clear" w:color="auto" w:fill="auto"/>
          </w:tcPr>
          <w:p w14:paraId="5E08ACDA" w14:textId="77777777" w:rsidR="00D32A05" w:rsidRPr="001C29FC" w:rsidRDefault="00D32A05" w:rsidP="00D32A05">
            <w:pPr>
              <w:pStyle w:val="TableText"/>
              <w:rPr>
                <w:szCs w:val="18"/>
              </w:rPr>
            </w:pPr>
            <w:r w:rsidRPr="001C29FC">
              <w:rPr>
                <w:szCs w:val="18"/>
              </w:rPr>
              <w:t>Update Equipment Record</w:t>
            </w:r>
          </w:p>
        </w:tc>
        <w:tc>
          <w:tcPr>
            <w:tcW w:w="1442" w:type="dxa"/>
            <w:shd w:val="clear" w:color="auto" w:fill="auto"/>
          </w:tcPr>
          <w:p w14:paraId="0DDC023D" w14:textId="77777777" w:rsidR="00D32A05" w:rsidRPr="001C29FC" w:rsidRDefault="00D32A05" w:rsidP="00D32A05">
            <w:pPr>
              <w:pStyle w:val="TableText"/>
              <w:rPr>
                <w:szCs w:val="18"/>
              </w:rPr>
            </w:pPr>
            <w:r w:rsidRPr="001C29FC">
              <w:rPr>
                <w:szCs w:val="18"/>
              </w:rPr>
              <w:t>Update Equipment Record</w:t>
            </w:r>
          </w:p>
        </w:tc>
        <w:tc>
          <w:tcPr>
            <w:tcW w:w="1633" w:type="dxa"/>
            <w:shd w:val="clear" w:color="auto" w:fill="auto"/>
          </w:tcPr>
          <w:p w14:paraId="4C4E85DF"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B72A030" w14:textId="77777777" w:rsidR="00D32A05" w:rsidRPr="001C29FC" w:rsidRDefault="00D32A05" w:rsidP="00D32A05">
            <w:pPr>
              <w:pStyle w:val="TableText"/>
              <w:rPr>
                <w:szCs w:val="18"/>
              </w:rPr>
            </w:pPr>
            <w:r w:rsidRPr="001C29FC">
              <w:rPr>
                <w:szCs w:val="18"/>
              </w:rPr>
              <w:t xml:space="preserve">Accrue workload when a lot number of any type of equipment is updated in the system. </w:t>
            </w:r>
          </w:p>
        </w:tc>
      </w:tr>
      <w:tr w:rsidR="00D32A05" w:rsidRPr="001C29FC" w14:paraId="4282B00D" w14:textId="77777777" w:rsidTr="00D32A05">
        <w:trPr>
          <w:cantSplit/>
          <w:tblHeader/>
        </w:trPr>
        <w:tc>
          <w:tcPr>
            <w:tcW w:w="1803" w:type="dxa"/>
            <w:shd w:val="clear" w:color="auto" w:fill="auto"/>
          </w:tcPr>
          <w:p w14:paraId="5D093BF3" w14:textId="77777777" w:rsidR="00D32A05" w:rsidRPr="001C29FC" w:rsidRDefault="00D32A05" w:rsidP="00D32A05">
            <w:pPr>
              <w:pStyle w:val="TableText"/>
              <w:rPr>
                <w:szCs w:val="18"/>
              </w:rPr>
            </w:pPr>
            <w:r w:rsidRPr="001C29FC">
              <w:rPr>
                <w:szCs w:val="18"/>
              </w:rPr>
              <w:t>Update Reagent Inventory</w:t>
            </w:r>
          </w:p>
        </w:tc>
        <w:tc>
          <w:tcPr>
            <w:tcW w:w="1442" w:type="dxa"/>
            <w:shd w:val="clear" w:color="auto" w:fill="auto"/>
          </w:tcPr>
          <w:p w14:paraId="464DB4EA" w14:textId="77777777" w:rsidR="00D32A05" w:rsidRPr="001C29FC" w:rsidRDefault="00D32A05" w:rsidP="00D32A05">
            <w:pPr>
              <w:pStyle w:val="TableText"/>
              <w:rPr>
                <w:szCs w:val="18"/>
              </w:rPr>
            </w:pPr>
            <w:r w:rsidRPr="001C29FC">
              <w:rPr>
                <w:szCs w:val="18"/>
              </w:rPr>
              <w:t>Update Reagent Inventory</w:t>
            </w:r>
          </w:p>
        </w:tc>
        <w:tc>
          <w:tcPr>
            <w:tcW w:w="1633" w:type="dxa"/>
            <w:shd w:val="clear" w:color="auto" w:fill="auto"/>
          </w:tcPr>
          <w:p w14:paraId="2E225478"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60F42CD" w14:textId="77777777" w:rsidR="00D32A05" w:rsidRPr="001C29FC" w:rsidRDefault="00D32A05" w:rsidP="00D32A05">
            <w:pPr>
              <w:pStyle w:val="TableText"/>
              <w:rPr>
                <w:szCs w:val="18"/>
              </w:rPr>
            </w:pPr>
            <w:r w:rsidRPr="001C29FC">
              <w:rPr>
                <w:szCs w:val="18"/>
              </w:rPr>
              <w:t>Accrue workload when a lot number of any type of reagent is updated in the system. When multiple lot numbers are processed in a batch, each lot number’s workload is counted.</w:t>
            </w:r>
          </w:p>
        </w:tc>
      </w:tr>
      <w:tr w:rsidR="00D32A05" w:rsidRPr="001C29FC" w14:paraId="642D4570" w14:textId="77777777" w:rsidTr="00D32A05">
        <w:trPr>
          <w:cantSplit/>
          <w:tblHeader/>
        </w:trPr>
        <w:tc>
          <w:tcPr>
            <w:tcW w:w="1803" w:type="dxa"/>
            <w:shd w:val="clear" w:color="auto" w:fill="auto"/>
          </w:tcPr>
          <w:p w14:paraId="2AA8CD0C" w14:textId="77777777" w:rsidR="00D32A05" w:rsidRPr="001C29FC" w:rsidRDefault="00D32A05" w:rsidP="00D32A05">
            <w:pPr>
              <w:pStyle w:val="TableText"/>
              <w:rPr>
                <w:szCs w:val="18"/>
              </w:rPr>
            </w:pPr>
            <w:r w:rsidRPr="001C29FC">
              <w:rPr>
                <w:szCs w:val="18"/>
              </w:rPr>
              <w:t>Update Supply Inventory</w:t>
            </w:r>
          </w:p>
        </w:tc>
        <w:tc>
          <w:tcPr>
            <w:tcW w:w="1442" w:type="dxa"/>
            <w:shd w:val="clear" w:color="auto" w:fill="auto"/>
          </w:tcPr>
          <w:p w14:paraId="28CF1589" w14:textId="77777777" w:rsidR="00D32A05" w:rsidRPr="001C29FC" w:rsidRDefault="00D32A05" w:rsidP="00D32A05">
            <w:pPr>
              <w:pStyle w:val="TableText"/>
              <w:rPr>
                <w:szCs w:val="18"/>
              </w:rPr>
            </w:pPr>
            <w:r w:rsidRPr="001C29FC">
              <w:rPr>
                <w:szCs w:val="18"/>
              </w:rPr>
              <w:t>Update Supply Inventory</w:t>
            </w:r>
          </w:p>
        </w:tc>
        <w:tc>
          <w:tcPr>
            <w:tcW w:w="1633" w:type="dxa"/>
            <w:shd w:val="clear" w:color="auto" w:fill="auto"/>
          </w:tcPr>
          <w:p w14:paraId="2B79E9E2" w14:textId="77777777" w:rsidR="00D32A05" w:rsidRPr="001C29FC" w:rsidRDefault="00D32A05" w:rsidP="00D32A05">
            <w:pPr>
              <w:pStyle w:val="TableText"/>
              <w:rPr>
                <w:szCs w:val="18"/>
              </w:rPr>
            </w:pPr>
            <w:r w:rsidRPr="001C29FC">
              <w:rPr>
                <w:szCs w:val="18"/>
              </w:rPr>
              <w:t>M</w:t>
            </w:r>
          </w:p>
        </w:tc>
        <w:tc>
          <w:tcPr>
            <w:tcW w:w="4482" w:type="dxa"/>
            <w:shd w:val="clear" w:color="auto" w:fill="auto"/>
          </w:tcPr>
          <w:p w14:paraId="7F0E5705" w14:textId="77777777" w:rsidR="00D32A05" w:rsidRPr="001C29FC" w:rsidRDefault="00D32A05" w:rsidP="00D32A05">
            <w:pPr>
              <w:pStyle w:val="TableText"/>
              <w:rPr>
                <w:szCs w:val="18"/>
              </w:rPr>
            </w:pPr>
            <w:r w:rsidRPr="001C29FC">
              <w:rPr>
                <w:szCs w:val="18"/>
              </w:rPr>
              <w:t>Accrue workload when a lot number of any type of supply is updated in the system. When multiple lot numbers are processed in a batch, each lot number’s workload is counted.</w:t>
            </w:r>
          </w:p>
        </w:tc>
      </w:tr>
    </w:tbl>
    <w:p w14:paraId="37CDC5CF" w14:textId="77777777" w:rsidR="000C4603" w:rsidRDefault="00D32A05" w:rsidP="00965A17">
      <w:pPr>
        <w:pStyle w:val="BodyText"/>
      </w:pPr>
      <w:r w:rsidRPr="001C29FC">
        <w:t>*Accumulates negative workload when it is associated with inactivation of a unit or removal of a final status.</w:t>
      </w:r>
      <w:r w:rsidR="00965A17">
        <w:t xml:space="preserve"> </w:t>
      </w:r>
    </w:p>
    <w:p w14:paraId="6C2A7428" w14:textId="19CCE11A" w:rsidR="002A21AE" w:rsidRDefault="00AC75B2" w:rsidP="008964A9">
      <w:pPr>
        <w:pStyle w:val="Heading1"/>
      </w:pPr>
      <w:r>
        <w:rPr>
          <w:rFonts w:ascii="Times New Roman" w:hAnsi="Times New Roman" w:cs="Times New Roman"/>
          <w:sz w:val="22"/>
          <w:szCs w:val="22"/>
        </w:rPr>
        <w:br w:type="page"/>
      </w:r>
      <w:bookmarkStart w:id="817" w:name="_Toc149064262"/>
      <w:r w:rsidR="002A21AE">
        <w:t>Index</w:t>
      </w:r>
      <w:bookmarkEnd w:id="817"/>
    </w:p>
    <w:p w14:paraId="0FF2F33E" w14:textId="77777777" w:rsidR="00A91C73" w:rsidRDefault="00E93F17" w:rsidP="009C0A99">
      <w:pPr>
        <w:pStyle w:val="BodyText"/>
        <w:jc w:val="center"/>
        <w:rPr>
          <w:rFonts w:ascii="Arial" w:hAnsi="Arial" w:cs="Arial"/>
          <w:b/>
          <w:bCs/>
          <w:noProof/>
          <w:kern w:val="32"/>
        </w:rPr>
        <w:sectPr w:rsidR="00A91C73" w:rsidSect="00A91C73">
          <w:headerReference w:type="even" r:id="rId247"/>
          <w:type w:val="continuous"/>
          <w:pgSz w:w="12240" w:h="15840" w:code="1"/>
          <w:pgMar w:top="1440" w:right="1440" w:bottom="1440" w:left="1440" w:header="720" w:footer="720" w:gutter="0"/>
          <w:cols w:space="720"/>
          <w:docGrid w:linePitch="360"/>
        </w:sectPr>
      </w:pPr>
      <w:r w:rsidRPr="00206945">
        <w:rPr>
          <w:rFonts w:ascii="Arial" w:hAnsi="Arial" w:cs="Arial"/>
          <w:b/>
          <w:bCs/>
          <w:kern w:val="32"/>
        </w:rPr>
        <w:fldChar w:fldCharType="begin"/>
      </w:r>
      <w:r w:rsidRPr="00206945">
        <w:rPr>
          <w:rFonts w:ascii="Arial" w:hAnsi="Arial" w:cs="Arial"/>
          <w:b/>
          <w:bCs/>
          <w:kern w:val="32"/>
        </w:rPr>
        <w:instrText xml:space="preserve"> INDEX \e "</w:instrText>
      </w:r>
      <w:r w:rsidRPr="00206945">
        <w:rPr>
          <w:rFonts w:ascii="Arial" w:hAnsi="Arial" w:cs="Arial"/>
          <w:b/>
          <w:bCs/>
          <w:kern w:val="32"/>
        </w:rPr>
        <w:tab/>
        <w:instrText xml:space="preserve">" \h "A" \c "1" \z "1033" </w:instrText>
      </w:r>
      <w:r w:rsidRPr="00206945">
        <w:rPr>
          <w:rFonts w:ascii="Arial" w:hAnsi="Arial" w:cs="Arial"/>
          <w:b/>
          <w:bCs/>
          <w:kern w:val="32"/>
        </w:rPr>
        <w:fldChar w:fldCharType="separate"/>
      </w:r>
    </w:p>
    <w:p w14:paraId="766A46CB"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A</w:t>
      </w:r>
    </w:p>
    <w:p w14:paraId="662ADF91" w14:textId="77777777" w:rsidR="00A91C73" w:rsidRDefault="00A91C73">
      <w:pPr>
        <w:pStyle w:val="Index1"/>
        <w:tabs>
          <w:tab w:val="right" w:leader="dot" w:pos="9350"/>
        </w:tabs>
        <w:rPr>
          <w:noProof/>
        </w:rPr>
      </w:pPr>
      <w:r>
        <w:rPr>
          <w:noProof/>
        </w:rPr>
        <w:t>Accept Orders: Accept an Order</w:t>
      </w:r>
      <w:r>
        <w:rPr>
          <w:noProof/>
        </w:rPr>
        <w:tab/>
        <w:t>234</w:t>
      </w:r>
    </w:p>
    <w:p w14:paraId="15CFA767" w14:textId="77777777" w:rsidR="00A91C73" w:rsidRDefault="00A91C73">
      <w:pPr>
        <w:pStyle w:val="Index1"/>
        <w:tabs>
          <w:tab w:val="right" w:leader="dot" w:pos="9350"/>
        </w:tabs>
        <w:rPr>
          <w:noProof/>
        </w:rPr>
      </w:pPr>
      <w:r>
        <w:rPr>
          <w:noProof/>
        </w:rPr>
        <w:t>Accessing the System</w:t>
      </w:r>
      <w:r>
        <w:rPr>
          <w:noProof/>
        </w:rPr>
        <w:tab/>
        <w:t>24</w:t>
      </w:r>
    </w:p>
    <w:p w14:paraId="5A55D935" w14:textId="77777777" w:rsidR="00A91C73" w:rsidRDefault="00A91C73">
      <w:pPr>
        <w:pStyle w:val="Index1"/>
        <w:tabs>
          <w:tab w:val="right" w:leader="dot" w:pos="9350"/>
        </w:tabs>
        <w:rPr>
          <w:noProof/>
        </w:rPr>
      </w:pPr>
      <w:r>
        <w:rPr>
          <w:noProof/>
        </w:rPr>
        <w:t>Administrative Data Report</w:t>
      </w:r>
      <w:r>
        <w:rPr>
          <w:noProof/>
        </w:rPr>
        <w:tab/>
        <w:t>349</w:t>
      </w:r>
    </w:p>
    <w:p w14:paraId="2A7AA856" w14:textId="77777777" w:rsidR="00A91C73" w:rsidRDefault="00A91C73">
      <w:pPr>
        <w:pStyle w:val="Index1"/>
        <w:tabs>
          <w:tab w:val="right" w:leader="dot" w:pos="9350"/>
        </w:tabs>
        <w:rPr>
          <w:noProof/>
        </w:rPr>
      </w:pPr>
      <w:r>
        <w:rPr>
          <w:noProof/>
        </w:rPr>
        <w:t>Appendices</w:t>
      </w:r>
      <w:r>
        <w:rPr>
          <w:noProof/>
        </w:rPr>
        <w:tab/>
        <w:t>9</w:t>
      </w:r>
    </w:p>
    <w:p w14:paraId="3E98BC2A" w14:textId="77777777" w:rsidR="00A91C73" w:rsidRDefault="00A91C73">
      <w:pPr>
        <w:pStyle w:val="Index1"/>
        <w:tabs>
          <w:tab w:val="right" w:leader="dot" w:pos="9350"/>
        </w:tabs>
        <w:rPr>
          <w:noProof/>
        </w:rPr>
      </w:pPr>
      <w:r>
        <w:rPr>
          <w:noProof/>
        </w:rPr>
        <w:t>Application Architecture</w:t>
      </w:r>
      <w:r>
        <w:rPr>
          <w:noProof/>
        </w:rPr>
        <w:tab/>
        <w:t>11</w:t>
      </w:r>
    </w:p>
    <w:p w14:paraId="047777B2" w14:textId="77777777" w:rsidR="00A91C73" w:rsidRDefault="00A91C73">
      <w:pPr>
        <w:pStyle w:val="Index1"/>
        <w:tabs>
          <w:tab w:val="right" w:leader="dot" w:pos="9350"/>
        </w:tabs>
        <w:rPr>
          <w:noProof/>
        </w:rPr>
      </w:pPr>
      <w:r>
        <w:rPr>
          <w:noProof/>
        </w:rPr>
        <w:t>Assumptions</w:t>
      </w:r>
      <w:r>
        <w:rPr>
          <w:noProof/>
        </w:rPr>
        <w:tab/>
        <w:t>146</w:t>
      </w:r>
    </w:p>
    <w:p w14:paraId="7637925F" w14:textId="77777777" w:rsidR="00A91C73" w:rsidRDefault="00A91C73">
      <w:pPr>
        <w:pStyle w:val="Index1"/>
        <w:tabs>
          <w:tab w:val="right" w:leader="dot" w:pos="9350"/>
        </w:tabs>
        <w:rPr>
          <w:noProof/>
        </w:rPr>
      </w:pPr>
      <w:r>
        <w:rPr>
          <w:noProof/>
        </w:rPr>
        <w:t>Audit Trail</w:t>
      </w:r>
      <w:r>
        <w:rPr>
          <w:noProof/>
        </w:rPr>
        <w:tab/>
        <w:t>351</w:t>
      </w:r>
    </w:p>
    <w:p w14:paraId="4CF734E1" w14:textId="77777777" w:rsidR="00A91C73" w:rsidRDefault="00A91C73">
      <w:pPr>
        <w:pStyle w:val="Index1"/>
        <w:tabs>
          <w:tab w:val="right" w:leader="dot" w:pos="9350"/>
        </w:tabs>
        <w:rPr>
          <w:noProof/>
        </w:rPr>
      </w:pPr>
      <w:r>
        <w:rPr>
          <w:noProof/>
        </w:rPr>
        <w:t>Automated Entry of Post-Transfusion Details from BCE COTS Application</w:t>
      </w:r>
      <w:r>
        <w:rPr>
          <w:noProof/>
        </w:rPr>
        <w:tab/>
        <w:t>329</w:t>
      </w:r>
    </w:p>
    <w:p w14:paraId="42B48B02" w14:textId="77777777" w:rsidR="00A91C73" w:rsidRDefault="00A91C73">
      <w:pPr>
        <w:pStyle w:val="Index1"/>
        <w:tabs>
          <w:tab w:val="right" w:leader="dot" w:pos="9350"/>
        </w:tabs>
        <w:rPr>
          <w:noProof/>
        </w:rPr>
      </w:pPr>
      <w:r>
        <w:rPr>
          <w:noProof/>
        </w:rPr>
        <w:t>Automated Testing Interface</w:t>
      </w:r>
      <w:r>
        <w:rPr>
          <w:noProof/>
        </w:rPr>
        <w:tab/>
        <w:t>335</w:t>
      </w:r>
    </w:p>
    <w:p w14:paraId="23459B74"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B</w:t>
      </w:r>
    </w:p>
    <w:p w14:paraId="40696ECF" w14:textId="77777777" w:rsidR="00A91C73" w:rsidRDefault="00A91C73">
      <w:pPr>
        <w:pStyle w:val="Index1"/>
        <w:tabs>
          <w:tab w:val="right" w:leader="dot" w:pos="9350"/>
        </w:tabs>
        <w:rPr>
          <w:noProof/>
        </w:rPr>
      </w:pPr>
      <w:r>
        <w:rPr>
          <w:noProof/>
        </w:rPr>
        <w:t>Background and Basic Knowledge</w:t>
      </w:r>
      <w:r>
        <w:rPr>
          <w:noProof/>
        </w:rPr>
        <w:tab/>
        <w:t>8</w:t>
      </w:r>
    </w:p>
    <w:p w14:paraId="27CCC17C" w14:textId="77777777" w:rsidR="00A91C73" w:rsidRDefault="00A91C73">
      <w:pPr>
        <w:pStyle w:val="Index1"/>
        <w:tabs>
          <w:tab w:val="right" w:leader="dot" w:pos="9350"/>
        </w:tabs>
        <w:rPr>
          <w:noProof/>
        </w:rPr>
      </w:pPr>
      <w:r>
        <w:rPr>
          <w:noProof/>
        </w:rPr>
        <w:t>Barcode Scanner Configuration and Troubleshooting</w:t>
      </w:r>
      <w:r>
        <w:rPr>
          <w:noProof/>
        </w:rPr>
        <w:tab/>
        <w:t>499</w:t>
      </w:r>
    </w:p>
    <w:p w14:paraId="7527740E" w14:textId="77777777" w:rsidR="00A91C73" w:rsidRDefault="00A91C73">
      <w:pPr>
        <w:pStyle w:val="Index1"/>
        <w:tabs>
          <w:tab w:val="right" w:leader="dot" w:pos="9350"/>
        </w:tabs>
        <w:rPr>
          <w:noProof/>
        </w:rPr>
      </w:pPr>
      <w:r>
        <w:rPr>
          <w:noProof/>
        </w:rPr>
        <w:t>Blood Availability</w:t>
      </w:r>
      <w:r>
        <w:rPr>
          <w:noProof/>
        </w:rPr>
        <w:tab/>
        <w:t>353</w:t>
      </w:r>
    </w:p>
    <w:p w14:paraId="059C3E44"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C</w:t>
      </w:r>
    </w:p>
    <w:p w14:paraId="560D6FDF" w14:textId="77777777" w:rsidR="00A91C73" w:rsidRDefault="00A91C73">
      <w:pPr>
        <w:pStyle w:val="Index1"/>
        <w:tabs>
          <w:tab w:val="right" w:leader="dot" w:pos="9350"/>
        </w:tabs>
        <w:rPr>
          <w:noProof/>
        </w:rPr>
      </w:pPr>
      <w:r>
        <w:rPr>
          <w:noProof/>
        </w:rPr>
        <w:t>C:T Ratio Report</w:t>
      </w:r>
      <w:r>
        <w:rPr>
          <w:noProof/>
        </w:rPr>
        <w:tab/>
        <w:t>357</w:t>
      </w:r>
    </w:p>
    <w:p w14:paraId="5C89AE8D" w14:textId="77777777" w:rsidR="00A91C73" w:rsidRDefault="00A91C73">
      <w:pPr>
        <w:pStyle w:val="Index1"/>
        <w:tabs>
          <w:tab w:val="right" w:leader="dot" w:pos="9350"/>
        </w:tabs>
        <w:rPr>
          <w:noProof/>
        </w:rPr>
      </w:pPr>
      <w:r>
        <w:rPr>
          <w:noProof/>
        </w:rPr>
        <w:t>check character</w:t>
      </w:r>
      <w:r>
        <w:rPr>
          <w:noProof/>
        </w:rPr>
        <w:tab/>
        <w:t>110</w:t>
      </w:r>
    </w:p>
    <w:p w14:paraId="28FA50AF" w14:textId="77777777" w:rsidR="00A91C73" w:rsidRDefault="00A91C73">
      <w:pPr>
        <w:pStyle w:val="Index1"/>
        <w:tabs>
          <w:tab w:val="right" w:leader="dot" w:pos="9350"/>
        </w:tabs>
        <w:rPr>
          <w:noProof/>
        </w:rPr>
      </w:pPr>
      <w:r>
        <w:rPr>
          <w:noProof/>
        </w:rPr>
        <w:t>Collecting Workload</w:t>
      </w:r>
      <w:r>
        <w:rPr>
          <w:noProof/>
        </w:rPr>
        <w:tab/>
        <w:t>42</w:t>
      </w:r>
    </w:p>
    <w:p w14:paraId="25F60DE9" w14:textId="77777777" w:rsidR="00A91C73" w:rsidRDefault="00A91C73">
      <w:pPr>
        <w:pStyle w:val="Index1"/>
        <w:tabs>
          <w:tab w:val="right" w:leader="dot" w:pos="9350"/>
        </w:tabs>
        <w:rPr>
          <w:noProof/>
        </w:rPr>
      </w:pPr>
      <w:r>
        <w:rPr>
          <w:noProof/>
        </w:rPr>
        <w:t>Common Error Corrections</w:t>
      </w:r>
      <w:r>
        <w:rPr>
          <w:noProof/>
        </w:rPr>
        <w:tab/>
        <w:t>495</w:t>
      </w:r>
    </w:p>
    <w:p w14:paraId="6B80704B" w14:textId="77777777" w:rsidR="00A91C73" w:rsidRDefault="00A91C73">
      <w:pPr>
        <w:pStyle w:val="Index1"/>
        <w:tabs>
          <w:tab w:val="right" w:leader="dot" w:pos="9350"/>
        </w:tabs>
        <w:rPr>
          <w:noProof/>
        </w:rPr>
      </w:pPr>
      <w:r>
        <w:rPr>
          <w:noProof/>
        </w:rPr>
        <w:t>Commonly Used System Rules</w:t>
      </w:r>
      <w:r>
        <w:rPr>
          <w:noProof/>
        </w:rPr>
        <w:tab/>
        <w:t>15</w:t>
      </w:r>
    </w:p>
    <w:p w14:paraId="3960E67B" w14:textId="77777777" w:rsidR="00A91C73" w:rsidRDefault="00A91C73">
      <w:pPr>
        <w:pStyle w:val="Index1"/>
        <w:tabs>
          <w:tab w:val="right" w:leader="dot" w:pos="9350"/>
        </w:tabs>
        <w:rPr>
          <w:noProof/>
        </w:rPr>
      </w:pPr>
      <w:r>
        <w:rPr>
          <w:noProof/>
        </w:rPr>
        <w:t>Component Processing</w:t>
      </w:r>
      <w:r>
        <w:rPr>
          <w:noProof/>
        </w:rPr>
        <w:tab/>
        <w:t>109</w:t>
      </w:r>
    </w:p>
    <w:p w14:paraId="5576D2A0" w14:textId="77777777" w:rsidR="00A91C73" w:rsidRDefault="00A91C73">
      <w:pPr>
        <w:pStyle w:val="Index1"/>
        <w:tabs>
          <w:tab w:val="right" w:leader="dot" w:pos="9350"/>
        </w:tabs>
        <w:rPr>
          <w:noProof/>
        </w:rPr>
      </w:pPr>
      <w:r>
        <w:rPr>
          <w:noProof/>
        </w:rPr>
        <w:t>Configure Division</w:t>
      </w:r>
      <w:r>
        <w:rPr>
          <w:noProof/>
        </w:rPr>
        <w:tab/>
        <w:t>52, 62, 90</w:t>
      </w:r>
    </w:p>
    <w:p w14:paraId="4A7B2B13" w14:textId="77777777" w:rsidR="00A91C73" w:rsidRDefault="00A91C73">
      <w:pPr>
        <w:pStyle w:val="Index1"/>
        <w:tabs>
          <w:tab w:val="right" w:leader="dot" w:pos="9350"/>
        </w:tabs>
        <w:rPr>
          <w:noProof/>
        </w:rPr>
      </w:pPr>
      <w:r>
        <w:rPr>
          <w:noProof/>
        </w:rPr>
        <w:t>Configuring Site Parameters</w:t>
      </w:r>
      <w:r>
        <w:rPr>
          <w:noProof/>
        </w:rPr>
        <w:tab/>
        <w:t>43</w:t>
      </w:r>
    </w:p>
    <w:p w14:paraId="723067C4" w14:textId="77777777" w:rsidR="00A91C73" w:rsidRDefault="00A91C73">
      <w:pPr>
        <w:pStyle w:val="Index1"/>
        <w:tabs>
          <w:tab w:val="right" w:leader="dot" w:pos="9350"/>
        </w:tabs>
        <w:rPr>
          <w:noProof/>
        </w:rPr>
      </w:pPr>
      <w:r>
        <w:rPr>
          <w:noProof/>
        </w:rPr>
        <w:t>Cost Accounting Report</w:t>
      </w:r>
      <w:r>
        <w:rPr>
          <w:noProof/>
        </w:rPr>
        <w:tab/>
        <w:t>355</w:t>
      </w:r>
    </w:p>
    <w:p w14:paraId="4609D1AC" w14:textId="77777777" w:rsidR="00A91C73" w:rsidRDefault="00A91C73">
      <w:pPr>
        <w:pStyle w:val="Index1"/>
        <w:tabs>
          <w:tab w:val="right" w:leader="dot" w:pos="9350"/>
        </w:tabs>
        <w:rPr>
          <w:noProof/>
        </w:rPr>
      </w:pPr>
      <w:r>
        <w:rPr>
          <w:noProof/>
        </w:rPr>
        <w:t>CPRS Blood Bank Report</w:t>
      </w:r>
      <w:r>
        <w:rPr>
          <w:noProof/>
        </w:rPr>
        <w:tab/>
        <w:t>359</w:t>
      </w:r>
    </w:p>
    <w:p w14:paraId="01BD9CEA" w14:textId="77777777" w:rsidR="00A91C73" w:rsidRDefault="00A91C73">
      <w:pPr>
        <w:pStyle w:val="Index1"/>
        <w:tabs>
          <w:tab w:val="right" w:leader="dot" w:pos="9350"/>
        </w:tabs>
        <w:rPr>
          <w:noProof/>
        </w:rPr>
      </w:pPr>
      <w:r>
        <w:rPr>
          <w:noProof/>
        </w:rPr>
        <w:t>CPRS Order Status Alert</w:t>
      </w:r>
      <w:r>
        <w:rPr>
          <w:noProof/>
        </w:rPr>
        <w:tab/>
        <w:t>244</w:t>
      </w:r>
    </w:p>
    <w:p w14:paraId="62395FEC" w14:textId="77777777" w:rsidR="00A91C73" w:rsidRDefault="00A91C73">
      <w:pPr>
        <w:pStyle w:val="Index1"/>
        <w:tabs>
          <w:tab w:val="right" w:leader="dot" w:pos="9350"/>
        </w:tabs>
        <w:rPr>
          <w:noProof/>
        </w:rPr>
      </w:pPr>
      <w:r>
        <w:rPr>
          <w:noProof/>
        </w:rPr>
        <w:t>Creating and Viewing Reports</w:t>
      </w:r>
      <w:r>
        <w:rPr>
          <w:noProof/>
        </w:rPr>
        <w:tab/>
        <w:t>21</w:t>
      </w:r>
    </w:p>
    <w:p w14:paraId="4E21D34D" w14:textId="77777777" w:rsidR="00A91C73" w:rsidRDefault="00A91C73">
      <w:pPr>
        <w:pStyle w:val="Index1"/>
        <w:tabs>
          <w:tab w:val="right" w:leader="dot" w:pos="9350"/>
        </w:tabs>
        <w:rPr>
          <w:noProof/>
        </w:rPr>
      </w:pPr>
      <w:r>
        <w:rPr>
          <w:noProof/>
        </w:rPr>
        <w:t>Crossmatch Interpretations</w:t>
      </w:r>
      <w:r>
        <w:rPr>
          <w:noProof/>
        </w:rPr>
        <w:tab/>
        <w:t>290</w:t>
      </w:r>
    </w:p>
    <w:p w14:paraId="02B41767" w14:textId="77777777" w:rsidR="00A91C73" w:rsidRDefault="00A91C73">
      <w:pPr>
        <w:pStyle w:val="Index1"/>
        <w:tabs>
          <w:tab w:val="right" w:leader="dot" w:pos="9350"/>
        </w:tabs>
        <w:rPr>
          <w:noProof/>
        </w:rPr>
      </w:pPr>
      <w:r>
        <w:rPr>
          <w:noProof/>
        </w:rPr>
        <w:t>Customer Support</w:t>
      </w:r>
      <w:r>
        <w:rPr>
          <w:noProof/>
        </w:rPr>
        <w:tab/>
        <w:t>12</w:t>
      </w:r>
    </w:p>
    <w:p w14:paraId="51F28982"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D</w:t>
      </w:r>
    </w:p>
    <w:p w14:paraId="609217D2" w14:textId="77777777" w:rsidR="00A91C73" w:rsidRDefault="00A91C73">
      <w:pPr>
        <w:pStyle w:val="Index1"/>
        <w:tabs>
          <w:tab w:val="right" w:leader="dot" w:pos="9350"/>
        </w:tabs>
        <w:rPr>
          <w:noProof/>
        </w:rPr>
      </w:pPr>
      <w:r>
        <w:rPr>
          <w:noProof/>
        </w:rPr>
        <w:t>Database Table Information</w:t>
      </w:r>
      <w:r>
        <w:rPr>
          <w:noProof/>
        </w:rPr>
        <w:tab/>
        <w:t>411</w:t>
      </w:r>
    </w:p>
    <w:p w14:paraId="5FA8AABB" w14:textId="77777777" w:rsidR="00A91C73" w:rsidRDefault="00A91C73">
      <w:pPr>
        <w:pStyle w:val="Index1"/>
        <w:tabs>
          <w:tab w:val="right" w:leader="dot" w:pos="9350"/>
        </w:tabs>
        <w:rPr>
          <w:noProof/>
        </w:rPr>
      </w:pPr>
      <w:r>
        <w:rPr>
          <w:noProof/>
        </w:rPr>
        <w:t>Date and Time</w:t>
      </w:r>
      <w:r>
        <w:rPr>
          <w:noProof/>
        </w:rPr>
        <w:tab/>
        <w:t>15</w:t>
      </w:r>
    </w:p>
    <w:p w14:paraId="64AAA0CC" w14:textId="77777777" w:rsidR="00A91C73" w:rsidRDefault="00A91C73">
      <w:pPr>
        <w:pStyle w:val="Index1"/>
        <w:tabs>
          <w:tab w:val="right" w:leader="dot" w:pos="9350"/>
        </w:tabs>
        <w:rPr>
          <w:noProof/>
        </w:rPr>
      </w:pPr>
      <w:r>
        <w:rPr>
          <w:noProof/>
        </w:rPr>
        <w:t>Discard or Quarantine Individual Units</w:t>
      </w:r>
      <w:r>
        <w:rPr>
          <w:noProof/>
        </w:rPr>
        <w:tab/>
        <w:t>180</w:t>
      </w:r>
    </w:p>
    <w:p w14:paraId="00E79C49" w14:textId="77777777" w:rsidR="00A91C73" w:rsidRDefault="00A91C73">
      <w:pPr>
        <w:pStyle w:val="Index1"/>
        <w:tabs>
          <w:tab w:val="right" w:leader="dot" w:pos="9350"/>
        </w:tabs>
        <w:rPr>
          <w:noProof/>
        </w:rPr>
      </w:pPr>
      <w:r>
        <w:rPr>
          <w:noProof/>
        </w:rPr>
        <w:t>Discard or Quarantine Units by Invoice</w:t>
      </w:r>
      <w:r>
        <w:rPr>
          <w:noProof/>
        </w:rPr>
        <w:tab/>
        <w:t>183</w:t>
      </w:r>
    </w:p>
    <w:p w14:paraId="50635EC1" w14:textId="77777777" w:rsidR="00A91C73" w:rsidRDefault="00A91C73">
      <w:pPr>
        <w:pStyle w:val="Index1"/>
        <w:tabs>
          <w:tab w:val="right" w:leader="dot" w:pos="9350"/>
        </w:tabs>
        <w:rPr>
          <w:noProof/>
        </w:rPr>
      </w:pPr>
      <w:r>
        <w:rPr>
          <w:noProof/>
        </w:rPr>
        <w:t>Display Order Alerts</w:t>
      </w:r>
      <w:r>
        <w:rPr>
          <w:noProof/>
        </w:rPr>
        <w:tab/>
        <w:t>242</w:t>
      </w:r>
    </w:p>
    <w:p w14:paraId="0F3701D6" w14:textId="77777777" w:rsidR="00A91C73" w:rsidRDefault="00A91C73">
      <w:pPr>
        <w:pStyle w:val="Index1"/>
        <w:tabs>
          <w:tab w:val="right" w:leader="dot" w:pos="9350"/>
        </w:tabs>
        <w:rPr>
          <w:noProof/>
        </w:rPr>
      </w:pPr>
      <w:r>
        <w:rPr>
          <w:noProof/>
        </w:rPr>
        <w:t>Display Patient Merge Alerts</w:t>
      </w:r>
      <w:r>
        <w:rPr>
          <w:noProof/>
        </w:rPr>
        <w:tab/>
        <w:t>246</w:t>
      </w:r>
    </w:p>
    <w:p w14:paraId="4C4E2703" w14:textId="77777777" w:rsidR="00A91C73" w:rsidRDefault="00A91C73">
      <w:pPr>
        <w:pStyle w:val="Index1"/>
        <w:tabs>
          <w:tab w:val="right" w:leader="dot" w:pos="9350"/>
        </w:tabs>
        <w:rPr>
          <w:noProof/>
        </w:rPr>
      </w:pPr>
      <w:r>
        <w:rPr>
          <w:noProof/>
        </w:rPr>
        <w:t>Display Patient Update Alerts</w:t>
      </w:r>
      <w:r>
        <w:rPr>
          <w:noProof/>
        </w:rPr>
        <w:tab/>
        <w:t>245</w:t>
      </w:r>
    </w:p>
    <w:p w14:paraId="6D3B87BC" w14:textId="77777777" w:rsidR="00A91C73" w:rsidRDefault="00A91C73">
      <w:pPr>
        <w:pStyle w:val="Index1"/>
        <w:tabs>
          <w:tab w:val="right" w:leader="dot" w:pos="9350"/>
        </w:tabs>
        <w:rPr>
          <w:noProof/>
        </w:rPr>
      </w:pPr>
      <w:r>
        <w:rPr>
          <w:noProof/>
        </w:rPr>
        <w:t>Division Transfusion Report</w:t>
      </w:r>
      <w:r>
        <w:rPr>
          <w:noProof/>
        </w:rPr>
        <w:tab/>
        <w:t>361</w:t>
      </w:r>
    </w:p>
    <w:p w14:paraId="1FD33BD9" w14:textId="77777777" w:rsidR="00A91C73" w:rsidRDefault="00A91C73">
      <w:pPr>
        <w:pStyle w:val="Index1"/>
        <w:tabs>
          <w:tab w:val="right" w:leader="dot" w:pos="9350"/>
        </w:tabs>
        <w:rPr>
          <w:noProof/>
        </w:rPr>
      </w:pPr>
      <w:r>
        <w:rPr>
          <w:noProof/>
        </w:rPr>
        <w:t>Division Workload Report</w:t>
      </w:r>
      <w:r>
        <w:rPr>
          <w:noProof/>
        </w:rPr>
        <w:tab/>
        <w:t>363</w:t>
      </w:r>
    </w:p>
    <w:p w14:paraId="05ABB3C0" w14:textId="77777777" w:rsidR="00A91C73" w:rsidRDefault="00A91C73">
      <w:pPr>
        <w:pStyle w:val="Index1"/>
        <w:tabs>
          <w:tab w:val="right" w:leader="dot" w:pos="9350"/>
        </w:tabs>
        <w:rPr>
          <w:noProof/>
        </w:rPr>
      </w:pPr>
      <w:r>
        <w:rPr>
          <w:noProof/>
        </w:rPr>
        <w:t>Document ABO Incompatible Transfusions</w:t>
      </w:r>
      <w:r>
        <w:rPr>
          <w:noProof/>
        </w:rPr>
        <w:tab/>
        <w:t>330</w:t>
      </w:r>
    </w:p>
    <w:p w14:paraId="271B7DE8" w14:textId="77777777" w:rsidR="00A91C73" w:rsidRDefault="00A91C73">
      <w:pPr>
        <w:pStyle w:val="Index1"/>
        <w:tabs>
          <w:tab w:val="right" w:leader="dot" w:pos="9350"/>
        </w:tabs>
        <w:rPr>
          <w:noProof/>
        </w:rPr>
      </w:pPr>
      <w:r>
        <w:rPr>
          <w:noProof/>
        </w:rPr>
        <w:t>Downtime Forms and Instructions</w:t>
      </w:r>
      <w:r>
        <w:rPr>
          <w:noProof/>
        </w:rPr>
        <w:tab/>
        <w:t>403</w:t>
      </w:r>
    </w:p>
    <w:p w14:paraId="64B9E6C0" w14:textId="77777777" w:rsidR="00A91C73" w:rsidRDefault="00A91C73">
      <w:pPr>
        <w:pStyle w:val="Index1"/>
        <w:tabs>
          <w:tab w:val="right" w:leader="dot" w:pos="9350"/>
        </w:tabs>
        <w:rPr>
          <w:noProof/>
        </w:rPr>
      </w:pPr>
      <w:r>
        <w:rPr>
          <w:noProof/>
        </w:rPr>
        <w:t>Drop-Down Menus</w:t>
      </w:r>
      <w:r>
        <w:rPr>
          <w:noProof/>
        </w:rPr>
        <w:tab/>
        <w:t>33</w:t>
      </w:r>
    </w:p>
    <w:p w14:paraId="4AD639CD"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E</w:t>
      </w:r>
    </w:p>
    <w:p w14:paraId="17745673" w14:textId="77777777" w:rsidR="00A91C73" w:rsidRDefault="00A91C73">
      <w:pPr>
        <w:pStyle w:val="Index1"/>
        <w:tabs>
          <w:tab w:val="right" w:leader="dot" w:pos="9350"/>
        </w:tabs>
        <w:rPr>
          <w:noProof/>
        </w:rPr>
      </w:pPr>
      <w:r>
        <w:rPr>
          <w:noProof/>
        </w:rPr>
        <w:t>Enter Daily QC Results</w:t>
      </w:r>
      <w:r>
        <w:rPr>
          <w:noProof/>
        </w:rPr>
        <w:tab/>
        <w:t>82</w:t>
      </w:r>
    </w:p>
    <w:p w14:paraId="65253F9C" w14:textId="77777777" w:rsidR="00A91C73" w:rsidRDefault="00A91C73">
      <w:pPr>
        <w:pStyle w:val="Index1"/>
        <w:tabs>
          <w:tab w:val="right" w:leader="dot" w:pos="9350"/>
        </w:tabs>
        <w:rPr>
          <w:noProof/>
        </w:rPr>
      </w:pPr>
      <w:r>
        <w:rPr>
          <w:noProof/>
        </w:rPr>
        <w:t>Equipment</w:t>
      </w:r>
      <w:r>
        <w:rPr>
          <w:noProof/>
        </w:rPr>
        <w:tab/>
        <w:t>104</w:t>
      </w:r>
    </w:p>
    <w:p w14:paraId="61062899" w14:textId="77777777" w:rsidR="00A91C73" w:rsidRDefault="00A91C73">
      <w:pPr>
        <w:pStyle w:val="Index1"/>
        <w:tabs>
          <w:tab w:val="right" w:leader="dot" w:pos="9350"/>
        </w:tabs>
        <w:rPr>
          <w:noProof/>
        </w:rPr>
      </w:pPr>
      <w:r>
        <w:rPr>
          <w:noProof/>
        </w:rPr>
        <w:t>Equipment: Log In Equipment</w:t>
      </w:r>
      <w:r>
        <w:rPr>
          <w:noProof/>
        </w:rPr>
        <w:tab/>
        <w:t>104</w:t>
      </w:r>
    </w:p>
    <w:p w14:paraId="4450691F" w14:textId="77777777" w:rsidR="00A91C73" w:rsidRDefault="00A91C73">
      <w:pPr>
        <w:pStyle w:val="Index1"/>
        <w:tabs>
          <w:tab w:val="right" w:leader="dot" w:pos="9350"/>
        </w:tabs>
        <w:rPr>
          <w:noProof/>
        </w:rPr>
      </w:pPr>
      <w:r>
        <w:rPr>
          <w:noProof/>
        </w:rPr>
        <w:t>Equipment: Maintain Equipment</w:t>
      </w:r>
      <w:r>
        <w:rPr>
          <w:noProof/>
        </w:rPr>
        <w:tab/>
        <w:t>107</w:t>
      </w:r>
    </w:p>
    <w:p w14:paraId="5BDDA78C" w14:textId="77777777" w:rsidR="00A91C73" w:rsidRDefault="00A91C73">
      <w:pPr>
        <w:pStyle w:val="Index1"/>
        <w:tabs>
          <w:tab w:val="right" w:leader="dot" w:pos="9350"/>
        </w:tabs>
        <w:rPr>
          <w:noProof/>
        </w:rPr>
      </w:pPr>
      <w:r>
        <w:rPr>
          <w:noProof/>
        </w:rPr>
        <w:t>Exception Report</w:t>
      </w:r>
      <w:r>
        <w:rPr>
          <w:noProof/>
        </w:rPr>
        <w:tab/>
        <w:t>365</w:t>
      </w:r>
    </w:p>
    <w:p w14:paraId="6171852B"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F</w:t>
      </w:r>
    </w:p>
    <w:p w14:paraId="5B0E9E42" w14:textId="77777777" w:rsidR="00A91C73" w:rsidRDefault="00A91C73">
      <w:pPr>
        <w:pStyle w:val="Index1"/>
        <w:tabs>
          <w:tab w:val="right" w:leader="dot" w:pos="9350"/>
        </w:tabs>
        <w:rPr>
          <w:noProof/>
        </w:rPr>
      </w:pPr>
      <w:r>
        <w:rPr>
          <w:noProof/>
        </w:rPr>
        <w:t>Figures</w:t>
      </w:r>
    </w:p>
    <w:p w14:paraId="5ADA296F" w14:textId="77777777" w:rsidR="00A91C73" w:rsidRDefault="00A91C73">
      <w:pPr>
        <w:pStyle w:val="Index2"/>
        <w:tabs>
          <w:tab w:val="right" w:leader="dot" w:pos="9350"/>
        </w:tabs>
        <w:rPr>
          <w:noProof/>
        </w:rPr>
      </w:pPr>
      <w:r>
        <w:rPr>
          <w:noProof/>
        </w:rPr>
        <w:t>Barcode Scanner Configuration</w:t>
      </w:r>
      <w:r>
        <w:rPr>
          <w:noProof/>
        </w:rPr>
        <w:tab/>
        <w:t>499</w:t>
      </w:r>
    </w:p>
    <w:p w14:paraId="7E7470E5" w14:textId="77777777" w:rsidR="00A91C73" w:rsidRDefault="00A91C73">
      <w:pPr>
        <w:pStyle w:val="Index2"/>
        <w:tabs>
          <w:tab w:val="right" w:leader="dot" w:pos="9350"/>
        </w:tabs>
        <w:rPr>
          <w:noProof/>
        </w:rPr>
      </w:pPr>
      <w:r>
        <w:rPr>
          <w:noProof/>
        </w:rPr>
        <w:t>Blood Transfusion Record Form</w:t>
      </w:r>
      <w:r>
        <w:rPr>
          <w:noProof/>
        </w:rPr>
        <w:tab/>
        <w:t>225</w:t>
      </w:r>
    </w:p>
    <w:p w14:paraId="541BFEC5" w14:textId="77777777" w:rsidR="00A91C73" w:rsidRDefault="00A91C73">
      <w:pPr>
        <w:pStyle w:val="Index2"/>
        <w:tabs>
          <w:tab w:val="right" w:leader="dot" w:pos="9350"/>
        </w:tabs>
        <w:rPr>
          <w:noProof/>
        </w:rPr>
      </w:pPr>
      <w:r>
        <w:rPr>
          <w:noProof/>
        </w:rPr>
        <w:t>Caution Tag</w:t>
      </w:r>
      <w:r>
        <w:rPr>
          <w:noProof/>
        </w:rPr>
        <w:tab/>
        <w:t>224</w:t>
      </w:r>
    </w:p>
    <w:p w14:paraId="5109B5E4" w14:textId="77777777" w:rsidR="00A91C73" w:rsidRDefault="00A91C73">
      <w:pPr>
        <w:pStyle w:val="Index2"/>
        <w:tabs>
          <w:tab w:val="right" w:leader="dot" w:pos="9350"/>
        </w:tabs>
        <w:rPr>
          <w:noProof/>
        </w:rPr>
      </w:pPr>
      <w:r>
        <w:rPr>
          <w:noProof/>
        </w:rPr>
        <w:t>Order Status Flowchart</w:t>
      </w:r>
      <w:r>
        <w:rPr>
          <w:noProof/>
        </w:rPr>
        <w:tab/>
        <w:t>429</w:t>
      </w:r>
    </w:p>
    <w:p w14:paraId="7C93BBFF" w14:textId="77777777" w:rsidR="00A91C73" w:rsidRDefault="00A91C73">
      <w:pPr>
        <w:pStyle w:val="Index2"/>
        <w:tabs>
          <w:tab w:val="right" w:leader="dot" w:pos="9350"/>
        </w:tabs>
        <w:rPr>
          <w:noProof/>
        </w:rPr>
      </w:pPr>
      <w:r>
        <w:rPr>
          <w:noProof/>
        </w:rPr>
        <w:t>Unit Status Flowchart</w:t>
      </w:r>
      <w:r>
        <w:rPr>
          <w:noProof/>
        </w:rPr>
        <w:tab/>
        <w:t>431</w:t>
      </w:r>
    </w:p>
    <w:p w14:paraId="4AA0337A" w14:textId="77777777" w:rsidR="00A91C73" w:rsidRDefault="00A91C73">
      <w:pPr>
        <w:pStyle w:val="Index2"/>
        <w:tabs>
          <w:tab w:val="right" w:leader="dot" w:pos="9350"/>
        </w:tabs>
        <w:rPr>
          <w:noProof/>
        </w:rPr>
      </w:pPr>
      <w:r>
        <w:rPr>
          <w:noProof/>
        </w:rPr>
        <w:t>VBECS Work Flow</w:t>
      </w:r>
      <w:r>
        <w:rPr>
          <w:noProof/>
        </w:rPr>
        <w:tab/>
        <w:t>447</w:t>
      </w:r>
    </w:p>
    <w:p w14:paraId="7EE3A350" w14:textId="77777777" w:rsidR="00A91C73" w:rsidRDefault="00A91C73">
      <w:pPr>
        <w:pStyle w:val="Index1"/>
        <w:tabs>
          <w:tab w:val="right" w:leader="dot" w:pos="9350"/>
        </w:tabs>
        <w:rPr>
          <w:noProof/>
        </w:rPr>
      </w:pPr>
      <w:r>
        <w:rPr>
          <w:noProof/>
        </w:rPr>
        <w:t>Figures and Tables</w:t>
      </w:r>
      <w:r>
        <w:rPr>
          <w:noProof/>
        </w:rPr>
        <w:tab/>
        <w:t>8</w:t>
      </w:r>
    </w:p>
    <w:p w14:paraId="7DFD25A6" w14:textId="77777777" w:rsidR="00A91C73" w:rsidRDefault="00A91C73">
      <w:pPr>
        <w:pStyle w:val="Index1"/>
        <w:tabs>
          <w:tab w:val="right" w:leader="dot" w:pos="9350"/>
        </w:tabs>
        <w:rPr>
          <w:noProof/>
        </w:rPr>
      </w:pPr>
      <w:r>
        <w:rPr>
          <w:noProof/>
        </w:rPr>
        <w:t>Finalize Transfusion Reaction Workup Report</w:t>
      </w:r>
      <w:r>
        <w:rPr>
          <w:noProof/>
        </w:rPr>
        <w:tab/>
        <w:t>312</w:t>
      </w:r>
    </w:p>
    <w:p w14:paraId="739A5F97" w14:textId="77777777" w:rsidR="00A91C73" w:rsidRDefault="00A91C73">
      <w:pPr>
        <w:pStyle w:val="Index1"/>
        <w:tabs>
          <w:tab w:val="right" w:leader="dot" w:pos="9350"/>
        </w:tabs>
        <w:rPr>
          <w:noProof/>
        </w:rPr>
      </w:pPr>
      <w:r>
        <w:rPr>
          <w:noProof/>
        </w:rPr>
        <w:t>Finalize/Print TRW</w:t>
      </w:r>
      <w:r>
        <w:rPr>
          <w:noProof/>
        </w:rPr>
        <w:tab/>
        <w:t>311</w:t>
      </w:r>
    </w:p>
    <w:p w14:paraId="045221AA" w14:textId="77777777" w:rsidR="00A91C73" w:rsidRDefault="00A91C73">
      <w:pPr>
        <w:pStyle w:val="Index1"/>
        <w:tabs>
          <w:tab w:val="right" w:leader="dot" w:pos="9350"/>
        </w:tabs>
        <w:rPr>
          <w:noProof/>
        </w:rPr>
      </w:pPr>
      <w:r>
        <w:rPr>
          <w:noProof/>
        </w:rPr>
        <w:t>Forms</w:t>
      </w:r>
    </w:p>
    <w:p w14:paraId="5DE22955" w14:textId="77777777" w:rsidR="00A91C73" w:rsidRDefault="00A91C73">
      <w:pPr>
        <w:pStyle w:val="Index2"/>
        <w:tabs>
          <w:tab w:val="right" w:leader="dot" w:pos="9350"/>
        </w:tabs>
        <w:rPr>
          <w:noProof/>
        </w:rPr>
      </w:pPr>
      <w:r>
        <w:rPr>
          <w:noProof/>
        </w:rPr>
        <w:t>Patient Testing Form</w:t>
      </w:r>
      <w:r>
        <w:rPr>
          <w:noProof/>
        </w:rPr>
        <w:tab/>
        <w:t>404</w:t>
      </w:r>
    </w:p>
    <w:p w14:paraId="48589305" w14:textId="77777777" w:rsidR="00A91C73" w:rsidRDefault="00A91C73">
      <w:pPr>
        <w:pStyle w:val="Index2"/>
        <w:tabs>
          <w:tab w:val="right" w:leader="dot" w:pos="9350"/>
        </w:tabs>
        <w:rPr>
          <w:noProof/>
        </w:rPr>
      </w:pPr>
      <w:r>
        <w:rPr>
          <w:noProof/>
        </w:rPr>
        <w:t>Unit ABO/Rh Confirmation Form</w:t>
      </w:r>
      <w:r>
        <w:rPr>
          <w:noProof/>
        </w:rPr>
        <w:tab/>
        <w:t>407</w:t>
      </w:r>
    </w:p>
    <w:p w14:paraId="090D0B4D" w14:textId="77777777" w:rsidR="00A91C73" w:rsidRDefault="00A91C73">
      <w:pPr>
        <w:pStyle w:val="Index2"/>
        <w:tabs>
          <w:tab w:val="right" w:leader="dot" w:pos="9350"/>
        </w:tabs>
        <w:rPr>
          <w:noProof/>
        </w:rPr>
      </w:pPr>
      <w:r>
        <w:rPr>
          <w:noProof/>
        </w:rPr>
        <w:t>Unit Issue and Inspection Log</w:t>
      </w:r>
      <w:r>
        <w:rPr>
          <w:noProof/>
        </w:rPr>
        <w:tab/>
        <w:t>408</w:t>
      </w:r>
    </w:p>
    <w:p w14:paraId="54772C57" w14:textId="77777777" w:rsidR="00A91C73" w:rsidRDefault="00A91C73">
      <w:pPr>
        <w:pStyle w:val="Index2"/>
        <w:tabs>
          <w:tab w:val="right" w:leader="dot" w:pos="9350"/>
        </w:tabs>
        <w:rPr>
          <w:noProof/>
        </w:rPr>
      </w:pPr>
      <w:r>
        <w:rPr>
          <w:noProof/>
        </w:rPr>
        <w:t>Unit Modification Form</w:t>
      </w:r>
      <w:r>
        <w:rPr>
          <w:noProof/>
        </w:rPr>
        <w:tab/>
        <w:t>409</w:t>
      </w:r>
    </w:p>
    <w:p w14:paraId="7AECD540" w14:textId="77777777" w:rsidR="00A91C73" w:rsidRDefault="00A91C73">
      <w:pPr>
        <w:pStyle w:val="Index1"/>
        <w:tabs>
          <w:tab w:val="right" w:leader="dot" w:pos="9350"/>
        </w:tabs>
        <w:rPr>
          <w:noProof/>
        </w:rPr>
      </w:pPr>
      <w:r>
        <w:rPr>
          <w:noProof/>
        </w:rPr>
        <w:t>Freeware Disclaimer</w:t>
      </w:r>
      <w:r>
        <w:rPr>
          <w:noProof/>
        </w:rPr>
        <w:tab/>
        <w:t>7</w:t>
      </w:r>
    </w:p>
    <w:p w14:paraId="6ABDFBAC" w14:textId="77777777" w:rsidR="00A91C73" w:rsidRDefault="00A91C73">
      <w:pPr>
        <w:pStyle w:val="Index1"/>
        <w:tabs>
          <w:tab w:val="right" w:leader="dot" w:pos="9350"/>
        </w:tabs>
        <w:rPr>
          <w:noProof/>
        </w:rPr>
      </w:pPr>
      <w:r>
        <w:rPr>
          <w:noProof/>
        </w:rPr>
        <w:t>Frequently Asked Questions</w:t>
      </w:r>
      <w:r>
        <w:rPr>
          <w:noProof/>
        </w:rPr>
        <w:tab/>
        <w:t>494</w:t>
      </w:r>
    </w:p>
    <w:p w14:paraId="156CE667"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G</w:t>
      </w:r>
    </w:p>
    <w:p w14:paraId="0DCFCCFF" w14:textId="77777777" w:rsidR="00A91C73" w:rsidRDefault="00A91C73">
      <w:pPr>
        <w:pStyle w:val="Index1"/>
        <w:tabs>
          <w:tab w:val="right" w:leader="dot" w:pos="9350"/>
        </w:tabs>
        <w:rPr>
          <w:noProof/>
        </w:rPr>
      </w:pPr>
      <w:r>
        <w:rPr>
          <w:noProof/>
        </w:rPr>
        <w:t>Glossary</w:t>
      </w:r>
      <w:r>
        <w:rPr>
          <w:noProof/>
        </w:rPr>
        <w:tab/>
        <w:t>393</w:t>
      </w:r>
    </w:p>
    <w:p w14:paraId="77F8025D"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H</w:t>
      </w:r>
    </w:p>
    <w:p w14:paraId="007F9EAD" w14:textId="77777777" w:rsidR="00A91C73" w:rsidRDefault="00A91C73">
      <w:pPr>
        <w:pStyle w:val="Index1"/>
        <w:tabs>
          <w:tab w:val="right" w:leader="dot" w:pos="9350"/>
        </w:tabs>
        <w:rPr>
          <w:noProof/>
        </w:rPr>
      </w:pPr>
      <w:r>
        <w:rPr>
          <w:noProof/>
        </w:rPr>
        <w:t>How This User Guide Is Organized</w:t>
      </w:r>
      <w:r>
        <w:rPr>
          <w:noProof/>
        </w:rPr>
        <w:tab/>
        <w:t>8</w:t>
      </w:r>
    </w:p>
    <w:p w14:paraId="3AF7141C"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I</w:t>
      </w:r>
    </w:p>
    <w:p w14:paraId="33CB5808" w14:textId="77777777" w:rsidR="00A91C73" w:rsidRDefault="00A91C73">
      <w:pPr>
        <w:pStyle w:val="Index1"/>
        <w:tabs>
          <w:tab w:val="right" w:leader="dot" w:pos="9350"/>
        </w:tabs>
        <w:rPr>
          <w:noProof/>
        </w:rPr>
      </w:pPr>
      <w:r>
        <w:rPr>
          <w:noProof/>
        </w:rPr>
        <w:t>Icons and Buttons</w:t>
      </w:r>
      <w:r>
        <w:rPr>
          <w:noProof/>
        </w:rPr>
        <w:tab/>
        <w:t>33</w:t>
      </w:r>
    </w:p>
    <w:p w14:paraId="1AFCF264" w14:textId="77777777" w:rsidR="00A91C73" w:rsidRDefault="00A91C73">
      <w:pPr>
        <w:pStyle w:val="Index1"/>
        <w:tabs>
          <w:tab w:val="right" w:leader="dot" w:pos="9350"/>
        </w:tabs>
        <w:rPr>
          <w:noProof/>
        </w:rPr>
      </w:pPr>
      <w:r>
        <w:rPr>
          <w:noProof/>
        </w:rPr>
        <w:t>Inactivate a Unit</w:t>
      </w:r>
      <w:r>
        <w:rPr>
          <w:noProof/>
        </w:rPr>
        <w:tab/>
        <w:t>173</w:t>
      </w:r>
    </w:p>
    <w:p w14:paraId="74EBA4BE" w14:textId="77777777" w:rsidR="00A91C73" w:rsidRDefault="00A91C73">
      <w:pPr>
        <w:pStyle w:val="Index1"/>
        <w:tabs>
          <w:tab w:val="right" w:leader="dot" w:pos="9350"/>
        </w:tabs>
        <w:rPr>
          <w:noProof/>
        </w:rPr>
      </w:pPr>
      <w:r>
        <w:rPr>
          <w:noProof/>
        </w:rPr>
        <w:t>Inappropriate Transfusion Request Report</w:t>
      </w:r>
      <w:r>
        <w:rPr>
          <w:noProof/>
        </w:rPr>
        <w:tab/>
        <w:t>367</w:t>
      </w:r>
    </w:p>
    <w:p w14:paraId="0F1BF2A1" w14:textId="77777777" w:rsidR="00A91C73" w:rsidRDefault="00A91C73">
      <w:pPr>
        <w:pStyle w:val="Index1"/>
        <w:tabs>
          <w:tab w:val="right" w:leader="dot" w:pos="9350"/>
        </w:tabs>
        <w:rPr>
          <w:noProof/>
        </w:rPr>
      </w:pPr>
      <w:r>
        <w:rPr>
          <w:noProof/>
        </w:rPr>
        <w:t>Introduction</w:t>
      </w:r>
      <w:r>
        <w:rPr>
          <w:noProof/>
        </w:rPr>
        <w:tab/>
        <w:t>6</w:t>
      </w:r>
    </w:p>
    <w:p w14:paraId="3E37C9A7" w14:textId="77777777" w:rsidR="00A91C73" w:rsidRDefault="00A91C73">
      <w:pPr>
        <w:pStyle w:val="Index1"/>
        <w:tabs>
          <w:tab w:val="right" w:leader="dot" w:pos="9350"/>
        </w:tabs>
        <w:rPr>
          <w:noProof/>
        </w:rPr>
      </w:pPr>
      <w:r>
        <w:rPr>
          <w:noProof/>
        </w:rPr>
        <w:t>Issue Blood Components</w:t>
      </w:r>
      <w:r>
        <w:rPr>
          <w:noProof/>
        </w:rPr>
        <w:tab/>
        <w:t>196</w:t>
      </w:r>
    </w:p>
    <w:p w14:paraId="7D3FEA39" w14:textId="77777777" w:rsidR="00A91C73" w:rsidRDefault="00A91C73">
      <w:pPr>
        <w:pStyle w:val="Index1"/>
        <w:tabs>
          <w:tab w:val="right" w:leader="dot" w:pos="9350"/>
        </w:tabs>
        <w:rPr>
          <w:noProof/>
        </w:rPr>
      </w:pPr>
      <w:r>
        <w:rPr>
          <w:noProof/>
        </w:rPr>
        <w:t>Issue Blood Components (Emergency)</w:t>
      </w:r>
      <w:r>
        <w:rPr>
          <w:noProof/>
        </w:rPr>
        <w:tab/>
        <w:t>201</w:t>
      </w:r>
    </w:p>
    <w:p w14:paraId="180995C1" w14:textId="77777777" w:rsidR="00A91C73" w:rsidRDefault="00A91C73">
      <w:pPr>
        <w:pStyle w:val="Index1"/>
        <w:tabs>
          <w:tab w:val="right" w:leader="dot" w:pos="9350"/>
        </w:tabs>
        <w:rPr>
          <w:noProof/>
        </w:rPr>
      </w:pPr>
      <w:r>
        <w:rPr>
          <w:noProof/>
        </w:rPr>
        <w:t>Issue Blood Components (Routine)</w:t>
      </w:r>
      <w:r>
        <w:rPr>
          <w:noProof/>
        </w:rPr>
        <w:tab/>
        <w:t>197</w:t>
      </w:r>
    </w:p>
    <w:p w14:paraId="42C2C922" w14:textId="77777777" w:rsidR="00A91C73" w:rsidRDefault="00A91C73">
      <w:pPr>
        <w:pStyle w:val="Index1"/>
        <w:tabs>
          <w:tab w:val="right" w:leader="dot" w:pos="9350"/>
        </w:tabs>
        <w:rPr>
          <w:noProof/>
        </w:rPr>
      </w:pPr>
      <w:r>
        <w:rPr>
          <w:noProof/>
        </w:rPr>
        <w:t>Issued/Returned Unit Report</w:t>
      </w:r>
      <w:r>
        <w:rPr>
          <w:noProof/>
        </w:rPr>
        <w:tab/>
        <w:t>368</w:t>
      </w:r>
    </w:p>
    <w:p w14:paraId="45AAE3C9"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J</w:t>
      </w:r>
    </w:p>
    <w:p w14:paraId="47F165F8" w14:textId="77777777" w:rsidR="00A91C73" w:rsidRDefault="00A91C73">
      <w:pPr>
        <w:pStyle w:val="Index1"/>
        <w:tabs>
          <w:tab w:val="right" w:leader="dot" w:pos="9350"/>
        </w:tabs>
        <w:rPr>
          <w:noProof/>
        </w:rPr>
      </w:pPr>
      <w:r>
        <w:rPr>
          <w:noProof/>
        </w:rPr>
        <w:t>Justify ABO/Rh Change</w:t>
      </w:r>
      <w:r>
        <w:rPr>
          <w:noProof/>
        </w:rPr>
        <w:tab/>
        <w:t>332</w:t>
      </w:r>
    </w:p>
    <w:p w14:paraId="12E1ADAB"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K</w:t>
      </w:r>
    </w:p>
    <w:p w14:paraId="76D0330A" w14:textId="77777777" w:rsidR="00A91C73" w:rsidRDefault="00A91C73">
      <w:pPr>
        <w:pStyle w:val="Index1"/>
        <w:tabs>
          <w:tab w:val="right" w:leader="dot" w:pos="9350"/>
        </w:tabs>
        <w:rPr>
          <w:noProof/>
        </w:rPr>
      </w:pPr>
      <w:r>
        <w:rPr>
          <w:noProof/>
        </w:rPr>
        <w:t>Keyboard Shortcuts for Windows</w:t>
      </w:r>
      <w:r>
        <w:rPr>
          <w:noProof/>
        </w:rPr>
        <w:tab/>
        <w:t>32</w:t>
      </w:r>
    </w:p>
    <w:p w14:paraId="2C42F022" w14:textId="77777777" w:rsidR="00A91C73" w:rsidRDefault="00A91C73">
      <w:pPr>
        <w:pStyle w:val="Index1"/>
        <w:tabs>
          <w:tab w:val="right" w:leader="dot" w:pos="9350"/>
        </w:tabs>
        <w:rPr>
          <w:noProof/>
        </w:rPr>
      </w:pPr>
      <w:r>
        <w:rPr>
          <w:noProof/>
        </w:rPr>
        <w:t>Known Defects and Anomalies</w:t>
      </w:r>
      <w:r>
        <w:rPr>
          <w:noProof/>
        </w:rPr>
        <w:tab/>
        <w:t>466</w:t>
      </w:r>
    </w:p>
    <w:p w14:paraId="1F03189A"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L</w:t>
      </w:r>
    </w:p>
    <w:p w14:paraId="54D39406" w14:textId="77777777" w:rsidR="00A91C73" w:rsidRDefault="00A91C73">
      <w:pPr>
        <w:pStyle w:val="Index1"/>
        <w:tabs>
          <w:tab w:val="right" w:leader="dot" w:pos="9350"/>
        </w:tabs>
        <w:rPr>
          <w:noProof/>
        </w:rPr>
      </w:pPr>
      <w:r>
        <w:rPr>
          <w:noProof/>
        </w:rPr>
        <w:t>Limitations and Restrictions</w:t>
      </w:r>
      <w:r>
        <w:rPr>
          <w:noProof/>
        </w:rPr>
        <w:tab/>
        <w:t>450</w:t>
      </w:r>
    </w:p>
    <w:p w14:paraId="53E2A057" w14:textId="77777777" w:rsidR="00A91C73" w:rsidRDefault="00A91C73">
      <w:pPr>
        <w:pStyle w:val="Index1"/>
        <w:tabs>
          <w:tab w:val="right" w:leader="dot" w:pos="9350"/>
        </w:tabs>
        <w:rPr>
          <w:noProof/>
        </w:rPr>
      </w:pPr>
      <w:r>
        <w:rPr>
          <w:noProof/>
        </w:rPr>
        <w:t>Local Facilities</w:t>
      </w:r>
      <w:r>
        <w:rPr>
          <w:noProof/>
        </w:rPr>
        <w:tab/>
        <w:t>62</w:t>
      </w:r>
    </w:p>
    <w:p w14:paraId="382E149B" w14:textId="77777777" w:rsidR="00A91C73" w:rsidRDefault="00A91C73">
      <w:pPr>
        <w:pStyle w:val="Index1"/>
        <w:tabs>
          <w:tab w:val="right" w:leader="dot" w:pos="9350"/>
        </w:tabs>
        <w:rPr>
          <w:noProof/>
        </w:rPr>
      </w:pPr>
      <w:r>
        <w:rPr>
          <w:noProof/>
        </w:rPr>
        <w:t>Local Machine Screen Resolution</w:t>
      </w:r>
      <w:r>
        <w:rPr>
          <w:noProof/>
        </w:rPr>
        <w:tab/>
        <w:t>31</w:t>
      </w:r>
    </w:p>
    <w:p w14:paraId="5AD94078" w14:textId="77777777" w:rsidR="00A91C73" w:rsidRDefault="00A91C73">
      <w:pPr>
        <w:pStyle w:val="Index1"/>
        <w:tabs>
          <w:tab w:val="right" w:leader="dot" w:pos="9350"/>
        </w:tabs>
        <w:rPr>
          <w:noProof/>
        </w:rPr>
      </w:pPr>
      <w:r>
        <w:rPr>
          <w:noProof/>
        </w:rPr>
        <w:t>Log in Reagents</w:t>
      </w:r>
      <w:r>
        <w:rPr>
          <w:noProof/>
        </w:rPr>
        <w:tab/>
        <w:t>91</w:t>
      </w:r>
    </w:p>
    <w:p w14:paraId="5B8B2458" w14:textId="77777777" w:rsidR="00A91C73" w:rsidRDefault="00A91C73">
      <w:pPr>
        <w:pStyle w:val="Index1"/>
        <w:tabs>
          <w:tab w:val="right" w:leader="dot" w:pos="9350"/>
        </w:tabs>
        <w:rPr>
          <w:noProof/>
        </w:rPr>
      </w:pPr>
      <w:r>
        <w:rPr>
          <w:noProof/>
        </w:rPr>
        <w:t>Log in Supplies</w:t>
      </w:r>
      <w:r>
        <w:rPr>
          <w:noProof/>
        </w:rPr>
        <w:tab/>
        <w:t>99</w:t>
      </w:r>
    </w:p>
    <w:p w14:paraId="03FE1B44" w14:textId="77777777" w:rsidR="00A91C73" w:rsidRDefault="00A91C73">
      <w:pPr>
        <w:pStyle w:val="Index1"/>
        <w:tabs>
          <w:tab w:val="right" w:leader="dot" w:pos="9350"/>
        </w:tabs>
        <w:rPr>
          <w:noProof/>
        </w:rPr>
      </w:pPr>
      <w:r>
        <w:rPr>
          <w:noProof/>
        </w:rPr>
        <w:t>Login Message</w:t>
      </w:r>
      <w:r>
        <w:rPr>
          <w:noProof/>
        </w:rPr>
        <w:tab/>
        <w:t>60</w:t>
      </w:r>
    </w:p>
    <w:p w14:paraId="4668A445"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M</w:t>
      </w:r>
    </w:p>
    <w:p w14:paraId="3772B71F" w14:textId="77777777" w:rsidR="00A91C73" w:rsidRDefault="00A91C73">
      <w:pPr>
        <w:pStyle w:val="Index1"/>
        <w:tabs>
          <w:tab w:val="right" w:leader="dot" w:pos="9350"/>
        </w:tabs>
        <w:rPr>
          <w:noProof/>
        </w:rPr>
      </w:pPr>
      <w:r>
        <w:rPr>
          <w:noProof/>
        </w:rPr>
        <w:t>Main Status Bar</w:t>
      </w:r>
      <w:r>
        <w:rPr>
          <w:noProof/>
        </w:rPr>
        <w:tab/>
        <w:t>41</w:t>
      </w:r>
    </w:p>
    <w:p w14:paraId="46E7E1C0" w14:textId="77777777" w:rsidR="00A91C73" w:rsidRDefault="00A91C73">
      <w:pPr>
        <w:pStyle w:val="Index1"/>
        <w:tabs>
          <w:tab w:val="right" w:leader="dot" w:pos="9350"/>
        </w:tabs>
        <w:rPr>
          <w:noProof/>
        </w:rPr>
      </w:pPr>
      <w:r>
        <w:rPr>
          <w:noProof/>
        </w:rPr>
        <w:t>Main Toolbar</w:t>
      </w:r>
      <w:r>
        <w:rPr>
          <w:noProof/>
        </w:rPr>
        <w:tab/>
        <w:t>34</w:t>
      </w:r>
    </w:p>
    <w:p w14:paraId="48CC5326" w14:textId="77777777" w:rsidR="00A91C73" w:rsidRDefault="00A91C73">
      <w:pPr>
        <w:pStyle w:val="Index1"/>
        <w:tabs>
          <w:tab w:val="right" w:leader="dot" w:pos="9350"/>
        </w:tabs>
        <w:rPr>
          <w:noProof/>
        </w:rPr>
      </w:pPr>
      <w:r>
        <w:rPr>
          <w:noProof/>
        </w:rPr>
        <w:t>Maintain Minimum Levels</w:t>
      </w:r>
      <w:r>
        <w:rPr>
          <w:noProof/>
        </w:rPr>
        <w:tab/>
        <w:t>97</w:t>
      </w:r>
    </w:p>
    <w:p w14:paraId="619EAED2" w14:textId="77777777" w:rsidR="00A91C73" w:rsidRDefault="00A91C73">
      <w:pPr>
        <w:pStyle w:val="Index1"/>
        <w:tabs>
          <w:tab w:val="right" w:leader="dot" w:pos="9350"/>
        </w:tabs>
        <w:rPr>
          <w:noProof/>
        </w:rPr>
      </w:pPr>
      <w:r>
        <w:rPr>
          <w:noProof/>
        </w:rPr>
        <w:t>Maintain Patient Records</w:t>
      </w:r>
      <w:r>
        <w:rPr>
          <w:noProof/>
        </w:rPr>
        <w:tab/>
        <w:t>316</w:t>
      </w:r>
    </w:p>
    <w:p w14:paraId="1FA59C36" w14:textId="77777777" w:rsidR="00A91C73" w:rsidRDefault="00A91C73">
      <w:pPr>
        <w:pStyle w:val="Index1"/>
        <w:tabs>
          <w:tab w:val="right" w:leader="dot" w:pos="9350"/>
        </w:tabs>
        <w:rPr>
          <w:noProof/>
        </w:rPr>
      </w:pPr>
      <w:r>
        <w:rPr>
          <w:noProof/>
        </w:rPr>
        <w:t>Maintain Specimen</w:t>
      </w:r>
      <w:r>
        <w:rPr>
          <w:noProof/>
        </w:rPr>
        <w:tab/>
        <w:t>250</w:t>
      </w:r>
    </w:p>
    <w:p w14:paraId="2F668901" w14:textId="77777777" w:rsidR="00A91C73" w:rsidRDefault="00A91C73">
      <w:pPr>
        <w:pStyle w:val="Index1"/>
        <w:tabs>
          <w:tab w:val="right" w:leader="dot" w:pos="9350"/>
        </w:tabs>
        <w:rPr>
          <w:noProof/>
        </w:rPr>
      </w:pPr>
      <w:r>
        <w:rPr>
          <w:noProof/>
        </w:rPr>
        <w:t>Maintain Unit Records</w:t>
      </w:r>
      <w:r>
        <w:rPr>
          <w:noProof/>
        </w:rPr>
        <w:tab/>
        <w:t>168</w:t>
      </w:r>
    </w:p>
    <w:p w14:paraId="0BA2A67C" w14:textId="77777777" w:rsidR="00A91C73" w:rsidRDefault="00A91C73">
      <w:pPr>
        <w:pStyle w:val="Index1"/>
        <w:tabs>
          <w:tab w:val="right" w:leader="dot" w:pos="9350"/>
        </w:tabs>
        <w:rPr>
          <w:noProof/>
        </w:rPr>
      </w:pPr>
      <w:r>
        <w:rPr>
          <w:noProof/>
        </w:rPr>
        <w:t>Medication Profile</w:t>
      </w:r>
      <w:r>
        <w:rPr>
          <w:noProof/>
        </w:rPr>
        <w:tab/>
        <w:t>36</w:t>
      </w:r>
    </w:p>
    <w:p w14:paraId="79D9A295" w14:textId="77777777" w:rsidR="00A91C73" w:rsidRDefault="00A91C73">
      <w:pPr>
        <w:pStyle w:val="Index1"/>
        <w:tabs>
          <w:tab w:val="right" w:leader="dot" w:pos="9350"/>
        </w:tabs>
        <w:rPr>
          <w:noProof/>
        </w:rPr>
      </w:pPr>
      <w:r>
        <w:rPr>
          <w:noProof/>
        </w:rPr>
        <w:t>Modify Component</w:t>
      </w:r>
      <w:r>
        <w:rPr>
          <w:noProof/>
        </w:rPr>
        <w:tab/>
        <w:t>146</w:t>
      </w:r>
    </w:p>
    <w:p w14:paraId="2D3F2F88" w14:textId="77777777" w:rsidR="00A91C73" w:rsidRDefault="00A91C73">
      <w:pPr>
        <w:pStyle w:val="Index1"/>
        <w:tabs>
          <w:tab w:val="right" w:leader="dot" w:pos="9350"/>
        </w:tabs>
        <w:rPr>
          <w:noProof/>
        </w:rPr>
      </w:pPr>
      <w:r>
        <w:rPr>
          <w:noProof/>
        </w:rPr>
        <w:t>MSBOS</w:t>
      </w:r>
      <w:r>
        <w:rPr>
          <w:noProof/>
        </w:rPr>
        <w:tab/>
        <w:t>77</w:t>
      </w:r>
    </w:p>
    <w:p w14:paraId="6C0F428E"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O</w:t>
      </w:r>
    </w:p>
    <w:p w14:paraId="20792CBC" w14:textId="77777777" w:rsidR="00A91C73" w:rsidRDefault="00A91C73">
      <w:pPr>
        <w:pStyle w:val="Index1"/>
        <w:tabs>
          <w:tab w:val="right" w:leader="dot" w:pos="9350"/>
        </w:tabs>
        <w:rPr>
          <w:noProof/>
        </w:rPr>
      </w:pPr>
      <w:r>
        <w:rPr>
          <w:noProof/>
        </w:rPr>
        <w:t>Options</w:t>
      </w:r>
      <w:r>
        <w:rPr>
          <w:noProof/>
        </w:rPr>
        <w:tab/>
        <w:t>8</w:t>
      </w:r>
    </w:p>
    <w:p w14:paraId="63B5F88B" w14:textId="77777777" w:rsidR="00A91C73" w:rsidRDefault="00A91C73">
      <w:pPr>
        <w:pStyle w:val="Index1"/>
        <w:tabs>
          <w:tab w:val="right" w:leader="dot" w:pos="9350"/>
        </w:tabs>
        <w:rPr>
          <w:noProof/>
        </w:rPr>
      </w:pPr>
      <w:r>
        <w:rPr>
          <w:noProof/>
        </w:rPr>
        <w:t>Order Alerts</w:t>
      </w:r>
      <w:r>
        <w:rPr>
          <w:noProof/>
        </w:rPr>
        <w:tab/>
        <w:t>58</w:t>
      </w:r>
    </w:p>
    <w:p w14:paraId="570CDAF0" w14:textId="77777777" w:rsidR="00A91C73" w:rsidRDefault="00A91C73">
      <w:pPr>
        <w:pStyle w:val="Index1"/>
        <w:tabs>
          <w:tab w:val="right" w:leader="dot" w:pos="9350"/>
        </w:tabs>
        <w:rPr>
          <w:noProof/>
        </w:rPr>
      </w:pPr>
      <w:r>
        <w:rPr>
          <w:noProof/>
        </w:rPr>
        <w:t>Order History Report</w:t>
      </w:r>
      <w:r>
        <w:rPr>
          <w:noProof/>
        </w:rPr>
        <w:tab/>
        <w:t>369</w:t>
      </w:r>
    </w:p>
    <w:p w14:paraId="23381F5A" w14:textId="77777777" w:rsidR="00A91C73" w:rsidRDefault="00A91C73">
      <w:pPr>
        <w:pStyle w:val="Index1"/>
        <w:tabs>
          <w:tab w:val="right" w:leader="dot" w:pos="9350"/>
        </w:tabs>
        <w:rPr>
          <w:noProof/>
        </w:rPr>
      </w:pPr>
      <w:r>
        <w:rPr>
          <w:noProof/>
        </w:rPr>
        <w:t>Order Reflex Tests</w:t>
      </w:r>
      <w:r>
        <w:rPr>
          <w:noProof/>
        </w:rPr>
        <w:tab/>
        <w:t>261</w:t>
      </w:r>
    </w:p>
    <w:p w14:paraId="3B178455" w14:textId="77777777" w:rsidR="00A91C73" w:rsidRDefault="00A91C73">
      <w:pPr>
        <w:pStyle w:val="Index1"/>
        <w:tabs>
          <w:tab w:val="right" w:leader="dot" w:pos="9350"/>
        </w:tabs>
        <w:rPr>
          <w:noProof/>
        </w:rPr>
      </w:pPr>
      <w:r>
        <w:rPr>
          <w:noProof/>
        </w:rPr>
        <w:t>Orientation</w:t>
      </w:r>
      <w:r>
        <w:rPr>
          <w:noProof/>
        </w:rPr>
        <w:tab/>
        <w:t>8</w:t>
      </w:r>
    </w:p>
    <w:p w14:paraId="103C730B" w14:textId="77777777" w:rsidR="00A91C73" w:rsidRDefault="00A91C73">
      <w:pPr>
        <w:pStyle w:val="Index1"/>
        <w:tabs>
          <w:tab w:val="right" w:leader="dot" w:pos="9350"/>
        </w:tabs>
        <w:rPr>
          <w:noProof/>
        </w:rPr>
      </w:pPr>
      <w:r>
        <w:rPr>
          <w:noProof/>
        </w:rPr>
        <w:t>Other VBECS Functions</w:t>
      </w:r>
      <w:r>
        <w:rPr>
          <w:noProof/>
        </w:rPr>
        <w:tab/>
        <w:t>42</w:t>
      </w:r>
    </w:p>
    <w:p w14:paraId="7A162F61"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P</w:t>
      </w:r>
    </w:p>
    <w:p w14:paraId="402499E5" w14:textId="77777777" w:rsidR="00A91C73" w:rsidRDefault="00A91C73">
      <w:pPr>
        <w:pStyle w:val="Index1"/>
        <w:tabs>
          <w:tab w:val="right" w:leader="dot" w:pos="9350"/>
        </w:tabs>
        <w:rPr>
          <w:noProof/>
        </w:rPr>
      </w:pPr>
      <w:r>
        <w:rPr>
          <w:noProof/>
        </w:rPr>
        <w:t>Patient Blood Availability</w:t>
      </w:r>
      <w:r>
        <w:rPr>
          <w:noProof/>
        </w:rPr>
        <w:tab/>
        <w:t>35</w:t>
      </w:r>
    </w:p>
    <w:p w14:paraId="5730B132" w14:textId="77777777" w:rsidR="00A91C73" w:rsidRDefault="00A91C73">
      <w:pPr>
        <w:pStyle w:val="Index1"/>
        <w:tabs>
          <w:tab w:val="right" w:leader="dot" w:pos="9350"/>
        </w:tabs>
        <w:rPr>
          <w:noProof/>
        </w:rPr>
      </w:pPr>
      <w:r>
        <w:rPr>
          <w:noProof/>
        </w:rPr>
        <w:t>Patient History Report</w:t>
      </w:r>
      <w:r>
        <w:rPr>
          <w:noProof/>
        </w:rPr>
        <w:tab/>
        <w:t>372</w:t>
      </w:r>
    </w:p>
    <w:p w14:paraId="020A9E30" w14:textId="77777777" w:rsidR="00A91C73" w:rsidRDefault="00A91C73">
      <w:pPr>
        <w:pStyle w:val="Index1"/>
        <w:tabs>
          <w:tab w:val="right" w:leader="dot" w:pos="9350"/>
        </w:tabs>
        <w:rPr>
          <w:noProof/>
        </w:rPr>
      </w:pPr>
      <w:r>
        <w:rPr>
          <w:noProof/>
        </w:rPr>
        <w:t>Patient Information Toolbar</w:t>
      </w:r>
      <w:r>
        <w:rPr>
          <w:noProof/>
        </w:rPr>
        <w:tab/>
        <w:t>35</w:t>
      </w:r>
    </w:p>
    <w:p w14:paraId="6C6354CD" w14:textId="77777777" w:rsidR="00A91C73" w:rsidRDefault="00A91C73">
      <w:pPr>
        <w:pStyle w:val="Index1"/>
        <w:tabs>
          <w:tab w:val="right" w:leader="dot" w:pos="9350"/>
        </w:tabs>
        <w:rPr>
          <w:noProof/>
        </w:rPr>
      </w:pPr>
      <w:r>
        <w:rPr>
          <w:noProof/>
        </w:rPr>
        <w:t>Patient Merge</w:t>
      </w:r>
      <w:r>
        <w:rPr>
          <w:noProof/>
        </w:rPr>
        <w:tab/>
        <w:t>267</w:t>
      </w:r>
    </w:p>
    <w:p w14:paraId="39B9339D" w14:textId="77777777" w:rsidR="00A91C73" w:rsidRDefault="00A91C73">
      <w:pPr>
        <w:pStyle w:val="Index1"/>
        <w:tabs>
          <w:tab w:val="right" w:leader="dot" w:pos="9350"/>
        </w:tabs>
        <w:rPr>
          <w:noProof/>
        </w:rPr>
      </w:pPr>
      <w:r>
        <w:rPr>
          <w:noProof/>
        </w:rPr>
        <w:t>Patient Search Screen</w:t>
      </w:r>
      <w:r>
        <w:rPr>
          <w:noProof/>
        </w:rPr>
        <w:tab/>
        <w:t>264</w:t>
      </w:r>
    </w:p>
    <w:p w14:paraId="10FDD140" w14:textId="77777777" w:rsidR="00A91C73" w:rsidRDefault="00A91C73">
      <w:pPr>
        <w:pStyle w:val="Index1"/>
        <w:tabs>
          <w:tab w:val="right" w:leader="dot" w:pos="9350"/>
        </w:tabs>
        <w:rPr>
          <w:noProof/>
        </w:rPr>
      </w:pPr>
      <w:r>
        <w:rPr>
          <w:noProof/>
        </w:rPr>
        <w:t>Patient Services</w:t>
      </w:r>
      <w:r>
        <w:rPr>
          <w:noProof/>
        </w:rPr>
        <w:tab/>
        <w:t>264</w:t>
      </w:r>
    </w:p>
    <w:p w14:paraId="7451351A" w14:textId="77777777" w:rsidR="00A91C73" w:rsidRDefault="00A91C73">
      <w:pPr>
        <w:pStyle w:val="Index1"/>
        <w:tabs>
          <w:tab w:val="right" w:leader="dot" w:pos="9350"/>
        </w:tabs>
        <w:rPr>
          <w:noProof/>
        </w:rPr>
      </w:pPr>
      <w:r>
        <w:rPr>
          <w:noProof/>
        </w:rPr>
        <w:t>Patient Testing Form</w:t>
      </w:r>
      <w:r>
        <w:rPr>
          <w:noProof/>
        </w:rPr>
        <w:tab/>
        <w:t>404</w:t>
      </w:r>
    </w:p>
    <w:p w14:paraId="6A6F10C4" w14:textId="77777777" w:rsidR="00A91C73" w:rsidRDefault="00A91C73">
      <w:pPr>
        <w:pStyle w:val="Index1"/>
        <w:tabs>
          <w:tab w:val="right" w:leader="dot" w:pos="9350"/>
        </w:tabs>
        <w:rPr>
          <w:noProof/>
        </w:rPr>
      </w:pPr>
      <w:r>
        <w:rPr>
          <w:noProof/>
        </w:rPr>
        <w:t>Patient Testing Worklist and Testing Worklist Reports</w:t>
      </w:r>
      <w:r>
        <w:rPr>
          <w:noProof/>
        </w:rPr>
        <w:tab/>
        <w:t>374</w:t>
      </w:r>
    </w:p>
    <w:p w14:paraId="41E325D1" w14:textId="77777777" w:rsidR="00A91C73" w:rsidRDefault="00A91C73">
      <w:pPr>
        <w:pStyle w:val="Index1"/>
        <w:tabs>
          <w:tab w:val="right" w:leader="dot" w:pos="9350"/>
        </w:tabs>
        <w:rPr>
          <w:noProof/>
        </w:rPr>
      </w:pPr>
      <w:r>
        <w:rPr>
          <w:noProof/>
        </w:rPr>
        <w:t>Patient Testing: Cancel an Active Order</w:t>
      </w:r>
      <w:r>
        <w:rPr>
          <w:noProof/>
        </w:rPr>
        <w:tab/>
        <w:t>254</w:t>
      </w:r>
    </w:p>
    <w:p w14:paraId="422E8B02" w14:textId="77777777" w:rsidR="00A91C73" w:rsidRDefault="00A91C73">
      <w:pPr>
        <w:pStyle w:val="Index1"/>
        <w:tabs>
          <w:tab w:val="right" w:leader="dot" w:pos="9350"/>
        </w:tabs>
        <w:rPr>
          <w:noProof/>
        </w:rPr>
      </w:pPr>
      <w:r>
        <w:rPr>
          <w:noProof/>
        </w:rPr>
        <w:t>Patient Testing: Enter Antibody Identification Results</w:t>
      </w:r>
      <w:r>
        <w:rPr>
          <w:noProof/>
        </w:rPr>
        <w:tab/>
        <w:t>297</w:t>
      </w:r>
    </w:p>
    <w:p w14:paraId="0E979B87" w14:textId="77777777" w:rsidR="00A91C73" w:rsidRDefault="00A91C73">
      <w:pPr>
        <w:pStyle w:val="Index1"/>
        <w:tabs>
          <w:tab w:val="right" w:leader="dot" w:pos="9350"/>
        </w:tabs>
        <w:rPr>
          <w:noProof/>
        </w:rPr>
      </w:pPr>
      <w:r>
        <w:rPr>
          <w:noProof/>
        </w:rPr>
        <w:t>Patient Testing: General Instructions</w:t>
      </w:r>
      <w:r>
        <w:rPr>
          <w:noProof/>
        </w:rPr>
        <w:tab/>
        <w:t>272</w:t>
      </w:r>
    </w:p>
    <w:p w14:paraId="69364EAD" w14:textId="77777777" w:rsidR="00A91C73" w:rsidRDefault="00A91C73">
      <w:pPr>
        <w:pStyle w:val="Index1"/>
        <w:tabs>
          <w:tab w:val="right" w:leader="dot" w:pos="9350"/>
        </w:tabs>
        <w:rPr>
          <w:noProof/>
        </w:rPr>
      </w:pPr>
      <w:r>
        <w:rPr>
          <w:noProof/>
        </w:rPr>
        <w:t>Patient Testing: Pending Task List</w:t>
      </w:r>
      <w:r>
        <w:rPr>
          <w:noProof/>
        </w:rPr>
        <w:tab/>
        <w:t>256</w:t>
      </w:r>
    </w:p>
    <w:p w14:paraId="63752B5F" w14:textId="77777777" w:rsidR="00A91C73" w:rsidRDefault="00A91C73">
      <w:pPr>
        <w:pStyle w:val="Index1"/>
        <w:tabs>
          <w:tab w:val="right" w:leader="dot" w:pos="9350"/>
        </w:tabs>
        <w:rPr>
          <w:noProof/>
        </w:rPr>
      </w:pPr>
      <w:r>
        <w:rPr>
          <w:noProof/>
        </w:rPr>
        <w:t>Patient Testing: Record a Crossmatch</w:t>
      </w:r>
      <w:r>
        <w:rPr>
          <w:noProof/>
        </w:rPr>
        <w:tab/>
        <w:t>286</w:t>
      </w:r>
    </w:p>
    <w:p w14:paraId="210DC444" w14:textId="77777777" w:rsidR="00A91C73" w:rsidRDefault="00A91C73">
      <w:pPr>
        <w:pStyle w:val="Index1"/>
        <w:tabs>
          <w:tab w:val="right" w:leader="dot" w:pos="9350"/>
        </w:tabs>
        <w:rPr>
          <w:noProof/>
        </w:rPr>
      </w:pPr>
      <w:r>
        <w:rPr>
          <w:noProof/>
        </w:rPr>
        <w:t>Patient Testing: Record a Direct Antiglobulin Test</w:t>
      </w:r>
      <w:r>
        <w:rPr>
          <w:noProof/>
        </w:rPr>
        <w:tab/>
        <w:t>283</w:t>
      </w:r>
    </w:p>
    <w:p w14:paraId="282F15A2" w14:textId="77777777" w:rsidR="00A91C73" w:rsidRDefault="00A91C73">
      <w:pPr>
        <w:pStyle w:val="Index1"/>
        <w:tabs>
          <w:tab w:val="right" w:leader="dot" w:pos="9350"/>
        </w:tabs>
        <w:rPr>
          <w:noProof/>
        </w:rPr>
      </w:pPr>
      <w:r>
        <w:rPr>
          <w:noProof/>
        </w:rPr>
        <w:t>Patient Testing: Record a Patient ABO/Rh</w:t>
      </w:r>
      <w:r>
        <w:rPr>
          <w:noProof/>
        </w:rPr>
        <w:tab/>
        <w:t>278</w:t>
      </w:r>
    </w:p>
    <w:p w14:paraId="315DB2C8" w14:textId="77777777" w:rsidR="00A91C73" w:rsidRDefault="00A91C73">
      <w:pPr>
        <w:pStyle w:val="Index1"/>
        <w:tabs>
          <w:tab w:val="right" w:leader="dot" w:pos="9350"/>
        </w:tabs>
        <w:rPr>
          <w:noProof/>
        </w:rPr>
      </w:pPr>
      <w:r>
        <w:rPr>
          <w:noProof/>
        </w:rPr>
        <w:t>Patient Testing: Record a Patient Antibody Screen</w:t>
      </w:r>
      <w:r>
        <w:rPr>
          <w:noProof/>
        </w:rPr>
        <w:tab/>
        <w:t>281</w:t>
      </w:r>
    </w:p>
    <w:p w14:paraId="72A06EB5" w14:textId="77777777" w:rsidR="00A91C73" w:rsidRDefault="00A91C73">
      <w:pPr>
        <w:pStyle w:val="Index1"/>
        <w:tabs>
          <w:tab w:val="right" w:leader="dot" w:pos="9350"/>
        </w:tabs>
        <w:rPr>
          <w:noProof/>
        </w:rPr>
      </w:pPr>
      <w:r>
        <w:rPr>
          <w:noProof/>
        </w:rPr>
        <w:t>Patient Testing: Record a Patient Antigen Typing</w:t>
      </w:r>
      <w:r>
        <w:rPr>
          <w:noProof/>
        </w:rPr>
        <w:tab/>
        <w:t>291</w:t>
      </w:r>
    </w:p>
    <w:p w14:paraId="0FC3FD9C" w14:textId="77777777" w:rsidR="00A91C73" w:rsidRDefault="00A91C73">
      <w:pPr>
        <w:pStyle w:val="Index1"/>
        <w:tabs>
          <w:tab w:val="right" w:leader="dot" w:pos="9350"/>
        </w:tabs>
        <w:rPr>
          <w:noProof/>
        </w:rPr>
      </w:pPr>
      <w:r>
        <w:rPr>
          <w:noProof/>
        </w:rPr>
        <w:t>Patient Testing: Record a Transfusion Reaction Workup</w:t>
      </w:r>
      <w:r>
        <w:rPr>
          <w:noProof/>
        </w:rPr>
        <w:tab/>
        <w:t>300</w:t>
      </w:r>
    </w:p>
    <w:p w14:paraId="6CE4F3DB" w14:textId="77777777" w:rsidR="00A91C73" w:rsidRDefault="00A91C73">
      <w:pPr>
        <w:pStyle w:val="Index1"/>
        <w:tabs>
          <w:tab w:val="right" w:leader="dot" w:pos="9350"/>
        </w:tabs>
        <w:rPr>
          <w:noProof/>
        </w:rPr>
      </w:pPr>
      <w:r>
        <w:rPr>
          <w:noProof/>
        </w:rPr>
        <w:t>Post-Transfusion Information</w:t>
      </w:r>
      <w:r>
        <w:rPr>
          <w:noProof/>
        </w:rPr>
        <w:tab/>
        <w:t>324</w:t>
      </w:r>
    </w:p>
    <w:p w14:paraId="266BFC84" w14:textId="77777777" w:rsidR="00A91C73" w:rsidRDefault="00A91C73">
      <w:pPr>
        <w:pStyle w:val="Index1"/>
        <w:tabs>
          <w:tab w:val="right" w:leader="dot" w:pos="9350"/>
        </w:tabs>
        <w:rPr>
          <w:noProof/>
        </w:rPr>
      </w:pPr>
      <w:r>
        <w:rPr>
          <w:noProof/>
        </w:rPr>
        <w:t>Print Backup Caution Tags and Blood Transfusion Record Forms</w:t>
      </w:r>
      <w:r>
        <w:rPr>
          <w:noProof/>
        </w:rPr>
        <w:tab/>
        <w:t>217</w:t>
      </w:r>
    </w:p>
    <w:p w14:paraId="17C3136C" w14:textId="77777777" w:rsidR="00A91C73" w:rsidRDefault="00A91C73">
      <w:pPr>
        <w:pStyle w:val="Index1"/>
        <w:tabs>
          <w:tab w:val="right" w:leader="dot" w:pos="9350"/>
        </w:tabs>
        <w:rPr>
          <w:noProof/>
        </w:rPr>
      </w:pPr>
      <w:r>
        <w:rPr>
          <w:noProof/>
        </w:rPr>
        <w:t>Processing an Emergency Transfusion Order</w:t>
      </w:r>
      <w:r>
        <w:rPr>
          <w:noProof/>
        </w:rPr>
        <w:tab/>
        <w:t>247</w:t>
      </w:r>
    </w:p>
    <w:p w14:paraId="31CCC3F1" w14:textId="77777777" w:rsidR="00A91C73" w:rsidRDefault="00A91C73">
      <w:pPr>
        <w:pStyle w:val="Index1"/>
        <w:tabs>
          <w:tab w:val="right" w:leader="dot" w:pos="9350"/>
        </w:tabs>
        <w:rPr>
          <w:noProof/>
        </w:rPr>
      </w:pPr>
      <w:r>
        <w:rPr>
          <w:noProof/>
        </w:rPr>
        <w:t>Processing Orders</w:t>
      </w:r>
      <w:r>
        <w:rPr>
          <w:noProof/>
        </w:rPr>
        <w:tab/>
        <w:t>234</w:t>
      </w:r>
    </w:p>
    <w:p w14:paraId="1785C6C0" w14:textId="77777777" w:rsidR="00A91C73" w:rsidRDefault="00A91C73">
      <w:pPr>
        <w:pStyle w:val="Index1"/>
        <w:tabs>
          <w:tab w:val="right" w:leader="dot" w:pos="9350"/>
        </w:tabs>
        <w:rPr>
          <w:noProof/>
        </w:rPr>
      </w:pPr>
      <w:r>
        <w:rPr>
          <w:noProof/>
        </w:rPr>
        <w:t>Product Modifications</w:t>
      </w:r>
      <w:r>
        <w:rPr>
          <w:noProof/>
        </w:rPr>
        <w:tab/>
        <w:t>56</w:t>
      </w:r>
    </w:p>
    <w:p w14:paraId="02267132" w14:textId="77777777" w:rsidR="00A91C73" w:rsidRDefault="00A91C73">
      <w:pPr>
        <w:pStyle w:val="Index1"/>
        <w:tabs>
          <w:tab w:val="right" w:leader="dot" w:pos="9350"/>
        </w:tabs>
        <w:rPr>
          <w:noProof/>
        </w:rPr>
      </w:pPr>
      <w:r>
        <w:rPr>
          <w:noProof/>
        </w:rPr>
        <w:t>Prolonged Transfusion Time Report</w:t>
      </w:r>
      <w:r>
        <w:rPr>
          <w:noProof/>
        </w:rPr>
        <w:tab/>
        <w:t>377</w:t>
      </w:r>
    </w:p>
    <w:p w14:paraId="17D13C8B"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Q</w:t>
      </w:r>
    </w:p>
    <w:p w14:paraId="510C6EDF" w14:textId="77777777" w:rsidR="00A91C73" w:rsidRDefault="00A91C73">
      <w:pPr>
        <w:pStyle w:val="Index1"/>
        <w:tabs>
          <w:tab w:val="right" w:leader="dot" w:pos="9350"/>
        </w:tabs>
        <w:rPr>
          <w:noProof/>
        </w:rPr>
      </w:pPr>
      <w:r>
        <w:rPr>
          <w:noProof/>
        </w:rPr>
        <w:t>Quick K Calculator</w:t>
      </w:r>
      <w:r>
        <w:rPr>
          <w:noProof/>
        </w:rPr>
        <w:tab/>
        <w:t>110</w:t>
      </w:r>
    </w:p>
    <w:p w14:paraId="650651B4"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R</w:t>
      </w:r>
    </w:p>
    <w:p w14:paraId="3E79476C" w14:textId="77777777" w:rsidR="00A91C73" w:rsidRDefault="00A91C73">
      <w:pPr>
        <w:pStyle w:val="Index1"/>
        <w:tabs>
          <w:tab w:val="right" w:leader="dot" w:pos="9350"/>
        </w:tabs>
        <w:rPr>
          <w:noProof/>
        </w:rPr>
      </w:pPr>
      <w:r>
        <w:rPr>
          <w:noProof/>
        </w:rPr>
        <w:t>Reagents and Supplies</w:t>
      </w:r>
      <w:r>
        <w:rPr>
          <w:noProof/>
        </w:rPr>
        <w:tab/>
        <w:t>82</w:t>
      </w:r>
    </w:p>
    <w:p w14:paraId="4DB5DCB1" w14:textId="77777777" w:rsidR="00A91C73" w:rsidRDefault="00A91C73">
      <w:pPr>
        <w:pStyle w:val="Index1"/>
        <w:tabs>
          <w:tab w:val="right" w:leader="dot" w:pos="9350"/>
        </w:tabs>
        <w:rPr>
          <w:noProof/>
        </w:rPr>
      </w:pPr>
      <w:r>
        <w:rPr>
          <w:noProof/>
        </w:rPr>
        <w:t>Recommended Report Usage</w:t>
      </w:r>
      <w:r>
        <w:rPr>
          <w:noProof/>
        </w:rPr>
        <w:tab/>
        <w:t>497</w:t>
      </w:r>
    </w:p>
    <w:p w14:paraId="54E03FB3" w14:textId="77777777" w:rsidR="00A91C73" w:rsidRDefault="00A91C73">
      <w:pPr>
        <w:pStyle w:val="Index1"/>
        <w:tabs>
          <w:tab w:val="right" w:leader="dot" w:pos="9350"/>
        </w:tabs>
        <w:rPr>
          <w:noProof/>
        </w:rPr>
      </w:pPr>
      <w:r>
        <w:rPr>
          <w:noProof/>
        </w:rPr>
        <w:t>References</w:t>
      </w:r>
      <w:r>
        <w:rPr>
          <w:noProof/>
        </w:rPr>
        <w:tab/>
        <w:t>390</w:t>
      </w:r>
    </w:p>
    <w:p w14:paraId="39F8A838" w14:textId="77777777" w:rsidR="00A91C73" w:rsidRDefault="00A91C73">
      <w:pPr>
        <w:pStyle w:val="Index1"/>
        <w:tabs>
          <w:tab w:val="right" w:leader="dot" w:pos="9350"/>
        </w:tabs>
        <w:rPr>
          <w:noProof/>
        </w:rPr>
      </w:pPr>
      <w:r>
        <w:rPr>
          <w:noProof/>
        </w:rPr>
        <w:t>Related Manuals and Materials</w:t>
      </w:r>
      <w:r>
        <w:rPr>
          <w:noProof/>
        </w:rPr>
        <w:tab/>
        <w:t>7</w:t>
      </w:r>
    </w:p>
    <w:p w14:paraId="135A3F4B"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S</w:t>
      </w:r>
    </w:p>
    <w:p w14:paraId="083AD6A6" w14:textId="77777777" w:rsidR="00A91C73" w:rsidRDefault="00A91C73">
      <w:pPr>
        <w:pStyle w:val="Index1"/>
        <w:tabs>
          <w:tab w:val="right" w:leader="dot" w:pos="9350"/>
        </w:tabs>
        <w:rPr>
          <w:noProof/>
        </w:rPr>
      </w:pPr>
      <w:r>
        <w:rPr>
          <w:noProof/>
        </w:rPr>
        <w:t>Screen Display</w:t>
      </w:r>
      <w:r>
        <w:rPr>
          <w:noProof/>
        </w:rPr>
        <w:tab/>
        <w:t>31</w:t>
      </w:r>
    </w:p>
    <w:p w14:paraId="54494CD6" w14:textId="77777777" w:rsidR="00A91C73" w:rsidRDefault="00A91C73">
      <w:pPr>
        <w:pStyle w:val="Index1"/>
        <w:tabs>
          <w:tab w:val="right" w:leader="dot" w:pos="9350"/>
        </w:tabs>
        <w:rPr>
          <w:noProof/>
        </w:rPr>
      </w:pPr>
      <w:r>
        <w:rPr>
          <w:noProof/>
        </w:rPr>
        <w:t>Search Tab</w:t>
      </w:r>
      <w:r>
        <w:rPr>
          <w:noProof/>
        </w:rPr>
        <w:tab/>
        <w:t>22</w:t>
      </w:r>
    </w:p>
    <w:p w14:paraId="1B157FDE" w14:textId="77777777" w:rsidR="00A91C73" w:rsidRDefault="00A91C73">
      <w:pPr>
        <w:pStyle w:val="Index1"/>
        <w:tabs>
          <w:tab w:val="right" w:leader="dot" w:pos="9350"/>
        </w:tabs>
        <w:rPr>
          <w:noProof/>
        </w:rPr>
      </w:pPr>
      <w:r>
        <w:rPr>
          <w:noProof/>
        </w:rPr>
        <w:t>Searching the Database</w:t>
      </w:r>
      <w:r>
        <w:rPr>
          <w:noProof/>
        </w:rPr>
        <w:tab/>
        <w:t>16</w:t>
      </w:r>
    </w:p>
    <w:p w14:paraId="22D71E20" w14:textId="77777777" w:rsidR="00A91C73" w:rsidRDefault="00A91C73">
      <w:pPr>
        <w:pStyle w:val="Index1"/>
        <w:tabs>
          <w:tab w:val="right" w:leader="dot" w:pos="9350"/>
        </w:tabs>
        <w:rPr>
          <w:noProof/>
        </w:rPr>
      </w:pPr>
      <w:r>
        <w:rPr>
          <w:noProof/>
        </w:rPr>
        <w:t>Security</w:t>
      </w:r>
      <w:r>
        <w:rPr>
          <w:noProof/>
        </w:rPr>
        <w:tab/>
        <w:t>9</w:t>
      </w:r>
    </w:p>
    <w:p w14:paraId="31AB6720" w14:textId="77777777" w:rsidR="00A91C73" w:rsidRDefault="00A91C73">
      <w:pPr>
        <w:pStyle w:val="Index1"/>
        <w:tabs>
          <w:tab w:val="right" w:leader="dot" w:pos="9350"/>
        </w:tabs>
        <w:rPr>
          <w:noProof/>
        </w:rPr>
      </w:pPr>
      <w:r w:rsidRPr="00CA76BD">
        <w:rPr>
          <w:b/>
          <w:noProof/>
        </w:rPr>
        <w:t>Service Desk</w:t>
      </w:r>
      <w:r>
        <w:rPr>
          <w:noProof/>
        </w:rPr>
        <w:tab/>
        <w:t>12</w:t>
      </w:r>
    </w:p>
    <w:p w14:paraId="17A004A1" w14:textId="77777777" w:rsidR="00A91C73" w:rsidRDefault="00A91C73">
      <w:pPr>
        <w:pStyle w:val="Index1"/>
        <w:tabs>
          <w:tab w:val="right" w:leader="dot" w:pos="9350"/>
        </w:tabs>
        <w:rPr>
          <w:noProof/>
        </w:rPr>
      </w:pPr>
      <w:r>
        <w:rPr>
          <w:noProof/>
        </w:rPr>
        <w:t>Setting Transfusion Parameters</w:t>
      </w:r>
      <w:r>
        <w:rPr>
          <w:noProof/>
        </w:rPr>
        <w:tab/>
        <w:t>73</w:t>
      </w:r>
    </w:p>
    <w:p w14:paraId="70DE4B55" w14:textId="77777777" w:rsidR="00A91C73" w:rsidRDefault="00A91C73">
      <w:pPr>
        <w:pStyle w:val="Index1"/>
        <w:tabs>
          <w:tab w:val="right" w:leader="dot" w:pos="9350"/>
        </w:tabs>
        <w:rPr>
          <w:noProof/>
        </w:rPr>
      </w:pPr>
      <w:r>
        <w:rPr>
          <w:noProof/>
        </w:rPr>
        <w:t>Shipments</w:t>
      </w:r>
      <w:r>
        <w:rPr>
          <w:noProof/>
        </w:rPr>
        <w:tab/>
        <w:t>109</w:t>
      </w:r>
    </w:p>
    <w:p w14:paraId="1AFCFA96" w14:textId="77777777" w:rsidR="00A91C73" w:rsidRDefault="00A91C73">
      <w:pPr>
        <w:pStyle w:val="Index1"/>
        <w:tabs>
          <w:tab w:val="right" w:leader="dot" w:pos="9350"/>
        </w:tabs>
        <w:rPr>
          <w:noProof/>
        </w:rPr>
      </w:pPr>
      <w:r>
        <w:rPr>
          <w:noProof/>
        </w:rPr>
        <w:t>Software Basics</w:t>
      </w:r>
      <w:r>
        <w:rPr>
          <w:noProof/>
        </w:rPr>
        <w:tab/>
        <w:t>13</w:t>
      </w:r>
    </w:p>
    <w:p w14:paraId="762605F6" w14:textId="77777777" w:rsidR="00A91C73" w:rsidRDefault="00A91C73">
      <w:pPr>
        <w:pStyle w:val="Index1"/>
        <w:tabs>
          <w:tab w:val="right" w:leader="dot" w:pos="9350"/>
        </w:tabs>
        <w:rPr>
          <w:noProof/>
        </w:rPr>
      </w:pPr>
      <w:r>
        <w:rPr>
          <w:noProof/>
        </w:rPr>
        <w:t>Special Instructions &amp; Transfusion Requirements: Enter and Remove Special Instructions</w:t>
      </w:r>
      <w:r>
        <w:rPr>
          <w:noProof/>
        </w:rPr>
        <w:tab/>
        <w:t>321</w:t>
      </w:r>
    </w:p>
    <w:p w14:paraId="2BBF946C" w14:textId="77777777" w:rsidR="00A91C73" w:rsidRDefault="00A91C73">
      <w:pPr>
        <w:pStyle w:val="Index1"/>
        <w:tabs>
          <w:tab w:val="right" w:leader="dot" w:pos="9350"/>
        </w:tabs>
        <w:rPr>
          <w:noProof/>
        </w:rPr>
      </w:pPr>
      <w:r>
        <w:rPr>
          <w:noProof/>
        </w:rPr>
        <w:t>Supplemental Information</w:t>
      </w:r>
      <w:r>
        <w:rPr>
          <w:noProof/>
        </w:rPr>
        <w:tab/>
        <w:t>9</w:t>
      </w:r>
    </w:p>
    <w:p w14:paraId="6FADB5FE" w14:textId="77777777" w:rsidR="00A91C73" w:rsidRDefault="00A91C73">
      <w:pPr>
        <w:pStyle w:val="Index1"/>
        <w:tabs>
          <w:tab w:val="right" w:leader="dot" w:pos="9350"/>
        </w:tabs>
        <w:rPr>
          <w:noProof/>
        </w:rPr>
      </w:pPr>
      <w:r>
        <w:rPr>
          <w:noProof/>
        </w:rPr>
        <w:t>Supplies</w:t>
      </w:r>
      <w:r>
        <w:rPr>
          <w:noProof/>
        </w:rPr>
        <w:tab/>
        <w:t>99</w:t>
      </w:r>
    </w:p>
    <w:p w14:paraId="762BCB67" w14:textId="77777777" w:rsidR="00A91C73" w:rsidRDefault="00A91C73">
      <w:pPr>
        <w:pStyle w:val="Index1"/>
        <w:tabs>
          <w:tab w:val="right" w:leader="dot" w:pos="9350"/>
        </w:tabs>
        <w:rPr>
          <w:noProof/>
        </w:rPr>
      </w:pPr>
      <w:r>
        <w:rPr>
          <w:noProof/>
        </w:rPr>
        <w:t>System Responses to Active Transfusion Requirements in Select Unit and Issue Blood Component</w:t>
      </w:r>
      <w:r>
        <w:rPr>
          <w:noProof/>
        </w:rPr>
        <w:tab/>
        <w:t>500</w:t>
      </w:r>
    </w:p>
    <w:p w14:paraId="0927319F" w14:textId="77777777" w:rsidR="00A91C73" w:rsidRDefault="00A91C73">
      <w:pPr>
        <w:pStyle w:val="Index1"/>
        <w:tabs>
          <w:tab w:val="right" w:leader="dot" w:pos="9350"/>
        </w:tabs>
        <w:rPr>
          <w:noProof/>
        </w:rPr>
      </w:pPr>
      <w:r>
        <w:rPr>
          <w:noProof/>
        </w:rPr>
        <w:t>System Validation</w:t>
      </w:r>
    </w:p>
    <w:p w14:paraId="3FA75656" w14:textId="77777777" w:rsidR="00A91C73" w:rsidRDefault="00A91C73">
      <w:pPr>
        <w:pStyle w:val="Index2"/>
        <w:tabs>
          <w:tab w:val="right" w:leader="dot" w:pos="9350"/>
        </w:tabs>
        <w:rPr>
          <w:noProof/>
        </w:rPr>
      </w:pPr>
      <w:r w:rsidRPr="00CA76BD">
        <w:rPr>
          <w:noProof/>
          <w:snapToGrid w:val="0"/>
        </w:rPr>
        <w:t>Antibodies</w:t>
      </w:r>
      <w:r>
        <w:rPr>
          <w:noProof/>
        </w:rPr>
        <w:tab/>
        <w:t>481</w:t>
      </w:r>
    </w:p>
    <w:p w14:paraId="11A7F637" w14:textId="77777777" w:rsidR="00A91C73" w:rsidRDefault="00A91C73">
      <w:pPr>
        <w:pStyle w:val="Index2"/>
        <w:tabs>
          <w:tab w:val="right" w:leader="dot" w:pos="9350"/>
        </w:tabs>
        <w:rPr>
          <w:noProof/>
        </w:rPr>
      </w:pPr>
      <w:r>
        <w:rPr>
          <w:noProof/>
        </w:rPr>
        <w:t>Blood Products</w:t>
      </w:r>
      <w:r>
        <w:rPr>
          <w:noProof/>
        </w:rPr>
        <w:tab/>
        <w:t>475</w:t>
      </w:r>
    </w:p>
    <w:p w14:paraId="739D4EB4" w14:textId="77777777" w:rsidR="00A91C73" w:rsidRDefault="00A91C73">
      <w:pPr>
        <w:pStyle w:val="Index2"/>
        <w:tabs>
          <w:tab w:val="right" w:leader="dot" w:pos="9350"/>
        </w:tabs>
        <w:rPr>
          <w:noProof/>
        </w:rPr>
      </w:pPr>
      <w:r w:rsidRPr="00CA76BD">
        <w:rPr>
          <w:noProof/>
          <w:snapToGrid w:val="0"/>
        </w:rPr>
        <w:t xml:space="preserve">Canned </w:t>
      </w:r>
      <w:r>
        <w:rPr>
          <w:noProof/>
        </w:rPr>
        <w:t>Comments</w:t>
      </w:r>
      <w:r>
        <w:rPr>
          <w:noProof/>
        </w:rPr>
        <w:tab/>
        <w:t>480</w:t>
      </w:r>
    </w:p>
    <w:p w14:paraId="74E14E77" w14:textId="77777777" w:rsidR="00A91C73" w:rsidRDefault="00A91C73">
      <w:pPr>
        <w:pStyle w:val="Index2"/>
        <w:tabs>
          <w:tab w:val="right" w:leader="dot" w:pos="9350"/>
        </w:tabs>
        <w:rPr>
          <w:noProof/>
        </w:rPr>
      </w:pPr>
      <w:r>
        <w:rPr>
          <w:noProof/>
        </w:rPr>
        <w:t>Component Classes</w:t>
      </w:r>
      <w:r>
        <w:rPr>
          <w:noProof/>
        </w:rPr>
        <w:tab/>
        <w:t>477</w:t>
      </w:r>
    </w:p>
    <w:p w14:paraId="028C2DD6" w14:textId="77777777" w:rsidR="00A91C73" w:rsidRDefault="00A91C73">
      <w:pPr>
        <w:pStyle w:val="Index2"/>
        <w:tabs>
          <w:tab w:val="right" w:leader="dot" w:pos="9350"/>
        </w:tabs>
        <w:rPr>
          <w:noProof/>
        </w:rPr>
      </w:pPr>
      <w:r>
        <w:rPr>
          <w:noProof/>
        </w:rPr>
        <w:t>Configure Daily QC: Full Service</w:t>
      </w:r>
      <w:r>
        <w:rPr>
          <w:noProof/>
        </w:rPr>
        <w:tab/>
        <w:t>472</w:t>
      </w:r>
    </w:p>
    <w:p w14:paraId="56C70EEE" w14:textId="77777777" w:rsidR="00A91C73" w:rsidRDefault="00A91C73">
      <w:pPr>
        <w:pStyle w:val="Index2"/>
        <w:tabs>
          <w:tab w:val="right" w:leader="dot" w:pos="9350"/>
        </w:tabs>
        <w:rPr>
          <w:noProof/>
        </w:rPr>
      </w:pPr>
      <w:r>
        <w:rPr>
          <w:noProof/>
        </w:rPr>
        <w:t>Configure Division</w:t>
      </w:r>
      <w:r>
        <w:rPr>
          <w:noProof/>
        </w:rPr>
        <w:tab/>
        <w:t>469</w:t>
      </w:r>
    </w:p>
    <w:p w14:paraId="2D94B667" w14:textId="77777777" w:rsidR="00A91C73" w:rsidRDefault="00A91C73">
      <w:pPr>
        <w:pStyle w:val="Index2"/>
        <w:tabs>
          <w:tab w:val="right" w:leader="dot" w:pos="9350"/>
        </w:tabs>
        <w:rPr>
          <w:noProof/>
        </w:rPr>
      </w:pPr>
      <w:r>
        <w:rPr>
          <w:noProof/>
        </w:rPr>
        <w:t>Configure Testing: Full Service</w:t>
      </w:r>
      <w:r>
        <w:rPr>
          <w:noProof/>
        </w:rPr>
        <w:tab/>
        <w:t>469</w:t>
      </w:r>
    </w:p>
    <w:p w14:paraId="3D265427" w14:textId="77777777" w:rsidR="00A91C73" w:rsidRDefault="00A91C73">
      <w:pPr>
        <w:pStyle w:val="Index2"/>
        <w:tabs>
          <w:tab w:val="right" w:leader="dot" w:pos="9350"/>
        </w:tabs>
        <w:rPr>
          <w:noProof/>
        </w:rPr>
      </w:pPr>
      <w:r w:rsidRPr="00CA76BD">
        <w:rPr>
          <w:noProof/>
          <w:snapToGrid w:val="0"/>
        </w:rPr>
        <w:t>Edit Invoice Text</w:t>
      </w:r>
      <w:r>
        <w:rPr>
          <w:noProof/>
        </w:rPr>
        <w:tab/>
        <w:t>480</w:t>
      </w:r>
    </w:p>
    <w:p w14:paraId="027721A1" w14:textId="77777777" w:rsidR="00A91C73" w:rsidRDefault="00A91C73">
      <w:pPr>
        <w:pStyle w:val="Index2"/>
        <w:tabs>
          <w:tab w:val="right" w:leader="dot" w:pos="9350"/>
        </w:tabs>
        <w:rPr>
          <w:noProof/>
        </w:rPr>
      </w:pPr>
      <w:r>
        <w:rPr>
          <w:noProof/>
        </w:rPr>
        <w:t>Installation Qualification</w:t>
      </w:r>
      <w:r>
        <w:rPr>
          <w:noProof/>
        </w:rPr>
        <w:tab/>
        <w:t>467</w:t>
      </w:r>
    </w:p>
    <w:p w14:paraId="2F51DF94" w14:textId="77777777" w:rsidR="00A91C73" w:rsidRDefault="00A91C73">
      <w:pPr>
        <w:pStyle w:val="Index2"/>
        <w:tabs>
          <w:tab w:val="right" w:leader="dot" w:pos="9350"/>
        </w:tabs>
        <w:rPr>
          <w:noProof/>
        </w:rPr>
      </w:pPr>
      <w:r>
        <w:rPr>
          <w:noProof/>
        </w:rPr>
        <w:t>Introduction</w:t>
      </w:r>
      <w:r>
        <w:rPr>
          <w:noProof/>
        </w:rPr>
        <w:tab/>
        <w:t>467</w:t>
      </w:r>
    </w:p>
    <w:p w14:paraId="72FAEC2F" w14:textId="77777777" w:rsidR="00A91C73" w:rsidRDefault="00A91C73">
      <w:pPr>
        <w:pStyle w:val="Index2"/>
        <w:tabs>
          <w:tab w:val="right" w:leader="dot" w:pos="9350"/>
        </w:tabs>
        <w:rPr>
          <w:noProof/>
        </w:rPr>
      </w:pPr>
      <w:r>
        <w:rPr>
          <w:noProof/>
        </w:rPr>
        <w:t>Local Facilities</w:t>
      </w:r>
      <w:r>
        <w:rPr>
          <w:noProof/>
        </w:rPr>
        <w:tab/>
        <w:t>476</w:t>
      </w:r>
    </w:p>
    <w:p w14:paraId="1F43B97E" w14:textId="77777777" w:rsidR="00A91C73" w:rsidRDefault="00A91C73">
      <w:pPr>
        <w:pStyle w:val="Index2"/>
        <w:tabs>
          <w:tab w:val="right" w:leader="dot" w:pos="9350"/>
        </w:tabs>
        <w:rPr>
          <w:noProof/>
        </w:rPr>
      </w:pPr>
      <w:r>
        <w:rPr>
          <w:noProof/>
        </w:rPr>
        <w:t>Log In Reagents: Full Service</w:t>
      </w:r>
      <w:r>
        <w:rPr>
          <w:noProof/>
        </w:rPr>
        <w:tab/>
        <w:t>474</w:t>
      </w:r>
    </w:p>
    <w:p w14:paraId="042FD857" w14:textId="77777777" w:rsidR="00A91C73" w:rsidRDefault="00A91C73">
      <w:pPr>
        <w:pStyle w:val="Index2"/>
        <w:tabs>
          <w:tab w:val="right" w:leader="dot" w:pos="9350"/>
        </w:tabs>
        <w:rPr>
          <w:noProof/>
        </w:rPr>
      </w:pPr>
      <w:r>
        <w:rPr>
          <w:noProof/>
        </w:rPr>
        <w:t>Maintain Minimum Levels: Full Service</w:t>
      </w:r>
      <w:r>
        <w:rPr>
          <w:noProof/>
        </w:rPr>
        <w:tab/>
        <w:t>473</w:t>
      </w:r>
    </w:p>
    <w:p w14:paraId="3A8B329C" w14:textId="77777777" w:rsidR="00A91C73" w:rsidRDefault="00A91C73">
      <w:pPr>
        <w:pStyle w:val="Index2"/>
        <w:tabs>
          <w:tab w:val="right" w:leader="dot" w:pos="9350"/>
        </w:tabs>
        <w:rPr>
          <w:noProof/>
        </w:rPr>
      </w:pPr>
      <w:r>
        <w:rPr>
          <w:noProof/>
        </w:rPr>
        <w:t>MSBOS</w:t>
      </w:r>
      <w:r>
        <w:rPr>
          <w:noProof/>
        </w:rPr>
        <w:tab/>
        <w:t>480</w:t>
      </w:r>
    </w:p>
    <w:p w14:paraId="09215C92" w14:textId="77777777" w:rsidR="00A91C73" w:rsidRDefault="00A91C73">
      <w:pPr>
        <w:pStyle w:val="Index2"/>
        <w:tabs>
          <w:tab w:val="right" w:leader="dot" w:pos="9350"/>
        </w:tabs>
        <w:rPr>
          <w:noProof/>
        </w:rPr>
      </w:pPr>
      <w:r>
        <w:rPr>
          <w:noProof/>
        </w:rPr>
        <w:t>Operational Qualification</w:t>
      </w:r>
      <w:r>
        <w:rPr>
          <w:noProof/>
        </w:rPr>
        <w:tab/>
        <w:t>467</w:t>
      </w:r>
    </w:p>
    <w:p w14:paraId="5FE914F8" w14:textId="77777777" w:rsidR="00A91C73" w:rsidRDefault="00A91C73">
      <w:pPr>
        <w:pStyle w:val="Index2"/>
        <w:tabs>
          <w:tab w:val="right" w:leader="dot" w:pos="9350"/>
        </w:tabs>
        <w:rPr>
          <w:noProof/>
        </w:rPr>
      </w:pPr>
      <w:r>
        <w:rPr>
          <w:noProof/>
        </w:rPr>
        <w:t>Order Alerts</w:t>
      </w:r>
      <w:r>
        <w:rPr>
          <w:noProof/>
        </w:rPr>
        <w:tab/>
        <w:t>471</w:t>
      </w:r>
    </w:p>
    <w:p w14:paraId="0BD65653" w14:textId="77777777" w:rsidR="00A91C73" w:rsidRDefault="00A91C73">
      <w:pPr>
        <w:pStyle w:val="Index2"/>
        <w:tabs>
          <w:tab w:val="right" w:leader="dot" w:pos="9350"/>
        </w:tabs>
        <w:rPr>
          <w:noProof/>
        </w:rPr>
      </w:pPr>
      <w:r>
        <w:rPr>
          <w:noProof/>
        </w:rPr>
        <w:t>Performance Qualification</w:t>
      </w:r>
      <w:r>
        <w:rPr>
          <w:noProof/>
        </w:rPr>
        <w:tab/>
        <w:t>468</w:t>
      </w:r>
    </w:p>
    <w:p w14:paraId="38BA54AB" w14:textId="77777777" w:rsidR="00A91C73" w:rsidRDefault="00A91C73">
      <w:pPr>
        <w:pStyle w:val="Index2"/>
        <w:tabs>
          <w:tab w:val="right" w:leader="dot" w:pos="9350"/>
        </w:tabs>
        <w:rPr>
          <w:noProof/>
        </w:rPr>
      </w:pPr>
      <w:r>
        <w:rPr>
          <w:noProof/>
        </w:rPr>
        <w:t>Product Modifications: Full Service</w:t>
      </w:r>
      <w:r>
        <w:rPr>
          <w:noProof/>
        </w:rPr>
        <w:tab/>
        <w:t>470</w:t>
      </w:r>
    </w:p>
    <w:p w14:paraId="5F4EE588" w14:textId="77777777" w:rsidR="00A91C73" w:rsidRDefault="00A91C73">
      <w:pPr>
        <w:pStyle w:val="Index2"/>
        <w:tabs>
          <w:tab w:val="right" w:leader="dot" w:pos="9350"/>
        </w:tabs>
        <w:rPr>
          <w:noProof/>
        </w:rPr>
      </w:pPr>
      <w:r>
        <w:rPr>
          <w:noProof/>
        </w:rPr>
        <w:t>Record System Settings</w:t>
      </w:r>
      <w:r>
        <w:rPr>
          <w:noProof/>
        </w:rPr>
        <w:tab/>
        <w:t>469</w:t>
      </w:r>
    </w:p>
    <w:p w14:paraId="70C88232" w14:textId="77777777" w:rsidR="00A91C73" w:rsidRDefault="00A91C73">
      <w:pPr>
        <w:pStyle w:val="Index2"/>
        <w:tabs>
          <w:tab w:val="right" w:leader="dot" w:pos="9350"/>
        </w:tabs>
        <w:rPr>
          <w:noProof/>
        </w:rPr>
      </w:pPr>
      <w:r w:rsidRPr="00CA76BD">
        <w:rPr>
          <w:noProof/>
          <w:snapToGrid w:val="0"/>
        </w:rPr>
        <w:t>Testing</w:t>
      </w:r>
      <w:r>
        <w:rPr>
          <w:noProof/>
        </w:rPr>
        <w:tab/>
        <w:t>482</w:t>
      </w:r>
    </w:p>
    <w:p w14:paraId="5737B8AA" w14:textId="77777777" w:rsidR="00A91C73" w:rsidRDefault="00A91C73">
      <w:pPr>
        <w:pStyle w:val="Index2"/>
        <w:tabs>
          <w:tab w:val="right" w:leader="dot" w:pos="9350"/>
        </w:tabs>
        <w:rPr>
          <w:noProof/>
        </w:rPr>
      </w:pPr>
      <w:r>
        <w:rPr>
          <w:noProof/>
        </w:rPr>
        <w:t>Transfusion Complications</w:t>
      </w:r>
      <w:r>
        <w:rPr>
          <w:noProof/>
        </w:rPr>
        <w:tab/>
        <w:t>478</w:t>
      </w:r>
    </w:p>
    <w:p w14:paraId="0FB43F62" w14:textId="77777777" w:rsidR="00A91C73" w:rsidRDefault="00A91C73">
      <w:pPr>
        <w:pStyle w:val="Index2"/>
        <w:tabs>
          <w:tab w:val="right" w:leader="dot" w:pos="9350"/>
        </w:tabs>
        <w:rPr>
          <w:noProof/>
        </w:rPr>
      </w:pPr>
      <w:r>
        <w:rPr>
          <w:noProof/>
        </w:rPr>
        <w:t>Transfusion Effectiveness</w:t>
      </w:r>
      <w:r>
        <w:rPr>
          <w:noProof/>
        </w:rPr>
        <w:tab/>
        <w:t>479</w:t>
      </w:r>
    </w:p>
    <w:p w14:paraId="10F03C1D" w14:textId="77777777" w:rsidR="00A91C73" w:rsidRDefault="00A91C73">
      <w:pPr>
        <w:pStyle w:val="Index2"/>
        <w:tabs>
          <w:tab w:val="right" w:leader="dot" w:pos="9350"/>
        </w:tabs>
        <w:rPr>
          <w:noProof/>
        </w:rPr>
      </w:pPr>
      <w:r>
        <w:rPr>
          <w:noProof/>
        </w:rPr>
        <w:t>Update User Roles</w:t>
      </w:r>
      <w:r>
        <w:rPr>
          <w:noProof/>
        </w:rPr>
        <w:tab/>
        <w:t>482</w:t>
      </w:r>
    </w:p>
    <w:p w14:paraId="6B3EF023" w14:textId="77777777" w:rsidR="00A91C73" w:rsidRDefault="00A91C73">
      <w:pPr>
        <w:pStyle w:val="Index2"/>
        <w:tabs>
          <w:tab w:val="right" w:leader="dot" w:pos="9350"/>
        </w:tabs>
        <w:rPr>
          <w:noProof/>
        </w:rPr>
      </w:pPr>
      <w:r>
        <w:rPr>
          <w:noProof/>
        </w:rPr>
        <w:t>Validation Plan</w:t>
      </w:r>
      <w:r>
        <w:rPr>
          <w:noProof/>
        </w:rPr>
        <w:tab/>
        <w:t>467</w:t>
      </w:r>
    </w:p>
    <w:p w14:paraId="688F531E" w14:textId="77777777" w:rsidR="00A91C73" w:rsidRDefault="00A91C73">
      <w:pPr>
        <w:pStyle w:val="Index2"/>
        <w:tabs>
          <w:tab w:val="right" w:leader="dot" w:pos="9350"/>
        </w:tabs>
        <w:rPr>
          <w:noProof/>
        </w:rPr>
      </w:pPr>
      <w:r>
        <w:rPr>
          <w:noProof/>
        </w:rPr>
        <w:t>VBECS Forms and Reports</w:t>
      </w:r>
      <w:r>
        <w:rPr>
          <w:noProof/>
        </w:rPr>
        <w:tab/>
        <w:t>483</w:t>
      </w:r>
    </w:p>
    <w:p w14:paraId="5D748F05" w14:textId="77777777" w:rsidR="00A91C73" w:rsidRDefault="00A91C73">
      <w:pPr>
        <w:pStyle w:val="Index2"/>
        <w:tabs>
          <w:tab w:val="right" w:leader="dot" w:pos="9350"/>
        </w:tabs>
        <w:rPr>
          <w:noProof/>
        </w:rPr>
      </w:pPr>
      <w:r w:rsidRPr="00CA76BD">
        <w:rPr>
          <w:noProof/>
          <w:snapToGrid w:val="0"/>
        </w:rPr>
        <w:t>Workload Codes</w:t>
      </w:r>
      <w:r>
        <w:rPr>
          <w:noProof/>
        </w:rPr>
        <w:tab/>
        <w:t>480</w:t>
      </w:r>
    </w:p>
    <w:p w14:paraId="5B9FACF3" w14:textId="77777777" w:rsidR="00A91C73" w:rsidRDefault="00A91C73">
      <w:pPr>
        <w:pStyle w:val="Index1"/>
        <w:tabs>
          <w:tab w:val="right" w:leader="dot" w:pos="9350"/>
        </w:tabs>
        <w:rPr>
          <w:noProof/>
        </w:rPr>
      </w:pPr>
      <w:r>
        <w:rPr>
          <w:noProof/>
        </w:rPr>
        <w:t>System Validation</w:t>
      </w:r>
      <w:r>
        <w:rPr>
          <w:noProof/>
        </w:rPr>
        <w:tab/>
        <w:t>467</w:t>
      </w:r>
    </w:p>
    <w:p w14:paraId="17BAC2F7"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T</w:t>
      </w:r>
    </w:p>
    <w:p w14:paraId="72D64BA7" w14:textId="77777777" w:rsidR="00A91C73" w:rsidRDefault="00A91C73">
      <w:pPr>
        <w:pStyle w:val="Index1"/>
        <w:tabs>
          <w:tab w:val="right" w:leader="dot" w:pos="9350"/>
        </w:tabs>
        <w:rPr>
          <w:noProof/>
        </w:rPr>
      </w:pPr>
      <w:r>
        <w:rPr>
          <w:noProof/>
        </w:rPr>
        <w:t>Tables</w:t>
      </w:r>
    </w:p>
    <w:p w14:paraId="22214247" w14:textId="77777777" w:rsidR="00A91C73" w:rsidRDefault="00A91C73">
      <w:pPr>
        <w:pStyle w:val="Index2"/>
        <w:tabs>
          <w:tab w:val="right" w:leader="dot" w:pos="9350"/>
        </w:tabs>
        <w:rPr>
          <w:noProof/>
        </w:rPr>
      </w:pPr>
      <w:r>
        <w:rPr>
          <w:noProof/>
        </w:rPr>
        <w:t>Alerts That May Occur in Issue Blood Components (Emergency)</w:t>
      </w:r>
      <w:r>
        <w:rPr>
          <w:noProof/>
        </w:rPr>
        <w:tab/>
        <w:t>207</w:t>
      </w:r>
    </w:p>
    <w:p w14:paraId="70F853F7" w14:textId="77777777" w:rsidR="00A91C73" w:rsidRDefault="00A91C73">
      <w:pPr>
        <w:pStyle w:val="Index2"/>
        <w:tabs>
          <w:tab w:val="right" w:leader="dot" w:pos="9350"/>
        </w:tabs>
        <w:rPr>
          <w:noProof/>
        </w:rPr>
      </w:pPr>
      <w:r>
        <w:rPr>
          <w:noProof/>
        </w:rPr>
        <w:t>Alerts That May Occur in Issue Blood Components (Routine)</w:t>
      </w:r>
      <w:r>
        <w:rPr>
          <w:noProof/>
        </w:rPr>
        <w:tab/>
        <w:t>205</w:t>
      </w:r>
    </w:p>
    <w:p w14:paraId="01BA1116" w14:textId="77777777" w:rsidR="00A91C73" w:rsidRDefault="00A91C73">
      <w:pPr>
        <w:pStyle w:val="Index2"/>
        <w:tabs>
          <w:tab w:val="right" w:leader="dot" w:pos="9350"/>
        </w:tabs>
        <w:rPr>
          <w:noProof/>
        </w:rPr>
      </w:pPr>
      <w:r>
        <w:rPr>
          <w:noProof/>
        </w:rPr>
        <w:t>Alerts That May Occur in Patient Testing</w:t>
      </w:r>
    </w:p>
    <w:p w14:paraId="5A2E3143" w14:textId="77777777" w:rsidR="00A91C73" w:rsidRDefault="00A91C73">
      <w:pPr>
        <w:pStyle w:val="Index3"/>
        <w:tabs>
          <w:tab w:val="right" w:leader="dot" w:pos="9350"/>
        </w:tabs>
        <w:rPr>
          <w:noProof/>
        </w:rPr>
      </w:pPr>
      <w:r>
        <w:rPr>
          <w:noProof/>
        </w:rPr>
        <w:t>General Instructions</w:t>
      </w:r>
      <w:r>
        <w:rPr>
          <w:noProof/>
        </w:rPr>
        <w:tab/>
        <w:t>276</w:t>
      </w:r>
    </w:p>
    <w:p w14:paraId="3924C0FE" w14:textId="77777777" w:rsidR="00A91C73" w:rsidRDefault="00A91C73">
      <w:pPr>
        <w:pStyle w:val="Index2"/>
        <w:tabs>
          <w:tab w:val="right" w:leader="dot" w:pos="9350"/>
        </w:tabs>
        <w:rPr>
          <w:noProof/>
        </w:rPr>
      </w:pPr>
      <w:r>
        <w:rPr>
          <w:noProof/>
        </w:rPr>
        <w:t>Alerts That May Occur in Print Unit Caution Tag &amp; Transfusion Record Form</w:t>
      </w:r>
      <w:r>
        <w:rPr>
          <w:noProof/>
        </w:rPr>
        <w:tab/>
        <w:t>223</w:t>
      </w:r>
    </w:p>
    <w:p w14:paraId="520C9F19" w14:textId="77777777" w:rsidR="00A91C73" w:rsidRDefault="00A91C73">
      <w:pPr>
        <w:pStyle w:val="Index2"/>
        <w:tabs>
          <w:tab w:val="right" w:leader="dot" w:pos="9350"/>
        </w:tabs>
        <w:rPr>
          <w:noProof/>
        </w:rPr>
      </w:pPr>
      <w:r>
        <w:rPr>
          <w:noProof/>
        </w:rPr>
        <w:t>Alerts That May Occur in Select Units</w:t>
      </w:r>
      <w:r>
        <w:rPr>
          <w:noProof/>
        </w:rPr>
        <w:tab/>
        <w:t>192</w:t>
      </w:r>
    </w:p>
    <w:p w14:paraId="49405F38" w14:textId="77777777" w:rsidR="00A91C73" w:rsidRDefault="00A91C73">
      <w:pPr>
        <w:pStyle w:val="Index2"/>
        <w:tabs>
          <w:tab w:val="right" w:leader="dot" w:pos="9350"/>
        </w:tabs>
        <w:rPr>
          <w:noProof/>
        </w:rPr>
      </w:pPr>
      <w:r>
        <w:rPr>
          <w:noProof/>
        </w:rPr>
        <w:t>Allowable Product Modifications by Original Product Type</w:t>
      </w:r>
      <w:r>
        <w:rPr>
          <w:noProof/>
        </w:rPr>
        <w:tab/>
        <w:t>428</w:t>
      </w:r>
    </w:p>
    <w:p w14:paraId="4591B8B7" w14:textId="77777777" w:rsidR="00A91C73" w:rsidRDefault="00A91C73">
      <w:pPr>
        <w:pStyle w:val="Index2"/>
        <w:tabs>
          <w:tab w:val="right" w:leader="dot" w:pos="9350"/>
        </w:tabs>
        <w:rPr>
          <w:noProof/>
        </w:rPr>
      </w:pPr>
      <w:r>
        <w:rPr>
          <w:noProof/>
        </w:rPr>
        <w:t>Antibody and Antigen Table, Database Conversion</w:t>
      </w:r>
      <w:r>
        <w:rPr>
          <w:noProof/>
        </w:rPr>
        <w:tab/>
        <w:t>414</w:t>
      </w:r>
    </w:p>
    <w:p w14:paraId="0268285D" w14:textId="77777777" w:rsidR="00A91C73" w:rsidRDefault="00A91C73">
      <w:pPr>
        <w:pStyle w:val="Index2"/>
        <w:tabs>
          <w:tab w:val="right" w:leader="dot" w:pos="9350"/>
        </w:tabs>
        <w:rPr>
          <w:noProof/>
        </w:rPr>
      </w:pPr>
      <w:r>
        <w:rPr>
          <w:noProof/>
        </w:rPr>
        <w:t>Antibody and Antigen Table, Irregular Antibodies</w:t>
      </w:r>
      <w:r>
        <w:rPr>
          <w:noProof/>
        </w:rPr>
        <w:tab/>
        <w:t>411</w:t>
      </w:r>
    </w:p>
    <w:p w14:paraId="70E13021" w14:textId="77777777" w:rsidR="00A91C73" w:rsidRDefault="00A91C73">
      <w:pPr>
        <w:pStyle w:val="Index2"/>
        <w:tabs>
          <w:tab w:val="right" w:leader="dot" w:pos="9350"/>
        </w:tabs>
        <w:rPr>
          <w:noProof/>
        </w:rPr>
      </w:pPr>
      <w:r>
        <w:rPr>
          <w:noProof/>
        </w:rPr>
        <w:t>Antibody Screen Test Interpretation</w:t>
      </w:r>
      <w:r>
        <w:rPr>
          <w:noProof/>
        </w:rPr>
        <w:tab/>
        <w:t>415</w:t>
      </w:r>
    </w:p>
    <w:p w14:paraId="0A00529D" w14:textId="77777777" w:rsidR="00A91C73" w:rsidRDefault="00A91C73">
      <w:pPr>
        <w:pStyle w:val="Index2"/>
        <w:tabs>
          <w:tab w:val="right" w:leader="dot" w:pos="9350"/>
        </w:tabs>
        <w:rPr>
          <w:noProof/>
        </w:rPr>
      </w:pPr>
      <w:r>
        <w:rPr>
          <w:noProof/>
        </w:rPr>
        <w:t>BCE COTS Message Updates</w:t>
      </w:r>
      <w:r>
        <w:rPr>
          <w:noProof/>
        </w:rPr>
        <w:tab/>
        <w:t>434</w:t>
      </w:r>
    </w:p>
    <w:p w14:paraId="496DF560" w14:textId="77777777" w:rsidR="00A91C73" w:rsidRDefault="00A91C73">
      <w:pPr>
        <w:pStyle w:val="Index2"/>
        <w:tabs>
          <w:tab w:val="right" w:leader="dot" w:pos="9350"/>
        </w:tabs>
        <w:rPr>
          <w:noProof/>
        </w:rPr>
      </w:pPr>
      <w:r>
        <w:rPr>
          <w:noProof/>
        </w:rPr>
        <w:t>Blood Products Worksheet</w:t>
      </w:r>
      <w:r>
        <w:rPr>
          <w:noProof/>
        </w:rPr>
        <w:tab/>
        <w:t>475</w:t>
      </w:r>
    </w:p>
    <w:p w14:paraId="1A6B4163" w14:textId="77777777" w:rsidR="00A91C73" w:rsidRDefault="00A91C73">
      <w:pPr>
        <w:pStyle w:val="Index2"/>
        <w:tabs>
          <w:tab w:val="right" w:leader="dot" w:pos="9350"/>
        </w:tabs>
        <w:rPr>
          <w:noProof/>
        </w:rPr>
      </w:pPr>
      <w:r w:rsidRPr="00CA76BD">
        <w:rPr>
          <w:rFonts w:ascii="Arial" w:hAnsi="Arial" w:cs="Arial"/>
          <w:noProof/>
        </w:rPr>
        <w:t>Canned Comment Category Types and Text</w:t>
      </w:r>
      <w:r>
        <w:rPr>
          <w:noProof/>
        </w:rPr>
        <w:tab/>
        <w:t>415</w:t>
      </w:r>
    </w:p>
    <w:p w14:paraId="1FB840D1" w14:textId="77777777" w:rsidR="00A91C73" w:rsidRDefault="00A91C73">
      <w:pPr>
        <w:pStyle w:val="Index2"/>
        <w:tabs>
          <w:tab w:val="right" w:leader="dot" w:pos="9350"/>
        </w:tabs>
        <w:rPr>
          <w:noProof/>
        </w:rPr>
      </w:pPr>
      <w:r>
        <w:rPr>
          <w:noProof/>
        </w:rPr>
        <w:t>Component Class Requirements Worksheet</w:t>
      </w:r>
      <w:r>
        <w:rPr>
          <w:noProof/>
        </w:rPr>
        <w:tab/>
        <w:t>477</w:t>
      </w:r>
    </w:p>
    <w:p w14:paraId="7A9B6132" w14:textId="77777777" w:rsidR="00A91C73" w:rsidRDefault="00A91C73">
      <w:pPr>
        <w:pStyle w:val="Index2"/>
        <w:tabs>
          <w:tab w:val="right" w:leader="dot" w:pos="9350"/>
        </w:tabs>
        <w:rPr>
          <w:noProof/>
        </w:rPr>
      </w:pPr>
      <w:r>
        <w:rPr>
          <w:noProof/>
        </w:rPr>
        <w:t>CPRS Orderable Blood Components (Component Classes) Mapped to ICCBBA Component Classes</w:t>
      </w:r>
      <w:r>
        <w:rPr>
          <w:noProof/>
        </w:rPr>
        <w:tab/>
        <w:t>421</w:t>
      </w:r>
    </w:p>
    <w:p w14:paraId="35ECC21C" w14:textId="77777777" w:rsidR="00A91C73" w:rsidRDefault="00A91C73">
      <w:pPr>
        <w:pStyle w:val="Index2"/>
        <w:tabs>
          <w:tab w:val="right" w:leader="dot" w:pos="9350"/>
        </w:tabs>
        <w:rPr>
          <w:noProof/>
        </w:rPr>
      </w:pPr>
      <w:r>
        <w:rPr>
          <w:noProof/>
        </w:rPr>
        <w:t>Crossmatch Interpretations for Print Unit Caution Tag &amp; Transfusion Record Form</w:t>
      </w:r>
      <w:r>
        <w:rPr>
          <w:noProof/>
        </w:rPr>
        <w:tab/>
        <w:t>290</w:t>
      </w:r>
    </w:p>
    <w:p w14:paraId="56DF8B41" w14:textId="77777777" w:rsidR="00A91C73" w:rsidRDefault="00A91C73">
      <w:pPr>
        <w:pStyle w:val="Index2"/>
        <w:tabs>
          <w:tab w:val="right" w:leader="dot" w:pos="9350"/>
        </w:tabs>
        <w:rPr>
          <w:noProof/>
        </w:rPr>
      </w:pPr>
      <w:r>
        <w:rPr>
          <w:noProof/>
        </w:rPr>
        <w:t>Details in Audit Trail Report</w:t>
      </w:r>
      <w:r>
        <w:rPr>
          <w:noProof/>
        </w:rPr>
        <w:tab/>
        <w:t>421</w:t>
      </w:r>
    </w:p>
    <w:p w14:paraId="58EE29B5" w14:textId="77777777" w:rsidR="00A91C73" w:rsidRDefault="00A91C73">
      <w:pPr>
        <w:pStyle w:val="Index2"/>
        <w:tabs>
          <w:tab w:val="right" w:leader="dot" w:pos="9350"/>
        </w:tabs>
        <w:rPr>
          <w:noProof/>
        </w:rPr>
      </w:pPr>
      <w:r>
        <w:rPr>
          <w:noProof/>
        </w:rPr>
        <w:t>Details in Exception Report</w:t>
      </w:r>
      <w:r>
        <w:rPr>
          <w:noProof/>
        </w:rPr>
        <w:tab/>
        <w:t>426</w:t>
      </w:r>
    </w:p>
    <w:p w14:paraId="43C2F093" w14:textId="77777777" w:rsidR="00A91C73" w:rsidRDefault="00A91C73">
      <w:pPr>
        <w:pStyle w:val="Index2"/>
        <w:tabs>
          <w:tab w:val="right" w:leader="dot" w:pos="9350"/>
        </w:tabs>
        <w:rPr>
          <w:noProof/>
        </w:rPr>
      </w:pPr>
      <w:r>
        <w:rPr>
          <w:noProof/>
        </w:rPr>
        <w:t>Local Facilities Worksheet</w:t>
      </w:r>
      <w:r>
        <w:rPr>
          <w:noProof/>
        </w:rPr>
        <w:tab/>
        <w:t>476</w:t>
      </w:r>
    </w:p>
    <w:p w14:paraId="28941FDB" w14:textId="77777777" w:rsidR="00A91C73" w:rsidRDefault="00A91C73">
      <w:pPr>
        <w:pStyle w:val="Index2"/>
        <w:tabs>
          <w:tab w:val="right" w:leader="dot" w:pos="9350"/>
        </w:tabs>
        <w:rPr>
          <w:noProof/>
        </w:rPr>
      </w:pPr>
      <w:r>
        <w:rPr>
          <w:noProof/>
        </w:rPr>
        <w:t>Modification Types and Costs</w:t>
      </w:r>
      <w:r>
        <w:rPr>
          <w:noProof/>
        </w:rPr>
        <w:tab/>
        <w:t>470</w:t>
      </w:r>
    </w:p>
    <w:p w14:paraId="5596CFFA" w14:textId="77777777" w:rsidR="00A91C73" w:rsidRDefault="00A91C73">
      <w:pPr>
        <w:pStyle w:val="Index2"/>
        <w:tabs>
          <w:tab w:val="right" w:leader="dot" w:pos="9350"/>
        </w:tabs>
        <w:rPr>
          <w:noProof/>
        </w:rPr>
      </w:pPr>
      <w:r>
        <w:rPr>
          <w:noProof/>
        </w:rPr>
        <w:t>Rules for Electronic and Serologic Crossmatch</w:t>
      </w:r>
      <w:r>
        <w:rPr>
          <w:noProof/>
        </w:rPr>
        <w:tab/>
        <w:t>430</w:t>
      </w:r>
    </w:p>
    <w:p w14:paraId="15B5853C" w14:textId="77777777" w:rsidR="00A91C73" w:rsidRDefault="00A91C73">
      <w:pPr>
        <w:pStyle w:val="Index2"/>
        <w:tabs>
          <w:tab w:val="right" w:leader="dot" w:pos="9350"/>
        </w:tabs>
        <w:rPr>
          <w:noProof/>
        </w:rPr>
      </w:pPr>
      <w:r>
        <w:rPr>
          <w:noProof/>
        </w:rPr>
        <w:t>Sample Blood Products Worksheet</w:t>
      </w:r>
      <w:r>
        <w:rPr>
          <w:noProof/>
        </w:rPr>
        <w:tab/>
        <w:t>475</w:t>
      </w:r>
    </w:p>
    <w:p w14:paraId="6FC51959" w14:textId="77777777" w:rsidR="00A91C73" w:rsidRDefault="00A91C73">
      <w:pPr>
        <w:pStyle w:val="Index2"/>
        <w:tabs>
          <w:tab w:val="right" w:leader="dot" w:pos="9350"/>
        </w:tabs>
        <w:rPr>
          <w:noProof/>
        </w:rPr>
      </w:pPr>
      <w:r>
        <w:rPr>
          <w:noProof/>
        </w:rPr>
        <w:t>Sample Local Facilities Worksheet</w:t>
      </w:r>
      <w:r>
        <w:rPr>
          <w:noProof/>
        </w:rPr>
        <w:tab/>
        <w:t>476</w:t>
      </w:r>
    </w:p>
    <w:p w14:paraId="776A6144" w14:textId="77777777" w:rsidR="00A91C73" w:rsidRDefault="00A91C73">
      <w:pPr>
        <w:pStyle w:val="Index2"/>
        <w:tabs>
          <w:tab w:val="right" w:leader="dot" w:pos="9350"/>
        </w:tabs>
        <w:rPr>
          <w:noProof/>
        </w:rPr>
      </w:pPr>
      <w:r>
        <w:rPr>
          <w:noProof/>
        </w:rPr>
        <w:t>Transfusion Complications Worksheet</w:t>
      </w:r>
      <w:r>
        <w:rPr>
          <w:noProof/>
        </w:rPr>
        <w:tab/>
        <w:t>478</w:t>
      </w:r>
    </w:p>
    <w:p w14:paraId="47226A4F" w14:textId="77777777" w:rsidR="00A91C73" w:rsidRDefault="00A91C73">
      <w:pPr>
        <w:pStyle w:val="Index2"/>
        <w:tabs>
          <w:tab w:val="right" w:leader="dot" w:pos="9350"/>
        </w:tabs>
        <w:rPr>
          <w:noProof/>
        </w:rPr>
      </w:pPr>
      <w:r>
        <w:rPr>
          <w:noProof/>
        </w:rPr>
        <w:t>Transfusion Effectiveness Worksheet</w:t>
      </w:r>
      <w:r>
        <w:rPr>
          <w:noProof/>
        </w:rPr>
        <w:tab/>
        <w:t>479</w:t>
      </w:r>
    </w:p>
    <w:p w14:paraId="0E55353D" w14:textId="77777777" w:rsidR="00A91C73" w:rsidRDefault="00A91C73">
      <w:pPr>
        <w:pStyle w:val="Index2"/>
        <w:tabs>
          <w:tab w:val="right" w:leader="dot" w:pos="9350"/>
        </w:tabs>
        <w:rPr>
          <w:noProof/>
        </w:rPr>
      </w:pPr>
      <w:r>
        <w:rPr>
          <w:noProof/>
        </w:rPr>
        <w:t>Transfusion Reaction Types</w:t>
      </w:r>
      <w:r>
        <w:rPr>
          <w:noProof/>
        </w:rPr>
        <w:tab/>
        <w:t>315</w:t>
      </w:r>
    </w:p>
    <w:p w14:paraId="75E82525" w14:textId="77777777" w:rsidR="00A91C73" w:rsidRDefault="00A91C73">
      <w:pPr>
        <w:pStyle w:val="Index2"/>
        <w:tabs>
          <w:tab w:val="right" w:leader="dot" w:pos="9350"/>
        </w:tabs>
        <w:rPr>
          <w:noProof/>
        </w:rPr>
      </w:pPr>
      <w:r>
        <w:rPr>
          <w:noProof/>
        </w:rPr>
        <w:t>User Roles and Functions</w:t>
      </w:r>
      <w:r>
        <w:rPr>
          <w:noProof/>
        </w:rPr>
        <w:tab/>
        <w:t>9</w:t>
      </w:r>
    </w:p>
    <w:p w14:paraId="65E6014A" w14:textId="77777777" w:rsidR="00A91C73" w:rsidRDefault="00A91C73">
      <w:pPr>
        <w:pStyle w:val="Index2"/>
        <w:tabs>
          <w:tab w:val="right" w:leader="dot" w:pos="9350"/>
        </w:tabs>
        <w:rPr>
          <w:noProof/>
        </w:rPr>
      </w:pPr>
      <w:r>
        <w:rPr>
          <w:noProof/>
        </w:rPr>
        <w:t>Valid Interpretations</w:t>
      </w:r>
      <w:r>
        <w:rPr>
          <w:noProof/>
        </w:rPr>
        <w:tab/>
        <w:t>133</w:t>
      </w:r>
    </w:p>
    <w:p w14:paraId="43CC4FAC" w14:textId="77777777" w:rsidR="00A91C73" w:rsidRDefault="00A91C73">
      <w:pPr>
        <w:pStyle w:val="Index2"/>
        <w:tabs>
          <w:tab w:val="right" w:leader="dot" w:pos="9350"/>
        </w:tabs>
        <w:rPr>
          <w:noProof/>
        </w:rPr>
      </w:pPr>
      <w:r>
        <w:rPr>
          <w:noProof/>
        </w:rPr>
        <w:t>Valid Observed Test Results Entries</w:t>
      </w:r>
      <w:r>
        <w:rPr>
          <w:noProof/>
        </w:rPr>
        <w:tab/>
        <w:t>19</w:t>
      </w:r>
    </w:p>
    <w:p w14:paraId="10194085" w14:textId="77777777" w:rsidR="00A91C73" w:rsidRDefault="00A91C73">
      <w:pPr>
        <w:pStyle w:val="Index2"/>
        <w:tabs>
          <w:tab w:val="right" w:leader="dot" w:pos="9350"/>
        </w:tabs>
        <w:rPr>
          <w:noProof/>
        </w:rPr>
      </w:pPr>
      <w:r>
        <w:rPr>
          <w:noProof/>
        </w:rPr>
        <w:t>VBECS Maximum Surgical Blood Order Schedule (MSBOS)</w:t>
      </w:r>
      <w:r>
        <w:rPr>
          <w:noProof/>
        </w:rPr>
        <w:tab/>
        <w:t>433</w:t>
      </w:r>
    </w:p>
    <w:p w14:paraId="33CCE949" w14:textId="77777777" w:rsidR="00A91C73" w:rsidRDefault="00A91C73">
      <w:pPr>
        <w:pStyle w:val="Index1"/>
        <w:tabs>
          <w:tab w:val="right" w:leader="dot" w:pos="9350"/>
        </w:tabs>
        <w:rPr>
          <w:noProof/>
        </w:rPr>
      </w:pPr>
      <w:r>
        <w:rPr>
          <w:noProof/>
        </w:rPr>
        <w:t>Terms</w:t>
      </w:r>
      <w:r>
        <w:rPr>
          <w:noProof/>
        </w:rPr>
        <w:tab/>
        <w:t>8</w:t>
      </w:r>
    </w:p>
    <w:p w14:paraId="571E6D7C" w14:textId="77777777" w:rsidR="00A91C73" w:rsidRDefault="00A91C73">
      <w:pPr>
        <w:pStyle w:val="Index1"/>
        <w:tabs>
          <w:tab w:val="right" w:leader="dot" w:pos="9350"/>
        </w:tabs>
        <w:rPr>
          <w:noProof/>
        </w:rPr>
      </w:pPr>
      <w:r>
        <w:rPr>
          <w:noProof/>
        </w:rPr>
        <w:t>Test Units</w:t>
      </w:r>
      <w:r>
        <w:rPr>
          <w:noProof/>
        </w:rPr>
        <w:tab/>
        <w:t>131</w:t>
      </w:r>
    </w:p>
    <w:p w14:paraId="455B1154" w14:textId="77777777" w:rsidR="00A91C73" w:rsidRDefault="00A91C73">
      <w:pPr>
        <w:pStyle w:val="Index1"/>
        <w:tabs>
          <w:tab w:val="right" w:leader="dot" w:pos="9350"/>
        </w:tabs>
        <w:rPr>
          <w:noProof/>
        </w:rPr>
      </w:pPr>
      <w:r>
        <w:rPr>
          <w:noProof/>
        </w:rPr>
        <w:t>Testing</w:t>
      </w:r>
      <w:r>
        <w:rPr>
          <w:noProof/>
        </w:rPr>
        <w:tab/>
        <w:t>17</w:t>
      </w:r>
    </w:p>
    <w:p w14:paraId="51B490D7" w14:textId="77777777" w:rsidR="00A91C73" w:rsidRDefault="00A91C73">
      <w:pPr>
        <w:pStyle w:val="Index1"/>
        <w:tabs>
          <w:tab w:val="right" w:leader="dot" w:pos="9350"/>
        </w:tabs>
        <w:rPr>
          <w:noProof/>
        </w:rPr>
      </w:pPr>
      <w:r>
        <w:rPr>
          <w:noProof/>
        </w:rPr>
        <w:t>Throughout VBECS</w:t>
      </w:r>
      <w:r>
        <w:rPr>
          <w:noProof/>
        </w:rPr>
        <w:tab/>
        <w:t>41</w:t>
      </w:r>
    </w:p>
    <w:p w14:paraId="17257355" w14:textId="77777777" w:rsidR="00A91C73" w:rsidRDefault="00A91C73">
      <w:pPr>
        <w:pStyle w:val="Index1"/>
        <w:tabs>
          <w:tab w:val="right" w:leader="dot" w:pos="9350"/>
        </w:tabs>
        <w:rPr>
          <w:noProof/>
        </w:rPr>
      </w:pPr>
      <w:r>
        <w:rPr>
          <w:noProof/>
        </w:rPr>
        <w:t>Tool Tips</w:t>
      </w:r>
      <w:r>
        <w:rPr>
          <w:noProof/>
        </w:rPr>
        <w:tab/>
        <w:t>33</w:t>
      </w:r>
    </w:p>
    <w:p w14:paraId="12C63496" w14:textId="77777777" w:rsidR="00A91C73" w:rsidRDefault="00A91C73">
      <w:pPr>
        <w:pStyle w:val="Index1"/>
        <w:tabs>
          <w:tab w:val="right" w:leader="dot" w:pos="9350"/>
        </w:tabs>
        <w:rPr>
          <w:noProof/>
        </w:rPr>
      </w:pPr>
      <w:r>
        <w:rPr>
          <w:noProof/>
        </w:rPr>
        <w:t>Toolbars</w:t>
      </w:r>
      <w:r>
        <w:rPr>
          <w:noProof/>
        </w:rPr>
        <w:tab/>
        <w:t>34</w:t>
      </w:r>
    </w:p>
    <w:p w14:paraId="58DC1484" w14:textId="77777777" w:rsidR="00A91C73" w:rsidRDefault="00A91C73">
      <w:pPr>
        <w:pStyle w:val="Index1"/>
        <w:tabs>
          <w:tab w:val="right" w:leader="dot" w:pos="9350"/>
        </w:tabs>
        <w:rPr>
          <w:noProof/>
        </w:rPr>
      </w:pPr>
      <w:r>
        <w:rPr>
          <w:noProof/>
        </w:rPr>
        <w:t>Transfusion Complications Report</w:t>
      </w:r>
      <w:r>
        <w:rPr>
          <w:noProof/>
        </w:rPr>
        <w:tab/>
        <w:t>379</w:t>
      </w:r>
    </w:p>
    <w:p w14:paraId="0E0BE45F" w14:textId="77777777" w:rsidR="00A91C73" w:rsidRDefault="00A91C73">
      <w:pPr>
        <w:pStyle w:val="Index1"/>
        <w:tabs>
          <w:tab w:val="right" w:leader="dot" w:pos="9350"/>
        </w:tabs>
        <w:rPr>
          <w:noProof/>
        </w:rPr>
      </w:pPr>
      <w:r>
        <w:rPr>
          <w:noProof/>
        </w:rPr>
        <w:t>Transfusion Effectiveness</w:t>
      </w:r>
      <w:r>
        <w:rPr>
          <w:noProof/>
        </w:rPr>
        <w:tab/>
        <w:t>75</w:t>
      </w:r>
    </w:p>
    <w:p w14:paraId="7944D0DF" w14:textId="77777777" w:rsidR="00A91C73" w:rsidRDefault="00A91C73">
      <w:pPr>
        <w:pStyle w:val="Index1"/>
        <w:tabs>
          <w:tab w:val="right" w:leader="dot" w:pos="9350"/>
        </w:tabs>
        <w:rPr>
          <w:noProof/>
        </w:rPr>
      </w:pPr>
      <w:r>
        <w:rPr>
          <w:noProof/>
        </w:rPr>
        <w:t>Transfusion Effectiveness Report</w:t>
      </w:r>
      <w:r>
        <w:rPr>
          <w:noProof/>
        </w:rPr>
        <w:tab/>
        <w:t>381</w:t>
      </w:r>
    </w:p>
    <w:p w14:paraId="600DFC56" w14:textId="77777777" w:rsidR="00A91C73" w:rsidRDefault="00A91C73">
      <w:pPr>
        <w:pStyle w:val="Index1"/>
        <w:tabs>
          <w:tab w:val="right" w:leader="dot" w:pos="9350"/>
        </w:tabs>
        <w:rPr>
          <w:noProof/>
        </w:rPr>
      </w:pPr>
      <w:r>
        <w:rPr>
          <w:noProof/>
        </w:rPr>
        <w:t>Transfusion Reaction Count Report</w:t>
      </w:r>
      <w:r>
        <w:rPr>
          <w:noProof/>
        </w:rPr>
        <w:tab/>
        <w:t>383</w:t>
      </w:r>
    </w:p>
    <w:p w14:paraId="13965CDE" w14:textId="77777777" w:rsidR="00A91C73" w:rsidRDefault="00A91C73">
      <w:pPr>
        <w:pStyle w:val="Index1"/>
        <w:tabs>
          <w:tab w:val="right" w:leader="dot" w:pos="9350"/>
        </w:tabs>
        <w:rPr>
          <w:noProof/>
        </w:rPr>
      </w:pPr>
      <w:r>
        <w:rPr>
          <w:noProof/>
        </w:rPr>
        <w:t>Transfusion Requirements Report</w:t>
      </w:r>
      <w:r>
        <w:rPr>
          <w:noProof/>
        </w:rPr>
        <w:tab/>
        <w:t>385</w:t>
      </w:r>
    </w:p>
    <w:p w14:paraId="0A755A2A"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U</w:t>
      </w:r>
    </w:p>
    <w:p w14:paraId="5310A27F" w14:textId="77777777" w:rsidR="00A91C73" w:rsidRDefault="00A91C73">
      <w:pPr>
        <w:pStyle w:val="Index1"/>
        <w:tabs>
          <w:tab w:val="right" w:leader="dot" w:pos="9350"/>
        </w:tabs>
        <w:rPr>
          <w:noProof/>
        </w:rPr>
      </w:pPr>
      <w:r>
        <w:rPr>
          <w:noProof/>
        </w:rPr>
        <w:t>Unit ABO/Rh Confirmation Form</w:t>
      </w:r>
      <w:r>
        <w:rPr>
          <w:noProof/>
        </w:rPr>
        <w:tab/>
        <w:t>407</w:t>
      </w:r>
    </w:p>
    <w:p w14:paraId="4036C68A" w14:textId="77777777" w:rsidR="00A91C73" w:rsidRDefault="00A91C73">
      <w:pPr>
        <w:pStyle w:val="Index1"/>
        <w:tabs>
          <w:tab w:val="right" w:leader="dot" w:pos="9350"/>
        </w:tabs>
        <w:rPr>
          <w:noProof/>
        </w:rPr>
      </w:pPr>
      <w:r>
        <w:rPr>
          <w:noProof/>
        </w:rPr>
        <w:t>Unit History Report</w:t>
      </w:r>
      <w:r>
        <w:rPr>
          <w:noProof/>
        </w:rPr>
        <w:tab/>
        <w:t>387</w:t>
      </w:r>
    </w:p>
    <w:p w14:paraId="106B8543" w14:textId="77777777" w:rsidR="00A91C73" w:rsidRDefault="00A91C73">
      <w:pPr>
        <w:pStyle w:val="Index1"/>
        <w:tabs>
          <w:tab w:val="right" w:leader="dot" w:pos="9350"/>
        </w:tabs>
        <w:rPr>
          <w:noProof/>
        </w:rPr>
      </w:pPr>
      <w:r>
        <w:rPr>
          <w:noProof/>
        </w:rPr>
        <w:t>Unit Issue and Inspection Log</w:t>
      </w:r>
      <w:r>
        <w:rPr>
          <w:noProof/>
        </w:rPr>
        <w:tab/>
        <w:t>408</w:t>
      </w:r>
    </w:p>
    <w:p w14:paraId="07E408C0" w14:textId="77777777" w:rsidR="00A91C73" w:rsidRDefault="00A91C73">
      <w:pPr>
        <w:pStyle w:val="Index1"/>
        <w:tabs>
          <w:tab w:val="right" w:leader="dot" w:pos="9350"/>
        </w:tabs>
        <w:rPr>
          <w:noProof/>
        </w:rPr>
      </w:pPr>
      <w:r>
        <w:rPr>
          <w:noProof/>
        </w:rPr>
        <w:t>Unit Modification Form</w:t>
      </w:r>
      <w:r>
        <w:rPr>
          <w:noProof/>
        </w:rPr>
        <w:tab/>
        <w:t>409</w:t>
      </w:r>
    </w:p>
    <w:p w14:paraId="52306412" w14:textId="77777777" w:rsidR="00A91C73" w:rsidRDefault="00A91C73">
      <w:pPr>
        <w:pStyle w:val="Index1"/>
        <w:tabs>
          <w:tab w:val="right" w:leader="dot" w:pos="9350"/>
        </w:tabs>
        <w:rPr>
          <w:noProof/>
        </w:rPr>
      </w:pPr>
      <w:r>
        <w:rPr>
          <w:noProof/>
        </w:rPr>
        <w:t>Unit Search Screen</w:t>
      </w:r>
      <w:r>
        <w:rPr>
          <w:noProof/>
        </w:rPr>
        <w:tab/>
        <w:t>128</w:t>
      </w:r>
    </w:p>
    <w:p w14:paraId="257BFAD4" w14:textId="77777777" w:rsidR="00A91C73" w:rsidRDefault="00A91C73">
      <w:pPr>
        <w:pStyle w:val="Index1"/>
        <w:tabs>
          <w:tab w:val="right" w:leader="dot" w:pos="9350"/>
        </w:tabs>
        <w:rPr>
          <w:noProof/>
        </w:rPr>
      </w:pPr>
      <w:r>
        <w:rPr>
          <w:noProof/>
        </w:rPr>
        <w:t>Update Reagent Inventory</w:t>
      </w:r>
      <w:r>
        <w:rPr>
          <w:noProof/>
        </w:rPr>
        <w:tab/>
        <w:t>93</w:t>
      </w:r>
    </w:p>
    <w:p w14:paraId="20526D43" w14:textId="77777777" w:rsidR="00A91C73" w:rsidRDefault="00A91C73">
      <w:pPr>
        <w:pStyle w:val="Index1"/>
        <w:tabs>
          <w:tab w:val="right" w:leader="dot" w:pos="9350"/>
        </w:tabs>
        <w:rPr>
          <w:noProof/>
        </w:rPr>
      </w:pPr>
      <w:r>
        <w:rPr>
          <w:noProof/>
        </w:rPr>
        <w:t>Update Supply Inventory</w:t>
      </w:r>
      <w:r>
        <w:rPr>
          <w:noProof/>
        </w:rPr>
        <w:tab/>
        <w:t>101</w:t>
      </w:r>
    </w:p>
    <w:p w14:paraId="15365971" w14:textId="77777777" w:rsidR="00A91C73" w:rsidRDefault="00A91C73">
      <w:pPr>
        <w:pStyle w:val="Index1"/>
        <w:tabs>
          <w:tab w:val="right" w:leader="dot" w:pos="9350"/>
        </w:tabs>
        <w:rPr>
          <w:noProof/>
        </w:rPr>
      </w:pPr>
      <w:r>
        <w:rPr>
          <w:noProof/>
        </w:rPr>
        <w:t>Updated Patients and Deceased Patients</w:t>
      </w:r>
      <w:r>
        <w:rPr>
          <w:noProof/>
        </w:rPr>
        <w:tab/>
        <w:t>271</w:t>
      </w:r>
    </w:p>
    <w:p w14:paraId="6111FD12" w14:textId="77777777" w:rsidR="00A91C73" w:rsidRDefault="00A91C73">
      <w:pPr>
        <w:pStyle w:val="Index1"/>
        <w:tabs>
          <w:tab w:val="right" w:leader="dot" w:pos="9350"/>
        </w:tabs>
        <w:rPr>
          <w:noProof/>
        </w:rPr>
      </w:pPr>
      <w:r>
        <w:rPr>
          <w:noProof/>
        </w:rPr>
        <w:t>Using the Software</w:t>
      </w:r>
      <w:r>
        <w:rPr>
          <w:noProof/>
        </w:rPr>
        <w:tab/>
        <w:t>13</w:t>
      </w:r>
    </w:p>
    <w:p w14:paraId="0A267E26" w14:textId="77777777" w:rsidR="00A91C73" w:rsidRDefault="00A91C73">
      <w:pPr>
        <w:pStyle w:val="Index1"/>
        <w:tabs>
          <w:tab w:val="right" w:leader="dot" w:pos="9350"/>
        </w:tabs>
        <w:rPr>
          <w:noProof/>
        </w:rPr>
      </w:pPr>
      <w:r>
        <w:rPr>
          <w:noProof/>
        </w:rPr>
        <w:t>Using VBECS</w:t>
      </w:r>
      <w:r>
        <w:rPr>
          <w:noProof/>
        </w:rPr>
        <w:tab/>
        <w:t>22</w:t>
      </w:r>
    </w:p>
    <w:p w14:paraId="01C22CC8"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V</w:t>
      </w:r>
    </w:p>
    <w:p w14:paraId="113CB83F" w14:textId="77777777" w:rsidR="00A91C73" w:rsidRDefault="00A91C73">
      <w:pPr>
        <w:pStyle w:val="Index1"/>
        <w:tabs>
          <w:tab w:val="right" w:leader="dot" w:pos="9350"/>
        </w:tabs>
        <w:rPr>
          <w:noProof/>
        </w:rPr>
      </w:pPr>
      <w:r>
        <w:rPr>
          <w:noProof/>
        </w:rPr>
        <w:t>VBECS User Report</w:t>
      </w:r>
      <w:r>
        <w:rPr>
          <w:noProof/>
        </w:rPr>
        <w:tab/>
        <w:t>45</w:t>
      </w:r>
    </w:p>
    <w:p w14:paraId="6174F638" w14:textId="77777777" w:rsidR="00A91C73" w:rsidRDefault="00A91C73">
      <w:pPr>
        <w:pStyle w:val="Index1"/>
        <w:tabs>
          <w:tab w:val="right" w:leader="dot" w:pos="9350"/>
        </w:tabs>
        <w:rPr>
          <w:noProof/>
        </w:rPr>
      </w:pPr>
      <w:r>
        <w:rPr>
          <w:noProof/>
        </w:rPr>
        <w:t>VBECS Work Flow</w:t>
      </w:r>
      <w:r>
        <w:rPr>
          <w:noProof/>
        </w:rPr>
        <w:tab/>
        <w:t>447</w:t>
      </w:r>
    </w:p>
    <w:p w14:paraId="5F16AF10" w14:textId="77777777" w:rsidR="00A91C73" w:rsidRDefault="00A91C73">
      <w:pPr>
        <w:pStyle w:val="Index1"/>
        <w:tabs>
          <w:tab w:val="right" w:leader="dot" w:pos="9350"/>
        </w:tabs>
        <w:rPr>
          <w:noProof/>
        </w:rPr>
      </w:pPr>
      <w:r>
        <w:rPr>
          <w:noProof/>
        </w:rPr>
        <w:t>View/Print a Finalized Transfusion Reaction Workup Report</w:t>
      </w:r>
      <w:r>
        <w:rPr>
          <w:noProof/>
        </w:rPr>
        <w:tab/>
        <w:t>314</w:t>
      </w:r>
    </w:p>
    <w:p w14:paraId="0446E829" w14:textId="77777777" w:rsidR="00A91C73" w:rsidRDefault="00A91C73">
      <w:pPr>
        <w:pStyle w:val="Index1"/>
        <w:tabs>
          <w:tab w:val="right" w:leader="dot" w:pos="9350"/>
        </w:tabs>
        <w:rPr>
          <w:noProof/>
        </w:rPr>
      </w:pPr>
      <w:r>
        <w:rPr>
          <w:noProof/>
        </w:rPr>
        <w:t>View/Print Reagent Inventory</w:t>
      </w:r>
      <w:r>
        <w:rPr>
          <w:noProof/>
        </w:rPr>
        <w:tab/>
        <w:t>95</w:t>
      </w:r>
    </w:p>
    <w:p w14:paraId="2F451D3A" w14:textId="77777777" w:rsidR="00A91C73" w:rsidRDefault="00A91C73">
      <w:pPr>
        <w:pStyle w:val="Index1"/>
        <w:tabs>
          <w:tab w:val="right" w:leader="dot" w:pos="9350"/>
        </w:tabs>
        <w:rPr>
          <w:noProof/>
        </w:rPr>
      </w:pPr>
      <w:r>
        <w:rPr>
          <w:noProof/>
        </w:rPr>
        <w:t>View/Print Supply Inventory</w:t>
      </w:r>
      <w:r>
        <w:rPr>
          <w:noProof/>
        </w:rPr>
        <w:tab/>
        <w:t>103</w:t>
      </w:r>
    </w:p>
    <w:p w14:paraId="097EF39E" w14:textId="77777777" w:rsidR="00A91C73" w:rsidRDefault="00A91C73">
      <w:pPr>
        <w:pStyle w:val="Index1"/>
        <w:tabs>
          <w:tab w:val="right" w:leader="dot" w:pos="9350"/>
        </w:tabs>
        <w:rPr>
          <w:noProof/>
        </w:rPr>
      </w:pPr>
      <w:r>
        <w:rPr>
          <w:noProof/>
        </w:rPr>
        <w:t>VistA Records in VBECS</w:t>
      </w:r>
      <w:r>
        <w:rPr>
          <w:noProof/>
        </w:rPr>
        <w:tab/>
        <w:t>23</w:t>
      </w:r>
    </w:p>
    <w:p w14:paraId="6654BB0E" w14:textId="77777777" w:rsidR="00A91C73" w:rsidRDefault="00A91C73">
      <w:pPr>
        <w:pStyle w:val="IndexHeading"/>
        <w:keepNext/>
        <w:tabs>
          <w:tab w:val="right" w:leader="dot" w:pos="9350"/>
        </w:tabs>
        <w:rPr>
          <w:rFonts w:asciiTheme="minorHAnsi" w:eastAsiaTheme="minorEastAsia" w:hAnsiTheme="minorHAnsi" w:cstheme="minorBidi"/>
          <w:b w:val="0"/>
          <w:bCs w:val="0"/>
          <w:noProof/>
        </w:rPr>
      </w:pPr>
      <w:r>
        <w:rPr>
          <w:noProof/>
        </w:rPr>
        <w:t>W</w:t>
      </w:r>
    </w:p>
    <w:p w14:paraId="5B98ECF0" w14:textId="77777777" w:rsidR="00A91C73" w:rsidRDefault="00A91C73">
      <w:pPr>
        <w:pStyle w:val="Index1"/>
        <w:tabs>
          <w:tab w:val="right" w:leader="dot" w:pos="9350"/>
        </w:tabs>
        <w:rPr>
          <w:noProof/>
        </w:rPr>
      </w:pPr>
      <w:r>
        <w:rPr>
          <w:noProof/>
        </w:rPr>
        <w:t>Work Process Flowcharts</w:t>
      </w:r>
      <w:r>
        <w:rPr>
          <w:noProof/>
        </w:rPr>
        <w:tab/>
        <w:t>484</w:t>
      </w:r>
    </w:p>
    <w:p w14:paraId="14C69FC3" w14:textId="77777777" w:rsidR="00A91C73" w:rsidRDefault="00A91C73">
      <w:pPr>
        <w:pStyle w:val="Index1"/>
        <w:tabs>
          <w:tab w:val="right" w:leader="dot" w:pos="9350"/>
        </w:tabs>
        <w:rPr>
          <w:noProof/>
        </w:rPr>
      </w:pPr>
      <w:r>
        <w:rPr>
          <w:noProof/>
        </w:rPr>
        <w:t>Working with Data</w:t>
      </w:r>
      <w:r>
        <w:rPr>
          <w:noProof/>
        </w:rPr>
        <w:tab/>
        <w:t>15</w:t>
      </w:r>
    </w:p>
    <w:p w14:paraId="22EBB6E3" w14:textId="77777777" w:rsidR="00A91C73" w:rsidRDefault="00A91C73">
      <w:pPr>
        <w:pStyle w:val="Index1"/>
        <w:tabs>
          <w:tab w:val="right" w:leader="dot" w:pos="9350"/>
        </w:tabs>
        <w:rPr>
          <w:noProof/>
        </w:rPr>
      </w:pPr>
      <w:r>
        <w:rPr>
          <w:noProof/>
        </w:rPr>
        <w:t>Workload Codes</w:t>
      </w:r>
      <w:r>
        <w:rPr>
          <w:noProof/>
        </w:rPr>
        <w:tab/>
        <w:t>79</w:t>
      </w:r>
    </w:p>
    <w:p w14:paraId="47D3DB09" w14:textId="77777777" w:rsidR="00A91C73" w:rsidRDefault="00A91C73">
      <w:pPr>
        <w:pStyle w:val="Index1"/>
        <w:tabs>
          <w:tab w:val="right" w:leader="dot" w:pos="9350"/>
        </w:tabs>
        <w:rPr>
          <w:noProof/>
        </w:rPr>
      </w:pPr>
      <w:r>
        <w:rPr>
          <w:noProof/>
        </w:rPr>
        <w:t>Workload Process Mapping to Application Option Table</w:t>
      </w:r>
      <w:r>
        <w:rPr>
          <w:noProof/>
        </w:rPr>
        <w:tab/>
        <w:t>509</w:t>
      </w:r>
    </w:p>
    <w:p w14:paraId="2586C76E" w14:textId="77777777" w:rsidR="00A91C73" w:rsidRDefault="00A91C73">
      <w:pPr>
        <w:pStyle w:val="Index1"/>
        <w:tabs>
          <w:tab w:val="right" w:leader="dot" w:pos="9350"/>
        </w:tabs>
        <w:rPr>
          <w:noProof/>
        </w:rPr>
      </w:pPr>
      <w:r>
        <w:rPr>
          <w:noProof/>
        </w:rPr>
        <w:t>Workload Process to Use Case Mapping Table</w:t>
      </w:r>
      <w:r>
        <w:rPr>
          <w:noProof/>
        </w:rPr>
        <w:tab/>
        <w:t>437</w:t>
      </w:r>
    </w:p>
    <w:p w14:paraId="2D9388C7" w14:textId="77777777" w:rsidR="00A91C73" w:rsidRDefault="00A91C73" w:rsidP="009C0A99">
      <w:pPr>
        <w:pStyle w:val="BodyText"/>
        <w:jc w:val="center"/>
        <w:rPr>
          <w:rFonts w:ascii="Arial" w:hAnsi="Arial" w:cs="Arial"/>
          <w:b/>
          <w:bCs/>
          <w:noProof/>
          <w:kern w:val="32"/>
        </w:rPr>
        <w:sectPr w:rsidR="00A91C73" w:rsidSect="00A91C73">
          <w:type w:val="continuous"/>
          <w:pgSz w:w="12240" w:h="15840" w:code="1"/>
          <w:pgMar w:top="1440" w:right="1440" w:bottom="1440" w:left="1440" w:header="720" w:footer="720" w:gutter="0"/>
          <w:cols w:space="720"/>
          <w:docGrid w:linePitch="360"/>
        </w:sectPr>
      </w:pPr>
    </w:p>
    <w:p w14:paraId="6AE17B98" w14:textId="3CCA07A1" w:rsidR="00681D23" w:rsidRDefault="00E93F17" w:rsidP="009C0A99">
      <w:pPr>
        <w:pStyle w:val="BodyText"/>
        <w:jc w:val="center"/>
        <w:rPr>
          <w:kern w:val="32"/>
        </w:rPr>
      </w:pPr>
      <w:r w:rsidRPr="00206945">
        <w:rPr>
          <w:kern w:val="32"/>
        </w:rPr>
        <w:fldChar w:fldCharType="end"/>
      </w:r>
    </w:p>
    <w:p w14:paraId="0B73A6F2" w14:textId="2D9A12FB" w:rsidR="00AD2C30" w:rsidRDefault="00F50F30" w:rsidP="00AD2C30">
      <w:pPr>
        <w:pStyle w:val="Heading1"/>
      </w:pPr>
      <w:r>
        <w:t xml:space="preserve"> </w:t>
      </w:r>
      <w:r w:rsidR="00C033C9">
        <w:br w:type="page"/>
      </w:r>
      <w:bookmarkStart w:id="818" w:name="_Toc149064263"/>
      <w:r w:rsidR="00AD2C30">
        <w:t>Revision History</w:t>
      </w:r>
      <w:bookmarkEnd w:id="818"/>
    </w:p>
    <w:tbl>
      <w:tblPr>
        <w:tblW w:w="10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
        <w:gridCol w:w="990"/>
        <w:gridCol w:w="7174"/>
        <w:gridCol w:w="1098"/>
      </w:tblGrid>
      <w:tr w:rsidR="00AD2C30" w14:paraId="05CEA33E" w14:textId="77777777" w:rsidTr="00736D67">
        <w:trPr>
          <w:trHeight w:val="403"/>
          <w:tblHeader/>
        </w:trPr>
        <w:tc>
          <w:tcPr>
            <w:tcW w:w="918" w:type="dxa"/>
            <w:tcBorders>
              <w:bottom w:val="single" w:sz="6" w:space="0" w:color="auto"/>
            </w:tcBorders>
            <w:shd w:val="clear" w:color="auto" w:fill="B3B3B3"/>
            <w:vAlign w:val="bottom"/>
          </w:tcPr>
          <w:p w14:paraId="6ED83BDF" w14:textId="77777777" w:rsidR="00AD2C30" w:rsidRDefault="00AD2C30" w:rsidP="00237FB5">
            <w:pPr>
              <w:pStyle w:val="TableText"/>
              <w:rPr>
                <w:b/>
                <w:u w:val="single"/>
              </w:rPr>
            </w:pPr>
            <w:r>
              <w:rPr>
                <w:b/>
              </w:rPr>
              <w:t>Date</w:t>
            </w:r>
          </w:p>
        </w:tc>
        <w:tc>
          <w:tcPr>
            <w:tcW w:w="990" w:type="dxa"/>
            <w:tcBorders>
              <w:bottom w:val="single" w:sz="6" w:space="0" w:color="auto"/>
            </w:tcBorders>
            <w:shd w:val="clear" w:color="auto" w:fill="B3B3B3"/>
            <w:vAlign w:val="bottom"/>
          </w:tcPr>
          <w:p w14:paraId="787DCF6C" w14:textId="77777777" w:rsidR="00AD2C30" w:rsidRDefault="00AD2C30" w:rsidP="00237FB5">
            <w:pPr>
              <w:pStyle w:val="TableText"/>
              <w:rPr>
                <w:b/>
                <w:u w:val="single"/>
              </w:rPr>
            </w:pPr>
            <w:r>
              <w:rPr>
                <w:b/>
              </w:rPr>
              <w:t>Revision</w:t>
            </w:r>
          </w:p>
        </w:tc>
        <w:tc>
          <w:tcPr>
            <w:tcW w:w="7174" w:type="dxa"/>
            <w:tcBorders>
              <w:bottom w:val="single" w:sz="6" w:space="0" w:color="auto"/>
            </w:tcBorders>
            <w:shd w:val="clear" w:color="auto" w:fill="B3B3B3"/>
            <w:vAlign w:val="bottom"/>
          </w:tcPr>
          <w:p w14:paraId="0D8B545B" w14:textId="77777777" w:rsidR="00AD2C30" w:rsidRDefault="00AD2C30" w:rsidP="00DC1872">
            <w:pPr>
              <w:pStyle w:val="TableText"/>
              <w:ind w:left="136" w:hanging="136"/>
              <w:rPr>
                <w:b/>
                <w:u w:val="single"/>
              </w:rPr>
            </w:pPr>
            <w:r>
              <w:rPr>
                <w:b/>
              </w:rPr>
              <w:t>Description</w:t>
            </w:r>
          </w:p>
        </w:tc>
        <w:tc>
          <w:tcPr>
            <w:tcW w:w="1098" w:type="dxa"/>
            <w:tcBorders>
              <w:bottom w:val="single" w:sz="6" w:space="0" w:color="auto"/>
            </w:tcBorders>
            <w:shd w:val="clear" w:color="auto" w:fill="B3B3B3"/>
            <w:vAlign w:val="bottom"/>
          </w:tcPr>
          <w:p w14:paraId="352FCCC0" w14:textId="77777777" w:rsidR="00AD2C30" w:rsidRDefault="00AD2C30" w:rsidP="00237FB5">
            <w:pPr>
              <w:pStyle w:val="TableText"/>
              <w:rPr>
                <w:b/>
                <w:u w:val="single"/>
              </w:rPr>
            </w:pPr>
            <w:r>
              <w:rPr>
                <w:b/>
              </w:rPr>
              <w:t>Author</w:t>
            </w:r>
          </w:p>
        </w:tc>
      </w:tr>
      <w:tr w:rsidR="00AD2C30" w:rsidRPr="009D5AF3" w14:paraId="3404C75B" w14:textId="77777777" w:rsidTr="00736D67">
        <w:tc>
          <w:tcPr>
            <w:tcW w:w="918" w:type="dxa"/>
          </w:tcPr>
          <w:p w14:paraId="63592B8E" w14:textId="1629AFD6" w:rsidR="00AD2C30" w:rsidRDefault="00784D21" w:rsidP="00237FB5">
            <w:pPr>
              <w:pStyle w:val="TableText"/>
            </w:pPr>
            <w:r>
              <w:t>1</w:t>
            </w:r>
            <w:r w:rsidR="000B1D08">
              <w:t>/</w:t>
            </w:r>
            <w:r w:rsidR="004F6172">
              <w:t>2</w:t>
            </w:r>
            <w:r w:rsidR="0002759E">
              <w:t>6</w:t>
            </w:r>
            <w:r w:rsidR="00AD2C30">
              <w:t>/</w:t>
            </w:r>
            <w:r w:rsidR="00F57443">
              <w:t>2</w:t>
            </w:r>
            <w:r w:rsidR="0076680C">
              <w:t>3</w:t>
            </w:r>
          </w:p>
        </w:tc>
        <w:tc>
          <w:tcPr>
            <w:tcW w:w="990" w:type="dxa"/>
          </w:tcPr>
          <w:p w14:paraId="6EE8E2F7" w14:textId="77777777" w:rsidR="00AD2C30" w:rsidRDefault="00AD2C30" w:rsidP="00237FB5">
            <w:pPr>
              <w:pStyle w:val="TableText"/>
            </w:pPr>
            <w:r>
              <w:t>1.0</w:t>
            </w:r>
          </w:p>
        </w:tc>
        <w:tc>
          <w:tcPr>
            <w:tcW w:w="7174" w:type="dxa"/>
          </w:tcPr>
          <w:p w14:paraId="5BF9423C" w14:textId="77777777" w:rsidR="0002759E" w:rsidRPr="00522908" w:rsidRDefault="0002759E" w:rsidP="0002759E">
            <w:pPr>
              <w:ind w:left="136" w:hanging="136"/>
              <w:rPr>
                <w:rFonts w:ascii="Arial" w:hAnsi="Arial" w:cs="Arial"/>
                <w:sz w:val="18"/>
                <w:szCs w:val="18"/>
              </w:rPr>
            </w:pPr>
            <w:r w:rsidRPr="00522908">
              <w:rPr>
                <w:rFonts w:ascii="Arial" w:hAnsi="Arial" w:cs="Arial"/>
                <w:sz w:val="18"/>
                <w:szCs w:val="18"/>
              </w:rPr>
              <w:t>VBECS 2.3.4 Rev A</w:t>
            </w:r>
          </w:p>
          <w:p w14:paraId="046EE13A" w14:textId="77777777" w:rsidR="0002759E" w:rsidRPr="00522908" w:rsidRDefault="0002759E" w:rsidP="0002759E">
            <w:pPr>
              <w:ind w:left="136" w:hanging="136"/>
              <w:rPr>
                <w:rFonts w:ascii="Arial" w:hAnsi="Arial" w:cs="Arial"/>
                <w:vanish/>
                <w:sz w:val="18"/>
                <w:szCs w:val="18"/>
              </w:rPr>
            </w:pPr>
            <w:r w:rsidRPr="00522908">
              <w:rPr>
                <w:rFonts w:ascii="Arial" w:hAnsi="Arial" w:cs="Arial"/>
                <w:sz w:val="18"/>
                <w:szCs w:val="18"/>
              </w:rPr>
              <w:t>Modified VBECS 2.3.3 User Guide, Version 2.0 to create VBECS 2.3.4 User Guide, Version 1.0.</w:t>
            </w:r>
          </w:p>
          <w:p w14:paraId="081FD417" w14:textId="77777777" w:rsidR="008E4F8F" w:rsidRPr="00522908" w:rsidRDefault="008E4F8F" w:rsidP="0002759E">
            <w:pPr>
              <w:ind w:left="136" w:hanging="136"/>
              <w:rPr>
                <w:rFonts w:ascii="Arial" w:hAnsi="Arial" w:cs="Arial"/>
                <w:sz w:val="18"/>
                <w:szCs w:val="18"/>
              </w:rPr>
            </w:pPr>
          </w:p>
          <w:p w14:paraId="034FE792" w14:textId="77777777" w:rsidR="00193E97" w:rsidRPr="00522908" w:rsidRDefault="00193E97" w:rsidP="00193E97">
            <w:pPr>
              <w:pStyle w:val="TableTextBullet"/>
              <w:numPr>
                <w:ilvl w:val="0"/>
                <w:numId w:val="0"/>
              </w:numPr>
              <w:tabs>
                <w:tab w:val="left" w:pos="720"/>
              </w:tabs>
              <w:ind w:left="136" w:hanging="136"/>
              <w:rPr>
                <w:rFonts w:cs="Arial"/>
                <w:vanish/>
                <w:szCs w:val="18"/>
              </w:rPr>
            </w:pPr>
            <w:r w:rsidRPr="00522908">
              <w:rPr>
                <w:rFonts w:cs="Arial"/>
                <w:vanish/>
                <w:szCs w:val="18"/>
              </w:rPr>
              <w:t>(Task 111158)</w:t>
            </w:r>
          </w:p>
          <w:p w14:paraId="2B737002" w14:textId="77777777" w:rsidR="00193E97" w:rsidRPr="00522908" w:rsidRDefault="00193E97" w:rsidP="00193E97">
            <w:pPr>
              <w:pStyle w:val="TableTextBullet"/>
              <w:numPr>
                <w:ilvl w:val="0"/>
                <w:numId w:val="0"/>
              </w:numPr>
              <w:tabs>
                <w:tab w:val="left" w:pos="720"/>
              </w:tabs>
              <w:ind w:left="136" w:hanging="136"/>
              <w:rPr>
                <w:rFonts w:cs="Arial"/>
                <w:vanish/>
                <w:szCs w:val="18"/>
              </w:rPr>
            </w:pPr>
            <w:r w:rsidRPr="00522908">
              <w:rPr>
                <w:rFonts w:cs="Arial"/>
                <w:vanish/>
                <w:szCs w:val="18"/>
              </w:rPr>
              <w:t>General: Updated document for 508 compliance. Added alternate text to all figures.</w:t>
            </w:r>
          </w:p>
          <w:p w14:paraId="069CB767" w14:textId="77777777" w:rsidR="00193E97" w:rsidRPr="00522908" w:rsidRDefault="00193E97" w:rsidP="00193E97">
            <w:pPr>
              <w:pStyle w:val="TableTextBullet"/>
              <w:numPr>
                <w:ilvl w:val="0"/>
                <w:numId w:val="0"/>
              </w:numPr>
              <w:tabs>
                <w:tab w:val="left" w:pos="720"/>
              </w:tabs>
              <w:ind w:left="136" w:hanging="136"/>
              <w:rPr>
                <w:rFonts w:cs="Arial"/>
                <w:vanish/>
                <w:szCs w:val="18"/>
              </w:rPr>
            </w:pPr>
          </w:p>
          <w:p w14:paraId="45349726" w14:textId="77777777" w:rsidR="00193E97" w:rsidRPr="00522908" w:rsidRDefault="00193E97" w:rsidP="00193E97">
            <w:pPr>
              <w:pStyle w:val="TableTextBullet"/>
              <w:numPr>
                <w:ilvl w:val="0"/>
                <w:numId w:val="0"/>
              </w:numPr>
              <w:tabs>
                <w:tab w:val="left" w:pos="720"/>
              </w:tabs>
              <w:ind w:left="136" w:hanging="136"/>
              <w:rPr>
                <w:rFonts w:cs="Arial"/>
                <w:vanish/>
                <w:szCs w:val="18"/>
              </w:rPr>
            </w:pPr>
            <w:r w:rsidRPr="00522908">
              <w:rPr>
                <w:rFonts w:cs="Arial"/>
                <w:vanish/>
                <w:szCs w:val="18"/>
              </w:rPr>
              <w:t>(Task 138459)</w:t>
            </w:r>
          </w:p>
          <w:p w14:paraId="0D977782" w14:textId="77777777" w:rsidR="00193E97" w:rsidRPr="00522908" w:rsidRDefault="00193E97" w:rsidP="00193E97">
            <w:pPr>
              <w:pStyle w:val="TableTextBullet"/>
              <w:numPr>
                <w:ilvl w:val="0"/>
                <w:numId w:val="0"/>
              </w:numPr>
              <w:tabs>
                <w:tab w:val="left" w:pos="720"/>
              </w:tabs>
              <w:ind w:left="136" w:hanging="136"/>
              <w:rPr>
                <w:rFonts w:cs="Arial"/>
                <w:vanish/>
                <w:szCs w:val="18"/>
              </w:rPr>
            </w:pPr>
            <w:r w:rsidRPr="00522908">
              <w:rPr>
                <w:rFonts w:cs="Arial"/>
                <w:vanish/>
                <w:szCs w:val="18"/>
              </w:rPr>
              <w:t>Introduction: Rewritten.</w:t>
            </w:r>
          </w:p>
          <w:p w14:paraId="06D05C85" w14:textId="77777777" w:rsidR="00193E97" w:rsidRPr="00522908" w:rsidRDefault="00193E97" w:rsidP="00193E97">
            <w:pPr>
              <w:pStyle w:val="TableTextBullet"/>
              <w:numPr>
                <w:ilvl w:val="0"/>
                <w:numId w:val="0"/>
              </w:numPr>
              <w:tabs>
                <w:tab w:val="left" w:pos="720"/>
              </w:tabs>
              <w:ind w:left="136" w:hanging="136"/>
              <w:rPr>
                <w:rFonts w:cs="Arial"/>
                <w:vanish/>
                <w:szCs w:val="18"/>
              </w:rPr>
            </w:pPr>
          </w:p>
          <w:p w14:paraId="027A06D4" w14:textId="77777777" w:rsidR="00193E97" w:rsidRPr="00522908" w:rsidRDefault="00193E97" w:rsidP="00193E97">
            <w:pPr>
              <w:pStyle w:val="TableTextBullet"/>
              <w:numPr>
                <w:ilvl w:val="0"/>
                <w:numId w:val="0"/>
              </w:numPr>
              <w:tabs>
                <w:tab w:val="left" w:pos="720"/>
              </w:tabs>
              <w:ind w:left="136" w:hanging="136"/>
              <w:rPr>
                <w:rFonts w:cs="Arial"/>
                <w:vanish/>
                <w:szCs w:val="18"/>
              </w:rPr>
            </w:pPr>
            <w:r w:rsidRPr="00522908">
              <w:rPr>
                <w:rFonts w:cs="Arial"/>
                <w:vanish/>
                <w:szCs w:val="18"/>
              </w:rPr>
              <w:t>(Task 109071)</w:t>
            </w:r>
          </w:p>
          <w:p w14:paraId="1E64A273"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Figures 59, 62, 63, 67, 68, 73, 74, 76, 101, 102, 103, 104, 105, 106, 112, 113 (old Figures 67, 70, 71, 75, 76, 81, 82, 85, 109, 110, 111, 112, 113, 114, 120, 121): Replaced</w:t>
            </w:r>
          </w:p>
          <w:p w14:paraId="15B8C86F" w14:textId="77777777" w:rsidR="00193E97" w:rsidRPr="00522908" w:rsidRDefault="00193E97" w:rsidP="00193E97">
            <w:pPr>
              <w:pStyle w:val="TableTextBullet"/>
              <w:numPr>
                <w:ilvl w:val="0"/>
                <w:numId w:val="0"/>
              </w:numPr>
              <w:tabs>
                <w:tab w:val="left" w:pos="720"/>
              </w:tabs>
              <w:ind w:left="136" w:hanging="136"/>
              <w:rPr>
                <w:rFonts w:cs="Arial"/>
                <w:vanish/>
                <w:szCs w:val="18"/>
              </w:rPr>
            </w:pPr>
          </w:p>
          <w:p w14:paraId="6CEE0CB5" w14:textId="77777777" w:rsidR="00193E97" w:rsidRPr="00522908" w:rsidRDefault="00193E97" w:rsidP="00193E97">
            <w:pPr>
              <w:pStyle w:val="TableTextBullet"/>
              <w:numPr>
                <w:ilvl w:val="0"/>
                <w:numId w:val="0"/>
              </w:numPr>
              <w:tabs>
                <w:tab w:val="left" w:pos="720"/>
              </w:tabs>
              <w:ind w:left="136" w:hanging="136"/>
              <w:rPr>
                <w:rFonts w:cs="Arial"/>
                <w:vanish/>
                <w:szCs w:val="18"/>
              </w:rPr>
            </w:pPr>
            <w:r w:rsidRPr="00522908">
              <w:rPr>
                <w:rFonts w:cs="Arial"/>
                <w:vanish/>
                <w:szCs w:val="18"/>
              </w:rPr>
              <w:t>(Task 117598)</w:t>
            </w:r>
          </w:p>
          <w:p w14:paraId="036A796A" w14:textId="77777777" w:rsidR="00193E97" w:rsidRPr="00522908" w:rsidRDefault="00193E97" w:rsidP="00193E97">
            <w:pPr>
              <w:pStyle w:val="TableTextBullet"/>
              <w:numPr>
                <w:ilvl w:val="0"/>
                <w:numId w:val="0"/>
              </w:numPr>
              <w:tabs>
                <w:tab w:val="left" w:pos="720"/>
              </w:tabs>
              <w:ind w:left="136" w:hanging="136"/>
              <w:rPr>
                <w:rFonts w:cs="Arial"/>
                <w:vanish/>
                <w:szCs w:val="18"/>
              </w:rPr>
            </w:pPr>
            <w:r w:rsidRPr="00522908">
              <w:rPr>
                <w:rFonts w:cs="Arial"/>
                <w:vanish/>
                <w:szCs w:val="18"/>
              </w:rPr>
              <w:t>Freeware Disclaimer: Added ‘source code’ to first sentence.</w:t>
            </w:r>
          </w:p>
          <w:p w14:paraId="26C07C26" w14:textId="77777777" w:rsidR="00193E97" w:rsidRPr="00522908" w:rsidRDefault="00193E97" w:rsidP="00193E97">
            <w:pPr>
              <w:pStyle w:val="TableTextBullet"/>
              <w:numPr>
                <w:ilvl w:val="0"/>
                <w:numId w:val="0"/>
              </w:numPr>
              <w:tabs>
                <w:tab w:val="left" w:pos="720"/>
              </w:tabs>
              <w:ind w:left="136" w:hanging="136"/>
              <w:rPr>
                <w:rFonts w:cs="Arial"/>
                <w:vanish/>
                <w:szCs w:val="18"/>
              </w:rPr>
            </w:pPr>
            <w:r w:rsidRPr="00522908">
              <w:rPr>
                <w:rFonts w:cs="Arial"/>
                <w:vanish/>
                <w:szCs w:val="18"/>
              </w:rPr>
              <w:t>Related Manuals and Materials: Added VBECS FAQs.</w:t>
            </w:r>
          </w:p>
          <w:p w14:paraId="416790D3"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Getting Help from Customer Support: Revised section.</w:t>
            </w:r>
          </w:p>
          <w:p w14:paraId="3D2BD262"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Exit VBECS: Replaced section with new section titled Closing VBECS with new steps to better explain signing out and disconnecting VBECS. Added Figure 18.</w:t>
            </w:r>
          </w:p>
          <w:p w14:paraId="5532CA60"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Appendix D: Updated to match Limitations and Restrictions in rest of the document.</w:t>
            </w:r>
          </w:p>
          <w:p w14:paraId="188A9760" w14:textId="77777777" w:rsidR="00193E97" w:rsidRPr="00522908" w:rsidRDefault="00193E97" w:rsidP="00193E97">
            <w:pPr>
              <w:ind w:left="136" w:hanging="136"/>
              <w:rPr>
                <w:rFonts w:ascii="Arial" w:hAnsi="Arial" w:cs="Arial"/>
                <w:vanish/>
                <w:sz w:val="18"/>
                <w:szCs w:val="18"/>
              </w:rPr>
            </w:pPr>
          </w:p>
          <w:p w14:paraId="17DDF0D4" w14:textId="77777777" w:rsidR="00193E97" w:rsidRPr="00522908" w:rsidRDefault="00193E97" w:rsidP="00193E97">
            <w:pPr>
              <w:pStyle w:val="TableTextBullet"/>
              <w:numPr>
                <w:ilvl w:val="0"/>
                <w:numId w:val="0"/>
              </w:numPr>
              <w:tabs>
                <w:tab w:val="left" w:pos="720"/>
              </w:tabs>
              <w:ind w:left="136" w:hanging="136"/>
              <w:rPr>
                <w:rFonts w:cs="Arial"/>
                <w:vanish/>
                <w:szCs w:val="18"/>
              </w:rPr>
            </w:pPr>
            <w:r w:rsidRPr="00522908">
              <w:rPr>
                <w:rFonts w:cs="Arial"/>
                <w:vanish/>
                <w:szCs w:val="18"/>
              </w:rPr>
              <w:t>(for Bug 109809, Task 112109, Task 112197 - max storage time modification)</w:t>
            </w:r>
          </w:p>
          <w:p w14:paraId="386CBC46"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Table 1, Level 4 row: Bullet added for maximum storage time.</w:t>
            </w:r>
          </w:p>
          <w:p w14:paraId="3E7F994E"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Blood Products, Step 4: Added new last note pertaining to Traditional Supervisor or higher (BR_8.13).</w:t>
            </w:r>
          </w:p>
          <w:p w14:paraId="402910F0"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Figure 30 (old Figure 31): Replaced</w:t>
            </w:r>
          </w:p>
          <w:p w14:paraId="027BAB98"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Incoming Shipment, Limitations Restrictions: Revised fifth bullet pertaining to MST. Same change also made in Appendix D.</w:t>
            </w:r>
          </w:p>
          <w:p w14:paraId="5D72A8FA"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Appendix B, Table 20, Maintenance: Blood Product row: Added bullet for Maximum Storage Time.</w:t>
            </w:r>
          </w:p>
          <w:p w14:paraId="12C978F5"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Appendix C, Figure 121: Added box for editing maximum storage time to Traditional Supervisor (Level 4) column.</w:t>
            </w:r>
          </w:p>
          <w:p w14:paraId="56321C54" w14:textId="77777777" w:rsidR="00193E97" w:rsidRPr="00522908" w:rsidRDefault="00193E97" w:rsidP="00193E97">
            <w:pPr>
              <w:rPr>
                <w:rFonts w:ascii="Arial" w:hAnsi="Arial" w:cs="Arial"/>
                <w:vanish/>
                <w:sz w:val="18"/>
                <w:szCs w:val="18"/>
              </w:rPr>
            </w:pPr>
          </w:p>
          <w:p w14:paraId="5B75ADBD"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Task 56768 - terminology clarification)</w:t>
            </w:r>
          </w:p>
          <w:p w14:paraId="4C9702BA"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Table 1, Level 5 row: Changed "local shipper" to "Local Facility".</w:t>
            </w:r>
          </w:p>
          <w:p w14:paraId="585075F5"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Blood Products, Blood Products, second paragraph: Changed "collection facility" to "facility".</w:t>
            </w:r>
          </w:p>
          <w:p w14:paraId="21CA106C" w14:textId="77777777" w:rsidR="00193E97" w:rsidRPr="00522908" w:rsidRDefault="00193E97" w:rsidP="00193E97">
            <w:pPr>
              <w:ind w:left="136" w:hanging="136"/>
              <w:rPr>
                <w:rFonts w:ascii="Arial" w:hAnsi="Arial" w:cs="Arial"/>
                <w:vanish/>
                <w:sz w:val="18"/>
                <w:szCs w:val="18"/>
              </w:rPr>
            </w:pPr>
          </w:p>
          <w:p w14:paraId="5FE4BF99"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107610 - removing online help)</w:t>
            </w:r>
          </w:p>
          <w:p w14:paraId="65972B8B"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Software Basics: Removed second bullet for F1 key.</w:t>
            </w:r>
          </w:p>
          <w:p w14:paraId="736E60F7"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Using Online Help: Section and Figures 15 and 16 removed, replaced with paragraph explaining F1 key.</w:t>
            </w:r>
          </w:p>
          <w:p w14:paraId="6C8ACC07"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Application Windows: Removed sentence pertaining to VBECS Help and F1 key.</w:t>
            </w:r>
          </w:p>
          <w:p w14:paraId="23C222C1"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Keyboard Shortcuts for Windows, Menus: Removed second bullet pertaining to VBECS online help F1 key.</w:t>
            </w:r>
          </w:p>
          <w:p w14:paraId="69BC037A" w14:textId="77777777" w:rsidR="00193E97" w:rsidRPr="00522908" w:rsidRDefault="00193E97" w:rsidP="00193E97">
            <w:pPr>
              <w:ind w:left="136" w:hanging="136"/>
              <w:rPr>
                <w:rFonts w:ascii="Arial" w:hAnsi="Arial" w:cs="Arial"/>
                <w:vanish/>
                <w:sz w:val="18"/>
                <w:szCs w:val="18"/>
              </w:rPr>
            </w:pPr>
          </w:p>
          <w:p w14:paraId="6CDE5674"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86822, Task 112105 - 2-d barcodes)</w:t>
            </w:r>
          </w:p>
          <w:p w14:paraId="28A79900"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Commonly Used System Rules, Working with Data: Added new 18th bullet pertaining to 2-d barcodes (BR_1.79).</w:t>
            </w:r>
          </w:p>
          <w:p w14:paraId="40A56E64"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Incoming Shipment, Step 6: Added 2-d barcode information to third Note (BR_1.79).</w:t>
            </w:r>
          </w:p>
          <w:p w14:paraId="2588C08E" w14:textId="77777777" w:rsidR="00193E97" w:rsidRPr="00522908" w:rsidRDefault="00193E97" w:rsidP="00193E97">
            <w:pPr>
              <w:pStyle w:val="TableTextBullet"/>
              <w:numPr>
                <w:ilvl w:val="0"/>
                <w:numId w:val="0"/>
              </w:numPr>
              <w:tabs>
                <w:tab w:val="left" w:pos="720"/>
              </w:tabs>
              <w:ind w:left="136" w:hanging="136"/>
              <w:rPr>
                <w:rFonts w:cs="Arial"/>
                <w:vanish/>
                <w:szCs w:val="18"/>
              </w:rPr>
            </w:pPr>
            <w:r w:rsidRPr="00522908">
              <w:rPr>
                <w:rFonts w:cs="Arial"/>
                <w:vanish/>
                <w:szCs w:val="18"/>
              </w:rPr>
              <w:t>Incoming Shipment, Step 7: Added 2-d barcode information to User Action, and added second Note under 'For ISBT 128-labeled units' (BR_1.79).</w:t>
            </w:r>
          </w:p>
          <w:p w14:paraId="0A4FD358" w14:textId="77777777" w:rsidR="00193E97" w:rsidRPr="00522908" w:rsidRDefault="00193E97" w:rsidP="00193E97">
            <w:pPr>
              <w:pStyle w:val="TableTextBullet"/>
              <w:numPr>
                <w:ilvl w:val="0"/>
                <w:numId w:val="0"/>
              </w:numPr>
              <w:tabs>
                <w:tab w:val="left" w:pos="720"/>
              </w:tabs>
              <w:ind w:left="136" w:hanging="136"/>
              <w:rPr>
                <w:rFonts w:cs="Arial"/>
                <w:vanish/>
                <w:szCs w:val="18"/>
              </w:rPr>
            </w:pPr>
          </w:p>
          <w:p w14:paraId="336B7C95"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71357, Task 112106 - special testing barcodes)</w:t>
            </w:r>
          </w:p>
          <w:p w14:paraId="3D974103"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Commonly Used System Rules, Working with Data: Added new 19th bullet pertaining to special testing barcodes (BR_1.78).</w:t>
            </w:r>
          </w:p>
          <w:p w14:paraId="6EA5E49B"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Incoming Shipment, Limitations and Restrictions: Added new tenth bullet pertaining to ISBT 128 special testing. Same change also made in Appendix D.</w:t>
            </w:r>
          </w:p>
          <w:p w14:paraId="6D400A50"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Incoming Shipment, Step 12: Added fifth Note (BR_1.78).</w:t>
            </w:r>
          </w:p>
          <w:p w14:paraId="4CD89094" w14:textId="77777777" w:rsidR="00193E97" w:rsidRPr="00522908" w:rsidRDefault="00193E97" w:rsidP="00193E97">
            <w:pPr>
              <w:pStyle w:val="TableTextBullet"/>
              <w:numPr>
                <w:ilvl w:val="0"/>
                <w:numId w:val="0"/>
              </w:numPr>
              <w:tabs>
                <w:tab w:val="left" w:pos="720"/>
              </w:tabs>
              <w:ind w:left="136" w:hanging="136"/>
              <w:rPr>
                <w:rFonts w:cs="Arial"/>
                <w:vanish/>
                <w:szCs w:val="18"/>
              </w:rPr>
            </w:pPr>
            <w:r w:rsidRPr="00522908">
              <w:rPr>
                <w:rFonts w:cs="Arial"/>
                <w:vanish/>
                <w:szCs w:val="18"/>
              </w:rPr>
              <w:t>Edit Unit Information, Limitations and Restrictions: Added new last bullet pertaining to ISBT 128 special testing. Same change also made in Appendix D.</w:t>
            </w:r>
          </w:p>
          <w:p w14:paraId="2B2F5ECD" w14:textId="77777777" w:rsidR="00193E97" w:rsidRPr="00522908" w:rsidRDefault="00193E97" w:rsidP="00193E97">
            <w:pPr>
              <w:pStyle w:val="TableTextBullet"/>
              <w:numPr>
                <w:ilvl w:val="0"/>
                <w:numId w:val="0"/>
              </w:numPr>
              <w:tabs>
                <w:tab w:val="left" w:pos="720"/>
              </w:tabs>
              <w:ind w:left="136" w:hanging="136"/>
              <w:rPr>
                <w:rFonts w:cs="Arial"/>
                <w:vanish/>
                <w:szCs w:val="18"/>
              </w:rPr>
            </w:pPr>
            <w:r w:rsidRPr="00522908">
              <w:rPr>
                <w:rFonts w:cs="Arial"/>
                <w:vanish/>
                <w:szCs w:val="18"/>
              </w:rPr>
              <w:t>Edit Unit Information, Step 3: Revised second Note for special testing barcode.</w:t>
            </w:r>
          </w:p>
          <w:p w14:paraId="53549A90" w14:textId="77777777" w:rsidR="00193E97" w:rsidRPr="00522908" w:rsidRDefault="00193E97" w:rsidP="00193E97">
            <w:pPr>
              <w:ind w:left="136" w:hanging="136"/>
              <w:rPr>
                <w:rFonts w:ascii="Arial" w:hAnsi="Arial" w:cs="Arial"/>
                <w:vanish/>
                <w:sz w:val="18"/>
                <w:szCs w:val="18"/>
              </w:rPr>
            </w:pPr>
          </w:p>
          <w:p w14:paraId="6FBA7A13"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87075, Task 112113 - reagent comment)</w:t>
            </w:r>
          </w:p>
          <w:p w14:paraId="5FEA1D17"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Reagents, Limitations and Restrictions: Removed sixth bullet pertaining to free text details. Also removed from Appendix D.</w:t>
            </w:r>
          </w:p>
          <w:p w14:paraId="336AF4AA"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Log in Reagents, Step 5: Added "or enter a free text comment" to User Action.</w:t>
            </w:r>
          </w:p>
          <w:p w14:paraId="2938FA85" w14:textId="77777777" w:rsidR="00193E97" w:rsidRPr="00522908" w:rsidRDefault="00193E97" w:rsidP="00193E97">
            <w:pPr>
              <w:ind w:left="136" w:hanging="136"/>
              <w:rPr>
                <w:rFonts w:ascii="Arial" w:hAnsi="Arial" w:cs="Arial"/>
                <w:vanish/>
                <w:sz w:val="18"/>
                <w:szCs w:val="18"/>
              </w:rPr>
            </w:pPr>
          </w:p>
          <w:p w14:paraId="09EF9537"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70852, Task 112101, Task 112187 - Incoming Shipment comment)</w:t>
            </w:r>
          </w:p>
          <w:p w14:paraId="473C0ABD"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Incoming Shipment: Added third paragraph pertaining to entering a comment in the Incoming Shipment comment context (BR_1.77).</w:t>
            </w:r>
          </w:p>
          <w:p w14:paraId="6574D17F"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Incoming Shipment, Step 12: Added second bullet to allow comment entry and added fourth Note (BR_1.77).</w:t>
            </w:r>
          </w:p>
          <w:p w14:paraId="4D95D100"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Figure 47 (old Figure 48): Replaced</w:t>
            </w:r>
          </w:p>
          <w:p w14:paraId="077FBB01"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Edit Unit Information: Revised paragraph before steps table.</w:t>
            </w:r>
          </w:p>
          <w:p w14:paraId="4A35CC36"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Edit Unit Information, Step 3: Revised eleventh Note, added last bullet for blood unit comment.</w:t>
            </w:r>
          </w:p>
          <w:p w14:paraId="0CE80BF6"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Figures 64, 65 (old Figures 72, 73): Replaced</w:t>
            </w:r>
          </w:p>
          <w:p w14:paraId="3D1F95C3" w14:textId="77777777" w:rsidR="00193E97" w:rsidRPr="00522908" w:rsidRDefault="00193E97" w:rsidP="00193E97">
            <w:pPr>
              <w:ind w:left="136" w:hanging="136"/>
              <w:rPr>
                <w:rFonts w:ascii="Arial" w:hAnsi="Arial" w:cs="Arial"/>
                <w:vanish/>
                <w:sz w:val="18"/>
                <w:szCs w:val="18"/>
              </w:rPr>
            </w:pPr>
          </w:p>
          <w:p w14:paraId="7FC138EC"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65078)</w:t>
            </w:r>
          </w:p>
          <w:p w14:paraId="32B1A2D5"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Incoming Shipment, Step 2: Removed third Note pertaining to selecting the blank row in the shipper list box.</w:t>
            </w:r>
          </w:p>
          <w:p w14:paraId="63C08AD6" w14:textId="77777777" w:rsidR="00193E97" w:rsidRPr="00522908" w:rsidRDefault="00193E97" w:rsidP="00193E97">
            <w:pPr>
              <w:ind w:left="136" w:hanging="136"/>
              <w:rPr>
                <w:rFonts w:ascii="Arial" w:hAnsi="Arial" w:cs="Arial"/>
                <w:vanish/>
                <w:sz w:val="18"/>
                <w:szCs w:val="18"/>
              </w:rPr>
            </w:pPr>
          </w:p>
          <w:p w14:paraId="6C9B1C31"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64752)</w:t>
            </w:r>
          </w:p>
          <w:p w14:paraId="15956596"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Incoming Shipment, Step 3: Removed hidden text "Defect 209865" from third Note.</w:t>
            </w:r>
          </w:p>
          <w:p w14:paraId="1F66E09E" w14:textId="77777777" w:rsidR="00193E97" w:rsidRPr="00522908" w:rsidRDefault="00193E97" w:rsidP="00193E97">
            <w:pPr>
              <w:ind w:left="136" w:hanging="136"/>
              <w:rPr>
                <w:rFonts w:ascii="Arial" w:hAnsi="Arial" w:cs="Arial"/>
                <w:vanish/>
                <w:sz w:val="18"/>
                <w:szCs w:val="18"/>
              </w:rPr>
            </w:pPr>
          </w:p>
          <w:p w14:paraId="48C3DEEC"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56489, 78622, Task 112104)</w:t>
            </w:r>
          </w:p>
          <w:p w14:paraId="1D4BCF31"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Incoming Shipment, Step 7: Revised fourth note under 'Scanned Product Codes' (BR_1.50).</w:t>
            </w:r>
          </w:p>
          <w:p w14:paraId="00583AE9" w14:textId="77777777" w:rsidR="00193E97" w:rsidRPr="00522908" w:rsidRDefault="00193E97" w:rsidP="00193E97">
            <w:pPr>
              <w:pStyle w:val="TableTextBullet"/>
              <w:numPr>
                <w:ilvl w:val="0"/>
                <w:numId w:val="0"/>
              </w:numPr>
              <w:tabs>
                <w:tab w:val="left" w:pos="720"/>
              </w:tabs>
              <w:ind w:left="136" w:hanging="136"/>
              <w:rPr>
                <w:rFonts w:cs="Arial"/>
                <w:vanish/>
                <w:szCs w:val="18"/>
              </w:rPr>
            </w:pPr>
            <w:r w:rsidRPr="00522908">
              <w:rPr>
                <w:rFonts w:cs="Arial"/>
                <w:vanish/>
                <w:szCs w:val="18"/>
              </w:rPr>
              <w:t>Modify Units: Split a Unit, Step 6: In first Note, changed "restrict the user from entering" to "restrict the user to enter".</w:t>
            </w:r>
          </w:p>
          <w:p w14:paraId="53D8A149" w14:textId="77777777" w:rsidR="00193E97" w:rsidRPr="00522908" w:rsidRDefault="00193E97" w:rsidP="00193E97">
            <w:pPr>
              <w:ind w:left="136" w:hanging="136"/>
              <w:rPr>
                <w:rFonts w:ascii="Arial" w:hAnsi="Arial" w:cs="Arial"/>
                <w:vanish/>
                <w:sz w:val="18"/>
                <w:szCs w:val="18"/>
              </w:rPr>
            </w:pPr>
          </w:p>
          <w:p w14:paraId="38B0408B"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63469)</w:t>
            </w:r>
          </w:p>
          <w:p w14:paraId="5CA8E03F"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Incoming Shipment, Step 9: Removed hidden text "Defect 208537" from fourth Note.</w:t>
            </w:r>
          </w:p>
          <w:p w14:paraId="55AFC33A" w14:textId="77777777" w:rsidR="00193E97" w:rsidRPr="00522908" w:rsidRDefault="00193E97" w:rsidP="00193E97">
            <w:pPr>
              <w:ind w:left="136" w:hanging="136"/>
              <w:rPr>
                <w:rFonts w:ascii="Arial" w:hAnsi="Arial" w:cs="Arial"/>
                <w:vanish/>
                <w:sz w:val="18"/>
                <w:szCs w:val="18"/>
              </w:rPr>
            </w:pPr>
          </w:p>
          <w:p w14:paraId="52E168F4"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111362, Task 112117 - special testing cost)</w:t>
            </w:r>
          </w:p>
          <w:p w14:paraId="2C842D29"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Incoming Shipment, Step 12: Updated first Note.</w:t>
            </w:r>
          </w:p>
          <w:p w14:paraId="65C55389"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Edit Financial Data, Limitations and Restrictions: Revised/added last three bullets pertaining to cost and credit. Also made same changes in Appendix D.</w:t>
            </w:r>
          </w:p>
          <w:p w14:paraId="5E22A036"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Edit Financial Data, Step 3, second note: Changed "special typing" to "special testing" and changed "$1.00 to $999.00" to "$0.00 to $$9,999.99".</w:t>
            </w:r>
          </w:p>
          <w:p w14:paraId="7169119A"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Patient Testing, Limitations and Restrictions: Revised last Note for cost.</w:t>
            </w:r>
          </w:p>
          <w:p w14:paraId="66D546EA" w14:textId="77777777" w:rsidR="00193E97" w:rsidRPr="00522908" w:rsidRDefault="00193E97" w:rsidP="00193E97">
            <w:pPr>
              <w:ind w:left="136" w:hanging="136"/>
              <w:rPr>
                <w:rFonts w:ascii="Arial" w:hAnsi="Arial" w:cs="Arial"/>
                <w:vanish/>
                <w:sz w:val="18"/>
                <w:szCs w:val="18"/>
              </w:rPr>
            </w:pPr>
          </w:p>
          <w:p w14:paraId="1F0E7685"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56591, Task 112099 - Incoming Shipment visual inspection)</w:t>
            </w:r>
          </w:p>
          <w:p w14:paraId="08E59B4B"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Incoming Shipment, Step 13: Added new last sentence to second bullet pertaining to the visual inspection indicator.</w:t>
            </w:r>
          </w:p>
          <w:p w14:paraId="6B8350F4" w14:textId="77777777" w:rsidR="00193E97" w:rsidRPr="00522908" w:rsidRDefault="00193E97" w:rsidP="00193E97">
            <w:pPr>
              <w:ind w:left="136" w:hanging="136"/>
              <w:rPr>
                <w:rFonts w:ascii="Arial" w:hAnsi="Arial" w:cs="Arial"/>
                <w:vanish/>
                <w:sz w:val="18"/>
                <w:szCs w:val="18"/>
              </w:rPr>
            </w:pPr>
          </w:p>
          <w:p w14:paraId="27C59023"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68281, Task 112102, 112188 - Outgoing Shipment comment)</w:t>
            </w:r>
          </w:p>
          <w:p w14:paraId="61374CFB"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Outgoing Shipment: Added fourth paragraph pertaining to entering a comment in the Outgoing Shipment comment context (BR_11.23).</w:t>
            </w:r>
          </w:p>
          <w:p w14:paraId="219110DA"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Outgoing Shipment, Assumptions: Removed first sub-bullet under second bullet which said, "Were entered in the division".</w:t>
            </w:r>
          </w:p>
          <w:p w14:paraId="5540429A"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Outgoing Shipment, Outcome: Revised first and fourth bullets.</w:t>
            </w:r>
          </w:p>
          <w:p w14:paraId="1D47EBC2"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Outgoing Shipment, Limitations and Restrictions: Revised second bullet. Removed third bullet pertaining to user creating an invoice and cancelling before saving. Removed fourth bullet pertaining to patient first name and ID. Removed last bullet pertaining to cost entry. Also updated from Appendix D.</w:t>
            </w:r>
          </w:p>
          <w:p w14:paraId="6B2C34D6"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Outgoing Shipment, paragraphs before steps: Revised.</w:t>
            </w:r>
          </w:p>
          <w:p w14:paraId="19F3DAE6"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Outgoing Shipment, Step 3: Revised second note, removed third note pertaining to shipping destination (BR_11.10), and removed last note pertaining to a shipper must be marked as an active collection facility (BR_8.03).</w:t>
            </w:r>
          </w:p>
          <w:p w14:paraId="3B21656C"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Outgoing Shipment, Step 4: Revised User Action.</w:t>
            </w:r>
          </w:p>
          <w:p w14:paraId="0B3CBF19"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Outgoing Shipment, Steps 5 and 6: Merged to new Step 5, revised User Action and VBECS columns.</w:t>
            </w:r>
          </w:p>
          <w:p w14:paraId="347BD3E9"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Outgoing Shipment, Step 6: Moved old Step 9 to new Step 6, resorted bullets, and removed the second Note pertaining to pressing the application key.</w:t>
            </w:r>
          </w:p>
          <w:p w14:paraId="0D7D6378"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Outgoing Shipment, Step 7: New step added for editing unit comment (BR_11.23).</w:t>
            </w:r>
          </w:p>
          <w:p w14:paraId="1E5DB38F"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Outgoing Shipment, Step 8: Revised User Action and VBECS columns, and separated cancel action to new Step 9.</w:t>
            </w:r>
          </w:p>
          <w:p w14:paraId="0BBE3AF0"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Outgoing Shipment, Step 10: Revised User Action and VBECS columns, and moved fourth and fifth Notes to Step 12 (BR_11.18, BR_17.02).</w:t>
            </w:r>
          </w:p>
          <w:p w14:paraId="1BE7AF54"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Outgoing Shipment, Step 11: Revised User Action and both bullets under Note.</w:t>
            </w:r>
          </w:p>
          <w:p w14:paraId="223DEE74"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Outgoing Shipment, Step 12: Revised second bullet and removed Note pertaining to no information to include in the invoice (BR_92.07).</w:t>
            </w:r>
          </w:p>
          <w:p w14:paraId="3CF18FD0"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Figures 49, 51, 52 (old Figures 52, 53, 59): Replaced</w:t>
            </w:r>
          </w:p>
          <w:p w14:paraId="1A26F6D5"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Figure 50: New Figure added.</w:t>
            </w:r>
          </w:p>
          <w:p w14:paraId="63D7FBCE"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Old Figures 50, 51, 54, 55, 56, 57, 58: Figures removed.</w:t>
            </w:r>
          </w:p>
          <w:p w14:paraId="6FE3F10A"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Appendix B, Table 17: Resorted alphabetically and added Outgoing Shipment row.</w:t>
            </w:r>
          </w:p>
          <w:p w14:paraId="16A2F95B" w14:textId="77777777" w:rsidR="00193E97" w:rsidRPr="00522908" w:rsidRDefault="00193E97" w:rsidP="00193E97">
            <w:pPr>
              <w:ind w:left="136" w:hanging="136"/>
              <w:rPr>
                <w:rFonts w:ascii="Arial" w:hAnsi="Arial" w:cs="Arial"/>
                <w:b/>
                <w:bCs/>
                <w:vanish/>
                <w:sz w:val="18"/>
                <w:szCs w:val="18"/>
              </w:rPr>
            </w:pPr>
          </w:p>
          <w:p w14:paraId="0544E11E"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70877, Task 112100 - Outgoing Shipment visual inspection)</w:t>
            </w:r>
          </w:p>
          <w:p w14:paraId="3E7CF332"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Outgoing Shipment, Step 10: Merged Steps 9 and 10 and added second and third Notes (BR_11.24).</w:t>
            </w:r>
          </w:p>
          <w:p w14:paraId="5A8AA0F3" w14:textId="77777777" w:rsidR="00193E97" w:rsidRPr="00522908" w:rsidRDefault="00193E97" w:rsidP="00193E97">
            <w:pPr>
              <w:ind w:left="136" w:hanging="136"/>
              <w:rPr>
                <w:rFonts w:ascii="Arial" w:hAnsi="Arial" w:cs="Arial"/>
                <w:vanish/>
                <w:sz w:val="18"/>
                <w:szCs w:val="18"/>
              </w:rPr>
            </w:pPr>
          </w:p>
          <w:p w14:paraId="134D77AD"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69246, Task 112118 - blood product updates)</w:t>
            </w:r>
          </w:p>
          <w:p w14:paraId="1DF4E2D2"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Modify Units, Step 6: Remove second Note reference to Appendix B.</w:t>
            </w:r>
          </w:p>
          <w:p w14:paraId="56AE43E4"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Modify Units: Split a Unit, Step 9: Removed reference to Appendix B from first Note.</w:t>
            </w:r>
          </w:p>
          <w:p w14:paraId="766F651B"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Appendix B, Table 22: Removed table (TT_26.02A).</w:t>
            </w:r>
          </w:p>
          <w:p w14:paraId="2A86B080" w14:textId="77777777" w:rsidR="00193E97" w:rsidRPr="00522908" w:rsidRDefault="00193E97" w:rsidP="00193E97">
            <w:pPr>
              <w:ind w:left="136" w:hanging="136"/>
              <w:rPr>
                <w:rFonts w:ascii="Arial" w:hAnsi="Arial" w:cs="Arial"/>
                <w:vanish/>
                <w:sz w:val="18"/>
                <w:szCs w:val="18"/>
              </w:rPr>
            </w:pPr>
          </w:p>
          <w:p w14:paraId="0C2DE35D" w14:textId="77777777" w:rsidR="00193E97" w:rsidRPr="00522908" w:rsidRDefault="00193E97" w:rsidP="00193E97">
            <w:pPr>
              <w:pStyle w:val="TableTextBullet"/>
              <w:numPr>
                <w:ilvl w:val="0"/>
                <w:numId w:val="0"/>
              </w:numPr>
              <w:tabs>
                <w:tab w:val="left" w:pos="720"/>
              </w:tabs>
              <w:ind w:left="136" w:hanging="136"/>
              <w:rPr>
                <w:rFonts w:cs="Arial"/>
                <w:vanish/>
                <w:szCs w:val="18"/>
              </w:rPr>
            </w:pPr>
            <w:r w:rsidRPr="00522908">
              <w:rPr>
                <w:rFonts w:cs="Arial"/>
                <w:vanish/>
                <w:szCs w:val="18"/>
              </w:rPr>
              <w:t>(for Task 68304)</w:t>
            </w:r>
          </w:p>
          <w:p w14:paraId="5778177D"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Discard or Quarantine Unit, Limitations and Restrictions: Revised third bullet. Also made same changes in Appendix D. Also made same change in Appendix D.</w:t>
            </w:r>
          </w:p>
          <w:p w14:paraId="3529F2CC" w14:textId="77777777" w:rsidR="00193E97" w:rsidRPr="00522908" w:rsidRDefault="00193E97" w:rsidP="00193E97">
            <w:pPr>
              <w:pStyle w:val="TableTextBullet"/>
              <w:numPr>
                <w:ilvl w:val="0"/>
                <w:numId w:val="0"/>
              </w:numPr>
              <w:tabs>
                <w:tab w:val="left" w:pos="720"/>
              </w:tabs>
              <w:ind w:left="136" w:hanging="136"/>
              <w:rPr>
                <w:rFonts w:cs="Arial"/>
                <w:vanish/>
                <w:szCs w:val="18"/>
              </w:rPr>
            </w:pPr>
            <w:r w:rsidRPr="00522908">
              <w:rPr>
                <w:rFonts w:cs="Arial"/>
                <w:vanish/>
                <w:szCs w:val="18"/>
              </w:rPr>
              <w:t>Discard or Quarantine Unit, Step 6: Added last Note for quarantine or discard of assigned or crossmatched blood units (BR_27.20).</w:t>
            </w:r>
          </w:p>
          <w:p w14:paraId="25545487" w14:textId="77777777" w:rsidR="00193E97" w:rsidRPr="00522908" w:rsidRDefault="00193E97" w:rsidP="00193E97">
            <w:pPr>
              <w:ind w:left="136" w:hanging="136"/>
              <w:rPr>
                <w:rFonts w:ascii="Arial" w:hAnsi="Arial" w:cs="Arial"/>
                <w:vanish/>
                <w:sz w:val="18"/>
                <w:szCs w:val="18"/>
              </w:rPr>
            </w:pPr>
          </w:p>
          <w:p w14:paraId="2F3B7F68"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Task 127720 KDA)</w:t>
            </w:r>
          </w:p>
          <w:p w14:paraId="189393BF"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Issue Blood Components, Limitations and Restrictions: Revised second bullet, and added last bullet for units being released by another user. Also added to Appendix D.</w:t>
            </w:r>
          </w:p>
          <w:p w14:paraId="7097CD7E" w14:textId="77777777" w:rsidR="00193E97" w:rsidRPr="00522908" w:rsidRDefault="00193E97" w:rsidP="00193E97">
            <w:pPr>
              <w:ind w:left="136" w:hanging="136"/>
              <w:rPr>
                <w:rFonts w:ascii="Arial" w:hAnsi="Arial" w:cs="Arial"/>
                <w:vanish/>
                <w:sz w:val="18"/>
                <w:szCs w:val="18"/>
              </w:rPr>
            </w:pPr>
          </w:p>
          <w:p w14:paraId="0AB34314"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Task 56830)</w:t>
            </w:r>
          </w:p>
          <w:p w14:paraId="1A2103C0"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Issue Blood Components, Step 4: Revised fourth Note (BR_73.09).</w:t>
            </w:r>
          </w:p>
          <w:p w14:paraId="7F999A0A" w14:textId="77777777" w:rsidR="00193E97" w:rsidRPr="00522908" w:rsidRDefault="00193E97" w:rsidP="00193E97">
            <w:pPr>
              <w:ind w:left="136" w:hanging="136"/>
              <w:rPr>
                <w:rFonts w:ascii="Arial" w:hAnsi="Arial" w:cs="Arial"/>
                <w:vanish/>
                <w:sz w:val="18"/>
                <w:szCs w:val="18"/>
              </w:rPr>
            </w:pPr>
          </w:p>
          <w:p w14:paraId="42B761CD"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Task 89693)</w:t>
            </w:r>
          </w:p>
          <w:p w14:paraId="102FCC2B"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Alerts, Table 7, fourteenth row, last paragraph: Removed Specimen UID bullet.</w:t>
            </w:r>
          </w:p>
          <w:p w14:paraId="14B8472B" w14:textId="77777777" w:rsidR="00193E97" w:rsidRPr="00522908" w:rsidRDefault="00193E97" w:rsidP="00193E97">
            <w:pPr>
              <w:ind w:left="136" w:hanging="136"/>
              <w:rPr>
                <w:rFonts w:ascii="Arial" w:hAnsi="Arial" w:cs="Arial"/>
                <w:vanish/>
                <w:sz w:val="18"/>
                <w:szCs w:val="18"/>
              </w:rPr>
            </w:pPr>
          </w:p>
          <w:p w14:paraId="7C8F0346"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89535, Task 112103 - Return Unit comment)</w:t>
            </w:r>
          </w:p>
          <w:p w14:paraId="157D9FA6"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Return Issued Units to Blood Bank: Added second paragraph pertaining to entering a comment in the Unit Return comment context (BR_59.15).</w:t>
            </w:r>
          </w:p>
          <w:p w14:paraId="0F6269AA"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Return Issued Units to Blood Bank, Step 5: Added fifth Note (BR_59.15).</w:t>
            </w:r>
          </w:p>
          <w:p w14:paraId="4D7C67BD" w14:textId="77777777" w:rsidR="00193E97" w:rsidRPr="00522908" w:rsidRDefault="00193E97" w:rsidP="00193E97">
            <w:pPr>
              <w:ind w:left="136" w:hanging="136"/>
              <w:rPr>
                <w:rFonts w:ascii="Arial" w:hAnsi="Arial" w:cs="Arial"/>
                <w:vanish/>
                <w:sz w:val="18"/>
                <w:szCs w:val="18"/>
              </w:rPr>
            </w:pPr>
          </w:p>
          <w:p w14:paraId="38A4945A"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69144, Task 112203)</w:t>
            </w:r>
          </w:p>
          <w:p w14:paraId="1CDC209B"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Return Issued Units to Blood Bank: Removed Step 2, moved second bullet and both Notes from Step 1 to new Step 4, and merged old Steps 5 and 6 to new Step 5.</w:t>
            </w:r>
          </w:p>
          <w:p w14:paraId="43DBA0F7"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Figure 76 (old Figure 84): Replaced</w:t>
            </w:r>
          </w:p>
          <w:p w14:paraId="5BBB0895" w14:textId="77777777" w:rsidR="00193E97" w:rsidRPr="00522908" w:rsidRDefault="00193E97" w:rsidP="00193E97">
            <w:pPr>
              <w:pStyle w:val="TableTextBullet"/>
              <w:numPr>
                <w:ilvl w:val="0"/>
                <w:numId w:val="0"/>
              </w:numPr>
              <w:tabs>
                <w:tab w:val="left" w:pos="720"/>
              </w:tabs>
              <w:ind w:left="136" w:hanging="136"/>
              <w:rPr>
                <w:rFonts w:cs="Arial"/>
                <w:vanish/>
                <w:szCs w:val="18"/>
              </w:rPr>
            </w:pPr>
          </w:p>
          <w:p w14:paraId="314528B4"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Defect 70206, Task 112205)</w:t>
            </w:r>
          </w:p>
          <w:p w14:paraId="45373C6F"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Release Units from Patient Assignment, Limitations and Restrictions – Removed third bullet pertaining to avoiding units being issued by another user prior to release process completion. Same change also made in Appendix D.</w:t>
            </w:r>
          </w:p>
          <w:p w14:paraId="73164D41" w14:textId="77777777" w:rsidR="00193E97" w:rsidRPr="00522908" w:rsidRDefault="00193E97" w:rsidP="00193E97">
            <w:pPr>
              <w:ind w:left="136" w:hanging="136"/>
              <w:rPr>
                <w:rFonts w:ascii="Arial" w:hAnsi="Arial" w:cs="Arial"/>
                <w:vanish/>
                <w:sz w:val="18"/>
                <w:szCs w:val="18"/>
              </w:rPr>
            </w:pPr>
          </w:p>
          <w:p w14:paraId="399EBC23"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64722, Task 112117)</w:t>
            </w:r>
          </w:p>
          <w:p w14:paraId="19A45891"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Accept Orders, Accept an Order, Limitations and Restrictions: Removed sixth bullet pertaining to the Display Restricted or Assigned Units button being disabled. Same change made in Appendix D.</w:t>
            </w:r>
          </w:p>
          <w:p w14:paraId="50E681F3" w14:textId="77777777" w:rsidR="00193E97" w:rsidRPr="00522908" w:rsidRDefault="00193E97" w:rsidP="00193E97">
            <w:pPr>
              <w:ind w:left="136" w:hanging="136"/>
              <w:rPr>
                <w:rFonts w:ascii="Arial" w:hAnsi="Arial" w:cs="Arial"/>
                <w:vanish/>
                <w:sz w:val="18"/>
                <w:szCs w:val="18"/>
              </w:rPr>
            </w:pPr>
          </w:p>
          <w:p w14:paraId="361427DC"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63954)</w:t>
            </w:r>
          </w:p>
          <w:p w14:paraId="3E4A01EE"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Accept Orders, Accept an Order, Limitations and Restrictions: Removed seventh bullet pertaining to the Received and Wanted column headers not sorting. Same change made in Appendix D.</w:t>
            </w:r>
          </w:p>
          <w:p w14:paraId="3838ED97" w14:textId="77777777" w:rsidR="00193E97" w:rsidRPr="00522908" w:rsidRDefault="00193E97" w:rsidP="00193E97">
            <w:pPr>
              <w:ind w:left="136" w:hanging="136"/>
              <w:rPr>
                <w:rFonts w:ascii="Arial" w:hAnsi="Arial" w:cs="Arial"/>
                <w:vanish/>
                <w:sz w:val="18"/>
                <w:szCs w:val="18"/>
              </w:rPr>
            </w:pPr>
          </w:p>
          <w:p w14:paraId="7AFF836F"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64738)</w:t>
            </w:r>
          </w:p>
          <w:p w14:paraId="37622167"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Accept Orders, Accept an Order, Limitations and Restrictions: Removed eighth bullet pertaining to only the first twenty (20) characters of the Ordering Division field being visible. Same change made in Appendix D.</w:t>
            </w:r>
          </w:p>
          <w:p w14:paraId="4AA82B6F" w14:textId="77777777" w:rsidR="00193E97" w:rsidRPr="00522908" w:rsidRDefault="00193E97" w:rsidP="00193E97">
            <w:pPr>
              <w:ind w:left="136" w:hanging="136"/>
              <w:rPr>
                <w:rFonts w:ascii="Arial" w:hAnsi="Arial" w:cs="Arial"/>
                <w:vanish/>
                <w:sz w:val="18"/>
                <w:szCs w:val="18"/>
              </w:rPr>
            </w:pPr>
          </w:p>
          <w:p w14:paraId="309711F3"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68749, Task 112108 - patient historical record check)</w:t>
            </w:r>
          </w:p>
          <w:p w14:paraId="2E985BD7"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Accept Orders: Accept an Order, Step 8: Added seventh Note (BR_16.24).</w:t>
            </w:r>
          </w:p>
          <w:p w14:paraId="2608024D" w14:textId="77777777" w:rsidR="00193E97" w:rsidRPr="00522908" w:rsidRDefault="00193E97" w:rsidP="00193E97">
            <w:pPr>
              <w:pStyle w:val="TableTextBullet"/>
              <w:numPr>
                <w:ilvl w:val="0"/>
                <w:numId w:val="0"/>
              </w:numPr>
              <w:tabs>
                <w:tab w:val="left" w:pos="720"/>
              </w:tabs>
              <w:ind w:left="136" w:hanging="136"/>
              <w:rPr>
                <w:rFonts w:cs="Arial"/>
                <w:vanish/>
                <w:szCs w:val="18"/>
              </w:rPr>
            </w:pPr>
          </w:p>
          <w:p w14:paraId="1C4D0A7C"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64624)</w:t>
            </w:r>
          </w:p>
          <w:p w14:paraId="5297E799"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Maintain Specimen, Step 3: Removed hidden text "Defect 209734" from second Note.</w:t>
            </w:r>
          </w:p>
          <w:p w14:paraId="289CCD66" w14:textId="77777777" w:rsidR="00193E97" w:rsidRPr="00522908" w:rsidRDefault="00193E97" w:rsidP="00193E97">
            <w:pPr>
              <w:ind w:left="136" w:hanging="136"/>
              <w:rPr>
                <w:rFonts w:ascii="Arial" w:hAnsi="Arial" w:cs="Arial"/>
                <w:vanish/>
                <w:sz w:val="18"/>
                <w:szCs w:val="18"/>
              </w:rPr>
            </w:pPr>
          </w:p>
          <w:p w14:paraId="22807C5A"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87074, Task 112184 - transfusion reaction types)</w:t>
            </w:r>
          </w:p>
          <w:p w14:paraId="362F484F"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Figure 108 (old Figure 116): Replaced.</w:t>
            </w:r>
          </w:p>
          <w:p w14:paraId="4EF5E0B4"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Finalize/Print TRW, Table 12: Replaced.</w:t>
            </w:r>
          </w:p>
          <w:p w14:paraId="49BA49B5" w14:textId="77777777" w:rsidR="00193E97" w:rsidRPr="00522908" w:rsidRDefault="00193E97" w:rsidP="00193E97">
            <w:pPr>
              <w:ind w:left="136" w:hanging="136"/>
              <w:rPr>
                <w:rFonts w:ascii="Arial" w:hAnsi="Arial" w:cs="Arial"/>
                <w:vanish/>
                <w:sz w:val="18"/>
                <w:szCs w:val="18"/>
              </w:rPr>
            </w:pPr>
          </w:p>
          <w:p w14:paraId="0AAA8950"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63688)</w:t>
            </w:r>
          </w:p>
          <w:p w14:paraId="4B626C66"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Audit Trail, Additional Information: Removed second bullet pertaining to only 5 digits of the product code being displayed.</w:t>
            </w:r>
          </w:p>
          <w:p w14:paraId="19E55096" w14:textId="77777777" w:rsidR="00193E97" w:rsidRPr="00522908" w:rsidRDefault="00193E97" w:rsidP="00193E97">
            <w:pPr>
              <w:pStyle w:val="TableTextBullet"/>
              <w:numPr>
                <w:ilvl w:val="0"/>
                <w:numId w:val="0"/>
              </w:numPr>
              <w:tabs>
                <w:tab w:val="left" w:pos="720"/>
              </w:tabs>
              <w:ind w:left="136" w:hanging="136"/>
              <w:rPr>
                <w:rFonts w:cs="Arial"/>
                <w:vanish/>
                <w:szCs w:val="18"/>
              </w:rPr>
            </w:pPr>
          </w:p>
          <w:p w14:paraId="0D514191"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Task 116210)</w:t>
            </w:r>
          </w:p>
          <w:p w14:paraId="014D1E90"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Unit History Report, Step 4: Revised seventh and eighth Notes.</w:t>
            </w:r>
          </w:p>
          <w:p w14:paraId="069A2759" w14:textId="77777777" w:rsidR="00193E97" w:rsidRPr="00522908" w:rsidRDefault="00193E97" w:rsidP="00193E97">
            <w:pPr>
              <w:ind w:left="136" w:hanging="136"/>
              <w:rPr>
                <w:rFonts w:ascii="Arial" w:hAnsi="Arial" w:cs="Arial"/>
                <w:vanish/>
                <w:sz w:val="18"/>
                <w:szCs w:val="18"/>
              </w:rPr>
            </w:pPr>
          </w:p>
          <w:p w14:paraId="62E43B2D" w14:textId="77777777" w:rsidR="00193E97" w:rsidRPr="00522908" w:rsidRDefault="00193E97" w:rsidP="00193E97">
            <w:pPr>
              <w:ind w:left="136" w:hanging="136"/>
              <w:rPr>
                <w:rFonts w:ascii="Arial" w:hAnsi="Arial" w:cs="Arial"/>
                <w:vanish/>
                <w:sz w:val="18"/>
                <w:szCs w:val="18"/>
              </w:rPr>
            </w:pPr>
            <w:r w:rsidRPr="00522908">
              <w:rPr>
                <w:rFonts w:ascii="Arial" w:hAnsi="Arial" w:cs="Arial"/>
                <w:vanish/>
                <w:sz w:val="18"/>
                <w:szCs w:val="18"/>
              </w:rPr>
              <w:t>(for Bug 76787, Task 112112 - Anti-f)</w:t>
            </w:r>
          </w:p>
          <w:p w14:paraId="4B4F73D5" w14:textId="68BF1B5F" w:rsidR="0002759E" w:rsidRPr="00522908" w:rsidRDefault="00193E97" w:rsidP="00193E97">
            <w:pPr>
              <w:ind w:left="136" w:hanging="136"/>
              <w:rPr>
                <w:rFonts w:ascii="Arial" w:hAnsi="Arial" w:cs="Arial"/>
                <w:sz w:val="18"/>
                <w:szCs w:val="18"/>
              </w:rPr>
            </w:pPr>
            <w:r w:rsidRPr="00522908">
              <w:rPr>
                <w:rFonts w:ascii="Arial" w:hAnsi="Arial" w:cs="Arial"/>
                <w:vanish/>
                <w:sz w:val="18"/>
                <w:szCs w:val="18"/>
              </w:rPr>
              <w:t>Appendix B, Table 14, Anti-f row: Revised Antibody Name VBECS and Associated Antigen VBECS columns.</w:t>
            </w:r>
          </w:p>
        </w:tc>
        <w:tc>
          <w:tcPr>
            <w:tcW w:w="1098" w:type="dxa"/>
          </w:tcPr>
          <w:p w14:paraId="421B7FDB" w14:textId="77777777" w:rsidR="00AD2C30" w:rsidRDefault="00AD2C30" w:rsidP="00237FB5">
            <w:pPr>
              <w:pStyle w:val="TableText"/>
            </w:pPr>
            <w:r>
              <w:t>BBM Team</w:t>
            </w:r>
          </w:p>
        </w:tc>
      </w:tr>
      <w:tr w:rsidR="0002759E" w:rsidRPr="009D5AF3" w14:paraId="4E2A01BF" w14:textId="77777777" w:rsidTr="00736D67">
        <w:tc>
          <w:tcPr>
            <w:tcW w:w="918" w:type="dxa"/>
          </w:tcPr>
          <w:p w14:paraId="4732BA6D" w14:textId="499B289C" w:rsidR="0002759E" w:rsidRDefault="0002759E" w:rsidP="0002759E">
            <w:pPr>
              <w:pStyle w:val="TableText"/>
            </w:pPr>
            <w:r>
              <w:t>10/2</w:t>
            </w:r>
            <w:r w:rsidR="00676270">
              <w:t>4</w:t>
            </w:r>
            <w:r>
              <w:t>/23</w:t>
            </w:r>
          </w:p>
        </w:tc>
        <w:tc>
          <w:tcPr>
            <w:tcW w:w="990" w:type="dxa"/>
          </w:tcPr>
          <w:p w14:paraId="0026B5D4" w14:textId="5B267D60" w:rsidR="0002759E" w:rsidRDefault="0002759E" w:rsidP="0002759E">
            <w:pPr>
              <w:pStyle w:val="TableText"/>
            </w:pPr>
            <w:r>
              <w:t>2.0</w:t>
            </w:r>
          </w:p>
        </w:tc>
        <w:tc>
          <w:tcPr>
            <w:tcW w:w="7174" w:type="dxa"/>
          </w:tcPr>
          <w:p w14:paraId="7A13F213" w14:textId="67677EA4" w:rsidR="0002759E" w:rsidRDefault="0002759E" w:rsidP="0002759E">
            <w:pPr>
              <w:ind w:left="136" w:hanging="136"/>
              <w:rPr>
                <w:rFonts w:ascii="Arial" w:hAnsi="Arial" w:cs="Arial"/>
                <w:sz w:val="18"/>
                <w:szCs w:val="18"/>
              </w:rPr>
            </w:pPr>
            <w:r w:rsidRPr="00522908">
              <w:rPr>
                <w:rFonts w:ascii="Arial" w:hAnsi="Arial" w:cs="Arial"/>
                <w:sz w:val="18"/>
                <w:szCs w:val="18"/>
              </w:rPr>
              <w:t>VBECS 2.3.4 Rev B</w:t>
            </w:r>
          </w:p>
          <w:p w14:paraId="08724D59" w14:textId="16EBC15C" w:rsidR="001220FF" w:rsidRPr="005B6A9C" w:rsidRDefault="001220FF" w:rsidP="0002759E">
            <w:pPr>
              <w:ind w:left="136" w:hanging="136"/>
              <w:rPr>
                <w:rFonts w:ascii="Arial" w:hAnsi="Arial" w:cs="Arial"/>
                <w:vanish/>
                <w:sz w:val="18"/>
                <w:szCs w:val="18"/>
              </w:rPr>
            </w:pPr>
            <w:r w:rsidRPr="005B6A9C">
              <w:rPr>
                <w:rFonts w:ascii="Arial" w:hAnsi="Arial" w:cs="Arial"/>
                <w:vanish/>
                <w:sz w:val="18"/>
                <w:szCs w:val="18"/>
              </w:rPr>
              <w:t>(Task 145375)</w:t>
            </w:r>
          </w:p>
          <w:p w14:paraId="67CC7DA0" w14:textId="2D64B0B1" w:rsidR="0002759E" w:rsidRDefault="0002759E" w:rsidP="001220FF">
            <w:pPr>
              <w:ind w:left="136" w:hanging="136"/>
              <w:rPr>
                <w:rFonts w:ascii="Arial" w:hAnsi="Arial" w:cs="Arial"/>
                <w:sz w:val="18"/>
                <w:szCs w:val="18"/>
              </w:rPr>
            </w:pPr>
            <w:r w:rsidRPr="001220FF">
              <w:rPr>
                <w:rFonts w:ascii="Arial" w:hAnsi="Arial" w:cs="Arial"/>
                <w:sz w:val="18"/>
                <w:szCs w:val="18"/>
              </w:rPr>
              <w:t xml:space="preserve">Getting Help from Customer Support section: Added </w:t>
            </w:r>
            <w:r w:rsidR="001220FF">
              <w:rPr>
                <w:rFonts w:ascii="Arial" w:hAnsi="Arial" w:cs="Arial"/>
                <w:sz w:val="18"/>
                <w:szCs w:val="18"/>
              </w:rPr>
              <w:t>information on</w:t>
            </w:r>
            <w:r w:rsidRPr="001220FF">
              <w:rPr>
                <w:rFonts w:ascii="Arial" w:hAnsi="Arial" w:cs="Arial"/>
                <w:sz w:val="18"/>
                <w:szCs w:val="18"/>
              </w:rPr>
              <w:t xml:space="preserve"> Getting Help page</w:t>
            </w:r>
            <w:r w:rsidR="005B6A9C">
              <w:rPr>
                <w:rFonts w:ascii="Arial" w:hAnsi="Arial" w:cs="Arial"/>
                <w:sz w:val="18"/>
                <w:szCs w:val="18"/>
              </w:rPr>
              <w:t>.</w:t>
            </w:r>
          </w:p>
          <w:p w14:paraId="48E813B7" w14:textId="02EA3F45" w:rsidR="005B6A9C" w:rsidRPr="005B6A9C" w:rsidRDefault="005B6A9C" w:rsidP="001220FF">
            <w:pPr>
              <w:ind w:left="136" w:hanging="136"/>
              <w:rPr>
                <w:rFonts w:ascii="Arial" w:hAnsi="Arial" w:cs="Arial"/>
                <w:vanish/>
                <w:sz w:val="18"/>
                <w:szCs w:val="18"/>
              </w:rPr>
            </w:pPr>
            <w:r w:rsidRPr="005B6A9C">
              <w:rPr>
                <w:rFonts w:ascii="Arial" w:hAnsi="Arial" w:cs="Arial"/>
                <w:vanish/>
                <w:sz w:val="18"/>
                <w:szCs w:val="18"/>
              </w:rPr>
              <w:t>(Task 180101)</w:t>
            </w:r>
          </w:p>
          <w:p w14:paraId="3E17971C" w14:textId="1953C035" w:rsidR="005B6A9C" w:rsidRPr="00522908" w:rsidRDefault="005B6A9C" w:rsidP="005B6A9C">
            <w:pPr>
              <w:ind w:left="136" w:hanging="136"/>
              <w:rPr>
                <w:rFonts w:ascii="Arial" w:hAnsi="Arial" w:cs="Arial"/>
                <w:sz w:val="18"/>
                <w:szCs w:val="18"/>
              </w:rPr>
            </w:pPr>
            <w:r w:rsidRPr="00522908">
              <w:rPr>
                <w:rFonts w:ascii="Arial" w:hAnsi="Arial" w:cs="Arial"/>
                <w:sz w:val="18"/>
                <w:szCs w:val="18"/>
              </w:rPr>
              <w:t>Automated Testing Interface, Limitations and Restrictions: Added new last bullet pertaining to automated testing results.</w:t>
            </w:r>
          </w:p>
          <w:p w14:paraId="2AFC4C7A" w14:textId="3536767F" w:rsidR="0002759E" w:rsidRPr="001220FF" w:rsidRDefault="0002759E" w:rsidP="001220FF">
            <w:pPr>
              <w:ind w:left="136" w:hanging="136"/>
              <w:rPr>
                <w:rFonts w:ascii="Arial" w:hAnsi="Arial" w:cs="Arial"/>
                <w:sz w:val="18"/>
                <w:szCs w:val="18"/>
              </w:rPr>
            </w:pPr>
            <w:r w:rsidRPr="001220FF">
              <w:rPr>
                <w:rFonts w:ascii="Arial" w:hAnsi="Arial" w:cs="Arial"/>
                <w:sz w:val="18"/>
                <w:szCs w:val="18"/>
              </w:rPr>
              <w:t>Spell Check section</w:t>
            </w:r>
            <w:r w:rsidR="005B6A9C">
              <w:rPr>
                <w:rFonts w:ascii="Arial" w:hAnsi="Arial" w:cs="Arial"/>
                <w:sz w:val="18"/>
                <w:szCs w:val="18"/>
              </w:rPr>
              <w:t>: Section removed</w:t>
            </w:r>
            <w:r w:rsidRPr="001220FF">
              <w:rPr>
                <w:rFonts w:ascii="Arial" w:hAnsi="Arial" w:cs="Arial"/>
                <w:sz w:val="18"/>
                <w:szCs w:val="18"/>
              </w:rPr>
              <w:t>.</w:t>
            </w:r>
          </w:p>
          <w:p w14:paraId="080CD089" w14:textId="0C63F154" w:rsidR="00227337" w:rsidRPr="005B6A9C" w:rsidRDefault="00227337" w:rsidP="0002759E">
            <w:pPr>
              <w:ind w:left="136" w:hanging="136"/>
              <w:rPr>
                <w:rFonts w:ascii="Arial" w:hAnsi="Arial" w:cs="Arial"/>
                <w:vanish/>
                <w:sz w:val="18"/>
                <w:szCs w:val="18"/>
              </w:rPr>
            </w:pPr>
            <w:r w:rsidRPr="00522908">
              <w:rPr>
                <w:rFonts w:ascii="Arial" w:hAnsi="Arial" w:cs="Arial"/>
                <w:sz w:val="18"/>
                <w:szCs w:val="18"/>
              </w:rPr>
              <w:t>Appendix F</w:t>
            </w:r>
            <w:r w:rsidR="005B6A9C">
              <w:rPr>
                <w:rFonts w:ascii="Arial" w:hAnsi="Arial" w:cs="Arial"/>
                <w:sz w:val="18"/>
                <w:szCs w:val="18"/>
              </w:rPr>
              <w:t>, System Validation, Prerequisites sub-section</w:t>
            </w:r>
            <w:r w:rsidRPr="00522908">
              <w:rPr>
                <w:rFonts w:ascii="Arial" w:hAnsi="Arial" w:cs="Arial"/>
                <w:sz w:val="18"/>
                <w:szCs w:val="18"/>
              </w:rPr>
              <w:t xml:space="preserve">: </w:t>
            </w:r>
            <w:r w:rsidR="005B6A9C">
              <w:rPr>
                <w:rFonts w:ascii="Arial" w:hAnsi="Arial" w:cs="Arial"/>
                <w:sz w:val="18"/>
                <w:szCs w:val="18"/>
              </w:rPr>
              <w:t>Sub-section re</w:t>
            </w:r>
            <w:r w:rsidRPr="00522908">
              <w:rPr>
                <w:rFonts w:ascii="Arial" w:hAnsi="Arial" w:cs="Arial"/>
                <w:sz w:val="18"/>
                <w:szCs w:val="18"/>
              </w:rPr>
              <w:t>moved.</w:t>
            </w:r>
          </w:p>
          <w:p w14:paraId="4AFB6DAB" w14:textId="419DFA1D" w:rsidR="0093638C" w:rsidRPr="005B6A9C" w:rsidRDefault="0093638C" w:rsidP="001220FF">
            <w:pPr>
              <w:ind w:left="136" w:hanging="136"/>
              <w:rPr>
                <w:rFonts w:ascii="Arial" w:hAnsi="Arial" w:cs="Arial"/>
                <w:vanish/>
                <w:sz w:val="18"/>
                <w:szCs w:val="18"/>
              </w:rPr>
            </w:pPr>
            <w:r w:rsidRPr="005B6A9C">
              <w:rPr>
                <w:rFonts w:ascii="Arial" w:hAnsi="Arial" w:cs="Arial"/>
                <w:vanish/>
                <w:sz w:val="18"/>
                <w:szCs w:val="18"/>
              </w:rPr>
              <w:t xml:space="preserve">Table 28: Changed </w:t>
            </w:r>
            <w:r w:rsidR="005B6A9C" w:rsidRPr="005B6A9C">
              <w:rPr>
                <w:rFonts w:ascii="Arial" w:hAnsi="Arial" w:cs="Arial"/>
                <w:vanish/>
                <w:sz w:val="18"/>
                <w:szCs w:val="18"/>
              </w:rPr>
              <w:t xml:space="preserve">example </w:t>
            </w:r>
            <w:r w:rsidRPr="005B6A9C">
              <w:rPr>
                <w:rFonts w:ascii="Arial" w:hAnsi="Arial" w:cs="Arial"/>
                <w:vanish/>
                <w:sz w:val="18"/>
                <w:szCs w:val="18"/>
              </w:rPr>
              <w:t>“04020” to “E0142”.</w:t>
            </w:r>
          </w:p>
          <w:p w14:paraId="681A2B67" w14:textId="4EAD0940" w:rsidR="00227337" w:rsidRPr="00522908" w:rsidRDefault="00227337" w:rsidP="005B6A9C">
            <w:pPr>
              <w:ind w:left="136" w:hanging="136"/>
              <w:rPr>
                <w:rFonts w:ascii="Arial" w:hAnsi="Arial" w:cs="Arial"/>
                <w:sz w:val="18"/>
                <w:szCs w:val="18"/>
              </w:rPr>
            </w:pPr>
            <w:r w:rsidRPr="005B6A9C">
              <w:rPr>
                <w:rFonts w:ascii="Arial" w:hAnsi="Arial" w:cs="Arial"/>
                <w:vanish/>
                <w:sz w:val="18"/>
                <w:szCs w:val="18"/>
              </w:rPr>
              <w:t>Appendix I, Invalidate Test Results, third sub-bullet</w:t>
            </w:r>
            <w:r w:rsidR="005B0FB7" w:rsidRPr="005B6A9C">
              <w:rPr>
                <w:rFonts w:ascii="Arial" w:hAnsi="Arial" w:cs="Arial"/>
                <w:vanish/>
                <w:sz w:val="18"/>
                <w:szCs w:val="18"/>
              </w:rPr>
              <w:t xml:space="preserve"> and </w:t>
            </w:r>
            <w:r w:rsidR="00CB7A35" w:rsidRPr="005B6A9C">
              <w:rPr>
                <w:rFonts w:ascii="Arial" w:hAnsi="Arial" w:cs="Arial"/>
                <w:vanish/>
                <w:sz w:val="18"/>
                <w:szCs w:val="18"/>
              </w:rPr>
              <w:t>STOP</w:t>
            </w:r>
            <w:r w:rsidR="005B0FB7" w:rsidRPr="005B6A9C">
              <w:rPr>
                <w:rFonts w:ascii="Arial" w:hAnsi="Arial" w:cs="Arial"/>
                <w:vanish/>
                <w:sz w:val="18"/>
                <w:szCs w:val="18"/>
              </w:rPr>
              <w:t xml:space="preserve"> Box</w:t>
            </w:r>
            <w:r w:rsidRPr="005B6A9C">
              <w:rPr>
                <w:rFonts w:ascii="Arial" w:hAnsi="Arial" w:cs="Arial"/>
                <w:vanish/>
                <w:sz w:val="18"/>
                <w:szCs w:val="18"/>
              </w:rPr>
              <w:t xml:space="preserve">: </w:t>
            </w:r>
            <w:r w:rsidR="005B6A9C" w:rsidRPr="005B6A9C">
              <w:rPr>
                <w:rFonts w:ascii="Arial" w:hAnsi="Arial" w:cs="Arial"/>
                <w:vanish/>
                <w:sz w:val="18"/>
                <w:szCs w:val="18"/>
              </w:rPr>
              <w:t>Changed to include the correct checkbox prompt.</w:t>
            </w:r>
          </w:p>
        </w:tc>
        <w:tc>
          <w:tcPr>
            <w:tcW w:w="1098" w:type="dxa"/>
          </w:tcPr>
          <w:p w14:paraId="4F0000C2" w14:textId="417C31F3" w:rsidR="0002759E" w:rsidRDefault="0002759E" w:rsidP="0002759E">
            <w:pPr>
              <w:pStyle w:val="TableText"/>
            </w:pPr>
            <w:r>
              <w:t>BBM Team</w:t>
            </w:r>
          </w:p>
        </w:tc>
      </w:tr>
      <w:tr w:rsidR="007D3487" w:rsidRPr="009D5AF3" w14:paraId="5BDA6F3C" w14:textId="77777777" w:rsidTr="00736D67">
        <w:tc>
          <w:tcPr>
            <w:tcW w:w="918" w:type="dxa"/>
          </w:tcPr>
          <w:p w14:paraId="7419E6CA" w14:textId="350E5AC8" w:rsidR="007D3487" w:rsidRDefault="007D3487" w:rsidP="0002759E">
            <w:pPr>
              <w:pStyle w:val="TableText"/>
            </w:pPr>
            <w:r>
              <w:t>1/</w:t>
            </w:r>
            <w:r w:rsidR="00D92F28">
              <w:t>23</w:t>
            </w:r>
            <w:r>
              <w:t>/24</w:t>
            </w:r>
          </w:p>
        </w:tc>
        <w:tc>
          <w:tcPr>
            <w:tcW w:w="990" w:type="dxa"/>
          </w:tcPr>
          <w:p w14:paraId="20B7B8EA" w14:textId="31B1B8B6" w:rsidR="007D3487" w:rsidRDefault="007D3487" w:rsidP="0002759E">
            <w:pPr>
              <w:pStyle w:val="TableText"/>
            </w:pPr>
            <w:r>
              <w:t>3.0</w:t>
            </w:r>
          </w:p>
        </w:tc>
        <w:tc>
          <w:tcPr>
            <w:tcW w:w="7174" w:type="dxa"/>
          </w:tcPr>
          <w:p w14:paraId="4E1F8312" w14:textId="708106AF" w:rsidR="007D3487" w:rsidRDefault="007D3487" w:rsidP="0002759E">
            <w:pPr>
              <w:ind w:left="136" w:hanging="136"/>
              <w:rPr>
                <w:rFonts w:ascii="Arial" w:hAnsi="Arial" w:cs="Arial"/>
                <w:sz w:val="18"/>
                <w:szCs w:val="18"/>
              </w:rPr>
            </w:pPr>
            <w:r>
              <w:rPr>
                <w:rFonts w:ascii="Arial" w:hAnsi="Arial" w:cs="Arial"/>
                <w:sz w:val="18"/>
                <w:szCs w:val="18"/>
              </w:rPr>
              <w:t>VBECS 2.3.4 Rev B</w:t>
            </w:r>
            <w:r w:rsidR="00F55B36" w:rsidRPr="00D92F28">
              <w:rPr>
                <w:rFonts w:ascii="Arial" w:hAnsi="Arial" w:cs="Arial"/>
                <w:vanish/>
                <w:sz w:val="18"/>
                <w:szCs w:val="18"/>
              </w:rPr>
              <w:t xml:space="preserve"> (Task 190402)</w:t>
            </w:r>
          </w:p>
          <w:p w14:paraId="7FF8FA5C" w14:textId="77777777" w:rsidR="00485C85" w:rsidRDefault="00485C85" w:rsidP="0002759E">
            <w:pPr>
              <w:ind w:left="136" w:hanging="136"/>
              <w:rPr>
                <w:rFonts w:ascii="Arial" w:hAnsi="Arial" w:cs="Arial"/>
                <w:sz w:val="18"/>
                <w:szCs w:val="18"/>
              </w:rPr>
            </w:pPr>
            <w:r>
              <w:rPr>
                <w:rFonts w:ascii="Arial" w:hAnsi="Arial" w:cs="Arial"/>
                <w:sz w:val="18"/>
                <w:szCs w:val="18"/>
              </w:rPr>
              <w:t>Patient Search Screen section, Limitations and Restrictions: Added third b</w:t>
            </w:r>
            <w:r w:rsidR="00D579E9">
              <w:rPr>
                <w:rFonts w:ascii="Arial" w:hAnsi="Arial" w:cs="Arial"/>
                <w:sz w:val="18"/>
                <w:szCs w:val="18"/>
              </w:rPr>
              <w:t>ullet pertaining to data retrieval.</w:t>
            </w:r>
          </w:p>
          <w:p w14:paraId="433DA147" w14:textId="6228B299" w:rsidR="00D579E9" w:rsidRPr="00522908" w:rsidRDefault="00D579E9" w:rsidP="0002759E">
            <w:pPr>
              <w:ind w:left="136" w:hanging="136"/>
              <w:rPr>
                <w:rFonts w:ascii="Arial" w:hAnsi="Arial" w:cs="Arial"/>
                <w:sz w:val="18"/>
                <w:szCs w:val="18"/>
              </w:rPr>
            </w:pPr>
            <w:r>
              <w:rPr>
                <w:rFonts w:ascii="Arial" w:hAnsi="Arial" w:cs="Arial"/>
                <w:sz w:val="18"/>
                <w:szCs w:val="18"/>
              </w:rPr>
              <w:t xml:space="preserve">Appendix D, Table 26, Throughout VBECS section: </w:t>
            </w:r>
            <w:r w:rsidR="00D92F28">
              <w:rPr>
                <w:rFonts w:ascii="Arial" w:hAnsi="Arial" w:cs="Arial"/>
                <w:sz w:val="18"/>
                <w:szCs w:val="18"/>
              </w:rPr>
              <w:t>Changed</w:t>
            </w:r>
            <w:r>
              <w:rPr>
                <w:rFonts w:ascii="Arial" w:hAnsi="Arial" w:cs="Arial"/>
                <w:sz w:val="18"/>
                <w:szCs w:val="18"/>
              </w:rPr>
              <w:t xml:space="preserve"> third row pertaining to data retrieval</w:t>
            </w:r>
            <w:r w:rsidR="001D5D44">
              <w:rPr>
                <w:rFonts w:ascii="Arial" w:hAnsi="Arial" w:cs="Arial"/>
                <w:sz w:val="18"/>
                <w:szCs w:val="18"/>
              </w:rPr>
              <w:t>, and changed fourth row pertaining to report data</w:t>
            </w:r>
            <w:r>
              <w:rPr>
                <w:rFonts w:ascii="Arial" w:hAnsi="Arial" w:cs="Arial"/>
                <w:sz w:val="18"/>
                <w:szCs w:val="18"/>
              </w:rPr>
              <w:t>.</w:t>
            </w:r>
          </w:p>
        </w:tc>
        <w:tc>
          <w:tcPr>
            <w:tcW w:w="1098" w:type="dxa"/>
          </w:tcPr>
          <w:p w14:paraId="2E610A71" w14:textId="4585E70E" w:rsidR="007D3487" w:rsidRDefault="007D3487" w:rsidP="0002759E">
            <w:pPr>
              <w:pStyle w:val="TableText"/>
            </w:pPr>
            <w:r>
              <w:t>BBM Team</w:t>
            </w:r>
          </w:p>
        </w:tc>
      </w:tr>
    </w:tbl>
    <w:p w14:paraId="0B51E100" w14:textId="77777777" w:rsidR="00AD2C30" w:rsidRDefault="00AD2C30">
      <w:pPr>
        <w:rPr>
          <w:kern w:val="32"/>
          <w:sz w:val="22"/>
          <w:szCs w:val="22"/>
        </w:rPr>
      </w:pPr>
      <w:r>
        <w:rPr>
          <w:kern w:val="32"/>
        </w:rPr>
        <w:br w:type="page"/>
      </w:r>
    </w:p>
    <w:p w14:paraId="674F5F44" w14:textId="747A5A65" w:rsidR="009C0A99" w:rsidRDefault="009C0A99" w:rsidP="0010440F">
      <w:pPr>
        <w:pStyle w:val="BodyText"/>
        <w:jc w:val="center"/>
        <w:rPr>
          <w:snapToGrid w:val="0"/>
          <w:vanish/>
        </w:rPr>
      </w:pPr>
      <w:r>
        <w:t xml:space="preserve">This is the last page of </w:t>
      </w:r>
      <w:r w:rsidRPr="009C0A99">
        <w:rPr>
          <w:i/>
        </w:rPr>
        <w:t xml:space="preserve">VBECS </w:t>
      </w:r>
      <w:r w:rsidR="002E3995">
        <w:rPr>
          <w:i/>
        </w:rPr>
        <w:t>2.3</w:t>
      </w:r>
      <w:r w:rsidR="00B03BDD">
        <w:rPr>
          <w:i/>
        </w:rPr>
        <w:t>.</w:t>
      </w:r>
      <w:r w:rsidR="00B46E8E">
        <w:rPr>
          <w:i/>
        </w:rPr>
        <w:t>4</w:t>
      </w:r>
      <w:r w:rsidR="00AE6FF1">
        <w:rPr>
          <w:i/>
        </w:rPr>
        <w:t xml:space="preserve"> </w:t>
      </w:r>
      <w:r w:rsidRPr="009C0A99">
        <w:rPr>
          <w:i/>
        </w:rPr>
        <w:t>User Guide</w:t>
      </w:r>
      <w:r>
        <w:t>.</w:t>
      </w:r>
    </w:p>
    <w:p w14:paraId="6B06A704" w14:textId="78D67419" w:rsidR="0006165B" w:rsidRPr="009C0A99" w:rsidRDefault="0006165B" w:rsidP="009C0A99">
      <w:pPr>
        <w:pStyle w:val="BodyText"/>
        <w:rPr>
          <w:snapToGrid w:val="0"/>
          <w:vanish/>
        </w:rPr>
      </w:pPr>
    </w:p>
    <w:sectPr w:rsidR="0006165B" w:rsidRPr="009C0A99" w:rsidSect="00A91C73">
      <w:type w:val="continuous"/>
      <w:pgSz w:w="12240" w:h="15840" w:code="1"/>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075">
      <wne:macro wne:macroName="PROJECT.NEWMACROS.HID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5FC49" w14:textId="77777777" w:rsidR="00927F2C" w:rsidRDefault="00927F2C">
      <w:r>
        <w:separator/>
      </w:r>
    </w:p>
  </w:endnote>
  <w:endnote w:type="continuationSeparator" w:id="0">
    <w:p w14:paraId="17EB9907" w14:textId="77777777" w:rsidR="00927F2C" w:rsidRDefault="00927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Shell Dlg 2">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A606" w14:textId="77777777" w:rsidR="00EA60B6" w:rsidRDefault="00EA60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5F1C07" w14:textId="77777777" w:rsidR="00EA60B6" w:rsidRDefault="00EA60B6">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88EB3" w14:textId="77777777" w:rsidR="00EA60B6" w:rsidRDefault="00EA60B6" w:rsidP="007566FC">
    <w:pPr>
      <w:pStyle w:val="Footer"/>
      <w:tabs>
        <w:tab w:val="clear" w:pos="4320"/>
        <w:tab w:val="clear" w:pos="8640"/>
        <w:tab w:val="center" w:pos="6480"/>
        <w:tab w:val="right" w:pos="12960"/>
      </w:tabs>
      <w:ind w:right="360"/>
      <w:rPr>
        <w:sz w:val="20"/>
      </w:rPr>
    </w:pPr>
  </w:p>
  <w:p w14:paraId="5E376C86" w14:textId="77777777" w:rsidR="00EA60B6" w:rsidRDefault="00EA60B6" w:rsidP="007566FC">
    <w:pPr>
      <w:pStyle w:val="Footer"/>
      <w:tabs>
        <w:tab w:val="clear" w:pos="4320"/>
        <w:tab w:val="clear" w:pos="8640"/>
        <w:tab w:val="center" w:pos="6480"/>
        <w:tab w:val="right" w:pos="12960"/>
      </w:tabs>
      <w:ind w:right="360"/>
      <w:rPr>
        <w:sz w:val="20"/>
      </w:rPr>
    </w:pPr>
  </w:p>
  <w:p w14:paraId="0F4B487E" w14:textId="468B8083" w:rsidR="00EA60B6" w:rsidRDefault="007D3487" w:rsidP="007566FC">
    <w:pPr>
      <w:pStyle w:val="Footer"/>
      <w:tabs>
        <w:tab w:val="clear" w:pos="4320"/>
        <w:tab w:val="clear" w:pos="8640"/>
        <w:tab w:val="center" w:pos="6480"/>
        <w:tab w:val="right" w:pos="12780"/>
        <w:tab w:val="right" w:pos="12960"/>
      </w:tabs>
      <w:ind w:right="360"/>
      <w:rPr>
        <w:sz w:val="20"/>
      </w:rPr>
    </w:pPr>
    <w:r>
      <w:rPr>
        <w:sz w:val="20"/>
      </w:rPr>
      <w:t>January</w:t>
    </w:r>
    <w:r w:rsidR="00EA60B6">
      <w:rPr>
        <w:sz w:val="20"/>
      </w:rPr>
      <w:t xml:space="preserve"> 202</w:t>
    </w:r>
    <w:r>
      <w:rPr>
        <w:sz w:val="20"/>
      </w:rPr>
      <w:t>4</w:t>
    </w:r>
    <w:r w:rsidR="00EA60B6">
      <w:rPr>
        <w:sz w:val="20"/>
      </w:rPr>
      <w:tab/>
      <w:t>VBECS Version 2.3.</w:t>
    </w:r>
    <w:r w:rsidR="00656AFE">
      <w:rPr>
        <w:sz w:val="20"/>
      </w:rPr>
      <w:t>4</w:t>
    </w:r>
    <w:r w:rsidR="00EA60B6">
      <w:rPr>
        <w:sz w:val="20"/>
      </w:rPr>
      <w:t xml:space="preserve"> User Guide Version </w:t>
    </w:r>
    <w:r>
      <w:rPr>
        <w:sz w:val="20"/>
      </w:rPr>
      <w:t>3</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526</w:t>
    </w:r>
    <w:r w:rsidR="00EA60B6">
      <w:rPr>
        <w:sz w:val="20"/>
      </w:rPr>
      <w:fldChar w:fldCharType="end"/>
    </w:r>
    <w:r w:rsidR="00EA60B6">
      <w:rPr>
        <w:sz w:val="20"/>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9494E" w14:textId="2586B744" w:rsidR="00EA60B6" w:rsidRDefault="00EA60B6" w:rsidP="00F304F2">
    <w:pPr>
      <w:pStyle w:val="Footer"/>
      <w:tabs>
        <w:tab w:val="clear" w:pos="4320"/>
        <w:tab w:val="clear" w:pos="8640"/>
        <w:tab w:val="center" w:pos="5040"/>
        <w:tab w:val="right" w:pos="9360"/>
        <w:tab w:val="right" w:pos="12960"/>
      </w:tabs>
      <w:ind w:right="360"/>
      <w:rPr>
        <w:sz w:val="20"/>
      </w:rPr>
    </w:pPr>
  </w:p>
  <w:p w14:paraId="413E0BE1" w14:textId="77777777" w:rsidR="00EA60B6" w:rsidRDefault="00EA60B6" w:rsidP="00F304F2">
    <w:pPr>
      <w:pStyle w:val="Footer"/>
      <w:tabs>
        <w:tab w:val="clear" w:pos="4320"/>
        <w:tab w:val="clear" w:pos="8640"/>
        <w:tab w:val="center" w:pos="5040"/>
        <w:tab w:val="right" w:pos="12960"/>
      </w:tabs>
      <w:ind w:right="360"/>
      <w:rPr>
        <w:sz w:val="20"/>
      </w:rPr>
    </w:pPr>
  </w:p>
  <w:p w14:paraId="045A88B7" w14:textId="59209E42" w:rsidR="00EA60B6" w:rsidRDefault="007D3487" w:rsidP="000571E4">
    <w:pPr>
      <w:pStyle w:val="Footer"/>
      <w:tabs>
        <w:tab w:val="clear" w:pos="4320"/>
        <w:tab w:val="clear" w:pos="8640"/>
        <w:tab w:val="center" w:pos="5040"/>
        <w:tab w:val="right" w:pos="9360"/>
        <w:tab w:val="right" w:pos="12780"/>
        <w:tab w:val="right" w:pos="12960"/>
      </w:tabs>
      <w:ind w:right="360"/>
      <w:rPr>
        <w:sz w:val="20"/>
      </w:rPr>
    </w:pPr>
    <w:r>
      <w:rPr>
        <w:sz w:val="20"/>
      </w:rPr>
      <w:t>January</w:t>
    </w:r>
    <w:r w:rsidR="00EA60B6">
      <w:rPr>
        <w:sz w:val="20"/>
      </w:rPr>
      <w:t xml:space="preserve"> 202</w:t>
    </w:r>
    <w:r>
      <w:rPr>
        <w:sz w:val="20"/>
      </w:rPr>
      <w:t>4</w:t>
    </w:r>
    <w:r w:rsidR="00EA60B6">
      <w:rPr>
        <w:sz w:val="20"/>
      </w:rPr>
      <w:tab/>
      <w:t>VBECS Version 2.3.</w:t>
    </w:r>
    <w:r w:rsidR="00B46E8E">
      <w:rPr>
        <w:sz w:val="20"/>
      </w:rPr>
      <w:t>4</w:t>
    </w:r>
    <w:r w:rsidR="00EA60B6">
      <w:rPr>
        <w:sz w:val="20"/>
      </w:rPr>
      <w:t xml:space="preserve"> User Guide Version </w:t>
    </w:r>
    <w:r>
      <w:rPr>
        <w:sz w:val="20"/>
      </w:rPr>
      <w:t>3</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559</w:t>
    </w:r>
    <w:r w:rsidR="00EA60B6">
      <w:rPr>
        <w:sz w:val="20"/>
      </w:rPr>
      <w:fldChar w:fldCharType="end"/>
    </w:r>
    <w:r w:rsidR="00EA60B6">
      <w:rPr>
        <w:sz w:val="20"/>
      </w:rPr>
      <w:tab/>
    </w:r>
  </w:p>
  <w:p w14:paraId="2537E68F" w14:textId="77777777" w:rsidR="00EA60B6" w:rsidRDefault="00EA60B6"/>
  <w:p w14:paraId="6C94C933" w14:textId="77777777" w:rsidR="00EA60B6" w:rsidRDefault="00EA60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592B" w14:textId="77777777" w:rsidR="00EA60B6" w:rsidRDefault="00EA60B6">
    <w:pPr>
      <w:pStyle w:val="Footer"/>
      <w:tabs>
        <w:tab w:val="clear" w:pos="8640"/>
      </w:tabs>
      <w:ind w:right="360"/>
      <w:rPr>
        <w:sz w:val="20"/>
      </w:rPr>
    </w:pPr>
  </w:p>
  <w:p w14:paraId="5069B344" w14:textId="77777777" w:rsidR="00EA60B6" w:rsidRDefault="00EA60B6">
    <w:pPr>
      <w:pStyle w:val="Footer"/>
      <w:tabs>
        <w:tab w:val="clear" w:pos="8640"/>
      </w:tabs>
      <w:ind w:right="360"/>
      <w:rPr>
        <w:sz w:val="20"/>
      </w:rPr>
    </w:pPr>
  </w:p>
  <w:p w14:paraId="020F2015" w14:textId="5C3DC229" w:rsidR="00EA60B6" w:rsidRDefault="007D3487">
    <w:pPr>
      <w:pStyle w:val="Footer"/>
      <w:tabs>
        <w:tab w:val="clear" w:pos="4320"/>
        <w:tab w:val="clear" w:pos="8640"/>
        <w:tab w:val="center" w:pos="4860"/>
      </w:tabs>
      <w:ind w:right="360"/>
      <w:rPr>
        <w:sz w:val="20"/>
      </w:rPr>
    </w:pPr>
    <w:r>
      <w:rPr>
        <w:sz w:val="20"/>
      </w:rPr>
      <w:t>January</w:t>
    </w:r>
    <w:r w:rsidR="00EA60B6">
      <w:rPr>
        <w:sz w:val="20"/>
      </w:rPr>
      <w:t xml:space="preserve"> 202</w:t>
    </w:r>
    <w:r>
      <w:rPr>
        <w:sz w:val="20"/>
      </w:rPr>
      <w:t>4</w:t>
    </w:r>
    <w:r w:rsidR="00EA60B6">
      <w:rPr>
        <w:sz w:val="20"/>
      </w:rPr>
      <w:tab/>
      <w:t>VBECS Version 2.3.</w:t>
    </w:r>
    <w:r w:rsidR="00B46E8E">
      <w:rPr>
        <w:sz w:val="20"/>
      </w:rPr>
      <w:t>4</w:t>
    </w:r>
    <w:r w:rsidR="00EA60B6">
      <w:rPr>
        <w:sz w:val="20"/>
      </w:rPr>
      <w:t xml:space="preserve"> User Guide Version </w:t>
    </w:r>
    <w:r>
      <w:rPr>
        <w:sz w:val="20"/>
      </w:rPr>
      <w:t>3</w:t>
    </w:r>
    <w:r w:rsidR="00EA60B6">
      <w:rPr>
        <w:sz w:val="20"/>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0095" w14:textId="77777777" w:rsidR="00EA60B6" w:rsidRDefault="00EA60B6" w:rsidP="00F7279E">
    <w:pPr>
      <w:pStyle w:val="Footer"/>
      <w:tabs>
        <w:tab w:val="clear" w:pos="8640"/>
        <w:tab w:val="right" w:pos="9360"/>
      </w:tabs>
      <w:ind w:right="360"/>
      <w:rPr>
        <w:sz w:val="20"/>
      </w:rPr>
    </w:pPr>
  </w:p>
  <w:p w14:paraId="09F9950B" w14:textId="6ABB4267" w:rsidR="00EA60B6" w:rsidRDefault="007D3487" w:rsidP="00784D58">
    <w:pPr>
      <w:pStyle w:val="Footer"/>
      <w:tabs>
        <w:tab w:val="clear" w:pos="4320"/>
        <w:tab w:val="clear" w:pos="8640"/>
        <w:tab w:val="center" w:pos="5040"/>
        <w:tab w:val="right" w:pos="9360"/>
        <w:tab w:val="right" w:pos="12780"/>
        <w:tab w:val="right" w:pos="12960"/>
      </w:tabs>
      <w:ind w:right="360"/>
      <w:rPr>
        <w:sz w:val="20"/>
      </w:rPr>
    </w:pPr>
    <w:r>
      <w:rPr>
        <w:sz w:val="20"/>
      </w:rPr>
      <w:t>January</w:t>
    </w:r>
    <w:r w:rsidR="00EA60B6">
      <w:rPr>
        <w:sz w:val="20"/>
      </w:rPr>
      <w:t xml:space="preserve"> 202</w:t>
    </w:r>
    <w:r>
      <w:rPr>
        <w:sz w:val="20"/>
      </w:rPr>
      <w:t>4</w:t>
    </w:r>
    <w:r w:rsidR="00EA60B6">
      <w:rPr>
        <w:sz w:val="20"/>
      </w:rPr>
      <w:tab/>
      <w:t>VBECS Version 2.3.</w:t>
    </w:r>
    <w:r w:rsidR="00B46E8E">
      <w:rPr>
        <w:sz w:val="20"/>
      </w:rPr>
      <w:t>4</w:t>
    </w:r>
    <w:r w:rsidR="00EA60B6">
      <w:rPr>
        <w:sz w:val="20"/>
      </w:rPr>
      <w:t xml:space="preserve"> User Guide Version </w:t>
    </w:r>
    <w:r>
      <w:rPr>
        <w:sz w:val="20"/>
      </w:rPr>
      <w:t>3</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12</w:t>
    </w:r>
    <w:r w:rsidR="00EA60B6">
      <w:rPr>
        <w:sz w:val="20"/>
      </w:rPr>
      <w:fldChar w:fldCharType="end"/>
    </w:r>
    <w:r w:rsidR="00EA60B6">
      <w:rPr>
        <w:sz w:val="20"/>
      </w:rPr>
      <w:tab/>
    </w:r>
  </w:p>
  <w:p w14:paraId="5A372246" w14:textId="7E43CC17" w:rsidR="00EA60B6" w:rsidRDefault="00EA60B6" w:rsidP="00784D58">
    <w:pPr>
      <w:pStyle w:val="Footer"/>
      <w:tabs>
        <w:tab w:val="clear" w:pos="4320"/>
        <w:tab w:val="clear" w:pos="8640"/>
        <w:tab w:val="center" w:pos="5040"/>
        <w:tab w:val="right" w:pos="9360"/>
      </w:tabs>
      <w:ind w:right="360"/>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0A036" w14:textId="77777777" w:rsidR="00EA60B6" w:rsidRDefault="00EA60B6" w:rsidP="00F7279E">
    <w:pPr>
      <w:pStyle w:val="Footer"/>
      <w:tabs>
        <w:tab w:val="clear" w:pos="8640"/>
        <w:tab w:val="right" w:pos="9360"/>
      </w:tabs>
      <w:ind w:right="360"/>
      <w:rPr>
        <w:sz w:val="20"/>
      </w:rPr>
    </w:pPr>
  </w:p>
  <w:p w14:paraId="43EEE313" w14:textId="77777777" w:rsidR="00EA60B6" w:rsidRDefault="00EA60B6" w:rsidP="00F7279E">
    <w:pPr>
      <w:pStyle w:val="Footer"/>
      <w:tabs>
        <w:tab w:val="clear" w:pos="8640"/>
        <w:tab w:val="right" w:pos="9360"/>
      </w:tabs>
      <w:ind w:right="360"/>
      <w:rPr>
        <w:sz w:val="20"/>
      </w:rPr>
    </w:pPr>
  </w:p>
  <w:p w14:paraId="52691F21" w14:textId="62982690" w:rsidR="00EA60B6" w:rsidRDefault="007D3487" w:rsidP="00784D58">
    <w:pPr>
      <w:pStyle w:val="Footer"/>
      <w:tabs>
        <w:tab w:val="clear" w:pos="4320"/>
        <w:tab w:val="clear" w:pos="8640"/>
        <w:tab w:val="center" w:pos="5040"/>
        <w:tab w:val="right" w:pos="9360"/>
        <w:tab w:val="right" w:pos="12780"/>
        <w:tab w:val="right" w:pos="12960"/>
      </w:tabs>
      <w:ind w:right="360"/>
      <w:rPr>
        <w:sz w:val="20"/>
      </w:rPr>
    </w:pPr>
    <w:r>
      <w:rPr>
        <w:sz w:val="20"/>
      </w:rPr>
      <w:t>January</w:t>
    </w:r>
    <w:r w:rsidR="00EA60B6">
      <w:rPr>
        <w:sz w:val="20"/>
      </w:rPr>
      <w:t xml:space="preserve"> 202</w:t>
    </w:r>
    <w:r>
      <w:rPr>
        <w:sz w:val="20"/>
      </w:rPr>
      <w:t>4</w:t>
    </w:r>
    <w:r w:rsidR="00EA60B6">
      <w:rPr>
        <w:sz w:val="20"/>
      </w:rPr>
      <w:tab/>
      <w:t>VBECS Version 2.3.</w:t>
    </w:r>
    <w:r w:rsidR="00B46E8E">
      <w:rPr>
        <w:sz w:val="20"/>
      </w:rPr>
      <w:t>4</w:t>
    </w:r>
    <w:r w:rsidR="00EA60B6">
      <w:rPr>
        <w:sz w:val="20"/>
      </w:rPr>
      <w:t xml:space="preserve"> User Guide Version </w:t>
    </w:r>
    <w:r>
      <w:rPr>
        <w:sz w:val="20"/>
      </w:rPr>
      <w:t>3</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420</w:t>
    </w:r>
    <w:r w:rsidR="00EA60B6">
      <w:rPr>
        <w:sz w:val="20"/>
      </w:rPr>
      <w:fldChar w:fldCharType="end"/>
    </w:r>
    <w:r w:rsidR="00EA60B6">
      <w:rPr>
        <w:sz w:val="20"/>
      </w:rPr>
      <w:tab/>
    </w:r>
  </w:p>
  <w:p w14:paraId="29A071A8" w14:textId="7A2401E1" w:rsidR="00EA60B6" w:rsidRDefault="00EA60B6" w:rsidP="00784D58">
    <w:pPr>
      <w:pStyle w:val="Footer"/>
      <w:tabs>
        <w:tab w:val="clear" w:pos="4320"/>
        <w:tab w:val="clear" w:pos="8640"/>
        <w:tab w:val="center" w:pos="5040"/>
        <w:tab w:val="right" w:pos="9360"/>
        <w:tab w:val="right" w:pos="12960"/>
      </w:tabs>
      <w:ind w:right="360"/>
      <w:rPr>
        <w:sz w:val="20"/>
      </w:rPr>
    </w:pPr>
  </w:p>
  <w:p w14:paraId="5775986A" w14:textId="6BC3347C" w:rsidR="00EA60B6" w:rsidRDefault="00EA60B6" w:rsidP="00784D58">
    <w:pPr>
      <w:pStyle w:val="Footer"/>
      <w:tabs>
        <w:tab w:val="clear" w:pos="4320"/>
        <w:tab w:val="clear" w:pos="8640"/>
        <w:tab w:val="center" w:pos="5040"/>
        <w:tab w:val="right" w:pos="9360"/>
      </w:tabs>
      <w:ind w:right="36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D6797" w14:textId="77777777" w:rsidR="00EA60B6" w:rsidRDefault="00EA60B6" w:rsidP="00140686">
    <w:pPr>
      <w:pStyle w:val="Footer"/>
      <w:tabs>
        <w:tab w:val="clear" w:pos="4320"/>
        <w:tab w:val="clear" w:pos="8640"/>
        <w:tab w:val="center" w:pos="6480"/>
        <w:tab w:val="right" w:pos="12960"/>
      </w:tabs>
      <w:ind w:right="360"/>
      <w:rPr>
        <w:sz w:val="20"/>
      </w:rPr>
    </w:pPr>
  </w:p>
  <w:p w14:paraId="12FBCB06" w14:textId="77777777" w:rsidR="00EA60B6" w:rsidRDefault="00EA60B6" w:rsidP="00140686">
    <w:pPr>
      <w:pStyle w:val="Footer"/>
      <w:tabs>
        <w:tab w:val="clear" w:pos="4320"/>
        <w:tab w:val="clear" w:pos="8640"/>
        <w:tab w:val="center" w:pos="6480"/>
        <w:tab w:val="right" w:pos="12960"/>
      </w:tabs>
      <w:ind w:right="360"/>
      <w:rPr>
        <w:sz w:val="20"/>
      </w:rPr>
    </w:pPr>
  </w:p>
  <w:p w14:paraId="60A85D60" w14:textId="3EC21082" w:rsidR="00EA60B6" w:rsidRDefault="007D3487" w:rsidP="00140686">
    <w:pPr>
      <w:pStyle w:val="Footer"/>
      <w:tabs>
        <w:tab w:val="clear" w:pos="4320"/>
        <w:tab w:val="clear" w:pos="8640"/>
        <w:tab w:val="center" w:pos="6480"/>
        <w:tab w:val="right" w:pos="12960"/>
      </w:tabs>
      <w:ind w:right="360"/>
      <w:rPr>
        <w:sz w:val="20"/>
      </w:rPr>
    </w:pPr>
    <w:r>
      <w:rPr>
        <w:sz w:val="20"/>
      </w:rPr>
      <w:t>January</w:t>
    </w:r>
    <w:r w:rsidR="00EA60B6">
      <w:rPr>
        <w:sz w:val="20"/>
      </w:rPr>
      <w:t xml:space="preserve"> 202</w:t>
    </w:r>
    <w:r>
      <w:rPr>
        <w:sz w:val="20"/>
      </w:rPr>
      <w:t>4</w:t>
    </w:r>
    <w:r w:rsidR="00EA60B6">
      <w:rPr>
        <w:sz w:val="20"/>
      </w:rPr>
      <w:tab/>
      <w:t>VBECS Version 2.3.</w:t>
    </w:r>
    <w:r w:rsidR="00656AFE">
      <w:rPr>
        <w:sz w:val="20"/>
      </w:rPr>
      <w:t>4</w:t>
    </w:r>
    <w:r w:rsidR="00EA60B6">
      <w:rPr>
        <w:sz w:val="20"/>
      </w:rPr>
      <w:t xml:space="preserve"> User Guide Version </w:t>
    </w:r>
    <w:r>
      <w:rPr>
        <w:sz w:val="20"/>
      </w:rPr>
      <w:t>3</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427</w:t>
    </w:r>
    <w:r w:rsidR="00EA60B6">
      <w:rPr>
        <w:sz w:val="20"/>
      </w:rPr>
      <w:fldChar w:fldCharType="end"/>
    </w:r>
  </w:p>
  <w:p w14:paraId="14223FE5" w14:textId="77777777" w:rsidR="00EA60B6" w:rsidRDefault="00EA60B6" w:rsidP="00536F22">
    <w:pPr>
      <w:pStyle w:val="Footer"/>
      <w:tabs>
        <w:tab w:val="clear" w:pos="8640"/>
        <w:tab w:val="right" w:pos="9360"/>
      </w:tabs>
      <w:ind w:right="360"/>
      <w:rPr>
        <w:sz w:val="20"/>
      </w:rPr>
    </w:pPr>
  </w:p>
  <w:p w14:paraId="00F9F3A9" w14:textId="77777777" w:rsidR="00EA60B6" w:rsidRDefault="00EA60B6" w:rsidP="00536F22">
    <w:pPr>
      <w:pStyle w:val="Footer"/>
      <w:tabs>
        <w:tab w:val="clear" w:pos="4320"/>
        <w:tab w:val="clear" w:pos="8640"/>
        <w:tab w:val="center" w:pos="648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BDFA5" w14:textId="77777777" w:rsidR="00EA60B6" w:rsidRDefault="00EA60B6" w:rsidP="00F304F2">
    <w:pPr>
      <w:pStyle w:val="Footer"/>
      <w:tabs>
        <w:tab w:val="clear" w:pos="8640"/>
        <w:tab w:val="right" w:pos="9360"/>
      </w:tabs>
      <w:ind w:right="360"/>
      <w:rPr>
        <w:sz w:val="20"/>
      </w:rPr>
    </w:pPr>
  </w:p>
  <w:p w14:paraId="1DAF85E3" w14:textId="77777777" w:rsidR="00EA60B6" w:rsidRDefault="00EA60B6" w:rsidP="00F304F2">
    <w:pPr>
      <w:pStyle w:val="Footer"/>
      <w:tabs>
        <w:tab w:val="clear" w:pos="8640"/>
        <w:tab w:val="right" w:pos="9360"/>
      </w:tabs>
      <w:ind w:right="360"/>
      <w:rPr>
        <w:sz w:val="20"/>
      </w:rPr>
    </w:pPr>
  </w:p>
  <w:p w14:paraId="71B01573" w14:textId="47360FF5" w:rsidR="00EA60B6" w:rsidRDefault="007D3487" w:rsidP="00F304F2">
    <w:pPr>
      <w:pStyle w:val="Footer"/>
      <w:tabs>
        <w:tab w:val="clear" w:pos="4320"/>
        <w:tab w:val="clear" w:pos="8640"/>
        <w:tab w:val="center" w:pos="5040"/>
        <w:tab w:val="right" w:pos="9360"/>
      </w:tabs>
      <w:ind w:right="360"/>
      <w:rPr>
        <w:sz w:val="20"/>
      </w:rPr>
    </w:pPr>
    <w:r>
      <w:rPr>
        <w:sz w:val="20"/>
      </w:rPr>
      <w:t>January</w:t>
    </w:r>
    <w:r w:rsidR="00EA60B6">
      <w:rPr>
        <w:sz w:val="20"/>
      </w:rPr>
      <w:t xml:space="preserve"> 202</w:t>
    </w:r>
    <w:r>
      <w:rPr>
        <w:sz w:val="20"/>
      </w:rPr>
      <w:t>4</w:t>
    </w:r>
    <w:r w:rsidR="00EA60B6">
      <w:rPr>
        <w:sz w:val="20"/>
      </w:rPr>
      <w:tab/>
      <w:t>VBECS Version 2.3.</w:t>
    </w:r>
    <w:r w:rsidR="00656AFE">
      <w:rPr>
        <w:sz w:val="20"/>
      </w:rPr>
      <w:t>4</w:t>
    </w:r>
    <w:r w:rsidR="00EA60B6">
      <w:rPr>
        <w:sz w:val="20"/>
      </w:rPr>
      <w:t xml:space="preserve"> User Guide Version </w:t>
    </w:r>
    <w:r>
      <w:rPr>
        <w:sz w:val="20"/>
      </w:rPr>
      <w:t>3</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443</w:t>
    </w:r>
    <w:r w:rsidR="00EA60B6">
      <w:rPr>
        <w:sz w:val="20"/>
      </w:rPr>
      <w:fldChar w:fldCharType="end"/>
    </w:r>
  </w:p>
  <w:p w14:paraId="606392E9" w14:textId="77777777" w:rsidR="00EA60B6" w:rsidRDefault="00EA60B6" w:rsidP="00536F22">
    <w:pPr>
      <w:pStyle w:val="Footer"/>
      <w:tabs>
        <w:tab w:val="clear" w:pos="4320"/>
        <w:tab w:val="clear" w:pos="8640"/>
        <w:tab w:val="center" w:pos="648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77AF7" w14:textId="77777777" w:rsidR="00EA60B6" w:rsidRDefault="00EA60B6">
    <w:pPr>
      <w:pStyle w:val="Footer"/>
      <w:tabs>
        <w:tab w:val="clear" w:pos="8640"/>
        <w:tab w:val="right" w:pos="12600"/>
      </w:tabs>
      <w:ind w:right="360"/>
      <w:rPr>
        <w:sz w:val="20"/>
      </w:rPr>
    </w:pPr>
  </w:p>
  <w:p w14:paraId="66B52DB2" w14:textId="77777777" w:rsidR="00EA60B6" w:rsidRDefault="00EA60B6">
    <w:pPr>
      <w:pStyle w:val="Footer"/>
      <w:tabs>
        <w:tab w:val="clear" w:pos="8640"/>
        <w:tab w:val="right" w:pos="9360"/>
      </w:tabs>
      <w:ind w:right="360"/>
      <w:rPr>
        <w:sz w:val="20"/>
      </w:rPr>
    </w:pPr>
  </w:p>
  <w:p w14:paraId="4FA6E8F2" w14:textId="3C2DDFEA" w:rsidR="00EA60B6" w:rsidRDefault="007D3487" w:rsidP="000753FE">
    <w:pPr>
      <w:pStyle w:val="Footer"/>
      <w:tabs>
        <w:tab w:val="clear" w:pos="4320"/>
        <w:tab w:val="clear" w:pos="8640"/>
        <w:tab w:val="center" w:pos="5040"/>
        <w:tab w:val="right" w:pos="9360"/>
        <w:tab w:val="right" w:pos="12960"/>
      </w:tabs>
      <w:ind w:right="360"/>
      <w:rPr>
        <w:sz w:val="20"/>
      </w:rPr>
    </w:pPr>
    <w:r>
      <w:rPr>
        <w:sz w:val="20"/>
      </w:rPr>
      <w:t>January</w:t>
    </w:r>
    <w:r w:rsidR="00EA60B6">
      <w:rPr>
        <w:sz w:val="20"/>
      </w:rPr>
      <w:t xml:space="preserve"> 202</w:t>
    </w:r>
    <w:r>
      <w:rPr>
        <w:sz w:val="20"/>
      </w:rPr>
      <w:t>4</w:t>
    </w:r>
    <w:r w:rsidR="00EA60B6">
      <w:rPr>
        <w:sz w:val="20"/>
      </w:rPr>
      <w:tab/>
      <w:t>VBECS Version 2.3.</w:t>
    </w:r>
    <w:r w:rsidR="00B46E8E">
      <w:rPr>
        <w:sz w:val="20"/>
      </w:rPr>
      <w:t>4</w:t>
    </w:r>
    <w:r w:rsidR="00EA60B6">
      <w:rPr>
        <w:sz w:val="20"/>
      </w:rPr>
      <w:t xml:space="preserve"> User Guide Version </w:t>
    </w:r>
    <w:r>
      <w:rPr>
        <w:sz w:val="20"/>
      </w:rPr>
      <w:t>3</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519</w:t>
    </w:r>
    <w:r w:rsidR="00EA60B6">
      <w:rPr>
        <w:sz w:val="20"/>
      </w:rPr>
      <w:fldChar w:fldCharType="end"/>
    </w:r>
    <w:r w:rsidR="00EA60B6">
      <w:rPr>
        <w:sz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E89A4" w14:textId="77777777" w:rsidR="00EA60B6" w:rsidRDefault="00EA60B6">
    <w:pPr>
      <w:pStyle w:val="Footer"/>
      <w:tabs>
        <w:tab w:val="clear" w:pos="8640"/>
        <w:tab w:val="right" w:pos="12600"/>
      </w:tabs>
      <w:ind w:right="360"/>
      <w:rPr>
        <w:sz w:val="20"/>
      </w:rPr>
    </w:pPr>
  </w:p>
  <w:p w14:paraId="06F33F4F" w14:textId="77777777" w:rsidR="00EA60B6" w:rsidRDefault="00EA60B6">
    <w:pPr>
      <w:pStyle w:val="Footer"/>
      <w:tabs>
        <w:tab w:val="clear" w:pos="8640"/>
        <w:tab w:val="right" w:pos="9360"/>
      </w:tabs>
      <w:ind w:right="360"/>
      <w:rPr>
        <w:sz w:val="20"/>
      </w:rPr>
    </w:pPr>
  </w:p>
  <w:p w14:paraId="0778D4BE" w14:textId="2388EBEB" w:rsidR="00EA60B6" w:rsidRDefault="007D3487" w:rsidP="00714F12">
    <w:pPr>
      <w:pStyle w:val="Footer"/>
      <w:tabs>
        <w:tab w:val="clear" w:pos="4320"/>
        <w:tab w:val="clear" w:pos="8640"/>
        <w:tab w:val="center" w:pos="5040"/>
        <w:tab w:val="right" w:pos="9360"/>
        <w:tab w:val="right" w:pos="12780"/>
        <w:tab w:val="right" w:pos="12960"/>
      </w:tabs>
      <w:ind w:right="360"/>
      <w:rPr>
        <w:sz w:val="20"/>
      </w:rPr>
    </w:pPr>
    <w:r>
      <w:rPr>
        <w:sz w:val="20"/>
      </w:rPr>
      <w:t>January</w:t>
    </w:r>
    <w:r w:rsidR="00EA60B6">
      <w:rPr>
        <w:sz w:val="20"/>
      </w:rPr>
      <w:t xml:space="preserve"> 202</w:t>
    </w:r>
    <w:r>
      <w:rPr>
        <w:sz w:val="20"/>
      </w:rPr>
      <w:t>4</w:t>
    </w:r>
    <w:r w:rsidR="00EA60B6">
      <w:rPr>
        <w:sz w:val="20"/>
      </w:rPr>
      <w:tab/>
      <w:t>VBECS Version 2.3.</w:t>
    </w:r>
    <w:r w:rsidR="00656AFE">
      <w:rPr>
        <w:sz w:val="20"/>
      </w:rPr>
      <w:t>4</w:t>
    </w:r>
    <w:r w:rsidR="00EA60B6">
      <w:rPr>
        <w:sz w:val="20"/>
      </w:rPr>
      <w:t xml:space="preserve"> User Guide Version </w:t>
    </w:r>
    <w:r>
      <w:rPr>
        <w:sz w:val="20"/>
      </w:rPr>
      <w:t>3</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521</w:t>
    </w:r>
    <w:r w:rsidR="00EA60B6">
      <w:rPr>
        <w:sz w:val="20"/>
      </w:rPr>
      <w:fldChar w:fldCharType="end"/>
    </w:r>
    <w:r w:rsidR="00EA60B6">
      <w:rPr>
        <w:sz w:val="20"/>
      </w:rPr>
      <w:tab/>
    </w:r>
  </w:p>
  <w:p w14:paraId="232726F4" w14:textId="55C87D39" w:rsidR="00EA60B6" w:rsidRDefault="00EA60B6" w:rsidP="00714F12">
    <w:pPr>
      <w:pStyle w:val="Footer"/>
      <w:tabs>
        <w:tab w:val="clear" w:pos="4320"/>
        <w:tab w:val="clear" w:pos="8640"/>
        <w:tab w:val="center" w:pos="6480"/>
        <w:tab w:val="right" w:pos="12960"/>
      </w:tabs>
      <w:ind w:right="360"/>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688BA" w14:textId="77777777" w:rsidR="00EA60B6" w:rsidRDefault="00EA60B6">
    <w:pPr>
      <w:pStyle w:val="Footer"/>
      <w:tabs>
        <w:tab w:val="clear" w:pos="8640"/>
        <w:tab w:val="right" w:pos="12600"/>
      </w:tabs>
      <w:ind w:right="360"/>
      <w:rPr>
        <w:sz w:val="20"/>
      </w:rPr>
    </w:pPr>
  </w:p>
  <w:p w14:paraId="00980158" w14:textId="77777777" w:rsidR="00EA60B6" w:rsidRDefault="00EA60B6">
    <w:pPr>
      <w:pStyle w:val="Footer"/>
      <w:tabs>
        <w:tab w:val="clear" w:pos="8640"/>
        <w:tab w:val="right" w:pos="9360"/>
      </w:tabs>
      <w:ind w:right="360"/>
      <w:rPr>
        <w:sz w:val="20"/>
      </w:rPr>
    </w:pPr>
  </w:p>
  <w:p w14:paraId="6278422B" w14:textId="0F526E07" w:rsidR="00EA60B6" w:rsidRDefault="007D3487" w:rsidP="007566FC">
    <w:pPr>
      <w:pStyle w:val="Footer"/>
      <w:tabs>
        <w:tab w:val="clear" w:pos="4320"/>
        <w:tab w:val="clear" w:pos="8640"/>
        <w:tab w:val="center" w:pos="5040"/>
        <w:tab w:val="right" w:pos="9360"/>
        <w:tab w:val="right" w:pos="12960"/>
      </w:tabs>
      <w:ind w:right="360"/>
      <w:rPr>
        <w:sz w:val="20"/>
      </w:rPr>
    </w:pPr>
    <w:r>
      <w:rPr>
        <w:sz w:val="20"/>
      </w:rPr>
      <w:t>January</w:t>
    </w:r>
    <w:r w:rsidR="00EA60B6">
      <w:rPr>
        <w:sz w:val="20"/>
      </w:rPr>
      <w:t xml:space="preserve"> 202</w:t>
    </w:r>
    <w:r>
      <w:rPr>
        <w:sz w:val="20"/>
      </w:rPr>
      <w:t>4</w:t>
    </w:r>
    <w:r w:rsidR="00EA60B6">
      <w:rPr>
        <w:sz w:val="20"/>
      </w:rPr>
      <w:tab/>
      <w:t>VBECS Version 2.3.</w:t>
    </w:r>
    <w:r w:rsidR="00B46E8E">
      <w:rPr>
        <w:sz w:val="20"/>
      </w:rPr>
      <w:t>4</w:t>
    </w:r>
    <w:r w:rsidR="00EA60B6">
      <w:rPr>
        <w:sz w:val="20"/>
      </w:rPr>
      <w:t xml:space="preserve"> User Guide Version </w:t>
    </w:r>
    <w:r>
      <w:rPr>
        <w:sz w:val="20"/>
      </w:rPr>
      <w:t>3</w:t>
    </w:r>
    <w:r w:rsidR="00EA60B6">
      <w:rPr>
        <w:sz w:val="20"/>
      </w:rPr>
      <w:t>.0</w:t>
    </w:r>
    <w:r w:rsidR="00EA60B6">
      <w:rPr>
        <w:sz w:val="20"/>
      </w:rPr>
      <w:tab/>
      <w:t xml:space="preserve">Page </w:t>
    </w:r>
    <w:r w:rsidR="00EA60B6">
      <w:rPr>
        <w:sz w:val="20"/>
      </w:rPr>
      <w:fldChar w:fldCharType="begin"/>
    </w:r>
    <w:r w:rsidR="00EA60B6">
      <w:rPr>
        <w:sz w:val="20"/>
      </w:rPr>
      <w:instrText xml:space="preserve"> PAGE </w:instrText>
    </w:r>
    <w:r w:rsidR="00EA60B6">
      <w:rPr>
        <w:sz w:val="20"/>
      </w:rPr>
      <w:fldChar w:fldCharType="separate"/>
    </w:r>
    <w:r w:rsidR="00EA60B6">
      <w:rPr>
        <w:noProof/>
        <w:sz w:val="20"/>
      </w:rPr>
      <w:t>524</w:t>
    </w:r>
    <w:r w:rsidR="00EA60B6">
      <w:rPr>
        <w:sz w:val="20"/>
      </w:rPr>
      <w:fldChar w:fldCharType="end"/>
    </w:r>
    <w:r w:rsidR="00EA60B6">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99934" w14:textId="77777777" w:rsidR="00927F2C" w:rsidRDefault="00927F2C">
      <w:r>
        <w:separator/>
      </w:r>
    </w:p>
  </w:footnote>
  <w:footnote w:type="continuationSeparator" w:id="0">
    <w:p w14:paraId="36C5304D" w14:textId="77777777" w:rsidR="00927F2C" w:rsidRDefault="00927F2C">
      <w:r>
        <w:continuationSeparator/>
      </w:r>
    </w:p>
  </w:footnote>
  <w:footnote w:id="1">
    <w:p w14:paraId="4CEEF123" w14:textId="77777777" w:rsidR="00EA60B6" w:rsidRDefault="00EA60B6">
      <w:pPr>
        <w:pStyle w:val="FootnoteText"/>
      </w:pPr>
      <w:r>
        <w:rPr>
          <w:rStyle w:val="FootnoteReference"/>
        </w:rPr>
        <w:footnoteRef/>
      </w:r>
      <w:r>
        <w:t xml:space="preserve"> There is a slight difference in terminology b</w:t>
      </w:r>
      <w:r w:rsidRPr="00670304">
        <w:t>etween VistA and VBECS: VistA us</w:t>
      </w:r>
      <w:r>
        <w:t>es “log on” and “logon,” and VBECS uses “log in” and “login.” Therefore, both terms are used throughout this guide. “Log in” and “login” are used generically when referring to both systems at one time.</w:t>
      </w:r>
    </w:p>
  </w:footnote>
  <w:footnote w:id="2">
    <w:p w14:paraId="3DA217B5" w14:textId="77777777" w:rsidR="00EA60B6" w:rsidRDefault="00EA60B6">
      <w:pPr>
        <w:pStyle w:val="FootnoteText"/>
      </w:pPr>
      <w:r>
        <w:rPr>
          <w:rStyle w:val="FootnoteReference"/>
        </w:rPr>
        <w:footnoteRef/>
      </w:r>
      <w:r>
        <w:t xml:space="preserve"> Larger versions of these icons appear throughout VBECS in the corresponding option windows. They cannot be used to access options.</w:t>
      </w:r>
    </w:p>
  </w:footnote>
  <w:footnote w:id="3">
    <w:p w14:paraId="0E745ABE" w14:textId="6672FE95" w:rsidR="00EA60B6" w:rsidRDefault="00EA60B6" w:rsidP="00F60A24">
      <w:pPr>
        <w:rPr>
          <w:rFonts w:ascii="Arial Bold" w:hAnsi="Arial Bold"/>
        </w:rPr>
      </w:pPr>
      <w:r>
        <w:rPr>
          <w:rStyle w:val="FootnoteReference"/>
        </w:rPr>
        <w:footnoteRef/>
      </w:r>
      <w:r>
        <w:t xml:space="preserve"> </w:t>
      </w:r>
      <w:r w:rsidRPr="00F60A24">
        <w:rPr>
          <w:spacing w:val="-5"/>
          <w:sz w:val="20"/>
          <w:szCs w:val="20"/>
        </w:rPr>
        <w:t>Active: VBECS order that is not rejected, cance</w:t>
      </w:r>
      <w:r>
        <w:rPr>
          <w:spacing w:val="-5"/>
          <w:sz w:val="20"/>
          <w:szCs w:val="20"/>
        </w:rPr>
        <w:t>l</w:t>
      </w:r>
      <w:r w:rsidRPr="00F60A24">
        <w:rPr>
          <w:spacing w:val="-5"/>
          <w:sz w:val="20"/>
          <w:szCs w:val="20"/>
        </w:rPr>
        <w:t xml:space="preserve">led or completed.  When the patient update is received and the order is ‘active’, the update is displayed </w:t>
      </w:r>
      <w:r>
        <w:rPr>
          <w:spacing w:val="-5"/>
          <w:sz w:val="20"/>
          <w:szCs w:val="20"/>
        </w:rPr>
        <w:t xml:space="preserve"> </w:t>
      </w:r>
      <w:r w:rsidRPr="00F60A24">
        <w:rPr>
          <w:spacing w:val="-5"/>
          <w:sz w:val="20"/>
          <w:szCs w:val="20"/>
        </w:rPr>
        <w:t>regardless of order cancelation until it is viewed by a VBECS user.</w:t>
      </w:r>
    </w:p>
    <w:p w14:paraId="20C9D24A" w14:textId="77777777" w:rsidR="00EA60B6" w:rsidRDefault="00EA60B6">
      <w:pPr>
        <w:pStyle w:val="FootnoteText"/>
      </w:pPr>
    </w:p>
  </w:footnote>
  <w:footnote w:id="4">
    <w:p w14:paraId="79951B40" w14:textId="77777777" w:rsidR="00EA60B6" w:rsidRDefault="00EA60B6" w:rsidP="004A6408">
      <w:pPr>
        <w:pStyle w:val="FootnoteText"/>
      </w:pPr>
      <w:r>
        <w:rPr>
          <w:rStyle w:val="FootnoteReference"/>
        </w:rPr>
        <w:footnoteRef/>
      </w:r>
      <w:r>
        <w:t xml:space="preserve"> Room Temperature/Immediate Spin</w:t>
      </w:r>
    </w:p>
  </w:footnote>
  <w:footnote w:id="5">
    <w:p w14:paraId="68435332" w14:textId="77777777" w:rsidR="00EA60B6" w:rsidRDefault="00EA60B6" w:rsidP="004A6408">
      <w:pPr>
        <w:pStyle w:val="FootnoteText"/>
      </w:pPr>
      <w:r>
        <w:rPr>
          <w:rStyle w:val="FootnoteReference"/>
        </w:rPr>
        <w:footnoteRef/>
      </w:r>
      <w:r>
        <w:t xml:space="preserve"> Anti-Human Globulin</w:t>
      </w:r>
    </w:p>
  </w:footnote>
  <w:footnote w:id="6">
    <w:p w14:paraId="79DB8332" w14:textId="77777777" w:rsidR="00EA60B6" w:rsidRDefault="00EA60B6" w:rsidP="004A6408">
      <w:pPr>
        <w:pStyle w:val="FootnoteText"/>
      </w:pPr>
      <w:r>
        <w:rPr>
          <w:rStyle w:val="FootnoteReference"/>
        </w:rPr>
        <w:footnoteRef/>
      </w:r>
      <w:r>
        <w:t xml:space="preserve"> Coated cell</w:t>
      </w:r>
    </w:p>
  </w:footnote>
  <w:footnote w:id="7">
    <w:p w14:paraId="754513CA" w14:textId="649D8D4B" w:rsidR="00EA60B6" w:rsidRDefault="00EA60B6" w:rsidP="002369C9">
      <w:pPr>
        <w:rPr>
          <w:rFonts w:ascii="Arial Bold" w:hAnsi="Arial Bold"/>
        </w:rPr>
      </w:pPr>
      <w:r>
        <w:rPr>
          <w:rStyle w:val="FootnoteReference"/>
        </w:rPr>
        <w:footnoteRef/>
      </w:r>
      <w:r>
        <w:t xml:space="preserve"> </w:t>
      </w:r>
      <w:r w:rsidRPr="00F60A24">
        <w:rPr>
          <w:spacing w:val="-5"/>
          <w:sz w:val="20"/>
          <w:szCs w:val="20"/>
        </w:rPr>
        <w:t>Active: VBECS order that is not rejected, cancel</w:t>
      </w:r>
      <w:r>
        <w:rPr>
          <w:spacing w:val="-5"/>
          <w:sz w:val="20"/>
          <w:szCs w:val="20"/>
        </w:rPr>
        <w:t>l</w:t>
      </w:r>
      <w:r w:rsidRPr="00F60A24">
        <w:rPr>
          <w:spacing w:val="-5"/>
          <w:sz w:val="20"/>
          <w:szCs w:val="20"/>
        </w:rPr>
        <w:t xml:space="preserve">ed or completed.  When the patient update is received and the order is ‘active’, the update is displayed </w:t>
      </w:r>
      <w:r>
        <w:rPr>
          <w:spacing w:val="-5"/>
          <w:sz w:val="20"/>
          <w:szCs w:val="20"/>
        </w:rPr>
        <w:t xml:space="preserve"> </w:t>
      </w:r>
      <w:r w:rsidRPr="00F60A24">
        <w:rPr>
          <w:spacing w:val="-5"/>
          <w:sz w:val="20"/>
          <w:szCs w:val="20"/>
        </w:rPr>
        <w:t>regardless of order cancelation until it is viewed by a VBECS user.</w:t>
      </w:r>
    </w:p>
    <w:p w14:paraId="76152BAF" w14:textId="77777777" w:rsidR="00EA60B6" w:rsidRDefault="00EA60B6" w:rsidP="002369C9">
      <w:pPr>
        <w:pStyle w:val="FootnoteText"/>
      </w:pPr>
    </w:p>
  </w:footnote>
  <w:footnote w:id="8">
    <w:p w14:paraId="2539C9CB" w14:textId="77777777" w:rsidR="00EA60B6" w:rsidRDefault="00EA60B6" w:rsidP="002F6D7B">
      <w:pPr>
        <w:numPr>
          <w:ilvl w:val="0"/>
          <w:numId w:val="13"/>
        </w:numPr>
        <w:tabs>
          <w:tab w:val="clear" w:pos="720"/>
        </w:tabs>
        <w:spacing w:before="100" w:beforeAutospacing="1" w:after="100" w:afterAutospacing="1"/>
        <w:ind w:left="135"/>
      </w:pPr>
      <w:r>
        <w:rPr>
          <w:rStyle w:val="FootnoteReference"/>
        </w:rPr>
        <w:footnoteRef/>
      </w:r>
      <w:r>
        <w:t xml:space="preserve"> </w:t>
      </w:r>
      <w:r w:rsidRPr="00BE2EB7">
        <w:rPr>
          <w:sz w:val="20"/>
          <w:szCs w:val="20"/>
        </w:rPr>
        <w:t xml:space="preserve">To make a copy of the active window, press </w:t>
      </w:r>
      <w:r w:rsidRPr="00BE2EB7">
        <w:rPr>
          <w:b/>
          <w:bCs/>
          <w:sz w:val="20"/>
          <w:szCs w:val="20"/>
        </w:rPr>
        <w:t>Alt+Print Screen</w:t>
      </w:r>
      <w:r w:rsidRPr="00BE2EB7">
        <w:rPr>
          <w:sz w:val="20"/>
          <w:szCs w:val="20"/>
        </w:rPr>
        <w:t xml:space="preserve">. To copy the entire screen as it appears on your monitor, press </w:t>
      </w:r>
      <w:r w:rsidRPr="00BE2EB7">
        <w:rPr>
          <w:b/>
          <w:bCs/>
          <w:sz w:val="20"/>
          <w:szCs w:val="20"/>
        </w:rPr>
        <w:t>Print Screen</w:t>
      </w:r>
      <w:r w:rsidRPr="00BE2EB7">
        <w:rPr>
          <w:sz w:val="20"/>
          <w:szCs w:val="20"/>
        </w:rPr>
        <w:t xml:space="preserve">. To paste the image into a file in an Office program, open the file you want to paste the image into, click </w:t>
      </w:r>
      <w:r w:rsidRPr="00BE2EB7">
        <w:rPr>
          <w:b/>
          <w:bCs/>
          <w:sz w:val="20"/>
          <w:szCs w:val="20"/>
        </w:rPr>
        <w:t>Edit</w:t>
      </w:r>
      <w:r w:rsidRPr="00BE2EB7">
        <w:rPr>
          <w:sz w:val="20"/>
          <w:szCs w:val="20"/>
        </w:rPr>
        <w:t xml:space="preserve">, and then click </w:t>
      </w:r>
      <w:r w:rsidRPr="00BE2EB7">
        <w:rPr>
          <w:b/>
          <w:bCs/>
          <w:sz w:val="20"/>
          <w:szCs w:val="20"/>
        </w:rPr>
        <w:t>Paste</w:t>
      </w:r>
      <w:r w:rsidRPr="00BE2EB7">
        <w:rPr>
          <w:sz w:val="20"/>
          <w:szCs w:val="20"/>
        </w:rPr>
        <w:t xml:space="preserve">. </w:t>
      </w:r>
    </w:p>
  </w:footnote>
  <w:footnote w:id="9">
    <w:p w14:paraId="34FF35E8" w14:textId="77777777" w:rsidR="00EA60B6" w:rsidRDefault="00EA60B6" w:rsidP="002E3C00">
      <w:pPr>
        <w:pStyle w:val="FootnoteText"/>
      </w:pPr>
      <w:r>
        <w:rPr>
          <w:rStyle w:val="FootnoteReference"/>
        </w:rPr>
        <w:footnoteRef/>
      </w:r>
      <w:r>
        <w:t xml:space="preserve"> Default is </w:t>
      </w:r>
      <w:r w:rsidRPr="007121BA">
        <w:t>270</w:t>
      </w:r>
      <w:r>
        <w:t xml:space="preserve"> minutes (4 hours, 30 minutes).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62E1" w14:textId="77777777" w:rsidR="00EA60B6" w:rsidRDefault="00EA60B6">
    <w:pPr>
      <w:pStyle w:val="Header"/>
      <w:jc w:val="center"/>
    </w:pPr>
  </w:p>
  <w:p w14:paraId="19A61421" w14:textId="77777777" w:rsidR="00EA60B6" w:rsidRDefault="00EA60B6">
    <w:pPr>
      <w:pStyle w:val="Header"/>
      <w:jc w:val="center"/>
    </w:pPr>
  </w:p>
  <w:p w14:paraId="135EE6EB" w14:textId="77777777" w:rsidR="00EA60B6" w:rsidRDefault="00EA60B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C6AA" w14:textId="77777777" w:rsidR="00EA60B6" w:rsidRDefault="00EA60B6">
    <w:pPr>
      <w:pStyle w:val="Header"/>
      <w:jc w:val="center"/>
      <w:rPr>
        <w:rFonts w:ascii="Arial" w:hAnsi="Arial" w:cs="Arial"/>
        <w:i/>
      </w:rPr>
    </w:pPr>
  </w:p>
  <w:p w14:paraId="73D33D40" w14:textId="77777777" w:rsidR="00EA60B6" w:rsidRDefault="00EA60B6">
    <w:pPr>
      <w:pStyle w:val="Header"/>
      <w:jc w:val="center"/>
    </w:pPr>
  </w:p>
  <w:p w14:paraId="09E1A3C2" w14:textId="77777777" w:rsidR="00EA60B6" w:rsidRDefault="00EA60B6">
    <w:pPr>
      <w:pStyle w:val="Header"/>
      <w:jc w:val="center"/>
    </w:pPr>
  </w:p>
  <w:p w14:paraId="30540558" w14:textId="77777777" w:rsidR="00EA60B6" w:rsidRDefault="00EA60B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E0D0" w14:textId="77777777" w:rsidR="00EA60B6" w:rsidRDefault="00EA60B6" w:rsidP="001971FE">
    <w:pPr>
      <w:pStyle w:val="Header"/>
      <w:jc w:val="center"/>
      <w:rPr>
        <w:rFonts w:ascii="Arial" w:hAnsi="Arial" w:cs="Arial"/>
        <w:i/>
      </w:rPr>
    </w:pPr>
  </w:p>
  <w:p w14:paraId="55C3433C" w14:textId="77777777" w:rsidR="00EA60B6" w:rsidRDefault="00EA60B6" w:rsidP="001971FE">
    <w:pPr>
      <w:pStyle w:val="Header"/>
      <w:jc w:val="center"/>
    </w:pPr>
  </w:p>
  <w:p w14:paraId="3EF72D10" w14:textId="77777777" w:rsidR="00EA60B6" w:rsidRDefault="00EA60B6">
    <w:pPr>
      <w:pStyle w:val="Header"/>
      <w:jc w:val="center"/>
    </w:pPr>
  </w:p>
  <w:p w14:paraId="2B88979B" w14:textId="77777777" w:rsidR="00EA60B6" w:rsidRDefault="00EA60B6">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6E886" w14:textId="77777777" w:rsidR="00EA60B6" w:rsidRDefault="00EA60B6" w:rsidP="001971FE">
    <w:pPr>
      <w:pStyle w:val="Header"/>
      <w:jc w:val="center"/>
      <w:rPr>
        <w:rFonts w:ascii="Arial" w:hAnsi="Arial" w:cs="Arial"/>
        <w:i/>
      </w:rPr>
    </w:pPr>
  </w:p>
  <w:p w14:paraId="5E934C06" w14:textId="77777777" w:rsidR="00EA60B6" w:rsidRDefault="00EA60B6" w:rsidP="001971FE">
    <w:pPr>
      <w:pStyle w:val="Header"/>
      <w:jc w:val="center"/>
    </w:pPr>
  </w:p>
  <w:p w14:paraId="53D85905" w14:textId="77777777" w:rsidR="00EA60B6" w:rsidRDefault="00EA60B6">
    <w:pPr>
      <w:pStyle w:val="Header"/>
      <w:jc w:val="center"/>
    </w:pPr>
  </w:p>
  <w:p w14:paraId="2DDC02AA" w14:textId="77777777" w:rsidR="00EA60B6" w:rsidRDefault="00EA60B6">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EDAAC" w14:textId="77777777" w:rsidR="00EA60B6" w:rsidRDefault="00EA60B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0CFF" w14:textId="77777777" w:rsidR="00EA60B6" w:rsidRDefault="00EA60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numPicBullet w:numPicBulletId="2">
    <w:pict>
      <v:shape id="_x0000_i1032" type="#_x0000_t75" style="width:3in;height:3in" o:bullet="t"/>
    </w:pict>
  </w:numPicBullet>
  <w:numPicBullet w:numPicBulletId="3">
    <w:pict>
      <v:shape id="_x0000_i1033" type="#_x0000_t75" alt="small_vistalink_fail" style="width:12pt;height:12pt;visibility:visible" o:bullet="t">
        <v:imagedata r:id="rId1" o:title="small_vistalink_fail"/>
      </v:shape>
    </w:pict>
  </w:numPicBullet>
  <w:abstractNum w:abstractNumId="0" w15:restartNumberingAfterBreak="0">
    <w:nsid w:val="04613CC0"/>
    <w:multiLevelType w:val="hybridMultilevel"/>
    <w:tmpl w:val="9B14D6CC"/>
    <w:lvl w:ilvl="0" w:tplc="EB7C977E">
      <w:start w:val="1"/>
      <w:numFmt w:val="bullet"/>
      <w:pStyle w:val="GlossaryTableTextBullets"/>
      <w:lvlText w:val=""/>
      <w:lvlJc w:val="left"/>
      <w:pPr>
        <w:tabs>
          <w:tab w:val="num" w:pos="648"/>
        </w:tabs>
        <w:ind w:left="648" w:hanging="288"/>
      </w:pPr>
      <w:rPr>
        <w:rFonts w:ascii="Symbol" w:hAnsi="Symbol" w:hint="default"/>
        <w:sz w:val="18"/>
        <w:szCs w:val="18"/>
      </w:rPr>
    </w:lvl>
    <w:lvl w:ilvl="1" w:tplc="46A45A12" w:tentative="1">
      <w:start w:val="1"/>
      <w:numFmt w:val="bullet"/>
      <w:lvlText w:val="o"/>
      <w:lvlJc w:val="left"/>
      <w:pPr>
        <w:tabs>
          <w:tab w:val="num" w:pos="1800"/>
        </w:tabs>
        <w:ind w:left="1800" w:hanging="360"/>
      </w:pPr>
      <w:rPr>
        <w:rFonts w:ascii="Courier New" w:hAnsi="Courier New" w:cs="Courier New" w:hint="default"/>
      </w:rPr>
    </w:lvl>
    <w:lvl w:ilvl="2" w:tplc="E4DA0104" w:tentative="1">
      <w:start w:val="1"/>
      <w:numFmt w:val="bullet"/>
      <w:lvlText w:val=""/>
      <w:lvlJc w:val="left"/>
      <w:pPr>
        <w:tabs>
          <w:tab w:val="num" w:pos="2520"/>
        </w:tabs>
        <w:ind w:left="2520" w:hanging="360"/>
      </w:pPr>
      <w:rPr>
        <w:rFonts w:ascii="Wingdings" w:hAnsi="Wingdings" w:hint="default"/>
      </w:rPr>
    </w:lvl>
    <w:lvl w:ilvl="3" w:tplc="60B8E00C" w:tentative="1">
      <w:start w:val="1"/>
      <w:numFmt w:val="bullet"/>
      <w:lvlText w:val=""/>
      <w:lvlJc w:val="left"/>
      <w:pPr>
        <w:tabs>
          <w:tab w:val="num" w:pos="3240"/>
        </w:tabs>
        <w:ind w:left="3240" w:hanging="360"/>
      </w:pPr>
      <w:rPr>
        <w:rFonts w:ascii="Symbol" w:hAnsi="Symbol" w:hint="default"/>
      </w:rPr>
    </w:lvl>
    <w:lvl w:ilvl="4" w:tplc="CE0E6B90" w:tentative="1">
      <w:start w:val="1"/>
      <w:numFmt w:val="bullet"/>
      <w:lvlText w:val="o"/>
      <w:lvlJc w:val="left"/>
      <w:pPr>
        <w:tabs>
          <w:tab w:val="num" w:pos="3960"/>
        </w:tabs>
        <w:ind w:left="3960" w:hanging="360"/>
      </w:pPr>
      <w:rPr>
        <w:rFonts w:ascii="Courier New" w:hAnsi="Courier New" w:cs="Courier New" w:hint="default"/>
      </w:rPr>
    </w:lvl>
    <w:lvl w:ilvl="5" w:tplc="0456914E" w:tentative="1">
      <w:start w:val="1"/>
      <w:numFmt w:val="bullet"/>
      <w:lvlText w:val=""/>
      <w:lvlJc w:val="left"/>
      <w:pPr>
        <w:tabs>
          <w:tab w:val="num" w:pos="4680"/>
        </w:tabs>
        <w:ind w:left="4680" w:hanging="360"/>
      </w:pPr>
      <w:rPr>
        <w:rFonts w:ascii="Wingdings" w:hAnsi="Wingdings" w:hint="default"/>
      </w:rPr>
    </w:lvl>
    <w:lvl w:ilvl="6" w:tplc="F47E236E" w:tentative="1">
      <w:start w:val="1"/>
      <w:numFmt w:val="bullet"/>
      <w:lvlText w:val=""/>
      <w:lvlJc w:val="left"/>
      <w:pPr>
        <w:tabs>
          <w:tab w:val="num" w:pos="5400"/>
        </w:tabs>
        <w:ind w:left="5400" w:hanging="360"/>
      </w:pPr>
      <w:rPr>
        <w:rFonts w:ascii="Symbol" w:hAnsi="Symbol" w:hint="default"/>
      </w:rPr>
    </w:lvl>
    <w:lvl w:ilvl="7" w:tplc="B2946EFE" w:tentative="1">
      <w:start w:val="1"/>
      <w:numFmt w:val="bullet"/>
      <w:lvlText w:val="o"/>
      <w:lvlJc w:val="left"/>
      <w:pPr>
        <w:tabs>
          <w:tab w:val="num" w:pos="6120"/>
        </w:tabs>
        <w:ind w:left="6120" w:hanging="360"/>
      </w:pPr>
      <w:rPr>
        <w:rFonts w:ascii="Courier New" w:hAnsi="Courier New" w:cs="Courier New" w:hint="default"/>
      </w:rPr>
    </w:lvl>
    <w:lvl w:ilvl="8" w:tplc="A106DE50"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EE5285"/>
    <w:multiLevelType w:val="hybridMultilevel"/>
    <w:tmpl w:val="ABEE7660"/>
    <w:lvl w:ilvl="0" w:tplc="673E15CA">
      <w:start w:val="1"/>
      <w:numFmt w:val="bullet"/>
      <w:pStyle w:val="TableTextBullet"/>
      <w:lvlText w:val=""/>
      <w:lvlJc w:val="left"/>
      <w:pPr>
        <w:tabs>
          <w:tab w:val="num" w:pos="288"/>
        </w:tabs>
        <w:ind w:left="288" w:hanging="288"/>
      </w:pPr>
      <w:rPr>
        <w:rFonts w:ascii="Symbol" w:hAnsi="Symbol" w:hint="default"/>
        <w:sz w:val="18"/>
        <w:szCs w:val="18"/>
      </w:rPr>
    </w:lvl>
    <w:lvl w:ilvl="1" w:tplc="67C44AEA">
      <w:start w:val="1"/>
      <w:numFmt w:val="bullet"/>
      <w:lvlText w:val="o"/>
      <w:lvlJc w:val="left"/>
      <w:pPr>
        <w:tabs>
          <w:tab w:val="num" w:pos="1440"/>
        </w:tabs>
        <w:ind w:left="1440" w:hanging="360"/>
      </w:pPr>
      <w:rPr>
        <w:rFonts w:ascii="Courier New" w:hAnsi="Courier New" w:cs="Courier New" w:hint="default"/>
      </w:rPr>
    </w:lvl>
    <w:lvl w:ilvl="2" w:tplc="7EEA7A9A" w:tentative="1">
      <w:start w:val="1"/>
      <w:numFmt w:val="bullet"/>
      <w:lvlText w:val=""/>
      <w:lvlJc w:val="left"/>
      <w:pPr>
        <w:tabs>
          <w:tab w:val="num" w:pos="2160"/>
        </w:tabs>
        <w:ind w:left="2160" w:hanging="360"/>
      </w:pPr>
      <w:rPr>
        <w:rFonts w:ascii="Wingdings" w:hAnsi="Wingdings" w:hint="default"/>
      </w:rPr>
    </w:lvl>
    <w:lvl w:ilvl="3" w:tplc="F5A8D8F0" w:tentative="1">
      <w:start w:val="1"/>
      <w:numFmt w:val="bullet"/>
      <w:lvlText w:val=""/>
      <w:lvlJc w:val="left"/>
      <w:pPr>
        <w:tabs>
          <w:tab w:val="num" w:pos="2880"/>
        </w:tabs>
        <w:ind w:left="2880" w:hanging="360"/>
      </w:pPr>
      <w:rPr>
        <w:rFonts w:ascii="Symbol" w:hAnsi="Symbol" w:hint="default"/>
      </w:rPr>
    </w:lvl>
    <w:lvl w:ilvl="4" w:tplc="00E249A6" w:tentative="1">
      <w:start w:val="1"/>
      <w:numFmt w:val="bullet"/>
      <w:lvlText w:val="o"/>
      <w:lvlJc w:val="left"/>
      <w:pPr>
        <w:tabs>
          <w:tab w:val="num" w:pos="3600"/>
        </w:tabs>
        <w:ind w:left="3600" w:hanging="360"/>
      </w:pPr>
      <w:rPr>
        <w:rFonts w:ascii="Courier New" w:hAnsi="Courier New" w:cs="Courier New" w:hint="default"/>
      </w:rPr>
    </w:lvl>
    <w:lvl w:ilvl="5" w:tplc="DBFA9252" w:tentative="1">
      <w:start w:val="1"/>
      <w:numFmt w:val="bullet"/>
      <w:lvlText w:val=""/>
      <w:lvlJc w:val="left"/>
      <w:pPr>
        <w:tabs>
          <w:tab w:val="num" w:pos="4320"/>
        </w:tabs>
        <w:ind w:left="4320" w:hanging="360"/>
      </w:pPr>
      <w:rPr>
        <w:rFonts w:ascii="Wingdings" w:hAnsi="Wingdings" w:hint="default"/>
      </w:rPr>
    </w:lvl>
    <w:lvl w:ilvl="6" w:tplc="FC06345E" w:tentative="1">
      <w:start w:val="1"/>
      <w:numFmt w:val="bullet"/>
      <w:lvlText w:val=""/>
      <w:lvlJc w:val="left"/>
      <w:pPr>
        <w:tabs>
          <w:tab w:val="num" w:pos="5040"/>
        </w:tabs>
        <w:ind w:left="5040" w:hanging="360"/>
      </w:pPr>
      <w:rPr>
        <w:rFonts w:ascii="Symbol" w:hAnsi="Symbol" w:hint="default"/>
      </w:rPr>
    </w:lvl>
    <w:lvl w:ilvl="7" w:tplc="61CE7C36" w:tentative="1">
      <w:start w:val="1"/>
      <w:numFmt w:val="bullet"/>
      <w:lvlText w:val="o"/>
      <w:lvlJc w:val="left"/>
      <w:pPr>
        <w:tabs>
          <w:tab w:val="num" w:pos="5760"/>
        </w:tabs>
        <w:ind w:left="5760" w:hanging="360"/>
      </w:pPr>
      <w:rPr>
        <w:rFonts w:ascii="Courier New" w:hAnsi="Courier New" w:cs="Courier New" w:hint="default"/>
      </w:rPr>
    </w:lvl>
    <w:lvl w:ilvl="8" w:tplc="8D64A2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6D0253"/>
    <w:multiLevelType w:val="hybridMultilevel"/>
    <w:tmpl w:val="B406E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7843AB"/>
    <w:multiLevelType w:val="hybridMultilevel"/>
    <w:tmpl w:val="77E4C05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15:restartNumberingAfterBreak="0">
    <w:nsid w:val="0C217292"/>
    <w:multiLevelType w:val="hybridMultilevel"/>
    <w:tmpl w:val="AD3C43EC"/>
    <w:lvl w:ilvl="0" w:tplc="FFFFFFFF">
      <w:start w:val="1"/>
      <w:numFmt w:val="bullet"/>
      <w:lvlText w:val=""/>
      <w:lvlJc w:val="left"/>
      <w:pPr>
        <w:tabs>
          <w:tab w:val="num" w:pos="360"/>
        </w:tabs>
        <w:ind w:left="360" w:hanging="360"/>
      </w:pPr>
      <w:rPr>
        <w:rFonts w:ascii="Symbol" w:hAnsi="Symbol" w:hint="default"/>
        <w:sz w:val="18"/>
      </w:rPr>
    </w:lvl>
    <w:lvl w:ilvl="1" w:tplc="04090001">
      <w:start w:val="1"/>
      <w:numFmt w:val="bullet"/>
      <w:lvlText w:val=""/>
      <w:lvlJc w:val="left"/>
      <w:pPr>
        <w:tabs>
          <w:tab w:val="num" w:pos="1440"/>
        </w:tabs>
        <w:ind w:left="1440" w:hanging="360"/>
      </w:pPr>
      <w:rPr>
        <w:rFonts w:ascii="Symbol" w:hAnsi="Symbol" w:hint="default"/>
        <w:sz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E736AE"/>
    <w:multiLevelType w:val="hybridMultilevel"/>
    <w:tmpl w:val="1108E58A"/>
    <w:lvl w:ilvl="0" w:tplc="0040FE08">
      <w:start w:val="1"/>
      <w:numFmt w:val="bullet"/>
      <w:lvlText w:val=""/>
      <w:lvlJc w:val="left"/>
      <w:pPr>
        <w:tabs>
          <w:tab w:val="num" w:pos="288"/>
        </w:tabs>
        <w:ind w:left="288" w:hanging="288"/>
      </w:pPr>
      <w:rPr>
        <w:rFonts w:ascii="Symbol" w:hAnsi="Symbol" w:hint="default"/>
        <w:sz w:val="18"/>
      </w:rPr>
    </w:lvl>
    <w:lvl w:ilvl="1" w:tplc="047416E6">
      <w:start w:val="1"/>
      <w:numFmt w:val="decimal"/>
      <w:lvlText w:val="%2."/>
      <w:lvlJc w:val="left"/>
      <w:pPr>
        <w:tabs>
          <w:tab w:val="num" w:pos="1440"/>
        </w:tabs>
        <w:ind w:left="1440" w:hanging="360"/>
      </w:pPr>
      <w:rPr>
        <w:rFonts w:hint="default"/>
        <w:sz w:val="18"/>
      </w:rPr>
    </w:lvl>
    <w:lvl w:ilvl="2" w:tplc="CF9E79F0" w:tentative="1">
      <w:start w:val="1"/>
      <w:numFmt w:val="bullet"/>
      <w:lvlText w:val=""/>
      <w:lvlJc w:val="left"/>
      <w:pPr>
        <w:tabs>
          <w:tab w:val="num" w:pos="2160"/>
        </w:tabs>
        <w:ind w:left="2160" w:hanging="360"/>
      </w:pPr>
      <w:rPr>
        <w:rFonts w:ascii="Wingdings" w:hAnsi="Wingdings" w:hint="default"/>
      </w:rPr>
    </w:lvl>
    <w:lvl w:ilvl="3" w:tplc="75780262" w:tentative="1">
      <w:start w:val="1"/>
      <w:numFmt w:val="bullet"/>
      <w:lvlText w:val=""/>
      <w:lvlJc w:val="left"/>
      <w:pPr>
        <w:tabs>
          <w:tab w:val="num" w:pos="2880"/>
        </w:tabs>
        <w:ind w:left="2880" w:hanging="360"/>
      </w:pPr>
      <w:rPr>
        <w:rFonts w:ascii="Symbol" w:hAnsi="Symbol" w:hint="default"/>
      </w:rPr>
    </w:lvl>
    <w:lvl w:ilvl="4" w:tplc="E49833F6" w:tentative="1">
      <w:start w:val="1"/>
      <w:numFmt w:val="bullet"/>
      <w:lvlText w:val="o"/>
      <w:lvlJc w:val="left"/>
      <w:pPr>
        <w:tabs>
          <w:tab w:val="num" w:pos="3600"/>
        </w:tabs>
        <w:ind w:left="3600" w:hanging="360"/>
      </w:pPr>
      <w:rPr>
        <w:rFonts w:ascii="Courier New" w:hAnsi="Courier New" w:cs="Courier New" w:hint="default"/>
      </w:rPr>
    </w:lvl>
    <w:lvl w:ilvl="5" w:tplc="EC54FD92" w:tentative="1">
      <w:start w:val="1"/>
      <w:numFmt w:val="bullet"/>
      <w:lvlText w:val=""/>
      <w:lvlJc w:val="left"/>
      <w:pPr>
        <w:tabs>
          <w:tab w:val="num" w:pos="4320"/>
        </w:tabs>
        <w:ind w:left="4320" w:hanging="360"/>
      </w:pPr>
      <w:rPr>
        <w:rFonts w:ascii="Wingdings" w:hAnsi="Wingdings" w:hint="default"/>
      </w:rPr>
    </w:lvl>
    <w:lvl w:ilvl="6" w:tplc="4D169686" w:tentative="1">
      <w:start w:val="1"/>
      <w:numFmt w:val="bullet"/>
      <w:lvlText w:val=""/>
      <w:lvlJc w:val="left"/>
      <w:pPr>
        <w:tabs>
          <w:tab w:val="num" w:pos="5040"/>
        </w:tabs>
        <w:ind w:left="5040" w:hanging="360"/>
      </w:pPr>
      <w:rPr>
        <w:rFonts w:ascii="Symbol" w:hAnsi="Symbol" w:hint="default"/>
      </w:rPr>
    </w:lvl>
    <w:lvl w:ilvl="7" w:tplc="22660948" w:tentative="1">
      <w:start w:val="1"/>
      <w:numFmt w:val="bullet"/>
      <w:lvlText w:val="o"/>
      <w:lvlJc w:val="left"/>
      <w:pPr>
        <w:tabs>
          <w:tab w:val="num" w:pos="5760"/>
        </w:tabs>
        <w:ind w:left="5760" w:hanging="360"/>
      </w:pPr>
      <w:rPr>
        <w:rFonts w:ascii="Courier New" w:hAnsi="Courier New" w:cs="Courier New" w:hint="default"/>
      </w:rPr>
    </w:lvl>
    <w:lvl w:ilvl="8" w:tplc="596E42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963B35"/>
    <w:multiLevelType w:val="hybridMultilevel"/>
    <w:tmpl w:val="57665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481979"/>
    <w:multiLevelType w:val="hybridMultilevel"/>
    <w:tmpl w:val="E236B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DD4DC5"/>
    <w:multiLevelType w:val="hybridMultilevel"/>
    <w:tmpl w:val="8544FB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422FE9"/>
    <w:multiLevelType w:val="hybridMultilevel"/>
    <w:tmpl w:val="8B34C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C85357"/>
    <w:multiLevelType w:val="hybridMultilevel"/>
    <w:tmpl w:val="747E78C4"/>
    <w:lvl w:ilvl="0" w:tplc="8D5EE010">
      <w:start w:val="1"/>
      <w:numFmt w:val="decimal"/>
      <w:lvlText w:val="%1)"/>
      <w:lvlJc w:val="left"/>
      <w:pPr>
        <w:tabs>
          <w:tab w:val="num" w:pos="720"/>
        </w:tabs>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9F20643"/>
    <w:multiLevelType w:val="hybridMultilevel"/>
    <w:tmpl w:val="BABA0F66"/>
    <w:lvl w:ilvl="0" w:tplc="1A126C3E">
      <w:start w:val="1"/>
      <w:numFmt w:val="bullet"/>
      <w:lvlText w:val=""/>
      <w:lvlJc w:val="left"/>
      <w:pPr>
        <w:tabs>
          <w:tab w:val="num" w:pos="720"/>
        </w:tabs>
        <w:ind w:left="720" w:hanging="360"/>
      </w:pPr>
      <w:rPr>
        <w:rFonts w:ascii="Symbol" w:hAnsi="Symbol" w:hint="default"/>
      </w:rPr>
    </w:lvl>
    <w:lvl w:ilvl="1" w:tplc="DE5E6A06" w:tentative="1">
      <w:start w:val="1"/>
      <w:numFmt w:val="bullet"/>
      <w:lvlText w:val="o"/>
      <w:lvlJc w:val="left"/>
      <w:pPr>
        <w:tabs>
          <w:tab w:val="num" w:pos="1440"/>
        </w:tabs>
        <w:ind w:left="1440" w:hanging="360"/>
      </w:pPr>
      <w:rPr>
        <w:rFonts w:ascii="Courier New" w:hAnsi="Courier New" w:hint="default"/>
      </w:rPr>
    </w:lvl>
    <w:lvl w:ilvl="2" w:tplc="DF14889C" w:tentative="1">
      <w:start w:val="1"/>
      <w:numFmt w:val="bullet"/>
      <w:lvlText w:val=""/>
      <w:lvlJc w:val="left"/>
      <w:pPr>
        <w:tabs>
          <w:tab w:val="num" w:pos="2160"/>
        </w:tabs>
        <w:ind w:left="2160" w:hanging="360"/>
      </w:pPr>
      <w:rPr>
        <w:rFonts w:ascii="Wingdings" w:hAnsi="Wingdings" w:hint="default"/>
      </w:rPr>
    </w:lvl>
    <w:lvl w:ilvl="3" w:tplc="30D6EAC2" w:tentative="1">
      <w:start w:val="1"/>
      <w:numFmt w:val="bullet"/>
      <w:lvlText w:val=""/>
      <w:lvlJc w:val="left"/>
      <w:pPr>
        <w:tabs>
          <w:tab w:val="num" w:pos="2880"/>
        </w:tabs>
        <w:ind w:left="2880" w:hanging="360"/>
      </w:pPr>
      <w:rPr>
        <w:rFonts w:ascii="Symbol" w:hAnsi="Symbol" w:hint="default"/>
      </w:rPr>
    </w:lvl>
    <w:lvl w:ilvl="4" w:tplc="AD807362" w:tentative="1">
      <w:start w:val="1"/>
      <w:numFmt w:val="bullet"/>
      <w:lvlText w:val="o"/>
      <w:lvlJc w:val="left"/>
      <w:pPr>
        <w:tabs>
          <w:tab w:val="num" w:pos="3600"/>
        </w:tabs>
        <w:ind w:left="3600" w:hanging="360"/>
      </w:pPr>
      <w:rPr>
        <w:rFonts w:ascii="Courier New" w:hAnsi="Courier New" w:hint="default"/>
      </w:rPr>
    </w:lvl>
    <w:lvl w:ilvl="5" w:tplc="DAC6667A" w:tentative="1">
      <w:start w:val="1"/>
      <w:numFmt w:val="bullet"/>
      <w:lvlText w:val=""/>
      <w:lvlJc w:val="left"/>
      <w:pPr>
        <w:tabs>
          <w:tab w:val="num" w:pos="4320"/>
        </w:tabs>
        <w:ind w:left="4320" w:hanging="360"/>
      </w:pPr>
      <w:rPr>
        <w:rFonts w:ascii="Wingdings" w:hAnsi="Wingdings" w:hint="default"/>
      </w:rPr>
    </w:lvl>
    <w:lvl w:ilvl="6" w:tplc="AE14D8DE" w:tentative="1">
      <w:start w:val="1"/>
      <w:numFmt w:val="bullet"/>
      <w:lvlText w:val=""/>
      <w:lvlJc w:val="left"/>
      <w:pPr>
        <w:tabs>
          <w:tab w:val="num" w:pos="5040"/>
        </w:tabs>
        <w:ind w:left="5040" w:hanging="360"/>
      </w:pPr>
      <w:rPr>
        <w:rFonts w:ascii="Symbol" w:hAnsi="Symbol" w:hint="default"/>
      </w:rPr>
    </w:lvl>
    <w:lvl w:ilvl="7" w:tplc="4434D03C" w:tentative="1">
      <w:start w:val="1"/>
      <w:numFmt w:val="bullet"/>
      <w:lvlText w:val="o"/>
      <w:lvlJc w:val="left"/>
      <w:pPr>
        <w:tabs>
          <w:tab w:val="num" w:pos="5760"/>
        </w:tabs>
        <w:ind w:left="5760" w:hanging="360"/>
      </w:pPr>
      <w:rPr>
        <w:rFonts w:ascii="Courier New" w:hAnsi="Courier New" w:hint="default"/>
      </w:rPr>
    </w:lvl>
    <w:lvl w:ilvl="8" w:tplc="1262C06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5A6219"/>
    <w:multiLevelType w:val="hybridMultilevel"/>
    <w:tmpl w:val="4B28CC3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175C34"/>
    <w:multiLevelType w:val="hybridMultilevel"/>
    <w:tmpl w:val="EC5060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583674"/>
    <w:multiLevelType w:val="hybridMultilevel"/>
    <w:tmpl w:val="60728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BA7A1F"/>
    <w:multiLevelType w:val="hybridMultilevel"/>
    <w:tmpl w:val="5F5E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EE2B9E"/>
    <w:multiLevelType w:val="hybridMultilevel"/>
    <w:tmpl w:val="2A9644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2F00273"/>
    <w:multiLevelType w:val="hybridMultilevel"/>
    <w:tmpl w:val="FCBEB21E"/>
    <w:lvl w:ilvl="0" w:tplc="8D5EE010">
      <w:start w:val="1"/>
      <w:numFmt w:val="decimal"/>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7D2BCD"/>
    <w:multiLevelType w:val="hybridMultilevel"/>
    <w:tmpl w:val="3E580BF8"/>
    <w:lvl w:ilvl="0" w:tplc="0966E532">
      <w:start w:val="1"/>
      <w:numFmt w:val="bullet"/>
      <w:lvlText w:val=""/>
      <w:lvlJc w:val="left"/>
      <w:pPr>
        <w:tabs>
          <w:tab w:val="num" w:pos="720"/>
        </w:tabs>
        <w:ind w:left="720" w:hanging="360"/>
      </w:pPr>
      <w:rPr>
        <w:rFonts w:ascii="Symbol" w:hAnsi="Symbol" w:hint="default"/>
        <w:color w:val="auto"/>
        <w:sz w:val="18"/>
        <w:szCs w:val="18"/>
      </w:rPr>
    </w:lvl>
    <w:lvl w:ilvl="1" w:tplc="730C1182" w:tentative="1">
      <w:start w:val="1"/>
      <w:numFmt w:val="bullet"/>
      <w:lvlText w:val="o"/>
      <w:lvlJc w:val="left"/>
      <w:pPr>
        <w:tabs>
          <w:tab w:val="num" w:pos="1440"/>
        </w:tabs>
        <w:ind w:left="1440" w:hanging="360"/>
      </w:pPr>
      <w:rPr>
        <w:rFonts w:ascii="Courier New" w:hAnsi="Courier New" w:cs="Courier New" w:hint="default"/>
      </w:rPr>
    </w:lvl>
    <w:lvl w:ilvl="2" w:tplc="2B5CB1CA" w:tentative="1">
      <w:start w:val="1"/>
      <w:numFmt w:val="bullet"/>
      <w:lvlText w:val=""/>
      <w:lvlJc w:val="left"/>
      <w:pPr>
        <w:tabs>
          <w:tab w:val="num" w:pos="2160"/>
        </w:tabs>
        <w:ind w:left="2160" w:hanging="360"/>
      </w:pPr>
      <w:rPr>
        <w:rFonts w:ascii="Wingdings" w:hAnsi="Wingdings" w:hint="default"/>
      </w:rPr>
    </w:lvl>
    <w:lvl w:ilvl="3" w:tplc="147A038C" w:tentative="1">
      <w:start w:val="1"/>
      <w:numFmt w:val="bullet"/>
      <w:lvlText w:val=""/>
      <w:lvlJc w:val="left"/>
      <w:pPr>
        <w:tabs>
          <w:tab w:val="num" w:pos="2880"/>
        </w:tabs>
        <w:ind w:left="2880" w:hanging="360"/>
      </w:pPr>
      <w:rPr>
        <w:rFonts w:ascii="Symbol" w:hAnsi="Symbol" w:hint="default"/>
      </w:rPr>
    </w:lvl>
    <w:lvl w:ilvl="4" w:tplc="5C64FECC" w:tentative="1">
      <w:start w:val="1"/>
      <w:numFmt w:val="bullet"/>
      <w:lvlText w:val="o"/>
      <w:lvlJc w:val="left"/>
      <w:pPr>
        <w:tabs>
          <w:tab w:val="num" w:pos="3600"/>
        </w:tabs>
        <w:ind w:left="3600" w:hanging="360"/>
      </w:pPr>
      <w:rPr>
        <w:rFonts w:ascii="Courier New" w:hAnsi="Courier New" w:cs="Courier New" w:hint="default"/>
      </w:rPr>
    </w:lvl>
    <w:lvl w:ilvl="5" w:tplc="885C91EC" w:tentative="1">
      <w:start w:val="1"/>
      <w:numFmt w:val="bullet"/>
      <w:lvlText w:val=""/>
      <w:lvlJc w:val="left"/>
      <w:pPr>
        <w:tabs>
          <w:tab w:val="num" w:pos="4320"/>
        </w:tabs>
        <w:ind w:left="4320" w:hanging="360"/>
      </w:pPr>
      <w:rPr>
        <w:rFonts w:ascii="Wingdings" w:hAnsi="Wingdings" w:hint="default"/>
      </w:rPr>
    </w:lvl>
    <w:lvl w:ilvl="6" w:tplc="78444308" w:tentative="1">
      <w:start w:val="1"/>
      <w:numFmt w:val="bullet"/>
      <w:lvlText w:val=""/>
      <w:lvlJc w:val="left"/>
      <w:pPr>
        <w:tabs>
          <w:tab w:val="num" w:pos="5040"/>
        </w:tabs>
        <w:ind w:left="5040" w:hanging="360"/>
      </w:pPr>
      <w:rPr>
        <w:rFonts w:ascii="Symbol" w:hAnsi="Symbol" w:hint="default"/>
      </w:rPr>
    </w:lvl>
    <w:lvl w:ilvl="7" w:tplc="D46E18BE" w:tentative="1">
      <w:start w:val="1"/>
      <w:numFmt w:val="bullet"/>
      <w:lvlText w:val="o"/>
      <w:lvlJc w:val="left"/>
      <w:pPr>
        <w:tabs>
          <w:tab w:val="num" w:pos="5760"/>
        </w:tabs>
        <w:ind w:left="5760" w:hanging="360"/>
      </w:pPr>
      <w:rPr>
        <w:rFonts w:ascii="Courier New" w:hAnsi="Courier New" w:cs="Courier New" w:hint="default"/>
      </w:rPr>
    </w:lvl>
    <w:lvl w:ilvl="8" w:tplc="8EBADF7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2462B0"/>
    <w:multiLevelType w:val="hybridMultilevel"/>
    <w:tmpl w:val="C49A0398"/>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940C9D"/>
    <w:multiLevelType w:val="hybridMultilevel"/>
    <w:tmpl w:val="26F4E356"/>
    <w:lvl w:ilvl="0" w:tplc="1D94FEC6">
      <w:start w:val="1"/>
      <w:numFmt w:val="bullet"/>
      <w:lvlText w:val=""/>
      <w:lvlJc w:val="left"/>
      <w:pPr>
        <w:tabs>
          <w:tab w:val="num" w:pos="720"/>
        </w:tabs>
        <w:ind w:left="72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900B08"/>
    <w:multiLevelType w:val="hybridMultilevel"/>
    <w:tmpl w:val="6C6CFD48"/>
    <w:lvl w:ilvl="0" w:tplc="AFB6843E">
      <w:start w:val="1"/>
      <w:numFmt w:val="bullet"/>
      <w:lvlText w:val=""/>
      <w:lvlJc w:val="left"/>
      <w:pPr>
        <w:tabs>
          <w:tab w:val="num" w:pos="720"/>
        </w:tabs>
        <w:ind w:left="720" w:hanging="360"/>
      </w:pPr>
      <w:rPr>
        <w:rFonts w:ascii="Symbol" w:hAnsi="Symbol" w:hint="default"/>
      </w:rPr>
    </w:lvl>
    <w:lvl w:ilvl="1" w:tplc="CE7856EE" w:tentative="1">
      <w:start w:val="1"/>
      <w:numFmt w:val="bullet"/>
      <w:lvlText w:val="o"/>
      <w:lvlJc w:val="left"/>
      <w:pPr>
        <w:tabs>
          <w:tab w:val="num" w:pos="1440"/>
        </w:tabs>
        <w:ind w:left="1440" w:hanging="360"/>
      </w:pPr>
      <w:rPr>
        <w:rFonts w:ascii="Courier New" w:hAnsi="Courier New" w:cs="Courier New" w:hint="default"/>
      </w:rPr>
    </w:lvl>
    <w:lvl w:ilvl="2" w:tplc="75940A24" w:tentative="1">
      <w:start w:val="1"/>
      <w:numFmt w:val="bullet"/>
      <w:lvlText w:val=""/>
      <w:lvlJc w:val="left"/>
      <w:pPr>
        <w:tabs>
          <w:tab w:val="num" w:pos="2160"/>
        </w:tabs>
        <w:ind w:left="2160" w:hanging="360"/>
      </w:pPr>
      <w:rPr>
        <w:rFonts w:ascii="Wingdings" w:hAnsi="Wingdings" w:hint="default"/>
      </w:rPr>
    </w:lvl>
    <w:lvl w:ilvl="3" w:tplc="6E2896FC" w:tentative="1">
      <w:start w:val="1"/>
      <w:numFmt w:val="bullet"/>
      <w:lvlText w:val=""/>
      <w:lvlJc w:val="left"/>
      <w:pPr>
        <w:tabs>
          <w:tab w:val="num" w:pos="2880"/>
        </w:tabs>
        <w:ind w:left="2880" w:hanging="360"/>
      </w:pPr>
      <w:rPr>
        <w:rFonts w:ascii="Symbol" w:hAnsi="Symbol" w:hint="default"/>
      </w:rPr>
    </w:lvl>
    <w:lvl w:ilvl="4" w:tplc="AA56297A" w:tentative="1">
      <w:start w:val="1"/>
      <w:numFmt w:val="bullet"/>
      <w:lvlText w:val="o"/>
      <w:lvlJc w:val="left"/>
      <w:pPr>
        <w:tabs>
          <w:tab w:val="num" w:pos="3600"/>
        </w:tabs>
        <w:ind w:left="3600" w:hanging="360"/>
      </w:pPr>
      <w:rPr>
        <w:rFonts w:ascii="Courier New" w:hAnsi="Courier New" w:cs="Courier New" w:hint="default"/>
      </w:rPr>
    </w:lvl>
    <w:lvl w:ilvl="5" w:tplc="B79EB7D8" w:tentative="1">
      <w:start w:val="1"/>
      <w:numFmt w:val="bullet"/>
      <w:lvlText w:val=""/>
      <w:lvlJc w:val="left"/>
      <w:pPr>
        <w:tabs>
          <w:tab w:val="num" w:pos="4320"/>
        </w:tabs>
        <w:ind w:left="4320" w:hanging="360"/>
      </w:pPr>
      <w:rPr>
        <w:rFonts w:ascii="Wingdings" w:hAnsi="Wingdings" w:hint="default"/>
      </w:rPr>
    </w:lvl>
    <w:lvl w:ilvl="6" w:tplc="4D0E77EC" w:tentative="1">
      <w:start w:val="1"/>
      <w:numFmt w:val="bullet"/>
      <w:lvlText w:val=""/>
      <w:lvlJc w:val="left"/>
      <w:pPr>
        <w:tabs>
          <w:tab w:val="num" w:pos="5040"/>
        </w:tabs>
        <w:ind w:left="5040" w:hanging="360"/>
      </w:pPr>
      <w:rPr>
        <w:rFonts w:ascii="Symbol" w:hAnsi="Symbol" w:hint="default"/>
      </w:rPr>
    </w:lvl>
    <w:lvl w:ilvl="7" w:tplc="182A736C" w:tentative="1">
      <w:start w:val="1"/>
      <w:numFmt w:val="bullet"/>
      <w:lvlText w:val="o"/>
      <w:lvlJc w:val="left"/>
      <w:pPr>
        <w:tabs>
          <w:tab w:val="num" w:pos="5760"/>
        </w:tabs>
        <w:ind w:left="5760" w:hanging="360"/>
      </w:pPr>
      <w:rPr>
        <w:rFonts w:ascii="Courier New" w:hAnsi="Courier New" w:cs="Courier New" w:hint="default"/>
      </w:rPr>
    </w:lvl>
    <w:lvl w:ilvl="8" w:tplc="6EAAEAC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B92D37"/>
    <w:multiLevelType w:val="hybridMultilevel"/>
    <w:tmpl w:val="B376640E"/>
    <w:lvl w:ilvl="0" w:tplc="34783E16">
      <w:start w:val="1"/>
      <w:numFmt w:val="bullet"/>
      <w:lvlText w:val=""/>
      <w:lvlJc w:val="left"/>
      <w:pPr>
        <w:tabs>
          <w:tab w:val="num" w:pos="720"/>
        </w:tabs>
        <w:ind w:left="720" w:hanging="360"/>
      </w:pPr>
      <w:rPr>
        <w:rFonts w:ascii="Symbol" w:hAnsi="Symbol" w:hint="default"/>
      </w:rPr>
    </w:lvl>
    <w:lvl w:ilvl="1" w:tplc="335CBF94" w:tentative="1">
      <w:start w:val="1"/>
      <w:numFmt w:val="bullet"/>
      <w:lvlText w:val="o"/>
      <w:lvlJc w:val="left"/>
      <w:pPr>
        <w:tabs>
          <w:tab w:val="num" w:pos="1440"/>
        </w:tabs>
        <w:ind w:left="1440" w:hanging="360"/>
      </w:pPr>
      <w:rPr>
        <w:rFonts w:ascii="Courier New" w:hAnsi="Courier New" w:cs="Courier New" w:hint="default"/>
      </w:rPr>
    </w:lvl>
    <w:lvl w:ilvl="2" w:tplc="0B529BFA" w:tentative="1">
      <w:start w:val="1"/>
      <w:numFmt w:val="bullet"/>
      <w:lvlText w:val=""/>
      <w:lvlJc w:val="left"/>
      <w:pPr>
        <w:tabs>
          <w:tab w:val="num" w:pos="2160"/>
        </w:tabs>
        <w:ind w:left="2160" w:hanging="360"/>
      </w:pPr>
      <w:rPr>
        <w:rFonts w:ascii="Wingdings" w:hAnsi="Wingdings" w:hint="default"/>
      </w:rPr>
    </w:lvl>
    <w:lvl w:ilvl="3" w:tplc="2EC0DF06" w:tentative="1">
      <w:start w:val="1"/>
      <w:numFmt w:val="bullet"/>
      <w:lvlText w:val=""/>
      <w:lvlJc w:val="left"/>
      <w:pPr>
        <w:tabs>
          <w:tab w:val="num" w:pos="2880"/>
        </w:tabs>
        <w:ind w:left="2880" w:hanging="360"/>
      </w:pPr>
      <w:rPr>
        <w:rFonts w:ascii="Symbol" w:hAnsi="Symbol" w:hint="default"/>
      </w:rPr>
    </w:lvl>
    <w:lvl w:ilvl="4" w:tplc="6406C58C" w:tentative="1">
      <w:start w:val="1"/>
      <w:numFmt w:val="bullet"/>
      <w:lvlText w:val="o"/>
      <w:lvlJc w:val="left"/>
      <w:pPr>
        <w:tabs>
          <w:tab w:val="num" w:pos="3600"/>
        </w:tabs>
        <w:ind w:left="3600" w:hanging="360"/>
      </w:pPr>
      <w:rPr>
        <w:rFonts w:ascii="Courier New" w:hAnsi="Courier New" w:cs="Courier New" w:hint="default"/>
      </w:rPr>
    </w:lvl>
    <w:lvl w:ilvl="5" w:tplc="11821C82" w:tentative="1">
      <w:start w:val="1"/>
      <w:numFmt w:val="bullet"/>
      <w:lvlText w:val=""/>
      <w:lvlJc w:val="left"/>
      <w:pPr>
        <w:tabs>
          <w:tab w:val="num" w:pos="4320"/>
        </w:tabs>
        <w:ind w:left="4320" w:hanging="360"/>
      </w:pPr>
      <w:rPr>
        <w:rFonts w:ascii="Wingdings" w:hAnsi="Wingdings" w:hint="default"/>
      </w:rPr>
    </w:lvl>
    <w:lvl w:ilvl="6" w:tplc="F0DE08D8" w:tentative="1">
      <w:start w:val="1"/>
      <w:numFmt w:val="bullet"/>
      <w:lvlText w:val=""/>
      <w:lvlJc w:val="left"/>
      <w:pPr>
        <w:tabs>
          <w:tab w:val="num" w:pos="5040"/>
        </w:tabs>
        <w:ind w:left="5040" w:hanging="360"/>
      </w:pPr>
      <w:rPr>
        <w:rFonts w:ascii="Symbol" w:hAnsi="Symbol" w:hint="default"/>
      </w:rPr>
    </w:lvl>
    <w:lvl w:ilvl="7" w:tplc="AEF476E0" w:tentative="1">
      <w:start w:val="1"/>
      <w:numFmt w:val="bullet"/>
      <w:lvlText w:val="o"/>
      <w:lvlJc w:val="left"/>
      <w:pPr>
        <w:tabs>
          <w:tab w:val="num" w:pos="5760"/>
        </w:tabs>
        <w:ind w:left="5760" w:hanging="360"/>
      </w:pPr>
      <w:rPr>
        <w:rFonts w:ascii="Courier New" w:hAnsi="Courier New" w:cs="Courier New" w:hint="default"/>
      </w:rPr>
    </w:lvl>
    <w:lvl w:ilvl="8" w:tplc="12885ED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C44000"/>
    <w:multiLevelType w:val="hybridMultilevel"/>
    <w:tmpl w:val="4A90CF5E"/>
    <w:lvl w:ilvl="0" w:tplc="23E440DA">
      <w:start w:val="1"/>
      <w:numFmt w:val="bullet"/>
      <w:pStyle w:val="NotesTextBullet"/>
      <w:lvlText w:val=""/>
      <w:lvlJc w:val="left"/>
      <w:pPr>
        <w:tabs>
          <w:tab w:val="num" w:pos="1008"/>
        </w:tabs>
        <w:ind w:left="1008" w:hanging="288"/>
      </w:pPr>
      <w:rPr>
        <w:rFonts w:ascii="Symbol" w:hAnsi="Symbol" w:hint="default"/>
        <w:sz w:val="18"/>
      </w:rPr>
    </w:lvl>
    <w:lvl w:ilvl="1" w:tplc="7132EB9C">
      <w:start w:val="1"/>
      <w:numFmt w:val="decimal"/>
      <w:lvlText w:val="%2."/>
      <w:lvlJc w:val="left"/>
      <w:pPr>
        <w:tabs>
          <w:tab w:val="num" w:pos="1440"/>
        </w:tabs>
        <w:ind w:left="1440" w:hanging="360"/>
      </w:pPr>
      <w:rPr>
        <w:rFonts w:hint="default"/>
        <w:sz w:val="18"/>
      </w:rPr>
    </w:lvl>
    <w:lvl w:ilvl="2" w:tplc="44E0D6AA" w:tentative="1">
      <w:start w:val="1"/>
      <w:numFmt w:val="bullet"/>
      <w:lvlText w:val=""/>
      <w:lvlJc w:val="left"/>
      <w:pPr>
        <w:tabs>
          <w:tab w:val="num" w:pos="2160"/>
        </w:tabs>
        <w:ind w:left="2160" w:hanging="360"/>
      </w:pPr>
      <w:rPr>
        <w:rFonts w:ascii="Wingdings" w:hAnsi="Wingdings" w:hint="default"/>
      </w:rPr>
    </w:lvl>
    <w:lvl w:ilvl="3" w:tplc="F2DEEF18" w:tentative="1">
      <w:start w:val="1"/>
      <w:numFmt w:val="bullet"/>
      <w:lvlText w:val=""/>
      <w:lvlJc w:val="left"/>
      <w:pPr>
        <w:tabs>
          <w:tab w:val="num" w:pos="2880"/>
        </w:tabs>
        <w:ind w:left="2880" w:hanging="360"/>
      </w:pPr>
      <w:rPr>
        <w:rFonts w:ascii="Symbol" w:hAnsi="Symbol" w:hint="default"/>
      </w:rPr>
    </w:lvl>
    <w:lvl w:ilvl="4" w:tplc="F2D44DE4" w:tentative="1">
      <w:start w:val="1"/>
      <w:numFmt w:val="bullet"/>
      <w:lvlText w:val="o"/>
      <w:lvlJc w:val="left"/>
      <w:pPr>
        <w:tabs>
          <w:tab w:val="num" w:pos="3600"/>
        </w:tabs>
        <w:ind w:left="3600" w:hanging="360"/>
      </w:pPr>
      <w:rPr>
        <w:rFonts w:ascii="Courier New" w:hAnsi="Courier New" w:cs="Courier New" w:hint="default"/>
      </w:rPr>
    </w:lvl>
    <w:lvl w:ilvl="5" w:tplc="797046BA" w:tentative="1">
      <w:start w:val="1"/>
      <w:numFmt w:val="bullet"/>
      <w:lvlText w:val=""/>
      <w:lvlJc w:val="left"/>
      <w:pPr>
        <w:tabs>
          <w:tab w:val="num" w:pos="4320"/>
        </w:tabs>
        <w:ind w:left="4320" w:hanging="360"/>
      </w:pPr>
      <w:rPr>
        <w:rFonts w:ascii="Wingdings" w:hAnsi="Wingdings" w:hint="default"/>
      </w:rPr>
    </w:lvl>
    <w:lvl w:ilvl="6" w:tplc="C1A6B414" w:tentative="1">
      <w:start w:val="1"/>
      <w:numFmt w:val="bullet"/>
      <w:lvlText w:val=""/>
      <w:lvlJc w:val="left"/>
      <w:pPr>
        <w:tabs>
          <w:tab w:val="num" w:pos="5040"/>
        </w:tabs>
        <w:ind w:left="5040" w:hanging="360"/>
      </w:pPr>
      <w:rPr>
        <w:rFonts w:ascii="Symbol" w:hAnsi="Symbol" w:hint="default"/>
      </w:rPr>
    </w:lvl>
    <w:lvl w:ilvl="7" w:tplc="F16201C6" w:tentative="1">
      <w:start w:val="1"/>
      <w:numFmt w:val="bullet"/>
      <w:lvlText w:val="o"/>
      <w:lvlJc w:val="left"/>
      <w:pPr>
        <w:tabs>
          <w:tab w:val="num" w:pos="5760"/>
        </w:tabs>
        <w:ind w:left="5760" w:hanging="360"/>
      </w:pPr>
      <w:rPr>
        <w:rFonts w:ascii="Courier New" w:hAnsi="Courier New" w:cs="Courier New" w:hint="default"/>
      </w:rPr>
    </w:lvl>
    <w:lvl w:ilvl="8" w:tplc="7ECA99D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E70E73"/>
    <w:multiLevelType w:val="hybridMultilevel"/>
    <w:tmpl w:val="092E9928"/>
    <w:lvl w:ilvl="0" w:tplc="FFFFFFFF">
      <w:start w:val="1"/>
      <w:numFmt w:val="bullet"/>
      <w:lvlText w:val=""/>
      <w:lvlJc w:val="left"/>
      <w:pPr>
        <w:tabs>
          <w:tab w:val="num" w:pos="360"/>
        </w:tabs>
        <w:ind w:left="360" w:hanging="360"/>
      </w:pPr>
      <w:rPr>
        <w:rFonts w:ascii="Symbol" w:hAnsi="Symbol"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AB7504"/>
    <w:multiLevelType w:val="hybridMultilevel"/>
    <w:tmpl w:val="DD2ED67C"/>
    <w:lvl w:ilvl="0" w:tplc="FE1C26EE">
      <w:start w:val="1"/>
      <w:numFmt w:val="decimalZero"/>
      <w:pStyle w:val="Substep02"/>
      <w:lvlText w:val="2.%1"/>
      <w:lvlJc w:val="right"/>
      <w:pPr>
        <w:tabs>
          <w:tab w:val="num" w:pos="810"/>
        </w:tabs>
        <w:ind w:left="810" w:firstLine="0"/>
      </w:pPr>
      <w:rPr>
        <w:rFonts w:ascii="Arial" w:hAnsi="Arial" w:hint="default"/>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15A0E22"/>
    <w:multiLevelType w:val="hybridMultilevel"/>
    <w:tmpl w:val="9D14AB3A"/>
    <w:lvl w:ilvl="0" w:tplc="10BC471A">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5114E976"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7B38DC"/>
    <w:multiLevelType w:val="hybridMultilevel"/>
    <w:tmpl w:val="3C62C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8637099"/>
    <w:multiLevelType w:val="hybridMultilevel"/>
    <w:tmpl w:val="BB4E307A"/>
    <w:lvl w:ilvl="0" w:tplc="F82A131E">
      <w:start w:val="1"/>
      <w:numFmt w:val="decimalZero"/>
      <w:pStyle w:val="Substep01"/>
      <w:lvlText w:val="2.%1"/>
      <w:lvlJc w:val="right"/>
      <w:pPr>
        <w:ind w:left="1530"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15:restartNumberingAfterBreak="0">
    <w:nsid w:val="3A6913D7"/>
    <w:multiLevelType w:val="hybridMultilevel"/>
    <w:tmpl w:val="C6183B7C"/>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D7621F"/>
    <w:multiLevelType w:val="hybridMultilevel"/>
    <w:tmpl w:val="FFA2B75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0216A8F"/>
    <w:multiLevelType w:val="hybridMultilevel"/>
    <w:tmpl w:val="8188D16A"/>
    <w:lvl w:ilvl="0" w:tplc="1D94FEC6">
      <w:start w:val="1"/>
      <w:numFmt w:val="bullet"/>
      <w:pStyle w:val="TableTextBullet1"/>
      <w:lvlText w:val="o"/>
      <w:lvlJc w:val="left"/>
      <w:pPr>
        <w:tabs>
          <w:tab w:val="num" w:pos="576"/>
        </w:tabs>
        <w:ind w:left="576" w:hanging="288"/>
      </w:pPr>
      <w:rPr>
        <w:rFonts w:ascii="Symbol" w:hAnsi="Symbol" w:hint="default"/>
        <w:sz w:val="18"/>
        <w:szCs w:val="1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EC6F8A"/>
    <w:multiLevelType w:val="hybridMultilevel"/>
    <w:tmpl w:val="8572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EE31A7"/>
    <w:multiLevelType w:val="hybridMultilevel"/>
    <w:tmpl w:val="78F60CBA"/>
    <w:lvl w:ilvl="0" w:tplc="1D94FEC6">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4" w15:restartNumberingAfterBreak="0">
    <w:nsid w:val="45533453"/>
    <w:multiLevelType w:val="hybridMultilevel"/>
    <w:tmpl w:val="6D700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46DB09A8"/>
    <w:multiLevelType w:val="hybridMultilevel"/>
    <w:tmpl w:val="8B362C16"/>
    <w:lvl w:ilvl="0" w:tplc="3D6CBE7E">
      <w:start w:val="1"/>
      <w:numFmt w:val="decimal"/>
      <w:pStyle w:val="TableTextNumbers"/>
      <w:lvlText w:val="%1."/>
      <w:lvlJc w:val="left"/>
      <w:pPr>
        <w:tabs>
          <w:tab w:val="num" w:pos="288"/>
        </w:tabs>
        <w:ind w:left="288" w:hanging="288"/>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1692"/>
        </w:tabs>
        <w:ind w:left="1692" w:hanging="360"/>
      </w:pPr>
    </w:lvl>
    <w:lvl w:ilvl="2" w:tplc="FFFFFFFF" w:tentative="1">
      <w:start w:val="1"/>
      <w:numFmt w:val="lowerRoman"/>
      <w:lvlText w:val="%3."/>
      <w:lvlJc w:val="right"/>
      <w:pPr>
        <w:tabs>
          <w:tab w:val="num" w:pos="2412"/>
        </w:tabs>
        <w:ind w:left="2412" w:hanging="180"/>
      </w:pPr>
    </w:lvl>
    <w:lvl w:ilvl="3" w:tplc="FFFFFFFF" w:tentative="1">
      <w:start w:val="1"/>
      <w:numFmt w:val="decimal"/>
      <w:lvlText w:val="%4."/>
      <w:lvlJc w:val="left"/>
      <w:pPr>
        <w:tabs>
          <w:tab w:val="num" w:pos="3132"/>
        </w:tabs>
        <w:ind w:left="3132" w:hanging="360"/>
      </w:pPr>
    </w:lvl>
    <w:lvl w:ilvl="4" w:tplc="FFFFFFFF" w:tentative="1">
      <w:start w:val="1"/>
      <w:numFmt w:val="lowerLetter"/>
      <w:lvlText w:val="%5."/>
      <w:lvlJc w:val="left"/>
      <w:pPr>
        <w:tabs>
          <w:tab w:val="num" w:pos="3852"/>
        </w:tabs>
        <w:ind w:left="3852" w:hanging="360"/>
      </w:pPr>
    </w:lvl>
    <w:lvl w:ilvl="5" w:tplc="FFFFFFFF" w:tentative="1">
      <w:start w:val="1"/>
      <w:numFmt w:val="lowerRoman"/>
      <w:lvlText w:val="%6."/>
      <w:lvlJc w:val="right"/>
      <w:pPr>
        <w:tabs>
          <w:tab w:val="num" w:pos="4572"/>
        </w:tabs>
        <w:ind w:left="4572" w:hanging="180"/>
      </w:pPr>
    </w:lvl>
    <w:lvl w:ilvl="6" w:tplc="FFFFFFFF" w:tentative="1">
      <w:start w:val="1"/>
      <w:numFmt w:val="decimal"/>
      <w:lvlText w:val="%7."/>
      <w:lvlJc w:val="left"/>
      <w:pPr>
        <w:tabs>
          <w:tab w:val="num" w:pos="5292"/>
        </w:tabs>
        <w:ind w:left="5292" w:hanging="360"/>
      </w:pPr>
    </w:lvl>
    <w:lvl w:ilvl="7" w:tplc="FFFFFFFF" w:tentative="1">
      <w:start w:val="1"/>
      <w:numFmt w:val="lowerLetter"/>
      <w:lvlText w:val="%8."/>
      <w:lvlJc w:val="left"/>
      <w:pPr>
        <w:tabs>
          <w:tab w:val="num" w:pos="6012"/>
        </w:tabs>
        <w:ind w:left="6012" w:hanging="360"/>
      </w:pPr>
    </w:lvl>
    <w:lvl w:ilvl="8" w:tplc="FFFFFFFF" w:tentative="1">
      <w:start w:val="1"/>
      <w:numFmt w:val="lowerRoman"/>
      <w:lvlText w:val="%9."/>
      <w:lvlJc w:val="right"/>
      <w:pPr>
        <w:tabs>
          <w:tab w:val="num" w:pos="6732"/>
        </w:tabs>
        <w:ind w:left="6732" w:hanging="180"/>
      </w:pPr>
    </w:lvl>
  </w:abstractNum>
  <w:abstractNum w:abstractNumId="36" w15:restartNumberingAfterBreak="0">
    <w:nsid w:val="47636A78"/>
    <w:multiLevelType w:val="hybridMultilevel"/>
    <w:tmpl w:val="B538D6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48A3515D"/>
    <w:multiLevelType w:val="hybridMultilevel"/>
    <w:tmpl w:val="DA64CAD0"/>
    <w:lvl w:ilvl="0" w:tplc="1658A648">
      <w:start w:val="1"/>
      <w:numFmt w:val="bullet"/>
      <w:lvlText w:val=""/>
      <w:lvlJc w:val="left"/>
      <w:pPr>
        <w:tabs>
          <w:tab w:val="num" w:pos="1440"/>
        </w:tabs>
        <w:ind w:left="1440" w:hanging="360"/>
      </w:pPr>
      <w:rPr>
        <w:rFonts w:ascii="Symbol" w:hAnsi="Symbol" w:hint="default"/>
      </w:rPr>
    </w:lvl>
    <w:lvl w:ilvl="1" w:tplc="B49427D2" w:tentative="1">
      <w:start w:val="1"/>
      <w:numFmt w:val="bullet"/>
      <w:lvlText w:val="o"/>
      <w:lvlJc w:val="left"/>
      <w:pPr>
        <w:tabs>
          <w:tab w:val="num" w:pos="2520"/>
        </w:tabs>
        <w:ind w:left="2520" w:hanging="360"/>
      </w:pPr>
      <w:rPr>
        <w:rFonts w:ascii="Courier New" w:hAnsi="Courier New" w:hint="default"/>
      </w:rPr>
    </w:lvl>
    <w:lvl w:ilvl="2" w:tplc="FD567F5E" w:tentative="1">
      <w:start w:val="1"/>
      <w:numFmt w:val="bullet"/>
      <w:lvlText w:val=""/>
      <w:lvlJc w:val="left"/>
      <w:pPr>
        <w:tabs>
          <w:tab w:val="num" w:pos="3240"/>
        </w:tabs>
        <w:ind w:left="3240" w:hanging="360"/>
      </w:pPr>
      <w:rPr>
        <w:rFonts w:ascii="Wingdings" w:hAnsi="Wingdings" w:hint="default"/>
      </w:rPr>
    </w:lvl>
    <w:lvl w:ilvl="3" w:tplc="9EE2AF06" w:tentative="1">
      <w:start w:val="1"/>
      <w:numFmt w:val="bullet"/>
      <w:lvlText w:val=""/>
      <w:lvlJc w:val="left"/>
      <w:pPr>
        <w:tabs>
          <w:tab w:val="num" w:pos="3960"/>
        </w:tabs>
        <w:ind w:left="3960" w:hanging="360"/>
      </w:pPr>
      <w:rPr>
        <w:rFonts w:ascii="Symbol" w:hAnsi="Symbol" w:hint="default"/>
      </w:rPr>
    </w:lvl>
    <w:lvl w:ilvl="4" w:tplc="EB34BAEE" w:tentative="1">
      <w:start w:val="1"/>
      <w:numFmt w:val="bullet"/>
      <w:lvlText w:val="o"/>
      <w:lvlJc w:val="left"/>
      <w:pPr>
        <w:tabs>
          <w:tab w:val="num" w:pos="4680"/>
        </w:tabs>
        <w:ind w:left="4680" w:hanging="360"/>
      </w:pPr>
      <w:rPr>
        <w:rFonts w:ascii="Courier New" w:hAnsi="Courier New" w:hint="default"/>
      </w:rPr>
    </w:lvl>
    <w:lvl w:ilvl="5" w:tplc="F3ACA352" w:tentative="1">
      <w:start w:val="1"/>
      <w:numFmt w:val="bullet"/>
      <w:lvlText w:val=""/>
      <w:lvlJc w:val="left"/>
      <w:pPr>
        <w:tabs>
          <w:tab w:val="num" w:pos="5400"/>
        </w:tabs>
        <w:ind w:left="5400" w:hanging="360"/>
      </w:pPr>
      <w:rPr>
        <w:rFonts w:ascii="Wingdings" w:hAnsi="Wingdings" w:hint="default"/>
      </w:rPr>
    </w:lvl>
    <w:lvl w:ilvl="6" w:tplc="FCBEB38E" w:tentative="1">
      <w:start w:val="1"/>
      <w:numFmt w:val="bullet"/>
      <w:lvlText w:val=""/>
      <w:lvlJc w:val="left"/>
      <w:pPr>
        <w:tabs>
          <w:tab w:val="num" w:pos="6120"/>
        </w:tabs>
        <w:ind w:left="6120" w:hanging="360"/>
      </w:pPr>
      <w:rPr>
        <w:rFonts w:ascii="Symbol" w:hAnsi="Symbol" w:hint="default"/>
      </w:rPr>
    </w:lvl>
    <w:lvl w:ilvl="7" w:tplc="C07C0BA2" w:tentative="1">
      <w:start w:val="1"/>
      <w:numFmt w:val="bullet"/>
      <w:lvlText w:val="o"/>
      <w:lvlJc w:val="left"/>
      <w:pPr>
        <w:tabs>
          <w:tab w:val="num" w:pos="6840"/>
        </w:tabs>
        <w:ind w:left="6840" w:hanging="360"/>
      </w:pPr>
      <w:rPr>
        <w:rFonts w:ascii="Courier New" w:hAnsi="Courier New" w:hint="default"/>
      </w:rPr>
    </w:lvl>
    <w:lvl w:ilvl="8" w:tplc="B1FC9774"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4B844150"/>
    <w:multiLevelType w:val="hybridMultilevel"/>
    <w:tmpl w:val="988A5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40" w15:restartNumberingAfterBreak="0">
    <w:nsid w:val="4C1C219C"/>
    <w:multiLevelType w:val="hybridMultilevel"/>
    <w:tmpl w:val="100AC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4D65F1"/>
    <w:multiLevelType w:val="hybridMultilevel"/>
    <w:tmpl w:val="84D45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D1679D3"/>
    <w:multiLevelType w:val="hybridMultilevel"/>
    <w:tmpl w:val="DD12A84E"/>
    <w:lvl w:ilvl="0" w:tplc="5928C094">
      <w:start w:val="1"/>
      <w:numFmt w:val="bullet"/>
      <w:lvlText w:val=""/>
      <w:lvlJc w:val="left"/>
      <w:pPr>
        <w:tabs>
          <w:tab w:val="num" w:pos="720"/>
        </w:tabs>
        <w:ind w:left="720" w:hanging="360"/>
      </w:pPr>
      <w:rPr>
        <w:rFonts w:ascii="Symbol" w:hAnsi="Symbol" w:hint="default"/>
        <w:color w:val="auto"/>
        <w:sz w:val="18"/>
        <w:szCs w:val="18"/>
      </w:rPr>
    </w:lvl>
    <w:lvl w:ilvl="1" w:tplc="75747766" w:tentative="1">
      <w:start w:val="1"/>
      <w:numFmt w:val="bullet"/>
      <w:lvlText w:val="o"/>
      <w:lvlJc w:val="left"/>
      <w:pPr>
        <w:tabs>
          <w:tab w:val="num" w:pos="1440"/>
        </w:tabs>
        <w:ind w:left="1440" w:hanging="360"/>
      </w:pPr>
      <w:rPr>
        <w:rFonts w:ascii="Courier New" w:hAnsi="Courier New" w:cs="Courier New" w:hint="default"/>
      </w:rPr>
    </w:lvl>
    <w:lvl w:ilvl="2" w:tplc="2786A26E" w:tentative="1">
      <w:start w:val="1"/>
      <w:numFmt w:val="bullet"/>
      <w:lvlText w:val=""/>
      <w:lvlJc w:val="left"/>
      <w:pPr>
        <w:tabs>
          <w:tab w:val="num" w:pos="2160"/>
        </w:tabs>
        <w:ind w:left="2160" w:hanging="360"/>
      </w:pPr>
      <w:rPr>
        <w:rFonts w:ascii="Wingdings" w:hAnsi="Wingdings" w:hint="default"/>
      </w:rPr>
    </w:lvl>
    <w:lvl w:ilvl="3" w:tplc="BDECA0CA" w:tentative="1">
      <w:start w:val="1"/>
      <w:numFmt w:val="bullet"/>
      <w:lvlText w:val=""/>
      <w:lvlJc w:val="left"/>
      <w:pPr>
        <w:tabs>
          <w:tab w:val="num" w:pos="2880"/>
        </w:tabs>
        <w:ind w:left="2880" w:hanging="360"/>
      </w:pPr>
      <w:rPr>
        <w:rFonts w:ascii="Symbol" w:hAnsi="Symbol" w:hint="default"/>
      </w:rPr>
    </w:lvl>
    <w:lvl w:ilvl="4" w:tplc="ECF86A80" w:tentative="1">
      <w:start w:val="1"/>
      <w:numFmt w:val="bullet"/>
      <w:lvlText w:val="o"/>
      <w:lvlJc w:val="left"/>
      <w:pPr>
        <w:tabs>
          <w:tab w:val="num" w:pos="3600"/>
        </w:tabs>
        <w:ind w:left="3600" w:hanging="360"/>
      </w:pPr>
      <w:rPr>
        <w:rFonts w:ascii="Courier New" w:hAnsi="Courier New" w:cs="Courier New" w:hint="default"/>
      </w:rPr>
    </w:lvl>
    <w:lvl w:ilvl="5" w:tplc="0AACC6E2" w:tentative="1">
      <w:start w:val="1"/>
      <w:numFmt w:val="bullet"/>
      <w:lvlText w:val=""/>
      <w:lvlJc w:val="left"/>
      <w:pPr>
        <w:tabs>
          <w:tab w:val="num" w:pos="4320"/>
        </w:tabs>
        <w:ind w:left="4320" w:hanging="360"/>
      </w:pPr>
      <w:rPr>
        <w:rFonts w:ascii="Wingdings" w:hAnsi="Wingdings" w:hint="default"/>
      </w:rPr>
    </w:lvl>
    <w:lvl w:ilvl="6" w:tplc="64DA7556" w:tentative="1">
      <w:start w:val="1"/>
      <w:numFmt w:val="bullet"/>
      <w:lvlText w:val=""/>
      <w:lvlJc w:val="left"/>
      <w:pPr>
        <w:tabs>
          <w:tab w:val="num" w:pos="5040"/>
        </w:tabs>
        <w:ind w:left="5040" w:hanging="360"/>
      </w:pPr>
      <w:rPr>
        <w:rFonts w:ascii="Symbol" w:hAnsi="Symbol" w:hint="default"/>
      </w:rPr>
    </w:lvl>
    <w:lvl w:ilvl="7" w:tplc="FC7CBA9A" w:tentative="1">
      <w:start w:val="1"/>
      <w:numFmt w:val="bullet"/>
      <w:lvlText w:val="o"/>
      <w:lvlJc w:val="left"/>
      <w:pPr>
        <w:tabs>
          <w:tab w:val="num" w:pos="5760"/>
        </w:tabs>
        <w:ind w:left="5760" w:hanging="360"/>
      </w:pPr>
      <w:rPr>
        <w:rFonts w:ascii="Courier New" w:hAnsi="Courier New" w:cs="Courier New" w:hint="default"/>
      </w:rPr>
    </w:lvl>
    <w:lvl w:ilvl="8" w:tplc="492A488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0D37508"/>
    <w:multiLevelType w:val="hybridMultilevel"/>
    <w:tmpl w:val="D4F8D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60186C"/>
    <w:multiLevelType w:val="hybridMultilevel"/>
    <w:tmpl w:val="299C9166"/>
    <w:lvl w:ilvl="0" w:tplc="04090001">
      <w:start w:val="1"/>
      <w:numFmt w:val="bullet"/>
      <w:lvlText w:val=""/>
      <w:lvlJc w:val="left"/>
      <w:pPr>
        <w:ind w:left="1496" w:hanging="360"/>
      </w:pPr>
      <w:rPr>
        <w:rFonts w:ascii="Symbol" w:hAnsi="Symbol" w:hint="default"/>
      </w:rPr>
    </w:lvl>
    <w:lvl w:ilvl="1" w:tplc="04090003">
      <w:start w:val="1"/>
      <w:numFmt w:val="bullet"/>
      <w:lvlText w:val="o"/>
      <w:lvlJc w:val="left"/>
      <w:pPr>
        <w:ind w:left="2216" w:hanging="360"/>
      </w:pPr>
      <w:rPr>
        <w:rFonts w:ascii="Courier New" w:hAnsi="Courier New" w:cs="Courier New" w:hint="default"/>
      </w:rPr>
    </w:lvl>
    <w:lvl w:ilvl="2" w:tplc="04090005">
      <w:start w:val="1"/>
      <w:numFmt w:val="bullet"/>
      <w:lvlText w:val=""/>
      <w:lvlJc w:val="left"/>
      <w:pPr>
        <w:ind w:left="2936" w:hanging="360"/>
      </w:pPr>
      <w:rPr>
        <w:rFonts w:ascii="Wingdings" w:hAnsi="Wingdings" w:hint="default"/>
      </w:rPr>
    </w:lvl>
    <w:lvl w:ilvl="3" w:tplc="04090001">
      <w:start w:val="1"/>
      <w:numFmt w:val="bullet"/>
      <w:lvlText w:val=""/>
      <w:lvlJc w:val="left"/>
      <w:pPr>
        <w:ind w:left="3656" w:hanging="360"/>
      </w:pPr>
      <w:rPr>
        <w:rFonts w:ascii="Symbol" w:hAnsi="Symbol" w:hint="default"/>
      </w:rPr>
    </w:lvl>
    <w:lvl w:ilvl="4" w:tplc="04090003">
      <w:start w:val="1"/>
      <w:numFmt w:val="bullet"/>
      <w:lvlText w:val="o"/>
      <w:lvlJc w:val="left"/>
      <w:pPr>
        <w:ind w:left="4376" w:hanging="360"/>
      </w:pPr>
      <w:rPr>
        <w:rFonts w:ascii="Courier New" w:hAnsi="Courier New" w:cs="Courier New" w:hint="default"/>
      </w:rPr>
    </w:lvl>
    <w:lvl w:ilvl="5" w:tplc="04090005">
      <w:start w:val="1"/>
      <w:numFmt w:val="bullet"/>
      <w:lvlText w:val=""/>
      <w:lvlJc w:val="left"/>
      <w:pPr>
        <w:ind w:left="5096" w:hanging="360"/>
      </w:pPr>
      <w:rPr>
        <w:rFonts w:ascii="Wingdings" w:hAnsi="Wingdings" w:hint="default"/>
      </w:rPr>
    </w:lvl>
    <w:lvl w:ilvl="6" w:tplc="04090001">
      <w:start w:val="1"/>
      <w:numFmt w:val="bullet"/>
      <w:lvlText w:val=""/>
      <w:lvlJc w:val="left"/>
      <w:pPr>
        <w:ind w:left="5816" w:hanging="360"/>
      </w:pPr>
      <w:rPr>
        <w:rFonts w:ascii="Symbol" w:hAnsi="Symbol" w:hint="default"/>
      </w:rPr>
    </w:lvl>
    <w:lvl w:ilvl="7" w:tplc="04090003">
      <w:start w:val="1"/>
      <w:numFmt w:val="bullet"/>
      <w:lvlText w:val="o"/>
      <w:lvlJc w:val="left"/>
      <w:pPr>
        <w:ind w:left="6536" w:hanging="360"/>
      </w:pPr>
      <w:rPr>
        <w:rFonts w:ascii="Courier New" w:hAnsi="Courier New" w:cs="Courier New" w:hint="default"/>
      </w:rPr>
    </w:lvl>
    <w:lvl w:ilvl="8" w:tplc="04090005">
      <w:start w:val="1"/>
      <w:numFmt w:val="bullet"/>
      <w:lvlText w:val=""/>
      <w:lvlJc w:val="left"/>
      <w:pPr>
        <w:ind w:left="7256" w:hanging="360"/>
      </w:pPr>
      <w:rPr>
        <w:rFonts w:ascii="Wingdings" w:hAnsi="Wingdings" w:hint="default"/>
      </w:rPr>
    </w:lvl>
  </w:abstractNum>
  <w:abstractNum w:abstractNumId="45" w15:restartNumberingAfterBreak="0">
    <w:nsid w:val="53720453"/>
    <w:multiLevelType w:val="hybridMultilevel"/>
    <w:tmpl w:val="4AAC0A16"/>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
      <w:lvlJc w:val="left"/>
      <w:pPr>
        <w:tabs>
          <w:tab w:val="num" w:pos="1440"/>
        </w:tabs>
        <w:ind w:left="1440" w:hanging="360"/>
      </w:pPr>
      <w:rPr>
        <w:rFonts w:ascii="Symbol" w:hAnsi="Symbol" w:hint="default"/>
        <w:color w:val="auto"/>
        <w:sz w:val="18"/>
        <w:szCs w:val="1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65955FC"/>
    <w:multiLevelType w:val="hybridMultilevel"/>
    <w:tmpl w:val="D458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C20323"/>
    <w:multiLevelType w:val="hybridMultilevel"/>
    <w:tmpl w:val="F5820C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CC24990"/>
    <w:multiLevelType w:val="hybridMultilevel"/>
    <w:tmpl w:val="BF908B00"/>
    <w:lvl w:ilvl="0" w:tplc="1A56B2AA">
      <w:start w:val="1"/>
      <w:numFmt w:val="bullet"/>
      <w:lvlText w:val=""/>
      <w:lvlPicBulletId w:val="3"/>
      <w:lvlJc w:val="left"/>
      <w:pPr>
        <w:tabs>
          <w:tab w:val="num" w:pos="360"/>
        </w:tabs>
        <w:ind w:left="360" w:hanging="360"/>
      </w:pPr>
      <w:rPr>
        <w:rFonts w:ascii="Symbol" w:hAnsi="Symbol" w:hint="default"/>
      </w:rPr>
    </w:lvl>
    <w:lvl w:ilvl="1" w:tplc="BC20A190" w:tentative="1">
      <w:start w:val="1"/>
      <w:numFmt w:val="bullet"/>
      <w:lvlText w:val=""/>
      <w:lvlJc w:val="left"/>
      <w:pPr>
        <w:tabs>
          <w:tab w:val="num" w:pos="1080"/>
        </w:tabs>
        <w:ind w:left="1080" w:hanging="360"/>
      </w:pPr>
      <w:rPr>
        <w:rFonts w:ascii="Symbol" w:hAnsi="Symbol" w:hint="default"/>
      </w:rPr>
    </w:lvl>
    <w:lvl w:ilvl="2" w:tplc="8D0EC2E8" w:tentative="1">
      <w:start w:val="1"/>
      <w:numFmt w:val="bullet"/>
      <w:lvlText w:val=""/>
      <w:lvlJc w:val="left"/>
      <w:pPr>
        <w:tabs>
          <w:tab w:val="num" w:pos="1800"/>
        </w:tabs>
        <w:ind w:left="1800" w:hanging="360"/>
      </w:pPr>
      <w:rPr>
        <w:rFonts w:ascii="Symbol" w:hAnsi="Symbol" w:hint="default"/>
      </w:rPr>
    </w:lvl>
    <w:lvl w:ilvl="3" w:tplc="D5C8D9DC" w:tentative="1">
      <w:start w:val="1"/>
      <w:numFmt w:val="bullet"/>
      <w:lvlText w:val=""/>
      <w:lvlJc w:val="left"/>
      <w:pPr>
        <w:tabs>
          <w:tab w:val="num" w:pos="2520"/>
        </w:tabs>
        <w:ind w:left="2520" w:hanging="360"/>
      </w:pPr>
      <w:rPr>
        <w:rFonts w:ascii="Symbol" w:hAnsi="Symbol" w:hint="default"/>
      </w:rPr>
    </w:lvl>
    <w:lvl w:ilvl="4" w:tplc="6004159C" w:tentative="1">
      <w:start w:val="1"/>
      <w:numFmt w:val="bullet"/>
      <w:lvlText w:val=""/>
      <w:lvlJc w:val="left"/>
      <w:pPr>
        <w:tabs>
          <w:tab w:val="num" w:pos="3240"/>
        </w:tabs>
        <w:ind w:left="3240" w:hanging="360"/>
      </w:pPr>
      <w:rPr>
        <w:rFonts w:ascii="Symbol" w:hAnsi="Symbol" w:hint="default"/>
      </w:rPr>
    </w:lvl>
    <w:lvl w:ilvl="5" w:tplc="74C40AEE" w:tentative="1">
      <w:start w:val="1"/>
      <w:numFmt w:val="bullet"/>
      <w:lvlText w:val=""/>
      <w:lvlJc w:val="left"/>
      <w:pPr>
        <w:tabs>
          <w:tab w:val="num" w:pos="3960"/>
        </w:tabs>
        <w:ind w:left="3960" w:hanging="360"/>
      </w:pPr>
      <w:rPr>
        <w:rFonts w:ascii="Symbol" w:hAnsi="Symbol" w:hint="default"/>
      </w:rPr>
    </w:lvl>
    <w:lvl w:ilvl="6" w:tplc="86E0A0F4" w:tentative="1">
      <w:start w:val="1"/>
      <w:numFmt w:val="bullet"/>
      <w:lvlText w:val=""/>
      <w:lvlJc w:val="left"/>
      <w:pPr>
        <w:tabs>
          <w:tab w:val="num" w:pos="4680"/>
        </w:tabs>
        <w:ind w:left="4680" w:hanging="360"/>
      </w:pPr>
      <w:rPr>
        <w:rFonts w:ascii="Symbol" w:hAnsi="Symbol" w:hint="default"/>
      </w:rPr>
    </w:lvl>
    <w:lvl w:ilvl="7" w:tplc="21143CD8" w:tentative="1">
      <w:start w:val="1"/>
      <w:numFmt w:val="bullet"/>
      <w:lvlText w:val=""/>
      <w:lvlJc w:val="left"/>
      <w:pPr>
        <w:tabs>
          <w:tab w:val="num" w:pos="5400"/>
        </w:tabs>
        <w:ind w:left="5400" w:hanging="360"/>
      </w:pPr>
      <w:rPr>
        <w:rFonts w:ascii="Symbol" w:hAnsi="Symbol" w:hint="default"/>
      </w:rPr>
    </w:lvl>
    <w:lvl w:ilvl="8" w:tplc="ACE8C9AE" w:tentative="1">
      <w:start w:val="1"/>
      <w:numFmt w:val="bullet"/>
      <w:lvlText w:val=""/>
      <w:lvlJc w:val="left"/>
      <w:pPr>
        <w:tabs>
          <w:tab w:val="num" w:pos="6120"/>
        </w:tabs>
        <w:ind w:left="6120" w:hanging="360"/>
      </w:pPr>
      <w:rPr>
        <w:rFonts w:ascii="Symbol" w:hAnsi="Symbol" w:hint="default"/>
      </w:rPr>
    </w:lvl>
  </w:abstractNum>
  <w:abstractNum w:abstractNumId="49" w15:restartNumberingAfterBreak="0">
    <w:nsid w:val="5D677C61"/>
    <w:multiLevelType w:val="hybridMultilevel"/>
    <w:tmpl w:val="217CDB34"/>
    <w:lvl w:ilvl="0" w:tplc="CE88DDD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7B1F08"/>
    <w:multiLevelType w:val="hybridMultilevel"/>
    <w:tmpl w:val="9CCE2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0B6796A"/>
    <w:multiLevelType w:val="hybridMultilevel"/>
    <w:tmpl w:val="A14683B4"/>
    <w:lvl w:ilvl="0" w:tplc="9D5413AE">
      <w:start w:val="1"/>
      <w:numFmt w:val="bullet"/>
      <w:pStyle w:val="ListBullet2"/>
      <w:lvlText w:val="o"/>
      <w:lvlJc w:val="left"/>
      <w:pPr>
        <w:tabs>
          <w:tab w:val="num" w:pos="648"/>
        </w:tabs>
        <w:ind w:left="648" w:firstLine="0"/>
      </w:pPr>
      <w:rPr>
        <w:rFonts w:ascii="Symbol" w:hAnsi="Symbol" w:hint="default"/>
        <w:sz w:val="18"/>
        <w:szCs w:val="18"/>
      </w:rPr>
    </w:lvl>
    <w:lvl w:ilvl="1" w:tplc="4934A276">
      <w:start w:val="1"/>
      <w:numFmt w:val="bullet"/>
      <w:lvlText w:val="o"/>
      <w:lvlJc w:val="left"/>
      <w:pPr>
        <w:tabs>
          <w:tab w:val="num" w:pos="1728"/>
        </w:tabs>
        <w:ind w:left="1728" w:hanging="360"/>
      </w:pPr>
      <w:rPr>
        <w:rFonts w:ascii="Courier New" w:hAnsi="Courier New" w:cs="Courier New" w:hint="default"/>
      </w:rPr>
    </w:lvl>
    <w:lvl w:ilvl="2" w:tplc="F4C49940" w:tentative="1">
      <w:start w:val="1"/>
      <w:numFmt w:val="bullet"/>
      <w:lvlText w:val=""/>
      <w:lvlJc w:val="left"/>
      <w:pPr>
        <w:tabs>
          <w:tab w:val="num" w:pos="2448"/>
        </w:tabs>
        <w:ind w:left="2448" w:hanging="360"/>
      </w:pPr>
      <w:rPr>
        <w:rFonts w:ascii="Wingdings" w:hAnsi="Wingdings" w:hint="default"/>
      </w:rPr>
    </w:lvl>
    <w:lvl w:ilvl="3" w:tplc="9BF0EEEE" w:tentative="1">
      <w:start w:val="1"/>
      <w:numFmt w:val="bullet"/>
      <w:lvlText w:val=""/>
      <w:lvlJc w:val="left"/>
      <w:pPr>
        <w:tabs>
          <w:tab w:val="num" w:pos="3168"/>
        </w:tabs>
        <w:ind w:left="3168" w:hanging="360"/>
      </w:pPr>
      <w:rPr>
        <w:rFonts w:ascii="Symbol" w:hAnsi="Symbol" w:hint="default"/>
      </w:rPr>
    </w:lvl>
    <w:lvl w:ilvl="4" w:tplc="DAB26242" w:tentative="1">
      <w:start w:val="1"/>
      <w:numFmt w:val="bullet"/>
      <w:lvlText w:val="o"/>
      <w:lvlJc w:val="left"/>
      <w:pPr>
        <w:tabs>
          <w:tab w:val="num" w:pos="3888"/>
        </w:tabs>
        <w:ind w:left="3888" w:hanging="360"/>
      </w:pPr>
      <w:rPr>
        <w:rFonts w:ascii="Courier New" w:hAnsi="Courier New" w:cs="Courier New" w:hint="default"/>
      </w:rPr>
    </w:lvl>
    <w:lvl w:ilvl="5" w:tplc="F6220AC8" w:tentative="1">
      <w:start w:val="1"/>
      <w:numFmt w:val="bullet"/>
      <w:lvlText w:val=""/>
      <w:lvlJc w:val="left"/>
      <w:pPr>
        <w:tabs>
          <w:tab w:val="num" w:pos="4608"/>
        </w:tabs>
        <w:ind w:left="4608" w:hanging="360"/>
      </w:pPr>
      <w:rPr>
        <w:rFonts w:ascii="Wingdings" w:hAnsi="Wingdings" w:hint="default"/>
      </w:rPr>
    </w:lvl>
    <w:lvl w:ilvl="6" w:tplc="19AC45C2" w:tentative="1">
      <w:start w:val="1"/>
      <w:numFmt w:val="bullet"/>
      <w:lvlText w:val=""/>
      <w:lvlJc w:val="left"/>
      <w:pPr>
        <w:tabs>
          <w:tab w:val="num" w:pos="5328"/>
        </w:tabs>
        <w:ind w:left="5328" w:hanging="360"/>
      </w:pPr>
      <w:rPr>
        <w:rFonts w:ascii="Symbol" w:hAnsi="Symbol" w:hint="default"/>
      </w:rPr>
    </w:lvl>
    <w:lvl w:ilvl="7" w:tplc="B78ACCBC" w:tentative="1">
      <w:start w:val="1"/>
      <w:numFmt w:val="bullet"/>
      <w:lvlText w:val="o"/>
      <w:lvlJc w:val="left"/>
      <w:pPr>
        <w:tabs>
          <w:tab w:val="num" w:pos="6048"/>
        </w:tabs>
        <w:ind w:left="6048" w:hanging="360"/>
      </w:pPr>
      <w:rPr>
        <w:rFonts w:ascii="Courier New" w:hAnsi="Courier New" w:cs="Courier New" w:hint="default"/>
      </w:rPr>
    </w:lvl>
    <w:lvl w:ilvl="8" w:tplc="BFE680F6" w:tentative="1">
      <w:start w:val="1"/>
      <w:numFmt w:val="bullet"/>
      <w:lvlText w:val=""/>
      <w:lvlJc w:val="left"/>
      <w:pPr>
        <w:tabs>
          <w:tab w:val="num" w:pos="6768"/>
        </w:tabs>
        <w:ind w:left="6768" w:hanging="360"/>
      </w:pPr>
      <w:rPr>
        <w:rFonts w:ascii="Wingdings" w:hAnsi="Wingdings" w:hint="default"/>
      </w:rPr>
    </w:lvl>
  </w:abstractNum>
  <w:abstractNum w:abstractNumId="52" w15:restartNumberingAfterBreak="0">
    <w:nsid w:val="62F059BA"/>
    <w:multiLevelType w:val="multilevel"/>
    <w:tmpl w:val="ED14D6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F8780D"/>
    <w:multiLevelType w:val="hybridMultilevel"/>
    <w:tmpl w:val="024EB8B2"/>
    <w:lvl w:ilvl="0" w:tplc="7A4AF26A">
      <w:start w:val="1"/>
      <w:numFmt w:val="bullet"/>
      <w:pStyle w:val="ListBullet"/>
      <w:lvlText w:val=""/>
      <w:lvlJc w:val="left"/>
      <w:pPr>
        <w:tabs>
          <w:tab w:val="num" w:pos="648"/>
        </w:tabs>
        <w:ind w:left="648" w:hanging="360"/>
      </w:pPr>
      <w:rPr>
        <w:rFonts w:ascii="Symbol" w:hAnsi="Symbol" w:hint="default"/>
        <w:strike w:val="0"/>
        <w:dstrike w:val="0"/>
        <w:color w:val="auto"/>
        <w:sz w:val="22"/>
        <w:szCs w:val="22"/>
      </w:rPr>
    </w:lvl>
    <w:lvl w:ilvl="1" w:tplc="9678102E">
      <w:start w:val="1"/>
      <w:numFmt w:val="bullet"/>
      <w:lvlText w:val="o"/>
      <w:lvlJc w:val="left"/>
      <w:pPr>
        <w:tabs>
          <w:tab w:val="num" w:pos="1440"/>
        </w:tabs>
        <w:ind w:left="1440" w:hanging="360"/>
      </w:pPr>
      <w:rPr>
        <w:rFonts w:ascii="Courier New" w:hAnsi="Courier New" w:cs="Courier New" w:hint="default"/>
      </w:rPr>
    </w:lvl>
    <w:lvl w:ilvl="2" w:tplc="FE64F57C" w:tentative="1">
      <w:start w:val="1"/>
      <w:numFmt w:val="bullet"/>
      <w:lvlText w:val=""/>
      <w:lvlJc w:val="left"/>
      <w:pPr>
        <w:tabs>
          <w:tab w:val="num" w:pos="2160"/>
        </w:tabs>
        <w:ind w:left="2160" w:hanging="360"/>
      </w:pPr>
      <w:rPr>
        <w:rFonts w:ascii="Wingdings" w:hAnsi="Wingdings" w:hint="default"/>
      </w:rPr>
    </w:lvl>
    <w:lvl w:ilvl="3" w:tplc="45624D4E" w:tentative="1">
      <w:start w:val="1"/>
      <w:numFmt w:val="bullet"/>
      <w:lvlText w:val=""/>
      <w:lvlJc w:val="left"/>
      <w:pPr>
        <w:tabs>
          <w:tab w:val="num" w:pos="2880"/>
        </w:tabs>
        <w:ind w:left="2880" w:hanging="360"/>
      </w:pPr>
      <w:rPr>
        <w:rFonts w:ascii="Symbol" w:hAnsi="Symbol" w:hint="default"/>
      </w:rPr>
    </w:lvl>
    <w:lvl w:ilvl="4" w:tplc="FFA044D0" w:tentative="1">
      <w:start w:val="1"/>
      <w:numFmt w:val="bullet"/>
      <w:lvlText w:val="o"/>
      <w:lvlJc w:val="left"/>
      <w:pPr>
        <w:tabs>
          <w:tab w:val="num" w:pos="3600"/>
        </w:tabs>
        <w:ind w:left="3600" w:hanging="360"/>
      </w:pPr>
      <w:rPr>
        <w:rFonts w:ascii="Courier New" w:hAnsi="Courier New" w:cs="Courier New" w:hint="default"/>
      </w:rPr>
    </w:lvl>
    <w:lvl w:ilvl="5" w:tplc="557CF39A" w:tentative="1">
      <w:start w:val="1"/>
      <w:numFmt w:val="bullet"/>
      <w:lvlText w:val=""/>
      <w:lvlJc w:val="left"/>
      <w:pPr>
        <w:tabs>
          <w:tab w:val="num" w:pos="4320"/>
        </w:tabs>
        <w:ind w:left="4320" w:hanging="360"/>
      </w:pPr>
      <w:rPr>
        <w:rFonts w:ascii="Wingdings" w:hAnsi="Wingdings" w:hint="default"/>
      </w:rPr>
    </w:lvl>
    <w:lvl w:ilvl="6" w:tplc="1EF28D7A" w:tentative="1">
      <w:start w:val="1"/>
      <w:numFmt w:val="bullet"/>
      <w:lvlText w:val=""/>
      <w:lvlJc w:val="left"/>
      <w:pPr>
        <w:tabs>
          <w:tab w:val="num" w:pos="5040"/>
        </w:tabs>
        <w:ind w:left="5040" w:hanging="360"/>
      </w:pPr>
      <w:rPr>
        <w:rFonts w:ascii="Symbol" w:hAnsi="Symbol" w:hint="default"/>
      </w:rPr>
    </w:lvl>
    <w:lvl w:ilvl="7" w:tplc="E47C27E2" w:tentative="1">
      <w:start w:val="1"/>
      <w:numFmt w:val="bullet"/>
      <w:lvlText w:val="o"/>
      <w:lvlJc w:val="left"/>
      <w:pPr>
        <w:tabs>
          <w:tab w:val="num" w:pos="5760"/>
        </w:tabs>
        <w:ind w:left="5760" w:hanging="360"/>
      </w:pPr>
      <w:rPr>
        <w:rFonts w:ascii="Courier New" w:hAnsi="Courier New" w:cs="Courier New" w:hint="default"/>
      </w:rPr>
    </w:lvl>
    <w:lvl w:ilvl="8" w:tplc="5BA8C6BE"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3FC7FED"/>
    <w:multiLevelType w:val="hybridMultilevel"/>
    <w:tmpl w:val="05969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5E67AC4"/>
    <w:multiLevelType w:val="hybridMultilevel"/>
    <w:tmpl w:val="0CB492B6"/>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70E4C09"/>
    <w:multiLevelType w:val="hybridMultilevel"/>
    <w:tmpl w:val="E018ADEA"/>
    <w:lvl w:ilvl="0" w:tplc="04090003">
      <w:start w:val="1"/>
      <w:numFmt w:val="bullet"/>
      <w:lvlText w:val="o"/>
      <w:lvlJc w:val="left"/>
      <w:pPr>
        <w:tabs>
          <w:tab w:val="num" w:pos="1008"/>
        </w:tabs>
        <w:ind w:left="1008" w:hanging="360"/>
      </w:pPr>
      <w:rPr>
        <w:rFonts w:ascii="Courier New" w:hAnsi="Courier New" w:cs="Courier New" w:hint="default"/>
        <w:strike w:val="0"/>
        <w:dstrike w:val="0"/>
        <w:color w:val="auto"/>
        <w:sz w:val="22"/>
        <w:szCs w:val="22"/>
      </w:rPr>
    </w:lvl>
    <w:lvl w:ilvl="1" w:tplc="29C0FDC6">
      <w:start w:val="1"/>
      <w:numFmt w:val="bullet"/>
      <w:lvlText w:val="o"/>
      <w:lvlJc w:val="left"/>
      <w:pPr>
        <w:tabs>
          <w:tab w:val="num" w:pos="1800"/>
        </w:tabs>
        <w:ind w:left="1800" w:hanging="360"/>
      </w:pPr>
      <w:rPr>
        <w:rFonts w:ascii="Courier New" w:hAnsi="Courier New" w:cs="Courier New" w:hint="default"/>
      </w:rPr>
    </w:lvl>
    <w:lvl w:ilvl="2" w:tplc="1D06B920" w:tentative="1">
      <w:start w:val="1"/>
      <w:numFmt w:val="bullet"/>
      <w:lvlText w:val=""/>
      <w:lvlJc w:val="left"/>
      <w:pPr>
        <w:tabs>
          <w:tab w:val="num" w:pos="2520"/>
        </w:tabs>
        <w:ind w:left="2520" w:hanging="360"/>
      </w:pPr>
      <w:rPr>
        <w:rFonts w:ascii="Wingdings" w:hAnsi="Wingdings" w:hint="default"/>
      </w:rPr>
    </w:lvl>
    <w:lvl w:ilvl="3" w:tplc="8ACA0C3C" w:tentative="1">
      <w:start w:val="1"/>
      <w:numFmt w:val="bullet"/>
      <w:lvlText w:val=""/>
      <w:lvlJc w:val="left"/>
      <w:pPr>
        <w:tabs>
          <w:tab w:val="num" w:pos="3240"/>
        </w:tabs>
        <w:ind w:left="3240" w:hanging="360"/>
      </w:pPr>
      <w:rPr>
        <w:rFonts w:ascii="Symbol" w:hAnsi="Symbol" w:hint="default"/>
      </w:rPr>
    </w:lvl>
    <w:lvl w:ilvl="4" w:tplc="CC428646" w:tentative="1">
      <w:start w:val="1"/>
      <w:numFmt w:val="bullet"/>
      <w:lvlText w:val="o"/>
      <w:lvlJc w:val="left"/>
      <w:pPr>
        <w:tabs>
          <w:tab w:val="num" w:pos="3960"/>
        </w:tabs>
        <w:ind w:left="3960" w:hanging="360"/>
      </w:pPr>
      <w:rPr>
        <w:rFonts w:ascii="Courier New" w:hAnsi="Courier New" w:cs="Courier New" w:hint="default"/>
      </w:rPr>
    </w:lvl>
    <w:lvl w:ilvl="5" w:tplc="A61C0152" w:tentative="1">
      <w:start w:val="1"/>
      <w:numFmt w:val="bullet"/>
      <w:lvlText w:val=""/>
      <w:lvlJc w:val="left"/>
      <w:pPr>
        <w:tabs>
          <w:tab w:val="num" w:pos="4680"/>
        </w:tabs>
        <w:ind w:left="4680" w:hanging="360"/>
      </w:pPr>
      <w:rPr>
        <w:rFonts w:ascii="Wingdings" w:hAnsi="Wingdings" w:hint="default"/>
      </w:rPr>
    </w:lvl>
    <w:lvl w:ilvl="6" w:tplc="DDDCF7E6" w:tentative="1">
      <w:start w:val="1"/>
      <w:numFmt w:val="bullet"/>
      <w:lvlText w:val=""/>
      <w:lvlJc w:val="left"/>
      <w:pPr>
        <w:tabs>
          <w:tab w:val="num" w:pos="5400"/>
        </w:tabs>
        <w:ind w:left="5400" w:hanging="360"/>
      </w:pPr>
      <w:rPr>
        <w:rFonts w:ascii="Symbol" w:hAnsi="Symbol" w:hint="default"/>
      </w:rPr>
    </w:lvl>
    <w:lvl w:ilvl="7" w:tplc="CD8E4C8A" w:tentative="1">
      <w:start w:val="1"/>
      <w:numFmt w:val="bullet"/>
      <w:lvlText w:val="o"/>
      <w:lvlJc w:val="left"/>
      <w:pPr>
        <w:tabs>
          <w:tab w:val="num" w:pos="6120"/>
        </w:tabs>
        <w:ind w:left="6120" w:hanging="360"/>
      </w:pPr>
      <w:rPr>
        <w:rFonts w:ascii="Courier New" w:hAnsi="Courier New" w:cs="Courier New" w:hint="default"/>
      </w:rPr>
    </w:lvl>
    <w:lvl w:ilvl="8" w:tplc="B61CE16E"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72A86BD2"/>
    <w:multiLevelType w:val="singleLevel"/>
    <w:tmpl w:val="606ED0A8"/>
    <w:lvl w:ilvl="0">
      <w:start w:val="1"/>
      <w:numFmt w:val="bullet"/>
      <w:lvlText w:val=""/>
      <w:lvlJc w:val="left"/>
      <w:pPr>
        <w:tabs>
          <w:tab w:val="num" w:pos="720"/>
        </w:tabs>
        <w:ind w:left="720" w:hanging="360"/>
      </w:pPr>
      <w:rPr>
        <w:rFonts w:ascii="Symbol" w:hAnsi="Symbol" w:hint="default"/>
        <w:sz w:val="24"/>
      </w:rPr>
    </w:lvl>
  </w:abstractNum>
  <w:abstractNum w:abstractNumId="58" w15:restartNumberingAfterBreak="0">
    <w:nsid w:val="758D651D"/>
    <w:multiLevelType w:val="hybridMultilevel"/>
    <w:tmpl w:val="C210867C"/>
    <w:lvl w:ilvl="0" w:tplc="9C84FF40">
      <w:start w:val="1"/>
      <w:numFmt w:val="bullet"/>
      <w:pStyle w:val="TableTextNumbersBullet"/>
      <w:lvlText w:val=""/>
      <w:lvlJc w:val="left"/>
      <w:pPr>
        <w:tabs>
          <w:tab w:val="num" w:pos="288"/>
        </w:tabs>
        <w:ind w:left="288" w:firstLine="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1256CB5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5D36AAB"/>
    <w:multiLevelType w:val="hybridMultilevel"/>
    <w:tmpl w:val="D87E1606"/>
    <w:lvl w:ilvl="0" w:tplc="80FEF9BA">
      <w:start w:val="1"/>
      <w:numFmt w:val="bullet"/>
      <w:lvlText w:val=""/>
      <w:lvlJc w:val="left"/>
      <w:pPr>
        <w:tabs>
          <w:tab w:val="num" w:pos="1440"/>
        </w:tabs>
        <w:ind w:left="1440" w:hanging="360"/>
      </w:pPr>
      <w:rPr>
        <w:rFonts w:ascii="Symbol" w:hAnsi="Symbol" w:hint="default"/>
      </w:rPr>
    </w:lvl>
    <w:lvl w:ilvl="1" w:tplc="E2A43398" w:tentative="1">
      <w:start w:val="1"/>
      <w:numFmt w:val="bullet"/>
      <w:lvlText w:val="o"/>
      <w:lvlJc w:val="left"/>
      <w:pPr>
        <w:tabs>
          <w:tab w:val="num" w:pos="2160"/>
        </w:tabs>
        <w:ind w:left="2160" w:hanging="360"/>
      </w:pPr>
      <w:rPr>
        <w:rFonts w:ascii="Courier New" w:hAnsi="Courier New" w:cs="Courier New" w:hint="default"/>
      </w:rPr>
    </w:lvl>
    <w:lvl w:ilvl="2" w:tplc="B2F87258" w:tentative="1">
      <w:start w:val="1"/>
      <w:numFmt w:val="bullet"/>
      <w:lvlText w:val=""/>
      <w:lvlJc w:val="left"/>
      <w:pPr>
        <w:tabs>
          <w:tab w:val="num" w:pos="2880"/>
        </w:tabs>
        <w:ind w:left="2880" w:hanging="360"/>
      </w:pPr>
      <w:rPr>
        <w:rFonts w:ascii="Wingdings" w:hAnsi="Wingdings" w:hint="default"/>
      </w:rPr>
    </w:lvl>
    <w:lvl w:ilvl="3" w:tplc="116CE0E6" w:tentative="1">
      <w:start w:val="1"/>
      <w:numFmt w:val="bullet"/>
      <w:lvlText w:val=""/>
      <w:lvlJc w:val="left"/>
      <w:pPr>
        <w:tabs>
          <w:tab w:val="num" w:pos="3600"/>
        </w:tabs>
        <w:ind w:left="3600" w:hanging="360"/>
      </w:pPr>
      <w:rPr>
        <w:rFonts w:ascii="Symbol" w:hAnsi="Symbol" w:hint="default"/>
      </w:rPr>
    </w:lvl>
    <w:lvl w:ilvl="4" w:tplc="65782802" w:tentative="1">
      <w:start w:val="1"/>
      <w:numFmt w:val="bullet"/>
      <w:lvlText w:val="o"/>
      <w:lvlJc w:val="left"/>
      <w:pPr>
        <w:tabs>
          <w:tab w:val="num" w:pos="4320"/>
        </w:tabs>
        <w:ind w:left="4320" w:hanging="360"/>
      </w:pPr>
      <w:rPr>
        <w:rFonts w:ascii="Courier New" w:hAnsi="Courier New" w:cs="Courier New" w:hint="default"/>
      </w:rPr>
    </w:lvl>
    <w:lvl w:ilvl="5" w:tplc="4D4E0C78" w:tentative="1">
      <w:start w:val="1"/>
      <w:numFmt w:val="bullet"/>
      <w:lvlText w:val=""/>
      <w:lvlJc w:val="left"/>
      <w:pPr>
        <w:tabs>
          <w:tab w:val="num" w:pos="5040"/>
        </w:tabs>
        <w:ind w:left="5040" w:hanging="360"/>
      </w:pPr>
      <w:rPr>
        <w:rFonts w:ascii="Wingdings" w:hAnsi="Wingdings" w:hint="default"/>
      </w:rPr>
    </w:lvl>
    <w:lvl w:ilvl="6" w:tplc="9F6434EE" w:tentative="1">
      <w:start w:val="1"/>
      <w:numFmt w:val="bullet"/>
      <w:lvlText w:val=""/>
      <w:lvlJc w:val="left"/>
      <w:pPr>
        <w:tabs>
          <w:tab w:val="num" w:pos="5760"/>
        </w:tabs>
        <w:ind w:left="5760" w:hanging="360"/>
      </w:pPr>
      <w:rPr>
        <w:rFonts w:ascii="Symbol" w:hAnsi="Symbol" w:hint="default"/>
      </w:rPr>
    </w:lvl>
    <w:lvl w:ilvl="7" w:tplc="F8B857D2" w:tentative="1">
      <w:start w:val="1"/>
      <w:numFmt w:val="bullet"/>
      <w:lvlText w:val="o"/>
      <w:lvlJc w:val="left"/>
      <w:pPr>
        <w:tabs>
          <w:tab w:val="num" w:pos="6480"/>
        </w:tabs>
        <w:ind w:left="6480" w:hanging="360"/>
      </w:pPr>
      <w:rPr>
        <w:rFonts w:ascii="Courier New" w:hAnsi="Courier New" w:cs="Courier New" w:hint="default"/>
      </w:rPr>
    </w:lvl>
    <w:lvl w:ilvl="8" w:tplc="8836122C"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7AAD1F61"/>
    <w:multiLevelType w:val="hybridMultilevel"/>
    <w:tmpl w:val="19449DFA"/>
    <w:lvl w:ilvl="0" w:tplc="FFFFFFFF">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C022B11"/>
    <w:multiLevelType w:val="hybridMultilevel"/>
    <w:tmpl w:val="B60A4BCE"/>
    <w:lvl w:ilvl="0" w:tplc="FFFFFFFF">
      <w:start w:val="2"/>
      <w:numFmt w:val="bullet"/>
      <w:lvlText w:val=""/>
      <w:lvlJc w:val="left"/>
      <w:pPr>
        <w:tabs>
          <w:tab w:val="num" w:pos="795"/>
        </w:tabs>
        <w:ind w:left="795" w:hanging="405"/>
      </w:pPr>
      <w:rPr>
        <w:rFonts w:ascii="Symbol" w:eastAsia="Times New Roman" w:hAnsi="Symbol" w:cs="Arial" w:hint="default"/>
      </w:r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15:restartNumberingAfterBreak="0">
    <w:nsid w:val="7ECB7E7E"/>
    <w:multiLevelType w:val="hybridMultilevel"/>
    <w:tmpl w:val="EF403034"/>
    <w:lvl w:ilvl="0" w:tplc="851AB840">
      <w:start w:val="1"/>
      <w:numFmt w:val="decimal"/>
      <w:pStyle w:val="ListNumber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1746900">
    <w:abstractNumId w:val="39"/>
  </w:num>
  <w:num w:numId="2" w16cid:durableId="633872729">
    <w:abstractNumId w:val="5"/>
  </w:num>
  <w:num w:numId="3" w16cid:durableId="83498105">
    <w:abstractNumId w:val="23"/>
  </w:num>
  <w:num w:numId="4" w16cid:durableId="134375107">
    <w:abstractNumId w:val="35"/>
  </w:num>
  <w:num w:numId="5" w16cid:durableId="1999579306">
    <w:abstractNumId w:val="26"/>
  </w:num>
  <w:num w:numId="6" w16cid:durableId="1310599876">
    <w:abstractNumId w:val="31"/>
  </w:num>
  <w:num w:numId="7" w16cid:durableId="2013141732">
    <w:abstractNumId w:val="58"/>
  </w:num>
  <w:num w:numId="8" w16cid:durableId="586116255">
    <w:abstractNumId w:val="51"/>
  </w:num>
  <w:num w:numId="9" w16cid:durableId="1926722751">
    <w:abstractNumId w:val="33"/>
  </w:num>
  <w:num w:numId="10" w16cid:durableId="1116292555">
    <w:abstractNumId w:val="20"/>
  </w:num>
  <w:num w:numId="11" w16cid:durableId="58334146">
    <w:abstractNumId w:val="0"/>
  </w:num>
  <w:num w:numId="12" w16cid:durableId="1489132252">
    <w:abstractNumId w:val="1"/>
  </w:num>
  <w:num w:numId="13" w16cid:durableId="1935279611">
    <w:abstractNumId w:val="52"/>
  </w:num>
  <w:num w:numId="14" w16cid:durableId="543909864">
    <w:abstractNumId w:val="36"/>
  </w:num>
  <w:num w:numId="15" w16cid:durableId="1784034794">
    <w:abstractNumId w:val="53"/>
  </w:num>
  <w:num w:numId="16" w16cid:durableId="1529103664">
    <w:abstractNumId w:val="10"/>
    <w:lvlOverride w:ilvl="0">
      <w:startOverride w:val="1"/>
    </w:lvlOverride>
  </w:num>
  <w:num w:numId="17" w16cid:durableId="1395199243">
    <w:abstractNumId w:val="10"/>
    <w:lvlOverride w:ilvl="0">
      <w:startOverride w:val="1"/>
    </w:lvlOverride>
  </w:num>
  <w:num w:numId="18" w16cid:durableId="1561402202">
    <w:abstractNumId w:val="10"/>
    <w:lvlOverride w:ilvl="0">
      <w:startOverride w:val="1"/>
    </w:lvlOverride>
  </w:num>
  <w:num w:numId="19" w16cid:durableId="1717047532">
    <w:abstractNumId w:val="10"/>
    <w:lvlOverride w:ilvl="0">
      <w:startOverride w:val="1"/>
    </w:lvlOverride>
  </w:num>
  <w:num w:numId="20" w16cid:durableId="900944138">
    <w:abstractNumId w:val="10"/>
    <w:lvlOverride w:ilvl="0">
      <w:startOverride w:val="1"/>
    </w:lvlOverride>
  </w:num>
  <w:num w:numId="21" w16cid:durableId="636036508">
    <w:abstractNumId w:val="10"/>
    <w:lvlOverride w:ilvl="0">
      <w:startOverride w:val="1"/>
    </w:lvlOverride>
  </w:num>
  <w:num w:numId="22" w16cid:durableId="167328196">
    <w:abstractNumId w:val="10"/>
    <w:lvlOverride w:ilvl="0">
      <w:startOverride w:val="1"/>
    </w:lvlOverride>
  </w:num>
  <w:num w:numId="23" w16cid:durableId="988289447">
    <w:abstractNumId w:val="10"/>
    <w:lvlOverride w:ilvl="0">
      <w:startOverride w:val="1"/>
    </w:lvlOverride>
  </w:num>
  <w:num w:numId="24" w16cid:durableId="1817143825">
    <w:abstractNumId w:val="10"/>
    <w:lvlOverride w:ilvl="0">
      <w:startOverride w:val="1"/>
    </w:lvlOverride>
  </w:num>
  <w:num w:numId="25" w16cid:durableId="1874881950">
    <w:abstractNumId w:val="10"/>
    <w:lvlOverride w:ilvl="0">
      <w:startOverride w:val="1"/>
    </w:lvlOverride>
  </w:num>
  <w:num w:numId="26" w16cid:durableId="2064600313">
    <w:abstractNumId w:val="10"/>
    <w:lvlOverride w:ilvl="0">
      <w:startOverride w:val="1"/>
    </w:lvlOverride>
  </w:num>
  <w:num w:numId="27" w16cid:durableId="506211203">
    <w:abstractNumId w:val="10"/>
    <w:lvlOverride w:ilvl="0">
      <w:startOverride w:val="1"/>
    </w:lvlOverride>
  </w:num>
  <w:num w:numId="28" w16cid:durableId="470026120">
    <w:abstractNumId w:val="10"/>
    <w:lvlOverride w:ilvl="0">
      <w:startOverride w:val="1"/>
    </w:lvlOverride>
  </w:num>
  <w:num w:numId="29" w16cid:durableId="2066221516">
    <w:abstractNumId w:val="10"/>
    <w:lvlOverride w:ilvl="0">
      <w:startOverride w:val="1"/>
    </w:lvlOverride>
  </w:num>
  <w:num w:numId="30" w16cid:durableId="687564376">
    <w:abstractNumId w:val="30"/>
  </w:num>
  <w:num w:numId="31" w16cid:durableId="1663656862">
    <w:abstractNumId w:val="24"/>
  </w:num>
  <w:num w:numId="32" w16cid:durableId="705058007">
    <w:abstractNumId w:val="4"/>
  </w:num>
  <w:num w:numId="33" w16cid:durableId="1398095182">
    <w:abstractNumId w:val="43"/>
  </w:num>
  <w:num w:numId="34" w16cid:durableId="215826094">
    <w:abstractNumId w:val="12"/>
  </w:num>
  <w:num w:numId="35" w16cid:durableId="1628586774">
    <w:abstractNumId w:val="40"/>
  </w:num>
  <w:num w:numId="36" w16cid:durableId="1592079858">
    <w:abstractNumId w:val="15"/>
  </w:num>
  <w:num w:numId="37" w16cid:durableId="119735986">
    <w:abstractNumId w:val="6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59595546">
    <w:abstractNumId w:val="35"/>
    <w:lvlOverride w:ilvl="0">
      <w:startOverride w:val="1"/>
    </w:lvlOverride>
  </w:num>
  <w:num w:numId="39" w16cid:durableId="201988328">
    <w:abstractNumId w:val="35"/>
    <w:lvlOverride w:ilvl="0">
      <w:startOverride w:val="1"/>
    </w:lvlOverride>
  </w:num>
  <w:num w:numId="40" w16cid:durableId="1164199095">
    <w:abstractNumId w:val="62"/>
  </w:num>
  <w:num w:numId="41" w16cid:durableId="758605106">
    <w:abstractNumId w:val="44"/>
  </w:num>
  <w:num w:numId="42" w16cid:durableId="388964426">
    <w:abstractNumId w:val="57"/>
  </w:num>
  <w:num w:numId="43" w16cid:durableId="106123824">
    <w:abstractNumId w:val="13"/>
  </w:num>
  <w:num w:numId="44" w16cid:durableId="1660037261">
    <w:abstractNumId w:val="28"/>
  </w:num>
  <w:num w:numId="45" w16cid:durableId="945162905">
    <w:abstractNumId w:val="3"/>
  </w:num>
  <w:num w:numId="46" w16cid:durableId="540166580">
    <w:abstractNumId w:val="35"/>
    <w:lvlOverride w:ilvl="0">
      <w:startOverride w:val="1"/>
    </w:lvlOverride>
  </w:num>
  <w:num w:numId="47" w16cid:durableId="1869104359">
    <w:abstractNumId w:val="35"/>
    <w:lvlOverride w:ilvl="0">
      <w:startOverride w:val="1"/>
    </w:lvlOverride>
  </w:num>
  <w:num w:numId="48" w16cid:durableId="122693026">
    <w:abstractNumId w:val="25"/>
  </w:num>
  <w:num w:numId="49" w16cid:durableId="150802658">
    <w:abstractNumId w:val="54"/>
  </w:num>
  <w:num w:numId="50" w16cid:durableId="1072628094">
    <w:abstractNumId w:val="35"/>
    <w:lvlOverride w:ilvl="0">
      <w:startOverride w:val="1"/>
    </w:lvlOverride>
  </w:num>
  <w:num w:numId="51" w16cid:durableId="1381779591">
    <w:abstractNumId w:val="21"/>
  </w:num>
  <w:num w:numId="52" w16cid:durableId="247152754">
    <w:abstractNumId w:val="29"/>
  </w:num>
  <w:num w:numId="53" w16cid:durableId="1565138766">
    <w:abstractNumId w:val="59"/>
  </w:num>
  <w:num w:numId="54" w16cid:durableId="1627852252">
    <w:abstractNumId w:val="22"/>
  </w:num>
  <w:num w:numId="55" w16cid:durableId="524641120">
    <w:abstractNumId w:val="50"/>
  </w:num>
  <w:num w:numId="56" w16cid:durableId="1869832282">
    <w:abstractNumId w:val="60"/>
  </w:num>
  <w:num w:numId="57" w16cid:durableId="1151751740">
    <w:abstractNumId w:val="55"/>
  </w:num>
  <w:num w:numId="58" w16cid:durableId="571430509">
    <w:abstractNumId w:val="45"/>
  </w:num>
  <w:num w:numId="59" w16cid:durableId="1871527378">
    <w:abstractNumId w:val="19"/>
  </w:num>
  <w:num w:numId="60" w16cid:durableId="1671978918">
    <w:abstractNumId w:val="7"/>
  </w:num>
  <w:num w:numId="61" w16cid:durableId="1406950418">
    <w:abstractNumId w:val="11"/>
  </w:num>
  <w:num w:numId="62" w16cid:durableId="396442478">
    <w:abstractNumId w:val="18"/>
  </w:num>
  <w:num w:numId="63" w16cid:durableId="1309362208">
    <w:abstractNumId w:val="42"/>
  </w:num>
  <w:num w:numId="64" w16cid:durableId="983046844">
    <w:abstractNumId w:val="38"/>
  </w:num>
  <w:num w:numId="65" w16cid:durableId="1095322205">
    <w:abstractNumId w:val="37"/>
  </w:num>
  <w:num w:numId="66" w16cid:durableId="1324967998">
    <w:abstractNumId w:val="6"/>
  </w:num>
  <w:num w:numId="67" w16cid:durableId="521020712">
    <w:abstractNumId w:val="46"/>
  </w:num>
  <w:num w:numId="68" w16cid:durableId="807741758">
    <w:abstractNumId w:val="34"/>
  </w:num>
  <w:num w:numId="69" w16cid:durableId="701326977">
    <w:abstractNumId w:val="56"/>
  </w:num>
  <w:num w:numId="70" w16cid:durableId="638076397">
    <w:abstractNumId w:val="17"/>
  </w:num>
  <w:num w:numId="71" w16cid:durableId="346753629">
    <w:abstractNumId w:val="32"/>
  </w:num>
  <w:num w:numId="72" w16cid:durableId="603684128">
    <w:abstractNumId w:val="35"/>
    <w:lvlOverride w:ilvl="0">
      <w:startOverride w:val="1"/>
    </w:lvlOverride>
  </w:num>
  <w:num w:numId="73" w16cid:durableId="971667655">
    <w:abstractNumId w:val="35"/>
    <w:lvlOverride w:ilvl="0">
      <w:startOverride w:val="1"/>
    </w:lvlOverride>
  </w:num>
  <w:num w:numId="74" w16cid:durableId="1232234856">
    <w:abstractNumId w:val="35"/>
    <w:lvlOverride w:ilvl="0">
      <w:startOverride w:val="1"/>
    </w:lvlOverride>
  </w:num>
  <w:num w:numId="75" w16cid:durableId="913321115">
    <w:abstractNumId w:val="48"/>
  </w:num>
  <w:num w:numId="76" w16cid:durableId="34818698">
    <w:abstractNumId w:val="49"/>
  </w:num>
  <w:num w:numId="77" w16cid:durableId="1558125404">
    <w:abstractNumId w:val="9"/>
  </w:num>
  <w:num w:numId="78" w16cid:durableId="449204993">
    <w:abstractNumId w:val="8"/>
  </w:num>
  <w:num w:numId="79" w16cid:durableId="247081688">
    <w:abstractNumId w:val="27"/>
  </w:num>
  <w:num w:numId="80" w16cid:durableId="2008710952">
    <w:abstractNumId w:val="35"/>
    <w:lvlOverride w:ilvl="0">
      <w:startOverride w:val="1"/>
    </w:lvlOverride>
  </w:num>
  <w:num w:numId="81" w16cid:durableId="178391115">
    <w:abstractNumId w:val="47"/>
  </w:num>
  <w:num w:numId="82" w16cid:durableId="220529107">
    <w:abstractNumId w:val="41"/>
  </w:num>
  <w:num w:numId="83" w16cid:durableId="52698127">
    <w:abstractNumId w:val="14"/>
  </w:num>
  <w:num w:numId="84" w16cid:durableId="1437479363">
    <w:abstractNumId w:val="16"/>
  </w:num>
  <w:num w:numId="85" w16cid:durableId="837695979">
    <w:abstractNumId w:val="2"/>
  </w:num>
  <w:num w:numId="86" w16cid:durableId="1200511521">
    <w:abstractNumId w:val="35"/>
    <w:lvlOverride w:ilvl="0">
      <w:startOverride w:val="1"/>
    </w:lvlOverride>
  </w:num>
  <w:num w:numId="87" w16cid:durableId="552884436">
    <w:abstractNumId w:val="35"/>
    <w:lvlOverride w:ilvl="0">
      <w:startOverride w:val="1"/>
    </w:lvlOverride>
  </w:num>
  <w:num w:numId="88" w16cid:durableId="666640163">
    <w:abstractNumId w:val="53"/>
  </w:num>
  <w:num w:numId="89" w16cid:durableId="91780613">
    <w:abstractNumId w:val="53"/>
  </w:num>
  <w:num w:numId="90" w16cid:durableId="1406368323">
    <w:abstractNumId w:val="5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activeWritingStyle w:appName="MSWord" w:lang="en-US" w:vendorID="64" w:dllVersion="5" w:nlCheck="1" w:checkStyle="1"/>
  <w:activeWritingStyle w:appName="MSWord" w:lang="es-ES" w:vendorID="64" w:dllVersion="6" w:nlCheck="1" w:checkStyle="1"/>
  <w:activeWritingStyle w:appName="MSWord" w:lang="fr-CA"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F5"/>
    <w:rsid w:val="0000095B"/>
    <w:rsid w:val="00000A27"/>
    <w:rsid w:val="00000CF1"/>
    <w:rsid w:val="000013B4"/>
    <w:rsid w:val="000014DD"/>
    <w:rsid w:val="00001639"/>
    <w:rsid w:val="000016CF"/>
    <w:rsid w:val="00001996"/>
    <w:rsid w:val="000022C2"/>
    <w:rsid w:val="00002564"/>
    <w:rsid w:val="000026FF"/>
    <w:rsid w:val="0000295A"/>
    <w:rsid w:val="00002A54"/>
    <w:rsid w:val="00002D13"/>
    <w:rsid w:val="00002DA1"/>
    <w:rsid w:val="000037E8"/>
    <w:rsid w:val="00003944"/>
    <w:rsid w:val="00003AD3"/>
    <w:rsid w:val="00003AD8"/>
    <w:rsid w:val="00003B87"/>
    <w:rsid w:val="00003BE9"/>
    <w:rsid w:val="00004139"/>
    <w:rsid w:val="0000455C"/>
    <w:rsid w:val="00004786"/>
    <w:rsid w:val="00004A4C"/>
    <w:rsid w:val="0000544A"/>
    <w:rsid w:val="000054DE"/>
    <w:rsid w:val="00005649"/>
    <w:rsid w:val="00005A4E"/>
    <w:rsid w:val="00005C14"/>
    <w:rsid w:val="00005EFF"/>
    <w:rsid w:val="0000620B"/>
    <w:rsid w:val="00006808"/>
    <w:rsid w:val="00006995"/>
    <w:rsid w:val="000069FC"/>
    <w:rsid w:val="00006D30"/>
    <w:rsid w:val="00006D86"/>
    <w:rsid w:val="000075A9"/>
    <w:rsid w:val="000075AF"/>
    <w:rsid w:val="00007986"/>
    <w:rsid w:val="00007B62"/>
    <w:rsid w:val="00007E6C"/>
    <w:rsid w:val="00007EFF"/>
    <w:rsid w:val="00007FC3"/>
    <w:rsid w:val="00010613"/>
    <w:rsid w:val="000106E7"/>
    <w:rsid w:val="00010A5B"/>
    <w:rsid w:val="00010B77"/>
    <w:rsid w:val="00010CF8"/>
    <w:rsid w:val="00011036"/>
    <w:rsid w:val="0001187F"/>
    <w:rsid w:val="0001199A"/>
    <w:rsid w:val="00011A43"/>
    <w:rsid w:val="00011FD2"/>
    <w:rsid w:val="00012087"/>
    <w:rsid w:val="000120C4"/>
    <w:rsid w:val="000120CE"/>
    <w:rsid w:val="000124FF"/>
    <w:rsid w:val="0001265E"/>
    <w:rsid w:val="00013002"/>
    <w:rsid w:val="00013047"/>
    <w:rsid w:val="0001312C"/>
    <w:rsid w:val="00013932"/>
    <w:rsid w:val="000143B5"/>
    <w:rsid w:val="000144A0"/>
    <w:rsid w:val="000144FD"/>
    <w:rsid w:val="000145FB"/>
    <w:rsid w:val="000148C3"/>
    <w:rsid w:val="00014955"/>
    <w:rsid w:val="00014B34"/>
    <w:rsid w:val="00014BE4"/>
    <w:rsid w:val="00014EFE"/>
    <w:rsid w:val="000150E9"/>
    <w:rsid w:val="00015258"/>
    <w:rsid w:val="0001548D"/>
    <w:rsid w:val="0001556E"/>
    <w:rsid w:val="00015581"/>
    <w:rsid w:val="00015977"/>
    <w:rsid w:val="00015AFD"/>
    <w:rsid w:val="000162F5"/>
    <w:rsid w:val="000166D4"/>
    <w:rsid w:val="0001680D"/>
    <w:rsid w:val="00016901"/>
    <w:rsid w:val="00016C78"/>
    <w:rsid w:val="000178A6"/>
    <w:rsid w:val="00017EC9"/>
    <w:rsid w:val="000200AF"/>
    <w:rsid w:val="0002020B"/>
    <w:rsid w:val="00020721"/>
    <w:rsid w:val="00020B22"/>
    <w:rsid w:val="0002125E"/>
    <w:rsid w:val="00021B72"/>
    <w:rsid w:val="00021CEB"/>
    <w:rsid w:val="00021E64"/>
    <w:rsid w:val="0002207D"/>
    <w:rsid w:val="000221BC"/>
    <w:rsid w:val="000222FC"/>
    <w:rsid w:val="00022B7B"/>
    <w:rsid w:val="0002312A"/>
    <w:rsid w:val="00023201"/>
    <w:rsid w:val="000234FD"/>
    <w:rsid w:val="00023520"/>
    <w:rsid w:val="000237FB"/>
    <w:rsid w:val="00024376"/>
    <w:rsid w:val="00024989"/>
    <w:rsid w:val="00024B9F"/>
    <w:rsid w:val="00025409"/>
    <w:rsid w:val="0002560C"/>
    <w:rsid w:val="0002571B"/>
    <w:rsid w:val="00025A5C"/>
    <w:rsid w:val="00025A95"/>
    <w:rsid w:val="00025A9B"/>
    <w:rsid w:val="00025BD0"/>
    <w:rsid w:val="00025CF7"/>
    <w:rsid w:val="00026099"/>
    <w:rsid w:val="00026628"/>
    <w:rsid w:val="0002675E"/>
    <w:rsid w:val="00026AC5"/>
    <w:rsid w:val="00026F72"/>
    <w:rsid w:val="00026FF3"/>
    <w:rsid w:val="00027368"/>
    <w:rsid w:val="000273C3"/>
    <w:rsid w:val="00027505"/>
    <w:rsid w:val="0002759E"/>
    <w:rsid w:val="000275FF"/>
    <w:rsid w:val="00027667"/>
    <w:rsid w:val="00027A1C"/>
    <w:rsid w:val="00027EC0"/>
    <w:rsid w:val="00027ED3"/>
    <w:rsid w:val="00027FF5"/>
    <w:rsid w:val="0003045D"/>
    <w:rsid w:val="000305DD"/>
    <w:rsid w:val="00030AF7"/>
    <w:rsid w:val="00030B84"/>
    <w:rsid w:val="00030D9B"/>
    <w:rsid w:val="00030E55"/>
    <w:rsid w:val="00031138"/>
    <w:rsid w:val="000314AF"/>
    <w:rsid w:val="00031618"/>
    <w:rsid w:val="0003186D"/>
    <w:rsid w:val="0003186E"/>
    <w:rsid w:val="000318FD"/>
    <w:rsid w:val="000319CE"/>
    <w:rsid w:val="00031E53"/>
    <w:rsid w:val="00032278"/>
    <w:rsid w:val="000325C4"/>
    <w:rsid w:val="00032782"/>
    <w:rsid w:val="00032B5D"/>
    <w:rsid w:val="000332A7"/>
    <w:rsid w:val="000333EE"/>
    <w:rsid w:val="0003355D"/>
    <w:rsid w:val="00033719"/>
    <w:rsid w:val="000337E9"/>
    <w:rsid w:val="00033916"/>
    <w:rsid w:val="00033B59"/>
    <w:rsid w:val="00033D17"/>
    <w:rsid w:val="00034390"/>
    <w:rsid w:val="000345A6"/>
    <w:rsid w:val="000349A0"/>
    <w:rsid w:val="00034C09"/>
    <w:rsid w:val="000350E5"/>
    <w:rsid w:val="0003580E"/>
    <w:rsid w:val="0003596C"/>
    <w:rsid w:val="00035A64"/>
    <w:rsid w:val="00035BA7"/>
    <w:rsid w:val="00035CDC"/>
    <w:rsid w:val="00035F16"/>
    <w:rsid w:val="0003608A"/>
    <w:rsid w:val="00036095"/>
    <w:rsid w:val="000360F1"/>
    <w:rsid w:val="00036285"/>
    <w:rsid w:val="000362A2"/>
    <w:rsid w:val="00036449"/>
    <w:rsid w:val="00036B7D"/>
    <w:rsid w:val="00036C25"/>
    <w:rsid w:val="0003705A"/>
    <w:rsid w:val="000371B2"/>
    <w:rsid w:val="00037976"/>
    <w:rsid w:val="00037A18"/>
    <w:rsid w:val="00037BAD"/>
    <w:rsid w:val="00037C16"/>
    <w:rsid w:val="000404B7"/>
    <w:rsid w:val="000405AD"/>
    <w:rsid w:val="000405D5"/>
    <w:rsid w:val="0004065B"/>
    <w:rsid w:val="00040807"/>
    <w:rsid w:val="00040832"/>
    <w:rsid w:val="000409B1"/>
    <w:rsid w:val="00040E28"/>
    <w:rsid w:val="00040E3B"/>
    <w:rsid w:val="000417FC"/>
    <w:rsid w:val="00041C69"/>
    <w:rsid w:val="00041E00"/>
    <w:rsid w:val="00041FCF"/>
    <w:rsid w:val="0004202A"/>
    <w:rsid w:val="000428C6"/>
    <w:rsid w:val="00042A07"/>
    <w:rsid w:val="00042A36"/>
    <w:rsid w:val="00042AF9"/>
    <w:rsid w:val="00042B1F"/>
    <w:rsid w:val="00042FBA"/>
    <w:rsid w:val="0004302A"/>
    <w:rsid w:val="000430E8"/>
    <w:rsid w:val="00043785"/>
    <w:rsid w:val="00044822"/>
    <w:rsid w:val="000448EA"/>
    <w:rsid w:val="0004496F"/>
    <w:rsid w:val="00045009"/>
    <w:rsid w:val="0004514D"/>
    <w:rsid w:val="0004545F"/>
    <w:rsid w:val="0004558D"/>
    <w:rsid w:val="00045736"/>
    <w:rsid w:val="00045762"/>
    <w:rsid w:val="00045CEA"/>
    <w:rsid w:val="00045ED7"/>
    <w:rsid w:val="00046218"/>
    <w:rsid w:val="00046402"/>
    <w:rsid w:val="0004660C"/>
    <w:rsid w:val="0004665B"/>
    <w:rsid w:val="00046907"/>
    <w:rsid w:val="00046C55"/>
    <w:rsid w:val="00046D06"/>
    <w:rsid w:val="00046F4B"/>
    <w:rsid w:val="00047579"/>
    <w:rsid w:val="0004774A"/>
    <w:rsid w:val="00047819"/>
    <w:rsid w:val="00047C2D"/>
    <w:rsid w:val="00047C63"/>
    <w:rsid w:val="000502C3"/>
    <w:rsid w:val="000502D2"/>
    <w:rsid w:val="00050576"/>
    <w:rsid w:val="000507E1"/>
    <w:rsid w:val="000509A8"/>
    <w:rsid w:val="00050BB7"/>
    <w:rsid w:val="000513B1"/>
    <w:rsid w:val="00051401"/>
    <w:rsid w:val="00051554"/>
    <w:rsid w:val="000518ED"/>
    <w:rsid w:val="00051AAE"/>
    <w:rsid w:val="00051E30"/>
    <w:rsid w:val="000526B7"/>
    <w:rsid w:val="00052726"/>
    <w:rsid w:val="00052821"/>
    <w:rsid w:val="00052BC6"/>
    <w:rsid w:val="00052C4E"/>
    <w:rsid w:val="000531FE"/>
    <w:rsid w:val="00053349"/>
    <w:rsid w:val="0005347A"/>
    <w:rsid w:val="0005399B"/>
    <w:rsid w:val="000540F1"/>
    <w:rsid w:val="0005419D"/>
    <w:rsid w:val="0005459C"/>
    <w:rsid w:val="000545BF"/>
    <w:rsid w:val="000546CB"/>
    <w:rsid w:val="00054FA6"/>
    <w:rsid w:val="00055596"/>
    <w:rsid w:val="000558FF"/>
    <w:rsid w:val="00055B6C"/>
    <w:rsid w:val="00055FD7"/>
    <w:rsid w:val="000565A1"/>
    <w:rsid w:val="000566D6"/>
    <w:rsid w:val="000568BA"/>
    <w:rsid w:val="00056BCC"/>
    <w:rsid w:val="00056CBF"/>
    <w:rsid w:val="000571E4"/>
    <w:rsid w:val="000574B4"/>
    <w:rsid w:val="00057549"/>
    <w:rsid w:val="00057898"/>
    <w:rsid w:val="00057948"/>
    <w:rsid w:val="00057A94"/>
    <w:rsid w:val="00057ADC"/>
    <w:rsid w:val="000603C6"/>
    <w:rsid w:val="000604AA"/>
    <w:rsid w:val="000607CC"/>
    <w:rsid w:val="00060964"/>
    <w:rsid w:val="00060C94"/>
    <w:rsid w:val="00060DE4"/>
    <w:rsid w:val="00061040"/>
    <w:rsid w:val="000612EF"/>
    <w:rsid w:val="0006165B"/>
    <w:rsid w:val="000617B7"/>
    <w:rsid w:val="000618E0"/>
    <w:rsid w:val="00061930"/>
    <w:rsid w:val="00061AEC"/>
    <w:rsid w:val="00061F5B"/>
    <w:rsid w:val="00061FCF"/>
    <w:rsid w:val="00062337"/>
    <w:rsid w:val="00062A58"/>
    <w:rsid w:val="00062D0F"/>
    <w:rsid w:val="00062E99"/>
    <w:rsid w:val="00063114"/>
    <w:rsid w:val="00063AED"/>
    <w:rsid w:val="00063D3D"/>
    <w:rsid w:val="000640BC"/>
    <w:rsid w:val="00064198"/>
    <w:rsid w:val="0006424F"/>
    <w:rsid w:val="00064269"/>
    <w:rsid w:val="0006446E"/>
    <w:rsid w:val="0006459B"/>
    <w:rsid w:val="00064B66"/>
    <w:rsid w:val="00064B9D"/>
    <w:rsid w:val="00064E16"/>
    <w:rsid w:val="00065387"/>
    <w:rsid w:val="00065638"/>
    <w:rsid w:val="00065725"/>
    <w:rsid w:val="00066305"/>
    <w:rsid w:val="000664AE"/>
    <w:rsid w:val="000668C0"/>
    <w:rsid w:val="00066A1D"/>
    <w:rsid w:val="00066B1B"/>
    <w:rsid w:val="00066BE2"/>
    <w:rsid w:val="00066D49"/>
    <w:rsid w:val="0006709D"/>
    <w:rsid w:val="0006735F"/>
    <w:rsid w:val="000673C5"/>
    <w:rsid w:val="00067592"/>
    <w:rsid w:val="00067A9E"/>
    <w:rsid w:val="00067C65"/>
    <w:rsid w:val="000700FB"/>
    <w:rsid w:val="00070C25"/>
    <w:rsid w:val="00070C5D"/>
    <w:rsid w:val="00070CCC"/>
    <w:rsid w:val="00070D1C"/>
    <w:rsid w:val="00071143"/>
    <w:rsid w:val="0007120F"/>
    <w:rsid w:val="000717C2"/>
    <w:rsid w:val="00071FAF"/>
    <w:rsid w:val="00072131"/>
    <w:rsid w:val="00072167"/>
    <w:rsid w:val="00072475"/>
    <w:rsid w:val="0007268D"/>
    <w:rsid w:val="00073282"/>
    <w:rsid w:val="00073695"/>
    <w:rsid w:val="000738BC"/>
    <w:rsid w:val="00073E80"/>
    <w:rsid w:val="0007426E"/>
    <w:rsid w:val="0007472F"/>
    <w:rsid w:val="000751A2"/>
    <w:rsid w:val="0007535F"/>
    <w:rsid w:val="000753FE"/>
    <w:rsid w:val="0007544E"/>
    <w:rsid w:val="00075AA3"/>
    <w:rsid w:val="00075CB7"/>
    <w:rsid w:val="00075D59"/>
    <w:rsid w:val="00076459"/>
    <w:rsid w:val="00076A4A"/>
    <w:rsid w:val="00077037"/>
    <w:rsid w:val="000772BA"/>
    <w:rsid w:val="0007734F"/>
    <w:rsid w:val="0007765F"/>
    <w:rsid w:val="000779C9"/>
    <w:rsid w:val="00077D7E"/>
    <w:rsid w:val="00080078"/>
    <w:rsid w:val="000809E3"/>
    <w:rsid w:val="00080A13"/>
    <w:rsid w:val="00080BF3"/>
    <w:rsid w:val="00080E52"/>
    <w:rsid w:val="00081385"/>
    <w:rsid w:val="0008169A"/>
    <w:rsid w:val="000826CF"/>
    <w:rsid w:val="0008272B"/>
    <w:rsid w:val="00082DBB"/>
    <w:rsid w:val="00082F78"/>
    <w:rsid w:val="0008348E"/>
    <w:rsid w:val="00083924"/>
    <w:rsid w:val="00083AC1"/>
    <w:rsid w:val="00083B7D"/>
    <w:rsid w:val="00083F3A"/>
    <w:rsid w:val="00084027"/>
    <w:rsid w:val="000844AF"/>
    <w:rsid w:val="0008457F"/>
    <w:rsid w:val="000848EE"/>
    <w:rsid w:val="00084DB4"/>
    <w:rsid w:val="00084E6B"/>
    <w:rsid w:val="000850E3"/>
    <w:rsid w:val="00085388"/>
    <w:rsid w:val="000856A7"/>
    <w:rsid w:val="00085DCF"/>
    <w:rsid w:val="00086085"/>
    <w:rsid w:val="000860BB"/>
    <w:rsid w:val="000866EE"/>
    <w:rsid w:val="00086F22"/>
    <w:rsid w:val="00086FDE"/>
    <w:rsid w:val="000873D0"/>
    <w:rsid w:val="000876E5"/>
    <w:rsid w:val="0008774E"/>
    <w:rsid w:val="00087860"/>
    <w:rsid w:val="00087BEA"/>
    <w:rsid w:val="00087DA6"/>
    <w:rsid w:val="00087E50"/>
    <w:rsid w:val="00090795"/>
    <w:rsid w:val="00090B68"/>
    <w:rsid w:val="00090B78"/>
    <w:rsid w:val="00091096"/>
    <w:rsid w:val="00091338"/>
    <w:rsid w:val="000913E7"/>
    <w:rsid w:val="0009149D"/>
    <w:rsid w:val="00091792"/>
    <w:rsid w:val="00091DC8"/>
    <w:rsid w:val="000921F1"/>
    <w:rsid w:val="00092254"/>
    <w:rsid w:val="00092276"/>
    <w:rsid w:val="0009235F"/>
    <w:rsid w:val="000925E5"/>
    <w:rsid w:val="0009266F"/>
    <w:rsid w:val="000926B4"/>
    <w:rsid w:val="00092A53"/>
    <w:rsid w:val="00092B25"/>
    <w:rsid w:val="00092B96"/>
    <w:rsid w:val="00092CFE"/>
    <w:rsid w:val="00092DC9"/>
    <w:rsid w:val="00092F48"/>
    <w:rsid w:val="00093181"/>
    <w:rsid w:val="000937E4"/>
    <w:rsid w:val="0009383F"/>
    <w:rsid w:val="00093E5D"/>
    <w:rsid w:val="0009404D"/>
    <w:rsid w:val="000949C9"/>
    <w:rsid w:val="00094C7D"/>
    <w:rsid w:val="00094D34"/>
    <w:rsid w:val="00095070"/>
    <w:rsid w:val="000953D8"/>
    <w:rsid w:val="00095650"/>
    <w:rsid w:val="00095AA1"/>
    <w:rsid w:val="00095BAC"/>
    <w:rsid w:val="00095C5D"/>
    <w:rsid w:val="00095CB3"/>
    <w:rsid w:val="00095D68"/>
    <w:rsid w:val="000961DF"/>
    <w:rsid w:val="0009655B"/>
    <w:rsid w:val="000969E3"/>
    <w:rsid w:val="00096D10"/>
    <w:rsid w:val="00096EDC"/>
    <w:rsid w:val="00096F1A"/>
    <w:rsid w:val="00096F7A"/>
    <w:rsid w:val="000975BF"/>
    <w:rsid w:val="000977A4"/>
    <w:rsid w:val="00097F10"/>
    <w:rsid w:val="00097FB3"/>
    <w:rsid w:val="000A0354"/>
    <w:rsid w:val="000A04D8"/>
    <w:rsid w:val="000A04E1"/>
    <w:rsid w:val="000A06F5"/>
    <w:rsid w:val="000A0BE8"/>
    <w:rsid w:val="000A0FDE"/>
    <w:rsid w:val="000A10EE"/>
    <w:rsid w:val="000A1199"/>
    <w:rsid w:val="000A126F"/>
    <w:rsid w:val="000A12C5"/>
    <w:rsid w:val="000A15BA"/>
    <w:rsid w:val="000A1A0F"/>
    <w:rsid w:val="000A2260"/>
    <w:rsid w:val="000A23ED"/>
    <w:rsid w:val="000A273B"/>
    <w:rsid w:val="000A29E2"/>
    <w:rsid w:val="000A2E5E"/>
    <w:rsid w:val="000A2FBB"/>
    <w:rsid w:val="000A38A4"/>
    <w:rsid w:val="000A3973"/>
    <w:rsid w:val="000A3D20"/>
    <w:rsid w:val="000A3D88"/>
    <w:rsid w:val="000A3FEB"/>
    <w:rsid w:val="000A4886"/>
    <w:rsid w:val="000A4948"/>
    <w:rsid w:val="000A4A97"/>
    <w:rsid w:val="000A4BAE"/>
    <w:rsid w:val="000A4CE0"/>
    <w:rsid w:val="000A5167"/>
    <w:rsid w:val="000A5281"/>
    <w:rsid w:val="000A5385"/>
    <w:rsid w:val="000A62C9"/>
    <w:rsid w:val="000A6348"/>
    <w:rsid w:val="000A6572"/>
    <w:rsid w:val="000A66AC"/>
    <w:rsid w:val="000A67CF"/>
    <w:rsid w:val="000A6837"/>
    <w:rsid w:val="000A701E"/>
    <w:rsid w:val="000A70BE"/>
    <w:rsid w:val="000A750D"/>
    <w:rsid w:val="000A7B84"/>
    <w:rsid w:val="000A7E9E"/>
    <w:rsid w:val="000A7EFC"/>
    <w:rsid w:val="000B0115"/>
    <w:rsid w:val="000B0170"/>
    <w:rsid w:val="000B0454"/>
    <w:rsid w:val="000B09C8"/>
    <w:rsid w:val="000B0A9D"/>
    <w:rsid w:val="000B0AFD"/>
    <w:rsid w:val="000B10E6"/>
    <w:rsid w:val="000B12DA"/>
    <w:rsid w:val="000B176B"/>
    <w:rsid w:val="000B1BA7"/>
    <w:rsid w:val="000B1D08"/>
    <w:rsid w:val="000B284D"/>
    <w:rsid w:val="000B2B9F"/>
    <w:rsid w:val="000B2EB2"/>
    <w:rsid w:val="000B2F76"/>
    <w:rsid w:val="000B3B22"/>
    <w:rsid w:val="000B3C91"/>
    <w:rsid w:val="000B3D31"/>
    <w:rsid w:val="000B3F35"/>
    <w:rsid w:val="000B407A"/>
    <w:rsid w:val="000B4589"/>
    <w:rsid w:val="000B4E47"/>
    <w:rsid w:val="000B5252"/>
    <w:rsid w:val="000B56AE"/>
    <w:rsid w:val="000B5827"/>
    <w:rsid w:val="000B5A85"/>
    <w:rsid w:val="000B5EBA"/>
    <w:rsid w:val="000B5F8F"/>
    <w:rsid w:val="000B63EB"/>
    <w:rsid w:val="000B674A"/>
    <w:rsid w:val="000B697B"/>
    <w:rsid w:val="000B755C"/>
    <w:rsid w:val="000B78C2"/>
    <w:rsid w:val="000B7930"/>
    <w:rsid w:val="000B7965"/>
    <w:rsid w:val="000B79B3"/>
    <w:rsid w:val="000B7C21"/>
    <w:rsid w:val="000B7DDB"/>
    <w:rsid w:val="000C0082"/>
    <w:rsid w:val="000C010D"/>
    <w:rsid w:val="000C01A8"/>
    <w:rsid w:val="000C0600"/>
    <w:rsid w:val="000C0757"/>
    <w:rsid w:val="000C0766"/>
    <w:rsid w:val="000C156B"/>
    <w:rsid w:val="000C18F8"/>
    <w:rsid w:val="000C1C7E"/>
    <w:rsid w:val="000C1CCE"/>
    <w:rsid w:val="000C206C"/>
    <w:rsid w:val="000C22E7"/>
    <w:rsid w:val="000C2B00"/>
    <w:rsid w:val="000C2D98"/>
    <w:rsid w:val="000C342D"/>
    <w:rsid w:val="000C3495"/>
    <w:rsid w:val="000C3870"/>
    <w:rsid w:val="000C38E7"/>
    <w:rsid w:val="000C3AB4"/>
    <w:rsid w:val="000C3D5C"/>
    <w:rsid w:val="000C426C"/>
    <w:rsid w:val="000C4296"/>
    <w:rsid w:val="000C4324"/>
    <w:rsid w:val="000C4603"/>
    <w:rsid w:val="000C5084"/>
    <w:rsid w:val="000C50E9"/>
    <w:rsid w:val="000C5126"/>
    <w:rsid w:val="000C5593"/>
    <w:rsid w:val="000C56A3"/>
    <w:rsid w:val="000C577B"/>
    <w:rsid w:val="000C57EB"/>
    <w:rsid w:val="000C5C2A"/>
    <w:rsid w:val="000C5F71"/>
    <w:rsid w:val="000C6318"/>
    <w:rsid w:val="000C647B"/>
    <w:rsid w:val="000C6A48"/>
    <w:rsid w:val="000C6CEA"/>
    <w:rsid w:val="000C6D24"/>
    <w:rsid w:val="000C6D97"/>
    <w:rsid w:val="000C7684"/>
    <w:rsid w:val="000C7999"/>
    <w:rsid w:val="000C7C69"/>
    <w:rsid w:val="000D0591"/>
    <w:rsid w:val="000D0722"/>
    <w:rsid w:val="000D08F0"/>
    <w:rsid w:val="000D091B"/>
    <w:rsid w:val="000D0CFB"/>
    <w:rsid w:val="000D14B2"/>
    <w:rsid w:val="000D169A"/>
    <w:rsid w:val="000D1D29"/>
    <w:rsid w:val="000D2373"/>
    <w:rsid w:val="000D2C2C"/>
    <w:rsid w:val="000D30B7"/>
    <w:rsid w:val="000D329F"/>
    <w:rsid w:val="000D380C"/>
    <w:rsid w:val="000D389B"/>
    <w:rsid w:val="000D3AC3"/>
    <w:rsid w:val="000D3C6E"/>
    <w:rsid w:val="000D3E2E"/>
    <w:rsid w:val="000D3FFE"/>
    <w:rsid w:val="000D4240"/>
    <w:rsid w:val="000D4810"/>
    <w:rsid w:val="000D49B7"/>
    <w:rsid w:val="000D5534"/>
    <w:rsid w:val="000D5C66"/>
    <w:rsid w:val="000D602C"/>
    <w:rsid w:val="000D609E"/>
    <w:rsid w:val="000D669E"/>
    <w:rsid w:val="000D681E"/>
    <w:rsid w:val="000D69CE"/>
    <w:rsid w:val="000D6A15"/>
    <w:rsid w:val="000D6BFB"/>
    <w:rsid w:val="000D6CA6"/>
    <w:rsid w:val="000D6CFB"/>
    <w:rsid w:val="000D6F9F"/>
    <w:rsid w:val="000D70D6"/>
    <w:rsid w:val="000D75FA"/>
    <w:rsid w:val="000D7828"/>
    <w:rsid w:val="000D79B6"/>
    <w:rsid w:val="000D7B0F"/>
    <w:rsid w:val="000E05CB"/>
    <w:rsid w:val="000E07BD"/>
    <w:rsid w:val="000E07D2"/>
    <w:rsid w:val="000E19EE"/>
    <w:rsid w:val="000E1BFF"/>
    <w:rsid w:val="000E1D69"/>
    <w:rsid w:val="000E2446"/>
    <w:rsid w:val="000E286D"/>
    <w:rsid w:val="000E2D6A"/>
    <w:rsid w:val="000E2F6A"/>
    <w:rsid w:val="000E2F87"/>
    <w:rsid w:val="000E334B"/>
    <w:rsid w:val="000E3650"/>
    <w:rsid w:val="000E3E6B"/>
    <w:rsid w:val="000E44DC"/>
    <w:rsid w:val="000E4FC6"/>
    <w:rsid w:val="000E5480"/>
    <w:rsid w:val="000E5481"/>
    <w:rsid w:val="000E54C1"/>
    <w:rsid w:val="000E5904"/>
    <w:rsid w:val="000E59E4"/>
    <w:rsid w:val="000E5D5B"/>
    <w:rsid w:val="000E5D74"/>
    <w:rsid w:val="000E6247"/>
    <w:rsid w:val="000E6280"/>
    <w:rsid w:val="000E64BC"/>
    <w:rsid w:val="000E6500"/>
    <w:rsid w:val="000E6B34"/>
    <w:rsid w:val="000E6B9F"/>
    <w:rsid w:val="000E6E10"/>
    <w:rsid w:val="000E6F32"/>
    <w:rsid w:val="000E7079"/>
    <w:rsid w:val="000E7610"/>
    <w:rsid w:val="000E7760"/>
    <w:rsid w:val="000E78EE"/>
    <w:rsid w:val="000E7BC3"/>
    <w:rsid w:val="000E7C07"/>
    <w:rsid w:val="000E7CF5"/>
    <w:rsid w:val="000F0115"/>
    <w:rsid w:val="000F05B1"/>
    <w:rsid w:val="000F0DE8"/>
    <w:rsid w:val="000F12D4"/>
    <w:rsid w:val="000F217B"/>
    <w:rsid w:val="000F2235"/>
    <w:rsid w:val="000F2292"/>
    <w:rsid w:val="000F2646"/>
    <w:rsid w:val="000F29F3"/>
    <w:rsid w:val="000F2E95"/>
    <w:rsid w:val="000F339C"/>
    <w:rsid w:val="000F37DC"/>
    <w:rsid w:val="000F404E"/>
    <w:rsid w:val="000F40B6"/>
    <w:rsid w:val="000F4421"/>
    <w:rsid w:val="000F4B1D"/>
    <w:rsid w:val="000F4CFE"/>
    <w:rsid w:val="000F5236"/>
    <w:rsid w:val="000F54F2"/>
    <w:rsid w:val="000F57D8"/>
    <w:rsid w:val="000F5C7E"/>
    <w:rsid w:val="000F5E1B"/>
    <w:rsid w:val="000F62D6"/>
    <w:rsid w:val="000F697A"/>
    <w:rsid w:val="000F6B02"/>
    <w:rsid w:val="000F6DC4"/>
    <w:rsid w:val="000F6EEA"/>
    <w:rsid w:val="000F7202"/>
    <w:rsid w:val="000F734F"/>
    <w:rsid w:val="000F73EC"/>
    <w:rsid w:val="000F7A21"/>
    <w:rsid w:val="00100276"/>
    <w:rsid w:val="00100447"/>
    <w:rsid w:val="00100529"/>
    <w:rsid w:val="00100549"/>
    <w:rsid w:val="001005F3"/>
    <w:rsid w:val="00100655"/>
    <w:rsid w:val="00100767"/>
    <w:rsid w:val="00100949"/>
    <w:rsid w:val="00100D77"/>
    <w:rsid w:val="00101169"/>
    <w:rsid w:val="001012DA"/>
    <w:rsid w:val="001014F6"/>
    <w:rsid w:val="001016A5"/>
    <w:rsid w:val="0010177C"/>
    <w:rsid w:val="001017A2"/>
    <w:rsid w:val="00101C38"/>
    <w:rsid w:val="00101C69"/>
    <w:rsid w:val="00101CFA"/>
    <w:rsid w:val="00101EEF"/>
    <w:rsid w:val="0010213C"/>
    <w:rsid w:val="00102607"/>
    <w:rsid w:val="00102700"/>
    <w:rsid w:val="0010275E"/>
    <w:rsid w:val="00102A03"/>
    <w:rsid w:val="00102E3E"/>
    <w:rsid w:val="0010333F"/>
    <w:rsid w:val="0010335E"/>
    <w:rsid w:val="00103E20"/>
    <w:rsid w:val="0010440F"/>
    <w:rsid w:val="00104940"/>
    <w:rsid w:val="001051D0"/>
    <w:rsid w:val="001055DF"/>
    <w:rsid w:val="0010595A"/>
    <w:rsid w:val="00105D66"/>
    <w:rsid w:val="00105DF5"/>
    <w:rsid w:val="00105E53"/>
    <w:rsid w:val="001061A4"/>
    <w:rsid w:val="00106476"/>
    <w:rsid w:val="00106B04"/>
    <w:rsid w:val="00107232"/>
    <w:rsid w:val="0010751B"/>
    <w:rsid w:val="00107CEB"/>
    <w:rsid w:val="00107EFE"/>
    <w:rsid w:val="0011003A"/>
    <w:rsid w:val="00110B97"/>
    <w:rsid w:val="00111380"/>
    <w:rsid w:val="001116E3"/>
    <w:rsid w:val="00111B5F"/>
    <w:rsid w:val="00111DDA"/>
    <w:rsid w:val="001120F2"/>
    <w:rsid w:val="00112590"/>
    <w:rsid w:val="00112979"/>
    <w:rsid w:val="00112C24"/>
    <w:rsid w:val="001131F9"/>
    <w:rsid w:val="00113274"/>
    <w:rsid w:val="001132DE"/>
    <w:rsid w:val="001137FD"/>
    <w:rsid w:val="00113ABA"/>
    <w:rsid w:val="00113B6A"/>
    <w:rsid w:val="00113E2C"/>
    <w:rsid w:val="0011459B"/>
    <w:rsid w:val="00114950"/>
    <w:rsid w:val="001149DC"/>
    <w:rsid w:val="00114FA8"/>
    <w:rsid w:val="0011500D"/>
    <w:rsid w:val="001150D4"/>
    <w:rsid w:val="00115264"/>
    <w:rsid w:val="0011539C"/>
    <w:rsid w:val="0011594A"/>
    <w:rsid w:val="00115A2A"/>
    <w:rsid w:val="00116118"/>
    <w:rsid w:val="0011624B"/>
    <w:rsid w:val="00116B25"/>
    <w:rsid w:val="00117596"/>
    <w:rsid w:val="0011791A"/>
    <w:rsid w:val="00117986"/>
    <w:rsid w:val="001200B8"/>
    <w:rsid w:val="001201D3"/>
    <w:rsid w:val="001202D6"/>
    <w:rsid w:val="001205E0"/>
    <w:rsid w:val="00120B78"/>
    <w:rsid w:val="00120C4C"/>
    <w:rsid w:val="00120C66"/>
    <w:rsid w:val="00120CFF"/>
    <w:rsid w:val="00121110"/>
    <w:rsid w:val="00121161"/>
    <w:rsid w:val="00121179"/>
    <w:rsid w:val="0012140C"/>
    <w:rsid w:val="00121AA6"/>
    <w:rsid w:val="00121ACC"/>
    <w:rsid w:val="00121ADB"/>
    <w:rsid w:val="00121C95"/>
    <w:rsid w:val="00121EB7"/>
    <w:rsid w:val="001220FF"/>
    <w:rsid w:val="00122108"/>
    <w:rsid w:val="001221A1"/>
    <w:rsid w:val="0012237C"/>
    <w:rsid w:val="00122549"/>
    <w:rsid w:val="001228C1"/>
    <w:rsid w:val="00122C0A"/>
    <w:rsid w:val="00122C59"/>
    <w:rsid w:val="00122EF8"/>
    <w:rsid w:val="001231A9"/>
    <w:rsid w:val="0012324C"/>
    <w:rsid w:val="001233F2"/>
    <w:rsid w:val="00123425"/>
    <w:rsid w:val="0012357E"/>
    <w:rsid w:val="001235FC"/>
    <w:rsid w:val="00123629"/>
    <w:rsid w:val="00123B55"/>
    <w:rsid w:val="00123D20"/>
    <w:rsid w:val="00123ED4"/>
    <w:rsid w:val="00124A3D"/>
    <w:rsid w:val="00124B88"/>
    <w:rsid w:val="00124F98"/>
    <w:rsid w:val="001255DD"/>
    <w:rsid w:val="001257A2"/>
    <w:rsid w:val="0012595E"/>
    <w:rsid w:val="0012630F"/>
    <w:rsid w:val="001266F5"/>
    <w:rsid w:val="00126AF8"/>
    <w:rsid w:val="001272CA"/>
    <w:rsid w:val="0012752C"/>
    <w:rsid w:val="001275DD"/>
    <w:rsid w:val="00127783"/>
    <w:rsid w:val="00127DFF"/>
    <w:rsid w:val="00131240"/>
    <w:rsid w:val="00131485"/>
    <w:rsid w:val="00131503"/>
    <w:rsid w:val="00131F07"/>
    <w:rsid w:val="00132178"/>
    <w:rsid w:val="001322C8"/>
    <w:rsid w:val="0013234C"/>
    <w:rsid w:val="00132576"/>
    <w:rsid w:val="00132628"/>
    <w:rsid w:val="00132A2B"/>
    <w:rsid w:val="00132A9A"/>
    <w:rsid w:val="00132F6A"/>
    <w:rsid w:val="00133454"/>
    <w:rsid w:val="00133B5F"/>
    <w:rsid w:val="00133C6C"/>
    <w:rsid w:val="00133C70"/>
    <w:rsid w:val="00134050"/>
    <w:rsid w:val="0013459E"/>
    <w:rsid w:val="00134DFF"/>
    <w:rsid w:val="00135665"/>
    <w:rsid w:val="00135C07"/>
    <w:rsid w:val="00135D5B"/>
    <w:rsid w:val="00136080"/>
    <w:rsid w:val="00136649"/>
    <w:rsid w:val="0013678B"/>
    <w:rsid w:val="00136C64"/>
    <w:rsid w:val="0013758B"/>
    <w:rsid w:val="00137BAE"/>
    <w:rsid w:val="00137C68"/>
    <w:rsid w:val="001403D9"/>
    <w:rsid w:val="0014066B"/>
    <w:rsid w:val="00140686"/>
    <w:rsid w:val="00140843"/>
    <w:rsid w:val="00140AE8"/>
    <w:rsid w:val="00140BE5"/>
    <w:rsid w:val="00141167"/>
    <w:rsid w:val="00141237"/>
    <w:rsid w:val="0014133A"/>
    <w:rsid w:val="00141448"/>
    <w:rsid w:val="001414E9"/>
    <w:rsid w:val="001416EA"/>
    <w:rsid w:val="00141896"/>
    <w:rsid w:val="00141AB2"/>
    <w:rsid w:val="00141E2B"/>
    <w:rsid w:val="00142675"/>
    <w:rsid w:val="00142837"/>
    <w:rsid w:val="00142B16"/>
    <w:rsid w:val="00142CC6"/>
    <w:rsid w:val="00142D18"/>
    <w:rsid w:val="00143160"/>
    <w:rsid w:val="001431F4"/>
    <w:rsid w:val="0014338C"/>
    <w:rsid w:val="0014357E"/>
    <w:rsid w:val="00143C19"/>
    <w:rsid w:val="00144335"/>
    <w:rsid w:val="00144CDF"/>
    <w:rsid w:val="00144F94"/>
    <w:rsid w:val="0014520D"/>
    <w:rsid w:val="0014560E"/>
    <w:rsid w:val="00145AD0"/>
    <w:rsid w:val="00145EEC"/>
    <w:rsid w:val="001467B6"/>
    <w:rsid w:val="00147059"/>
    <w:rsid w:val="0014754D"/>
    <w:rsid w:val="001475F1"/>
    <w:rsid w:val="00147B9F"/>
    <w:rsid w:val="0015006E"/>
    <w:rsid w:val="00150254"/>
    <w:rsid w:val="00150930"/>
    <w:rsid w:val="00150D5C"/>
    <w:rsid w:val="00150E0F"/>
    <w:rsid w:val="00151156"/>
    <w:rsid w:val="00151384"/>
    <w:rsid w:val="00151456"/>
    <w:rsid w:val="00151554"/>
    <w:rsid w:val="00151977"/>
    <w:rsid w:val="00151982"/>
    <w:rsid w:val="00151D93"/>
    <w:rsid w:val="0015205A"/>
    <w:rsid w:val="00152357"/>
    <w:rsid w:val="001525AE"/>
    <w:rsid w:val="00152A88"/>
    <w:rsid w:val="00152B83"/>
    <w:rsid w:val="00152E7B"/>
    <w:rsid w:val="001530DF"/>
    <w:rsid w:val="001530EE"/>
    <w:rsid w:val="00153251"/>
    <w:rsid w:val="0015352F"/>
    <w:rsid w:val="001535D0"/>
    <w:rsid w:val="001536FA"/>
    <w:rsid w:val="001537A7"/>
    <w:rsid w:val="001537BB"/>
    <w:rsid w:val="001537F5"/>
    <w:rsid w:val="0015382B"/>
    <w:rsid w:val="00153A27"/>
    <w:rsid w:val="00153AA4"/>
    <w:rsid w:val="00153CC7"/>
    <w:rsid w:val="00154095"/>
    <w:rsid w:val="00154561"/>
    <w:rsid w:val="001545B8"/>
    <w:rsid w:val="00154CBC"/>
    <w:rsid w:val="00155120"/>
    <w:rsid w:val="00155471"/>
    <w:rsid w:val="001556AE"/>
    <w:rsid w:val="00155827"/>
    <w:rsid w:val="00155BBE"/>
    <w:rsid w:val="00155CB2"/>
    <w:rsid w:val="00155D22"/>
    <w:rsid w:val="00155F6F"/>
    <w:rsid w:val="00156247"/>
    <w:rsid w:val="00156636"/>
    <w:rsid w:val="0015667D"/>
    <w:rsid w:val="00156726"/>
    <w:rsid w:val="00156A38"/>
    <w:rsid w:val="00156AFA"/>
    <w:rsid w:val="00156D0A"/>
    <w:rsid w:val="00157ABC"/>
    <w:rsid w:val="00157C1B"/>
    <w:rsid w:val="00157C43"/>
    <w:rsid w:val="001604D4"/>
    <w:rsid w:val="0016073F"/>
    <w:rsid w:val="001609BE"/>
    <w:rsid w:val="00160BC7"/>
    <w:rsid w:val="00160D7B"/>
    <w:rsid w:val="00161065"/>
    <w:rsid w:val="00161069"/>
    <w:rsid w:val="001610FE"/>
    <w:rsid w:val="00161247"/>
    <w:rsid w:val="001615A5"/>
    <w:rsid w:val="0016162F"/>
    <w:rsid w:val="001626B3"/>
    <w:rsid w:val="00162AEE"/>
    <w:rsid w:val="00162B31"/>
    <w:rsid w:val="001631B2"/>
    <w:rsid w:val="001631DF"/>
    <w:rsid w:val="0016334F"/>
    <w:rsid w:val="00163C35"/>
    <w:rsid w:val="00164B44"/>
    <w:rsid w:val="00164C0F"/>
    <w:rsid w:val="001650CB"/>
    <w:rsid w:val="00165119"/>
    <w:rsid w:val="0016517C"/>
    <w:rsid w:val="00165C19"/>
    <w:rsid w:val="00165FF7"/>
    <w:rsid w:val="0016671A"/>
    <w:rsid w:val="0016677C"/>
    <w:rsid w:val="00166B86"/>
    <w:rsid w:val="00166C27"/>
    <w:rsid w:val="00166ECE"/>
    <w:rsid w:val="00167101"/>
    <w:rsid w:val="001676C5"/>
    <w:rsid w:val="00167B8B"/>
    <w:rsid w:val="00167CC5"/>
    <w:rsid w:val="00170060"/>
    <w:rsid w:val="00170556"/>
    <w:rsid w:val="001705B2"/>
    <w:rsid w:val="0017088C"/>
    <w:rsid w:val="00170A14"/>
    <w:rsid w:val="00170EEF"/>
    <w:rsid w:val="001710A2"/>
    <w:rsid w:val="001710D5"/>
    <w:rsid w:val="0017153D"/>
    <w:rsid w:val="0017175D"/>
    <w:rsid w:val="00171C51"/>
    <w:rsid w:val="00171D3D"/>
    <w:rsid w:val="001723A8"/>
    <w:rsid w:val="0017266E"/>
    <w:rsid w:val="0017270C"/>
    <w:rsid w:val="00172967"/>
    <w:rsid w:val="00172B07"/>
    <w:rsid w:val="00172C39"/>
    <w:rsid w:val="0017307E"/>
    <w:rsid w:val="001730E0"/>
    <w:rsid w:val="00173187"/>
    <w:rsid w:val="0017341A"/>
    <w:rsid w:val="001737EE"/>
    <w:rsid w:val="0017387F"/>
    <w:rsid w:val="00173A2B"/>
    <w:rsid w:val="00173A54"/>
    <w:rsid w:val="00173BDA"/>
    <w:rsid w:val="001740D6"/>
    <w:rsid w:val="00174155"/>
    <w:rsid w:val="001743E6"/>
    <w:rsid w:val="00174514"/>
    <w:rsid w:val="00174A86"/>
    <w:rsid w:val="00174AE3"/>
    <w:rsid w:val="00174BD8"/>
    <w:rsid w:val="00174E42"/>
    <w:rsid w:val="00174F0E"/>
    <w:rsid w:val="0017525B"/>
    <w:rsid w:val="0017553F"/>
    <w:rsid w:val="00175BAD"/>
    <w:rsid w:val="00175FCB"/>
    <w:rsid w:val="0017630B"/>
    <w:rsid w:val="0017641A"/>
    <w:rsid w:val="00176587"/>
    <w:rsid w:val="00176725"/>
    <w:rsid w:val="00176C67"/>
    <w:rsid w:val="00177110"/>
    <w:rsid w:val="00177419"/>
    <w:rsid w:val="00177470"/>
    <w:rsid w:val="001774BD"/>
    <w:rsid w:val="00177E10"/>
    <w:rsid w:val="00177E5C"/>
    <w:rsid w:val="001803E2"/>
    <w:rsid w:val="001809EC"/>
    <w:rsid w:val="00180D64"/>
    <w:rsid w:val="00180DD4"/>
    <w:rsid w:val="00180F86"/>
    <w:rsid w:val="001816DB"/>
    <w:rsid w:val="00181773"/>
    <w:rsid w:val="00181A5E"/>
    <w:rsid w:val="00181ECD"/>
    <w:rsid w:val="0018209A"/>
    <w:rsid w:val="00182103"/>
    <w:rsid w:val="0018258A"/>
    <w:rsid w:val="00182B9B"/>
    <w:rsid w:val="00182C38"/>
    <w:rsid w:val="00182D07"/>
    <w:rsid w:val="00183575"/>
    <w:rsid w:val="00183964"/>
    <w:rsid w:val="00183B36"/>
    <w:rsid w:val="00183B56"/>
    <w:rsid w:val="00184325"/>
    <w:rsid w:val="00184401"/>
    <w:rsid w:val="00184A1D"/>
    <w:rsid w:val="00184ABE"/>
    <w:rsid w:val="00184EA4"/>
    <w:rsid w:val="00185119"/>
    <w:rsid w:val="00185D0C"/>
    <w:rsid w:val="00185DBB"/>
    <w:rsid w:val="0018661D"/>
    <w:rsid w:val="0018665E"/>
    <w:rsid w:val="001866C8"/>
    <w:rsid w:val="00186E73"/>
    <w:rsid w:val="00187BDC"/>
    <w:rsid w:val="00187C2A"/>
    <w:rsid w:val="001902A0"/>
    <w:rsid w:val="00190420"/>
    <w:rsid w:val="00190939"/>
    <w:rsid w:val="00190AFA"/>
    <w:rsid w:val="00190BD2"/>
    <w:rsid w:val="00190BEC"/>
    <w:rsid w:val="00190D04"/>
    <w:rsid w:val="001911CF"/>
    <w:rsid w:val="001912FC"/>
    <w:rsid w:val="00191509"/>
    <w:rsid w:val="00191560"/>
    <w:rsid w:val="00191728"/>
    <w:rsid w:val="001917A7"/>
    <w:rsid w:val="00191920"/>
    <w:rsid w:val="00191AFE"/>
    <w:rsid w:val="00191BC6"/>
    <w:rsid w:val="00191CFE"/>
    <w:rsid w:val="00191FE7"/>
    <w:rsid w:val="00192A95"/>
    <w:rsid w:val="00192E38"/>
    <w:rsid w:val="00192F17"/>
    <w:rsid w:val="0019303F"/>
    <w:rsid w:val="00193128"/>
    <w:rsid w:val="001931A6"/>
    <w:rsid w:val="001931D9"/>
    <w:rsid w:val="00193544"/>
    <w:rsid w:val="00193561"/>
    <w:rsid w:val="001938AF"/>
    <w:rsid w:val="00193E97"/>
    <w:rsid w:val="001940AE"/>
    <w:rsid w:val="001941CC"/>
    <w:rsid w:val="00194509"/>
    <w:rsid w:val="001947FE"/>
    <w:rsid w:val="00194862"/>
    <w:rsid w:val="00194BD4"/>
    <w:rsid w:val="00194D2F"/>
    <w:rsid w:val="0019510C"/>
    <w:rsid w:val="001952FA"/>
    <w:rsid w:val="00195C16"/>
    <w:rsid w:val="00195D83"/>
    <w:rsid w:val="001964E3"/>
    <w:rsid w:val="001970AB"/>
    <w:rsid w:val="001971FE"/>
    <w:rsid w:val="001973DB"/>
    <w:rsid w:val="00197566"/>
    <w:rsid w:val="00197E75"/>
    <w:rsid w:val="001A009A"/>
    <w:rsid w:val="001A044F"/>
    <w:rsid w:val="001A049C"/>
    <w:rsid w:val="001A05C6"/>
    <w:rsid w:val="001A07EC"/>
    <w:rsid w:val="001A0AAD"/>
    <w:rsid w:val="001A0BF6"/>
    <w:rsid w:val="001A1374"/>
    <w:rsid w:val="001A151D"/>
    <w:rsid w:val="001A1559"/>
    <w:rsid w:val="001A16B3"/>
    <w:rsid w:val="001A19F4"/>
    <w:rsid w:val="001A1C71"/>
    <w:rsid w:val="001A1D10"/>
    <w:rsid w:val="001A21EF"/>
    <w:rsid w:val="001A234F"/>
    <w:rsid w:val="001A27D6"/>
    <w:rsid w:val="001A2901"/>
    <w:rsid w:val="001A2E7A"/>
    <w:rsid w:val="001A3140"/>
    <w:rsid w:val="001A3179"/>
    <w:rsid w:val="001A3E89"/>
    <w:rsid w:val="001A459B"/>
    <w:rsid w:val="001A49C2"/>
    <w:rsid w:val="001A4C83"/>
    <w:rsid w:val="001A4FD5"/>
    <w:rsid w:val="001A505C"/>
    <w:rsid w:val="001A535D"/>
    <w:rsid w:val="001A53C8"/>
    <w:rsid w:val="001A5555"/>
    <w:rsid w:val="001A5A46"/>
    <w:rsid w:val="001A5EAA"/>
    <w:rsid w:val="001A6891"/>
    <w:rsid w:val="001A6986"/>
    <w:rsid w:val="001A6C60"/>
    <w:rsid w:val="001A72BE"/>
    <w:rsid w:val="001A7C4F"/>
    <w:rsid w:val="001A7E50"/>
    <w:rsid w:val="001B0664"/>
    <w:rsid w:val="001B08E3"/>
    <w:rsid w:val="001B0B0C"/>
    <w:rsid w:val="001B0C97"/>
    <w:rsid w:val="001B0CCD"/>
    <w:rsid w:val="001B0F97"/>
    <w:rsid w:val="001B1422"/>
    <w:rsid w:val="001B15EC"/>
    <w:rsid w:val="001B1D2F"/>
    <w:rsid w:val="001B1F53"/>
    <w:rsid w:val="001B2013"/>
    <w:rsid w:val="001B2258"/>
    <w:rsid w:val="001B2AED"/>
    <w:rsid w:val="001B2C68"/>
    <w:rsid w:val="001B2CBA"/>
    <w:rsid w:val="001B3283"/>
    <w:rsid w:val="001B3ADD"/>
    <w:rsid w:val="001B3C0E"/>
    <w:rsid w:val="001B40D7"/>
    <w:rsid w:val="001B4207"/>
    <w:rsid w:val="001B42C7"/>
    <w:rsid w:val="001B4885"/>
    <w:rsid w:val="001B48FE"/>
    <w:rsid w:val="001B4B71"/>
    <w:rsid w:val="001B4DFE"/>
    <w:rsid w:val="001B51FE"/>
    <w:rsid w:val="001B52E9"/>
    <w:rsid w:val="001B5600"/>
    <w:rsid w:val="001B5B84"/>
    <w:rsid w:val="001B61AF"/>
    <w:rsid w:val="001B61D3"/>
    <w:rsid w:val="001B63FE"/>
    <w:rsid w:val="001B67CD"/>
    <w:rsid w:val="001B6BE9"/>
    <w:rsid w:val="001B6C56"/>
    <w:rsid w:val="001B6D4B"/>
    <w:rsid w:val="001B6D63"/>
    <w:rsid w:val="001B7165"/>
    <w:rsid w:val="001B7883"/>
    <w:rsid w:val="001B7A70"/>
    <w:rsid w:val="001C011A"/>
    <w:rsid w:val="001C0682"/>
    <w:rsid w:val="001C07B3"/>
    <w:rsid w:val="001C07FE"/>
    <w:rsid w:val="001C08ED"/>
    <w:rsid w:val="001C0D36"/>
    <w:rsid w:val="001C0F6A"/>
    <w:rsid w:val="001C11DB"/>
    <w:rsid w:val="001C1207"/>
    <w:rsid w:val="001C13FD"/>
    <w:rsid w:val="001C156E"/>
    <w:rsid w:val="001C1693"/>
    <w:rsid w:val="001C17DF"/>
    <w:rsid w:val="001C1A57"/>
    <w:rsid w:val="001C2F8E"/>
    <w:rsid w:val="001C317F"/>
    <w:rsid w:val="001C322D"/>
    <w:rsid w:val="001C3305"/>
    <w:rsid w:val="001C3461"/>
    <w:rsid w:val="001C3555"/>
    <w:rsid w:val="001C3823"/>
    <w:rsid w:val="001C39A0"/>
    <w:rsid w:val="001C40A4"/>
    <w:rsid w:val="001C4394"/>
    <w:rsid w:val="001C43BE"/>
    <w:rsid w:val="001C46B0"/>
    <w:rsid w:val="001C498F"/>
    <w:rsid w:val="001C50C2"/>
    <w:rsid w:val="001C59D2"/>
    <w:rsid w:val="001C5CF6"/>
    <w:rsid w:val="001C6432"/>
    <w:rsid w:val="001C651F"/>
    <w:rsid w:val="001C6B1F"/>
    <w:rsid w:val="001C6BDD"/>
    <w:rsid w:val="001C6D3A"/>
    <w:rsid w:val="001C6DF7"/>
    <w:rsid w:val="001C6E3F"/>
    <w:rsid w:val="001C6E63"/>
    <w:rsid w:val="001C6EC9"/>
    <w:rsid w:val="001C6FF1"/>
    <w:rsid w:val="001C73EE"/>
    <w:rsid w:val="001C756B"/>
    <w:rsid w:val="001C7911"/>
    <w:rsid w:val="001D005F"/>
    <w:rsid w:val="001D0217"/>
    <w:rsid w:val="001D0A65"/>
    <w:rsid w:val="001D105E"/>
    <w:rsid w:val="001D107A"/>
    <w:rsid w:val="001D11AD"/>
    <w:rsid w:val="001D1301"/>
    <w:rsid w:val="001D18C3"/>
    <w:rsid w:val="001D19BF"/>
    <w:rsid w:val="001D1C33"/>
    <w:rsid w:val="001D1E93"/>
    <w:rsid w:val="001D2967"/>
    <w:rsid w:val="001D2AE3"/>
    <w:rsid w:val="001D2CA9"/>
    <w:rsid w:val="001D2CDB"/>
    <w:rsid w:val="001D38DE"/>
    <w:rsid w:val="001D3AB2"/>
    <w:rsid w:val="001D3AF6"/>
    <w:rsid w:val="001D3D7A"/>
    <w:rsid w:val="001D400E"/>
    <w:rsid w:val="001D443D"/>
    <w:rsid w:val="001D485D"/>
    <w:rsid w:val="001D48EE"/>
    <w:rsid w:val="001D520F"/>
    <w:rsid w:val="001D555B"/>
    <w:rsid w:val="001D5657"/>
    <w:rsid w:val="001D569F"/>
    <w:rsid w:val="001D57AF"/>
    <w:rsid w:val="001D5829"/>
    <w:rsid w:val="001D5D44"/>
    <w:rsid w:val="001D5D91"/>
    <w:rsid w:val="001D600E"/>
    <w:rsid w:val="001D6217"/>
    <w:rsid w:val="001D6377"/>
    <w:rsid w:val="001D6391"/>
    <w:rsid w:val="001D65B4"/>
    <w:rsid w:val="001D6DF1"/>
    <w:rsid w:val="001D706D"/>
    <w:rsid w:val="001D72C9"/>
    <w:rsid w:val="001D7BF3"/>
    <w:rsid w:val="001D7C3B"/>
    <w:rsid w:val="001E0047"/>
    <w:rsid w:val="001E0347"/>
    <w:rsid w:val="001E0858"/>
    <w:rsid w:val="001E0FBA"/>
    <w:rsid w:val="001E1C12"/>
    <w:rsid w:val="001E22C4"/>
    <w:rsid w:val="001E26D9"/>
    <w:rsid w:val="001E283B"/>
    <w:rsid w:val="001E2C60"/>
    <w:rsid w:val="001E2D42"/>
    <w:rsid w:val="001E2DC7"/>
    <w:rsid w:val="001E2E93"/>
    <w:rsid w:val="001E30A0"/>
    <w:rsid w:val="001E365B"/>
    <w:rsid w:val="001E373B"/>
    <w:rsid w:val="001E391F"/>
    <w:rsid w:val="001E396B"/>
    <w:rsid w:val="001E3E16"/>
    <w:rsid w:val="001E3F01"/>
    <w:rsid w:val="001E3F16"/>
    <w:rsid w:val="001E4018"/>
    <w:rsid w:val="001E4417"/>
    <w:rsid w:val="001E467F"/>
    <w:rsid w:val="001E4C3C"/>
    <w:rsid w:val="001E4DCC"/>
    <w:rsid w:val="001E5468"/>
    <w:rsid w:val="001E56DE"/>
    <w:rsid w:val="001E59CE"/>
    <w:rsid w:val="001E5A4B"/>
    <w:rsid w:val="001E5C1B"/>
    <w:rsid w:val="001E5CC3"/>
    <w:rsid w:val="001E5DD6"/>
    <w:rsid w:val="001E6195"/>
    <w:rsid w:val="001E63D9"/>
    <w:rsid w:val="001E66F8"/>
    <w:rsid w:val="001E6766"/>
    <w:rsid w:val="001E70A1"/>
    <w:rsid w:val="001E7158"/>
    <w:rsid w:val="001E71B2"/>
    <w:rsid w:val="001E721D"/>
    <w:rsid w:val="001E72A0"/>
    <w:rsid w:val="001E72D4"/>
    <w:rsid w:val="001E7428"/>
    <w:rsid w:val="001E743E"/>
    <w:rsid w:val="001E75C5"/>
    <w:rsid w:val="001E763B"/>
    <w:rsid w:val="001E7716"/>
    <w:rsid w:val="001E776B"/>
    <w:rsid w:val="001E7BDC"/>
    <w:rsid w:val="001E7E71"/>
    <w:rsid w:val="001F08A5"/>
    <w:rsid w:val="001F0B1B"/>
    <w:rsid w:val="001F0C1C"/>
    <w:rsid w:val="001F0C54"/>
    <w:rsid w:val="001F1013"/>
    <w:rsid w:val="001F1565"/>
    <w:rsid w:val="001F1739"/>
    <w:rsid w:val="001F1DB9"/>
    <w:rsid w:val="001F1E91"/>
    <w:rsid w:val="001F2000"/>
    <w:rsid w:val="001F208B"/>
    <w:rsid w:val="001F21D1"/>
    <w:rsid w:val="001F24A4"/>
    <w:rsid w:val="001F2A3E"/>
    <w:rsid w:val="001F2D31"/>
    <w:rsid w:val="001F303C"/>
    <w:rsid w:val="001F31BB"/>
    <w:rsid w:val="001F33D5"/>
    <w:rsid w:val="001F3863"/>
    <w:rsid w:val="001F3AD5"/>
    <w:rsid w:val="001F3C29"/>
    <w:rsid w:val="001F3D46"/>
    <w:rsid w:val="001F4C96"/>
    <w:rsid w:val="001F4F33"/>
    <w:rsid w:val="001F530A"/>
    <w:rsid w:val="001F54B5"/>
    <w:rsid w:val="001F561F"/>
    <w:rsid w:val="001F56CA"/>
    <w:rsid w:val="001F5982"/>
    <w:rsid w:val="001F59E4"/>
    <w:rsid w:val="001F6038"/>
    <w:rsid w:val="001F6288"/>
    <w:rsid w:val="001F65E7"/>
    <w:rsid w:val="001F6746"/>
    <w:rsid w:val="001F67CE"/>
    <w:rsid w:val="001F7017"/>
    <w:rsid w:val="001F716C"/>
    <w:rsid w:val="001F7479"/>
    <w:rsid w:val="001F7C24"/>
    <w:rsid w:val="00200346"/>
    <w:rsid w:val="00200425"/>
    <w:rsid w:val="002007C8"/>
    <w:rsid w:val="00200A93"/>
    <w:rsid w:val="00200B6D"/>
    <w:rsid w:val="00200CB8"/>
    <w:rsid w:val="00201A45"/>
    <w:rsid w:val="00201E35"/>
    <w:rsid w:val="00202406"/>
    <w:rsid w:val="002027D9"/>
    <w:rsid w:val="00202A1E"/>
    <w:rsid w:val="00202ACF"/>
    <w:rsid w:val="00202B10"/>
    <w:rsid w:val="00202EA9"/>
    <w:rsid w:val="00202F37"/>
    <w:rsid w:val="002032E5"/>
    <w:rsid w:val="00203597"/>
    <w:rsid w:val="00203682"/>
    <w:rsid w:val="002036D0"/>
    <w:rsid w:val="00203702"/>
    <w:rsid w:val="00203E11"/>
    <w:rsid w:val="00203F78"/>
    <w:rsid w:val="002041DB"/>
    <w:rsid w:val="002042B3"/>
    <w:rsid w:val="00204383"/>
    <w:rsid w:val="002044C1"/>
    <w:rsid w:val="002049B2"/>
    <w:rsid w:val="00204BFB"/>
    <w:rsid w:val="00204E17"/>
    <w:rsid w:val="002054CB"/>
    <w:rsid w:val="0020561E"/>
    <w:rsid w:val="00205693"/>
    <w:rsid w:val="0020577D"/>
    <w:rsid w:val="00205F89"/>
    <w:rsid w:val="0020636F"/>
    <w:rsid w:val="00206455"/>
    <w:rsid w:val="002064C3"/>
    <w:rsid w:val="0020651B"/>
    <w:rsid w:val="00206945"/>
    <w:rsid w:val="00206A59"/>
    <w:rsid w:val="00207055"/>
    <w:rsid w:val="0020736F"/>
    <w:rsid w:val="00207521"/>
    <w:rsid w:val="0020776C"/>
    <w:rsid w:val="002077BC"/>
    <w:rsid w:val="002077C2"/>
    <w:rsid w:val="002104CB"/>
    <w:rsid w:val="00210588"/>
    <w:rsid w:val="002106D5"/>
    <w:rsid w:val="00210769"/>
    <w:rsid w:val="00210B19"/>
    <w:rsid w:val="00210FF2"/>
    <w:rsid w:val="00211013"/>
    <w:rsid w:val="002111CA"/>
    <w:rsid w:val="0021145C"/>
    <w:rsid w:val="002115C7"/>
    <w:rsid w:val="002117D4"/>
    <w:rsid w:val="002117F0"/>
    <w:rsid w:val="002118B0"/>
    <w:rsid w:val="00211DCA"/>
    <w:rsid w:val="00211DDA"/>
    <w:rsid w:val="00212116"/>
    <w:rsid w:val="002121D2"/>
    <w:rsid w:val="00212476"/>
    <w:rsid w:val="00212601"/>
    <w:rsid w:val="002126A9"/>
    <w:rsid w:val="00212C6F"/>
    <w:rsid w:val="00212FC4"/>
    <w:rsid w:val="0021365D"/>
    <w:rsid w:val="00214097"/>
    <w:rsid w:val="002148F4"/>
    <w:rsid w:val="00214959"/>
    <w:rsid w:val="00214B12"/>
    <w:rsid w:val="00215030"/>
    <w:rsid w:val="0021522A"/>
    <w:rsid w:val="0021580D"/>
    <w:rsid w:val="002158B7"/>
    <w:rsid w:val="00215931"/>
    <w:rsid w:val="00215AC3"/>
    <w:rsid w:val="00215B6B"/>
    <w:rsid w:val="00215B87"/>
    <w:rsid w:val="00215DFC"/>
    <w:rsid w:val="00216287"/>
    <w:rsid w:val="002168B5"/>
    <w:rsid w:val="00216903"/>
    <w:rsid w:val="002173BD"/>
    <w:rsid w:val="0021744C"/>
    <w:rsid w:val="002176A9"/>
    <w:rsid w:val="00217D9D"/>
    <w:rsid w:val="002200A8"/>
    <w:rsid w:val="002201E6"/>
    <w:rsid w:val="0022026D"/>
    <w:rsid w:val="002202D4"/>
    <w:rsid w:val="00220341"/>
    <w:rsid w:val="00220380"/>
    <w:rsid w:val="00220B56"/>
    <w:rsid w:val="00220D08"/>
    <w:rsid w:val="00220D0D"/>
    <w:rsid w:val="00220D4C"/>
    <w:rsid w:val="00220E09"/>
    <w:rsid w:val="00220E20"/>
    <w:rsid w:val="002211C7"/>
    <w:rsid w:val="002216F3"/>
    <w:rsid w:val="00221C70"/>
    <w:rsid w:val="00222046"/>
    <w:rsid w:val="00223208"/>
    <w:rsid w:val="00223221"/>
    <w:rsid w:val="002232A3"/>
    <w:rsid w:val="0022364B"/>
    <w:rsid w:val="00223829"/>
    <w:rsid w:val="00223ACC"/>
    <w:rsid w:val="00223B1E"/>
    <w:rsid w:val="00223F21"/>
    <w:rsid w:val="00223F83"/>
    <w:rsid w:val="002240DC"/>
    <w:rsid w:val="00224227"/>
    <w:rsid w:val="002242A0"/>
    <w:rsid w:val="0022431A"/>
    <w:rsid w:val="0022447D"/>
    <w:rsid w:val="002244F1"/>
    <w:rsid w:val="002249B4"/>
    <w:rsid w:val="002249FA"/>
    <w:rsid w:val="00224DA1"/>
    <w:rsid w:val="00225093"/>
    <w:rsid w:val="002260EF"/>
    <w:rsid w:val="002261E8"/>
    <w:rsid w:val="00226347"/>
    <w:rsid w:val="0022648D"/>
    <w:rsid w:val="00226B6D"/>
    <w:rsid w:val="00227337"/>
    <w:rsid w:val="002274F1"/>
    <w:rsid w:val="002275D4"/>
    <w:rsid w:val="002276FF"/>
    <w:rsid w:val="002277BE"/>
    <w:rsid w:val="002278AB"/>
    <w:rsid w:val="0022795C"/>
    <w:rsid w:val="00227AFD"/>
    <w:rsid w:val="00230295"/>
    <w:rsid w:val="00230695"/>
    <w:rsid w:val="00230841"/>
    <w:rsid w:val="0023089C"/>
    <w:rsid w:val="0023089E"/>
    <w:rsid w:val="00231060"/>
    <w:rsid w:val="002316B0"/>
    <w:rsid w:val="002316BA"/>
    <w:rsid w:val="002317C3"/>
    <w:rsid w:val="00231909"/>
    <w:rsid w:val="00231D7D"/>
    <w:rsid w:val="00232203"/>
    <w:rsid w:val="002323FF"/>
    <w:rsid w:val="00232453"/>
    <w:rsid w:val="0023261D"/>
    <w:rsid w:val="002326F7"/>
    <w:rsid w:val="002329E3"/>
    <w:rsid w:val="00232A32"/>
    <w:rsid w:val="00232B58"/>
    <w:rsid w:val="00232BA5"/>
    <w:rsid w:val="00232C7C"/>
    <w:rsid w:val="00232E13"/>
    <w:rsid w:val="00232E43"/>
    <w:rsid w:val="00233049"/>
    <w:rsid w:val="0023368D"/>
    <w:rsid w:val="002338BC"/>
    <w:rsid w:val="00233AE7"/>
    <w:rsid w:val="00233AEC"/>
    <w:rsid w:val="00233CBB"/>
    <w:rsid w:val="00234222"/>
    <w:rsid w:val="00234375"/>
    <w:rsid w:val="00234BEF"/>
    <w:rsid w:val="00234C98"/>
    <w:rsid w:val="00234CCA"/>
    <w:rsid w:val="00234D60"/>
    <w:rsid w:val="00234DBC"/>
    <w:rsid w:val="0023512A"/>
    <w:rsid w:val="0023533F"/>
    <w:rsid w:val="00235766"/>
    <w:rsid w:val="00235A1D"/>
    <w:rsid w:val="00236000"/>
    <w:rsid w:val="00236053"/>
    <w:rsid w:val="002369C9"/>
    <w:rsid w:val="00236AAB"/>
    <w:rsid w:val="00236F8C"/>
    <w:rsid w:val="002371EC"/>
    <w:rsid w:val="00237C52"/>
    <w:rsid w:val="00237CFD"/>
    <w:rsid w:val="00237FB5"/>
    <w:rsid w:val="0024008D"/>
    <w:rsid w:val="0024096B"/>
    <w:rsid w:val="00240B1B"/>
    <w:rsid w:val="0024117A"/>
    <w:rsid w:val="00241624"/>
    <w:rsid w:val="002418C9"/>
    <w:rsid w:val="00241D23"/>
    <w:rsid w:val="00241E5D"/>
    <w:rsid w:val="0024222C"/>
    <w:rsid w:val="00242335"/>
    <w:rsid w:val="00242388"/>
    <w:rsid w:val="0024295A"/>
    <w:rsid w:val="00242CD3"/>
    <w:rsid w:val="00242F6D"/>
    <w:rsid w:val="00243046"/>
    <w:rsid w:val="00243084"/>
    <w:rsid w:val="0024379A"/>
    <w:rsid w:val="002439BB"/>
    <w:rsid w:val="0024416B"/>
    <w:rsid w:val="002444AD"/>
    <w:rsid w:val="002445B8"/>
    <w:rsid w:val="002447BA"/>
    <w:rsid w:val="002448F0"/>
    <w:rsid w:val="00244A5B"/>
    <w:rsid w:val="00244AD3"/>
    <w:rsid w:val="00244DDA"/>
    <w:rsid w:val="00244FCD"/>
    <w:rsid w:val="0024511B"/>
    <w:rsid w:val="00245B2C"/>
    <w:rsid w:val="00245D72"/>
    <w:rsid w:val="00246026"/>
    <w:rsid w:val="00246333"/>
    <w:rsid w:val="00246618"/>
    <w:rsid w:val="00246656"/>
    <w:rsid w:val="00246875"/>
    <w:rsid w:val="00246E50"/>
    <w:rsid w:val="00246EC0"/>
    <w:rsid w:val="00246F04"/>
    <w:rsid w:val="002470B4"/>
    <w:rsid w:val="00247207"/>
    <w:rsid w:val="00247208"/>
    <w:rsid w:val="00247663"/>
    <w:rsid w:val="0024791A"/>
    <w:rsid w:val="00250434"/>
    <w:rsid w:val="0025055E"/>
    <w:rsid w:val="002506AC"/>
    <w:rsid w:val="002506F7"/>
    <w:rsid w:val="00250936"/>
    <w:rsid w:val="00250C54"/>
    <w:rsid w:val="00250CF9"/>
    <w:rsid w:val="00250D62"/>
    <w:rsid w:val="00250E0F"/>
    <w:rsid w:val="00250F92"/>
    <w:rsid w:val="002511AB"/>
    <w:rsid w:val="00251330"/>
    <w:rsid w:val="002514CF"/>
    <w:rsid w:val="00251999"/>
    <w:rsid w:val="0025200B"/>
    <w:rsid w:val="0025233A"/>
    <w:rsid w:val="00252B99"/>
    <w:rsid w:val="00252E3E"/>
    <w:rsid w:val="00253B86"/>
    <w:rsid w:val="002546AC"/>
    <w:rsid w:val="002548EA"/>
    <w:rsid w:val="00254E7B"/>
    <w:rsid w:val="00255293"/>
    <w:rsid w:val="002556BE"/>
    <w:rsid w:val="0025598B"/>
    <w:rsid w:val="00256369"/>
    <w:rsid w:val="002566B0"/>
    <w:rsid w:val="002568AE"/>
    <w:rsid w:val="00256A0C"/>
    <w:rsid w:val="00256CC3"/>
    <w:rsid w:val="002576B2"/>
    <w:rsid w:val="0026010A"/>
    <w:rsid w:val="0026033F"/>
    <w:rsid w:val="00260BEA"/>
    <w:rsid w:val="00260D14"/>
    <w:rsid w:val="002611BC"/>
    <w:rsid w:val="00261476"/>
    <w:rsid w:val="002615AD"/>
    <w:rsid w:val="00261D97"/>
    <w:rsid w:val="002622E1"/>
    <w:rsid w:val="00262311"/>
    <w:rsid w:val="00262351"/>
    <w:rsid w:val="002623C5"/>
    <w:rsid w:val="002623D0"/>
    <w:rsid w:val="002624D5"/>
    <w:rsid w:val="002624F4"/>
    <w:rsid w:val="00262C32"/>
    <w:rsid w:val="00262E92"/>
    <w:rsid w:val="0026301E"/>
    <w:rsid w:val="00263293"/>
    <w:rsid w:val="002639D6"/>
    <w:rsid w:val="00263A9D"/>
    <w:rsid w:val="00263B24"/>
    <w:rsid w:val="00263B38"/>
    <w:rsid w:val="00263DBD"/>
    <w:rsid w:val="00263F21"/>
    <w:rsid w:val="002644DB"/>
    <w:rsid w:val="00264588"/>
    <w:rsid w:val="002646E8"/>
    <w:rsid w:val="00264CE8"/>
    <w:rsid w:val="00264D79"/>
    <w:rsid w:val="00264DEB"/>
    <w:rsid w:val="0026520E"/>
    <w:rsid w:val="0026628A"/>
    <w:rsid w:val="002662A7"/>
    <w:rsid w:val="0026675C"/>
    <w:rsid w:val="00266A37"/>
    <w:rsid w:val="00266B50"/>
    <w:rsid w:val="00266EAB"/>
    <w:rsid w:val="00267432"/>
    <w:rsid w:val="00267515"/>
    <w:rsid w:val="00267A85"/>
    <w:rsid w:val="00267B4C"/>
    <w:rsid w:val="00270083"/>
    <w:rsid w:val="00270245"/>
    <w:rsid w:val="00270551"/>
    <w:rsid w:val="002705FF"/>
    <w:rsid w:val="00270689"/>
    <w:rsid w:val="00270ABE"/>
    <w:rsid w:val="00270C17"/>
    <w:rsid w:val="00270D6F"/>
    <w:rsid w:val="00271275"/>
    <w:rsid w:val="002713C2"/>
    <w:rsid w:val="00271FB6"/>
    <w:rsid w:val="0027202D"/>
    <w:rsid w:val="00272139"/>
    <w:rsid w:val="0027248B"/>
    <w:rsid w:val="0027287E"/>
    <w:rsid w:val="002728D7"/>
    <w:rsid w:val="002729BB"/>
    <w:rsid w:val="00272A86"/>
    <w:rsid w:val="00272CC5"/>
    <w:rsid w:val="00272D65"/>
    <w:rsid w:val="00272E51"/>
    <w:rsid w:val="00273039"/>
    <w:rsid w:val="002732BB"/>
    <w:rsid w:val="00273602"/>
    <w:rsid w:val="0027394C"/>
    <w:rsid w:val="00273A7F"/>
    <w:rsid w:val="002742DD"/>
    <w:rsid w:val="002743C3"/>
    <w:rsid w:val="00274486"/>
    <w:rsid w:val="00274D41"/>
    <w:rsid w:val="002750A1"/>
    <w:rsid w:val="002755DA"/>
    <w:rsid w:val="002758C1"/>
    <w:rsid w:val="002758D9"/>
    <w:rsid w:val="002758EA"/>
    <w:rsid w:val="00275D49"/>
    <w:rsid w:val="002761E3"/>
    <w:rsid w:val="00276485"/>
    <w:rsid w:val="00276D5E"/>
    <w:rsid w:val="00276D68"/>
    <w:rsid w:val="00276D7F"/>
    <w:rsid w:val="00276DAA"/>
    <w:rsid w:val="00277C3A"/>
    <w:rsid w:val="00277C97"/>
    <w:rsid w:val="00280310"/>
    <w:rsid w:val="00280A84"/>
    <w:rsid w:val="00280C3F"/>
    <w:rsid w:val="00280CA9"/>
    <w:rsid w:val="00280CC1"/>
    <w:rsid w:val="00280EE5"/>
    <w:rsid w:val="00281172"/>
    <w:rsid w:val="00281222"/>
    <w:rsid w:val="0028137A"/>
    <w:rsid w:val="002813A3"/>
    <w:rsid w:val="00281640"/>
    <w:rsid w:val="00282037"/>
    <w:rsid w:val="00282464"/>
    <w:rsid w:val="0028250A"/>
    <w:rsid w:val="0028263C"/>
    <w:rsid w:val="00282A20"/>
    <w:rsid w:val="00282F4A"/>
    <w:rsid w:val="0028344B"/>
    <w:rsid w:val="00283637"/>
    <w:rsid w:val="00283731"/>
    <w:rsid w:val="002838D6"/>
    <w:rsid w:val="00283A6A"/>
    <w:rsid w:val="00283DF4"/>
    <w:rsid w:val="00283EB3"/>
    <w:rsid w:val="002841B8"/>
    <w:rsid w:val="002848BD"/>
    <w:rsid w:val="00284D64"/>
    <w:rsid w:val="00284E36"/>
    <w:rsid w:val="002851C8"/>
    <w:rsid w:val="0028547D"/>
    <w:rsid w:val="00285A5D"/>
    <w:rsid w:val="00285D6A"/>
    <w:rsid w:val="00286176"/>
    <w:rsid w:val="00286524"/>
    <w:rsid w:val="002868D4"/>
    <w:rsid w:val="0028739E"/>
    <w:rsid w:val="0028759D"/>
    <w:rsid w:val="002875BF"/>
    <w:rsid w:val="00287898"/>
    <w:rsid w:val="00287C4D"/>
    <w:rsid w:val="00287C58"/>
    <w:rsid w:val="002900DC"/>
    <w:rsid w:val="002904E1"/>
    <w:rsid w:val="002909A9"/>
    <w:rsid w:val="00290CD1"/>
    <w:rsid w:val="00290E11"/>
    <w:rsid w:val="00290EF8"/>
    <w:rsid w:val="0029147B"/>
    <w:rsid w:val="0029150B"/>
    <w:rsid w:val="00291592"/>
    <w:rsid w:val="002915A2"/>
    <w:rsid w:val="002915B4"/>
    <w:rsid w:val="00291798"/>
    <w:rsid w:val="00291D67"/>
    <w:rsid w:val="00291DD6"/>
    <w:rsid w:val="00291E60"/>
    <w:rsid w:val="00291F3E"/>
    <w:rsid w:val="00292063"/>
    <w:rsid w:val="002929A8"/>
    <w:rsid w:val="00292A7B"/>
    <w:rsid w:val="00292B85"/>
    <w:rsid w:val="00292BA5"/>
    <w:rsid w:val="00292C17"/>
    <w:rsid w:val="00292ED0"/>
    <w:rsid w:val="00292F47"/>
    <w:rsid w:val="00293205"/>
    <w:rsid w:val="002939A8"/>
    <w:rsid w:val="00293BD5"/>
    <w:rsid w:val="00294238"/>
    <w:rsid w:val="0029430D"/>
    <w:rsid w:val="002944DE"/>
    <w:rsid w:val="0029473B"/>
    <w:rsid w:val="00294C0F"/>
    <w:rsid w:val="00294FD3"/>
    <w:rsid w:val="002956AC"/>
    <w:rsid w:val="00295719"/>
    <w:rsid w:val="0029596B"/>
    <w:rsid w:val="002959BC"/>
    <w:rsid w:val="00295AB3"/>
    <w:rsid w:val="00295E4F"/>
    <w:rsid w:val="00295FAE"/>
    <w:rsid w:val="00296054"/>
    <w:rsid w:val="002961EA"/>
    <w:rsid w:val="0029663A"/>
    <w:rsid w:val="0029712B"/>
    <w:rsid w:val="002979CF"/>
    <w:rsid w:val="00297ACE"/>
    <w:rsid w:val="00297B57"/>
    <w:rsid w:val="00297B5F"/>
    <w:rsid w:val="00297C8C"/>
    <w:rsid w:val="002A03C9"/>
    <w:rsid w:val="002A09A9"/>
    <w:rsid w:val="002A0E70"/>
    <w:rsid w:val="002A0F47"/>
    <w:rsid w:val="002A11A1"/>
    <w:rsid w:val="002A137C"/>
    <w:rsid w:val="002A14F9"/>
    <w:rsid w:val="002A160A"/>
    <w:rsid w:val="002A1659"/>
    <w:rsid w:val="002A1669"/>
    <w:rsid w:val="002A1982"/>
    <w:rsid w:val="002A19A9"/>
    <w:rsid w:val="002A1A3A"/>
    <w:rsid w:val="002A21AE"/>
    <w:rsid w:val="002A249F"/>
    <w:rsid w:val="002A27A3"/>
    <w:rsid w:val="002A2D1C"/>
    <w:rsid w:val="002A2E1E"/>
    <w:rsid w:val="002A2FBF"/>
    <w:rsid w:val="002A30DF"/>
    <w:rsid w:val="002A3178"/>
    <w:rsid w:val="002A34D1"/>
    <w:rsid w:val="002A3666"/>
    <w:rsid w:val="002A36EF"/>
    <w:rsid w:val="002A40BF"/>
    <w:rsid w:val="002A4159"/>
    <w:rsid w:val="002A4A77"/>
    <w:rsid w:val="002A4CB4"/>
    <w:rsid w:val="002A4F71"/>
    <w:rsid w:val="002A55D3"/>
    <w:rsid w:val="002A5604"/>
    <w:rsid w:val="002A6002"/>
    <w:rsid w:val="002A65A7"/>
    <w:rsid w:val="002A675D"/>
    <w:rsid w:val="002A68B8"/>
    <w:rsid w:val="002A6AEA"/>
    <w:rsid w:val="002A6CE1"/>
    <w:rsid w:val="002A6D29"/>
    <w:rsid w:val="002A7432"/>
    <w:rsid w:val="002A767C"/>
    <w:rsid w:val="002A770E"/>
    <w:rsid w:val="002A7CAB"/>
    <w:rsid w:val="002A7EE9"/>
    <w:rsid w:val="002B04EB"/>
    <w:rsid w:val="002B0525"/>
    <w:rsid w:val="002B06B2"/>
    <w:rsid w:val="002B0ABF"/>
    <w:rsid w:val="002B0D24"/>
    <w:rsid w:val="002B0F17"/>
    <w:rsid w:val="002B0F51"/>
    <w:rsid w:val="002B1949"/>
    <w:rsid w:val="002B1D25"/>
    <w:rsid w:val="002B25A3"/>
    <w:rsid w:val="002B292C"/>
    <w:rsid w:val="002B29EA"/>
    <w:rsid w:val="002B2AFE"/>
    <w:rsid w:val="002B2BCF"/>
    <w:rsid w:val="002B2CB0"/>
    <w:rsid w:val="002B2F04"/>
    <w:rsid w:val="002B3455"/>
    <w:rsid w:val="002B3469"/>
    <w:rsid w:val="002B3604"/>
    <w:rsid w:val="002B3CB4"/>
    <w:rsid w:val="002B4501"/>
    <w:rsid w:val="002B50FE"/>
    <w:rsid w:val="002B51D0"/>
    <w:rsid w:val="002B5351"/>
    <w:rsid w:val="002B570D"/>
    <w:rsid w:val="002B58EA"/>
    <w:rsid w:val="002B5CD5"/>
    <w:rsid w:val="002B5DD3"/>
    <w:rsid w:val="002B5E51"/>
    <w:rsid w:val="002B5F2E"/>
    <w:rsid w:val="002B5F58"/>
    <w:rsid w:val="002B64D8"/>
    <w:rsid w:val="002B6600"/>
    <w:rsid w:val="002B6A72"/>
    <w:rsid w:val="002B6B38"/>
    <w:rsid w:val="002B7556"/>
    <w:rsid w:val="002B7882"/>
    <w:rsid w:val="002B7A05"/>
    <w:rsid w:val="002B7B95"/>
    <w:rsid w:val="002B7BBB"/>
    <w:rsid w:val="002C02CC"/>
    <w:rsid w:val="002C02DA"/>
    <w:rsid w:val="002C0647"/>
    <w:rsid w:val="002C0670"/>
    <w:rsid w:val="002C06CC"/>
    <w:rsid w:val="002C0830"/>
    <w:rsid w:val="002C0A80"/>
    <w:rsid w:val="002C0B9B"/>
    <w:rsid w:val="002C0FA1"/>
    <w:rsid w:val="002C10CA"/>
    <w:rsid w:val="002C10F6"/>
    <w:rsid w:val="002C1235"/>
    <w:rsid w:val="002C14E7"/>
    <w:rsid w:val="002C15CF"/>
    <w:rsid w:val="002C166A"/>
    <w:rsid w:val="002C1673"/>
    <w:rsid w:val="002C179C"/>
    <w:rsid w:val="002C1D13"/>
    <w:rsid w:val="002C1E45"/>
    <w:rsid w:val="002C2030"/>
    <w:rsid w:val="002C2034"/>
    <w:rsid w:val="002C213E"/>
    <w:rsid w:val="002C2290"/>
    <w:rsid w:val="002C235F"/>
    <w:rsid w:val="002C25F5"/>
    <w:rsid w:val="002C2E21"/>
    <w:rsid w:val="002C3287"/>
    <w:rsid w:val="002C3458"/>
    <w:rsid w:val="002C3607"/>
    <w:rsid w:val="002C3957"/>
    <w:rsid w:val="002C3B06"/>
    <w:rsid w:val="002C3F2F"/>
    <w:rsid w:val="002C40F2"/>
    <w:rsid w:val="002C42C3"/>
    <w:rsid w:val="002C4355"/>
    <w:rsid w:val="002C4684"/>
    <w:rsid w:val="002C48A7"/>
    <w:rsid w:val="002C4BF5"/>
    <w:rsid w:val="002C4D39"/>
    <w:rsid w:val="002C4F7C"/>
    <w:rsid w:val="002C50EA"/>
    <w:rsid w:val="002C518A"/>
    <w:rsid w:val="002C5829"/>
    <w:rsid w:val="002C5A43"/>
    <w:rsid w:val="002C6160"/>
    <w:rsid w:val="002C6669"/>
    <w:rsid w:val="002C66BA"/>
    <w:rsid w:val="002C698D"/>
    <w:rsid w:val="002C6BD1"/>
    <w:rsid w:val="002C6ED0"/>
    <w:rsid w:val="002C71AF"/>
    <w:rsid w:val="002C7462"/>
    <w:rsid w:val="002C76DB"/>
    <w:rsid w:val="002C7A21"/>
    <w:rsid w:val="002C7CC3"/>
    <w:rsid w:val="002C7E73"/>
    <w:rsid w:val="002C7ECA"/>
    <w:rsid w:val="002C7ED1"/>
    <w:rsid w:val="002C7EF9"/>
    <w:rsid w:val="002D0252"/>
    <w:rsid w:val="002D072F"/>
    <w:rsid w:val="002D126B"/>
    <w:rsid w:val="002D153F"/>
    <w:rsid w:val="002D23D2"/>
    <w:rsid w:val="002D258A"/>
    <w:rsid w:val="002D2742"/>
    <w:rsid w:val="002D2971"/>
    <w:rsid w:val="002D2A08"/>
    <w:rsid w:val="002D3100"/>
    <w:rsid w:val="002D36FC"/>
    <w:rsid w:val="002D3ACD"/>
    <w:rsid w:val="002D3BEC"/>
    <w:rsid w:val="002D4435"/>
    <w:rsid w:val="002D4794"/>
    <w:rsid w:val="002D4C4A"/>
    <w:rsid w:val="002D4F18"/>
    <w:rsid w:val="002D516C"/>
    <w:rsid w:val="002D59D6"/>
    <w:rsid w:val="002D5CBF"/>
    <w:rsid w:val="002D6306"/>
    <w:rsid w:val="002D640B"/>
    <w:rsid w:val="002D6427"/>
    <w:rsid w:val="002D6470"/>
    <w:rsid w:val="002D67BB"/>
    <w:rsid w:val="002D7202"/>
    <w:rsid w:val="002D7272"/>
    <w:rsid w:val="002D770B"/>
    <w:rsid w:val="002D77E5"/>
    <w:rsid w:val="002D7A9F"/>
    <w:rsid w:val="002D7AAD"/>
    <w:rsid w:val="002D7C7C"/>
    <w:rsid w:val="002D7D8C"/>
    <w:rsid w:val="002E04F5"/>
    <w:rsid w:val="002E08AA"/>
    <w:rsid w:val="002E14AC"/>
    <w:rsid w:val="002E14E2"/>
    <w:rsid w:val="002E1917"/>
    <w:rsid w:val="002E1949"/>
    <w:rsid w:val="002E1B10"/>
    <w:rsid w:val="002E1F2B"/>
    <w:rsid w:val="002E23D2"/>
    <w:rsid w:val="002E27C1"/>
    <w:rsid w:val="002E2988"/>
    <w:rsid w:val="002E2AAE"/>
    <w:rsid w:val="002E301F"/>
    <w:rsid w:val="002E3308"/>
    <w:rsid w:val="002E3995"/>
    <w:rsid w:val="002E3B5D"/>
    <w:rsid w:val="002E3C00"/>
    <w:rsid w:val="002E451D"/>
    <w:rsid w:val="002E4771"/>
    <w:rsid w:val="002E5001"/>
    <w:rsid w:val="002E50AD"/>
    <w:rsid w:val="002E5248"/>
    <w:rsid w:val="002E5493"/>
    <w:rsid w:val="002E54E9"/>
    <w:rsid w:val="002E5AC8"/>
    <w:rsid w:val="002E69EB"/>
    <w:rsid w:val="002E6A12"/>
    <w:rsid w:val="002E6B82"/>
    <w:rsid w:val="002E6DDE"/>
    <w:rsid w:val="002E71AE"/>
    <w:rsid w:val="002E7C67"/>
    <w:rsid w:val="002E7D1D"/>
    <w:rsid w:val="002E7EBF"/>
    <w:rsid w:val="002F026F"/>
    <w:rsid w:val="002F07F8"/>
    <w:rsid w:val="002F0C57"/>
    <w:rsid w:val="002F1289"/>
    <w:rsid w:val="002F1554"/>
    <w:rsid w:val="002F1731"/>
    <w:rsid w:val="002F19A3"/>
    <w:rsid w:val="002F1E2B"/>
    <w:rsid w:val="002F200D"/>
    <w:rsid w:val="002F2043"/>
    <w:rsid w:val="002F218F"/>
    <w:rsid w:val="002F2520"/>
    <w:rsid w:val="002F25DF"/>
    <w:rsid w:val="002F2927"/>
    <w:rsid w:val="002F2B09"/>
    <w:rsid w:val="002F2DC5"/>
    <w:rsid w:val="002F2DF7"/>
    <w:rsid w:val="002F3A14"/>
    <w:rsid w:val="002F3BCC"/>
    <w:rsid w:val="002F475B"/>
    <w:rsid w:val="002F47AC"/>
    <w:rsid w:val="002F48C2"/>
    <w:rsid w:val="002F4B61"/>
    <w:rsid w:val="002F5288"/>
    <w:rsid w:val="002F53E0"/>
    <w:rsid w:val="002F55AF"/>
    <w:rsid w:val="002F5BFE"/>
    <w:rsid w:val="002F5EE5"/>
    <w:rsid w:val="002F6113"/>
    <w:rsid w:val="002F619E"/>
    <w:rsid w:val="002F627F"/>
    <w:rsid w:val="002F629E"/>
    <w:rsid w:val="002F692D"/>
    <w:rsid w:val="002F6D2F"/>
    <w:rsid w:val="002F6D7B"/>
    <w:rsid w:val="002F7047"/>
    <w:rsid w:val="002F74B6"/>
    <w:rsid w:val="002F766E"/>
    <w:rsid w:val="002F7A52"/>
    <w:rsid w:val="002F7CC9"/>
    <w:rsid w:val="002F7D16"/>
    <w:rsid w:val="002F7E19"/>
    <w:rsid w:val="002F7FF1"/>
    <w:rsid w:val="003002BD"/>
    <w:rsid w:val="003004A7"/>
    <w:rsid w:val="00300682"/>
    <w:rsid w:val="00300710"/>
    <w:rsid w:val="0030185B"/>
    <w:rsid w:val="00301F2A"/>
    <w:rsid w:val="0030208D"/>
    <w:rsid w:val="00302434"/>
    <w:rsid w:val="00302CEE"/>
    <w:rsid w:val="00303708"/>
    <w:rsid w:val="003039DA"/>
    <w:rsid w:val="0030405B"/>
    <w:rsid w:val="00304382"/>
    <w:rsid w:val="003049A9"/>
    <w:rsid w:val="00304B73"/>
    <w:rsid w:val="00304D65"/>
    <w:rsid w:val="00304F8D"/>
    <w:rsid w:val="003052D6"/>
    <w:rsid w:val="0030530D"/>
    <w:rsid w:val="00305385"/>
    <w:rsid w:val="0030557D"/>
    <w:rsid w:val="00305772"/>
    <w:rsid w:val="00305882"/>
    <w:rsid w:val="00305B16"/>
    <w:rsid w:val="00305C83"/>
    <w:rsid w:val="003062CE"/>
    <w:rsid w:val="00307125"/>
    <w:rsid w:val="003075DA"/>
    <w:rsid w:val="003078AD"/>
    <w:rsid w:val="00307930"/>
    <w:rsid w:val="00307D76"/>
    <w:rsid w:val="00310DBF"/>
    <w:rsid w:val="003111E4"/>
    <w:rsid w:val="003118F4"/>
    <w:rsid w:val="00311A54"/>
    <w:rsid w:val="00311F17"/>
    <w:rsid w:val="0031243B"/>
    <w:rsid w:val="003128E0"/>
    <w:rsid w:val="00312A53"/>
    <w:rsid w:val="00312B1C"/>
    <w:rsid w:val="0031313E"/>
    <w:rsid w:val="003131EF"/>
    <w:rsid w:val="003133AE"/>
    <w:rsid w:val="00313732"/>
    <w:rsid w:val="003139BF"/>
    <w:rsid w:val="00313B5D"/>
    <w:rsid w:val="00313B75"/>
    <w:rsid w:val="00313C6B"/>
    <w:rsid w:val="00314127"/>
    <w:rsid w:val="0031442B"/>
    <w:rsid w:val="00314470"/>
    <w:rsid w:val="00314505"/>
    <w:rsid w:val="003148A8"/>
    <w:rsid w:val="00314F62"/>
    <w:rsid w:val="0031530E"/>
    <w:rsid w:val="0031537C"/>
    <w:rsid w:val="0031555E"/>
    <w:rsid w:val="0031563C"/>
    <w:rsid w:val="00315950"/>
    <w:rsid w:val="003171B4"/>
    <w:rsid w:val="00317528"/>
    <w:rsid w:val="00317A11"/>
    <w:rsid w:val="00317A8A"/>
    <w:rsid w:val="00317E41"/>
    <w:rsid w:val="00320118"/>
    <w:rsid w:val="0032011A"/>
    <w:rsid w:val="003206E9"/>
    <w:rsid w:val="003209A5"/>
    <w:rsid w:val="00320B43"/>
    <w:rsid w:val="00320DAE"/>
    <w:rsid w:val="00321988"/>
    <w:rsid w:val="003221AE"/>
    <w:rsid w:val="003221B7"/>
    <w:rsid w:val="0032260E"/>
    <w:rsid w:val="003226D0"/>
    <w:rsid w:val="003226F1"/>
    <w:rsid w:val="00322AF0"/>
    <w:rsid w:val="00322C74"/>
    <w:rsid w:val="00323155"/>
    <w:rsid w:val="00323241"/>
    <w:rsid w:val="003234B3"/>
    <w:rsid w:val="00323744"/>
    <w:rsid w:val="00323872"/>
    <w:rsid w:val="00323F55"/>
    <w:rsid w:val="00323FCD"/>
    <w:rsid w:val="00323FD7"/>
    <w:rsid w:val="003246B1"/>
    <w:rsid w:val="003247FD"/>
    <w:rsid w:val="003248C0"/>
    <w:rsid w:val="00324E04"/>
    <w:rsid w:val="00325067"/>
    <w:rsid w:val="003254B7"/>
    <w:rsid w:val="00325943"/>
    <w:rsid w:val="00325D9E"/>
    <w:rsid w:val="003261A4"/>
    <w:rsid w:val="0032634C"/>
    <w:rsid w:val="00326353"/>
    <w:rsid w:val="00326882"/>
    <w:rsid w:val="00326905"/>
    <w:rsid w:val="00326CD8"/>
    <w:rsid w:val="00327353"/>
    <w:rsid w:val="00327477"/>
    <w:rsid w:val="00327839"/>
    <w:rsid w:val="00327B76"/>
    <w:rsid w:val="00327BDD"/>
    <w:rsid w:val="00327C06"/>
    <w:rsid w:val="003306DB"/>
    <w:rsid w:val="00330868"/>
    <w:rsid w:val="003308A2"/>
    <w:rsid w:val="003309E7"/>
    <w:rsid w:val="00330B40"/>
    <w:rsid w:val="00331054"/>
    <w:rsid w:val="00331163"/>
    <w:rsid w:val="00331BB3"/>
    <w:rsid w:val="00331C0A"/>
    <w:rsid w:val="00331E98"/>
    <w:rsid w:val="00332140"/>
    <w:rsid w:val="00332C22"/>
    <w:rsid w:val="00332E10"/>
    <w:rsid w:val="003331D6"/>
    <w:rsid w:val="00333209"/>
    <w:rsid w:val="0033390D"/>
    <w:rsid w:val="00333E75"/>
    <w:rsid w:val="00334E5D"/>
    <w:rsid w:val="003350E0"/>
    <w:rsid w:val="003354C6"/>
    <w:rsid w:val="003354F2"/>
    <w:rsid w:val="003356B8"/>
    <w:rsid w:val="00335DBF"/>
    <w:rsid w:val="00335F1C"/>
    <w:rsid w:val="003360CC"/>
    <w:rsid w:val="00336253"/>
    <w:rsid w:val="003362B2"/>
    <w:rsid w:val="003362FE"/>
    <w:rsid w:val="00336F10"/>
    <w:rsid w:val="00336F17"/>
    <w:rsid w:val="00337673"/>
    <w:rsid w:val="00337961"/>
    <w:rsid w:val="00337C71"/>
    <w:rsid w:val="003400FC"/>
    <w:rsid w:val="00340259"/>
    <w:rsid w:val="00340676"/>
    <w:rsid w:val="00340D5B"/>
    <w:rsid w:val="00340DF3"/>
    <w:rsid w:val="00342002"/>
    <w:rsid w:val="00342230"/>
    <w:rsid w:val="003427EE"/>
    <w:rsid w:val="0034286D"/>
    <w:rsid w:val="003429BE"/>
    <w:rsid w:val="00342C0E"/>
    <w:rsid w:val="00342DE3"/>
    <w:rsid w:val="00342FD6"/>
    <w:rsid w:val="00343275"/>
    <w:rsid w:val="00343AB5"/>
    <w:rsid w:val="00343DC4"/>
    <w:rsid w:val="003447AA"/>
    <w:rsid w:val="003449A2"/>
    <w:rsid w:val="00344C04"/>
    <w:rsid w:val="00344E38"/>
    <w:rsid w:val="00345053"/>
    <w:rsid w:val="00345379"/>
    <w:rsid w:val="0034563E"/>
    <w:rsid w:val="003458BC"/>
    <w:rsid w:val="003459BC"/>
    <w:rsid w:val="00345AA3"/>
    <w:rsid w:val="00345DE8"/>
    <w:rsid w:val="00346026"/>
    <w:rsid w:val="003468D8"/>
    <w:rsid w:val="00346B6E"/>
    <w:rsid w:val="0034736F"/>
    <w:rsid w:val="00347F10"/>
    <w:rsid w:val="00350017"/>
    <w:rsid w:val="0035003C"/>
    <w:rsid w:val="003502C9"/>
    <w:rsid w:val="00350772"/>
    <w:rsid w:val="003509D4"/>
    <w:rsid w:val="00350AFF"/>
    <w:rsid w:val="00350F40"/>
    <w:rsid w:val="003510BE"/>
    <w:rsid w:val="00351221"/>
    <w:rsid w:val="003523E4"/>
    <w:rsid w:val="00352790"/>
    <w:rsid w:val="00352C41"/>
    <w:rsid w:val="00352CE6"/>
    <w:rsid w:val="00352DC7"/>
    <w:rsid w:val="00353343"/>
    <w:rsid w:val="00353557"/>
    <w:rsid w:val="00353D02"/>
    <w:rsid w:val="00353E04"/>
    <w:rsid w:val="003540DE"/>
    <w:rsid w:val="003540F5"/>
    <w:rsid w:val="00354248"/>
    <w:rsid w:val="0035498D"/>
    <w:rsid w:val="003549BA"/>
    <w:rsid w:val="00355A17"/>
    <w:rsid w:val="0035653E"/>
    <w:rsid w:val="003567A3"/>
    <w:rsid w:val="00356FA8"/>
    <w:rsid w:val="003577C8"/>
    <w:rsid w:val="00357A19"/>
    <w:rsid w:val="003604F3"/>
    <w:rsid w:val="00360515"/>
    <w:rsid w:val="003605E3"/>
    <w:rsid w:val="00360927"/>
    <w:rsid w:val="00360A0A"/>
    <w:rsid w:val="00360D26"/>
    <w:rsid w:val="00361028"/>
    <w:rsid w:val="0036114D"/>
    <w:rsid w:val="00361237"/>
    <w:rsid w:val="0036138B"/>
    <w:rsid w:val="00361446"/>
    <w:rsid w:val="0036182E"/>
    <w:rsid w:val="0036198D"/>
    <w:rsid w:val="00361CDE"/>
    <w:rsid w:val="00361EC2"/>
    <w:rsid w:val="00361F79"/>
    <w:rsid w:val="0036250C"/>
    <w:rsid w:val="00362731"/>
    <w:rsid w:val="003627C6"/>
    <w:rsid w:val="00362960"/>
    <w:rsid w:val="00363509"/>
    <w:rsid w:val="00363693"/>
    <w:rsid w:val="00363757"/>
    <w:rsid w:val="0036397C"/>
    <w:rsid w:val="00363BE3"/>
    <w:rsid w:val="00363C2C"/>
    <w:rsid w:val="00364086"/>
    <w:rsid w:val="003640CD"/>
    <w:rsid w:val="00364222"/>
    <w:rsid w:val="0036471F"/>
    <w:rsid w:val="0036538B"/>
    <w:rsid w:val="003653C0"/>
    <w:rsid w:val="003653DB"/>
    <w:rsid w:val="003655E8"/>
    <w:rsid w:val="0036565E"/>
    <w:rsid w:val="003658F2"/>
    <w:rsid w:val="003659FC"/>
    <w:rsid w:val="00365B90"/>
    <w:rsid w:val="00365D8A"/>
    <w:rsid w:val="00366313"/>
    <w:rsid w:val="00366433"/>
    <w:rsid w:val="00366819"/>
    <w:rsid w:val="00366922"/>
    <w:rsid w:val="00366A22"/>
    <w:rsid w:val="00366DE1"/>
    <w:rsid w:val="00367903"/>
    <w:rsid w:val="003679A6"/>
    <w:rsid w:val="0037016B"/>
    <w:rsid w:val="00370263"/>
    <w:rsid w:val="00371243"/>
    <w:rsid w:val="00371304"/>
    <w:rsid w:val="0037135F"/>
    <w:rsid w:val="003713E2"/>
    <w:rsid w:val="003715C0"/>
    <w:rsid w:val="00371670"/>
    <w:rsid w:val="00371750"/>
    <w:rsid w:val="00371B65"/>
    <w:rsid w:val="003723D4"/>
    <w:rsid w:val="00372501"/>
    <w:rsid w:val="00372736"/>
    <w:rsid w:val="00372AA3"/>
    <w:rsid w:val="00372F13"/>
    <w:rsid w:val="00372FC9"/>
    <w:rsid w:val="003738EE"/>
    <w:rsid w:val="00373926"/>
    <w:rsid w:val="00373A49"/>
    <w:rsid w:val="00373BCF"/>
    <w:rsid w:val="00373CB1"/>
    <w:rsid w:val="00374647"/>
    <w:rsid w:val="003747EB"/>
    <w:rsid w:val="00374EA9"/>
    <w:rsid w:val="003751C6"/>
    <w:rsid w:val="00375257"/>
    <w:rsid w:val="003752A4"/>
    <w:rsid w:val="0037534D"/>
    <w:rsid w:val="00375393"/>
    <w:rsid w:val="00375678"/>
    <w:rsid w:val="003760D3"/>
    <w:rsid w:val="003763F2"/>
    <w:rsid w:val="003767D2"/>
    <w:rsid w:val="00376944"/>
    <w:rsid w:val="00376D9D"/>
    <w:rsid w:val="003772C7"/>
    <w:rsid w:val="003773D7"/>
    <w:rsid w:val="00377878"/>
    <w:rsid w:val="00377A80"/>
    <w:rsid w:val="00377DCA"/>
    <w:rsid w:val="00377EE1"/>
    <w:rsid w:val="00380254"/>
    <w:rsid w:val="003802FB"/>
    <w:rsid w:val="00380854"/>
    <w:rsid w:val="003808B9"/>
    <w:rsid w:val="00380967"/>
    <w:rsid w:val="00380ACC"/>
    <w:rsid w:val="00380E19"/>
    <w:rsid w:val="00381224"/>
    <w:rsid w:val="0038145B"/>
    <w:rsid w:val="003814BF"/>
    <w:rsid w:val="00381733"/>
    <w:rsid w:val="00381B2F"/>
    <w:rsid w:val="00381E1B"/>
    <w:rsid w:val="00381F26"/>
    <w:rsid w:val="00382123"/>
    <w:rsid w:val="003823FE"/>
    <w:rsid w:val="003825B3"/>
    <w:rsid w:val="0038298F"/>
    <w:rsid w:val="003829A4"/>
    <w:rsid w:val="00382B3C"/>
    <w:rsid w:val="00382DF2"/>
    <w:rsid w:val="00382EB1"/>
    <w:rsid w:val="00383289"/>
    <w:rsid w:val="003834D4"/>
    <w:rsid w:val="00383985"/>
    <w:rsid w:val="00383C83"/>
    <w:rsid w:val="00383D52"/>
    <w:rsid w:val="00383EAC"/>
    <w:rsid w:val="0038414C"/>
    <w:rsid w:val="00384190"/>
    <w:rsid w:val="0038440D"/>
    <w:rsid w:val="0038450D"/>
    <w:rsid w:val="00384773"/>
    <w:rsid w:val="00384BB6"/>
    <w:rsid w:val="00384BF1"/>
    <w:rsid w:val="003850B6"/>
    <w:rsid w:val="00385548"/>
    <w:rsid w:val="003855BB"/>
    <w:rsid w:val="0038568C"/>
    <w:rsid w:val="0038583A"/>
    <w:rsid w:val="003861B5"/>
    <w:rsid w:val="003864A6"/>
    <w:rsid w:val="00386899"/>
    <w:rsid w:val="00386AFE"/>
    <w:rsid w:val="00387337"/>
    <w:rsid w:val="003874E8"/>
    <w:rsid w:val="003877E0"/>
    <w:rsid w:val="00387ADD"/>
    <w:rsid w:val="00387AEE"/>
    <w:rsid w:val="00387CBE"/>
    <w:rsid w:val="0039034C"/>
    <w:rsid w:val="00390982"/>
    <w:rsid w:val="00390A6F"/>
    <w:rsid w:val="00390AEF"/>
    <w:rsid w:val="00390E15"/>
    <w:rsid w:val="00390FB2"/>
    <w:rsid w:val="00391084"/>
    <w:rsid w:val="003917DD"/>
    <w:rsid w:val="00391940"/>
    <w:rsid w:val="003919A6"/>
    <w:rsid w:val="00391C50"/>
    <w:rsid w:val="00391CDF"/>
    <w:rsid w:val="00391F2C"/>
    <w:rsid w:val="0039242E"/>
    <w:rsid w:val="0039274B"/>
    <w:rsid w:val="00392837"/>
    <w:rsid w:val="00392897"/>
    <w:rsid w:val="00392A54"/>
    <w:rsid w:val="00392B0E"/>
    <w:rsid w:val="00392E5C"/>
    <w:rsid w:val="003933CD"/>
    <w:rsid w:val="00393691"/>
    <w:rsid w:val="003937C6"/>
    <w:rsid w:val="00393916"/>
    <w:rsid w:val="00393FDF"/>
    <w:rsid w:val="0039408D"/>
    <w:rsid w:val="0039428E"/>
    <w:rsid w:val="003947A4"/>
    <w:rsid w:val="003947ED"/>
    <w:rsid w:val="00394BCB"/>
    <w:rsid w:val="003951A7"/>
    <w:rsid w:val="003953F4"/>
    <w:rsid w:val="003955C7"/>
    <w:rsid w:val="003957B5"/>
    <w:rsid w:val="00395AB5"/>
    <w:rsid w:val="00395ABB"/>
    <w:rsid w:val="0039610E"/>
    <w:rsid w:val="003964D7"/>
    <w:rsid w:val="00396A5D"/>
    <w:rsid w:val="00396ACB"/>
    <w:rsid w:val="00396B2B"/>
    <w:rsid w:val="00396BD5"/>
    <w:rsid w:val="00396D65"/>
    <w:rsid w:val="003970A1"/>
    <w:rsid w:val="00397485"/>
    <w:rsid w:val="00397823"/>
    <w:rsid w:val="0039783A"/>
    <w:rsid w:val="0039792B"/>
    <w:rsid w:val="00397F00"/>
    <w:rsid w:val="003A05F7"/>
    <w:rsid w:val="003A0C34"/>
    <w:rsid w:val="003A0F91"/>
    <w:rsid w:val="003A130E"/>
    <w:rsid w:val="003A1472"/>
    <w:rsid w:val="003A1809"/>
    <w:rsid w:val="003A1D65"/>
    <w:rsid w:val="003A25D4"/>
    <w:rsid w:val="003A29B9"/>
    <w:rsid w:val="003A2D61"/>
    <w:rsid w:val="003A3116"/>
    <w:rsid w:val="003A32EE"/>
    <w:rsid w:val="003A3484"/>
    <w:rsid w:val="003A360F"/>
    <w:rsid w:val="003A39EF"/>
    <w:rsid w:val="003A40E1"/>
    <w:rsid w:val="003A447F"/>
    <w:rsid w:val="003A4489"/>
    <w:rsid w:val="003A44FF"/>
    <w:rsid w:val="003A4566"/>
    <w:rsid w:val="003A463D"/>
    <w:rsid w:val="003A485D"/>
    <w:rsid w:val="003A4D1E"/>
    <w:rsid w:val="003A514F"/>
    <w:rsid w:val="003A628D"/>
    <w:rsid w:val="003A649B"/>
    <w:rsid w:val="003A6ADE"/>
    <w:rsid w:val="003A6D3F"/>
    <w:rsid w:val="003A6D5C"/>
    <w:rsid w:val="003A7199"/>
    <w:rsid w:val="003A742F"/>
    <w:rsid w:val="003A7501"/>
    <w:rsid w:val="003A7B6C"/>
    <w:rsid w:val="003A7BFF"/>
    <w:rsid w:val="003A7C77"/>
    <w:rsid w:val="003A7D91"/>
    <w:rsid w:val="003B017D"/>
    <w:rsid w:val="003B03EA"/>
    <w:rsid w:val="003B0CE2"/>
    <w:rsid w:val="003B174C"/>
    <w:rsid w:val="003B1AEA"/>
    <w:rsid w:val="003B1EFF"/>
    <w:rsid w:val="003B2005"/>
    <w:rsid w:val="003B23F8"/>
    <w:rsid w:val="003B2553"/>
    <w:rsid w:val="003B2567"/>
    <w:rsid w:val="003B2A68"/>
    <w:rsid w:val="003B2CDC"/>
    <w:rsid w:val="003B2E74"/>
    <w:rsid w:val="003B302A"/>
    <w:rsid w:val="003B3441"/>
    <w:rsid w:val="003B3B94"/>
    <w:rsid w:val="003B43DE"/>
    <w:rsid w:val="003B449E"/>
    <w:rsid w:val="003B45DC"/>
    <w:rsid w:val="003B475F"/>
    <w:rsid w:val="003B4820"/>
    <w:rsid w:val="003B4BF0"/>
    <w:rsid w:val="003B4C67"/>
    <w:rsid w:val="003B4E1C"/>
    <w:rsid w:val="003B4F03"/>
    <w:rsid w:val="003B4F07"/>
    <w:rsid w:val="003B501A"/>
    <w:rsid w:val="003B5560"/>
    <w:rsid w:val="003B5719"/>
    <w:rsid w:val="003B5D8C"/>
    <w:rsid w:val="003B5F9B"/>
    <w:rsid w:val="003B64FF"/>
    <w:rsid w:val="003B6B32"/>
    <w:rsid w:val="003B6B93"/>
    <w:rsid w:val="003B6D5A"/>
    <w:rsid w:val="003B6DA6"/>
    <w:rsid w:val="003B6DCF"/>
    <w:rsid w:val="003B6F20"/>
    <w:rsid w:val="003B7116"/>
    <w:rsid w:val="003B72DF"/>
    <w:rsid w:val="003B75D4"/>
    <w:rsid w:val="003B7F11"/>
    <w:rsid w:val="003B7FE5"/>
    <w:rsid w:val="003C0028"/>
    <w:rsid w:val="003C0133"/>
    <w:rsid w:val="003C0703"/>
    <w:rsid w:val="003C0B48"/>
    <w:rsid w:val="003C1116"/>
    <w:rsid w:val="003C1391"/>
    <w:rsid w:val="003C1A05"/>
    <w:rsid w:val="003C2102"/>
    <w:rsid w:val="003C2390"/>
    <w:rsid w:val="003C244C"/>
    <w:rsid w:val="003C25CC"/>
    <w:rsid w:val="003C25F5"/>
    <w:rsid w:val="003C263E"/>
    <w:rsid w:val="003C2FA5"/>
    <w:rsid w:val="003C31EC"/>
    <w:rsid w:val="003C3262"/>
    <w:rsid w:val="003C3409"/>
    <w:rsid w:val="003C36B3"/>
    <w:rsid w:val="003C37E0"/>
    <w:rsid w:val="003C3D1E"/>
    <w:rsid w:val="003C40AF"/>
    <w:rsid w:val="003C4A11"/>
    <w:rsid w:val="003C4FA9"/>
    <w:rsid w:val="003C4FE0"/>
    <w:rsid w:val="003C5278"/>
    <w:rsid w:val="003C52E6"/>
    <w:rsid w:val="003C5356"/>
    <w:rsid w:val="003C5D7B"/>
    <w:rsid w:val="003C6490"/>
    <w:rsid w:val="003C6BC7"/>
    <w:rsid w:val="003C6D47"/>
    <w:rsid w:val="003C6F7B"/>
    <w:rsid w:val="003C7340"/>
    <w:rsid w:val="003C77C1"/>
    <w:rsid w:val="003D0161"/>
    <w:rsid w:val="003D01F0"/>
    <w:rsid w:val="003D06B5"/>
    <w:rsid w:val="003D0759"/>
    <w:rsid w:val="003D07AE"/>
    <w:rsid w:val="003D0CA1"/>
    <w:rsid w:val="003D1396"/>
    <w:rsid w:val="003D1470"/>
    <w:rsid w:val="003D16EE"/>
    <w:rsid w:val="003D17C8"/>
    <w:rsid w:val="003D1CB1"/>
    <w:rsid w:val="003D2064"/>
    <w:rsid w:val="003D20FA"/>
    <w:rsid w:val="003D267D"/>
    <w:rsid w:val="003D2805"/>
    <w:rsid w:val="003D2BAD"/>
    <w:rsid w:val="003D2EAC"/>
    <w:rsid w:val="003D2F26"/>
    <w:rsid w:val="003D3067"/>
    <w:rsid w:val="003D3211"/>
    <w:rsid w:val="003D328E"/>
    <w:rsid w:val="003D3531"/>
    <w:rsid w:val="003D36B6"/>
    <w:rsid w:val="003D36BC"/>
    <w:rsid w:val="003D39FC"/>
    <w:rsid w:val="003D3D68"/>
    <w:rsid w:val="003D40BE"/>
    <w:rsid w:val="003D4345"/>
    <w:rsid w:val="003D47B2"/>
    <w:rsid w:val="003D47D0"/>
    <w:rsid w:val="003D4843"/>
    <w:rsid w:val="003D487D"/>
    <w:rsid w:val="003D4F1C"/>
    <w:rsid w:val="003D5578"/>
    <w:rsid w:val="003D5A93"/>
    <w:rsid w:val="003D5E36"/>
    <w:rsid w:val="003D604B"/>
    <w:rsid w:val="003D61DB"/>
    <w:rsid w:val="003D69AC"/>
    <w:rsid w:val="003D6B91"/>
    <w:rsid w:val="003D719C"/>
    <w:rsid w:val="003D71A3"/>
    <w:rsid w:val="003D7296"/>
    <w:rsid w:val="003D73A0"/>
    <w:rsid w:val="003D7C1C"/>
    <w:rsid w:val="003D7CE5"/>
    <w:rsid w:val="003D7CE8"/>
    <w:rsid w:val="003D7F63"/>
    <w:rsid w:val="003E0483"/>
    <w:rsid w:val="003E0578"/>
    <w:rsid w:val="003E0915"/>
    <w:rsid w:val="003E0921"/>
    <w:rsid w:val="003E0BAF"/>
    <w:rsid w:val="003E12DE"/>
    <w:rsid w:val="003E1565"/>
    <w:rsid w:val="003E15B6"/>
    <w:rsid w:val="003E1884"/>
    <w:rsid w:val="003E18A3"/>
    <w:rsid w:val="003E1A15"/>
    <w:rsid w:val="003E1A45"/>
    <w:rsid w:val="003E1D32"/>
    <w:rsid w:val="003E1DD1"/>
    <w:rsid w:val="003E1F52"/>
    <w:rsid w:val="003E28C1"/>
    <w:rsid w:val="003E28FB"/>
    <w:rsid w:val="003E292B"/>
    <w:rsid w:val="003E2E8A"/>
    <w:rsid w:val="003E31A0"/>
    <w:rsid w:val="003E3565"/>
    <w:rsid w:val="003E3D07"/>
    <w:rsid w:val="003E3E86"/>
    <w:rsid w:val="003E4324"/>
    <w:rsid w:val="003E5238"/>
    <w:rsid w:val="003E5484"/>
    <w:rsid w:val="003E560F"/>
    <w:rsid w:val="003E5C27"/>
    <w:rsid w:val="003E5FF8"/>
    <w:rsid w:val="003E636E"/>
    <w:rsid w:val="003E663B"/>
    <w:rsid w:val="003E68C0"/>
    <w:rsid w:val="003E698A"/>
    <w:rsid w:val="003E6DD2"/>
    <w:rsid w:val="003E754E"/>
    <w:rsid w:val="003E76A8"/>
    <w:rsid w:val="003E7781"/>
    <w:rsid w:val="003E78E3"/>
    <w:rsid w:val="003F01C6"/>
    <w:rsid w:val="003F03F0"/>
    <w:rsid w:val="003F0440"/>
    <w:rsid w:val="003F0771"/>
    <w:rsid w:val="003F0C14"/>
    <w:rsid w:val="003F0E4F"/>
    <w:rsid w:val="003F0E80"/>
    <w:rsid w:val="003F10A5"/>
    <w:rsid w:val="003F1199"/>
    <w:rsid w:val="003F11ED"/>
    <w:rsid w:val="003F1660"/>
    <w:rsid w:val="003F1CE8"/>
    <w:rsid w:val="003F1DDA"/>
    <w:rsid w:val="003F212E"/>
    <w:rsid w:val="003F2431"/>
    <w:rsid w:val="003F270D"/>
    <w:rsid w:val="003F2791"/>
    <w:rsid w:val="003F29BE"/>
    <w:rsid w:val="003F2B3D"/>
    <w:rsid w:val="003F2CA0"/>
    <w:rsid w:val="003F3122"/>
    <w:rsid w:val="003F32E7"/>
    <w:rsid w:val="003F33F3"/>
    <w:rsid w:val="003F354B"/>
    <w:rsid w:val="003F3754"/>
    <w:rsid w:val="003F3892"/>
    <w:rsid w:val="003F3A76"/>
    <w:rsid w:val="003F3AC9"/>
    <w:rsid w:val="003F3B4B"/>
    <w:rsid w:val="003F3F74"/>
    <w:rsid w:val="003F3FBD"/>
    <w:rsid w:val="003F40B8"/>
    <w:rsid w:val="003F40DD"/>
    <w:rsid w:val="003F44A2"/>
    <w:rsid w:val="003F4C26"/>
    <w:rsid w:val="003F4D9F"/>
    <w:rsid w:val="003F4F8B"/>
    <w:rsid w:val="003F57BD"/>
    <w:rsid w:val="003F57C7"/>
    <w:rsid w:val="003F59AB"/>
    <w:rsid w:val="003F5D84"/>
    <w:rsid w:val="003F629A"/>
    <w:rsid w:val="003F62EC"/>
    <w:rsid w:val="003F68AD"/>
    <w:rsid w:val="003F6E8A"/>
    <w:rsid w:val="003F7046"/>
    <w:rsid w:val="003F7207"/>
    <w:rsid w:val="003F73CA"/>
    <w:rsid w:val="003F789D"/>
    <w:rsid w:val="003F7ACD"/>
    <w:rsid w:val="003F7B98"/>
    <w:rsid w:val="003F7BEF"/>
    <w:rsid w:val="003F7F15"/>
    <w:rsid w:val="00400505"/>
    <w:rsid w:val="00400890"/>
    <w:rsid w:val="004008D5"/>
    <w:rsid w:val="00400E39"/>
    <w:rsid w:val="00400E5D"/>
    <w:rsid w:val="004013A1"/>
    <w:rsid w:val="0040176F"/>
    <w:rsid w:val="004017CC"/>
    <w:rsid w:val="00401847"/>
    <w:rsid w:val="00402784"/>
    <w:rsid w:val="00402919"/>
    <w:rsid w:val="00402D04"/>
    <w:rsid w:val="00403724"/>
    <w:rsid w:val="00403743"/>
    <w:rsid w:val="00403765"/>
    <w:rsid w:val="004038FF"/>
    <w:rsid w:val="0040397B"/>
    <w:rsid w:val="00403BE1"/>
    <w:rsid w:val="00403DE4"/>
    <w:rsid w:val="00403F3E"/>
    <w:rsid w:val="004040E5"/>
    <w:rsid w:val="004045A9"/>
    <w:rsid w:val="00404602"/>
    <w:rsid w:val="0040465D"/>
    <w:rsid w:val="004047E3"/>
    <w:rsid w:val="00404B65"/>
    <w:rsid w:val="0040523B"/>
    <w:rsid w:val="00405A24"/>
    <w:rsid w:val="00405EAC"/>
    <w:rsid w:val="00405F19"/>
    <w:rsid w:val="00405F70"/>
    <w:rsid w:val="00406682"/>
    <w:rsid w:val="00406B37"/>
    <w:rsid w:val="00407283"/>
    <w:rsid w:val="004073E6"/>
    <w:rsid w:val="004075C0"/>
    <w:rsid w:val="00407B62"/>
    <w:rsid w:val="00407BAC"/>
    <w:rsid w:val="00410012"/>
    <w:rsid w:val="004102C9"/>
    <w:rsid w:val="00410757"/>
    <w:rsid w:val="004107C2"/>
    <w:rsid w:val="0041098D"/>
    <w:rsid w:val="004109CF"/>
    <w:rsid w:val="00410B0E"/>
    <w:rsid w:val="00411087"/>
    <w:rsid w:val="00411292"/>
    <w:rsid w:val="00411372"/>
    <w:rsid w:val="0041183A"/>
    <w:rsid w:val="004120BD"/>
    <w:rsid w:val="00412219"/>
    <w:rsid w:val="004126D3"/>
    <w:rsid w:val="00412E1A"/>
    <w:rsid w:val="0041300C"/>
    <w:rsid w:val="004132D2"/>
    <w:rsid w:val="00413345"/>
    <w:rsid w:val="00413876"/>
    <w:rsid w:val="00413A92"/>
    <w:rsid w:val="00413C4F"/>
    <w:rsid w:val="00413CBC"/>
    <w:rsid w:val="00413CD5"/>
    <w:rsid w:val="00413ECA"/>
    <w:rsid w:val="00414071"/>
    <w:rsid w:val="004143F7"/>
    <w:rsid w:val="00414644"/>
    <w:rsid w:val="004146C8"/>
    <w:rsid w:val="00414A38"/>
    <w:rsid w:val="00414E65"/>
    <w:rsid w:val="004151E6"/>
    <w:rsid w:val="00415C5B"/>
    <w:rsid w:val="00415D29"/>
    <w:rsid w:val="00415DBF"/>
    <w:rsid w:val="004162BD"/>
    <w:rsid w:val="0041670F"/>
    <w:rsid w:val="00416A26"/>
    <w:rsid w:val="00416AAE"/>
    <w:rsid w:val="00416BB3"/>
    <w:rsid w:val="00416C59"/>
    <w:rsid w:val="00416D54"/>
    <w:rsid w:val="004170C6"/>
    <w:rsid w:val="004171E1"/>
    <w:rsid w:val="00417381"/>
    <w:rsid w:val="00417531"/>
    <w:rsid w:val="00417CD5"/>
    <w:rsid w:val="00417CFD"/>
    <w:rsid w:val="00417F88"/>
    <w:rsid w:val="00417F9B"/>
    <w:rsid w:val="00420007"/>
    <w:rsid w:val="004206EE"/>
    <w:rsid w:val="004208AF"/>
    <w:rsid w:val="004210FE"/>
    <w:rsid w:val="00421203"/>
    <w:rsid w:val="004212C7"/>
    <w:rsid w:val="0042160F"/>
    <w:rsid w:val="004216FC"/>
    <w:rsid w:val="00421C6E"/>
    <w:rsid w:val="00422274"/>
    <w:rsid w:val="00422796"/>
    <w:rsid w:val="0042280F"/>
    <w:rsid w:val="00422830"/>
    <w:rsid w:val="0042288E"/>
    <w:rsid w:val="00422A44"/>
    <w:rsid w:val="00422E3E"/>
    <w:rsid w:val="00422E94"/>
    <w:rsid w:val="00422F39"/>
    <w:rsid w:val="004231E2"/>
    <w:rsid w:val="00423606"/>
    <w:rsid w:val="0042360C"/>
    <w:rsid w:val="00423948"/>
    <w:rsid w:val="00423966"/>
    <w:rsid w:val="00423B9B"/>
    <w:rsid w:val="00423CC1"/>
    <w:rsid w:val="0042433B"/>
    <w:rsid w:val="004248F5"/>
    <w:rsid w:val="00424B5E"/>
    <w:rsid w:val="00424DA7"/>
    <w:rsid w:val="00424EF8"/>
    <w:rsid w:val="00424F28"/>
    <w:rsid w:val="00424F4F"/>
    <w:rsid w:val="00425089"/>
    <w:rsid w:val="004254A3"/>
    <w:rsid w:val="00425845"/>
    <w:rsid w:val="00425938"/>
    <w:rsid w:val="00425A23"/>
    <w:rsid w:val="00425BC3"/>
    <w:rsid w:val="00425F42"/>
    <w:rsid w:val="00425FC2"/>
    <w:rsid w:val="0042617D"/>
    <w:rsid w:val="00426234"/>
    <w:rsid w:val="00426375"/>
    <w:rsid w:val="00426E4D"/>
    <w:rsid w:val="004277F6"/>
    <w:rsid w:val="00427BD6"/>
    <w:rsid w:val="00427C4A"/>
    <w:rsid w:val="004304B5"/>
    <w:rsid w:val="004304E8"/>
    <w:rsid w:val="004305B5"/>
    <w:rsid w:val="004305BC"/>
    <w:rsid w:val="00430715"/>
    <w:rsid w:val="00430868"/>
    <w:rsid w:val="00430883"/>
    <w:rsid w:val="004309FB"/>
    <w:rsid w:val="00430AE1"/>
    <w:rsid w:val="00430B64"/>
    <w:rsid w:val="00430EF6"/>
    <w:rsid w:val="004310DB"/>
    <w:rsid w:val="004313E4"/>
    <w:rsid w:val="00431655"/>
    <w:rsid w:val="004329D9"/>
    <w:rsid w:val="00432A30"/>
    <w:rsid w:val="00432B50"/>
    <w:rsid w:val="00432F57"/>
    <w:rsid w:val="00432FCC"/>
    <w:rsid w:val="00433406"/>
    <w:rsid w:val="0043405B"/>
    <w:rsid w:val="004342D1"/>
    <w:rsid w:val="00434312"/>
    <w:rsid w:val="00434529"/>
    <w:rsid w:val="00434D54"/>
    <w:rsid w:val="00434F15"/>
    <w:rsid w:val="00435359"/>
    <w:rsid w:val="004353ED"/>
    <w:rsid w:val="0043543A"/>
    <w:rsid w:val="0043549D"/>
    <w:rsid w:val="004356BF"/>
    <w:rsid w:val="00435B71"/>
    <w:rsid w:val="00435DF2"/>
    <w:rsid w:val="00435F15"/>
    <w:rsid w:val="0043608A"/>
    <w:rsid w:val="00436271"/>
    <w:rsid w:val="0043651F"/>
    <w:rsid w:val="00436668"/>
    <w:rsid w:val="004366C7"/>
    <w:rsid w:val="0043684E"/>
    <w:rsid w:val="00436A4E"/>
    <w:rsid w:val="00436CB3"/>
    <w:rsid w:val="00437114"/>
    <w:rsid w:val="0043733A"/>
    <w:rsid w:val="00437C28"/>
    <w:rsid w:val="00440657"/>
    <w:rsid w:val="0044084A"/>
    <w:rsid w:val="00440A75"/>
    <w:rsid w:val="00440BE1"/>
    <w:rsid w:val="00440D46"/>
    <w:rsid w:val="00440DF9"/>
    <w:rsid w:val="00441124"/>
    <w:rsid w:val="00441150"/>
    <w:rsid w:val="00441450"/>
    <w:rsid w:val="0044157E"/>
    <w:rsid w:val="0044172D"/>
    <w:rsid w:val="00441C53"/>
    <w:rsid w:val="00441D44"/>
    <w:rsid w:val="00441F14"/>
    <w:rsid w:val="00441F87"/>
    <w:rsid w:val="0044245C"/>
    <w:rsid w:val="00442AD3"/>
    <w:rsid w:val="00443024"/>
    <w:rsid w:val="0044329E"/>
    <w:rsid w:val="004435A0"/>
    <w:rsid w:val="004437ED"/>
    <w:rsid w:val="00443802"/>
    <w:rsid w:val="00443BD5"/>
    <w:rsid w:val="00443C18"/>
    <w:rsid w:val="00443D7F"/>
    <w:rsid w:val="004442B3"/>
    <w:rsid w:val="004446A8"/>
    <w:rsid w:val="0044519A"/>
    <w:rsid w:val="00445298"/>
    <w:rsid w:val="00445B34"/>
    <w:rsid w:val="00445BE7"/>
    <w:rsid w:val="00445C85"/>
    <w:rsid w:val="0044609E"/>
    <w:rsid w:val="00446146"/>
    <w:rsid w:val="0044616B"/>
    <w:rsid w:val="0044651B"/>
    <w:rsid w:val="004468FC"/>
    <w:rsid w:val="00446911"/>
    <w:rsid w:val="00446BC3"/>
    <w:rsid w:val="00446D96"/>
    <w:rsid w:val="00446F51"/>
    <w:rsid w:val="00447051"/>
    <w:rsid w:val="004475C7"/>
    <w:rsid w:val="004479C5"/>
    <w:rsid w:val="00447DC2"/>
    <w:rsid w:val="004501DE"/>
    <w:rsid w:val="0045020A"/>
    <w:rsid w:val="004503BD"/>
    <w:rsid w:val="00450404"/>
    <w:rsid w:val="00450A29"/>
    <w:rsid w:val="004511F4"/>
    <w:rsid w:val="0045130F"/>
    <w:rsid w:val="00451456"/>
    <w:rsid w:val="00451526"/>
    <w:rsid w:val="00451640"/>
    <w:rsid w:val="0045199A"/>
    <w:rsid w:val="0045199E"/>
    <w:rsid w:val="00451DCA"/>
    <w:rsid w:val="00451E78"/>
    <w:rsid w:val="00452A6C"/>
    <w:rsid w:val="00452AD2"/>
    <w:rsid w:val="00452BA4"/>
    <w:rsid w:val="00452E06"/>
    <w:rsid w:val="004531B5"/>
    <w:rsid w:val="0045341A"/>
    <w:rsid w:val="0045387D"/>
    <w:rsid w:val="00453B6E"/>
    <w:rsid w:val="00453D1F"/>
    <w:rsid w:val="004540A8"/>
    <w:rsid w:val="00454122"/>
    <w:rsid w:val="004545DE"/>
    <w:rsid w:val="004547A0"/>
    <w:rsid w:val="004547D5"/>
    <w:rsid w:val="00454FA9"/>
    <w:rsid w:val="0045517B"/>
    <w:rsid w:val="00455195"/>
    <w:rsid w:val="00455261"/>
    <w:rsid w:val="004555B9"/>
    <w:rsid w:val="004564CE"/>
    <w:rsid w:val="00456819"/>
    <w:rsid w:val="00456850"/>
    <w:rsid w:val="00456D10"/>
    <w:rsid w:val="00460102"/>
    <w:rsid w:val="0046013A"/>
    <w:rsid w:val="00460566"/>
    <w:rsid w:val="004607B4"/>
    <w:rsid w:val="00460918"/>
    <w:rsid w:val="00460F61"/>
    <w:rsid w:val="004615FC"/>
    <w:rsid w:val="00461A0A"/>
    <w:rsid w:val="00461AA3"/>
    <w:rsid w:val="00461DCD"/>
    <w:rsid w:val="00462332"/>
    <w:rsid w:val="0046254C"/>
    <w:rsid w:val="00462CAD"/>
    <w:rsid w:val="00462E2C"/>
    <w:rsid w:val="00462FB1"/>
    <w:rsid w:val="00462FF8"/>
    <w:rsid w:val="00463112"/>
    <w:rsid w:val="004633AE"/>
    <w:rsid w:val="004635C9"/>
    <w:rsid w:val="00463A66"/>
    <w:rsid w:val="0046409A"/>
    <w:rsid w:val="004641B8"/>
    <w:rsid w:val="004641E8"/>
    <w:rsid w:val="004645AA"/>
    <w:rsid w:val="004647E0"/>
    <w:rsid w:val="00464BEC"/>
    <w:rsid w:val="00464CB2"/>
    <w:rsid w:val="00464E13"/>
    <w:rsid w:val="004654F5"/>
    <w:rsid w:val="00465D70"/>
    <w:rsid w:val="00466326"/>
    <w:rsid w:val="00466CF2"/>
    <w:rsid w:val="00466CF8"/>
    <w:rsid w:val="004673EA"/>
    <w:rsid w:val="004675B3"/>
    <w:rsid w:val="004675C2"/>
    <w:rsid w:val="00467976"/>
    <w:rsid w:val="00467C77"/>
    <w:rsid w:val="00467CDF"/>
    <w:rsid w:val="00467E7D"/>
    <w:rsid w:val="004701CB"/>
    <w:rsid w:val="00470387"/>
    <w:rsid w:val="0047039D"/>
    <w:rsid w:val="0047066C"/>
    <w:rsid w:val="004707BA"/>
    <w:rsid w:val="004707E2"/>
    <w:rsid w:val="004709F8"/>
    <w:rsid w:val="00470C7E"/>
    <w:rsid w:val="00470DA1"/>
    <w:rsid w:val="00471BF6"/>
    <w:rsid w:val="00471C69"/>
    <w:rsid w:val="00472043"/>
    <w:rsid w:val="004723F8"/>
    <w:rsid w:val="004724C0"/>
    <w:rsid w:val="00472700"/>
    <w:rsid w:val="004728E4"/>
    <w:rsid w:val="00472CF9"/>
    <w:rsid w:val="004730F6"/>
    <w:rsid w:val="00473130"/>
    <w:rsid w:val="0047315B"/>
    <w:rsid w:val="0047319C"/>
    <w:rsid w:val="004736C2"/>
    <w:rsid w:val="00473BFF"/>
    <w:rsid w:val="00473EA6"/>
    <w:rsid w:val="00474057"/>
    <w:rsid w:val="004740B7"/>
    <w:rsid w:val="00474116"/>
    <w:rsid w:val="00474488"/>
    <w:rsid w:val="004748D6"/>
    <w:rsid w:val="00474D59"/>
    <w:rsid w:val="0047503D"/>
    <w:rsid w:val="0047520D"/>
    <w:rsid w:val="00475898"/>
    <w:rsid w:val="004758A9"/>
    <w:rsid w:val="00475B64"/>
    <w:rsid w:val="00475D01"/>
    <w:rsid w:val="00475DFC"/>
    <w:rsid w:val="0047615C"/>
    <w:rsid w:val="0047626A"/>
    <w:rsid w:val="004764F4"/>
    <w:rsid w:val="00476B3E"/>
    <w:rsid w:val="00476D76"/>
    <w:rsid w:val="004770D8"/>
    <w:rsid w:val="004772C9"/>
    <w:rsid w:val="004772E5"/>
    <w:rsid w:val="00477524"/>
    <w:rsid w:val="004776BB"/>
    <w:rsid w:val="0047798B"/>
    <w:rsid w:val="004802D9"/>
    <w:rsid w:val="00480334"/>
    <w:rsid w:val="0048099F"/>
    <w:rsid w:val="00480BD6"/>
    <w:rsid w:val="00480CBD"/>
    <w:rsid w:val="00480E2C"/>
    <w:rsid w:val="00480F1E"/>
    <w:rsid w:val="00481672"/>
    <w:rsid w:val="00481912"/>
    <w:rsid w:val="004819A5"/>
    <w:rsid w:val="00482018"/>
    <w:rsid w:val="00482779"/>
    <w:rsid w:val="004831F9"/>
    <w:rsid w:val="0048389A"/>
    <w:rsid w:val="00483C0B"/>
    <w:rsid w:val="00483C5D"/>
    <w:rsid w:val="00483D1C"/>
    <w:rsid w:val="00483FF1"/>
    <w:rsid w:val="004840A0"/>
    <w:rsid w:val="00484306"/>
    <w:rsid w:val="0048432D"/>
    <w:rsid w:val="00484377"/>
    <w:rsid w:val="0048460C"/>
    <w:rsid w:val="0048486E"/>
    <w:rsid w:val="00484BDB"/>
    <w:rsid w:val="00484E57"/>
    <w:rsid w:val="004850A1"/>
    <w:rsid w:val="004853C7"/>
    <w:rsid w:val="00485475"/>
    <w:rsid w:val="00485495"/>
    <w:rsid w:val="004854B6"/>
    <w:rsid w:val="004854EF"/>
    <w:rsid w:val="0048564C"/>
    <w:rsid w:val="00485934"/>
    <w:rsid w:val="00485B51"/>
    <w:rsid w:val="00485B8F"/>
    <w:rsid w:val="00485C85"/>
    <w:rsid w:val="0048604A"/>
    <w:rsid w:val="00486A41"/>
    <w:rsid w:val="00486B15"/>
    <w:rsid w:val="00486D34"/>
    <w:rsid w:val="004870C9"/>
    <w:rsid w:val="0048718E"/>
    <w:rsid w:val="004871C8"/>
    <w:rsid w:val="004874F2"/>
    <w:rsid w:val="00487AC6"/>
    <w:rsid w:val="00487D4D"/>
    <w:rsid w:val="00487EF6"/>
    <w:rsid w:val="00487FDC"/>
    <w:rsid w:val="004903EE"/>
    <w:rsid w:val="00490777"/>
    <w:rsid w:val="0049098F"/>
    <w:rsid w:val="00490C06"/>
    <w:rsid w:val="00490CE4"/>
    <w:rsid w:val="00490D01"/>
    <w:rsid w:val="00490EE6"/>
    <w:rsid w:val="004910BC"/>
    <w:rsid w:val="0049125E"/>
    <w:rsid w:val="004912C8"/>
    <w:rsid w:val="00491350"/>
    <w:rsid w:val="004918C6"/>
    <w:rsid w:val="00491BEC"/>
    <w:rsid w:val="00491D80"/>
    <w:rsid w:val="00491E6F"/>
    <w:rsid w:val="00491ECD"/>
    <w:rsid w:val="0049229F"/>
    <w:rsid w:val="00492514"/>
    <w:rsid w:val="00492551"/>
    <w:rsid w:val="004926E0"/>
    <w:rsid w:val="0049278C"/>
    <w:rsid w:val="00492DAA"/>
    <w:rsid w:val="00492FDB"/>
    <w:rsid w:val="004930CA"/>
    <w:rsid w:val="00493210"/>
    <w:rsid w:val="004935D1"/>
    <w:rsid w:val="00493623"/>
    <w:rsid w:val="00493CA8"/>
    <w:rsid w:val="00493CE3"/>
    <w:rsid w:val="0049417B"/>
    <w:rsid w:val="00494357"/>
    <w:rsid w:val="00494A5E"/>
    <w:rsid w:val="00494EC6"/>
    <w:rsid w:val="0049579E"/>
    <w:rsid w:val="0049582B"/>
    <w:rsid w:val="00495898"/>
    <w:rsid w:val="00495A5C"/>
    <w:rsid w:val="00495C72"/>
    <w:rsid w:val="0049662F"/>
    <w:rsid w:val="00496B33"/>
    <w:rsid w:val="00496E08"/>
    <w:rsid w:val="0049702F"/>
    <w:rsid w:val="00497307"/>
    <w:rsid w:val="004974ED"/>
    <w:rsid w:val="00497752"/>
    <w:rsid w:val="004977B7"/>
    <w:rsid w:val="00497AE1"/>
    <w:rsid w:val="004A00CB"/>
    <w:rsid w:val="004A0192"/>
    <w:rsid w:val="004A05E8"/>
    <w:rsid w:val="004A0E3F"/>
    <w:rsid w:val="004A1342"/>
    <w:rsid w:val="004A178C"/>
    <w:rsid w:val="004A183B"/>
    <w:rsid w:val="004A1BB9"/>
    <w:rsid w:val="004A1C69"/>
    <w:rsid w:val="004A2487"/>
    <w:rsid w:val="004A2D6F"/>
    <w:rsid w:val="004A34A4"/>
    <w:rsid w:val="004A39DB"/>
    <w:rsid w:val="004A429A"/>
    <w:rsid w:val="004A42CB"/>
    <w:rsid w:val="004A48EB"/>
    <w:rsid w:val="004A497A"/>
    <w:rsid w:val="004A4E01"/>
    <w:rsid w:val="004A4EC2"/>
    <w:rsid w:val="004A4FC6"/>
    <w:rsid w:val="004A51F9"/>
    <w:rsid w:val="004A523E"/>
    <w:rsid w:val="004A5E39"/>
    <w:rsid w:val="004A5EF6"/>
    <w:rsid w:val="004A62C5"/>
    <w:rsid w:val="004A63D6"/>
    <w:rsid w:val="004A6408"/>
    <w:rsid w:val="004A6764"/>
    <w:rsid w:val="004A67D3"/>
    <w:rsid w:val="004A69AE"/>
    <w:rsid w:val="004A6E1E"/>
    <w:rsid w:val="004A7373"/>
    <w:rsid w:val="004A7A55"/>
    <w:rsid w:val="004A7B44"/>
    <w:rsid w:val="004A7F01"/>
    <w:rsid w:val="004A7FC2"/>
    <w:rsid w:val="004B00E6"/>
    <w:rsid w:val="004B042B"/>
    <w:rsid w:val="004B05D1"/>
    <w:rsid w:val="004B05DD"/>
    <w:rsid w:val="004B07C4"/>
    <w:rsid w:val="004B0900"/>
    <w:rsid w:val="004B0D8E"/>
    <w:rsid w:val="004B1206"/>
    <w:rsid w:val="004B1F58"/>
    <w:rsid w:val="004B1FAC"/>
    <w:rsid w:val="004B200B"/>
    <w:rsid w:val="004B2579"/>
    <w:rsid w:val="004B2B92"/>
    <w:rsid w:val="004B2D58"/>
    <w:rsid w:val="004B2EE5"/>
    <w:rsid w:val="004B2F32"/>
    <w:rsid w:val="004B3001"/>
    <w:rsid w:val="004B3110"/>
    <w:rsid w:val="004B333E"/>
    <w:rsid w:val="004B355F"/>
    <w:rsid w:val="004B3753"/>
    <w:rsid w:val="004B3CB3"/>
    <w:rsid w:val="004B47DA"/>
    <w:rsid w:val="004B490E"/>
    <w:rsid w:val="004B49FC"/>
    <w:rsid w:val="004B4CE8"/>
    <w:rsid w:val="004B4E91"/>
    <w:rsid w:val="004B54A9"/>
    <w:rsid w:val="004B54B4"/>
    <w:rsid w:val="004B557B"/>
    <w:rsid w:val="004B5608"/>
    <w:rsid w:val="004B56B6"/>
    <w:rsid w:val="004B56E3"/>
    <w:rsid w:val="004B58C5"/>
    <w:rsid w:val="004B5DCB"/>
    <w:rsid w:val="004B5E89"/>
    <w:rsid w:val="004B6116"/>
    <w:rsid w:val="004B6655"/>
    <w:rsid w:val="004B6CA9"/>
    <w:rsid w:val="004B6CC0"/>
    <w:rsid w:val="004B714E"/>
    <w:rsid w:val="004B7443"/>
    <w:rsid w:val="004B7492"/>
    <w:rsid w:val="004B7649"/>
    <w:rsid w:val="004B7774"/>
    <w:rsid w:val="004B7CCC"/>
    <w:rsid w:val="004B7F19"/>
    <w:rsid w:val="004C00DF"/>
    <w:rsid w:val="004C0250"/>
    <w:rsid w:val="004C0655"/>
    <w:rsid w:val="004C08ED"/>
    <w:rsid w:val="004C0AFB"/>
    <w:rsid w:val="004C0FCC"/>
    <w:rsid w:val="004C17C9"/>
    <w:rsid w:val="004C1952"/>
    <w:rsid w:val="004C19CC"/>
    <w:rsid w:val="004C1CD0"/>
    <w:rsid w:val="004C1D60"/>
    <w:rsid w:val="004C1E6C"/>
    <w:rsid w:val="004C2360"/>
    <w:rsid w:val="004C2614"/>
    <w:rsid w:val="004C2A71"/>
    <w:rsid w:val="004C2B4C"/>
    <w:rsid w:val="004C2C6A"/>
    <w:rsid w:val="004C3298"/>
    <w:rsid w:val="004C35A2"/>
    <w:rsid w:val="004C35A7"/>
    <w:rsid w:val="004C470C"/>
    <w:rsid w:val="004C49BF"/>
    <w:rsid w:val="004C51AE"/>
    <w:rsid w:val="004C51CB"/>
    <w:rsid w:val="004C51FE"/>
    <w:rsid w:val="004C53EA"/>
    <w:rsid w:val="004C542E"/>
    <w:rsid w:val="004C5440"/>
    <w:rsid w:val="004C5759"/>
    <w:rsid w:val="004C5781"/>
    <w:rsid w:val="004C5B40"/>
    <w:rsid w:val="004C5C76"/>
    <w:rsid w:val="004C5C7D"/>
    <w:rsid w:val="004C5CD0"/>
    <w:rsid w:val="004C63BA"/>
    <w:rsid w:val="004C65E3"/>
    <w:rsid w:val="004C6777"/>
    <w:rsid w:val="004C67AB"/>
    <w:rsid w:val="004C67FE"/>
    <w:rsid w:val="004C6ACF"/>
    <w:rsid w:val="004C6F72"/>
    <w:rsid w:val="004C7721"/>
    <w:rsid w:val="004C7A9B"/>
    <w:rsid w:val="004C7D2E"/>
    <w:rsid w:val="004C7D98"/>
    <w:rsid w:val="004D02C0"/>
    <w:rsid w:val="004D0818"/>
    <w:rsid w:val="004D098F"/>
    <w:rsid w:val="004D0A41"/>
    <w:rsid w:val="004D0A70"/>
    <w:rsid w:val="004D0C24"/>
    <w:rsid w:val="004D1052"/>
    <w:rsid w:val="004D1B25"/>
    <w:rsid w:val="004D1D94"/>
    <w:rsid w:val="004D224B"/>
    <w:rsid w:val="004D2640"/>
    <w:rsid w:val="004D3195"/>
    <w:rsid w:val="004D32DD"/>
    <w:rsid w:val="004D3303"/>
    <w:rsid w:val="004D3348"/>
    <w:rsid w:val="004D343C"/>
    <w:rsid w:val="004D3B33"/>
    <w:rsid w:val="004D3DC9"/>
    <w:rsid w:val="004D3F67"/>
    <w:rsid w:val="004D44ED"/>
    <w:rsid w:val="004D45B3"/>
    <w:rsid w:val="004D4C69"/>
    <w:rsid w:val="004D5297"/>
    <w:rsid w:val="004D54E9"/>
    <w:rsid w:val="004D54F6"/>
    <w:rsid w:val="004D55F4"/>
    <w:rsid w:val="004D5AC4"/>
    <w:rsid w:val="004D5FBF"/>
    <w:rsid w:val="004D656F"/>
    <w:rsid w:val="004D691B"/>
    <w:rsid w:val="004D6F51"/>
    <w:rsid w:val="004D6FC7"/>
    <w:rsid w:val="004D735A"/>
    <w:rsid w:val="004D7585"/>
    <w:rsid w:val="004D763D"/>
    <w:rsid w:val="004D7ECB"/>
    <w:rsid w:val="004E0016"/>
    <w:rsid w:val="004E0061"/>
    <w:rsid w:val="004E0154"/>
    <w:rsid w:val="004E0817"/>
    <w:rsid w:val="004E0AFB"/>
    <w:rsid w:val="004E0B69"/>
    <w:rsid w:val="004E0E40"/>
    <w:rsid w:val="004E0FCD"/>
    <w:rsid w:val="004E10A2"/>
    <w:rsid w:val="004E1268"/>
    <w:rsid w:val="004E13DE"/>
    <w:rsid w:val="004E149E"/>
    <w:rsid w:val="004E150F"/>
    <w:rsid w:val="004E1DF1"/>
    <w:rsid w:val="004E1E95"/>
    <w:rsid w:val="004E20BD"/>
    <w:rsid w:val="004E21D6"/>
    <w:rsid w:val="004E2550"/>
    <w:rsid w:val="004E2729"/>
    <w:rsid w:val="004E27E6"/>
    <w:rsid w:val="004E2963"/>
    <w:rsid w:val="004E2AB6"/>
    <w:rsid w:val="004E2F2D"/>
    <w:rsid w:val="004E334C"/>
    <w:rsid w:val="004E33C4"/>
    <w:rsid w:val="004E3501"/>
    <w:rsid w:val="004E39CE"/>
    <w:rsid w:val="004E3F70"/>
    <w:rsid w:val="004E402A"/>
    <w:rsid w:val="004E4368"/>
    <w:rsid w:val="004E4393"/>
    <w:rsid w:val="004E454E"/>
    <w:rsid w:val="004E4882"/>
    <w:rsid w:val="004E4889"/>
    <w:rsid w:val="004E48A3"/>
    <w:rsid w:val="004E4A9E"/>
    <w:rsid w:val="004E4C50"/>
    <w:rsid w:val="004E4FC0"/>
    <w:rsid w:val="004E501B"/>
    <w:rsid w:val="004E5290"/>
    <w:rsid w:val="004E54FD"/>
    <w:rsid w:val="004E57F7"/>
    <w:rsid w:val="004E5EEE"/>
    <w:rsid w:val="004E61FE"/>
    <w:rsid w:val="004E67E9"/>
    <w:rsid w:val="004E6DAF"/>
    <w:rsid w:val="004E7582"/>
    <w:rsid w:val="004E75A5"/>
    <w:rsid w:val="004E776A"/>
    <w:rsid w:val="004E7B0C"/>
    <w:rsid w:val="004E7BD1"/>
    <w:rsid w:val="004F0095"/>
    <w:rsid w:val="004F0102"/>
    <w:rsid w:val="004F0553"/>
    <w:rsid w:val="004F09C6"/>
    <w:rsid w:val="004F0A0D"/>
    <w:rsid w:val="004F0F48"/>
    <w:rsid w:val="004F1322"/>
    <w:rsid w:val="004F17EB"/>
    <w:rsid w:val="004F19DB"/>
    <w:rsid w:val="004F1EFA"/>
    <w:rsid w:val="004F20BB"/>
    <w:rsid w:val="004F2549"/>
    <w:rsid w:val="004F2A5E"/>
    <w:rsid w:val="004F2A80"/>
    <w:rsid w:val="004F2D49"/>
    <w:rsid w:val="004F2FEA"/>
    <w:rsid w:val="004F3B19"/>
    <w:rsid w:val="004F3C1E"/>
    <w:rsid w:val="004F3C85"/>
    <w:rsid w:val="004F3E1E"/>
    <w:rsid w:val="004F3F89"/>
    <w:rsid w:val="004F468E"/>
    <w:rsid w:val="004F4B17"/>
    <w:rsid w:val="004F51D3"/>
    <w:rsid w:val="004F5220"/>
    <w:rsid w:val="004F5292"/>
    <w:rsid w:val="004F54A1"/>
    <w:rsid w:val="004F556C"/>
    <w:rsid w:val="004F5578"/>
    <w:rsid w:val="004F5589"/>
    <w:rsid w:val="004F5DF6"/>
    <w:rsid w:val="004F5F28"/>
    <w:rsid w:val="004F6172"/>
    <w:rsid w:val="004F6AD4"/>
    <w:rsid w:val="004F6DD8"/>
    <w:rsid w:val="004F6DF9"/>
    <w:rsid w:val="004F6F55"/>
    <w:rsid w:val="004F7630"/>
    <w:rsid w:val="004F76F6"/>
    <w:rsid w:val="004F78FE"/>
    <w:rsid w:val="004F7C13"/>
    <w:rsid w:val="004F7C26"/>
    <w:rsid w:val="0050055B"/>
    <w:rsid w:val="00500872"/>
    <w:rsid w:val="00500993"/>
    <w:rsid w:val="00500C2F"/>
    <w:rsid w:val="00500DA5"/>
    <w:rsid w:val="0050114F"/>
    <w:rsid w:val="00501170"/>
    <w:rsid w:val="005017D8"/>
    <w:rsid w:val="00501AF4"/>
    <w:rsid w:val="00501F92"/>
    <w:rsid w:val="0050203A"/>
    <w:rsid w:val="0050266C"/>
    <w:rsid w:val="005027B3"/>
    <w:rsid w:val="00502896"/>
    <w:rsid w:val="005028F8"/>
    <w:rsid w:val="00502986"/>
    <w:rsid w:val="00502C90"/>
    <w:rsid w:val="00502ED6"/>
    <w:rsid w:val="00502FB4"/>
    <w:rsid w:val="0050322E"/>
    <w:rsid w:val="00503461"/>
    <w:rsid w:val="00503680"/>
    <w:rsid w:val="005039C8"/>
    <w:rsid w:val="00503D13"/>
    <w:rsid w:val="00503F5E"/>
    <w:rsid w:val="00504818"/>
    <w:rsid w:val="00504CD6"/>
    <w:rsid w:val="00504EBA"/>
    <w:rsid w:val="00504FEC"/>
    <w:rsid w:val="0050577D"/>
    <w:rsid w:val="00505CF7"/>
    <w:rsid w:val="00505EB4"/>
    <w:rsid w:val="00505F89"/>
    <w:rsid w:val="00506CA6"/>
    <w:rsid w:val="00506EE2"/>
    <w:rsid w:val="005071C8"/>
    <w:rsid w:val="0050722E"/>
    <w:rsid w:val="00507482"/>
    <w:rsid w:val="00510232"/>
    <w:rsid w:val="005104DE"/>
    <w:rsid w:val="005104F5"/>
    <w:rsid w:val="005109EB"/>
    <w:rsid w:val="00510CA3"/>
    <w:rsid w:val="00511091"/>
    <w:rsid w:val="00511118"/>
    <w:rsid w:val="00511276"/>
    <w:rsid w:val="0051192A"/>
    <w:rsid w:val="005122E2"/>
    <w:rsid w:val="005125FD"/>
    <w:rsid w:val="0051299B"/>
    <w:rsid w:val="005129E1"/>
    <w:rsid w:val="005129F7"/>
    <w:rsid w:val="00512A32"/>
    <w:rsid w:val="00512B62"/>
    <w:rsid w:val="005131BC"/>
    <w:rsid w:val="00513477"/>
    <w:rsid w:val="00513A28"/>
    <w:rsid w:val="00513FB0"/>
    <w:rsid w:val="005148B9"/>
    <w:rsid w:val="00514A3F"/>
    <w:rsid w:val="00514E4C"/>
    <w:rsid w:val="00514F60"/>
    <w:rsid w:val="0051536B"/>
    <w:rsid w:val="0051565D"/>
    <w:rsid w:val="00515843"/>
    <w:rsid w:val="00516048"/>
    <w:rsid w:val="00516158"/>
    <w:rsid w:val="00516242"/>
    <w:rsid w:val="00516343"/>
    <w:rsid w:val="00516480"/>
    <w:rsid w:val="00516804"/>
    <w:rsid w:val="00516846"/>
    <w:rsid w:val="005168D9"/>
    <w:rsid w:val="00516B97"/>
    <w:rsid w:val="0051757B"/>
    <w:rsid w:val="005178BE"/>
    <w:rsid w:val="00517AC6"/>
    <w:rsid w:val="00517C55"/>
    <w:rsid w:val="005202F2"/>
    <w:rsid w:val="00520684"/>
    <w:rsid w:val="005207A3"/>
    <w:rsid w:val="0052091A"/>
    <w:rsid w:val="00520B12"/>
    <w:rsid w:val="00520CAE"/>
    <w:rsid w:val="00520FD5"/>
    <w:rsid w:val="005215D6"/>
    <w:rsid w:val="0052161B"/>
    <w:rsid w:val="00521660"/>
    <w:rsid w:val="0052183E"/>
    <w:rsid w:val="005218E2"/>
    <w:rsid w:val="00522467"/>
    <w:rsid w:val="0052263C"/>
    <w:rsid w:val="0052270D"/>
    <w:rsid w:val="00522908"/>
    <w:rsid w:val="00522BC8"/>
    <w:rsid w:val="00522DBA"/>
    <w:rsid w:val="00523073"/>
    <w:rsid w:val="00523215"/>
    <w:rsid w:val="00523956"/>
    <w:rsid w:val="00523E61"/>
    <w:rsid w:val="00523FA9"/>
    <w:rsid w:val="00524280"/>
    <w:rsid w:val="005243B6"/>
    <w:rsid w:val="005243DA"/>
    <w:rsid w:val="005246E0"/>
    <w:rsid w:val="00524D66"/>
    <w:rsid w:val="00524EDF"/>
    <w:rsid w:val="00524F4C"/>
    <w:rsid w:val="005259AC"/>
    <w:rsid w:val="00525BBD"/>
    <w:rsid w:val="00525D98"/>
    <w:rsid w:val="00525F62"/>
    <w:rsid w:val="00526331"/>
    <w:rsid w:val="0052655C"/>
    <w:rsid w:val="005267D9"/>
    <w:rsid w:val="00526D15"/>
    <w:rsid w:val="00526D93"/>
    <w:rsid w:val="00526F70"/>
    <w:rsid w:val="005270AE"/>
    <w:rsid w:val="005270B4"/>
    <w:rsid w:val="00527340"/>
    <w:rsid w:val="005274EE"/>
    <w:rsid w:val="0052794C"/>
    <w:rsid w:val="005279AE"/>
    <w:rsid w:val="00527CF2"/>
    <w:rsid w:val="00530298"/>
    <w:rsid w:val="00530348"/>
    <w:rsid w:val="005304F5"/>
    <w:rsid w:val="00531232"/>
    <w:rsid w:val="00531617"/>
    <w:rsid w:val="00531737"/>
    <w:rsid w:val="0053173B"/>
    <w:rsid w:val="00531E18"/>
    <w:rsid w:val="005321B0"/>
    <w:rsid w:val="00532542"/>
    <w:rsid w:val="005329B9"/>
    <w:rsid w:val="00532FD9"/>
    <w:rsid w:val="005333AF"/>
    <w:rsid w:val="00533912"/>
    <w:rsid w:val="00533A82"/>
    <w:rsid w:val="0053445B"/>
    <w:rsid w:val="005346F4"/>
    <w:rsid w:val="0053484B"/>
    <w:rsid w:val="0053487B"/>
    <w:rsid w:val="005349B4"/>
    <w:rsid w:val="00534B75"/>
    <w:rsid w:val="00534BA9"/>
    <w:rsid w:val="00534C65"/>
    <w:rsid w:val="00534E3B"/>
    <w:rsid w:val="00535898"/>
    <w:rsid w:val="005359E2"/>
    <w:rsid w:val="00535F97"/>
    <w:rsid w:val="00536074"/>
    <w:rsid w:val="005364D9"/>
    <w:rsid w:val="00536B57"/>
    <w:rsid w:val="00536DA7"/>
    <w:rsid w:val="00536F22"/>
    <w:rsid w:val="00537576"/>
    <w:rsid w:val="005375AC"/>
    <w:rsid w:val="0053799A"/>
    <w:rsid w:val="0054052C"/>
    <w:rsid w:val="0054068F"/>
    <w:rsid w:val="0054074A"/>
    <w:rsid w:val="0054099E"/>
    <w:rsid w:val="00540AE2"/>
    <w:rsid w:val="00540EB1"/>
    <w:rsid w:val="00540F27"/>
    <w:rsid w:val="00541483"/>
    <w:rsid w:val="00541860"/>
    <w:rsid w:val="005418F0"/>
    <w:rsid w:val="00541DC0"/>
    <w:rsid w:val="00542001"/>
    <w:rsid w:val="00542729"/>
    <w:rsid w:val="00542733"/>
    <w:rsid w:val="0054279C"/>
    <w:rsid w:val="005427E1"/>
    <w:rsid w:val="0054285E"/>
    <w:rsid w:val="00542972"/>
    <w:rsid w:val="00542C41"/>
    <w:rsid w:val="00542EA2"/>
    <w:rsid w:val="0054324D"/>
    <w:rsid w:val="00543271"/>
    <w:rsid w:val="0054359F"/>
    <w:rsid w:val="005438DD"/>
    <w:rsid w:val="00543B0D"/>
    <w:rsid w:val="00543C20"/>
    <w:rsid w:val="00543C4A"/>
    <w:rsid w:val="00543DAF"/>
    <w:rsid w:val="00544637"/>
    <w:rsid w:val="00544B8C"/>
    <w:rsid w:val="00544CE2"/>
    <w:rsid w:val="00544EE5"/>
    <w:rsid w:val="005452C9"/>
    <w:rsid w:val="005452F7"/>
    <w:rsid w:val="00545642"/>
    <w:rsid w:val="00545664"/>
    <w:rsid w:val="005457F3"/>
    <w:rsid w:val="00545A03"/>
    <w:rsid w:val="00545FFE"/>
    <w:rsid w:val="005460E8"/>
    <w:rsid w:val="0054623C"/>
    <w:rsid w:val="0054648D"/>
    <w:rsid w:val="00546BE9"/>
    <w:rsid w:val="00546EB6"/>
    <w:rsid w:val="00547283"/>
    <w:rsid w:val="005474D6"/>
    <w:rsid w:val="0054751B"/>
    <w:rsid w:val="005477A8"/>
    <w:rsid w:val="00547F23"/>
    <w:rsid w:val="00547F29"/>
    <w:rsid w:val="0055000A"/>
    <w:rsid w:val="00550123"/>
    <w:rsid w:val="00550732"/>
    <w:rsid w:val="00550959"/>
    <w:rsid w:val="00550AB5"/>
    <w:rsid w:val="00550B93"/>
    <w:rsid w:val="0055121B"/>
    <w:rsid w:val="0055131E"/>
    <w:rsid w:val="00551508"/>
    <w:rsid w:val="0055162E"/>
    <w:rsid w:val="005517DD"/>
    <w:rsid w:val="00551EF1"/>
    <w:rsid w:val="00552142"/>
    <w:rsid w:val="005523E4"/>
    <w:rsid w:val="00552811"/>
    <w:rsid w:val="00553320"/>
    <w:rsid w:val="005534A6"/>
    <w:rsid w:val="0055373D"/>
    <w:rsid w:val="0055390C"/>
    <w:rsid w:val="005539DE"/>
    <w:rsid w:val="00553AC4"/>
    <w:rsid w:val="00553ED0"/>
    <w:rsid w:val="0055440E"/>
    <w:rsid w:val="005548CE"/>
    <w:rsid w:val="005556BB"/>
    <w:rsid w:val="00555EA2"/>
    <w:rsid w:val="005562DA"/>
    <w:rsid w:val="005563CA"/>
    <w:rsid w:val="0055679E"/>
    <w:rsid w:val="0055690F"/>
    <w:rsid w:val="00556F9B"/>
    <w:rsid w:val="00557655"/>
    <w:rsid w:val="0055788D"/>
    <w:rsid w:val="00557A54"/>
    <w:rsid w:val="00557C79"/>
    <w:rsid w:val="00560239"/>
    <w:rsid w:val="005602F1"/>
    <w:rsid w:val="00560574"/>
    <w:rsid w:val="00560BC1"/>
    <w:rsid w:val="00560F4A"/>
    <w:rsid w:val="005618E9"/>
    <w:rsid w:val="0056195D"/>
    <w:rsid w:val="00561A59"/>
    <w:rsid w:val="00561C3D"/>
    <w:rsid w:val="00561E05"/>
    <w:rsid w:val="00561EA7"/>
    <w:rsid w:val="00562075"/>
    <w:rsid w:val="005622A6"/>
    <w:rsid w:val="005623EC"/>
    <w:rsid w:val="00562516"/>
    <w:rsid w:val="005627A6"/>
    <w:rsid w:val="00562B7F"/>
    <w:rsid w:val="00562E66"/>
    <w:rsid w:val="00562F1A"/>
    <w:rsid w:val="00563120"/>
    <w:rsid w:val="00563318"/>
    <w:rsid w:val="0056366F"/>
    <w:rsid w:val="00563B9C"/>
    <w:rsid w:val="00563F93"/>
    <w:rsid w:val="00564CD2"/>
    <w:rsid w:val="00565835"/>
    <w:rsid w:val="0056586B"/>
    <w:rsid w:val="00565951"/>
    <w:rsid w:val="00565A21"/>
    <w:rsid w:val="00565C18"/>
    <w:rsid w:val="00565F46"/>
    <w:rsid w:val="005662A4"/>
    <w:rsid w:val="005662AB"/>
    <w:rsid w:val="005663D0"/>
    <w:rsid w:val="00566429"/>
    <w:rsid w:val="0056674A"/>
    <w:rsid w:val="00566A3F"/>
    <w:rsid w:val="00566EC6"/>
    <w:rsid w:val="0056722D"/>
    <w:rsid w:val="00567255"/>
    <w:rsid w:val="00567479"/>
    <w:rsid w:val="0056786C"/>
    <w:rsid w:val="005701DF"/>
    <w:rsid w:val="005702D2"/>
    <w:rsid w:val="005705B4"/>
    <w:rsid w:val="0057063D"/>
    <w:rsid w:val="00570AA8"/>
    <w:rsid w:val="00570C93"/>
    <w:rsid w:val="00570EC1"/>
    <w:rsid w:val="005710A4"/>
    <w:rsid w:val="005710CE"/>
    <w:rsid w:val="00571B9E"/>
    <w:rsid w:val="00571BE3"/>
    <w:rsid w:val="00571D70"/>
    <w:rsid w:val="005720E7"/>
    <w:rsid w:val="00572225"/>
    <w:rsid w:val="005727FC"/>
    <w:rsid w:val="0057318C"/>
    <w:rsid w:val="00573228"/>
    <w:rsid w:val="00573292"/>
    <w:rsid w:val="00573977"/>
    <w:rsid w:val="005739D0"/>
    <w:rsid w:val="00573C72"/>
    <w:rsid w:val="0057402B"/>
    <w:rsid w:val="005741F3"/>
    <w:rsid w:val="005742CF"/>
    <w:rsid w:val="005742D3"/>
    <w:rsid w:val="00574346"/>
    <w:rsid w:val="0057434E"/>
    <w:rsid w:val="00574388"/>
    <w:rsid w:val="005743BF"/>
    <w:rsid w:val="00574581"/>
    <w:rsid w:val="0057460D"/>
    <w:rsid w:val="00574875"/>
    <w:rsid w:val="005748EE"/>
    <w:rsid w:val="00574ED4"/>
    <w:rsid w:val="005752AE"/>
    <w:rsid w:val="0057536E"/>
    <w:rsid w:val="005753B8"/>
    <w:rsid w:val="005759DC"/>
    <w:rsid w:val="00575BE5"/>
    <w:rsid w:val="00575E6D"/>
    <w:rsid w:val="005764AC"/>
    <w:rsid w:val="005768EA"/>
    <w:rsid w:val="00576ACA"/>
    <w:rsid w:val="00576CEA"/>
    <w:rsid w:val="00576D72"/>
    <w:rsid w:val="0057713A"/>
    <w:rsid w:val="005773E9"/>
    <w:rsid w:val="00577C1F"/>
    <w:rsid w:val="00577C74"/>
    <w:rsid w:val="00577E43"/>
    <w:rsid w:val="0058040F"/>
    <w:rsid w:val="00580422"/>
    <w:rsid w:val="00580531"/>
    <w:rsid w:val="0058054E"/>
    <w:rsid w:val="00580934"/>
    <w:rsid w:val="00580E36"/>
    <w:rsid w:val="0058122A"/>
    <w:rsid w:val="00581448"/>
    <w:rsid w:val="00581553"/>
    <w:rsid w:val="00581935"/>
    <w:rsid w:val="00581B19"/>
    <w:rsid w:val="00581D1A"/>
    <w:rsid w:val="00581FC8"/>
    <w:rsid w:val="005829AE"/>
    <w:rsid w:val="00582AE9"/>
    <w:rsid w:val="00583027"/>
    <w:rsid w:val="00583062"/>
    <w:rsid w:val="005840BC"/>
    <w:rsid w:val="00584414"/>
    <w:rsid w:val="0058499D"/>
    <w:rsid w:val="005849E5"/>
    <w:rsid w:val="00584AF9"/>
    <w:rsid w:val="0058549F"/>
    <w:rsid w:val="005856E7"/>
    <w:rsid w:val="005857F1"/>
    <w:rsid w:val="005860B5"/>
    <w:rsid w:val="005862F8"/>
    <w:rsid w:val="00586388"/>
    <w:rsid w:val="00586452"/>
    <w:rsid w:val="005869C8"/>
    <w:rsid w:val="005874E9"/>
    <w:rsid w:val="005876B4"/>
    <w:rsid w:val="00587744"/>
    <w:rsid w:val="005878B9"/>
    <w:rsid w:val="00587B27"/>
    <w:rsid w:val="00587EE2"/>
    <w:rsid w:val="00590097"/>
    <w:rsid w:val="0059018D"/>
    <w:rsid w:val="00590248"/>
    <w:rsid w:val="005908E7"/>
    <w:rsid w:val="0059092A"/>
    <w:rsid w:val="00590A7C"/>
    <w:rsid w:val="0059143B"/>
    <w:rsid w:val="00591508"/>
    <w:rsid w:val="00591A3B"/>
    <w:rsid w:val="0059212D"/>
    <w:rsid w:val="00592134"/>
    <w:rsid w:val="0059219D"/>
    <w:rsid w:val="005922EA"/>
    <w:rsid w:val="005926FE"/>
    <w:rsid w:val="0059278B"/>
    <w:rsid w:val="00592846"/>
    <w:rsid w:val="0059346C"/>
    <w:rsid w:val="00593DDD"/>
    <w:rsid w:val="005944FC"/>
    <w:rsid w:val="005945B6"/>
    <w:rsid w:val="00594D2E"/>
    <w:rsid w:val="00594F36"/>
    <w:rsid w:val="00594F8A"/>
    <w:rsid w:val="005952AF"/>
    <w:rsid w:val="005952BD"/>
    <w:rsid w:val="00595334"/>
    <w:rsid w:val="0059553A"/>
    <w:rsid w:val="005956D0"/>
    <w:rsid w:val="0059575A"/>
    <w:rsid w:val="005957FF"/>
    <w:rsid w:val="00595AFA"/>
    <w:rsid w:val="00595E4A"/>
    <w:rsid w:val="00595F71"/>
    <w:rsid w:val="00596172"/>
    <w:rsid w:val="00596706"/>
    <w:rsid w:val="0059697E"/>
    <w:rsid w:val="00596A1E"/>
    <w:rsid w:val="00596A24"/>
    <w:rsid w:val="00596A35"/>
    <w:rsid w:val="00596BEB"/>
    <w:rsid w:val="00597198"/>
    <w:rsid w:val="00597295"/>
    <w:rsid w:val="00597891"/>
    <w:rsid w:val="00597C3A"/>
    <w:rsid w:val="00597D83"/>
    <w:rsid w:val="00597E97"/>
    <w:rsid w:val="00597EEA"/>
    <w:rsid w:val="005A02EB"/>
    <w:rsid w:val="005A03A5"/>
    <w:rsid w:val="005A0799"/>
    <w:rsid w:val="005A09B4"/>
    <w:rsid w:val="005A0A97"/>
    <w:rsid w:val="005A0B3F"/>
    <w:rsid w:val="005A0CC5"/>
    <w:rsid w:val="005A0CF9"/>
    <w:rsid w:val="005A110F"/>
    <w:rsid w:val="005A1402"/>
    <w:rsid w:val="005A1429"/>
    <w:rsid w:val="005A15F5"/>
    <w:rsid w:val="005A1C30"/>
    <w:rsid w:val="005A1E2B"/>
    <w:rsid w:val="005A1FF9"/>
    <w:rsid w:val="005A218E"/>
    <w:rsid w:val="005A2BEE"/>
    <w:rsid w:val="005A3214"/>
    <w:rsid w:val="005A3928"/>
    <w:rsid w:val="005A423A"/>
    <w:rsid w:val="005A4573"/>
    <w:rsid w:val="005A4768"/>
    <w:rsid w:val="005A4994"/>
    <w:rsid w:val="005A4EF4"/>
    <w:rsid w:val="005A51C9"/>
    <w:rsid w:val="005A52F3"/>
    <w:rsid w:val="005A5F5C"/>
    <w:rsid w:val="005A630C"/>
    <w:rsid w:val="005A67BF"/>
    <w:rsid w:val="005A68C1"/>
    <w:rsid w:val="005A68EB"/>
    <w:rsid w:val="005A6F50"/>
    <w:rsid w:val="005A6F7E"/>
    <w:rsid w:val="005A7048"/>
    <w:rsid w:val="005A73A7"/>
    <w:rsid w:val="005A75E0"/>
    <w:rsid w:val="005A7636"/>
    <w:rsid w:val="005A7651"/>
    <w:rsid w:val="005A769A"/>
    <w:rsid w:val="005A79F3"/>
    <w:rsid w:val="005A7EE0"/>
    <w:rsid w:val="005B025F"/>
    <w:rsid w:val="005B034A"/>
    <w:rsid w:val="005B08F5"/>
    <w:rsid w:val="005B0C52"/>
    <w:rsid w:val="005B0C5A"/>
    <w:rsid w:val="005B0FB7"/>
    <w:rsid w:val="005B10BD"/>
    <w:rsid w:val="005B1DF4"/>
    <w:rsid w:val="005B1EF1"/>
    <w:rsid w:val="005B2554"/>
    <w:rsid w:val="005B265F"/>
    <w:rsid w:val="005B29A7"/>
    <w:rsid w:val="005B2BDB"/>
    <w:rsid w:val="005B2D56"/>
    <w:rsid w:val="005B2FFA"/>
    <w:rsid w:val="005B3104"/>
    <w:rsid w:val="005B3199"/>
    <w:rsid w:val="005B3943"/>
    <w:rsid w:val="005B3991"/>
    <w:rsid w:val="005B4041"/>
    <w:rsid w:val="005B4B2C"/>
    <w:rsid w:val="005B4E11"/>
    <w:rsid w:val="005B5C06"/>
    <w:rsid w:val="005B5E25"/>
    <w:rsid w:val="005B60F7"/>
    <w:rsid w:val="005B6414"/>
    <w:rsid w:val="005B6A94"/>
    <w:rsid w:val="005B6A9C"/>
    <w:rsid w:val="005B6E37"/>
    <w:rsid w:val="005B6E47"/>
    <w:rsid w:val="005B6F39"/>
    <w:rsid w:val="005B6FF5"/>
    <w:rsid w:val="005B71C6"/>
    <w:rsid w:val="005B7897"/>
    <w:rsid w:val="005C01C3"/>
    <w:rsid w:val="005C01E3"/>
    <w:rsid w:val="005C03DD"/>
    <w:rsid w:val="005C043C"/>
    <w:rsid w:val="005C0559"/>
    <w:rsid w:val="005C076D"/>
    <w:rsid w:val="005C09DF"/>
    <w:rsid w:val="005C0A0E"/>
    <w:rsid w:val="005C0D5D"/>
    <w:rsid w:val="005C1078"/>
    <w:rsid w:val="005C1490"/>
    <w:rsid w:val="005C1621"/>
    <w:rsid w:val="005C1748"/>
    <w:rsid w:val="005C1767"/>
    <w:rsid w:val="005C1947"/>
    <w:rsid w:val="005C1B84"/>
    <w:rsid w:val="005C1D70"/>
    <w:rsid w:val="005C22EF"/>
    <w:rsid w:val="005C271B"/>
    <w:rsid w:val="005C2727"/>
    <w:rsid w:val="005C277F"/>
    <w:rsid w:val="005C28A5"/>
    <w:rsid w:val="005C2BD7"/>
    <w:rsid w:val="005C2D6C"/>
    <w:rsid w:val="005C3958"/>
    <w:rsid w:val="005C40A1"/>
    <w:rsid w:val="005C42D0"/>
    <w:rsid w:val="005C4586"/>
    <w:rsid w:val="005C4619"/>
    <w:rsid w:val="005C48D9"/>
    <w:rsid w:val="005C4CB5"/>
    <w:rsid w:val="005C5BD9"/>
    <w:rsid w:val="005C6950"/>
    <w:rsid w:val="005C696D"/>
    <w:rsid w:val="005C6D50"/>
    <w:rsid w:val="005C73EB"/>
    <w:rsid w:val="005C7504"/>
    <w:rsid w:val="005C768D"/>
    <w:rsid w:val="005C7822"/>
    <w:rsid w:val="005C7C1A"/>
    <w:rsid w:val="005C7E46"/>
    <w:rsid w:val="005C7E5F"/>
    <w:rsid w:val="005D048D"/>
    <w:rsid w:val="005D07D7"/>
    <w:rsid w:val="005D0D2B"/>
    <w:rsid w:val="005D0D6B"/>
    <w:rsid w:val="005D0E40"/>
    <w:rsid w:val="005D0F25"/>
    <w:rsid w:val="005D1016"/>
    <w:rsid w:val="005D141F"/>
    <w:rsid w:val="005D1568"/>
    <w:rsid w:val="005D1D72"/>
    <w:rsid w:val="005D2A5F"/>
    <w:rsid w:val="005D2BC2"/>
    <w:rsid w:val="005D2D3B"/>
    <w:rsid w:val="005D32B0"/>
    <w:rsid w:val="005D36D3"/>
    <w:rsid w:val="005D3D67"/>
    <w:rsid w:val="005D3F4F"/>
    <w:rsid w:val="005D400B"/>
    <w:rsid w:val="005D406B"/>
    <w:rsid w:val="005D42CA"/>
    <w:rsid w:val="005D46EC"/>
    <w:rsid w:val="005D4C0E"/>
    <w:rsid w:val="005D4CCC"/>
    <w:rsid w:val="005D4DA6"/>
    <w:rsid w:val="005D53C2"/>
    <w:rsid w:val="005D558B"/>
    <w:rsid w:val="005D61D3"/>
    <w:rsid w:val="005D6419"/>
    <w:rsid w:val="005D686E"/>
    <w:rsid w:val="005D6BE7"/>
    <w:rsid w:val="005D6C7F"/>
    <w:rsid w:val="005D6F0D"/>
    <w:rsid w:val="005D72AC"/>
    <w:rsid w:val="005D7312"/>
    <w:rsid w:val="005D757C"/>
    <w:rsid w:val="005D7668"/>
    <w:rsid w:val="005D7E72"/>
    <w:rsid w:val="005E0061"/>
    <w:rsid w:val="005E01BC"/>
    <w:rsid w:val="005E0472"/>
    <w:rsid w:val="005E0771"/>
    <w:rsid w:val="005E0BEC"/>
    <w:rsid w:val="005E1395"/>
    <w:rsid w:val="005E16D4"/>
    <w:rsid w:val="005E17F4"/>
    <w:rsid w:val="005E1B14"/>
    <w:rsid w:val="005E1E2B"/>
    <w:rsid w:val="005E1E95"/>
    <w:rsid w:val="005E2369"/>
    <w:rsid w:val="005E237B"/>
    <w:rsid w:val="005E262B"/>
    <w:rsid w:val="005E26A6"/>
    <w:rsid w:val="005E27C3"/>
    <w:rsid w:val="005E27E7"/>
    <w:rsid w:val="005E2F10"/>
    <w:rsid w:val="005E2FF5"/>
    <w:rsid w:val="005E30B8"/>
    <w:rsid w:val="005E385B"/>
    <w:rsid w:val="005E39DA"/>
    <w:rsid w:val="005E3B7C"/>
    <w:rsid w:val="005E3EC4"/>
    <w:rsid w:val="005E40BF"/>
    <w:rsid w:val="005E4113"/>
    <w:rsid w:val="005E42EC"/>
    <w:rsid w:val="005E431D"/>
    <w:rsid w:val="005E43F0"/>
    <w:rsid w:val="005E4C78"/>
    <w:rsid w:val="005E4F34"/>
    <w:rsid w:val="005E4FB0"/>
    <w:rsid w:val="005E50DC"/>
    <w:rsid w:val="005E51A9"/>
    <w:rsid w:val="005E5594"/>
    <w:rsid w:val="005E57E3"/>
    <w:rsid w:val="005E58CF"/>
    <w:rsid w:val="005E5B12"/>
    <w:rsid w:val="005E5E9E"/>
    <w:rsid w:val="005E6088"/>
    <w:rsid w:val="005E6101"/>
    <w:rsid w:val="005E61C9"/>
    <w:rsid w:val="005E6352"/>
    <w:rsid w:val="005E64B5"/>
    <w:rsid w:val="005E6617"/>
    <w:rsid w:val="005E6EBD"/>
    <w:rsid w:val="005E6F80"/>
    <w:rsid w:val="005E70E7"/>
    <w:rsid w:val="005E7952"/>
    <w:rsid w:val="005E7BB7"/>
    <w:rsid w:val="005F006F"/>
    <w:rsid w:val="005F01CD"/>
    <w:rsid w:val="005F07D8"/>
    <w:rsid w:val="005F0D89"/>
    <w:rsid w:val="005F0E72"/>
    <w:rsid w:val="005F1427"/>
    <w:rsid w:val="005F1F08"/>
    <w:rsid w:val="005F23AD"/>
    <w:rsid w:val="005F3091"/>
    <w:rsid w:val="005F339F"/>
    <w:rsid w:val="005F34AE"/>
    <w:rsid w:val="005F3685"/>
    <w:rsid w:val="005F38BC"/>
    <w:rsid w:val="005F3AD1"/>
    <w:rsid w:val="005F4119"/>
    <w:rsid w:val="005F446F"/>
    <w:rsid w:val="005F46D4"/>
    <w:rsid w:val="005F470C"/>
    <w:rsid w:val="005F48D9"/>
    <w:rsid w:val="005F521F"/>
    <w:rsid w:val="005F536B"/>
    <w:rsid w:val="005F5509"/>
    <w:rsid w:val="005F578B"/>
    <w:rsid w:val="005F5BAD"/>
    <w:rsid w:val="005F5D86"/>
    <w:rsid w:val="005F6016"/>
    <w:rsid w:val="005F65D6"/>
    <w:rsid w:val="005F68E7"/>
    <w:rsid w:val="005F6FBE"/>
    <w:rsid w:val="005F708B"/>
    <w:rsid w:val="005F76E6"/>
    <w:rsid w:val="005F77ED"/>
    <w:rsid w:val="005F7A43"/>
    <w:rsid w:val="005F7BF5"/>
    <w:rsid w:val="005F7D8B"/>
    <w:rsid w:val="0060023C"/>
    <w:rsid w:val="006003BF"/>
    <w:rsid w:val="00600497"/>
    <w:rsid w:val="00600921"/>
    <w:rsid w:val="00600D06"/>
    <w:rsid w:val="00600F6F"/>
    <w:rsid w:val="006010B5"/>
    <w:rsid w:val="00601320"/>
    <w:rsid w:val="006017E2"/>
    <w:rsid w:val="00601D23"/>
    <w:rsid w:val="00601F55"/>
    <w:rsid w:val="006020B2"/>
    <w:rsid w:val="006021DF"/>
    <w:rsid w:val="006023F8"/>
    <w:rsid w:val="0060282D"/>
    <w:rsid w:val="00602A93"/>
    <w:rsid w:val="00602AD7"/>
    <w:rsid w:val="00602E53"/>
    <w:rsid w:val="0060312C"/>
    <w:rsid w:val="00603356"/>
    <w:rsid w:val="00603412"/>
    <w:rsid w:val="00603676"/>
    <w:rsid w:val="00603680"/>
    <w:rsid w:val="00604046"/>
    <w:rsid w:val="00604154"/>
    <w:rsid w:val="00604ABB"/>
    <w:rsid w:val="00605241"/>
    <w:rsid w:val="00605B20"/>
    <w:rsid w:val="00605DA8"/>
    <w:rsid w:val="00606669"/>
    <w:rsid w:val="00606853"/>
    <w:rsid w:val="006068DE"/>
    <w:rsid w:val="00606AFC"/>
    <w:rsid w:val="00606FB0"/>
    <w:rsid w:val="00607122"/>
    <w:rsid w:val="0060740E"/>
    <w:rsid w:val="00607E31"/>
    <w:rsid w:val="006105C7"/>
    <w:rsid w:val="00610798"/>
    <w:rsid w:val="006107EF"/>
    <w:rsid w:val="006109D2"/>
    <w:rsid w:val="006111EE"/>
    <w:rsid w:val="0061127F"/>
    <w:rsid w:val="00611406"/>
    <w:rsid w:val="00611855"/>
    <w:rsid w:val="006119C3"/>
    <w:rsid w:val="00611EBC"/>
    <w:rsid w:val="00611F44"/>
    <w:rsid w:val="00611F7B"/>
    <w:rsid w:val="0061237B"/>
    <w:rsid w:val="006128A6"/>
    <w:rsid w:val="006129D0"/>
    <w:rsid w:val="00612A0C"/>
    <w:rsid w:val="00613584"/>
    <w:rsid w:val="0061366C"/>
    <w:rsid w:val="00613D46"/>
    <w:rsid w:val="00613D4E"/>
    <w:rsid w:val="00613DA8"/>
    <w:rsid w:val="00613E18"/>
    <w:rsid w:val="00614535"/>
    <w:rsid w:val="00614566"/>
    <w:rsid w:val="00614DD4"/>
    <w:rsid w:val="0061512B"/>
    <w:rsid w:val="006153CE"/>
    <w:rsid w:val="00615563"/>
    <w:rsid w:val="00615747"/>
    <w:rsid w:val="00615A4E"/>
    <w:rsid w:val="00615BD6"/>
    <w:rsid w:val="00615D5F"/>
    <w:rsid w:val="00615E44"/>
    <w:rsid w:val="00616B9E"/>
    <w:rsid w:val="00616EF4"/>
    <w:rsid w:val="00616F66"/>
    <w:rsid w:val="0061702F"/>
    <w:rsid w:val="006176B8"/>
    <w:rsid w:val="006178E5"/>
    <w:rsid w:val="0062036F"/>
    <w:rsid w:val="00620413"/>
    <w:rsid w:val="0062092C"/>
    <w:rsid w:val="00620A0C"/>
    <w:rsid w:val="00620B40"/>
    <w:rsid w:val="006212E6"/>
    <w:rsid w:val="006219BD"/>
    <w:rsid w:val="00621E98"/>
    <w:rsid w:val="00622085"/>
    <w:rsid w:val="0062218F"/>
    <w:rsid w:val="0062220D"/>
    <w:rsid w:val="006223D2"/>
    <w:rsid w:val="00622767"/>
    <w:rsid w:val="00622918"/>
    <w:rsid w:val="006229D4"/>
    <w:rsid w:val="00622BC0"/>
    <w:rsid w:val="00622C54"/>
    <w:rsid w:val="00622FCB"/>
    <w:rsid w:val="00623738"/>
    <w:rsid w:val="00623790"/>
    <w:rsid w:val="00623965"/>
    <w:rsid w:val="00623CD2"/>
    <w:rsid w:val="00623E7F"/>
    <w:rsid w:val="00623E8F"/>
    <w:rsid w:val="0062400E"/>
    <w:rsid w:val="006240A3"/>
    <w:rsid w:val="0062436F"/>
    <w:rsid w:val="00624828"/>
    <w:rsid w:val="00624D16"/>
    <w:rsid w:val="0062532A"/>
    <w:rsid w:val="00625C47"/>
    <w:rsid w:val="00626014"/>
    <w:rsid w:val="00626AC8"/>
    <w:rsid w:val="00626C6A"/>
    <w:rsid w:val="00626EB4"/>
    <w:rsid w:val="00627114"/>
    <w:rsid w:val="006272C5"/>
    <w:rsid w:val="006274F7"/>
    <w:rsid w:val="0062763B"/>
    <w:rsid w:val="00627964"/>
    <w:rsid w:val="00627B0C"/>
    <w:rsid w:val="00630012"/>
    <w:rsid w:val="0063037F"/>
    <w:rsid w:val="006304EB"/>
    <w:rsid w:val="00630535"/>
    <w:rsid w:val="0063094B"/>
    <w:rsid w:val="00631299"/>
    <w:rsid w:val="006312DC"/>
    <w:rsid w:val="00631661"/>
    <w:rsid w:val="00631695"/>
    <w:rsid w:val="0063194E"/>
    <w:rsid w:val="00631F48"/>
    <w:rsid w:val="00631F52"/>
    <w:rsid w:val="00631FAC"/>
    <w:rsid w:val="00632002"/>
    <w:rsid w:val="00632100"/>
    <w:rsid w:val="00632245"/>
    <w:rsid w:val="0063237F"/>
    <w:rsid w:val="00632590"/>
    <w:rsid w:val="006328EF"/>
    <w:rsid w:val="00632D2C"/>
    <w:rsid w:val="00632D82"/>
    <w:rsid w:val="00633420"/>
    <w:rsid w:val="00633462"/>
    <w:rsid w:val="006337EA"/>
    <w:rsid w:val="006340B9"/>
    <w:rsid w:val="00634210"/>
    <w:rsid w:val="00634903"/>
    <w:rsid w:val="00634A15"/>
    <w:rsid w:val="00634A84"/>
    <w:rsid w:val="00634DAB"/>
    <w:rsid w:val="00634F12"/>
    <w:rsid w:val="00634FC7"/>
    <w:rsid w:val="00634FD1"/>
    <w:rsid w:val="006356BA"/>
    <w:rsid w:val="006361BC"/>
    <w:rsid w:val="00636531"/>
    <w:rsid w:val="00636659"/>
    <w:rsid w:val="00636AB3"/>
    <w:rsid w:val="00636B4A"/>
    <w:rsid w:val="00636D3D"/>
    <w:rsid w:val="00636D5D"/>
    <w:rsid w:val="0063728A"/>
    <w:rsid w:val="00637941"/>
    <w:rsid w:val="00637E48"/>
    <w:rsid w:val="00640159"/>
    <w:rsid w:val="00640245"/>
    <w:rsid w:val="006402C7"/>
    <w:rsid w:val="006406D8"/>
    <w:rsid w:val="00640909"/>
    <w:rsid w:val="00640A26"/>
    <w:rsid w:val="006410F0"/>
    <w:rsid w:val="006414F2"/>
    <w:rsid w:val="00641529"/>
    <w:rsid w:val="006418B6"/>
    <w:rsid w:val="00641D09"/>
    <w:rsid w:val="0064211E"/>
    <w:rsid w:val="0064284B"/>
    <w:rsid w:val="0064291B"/>
    <w:rsid w:val="00642C27"/>
    <w:rsid w:val="00642F76"/>
    <w:rsid w:val="0064308B"/>
    <w:rsid w:val="006433F1"/>
    <w:rsid w:val="00643699"/>
    <w:rsid w:val="0064398B"/>
    <w:rsid w:val="006439A2"/>
    <w:rsid w:val="00643C9A"/>
    <w:rsid w:val="006442F7"/>
    <w:rsid w:val="0064481B"/>
    <w:rsid w:val="00644B37"/>
    <w:rsid w:val="00644B8C"/>
    <w:rsid w:val="00644BF3"/>
    <w:rsid w:val="006452B0"/>
    <w:rsid w:val="00645BE3"/>
    <w:rsid w:val="00645F63"/>
    <w:rsid w:val="006462CD"/>
    <w:rsid w:val="006464E3"/>
    <w:rsid w:val="0064667E"/>
    <w:rsid w:val="00646873"/>
    <w:rsid w:val="00646B73"/>
    <w:rsid w:val="00646D98"/>
    <w:rsid w:val="00646F65"/>
    <w:rsid w:val="00647046"/>
    <w:rsid w:val="006471B0"/>
    <w:rsid w:val="006474A9"/>
    <w:rsid w:val="0064751E"/>
    <w:rsid w:val="006476D3"/>
    <w:rsid w:val="00647F29"/>
    <w:rsid w:val="00647F54"/>
    <w:rsid w:val="0065062F"/>
    <w:rsid w:val="00650B52"/>
    <w:rsid w:val="00650B86"/>
    <w:rsid w:val="00650BB9"/>
    <w:rsid w:val="00650F0B"/>
    <w:rsid w:val="00650FE1"/>
    <w:rsid w:val="00651291"/>
    <w:rsid w:val="0065168F"/>
    <w:rsid w:val="00651771"/>
    <w:rsid w:val="00651874"/>
    <w:rsid w:val="0065187A"/>
    <w:rsid w:val="00651EB0"/>
    <w:rsid w:val="0065280E"/>
    <w:rsid w:val="00652842"/>
    <w:rsid w:val="0065349F"/>
    <w:rsid w:val="00653553"/>
    <w:rsid w:val="00653917"/>
    <w:rsid w:val="00653A4D"/>
    <w:rsid w:val="00653EEA"/>
    <w:rsid w:val="0065423E"/>
    <w:rsid w:val="00654290"/>
    <w:rsid w:val="0065457E"/>
    <w:rsid w:val="006549B7"/>
    <w:rsid w:val="00654CF2"/>
    <w:rsid w:val="00654F19"/>
    <w:rsid w:val="0065539A"/>
    <w:rsid w:val="006560ED"/>
    <w:rsid w:val="006561CB"/>
    <w:rsid w:val="0065690E"/>
    <w:rsid w:val="0065696C"/>
    <w:rsid w:val="00656AFE"/>
    <w:rsid w:val="00656F30"/>
    <w:rsid w:val="00657069"/>
    <w:rsid w:val="006572AB"/>
    <w:rsid w:val="00657663"/>
    <w:rsid w:val="00657A5C"/>
    <w:rsid w:val="00657C98"/>
    <w:rsid w:val="006602B5"/>
    <w:rsid w:val="00660511"/>
    <w:rsid w:val="006605B8"/>
    <w:rsid w:val="006608E3"/>
    <w:rsid w:val="00660C6B"/>
    <w:rsid w:val="00660E46"/>
    <w:rsid w:val="00660EA0"/>
    <w:rsid w:val="0066150B"/>
    <w:rsid w:val="00661DF0"/>
    <w:rsid w:val="00661E8D"/>
    <w:rsid w:val="00662057"/>
    <w:rsid w:val="006621FD"/>
    <w:rsid w:val="00662235"/>
    <w:rsid w:val="00662374"/>
    <w:rsid w:val="00662531"/>
    <w:rsid w:val="00662B75"/>
    <w:rsid w:val="00662C08"/>
    <w:rsid w:val="00662F2F"/>
    <w:rsid w:val="0066302A"/>
    <w:rsid w:val="00663AF4"/>
    <w:rsid w:val="00663B00"/>
    <w:rsid w:val="00663B27"/>
    <w:rsid w:val="00664161"/>
    <w:rsid w:val="0066425F"/>
    <w:rsid w:val="00664477"/>
    <w:rsid w:val="00664C74"/>
    <w:rsid w:val="0066538D"/>
    <w:rsid w:val="00665443"/>
    <w:rsid w:val="00665554"/>
    <w:rsid w:val="006655EF"/>
    <w:rsid w:val="00665AD9"/>
    <w:rsid w:val="00665B77"/>
    <w:rsid w:val="00665D6A"/>
    <w:rsid w:val="006663CB"/>
    <w:rsid w:val="0066648D"/>
    <w:rsid w:val="00666930"/>
    <w:rsid w:val="00666ED4"/>
    <w:rsid w:val="00667357"/>
    <w:rsid w:val="006678F5"/>
    <w:rsid w:val="00667BD5"/>
    <w:rsid w:val="00667BEE"/>
    <w:rsid w:val="00670304"/>
    <w:rsid w:val="00670529"/>
    <w:rsid w:val="006709A3"/>
    <w:rsid w:val="00670FE8"/>
    <w:rsid w:val="00671081"/>
    <w:rsid w:val="00671459"/>
    <w:rsid w:val="0067160B"/>
    <w:rsid w:val="00671830"/>
    <w:rsid w:val="00671ACB"/>
    <w:rsid w:val="00671B1C"/>
    <w:rsid w:val="00671B56"/>
    <w:rsid w:val="00671BB5"/>
    <w:rsid w:val="00671E1A"/>
    <w:rsid w:val="00671EA6"/>
    <w:rsid w:val="00671F08"/>
    <w:rsid w:val="0067232F"/>
    <w:rsid w:val="00672426"/>
    <w:rsid w:val="00672710"/>
    <w:rsid w:val="00672CDE"/>
    <w:rsid w:val="00672FA8"/>
    <w:rsid w:val="006730CD"/>
    <w:rsid w:val="006733D0"/>
    <w:rsid w:val="0067377C"/>
    <w:rsid w:val="006737F1"/>
    <w:rsid w:val="006738EE"/>
    <w:rsid w:val="00673EF0"/>
    <w:rsid w:val="00674B59"/>
    <w:rsid w:val="006751FA"/>
    <w:rsid w:val="0067521A"/>
    <w:rsid w:val="00675961"/>
    <w:rsid w:val="00675FB9"/>
    <w:rsid w:val="0067601B"/>
    <w:rsid w:val="00676095"/>
    <w:rsid w:val="00676270"/>
    <w:rsid w:val="0067689F"/>
    <w:rsid w:val="00676CAC"/>
    <w:rsid w:val="0067711F"/>
    <w:rsid w:val="00677A46"/>
    <w:rsid w:val="00677B86"/>
    <w:rsid w:val="0068031E"/>
    <w:rsid w:val="006805FF"/>
    <w:rsid w:val="00680669"/>
    <w:rsid w:val="00680B7F"/>
    <w:rsid w:val="00680E9A"/>
    <w:rsid w:val="00681070"/>
    <w:rsid w:val="006814B6"/>
    <w:rsid w:val="00681D23"/>
    <w:rsid w:val="00681D37"/>
    <w:rsid w:val="00681DED"/>
    <w:rsid w:val="006822AA"/>
    <w:rsid w:val="00682345"/>
    <w:rsid w:val="0068235D"/>
    <w:rsid w:val="00682656"/>
    <w:rsid w:val="006826E5"/>
    <w:rsid w:val="006829C9"/>
    <w:rsid w:val="00682B5F"/>
    <w:rsid w:val="00682C9E"/>
    <w:rsid w:val="00682CF5"/>
    <w:rsid w:val="00682EC8"/>
    <w:rsid w:val="0068309D"/>
    <w:rsid w:val="006831BE"/>
    <w:rsid w:val="0068324F"/>
    <w:rsid w:val="006832A2"/>
    <w:rsid w:val="006832AA"/>
    <w:rsid w:val="006832BE"/>
    <w:rsid w:val="0068383A"/>
    <w:rsid w:val="00683B19"/>
    <w:rsid w:val="00683F3A"/>
    <w:rsid w:val="0068435C"/>
    <w:rsid w:val="00684625"/>
    <w:rsid w:val="00684888"/>
    <w:rsid w:val="00684890"/>
    <w:rsid w:val="006849F6"/>
    <w:rsid w:val="00684BB4"/>
    <w:rsid w:val="00684FB4"/>
    <w:rsid w:val="00685492"/>
    <w:rsid w:val="0068564B"/>
    <w:rsid w:val="00685A5F"/>
    <w:rsid w:val="00686785"/>
    <w:rsid w:val="00686D38"/>
    <w:rsid w:val="00686D70"/>
    <w:rsid w:val="00687101"/>
    <w:rsid w:val="00687B1C"/>
    <w:rsid w:val="00687D72"/>
    <w:rsid w:val="00690134"/>
    <w:rsid w:val="0069022E"/>
    <w:rsid w:val="006906F1"/>
    <w:rsid w:val="00690E42"/>
    <w:rsid w:val="006911FF"/>
    <w:rsid w:val="0069120A"/>
    <w:rsid w:val="00691229"/>
    <w:rsid w:val="00691342"/>
    <w:rsid w:val="00691959"/>
    <w:rsid w:val="00691DFF"/>
    <w:rsid w:val="00692353"/>
    <w:rsid w:val="006926EB"/>
    <w:rsid w:val="00692DD1"/>
    <w:rsid w:val="0069322D"/>
    <w:rsid w:val="00693288"/>
    <w:rsid w:val="0069334D"/>
    <w:rsid w:val="00693ADE"/>
    <w:rsid w:val="00693AE8"/>
    <w:rsid w:val="00693C43"/>
    <w:rsid w:val="00693D9B"/>
    <w:rsid w:val="00693E8E"/>
    <w:rsid w:val="006941AE"/>
    <w:rsid w:val="00694B70"/>
    <w:rsid w:val="00694C76"/>
    <w:rsid w:val="00694D7D"/>
    <w:rsid w:val="00694DE8"/>
    <w:rsid w:val="006952F8"/>
    <w:rsid w:val="0069540E"/>
    <w:rsid w:val="00695BEA"/>
    <w:rsid w:val="00695EBA"/>
    <w:rsid w:val="006962D7"/>
    <w:rsid w:val="00696609"/>
    <w:rsid w:val="00696708"/>
    <w:rsid w:val="00696DE6"/>
    <w:rsid w:val="00696E9C"/>
    <w:rsid w:val="00696F28"/>
    <w:rsid w:val="00696F59"/>
    <w:rsid w:val="0069720B"/>
    <w:rsid w:val="006972E0"/>
    <w:rsid w:val="00697939"/>
    <w:rsid w:val="006A0516"/>
    <w:rsid w:val="006A0979"/>
    <w:rsid w:val="006A09D6"/>
    <w:rsid w:val="006A0A4A"/>
    <w:rsid w:val="006A0E05"/>
    <w:rsid w:val="006A0FD6"/>
    <w:rsid w:val="006A1388"/>
    <w:rsid w:val="006A1989"/>
    <w:rsid w:val="006A1D1C"/>
    <w:rsid w:val="006A1E28"/>
    <w:rsid w:val="006A1E55"/>
    <w:rsid w:val="006A1E58"/>
    <w:rsid w:val="006A22C2"/>
    <w:rsid w:val="006A2B09"/>
    <w:rsid w:val="006A2DFC"/>
    <w:rsid w:val="006A3356"/>
    <w:rsid w:val="006A3A5A"/>
    <w:rsid w:val="006A3BA4"/>
    <w:rsid w:val="006A40D8"/>
    <w:rsid w:val="006A47B1"/>
    <w:rsid w:val="006A49AE"/>
    <w:rsid w:val="006A4AFF"/>
    <w:rsid w:val="006A4D78"/>
    <w:rsid w:val="006A4DD7"/>
    <w:rsid w:val="006A5231"/>
    <w:rsid w:val="006A52B9"/>
    <w:rsid w:val="006A5562"/>
    <w:rsid w:val="006A576D"/>
    <w:rsid w:val="006A57C0"/>
    <w:rsid w:val="006A57C4"/>
    <w:rsid w:val="006A5B6D"/>
    <w:rsid w:val="006A5D0F"/>
    <w:rsid w:val="006A611A"/>
    <w:rsid w:val="006A65A5"/>
    <w:rsid w:val="006A65AB"/>
    <w:rsid w:val="006A6CFF"/>
    <w:rsid w:val="006A754F"/>
    <w:rsid w:val="006A755B"/>
    <w:rsid w:val="006A7B5C"/>
    <w:rsid w:val="006B014A"/>
    <w:rsid w:val="006B03C9"/>
    <w:rsid w:val="006B06A0"/>
    <w:rsid w:val="006B0790"/>
    <w:rsid w:val="006B08CD"/>
    <w:rsid w:val="006B09A9"/>
    <w:rsid w:val="006B0CBD"/>
    <w:rsid w:val="006B0DD4"/>
    <w:rsid w:val="006B0F81"/>
    <w:rsid w:val="006B122E"/>
    <w:rsid w:val="006B1442"/>
    <w:rsid w:val="006B174A"/>
    <w:rsid w:val="006B1C23"/>
    <w:rsid w:val="006B2037"/>
    <w:rsid w:val="006B2239"/>
    <w:rsid w:val="006B2374"/>
    <w:rsid w:val="006B270F"/>
    <w:rsid w:val="006B2F1A"/>
    <w:rsid w:val="006B317D"/>
    <w:rsid w:val="006B3A4A"/>
    <w:rsid w:val="006B3EDF"/>
    <w:rsid w:val="006B3F9A"/>
    <w:rsid w:val="006B4284"/>
    <w:rsid w:val="006B451C"/>
    <w:rsid w:val="006B4836"/>
    <w:rsid w:val="006B4DC5"/>
    <w:rsid w:val="006B4DCB"/>
    <w:rsid w:val="006B4F71"/>
    <w:rsid w:val="006B5E7F"/>
    <w:rsid w:val="006B5F50"/>
    <w:rsid w:val="006B60EF"/>
    <w:rsid w:val="006B6410"/>
    <w:rsid w:val="006B6B74"/>
    <w:rsid w:val="006B6C5C"/>
    <w:rsid w:val="006B6F60"/>
    <w:rsid w:val="006B7258"/>
    <w:rsid w:val="006B7AA9"/>
    <w:rsid w:val="006B7ADC"/>
    <w:rsid w:val="006C0002"/>
    <w:rsid w:val="006C04E6"/>
    <w:rsid w:val="006C04EE"/>
    <w:rsid w:val="006C058D"/>
    <w:rsid w:val="006C0EC9"/>
    <w:rsid w:val="006C1277"/>
    <w:rsid w:val="006C1316"/>
    <w:rsid w:val="006C1480"/>
    <w:rsid w:val="006C1675"/>
    <w:rsid w:val="006C187F"/>
    <w:rsid w:val="006C18E7"/>
    <w:rsid w:val="006C1F1B"/>
    <w:rsid w:val="006C279E"/>
    <w:rsid w:val="006C286F"/>
    <w:rsid w:val="006C2E91"/>
    <w:rsid w:val="006C2ED3"/>
    <w:rsid w:val="006C320C"/>
    <w:rsid w:val="006C322B"/>
    <w:rsid w:val="006C34C0"/>
    <w:rsid w:val="006C3C54"/>
    <w:rsid w:val="006C3D7F"/>
    <w:rsid w:val="006C3E9C"/>
    <w:rsid w:val="006C453A"/>
    <w:rsid w:val="006C4777"/>
    <w:rsid w:val="006C4B1B"/>
    <w:rsid w:val="006C4B67"/>
    <w:rsid w:val="006C52EE"/>
    <w:rsid w:val="006C558B"/>
    <w:rsid w:val="006C579D"/>
    <w:rsid w:val="006C5917"/>
    <w:rsid w:val="006C5ACC"/>
    <w:rsid w:val="006C5C75"/>
    <w:rsid w:val="006C5E2E"/>
    <w:rsid w:val="006C5E3A"/>
    <w:rsid w:val="006C5F62"/>
    <w:rsid w:val="006C67E5"/>
    <w:rsid w:val="006C6B3A"/>
    <w:rsid w:val="006C74FF"/>
    <w:rsid w:val="006C79C7"/>
    <w:rsid w:val="006C7D2B"/>
    <w:rsid w:val="006C7F04"/>
    <w:rsid w:val="006D0362"/>
    <w:rsid w:val="006D078C"/>
    <w:rsid w:val="006D093A"/>
    <w:rsid w:val="006D09BD"/>
    <w:rsid w:val="006D0C21"/>
    <w:rsid w:val="006D0CA6"/>
    <w:rsid w:val="006D0F49"/>
    <w:rsid w:val="006D0FAC"/>
    <w:rsid w:val="006D10D2"/>
    <w:rsid w:val="006D158E"/>
    <w:rsid w:val="006D15C8"/>
    <w:rsid w:val="006D2C87"/>
    <w:rsid w:val="006D37BC"/>
    <w:rsid w:val="006D384A"/>
    <w:rsid w:val="006D38E5"/>
    <w:rsid w:val="006D3CDC"/>
    <w:rsid w:val="006D3D24"/>
    <w:rsid w:val="006D3E64"/>
    <w:rsid w:val="006D40D4"/>
    <w:rsid w:val="006D4168"/>
    <w:rsid w:val="006D442F"/>
    <w:rsid w:val="006D484B"/>
    <w:rsid w:val="006D48B2"/>
    <w:rsid w:val="006D4A3C"/>
    <w:rsid w:val="006D54AE"/>
    <w:rsid w:val="006D555D"/>
    <w:rsid w:val="006D571D"/>
    <w:rsid w:val="006D5D00"/>
    <w:rsid w:val="006D5D06"/>
    <w:rsid w:val="006D6005"/>
    <w:rsid w:val="006D628A"/>
    <w:rsid w:val="006D65F1"/>
    <w:rsid w:val="006D6752"/>
    <w:rsid w:val="006D698E"/>
    <w:rsid w:val="006D76A4"/>
    <w:rsid w:val="006D76A5"/>
    <w:rsid w:val="006D7B40"/>
    <w:rsid w:val="006D7C53"/>
    <w:rsid w:val="006D7CA0"/>
    <w:rsid w:val="006D7FC0"/>
    <w:rsid w:val="006E00AE"/>
    <w:rsid w:val="006E021E"/>
    <w:rsid w:val="006E036F"/>
    <w:rsid w:val="006E05B3"/>
    <w:rsid w:val="006E065C"/>
    <w:rsid w:val="006E0BC0"/>
    <w:rsid w:val="006E12D3"/>
    <w:rsid w:val="006E16A5"/>
    <w:rsid w:val="006E1A7B"/>
    <w:rsid w:val="006E1BB2"/>
    <w:rsid w:val="006E1C12"/>
    <w:rsid w:val="006E1CCC"/>
    <w:rsid w:val="006E2086"/>
    <w:rsid w:val="006E22F3"/>
    <w:rsid w:val="006E2623"/>
    <w:rsid w:val="006E2907"/>
    <w:rsid w:val="006E2A12"/>
    <w:rsid w:val="006E2EC6"/>
    <w:rsid w:val="006E2F46"/>
    <w:rsid w:val="006E30BA"/>
    <w:rsid w:val="006E3123"/>
    <w:rsid w:val="006E3236"/>
    <w:rsid w:val="006E36EF"/>
    <w:rsid w:val="006E4031"/>
    <w:rsid w:val="006E4408"/>
    <w:rsid w:val="006E44D8"/>
    <w:rsid w:val="006E5589"/>
    <w:rsid w:val="006E59DC"/>
    <w:rsid w:val="006E5BE1"/>
    <w:rsid w:val="006E5C1E"/>
    <w:rsid w:val="006E65B3"/>
    <w:rsid w:val="006E6F00"/>
    <w:rsid w:val="006E7172"/>
    <w:rsid w:val="006E71C0"/>
    <w:rsid w:val="006E71D9"/>
    <w:rsid w:val="006E72E3"/>
    <w:rsid w:val="006E734E"/>
    <w:rsid w:val="006E74F2"/>
    <w:rsid w:val="006E7A13"/>
    <w:rsid w:val="006E7D73"/>
    <w:rsid w:val="006E7EAC"/>
    <w:rsid w:val="006E7ECE"/>
    <w:rsid w:val="006F0124"/>
    <w:rsid w:val="006F0636"/>
    <w:rsid w:val="006F0C35"/>
    <w:rsid w:val="006F0C87"/>
    <w:rsid w:val="006F1029"/>
    <w:rsid w:val="006F1241"/>
    <w:rsid w:val="006F1457"/>
    <w:rsid w:val="006F16F5"/>
    <w:rsid w:val="006F17F7"/>
    <w:rsid w:val="006F1B1A"/>
    <w:rsid w:val="006F1FB3"/>
    <w:rsid w:val="006F2228"/>
    <w:rsid w:val="006F25B6"/>
    <w:rsid w:val="006F2884"/>
    <w:rsid w:val="006F2D7E"/>
    <w:rsid w:val="006F371C"/>
    <w:rsid w:val="006F3CD3"/>
    <w:rsid w:val="006F3D70"/>
    <w:rsid w:val="006F3F08"/>
    <w:rsid w:val="006F3F85"/>
    <w:rsid w:val="006F4071"/>
    <w:rsid w:val="006F42C5"/>
    <w:rsid w:val="006F4368"/>
    <w:rsid w:val="006F4516"/>
    <w:rsid w:val="006F4ADF"/>
    <w:rsid w:val="006F4AE2"/>
    <w:rsid w:val="006F4B80"/>
    <w:rsid w:val="006F5013"/>
    <w:rsid w:val="006F51AC"/>
    <w:rsid w:val="006F58C9"/>
    <w:rsid w:val="006F5AE0"/>
    <w:rsid w:val="006F6393"/>
    <w:rsid w:val="006F65DA"/>
    <w:rsid w:val="006F6B59"/>
    <w:rsid w:val="006F6D8E"/>
    <w:rsid w:val="006F7641"/>
    <w:rsid w:val="006F799E"/>
    <w:rsid w:val="006F7FC5"/>
    <w:rsid w:val="007004B1"/>
    <w:rsid w:val="00700BB0"/>
    <w:rsid w:val="00700CAA"/>
    <w:rsid w:val="00700CE1"/>
    <w:rsid w:val="007019DF"/>
    <w:rsid w:val="00701B90"/>
    <w:rsid w:val="00701E2A"/>
    <w:rsid w:val="0070243C"/>
    <w:rsid w:val="00702921"/>
    <w:rsid w:val="00702B01"/>
    <w:rsid w:val="00702C05"/>
    <w:rsid w:val="00702CFB"/>
    <w:rsid w:val="00703780"/>
    <w:rsid w:val="00703803"/>
    <w:rsid w:val="00703B36"/>
    <w:rsid w:val="00703C68"/>
    <w:rsid w:val="00703FFF"/>
    <w:rsid w:val="007040C7"/>
    <w:rsid w:val="0070432F"/>
    <w:rsid w:val="00704854"/>
    <w:rsid w:val="00704C7E"/>
    <w:rsid w:val="00704C96"/>
    <w:rsid w:val="0070525D"/>
    <w:rsid w:val="007055F6"/>
    <w:rsid w:val="007056F9"/>
    <w:rsid w:val="00705AC7"/>
    <w:rsid w:val="00705CE7"/>
    <w:rsid w:val="00705F3D"/>
    <w:rsid w:val="00706312"/>
    <w:rsid w:val="00706360"/>
    <w:rsid w:val="007067EE"/>
    <w:rsid w:val="00706D5B"/>
    <w:rsid w:val="00706DB3"/>
    <w:rsid w:val="00707B78"/>
    <w:rsid w:val="00710318"/>
    <w:rsid w:val="007105D0"/>
    <w:rsid w:val="0071068C"/>
    <w:rsid w:val="00710732"/>
    <w:rsid w:val="0071094D"/>
    <w:rsid w:val="007109BA"/>
    <w:rsid w:val="00710D3A"/>
    <w:rsid w:val="00710E7E"/>
    <w:rsid w:val="0071127B"/>
    <w:rsid w:val="007113A2"/>
    <w:rsid w:val="007114A4"/>
    <w:rsid w:val="00711C37"/>
    <w:rsid w:val="00711E45"/>
    <w:rsid w:val="007122D4"/>
    <w:rsid w:val="007124A6"/>
    <w:rsid w:val="007124F8"/>
    <w:rsid w:val="0071264A"/>
    <w:rsid w:val="0071317D"/>
    <w:rsid w:val="0071381D"/>
    <w:rsid w:val="00713A26"/>
    <w:rsid w:val="00714365"/>
    <w:rsid w:val="007144AE"/>
    <w:rsid w:val="00714B30"/>
    <w:rsid w:val="00714C4E"/>
    <w:rsid w:val="00714D28"/>
    <w:rsid w:val="00714F12"/>
    <w:rsid w:val="007151EF"/>
    <w:rsid w:val="007152DF"/>
    <w:rsid w:val="0071531B"/>
    <w:rsid w:val="0071550C"/>
    <w:rsid w:val="007160AE"/>
    <w:rsid w:val="007161A8"/>
    <w:rsid w:val="007163E2"/>
    <w:rsid w:val="00716444"/>
    <w:rsid w:val="0071657D"/>
    <w:rsid w:val="0071663C"/>
    <w:rsid w:val="00716890"/>
    <w:rsid w:val="0071699C"/>
    <w:rsid w:val="00716AE6"/>
    <w:rsid w:val="00716B49"/>
    <w:rsid w:val="00716ED8"/>
    <w:rsid w:val="00716F04"/>
    <w:rsid w:val="00716FBE"/>
    <w:rsid w:val="0071712C"/>
    <w:rsid w:val="0071742A"/>
    <w:rsid w:val="0071792D"/>
    <w:rsid w:val="00717BAF"/>
    <w:rsid w:val="00717C8F"/>
    <w:rsid w:val="00717D11"/>
    <w:rsid w:val="00720464"/>
    <w:rsid w:val="00720552"/>
    <w:rsid w:val="00720D80"/>
    <w:rsid w:val="0072124A"/>
    <w:rsid w:val="00721301"/>
    <w:rsid w:val="007217AC"/>
    <w:rsid w:val="00721A8D"/>
    <w:rsid w:val="00721A9D"/>
    <w:rsid w:val="00721D09"/>
    <w:rsid w:val="00721E57"/>
    <w:rsid w:val="00722031"/>
    <w:rsid w:val="00722837"/>
    <w:rsid w:val="007228E1"/>
    <w:rsid w:val="00722B84"/>
    <w:rsid w:val="00722DBF"/>
    <w:rsid w:val="00723261"/>
    <w:rsid w:val="007236FE"/>
    <w:rsid w:val="00723A11"/>
    <w:rsid w:val="00723A42"/>
    <w:rsid w:val="00723EC0"/>
    <w:rsid w:val="00724130"/>
    <w:rsid w:val="0072429B"/>
    <w:rsid w:val="007246DE"/>
    <w:rsid w:val="00724738"/>
    <w:rsid w:val="00724926"/>
    <w:rsid w:val="00724CD4"/>
    <w:rsid w:val="007250D4"/>
    <w:rsid w:val="0072553E"/>
    <w:rsid w:val="007255FB"/>
    <w:rsid w:val="00725902"/>
    <w:rsid w:val="00725947"/>
    <w:rsid w:val="00725E6E"/>
    <w:rsid w:val="00725EA9"/>
    <w:rsid w:val="0072673B"/>
    <w:rsid w:val="00726BF3"/>
    <w:rsid w:val="00726DAC"/>
    <w:rsid w:val="00726EA5"/>
    <w:rsid w:val="00726EAD"/>
    <w:rsid w:val="00727092"/>
    <w:rsid w:val="007270C3"/>
    <w:rsid w:val="007276E5"/>
    <w:rsid w:val="00727879"/>
    <w:rsid w:val="00727AC7"/>
    <w:rsid w:val="007305E4"/>
    <w:rsid w:val="007305E5"/>
    <w:rsid w:val="007306E4"/>
    <w:rsid w:val="00730B0B"/>
    <w:rsid w:val="00730CAA"/>
    <w:rsid w:val="00730FE6"/>
    <w:rsid w:val="007310D5"/>
    <w:rsid w:val="00731216"/>
    <w:rsid w:val="0073125C"/>
    <w:rsid w:val="007313EB"/>
    <w:rsid w:val="007315F6"/>
    <w:rsid w:val="00731BFF"/>
    <w:rsid w:val="007323AC"/>
    <w:rsid w:val="00732401"/>
    <w:rsid w:val="00732835"/>
    <w:rsid w:val="007329B9"/>
    <w:rsid w:val="00732AEE"/>
    <w:rsid w:val="00732D3D"/>
    <w:rsid w:val="007332ED"/>
    <w:rsid w:val="0073347F"/>
    <w:rsid w:val="0073350C"/>
    <w:rsid w:val="0073377E"/>
    <w:rsid w:val="00733A12"/>
    <w:rsid w:val="00733A22"/>
    <w:rsid w:val="00733B28"/>
    <w:rsid w:val="00734377"/>
    <w:rsid w:val="0073493B"/>
    <w:rsid w:val="00735422"/>
    <w:rsid w:val="00735532"/>
    <w:rsid w:val="00735830"/>
    <w:rsid w:val="00735C30"/>
    <w:rsid w:val="0073632E"/>
    <w:rsid w:val="00736C8D"/>
    <w:rsid w:val="00736D67"/>
    <w:rsid w:val="007370E3"/>
    <w:rsid w:val="007375B1"/>
    <w:rsid w:val="007378EC"/>
    <w:rsid w:val="00737AD4"/>
    <w:rsid w:val="00737DBB"/>
    <w:rsid w:val="0074084F"/>
    <w:rsid w:val="007408F1"/>
    <w:rsid w:val="00740F64"/>
    <w:rsid w:val="00740FD0"/>
    <w:rsid w:val="00741071"/>
    <w:rsid w:val="00741357"/>
    <w:rsid w:val="007419B3"/>
    <w:rsid w:val="00741C68"/>
    <w:rsid w:val="00741E18"/>
    <w:rsid w:val="0074247E"/>
    <w:rsid w:val="007426D1"/>
    <w:rsid w:val="00742850"/>
    <w:rsid w:val="007429A3"/>
    <w:rsid w:val="00742B82"/>
    <w:rsid w:val="00742E5F"/>
    <w:rsid w:val="00742EEB"/>
    <w:rsid w:val="00742F59"/>
    <w:rsid w:val="0074412C"/>
    <w:rsid w:val="007441D3"/>
    <w:rsid w:val="00744C58"/>
    <w:rsid w:val="00745332"/>
    <w:rsid w:val="00745630"/>
    <w:rsid w:val="00745692"/>
    <w:rsid w:val="00745FA3"/>
    <w:rsid w:val="00746317"/>
    <w:rsid w:val="00746454"/>
    <w:rsid w:val="00746496"/>
    <w:rsid w:val="00746E4C"/>
    <w:rsid w:val="00746F32"/>
    <w:rsid w:val="00747468"/>
    <w:rsid w:val="00747AD3"/>
    <w:rsid w:val="00747D92"/>
    <w:rsid w:val="0075044F"/>
    <w:rsid w:val="00750533"/>
    <w:rsid w:val="007505C4"/>
    <w:rsid w:val="00750760"/>
    <w:rsid w:val="00750861"/>
    <w:rsid w:val="007510C0"/>
    <w:rsid w:val="00751497"/>
    <w:rsid w:val="007515DB"/>
    <w:rsid w:val="00751755"/>
    <w:rsid w:val="00751EFD"/>
    <w:rsid w:val="00751F83"/>
    <w:rsid w:val="00752026"/>
    <w:rsid w:val="007524AD"/>
    <w:rsid w:val="00752960"/>
    <w:rsid w:val="00752B7A"/>
    <w:rsid w:val="00753212"/>
    <w:rsid w:val="007536F3"/>
    <w:rsid w:val="007539DF"/>
    <w:rsid w:val="00753E10"/>
    <w:rsid w:val="00754086"/>
    <w:rsid w:val="007540C1"/>
    <w:rsid w:val="007548B5"/>
    <w:rsid w:val="00754947"/>
    <w:rsid w:val="00754B24"/>
    <w:rsid w:val="00754F9C"/>
    <w:rsid w:val="0075507D"/>
    <w:rsid w:val="00755193"/>
    <w:rsid w:val="0075548B"/>
    <w:rsid w:val="007554C5"/>
    <w:rsid w:val="007556BD"/>
    <w:rsid w:val="00755812"/>
    <w:rsid w:val="007566FC"/>
    <w:rsid w:val="007567E9"/>
    <w:rsid w:val="00756D8E"/>
    <w:rsid w:val="00756E5A"/>
    <w:rsid w:val="0075704D"/>
    <w:rsid w:val="00757270"/>
    <w:rsid w:val="007575D7"/>
    <w:rsid w:val="007577E5"/>
    <w:rsid w:val="00757A26"/>
    <w:rsid w:val="00757C69"/>
    <w:rsid w:val="00760165"/>
    <w:rsid w:val="00760201"/>
    <w:rsid w:val="00760A4D"/>
    <w:rsid w:val="00760AB7"/>
    <w:rsid w:val="00760B98"/>
    <w:rsid w:val="00761165"/>
    <w:rsid w:val="00761B47"/>
    <w:rsid w:val="00761DA0"/>
    <w:rsid w:val="007621B7"/>
    <w:rsid w:val="0076230B"/>
    <w:rsid w:val="00762A84"/>
    <w:rsid w:val="00763143"/>
    <w:rsid w:val="007632DC"/>
    <w:rsid w:val="0076371D"/>
    <w:rsid w:val="00763D7F"/>
    <w:rsid w:val="00764A64"/>
    <w:rsid w:val="00764B28"/>
    <w:rsid w:val="00764C92"/>
    <w:rsid w:val="00764EF1"/>
    <w:rsid w:val="00765991"/>
    <w:rsid w:val="00765FF5"/>
    <w:rsid w:val="00766604"/>
    <w:rsid w:val="00766706"/>
    <w:rsid w:val="0076680C"/>
    <w:rsid w:val="00766E31"/>
    <w:rsid w:val="007672FC"/>
    <w:rsid w:val="00767604"/>
    <w:rsid w:val="00767921"/>
    <w:rsid w:val="00767BC7"/>
    <w:rsid w:val="00767ECE"/>
    <w:rsid w:val="0077041C"/>
    <w:rsid w:val="00770D27"/>
    <w:rsid w:val="00770D73"/>
    <w:rsid w:val="00770D97"/>
    <w:rsid w:val="00770FF0"/>
    <w:rsid w:val="007710C5"/>
    <w:rsid w:val="007711E6"/>
    <w:rsid w:val="0077168F"/>
    <w:rsid w:val="007716F7"/>
    <w:rsid w:val="00771C65"/>
    <w:rsid w:val="00771DBD"/>
    <w:rsid w:val="00771E2D"/>
    <w:rsid w:val="00772004"/>
    <w:rsid w:val="0077206E"/>
    <w:rsid w:val="0077216D"/>
    <w:rsid w:val="0077267A"/>
    <w:rsid w:val="0077268F"/>
    <w:rsid w:val="00772B21"/>
    <w:rsid w:val="00772B87"/>
    <w:rsid w:val="00772C9B"/>
    <w:rsid w:val="00772DD7"/>
    <w:rsid w:val="00772F06"/>
    <w:rsid w:val="007732A8"/>
    <w:rsid w:val="0077367B"/>
    <w:rsid w:val="00773947"/>
    <w:rsid w:val="00773FF6"/>
    <w:rsid w:val="0077424C"/>
    <w:rsid w:val="007743E5"/>
    <w:rsid w:val="00774911"/>
    <w:rsid w:val="00774A57"/>
    <w:rsid w:val="00774B1B"/>
    <w:rsid w:val="00774C40"/>
    <w:rsid w:val="00775123"/>
    <w:rsid w:val="007759D2"/>
    <w:rsid w:val="00775B6D"/>
    <w:rsid w:val="00775C2B"/>
    <w:rsid w:val="00775EFA"/>
    <w:rsid w:val="007762A7"/>
    <w:rsid w:val="0077631D"/>
    <w:rsid w:val="00776377"/>
    <w:rsid w:val="00776535"/>
    <w:rsid w:val="00776A08"/>
    <w:rsid w:val="00776AAE"/>
    <w:rsid w:val="00776B38"/>
    <w:rsid w:val="00776BB4"/>
    <w:rsid w:val="00776D53"/>
    <w:rsid w:val="0077759F"/>
    <w:rsid w:val="00777BB3"/>
    <w:rsid w:val="00777BB5"/>
    <w:rsid w:val="00777EF9"/>
    <w:rsid w:val="0078056E"/>
    <w:rsid w:val="00780763"/>
    <w:rsid w:val="0078090A"/>
    <w:rsid w:val="007809C3"/>
    <w:rsid w:val="00780A01"/>
    <w:rsid w:val="00780C90"/>
    <w:rsid w:val="0078100D"/>
    <w:rsid w:val="007810A1"/>
    <w:rsid w:val="00781113"/>
    <w:rsid w:val="00781200"/>
    <w:rsid w:val="00781303"/>
    <w:rsid w:val="007815DE"/>
    <w:rsid w:val="007819AD"/>
    <w:rsid w:val="007819B9"/>
    <w:rsid w:val="00781DAE"/>
    <w:rsid w:val="00781DD4"/>
    <w:rsid w:val="00782012"/>
    <w:rsid w:val="00782056"/>
    <w:rsid w:val="00782487"/>
    <w:rsid w:val="007826D2"/>
    <w:rsid w:val="007827C4"/>
    <w:rsid w:val="00782992"/>
    <w:rsid w:val="007829E4"/>
    <w:rsid w:val="00782BAB"/>
    <w:rsid w:val="0078302A"/>
    <w:rsid w:val="0078306A"/>
    <w:rsid w:val="007832E1"/>
    <w:rsid w:val="0078339D"/>
    <w:rsid w:val="00783514"/>
    <w:rsid w:val="00783596"/>
    <w:rsid w:val="00783A3A"/>
    <w:rsid w:val="00783D44"/>
    <w:rsid w:val="00784D21"/>
    <w:rsid w:val="00784D58"/>
    <w:rsid w:val="00784E4B"/>
    <w:rsid w:val="0078512B"/>
    <w:rsid w:val="00785478"/>
    <w:rsid w:val="00785616"/>
    <w:rsid w:val="00785DA1"/>
    <w:rsid w:val="00785FF1"/>
    <w:rsid w:val="00786249"/>
    <w:rsid w:val="00786F85"/>
    <w:rsid w:val="007878A0"/>
    <w:rsid w:val="00787BC1"/>
    <w:rsid w:val="007903A0"/>
    <w:rsid w:val="0079067D"/>
    <w:rsid w:val="00790827"/>
    <w:rsid w:val="007908CC"/>
    <w:rsid w:val="00790A5F"/>
    <w:rsid w:val="00790C4B"/>
    <w:rsid w:val="00790D7A"/>
    <w:rsid w:val="00790EF7"/>
    <w:rsid w:val="0079117F"/>
    <w:rsid w:val="00791497"/>
    <w:rsid w:val="00791DA3"/>
    <w:rsid w:val="00792086"/>
    <w:rsid w:val="00792C64"/>
    <w:rsid w:val="00792CD6"/>
    <w:rsid w:val="007934CF"/>
    <w:rsid w:val="0079407C"/>
    <w:rsid w:val="0079413B"/>
    <w:rsid w:val="007941BA"/>
    <w:rsid w:val="007942CB"/>
    <w:rsid w:val="00794B04"/>
    <w:rsid w:val="00794BA2"/>
    <w:rsid w:val="00794C02"/>
    <w:rsid w:val="00794E90"/>
    <w:rsid w:val="00794FD5"/>
    <w:rsid w:val="007951E4"/>
    <w:rsid w:val="007952C0"/>
    <w:rsid w:val="00795391"/>
    <w:rsid w:val="00795493"/>
    <w:rsid w:val="0079582B"/>
    <w:rsid w:val="00795836"/>
    <w:rsid w:val="00795EC9"/>
    <w:rsid w:val="00796039"/>
    <w:rsid w:val="007962E6"/>
    <w:rsid w:val="00796516"/>
    <w:rsid w:val="007965E6"/>
    <w:rsid w:val="00796883"/>
    <w:rsid w:val="00796A3A"/>
    <w:rsid w:val="00796FC8"/>
    <w:rsid w:val="00797183"/>
    <w:rsid w:val="00797250"/>
    <w:rsid w:val="0079794A"/>
    <w:rsid w:val="00797BC0"/>
    <w:rsid w:val="00797C23"/>
    <w:rsid w:val="00797D35"/>
    <w:rsid w:val="00797E11"/>
    <w:rsid w:val="00797E60"/>
    <w:rsid w:val="007A00DE"/>
    <w:rsid w:val="007A011D"/>
    <w:rsid w:val="007A0423"/>
    <w:rsid w:val="007A04AD"/>
    <w:rsid w:val="007A0729"/>
    <w:rsid w:val="007A0743"/>
    <w:rsid w:val="007A0867"/>
    <w:rsid w:val="007A099E"/>
    <w:rsid w:val="007A0E39"/>
    <w:rsid w:val="007A0E65"/>
    <w:rsid w:val="007A10BB"/>
    <w:rsid w:val="007A10F9"/>
    <w:rsid w:val="007A1432"/>
    <w:rsid w:val="007A1463"/>
    <w:rsid w:val="007A18CD"/>
    <w:rsid w:val="007A1C09"/>
    <w:rsid w:val="007A20C1"/>
    <w:rsid w:val="007A20C2"/>
    <w:rsid w:val="007A247B"/>
    <w:rsid w:val="007A2CEA"/>
    <w:rsid w:val="007A2FC3"/>
    <w:rsid w:val="007A3208"/>
    <w:rsid w:val="007A3914"/>
    <w:rsid w:val="007A3930"/>
    <w:rsid w:val="007A3D1B"/>
    <w:rsid w:val="007A3EAF"/>
    <w:rsid w:val="007A413F"/>
    <w:rsid w:val="007A44AD"/>
    <w:rsid w:val="007A44E4"/>
    <w:rsid w:val="007A4841"/>
    <w:rsid w:val="007A48D1"/>
    <w:rsid w:val="007A49E1"/>
    <w:rsid w:val="007A4C70"/>
    <w:rsid w:val="007A4F14"/>
    <w:rsid w:val="007A55DC"/>
    <w:rsid w:val="007A5917"/>
    <w:rsid w:val="007A5CE1"/>
    <w:rsid w:val="007A5DC2"/>
    <w:rsid w:val="007A606F"/>
    <w:rsid w:val="007A6452"/>
    <w:rsid w:val="007A666A"/>
    <w:rsid w:val="007A674E"/>
    <w:rsid w:val="007A67A4"/>
    <w:rsid w:val="007A68B6"/>
    <w:rsid w:val="007A6A08"/>
    <w:rsid w:val="007A6B88"/>
    <w:rsid w:val="007A6EB0"/>
    <w:rsid w:val="007A6F23"/>
    <w:rsid w:val="007A71D3"/>
    <w:rsid w:val="007A7D97"/>
    <w:rsid w:val="007A7F88"/>
    <w:rsid w:val="007B001F"/>
    <w:rsid w:val="007B0020"/>
    <w:rsid w:val="007B0550"/>
    <w:rsid w:val="007B07CA"/>
    <w:rsid w:val="007B08C6"/>
    <w:rsid w:val="007B0EF4"/>
    <w:rsid w:val="007B1023"/>
    <w:rsid w:val="007B1281"/>
    <w:rsid w:val="007B14DA"/>
    <w:rsid w:val="007B1B11"/>
    <w:rsid w:val="007B2424"/>
    <w:rsid w:val="007B275F"/>
    <w:rsid w:val="007B2AFE"/>
    <w:rsid w:val="007B2B68"/>
    <w:rsid w:val="007B2C73"/>
    <w:rsid w:val="007B32B4"/>
    <w:rsid w:val="007B3410"/>
    <w:rsid w:val="007B344D"/>
    <w:rsid w:val="007B3769"/>
    <w:rsid w:val="007B38A2"/>
    <w:rsid w:val="007B3972"/>
    <w:rsid w:val="007B4751"/>
    <w:rsid w:val="007B4770"/>
    <w:rsid w:val="007B47C2"/>
    <w:rsid w:val="007B4959"/>
    <w:rsid w:val="007B4A40"/>
    <w:rsid w:val="007B4C92"/>
    <w:rsid w:val="007B4D2A"/>
    <w:rsid w:val="007B52EA"/>
    <w:rsid w:val="007B530B"/>
    <w:rsid w:val="007B546F"/>
    <w:rsid w:val="007B5474"/>
    <w:rsid w:val="007B5529"/>
    <w:rsid w:val="007B5797"/>
    <w:rsid w:val="007B5AB4"/>
    <w:rsid w:val="007B5D98"/>
    <w:rsid w:val="007B5F16"/>
    <w:rsid w:val="007B6183"/>
    <w:rsid w:val="007B6563"/>
    <w:rsid w:val="007B6632"/>
    <w:rsid w:val="007B681E"/>
    <w:rsid w:val="007B6D4B"/>
    <w:rsid w:val="007B6F88"/>
    <w:rsid w:val="007B71AE"/>
    <w:rsid w:val="007B7967"/>
    <w:rsid w:val="007B799D"/>
    <w:rsid w:val="007B7DEC"/>
    <w:rsid w:val="007B7F36"/>
    <w:rsid w:val="007B7FC5"/>
    <w:rsid w:val="007C00C8"/>
    <w:rsid w:val="007C035C"/>
    <w:rsid w:val="007C07F9"/>
    <w:rsid w:val="007C0883"/>
    <w:rsid w:val="007C0946"/>
    <w:rsid w:val="007C0A3F"/>
    <w:rsid w:val="007C0A7F"/>
    <w:rsid w:val="007C0D69"/>
    <w:rsid w:val="007C119D"/>
    <w:rsid w:val="007C1329"/>
    <w:rsid w:val="007C1385"/>
    <w:rsid w:val="007C1448"/>
    <w:rsid w:val="007C191F"/>
    <w:rsid w:val="007C1947"/>
    <w:rsid w:val="007C1C6C"/>
    <w:rsid w:val="007C262D"/>
    <w:rsid w:val="007C2BA3"/>
    <w:rsid w:val="007C2E02"/>
    <w:rsid w:val="007C3261"/>
    <w:rsid w:val="007C336F"/>
    <w:rsid w:val="007C37E8"/>
    <w:rsid w:val="007C3851"/>
    <w:rsid w:val="007C3863"/>
    <w:rsid w:val="007C4093"/>
    <w:rsid w:val="007C428C"/>
    <w:rsid w:val="007C44DE"/>
    <w:rsid w:val="007C457A"/>
    <w:rsid w:val="007C4707"/>
    <w:rsid w:val="007C518F"/>
    <w:rsid w:val="007C52D2"/>
    <w:rsid w:val="007C5D69"/>
    <w:rsid w:val="007C5DEF"/>
    <w:rsid w:val="007C5E77"/>
    <w:rsid w:val="007C5F98"/>
    <w:rsid w:val="007C5FB2"/>
    <w:rsid w:val="007C6377"/>
    <w:rsid w:val="007C6390"/>
    <w:rsid w:val="007C6471"/>
    <w:rsid w:val="007C6513"/>
    <w:rsid w:val="007C6538"/>
    <w:rsid w:val="007C66E4"/>
    <w:rsid w:val="007C6D84"/>
    <w:rsid w:val="007C6E0E"/>
    <w:rsid w:val="007C7B04"/>
    <w:rsid w:val="007C7B3C"/>
    <w:rsid w:val="007C7F2D"/>
    <w:rsid w:val="007C7F66"/>
    <w:rsid w:val="007D0155"/>
    <w:rsid w:val="007D0CD3"/>
    <w:rsid w:val="007D0CF3"/>
    <w:rsid w:val="007D0ECC"/>
    <w:rsid w:val="007D11F6"/>
    <w:rsid w:val="007D14F9"/>
    <w:rsid w:val="007D18D8"/>
    <w:rsid w:val="007D2056"/>
    <w:rsid w:val="007D23B5"/>
    <w:rsid w:val="007D28E0"/>
    <w:rsid w:val="007D3487"/>
    <w:rsid w:val="007D3828"/>
    <w:rsid w:val="007D3C0F"/>
    <w:rsid w:val="007D3E9A"/>
    <w:rsid w:val="007D3F07"/>
    <w:rsid w:val="007D43E6"/>
    <w:rsid w:val="007D4423"/>
    <w:rsid w:val="007D4544"/>
    <w:rsid w:val="007D4756"/>
    <w:rsid w:val="007D4886"/>
    <w:rsid w:val="007D4D78"/>
    <w:rsid w:val="007D4E77"/>
    <w:rsid w:val="007D4F6D"/>
    <w:rsid w:val="007D5130"/>
    <w:rsid w:val="007D535F"/>
    <w:rsid w:val="007D540F"/>
    <w:rsid w:val="007D57F9"/>
    <w:rsid w:val="007D5C00"/>
    <w:rsid w:val="007D5C40"/>
    <w:rsid w:val="007D5DAE"/>
    <w:rsid w:val="007D5F3E"/>
    <w:rsid w:val="007D652A"/>
    <w:rsid w:val="007D695D"/>
    <w:rsid w:val="007D6B48"/>
    <w:rsid w:val="007D6E11"/>
    <w:rsid w:val="007D7651"/>
    <w:rsid w:val="007D7738"/>
    <w:rsid w:val="007D7744"/>
    <w:rsid w:val="007D779A"/>
    <w:rsid w:val="007D7892"/>
    <w:rsid w:val="007E0010"/>
    <w:rsid w:val="007E004C"/>
    <w:rsid w:val="007E004D"/>
    <w:rsid w:val="007E0090"/>
    <w:rsid w:val="007E05D6"/>
    <w:rsid w:val="007E06EE"/>
    <w:rsid w:val="007E0908"/>
    <w:rsid w:val="007E0D77"/>
    <w:rsid w:val="007E0D91"/>
    <w:rsid w:val="007E0DEB"/>
    <w:rsid w:val="007E11BF"/>
    <w:rsid w:val="007E14BD"/>
    <w:rsid w:val="007E150C"/>
    <w:rsid w:val="007E1789"/>
    <w:rsid w:val="007E180B"/>
    <w:rsid w:val="007E18A6"/>
    <w:rsid w:val="007E1AF8"/>
    <w:rsid w:val="007E1B6B"/>
    <w:rsid w:val="007E1C53"/>
    <w:rsid w:val="007E23B3"/>
    <w:rsid w:val="007E2543"/>
    <w:rsid w:val="007E27AF"/>
    <w:rsid w:val="007E33DF"/>
    <w:rsid w:val="007E34C8"/>
    <w:rsid w:val="007E34DA"/>
    <w:rsid w:val="007E35AC"/>
    <w:rsid w:val="007E3941"/>
    <w:rsid w:val="007E3BC4"/>
    <w:rsid w:val="007E3EE1"/>
    <w:rsid w:val="007E40E8"/>
    <w:rsid w:val="007E4649"/>
    <w:rsid w:val="007E4714"/>
    <w:rsid w:val="007E4F3D"/>
    <w:rsid w:val="007E500E"/>
    <w:rsid w:val="007E549A"/>
    <w:rsid w:val="007E56E1"/>
    <w:rsid w:val="007E59D0"/>
    <w:rsid w:val="007E5D37"/>
    <w:rsid w:val="007E5E6A"/>
    <w:rsid w:val="007E64EF"/>
    <w:rsid w:val="007E668B"/>
    <w:rsid w:val="007E6942"/>
    <w:rsid w:val="007E6BE0"/>
    <w:rsid w:val="007E7337"/>
    <w:rsid w:val="007E7C08"/>
    <w:rsid w:val="007F00C5"/>
    <w:rsid w:val="007F0132"/>
    <w:rsid w:val="007F032F"/>
    <w:rsid w:val="007F04F4"/>
    <w:rsid w:val="007F054B"/>
    <w:rsid w:val="007F06CA"/>
    <w:rsid w:val="007F074A"/>
    <w:rsid w:val="007F0770"/>
    <w:rsid w:val="007F12F1"/>
    <w:rsid w:val="007F14B8"/>
    <w:rsid w:val="007F1550"/>
    <w:rsid w:val="007F1742"/>
    <w:rsid w:val="007F1B07"/>
    <w:rsid w:val="007F1DC7"/>
    <w:rsid w:val="007F1DDF"/>
    <w:rsid w:val="007F1FF7"/>
    <w:rsid w:val="007F29FA"/>
    <w:rsid w:val="007F2B6A"/>
    <w:rsid w:val="007F2C58"/>
    <w:rsid w:val="007F2F11"/>
    <w:rsid w:val="007F32A0"/>
    <w:rsid w:val="007F3383"/>
    <w:rsid w:val="007F357B"/>
    <w:rsid w:val="007F37AB"/>
    <w:rsid w:val="007F3AFA"/>
    <w:rsid w:val="007F3D59"/>
    <w:rsid w:val="007F4102"/>
    <w:rsid w:val="007F427E"/>
    <w:rsid w:val="007F445A"/>
    <w:rsid w:val="007F458E"/>
    <w:rsid w:val="007F4644"/>
    <w:rsid w:val="007F4949"/>
    <w:rsid w:val="007F4CB3"/>
    <w:rsid w:val="007F4E51"/>
    <w:rsid w:val="007F5200"/>
    <w:rsid w:val="007F5A9A"/>
    <w:rsid w:val="007F5FAC"/>
    <w:rsid w:val="007F5FC3"/>
    <w:rsid w:val="007F6293"/>
    <w:rsid w:val="007F641C"/>
    <w:rsid w:val="007F6441"/>
    <w:rsid w:val="007F68C7"/>
    <w:rsid w:val="007F6D1A"/>
    <w:rsid w:val="007F6D8D"/>
    <w:rsid w:val="007F70AA"/>
    <w:rsid w:val="007F7206"/>
    <w:rsid w:val="007F77E6"/>
    <w:rsid w:val="007F7AC7"/>
    <w:rsid w:val="007F7C43"/>
    <w:rsid w:val="008000E5"/>
    <w:rsid w:val="008000FB"/>
    <w:rsid w:val="00800320"/>
    <w:rsid w:val="008013A7"/>
    <w:rsid w:val="008013F1"/>
    <w:rsid w:val="0080180A"/>
    <w:rsid w:val="00801D1F"/>
    <w:rsid w:val="008026A6"/>
    <w:rsid w:val="00802A86"/>
    <w:rsid w:val="00802EB1"/>
    <w:rsid w:val="00802EE9"/>
    <w:rsid w:val="00803E2A"/>
    <w:rsid w:val="00803E72"/>
    <w:rsid w:val="0080417F"/>
    <w:rsid w:val="008047C2"/>
    <w:rsid w:val="00804C2E"/>
    <w:rsid w:val="00804DED"/>
    <w:rsid w:val="00805EFD"/>
    <w:rsid w:val="00806036"/>
    <w:rsid w:val="0080615E"/>
    <w:rsid w:val="0080651E"/>
    <w:rsid w:val="0080656D"/>
    <w:rsid w:val="008067B0"/>
    <w:rsid w:val="00806F29"/>
    <w:rsid w:val="0080715E"/>
    <w:rsid w:val="0080720F"/>
    <w:rsid w:val="008074CB"/>
    <w:rsid w:val="0080766D"/>
    <w:rsid w:val="00807BFB"/>
    <w:rsid w:val="008101B3"/>
    <w:rsid w:val="00810930"/>
    <w:rsid w:val="00810934"/>
    <w:rsid w:val="0081093E"/>
    <w:rsid w:val="00810ACB"/>
    <w:rsid w:val="00810E0A"/>
    <w:rsid w:val="00810E22"/>
    <w:rsid w:val="008110A2"/>
    <w:rsid w:val="008112B4"/>
    <w:rsid w:val="00811354"/>
    <w:rsid w:val="008114AB"/>
    <w:rsid w:val="00811AE6"/>
    <w:rsid w:val="00811C2D"/>
    <w:rsid w:val="00811C5F"/>
    <w:rsid w:val="00812458"/>
    <w:rsid w:val="008137F4"/>
    <w:rsid w:val="00813AE2"/>
    <w:rsid w:val="00814342"/>
    <w:rsid w:val="00814EE1"/>
    <w:rsid w:val="00814F27"/>
    <w:rsid w:val="00815029"/>
    <w:rsid w:val="008150DF"/>
    <w:rsid w:val="00815360"/>
    <w:rsid w:val="00815384"/>
    <w:rsid w:val="008159B8"/>
    <w:rsid w:val="00815E4A"/>
    <w:rsid w:val="00815E7B"/>
    <w:rsid w:val="00815ED8"/>
    <w:rsid w:val="008164FC"/>
    <w:rsid w:val="008167A1"/>
    <w:rsid w:val="00816939"/>
    <w:rsid w:val="0081699D"/>
    <w:rsid w:val="00816CEB"/>
    <w:rsid w:val="00816D1E"/>
    <w:rsid w:val="00817083"/>
    <w:rsid w:val="00817234"/>
    <w:rsid w:val="0081763F"/>
    <w:rsid w:val="00817976"/>
    <w:rsid w:val="00817AB2"/>
    <w:rsid w:val="00817EC6"/>
    <w:rsid w:val="0082055E"/>
    <w:rsid w:val="008208AE"/>
    <w:rsid w:val="00820D94"/>
    <w:rsid w:val="00820E97"/>
    <w:rsid w:val="0082101B"/>
    <w:rsid w:val="00821CAB"/>
    <w:rsid w:val="00822375"/>
    <w:rsid w:val="00822E0E"/>
    <w:rsid w:val="008230F8"/>
    <w:rsid w:val="00823261"/>
    <w:rsid w:val="00823734"/>
    <w:rsid w:val="00823797"/>
    <w:rsid w:val="00823973"/>
    <w:rsid w:val="00823AC0"/>
    <w:rsid w:val="00823F23"/>
    <w:rsid w:val="008240E2"/>
    <w:rsid w:val="008240F1"/>
    <w:rsid w:val="00824338"/>
    <w:rsid w:val="00824389"/>
    <w:rsid w:val="00824505"/>
    <w:rsid w:val="008245AB"/>
    <w:rsid w:val="00824FD0"/>
    <w:rsid w:val="00825170"/>
    <w:rsid w:val="008251CD"/>
    <w:rsid w:val="00825A62"/>
    <w:rsid w:val="00826461"/>
    <w:rsid w:val="0082681C"/>
    <w:rsid w:val="00826F79"/>
    <w:rsid w:val="00827811"/>
    <w:rsid w:val="008279C2"/>
    <w:rsid w:val="00827C1C"/>
    <w:rsid w:val="00827F5A"/>
    <w:rsid w:val="008303D4"/>
    <w:rsid w:val="00830887"/>
    <w:rsid w:val="0083097C"/>
    <w:rsid w:val="00830A4C"/>
    <w:rsid w:val="00831141"/>
    <w:rsid w:val="00831235"/>
    <w:rsid w:val="0083176A"/>
    <w:rsid w:val="00831A11"/>
    <w:rsid w:val="00831D8F"/>
    <w:rsid w:val="00831FB5"/>
    <w:rsid w:val="00832124"/>
    <w:rsid w:val="00832442"/>
    <w:rsid w:val="00832C9D"/>
    <w:rsid w:val="00832E21"/>
    <w:rsid w:val="00833047"/>
    <w:rsid w:val="0083331E"/>
    <w:rsid w:val="00833746"/>
    <w:rsid w:val="008338F6"/>
    <w:rsid w:val="00833958"/>
    <w:rsid w:val="00833BEF"/>
    <w:rsid w:val="00833E13"/>
    <w:rsid w:val="008343A9"/>
    <w:rsid w:val="0083451B"/>
    <w:rsid w:val="00834667"/>
    <w:rsid w:val="00834B1B"/>
    <w:rsid w:val="00834BA7"/>
    <w:rsid w:val="0083516B"/>
    <w:rsid w:val="008356D0"/>
    <w:rsid w:val="0083579B"/>
    <w:rsid w:val="0083592C"/>
    <w:rsid w:val="00835CE2"/>
    <w:rsid w:val="00835E85"/>
    <w:rsid w:val="0083673C"/>
    <w:rsid w:val="00836786"/>
    <w:rsid w:val="00836A99"/>
    <w:rsid w:val="00836F52"/>
    <w:rsid w:val="00837204"/>
    <w:rsid w:val="0083732D"/>
    <w:rsid w:val="0083737B"/>
    <w:rsid w:val="00837FCD"/>
    <w:rsid w:val="00840036"/>
    <w:rsid w:val="00840726"/>
    <w:rsid w:val="00840DB0"/>
    <w:rsid w:val="00841A4F"/>
    <w:rsid w:val="00841AF8"/>
    <w:rsid w:val="00841CCA"/>
    <w:rsid w:val="00841D96"/>
    <w:rsid w:val="00842346"/>
    <w:rsid w:val="008426BA"/>
    <w:rsid w:val="008427DB"/>
    <w:rsid w:val="008428FB"/>
    <w:rsid w:val="00843297"/>
    <w:rsid w:val="00843ABB"/>
    <w:rsid w:val="0084410F"/>
    <w:rsid w:val="008442AA"/>
    <w:rsid w:val="00844381"/>
    <w:rsid w:val="00844C3F"/>
    <w:rsid w:val="00844E41"/>
    <w:rsid w:val="0084506A"/>
    <w:rsid w:val="008450AE"/>
    <w:rsid w:val="008452BB"/>
    <w:rsid w:val="00845709"/>
    <w:rsid w:val="00845B27"/>
    <w:rsid w:val="00845D52"/>
    <w:rsid w:val="008462F6"/>
    <w:rsid w:val="00846371"/>
    <w:rsid w:val="008463D1"/>
    <w:rsid w:val="008465FA"/>
    <w:rsid w:val="0084673B"/>
    <w:rsid w:val="008468DA"/>
    <w:rsid w:val="008468E9"/>
    <w:rsid w:val="00846A7D"/>
    <w:rsid w:val="00846DE1"/>
    <w:rsid w:val="008470B0"/>
    <w:rsid w:val="0084755D"/>
    <w:rsid w:val="00847748"/>
    <w:rsid w:val="00847A1C"/>
    <w:rsid w:val="00847FF1"/>
    <w:rsid w:val="00850692"/>
    <w:rsid w:val="00850DE6"/>
    <w:rsid w:val="008517DB"/>
    <w:rsid w:val="00851960"/>
    <w:rsid w:val="00851D5B"/>
    <w:rsid w:val="008521F4"/>
    <w:rsid w:val="008522AF"/>
    <w:rsid w:val="008525C3"/>
    <w:rsid w:val="00852952"/>
    <w:rsid w:val="00852AC1"/>
    <w:rsid w:val="00853060"/>
    <w:rsid w:val="008534C3"/>
    <w:rsid w:val="00853776"/>
    <w:rsid w:val="00853E4C"/>
    <w:rsid w:val="00853E5F"/>
    <w:rsid w:val="00854112"/>
    <w:rsid w:val="0085412D"/>
    <w:rsid w:val="008553F6"/>
    <w:rsid w:val="00855659"/>
    <w:rsid w:val="008557B6"/>
    <w:rsid w:val="00855A2D"/>
    <w:rsid w:val="00855CAD"/>
    <w:rsid w:val="00855ECD"/>
    <w:rsid w:val="008560E0"/>
    <w:rsid w:val="00856136"/>
    <w:rsid w:val="0085679C"/>
    <w:rsid w:val="00857128"/>
    <w:rsid w:val="00857363"/>
    <w:rsid w:val="00857508"/>
    <w:rsid w:val="00857515"/>
    <w:rsid w:val="0085788A"/>
    <w:rsid w:val="00857A1A"/>
    <w:rsid w:val="00857D5F"/>
    <w:rsid w:val="0086066C"/>
    <w:rsid w:val="00860B71"/>
    <w:rsid w:val="00860C46"/>
    <w:rsid w:val="0086100A"/>
    <w:rsid w:val="00861347"/>
    <w:rsid w:val="00861486"/>
    <w:rsid w:val="008614C5"/>
    <w:rsid w:val="0086195D"/>
    <w:rsid w:val="00861B79"/>
    <w:rsid w:val="00861EE2"/>
    <w:rsid w:val="00861F92"/>
    <w:rsid w:val="0086218A"/>
    <w:rsid w:val="008621D6"/>
    <w:rsid w:val="00862343"/>
    <w:rsid w:val="008623CE"/>
    <w:rsid w:val="0086281C"/>
    <w:rsid w:val="00862F95"/>
    <w:rsid w:val="00862FE6"/>
    <w:rsid w:val="008631E9"/>
    <w:rsid w:val="0086329A"/>
    <w:rsid w:val="008632FE"/>
    <w:rsid w:val="00863A70"/>
    <w:rsid w:val="00863F3E"/>
    <w:rsid w:val="00863F6D"/>
    <w:rsid w:val="0086419A"/>
    <w:rsid w:val="0086447D"/>
    <w:rsid w:val="00864906"/>
    <w:rsid w:val="00864B3A"/>
    <w:rsid w:val="00864FFA"/>
    <w:rsid w:val="0086504B"/>
    <w:rsid w:val="0086534E"/>
    <w:rsid w:val="008653BE"/>
    <w:rsid w:val="00865A02"/>
    <w:rsid w:val="0086617D"/>
    <w:rsid w:val="00866669"/>
    <w:rsid w:val="00866797"/>
    <w:rsid w:val="0086695B"/>
    <w:rsid w:val="00867146"/>
    <w:rsid w:val="00867443"/>
    <w:rsid w:val="008674D1"/>
    <w:rsid w:val="00867B83"/>
    <w:rsid w:val="00867DFC"/>
    <w:rsid w:val="0087088B"/>
    <w:rsid w:val="00870CEC"/>
    <w:rsid w:val="008712AB"/>
    <w:rsid w:val="0087152B"/>
    <w:rsid w:val="00871639"/>
    <w:rsid w:val="00871739"/>
    <w:rsid w:val="00871BF5"/>
    <w:rsid w:val="008723D3"/>
    <w:rsid w:val="0087272D"/>
    <w:rsid w:val="00872A1B"/>
    <w:rsid w:val="00872BB8"/>
    <w:rsid w:val="00872BFC"/>
    <w:rsid w:val="00872F73"/>
    <w:rsid w:val="008731A3"/>
    <w:rsid w:val="008738FB"/>
    <w:rsid w:val="00873E92"/>
    <w:rsid w:val="00873EEB"/>
    <w:rsid w:val="0087414D"/>
    <w:rsid w:val="0087443C"/>
    <w:rsid w:val="008746E5"/>
    <w:rsid w:val="00874D0E"/>
    <w:rsid w:val="0087535C"/>
    <w:rsid w:val="00875713"/>
    <w:rsid w:val="008757F2"/>
    <w:rsid w:val="008758CB"/>
    <w:rsid w:val="0087596C"/>
    <w:rsid w:val="0087596E"/>
    <w:rsid w:val="00875D04"/>
    <w:rsid w:val="00875F0A"/>
    <w:rsid w:val="0087613F"/>
    <w:rsid w:val="008761B6"/>
    <w:rsid w:val="00876271"/>
    <w:rsid w:val="008763A7"/>
    <w:rsid w:val="008764F2"/>
    <w:rsid w:val="00876568"/>
    <w:rsid w:val="0087658C"/>
    <w:rsid w:val="00876AF8"/>
    <w:rsid w:val="0087742E"/>
    <w:rsid w:val="008775C9"/>
    <w:rsid w:val="0087768D"/>
    <w:rsid w:val="00877F00"/>
    <w:rsid w:val="0088039E"/>
    <w:rsid w:val="008803E6"/>
    <w:rsid w:val="008807BD"/>
    <w:rsid w:val="0088097C"/>
    <w:rsid w:val="00880AA7"/>
    <w:rsid w:val="00880C72"/>
    <w:rsid w:val="00880CE3"/>
    <w:rsid w:val="00881170"/>
    <w:rsid w:val="008811BC"/>
    <w:rsid w:val="0088139E"/>
    <w:rsid w:val="00881649"/>
    <w:rsid w:val="0088177A"/>
    <w:rsid w:val="008818F2"/>
    <w:rsid w:val="0088239F"/>
    <w:rsid w:val="0088290C"/>
    <w:rsid w:val="00882921"/>
    <w:rsid w:val="00882BA3"/>
    <w:rsid w:val="00882CF0"/>
    <w:rsid w:val="00882DB5"/>
    <w:rsid w:val="00883410"/>
    <w:rsid w:val="00883ABA"/>
    <w:rsid w:val="00883DA7"/>
    <w:rsid w:val="00883DE9"/>
    <w:rsid w:val="008847AA"/>
    <w:rsid w:val="008847B8"/>
    <w:rsid w:val="008848DB"/>
    <w:rsid w:val="008850F8"/>
    <w:rsid w:val="008852A5"/>
    <w:rsid w:val="008856D4"/>
    <w:rsid w:val="00885BCF"/>
    <w:rsid w:val="00885F7E"/>
    <w:rsid w:val="00885FB5"/>
    <w:rsid w:val="008867E6"/>
    <w:rsid w:val="00886E52"/>
    <w:rsid w:val="00886F16"/>
    <w:rsid w:val="00887627"/>
    <w:rsid w:val="00887694"/>
    <w:rsid w:val="00887834"/>
    <w:rsid w:val="008879B5"/>
    <w:rsid w:val="00887BC6"/>
    <w:rsid w:val="008902F4"/>
    <w:rsid w:val="0089077C"/>
    <w:rsid w:val="00890F91"/>
    <w:rsid w:val="008915A6"/>
    <w:rsid w:val="00891BAC"/>
    <w:rsid w:val="00891F94"/>
    <w:rsid w:val="00892350"/>
    <w:rsid w:val="008923B1"/>
    <w:rsid w:val="008925E8"/>
    <w:rsid w:val="008926C4"/>
    <w:rsid w:val="00892AB1"/>
    <w:rsid w:val="00892C58"/>
    <w:rsid w:val="008930BE"/>
    <w:rsid w:val="008932E9"/>
    <w:rsid w:val="00893456"/>
    <w:rsid w:val="008938A1"/>
    <w:rsid w:val="00893E3E"/>
    <w:rsid w:val="00893E8A"/>
    <w:rsid w:val="00893F52"/>
    <w:rsid w:val="008941EC"/>
    <w:rsid w:val="008945EE"/>
    <w:rsid w:val="00894624"/>
    <w:rsid w:val="008952A8"/>
    <w:rsid w:val="008959B2"/>
    <w:rsid w:val="00896015"/>
    <w:rsid w:val="008964A9"/>
    <w:rsid w:val="00896783"/>
    <w:rsid w:val="0089681A"/>
    <w:rsid w:val="00896989"/>
    <w:rsid w:val="00896B41"/>
    <w:rsid w:val="00896F17"/>
    <w:rsid w:val="00897252"/>
    <w:rsid w:val="008975CC"/>
    <w:rsid w:val="00897618"/>
    <w:rsid w:val="00897BEF"/>
    <w:rsid w:val="008A1B3C"/>
    <w:rsid w:val="008A1BFD"/>
    <w:rsid w:val="008A1C39"/>
    <w:rsid w:val="008A248A"/>
    <w:rsid w:val="008A26CB"/>
    <w:rsid w:val="008A27B8"/>
    <w:rsid w:val="008A2805"/>
    <w:rsid w:val="008A28BF"/>
    <w:rsid w:val="008A2ACA"/>
    <w:rsid w:val="008A2E47"/>
    <w:rsid w:val="008A2E8D"/>
    <w:rsid w:val="008A2FBC"/>
    <w:rsid w:val="008A3222"/>
    <w:rsid w:val="008A3500"/>
    <w:rsid w:val="008A379C"/>
    <w:rsid w:val="008A3A5A"/>
    <w:rsid w:val="008A3E67"/>
    <w:rsid w:val="008A403A"/>
    <w:rsid w:val="008A42DA"/>
    <w:rsid w:val="008A43B4"/>
    <w:rsid w:val="008A49B2"/>
    <w:rsid w:val="008A4F00"/>
    <w:rsid w:val="008A5522"/>
    <w:rsid w:val="008A5684"/>
    <w:rsid w:val="008A5C62"/>
    <w:rsid w:val="008A65C2"/>
    <w:rsid w:val="008A6E48"/>
    <w:rsid w:val="008A6FC3"/>
    <w:rsid w:val="008A701E"/>
    <w:rsid w:val="008A734B"/>
    <w:rsid w:val="008A7706"/>
    <w:rsid w:val="008A7BDA"/>
    <w:rsid w:val="008A7F65"/>
    <w:rsid w:val="008B0210"/>
    <w:rsid w:val="008B0328"/>
    <w:rsid w:val="008B0C9A"/>
    <w:rsid w:val="008B17D9"/>
    <w:rsid w:val="008B1A1C"/>
    <w:rsid w:val="008B1D5C"/>
    <w:rsid w:val="008B1D60"/>
    <w:rsid w:val="008B1E73"/>
    <w:rsid w:val="008B207B"/>
    <w:rsid w:val="008B2510"/>
    <w:rsid w:val="008B2A87"/>
    <w:rsid w:val="008B2D49"/>
    <w:rsid w:val="008B2D7F"/>
    <w:rsid w:val="008B31CD"/>
    <w:rsid w:val="008B31EE"/>
    <w:rsid w:val="008B34D8"/>
    <w:rsid w:val="008B3624"/>
    <w:rsid w:val="008B3878"/>
    <w:rsid w:val="008B4555"/>
    <w:rsid w:val="008B4F22"/>
    <w:rsid w:val="008B508B"/>
    <w:rsid w:val="008B5229"/>
    <w:rsid w:val="008B527F"/>
    <w:rsid w:val="008B578F"/>
    <w:rsid w:val="008B5CC4"/>
    <w:rsid w:val="008B5D88"/>
    <w:rsid w:val="008B5EEE"/>
    <w:rsid w:val="008B5F62"/>
    <w:rsid w:val="008B601B"/>
    <w:rsid w:val="008B6796"/>
    <w:rsid w:val="008B67BD"/>
    <w:rsid w:val="008B6AB9"/>
    <w:rsid w:val="008B6CFB"/>
    <w:rsid w:val="008B6D25"/>
    <w:rsid w:val="008B6EAE"/>
    <w:rsid w:val="008B6F70"/>
    <w:rsid w:val="008B70C7"/>
    <w:rsid w:val="008B7391"/>
    <w:rsid w:val="008B73A0"/>
    <w:rsid w:val="008B7427"/>
    <w:rsid w:val="008B7AF1"/>
    <w:rsid w:val="008B7F48"/>
    <w:rsid w:val="008B7FE3"/>
    <w:rsid w:val="008C1075"/>
    <w:rsid w:val="008C12E3"/>
    <w:rsid w:val="008C169C"/>
    <w:rsid w:val="008C1BD3"/>
    <w:rsid w:val="008C1F08"/>
    <w:rsid w:val="008C1F25"/>
    <w:rsid w:val="008C249A"/>
    <w:rsid w:val="008C2617"/>
    <w:rsid w:val="008C2711"/>
    <w:rsid w:val="008C2886"/>
    <w:rsid w:val="008C2AAA"/>
    <w:rsid w:val="008C2CEA"/>
    <w:rsid w:val="008C2E0E"/>
    <w:rsid w:val="008C3117"/>
    <w:rsid w:val="008C3398"/>
    <w:rsid w:val="008C386F"/>
    <w:rsid w:val="008C3BED"/>
    <w:rsid w:val="008C46A1"/>
    <w:rsid w:val="008C4A72"/>
    <w:rsid w:val="008C4B26"/>
    <w:rsid w:val="008C4FF4"/>
    <w:rsid w:val="008C5564"/>
    <w:rsid w:val="008C5886"/>
    <w:rsid w:val="008C5A8F"/>
    <w:rsid w:val="008C5F1E"/>
    <w:rsid w:val="008C616F"/>
    <w:rsid w:val="008C6185"/>
    <w:rsid w:val="008C618B"/>
    <w:rsid w:val="008C62E1"/>
    <w:rsid w:val="008C6502"/>
    <w:rsid w:val="008C657D"/>
    <w:rsid w:val="008C66C5"/>
    <w:rsid w:val="008C69A0"/>
    <w:rsid w:val="008C69E2"/>
    <w:rsid w:val="008C6BC5"/>
    <w:rsid w:val="008C7599"/>
    <w:rsid w:val="008C75A6"/>
    <w:rsid w:val="008C7628"/>
    <w:rsid w:val="008C77D4"/>
    <w:rsid w:val="008C7BB5"/>
    <w:rsid w:val="008C7C03"/>
    <w:rsid w:val="008C7C92"/>
    <w:rsid w:val="008C7D5C"/>
    <w:rsid w:val="008D0654"/>
    <w:rsid w:val="008D0814"/>
    <w:rsid w:val="008D0D33"/>
    <w:rsid w:val="008D0D9B"/>
    <w:rsid w:val="008D0E7B"/>
    <w:rsid w:val="008D0F28"/>
    <w:rsid w:val="008D0FEE"/>
    <w:rsid w:val="008D10F4"/>
    <w:rsid w:val="008D12CC"/>
    <w:rsid w:val="008D1324"/>
    <w:rsid w:val="008D134F"/>
    <w:rsid w:val="008D14C3"/>
    <w:rsid w:val="008D1739"/>
    <w:rsid w:val="008D18B9"/>
    <w:rsid w:val="008D1C1D"/>
    <w:rsid w:val="008D2364"/>
    <w:rsid w:val="008D25BA"/>
    <w:rsid w:val="008D26B3"/>
    <w:rsid w:val="008D26FD"/>
    <w:rsid w:val="008D2738"/>
    <w:rsid w:val="008D2779"/>
    <w:rsid w:val="008D2925"/>
    <w:rsid w:val="008D2AF6"/>
    <w:rsid w:val="008D2B2C"/>
    <w:rsid w:val="008D2E60"/>
    <w:rsid w:val="008D2E7C"/>
    <w:rsid w:val="008D32F7"/>
    <w:rsid w:val="008D333F"/>
    <w:rsid w:val="008D371F"/>
    <w:rsid w:val="008D39F5"/>
    <w:rsid w:val="008D3B52"/>
    <w:rsid w:val="008D41C5"/>
    <w:rsid w:val="008D45B6"/>
    <w:rsid w:val="008D4668"/>
    <w:rsid w:val="008D47AB"/>
    <w:rsid w:val="008D5174"/>
    <w:rsid w:val="008D51BC"/>
    <w:rsid w:val="008D574C"/>
    <w:rsid w:val="008D5ED9"/>
    <w:rsid w:val="008D5F1F"/>
    <w:rsid w:val="008D6543"/>
    <w:rsid w:val="008D65D0"/>
    <w:rsid w:val="008D65DA"/>
    <w:rsid w:val="008D65FA"/>
    <w:rsid w:val="008D6720"/>
    <w:rsid w:val="008D6CB8"/>
    <w:rsid w:val="008D6DF2"/>
    <w:rsid w:val="008D6E9E"/>
    <w:rsid w:val="008D7438"/>
    <w:rsid w:val="008D7526"/>
    <w:rsid w:val="008E012C"/>
    <w:rsid w:val="008E02D0"/>
    <w:rsid w:val="008E06DA"/>
    <w:rsid w:val="008E07C8"/>
    <w:rsid w:val="008E08AF"/>
    <w:rsid w:val="008E0A1A"/>
    <w:rsid w:val="008E0EE4"/>
    <w:rsid w:val="008E1032"/>
    <w:rsid w:val="008E1095"/>
    <w:rsid w:val="008E15BE"/>
    <w:rsid w:val="008E1635"/>
    <w:rsid w:val="008E18C4"/>
    <w:rsid w:val="008E1D4F"/>
    <w:rsid w:val="008E2286"/>
    <w:rsid w:val="008E2767"/>
    <w:rsid w:val="008E2778"/>
    <w:rsid w:val="008E29EC"/>
    <w:rsid w:val="008E2CB0"/>
    <w:rsid w:val="008E2D0A"/>
    <w:rsid w:val="008E2E30"/>
    <w:rsid w:val="008E35BF"/>
    <w:rsid w:val="008E3E1C"/>
    <w:rsid w:val="008E3EDC"/>
    <w:rsid w:val="008E3F46"/>
    <w:rsid w:val="008E3FCB"/>
    <w:rsid w:val="008E40F8"/>
    <w:rsid w:val="008E4599"/>
    <w:rsid w:val="008E45C7"/>
    <w:rsid w:val="008E48F6"/>
    <w:rsid w:val="008E4F8F"/>
    <w:rsid w:val="008E5063"/>
    <w:rsid w:val="008E51D5"/>
    <w:rsid w:val="008E55B7"/>
    <w:rsid w:val="008E6099"/>
    <w:rsid w:val="008E6447"/>
    <w:rsid w:val="008E6859"/>
    <w:rsid w:val="008E68C8"/>
    <w:rsid w:val="008E68EC"/>
    <w:rsid w:val="008E6B35"/>
    <w:rsid w:val="008E6E94"/>
    <w:rsid w:val="008E7065"/>
    <w:rsid w:val="008E79CA"/>
    <w:rsid w:val="008E79E8"/>
    <w:rsid w:val="008E7C49"/>
    <w:rsid w:val="008F0300"/>
    <w:rsid w:val="008F079B"/>
    <w:rsid w:val="008F0849"/>
    <w:rsid w:val="008F096C"/>
    <w:rsid w:val="008F0A39"/>
    <w:rsid w:val="008F0B0D"/>
    <w:rsid w:val="008F0BCD"/>
    <w:rsid w:val="008F0F19"/>
    <w:rsid w:val="008F128B"/>
    <w:rsid w:val="008F12E8"/>
    <w:rsid w:val="008F16A0"/>
    <w:rsid w:val="008F16F7"/>
    <w:rsid w:val="008F1924"/>
    <w:rsid w:val="008F1B39"/>
    <w:rsid w:val="008F1BE0"/>
    <w:rsid w:val="008F1BF3"/>
    <w:rsid w:val="008F2199"/>
    <w:rsid w:val="008F2343"/>
    <w:rsid w:val="008F234E"/>
    <w:rsid w:val="008F2404"/>
    <w:rsid w:val="008F2429"/>
    <w:rsid w:val="008F26C4"/>
    <w:rsid w:val="008F297C"/>
    <w:rsid w:val="008F2BFA"/>
    <w:rsid w:val="008F2DE4"/>
    <w:rsid w:val="008F2E2A"/>
    <w:rsid w:val="008F2FBA"/>
    <w:rsid w:val="008F34DC"/>
    <w:rsid w:val="008F3522"/>
    <w:rsid w:val="008F35E9"/>
    <w:rsid w:val="008F3CE4"/>
    <w:rsid w:val="008F406C"/>
    <w:rsid w:val="008F4AA6"/>
    <w:rsid w:val="008F5298"/>
    <w:rsid w:val="008F5BF3"/>
    <w:rsid w:val="008F5D3F"/>
    <w:rsid w:val="008F5D53"/>
    <w:rsid w:val="008F6093"/>
    <w:rsid w:val="008F6227"/>
    <w:rsid w:val="008F675A"/>
    <w:rsid w:val="008F6BF1"/>
    <w:rsid w:val="008F6C57"/>
    <w:rsid w:val="008F6D1E"/>
    <w:rsid w:val="008F6EC2"/>
    <w:rsid w:val="008F72F4"/>
    <w:rsid w:val="008F74B3"/>
    <w:rsid w:val="008F75F6"/>
    <w:rsid w:val="008F78FC"/>
    <w:rsid w:val="008F7E05"/>
    <w:rsid w:val="008F7EF9"/>
    <w:rsid w:val="00900495"/>
    <w:rsid w:val="00900927"/>
    <w:rsid w:val="00900A79"/>
    <w:rsid w:val="00900F30"/>
    <w:rsid w:val="0090203E"/>
    <w:rsid w:val="00902159"/>
    <w:rsid w:val="009023E2"/>
    <w:rsid w:val="009026B6"/>
    <w:rsid w:val="00902B08"/>
    <w:rsid w:val="00902D46"/>
    <w:rsid w:val="00903CE9"/>
    <w:rsid w:val="00903FB7"/>
    <w:rsid w:val="009046B4"/>
    <w:rsid w:val="009046D3"/>
    <w:rsid w:val="00904FD5"/>
    <w:rsid w:val="009052D7"/>
    <w:rsid w:val="00905466"/>
    <w:rsid w:val="00905C47"/>
    <w:rsid w:val="00905CBA"/>
    <w:rsid w:val="0090615F"/>
    <w:rsid w:val="00906248"/>
    <w:rsid w:val="0090671D"/>
    <w:rsid w:val="009068D5"/>
    <w:rsid w:val="00906AE3"/>
    <w:rsid w:val="00906CCE"/>
    <w:rsid w:val="0090746A"/>
    <w:rsid w:val="009078D6"/>
    <w:rsid w:val="0090790B"/>
    <w:rsid w:val="00907CE9"/>
    <w:rsid w:val="00907EB7"/>
    <w:rsid w:val="00910117"/>
    <w:rsid w:val="00910216"/>
    <w:rsid w:val="0091034E"/>
    <w:rsid w:val="00910609"/>
    <w:rsid w:val="00910AA5"/>
    <w:rsid w:val="009110F0"/>
    <w:rsid w:val="00911772"/>
    <w:rsid w:val="0091178B"/>
    <w:rsid w:val="00911832"/>
    <w:rsid w:val="00911AD9"/>
    <w:rsid w:val="00911ADE"/>
    <w:rsid w:val="00911CAF"/>
    <w:rsid w:val="00911DAD"/>
    <w:rsid w:val="00911E1E"/>
    <w:rsid w:val="00911EA4"/>
    <w:rsid w:val="00911F47"/>
    <w:rsid w:val="009125FD"/>
    <w:rsid w:val="009129BC"/>
    <w:rsid w:val="00912C44"/>
    <w:rsid w:val="00912E70"/>
    <w:rsid w:val="00912F51"/>
    <w:rsid w:val="0091378E"/>
    <w:rsid w:val="0091394A"/>
    <w:rsid w:val="009139F9"/>
    <w:rsid w:val="00913F95"/>
    <w:rsid w:val="0091416B"/>
    <w:rsid w:val="009141CF"/>
    <w:rsid w:val="009142E5"/>
    <w:rsid w:val="009144AE"/>
    <w:rsid w:val="00914644"/>
    <w:rsid w:val="009148E8"/>
    <w:rsid w:val="00914E35"/>
    <w:rsid w:val="009153A8"/>
    <w:rsid w:val="009155B0"/>
    <w:rsid w:val="0091577E"/>
    <w:rsid w:val="00915AC0"/>
    <w:rsid w:val="00915BA2"/>
    <w:rsid w:val="00915BD8"/>
    <w:rsid w:val="00915E29"/>
    <w:rsid w:val="009162DB"/>
    <w:rsid w:val="00916418"/>
    <w:rsid w:val="0091688B"/>
    <w:rsid w:val="00916D36"/>
    <w:rsid w:val="00917168"/>
    <w:rsid w:val="00917338"/>
    <w:rsid w:val="009174D5"/>
    <w:rsid w:val="00917E9F"/>
    <w:rsid w:val="00917F0B"/>
    <w:rsid w:val="00917FF2"/>
    <w:rsid w:val="00920200"/>
    <w:rsid w:val="00920237"/>
    <w:rsid w:val="0092040A"/>
    <w:rsid w:val="009204CC"/>
    <w:rsid w:val="00920506"/>
    <w:rsid w:val="0092083D"/>
    <w:rsid w:val="00920AB3"/>
    <w:rsid w:val="00920C19"/>
    <w:rsid w:val="00920D43"/>
    <w:rsid w:val="009212B0"/>
    <w:rsid w:val="00921485"/>
    <w:rsid w:val="009219F9"/>
    <w:rsid w:val="00922413"/>
    <w:rsid w:val="00922793"/>
    <w:rsid w:val="009227D1"/>
    <w:rsid w:val="00922A50"/>
    <w:rsid w:val="00922AD8"/>
    <w:rsid w:val="00922B68"/>
    <w:rsid w:val="00922C77"/>
    <w:rsid w:val="00922EBC"/>
    <w:rsid w:val="009230AA"/>
    <w:rsid w:val="009239B8"/>
    <w:rsid w:val="00923C23"/>
    <w:rsid w:val="00924105"/>
    <w:rsid w:val="009246B3"/>
    <w:rsid w:val="00924E7B"/>
    <w:rsid w:val="00925128"/>
    <w:rsid w:val="00925541"/>
    <w:rsid w:val="009256FE"/>
    <w:rsid w:val="00925CAD"/>
    <w:rsid w:val="0092694F"/>
    <w:rsid w:val="00927199"/>
    <w:rsid w:val="009277FD"/>
    <w:rsid w:val="00927825"/>
    <w:rsid w:val="00927973"/>
    <w:rsid w:val="00927C99"/>
    <w:rsid w:val="00927F2C"/>
    <w:rsid w:val="009303DE"/>
    <w:rsid w:val="009303F8"/>
    <w:rsid w:val="00930BC9"/>
    <w:rsid w:val="009310A7"/>
    <w:rsid w:val="00931283"/>
    <w:rsid w:val="009312D9"/>
    <w:rsid w:val="0093195D"/>
    <w:rsid w:val="00931AD5"/>
    <w:rsid w:val="00931B15"/>
    <w:rsid w:val="00931B8D"/>
    <w:rsid w:val="00931D60"/>
    <w:rsid w:val="00931F96"/>
    <w:rsid w:val="00932460"/>
    <w:rsid w:val="009324C7"/>
    <w:rsid w:val="0093263B"/>
    <w:rsid w:val="00932724"/>
    <w:rsid w:val="00932948"/>
    <w:rsid w:val="00932962"/>
    <w:rsid w:val="009329C1"/>
    <w:rsid w:val="00932CE1"/>
    <w:rsid w:val="009333B1"/>
    <w:rsid w:val="009335BC"/>
    <w:rsid w:val="009335DA"/>
    <w:rsid w:val="0093421C"/>
    <w:rsid w:val="00934D16"/>
    <w:rsid w:val="00934F5E"/>
    <w:rsid w:val="00935133"/>
    <w:rsid w:val="0093518C"/>
    <w:rsid w:val="009355BC"/>
    <w:rsid w:val="009359AB"/>
    <w:rsid w:val="00935E73"/>
    <w:rsid w:val="0093638C"/>
    <w:rsid w:val="009363FF"/>
    <w:rsid w:val="0093641C"/>
    <w:rsid w:val="00936845"/>
    <w:rsid w:val="009368F1"/>
    <w:rsid w:val="00936BD4"/>
    <w:rsid w:val="00936CE0"/>
    <w:rsid w:val="0093725F"/>
    <w:rsid w:val="00937534"/>
    <w:rsid w:val="00937FC3"/>
    <w:rsid w:val="0094087F"/>
    <w:rsid w:val="009409EA"/>
    <w:rsid w:val="00940D48"/>
    <w:rsid w:val="00941175"/>
    <w:rsid w:val="009412D6"/>
    <w:rsid w:val="00941464"/>
    <w:rsid w:val="00941683"/>
    <w:rsid w:val="00941DC2"/>
    <w:rsid w:val="00942363"/>
    <w:rsid w:val="00942822"/>
    <w:rsid w:val="00942B0D"/>
    <w:rsid w:val="00942BB2"/>
    <w:rsid w:val="009434C7"/>
    <w:rsid w:val="009439F8"/>
    <w:rsid w:val="009439FB"/>
    <w:rsid w:val="00943A7A"/>
    <w:rsid w:val="00943CDD"/>
    <w:rsid w:val="009446C7"/>
    <w:rsid w:val="009446CC"/>
    <w:rsid w:val="00944F36"/>
    <w:rsid w:val="0094527A"/>
    <w:rsid w:val="00945750"/>
    <w:rsid w:val="009457C8"/>
    <w:rsid w:val="009458A9"/>
    <w:rsid w:val="00945BF5"/>
    <w:rsid w:val="009463A6"/>
    <w:rsid w:val="00946DA2"/>
    <w:rsid w:val="00947497"/>
    <w:rsid w:val="009478A5"/>
    <w:rsid w:val="00947B35"/>
    <w:rsid w:val="00947B3E"/>
    <w:rsid w:val="00947C97"/>
    <w:rsid w:val="00947E91"/>
    <w:rsid w:val="00947FF8"/>
    <w:rsid w:val="0095049A"/>
    <w:rsid w:val="00950605"/>
    <w:rsid w:val="00950FBB"/>
    <w:rsid w:val="009512B4"/>
    <w:rsid w:val="009515D3"/>
    <w:rsid w:val="009516A4"/>
    <w:rsid w:val="00951CA8"/>
    <w:rsid w:val="00951D13"/>
    <w:rsid w:val="0095211D"/>
    <w:rsid w:val="009521D3"/>
    <w:rsid w:val="009521F7"/>
    <w:rsid w:val="009522A6"/>
    <w:rsid w:val="00952440"/>
    <w:rsid w:val="00952749"/>
    <w:rsid w:val="009529A2"/>
    <w:rsid w:val="00952F27"/>
    <w:rsid w:val="009530CA"/>
    <w:rsid w:val="009532BE"/>
    <w:rsid w:val="009533C6"/>
    <w:rsid w:val="009535FF"/>
    <w:rsid w:val="00953DA2"/>
    <w:rsid w:val="00953FEE"/>
    <w:rsid w:val="009544D4"/>
    <w:rsid w:val="00954B38"/>
    <w:rsid w:val="00954B52"/>
    <w:rsid w:val="00954C98"/>
    <w:rsid w:val="0095508A"/>
    <w:rsid w:val="00955317"/>
    <w:rsid w:val="009553DB"/>
    <w:rsid w:val="009554A6"/>
    <w:rsid w:val="0095563F"/>
    <w:rsid w:val="009556B9"/>
    <w:rsid w:val="00955C10"/>
    <w:rsid w:val="00955DA3"/>
    <w:rsid w:val="00955FA3"/>
    <w:rsid w:val="009560FB"/>
    <w:rsid w:val="00956196"/>
    <w:rsid w:val="009562EE"/>
    <w:rsid w:val="0095659A"/>
    <w:rsid w:val="009567C2"/>
    <w:rsid w:val="009567F0"/>
    <w:rsid w:val="009569C8"/>
    <w:rsid w:val="00956BE1"/>
    <w:rsid w:val="00956E0B"/>
    <w:rsid w:val="00956F9E"/>
    <w:rsid w:val="00957008"/>
    <w:rsid w:val="00957046"/>
    <w:rsid w:val="00957095"/>
    <w:rsid w:val="00957151"/>
    <w:rsid w:val="0095742F"/>
    <w:rsid w:val="0095796B"/>
    <w:rsid w:val="00957EE4"/>
    <w:rsid w:val="00957F1C"/>
    <w:rsid w:val="0096027B"/>
    <w:rsid w:val="009602CB"/>
    <w:rsid w:val="009605EB"/>
    <w:rsid w:val="00960693"/>
    <w:rsid w:val="00960851"/>
    <w:rsid w:val="0096089A"/>
    <w:rsid w:val="009611C1"/>
    <w:rsid w:val="0096126C"/>
    <w:rsid w:val="00961362"/>
    <w:rsid w:val="009615B1"/>
    <w:rsid w:val="00961B21"/>
    <w:rsid w:val="00961D71"/>
    <w:rsid w:val="00961F12"/>
    <w:rsid w:val="009625A8"/>
    <w:rsid w:val="0096275A"/>
    <w:rsid w:val="009629A0"/>
    <w:rsid w:val="00962AB6"/>
    <w:rsid w:val="00962AB7"/>
    <w:rsid w:val="009631E6"/>
    <w:rsid w:val="00963554"/>
    <w:rsid w:val="00963650"/>
    <w:rsid w:val="00963680"/>
    <w:rsid w:val="00963715"/>
    <w:rsid w:val="00963A79"/>
    <w:rsid w:val="00963F12"/>
    <w:rsid w:val="00963FBB"/>
    <w:rsid w:val="009644D4"/>
    <w:rsid w:val="00964647"/>
    <w:rsid w:val="00964844"/>
    <w:rsid w:val="00964CD2"/>
    <w:rsid w:val="00964CF6"/>
    <w:rsid w:val="00964E4B"/>
    <w:rsid w:val="00965666"/>
    <w:rsid w:val="0096583A"/>
    <w:rsid w:val="00965A17"/>
    <w:rsid w:val="00965ABC"/>
    <w:rsid w:val="00965B34"/>
    <w:rsid w:val="00965C04"/>
    <w:rsid w:val="00965E61"/>
    <w:rsid w:val="009660C3"/>
    <w:rsid w:val="00966310"/>
    <w:rsid w:val="00966400"/>
    <w:rsid w:val="009667A2"/>
    <w:rsid w:val="00966967"/>
    <w:rsid w:val="00966BAC"/>
    <w:rsid w:val="0096773B"/>
    <w:rsid w:val="009677B9"/>
    <w:rsid w:val="009678E8"/>
    <w:rsid w:val="0096797E"/>
    <w:rsid w:val="00967B44"/>
    <w:rsid w:val="00967CF7"/>
    <w:rsid w:val="00967E07"/>
    <w:rsid w:val="009701C6"/>
    <w:rsid w:val="00970274"/>
    <w:rsid w:val="0097048D"/>
    <w:rsid w:val="00970581"/>
    <w:rsid w:val="00970D3B"/>
    <w:rsid w:val="00970E91"/>
    <w:rsid w:val="009710F9"/>
    <w:rsid w:val="009715FB"/>
    <w:rsid w:val="00971708"/>
    <w:rsid w:val="00971715"/>
    <w:rsid w:val="00971852"/>
    <w:rsid w:val="00971928"/>
    <w:rsid w:val="00971AB8"/>
    <w:rsid w:val="00971D59"/>
    <w:rsid w:val="00971ED0"/>
    <w:rsid w:val="00971FFC"/>
    <w:rsid w:val="00972041"/>
    <w:rsid w:val="00972057"/>
    <w:rsid w:val="0097243A"/>
    <w:rsid w:val="0097274B"/>
    <w:rsid w:val="00973023"/>
    <w:rsid w:val="0097326A"/>
    <w:rsid w:val="00973AD0"/>
    <w:rsid w:val="00973D6E"/>
    <w:rsid w:val="00973E11"/>
    <w:rsid w:val="00973F74"/>
    <w:rsid w:val="00974B9D"/>
    <w:rsid w:val="00974FEB"/>
    <w:rsid w:val="009750D1"/>
    <w:rsid w:val="00975688"/>
    <w:rsid w:val="00975BB0"/>
    <w:rsid w:val="00975FF2"/>
    <w:rsid w:val="00976013"/>
    <w:rsid w:val="009763FC"/>
    <w:rsid w:val="00976552"/>
    <w:rsid w:val="00976C53"/>
    <w:rsid w:val="00976FFC"/>
    <w:rsid w:val="009771E4"/>
    <w:rsid w:val="00977387"/>
    <w:rsid w:val="009801C4"/>
    <w:rsid w:val="0098047D"/>
    <w:rsid w:val="00980BAD"/>
    <w:rsid w:val="00980C38"/>
    <w:rsid w:val="00981244"/>
    <w:rsid w:val="0098139A"/>
    <w:rsid w:val="0098182A"/>
    <w:rsid w:val="00981B25"/>
    <w:rsid w:val="00981F3F"/>
    <w:rsid w:val="00981F4F"/>
    <w:rsid w:val="00982864"/>
    <w:rsid w:val="009831B4"/>
    <w:rsid w:val="00983382"/>
    <w:rsid w:val="0098344D"/>
    <w:rsid w:val="00983972"/>
    <w:rsid w:val="009848A6"/>
    <w:rsid w:val="00985762"/>
    <w:rsid w:val="00985C6D"/>
    <w:rsid w:val="00985C7F"/>
    <w:rsid w:val="00985DA9"/>
    <w:rsid w:val="009861A9"/>
    <w:rsid w:val="009863F4"/>
    <w:rsid w:val="009868ED"/>
    <w:rsid w:val="00986A74"/>
    <w:rsid w:val="00986CD3"/>
    <w:rsid w:val="0098709F"/>
    <w:rsid w:val="009870B1"/>
    <w:rsid w:val="00987442"/>
    <w:rsid w:val="009874B8"/>
    <w:rsid w:val="00987559"/>
    <w:rsid w:val="00987823"/>
    <w:rsid w:val="00987983"/>
    <w:rsid w:val="00990103"/>
    <w:rsid w:val="0099011A"/>
    <w:rsid w:val="00990297"/>
    <w:rsid w:val="009903AA"/>
    <w:rsid w:val="00990452"/>
    <w:rsid w:val="0099063F"/>
    <w:rsid w:val="0099073E"/>
    <w:rsid w:val="009907C9"/>
    <w:rsid w:val="009913C5"/>
    <w:rsid w:val="009915D1"/>
    <w:rsid w:val="0099163C"/>
    <w:rsid w:val="00991787"/>
    <w:rsid w:val="00991A9A"/>
    <w:rsid w:val="00991CFE"/>
    <w:rsid w:val="00992121"/>
    <w:rsid w:val="00992A81"/>
    <w:rsid w:val="00992B64"/>
    <w:rsid w:val="00992C7D"/>
    <w:rsid w:val="00992C86"/>
    <w:rsid w:val="00992DE9"/>
    <w:rsid w:val="00992E88"/>
    <w:rsid w:val="009930F5"/>
    <w:rsid w:val="00993A74"/>
    <w:rsid w:val="0099420A"/>
    <w:rsid w:val="009942EE"/>
    <w:rsid w:val="009946C4"/>
    <w:rsid w:val="0099483E"/>
    <w:rsid w:val="0099484F"/>
    <w:rsid w:val="00994C11"/>
    <w:rsid w:val="00994CA0"/>
    <w:rsid w:val="00994DBA"/>
    <w:rsid w:val="00994FF2"/>
    <w:rsid w:val="00995145"/>
    <w:rsid w:val="009954AF"/>
    <w:rsid w:val="009958D8"/>
    <w:rsid w:val="00995DAE"/>
    <w:rsid w:val="00995EAA"/>
    <w:rsid w:val="0099610A"/>
    <w:rsid w:val="009963A5"/>
    <w:rsid w:val="0099648C"/>
    <w:rsid w:val="009965B7"/>
    <w:rsid w:val="0099729D"/>
    <w:rsid w:val="0099776A"/>
    <w:rsid w:val="00997F98"/>
    <w:rsid w:val="009A0308"/>
    <w:rsid w:val="009A061C"/>
    <w:rsid w:val="009A0DEE"/>
    <w:rsid w:val="009A11C7"/>
    <w:rsid w:val="009A11E3"/>
    <w:rsid w:val="009A12DC"/>
    <w:rsid w:val="009A16E2"/>
    <w:rsid w:val="009A1817"/>
    <w:rsid w:val="009A1825"/>
    <w:rsid w:val="009A1A60"/>
    <w:rsid w:val="009A1BA7"/>
    <w:rsid w:val="009A27D3"/>
    <w:rsid w:val="009A2B4C"/>
    <w:rsid w:val="009A316C"/>
    <w:rsid w:val="009A3191"/>
    <w:rsid w:val="009A3321"/>
    <w:rsid w:val="009A35E6"/>
    <w:rsid w:val="009A3E00"/>
    <w:rsid w:val="009A3F10"/>
    <w:rsid w:val="009A437C"/>
    <w:rsid w:val="009A4943"/>
    <w:rsid w:val="009A4A6D"/>
    <w:rsid w:val="009A4F88"/>
    <w:rsid w:val="009A5050"/>
    <w:rsid w:val="009A51A9"/>
    <w:rsid w:val="009A5D90"/>
    <w:rsid w:val="009A5EF7"/>
    <w:rsid w:val="009A6575"/>
    <w:rsid w:val="009A667D"/>
    <w:rsid w:val="009A68E3"/>
    <w:rsid w:val="009A6A1E"/>
    <w:rsid w:val="009A6B43"/>
    <w:rsid w:val="009A7383"/>
    <w:rsid w:val="009A78E5"/>
    <w:rsid w:val="009A793B"/>
    <w:rsid w:val="009A7994"/>
    <w:rsid w:val="009A7B37"/>
    <w:rsid w:val="009A7DAC"/>
    <w:rsid w:val="009B0422"/>
    <w:rsid w:val="009B07A5"/>
    <w:rsid w:val="009B0984"/>
    <w:rsid w:val="009B0C1B"/>
    <w:rsid w:val="009B0ECB"/>
    <w:rsid w:val="009B0FB1"/>
    <w:rsid w:val="009B0FB2"/>
    <w:rsid w:val="009B102E"/>
    <w:rsid w:val="009B1E9C"/>
    <w:rsid w:val="009B1EB3"/>
    <w:rsid w:val="009B1FD9"/>
    <w:rsid w:val="009B2103"/>
    <w:rsid w:val="009B26E4"/>
    <w:rsid w:val="009B2E0B"/>
    <w:rsid w:val="009B37AA"/>
    <w:rsid w:val="009B389B"/>
    <w:rsid w:val="009B3993"/>
    <w:rsid w:val="009B3BFC"/>
    <w:rsid w:val="009B3CD1"/>
    <w:rsid w:val="009B3F24"/>
    <w:rsid w:val="009B4224"/>
    <w:rsid w:val="009B4546"/>
    <w:rsid w:val="009B4615"/>
    <w:rsid w:val="009B4927"/>
    <w:rsid w:val="009B4BF9"/>
    <w:rsid w:val="009B4D9E"/>
    <w:rsid w:val="009B5127"/>
    <w:rsid w:val="009B557A"/>
    <w:rsid w:val="009B5B80"/>
    <w:rsid w:val="009B6520"/>
    <w:rsid w:val="009B65B1"/>
    <w:rsid w:val="009B7914"/>
    <w:rsid w:val="009B79CE"/>
    <w:rsid w:val="009B7D62"/>
    <w:rsid w:val="009C003E"/>
    <w:rsid w:val="009C023E"/>
    <w:rsid w:val="009C033B"/>
    <w:rsid w:val="009C0490"/>
    <w:rsid w:val="009C0568"/>
    <w:rsid w:val="009C0A67"/>
    <w:rsid w:val="009C0A99"/>
    <w:rsid w:val="009C0ACB"/>
    <w:rsid w:val="009C0BE9"/>
    <w:rsid w:val="009C0C39"/>
    <w:rsid w:val="009C0CDD"/>
    <w:rsid w:val="009C1360"/>
    <w:rsid w:val="009C1A31"/>
    <w:rsid w:val="009C1E5E"/>
    <w:rsid w:val="009C1EBC"/>
    <w:rsid w:val="009C25B8"/>
    <w:rsid w:val="009C289E"/>
    <w:rsid w:val="009C28F1"/>
    <w:rsid w:val="009C295C"/>
    <w:rsid w:val="009C2D6F"/>
    <w:rsid w:val="009C2E0C"/>
    <w:rsid w:val="009C30D6"/>
    <w:rsid w:val="009C3193"/>
    <w:rsid w:val="009C34E7"/>
    <w:rsid w:val="009C362B"/>
    <w:rsid w:val="009C36F9"/>
    <w:rsid w:val="009C3F2B"/>
    <w:rsid w:val="009C40FA"/>
    <w:rsid w:val="009C413A"/>
    <w:rsid w:val="009C49A0"/>
    <w:rsid w:val="009C4EA7"/>
    <w:rsid w:val="009C4F04"/>
    <w:rsid w:val="009C5939"/>
    <w:rsid w:val="009C59AD"/>
    <w:rsid w:val="009C59FE"/>
    <w:rsid w:val="009C7023"/>
    <w:rsid w:val="009C7104"/>
    <w:rsid w:val="009C72EC"/>
    <w:rsid w:val="009C72FA"/>
    <w:rsid w:val="009C762F"/>
    <w:rsid w:val="009C7A5F"/>
    <w:rsid w:val="009C7B46"/>
    <w:rsid w:val="009C7B49"/>
    <w:rsid w:val="009C7B5E"/>
    <w:rsid w:val="009C7C13"/>
    <w:rsid w:val="009C7DA7"/>
    <w:rsid w:val="009C7E9A"/>
    <w:rsid w:val="009C7F4B"/>
    <w:rsid w:val="009D0008"/>
    <w:rsid w:val="009D00C1"/>
    <w:rsid w:val="009D0148"/>
    <w:rsid w:val="009D0259"/>
    <w:rsid w:val="009D055E"/>
    <w:rsid w:val="009D0B69"/>
    <w:rsid w:val="009D0BB3"/>
    <w:rsid w:val="009D0CAA"/>
    <w:rsid w:val="009D13DE"/>
    <w:rsid w:val="009D13E4"/>
    <w:rsid w:val="009D1680"/>
    <w:rsid w:val="009D19D5"/>
    <w:rsid w:val="009D2266"/>
    <w:rsid w:val="009D2560"/>
    <w:rsid w:val="009D2990"/>
    <w:rsid w:val="009D2C1A"/>
    <w:rsid w:val="009D2C46"/>
    <w:rsid w:val="009D2CEA"/>
    <w:rsid w:val="009D3041"/>
    <w:rsid w:val="009D316D"/>
    <w:rsid w:val="009D31CD"/>
    <w:rsid w:val="009D330C"/>
    <w:rsid w:val="009D3830"/>
    <w:rsid w:val="009D390D"/>
    <w:rsid w:val="009D3972"/>
    <w:rsid w:val="009D4082"/>
    <w:rsid w:val="009D411A"/>
    <w:rsid w:val="009D44AC"/>
    <w:rsid w:val="009D459D"/>
    <w:rsid w:val="009D4700"/>
    <w:rsid w:val="009D47C1"/>
    <w:rsid w:val="009D4805"/>
    <w:rsid w:val="009D4EB0"/>
    <w:rsid w:val="009D4EE3"/>
    <w:rsid w:val="009D4EED"/>
    <w:rsid w:val="009D4F33"/>
    <w:rsid w:val="009D548A"/>
    <w:rsid w:val="009D57A6"/>
    <w:rsid w:val="009D59DD"/>
    <w:rsid w:val="009D5AF3"/>
    <w:rsid w:val="009D5F16"/>
    <w:rsid w:val="009D604A"/>
    <w:rsid w:val="009D60F4"/>
    <w:rsid w:val="009D642A"/>
    <w:rsid w:val="009D66C2"/>
    <w:rsid w:val="009D6B4E"/>
    <w:rsid w:val="009D6D56"/>
    <w:rsid w:val="009D6FB6"/>
    <w:rsid w:val="009D7052"/>
    <w:rsid w:val="009D715F"/>
    <w:rsid w:val="009D71EE"/>
    <w:rsid w:val="009D7320"/>
    <w:rsid w:val="009D787A"/>
    <w:rsid w:val="009D79E4"/>
    <w:rsid w:val="009D7E1B"/>
    <w:rsid w:val="009E024C"/>
    <w:rsid w:val="009E080B"/>
    <w:rsid w:val="009E0A43"/>
    <w:rsid w:val="009E0C3C"/>
    <w:rsid w:val="009E1728"/>
    <w:rsid w:val="009E1D3B"/>
    <w:rsid w:val="009E20D1"/>
    <w:rsid w:val="009E22E2"/>
    <w:rsid w:val="009E2D49"/>
    <w:rsid w:val="009E2EF4"/>
    <w:rsid w:val="009E307C"/>
    <w:rsid w:val="009E30CF"/>
    <w:rsid w:val="009E31C5"/>
    <w:rsid w:val="009E33ED"/>
    <w:rsid w:val="009E3414"/>
    <w:rsid w:val="009E3531"/>
    <w:rsid w:val="009E38FE"/>
    <w:rsid w:val="009E40D9"/>
    <w:rsid w:val="009E4D93"/>
    <w:rsid w:val="009E508D"/>
    <w:rsid w:val="009E55BF"/>
    <w:rsid w:val="009E5BAC"/>
    <w:rsid w:val="009E6385"/>
    <w:rsid w:val="009E642E"/>
    <w:rsid w:val="009E64CB"/>
    <w:rsid w:val="009E656C"/>
    <w:rsid w:val="009E6830"/>
    <w:rsid w:val="009E6A51"/>
    <w:rsid w:val="009E6E2B"/>
    <w:rsid w:val="009E6FCD"/>
    <w:rsid w:val="009E77D5"/>
    <w:rsid w:val="009E7FF3"/>
    <w:rsid w:val="009F036F"/>
    <w:rsid w:val="009F058A"/>
    <w:rsid w:val="009F0813"/>
    <w:rsid w:val="009F0876"/>
    <w:rsid w:val="009F0A55"/>
    <w:rsid w:val="009F0BAF"/>
    <w:rsid w:val="009F0D10"/>
    <w:rsid w:val="009F11B0"/>
    <w:rsid w:val="009F12F3"/>
    <w:rsid w:val="009F1B54"/>
    <w:rsid w:val="009F1C96"/>
    <w:rsid w:val="009F1CF2"/>
    <w:rsid w:val="009F1FD4"/>
    <w:rsid w:val="009F225E"/>
    <w:rsid w:val="009F22AE"/>
    <w:rsid w:val="009F22C1"/>
    <w:rsid w:val="009F2628"/>
    <w:rsid w:val="009F26EA"/>
    <w:rsid w:val="009F2865"/>
    <w:rsid w:val="009F2A03"/>
    <w:rsid w:val="009F2DE7"/>
    <w:rsid w:val="009F327A"/>
    <w:rsid w:val="009F3403"/>
    <w:rsid w:val="009F35E5"/>
    <w:rsid w:val="009F406F"/>
    <w:rsid w:val="009F424B"/>
    <w:rsid w:val="009F431C"/>
    <w:rsid w:val="009F434E"/>
    <w:rsid w:val="009F4352"/>
    <w:rsid w:val="009F45BF"/>
    <w:rsid w:val="009F470D"/>
    <w:rsid w:val="009F4E8F"/>
    <w:rsid w:val="009F4EF4"/>
    <w:rsid w:val="009F522D"/>
    <w:rsid w:val="009F53F3"/>
    <w:rsid w:val="009F55FD"/>
    <w:rsid w:val="009F5782"/>
    <w:rsid w:val="009F591F"/>
    <w:rsid w:val="009F5B93"/>
    <w:rsid w:val="009F642C"/>
    <w:rsid w:val="009F64E8"/>
    <w:rsid w:val="009F6F64"/>
    <w:rsid w:val="009F7017"/>
    <w:rsid w:val="009F7BF9"/>
    <w:rsid w:val="009F7E51"/>
    <w:rsid w:val="00A001E2"/>
    <w:rsid w:val="00A0045D"/>
    <w:rsid w:val="00A00502"/>
    <w:rsid w:val="00A00904"/>
    <w:rsid w:val="00A0090C"/>
    <w:rsid w:val="00A0100F"/>
    <w:rsid w:val="00A013ED"/>
    <w:rsid w:val="00A01C30"/>
    <w:rsid w:val="00A01C54"/>
    <w:rsid w:val="00A01DF2"/>
    <w:rsid w:val="00A01EA6"/>
    <w:rsid w:val="00A01EB8"/>
    <w:rsid w:val="00A02439"/>
    <w:rsid w:val="00A027B1"/>
    <w:rsid w:val="00A03201"/>
    <w:rsid w:val="00A032AC"/>
    <w:rsid w:val="00A03888"/>
    <w:rsid w:val="00A03A28"/>
    <w:rsid w:val="00A03B5F"/>
    <w:rsid w:val="00A03C1C"/>
    <w:rsid w:val="00A03FB7"/>
    <w:rsid w:val="00A04663"/>
    <w:rsid w:val="00A04720"/>
    <w:rsid w:val="00A047A4"/>
    <w:rsid w:val="00A04AD4"/>
    <w:rsid w:val="00A04B86"/>
    <w:rsid w:val="00A04F10"/>
    <w:rsid w:val="00A04F1C"/>
    <w:rsid w:val="00A052EB"/>
    <w:rsid w:val="00A05433"/>
    <w:rsid w:val="00A058F9"/>
    <w:rsid w:val="00A0623E"/>
    <w:rsid w:val="00A069CB"/>
    <w:rsid w:val="00A06C7F"/>
    <w:rsid w:val="00A06E05"/>
    <w:rsid w:val="00A06F82"/>
    <w:rsid w:val="00A07263"/>
    <w:rsid w:val="00A07330"/>
    <w:rsid w:val="00A07998"/>
    <w:rsid w:val="00A07F43"/>
    <w:rsid w:val="00A10483"/>
    <w:rsid w:val="00A1063F"/>
    <w:rsid w:val="00A113B2"/>
    <w:rsid w:val="00A11794"/>
    <w:rsid w:val="00A11CA3"/>
    <w:rsid w:val="00A11E4D"/>
    <w:rsid w:val="00A1211F"/>
    <w:rsid w:val="00A12407"/>
    <w:rsid w:val="00A12582"/>
    <w:rsid w:val="00A12663"/>
    <w:rsid w:val="00A12E97"/>
    <w:rsid w:val="00A13077"/>
    <w:rsid w:val="00A134BA"/>
    <w:rsid w:val="00A134D8"/>
    <w:rsid w:val="00A137C8"/>
    <w:rsid w:val="00A138D2"/>
    <w:rsid w:val="00A13E40"/>
    <w:rsid w:val="00A14266"/>
    <w:rsid w:val="00A14B79"/>
    <w:rsid w:val="00A15240"/>
    <w:rsid w:val="00A15357"/>
    <w:rsid w:val="00A1537E"/>
    <w:rsid w:val="00A154CD"/>
    <w:rsid w:val="00A156FA"/>
    <w:rsid w:val="00A1587A"/>
    <w:rsid w:val="00A15B42"/>
    <w:rsid w:val="00A15C65"/>
    <w:rsid w:val="00A15FF4"/>
    <w:rsid w:val="00A1714A"/>
    <w:rsid w:val="00A1725C"/>
    <w:rsid w:val="00A1734A"/>
    <w:rsid w:val="00A17FC6"/>
    <w:rsid w:val="00A202AF"/>
    <w:rsid w:val="00A20472"/>
    <w:rsid w:val="00A20C10"/>
    <w:rsid w:val="00A20CA7"/>
    <w:rsid w:val="00A212C9"/>
    <w:rsid w:val="00A2164C"/>
    <w:rsid w:val="00A21742"/>
    <w:rsid w:val="00A2186F"/>
    <w:rsid w:val="00A21E6F"/>
    <w:rsid w:val="00A2206D"/>
    <w:rsid w:val="00A22105"/>
    <w:rsid w:val="00A224DE"/>
    <w:rsid w:val="00A22686"/>
    <w:rsid w:val="00A22A23"/>
    <w:rsid w:val="00A23019"/>
    <w:rsid w:val="00A233F9"/>
    <w:rsid w:val="00A23402"/>
    <w:rsid w:val="00A23B3A"/>
    <w:rsid w:val="00A23C48"/>
    <w:rsid w:val="00A23F41"/>
    <w:rsid w:val="00A23F58"/>
    <w:rsid w:val="00A23FF9"/>
    <w:rsid w:val="00A24123"/>
    <w:rsid w:val="00A24624"/>
    <w:rsid w:val="00A2465C"/>
    <w:rsid w:val="00A24AD6"/>
    <w:rsid w:val="00A24EC1"/>
    <w:rsid w:val="00A256BB"/>
    <w:rsid w:val="00A25BC9"/>
    <w:rsid w:val="00A25D30"/>
    <w:rsid w:val="00A2613A"/>
    <w:rsid w:val="00A2785C"/>
    <w:rsid w:val="00A27A51"/>
    <w:rsid w:val="00A27D5A"/>
    <w:rsid w:val="00A302F5"/>
    <w:rsid w:val="00A304AE"/>
    <w:rsid w:val="00A30CD7"/>
    <w:rsid w:val="00A30DD1"/>
    <w:rsid w:val="00A31105"/>
    <w:rsid w:val="00A3113A"/>
    <w:rsid w:val="00A3133F"/>
    <w:rsid w:val="00A31373"/>
    <w:rsid w:val="00A31869"/>
    <w:rsid w:val="00A31A8A"/>
    <w:rsid w:val="00A31E0C"/>
    <w:rsid w:val="00A32227"/>
    <w:rsid w:val="00A3235A"/>
    <w:rsid w:val="00A32505"/>
    <w:rsid w:val="00A3263D"/>
    <w:rsid w:val="00A328F4"/>
    <w:rsid w:val="00A32CB7"/>
    <w:rsid w:val="00A33011"/>
    <w:rsid w:val="00A333E5"/>
    <w:rsid w:val="00A33841"/>
    <w:rsid w:val="00A33872"/>
    <w:rsid w:val="00A33DDA"/>
    <w:rsid w:val="00A33FCC"/>
    <w:rsid w:val="00A3442C"/>
    <w:rsid w:val="00A3449E"/>
    <w:rsid w:val="00A3466C"/>
    <w:rsid w:val="00A34BEB"/>
    <w:rsid w:val="00A3557C"/>
    <w:rsid w:val="00A35742"/>
    <w:rsid w:val="00A3608B"/>
    <w:rsid w:val="00A360E3"/>
    <w:rsid w:val="00A36148"/>
    <w:rsid w:val="00A36419"/>
    <w:rsid w:val="00A36571"/>
    <w:rsid w:val="00A36582"/>
    <w:rsid w:val="00A3661B"/>
    <w:rsid w:val="00A367A9"/>
    <w:rsid w:val="00A36884"/>
    <w:rsid w:val="00A36A29"/>
    <w:rsid w:val="00A36DF2"/>
    <w:rsid w:val="00A36E70"/>
    <w:rsid w:val="00A36F63"/>
    <w:rsid w:val="00A370B3"/>
    <w:rsid w:val="00A37248"/>
    <w:rsid w:val="00A37337"/>
    <w:rsid w:val="00A374BA"/>
    <w:rsid w:val="00A40202"/>
    <w:rsid w:val="00A4028C"/>
    <w:rsid w:val="00A403FD"/>
    <w:rsid w:val="00A40500"/>
    <w:rsid w:val="00A40D01"/>
    <w:rsid w:val="00A41070"/>
    <w:rsid w:val="00A41378"/>
    <w:rsid w:val="00A415D8"/>
    <w:rsid w:val="00A41729"/>
    <w:rsid w:val="00A41AB9"/>
    <w:rsid w:val="00A41AE1"/>
    <w:rsid w:val="00A422C8"/>
    <w:rsid w:val="00A42491"/>
    <w:rsid w:val="00A425C8"/>
    <w:rsid w:val="00A42B8B"/>
    <w:rsid w:val="00A42C29"/>
    <w:rsid w:val="00A42CB6"/>
    <w:rsid w:val="00A4307D"/>
    <w:rsid w:val="00A4315F"/>
    <w:rsid w:val="00A43571"/>
    <w:rsid w:val="00A43714"/>
    <w:rsid w:val="00A43B9B"/>
    <w:rsid w:val="00A43D4B"/>
    <w:rsid w:val="00A43E29"/>
    <w:rsid w:val="00A43F15"/>
    <w:rsid w:val="00A447A2"/>
    <w:rsid w:val="00A4517B"/>
    <w:rsid w:val="00A4526B"/>
    <w:rsid w:val="00A452AD"/>
    <w:rsid w:val="00A452DC"/>
    <w:rsid w:val="00A45578"/>
    <w:rsid w:val="00A45793"/>
    <w:rsid w:val="00A458F8"/>
    <w:rsid w:val="00A45CEB"/>
    <w:rsid w:val="00A4612E"/>
    <w:rsid w:val="00A4627C"/>
    <w:rsid w:val="00A4668B"/>
    <w:rsid w:val="00A46959"/>
    <w:rsid w:val="00A46BBA"/>
    <w:rsid w:val="00A46C74"/>
    <w:rsid w:val="00A47004"/>
    <w:rsid w:val="00A4721F"/>
    <w:rsid w:val="00A47414"/>
    <w:rsid w:val="00A47792"/>
    <w:rsid w:val="00A479CC"/>
    <w:rsid w:val="00A47D9A"/>
    <w:rsid w:val="00A509EE"/>
    <w:rsid w:val="00A50BB5"/>
    <w:rsid w:val="00A510F2"/>
    <w:rsid w:val="00A51451"/>
    <w:rsid w:val="00A515D0"/>
    <w:rsid w:val="00A517D3"/>
    <w:rsid w:val="00A51B57"/>
    <w:rsid w:val="00A51EC1"/>
    <w:rsid w:val="00A51F68"/>
    <w:rsid w:val="00A5265A"/>
    <w:rsid w:val="00A52884"/>
    <w:rsid w:val="00A52BB6"/>
    <w:rsid w:val="00A5332E"/>
    <w:rsid w:val="00A53403"/>
    <w:rsid w:val="00A537E6"/>
    <w:rsid w:val="00A541C8"/>
    <w:rsid w:val="00A542EE"/>
    <w:rsid w:val="00A544E8"/>
    <w:rsid w:val="00A549B8"/>
    <w:rsid w:val="00A54A01"/>
    <w:rsid w:val="00A54AD7"/>
    <w:rsid w:val="00A54BDD"/>
    <w:rsid w:val="00A54D47"/>
    <w:rsid w:val="00A54EE5"/>
    <w:rsid w:val="00A55189"/>
    <w:rsid w:val="00A55202"/>
    <w:rsid w:val="00A556E8"/>
    <w:rsid w:val="00A55BC7"/>
    <w:rsid w:val="00A55D3A"/>
    <w:rsid w:val="00A5602F"/>
    <w:rsid w:val="00A5635C"/>
    <w:rsid w:val="00A56386"/>
    <w:rsid w:val="00A5663C"/>
    <w:rsid w:val="00A56896"/>
    <w:rsid w:val="00A56951"/>
    <w:rsid w:val="00A569CE"/>
    <w:rsid w:val="00A56A63"/>
    <w:rsid w:val="00A56DAE"/>
    <w:rsid w:val="00A57031"/>
    <w:rsid w:val="00A570C0"/>
    <w:rsid w:val="00A576D7"/>
    <w:rsid w:val="00A57833"/>
    <w:rsid w:val="00A601D8"/>
    <w:rsid w:val="00A602D2"/>
    <w:rsid w:val="00A60522"/>
    <w:rsid w:val="00A60ABB"/>
    <w:rsid w:val="00A611B6"/>
    <w:rsid w:val="00A6148D"/>
    <w:rsid w:val="00A615EC"/>
    <w:rsid w:val="00A61C33"/>
    <w:rsid w:val="00A61E75"/>
    <w:rsid w:val="00A61FFD"/>
    <w:rsid w:val="00A62219"/>
    <w:rsid w:val="00A62307"/>
    <w:rsid w:val="00A62384"/>
    <w:rsid w:val="00A6279D"/>
    <w:rsid w:val="00A628A7"/>
    <w:rsid w:val="00A62C6F"/>
    <w:rsid w:val="00A634B9"/>
    <w:rsid w:val="00A63649"/>
    <w:rsid w:val="00A6373D"/>
    <w:rsid w:val="00A6383B"/>
    <w:rsid w:val="00A63864"/>
    <w:rsid w:val="00A64A6F"/>
    <w:rsid w:val="00A64FBF"/>
    <w:rsid w:val="00A65139"/>
    <w:rsid w:val="00A654A0"/>
    <w:rsid w:val="00A6565F"/>
    <w:rsid w:val="00A65805"/>
    <w:rsid w:val="00A65947"/>
    <w:rsid w:val="00A65C62"/>
    <w:rsid w:val="00A65E9C"/>
    <w:rsid w:val="00A65EB4"/>
    <w:rsid w:val="00A66245"/>
    <w:rsid w:val="00A66441"/>
    <w:rsid w:val="00A6647D"/>
    <w:rsid w:val="00A664FA"/>
    <w:rsid w:val="00A6655A"/>
    <w:rsid w:val="00A668AC"/>
    <w:rsid w:val="00A668D1"/>
    <w:rsid w:val="00A66B66"/>
    <w:rsid w:val="00A67368"/>
    <w:rsid w:val="00A6761F"/>
    <w:rsid w:val="00A6799C"/>
    <w:rsid w:val="00A67B18"/>
    <w:rsid w:val="00A67B62"/>
    <w:rsid w:val="00A67E6C"/>
    <w:rsid w:val="00A70204"/>
    <w:rsid w:val="00A70533"/>
    <w:rsid w:val="00A70938"/>
    <w:rsid w:val="00A717D3"/>
    <w:rsid w:val="00A718C8"/>
    <w:rsid w:val="00A71A4A"/>
    <w:rsid w:val="00A71C30"/>
    <w:rsid w:val="00A71D77"/>
    <w:rsid w:val="00A723D5"/>
    <w:rsid w:val="00A72402"/>
    <w:rsid w:val="00A725F2"/>
    <w:rsid w:val="00A72710"/>
    <w:rsid w:val="00A72ACA"/>
    <w:rsid w:val="00A72B3A"/>
    <w:rsid w:val="00A732E0"/>
    <w:rsid w:val="00A73927"/>
    <w:rsid w:val="00A73D1E"/>
    <w:rsid w:val="00A73EA2"/>
    <w:rsid w:val="00A74496"/>
    <w:rsid w:val="00A751E4"/>
    <w:rsid w:val="00A7524F"/>
    <w:rsid w:val="00A752B1"/>
    <w:rsid w:val="00A753B8"/>
    <w:rsid w:val="00A757C3"/>
    <w:rsid w:val="00A7582C"/>
    <w:rsid w:val="00A75997"/>
    <w:rsid w:val="00A76142"/>
    <w:rsid w:val="00A762BD"/>
    <w:rsid w:val="00A76428"/>
    <w:rsid w:val="00A7660A"/>
    <w:rsid w:val="00A76634"/>
    <w:rsid w:val="00A76671"/>
    <w:rsid w:val="00A7670D"/>
    <w:rsid w:val="00A76854"/>
    <w:rsid w:val="00A7700F"/>
    <w:rsid w:val="00A770C9"/>
    <w:rsid w:val="00A772A8"/>
    <w:rsid w:val="00A777D2"/>
    <w:rsid w:val="00A77C51"/>
    <w:rsid w:val="00A77C69"/>
    <w:rsid w:val="00A77D1F"/>
    <w:rsid w:val="00A800FB"/>
    <w:rsid w:val="00A80240"/>
    <w:rsid w:val="00A8078B"/>
    <w:rsid w:val="00A8093E"/>
    <w:rsid w:val="00A8096A"/>
    <w:rsid w:val="00A809BB"/>
    <w:rsid w:val="00A8101B"/>
    <w:rsid w:val="00A812F2"/>
    <w:rsid w:val="00A81342"/>
    <w:rsid w:val="00A814C4"/>
    <w:rsid w:val="00A815F7"/>
    <w:rsid w:val="00A817A2"/>
    <w:rsid w:val="00A818C7"/>
    <w:rsid w:val="00A81E34"/>
    <w:rsid w:val="00A81F1B"/>
    <w:rsid w:val="00A82452"/>
    <w:rsid w:val="00A8283D"/>
    <w:rsid w:val="00A82B7B"/>
    <w:rsid w:val="00A82D1A"/>
    <w:rsid w:val="00A82F4B"/>
    <w:rsid w:val="00A8302F"/>
    <w:rsid w:val="00A83117"/>
    <w:rsid w:val="00A8352D"/>
    <w:rsid w:val="00A83A22"/>
    <w:rsid w:val="00A83DCA"/>
    <w:rsid w:val="00A83F42"/>
    <w:rsid w:val="00A840E7"/>
    <w:rsid w:val="00A849FC"/>
    <w:rsid w:val="00A84E55"/>
    <w:rsid w:val="00A8507A"/>
    <w:rsid w:val="00A86581"/>
    <w:rsid w:val="00A86640"/>
    <w:rsid w:val="00A867F2"/>
    <w:rsid w:val="00A868BE"/>
    <w:rsid w:val="00A86D14"/>
    <w:rsid w:val="00A86E1F"/>
    <w:rsid w:val="00A87224"/>
    <w:rsid w:val="00A873D4"/>
    <w:rsid w:val="00A874CE"/>
    <w:rsid w:val="00A8756B"/>
    <w:rsid w:val="00A878E4"/>
    <w:rsid w:val="00A87A13"/>
    <w:rsid w:val="00A87DA2"/>
    <w:rsid w:val="00A87E0D"/>
    <w:rsid w:val="00A90031"/>
    <w:rsid w:val="00A90191"/>
    <w:rsid w:val="00A901D7"/>
    <w:rsid w:val="00A90257"/>
    <w:rsid w:val="00A902A8"/>
    <w:rsid w:val="00A906CD"/>
    <w:rsid w:val="00A90872"/>
    <w:rsid w:val="00A908CC"/>
    <w:rsid w:val="00A90D0A"/>
    <w:rsid w:val="00A91655"/>
    <w:rsid w:val="00A9183F"/>
    <w:rsid w:val="00A9190C"/>
    <w:rsid w:val="00A9198B"/>
    <w:rsid w:val="00A91B09"/>
    <w:rsid w:val="00A91B57"/>
    <w:rsid w:val="00A91B7F"/>
    <w:rsid w:val="00A91BAF"/>
    <w:rsid w:val="00A91C73"/>
    <w:rsid w:val="00A91D5F"/>
    <w:rsid w:val="00A922BB"/>
    <w:rsid w:val="00A9231F"/>
    <w:rsid w:val="00A92813"/>
    <w:rsid w:val="00A92A24"/>
    <w:rsid w:val="00A92E75"/>
    <w:rsid w:val="00A9337E"/>
    <w:rsid w:val="00A9345E"/>
    <w:rsid w:val="00A937B3"/>
    <w:rsid w:val="00A93B85"/>
    <w:rsid w:val="00A93FEA"/>
    <w:rsid w:val="00A9420F"/>
    <w:rsid w:val="00A94310"/>
    <w:rsid w:val="00A9458F"/>
    <w:rsid w:val="00A949F2"/>
    <w:rsid w:val="00A94A90"/>
    <w:rsid w:val="00A94E4F"/>
    <w:rsid w:val="00A9528E"/>
    <w:rsid w:val="00A95362"/>
    <w:rsid w:val="00A95965"/>
    <w:rsid w:val="00A95B55"/>
    <w:rsid w:val="00A9622F"/>
    <w:rsid w:val="00A96590"/>
    <w:rsid w:val="00A96612"/>
    <w:rsid w:val="00A96766"/>
    <w:rsid w:val="00A9688A"/>
    <w:rsid w:val="00A96E2F"/>
    <w:rsid w:val="00A97275"/>
    <w:rsid w:val="00A97628"/>
    <w:rsid w:val="00A9799D"/>
    <w:rsid w:val="00AA0019"/>
    <w:rsid w:val="00AA089C"/>
    <w:rsid w:val="00AA0BD3"/>
    <w:rsid w:val="00AA0D5B"/>
    <w:rsid w:val="00AA0F53"/>
    <w:rsid w:val="00AA1115"/>
    <w:rsid w:val="00AA14D7"/>
    <w:rsid w:val="00AA155D"/>
    <w:rsid w:val="00AA1751"/>
    <w:rsid w:val="00AA19CB"/>
    <w:rsid w:val="00AA1F95"/>
    <w:rsid w:val="00AA251D"/>
    <w:rsid w:val="00AA2B2E"/>
    <w:rsid w:val="00AA2CAB"/>
    <w:rsid w:val="00AA2CBA"/>
    <w:rsid w:val="00AA2DDD"/>
    <w:rsid w:val="00AA2F19"/>
    <w:rsid w:val="00AA30D4"/>
    <w:rsid w:val="00AA3193"/>
    <w:rsid w:val="00AA3667"/>
    <w:rsid w:val="00AA380C"/>
    <w:rsid w:val="00AA3950"/>
    <w:rsid w:val="00AA3964"/>
    <w:rsid w:val="00AA3DF4"/>
    <w:rsid w:val="00AA40AC"/>
    <w:rsid w:val="00AA4AB6"/>
    <w:rsid w:val="00AA5115"/>
    <w:rsid w:val="00AA511E"/>
    <w:rsid w:val="00AA5124"/>
    <w:rsid w:val="00AA54B0"/>
    <w:rsid w:val="00AA54D2"/>
    <w:rsid w:val="00AA5561"/>
    <w:rsid w:val="00AA5B2F"/>
    <w:rsid w:val="00AA5C48"/>
    <w:rsid w:val="00AA5CED"/>
    <w:rsid w:val="00AA5EA0"/>
    <w:rsid w:val="00AA6360"/>
    <w:rsid w:val="00AA647C"/>
    <w:rsid w:val="00AA653D"/>
    <w:rsid w:val="00AA68B2"/>
    <w:rsid w:val="00AA69EA"/>
    <w:rsid w:val="00AA6C54"/>
    <w:rsid w:val="00AA6FFB"/>
    <w:rsid w:val="00AA7152"/>
    <w:rsid w:val="00AA736C"/>
    <w:rsid w:val="00AA7470"/>
    <w:rsid w:val="00AA7825"/>
    <w:rsid w:val="00AA7A38"/>
    <w:rsid w:val="00AA7B45"/>
    <w:rsid w:val="00AA7C58"/>
    <w:rsid w:val="00AA7C63"/>
    <w:rsid w:val="00AA7F84"/>
    <w:rsid w:val="00AB00F0"/>
    <w:rsid w:val="00AB0325"/>
    <w:rsid w:val="00AB042C"/>
    <w:rsid w:val="00AB044D"/>
    <w:rsid w:val="00AB0BEB"/>
    <w:rsid w:val="00AB0C95"/>
    <w:rsid w:val="00AB0E74"/>
    <w:rsid w:val="00AB0EAC"/>
    <w:rsid w:val="00AB16BE"/>
    <w:rsid w:val="00AB19A8"/>
    <w:rsid w:val="00AB1D6F"/>
    <w:rsid w:val="00AB1E83"/>
    <w:rsid w:val="00AB1F58"/>
    <w:rsid w:val="00AB210A"/>
    <w:rsid w:val="00AB21DA"/>
    <w:rsid w:val="00AB225C"/>
    <w:rsid w:val="00AB2467"/>
    <w:rsid w:val="00AB25A4"/>
    <w:rsid w:val="00AB276F"/>
    <w:rsid w:val="00AB27B5"/>
    <w:rsid w:val="00AB28A7"/>
    <w:rsid w:val="00AB292E"/>
    <w:rsid w:val="00AB2CA4"/>
    <w:rsid w:val="00AB2E44"/>
    <w:rsid w:val="00AB304C"/>
    <w:rsid w:val="00AB31E8"/>
    <w:rsid w:val="00AB3B2D"/>
    <w:rsid w:val="00AB3BA1"/>
    <w:rsid w:val="00AB3D10"/>
    <w:rsid w:val="00AB4026"/>
    <w:rsid w:val="00AB40C7"/>
    <w:rsid w:val="00AB48D9"/>
    <w:rsid w:val="00AB4ABB"/>
    <w:rsid w:val="00AB4BD9"/>
    <w:rsid w:val="00AB5121"/>
    <w:rsid w:val="00AB5461"/>
    <w:rsid w:val="00AB565A"/>
    <w:rsid w:val="00AB59B8"/>
    <w:rsid w:val="00AB61ED"/>
    <w:rsid w:val="00AB6515"/>
    <w:rsid w:val="00AB6531"/>
    <w:rsid w:val="00AB67A6"/>
    <w:rsid w:val="00AB68C7"/>
    <w:rsid w:val="00AB6CCA"/>
    <w:rsid w:val="00AB6F2A"/>
    <w:rsid w:val="00AB6F67"/>
    <w:rsid w:val="00AB725A"/>
    <w:rsid w:val="00AB786F"/>
    <w:rsid w:val="00AC01A5"/>
    <w:rsid w:val="00AC0313"/>
    <w:rsid w:val="00AC04C2"/>
    <w:rsid w:val="00AC093B"/>
    <w:rsid w:val="00AC0D1C"/>
    <w:rsid w:val="00AC123F"/>
    <w:rsid w:val="00AC12B8"/>
    <w:rsid w:val="00AC14FC"/>
    <w:rsid w:val="00AC171B"/>
    <w:rsid w:val="00AC1808"/>
    <w:rsid w:val="00AC183B"/>
    <w:rsid w:val="00AC1AB0"/>
    <w:rsid w:val="00AC1ACD"/>
    <w:rsid w:val="00AC2186"/>
    <w:rsid w:val="00AC2AFF"/>
    <w:rsid w:val="00AC2D9E"/>
    <w:rsid w:val="00AC36A2"/>
    <w:rsid w:val="00AC3860"/>
    <w:rsid w:val="00AC3E67"/>
    <w:rsid w:val="00AC406E"/>
    <w:rsid w:val="00AC4234"/>
    <w:rsid w:val="00AC457B"/>
    <w:rsid w:val="00AC49C2"/>
    <w:rsid w:val="00AC50BB"/>
    <w:rsid w:val="00AC51A5"/>
    <w:rsid w:val="00AC52D9"/>
    <w:rsid w:val="00AC5979"/>
    <w:rsid w:val="00AC5C4C"/>
    <w:rsid w:val="00AC5D7B"/>
    <w:rsid w:val="00AC5DC7"/>
    <w:rsid w:val="00AC6742"/>
    <w:rsid w:val="00AC682A"/>
    <w:rsid w:val="00AC6BE6"/>
    <w:rsid w:val="00AC6D7D"/>
    <w:rsid w:val="00AC6DA1"/>
    <w:rsid w:val="00AC6F33"/>
    <w:rsid w:val="00AC6F94"/>
    <w:rsid w:val="00AC7151"/>
    <w:rsid w:val="00AC7173"/>
    <w:rsid w:val="00AC75B2"/>
    <w:rsid w:val="00AC7C16"/>
    <w:rsid w:val="00AC7CC7"/>
    <w:rsid w:val="00AC7D2D"/>
    <w:rsid w:val="00AC7D64"/>
    <w:rsid w:val="00AC7D83"/>
    <w:rsid w:val="00AC7E3C"/>
    <w:rsid w:val="00AC7F15"/>
    <w:rsid w:val="00AD0481"/>
    <w:rsid w:val="00AD04D3"/>
    <w:rsid w:val="00AD07B3"/>
    <w:rsid w:val="00AD0810"/>
    <w:rsid w:val="00AD09BA"/>
    <w:rsid w:val="00AD0B01"/>
    <w:rsid w:val="00AD0CD3"/>
    <w:rsid w:val="00AD1081"/>
    <w:rsid w:val="00AD11F4"/>
    <w:rsid w:val="00AD124E"/>
    <w:rsid w:val="00AD1949"/>
    <w:rsid w:val="00AD1A09"/>
    <w:rsid w:val="00AD1B87"/>
    <w:rsid w:val="00AD1DDD"/>
    <w:rsid w:val="00AD21B2"/>
    <w:rsid w:val="00AD2803"/>
    <w:rsid w:val="00AD29E0"/>
    <w:rsid w:val="00AD2C30"/>
    <w:rsid w:val="00AD3AB9"/>
    <w:rsid w:val="00AD3BBD"/>
    <w:rsid w:val="00AD4A3C"/>
    <w:rsid w:val="00AD4A89"/>
    <w:rsid w:val="00AD4E42"/>
    <w:rsid w:val="00AD5117"/>
    <w:rsid w:val="00AD53C1"/>
    <w:rsid w:val="00AD547D"/>
    <w:rsid w:val="00AD5827"/>
    <w:rsid w:val="00AD591C"/>
    <w:rsid w:val="00AD5990"/>
    <w:rsid w:val="00AD5BA9"/>
    <w:rsid w:val="00AD60CF"/>
    <w:rsid w:val="00AD6662"/>
    <w:rsid w:val="00AD68E1"/>
    <w:rsid w:val="00AD6A88"/>
    <w:rsid w:val="00AD6F42"/>
    <w:rsid w:val="00AD6F61"/>
    <w:rsid w:val="00AD70BB"/>
    <w:rsid w:val="00AD73C0"/>
    <w:rsid w:val="00AD77D1"/>
    <w:rsid w:val="00AD7B8A"/>
    <w:rsid w:val="00AE02FE"/>
    <w:rsid w:val="00AE062E"/>
    <w:rsid w:val="00AE0830"/>
    <w:rsid w:val="00AE0895"/>
    <w:rsid w:val="00AE0916"/>
    <w:rsid w:val="00AE0AD3"/>
    <w:rsid w:val="00AE0BBE"/>
    <w:rsid w:val="00AE0D52"/>
    <w:rsid w:val="00AE1227"/>
    <w:rsid w:val="00AE1751"/>
    <w:rsid w:val="00AE19A0"/>
    <w:rsid w:val="00AE22B8"/>
    <w:rsid w:val="00AE23F9"/>
    <w:rsid w:val="00AE271A"/>
    <w:rsid w:val="00AE2C2C"/>
    <w:rsid w:val="00AE2DC1"/>
    <w:rsid w:val="00AE3053"/>
    <w:rsid w:val="00AE36CC"/>
    <w:rsid w:val="00AE3748"/>
    <w:rsid w:val="00AE3B37"/>
    <w:rsid w:val="00AE3C64"/>
    <w:rsid w:val="00AE3CC7"/>
    <w:rsid w:val="00AE3F2C"/>
    <w:rsid w:val="00AE40A8"/>
    <w:rsid w:val="00AE41B8"/>
    <w:rsid w:val="00AE455B"/>
    <w:rsid w:val="00AE4DB4"/>
    <w:rsid w:val="00AE4EE4"/>
    <w:rsid w:val="00AE51D7"/>
    <w:rsid w:val="00AE521B"/>
    <w:rsid w:val="00AE524E"/>
    <w:rsid w:val="00AE65B3"/>
    <w:rsid w:val="00AE68C3"/>
    <w:rsid w:val="00AE6AAB"/>
    <w:rsid w:val="00AE6FF1"/>
    <w:rsid w:val="00AE70F3"/>
    <w:rsid w:val="00AE73C3"/>
    <w:rsid w:val="00AE76CF"/>
    <w:rsid w:val="00AF00F1"/>
    <w:rsid w:val="00AF089A"/>
    <w:rsid w:val="00AF08FF"/>
    <w:rsid w:val="00AF09D3"/>
    <w:rsid w:val="00AF0AA5"/>
    <w:rsid w:val="00AF0CAA"/>
    <w:rsid w:val="00AF0CB8"/>
    <w:rsid w:val="00AF0F0D"/>
    <w:rsid w:val="00AF0FCE"/>
    <w:rsid w:val="00AF1A26"/>
    <w:rsid w:val="00AF2382"/>
    <w:rsid w:val="00AF25A4"/>
    <w:rsid w:val="00AF274B"/>
    <w:rsid w:val="00AF2BF1"/>
    <w:rsid w:val="00AF2D0E"/>
    <w:rsid w:val="00AF37DA"/>
    <w:rsid w:val="00AF37FE"/>
    <w:rsid w:val="00AF3C57"/>
    <w:rsid w:val="00AF3CA7"/>
    <w:rsid w:val="00AF43CC"/>
    <w:rsid w:val="00AF4568"/>
    <w:rsid w:val="00AF48B3"/>
    <w:rsid w:val="00AF4E07"/>
    <w:rsid w:val="00AF54AC"/>
    <w:rsid w:val="00AF5504"/>
    <w:rsid w:val="00AF5893"/>
    <w:rsid w:val="00AF59E4"/>
    <w:rsid w:val="00AF5D80"/>
    <w:rsid w:val="00AF5EE3"/>
    <w:rsid w:val="00AF61AA"/>
    <w:rsid w:val="00AF6263"/>
    <w:rsid w:val="00AF6F7F"/>
    <w:rsid w:val="00AF71F0"/>
    <w:rsid w:val="00AF72B8"/>
    <w:rsid w:val="00AF7441"/>
    <w:rsid w:val="00AF76D5"/>
    <w:rsid w:val="00AF7B5C"/>
    <w:rsid w:val="00AF7F40"/>
    <w:rsid w:val="00B00127"/>
    <w:rsid w:val="00B008B5"/>
    <w:rsid w:val="00B00959"/>
    <w:rsid w:val="00B00BE7"/>
    <w:rsid w:val="00B00DEF"/>
    <w:rsid w:val="00B00E73"/>
    <w:rsid w:val="00B00EFA"/>
    <w:rsid w:val="00B01176"/>
    <w:rsid w:val="00B01BCF"/>
    <w:rsid w:val="00B028E4"/>
    <w:rsid w:val="00B0341E"/>
    <w:rsid w:val="00B03BDD"/>
    <w:rsid w:val="00B03E70"/>
    <w:rsid w:val="00B04E4F"/>
    <w:rsid w:val="00B04F70"/>
    <w:rsid w:val="00B05289"/>
    <w:rsid w:val="00B059A9"/>
    <w:rsid w:val="00B05B28"/>
    <w:rsid w:val="00B05CCE"/>
    <w:rsid w:val="00B05FA5"/>
    <w:rsid w:val="00B062AA"/>
    <w:rsid w:val="00B062CD"/>
    <w:rsid w:val="00B06392"/>
    <w:rsid w:val="00B066BE"/>
    <w:rsid w:val="00B06B4F"/>
    <w:rsid w:val="00B06E01"/>
    <w:rsid w:val="00B071D4"/>
    <w:rsid w:val="00B07D95"/>
    <w:rsid w:val="00B100F7"/>
    <w:rsid w:val="00B1085A"/>
    <w:rsid w:val="00B1099B"/>
    <w:rsid w:val="00B10AB7"/>
    <w:rsid w:val="00B10B13"/>
    <w:rsid w:val="00B10B5F"/>
    <w:rsid w:val="00B11528"/>
    <w:rsid w:val="00B116A6"/>
    <w:rsid w:val="00B11C93"/>
    <w:rsid w:val="00B11FCB"/>
    <w:rsid w:val="00B12169"/>
    <w:rsid w:val="00B12316"/>
    <w:rsid w:val="00B1272B"/>
    <w:rsid w:val="00B1274C"/>
    <w:rsid w:val="00B12B42"/>
    <w:rsid w:val="00B1359E"/>
    <w:rsid w:val="00B13684"/>
    <w:rsid w:val="00B137E4"/>
    <w:rsid w:val="00B13954"/>
    <w:rsid w:val="00B13D1F"/>
    <w:rsid w:val="00B13E4A"/>
    <w:rsid w:val="00B1413B"/>
    <w:rsid w:val="00B145BB"/>
    <w:rsid w:val="00B146F8"/>
    <w:rsid w:val="00B14C4D"/>
    <w:rsid w:val="00B14D53"/>
    <w:rsid w:val="00B14E03"/>
    <w:rsid w:val="00B14F35"/>
    <w:rsid w:val="00B1560A"/>
    <w:rsid w:val="00B157B4"/>
    <w:rsid w:val="00B15891"/>
    <w:rsid w:val="00B15C5F"/>
    <w:rsid w:val="00B15CB1"/>
    <w:rsid w:val="00B15FBF"/>
    <w:rsid w:val="00B15FF8"/>
    <w:rsid w:val="00B16194"/>
    <w:rsid w:val="00B16403"/>
    <w:rsid w:val="00B1655A"/>
    <w:rsid w:val="00B166B3"/>
    <w:rsid w:val="00B168CE"/>
    <w:rsid w:val="00B172FE"/>
    <w:rsid w:val="00B173C6"/>
    <w:rsid w:val="00B173E0"/>
    <w:rsid w:val="00B17F97"/>
    <w:rsid w:val="00B20020"/>
    <w:rsid w:val="00B200D0"/>
    <w:rsid w:val="00B20440"/>
    <w:rsid w:val="00B20446"/>
    <w:rsid w:val="00B2061C"/>
    <w:rsid w:val="00B2123B"/>
    <w:rsid w:val="00B2129A"/>
    <w:rsid w:val="00B21C4F"/>
    <w:rsid w:val="00B21CDF"/>
    <w:rsid w:val="00B21CEA"/>
    <w:rsid w:val="00B21F7F"/>
    <w:rsid w:val="00B2267D"/>
    <w:rsid w:val="00B2275D"/>
    <w:rsid w:val="00B22EAF"/>
    <w:rsid w:val="00B2300E"/>
    <w:rsid w:val="00B234DB"/>
    <w:rsid w:val="00B234DF"/>
    <w:rsid w:val="00B239C9"/>
    <w:rsid w:val="00B23B06"/>
    <w:rsid w:val="00B24419"/>
    <w:rsid w:val="00B249E8"/>
    <w:rsid w:val="00B249FF"/>
    <w:rsid w:val="00B24B8C"/>
    <w:rsid w:val="00B2513B"/>
    <w:rsid w:val="00B2522C"/>
    <w:rsid w:val="00B252C0"/>
    <w:rsid w:val="00B25AD0"/>
    <w:rsid w:val="00B25CE5"/>
    <w:rsid w:val="00B25E96"/>
    <w:rsid w:val="00B25F6C"/>
    <w:rsid w:val="00B2600F"/>
    <w:rsid w:val="00B26579"/>
    <w:rsid w:val="00B26E41"/>
    <w:rsid w:val="00B27967"/>
    <w:rsid w:val="00B27AB7"/>
    <w:rsid w:val="00B27B40"/>
    <w:rsid w:val="00B27B63"/>
    <w:rsid w:val="00B27C5A"/>
    <w:rsid w:val="00B27FE8"/>
    <w:rsid w:val="00B30206"/>
    <w:rsid w:val="00B306AF"/>
    <w:rsid w:val="00B30800"/>
    <w:rsid w:val="00B308A7"/>
    <w:rsid w:val="00B30CE5"/>
    <w:rsid w:val="00B30D1F"/>
    <w:rsid w:val="00B313F2"/>
    <w:rsid w:val="00B313F9"/>
    <w:rsid w:val="00B315BC"/>
    <w:rsid w:val="00B31C95"/>
    <w:rsid w:val="00B31CBF"/>
    <w:rsid w:val="00B31DA1"/>
    <w:rsid w:val="00B31DEA"/>
    <w:rsid w:val="00B31E5A"/>
    <w:rsid w:val="00B31FAC"/>
    <w:rsid w:val="00B320F4"/>
    <w:rsid w:val="00B32569"/>
    <w:rsid w:val="00B3268F"/>
    <w:rsid w:val="00B32A27"/>
    <w:rsid w:val="00B32BF6"/>
    <w:rsid w:val="00B32F1A"/>
    <w:rsid w:val="00B330B3"/>
    <w:rsid w:val="00B33802"/>
    <w:rsid w:val="00B3380F"/>
    <w:rsid w:val="00B33AD8"/>
    <w:rsid w:val="00B33CCA"/>
    <w:rsid w:val="00B33E9C"/>
    <w:rsid w:val="00B33FB0"/>
    <w:rsid w:val="00B3421C"/>
    <w:rsid w:val="00B34268"/>
    <w:rsid w:val="00B3440A"/>
    <w:rsid w:val="00B345E0"/>
    <w:rsid w:val="00B348B5"/>
    <w:rsid w:val="00B34DF7"/>
    <w:rsid w:val="00B3507E"/>
    <w:rsid w:val="00B358AC"/>
    <w:rsid w:val="00B35A4A"/>
    <w:rsid w:val="00B3615E"/>
    <w:rsid w:val="00B363BE"/>
    <w:rsid w:val="00B369ED"/>
    <w:rsid w:val="00B36B12"/>
    <w:rsid w:val="00B3702D"/>
    <w:rsid w:val="00B37169"/>
    <w:rsid w:val="00B37335"/>
    <w:rsid w:val="00B37CE1"/>
    <w:rsid w:val="00B40499"/>
    <w:rsid w:val="00B40A66"/>
    <w:rsid w:val="00B40DB2"/>
    <w:rsid w:val="00B40DDD"/>
    <w:rsid w:val="00B413D4"/>
    <w:rsid w:val="00B4181E"/>
    <w:rsid w:val="00B41BC2"/>
    <w:rsid w:val="00B42650"/>
    <w:rsid w:val="00B42C52"/>
    <w:rsid w:val="00B43207"/>
    <w:rsid w:val="00B433DD"/>
    <w:rsid w:val="00B4342A"/>
    <w:rsid w:val="00B437AD"/>
    <w:rsid w:val="00B4381D"/>
    <w:rsid w:val="00B43925"/>
    <w:rsid w:val="00B439DD"/>
    <w:rsid w:val="00B43E0D"/>
    <w:rsid w:val="00B441D9"/>
    <w:rsid w:val="00B44271"/>
    <w:rsid w:val="00B4455C"/>
    <w:rsid w:val="00B44625"/>
    <w:rsid w:val="00B446F5"/>
    <w:rsid w:val="00B447A2"/>
    <w:rsid w:val="00B448CE"/>
    <w:rsid w:val="00B44A92"/>
    <w:rsid w:val="00B44B37"/>
    <w:rsid w:val="00B44EA6"/>
    <w:rsid w:val="00B452BD"/>
    <w:rsid w:val="00B4590E"/>
    <w:rsid w:val="00B45A6E"/>
    <w:rsid w:val="00B45B39"/>
    <w:rsid w:val="00B45FA2"/>
    <w:rsid w:val="00B46534"/>
    <w:rsid w:val="00B4679A"/>
    <w:rsid w:val="00B46881"/>
    <w:rsid w:val="00B46B5C"/>
    <w:rsid w:val="00B46CB0"/>
    <w:rsid w:val="00B46D6D"/>
    <w:rsid w:val="00B46E8E"/>
    <w:rsid w:val="00B46EEA"/>
    <w:rsid w:val="00B473F5"/>
    <w:rsid w:val="00B50195"/>
    <w:rsid w:val="00B506F6"/>
    <w:rsid w:val="00B5070F"/>
    <w:rsid w:val="00B50BC4"/>
    <w:rsid w:val="00B51382"/>
    <w:rsid w:val="00B5143E"/>
    <w:rsid w:val="00B514B7"/>
    <w:rsid w:val="00B51535"/>
    <w:rsid w:val="00B51A86"/>
    <w:rsid w:val="00B51CFF"/>
    <w:rsid w:val="00B51FD4"/>
    <w:rsid w:val="00B52009"/>
    <w:rsid w:val="00B52244"/>
    <w:rsid w:val="00B52267"/>
    <w:rsid w:val="00B52332"/>
    <w:rsid w:val="00B52688"/>
    <w:rsid w:val="00B5277F"/>
    <w:rsid w:val="00B528ED"/>
    <w:rsid w:val="00B52C54"/>
    <w:rsid w:val="00B53715"/>
    <w:rsid w:val="00B540C0"/>
    <w:rsid w:val="00B547A8"/>
    <w:rsid w:val="00B5499A"/>
    <w:rsid w:val="00B54D54"/>
    <w:rsid w:val="00B54DAF"/>
    <w:rsid w:val="00B54E55"/>
    <w:rsid w:val="00B54EB6"/>
    <w:rsid w:val="00B55295"/>
    <w:rsid w:val="00B556A0"/>
    <w:rsid w:val="00B55723"/>
    <w:rsid w:val="00B5574D"/>
    <w:rsid w:val="00B55772"/>
    <w:rsid w:val="00B55CA5"/>
    <w:rsid w:val="00B55D31"/>
    <w:rsid w:val="00B55DA0"/>
    <w:rsid w:val="00B5630B"/>
    <w:rsid w:val="00B5649B"/>
    <w:rsid w:val="00B564E7"/>
    <w:rsid w:val="00B5706B"/>
    <w:rsid w:val="00B571AC"/>
    <w:rsid w:val="00B5721B"/>
    <w:rsid w:val="00B577D9"/>
    <w:rsid w:val="00B578C9"/>
    <w:rsid w:val="00B57938"/>
    <w:rsid w:val="00B5793B"/>
    <w:rsid w:val="00B57BF5"/>
    <w:rsid w:val="00B57CCA"/>
    <w:rsid w:val="00B57E41"/>
    <w:rsid w:val="00B57F42"/>
    <w:rsid w:val="00B57F4C"/>
    <w:rsid w:val="00B60089"/>
    <w:rsid w:val="00B606BA"/>
    <w:rsid w:val="00B60A67"/>
    <w:rsid w:val="00B6138E"/>
    <w:rsid w:val="00B61495"/>
    <w:rsid w:val="00B61D4E"/>
    <w:rsid w:val="00B621A0"/>
    <w:rsid w:val="00B62541"/>
    <w:rsid w:val="00B628D6"/>
    <w:rsid w:val="00B62A0A"/>
    <w:rsid w:val="00B62C7E"/>
    <w:rsid w:val="00B62E05"/>
    <w:rsid w:val="00B62EFB"/>
    <w:rsid w:val="00B63930"/>
    <w:rsid w:val="00B6397E"/>
    <w:rsid w:val="00B63A0F"/>
    <w:rsid w:val="00B63D3C"/>
    <w:rsid w:val="00B63D9F"/>
    <w:rsid w:val="00B63DE9"/>
    <w:rsid w:val="00B63E26"/>
    <w:rsid w:val="00B63E54"/>
    <w:rsid w:val="00B640AC"/>
    <w:rsid w:val="00B64237"/>
    <w:rsid w:val="00B64A43"/>
    <w:rsid w:val="00B64CEA"/>
    <w:rsid w:val="00B6504D"/>
    <w:rsid w:val="00B650FB"/>
    <w:rsid w:val="00B6515C"/>
    <w:rsid w:val="00B65627"/>
    <w:rsid w:val="00B65BA7"/>
    <w:rsid w:val="00B65FD0"/>
    <w:rsid w:val="00B6611E"/>
    <w:rsid w:val="00B66535"/>
    <w:rsid w:val="00B66E55"/>
    <w:rsid w:val="00B66F77"/>
    <w:rsid w:val="00B67E8C"/>
    <w:rsid w:val="00B7005E"/>
    <w:rsid w:val="00B70069"/>
    <w:rsid w:val="00B70590"/>
    <w:rsid w:val="00B707F8"/>
    <w:rsid w:val="00B70DAA"/>
    <w:rsid w:val="00B712FD"/>
    <w:rsid w:val="00B71592"/>
    <w:rsid w:val="00B7170B"/>
    <w:rsid w:val="00B71FC4"/>
    <w:rsid w:val="00B71FE6"/>
    <w:rsid w:val="00B7202A"/>
    <w:rsid w:val="00B720AE"/>
    <w:rsid w:val="00B7221D"/>
    <w:rsid w:val="00B725CC"/>
    <w:rsid w:val="00B725ED"/>
    <w:rsid w:val="00B7268F"/>
    <w:rsid w:val="00B72A6B"/>
    <w:rsid w:val="00B72B15"/>
    <w:rsid w:val="00B72E6E"/>
    <w:rsid w:val="00B738A1"/>
    <w:rsid w:val="00B73CEF"/>
    <w:rsid w:val="00B73D6A"/>
    <w:rsid w:val="00B743A4"/>
    <w:rsid w:val="00B7440C"/>
    <w:rsid w:val="00B74547"/>
    <w:rsid w:val="00B745E5"/>
    <w:rsid w:val="00B74754"/>
    <w:rsid w:val="00B74C11"/>
    <w:rsid w:val="00B74D8D"/>
    <w:rsid w:val="00B75028"/>
    <w:rsid w:val="00B750C2"/>
    <w:rsid w:val="00B750D6"/>
    <w:rsid w:val="00B752FE"/>
    <w:rsid w:val="00B75780"/>
    <w:rsid w:val="00B75AA9"/>
    <w:rsid w:val="00B75ABB"/>
    <w:rsid w:val="00B76294"/>
    <w:rsid w:val="00B763C4"/>
    <w:rsid w:val="00B767B6"/>
    <w:rsid w:val="00B769D3"/>
    <w:rsid w:val="00B76C19"/>
    <w:rsid w:val="00B76C61"/>
    <w:rsid w:val="00B76CAA"/>
    <w:rsid w:val="00B77280"/>
    <w:rsid w:val="00B77356"/>
    <w:rsid w:val="00B77358"/>
    <w:rsid w:val="00B77B17"/>
    <w:rsid w:val="00B77F89"/>
    <w:rsid w:val="00B80078"/>
    <w:rsid w:val="00B802A8"/>
    <w:rsid w:val="00B8081D"/>
    <w:rsid w:val="00B80B4A"/>
    <w:rsid w:val="00B80F86"/>
    <w:rsid w:val="00B81061"/>
    <w:rsid w:val="00B81464"/>
    <w:rsid w:val="00B814B4"/>
    <w:rsid w:val="00B818B2"/>
    <w:rsid w:val="00B8218D"/>
    <w:rsid w:val="00B82472"/>
    <w:rsid w:val="00B82C53"/>
    <w:rsid w:val="00B82DFE"/>
    <w:rsid w:val="00B82F36"/>
    <w:rsid w:val="00B83530"/>
    <w:rsid w:val="00B84872"/>
    <w:rsid w:val="00B84A3B"/>
    <w:rsid w:val="00B84C1D"/>
    <w:rsid w:val="00B84D5D"/>
    <w:rsid w:val="00B84DA4"/>
    <w:rsid w:val="00B85006"/>
    <w:rsid w:val="00B85085"/>
    <w:rsid w:val="00B85400"/>
    <w:rsid w:val="00B85812"/>
    <w:rsid w:val="00B85891"/>
    <w:rsid w:val="00B85B86"/>
    <w:rsid w:val="00B86586"/>
    <w:rsid w:val="00B868F1"/>
    <w:rsid w:val="00B86B92"/>
    <w:rsid w:val="00B8771E"/>
    <w:rsid w:val="00B878DF"/>
    <w:rsid w:val="00B87C33"/>
    <w:rsid w:val="00B900CC"/>
    <w:rsid w:val="00B9018E"/>
    <w:rsid w:val="00B90391"/>
    <w:rsid w:val="00B90645"/>
    <w:rsid w:val="00B90653"/>
    <w:rsid w:val="00B90A0D"/>
    <w:rsid w:val="00B90CA2"/>
    <w:rsid w:val="00B913DA"/>
    <w:rsid w:val="00B91603"/>
    <w:rsid w:val="00B917A8"/>
    <w:rsid w:val="00B9192F"/>
    <w:rsid w:val="00B91CE3"/>
    <w:rsid w:val="00B92169"/>
    <w:rsid w:val="00B921EE"/>
    <w:rsid w:val="00B92857"/>
    <w:rsid w:val="00B92ABF"/>
    <w:rsid w:val="00B93109"/>
    <w:rsid w:val="00B93273"/>
    <w:rsid w:val="00B93577"/>
    <w:rsid w:val="00B937AA"/>
    <w:rsid w:val="00B93A05"/>
    <w:rsid w:val="00B93B42"/>
    <w:rsid w:val="00B94768"/>
    <w:rsid w:val="00B948D2"/>
    <w:rsid w:val="00B94B94"/>
    <w:rsid w:val="00B94CA8"/>
    <w:rsid w:val="00B94CCD"/>
    <w:rsid w:val="00B95014"/>
    <w:rsid w:val="00B955FB"/>
    <w:rsid w:val="00B95A32"/>
    <w:rsid w:val="00B96599"/>
    <w:rsid w:val="00B96AF7"/>
    <w:rsid w:val="00B96FB6"/>
    <w:rsid w:val="00B97078"/>
    <w:rsid w:val="00B97198"/>
    <w:rsid w:val="00B97396"/>
    <w:rsid w:val="00B973E2"/>
    <w:rsid w:val="00B97587"/>
    <w:rsid w:val="00BA0222"/>
    <w:rsid w:val="00BA0524"/>
    <w:rsid w:val="00BA05F4"/>
    <w:rsid w:val="00BA0AD9"/>
    <w:rsid w:val="00BA0CA6"/>
    <w:rsid w:val="00BA0F42"/>
    <w:rsid w:val="00BA14E9"/>
    <w:rsid w:val="00BA15F6"/>
    <w:rsid w:val="00BA1811"/>
    <w:rsid w:val="00BA1AE3"/>
    <w:rsid w:val="00BA1CBC"/>
    <w:rsid w:val="00BA1FF8"/>
    <w:rsid w:val="00BA20B7"/>
    <w:rsid w:val="00BA2ACB"/>
    <w:rsid w:val="00BA2D0A"/>
    <w:rsid w:val="00BA2EAA"/>
    <w:rsid w:val="00BA2FFC"/>
    <w:rsid w:val="00BA3292"/>
    <w:rsid w:val="00BA3336"/>
    <w:rsid w:val="00BA41E2"/>
    <w:rsid w:val="00BA43D4"/>
    <w:rsid w:val="00BA4C24"/>
    <w:rsid w:val="00BA4C80"/>
    <w:rsid w:val="00BA4D88"/>
    <w:rsid w:val="00BA4FB1"/>
    <w:rsid w:val="00BA595C"/>
    <w:rsid w:val="00BA5BE4"/>
    <w:rsid w:val="00BA5E9B"/>
    <w:rsid w:val="00BA6094"/>
    <w:rsid w:val="00BA627C"/>
    <w:rsid w:val="00BA69AD"/>
    <w:rsid w:val="00BA6C77"/>
    <w:rsid w:val="00BA6E0A"/>
    <w:rsid w:val="00BA77E8"/>
    <w:rsid w:val="00BA7846"/>
    <w:rsid w:val="00BA7963"/>
    <w:rsid w:val="00BA7D17"/>
    <w:rsid w:val="00BA7EC0"/>
    <w:rsid w:val="00BB0316"/>
    <w:rsid w:val="00BB0C34"/>
    <w:rsid w:val="00BB0EAB"/>
    <w:rsid w:val="00BB113E"/>
    <w:rsid w:val="00BB1616"/>
    <w:rsid w:val="00BB1657"/>
    <w:rsid w:val="00BB1B50"/>
    <w:rsid w:val="00BB1D04"/>
    <w:rsid w:val="00BB1F95"/>
    <w:rsid w:val="00BB236F"/>
    <w:rsid w:val="00BB27CE"/>
    <w:rsid w:val="00BB2C4E"/>
    <w:rsid w:val="00BB304F"/>
    <w:rsid w:val="00BB30E7"/>
    <w:rsid w:val="00BB3198"/>
    <w:rsid w:val="00BB39EC"/>
    <w:rsid w:val="00BB3E6D"/>
    <w:rsid w:val="00BB46CB"/>
    <w:rsid w:val="00BB4942"/>
    <w:rsid w:val="00BB49D0"/>
    <w:rsid w:val="00BB4EBB"/>
    <w:rsid w:val="00BB51B1"/>
    <w:rsid w:val="00BB5288"/>
    <w:rsid w:val="00BB52F5"/>
    <w:rsid w:val="00BB5AEC"/>
    <w:rsid w:val="00BB5C70"/>
    <w:rsid w:val="00BB61B3"/>
    <w:rsid w:val="00BB6868"/>
    <w:rsid w:val="00BB6AB5"/>
    <w:rsid w:val="00BB6D3D"/>
    <w:rsid w:val="00BB7719"/>
    <w:rsid w:val="00BB7B66"/>
    <w:rsid w:val="00BB7DFE"/>
    <w:rsid w:val="00BC04D1"/>
    <w:rsid w:val="00BC05B4"/>
    <w:rsid w:val="00BC0E81"/>
    <w:rsid w:val="00BC0FC1"/>
    <w:rsid w:val="00BC196C"/>
    <w:rsid w:val="00BC1999"/>
    <w:rsid w:val="00BC1A3C"/>
    <w:rsid w:val="00BC1CDD"/>
    <w:rsid w:val="00BC1FE7"/>
    <w:rsid w:val="00BC200A"/>
    <w:rsid w:val="00BC255F"/>
    <w:rsid w:val="00BC2656"/>
    <w:rsid w:val="00BC28AE"/>
    <w:rsid w:val="00BC2C05"/>
    <w:rsid w:val="00BC3003"/>
    <w:rsid w:val="00BC3138"/>
    <w:rsid w:val="00BC3647"/>
    <w:rsid w:val="00BC3648"/>
    <w:rsid w:val="00BC3A1C"/>
    <w:rsid w:val="00BC4550"/>
    <w:rsid w:val="00BC4A37"/>
    <w:rsid w:val="00BC4AAC"/>
    <w:rsid w:val="00BC4AB6"/>
    <w:rsid w:val="00BC4B7B"/>
    <w:rsid w:val="00BC4D3D"/>
    <w:rsid w:val="00BC58B1"/>
    <w:rsid w:val="00BC58E2"/>
    <w:rsid w:val="00BC6032"/>
    <w:rsid w:val="00BC617E"/>
    <w:rsid w:val="00BC62B7"/>
    <w:rsid w:val="00BC6433"/>
    <w:rsid w:val="00BC664F"/>
    <w:rsid w:val="00BC7250"/>
    <w:rsid w:val="00BC7420"/>
    <w:rsid w:val="00BC74A8"/>
    <w:rsid w:val="00BC74C6"/>
    <w:rsid w:val="00BC7526"/>
    <w:rsid w:val="00BC797F"/>
    <w:rsid w:val="00BC7A6E"/>
    <w:rsid w:val="00BC7A99"/>
    <w:rsid w:val="00BC7B60"/>
    <w:rsid w:val="00BC7F26"/>
    <w:rsid w:val="00BD090B"/>
    <w:rsid w:val="00BD0C05"/>
    <w:rsid w:val="00BD12FB"/>
    <w:rsid w:val="00BD15BD"/>
    <w:rsid w:val="00BD202E"/>
    <w:rsid w:val="00BD2134"/>
    <w:rsid w:val="00BD22C1"/>
    <w:rsid w:val="00BD2426"/>
    <w:rsid w:val="00BD2FF8"/>
    <w:rsid w:val="00BD31FB"/>
    <w:rsid w:val="00BD3287"/>
    <w:rsid w:val="00BD4462"/>
    <w:rsid w:val="00BD44DA"/>
    <w:rsid w:val="00BD4990"/>
    <w:rsid w:val="00BD5467"/>
    <w:rsid w:val="00BD5506"/>
    <w:rsid w:val="00BD5547"/>
    <w:rsid w:val="00BD5A8A"/>
    <w:rsid w:val="00BD5D3B"/>
    <w:rsid w:val="00BD5D9D"/>
    <w:rsid w:val="00BD6496"/>
    <w:rsid w:val="00BD658A"/>
    <w:rsid w:val="00BD6594"/>
    <w:rsid w:val="00BD67C7"/>
    <w:rsid w:val="00BD69EB"/>
    <w:rsid w:val="00BD6C59"/>
    <w:rsid w:val="00BD6F21"/>
    <w:rsid w:val="00BD6F6A"/>
    <w:rsid w:val="00BD7275"/>
    <w:rsid w:val="00BD738E"/>
    <w:rsid w:val="00BD76D0"/>
    <w:rsid w:val="00BD7769"/>
    <w:rsid w:val="00BD7BF7"/>
    <w:rsid w:val="00BE013F"/>
    <w:rsid w:val="00BE0192"/>
    <w:rsid w:val="00BE05CD"/>
    <w:rsid w:val="00BE0DF4"/>
    <w:rsid w:val="00BE0F31"/>
    <w:rsid w:val="00BE14D5"/>
    <w:rsid w:val="00BE1A93"/>
    <w:rsid w:val="00BE1AC3"/>
    <w:rsid w:val="00BE1ACA"/>
    <w:rsid w:val="00BE1E4F"/>
    <w:rsid w:val="00BE1FBB"/>
    <w:rsid w:val="00BE2824"/>
    <w:rsid w:val="00BE2D19"/>
    <w:rsid w:val="00BE2EB7"/>
    <w:rsid w:val="00BE2EF9"/>
    <w:rsid w:val="00BE2F01"/>
    <w:rsid w:val="00BE3237"/>
    <w:rsid w:val="00BE3412"/>
    <w:rsid w:val="00BE3500"/>
    <w:rsid w:val="00BE3719"/>
    <w:rsid w:val="00BE3C21"/>
    <w:rsid w:val="00BE425A"/>
    <w:rsid w:val="00BE46B0"/>
    <w:rsid w:val="00BE47E0"/>
    <w:rsid w:val="00BE4A3F"/>
    <w:rsid w:val="00BE4A91"/>
    <w:rsid w:val="00BE4F09"/>
    <w:rsid w:val="00BE5264"/>
    <w:rsid w:val="00BE53DD"/>
    <w:rsid w:val="00BE554D"/>
    <w:rsid w:val="00BE59B0"/>
    <w:rsid w:val="00BE5CA2"/>
    <w:rsid w:val="00BE5D47"/>
    <w:rsid w:val="00BE5F7F"/>
    <w:rsid w:val="00BE60A1"/>
    <w:rsid w:val="00BE616B"/>
    <w:rsid w:val="00BE66DE"/>
    <w:rsid w:val="00BE6AC6"/>
    <w:rsid w:val="00BE7172"/>
    <w:rsid w:val="00BE74B9"/>
    <w:rsid w:val="00BE7839"/>
    <w:rsid w:val="00BE78D6"/>
    <w:rsid w:val="00BE7EE3"/>
    <w:rsid w:val="00BF016E"/>
    <w:rsid w:val="00BF0467"/>
    <w:rsid w:val="00BF0499"/>
    <w:rsid w:val="00BF0538"/>
    <w:rsid w:val="00BF053B"/>
    <w:rsid w:val="00BF0784"/>
    <w:rsid w:val="00BF08A0"/>
    <w:rsid w:val="00BF09AE"/>
    <w:rsid w:val="00BF09ED"/>
    <w:rsid w:val="00BF0C0F"/>
    <w:rsid w:val="00BF10B2"/>
    <w:rsid w:val="00BF1242"/>
    <w:rsid w:val="00BF133F"/>
    <w:rsid w:val="00BF1521"/>
    <w:rsid w:val="00BF1993"/>
    <w:rsid w:val="00BF1B17"/>
    <w:rsid w:val="00BF20D3"/>
    <w:rsid w:val="00BF2379"/>
    <w:rsid w:val="00BF2429"/>
    <w:rsid w:val="00BF2568"/>
    <w:rsid w:val="00BF2692"/>
    <w:rsid w:val="00BF2719"/>
    <w:rsid w:val="00BF2783"/>
    <w:rsid w:val="00BF2B55"/>
    <w:rsid w:val="00BF2E41"/>
    <w:rsid w:val="00BF2E8B"/>
    <w:rsid w:val="00BF3020"/>
    <w:rsid w:val="00BF30E4"/>
    <w:rsid w:val="00BF31E9"/>
    <w:rsid w:val="00BF32E5"/>
    <w:rsid w:val="00BF4153"/>
    <w:rsid w:val="00BF41BF"/>
    <w:rsid w:val="00BF4239"/>
    <w:rsid w:val="00BF430F"/>
    <w:rsid w:val="00BF43B0"/>
    <w:rsid w:val="00BF4474"/>
    <w:rsid w:val="00BF4680"/>
    <w:rsid w:val="00BF4964"/>
    <w:rsid w:val="00BF4B65"/>
    <w:rsid w:val="00BF4C3C"/>
    <w:rsid w:val="00BF4EC3"/>
    <w:rsid w:val="00BF56F1"/>
    <w:rsid w:val="00BF579F"/>
    <w:rsid w:val="00BF57E6"/>
    <w:rsid w:val="00BF6145"/>
    <w:rsid w:val="00BF61AC"/>
    <w:rsid w:val="00BF677A"/>
    <w:rsid w:val="00BF6A7C"/>
    <w:rsid w:val="00BF7321"/>
    <w:rsid w:val="00BF73DF"/>
    <w:rsid w:val="00BF7676"/>
    <w:rsid w:val="00BF7ACD"/>
    <w:rsid w:val="00C0022B"/>
    <w:rsid w:val="00C00476"/>
    <w:rsid w:val="00C0050E"/>
    <w:rsid w:val="00C00766"/>
    <w:rsid w:val="00C00C0D"/>
    <w:rsid w:val="00C01442"/>
    <w:rsid w:val="00C0155E"/>
    <w:rsid w:val="00C015DE"/>
    <w:rsid w:val="00C01746"/>
    <w:rsid w:val="00C0195C"/>
    <w:rsid w:val="00C01B11"/>
    <w:rsid w:val="00C01C9A"/>
    <w:rsid w:val="00C01D0A"/>
    <w:rsid w:val="00C01E45"/>
    <w:rsid w:val="00C01E9A"/>
    <w:rsid w:val="00C0219F"/>
    <w:rsid w:val="00C02647"/>
    <w:rsid w:val="00C02E65"/>
    <w:rsid w:val="00C033C9"/>
    <w:rsid w:val="00C0345E"/>
    <w:rsid w:val="00C034DE"/>
    <w:rsid w:val="00C037E6"/>
    <w:rsid w:val="00C0383C"/>
    <w:rsid w:val="00C03916"/>
    <w:rsid w:val="00C03A17"/>
    <w:rsid w:val="00C04329"/>
    <w:rsid w:val="00C04389"/>
    <w:rsid w:val="00C045C1"/>
    <w:rsid w:val="00C04D07"/>
    <w:rsid w:val="00C04E79"/>
    <w:rsid w:val="00C055E2"/>
    <w:rsid w:val="00C05F6C"/>
    <w:rsid w:val="00C05FB7"/>
    <w:rsid w:val="00C06111"/>
    <w:rsid w:val="00C06130"/>
    <w:rsid w:val="00C0624B"/>
    <w:rsid w:val="00C0646F"/>
    <w:rsid w:val="00C069F1"/>
    <w:rsid w:val="00C07000"/>
    <w:rsid w:val="00C077A2"/>
    <w:rsid w:val="00C077EE"/>
    <w:rsid w:val="00C078CC"/>
    <w:rsid w:val="00C07995"/>
    <w:rsid w:val="00C07E84"/>
    <w:rsid w:val="00C10667"/>
    <w:rsid w:val="00C109DD"/>
    <w:rsid w:val="00C11291"/>
    <w:rsid w:val="00C113F3"/>
    <w:rsid w:val="00C1162B"/>
    <w:rsid w:val="00C11664"/>
    <w:rsid w:val="00C11930"/>
    <w:rsid w:val="00C1265E"/>
    <w:rsid w:val="00C12CF8"/>
    <w:rsid w:val="00C12DEC"/>
    <w:rsid w:val="00C12F8D"/>
    <w:rsid w:val="00C133B1"/>
    <w:rsid w:val="00C13840"/>
    <w:rsid w:val="00C13900"/>
    <w:rsid w:val="00C13B70"/>
    <w:rsid w:val="00C13BF4"/>
    <w:rsid w:val="00C13EF5"/>
    <w:rsid w:val="00C1401A"/>
    <w:rsid w:val="00C14265"/>
    <w:rsid w:val="00C14688"/>
    <w:rsid w:val="00C14773"/>
    <w:rsid w:val="00C14A0B"/>
    <w:rsid w:val="00C15299"/>
    <w:rsid w:val="00C152FF"/>
    <w:rsid w:val="00C153F2"/>
    <w:rsid w:val="00C15422"/>
    <w:rsid w:val="00C15633"/>
    <w:rsid w:val="00C15725"/>
    <w:rsid w:val="00C15955"/>
    <w:rsid w:val="00C15C74"/>
    <w:rsid w:val="00C1633C"/>
    <w:rsid w:val="00C16592"/>
    <w:rsid w:val="00C1669F"/>
    <w:rsid w:val="00C166BB"/>
    <w:rsid w:val="00C16B3B"/>
    <w:rsid w:val="00C16C03"/>
    <w:rsid w:val="00C170E4"/>
    <w:rsid w:val="00C172A4"/>
    <w:rsid w:val="00C17377"/>
    <w:rsid w:val="00C17389"/>
    <w:rsid w:val="00C176D0"/>
    <w:rsid w:val="00C179C6"/>
    <w:rsid w:val="00C17A11"/>
    <w:rsid w:val="00C17ED1"/>
    <w:rsid w:val="00C17F7C"/>
    <w:rsid w:val="00C212DC"/>
    <w:rsid w:val="00C21893"/>
    <w:rsid w:val="00C21BB9"/>
    <w:rsid w:val="00C2223B"/>
    <w:rsid w:val="00C22A63"/>
    <w:rsid w:val="00C230C9"/>
    <w:rsid w:val="00C233B7"/>
    <w:rsid w:val="00C2360C"/>
    <w:rsid w:val="00C239D1"/>
    <w:rsid w:val="00C23AF8"/>
    <w:rsid w:val="00C242AA"/>
    <w:rsid w:val="00C243AB"/>
    <w:rsid w:val="00C24647"/>
    <w:rsid w:val="00C249B1"/>
    <w:rsid w:val="00C24B2A"/>
    <w:rsid w:val="00C24C53"/>
    <w:rsid w:val="00C25228"/>
    <w:rsid w:val="00C25C1E"/>
    <w:rsid w:val="00C260F0"/>
    <w:rsid w:val="00C266B8"/>
    <w:rsid w:val="00C2698E"/>
    <w:rsid w:val="00C26BE6"/>
    <w:rsid w:val="00C26EE9"/>
    <w:rsid w:val="00C26FA7"/>
    <w:rsid w:val="00C2774B"/>
    <w:rsid w:val="00C27ED7"/>
    <w:rsid w:val="00C27F18"/>
    <w:rsid w:val="00C30AE1"/>
    <w:rsid w:val="00C30B6F"/>
    <w:rsid w:val="00C30E99"/>
    <w:rsid w:val="00C30F9C"/>
    <w:rsid w:val="00C3145B"/>
    <w:rsid w:val="00C314B5"/>
    <w:rsid w:val="00C322C9"/>
    <w:rsid w:val="00C3266A"/>
    <w:rsid w:val="00C3293E"/>
    <w:rsid w:val="00C32FB5"/>
    <w:rsid w:val="00C330B4"/>
    <w:rsid w:val="00C335E3"/>
    <w:rsid w:val="00C33A42"/>
    <w:rsid w:val="00C33E1D"/>
    <w:rsid w:val="00C341A6"/>
    <w:rsid w:val="00C345E8"/>
    <w:rsid w:val="00C34657"/>
    <w:rsid w:val="00C34869"/>
    <w:rsid w:val="00C34B1D"/>
    <w:rsid w:val="00C34E17"/>
    <w:rsid w:val="00C3558E"/>
    <w:rsid w:val="00C357BB"/>
    <w:rsid w:val="00C3594D"/>
    <w:rsid w:val="00C35BC8"/>
    <w:rsid w:val="00C35D84"/>
    <w:rsid w:val="00C3611D"/>
    <w:rsid w:val="00C3613D"/>
    <w:rsid w:val="00C3618B"/>
    <w:rsid w:val="00C36763"/>
    <w:rsid w:val="00C36A62"/>
    <w:rsid w:val="00C36D4F"/>
    <w:rsid w:val="00C36D9B"/>
    <w:rsid w:val="00C36F54"/>
    <w:rsid w:val="00C370A3"/>
    <w:rsid w:val="00C37242"/>
    <w:rsid w:val="00C37282"/>
    <w:rsid w:val="00C377F3"/>
    <w:rsid w:val="00C400F4"/>
    <w:rsid w:val="00C4014D"/>
    <w:rsid w:val="00C401F7"/>
    <w:rsid w:val="00C40330"/>
    <w:rsid w:val="00C40441"/>
    <w:rsid w:val="00C40873"/>
    <w:rsid w:val="00C40D13"/>
    <w:rsid w:val="00C41A95"/>
    <w:rsid w:val="00C41C1D"/>
    <w:rsid w:val="00C41CB0"/>
    <w:rsid w:val="00C41CB8"/>
    <w:rsid w:val="00C4235F"/>
    <w:rsid w:val="00C423E9"/>
    <w:rsid w:val="00C425B6"/>
    <w:rsid w:val="00C42744"/>
    <w:rsid w:val="00C428B3"/>
    <w:rsid w:val="00C4296C"/>
    <w:rsid w:val="00C429EA"/>
    <w:rsid w:val="00C42AF4"/>
    <w:rsid w:val="00C42B9E"/>
    <w:rsid w:val="00C43421"/>
    <w:rsid w:val="00C43506"/>
    <w:rsid w:val="00C43566"/>
    <w:rsid w:val="00C43733"/>
    <w:rsid w:val="00C43B9C"/>
    <w:rsid w:val="00C43E70"/>
    <w:rsid w:val="00C44000"/>
    <w:rsid w:val="00C4437D"/>
    <w:rsid w:val="00C447CB"/>
    <w:rsid w:val="00C447DA"/>
    <w:rsid w:val="00C44957"/>
    <w:rsid w:val="00C44D44"/>
    <w:rsid w:val="00C4509A"/>
    <w:rsid w:val="00C451C9"/>
    <w:rsid w:val="00C45888"/>
    <w:rsid w:val="00C45B80"/>
    <w:rsid w:val="00C45D69"/>
    <w:rsid w:val="00C46164"/>
    <w:rsid w:val="00C461C7"/>
    <w:rsid w:val="00C46568"/>
    <w:rsid w:val="00C46644"/>
    <w:rsid w:val="00C466CA"/>
    <w:rsid w:val="00C46850"/>
    <w:rsid w:val="00C468A2"/>
    <w:rsid w:val="00C46B71"/>
    <w:rsid w:val="00C46D06"/>
    <w:rsid w:val="00C46DE2"/>
    <w:rsid w:val="00C46FA2"/>
    <w:rsid w:val="00C47144"/>
    <w:rsid w:val="00C4728A"/>
    <w:rsid w:val="00C475D0"/>
    <w:rsid w:val="00C47F3B"/>
    <w:rsid w:val="00C47F9D"/>
    <w:rsid w:val="00C5000E"/>
    <w:rsid w:val="00C50703"/>
    <w:rsid w:val="00C50CD2"/>
    <w:rsid w:val="00C50F88"/>
    <w:rsid w:val="00C510BD"/>
    <w:rsid w:val="00C5170E"/>
    <w:rsid w:val="00C51C45"/>
    <w:rsid w:val="00C51D45"/>
    <w:rsid w:val="00C51DC5"/>
    <w:rsid w:val="00C51E5C"/>
    <w:rsid w:val="00C5239A"/>
    <w:rsid w:val="00C52D15"/>
    <w:rsid w:val="00C52F72"/>
    <w:rsid w:val="00C5303D"/>
    <w:rsid w:val="00C53077"/>
    <w:rsid w:val="00C53602"/>
    <w:rsid w:val="00C53FE1"/>
    <w:rsid w:val="00C54571"/>
    <w:rsid w:val="00C545DC"/>
    <w:rsid w:val="00C54677"/>
    <w:rsid w:val="00C549FA"/>
    <w:rsid w:val="00C54ACF"/>
    <w:rsid w:val="00C54FC7"/>
    <w:rsid w:val="00C55227"/>
    <w:rsid w:val="00C5528C"/>
    <w:rsid w:val="00C55323"/>
    <w:rsid w:val="00C55514"/>
    <w:rsid w:val="00C55756"/>
    <w:rsid w:val="00C55908"/>
    <w:rsid w:val="00C56251"/>
    <w:rsid w:val="00C56496"/>
    <w:rsid w:val="00C5661E"/>
    <w:rsid w:val="00C5671A"/>
    <w:rsid w:val="00C56F35"/>
    <w:rsid w:val="00C5700C"/>
    <w:rsid w:val="00C570DF"/>
    <w:rsid w:val="00C57219"/>
    <w:rsid w:val="00C57974"/>
    <w:rsid w:val="00C57DD2"/>
    <w:rsid w:val="00C57E2F"/>
    <w:rsid w:val="00C57F9C"/>
    <w:rsid w:val="00C60221"/>
    <w:rsid w:val="00C602D5"/>
    <w:rsid w:val="00C60EBB"/>
    <w:rsid w:val="00C611B0"/>
    <w:rsid w:val="00C616C1"/>
    <w:rsid w:val="00C61968"/>
    <w:rsid w:val="00C619C2"/>
    <w:rsid w:val="00C61E60"/>
    <w:rsid w:val="00C61ED6"/>
    <w:rsid w:val="00C61F42"/>
    <w:rsid w:val="00C622F7"/>
    <w:rsid w:val="00C626C6"/>
    <w:rsid w:val="00C62792"/>
    <w:rsid w:val="00C62A2C"/>
    <w:rsid w:val="00C62A42"/>
    <w:rsid w:val="00C62BB0"/>
    <w:rsid w:val="00C62C4D"/>
    <w:rsid w:val="00C62CA0"/>
    <w:rsid w:val="00C62D0D"/>
    <w:rsid w:val="00C63194"/>
    <w:rsid w:val="00C63461"/>
    <w:rsid w:val="00C635F4"/>
    <w:rsid w:val="00C6380E"/>
    <w:rsid w:val="00C63893"/>
    <w:rsid w:val="00C63936"/>
    <w:rsid w:val="00C63BD8"/>
    <w:rsid w:val="00C63E18"/>
    <w:rsid w:val="00C63FA9"/>
    <w:rsid w:val="00C64169"/>
    <w:rsid w:val="00C64288"/>
    <w:rsid w:val="00C644E6"/>
    <w:rsid w:val="00C64C05"/>
    <w:rsid w:val="00C64E50"/>
    <w:rsid w:val="00C64FC8"/>
    <w:rsid w:val="00C662A3"/>
    <w:rsid w:val="00C663F2"/>
    <w:rsid w:val="00C66DEE"/>
    <w:rsid w:val="00C6758B"/>
    <w:rsid w:val="00C676DC"/>
    <w:rsid w:val="00C679D7"/>
    <w:rsid w:val="00C700E2"/>
    <w:rsid w:val="00C70194"/>
    <w:rsid w:val="00C70587"/>
    <w:rsid w:val="00C707CC"/>
    <w:rsid w:val="00C7099D"/>
    <w:rsid w:val="00C71106"/>
    <w:rsid w:val="00C712E7"/>
    <w:rsid w:val="00C71503"/>
    <w:rsid w:val="00C7159B"/>
    <w:rsid w:val="00C718D7"/>
    <w:rsid w:val="00C71A37"/>
    <w:rsid w:val="00C71A63"/>
    <w:rsid w:val="00C71E72"/>
    <w:rsid w:val="00C72656"/>
    <w:rsid w:val="00C72BEC"/>
    <w:rsid w:val="00C732CF"/>
    <w:rsid w:val="00C73BF5"/>
    <w:rsid w:val="00C73C48"/>
    <w:rsid w:val="00C73E0E"/>
    <w:rsid w:val="00C73F67"/>
    <w:rsid w:val="00C74185"/>
    <w:rsid w:val="00C74683"/>
    <w:rsid w:val="00C74852"/>
    <w:rsid w:val="00C749CF"/>
    <w:rsid w:val="00C74B7D"/>
    <w:rsid w:val="00C74BD5"/>
    <w:rsid w:val="00C74C82"/>
    <w:rsid w:val="00C74FED"/>
    <w:rsid w:val="00C750CB"/>
    <w:rsid w:val="00C75490"/>
    <w:rsid w:val="00C757A0"/>
    <w:rsid w:val="00C75CEE"/>
    <w:rsid w:val="00C75D6B"/>
    <w:rsid w:val="00C75E5C"/>
    <w:rsid w:val="00C75F45"/>
    <w:rsid w:val="00C761CD"/>
    <w:rsid w:val="00C776DB"/>
    <w:rsid w:val="00C77D0D"/>
    <w:rsid w:val="00C77E47"/>
    <w:rsid w:val="00C805FB"/>
    <w:rsid w:val="00C80AF6"/>
    <w:rsid w:val="00C80C8C"/>
    <w:rsid w:val="00C80DEB"/>
    <w:rsid w:val="00C80F0F"/>
    <w:rsid w:val="00C81250"/>
    <w:rsid w:val="00C814B7"/>
    <w:rsid w:val="00C816A6"/>
    <w:rsid w:val="00C81715"/>
    <w:rsid w:val="00C81AB4"/>
    <w:rsid w:val="00C81AD0"/>
    <w:rsid w:val="00C81B34"/>
    <w:rsid w:val="00C81E8B"/>
    <w:rsid w:val="00C8229B"/>
    <w:rsid w:val="00C82313"/>
    <w:rsid w:val="00C82460"/>
    <w:rsid w:val="00C827F9"/>
    <w:rsid w:val="00C82886"/>
    <w:rsid w:val="00C828CA"/>
    <w:rsid w:val="00C82F6D"/>
    <w:rsid w:val="00C82FD1"/>
    <w:rsid w:val="00C830DE"/>
    <w:rsid w:val="00C8315E"/>
    <w:rsid w:val="00C83CF0"/>
    <w:rsid w:val="00C8441F"/>
    <w:rsid w:val="00C84455"/>
    <w:rsid w:val="00C84564"/>
    <w:rsid w:val="00C8482D"/>
    <w:rsid w:val="00C84A5E"/>
    <w:rsid w:val="00C84BC5"/>
    <w:rsid w:val="00C84E22"/>
    <w:rsid w:val="00C84E95"/>
    <w:rsid w:val="00C852BF"/>
    <w:rsid w:val="00C85450"/>
    <w:rsid w:val="00C85A03"/>
    <w:rsid w:val="00C85D52"/>
    <w:rsid w:val="00C8608B"/>
    <w:rsid w:val="00C86442"/>
    <w:rsid w:val="00C8670F"/>
    <w:rsid w:val="00C868B9"/>
    <w:rsid w:val="00C86AB4"/>
    <w:rsid w:val="00C8713B"/>
    <w:rsid w:val="00C873F6"/>
    <w:rsid w:val="00C87452"/>
    <w:rsid w:val="00C877D1"/>
    <w:rsid w:val="00C87A2E"/>
    <w:rsid w:val="00C900C7"/>
    <w:rsid w:val="00C90418"/>
    <w:rsid w:val="00C90466"/>
    <w:rsid w:val="00C905E4"/>
    <w:rsid w:val="00C90694"/>
    <w:rsid w:val="00C90984"/>
    <w:rsid w:val="00C909C1"/>
    <w:rsid w:val="00C90C09"/>
    <w:rsid w:val="00C90CCC"/>
    <w:rsid w:val="00C911D5"/>
    <w:rsid w:val="00C91824"/>
    <w:rsid w:val="00C91861"/>
    <w:rsid w:val="00C91926"/>
    <w:rsid w:val="00C91E8D"/>
    <w:rsid w:val="00C921F5"/>
    <w:rsid w:val="00C92456"/>
    <w:rsid w:val="00C92599"/>
    <w:rsid w:val="00C925FB"/>
    <w:rsid w:val="00C92722"/>
    <w:rsid w:val="00C92953"/>
    <w:rsid w:val="00C92B1A"/>
    <w:rsid w:val="00C931C4"/>
    <w:rsid w:val="00C935BF"/>
    <w:rsid w:val="00C93673"/>
    <w:rsid w:val="00C93B6B"/>
    <w:rsid w:val="00C940AF"/>
    <w:rsid w:val="00C94245"/>
    <w:rsid w:val="00C94A42"/>
    <w:rsid w:val="00C95314"/>
    <w:rsid w:val="00C95401"/>
    <w:rsid w:val="00C95A11"/>
    <w:rsid w:val="00C95AD0"/>
    <w:rsid w:val="00C95ED8"/>
    <w:rsid w:val="00C963C1"/>
    <w:rsid w:val="00C96530"/>
    <w:rsid w:val="00C968F6"/>
    <w:rsid w:val="00C96AA2"/>
    <w:rsid w:val="00C96BF6"/>
    <w:rsid w:val="00C96CC3"/>
    <w:rsid w:val="00C9718C"/>
    <w:rsid w:val="00C973F9"/>
    <w:rsid w:val="00C97617"/>
    <w:rsid w:val="00C97C16"/>
    <w:rsid w:val="00C97C28"/>
    <w:rsid w:val="00CA0045"/>
    <w:rsid w:val="00CA009F"/>
    <w:rsid w:val="00CA00AA"/>
    <w:rsid w:val="00CA0133"/>
    <w:rsid w:val="00CA0937"/>
    <w:rsid w:val="00CA0D6E"/>
    <w:rsid w:val="00CA0DB7"/>
    <w:rsid w:val="00CA0F98"/>
    <w:rsid w:val="00CA0F9F"/>
    <w:rsid w:val="00CA119C"/>
    <w:rsid w:val="00CA195A"/>
    <w:rsid w:val="00CA1AFE"/>
    <w:rsid w:val="00CA1BD2"/>
    <w:rsid w:val="00CA1F44"/>
    <w:rsid w:val="00CA1FAF"/>
    <w:rsid w:val="00CA1FF9"/>
    <w:rsid w:val="00CA2400"/>
    <w:rsid w:val="00CA248D"/>
    <w:rsid w:val="00CA2640"/>
    <w:rsid w:val="00CA2E17"/>
    <w:rsid w:val="00CA301D"/>
    <w:rsid w:val="00CA30DE"/>
    <w:rsid w:val="00CA3D91"/>
    <w:rsid w:val="00CA3E27"/>
    <w:rsid w:val="00CA4662"/>
    <w:rsid w:val="00CA479B"/>
    <w:rsid w:val="00CA495D"/>
    <w:rsid w:val="00CA4C08"/>
    <w:rsid w:val="00CA4C79"/>
    <w:rsid w:val="00CA4C8E"/>
    <w:rsid w:val="00CA4E29"/>
    <w:rsid w:val="00CA57D7"/>
    <w:rsid w:val="00CA65FE"/>
    <w:rsid w:val="00CA660A"/>
    <w:rsid w:val="00CA67F2"/>
    <w:rsid w:val="00CA6970"/>
    <w:rsid w:val="00CA6BEA"/>
    <w:rsid w:val="00CA6C45"/>
    <w:rsid w:val="00CA6E27"/>
    <w:rsid w:val="00CA6E2B"/>
    <w:rsid w:val="00CA732B"/>
    <w:rsid w:val="00CA745C"/>
    <w:rsid w:val="00CA79F6"/>
    <w:rsid w:val="00CA7D1E"/>
    <w:rsid w:val="00CA7E0B"/>
    <w:rsid w:val="00CA7F03"/>
    <w:rsid w:val="00CA7F67"/>
    <w:rsid w:val="00CB01C6"/>
    <w:rsid w:val="00CB01DE"/>
    <w:rsid w:val="00CB023F"/>
    <w:rsid w:val="00CB0319"/>
    <w:rsid w:val="00CB07D2"/>
    <w:rsid w:val="00CB0D5A"/>
    <w:rsid w:val="00CB0EA5"/>
    <w:rsid w:val="00CB127B"/>
    <w:rsid w:val="00CB1721"/>
    <w:rsid w:val="00CB1989"/>
    <w:rsid w:val="00CB1C51"/>
    <w:rsid w:val="00CB1D74"/>
    <w:rsid w:val="00CB1E6F"/>
    <w:rsid w:val="00CB20E3"/>
    <w:rsid w:val="00CB2427"/>
    <w:rsid w:val="00CB257C"/>
    <w:rsid w:val="00CB26FA"/>
    <w:rsid w:val="00CB32C2"/>
    <w:rsid w:val="00CB376B"/>
    <w:rsid w:val="00CB3BC6"/>
    <w:rsid w:val="00CB3DB1"/>
    <w:rsid w:val="00CB4177"/>
    <w:rsid w:val="00CB4275"/>
    <w:rsid w:val="00CB4A46"/>
    <w:rsid w:val="00CB4C0E"/>
    <w:rsid w:val="00CB4C8E"/>
    <w:rsid w:val="00CB4D59"/>
    <w:rsid w:val="00CB5A2D"/>
    <w:rsid w:val="00CB5B26"/>
    <w:rsid w:val="00CB5B48"/>
    <w:rsid w:val="00CB5D3F"/>
    <w:rsid w:val="00CB5D7E"/>
    <w:rsid w:val="00CB5E41"/>
    <w:rsid w:val="00CB6A89"/>
    <w:rsid w:val="00CB6B0C"/>
    <w:rsid w:val="00CB6DEB"/>
    <w:rsid w:val="00CB70E3"/>
    <w:rsid w:val="00CB7470"/>
    <w:rsid w:val="00CB7676"/>
    <w:rsid w:val="00CB7A35"/>
    <w:rsid w:val="00CB7AD5"/>
    <w:rsid w:val="00CB7D9B"/>
    <w:rsid w:val="00CB7E7B"/>
    <w:rsid w:val="00CC006F"/>
    <w:rsid w:val="00CC01AC"/>
    <w:rsid w:val="00CC0324"/>
    <w:rsid w:val="00CC0418"/>
    <w:rsid w:val="00CC07A6"/>
    <w:rsid w:val="00CC086A"/>
    <w:rsid w:val="00CC08BC"/>
    <w:rsid w:val="00CC0DB7"/>
    <w:rsid w:val="00CC11B6"/>
    <w:rsid w:val="00CC140A"/>
    <w:rsid w:val="00CC16EA"/>
    <w:rsid w:val="00CC188C"/>
    <w:rsid w:val="00CC1911"/>
    <w:rsid w:val="00CC1A13"/>
    <w:rsid w:val="00CC1BC3"/>
    <w:rsid w:val="00CC1D39"/>
    <w:rsid w:val="00CC1E5B"/>
    <w:rsid w:val="00CC271E"/>
    <w:rsid w:val="00CC2F39"/>
    <w:rsid w:val="00CC3452"/>
    <w:rsid w:val="00CC3C89"/>
    <w:rsid w:val="00CC4183"/>
    <w:rsid w:val="00CC4422"/>
    <w:rsid w:val="00CC4B22"/>
    <w:rsid w:val="00CC50D7"/>
    <w:rsid w:val="00CC526E"/>
    <w:rsid w:val="00CC588F"/>
    <w:rsid w:val="00CC58D8"/>
    <w:rsid w:val="00CC5F64"/>
    <w:rsid w:val="00CC5FE9"/>
    <w:rsid w:val="00CC6070"/>
    <w:rsid w:val="00CC61DA"/>
    <w:rsid w:val="00CC6396"/>
    <w:rsid w:val="00CC6497"/>
    <w:rsid w:val="00CC6520"/>
    <w:rsid w:val="00CC6534"/>
    <w:rsid w:val="00CC6656"/>
    <w:rsid w:val="00CC6997"/>
    <w:rsid w:val="00CC69D1"/>
    <w:rsid w:val="00CC7202"/>
    <w:rsid w:val="00CC7215"/>
    <w:rsid w:val="00CC774E"/>
    <w:rsid w:val="00CC7800"/>
    <w:rsid w:val="00CC782A"/>
    <w:rsid w:val="00CC794B"/>
    <w:rsid w:val="00CC7AF7"/>
    <w:rsid w:val="00CD013C"/>
    <w:rsid w:val="00CD07D1"/>
    <w:rsid w:val="00CD0FD7"/>
    <w:rsid w:val="00CD1B8C"/>
    <w:rsid w:val="00CD1CF8"/>
    <w:rsid w:val="00CD25C8"/>
    <w:rsid w:val="00CD2BE3"/>
    <w:rsid w:val="00CD2EF6"/>
    <w:rsid w:val="00CD34EB"/>
    <w:rsid w:val="00CD3546"/>
    <w:rsid w:val="00CD3C64"/>
    <w:rsid w:val="00CD40A5"/>
    <w:rsid w:val="00CD423B"/>
    <w:rsid w:val="00CD49E2"/>
    <w:rsid w:val="00CD49EA"/>
    <w:rsid w:val="00CD4A6F"/>
    <w:rsid w:val="00CD4DBB"/>
    <w:rsid w:val="00CD5A0C"/>
    <w:rsid w:val="00CD5BA1"/>
    <w:rsid w:val="00CD5D6A"/>
    <w:rsid w:val="00CD5F82"/>
    <w:rsid w:val="00CD6052"/>
    <w:rsid w:val="00CD60A2"/>
    <w:rsid w:val="00CD612D"/>
    <w:rsid w:val="00CD635A"/>
    <w:rsid w:val="00CD64AC"/>
    <w:rsid w:val="00CD6B13"/>
    <w:rsid w:val="00CD6BC0"/>
    <w:rsid w:val="00CD6CA6"/>
    <w:rsid w:val="00CD6CF3"/>
    <w:rsid w:val="00CD6D3C"/>
    <w:rsid w:val="00CD6F06"/>
    <w:rsid w:val="00CD7212"/>
    <w:rsid w:val="00CD7224"/>
    <w:rsid w:val="00CE0474"/>
    <w:rsid w:val="00CE0A76"/>
    <w:rsid w:val="00CE0A80"/>
    <w:rsid w:val="00CE0AAB"/>
    <w:rsid w:val="00CE0EEE"/>
    <w:rsid w:val="00CE11DF"/>
    <w:rsid w:val="00CE1233"/>
    <w:rsid w:val="00CE12EA"/>
    <w:rsid w:val="00CE13F4"/>
    <w:rsid w:val="00CE16C3"/>
    <w:rsid w:val="00CE1944"/>
    <w:rsid w:val="00CE1BCA"/>
    <w:rsid w:val="00CE20B4"/>
    <w:rsid w:val="00CE2473"/>
    <w:rsid w:val="00CE2820"/>
    <w:rsid w:val="00CE28C0"/>
    <w:rsid w:val="00CE2A94"/>
    <w:rsid w:val="00CE2DB8"/>
    <w:rsid w:val="00CE38AA"/>
    <w:rsid w:val="00CE3961"/>
    <w:rsid w:val="00CE445B"/>
    <w:rsid w:val="00CE44A1"/>
    <w:rsid w:val="00CE47BA"/>
    <w:rsid w:val="00CE47EE"/>
    <w:rsid w:val="00CE49C9"/>
    <w:rsid w:val="00CE4B07"/>
    <w:rsid w:val="00CE4C78"/>
    <w:rsid w:val="00CE51B0"/>
    <w:rsid w:val="00CE5345"/>
    <w:rsid w:val="00CE551A"/>
    <w:rsid w:val="00CE570E"/>
    <w:rsid w:val="00CE58B6"/>
    <w:rsid w:val="00CE58C1"/>
    <w:rsid w:val="00CE5DBF"/>
    <w:rsid w:val="00CE5E55"/>
    <w:rsid w:val="00CE5ED2"/>
    <w:rsid w:val="00CE6543"/>
    <w:rsid w:val="00CE6574"/>
    <w:rsid w:val="00CE6B22"/>
    <w:rsid w:val="00CE6B6A"/>
    <w:rsid w:val="00CE71B1"/>
    <w:rsid w:val="00CE724C"/>
    <w:rsid w:val="00CE7258"/>
    <w:rsid w:val="00CE743B"/>
    <w:rsid w:val="00CE74F2"/>
    <w:rsid w:val="00CE7BD2"/>
    <w:rsid w:val="00CF05C5"/>
    <w:rsid w:val="00CF09E3"/>
    <w:rsid w:val="00CF0BDB"/>
    <w:rsid w:val="00CF1546"/>
    <w:rsid w:val="00CF15BD"/>
    <w:rsid w:val="00CF1D18"/>
    <w:rsid w:val="00CF1DBE"/>
    <w:rsid w:val="00CF1F7F"/>
    <w:rsid w:val="00CF225C"/>
    <w:rsid w:val="00CF23B1"/>
    <w:rsid w:val="00CF276B"/>
    <w:rsid w:val="00CF29CE"/>
    <w:rsid w:val="00CF29E2"/>
    <w:rsid w:val="00CF2D0E"/>
    <w:rsid w:val="00CF2E1B"/>
    <w:rsid w:val="00CF2E5F"/>
    <w:rsid w:val="00CF3044"/>
    <w:rsid w:val="00CF31B7"/>
    <w:rsid w:val="00CF3293"/>
    <w:rsid w:val="00CF32F4"/>
    <w:rsid w:val="00CF3AEF"/>
    <w:rsid w:val="00CF3D0F"/>
    <w:rsid w:val="00CF3FCE"/>
    <w:rsid w:val="00CF410C"/>
    <w:rsid w:val="00CF42BF"/>
    <w:rsid w:val="00CF465A"/>
    <w:rsid w:val="00CF47D5"/>
    <w:rsid w:val="00CF4AA9"/>
    <w:rsid w:val="00CF4AB6"/>
    <w:rsid w:val="00CF52E0"/>
    <w:rsid w:val="00CF5477"/>
    <w:rsid w:val="00CF5ACD"/>
    <w:rsid w:val="00CF5E49"/>
    <w:rsid w:val="00CF5F76"/>
    <w:rsid w:val="00CF62EC"/>
    <w:rsid w:val="00CF6549"/>
    <w:rsid w:val="00CF695A"/>
    <w:rsid w:val="00CF6A19"/>
    <w:rsid w:val="00CF6C68"/>
    <w:rsid w:val="00CF6FBB"/>
    <w:rsid w:val="00CF7148"/>
    <w:rsid w:val="00CF72C6"/>
    <w:rsid w:val="00CF735D"/>
    <w:rsid w:val="00CF755A"/>
    <w:rsid w:val="00CF762A"/>
    <w:rsid w:val="00CF76AE"/>
    <w:rsid w:val="00CF7C81"/>
    <w:rsid w:val="00CF7D15"/>
    <w:rsid w:val="00D00389"/>
    <w:rsid w:val="00D00478"/>
    <w:rsid w:val="00D00CAC"/>
    <w:rsid w:val="00D00E0D"/>
    <w:rsid w:val="00D00E79"/>
    <w:rsid w:val="00D00F31"/>
    <w:rsid w:val="00D011DB"/>
    <w:rsid w:val="00D0186E"/>
    <w:rsid w:val="00D0213A"/>
    <w:rsid w:val="00D02628"/>
    <w:rsid w:val="00D0283D"/>
    <w:rsid w:val="00D02BED"/>
    <w:rsid w:val="00D033DC"/>
    <w:rsid w:val="00D037AE"/>
    <w:rsid w:val="00D037D5"/>
    <w:rsid w:val="00D039A6"/>
    <w:rsid w:val="00D03A42"/>
    <w:rsid w:val="00D03BCF"/>
    <w:rsid w:val="00D03D1B"/>
    <w:rsid w:val="00D0406D"/>
    <w:rsid w:val="00D043C9"/>
    <w:rsid w:val="00D044A1"/>
    <w:rsid w:val="00D047FB"/>
    <w:rsid w:val="00D04945"/>
    <w:rsid w:val="00D0496E"/>
    <w:rsid w:val="00D04AE3"/>
    <w:rsid w:val="00D04B1B"/>
    <w:rsid w:val="00D051B7"/>
    <w:rsid w:val="00D05436"/>
    <w:rsid w:val="00D0555B"/>
    <w:rsid w:val="00D055B0"/>
    <w:rsid w:val="00D059AF"/>
    <w:rsid w:val="00D05D35"/>
    <w:rsid w:val="00D05F0F"/>
    <w:rsid w:val="00D064F8"/>
    <w:rsid w:val="00D06956"/>
    <w:rsid w:val="00D06B44"/>
    <w:rsid w:val="00D06CE4"/>
    <w:rsid w:val="00D06D15"/>
    <w:rsid w:val="00D06F67"/>
    <w:rsid w:val="00D072DE"/>
    <w:rsid w:val="00D07403"/>
    <w:rsid w:val="00D074EC"/>
    <w:rsid w:val="00D075C1"/>
    <w:rsid w:val="00D07780"/>
    <w:rsid w:val="00D07AA6"/>
    <w:rsid w:val="00D07DA1"/>
    <w:rsid w:val="00D07E1B"/>
    <w:rsid w:val="00D10343"/>
    <w:rsid w:val="00D10407"/>
    <w:rsid w:val="00D1049C"/>
    <w:rsid w:val="00D105E2"/>
    <w:rsid w:val="00D10CA6"/>
    <w:rsid w:val="00D10D4C"/>
    <w:rsid w:val="00D10EF6"/>
    <w:rsid w:val="00D1100E"/>
    <w:rsid w:val="00D11F30"/>
    <w:rsid w:val="00D11FAB"/>
    <w:rsid w:val="00D1234D"/>
    <w:rsid w:val="00D12DC6"/>
    <w:rsid w:val="00D12FCD"/>
    <w:rsid w:val="00D13252"/>
    <w:rsid w:val="00D1343E"/>
    <w:rsid w:val="00D1350E"/>
    <w:rsid w:val="00D1367D"/>
    <w:rsid w:val="00D137CA"/>
    <w:rsid w:val="00D139BB"/>
    <w:rsid w:val="00D139EE"/>
    <w:rsid w:val="00D13B7F"/>
    <w:rsid w:val="00D13C07"/>
    <w:rsid w:val="00D13D9B"/>
    <w:rsid w:val="00D1417C"/>
    <w:rsid w:val="00D141A2"/>
    <w:rsid w:val="00D14259"/>
    <w:rsid w:val="00D1435D"/>
    <w:rsid w:val="00D143F4"/>
    <w:rsid w:val="00D14444"/>
    <w:rsid w:val="00D1486F"/>
    <w:rsid w:val="00D148D7"/>
    <w:rsid w:val="00D1493E"/>
    <w:rsid w:val="00D14968"/>
    <w:rsid w:val="00D1498F"/>
    <w:rsid w:val="00D1509A"/>
    <w:rsid w:val="00D1536D"/>
    <w:rsid w:val="00D153E8"/>
    <w:rsid w:val="00D1551A"/>
    <w:rsid w:val="00D1572E"/>
    <w:rsid w:val="00D1603E"/>
    <w:rsid w:val="00D167B0"/>
    <w:rsid w:val="00D169C0"/>
    <w:rsid w:val="00D171D2"/>
    <w:rsid w:val="00D1735B"/>
    <w:rsid w:val="00D175A0"/>
    <w:rsid w:val="00D17F64"/>
    <w:rsid w:val="00D20257"/>
    <w:rsid w:val="00D20331"/>
    <w:rsid w:val="00D204B0"/>
    <w:rsid w:val="00D207B7"/>
    <w:rsid w:val="00D20B3E"/>
    <w:rsid w:val="00D20E3E"/>
    <w:rsid w:val="00D210F0"/>
    <w:rsid w:val="00D21A67"/>
    <w:rsid w:val="00D21A82"/>
    <w:rsid w:val="00D21BA8"/>
    <w:rsid w:val="00D21D3F"/>
    <w:rsid w:val="00D221DA"/>
    <w:rsid w:val="00D22248"/>
    <w:rsid w:val="00D2246A"/>
    <w:rsid w:val="00D2265D"/>
    <w:rsid w:val="00D23054"/>
    <w:rsid w:val="00D231F7"/>
    <w:rsid w:val="00D23470"/>
    <w:rsid w:val="00D23C29"/>
    <w:rsid w:val="00D23EF9"/>
    <w:rsid w:val="00D24746"/>
    <w:rsid w:val="00D24B40"/>
    <w:rsid w:val="00D24B68"/>
    <w:rsid w:val="00D25068"/>
    <w:rsid w:val="00D25275"/>
    <w:rsid w:val="00D25382"/>
    <w:rsid w:val="00D2565B"/>
    <w:rsid w:val="00D257A5"/>
    <w:rsid w:val="00D258CC"/>
    <w:rsid w:val="00D25A01"/>
    <w:rsid w:val="00D25AEB"/>
    <w:rsid w:val="00D25CCE"/>
    <w:rsid w:val="00D2638B"/>
    <w:rsid w:val="00D2638D"/>
    <w:rsid w:val="00D2652F"/>
    <w:rsid w:val="00D26686"/>
    <w:rsid w:val="00D268A9"/>
    <w:rsid w:val="00D26DD7"/>
    <w:rsid w:val="00D26EE8"/>
    <w:rsid w:val="00D27271"/>
    <w:rsid w:val="00D279DE"/>
    <w:rsid w:val="00D27B33"/>
    <w:rsid w:val="00D27B59"/>
    <w:rsid w:val="00D30119"/>
    <w:rsid w:val="00D30796"/>
    <w:rsid w:val="00D30BE6"/>
    <w:rsid w:val="00D3109A"/>
    <w:rsid w:val="00D3121D"/>
    <w:rsid w:val="00D31229"/>
    <w:rsid w:val="00D3124A"/>
    <w:rsid w:val="00D31340"/>
    <w:rsid w:val="00D31691"/>
    <w:rsid w:val="00D318BB"/>
    <w:rsid w:val="00D31A97"/>
    <w:rsid w:val="00D31AD8"/>
    <w:rsid w:val="00D31EC9"/>
    <w:rsid w:val="00D323CC"/>
    <w:rsid w:val="00D323CF"/>
    <w:rsid w:val="00D323F5"/>
    <w:rsid w:val="00D32546"/>
    <w:rsid w:val="00D325C4"/>
    <w:rsid w:val="00D3261A"/>
    <w:rsid w:val="00D3276C"/>
    <w:rsid w:val="00D32778"/>
    <w:rsid w:val="00D327A3"/>
    <w:rsid w:val="00D328DA"/>
    <w:rsid w:val="00D32A05"/>
    <w:rsid w:val="00D32D18"/>
    <w:rsid w:val="00D32DD0"/>
    <w:rsid w:val="00D3308B"/>
    <w:rsid w:val="00D330A4"/>
    <w:rsid w:val="00D330ED"/>
    <w:rsid w:val="00D3324B"/>
    <w:rsid w:val="00D337D6"/>
    <w:rsid w:val="00D33B43"/>
    <w:rsid w:val="00D33C56"/>
    <w:rsid w:val="00D33C6B"/>
    <w:rsid w:val="00D33FE0"/>
    <w:rsid w:val="00D34365"/>
    <w:rsid w:val="00D346CE"/>
    <w:rsid w:val="00D347ED"/>
    <w:rsid w:val="00D34814"/>
    <w:rsid w:val="00D34858"/>
    <w:rsid w:val="00D34E74"/>
    <w:rsid w:val="00D34F22"/>
    <w:rsid w:val="00D35035"/>
    <w:rsid w:val="00D350BA"/>
    <w:rsid w:val="00D352FC"/>
    <w:rsid w:val="00D354F9"/>
    <w:rsid w:val="00D35B68"/>
    <w:rsid w:val="00D3672D"/>
    <w:rsid w:val="00D36CDB"/>
    <w:rsid w:val="00D36FE1"/>
    <w:rsid w:val="00D3708F"/>
    <w:rsid w:val="00D37276"/>
    <w:rsid w:val="00D3749E"/>
    <w:rsid w:val="00D37C37"/>
    <w:rsid w:val="00D37CF1"/>
    <w:rsid w:val="00D37EC8"/>
    <w:rsid w:val="00D4024A"/>
    <w:rsid w:val="00D4027E"/>
    <w:rsid w:val="00D4062E"/>
    <w:rsid w:val="00D407D0"/>
    <w:rsid w:val="00D40C44"/>
    <w:rsid w:val="00D40D04"/>
    <w:rsid w:val="00D40EB2"/>
    <w:rsid w:val="00D40FAE"/>
    <w:rsid w:val="00D41170"/>
    <w:rsid w:val="00D412AF"/>
    <w:rsid w:val="00D415FB"/>
    <w:rsid w:val="00D418A4"/>
    <w:rsid w:val="00D41D7A"/>
    <w:rsid w:val="00D41F17"/>
    <w:rsid w:val="00D4220E"/>
    <w:rsid w:val="00D42994"/>
    <w:rsid w:val="00D42999"/>
    <w:rsid w:val="00D429D1"/>
    <w:rsid w:val="00D42D20"/>
    <w:rsid w:val="00D42E9C"/>
    <w:rsid w:val="00D42F05"/>
    <w:rsid w:val="00D430C4"/>
    <w:rsid w:val="00D43171"/>
    <w:rsid w:val="00D431F7"/>
    <w:rsid w:val="00D43534"/>
    <w:rsid w:val="00D43820"/>
    <w:rsid w:val="00D43DB8"/>
    <w:rsid w:val="00D43EF7"/>
    <w:rsid w:val="00D441C9"/>
    <w:rsid w:val="00D443BD"/>
    <w:rsid w:val="00D44689"/>
    <w:rsid w:val="00D44691"/>
    <w:rsid w:val="00D448B1"/>
    <w:rsid w:val="00D452FC"/>
    <w:rsid w:val="00D4562A"/>
    <w:rsid w:val="00D4567F"/>
    <w:rsid w:val="00D45879"/>
    <w:rsid w:val="00D45D8C"/>
    <w:rsid w:val="00D45E58"/>
    <w:rsid w:val="00D470AE"/>
    <w:rsid w:val="00D47277"/>
    <w:rsid w:val="00D473B6"/>
    <w:rsid w:val="00D47504"/>
    <w:rsid w:val="00D4760F"/>
    <w:rsid w:val="00D47674"/>
    <w:rsid w:val="00D47A5A"/>
    <w:rsid w:val="00D47D4A"/>
    <w:rsid w:val="00D47D80"/>
    <w:rsid w:val="00D50617"/>
    <w:rsid w:val="00D50784"/>
    <w:rsid w:val="00D50813"/>
    <w:rsid w:val="00D5085C"/>
    <w:rsid w:val="00D5087E"/>
    <w:rsid w:val="00D509C6"/>
    <w:rsid w:val="00D51068"/>
    <w:rsid w:val="00D5161F"/>
    <w:rsid w:val="00D51933"/>
    <w:rsid w:val="00D51A40"/>
    <w:rsid w:val="00D51A80"/>
    <w:rsid w:val="00D51EEA"/>
    <w:rsid w:val="00D5222B"/>
    <w:rsid w:val="00D52250"/>
    <w:rsid w:val="00D524CB"/>
    <w:rsid w:val="00D52554"/>
    <w:rsid w:val="00D52783"/>
    <w:rsid w:val="00D5280C"/>
    <w:rsid w:val="00D52853"/>
    <w:rsid w:val="00D528D2"/>
    <w:rsid w:val="00D52B1C"/>
    <w:rsid w:val="00D52F09"/>
    <w:rsid w:val="00D52FF0"/>
    <w:rsid w:val="00D531B9"/>
    <w:rsid w:val="00D5325D"/>
    <w:rsid w:val="00D53681"/>
    <w:rsid w:val="00D53760"/>
    <w:rsid w:val="00D53BD0"/>
    <w:rsid w:val="00D53DC3"/>
    <w:rsid w:val="00D53FD3"/>
    <w:rsid w:val="00D54264"/>
    <w:rsid w:val="00D544AC"/>
    <w:rsid w:val="00D549A4"/>
    <w:rsid w:val="00D54CFF"/>
    <w:rsid w:val="00D5504F"/>
    <w:rsid w:val="00D550CD"/>
    <w:rsid w:val="00D5538E"/>
    <w:rsid w:val="00D553A3"/>
    <w:rsid w:val="00D55805"/>
    <w:rsid w:val="00D55B9E"/>
    <w:rsid w:val="00D55D09"/>
    <w:rsid w:val="00D5657D"/>
    <w:rsid w:val="00D565C8"/>
    <w:rsid w:val="00D56637"/>
    <w:rsid w:val="00D567C9"/>
    <w:rsid w:val="00D56A09"/>
    <w:rsid w:val="00D579E9"/>
    <w:rsid w:val="00D57F25"/>
    <w:rsid w:val="00D601EA"/>
    <w:rsid w:val="00D602C3"/>
    <w:rsid w:val="00D607F1"/>
    <w:rsid w:val="00D60BA8"/>
    <w:rsid w:val="00D611E5"/>
    <w:rsid w:val="00D612C6"/>
    <w:rsid w:val="00D61FC2"/>
    <w:rsid w:val="00D6245F"/>
    <w:rsid w:val="00D627EB"/>
    <w:rsid w:val="00D627F3"/>
    <w:rsid w:val="00D62811"/>
    <w:rsid w:val="00D6284B"/>
    <w:rsid w:val="00D62D8E"/>
    <w:rsid w:val="00D62E7A"/>
    <w:rsid w:val="00D62E87"/>
    <w:rsid w:val="00D63110"/>
    <w:rsid w:val="00D63149"/>
    <w:rsid w:val="00D6383B"/>
    <w:rsid w:val="00D63C08"/>
    <w:rsid w:val="00D6436E"/>
    <w:rsid w:val="00D643A3"/>
    <w:rsid w:val="00D64989"/>
    <w:rsid w:val="00D64A23"/>
    <w:rsid w:val="00D64D63"/>
    <w:rsid w:val="00D64E15"/>
    <w:rsid w:val="00D64EFA"/>
    <w:rsid w:val="00D654A6"/>
    <w:rsid w:val="00D6556D"/>
    <w:rsid w:val="00D65592"/>
    <w:rsid w:val="00D657B7"/>
    <w:rsid w:val="00D657C3"/>
    <w:rsid w:val="00D65A81"/>
    <w:rsid w:val="00D65C6C"/>
    <w:rsid w:val="00D6657D"/>
    <w:rsid w:val="00D66AEF"/>
    <w:rsid w:val="00D671CA"/>
    <w:rsid w:val="00D67527"/>
    <w:rsid w:val="00D676C0"/>
    <w:rsid w:val="00D67AB0"/>
    <w:rsid w:val="00D67ABB"/>
    <w:rsid w:val="00D67E13"/>
    <w:rsid w:val="00D67EC5"/>
    <w:rsid w:val="00D70124"/>
    <w:rsid w:val="00D701D3"/>
    <w:rsid w:val="00D70242"/>
    <w:rsid w:val="00D702AD"/>
    <w:rsid w:val="00D702AF"/>
    <w:rsid w:val="00D70548"/>
    <w:rsid w:val="00D7085B"/>
    <w:rsid w:val="00D71C8D"/>
    <w:rsid w:val="00D71D64"/>
    <w:rsid w:val="00D71D82"/>
    <w:rsid w:val="00D723CF"/>
    <w:rsid w:val="00D72649"/>
    <w:rsid w:val="00D72664"/>
    <w:rsid w:val="00D7283A"/>
    <w:rsid w:val="00D728B2"/>
    <w:rsid w:val="00D72BC1"/>
    <w:rsid w:val="00D72D06"/>
    <w:rsid w:val="00D72D13"/>
    <w:rsid w:val="00D7329E"/>
    <w:rsid w:val="00D7366E"/>
    <w:rsid w:val="00D73AB9"/>
    <w:rsid w:val="00D73DE8"/>
    <w:rsid w:val="00D73EB3"/>
    <w:rsid w:val="00D74A79"/>
    <w:rsid w:val="00D74B71"/>
    <w:rsid w:val="00D75676"/>
    <w:rsid w:val="00D75808"/>
    <w:rsid w:val="00D75AEC"/>
    <w:rsid w:val="00D75B18"/>
    <w:rsid w:val="00D75EF6"/>
    <w:rsid w:val="00D7606A"/>
    <w:rsid w:val="00D7626B"/>
    <w:rsid w:val="00D76A13"/>
    <w:rsid w:val="00D76B5E"/>
    <w:rsid w:val="00D76C2F"/>
    <w:rsid w:val="00D76C47"/>
    <w:rsid w:val="00D76D67"/>
    <w:rsid w:val="00D77008"/>
    <w:rsid w:val="00D77438"/>
    <w:rsid w:val="00D77462"/>
    <w:rsid w:val="00D7769F"/>
    <w:rsid w:val="00D776D1"/>
    <w:rsid w:val="00D77997"/>
    <w:rsid w:val="00D77CDA"/>
    <w:rsid w:val="00D804B8"/>
    <w:rsid w:val="00D806A1"/>
    <w:rsid w:val="00D80D5F"/>
    <w:rsid w:val="00D81675"/>
    <w:rsid w:val="00D82160"/>
    <w:rsid w:val="00D823F2"/>
    <w:rsid w:val="00D82443"/>
    <w:rsid w:val="00D82584"/>
    <w:rsid w:val="00D827B9"/>
    <w:rsid w:val="00D82D94"/>
    <w:rsid w:val="00D8300A"/>
    <w:rsid w:val="00D836A2"/>
    <w:rsid w:val="00D8375D"/>
    <w:rsid w:val="00D8384F"/>
    <w:rsid w:val="00D84237"/>
    <w:rsid w:val="00D842D7"/>
    <w:rsid w:val="00D843BF"/>
    <w:rsid w:val="00D844B3"/>
    <w:rsid w:val="00D84AB3"/>
    <w:rsid w:val="00D84B16"/>
    <w:rsid w:val="00D84EE7"/>
    <w:rsid w:val="00D8503C"/>
    <w:rsid w:val="00D8515B"/>
    <w:rsid w:val="00D852A0"/>
    <w:rsid w:val="00D852DB"/>
    <w:rsid w:val="00D85353"/>
    <w:rsid w:val="00D855DB"/>
    <w:rsid w:val="00D85940"/>
    <w:rsid w:val="00D85C1C"/>
    <w:rsid w:val="00D86197"/>
    <w:rsid w:val="00D8628A"/>
    <w:rsid w:val="00D863A9"/>
    <w:rsid w:val="00D867BF"/>
    <w:rsid w:val="00D86843"/>
    <w:rsid w:val="00D86E4C"/>
    <w:rsid w:val="00D86E6D"/>
    <w:rsid w:val="00D876E0"/>
    <w:rsid w:val="00D87841"/>
    <w:rsid w:val="00D87C3A"/>
    <w:rsid w:val="00D905FE"/>
    <w:rsid w:val="00D914A9"/>
    <w:rsid w:val="00D91621"/>
    <w:rsid w:val="00D916CC"/>
    <w:rsid w:val="00D91C73"/>
    <w:rsid w:val="00D91CE5"/>
    <w:rsid w:val="00D91CEA"/>
    <w:rsid w:val="00D91D7B"/>
    <w:rsid w:val="00D9211C"/>
    <w:rsid w:val="00D923F9"/>
    <w:rsid w:val="00D92641"/>
    <w:rsid w:val="00D92814"/>
    <w:rsid w:val="00D92AAC"/>
    <w:rsid w:val="00D92BE9"/>
    <w:rsid w:val="00D92E3C"/>
    <w:rsid w:val="00D92EC4"/>
    <w:rsid w:val="00D92F28"/>
    <w:rsid w:val="00D931B9"/>
    <w:rsid w:val="00D931C3"/>
    <w:rsid w:val="00D9320F"/>
    <w:rsid w:val="00D93317"/>
    <w:rsid w:val="00D9344D"/>
    <w:rsid w:val="00D93651"/>
    <w:rsid w:val="00D938AE"/>
    <w:rsid w:val="00D93AB0"/>
    <w:rsid w:val="00D93B3E"/>
    <w:rsid w:val="00D93B46"/>
    <w:rsid w:val="00D93BF3"/>
    <w:rsid w:val="00D93C17"/>
    <w:rsid w:val="00D944B1"/>
    <w:rsid w:val="00D94DA3"/>
    <w:rsid w:val="00D950D3"/>
    <w:rsid w:val="00D952D2"/>
    <w:rsid w:val="00D95552"/>
    <w:rsid w:val="00D9569F"/>
    <w:rsid w:val="00D95812"/>
    <w:rsid w:val="00D95F25"/>
    <w:rsid w:val="00D96649"/>
    <w:rsid w:val="00D96746"/>
    <w:rsid w:val="00D9684C"/>
    <w:rsid w:val="00D96905"/>
    <w:rsid w:val="00D96C4E"/>
    <w:rsid w:val="00D97277"/>
    <w:rsid w:val="00D974D0"/>
    <w:rsid w:val="00D9781B"/>
    <w:rsid w:val="00D97A3D"/>
    <w:rsid w:val="00DA05C9"/>
    <w:rsid w:val="00DA069A"/>
    <w:rsid w:val="00DA09BD"/>
    <w:rsid w:val="00DA0A28"/>
    <w:rsid w:val="00DA0D7E"/>
    <w:rsid w:val="00DA0FEB"/>
    <w:rsid w:val="00DA12E9"/>
    <w:rsid w:val="00DA1590"/>
    <w:rsid w:val="00DA1CA7"/>
    <w:rsid w:val="00DA2271"/>
    <w:rsid w:val="00DA233E"/>
    <w:rsid w:val="00DA258E"/>
    <w:rsid w:val="00DA27C7"/>
    <w:rsid w:val="00DA2C6B"/>
    <w:rsid w:val="00DA2E99"/>
    <w:rsid w:val="00DA3007"/>
    <w:rsid w:val="00DA3237"/>
    <w:rsid w:val="00DA3678"/>
    <w:rsid w:val="00DA37EF"/>
    <w:rsid w:val="00DA3ECA"/>
    <w:rsid w:val="00DA3EDD"/>
    <w:rsid w:val="00DA41E4"/>
    <w:rsid w:val="00DA42F6"/>
    <w:rsid w:val="00DA43CD"/>
    <w:rsid w:val="00DA44DC"/>
    <w:rsid w:val="00DA499D"/>
    <w:rsid w:val="00DA4DF2"/>
    <w:rsid w:val="00DA5187"/>
    <w:rsid w:val="00DA52CF"/>
    <w:rsid w:val="00DA53D3"/>
    <w:rsid w:val="00DA57A5"/>
    <w:rsid w:val="00DA5A41"/>
    <w:rsid w:val="00DA5ED4"/>
    <w:rsid w:val="00DA5F37"/>
    <w:rsid w:val="00DA5F80"/>
    <w:rsid w:val="00DA62A4"/>
    <w:rsid w:val="00DA6312"/>
    <w:rsid w:val="00DA63F6"/>
    <w:rsid w:val="00DA64B1"/>
    <w:rsid w:val="00DA6624"/>
    <w:rsid w:val="00DA6932"/>
    <w:rsid w:val="00DA6A8C"/>
    <w:rsid w:val="00DA7128"/>
    <w:rsid w:val="00DA7212"/>
    <w:rsid w:val="00DA747E"/>
    <w:rsid w:val="00DA75F5"/>
    <w:rsid w:val="00DA771F"/>
    <w:rsid w:val="00DA7A2E"/>
    <w:rsid w:val="00DA7D7F"/>
    <w:rsid w:val="00DA7DE2"/>
    <w:rsid w:val="00DA7E29"/>
    <w:rsid w:val="00DB0629"/>
    <w:rsid w:val="00DB0A6F"/>
    <w:rsid w:val="00DB0CE8"/>
    <w:rsid w:val="00DB10F4"/>
    <w:rsid w:val="00DB1100"/>
    <w:rsid w:val="00DB12F9"/>
    <w:rsid w:val="00DB1399"/>
    <w:rsid w:val="00DB1497"/>
    <w:rsid w:val="00DB1ADD"/>
    <w:rsid w:val="00DB1C20"/>
    <w:rsid w:val="00DB1D38"/>
    <w:rsid w:val="00DB1EB3"/>
    <w:rsid w:val="00DB201F"/>
    <w:rsid w:val="00DB209C"/>
    <w:rsid w:val="00DB268C"/>
    <w:rsid w:val="00DB2C4C"/>
    <w:rsid w:val="00DB2DCD"/>
    <w:rsid w:val="00DB31A8"/>
    <w:rsid w:val="00DB3377"/>
    <w:rsid w:val="00DB35FC"/>
    <w:rsid w:val="00DB3762"/>
    <w:rsid w:val="00DB3777"/>
    <w:rsid w:val="00DB3E37"/>
    <w:rsid w:val="00DB3F0C"/>
    <w:rsid w:val="00DB3F75"/>
    <w:rsid w:val="00DB41BA"/>
    <w:rsid w:val="00DB4890"/>
    <w:rsid w:val="00DB4A75"/>
    <w:rsid w:val="00DB4AE0"/>
    <w:rsid w:val="00DB4B42"/>
    <w:rsid w:val="00DB529D"/>
    <w:rsid w:val="00DB5319"/>
    <w:rsid w:val="00DB5337"/>
    <w:rsid w:val="00DB596E"/>
    <w:rsid w:val="00DB597E"/>
    <w:rsid w:val="00DB5CF1"/>
    <w:rsid w:val="00DB5E0C"/>
    <w:rsid w:val="00DB6090"/>
    <w:rsid w:val="00DB64F1"/>
    <w:rsid w:val="00DB68D8"/>
    <w:rsid w:val="00DB6C84"/>
    <w:rsid w:val="00DB6CA0"/>
    <w:rsid w:val="00DB6CF8"/>
    <w:rsid w:val="00DB7013"/>
    <w:rsid w:val="00DB7443"/>
    <w:rsid w:val="00DB7466"/>
    <w:rsid w:val="00DB7814"/>
    <w:rsid w:val="00DB7837"/>
    <w:rsid w:val="00DB7FBC"/>
    <w:rsid w:val="00DC0467"/>
    <w:rsid w:val="00DC0882"/>
    <w:rsid w:val="00DC0EB7"/>
    <w:rsid w:val="00DC0F5E"/>
    <w:rsid w:val="00DC11D0"/>
    <w:rsid w:val="00DC1403"/>
    <w:rsid w:val="00DC1872"/>
    <w:rsid w:val="00DC1E94"/>
    <w:rsid w:val="00DC22C9"/>
    <w:rsid w:val="00DC30B5"/>
    <w:rsid w:val="00DC3678"/>
    <w:rsid w:val="00DC36C4"/>
    <w:rsid w:val="00DC382A"/>
    <w:rsid w:val="00DC3A9D"/>
    <w:rsid w:val="00DC3B23"/>
    <w:rsid w:val="00DC3BBD"/>
    <w:rsid w:val="00DC3DA1"/>
    <w:rsid w:val="00DC402D"/>
    <w:rsid w:val="00DC40FC"/>
    <w:rsid w:val="00DC4386"/>
    <w:rsid w:val="00DC4674"/>
    <w:rsid w:val="00DC49C6"/>
    <w:rsid w:val="00DC4D3E"/>
    <w:rsid w:val="00DC53CB"/>
    <w:rsid w:val="00DC5A13"/>
    <w:rsid w:val="00DC5B95"/>
    <w:rsid w:val="00DC5F89"/>
    <w:rsid w:val="00DC6152"/>
    <w:rsid w:val="00DC622C"/>
    <w:rsid w:val="00DC622D"/>
    <w:rsid w:val="00DC63E8"/>
    <w:rsid w:val="00DC645C"/>
    <w:rsid w:val="00DC673E"/>
    <w:rsid w:val="00DC6B68"/>
    <w:rsid w:val="00DC6BEF"/>
    <w:rsid w:val="00DC6C19"/>
    <w:rsid w:val="00DC6F96"/>
    <w:rsid w:val="00DC6F9C"/>
    <w:rsid w:val="00DC70D1"/>
    <w:rsid w:val="00DC72EA"/>
    <w:rsid w:val="00DC7696"/>
    <w:rsid w:val="00DC7784"/>
    <w:rsid w:val="00DC786E"/>
    <w:rsid w:val="00DC79C9"/>
    <w:rsid w:val="00DC7C0B"/>
    <w:rsid w:val="00DD022C"/>
    <w:rsid w:val="00DD0642"/>
    <w:rsid w:val="00DD077F"/>
    <w:rsid w:val="00DD0B23"/>
    <w:rsid w:val="00DD0BFD"/>
    <w:rsid w:val="00DD0D86"/>
    <w:rsid w:val="00DD0E58"/>
    <w:rsid w:val="00DD1728"/>
    <w:rsid w:val="00DD18AC"/>
    <w:rsid w:val="00DD1A96"/>
    <w:rsid w:val="00DD1D7D"/>
    <w:rsid w:val="00DD2CF2"/>
    <w:rsid w:val="00DD2E4A"/>
    <w:rsid w:val="00DD3355"/>
    <w:rsid w:val="00DD355C"/>
    <w:rsid w:val="00DD3B4E"/>
    <w:rsid w:val="00DD41F5"/>
    <w:rsid w:val="00DD4232"/>
    <w:rsid w:val="00DD4445"/>
    <w:rsid w:val="00DD4AD4"/>
    <w:rsid w:val="00DD4B65"/>
    <w:rsid w:val="00DD4D19"/>
    <w:rsid w:val="00DD5019"/>
    <w:rsid w:val="00DD5208"/>
    <w:rsid w:val="00DD5226"/>
    <w:rsid w:val="00DD593E"/>
    <w:rsid w:val="00DD6197"/>
    <w:rsid w:val="00DD635C"/>
    <w:rsid w:val="00DD6637"/>
    <w:rsid w:val="00DD68ED"/>
    <w:rsid w:val="00DD69D0"/>
    <w:rsid w:val="00DD69EC"/>
    <w:rsid w:val="00DD6A31"/>
    <w:rsid w:val="00DD6A38"/>
    <w:rsid w:val="00DD6B21"/>
    <w:rsid w:val="00DD71C6"/>
    <w:rsid w:val="00DD73AD"/>
    <w:rsid w:val="00DD74E6"/>
    <w:rsid w:val="00DD755B"/>
    <w:rsid w:val="00DD75E5"/>
    <w:rsid w:val="00DD77DC"/>
    <w:rsid w:val="00DD7967"/>
    <w:rsid w:val="00DD7CAF"/>
    <w:rsid w:val="00DD7D29"/>
    <w:rsid w:val="00DE022E"/>
    <w:rsid w:val="00DE03AF"/>
    <w:rsid w:val="00DE090E"/>
    <w:rsid w:val="00DE0AC4"/>
    <w:rsid w:val="00DE0F15"/>
    <w:rsid w:val="00DE10EE"/>
    <w:rsid w:val="00DE19EA"/>
    <w:rsid w:val="00DE2276"/>
    <w:rsid w:val="00DE253F"/>
    <w:rsid w:val="00DE2677"/>
    <w:rsid w:val="00DE2DE7"/>
    <w:rsid w:val="00DE3DFB"/>
    <w:rsid w:val="00DE3E37"/>
    <w:rsid w:val="00DE3FDB"/>
    <w:rsid w:val="00DE401A"/>
    <w:rsid w:val="00DE4723"/>
    <w:rsid w:val="00DE4AA8"/>
    <w:rsid w:val="00DE4AFC"/>
    <w:rsid w:val="00DE4B5F"/>
    <w:rsid w:val="00DE4FF7"/>
    <w:rsid w:val="00DE5376"/>
    <w:rsid w:val="00DE5A90"/>
    <w:rsid w:val="00DE5EF3"/>
    <w:rsid w:val="00DE5F48"/>
    <w:rsid w:val="00DE61D9"/>
    <w:rsid w:val="00DE6289"/>
    <w:rsid w:val="00DE6633"/>
    <w:rsid w:val="00DE665F"/>
    <w:rsid w:val="00DE67AE"/>
    <w:rsid w:val="00DE6822"/>
    <w:rsid w:val="00DE6961"/>
    <w:rsid w:val="00DE69E1"/>
    <w:rsid w:val="00DE6AA7"/>
    <w:rsid w:val="00DE6B6B"/>
    <w:rsid w:val="00DE7667"/>
    <w:rsid w:val="00DE7899"/>
    <w:rsid w:val="00DE7B75"/>
    <w:rsid w:val="00DE7D08"/>
    <w:rsid w:val="00DE7D81"/>
    <w:rsid w:val="00DF02FA"/>
    <w:rsid w:val="00DF031C"/>
    <w:rsid w:val="00DF0A1D"/>
    <w:rsid w:val="00DF12C8"/>
    <w:rsid w:val="00DF1B1E"/>
    <w:rsid w:val="00DF1C73"/>
    <w:rsid w:val="00DF1FB3"/>
    <w:rsid w:val="00DF2243"/>
    <w:rsid w:val="00DF2305"/>
    <w:rsid w:val="00DF2468"/>
    <w:rsid w:val="00DF2BDA"/>
    <w:rsid w:val="00DF2DAF"/>
    <w:rsid w:val="00DF3323"/>
    <w:rsid w:val="00DF355E"/>
    <w:rsid w:val="00DF36B1"/>
    <w:rsid w:val="00DF389C"/>
    <w:rsid w:val="00DF46B4"/>
    <w:rsid w:val="00DF4846"/>
    <w:rsid w:val="00DF532C"/>
    <w:rsid w:val="00DF542F"/>
    <w:rsid w:val="00DF5525"/>
    <w:rsid w:val="00DF5739"/>
    <w:rsid w:val="00DF58AB"/>
    <w:rsid w:val="00DF5920"/>
    <w:rsid w:val="00DF6CCC"/>
    <w:rsid w:val="00DF7355"/>
    <w:rsid w:val="00DF73EF"/>
    <w:rsid w:val="00DF74D1"/>
    <w:rsid w:val="00DF7D1A"/>
    <w:rsid w:val="00E001FE"/>
    <w:rsid w:val="00E0031B"/>
    <w:rsid w:val="00E00A07"/>
    <w:rsid w:val="00E00D07"/>
    <w:rsid w:val="00E00D0E"/>
    <w:rsid w:val="00E01A40"/>
    <w:rsid w:val="00E01AD8"/>
    <w:rsid w:val="00E01C7A"/>
    <w:rsid w:val="00E01E34"/>
    <w:rsid w:val="00E01F4B"/>
    <w:rsid w:val="00E0239F"/>
    <w:rsid w:val="00E02437"/>
    <w:rsid w:val="00E02667"/>
    <w:rsid w:val="00E032D7"/>
    <w:rsid w:val="00E03582"/>
    <w:rsid w:val="00E037D2"/>
    <w:rsid w:val="00E039E6"/>
    <w:rsid w:val="00E04423"/>
    <w:rsid w:val="00E04548"/>
    <w:rsid w:val="00E047E8"/>
    <w:rsid w:val="00E055FF"/>
    <w:rsid w:val="00E05EDA"/>
    <w:rsid w:val="00E06C13"/>
    <w:rsid w:val="00E06D68"/>
    <w:rsid w:val="00E0721C"/>
    <w:rsid w:val="00E07645"/>
    <w:rsid w:val="00E079D4"/>
    <w:rsid w:val="00E10142"/>
    <w:rsid w:val="00E102F6"/>
    <w:rsid w:val="00E105E6"/>
    <w:rsid w:val="00E10815"/>
    <w:rsid w:val="00E10A42"/>
    <w:rsid w:val="00E11118"/>
    <w:rsid w:val="00E1190F"/>
    <w:rsid w:val="00E11A15"/>
    <w:rsid w:val="00E11C00"/>
    <w:rsid w:val="00E11C56"/>
    <w:rsid w:val="00E11F6C"/>
    <w:rsid w:val="00E12095"/>
    <w:rsid w:val="00E124DD"/>
    <w:rsid w:val="00E1279C"/>
    <w:rsid w:val="00E12A85"/>
    <w:rsid w:val="00E12CB9"/>
    <w:rsid w:val="00E12CD1"/>
    <w:rsid w:val="00E133A1"/>
    <w:rsid w:val="00E13587"/>
    <w:rsid w:val="00E14583"/>
    <w:rsid w:val="00E14736"/>
    <w:rsid w:val="00E150F0"/>
    <w:rsid w:val="00E15517"/>
    <w:rsid w:val="00E155EF"/>
    <w:rsid w:val="00E15889"/>
    <w:rsid w:val="00E15B34"/>
    <w:rsid w:val="00E15CC5"/>
    <w:rsid w:val="00E15CC7"/>
    <w:rsid w:val="00E1642D"/>
    <w:rsid w:val="00E1658C"/>
    <w:rsid w:val="00E16A73"/>
    <w:rsid w:val="00E170B3"/>
    <w:rsid w:val="00E1797A"/>
    <w:rsid w:val="00E20237"/>
    <w:rsid w:val="00E205DD"/>
    <w:rsid w:val="00E207EA"/>
    <w:rsid w:val="00E20BD6"/>
    <w:rsid w:val="00E20CC0"/>
    <w:rsid w:val="00E20E0E"/>
    <w:rsid w:val="00E20E5D"/>
    <w:rsid w:val="00E20FBB"/>
    <w:rsid w:val="00E215ED"/>
    <w:rsid w:val="00E218C7"/>
    <w:rsid w:val="00E21A6B"/>
    <w:rsid w:val="00E21DC2"/>
    <w:rsid w:val="00E21E67"/>
    <w:rsid w:val="00E21F36"/>
    <w:rsid w:val="00E22621"/>
    <w:rsid w:val="00E22860"/>
    <w:rsid w:val="00E229A9"/>
    <w:rsid w:val="00E22CE7"/>
    <w:rsid w:val="00E23074"/>
    <w:rsid w:val="00E23312"/>
    <w:rsid w:val="00E23893"/>
    <w:rsid w:val="00E242ED"/>
    <w:rsid w:val="00E246C6"/>
    <w:rsid w:val="00E248ED"/>
    <w:rsid w:val="00E24CBD"/>
    <w:rsid w:val="00E24DD0"/>
    <w:rsid w:val="00E24FF2"/>
    <w:rsid w:val="00E251DB"/>
    <w:rsid w:val="00E2587F"/>
    <w:rsid w:val="00E25A26"/>
    <w:rsid w:val="00E25AC9"/>
    <w:rsid w:val="00E25C40"/>
    <w:rsid w:val="00E267A8"/>
    <w:rsid w:val="00E26FB3"/>
    <w:rsid w:val="00E274BF"/>
    <w:rsid w:val="00E27590"/>
    <w:rsid w:val="00E27C04"/>
    <w:rsid w:val="00E27D9F"/>
    <w:rsid w:val="00E27E7A"/>
    <w:rsid w:val="00E27F2E"/>
    <w:rsid w:val="00E303B4"/>
    <w:rsid w:val="00E3059E"/>
    <w:rsid w:val="00E309DC"/>
    <w:rsid w:val="00E30BA6"/>
    <w:rsid w:val="00E30E04"/>
    <w:rsid w:val="00E316CA"/>
    <w:rsid w:val="00E319DD"/>
    <w:rsid w:val="00E31C46"/>
    <w:rsid w:val="00E31C5D"/>
    <w:rsid w:val="00E31C64"/>
    <w:rsid w:val="00E31D14"/>
    <w:rsid w:val="00E31D65"/>
    <w:rsid w:val="00E31D7C"/>
    <w:rsid w:val="00E31E25"/>
    <w:rsid w:val="00E31FC6"/>
    <w:rsid w:val="00E3226E"/>
    <w:rsid w:val="00E32A64"/>
    <w:rsid w:val="00E32B87"/>
    <w:rsid w:val="00E32CFA"/>
    <w:rsid w:val="00E32E71"/>
    <w:rsid w:val="00E332E4"/>
    <w:rsid w:val="00E33396"/>
    <w:rsid w:val="00E33504"/>
    <w:rsid w:val="00E337E6"/>
    <w:rsid w:val="00E33ACF"/>
    <w:rsid w:val="00E33E4F"/>
    <w:rsid w:val="00E3402B"/>
    <w:rsid w:val="00E344DC"/>
    <w:rsid w:val="00E344FB"/>
    <w:rsid w:val="00E3453A"/>
    <w:rsid w:val="00E34CA7"/>
    <w:rsid w:val="00E34F9D"/>
    <w:rsid w:val="00E3508E"/>
    <w:rsid w:val="00E35400"/>
    <w:rsid w:val="00E35561"/>
    <w:rsid w:val="00E359FB"/>
    <w:rsid w:val="00E35D5C"/>
    <w:rsid w:val="00E35EAC"/>
    <w:rsid w:val="00E35FC4"/>
    <w:rsid w:val="00E36335"/>
    <w:rsid w:val="00E363D5"/>
    <w:rsid w:val="00E365A8"/>
    <w:rsid w:val="00E36641"/>
    <w:rsid w:val="00E36CAB"/>
    <w:rsid w:val="00E36D18"/>
    <w:rsid w:val="00E36F43"/>
    <w:rsid w:val="00E3701B"/>
    <w:rsid w:val="00E37599"/>
    <w:rsid w:val="00E37DB9"/>
    <w:rsid w:val="00E4088B"/>
    <w:rsid w:val="00E40CA3"/>
    <w:rsid w:val="00E40CDE"/>
    <w:rsid w:val="00E40D0D"/>
    <w:rsid w:val="00E40D5A"/>
    <w:rsid w:val="00E40DE4"/>
    <w:rsid w:val="00E413E2"/>
    <w:rsid w:val="00E4140F"/>
    <w:rsid w:val="00E41620"/>
    <w:rsid w:val="00E42405"/>
    <w:rsid w:val="00E42B9A"/>
    <w:rsid w:val="00E42BF8"/>
    <w:rsid w:val="00E42F78"/>
    <w:rsid w:val="00E43586"/>
    <w:rsid w:val="00E435B5"/>
    <w:rsid w:val="00E435F1"/>
    <w:rsid w:val="00E43C60"/>
    <w:rsid w:val="00E43DE4"/>
    <w:rsid w:val="00E44A2A"/>
    <w:rsid w:val="00E44A83"/>
    <w:rsid w:val="00E44B03"/>
    <w:rsid w:val="00E451C2"/>
    <w:rsid w:val="00E4540D"/>
    <w:rsid w:val="00E4593F"/>
    <w:rsid w:val="00E45952"/>
    <w:rsid w:val="00E459C6"/>
    <w:rsid w:val="00E45C48"/>
    <w:rsid w:val="00E45C84"/>
    <w:rsid w:val="00E463CC"/>
    <w:rsid w:val="00E46422"/>
    <w:rsid w:val="00E4667F"/>
    <w:rsid w:val="00E46E21"/>
    <w:rsid w:val="00E46EB0"/>
    <w:rsid w:val="00E46ECA"/>
    <w:rsid w:val="00E47147"/>
    <w:rsid w:val="00E4754E"/>
    <w:rsid w:val="00E4760A"/>
    <w:rsid w:val="00E47A23"/>
    <w:rsid w:val="00E47EDD"/>
    <w:rsid w:val="00E47F66"/>
    <w:rsid w:val="00E500A5"/>
    <w:rsid w:val="00E50119"/>
    <w:rsid w:val="00E501C5"/>
    <w:rsid w:val="00E502AA"/>
    <w:rsid w:val="00E50460"/>
    <w:rsid w:val="00E504C7"/>
    <w:rsid w:val="00E506B0"/>
    <w:rsid w:val="00E507A1"/>
    <w:rsid w:val="00E50945"/>
    <w:rsid w:val="00E50AC4"/>
    <w:rsid w:val="00E50B6B"/>
    <w:rsid w:val="00E51319"/>
    <w:rsid w:val="00E5138A"/>
    <w:rsid w:val="00E5155E"/>
    <w:rsid w:val="00E516F6"/>
    <w:rsid w:val="00E51B8B"/>
    <w:rsid w:val="00E51D8E"/>
    <w:rsid w:val="00E51FD2"/>
    <w:rsid w:val="00E529A2"/>
    <w:rsid w:val="00E52DD4"/>
    <w:rsid w:val="00E531AC"/>
    <w:rsid w:val="00E537E5"/>
    <w:rsid w:val="00E5394A"/>
    <w:rsid w:val="00E53D6C"/>
    <w:rsid w:val="00E5424A"/>
    <w:rsid w:val="00E54729"/>
    <w:rsid w:val="00E5478F"/>
    <w:rsid w:val="00E54962"/>
    <w:rsid w:val="00E549F3"/>
    <w:rsid w:val="00E54FDB"/>
    <w:rsid w:val="00E551C3"/>
    <w:rsid w:val="00E5529A"/>
    <w:rsid w:val="00E5555E"/>
    <w:rsid w:val="00E555D2"/>
    <w:rsid w:val="00E55982"/>
    <w:rsid w:val="00E55D7B"/>
    <w:rsid w:val="00E55FB0"/>
    <w:rsid w:val="00E56534"/>
    <w:rsid w:val="00E56542"/>
    <w:rsid w:val="00E5680B"/>
    <w:rsid w:val="00E56A79"/>
    <w:rsid w:val="00E56D5C"/>
    <w:rsid w:val="00E56D86"/>
    <w:rsid w:val="00E56FC3"/>
    <w:rsid w:val="00E57109"/>
    <w:rsid w:val="00E5778C"/>
    <w:rsid w:val="00E57896"/>
    <w:rsid w:val="00E578C3"/>
    <w:rsid w:val="00E57947"/>
    <w:rsid w:val="00E57A44"/>
    <w:rsid w:val="00E57AC5"/>
    <w:rsid w:val="00E57B40"/>
    <w:rsid w:val="00E57D56"/>
    <w:rsid w:val="00E57FEA"/>
    <w:rsid w:val="00E602F7"/>
    <w:rsid w:val="00E60477"/>
    <w:rsid w:val="00E6048C"/>
    <w:rsid w:val="00E605B1"/>
    <w:rsid w:val="00E609FA"/>
    <w:rsid w:val="00E613F2"/>
    <w:rsid w:val="00E614F2"/>
    <w:rsid w:val="00E61994"/>
    <w:rsid w:val="00E61CC4"/>
    <w:rsid w:val="00E62059"/>
    <w:rsid w:val="00E627F1"/>
    <w:rsid w:val="00E62837"/>
    <w:rsid w:val="00E62957"/>
    <w:rsid w:val="00E62B9E"/>
    <w:rsid w:val="00E62C51"/>
    <w:rsid w:val="00E635C9"/>
    <w:rsid w:val="00E63663"/>
    <w:rsid w:val="00E63726"/>
    <w:rsid w:val="00E637A2"/>
    <w:rsid w:val="00E6394E"/>
    <w:rsid w:val="00E645A6"/>
    <w:rsid w:val="00E653FE"/>
    <w:rsid w:val="00E658BB"/>
    <w:rsid w:val="00E659AB"/>
    <w:rsid w:val="00E661A1"/>
    <w:rsid w:val="00E66267"/>
    <w:rsid w:val="00E662B2"/>
    <w:rsid w:val="00E66ACD"/>
    <w:rsid w:val="00E673CF"/>
    <w:rsid w:val="00E67BAF"/>
    <w:rsid w:val="00E706B1"/>
    <w:rsid w:val="00E70DF5"/>
    <w:rsid w:val="00E71039"/>
    <w:rsid w:val="00E712C8"/>
    <w:rsid w:val="00E719B9"/>
    <w:rsid w:val="00E71AA5"/>
    <w:rsid w:val="00E71B91"/>
    <w:rsid w:val="00E72176"/>
    <w:rsid w:val="00E7240A"/>
    <w:rsid w:val="00E72A55"/>
    <w:rsid w:val="00E72BC8"/>
    <w:rsid w:val="00E73261"/>
    <w:rsid w:val="00E73CD7"/>
    <w:rsid w:val="00E73D6B"/>
    <w:rsid w:val="00E73D86"/>
    <w:rsid w:val="00E73DEB"/>
    <w:rsid w:val="00E73E6C"/>
    <w:rsid w:val="00E73EB1"/>
    <w:rsid w:val="00E74609"/>
    <w:rsid w:val="00E7478C"/>
    <w:rsid w:val="00E74C3A"/>
    <w:rsid w:val="00E751BE"/>
    <w:rsid w:val="00E751D9"/>
    <w:rsid w:val="00E75307"/>
    <w:rsid w:val="00E755C0"/>
    <w:rsid w:val="00E756E9"/>
    <w:rsid w:val="00E75743"/>
    <w:rsid w:val="00E75C73"/>
    <w:rsid w:val="00E75E0A"/>
    <w:rsid w:val="00E75FAD"/>
    <w:rsid w:val="00E76315"/>
    <w:rsid w:val="00E7644F"/>
    <w:rsid w:val="00E767E6"/>
    <w:rsid w:val="00E768A3"/>
    <w:rsid w:val="00E76E36"/>
    <w:rsid w:val="00E77639"/>
    <w:rsid w:val="00E77733"/>
    <w:rsid w:val="00E7787E"/>
    <w:rsid w:val="00E77D78"/>
    <w:rsid w:val="00E805F0"/>
    <w:rsid w:val="00E80CAD"/>
    <w:rsid w:val="00E8165D"/>
    <w:rsid w:val="00E817A3"/>
    <w:rsid w:val="00E81AA8"/>
    <w:rsid w:val="00E81B37"/>
    <w:rsid w:val="00E81D01"/>
    <w:rsid w:val="00E81DF0"/>
    <w:rsid w:val="00E81EA6"/>
    <w:rsid w:val="00E8242F"/>
    <w:rsid w:val="00E82663"/>
    <w:rsid w:val="00E82A45"/>
    <w:rsid w:val="00E82BF2"/>
    <w:rsid w:val="00E82F44"/>
    <w:rsid w:val="00E831C2"/>
    <w:rsid w:val="00E8340D"/>
    <w:rsid w:val="00E8359C"/>
    <w:rsid w:val="00E83993"/>
    <w:rsid w:val="00E83D83"/>
    <w:rsid w:val="00E842E5"/>
    <w:rsid w:val="00E84514"/>
    <w:rsid w:val="00E847FD"/>
    <w:rsid w:val="00E84D85"/>
    <w:rsid w:val="00E84F5F"/>
    <w:rsid w:val="00E856B9"/>
    <w:rsid w:val="00E85768"/>
    <w:rsid w:val="00E8576E"/>
    <w:rsid w:val="00E85B7C"/>
    <w:rsid w:val="00E85CF4"/>
    <w:rsid w:val="00E860C6"/>
    <w:rsid w:val="00E861C4"/>
    <w:rsid w:val="00E8667B"/>
    <w:rsid w:val="00E86718"/>
    <w:rsid w:val="00E86766"/>
    <w:rsid w:val="00E867FD"/>
    <w:rsid w:val="00E86D2E"/>
    <w:rsid w:val="00E86F1D"/>
    <w:rsid w:val="00E87A80"/>
    <w:rsid w:val="00E87A8E"/>
    <w:rsid w:val="00E90083"/>
    <w:rsid w:val="00E9078C"/>
    <w:rsid w:val="00E90A01"/>
    <w:rsid w:val="00E90C1E"/>
    <w:rsid w:val="00E90E3C"/>
    <w:rsid w:val="00E91492"/>
    <w:rsid w:val="00E91569"/>
    <w:rsid w:val="00E92B60"/>
    <w:rsid w:val="00E932DA"/>
    <w:rsid w:val="00E9352F"/>
    <w:rsid w:val="00E938B7"/>
    <w:rsid w:val="00E93A0E"/>
    <w:rsid w:val="00E93A51"/>
    <w:rsid w:val="00E93A6C"/>
    <w:rsid w:val="00E93AC0"/>
    <w:rsid w:val="00E93F17"/>
    <w:rsid w:val="00E9427C"/>
    <w:rsid w:val="00E9481A"/>
    <w:rsid w:val="00E94BC3"/>
    <w:rsid w:val="00E95395"/>
    <w:rsid w:val="00E9554D"/>
    <w:rsid w:val="00E957B1"/>
    <w:rsid w:val="00E959B5"/>
    <w:rsid w:val="00E95B9F"/>
    <w:rsid w:val="00E95BB0"/>
    <w:rsid w:val="00E968FE"/>
    <w:rsid w:val="00E96A36"/>
    <w:rsid w:val="00E971D0"/>
    <w:rsid w:val="00E97883"/>
    <w:rsid w:val="00E979DB"/>
    <w:rsid w:val="00EA021C"/>
    <w:rsid w:val="00EA0428"/>
    <w:rsid w:val="00EA07D7"/>
    <w:rsid w:val="00EA0B3A"/>
    <w:rsid w:val="00EA1569"/>
    <w:rsid w:val="00EA1839"/>
    <w:rsid w:val="00EA1A6F"/>
    <w:rsid w:val="00EA26C1"/>
    <w:rsid w:val="00EA2B38"/>
    <w:rsid w:val="00EA2B46"/>
    <w:rsid w:val="00EA2FA8"/>
    <w:rsid w:val="00EA31C5"/>
    <w:rsid w:val="00EA34D7"/>
    <w:rsid w:val="00EA35CD"/>
    <w:rsid w:val="00EA3A1F"/>
    <w:rsid w:val="00EA3B30"/>
    <w:rsid w:val="00EA3BEB"/>
    <w:rsid w:val="00EA42FC"/>
    <w:rsid w:val="00EA44F9"/>
    <w:rsid w:val="00EA450A"/>
    <w:rsid w:val="00EA47A6"/>
    <w:rsid w:val="00EA4C2C"/>
    <w:rsid w:val="00EA4FD2"/>
    <w:rsid w:val="00EA51B4"/>
    <w:rsid w:val="00EA5AA6"/>
    <w:rsid w:val="00EA5E95"/>
    <w:rsid w:val="00EA5FF4"/>
    <w:rsid w:val="00EA60B6"/>
    <w:rsid w:val="00EA658D"/>
    <w:rsid w:val="00EA6744"/>
    <w:rsid w:val="00EA6850"/>
    <w:rsid w:val="00EA6F14"/>
    <w:rsid w:val="00EA7670"/>
    <w:rsid w:val="00EA7989"/>
    <w:rsid w:val="00EA7FA8"/>
    <w:rsid w:val="00EB00A3"/>
    <w:rsid w:val="00EB0865"/>
    <w:rsid w:val="00EB121B"/>
    <w:rsid w:val="00EB1438"/>
    <w:rsid w:val="00EB160D"/>
    <w:rsid w:val="00EB17AC"/>
    <w:rsid w:val="00EB1894"/>
    <w:rsid w:val="00EB1C18"/>
    <w:rsid w:val="00EB1C92"/>
    <w:rsid w:val="00EB1D88"/>
    <w:rsid w:val="00EB1E5A"/>
    <w:rsid w:val="00EB1E75"/>
    <w:rsid w:val="00EB2579"/>
    <w:rsid w:val="00EB26A1"/>
    <w:rsid w:val="00EB26C9"/>
    <w:rsid w:val="00EB26CD"/>
    <w:rsid w:val="00EB27C1"/>
    <w:rsid w:val="00EB2CC3"/>
    <w:rsid w:val="00EB2DEF"/>
    <w:rsid w:val="00EB30CB"/>
    <w:rsid w:val="00EB3107"/>
    <w:rsid w:val="00EB3B6D"/>
    <w:rsid w:val="00EB3EBF"/>
    <w:rsid w:val="00EB421B"/>
    <w:rsid w:val="00EB4235"/>
    <w:rsid w:val="00EB46F8"/>
    <w:rsid w:val="00EB4BDF"/>
    <w:rsid w:val="00EB5139"/>
    <w:rsid w:val="00EB53BF"/>
    <w:rsid w:val="00EB59D5"/>
    <w:rsid w:val="00EB5A90"/>
    <w:rsid w:val="00EB5AAB"/>
    <w:rsid w:val="00EB5BD0"/>
    <w:rsid w:val="00EB5D2F"/>
    <w:rsid w:val="00EB6924"/>
    <w:rsid w:val="00EB6AAF"/>
    <w:rsid w:val="00EB6BAC"/>
    <w:rsid w:val="00EB70AF"/>
    <w:rsid w:val="00EB7DE3"/>
    <w:rsid w:val="00EB7EC5"/>
    <w:rsid w:val="00EB7F00"/>
    <w:rsid w:val="00EB7F52"/>
    <w:rsid w:val="00EB7F66"/>
    <w:rsid w:val="00EC10DB"/>
    <w:rsid w:val="00EC113B"/>
    <w:rsid w:val="00EC1460"/>
    <w:rsid w:val="00EC1534"/>
    <w:rsid w:val="00EC1B75"/>
    <w:rsid w:val="00EC1C2B"/>
    <w:rsid w:val="00EC2164"/>
    <w:rsid w:val="00EC2271"/>
    <w:rsid w:val="00EC237A"/>
    <w:rsid w:val="00EC25E3"/>
    <w:rsid w:val="00EC2B23"/>
    <w:rsid w:val="00EC2CD2"/>
    <w:rsid w:val="00EC2E09"/>
    <w:rsid w:val="00EC3106"/>
    <w:rsid w:val="00EC3254"/>
    <w:rsid w:val="00EC34E1"/>
    <w:rsid w:val="00EC352E"/>
    <w:rsid w:val="00EC3710"/>
    <w:rsid w:val="00EC443B"/>
    <w:rsid w:val="00EC4710"/>
    <w:rsid w:val="00EC4A28"/>
    <w:rsid w:val="00EC4F2C"/>
    <w:rsid w:val="00EC593F"/>
    <w:rsid w:val="00EC5AEF"/>
    <w:rsid w:val="00EC6129"/>
    <w:rsid w:val="00EC673F"/>
    <w:rsid w:val="00EC6847"/>
    <w:rsid w:val="00EC6D86"/>
    <w:rsid w:val="00EC6EE5"/>
    <w:rsid w:val="00EC7489"/>
    <w:rsid w:val="00EC7749"/>
    <w:rsid w:val="00EC78AB"/>
    <w:rsid w:val="00EC7AE4"/>
    <w:rsid w:val="00EC7F87"/>
    <w:rsid w:val="00ED05EC"/>
    <w:rsid w:val="00ED0A7A"/>
    <w:rsid w:val="00ED0E8C"/>
    <w:rsid w:val="00ED1076"/>
    <w:rsid w:val="00ED1C1B"/>
    <w:rsid w:val="00ED1FEE"/>
    <w:rsid w:val="00ED20E2"/>
    <w:rsid w:val="00ED22BD"/>
    <w:rsid w:val="00ED2629"/>
    <w:rsid w:val="00ED264B"/>
    <w:rsid w:val="00ED280E"/>
    <w:rsid w:val="00ED2D38"/>
    <w:rsid w:val="00ED325E"/>
    <w:rsid w:val="00ED3496"/>
    <w:rsid w:val="00ED3C7A"/>
    <w:rsid w:val="00ED4161"/>
    <w:rsid w:val="00ED4264"/>
    <w:rsid w:val="00ED4660"/>
    <w:rsid w:val="00ED4B9C"/>
    <w:rsid w:val="00ED4D95"/>
    <w:rsid w:val="00ED5339"/>
    <w:rsid w:val="00ED5636"/>
    <w:rsid w:val="00ED5745"/>
    <w:rsid w:val="00ED59FA"/>
    <w:rsid w:val="00ED5AC5"/>
    <w:rsid w:val="00ED5B9A"/>
    <w:rsid w:val="00ED5FB6"/>
    <w:rsid w:val="00ED639D"/>
    <w:rsid w:val="00ED67B4"/>
    <w:rsid w:val="00ED6B65"/>
    <w:rsid w:val="00ED6DFC"/>
    <w:rsid w:val="00ED6EA0"/>
    <w:rsid w:val="00ED7401"/>
    <w:rsid w:val="00ED76AD"/>
    <w:rsid w:val="00ED7DAC"/>
    <w:rsid w:val="00EE020A"/>
    <w:rsid w:val="00EE046A"/>
    <w:rsid w:val="00EE0907"/>
    <w:rsid w:val="00EE0D73"/>
    <w:rsid w:val="00EE1017"/>
    <w:rsid w:val="00EE1033"/>
    <w:rsid w:val="00EE11ED"/>
    <w:rsid w:val="00EE1726"/>
    <w:rsid w:val="00EE1981"/>
    <w:rsid w:val="00EE1C61"/>
    <w:rsid w:val="00EE1EA0"/>
    <w:rsid w:val="00EE2073"/>
    <w:rsid w:val="00EE223F"/>
    <w:rsid w:val="00EE2299"/>
    <w:rsid w:val="00EE28CF"/>
    <w:rsid w:val="00EE2911"/>
    <w:rsid w:val="00EE352A"/>
    <w:rsid w:val="00EE3873"/>
    <w:rsid w:val="00EE38AD"/>
    <w:rsid w:val="00EE3DFF"/>
    <w:rsid w:val="00EE3F5F"/>
    <w:rsid w:val="00EE4091"/>
    <w:rsid w:val="00EE4146"/>
    <w:rsid w:val="00EE41EC"/>
    <w:rsid w:val="00EE438C"/>
    <w:rsid w:val="00EE44F1"/>
    <w:rsid w:val="00EE455E"/>
    <w:rsid w:val="00EE4647"/>
    <w:rsid w:val="00EE5132"/>
    <w:rsid w:val="00EE573C"/>
    <w:rsid w:val="00EE57A3"/>
    <w:rsid w:val="00EE5809"/>
    <w:rsid w:val="00EE6112"/>
    <w:rsid w:val="00EE644B"/>
    <w:rsid w:val="00EE665E"/>
    <w:rsid w:val="00EE6BC0"/>
    <w:rsid w:val="00EE6DB5"/>
    <w:rsid w:val="00EE6E19"/>
    <w:rsid w:val="00EE6F41"/>
    <w:rsid w:val="00EE7175"/>
    <w:rsid w:val="00EE76B5"/>
    <w:rsid w:val="00EE771C"/>
    <w:rsid w:val="00EE7A38"/>
    <w:rsid w:val="00EE7E79"/>
    <w:rsid w:val="00EF0211"/>
    <w:rsid w:val="00EF055A"/>
    <w:rsid w:val="00EF08C3"/>
    <w:rsid w:val="00EF0A66"/>
    <w:rsid w:val="00EF0B68"/>
    <w:rsid w:val="00EF0C55"/>
    <w:rsid w:val="00EF0F79"/>
    <w:rsid w:val="00EF17EB"/>
    <w:rsid w:val="00EF1A33"/>
    <w:rsid w:val="00EF20F9"/>
    <w:rsid w:val="00EF230F"/>
    <w:rsid w:val="00EF233F"/>
    <w:rsid w:val="00EF2707"/>
    <w:rsid w:val="00EF3408"/>
    <w:rsid w:val="00EF39BA"/>
    <w:rsid w:val="00EF3D00"/>
    <w:rsid w:val="00EF41C4"/>
    <w:rsid w:val="00EF4212"/>
    <w:rsid w:val="00EF43FE"/>
    <w:rsid w:val="00EF47AF"/>
    <w:rsid w:val="00EF4DDE"/>
    <w:rsid w:val="00EF5693"/>
    <w:rsid w:val="00EF577C"/>
    <w:rsid w:val="00EF5885"/>
    <w:rsid w:val="00EF6001"/>
    <w:rsid w:val="00EF64BD"/>
    <w:rsid w:val="00EF68AD"/>
    <w:rsid w:val="00EF69E2"/>
    <w:rsid w:val="00EF6BBD"/>
    <w:rsid w:val="00EF6C4B"/>
    <w:rsid w:val="00EF6D41"/>
    <w:rsid w:val="00EF6F2A"/>
    <w:rsid w:val="00EF717F"/>
    <w:rsid w:val="00EF77F8"/>
    <w:rsid w:val="00EF795B"/>
    <w:rsid w:val="00EF7A1C"/>
    <w:rsid w:val="00EF7C8A"/>
    <w:rsid w:val="00F0003E"/>
    <w:rsid w:val="00F002ED"/>
    <w:rsid w:val="00F00594"/>
    <w:rsid w:val="00F00782"/>
    <w:rsid w:val="00F0085C"/>
    <w:rsid w:val="00F00D44"/>
    <w:rsid w:val="00F00E49"/>
    <w:rsid w:val="00F00E6D"/>
    <w:rsid w:val="00F0184E"/>
    <w:rsid w:val="00F01B32"/>
    <w:rsid w:val="00F01B68"/>
    <w:rsid w:val="00F01E9E"/>
    <w:rsid w:val="00F0285D"/>
    <w:rsid w:val="00F02B80"/>
    <w:rsid w:val="00F02F0A"/>
    <w:rsid w:val="00F036AD"/>
    <w:rsid w:val="00F037B9"/>
    <w:rsid w:val="00F04185"/>
    <w:rsid w:val="00F043CF"/>
    <w:rsid w:val="00F04725"/>
    <w:rsid w:val="00F048D5"/>
    <w:rsid w:val="00F04B98"/>
    <w:rsid w:val="00F05A1E"/>
    <w:rsid w:val="00F05A35"/>
    <w:rsid w:val="00F05B26"/>
    <w:rsid w:val="00F05C1D"/>
    <w:rsid w:val="00F05FA1"/>
    <w:rsid w:val="00F06707"/>
    <w:rsid w:val="00F067E0"/>
    <w:rsid w:val="00F06ADF"/>
    <w:rsid w:val="00F06C4A"/>
    <w:rsid w:val="00F06D63"/>
    <w:rsid w:val="00F06EF0"/>
    <w:rsid w:val="00F076AF"/>
    <w:rsid w:val="00F078F4"/>
    <w:rsid w:val="00F07B1C"/>
    <w:rsid w:val="00F07C4D"/>
    <w:rsid w:val="00F07DC8"/>
    <w:rsid w:val="00F07E1D"/>
    <w:rsid w:val="00F100A6"/>
    <w:rsid w:val="00F104D3"/>
    <w:rsid w:val="00F104FA"/>
    <w:rsid w:val="00F10EB3"/>
    <w:rsid w:val="00F11052"/>
    <w:rsid w:val="00F113B9"/>
    <w:rsid w:val="00F114DE"/>
    <w:rsid w:val="00F11554"/>
    <w:rsid w:val="00F11F45"/>
    <w:rsid w:val="00F12769"/>
    <w:rsid w:val="00F1278D"/>
    <w:rsid w:val="00F128E4"/>
    <w:rsid w:val="00F12D69"/>
    <w:rsid w:val="00F130A1"/>
    <w:rsid w:val="00F135CB"/>
    <w:rsid w:val="00F13656"/>
    <w:rsid w:val="00F13AC5"/>
    <w:rsid w:val="00F13FBE"/>
    <w:rsid w:val="00F1401D"/>
    <w:rsid w:val="00F1409F"/>
    <w:rsid w:val="00F1437A"/>
    <w:rsid w:val="00F1479E"/>
    <w:rsid w:val="00F14DF3"/>
    <w:rsid w:val="00F14EA0"/>
    <w:rsid w:val="00F1519B"/>
    <w:rsid w:val="00F155B1"/>
    <w:rsid w:val="00F15743"/>
    <w:rsid w:val="00F161F6"/>
    <w:rsid w:val="00F169CC"/>
    <w:rsid w:val="00F16C9E"/>
    <w:rsid w:val="00F17535"/>
    <w:rsid w:val="00F17965"/>
    <w:rsid w:val="00F17D26"/>
    <w:rsid w:val="00F17E22"/>
    <w:rsid w:val="00F17F64"/>
    <w:rsid w:val="00F200F0"/>
    <w:rsid w:val="00F208B7"/>
    <w:rsid w:val="00F20BC5"/>
    <w:rsid w:val="00F20C8C"/>
    <w:rsid w:val="00F20D51"/>
    <w:rsid w:val="00F20F71"/>
    <w:rsid w:val="00F21253"/>
    <w:rsid w:val="00F21567"/>
    <w:rsid w:val="00F21D1F"/>
    <w:rsid w:val="00F22231"/>
    <w:rsid w:val="00F22438"/>
    <w:rsid w:val="00F22645"/>
    <w:rsid w:val="00F22926"/>
    <w:rsid w:val="00F22B2E"/>
    <w:rsid w:val="00F22C7B"/>
    <w:rsid w:val="00F233CC"/>
    <w:rsid w:val="00F23CD1"/>
    <w:rsid w:val="00F240F4"/>
    <w:rsid w:val="00F2448A"/>
    <w:rsid w:val="00F246F3"/>
    <w:rsid w:val="00F24A8F"/>
    <w:rsid w:val="00F24DE3"/>
    <w:rsid w:val="00F24F99"/>
    <w:rsid w:val="00F25338"/>
    <w:rsid w:val="00F25CDA"/>
    <w:rsid w:val="00F2615F"/>
    <w:rsid w:val="00F26575"/>
    <w:rsid w:val="00F26886"/>
    <w:rsid w:val="00F26899"/>
    <w:rsid w:val="00F26AB4"/>
    <w:rsid w:val="00F26AD6"/>
    <w:rsid w:val="00F26B72"/>
    <w:rsid w:val="00F26D97"/>
    <w:rsid w:val="00F272D5"/>
    <w:rsid w:val="00F2752C"/>
    <w:rsid w:val="00F276FF"/>
    <w:rsid w:val="00F27904"/>
    <w:rsid w:val="00F27D24"/>
    <w:rsid w:val="00F3003E"/>
    <w:rsid w:val="00F3007B"/>
    <w:rsid w:val="00F3010E"/>
    <w:rsid w:val="00F30158"/>
    <w:rsid w:val="00F3040D"/>
    <w:rsid w:val="00F304F2"/>
    <w:rsid w:val="00F3121D"/>
    <w:rsid w:val="00F31454"/>
    <w:rsid w:val="00F317D8"/>
    <w:rsid w:val="00F317E7"/>
    <w:rsid w:val="00F31DE0"/>
    <w:rsid w:val="00F32133"/>
    <w:rsid w:val="00F3226E"/>
    <w:rsid w:val="00F328F5"/>
    <w:rsid w:val="00F32AB8"/>
    <w:rsid w:val="00F32DB0"/>
    <w:rsid w:val="00F32F10"/>
    <w:rsid w:val="00F331EC"/>
    <w:rsid w:val="00F33412"/>
    <w:rsid w:val="00F3392A"/>
    <w:rsid w:val="00F33FC0"/>
    <w:rsid w:val="00F34026"/>
    <w:rsid w:val="00F345F3"/>
    <w:rsid w:val="00F347B1"/>
    <w:rsid w:val="00F34EA6"/>
    <w:rsid w:val="00F34F6F"/>
    <w:rsid w:val="00F3514B"/>
    <w:rsid w:val="00F35773"/>
    <w:rsid w:val="00F35843"/>
    <w:rsid w:val="00F358AF"/>
    <w:rsid w:val="00F3598C"/>
    <w:rsid w:val="00F35EF5"/>
    <w:rsid w:val="00F36127"/>
    <w:rsid w:val="00F3651E"/>
    <w:rsid w:val="00F36A56"/>
    <w:rsid w:val="00F36CD8"/>
    <w:rsid w:val="00F3761C"/>
    <w:rsid w:val="00F37B2F"/>
    <w:rsid w:val="00F37D55"/>
    <w:rsid w:val="00F37DFC"/>
    <w:rsid w:val="00F4012D"/>
    <w:rsid w:val="00F40140"/>
    <w:rsid w:val="00F4090A"/>
    <w:rsid w:val="00F40ED2"/>
    <w:rsid w:val="00F40F83"/>
    <w:rsid w:val="00F40FC0"/>
    <w:rsid w:val="00F413C7"/>
    <w:rsid w:val="00F414D6"/>
    <w:rsid w:val="00F41673"/>
    <w:rsid w:val="00F4271D"/>
    <w:rsid w:val="00F42A5B"/>
    <w:rsid w:val="00F42B59"/>
    <w:rsid w:val="00F42CBB"/>
    <w:rsid w:val="00F42E27"/>
    <w:rsid w:val="00F42ECF"/>
    <w:rsid w:val="00F432B8"/>
    <w:rsid w:val="00F4349B"/>
    <w:rsid w:val="00F43701"/>
    <w:rsid w:val="00F4373C"/>
    <w:rsid w:val="00F437F8"/>
    <w:rsid w:val="00F43DD1"/>
    <w:rsid w:val="00F4409D"/>
    <w:rsid w:val="00F44658"/>
    <w:rsid w:val="00F44BE4"/>
    <w:rsid w:val="00F44E08"/>
    <w:rsid w:val="00F45086"/>
    <w:rsid w:val="00F453CE"/>
    <w:rsid w:val="00F45B42"/>
    <w:rsid w:val="00F46159"/>
    <w:rsid w:val="00F462A4"/>
    <w:rsid w:val="00F4651C"/>
    <w:rsid w:val="00F465E9"/>
    <w:rsid w:val="00F468B5"/>
    <w:rsid w:val="00F468F8"/>
    <w:rsid w:val="00F46B5A"/>
    <w:rsid w:val="00F47160"/>
    <w:rsid w:val="00F47488"/>
    <w:rsid w:val="00F479D4"/>
    <w:rsid w:val="00F47ABD"/>
    <w:rsid w:val="00F47B77"/>
    <w:rsid w:val="00F47CA3"/>
    <w:rsid w:val="00F47ED0"/>
    <w:rsid w:val="00F5017E"/>
    <w:rsid w:val="00F509E6"/>
    <w:rsid w:val="00F50D62"/>
    <w:rsid w:val="00F50F30"/>
    <w:rsid w:val="00F5130E"/>
    <w:rsid w:val="00F51319"/>
    <w:rsid w:val="00F51906"/>
    <w:rsid w:val="00F52014"/>
    <w:rsid w:val="00F520A3"/>
    <w:rsid w:val="00F5220A"/>
    <w:rsid w:val="00F5287E"/>
    <w:rsid w:val="00F528F3"/>
    <w:rsid w:val="00F52B18"/>
    <w:rsid w:val="00F52F54"/>
    <w:rsid w:val="00F53404"/>
    <w:rsid w:val="00F538A1"/>
    <w:rsid w:val="00F53A23"/>
    <w:rsid w:val="00F53F2A"/>
    <w:rsid w:val="00F54CD1"/>
    <w:rsid w:val="00F550CC"/>
    <w:rsid w:val="00F551B2"/>
    <w:rsid w:val="00F552C7"/>
    <w:rsid w:val="00F5540E"/>
    <w:rsid w:val="00F55505"/>
    <w:rsid w:val="00F55611"/>
    <w:rsid w:val="00F55832"/>
    <w:rsid w:val="00F558F9"/>
    <w:rsid w:val="00F55B36"/>
    <w:rsid w:val="00F5623C"/>
    <w:rsid w:val="00F569B4"/>
    <w:rsid w:val="00F569CC"/>
    <w:rsid w:val="00F56A27"/>
    <w:rsid w:val="00F56B85"/>
    <w:rsid w:val="00F56CD4"/>
    <w:rsid w:val="00F56D8C"/>
    <w:rsid w:val="00F57289"/>
    <w:rsid w:val="00F57443"/>
    <w:rsid w:val="00F574E0"/>
    <w:rsid w:val="00F6028D"/>
    <w:rsid w:val="00F60998"/>
    <w:rsid w:val="00F60A24"/>
    <w:rsid w:val="00F60AD6"/>
    <w:rsid w:val="00F60E07"/>
    <w:rsid w:val="00F61448"/>
    <w:rsid w:val="00F617D1"/>
    <w:rsid w:val="00F62041"/>
    <w:rsid w:val="00F622E0"/>
    <w:rsid w:val="00F6243D"/>
    <w:rsid w:val="00F62474"/>
    <w:rsid w:val="00F6256C"/>
    <w:rsid w:val="00F62735"/>
    <w:rsid w:val="00F62D64"/>
    <w:rsid w:val="00F62F75"/>
    <w:rsid w:val="00F632F2"/>
    <w:rsid w:val="00F63333"/>
    <w:rsid w:val="00F6394D"/>
    <w:rsid w:val="00F648D5"/>
    <w:rsid w:val="00F64B5C"/>
    <w:rsid w:val="00F64D50"/>
    <w:rsid w:val="00F65BDF"/>
    <w:rsid w:val="00F65F72"/>
    <w:rsid w:val="00F663DE"/>
    <w:rsid w:val="00F66AA6"/>
    <w:rsid w:val="00F6717A"/>
    <w:rsid w:val="00F676B6"/>
    <w:rsid w:val="00F70118"/>
    <w:rsid w:val="00F70183"/>
    <w:rsid w:val="00F7078C"/>
    <w:rsid w:val="00F70825"/>
    <w:rsid w:val="00F70849"/>
    <w:rsid w:val="00F70D0F"/>
    <w:rsid w:val="00F70FC0"/>
    <w:rsid w:val="00F71213"/>
    <w:rsid w:val="00F7149C"/>
    <w:rsid w:val="00F717BC"/>
    <w:rsid w:val="00F71BDD"/>
    <w:rsid w:val="00F71DCF"/>
    <w:rsid w:val="00F71DEE"/>
    <w:rsid w:val="00F72759"/>
    <w:rsid w:val="00F7279E"/>
    <w:rsid w:val="00F72DE4"/>
    <w:rsid w:val="00F730A9"/>
    <w:rsid w:val="00F73E1B"/>
    <w:rsid w:val="00F73F51"/>
    <w:rsid w:val="00F73F69"/>
    <w:rsid w:val="00F744C5"/>
    <w:rsid w:val="00F745DA"/>
    <w:rsid w:val="00F7488D"/>
    <w:rsid w:val="00F74A56"/>
    <w:rsid w:val="00F74DDE"/>
    <w:rsid w:val="00F74E0C"/>
    <w:rsid w:val="00F75784"/>
    <w:rsid w:val="00F759ED"/>
    <w:rsid w:val="00F75AEF"/>
    <w:rsid w:val="00F75F11"/>
    <w:rsid w:val="00F765F2"/>
    <w:rsid w:val="00F76707"/>
    <w:rsid w:val="00F77032"/>
    <w:rsid w:val="00F7713C"/>
    <w:rsid w:val="00F77438"/>
    <w:rsid w:val="00F778F0"/>
    <w:rsid w:val="00F77995"/>
    <w:rsid w:val="00F77B4F"/>
    <w:rsid w:val="00F77BE6"/>
    <w:rsid w:val="00F77C01"/>
    <w:rsid w:val="00F77D38"/>
    <w:rsid w:val="00F77D81"/>
    <w:rsid w:val="00F77F81"/>
    <w:rsid w:val="00F801AC"/>
    <w:rsid w:val="00F8157F"/>
    <w:rsid w:val="00F817DC"/>
    <w:rsid w:val="00F81A78"/>
    <w:rsid w:val="00F81C9D"/>
    <w:rsid w:val="00F81D5E"/>
    <w:rsid w:val="00F81F1E"/>
    <w:rsid w:val="00F82331"/>
    <w:rsid w:val="00F823C3"/>
    <w:rsid w:val="00F827F6"/>
    <w:rsid w:val="00F82B0C"/>
    <w:rsid w:val="00F82BC3"/>
    <w:rsid w:val="00F82E87"/>
    <w:rsid w:val="00F82F39"/>
    <w:rsid w:val="00F82F41"/>
    <w:rsid w:val="00F8353F"/>
    <w:rsid w:val="00F83540"/>
    <w:rsid w:val="00F83A57"/>
    <w:rsid w:val="00F83B9E"/>
    <w:rsid w:val="00F83BC3"/>
    <w:rsid w:val="00F8401C"/>
    <w:rsid w:val="00F8403B"/>
    <w:rsid w:val="00F8408D"/>
    <w:rsid w:val="00F841C0"/>
    <w:rsid w:val="00F844EC"/>
    <w:rsid w:val="00F84ADA"/>
    <w:rsid w:val="00F84DED"/>
    <w:rsid w:val="00F8539F"/>
    <w:rsid w:val="00F854CF"/>
    <w:rsid w:val="00F859D5"/>
    <w:rsid w:val="00F85A95"/>
    <w:rsid w:val="00F85F11"/>
    <w:rsid w:val="00F8605F"/>
    <w:rsid w:val="00F862E5"/>
    <w:rsid w:val="00F86514"/>
    <w:rsid w:val="00F8698E"/>
    <w:rsid w:val="00F86A79"/>
    <w:rsid w:val="00F86DFC"/>
    <w:rsid w:val="00F86E44"/>
    <w:rsid w:val="00F86F3A"/>
    <w:rsid w:val="00F871C1"/>
    <w:rsid w:val="00F87646"/>
    <w:rsid w:val="00F876CD"/>
    <w:rsid w:val="00F87DE3"/>
    <w:rsid w:val="00F90585"/>
    <w:rsid w:val="00F9060A"/>
    <w:rsid w:val="00F909DB"/>
    <w:rsid w:val="00F90BBE"/>
    <w:rsid w:val="00F90DFB"/>
    <w:rsid w:val="00F911DD"/>
    <w:rsid w:val="00F91233"/>
    <w:rsid w:val="00F913A7"/>
    <w:rsid w:val="00F9149B"/>
    <w:rsid w:val="00F915DD"/>
    <w:rsid w:val="00F9187A"/>
    <w:rsid w:val="00F91A36"/>
    <w:rsid w:val="00F91DAB"/>
    <w:rsid w:val="00F91EB9"/>
    <w:rsid w:val="00F92484"/>
    <w:rsid w:val="00F92783"/>
    <w:rsid w:val="00F927FC"/>
    <w:rsid w:val="00F928F5"/>
    <w:rsid w:val="00F928F8"/>
    <w:rsid w:val="00F92A28"/>
    <w:rsid w:val="00F92B09"/>
    <w:rsid w:val="00F92E22"/>
    <w:rsid w:val="00F92E73"/>
    <w:rsid w:val="00F92E92"/>
    <w:rsid w:val="00F92F72"/>
    <w:rsid w:val="00F93209"/>
    <w:rsid w:val="00F93821"/>
    <w:rsid w:val="00F93836"/>
    <w:rsid w:val="00F93CA8"/>
    <w:rsid w:val="00F93F8F"/>
    <w:rsid w:val="00F9403F"/>
    <w:rsid w:val="00F94855"/>
    <w:rsid w:val="00F94C4C"/>
    <w:rsid w:val="00F94F44"/>
    <w:rsid w:val="00F951EC"/>
    <w:rsid w:val="00F9533F"/>
    <w:rsid w:val="00F954FB"/>
    <w:rsid w:val="00F95664"/>
    <w:rsid w:val="00F95727"/>
    <w:rsid w:val="00F959DF"/>
    <w:rsid w:val="00F95BCA"/>
    <w:rsid w:val="00F95EB8"/>
    <w:rsid w:val="00F964B4"/>
    <w:rsid w:val="00F9668A"/>
    <w:rsid w:val="00F96DC5"/>
    <w:rsid w:val="00F97262"/>
    <w:rsid w:val="00F9732C"/>
    <w:rsid w:val="00F973B4"/>
    <w:rsid w:val="00F973D1"/>
    <w:rsid w:val="00F9743C"/>
    <w:rsid w:val="00F974A5"/>
    <w:rsid w:val="00F97570"/>
    <w:rsid w:val="00F9765E"/>
    <w:rsid w:val="00F9785F"/>
    <w:rsid w:val="00F9795E"/>
    <w:rsid w:val="00F97B06"/>
    <w:rsid w:val="00F97FAE"/>
    <w:rsid w:val="00FA09D0"/>
    <w:rsid w:val="00FA0A29"/>
    <w:rsid w:val="00FA0A42"/>
    <w:rsid w:val="00FA0E50"/>
    <w:rsid w:val="00FA0EEB"/>
    <w:rsid w:val="00FA1175"/>
    <w:rsid w:val="00FA158F"/>
    <w:rsid w:val="00FA1A16"/>
    <w:rsid w:val="00FA1B63"/>
    <w:rsid w:val="00FA200F"/>
    <w:rsid w:val="00FA205C"/>
    <w:rsid w:val="00FA2570"/>
    <w:rsid w:val="00FA2CA2"/>
    <w:rsid w:val="00FA2D4C"/>
    <w:rsid w:val="00FA311E"/>
    <w:rsid w:val="00FA32AB"/>
    <w:rsid w:val="00FA32B0"/>
    <w:rsid w:val="00FA340F"/>
    <w:rsid w:val="00FA3713"/>
    <w:rsid w:val="00FA3797"/>
    <w:rsid w:val="00FA3D3A"/>
    <w:rsid w:val="00FA3ECD"/>
    <w:rsid w:val="00FA3FEA"/>
    <w:rsid w:val="00FA4685"/>
    <w:rsid w:val="00FA4CF1"/>
    <w:rsid w:val="00FA50BA"/>
    <w:rsid w:val="00FA50D0"/>
    <w:rsid w:val="00FA56CE"/>
    <w:rsid w:val="00FA5837"/>
    <w:rsid w:val="00FA5AF0"/>
    <w:rsid w:val="00FA6054"/>
    <w:rsid w:val="00FA6560"/>
    <w:rsid w:val="00FA65C4"/>
    <w:rsid w:val="00FA66E3"/>
    <w:rsid w:val="00FA6AB9"/>
    <w:rsid w:val="00FA7227"/>
    <w:rsid w:val="00FA724E"/>
    <w:rsid w:val="00FA72BD"/>
    <w:rsid w:val="00FA7E65"/>
    <w:rsid w:val="00FB0025"/>
    <w:rsid w:val="00FB024F"/>
    <w:rsid w:val="00FB0351"/>
    <w:rsid w:val="00FB04A5"/>
    <w:rsid w:val="00FB062C"/>
    <w:rsid w:val="00FB0BC4"/>
    <w:rsid w:val="00FB0D05"/>
    <w:rsid w:val="00FB121F"/>
    <w:rsid w:val="00FB13EC"/>
    <w:rsid w:val="00FB1B3C"/>
    <w:rsid w:val="00FB1C86"/>
    <w:rsid w:val="00FB1D7D"/>
    <w:rsid w:val="00FB1DC1"/>
    <w:rsid w:val="00FB2809"/>
    <w:rsid w:val="00FB2870"/>
    <w:rsid w:val="00FB2A8A"/>
    <w:rsid w:val="00FB2BD7"/>
    <w:rsid w:val="00FB3260"/>
    <w:rsid w:val="00FB34BB"/>
    <w:rsid w:val="00FB3B3B"/>
    <w:rsid w:val="00FB3CC8"/>
    <w:rsid w:val="00FB3F86"/>
    <w:rsid w:val="00FB40C0"/>
    <w:rsid w:val="00FB410D"/>
    <w:rsid w:val="00FB4DCB"/>
    <w:rsid w:val="00FB4E58"/>
    <w:rsid w:val="00FB501B"/>
    <w:rsid w:val="00FB5428"/>
    <w:rsid w:val="00FB59E5"/>
    <w:rsid w:val="00FB5BBB"/>
    <w:rsid w:val="00FB5C42"/>
    <w:rsid w:val="00FB5D3A"/>
    <w:rsid w:val="00FB5E31"/>
    <w:rsid w:val="00FB63B5"/>
    <w:rsid w:val="00FB63B8"/>
    <w:rsid w:val="00FB6788"/>
    <w:rsid w:val="00FB6962"/>
    <w:rsid w:val="00FB6C46"/>
    <w:rsid w:val="00FB6E03"/>
    <w:rsid w:val="00FB6E33"/>
    <w:rsid w:val="00FB7092"/>
    <w:rsid w:val="00FB7B1E"/>
    <w:rsid w:val="00FB7B47"/>
    <w:rsid w:val="00FB7E5D"/>
    <w:rsid w:val="00FC0074"/>
    <w:rsid w:val="00FC0086"/>
    <w:rsid w:val="00FC0845"/>
    <w:rsid w:val="00FC0A61"/>
    <w:rsid w:val="00FC0D5E"/>
    <w:rsid w:val="00FC12DC"/>
    <w:rsid w:val="00FC156E"/>
    <w:rsid w:val="00FC17F8"/>
    <w:rsid w:val="00FC3506"/>
    <w:rsid w:val="00FC35D4"/>
    <w:rsid w:val="00FC3666"/>
    <w:rsid w:val="00FC36D7"/>
    <w:rsid w:val="00FC3A2C"/>
    <w:rsid w:val="00FC3ADF"/>
    <w:rsid w:val="00FC3B68"/>
    <w:rsid w:val="00FC4396"/>
    <w:rsid w:val="00FC497A"/>
    <w:rsid w:val="00FC4E14"/>
    <w:rsid w:val="00FC580E"/>
    <w:rsid w:val="00FC5E37"/>
    <w:rsid w:val="00FC5ED7"/>
    <w:rsid w:val="00FC61FD"/>
    <w:rsid w:val="00FC6604"/>
    <w:rsid w:val="00FC6E10"/>
    <w:rsid w:val="00FC6E3B"/>
    <w:rsid w:val="00FC724F"/>
    <w:rsid w:val="00FC73D1"/>
    <w:rsid w:val="00FC73FB"/>
    <w:rsid w:val="00FC74A0"/>
    <w:rsid w:val="00FC76B3"/>
    <w:rsid w:val="00FD0BB8"/>
    <w:rsid w:val="00FD0D8C"/>
    <w:rsid w:val="00FD0D9D"/>
    <w:rsid w:val="00FD0E16"/>
    <w:rsid w:val="00FD15DE"/>
    <w:rsid w:val="00FD16CD"/>
    <w:rsid w:val="00FD24BA"/>
    <w:rsid w:val="00FD25BE"/>
    <w:rsid w:val="00FD27DB"/>
    <w:rsid w:val="00FD28CB"/>
    <w:rsid w:val="00FD2A6F"/>
    <w:rsid w:val="00FD2E46"/>
    <w:rsid w:val="00FD2F46"/>
    <w:rsid w:val="00FD2FBD"/>
    <w:rsid w:val="00FD40C4"/>
    <w:rsid w:val="00FD40DC"/>
    <w:rsid w:val="00FD4370"/>
    <w:rsid w:val="00FD43C9"/>
    <w:rsid w:val="00FD459E"/>
    <w:rsid w:val="00FD4C4A"/>
    <w:rsid w:val="00FD4CE9"/>
    <w:rsid w:val="00FD6164"/>
    <w:rsid w:val="00FD697C"/>
    <w:rsid w:val="00FD6C8B"/>
    <w:rsid w:val="00FD6D00"/>
    <w:rsid w:val="00FD6D16"/>
    <w:rsid w:val="00FD711C"/>
    <w:rsid w:val="00FD73D3"/>
    <w:rsid w:val="00FD755C"/>
    <w:rsid w:val="00FD7646"/>
    <w:rsid w:val="00FD79F9"/>
    <w:rsid w:val="00FD7E6B"/>
    <w:rsid w:val="00FE06D3"/>
    <w:rsid w:val="00FE0782"/>
    <w:rsid w:val="00FE0A8D"/>
    <w:rsid w:val="00FE0C0C"/>
    <w:rsid w:val="00FE0CA8"/>
    <w:rsid w:val="00FE11FD"/>
    <w:rsid w:val="00FE130E"/>
    <w:rsid w:val="00FE1ABC"/>
    <w:rsid w:val="00FE1B9A"/>
    <w:rsid w:val="00FE1BEB"/>
    <w:rsid w:val="00FE1F14"/>
    <w:rsid w:val="00FE2092"/>
    <w:rsid w:val="00FE21E2"/>
    <w:rsid w:val="00FE21EA"/>
    <w:rsid w:val="00FE23D2"/>
    <w:rsid w:val="00FE2A0C"/>
    <w:rsid w:val="00FE2B42"/>
    <w:rsid w:val="00FE3062"/>
    <w:rsid w:val="00FE3255"/>
    <w:rsid w:val="00FE39F0"/>
    <w:rsid w:val="00FE3AE6"/>
    <w:rsid w:val="00FE3C1C"/>
    <w:rsid w:val="00FE3DC1"/>
    <w:rsid w:val="00FE3EC4"/>
    <w:rsid w:val="00FE3FF7"/>
    <w:rsid w:val="00FE415F"/>
    <w:rsid w:val="00FE419B"/>
    <w:rsid w:val="00FE459D"/>
    <w:rsid w:val="00FE49A2"/>
    <w:rsid w:val="00FE49C1"/>
    <w:rsid w:val="00FE4A87"/>
    <w:rsid w:val="00FE4D07"/>
    <w:rsid w:val="00FE4FD5"/>
    <w:rsid w:val="00FE4FDB"/>
    <w:rsid w:val="00FE525E"/>
    <w:rsid w:val="00FE5608"/>
    <w:rsid w:val="00FE5830"/>
    <w:rsid w:val="00FE59B9"/>
    <w:rsid w:val="00FE6398"/>
    <w:rsid w:val="00FE64A7"/>
    <w:rsid w:val="00FE6750"/>
    <w:rsid w:val="00FE67D6"/>
    <w:rsid w:val="00FE697C"/>
    <w:rsid w:val="00FE6B9A"/>
    <w:rsid w:val="00FE6C5B"/>
    <w:rsid w:val="00FE6E79"/>
    <w:rsid w:val="00FE6F61"/>
    <w:rsid w:val="00FE73F7"/>
    <w:rsid w:val="00FE7547"/>
    <w:rsid w:val="00FE7E48"/>
    <w:rsid w:val="00FF00E0"/>
    <w:rsid w:val="00FF05B8"/>
    <w:rsid w:val="00FF0808"/>
    <w:rsid w:val="00FF0A49"/>
    <w:rsid w:val="00FF0A85"/>
    <w:rsid w:val="00FF10BE"/>
    <w:rsid w:val="00FF1194"/>
    <w:rsid w:val="00FF1406"/>
    <w:rsid w:val="00FF15AD"/>
    <w:rsid w:val="00FF1708"/>
    <w:rsid w:val="00FF176A"/>
    <w:rsid w:val="00FF18BD"/>
    <w:rsid w:val="00FF198A"/>
    <w:rsid w:val="00FF1A08"/>
    <w:rsid w:val="00FF1AF9"/>
    <w:rsid w:val="00FF1B65"/>
    <w:rsid w:val="00FF1D9A"/>
    <w:rsid w:val="00FF225E"/>
    <w:rsid w:val="00FF255C"/>
    <w:rsid w:val="00FF2A0D"/>
    <w:rsid w:val="00FF2D14"/>
    <w:rsid w:val="00FF2F43"/>
    <w:rsid w:val="00FF33C3"/>
    <w:rsid w:val="00FF3EF2"/>
    <w:rsid w:val="00FF4225"/>
    <w:rsid w:val="00FF4766"/>
    <w:rsid w:val="00FF5006"/>
    <w:rsid w:val="00FF500D"/>
    <w:rsid w:val="00FF50AC"/>
    <w:rsid w:val="00FF586C"/>
    <w:rsid w:val="00FF5AF5"/>
    <w:rsid w:val="00FF5E92"/>
    <w:rsid w:val="00FF6295"/>
    <w:rsid w:val="00FF6514"/>
    <w:rsid w:val="00FF65BE"/>
    <w:rsid w:val="00FF6A0A"/>
    <w:rsid w:val="00FF7BD3"/>
    <w:rsid w:val="00FF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2"/>
    </o:shapelayout>
  </w:shapeDefaults>
  <w:doNotEmbedSmartTags/>
  <w:decimalSymbol w:val="."/>
  <w:listSeparator w:val=","/>
  <w14:docId w14:val="7F73B9ED"/>
  <w15:docId w15:val="{F161DA89-8494-41E1-83CC-7936E428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466C"/>
    <w:rPr>
      <w:sz w:val="24"/>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6"/>
      <w:szCs w:val="32"/>
    </w:rPr>
  </w:style>
  <w:style w:type="paragraph" w:styleId="Heading2">
    <w:name w:val="heading 2"/>
    <w:aliases w:val="Heading for title,head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spacing w:before="240" w:after="60"/>
      <w:outlineLvl w:val="3"/>
    </w:pPr>
    <w:rPr>
      <w:rFonts w:ascii="Arial" w:hAnsi="Arial"/>
      <w:b/>
      <w:sz w:val="22"/>
    </w:rPr>
  </w:style>
  <w:style w:type="paragraph" w:styleId="Heading5">
    <w:name w:val="heading 5"/>
    <w:basedOn w:val="Normal"/>
    <w:next w:val="Normal"/>
    <w:qFormat/>
    <w:pPr>
      <w:keepNext/>
      <w:numPr>
        <w:ilvl w:val="4"/>
        <w:numId w:val="1"/>
      </w:numPr>
      <w:outlineLvl w:val="4"/>
    </w:pPr>
    <w:rPr>
      <w:b/>
      <w:szCs w:val="20"/>
    </w:rPr>
  </w:style>
  <w:style w:type="paragraph" w:styleId="Heading6">
    <w:name w:val="heading 6"/>
    <w:basedOn w:val="Normal"/>
    <w:next w:val="Normal"/>
    <w:qFormat/>
    <w:pPr>
      <w:numPr>
        <w:ilvl w:val="5"/>
        <w:numId w:val="1"/>
      </w:numPr>
      <w:spacing w:before="240" w:after="60"/>
      <w:outlineLvl w:val="5"/>
    </w:pPr>
    <w:rPr>
      <w:b/>
      <w:sz w:val="22"/>
      <w:szCs w:val="20"/>
    </w:rPr>
  </w:style>
  <w:style w:type="paragraph" w:styleId="Heading7">
    <w:name w:val="heading 7"/>
    <w:basedOn w:val="Normal"/>
    <w:next w:val="Normal"/>
    <w:qFormat/>
    <w:pPr>
      <w:numPr>
        <w:ilvl w:val="6"/>
        <w:numId w:val="1"/>
      </w:numPr>
      <w:spacing w:before="240" w:after="60"/>
      <w:outlineLvl w:val="6"/>
    </w:pPr>
    <w:rPr>
      <w:szCs w:val="20"/>
    </w:rPr>
  </w:style>
  <w:style w:type="paragraph" w:styleId="Heading8">
    <w:name w:val="heading 8"/>
    <w:basedOn w:val="Normal"/>
    <w:next w:val="Normal"/>
    <w:qFormat/>
    <w:pPr>
      <w:numPr>
        <w:ilvl w:val="7"/>
        <w:numId w:val="1"/>
      </w:numPr>
      <w:spacing w:before="240" w:after="60"/>
      <w:outlineLvl w:val="7"/>
    </w:pPr>
    <w:rPr>
      <w:i/>
      <w:szCs w:val="20"/>
    </w:rPr>
  </w:style>
  <w:style w:type="paragraph" w:styleId="Heading9">
    <w:name w:val="heading 9"/>
    <w:basedOn w:val="Normal"/>
    <w:next w:val="Normal"/>
    <w:qFormat/>
    <w:pPr>
      <w:numPr>
        <w:ilvl w:val="8"/>
        <w:numId w:val="1"/>
      </w:num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3C00"/>
    <w:rPr>
      <w:rFonts w:ascii="Arial" w:hAnsi="Arial" w:cs="Arial"/>
      <w:b/>
      <w:bCs/>
      <w:kern w:val="32"/>
      <w:sz w:val="36"/>
      <w:szCs w:val="32"/>
      <w:lang w:val="en-US" w:eastAsia="en-US" w:bidi="ar-SA"/>
    </w:rPr>
  </w:style>
  <w:style w:type="character" w:customStyle="1" w:styleId="Heading3Char1">
    <w:name w:val="Heading 3 Char1"/>
    <w:link w:val="Heading3"/>
    <w:rsid w:val="00C12CF8"/>
    <w:rPr>
      <w:rFonts w:ascii="Arial" w:hAnsi="Arial" w:cs="Arial"/>
      <w:b/>
      <w:bCs/>
      <w:sz w:val="26"/>
      <w:szCs w:val="26"/>
      <w:lang w:val="en-US" w:eastAsia="en-US" w:bidi="ar-SA"/>
    </w:rPr>
  </w:style>
  <w:style w:type="character" w:customStyle="1" w:styleId="Heading4Char">
    <w:name w:val="Heading 4 Char"/>
    <w:link w:val="Heading4"/>
    <w:rsid w:val="00896F17"/>
    <w:rPr>
      <w:rFonts w:ascii="Arial" w:hAnsi="Arial"/>
      <w:b/>
      <w:sz w:val="22"/>
      <w:szCs w:val="24"/>
      <w:lang w:val="en-US" w:eastAsia="en-US" w:bidi="ar-SA"/>
    </w:rPr>
  </w:style>
  <w:style w:type="character" w:customStyle="1" w:styleId="Char">
    <w:name w:val="Char"/>
    <w:semiHidden/>
    <w:rPr>
      <w:sz w:val="22"/>
      <w:lang w:val="en-US" w:eastAsia="en-US" w:bidi="ar-SA"/>
    </w:rPr>
  </w:style>
  <w:style w:type="paragraph" w:styleId="Header">
    <w:name w:val="header"/>
    <w:basedOn w:val="Normal"/>
    <w:pPr>
      <w:tabs>
        <w:tab w:val="center" w:pos="4320"/>
        <w:tab w:val="right" w:pos="8640"/>
      </w:tabs>
    </w:pPr>
  </w:style>
  <w:style w:type="paragraph" w:customStyle="1" w:styleId="TitlePage">
    <w:name w:val="TitlePage"/>
    <w:basedOn w:val="Normal"/>
    <w:rPr>
      <w:rFonts w:ascii="Arial" w:hAnsi="Arial"/>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pPr>
      <w:spacing w:before="120" w:after="120"/>
    </w:pPr>
    <w:rPr>
      <w:b/>
      <w:caps/>
      <w:sz w:val="22"/>
      <w:szCs w:val="22"/>
    </w:rPr>
  </w:style>
  <w:style w:type="paragraph" w:styleId="TOC2">
    <w:name w:val="toc 2"/>
    <w:basedOn w:val="Normal"/>
    <w:next w:val="Normal"/>
    <w:uiPriority w:val="39"/>
    <w:pPr>
      <w:ind w:left="245"/>
    </w:pPr>
    <w:rPr>
      <w:smallCaps/>
      <w:sz w:val="22"/>
      <w:szCs w:val="22"/>
    </w:rPr>
  </w:style>
  <w:style w:type="paragraph" w:styleId="TOC3">
    <w:name w:val="toc 3"/>
    <w:basedOn w:val="Normal"/>
    <w:next w:val="Normal"/>
    <w:uiPriority w:val="39"/>
    <w:pPr>
      <w:ind w:left="475"/>
    </w:pPr>
    <w:rPr>
      <w:sz w:val="22"/>
      <w:szCs w:val="22"/>
    </w:rPr>
  </w:style>
  <w:style w:type="paragraph" w:styleId="TOC4">
    <w:name w:val="toc 4"/>
    <w:basedOn w:val="Normal"/>
    <w:next w:val="Normal"/>
    <w:uiPriority w:val="39"/>
    <w:pPr>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color w:val="0000FF"/>
      <w:u w:val="single"/>
    </w:rPr>
  </w:style>
  <w:style w:type="paragraph" w:styleId="ListBullet">
    <w:name w:val="List Bullet"/>
    <w:basedOn w:val="Normal"/>
    <w:rsid w:val="00BB52F5"/>
    <w:pPr>
      <w:numPr>
        <w:numId w:val="15"/>
      </w:numPr>
      <w:spacing w:line="240" w:lineRule="atLeast"/>
    </w:pPr>
    <w:rPr>
      <w:spacing w:val="-5"/>
      <w:sz w:val="22"/>
      <w:szCs w:val="22"/>
    </w:rPr>
  </w:style>
  <w:style w:type="paragraph" w:customStyle="1" w:styleId="Bullhorn">
    <w:name w:val="Bullhorn"/>
    <w:basedOn w:val="TableText"/>
    <w:next w:val="TableText"/>
    <w:link w:val="BullhornChar"/>
    <w:rsid w:val="00896F17"/>
    <w:rPr>
      <w:rFonts w:ascii="Webdings" w:hAnsi="Webdings"/>
      <w:sz w:val="40"/>
    </w:rPr>
  </w:style>
  <w:style w:type="paragraph" w:customStyle="1" w:styleId="TableText">
    <w:name w:val="Table Text"/>
    <w:basedOn w:val="Normal"/>
    <w:link w:val="TableTextChar6"/>
    <w:rsid w:val="00584AF9"/>
    <w:rPr>
      <w:rFonts w:ascii="Arial" w:hAnsi="Arial"/>
      <w:sz w:val="18"/>
    </w:rPr>
  </w:style>
  <w:style w:type="character" w:customStyle="1" w:styleId="TableTextChar6">
    <w:name w:val="Table Text Char6"/>
    <w:link w:val="TableText"/>
    <w:rsid w:val="00584AF9"/>
    <w:rPr>
      <w:rFonts w:ascii="Arial" w:hAnsi="Arial"/>
      <w:sz w:val="18"/>
      <w:szCs w:val="24"/>
      <w:lang w:val="en-US" w:eastAsia="en-US" w:bidi="ar-SA"/>
    </w:rPr>
  </w:style>
  <w:style w:type="character" w:customStyle="1" w:styleId="BullhornChar">
    <w:name w:val="Bullhorn Char"/>
    <w:link w:val="Bullhorn"/>
    <w:rsid w:val="00896F17"/>
    <w:rPr>
      <w:rFonts w:ascii="Webdings" w:hAnsi="Webdings"/>
      <w:sz w:val="40"/>
      <w:szCs w:val="24"/>
      <w:lang w:val="en-US" w:eastAsia="en-US" w:bidi="ar-SA"/>
    </w:rPr>
  </w:style>
  <w:style w:type="paragraph" w:styleId="BodyText">
    <w:name w:val="Body Text"/>
    <w:basedOn w:val="Normal"/>
    <w:link w:val="BodyTextChar"/>
    <w:uiPriority w:val="99"/>
    <w:rsid w:val="00EE665E"/>
    <w:pPr>
      <w:spacing w:before="60" w:after="120"/>
    </w:pPr>
    <w:rPr>
      <w:sz w:val="22"/>
      <w:szCs w:val="22"/>
    </w:rPr>
  </w:style>
  <w:style w:type="character" w:customStyle="1" w:styleId="BodyTextChar">
    <w:name w:val="Body Text Char"/>
    <w:link w:val="BodyText"/>
    <w:uiPriority w:val="99"/>
    <w:rsid w:val="00EE665E"/>
    <w:rPr>
      <w:sz w:val="22"/>
      <w:szCs w:val="22"/>
      <w:lang w:val="en-US" w:eastAsia="en-US" w:bidi="ar-SA"/>
    </w:rPr>
  </w:style>
  <w:style w:type="table" w:styleId="TableGrid">
    <w:name w:val="Table Grid"/>
    <w:basedOn w:val="TableNormal"/>
    <w:rsid w:val="005F6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pPr>
      <w:numPr>
        <w:numId w:val="9"/>
      </w:numPr>
      <w:tabs>
        <w:tab w:val="clear" w:pos="1080"/>
        <w:tab w:val="left" w:pos="1350"/>
      </w:tabs>
      <w:ind w:left="0" w:firstLine="0"/>
    </w:pPr>
    <w:rPr>
      <w:rFonts w:ascii="Geneva" w:hAnsi="Geneva"/>
      <w:sz w:val="22"/>
      <w:szCs w:val="20"/>
    </w:rPr>
  </w:style>
  <w:style w:type="paragraph" w:customStyle="1" w:styleId="TableofContents">
    <w:name w:val="Table of Contents"/>
    <w:basedOn w:val="Heading1"/>
  </w:style>
  <w:style w:type="paragraph" w:customStyle="1" w:styleId="GlossaryTableTextBullets">
    <w:name w:val="Glossary Table Text Bullets"/>
    <w:basedOn w:val="GlossaryTableText"/>
    <w:pPr>
      <w:numPr>
        <w:numId w:val="11"/>
      </w:numPr>
    </w:pPr>
  </w:style>
  <w:style w:type="paragraph" w:customStyle="1" w:styleId="GlossaryTableText">
    <w:name w:val="Glossary Table Text"/>
    <w:basedOn w:val="TableText"/>
    <w:next w:val="TableText"/>
    <w:pPr>
      <w:spacing w:after="60"/>
    </w:pPr>
    <w:rPr>
      <w:rFonts w:eastAsia="Symbol"/>
      <w:sz w:val="20"/>
      <w:szCs w:val="20"/>
    </w:rPr>
  </w:style>
  <w:style w:type="character" w:customStyle="1" w:styleId="TableTextChar1">
    <w:name w:val="Table Text Char1"/>
    <w:rPr>
      <w:rFonts w:ascii="Arial" w:hAnsi="Arial"/>
      <w:sz w:val="18"/>
      <w:szCs w:val="24"/>
      <w:lang w:val="en-US" w:eastAsia="en-US" w:bidi="ar-SA"/>
    </w:rPr>
  </w:style>
  <w:style w:type="paragraph" w:styleId="ListBullet2">
    <w:name w:val="List Bullet 2"/>
    <w:basedOn w:val="BodyText"/>
    <w:rsid w:val="00EB1E75"/>
    <w:pPr>
      <w:numPr>
        <w:numId w:val="8"/>
      </w:numPr>
      <w:spacing w:before="0" w:after="0"/>
    </w:pPr>
  </w:style>
  <w:style w:type="character" w:customStyle="1" w:styleId="NotesTextChar5">
    <w:name w:val="Notes Text Char5"/>
    <w:rPr>
      <w:rFonts w:ascii="Arial" w:hAnsi="Arial"/>
      <w:color w:val="000000"/>
      <w:sz w:val="18"/>
      <w:szCs w:val="24"/>
      <w:lang w:val="en-US" w:eastAsia="en-US" w:bidi="ar-SA"/>
    </w:rPr>
  </w:style>
  <w:style w:type="character" w:styleId="CommentReference">
    <w:name w:val="annotation reference"/>
    <w:semiHidden/>
    <w:rPr>
      <w:sz w:val="16"/>
      <w:szCs w:val="16"/>
    </w:rPr>
  </w:style>
  <w:style w:type="paragraph" w:styleId="CommentText">
    <w:name w:val="annotation text"/>
    <w:basedOn w:val="Normal"/>
    <w:link w:val="CommentTextChar"/>
    <w:uiPriority w:val="99"/>
    <w:pPr>
      <w:tabs>
        <w:tab w:val="num" w:pos="1080"/>
      </w:tabs>
      <w:ind w:left="1080" w:hanging="360"/>
    </w:pPr>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sz w:val="16"/>
      <w:szCs w:val="16"/>
    </w:rPr>
  </w:style>
  <w:style w:type="paragraph" w:customStyle="1" w:styleId="StyleTitlePageCentered">
    <w:name w:val="Style TitlePage + Centered"/>
    <w:basedOn w:val="TitlePage"/>
    <w:pPr>
      <w:jc w:val="center"/>
    </w:pPr>
    <w:rPr>
      <w:sz w:val="44"/>
      <w:szCs w:val="44"/>
    </w:rPr>
  </w:style>
  <w:style w:type="paragraph" w:customStyle="1" w:styleId="StyleTitlePageBottom">
    <w:name w:val="StyleTitlePageBottom"/>
    <w:basedOn w:val="StyleTitlePageCentered"/>
    <w:rPr>
      <w:sz w:val="28"/>
    </w:rPr>
  </w:style>
  <w:style w:type="paragraph" w:customStyle="1" w:styleId="proclabel">
    <w:name w:val="proclabel"/>
    <w:basedOn w:val="Normal"/>
    <w:pPr>
      <w:spacing w:before="100" w:beforeAutospacing="1" w:after="100" w:afterAutospacing="1"/>
    </w:pPr>
  </w:style>
  <w:style w:type="character" w:styleId="FollowedHyperlink">
    <w:name w:val="FollowedHyperlink"/>
    <w:uiPriority w:val="99"/>
    <w:rPr>
      <w:color w:val="800080"/>
      <w:u w:val="single"/>
    </w:rPr>
  </w:style>
  <w:style w:type="paragraph" w:styleId="Caption">
    <w:name w:val="caption"/>
    <w:basedOn w:val="Normal"/>
    <w:next w:val="BodyText"/>
    <w:link w:val="CaptionChar1"/>
    <w:qFormat/>
    <w:rsid w:val="00453B6E"/>
    <w:pPr>
      <w:keepNext/>
      <w:spacing w:before="120" w:after="120"/>
    </w:pPr>
    <w:rPr>
      <w:b/>
      <w:sz w:val="22"/>
      <w:szCs w:val="22"/>
    </w:rPr>
  </w:style>
  <w:style w:type="character" w:customStyle="1" w:styleId="Char1">
    <w:name w:val="Char1"/>
    <w:semiHidden/>
    <w:rPr>
      <w:rFonts w:ascii="Arial" w:hAnsi="Arial" w:cs="Arial"/>
      <w:b/>
      <w:bCs/>
      <w:sz w:val="26"/>
      <w:szCs w:val="26"/>
      <w:lang w:val="en-US" w:eastAsia="en-US" w:bidi="ar-SA"/>
    </w:rPr>
  </w:style>
  <w:style w:type="paragraph" w:customStyle="1" w:styleId="TableTextBullet">
    <w:name w:val="Table Text Bullet"/>
    <w:basedOn w:val="TableText"/>
    <w:link w:val="TableTextBulletChar1"/>
    <w:rsid w:val="00B93B42"/>
    <w:pPr>
      <w:numPr>
        <w:numId w:val="12"/>
      </w:numPr>
    </w:pPr>
  </w:style>
  <w:style w:type="paragraph" w:styleId="BodyTextIndent2">
    <w:name w:val="Body Text Indent 2"/>
    <w:basedOn w:val="Normal"/>
    <w:pPr>
      <w:spacing w:after="120" w:line="480" w:lineRule="auto"/>
      <w:ind w:left="360"/>
    </w:pPr>
  </w:style>
  <w:style w:type="paragraph" w:styleId="Index1">
    <w:name w:val="index 1"/>
    <w:basedOn w:val="Normal"/>
    <w:next w:val="Normal"/>
    <w:uiPriority w:val="99"/>
    <w:semiHidden/>
    <w:rsid w:val="00E93F17"/>
    <w:pPr>
      <w:ind w:left="240" w:hanging="240"/>
    </w:pPr>
    <w:rPr>
      <w:sz w:val="18"/>
      <w:szCs w:val="18"/>
    </w:rPr>
  </w:style>
  <w:style w:type="paragraph" w:styleId="Index2">
    <w:name w:val="index 2"/>
    <w:basedOn w:val="Normal"/>
    <w:next w:val="Normal"/>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semiHidden/>
    <w:pPr>
      <w:ind w:left="960" w:hanging="240"/>
    </w:pPr>
    <w:rPr>
      <w:sz w:val="18"/>
      <w:szCs w:val="18"/>
    </w:rPr>
  </w:style>
  <w:style w:type="paragraph" w:customStyle="1" w:styleId="TableTextNumbers">
    <w:name w:val="Table Text Numbers"/>
    <w:basedOn w:val="TableText"/>
    <w:link w:val="TableTextNumbersCharChar"/>
    <w:rsid w:val="00584AF9"/>
    <w:pPr>
      <w:numPr>
        <w:numId w:val="4"/>
      </w:numPr>
    </w:pPr>
  </w:style>
  <w:style w:type="character" w:customStyle="1" w:styleId="TableTextNumbersCharChar">
    <w:name w:val="Table Text Numbers Char Char"/>
    <w:basedOn w:val="TableTextChar6"/>
    <w:link w:val="TableTextNumbers"/>
    <w:rsid w:val="00584AF9"/>
    <w:rPr>
      <w:rFonts w:ascii="Arial" w:hAnsi="Arial"/>
      <w:sz w:val="18"/>
      <w:szCs w:val="24"/>
      <w:lang w:val="en-US" w:eastAsia="en-US" w:bidi="ar-SA"/>
    </w:rPr>
  </w:style>
  <w:style w:type="character" w:customStyle="1" w:styleId="TableTextNumbersChar">
    <w:name w:val="Table Text Numbers Char"/>
    <w:rPr>
      <w:rFonts w:ascii="Arial" w:hAnsi="Arial"/>
      <w:sz w:val="18"/>
      <w:szCs w:val="24"/>
      <w:lang w:val="en-US" w:eastAsia="en-US" w:bidi="ar-SA"/>
    </w:rPr>
  </w:style>
  <w:style w:type="character" w:customStyle="1" w:styleId="Heading3Char">
    <w:name w:val="Heading 3 Char"/>
    <w:rPr>
      <w:rFonts w:ascii="Arial" w:hAnsi="Arial" w:cs="Arial"/>
      <w:b/>
      <w:bCs/>
      <w:sz w:val="26"/>
      <w:szCs w:val="26"/>
      <w:lang w:val="en-US" w:eastAsia="en-US" w:bidi="ar-SA"/>
    </w:rPr>
  </w:style>
  <w:style w:type="paragraph" w:customStyle="1" w:styleId="Caution">
    <w:name w:val="Caution"/>
    <w:basedOn w:val="Normal"/>
    <w:link w:val="CautionChar"/>
    <w:pPr>
      <w:pBdr>
        <w:top w:val="single" w:sz="4" w:space="6" w:color="auto"/>
        <w:left w:val="single" w:sz="4" w:space="4" w:color="auto"/>
        <w:bottom w:val="single" w:sz="4" w:space="6" w:color="auto"/>
        <w:right w:val="single" w:sz="4" w:space="0" w:color="auto"/>
      </w:pBdr>
      <w:spacing w:before="120" w:after="120"/>
    </w:pPr>
    <w:rPr>
      <w:i/>
      <w:iCs/>
      <w:sz w:val="22"/>
      <w:szCs w:val="20"/>
    </w:rPr>
  </w:style>
  <w:style w:type="character" w:customStyle="1" w:styleId="CautionChar">
    <w:name w:val="Caution Char"/>
    <w:link w:val="Caution"/>
    <w:rsid w:val="002E3C00"/>
    <w:rPr>
      <w:i/>
      <w:iCs/>
      <w:sz w:val="22"/>
      <w:lang w:val="en-US" w:eastAsia="en-US" w:bidi="ar-SA"/>
    </w:rPr>
  </w:style>
  <w:style w:type="paragraph" w:customStyle="1" w:styleId="TableTextBullet1">
    <w:name w:val="Table Text Bullet 1"/>
    <w:basedOn w:val="TableText"/>
    <w:pPr>
      <w:numPr>
        <w:numId w:val="6"/>
      </w:numPr>
    </w:pPr>
  </w:style>
  <w:style w:type="character" w:customStyle="1" w:styleId="CaptionChar1">
    <w:name w:val="Caption Char1"/>
    <w:link w:val="Caption"/>
    <w:rsid w:val="00453B6E"/>
    <w:rPr>
      <w:b/>
      <w:sz w:val="22"/>
      <w:szCs w:val="22"/>
      <w:lang w:val="en-US" w:eastAsia="en-US" w:bidi="ar-SA"/>
    </w:rPr>
  </w:style>
  <w:style w:type="paragraph" w:customStyle="1" w:styleId="StyleTableText9ptChar">
    <w:name w:val="Style Table Text + 9 pt Char"/>
    <w:basedOn w:val="TableText"/>
    <w:rsid w:val="00A906CD"/>
    <w:rPr>
      <w:color w:val="000000"/>
      <w:szCs w:val="18"/>
    </w:rPr>
  </w:style>
  <w:style w:type="character" w:customStyle="1" w:styleId="historydatafont1">
    <w:name w:val="historydatafont1"/>
    <w:rPr>
      <w:rFonts w:ascii="Arial" w:hAnsi="Arial" w:cs="Arial" w:hint="default"/>
      <w:color w:val="000000"/>
      <w:sz w:val="20"/>
      <w:szCs w:val="20"/>
    </w:rPr>
  </w:style>
  <w:style w:type="paragraph" w:customStyle="1" w:styleId="HeaderDocumentType">
    <w:name w:val="Header Document Type"/>
    <w:basedOn w:val="Normal"/>
    <w:pPr>
      <w:spacing w:after="120"/>
      <w:jc w:val="center"/>
    </w:pPr>
    <w:rPr>
      <w:szCs w:val="20"/>
    </w:rPr>
  </w:style>
  <w:style w:type="paragraph" w:customStyle="1" w:styleId="TableTextHeader">
    <w:name w:val="Table Text Header"/>
    <w:basedOn w:val="TableText"/>
    <w:pPr>
      <w:jc w:val="center"/>
    </w:pPr>
    <w:rPr>
      <w:b/>
      <w:color w:val="000000"/>
      <w:szCs w:val="20"/>
    </w:rPr>
  </w:style>
  <w:style w:type="paragraph" w:styleId="ListNumber">
    <w:name w:val="List Number"/>
    <w:basedOn w:val="Normal"/>
    <w:rsid w:val="006B270F"/>
    <w:rPr>
      <w:sz w:val="22"/>
      <w:szCs w:val="22"/>
    </w:rPr>
  </w:style>
  <w:style w:type="paragraph" w:styleId="ListNumber2">
    <w:name w:val="List Number 2"/>
    <w:basedOn w:val="Normal"/>
    <w:pPr>
      <w:numPr>
        <w:numId w:val="40"/>
      </w:numPr>
    </w:pPr>
    <w:rPr>
      <w:szCs w:val="20"/>
    </w:rPr>
  </w:style>
  <w:style w:type="paragraph" w:customStyle="1" w:styleId="Version">
    <w:name w:val="Version"/>
    <w:basedOn w:val="Normal"/>
    <w:next w:val="Normal"/>
    <w:pPr>
      <w:spacing w:after="480"/>
      <w:jc w:val="center"/>
    </w:pPr>
    <w:rPr>
      <w:b/>
      <w:szCs w:val="20"/>
    </w:rPr>
  </w:style>
  <w:style w:type="paragraph" w:customStyle="1" w:styleId="Part">
    <w:name w:val="Part"/>
    <w:basedOn w:val="Normal"/>
    <w:pPr>
      <w:pBdr>
        <w:top w:val="single" w:sz="4" w:space="1" w:color="auto"/>
      </w:pBdr>
      <w:ind w:left="720"/>
    </w:pPr>
    <w:rPr>
      <w:rFonts w:ascii="Symbol" w:hAnsi="Symbol"/>
      <w:b/>
      <w:color w:val="808080"/>
      <w:sz w:val="48"/>
      <w:szCs w:val="20"/>
    </w:rPr>
  </w:style>
  <w:style w:type="paragraph" w:customStyle="1" w:styleId="Style1">
    <w:name w:val="Style1"/>
    <w:basedOn w:val="Normal"/>
    <w:autoRedefine/>
    <w:rPr>
      <w:b/>
      <w:bCs/>
      <w:szCs w:val="20"/>
    </w:rPr>
  </w:style>
  <w:style w:type="paragraph" w:styleId="ListNumber3">
    <w:name w:val="List Number 3"/>
    <w:pPr>
      <w:tabs>
        <w:tab w:val="num" w:pos="1080"/>
      </w:tabs>
      <w:ind w:left="1080" w:hanging="360"/>
    </w:pPr>
    <w:rPr>
      <w:sz w:val="24"/>
    </w:rPr>
  </w:style>
  <w:style w:type="paragraph" w:customStyle="1" w:styleId="IOPTitle">
    <w:name w:val="IOP Title"/>
    <w:basedOn w:val="Normal"/>
    <w:autoRedefine/>
    <w:pPr>
      <w:jc w:val="right"/>
    </w:pPr>
    <w:rPr>
      <w:rFonts w:ascii="Symbol" w:hAnsi="Symbol"/>
      <w:b/>
      <w:sz w:val="28"/>
      <w:szCs w:val="20"/>
    </w:rPr>
  </w:style>
  <w:style w:type="paragraph" w:customStyle="1" w:styleId="Outline1">
    <w:name w:val="Outline 1"/>
    <w:basedOn w:val="Normal"/>
    <w:rPr>
      <w:szCs w:val="20"/>
    </w:rPr>
  </w:style>
  <w:style w:type="paragraph" w:customStyle="1" w:styleId="Outline3">
    <w:name w:val="Outline 3"/>
    <w:basedOn w:val="Normal"/>
    <w:rPr>
      <w:szCs w:val="20"/>
    </w:rPr>
  </w:style>
  <w:style w:type="paragraph" w:customStyle="1" w:styleId="InfoBlue">
    <w:name w:val="InfoBlue"/>
    <w:basedOn w:val="Normal"/>
    <w:next w:val="BodyText"/>
    <w:autoRedefine/>
    <w:pPr>
      <w:widowControl w:val="0"/>
      <w:spacing w:after="120" w:line="240" w:lineRule="atLeast"/>
    </w:pPr>
    <w:rPr>
      <w:i/>
      <w:color w:val="0000FF"/>
      <w:szCs w:val="20"/>
    </w:rPr>
  </w:style>
  <w:style w:type="paragraph" w:customStyle="1" w:styleId="Outline2">
    <w:name w:val="Outline 2"/>
    <w:basedOn w:val="Normal"/>
    <w:pPr>
      <w:tabs>
        <w:tab w:val="num" w:pos="720"/>
      </w:tabs>
      <w:ind w:left="720" w:hanging="360"/>
    </w:pPr>
    <w:rPr>
      <w:szCs w:val="20"/>
    </w:rPr>
  </w:style>
  <w:style w:type="paragraph" w:customStyle="1" w:styleId="Heading3Subsection">
    <w:name w:val="Heading 3 Subsection"/>
    <w:basedOn w:val="Outline1"/>
    <w:pPr>
      <w:tabs>
        <w:tab w:val="num" w:pos="720"/>
      </w:tabs>
      <w:spacing w:before="240" w:after="60"/>
      <w:ind w:left="1440" w:hanging="720"/>
    </w:pPr>
    <w:rPr>
      <w:rFonts w:ascii="Geneva" w:hAnsi="Geneva"/>
      <w:b/>
      <w:sz w:val="22"/>
    </w:rPr>
  </w:style>
  <w:style w:type="character" w:customStyle="1" w:styleId="DarleneBrill">
    <w:name w:val="Darlene Brill"/>
    <w:semiHidden/>
    <w:rPr>
      <w:rFonts w:ascii="Arial" w:hAnsi="Arial" w:cs="Arial"/>
      <w:color w:val="auto"/>
      <w:sz w:val="20"/>
      <w:szCs w:val="20"/>
    </w:rPr>
  </w:style>
  <w:style w:type="paragraph" w:customStyle="1" w:styleId="ListBulletLast">
    <w:name w:val="List Bullet Last"/>
    <w:basedOn w:val="ListBullet"/>
    <w:next w:val="BodyText"/>
    <w:pPr>
      <w:numPr>
        <w:numId w:val="0"/>
      </w:numPr>
      <w:tabs>
        <w:tab w:val="num" w:pos="1080"/>
      </w:tabs>
      <w:spacing w:after="120"/>
    </w:pPr>
  </w:style>
  <w:style w:type="paragraph" w:customStyle="1" w:styleId="NotesTextBullet">
    <w:name w:val="Notes Text Bullet"/>
    <w:basedOn w:val="TableTextBullet"/>
    <w:pPr>
      <w:numPr>
        <w:numId w:val="3"/>
      </w:numPr>
    </w:pPr>
  </w:style>
  <w:style w:type="paragraph" w:customStyle="1" w:styleId="NotesText">
    <w:name w:val="Notes Text"/>
    <w:basedOn w:val="TableText"/>
    <w:pPr>
      <w:ind w:left="720"/>
    </w:pPr>
  </w:style>
  <w:style w:type="paragraph" w:customStyle="1" w:styleId="TableTextNumbersContinued">
    <w:name w:val="Table Text Numbers Continued"/>
    <w:basedOn w:val="TableTextNumbers"/>
    <w:pPr>
      <w:numPr>
        <w:numId w:val="0"/>
      </w:numPr>
      <w:ind w:left="288"/>
    </w:pPr>
  </w:style>
  <w:style w:type="character" w:customStyle="1" w:styleId="TableTextNumbersContinuedChar1">
    <w:name w:val="Table Text Numbers Continued Char1"/>
    <w:rPr>
      <w:rFonts w:ascii="Arial" w:hAnsi="Arial"/>
      <w:sz w:val="18"/>
      <w:szCs w:val="24"/>
      <w:lang w:val="en-US" w:eastAsia="en-US" w:bidi="ar-SA"/>
    </w:rPr>
  </w:style>
  <w:style w:type="paragraph" w:customStyle="1" w:styleId="NotesTextBullet1">
    <w:name w:val="Notes Text Bullet 1"/>
    <w:basedOn w:val="TableTextBullet1"/>
    <w:pPr>
      <w:numPr>
        <w:numId w:val="5"/>
      </w:numPr>
    </w:pPr>
  </w:style>
  <w:style w:type="paragraph" w:styleId="BlockText">
    <w:name w:val="Block Text"/>
    <w:basedOn w:val="Normal"/>
    <w:pPr>
      <w:spacing w:after="120"/>
      <w:ind w:left="1440" w:right="1440"/>
    </w:pPr>
  </w:style>
  <w:style w:type="paragraph" w:customStyle="1" w:styleId="TableTextBullet2">
    <w:name w:val="Table Text Bullet 2"/>
    <w:pPr>
      <w:tabs>
        <w:tab w:val="num" w:pos="288"/>
      </w:tabs>
      <w:ind w:left="288" w:firstLine="288"/>
    </w:pPr>
    <w:rPr>
      <w:rFonts w:ascii="Arial" w:hAnsi="Arial"/>
      <w:sz w:val="18"/>
      <w:szCs w:val="18"/>
    </w:rPr>
  </w:style>
  <w:style w:type="character" w:customStyle="1" w:styleId="TableTextNumbersContinuedChar">
    <w:name w:val="Table Text Numbers Continued Char"/>
    <w:rPr>
      <w:rFonts w:ascii="Arial" w:hAnsi="Arial"/>
      <w:sz w:val="18"/>
      <w:szCs w:val="24"/>
      <w:lang w:val="en-US" w:eastAsia="en-US" w:bidi="ar-SA"/>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customStyle="1" w:styleId="TableTextNumbersBullet">
    <w:name w:val="Table Text Numbers Bullet"/>
    <w:basedOn w:val="TableTextNumbersContinued"/>
    <w:pPr>
      <w:numPr>
        <w:numId w:val="7"/>
      </w:numPr>
    </w:pPr>
  </w:style>
  <w:style w:type="paragraph" w:styleId="Title">
    <w:name w:val="Title"/>
    <w:basedOn w:val="Normal"/>
    <w:next w:val="Normal"/>
    <w:qFormat/>
    <w:pPr>
      <w:widowControl w:val="0"/>
      <w:jc w:val="center"/>
    </w:pPr>
    <w:rPr>
      <w:rFonts w:ascii="Arial" w:hAnsi="Arial"/>
      <w:b/>
      <w:sz w:val="36"/>
      <w:szCs w:val="20"/>
    </w:rPr>
  </w:style>
  <w:style w:type="paragraph" w:styleId="ListBullet3">
    <w:name w:val="List Bullet 3"/>
    <w:basedOn w:val="Normal"/>
    <w:pPr>
      <w:tabs>
        <w:tab w:val="num" w:pos="1080"/>
      </w:tabs>
      <w:ind w:left="1440" w:hanging="360"/>
    </w:pPr>
    <w:rPr>
      <w:sz w:val="22"/>
    </w:rPr>
  </w:style>
  <w:style w:type="character" w:customStyle="1" w:styleId="NotesTextChar4">
    <w:name w:val="Notes Text Char4"/>
    <w:rPr>
      <w:rFonts w:ascii="Arial" w:hAnsi="Arial"/>
      <w:sz w:val="18"/>
      <w:szCs w:val="24"/>
      <w:lang w:val="en-US" w:eastAsia="en-US" w:bidi="ar-SA"/>
    </w:rPr>
  </w:style>
  <w:style w:type="character" w:customStyle="1" w:styleId="TableTextChar2">
    <w:name w:val="Table Text Char2"/>
    <w:rPr>
      <w:rFonts w:ascii="Arial" w:hAnsi="Arial"/>
      <w:sz w:val="18"/>
      <w:szCs w:val="24"/>
      <w:lang w:val="en-US" w:eastAsia="en-US" w:bidi="ar-SA"/>
    </w:rPr>
  </w:style>
  <w:style w:type="character" w:customStyle="1" w:styleId="StyleTableText9ptCharChar">
    <w:name w:val="Style Table Text + 9 pt Char Char"/>
    <w:rsid w:val="007809C3"/>
    <w:rPr>
      <w:rFonts w:ascii="Arial" w:hAnsi="Arial"/>
      <w:noProof/>
      <w:color w:val="000000"/>
      <w:sz w:val="18"/>
      <w:szCs w:val="24"/>
      <w:lang w:val="en-US" w:eastAsia="en-US" w:bidi="ar-SA"/>
    </w:rPr>
  </w:style>
  <w:style w:type="character" w:customStyle="1" w:styleId="TableTextChar4">
    <w:name w:val="Table Text Char4"/>
    <w:rPr>
      <w:rFonts w:ascii="Arial" w:hAnsi="Arial"/>
      <w:sz w:val="18"/>
      <w:szCs w:val="24"/>
      <w:lang w:val="en-US" w:eastAsia="en-US" w:bidi="ar-SA"/>
    </w:rPr>
  </w:style>
  <w:style w:type="character" w:customStyle="1" w:styleId="TableTextBullet1Char">
    <w:name w:val="Table Text Bullet 1 Char"/>
    <w:rPr>
      <w:rFonts w:ascii="Arial" w:hAnsi="Arial"/>
      <w:color w:val="000000"/>
      <w:sz w:val="18"/>
      <w:szCs w:val="24"/>
      <w:lang w:val="en-US" w:eastAsia="en-US" w:bidi="ar-SA"/>
    </w:rPr>
  </w:style>
  <w:style w:type="character" w:customStyle="1" w:styleId="NotesTextBullet1Char">
    <w:name w:val="Notes Text Bullet 1 Char"/>
    <w:basedOn w:val="TableTextBullet1Char"/>
    <w:rPr>
      <w:rFonts w:ascii="Arial" w:hAnsi="Arial"/>
      <w:color w:val="000000"/>
      <w:sz w:val="18"/>
      <w:szCs w:val="24"/>
      <w:lang w:val="en-US" w:eastAsia="en-US" w:bidi="ar-SA"/>
    </w:rPr>
  </w:style>
  <w:style w:type="character" w:customStyle="1" w:styleId="ListBulletChar">
    <w:name w:val="List Bullet Char"/>
    <w:rPr>
      <w:spacing w:val="-5"/>
      <w:sz w:val="22"/>
      <w:szCs w:val="22"/>
      <w:lang w:val="en-US" w:eastAsia="en-US" w:bidi="ar-SA"/>
    </w:rPr>
  </w:style>
  <w:style w:type="paragraph" w:customStyle="1" w:styleId="Paragraph2">
    <w:name w:val="Paragraph2"/>
    <w:basedOn w:val="Normal"/>
    <w:autoRedefine/>
    <w:pPr>
      <w:spacing w:before="80"/>
    </w:pPr>
    <w:rPr>
      <w:color w:val="000000"/>
      <w:szCs w:val="20"/>
    </w:rPr>
  </w:style>
  <w:style w:type="character" w:customStyle="1" w:styleId="TableTextBulletChar">
    <w:name w:val="Table Text Bullet Char"/>
    <w:basedOn w:val="TableTextChar1"/>
    <w:rPr>
      <w:rFonts w:ascii="Arial" w:hAnsi="Arial"/>
      <w:sz w:val="18"/>
      <w:szCs w:val="24"/>
      <w:lang w:val="en-US" w:eastAsia="en-US" w:bidi="ar-SA"/>
    </w:rPr>
  </w:style>
  <w:style w:type="character" w:customStyle="1" w:styleId="TableTextNumbersChar1">
    <w:name w:val="Table Text Numbers Char1"/>
    <w:basedOn w:val="TableTextChar2"/>
    <w:rPr>
      <w:rFonts w:ascii="Arial" w:hAnsi="Arial"/>
      <w:sz w:val="18"/>
      <w:szCs w:val="24"/>
      <w:lang w:val="en-US" w:eastAsia="en-US" w:bidi="ar-SA"/>
    </w:rPr>
  </w:style>
  <w:style w:type="character" w:customStyle="1" w:styleId="Char3">
    <w:name w:val="Char3"/>
    <w:semiHidden/>
    <w:rPr>
      <w:rFonts w:ascii="Arial" w:hAnsi="Arial" w:cs="Arial"/>
      <w:b/>
      <w:bCs/>
      <w:sz w:val="26"/>
      <w:szCs w:val="26"/>
      <w:lang w:val="en-US" w:eastAsia="en-US" w:bidi="ar-SA"/>
    </w:rPr>
  </w:style>
  <w:style w:type="character" w:customStyle="1" w:styleId="TableTextChar">
    <w:name w:val="Table Text Char"/>
    <w:rPr>
      <w:rFonts w:ascii="Arial" w:hAnsi="Arial"/>
      <w:sz w:val="18"/>
      <w:szCs w:val="24"/>
      <w:lang w:val="en-US" w:eastAsia="en-US" w:bidi="ar-SA"/>
    </w:rPr>
  </w:style>
  <w:style w:type="character" w:customStyle="1" w:styleId="TableTextBulletChar2">
    <w:name w:val="Table Text Bullet Char2"/>
    <w:basedOn w:val="TableTextChar4"/>
    <w:rPr>
      <w:rFonts w:ascii="Arial" w:hAnsi="Arial"/>
      <w:sz w:val="18"/>
      <w:szCs w:val="24"/>
      <w:lang w:val="en-US" w:eastAsia="en-US" w:bidi="ar-SA"/>
    </w:rPr>
  </w:style>
  <w:style w:type="paragraph" w:customStyle="1" w:styleId="Bulletlistindented1">
    <w:name w:val="Bullet list indented1"/>
    <w:basedOn w:val="Normal"/>
    <w:autoRedefine/>
    <w:pPr>
      <w:tabs>
        <w:tab w:val="left" w:pos="1350"/>
        <w:tab w:val="num" w:pos="1440"/>
      </w:tabs>
      <w:ind w:left="1440" w:hanging="360"/>
    </w:pPr>
    <w:rPr>
      <w:rFonts w:ascii="Geneva" w:hAnsi="Geneva"/>
      <w:sz w:val="22"/>
      <w:szCs w:val="20"/>
    </w:rPr>
  </w:style>
  <w:style w:type="paragraph" w:customStyle="1" w:styleId="Tabletext0">
    <w:name w:val="Tabletext"/>
    <w:basedOn w:val="Normal"/>
    <w:pPr>
      <w:keepLines/>
      <w:widowControl w:val="0"/>
      <w:spacing w:after="120" w:line="240" w:lineRule="atLeast"/>
    </w:pPr>
    <w:rPr>
      <w:sz w:val="20"/>
      <w:szCs w:val="20"/>
    </w:rPr>
  </w:style>
  <w:style w:type="paragraph" w:styleId="NoteHeading">
    <w:name w:val="Note Heading"/>
    <w:basedOn w:val="Normal"/>
    <w:next w:val="Normal"/>
    <w:pPr>
      <w:widowControl w:val="0"/>
      <w:spacing w:line="240" w:lineRule="atLeast"/>
    </w:pPr>
    <w:rPr>
      <w:rFonts w:ascii="Arial" w:hAnsi="Arial"/>
      <w:b/>
      <w:szCs w:val="20"/>
    </w:rPr>
  </w:style>
  <w:style w:type="paragraph" w:customStyle="1" w:styleId="xl72">
    <w:name w:val="xl72"/>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pPr>
      <w:jc w:val="center"/>
    </w:pPr>
    <w:rPr>
      <w:rFonts w:ascii="Arial" w:hAnsi="Arial"/>
      <w:b/>
      <w:sz w:val="20"/>
    </w:rPr>
  </w:style>
  <w:style w:type="paragraph" w:customStyle="1" w:styleId="StyleTableTextNumbersWhite1">
    <w:name w:val="Style Table Text Numbers + White1"/>
    <w:basedOn w:val="TableTextNumbers"/>
    <w:link w:val="StyleTableTextNumbersWhite1Char"/>
    <w:rsid w:val="00B93B42"/>
    <w:rPr>
      <w:vanish/>
      <w:color w:val="FFFFFF"/>
      <w:szCs w:val="18"/>
    </w:rPr>
  </w:style>
  <w:style w:type="character" w:customStyle="1" w:styleId="StyleTableTextNumbersWhite1Char">
    <w:name w:val="Style Table Text Numbers + White1 Char"/>
    <w:link w:val="StyleTableTextNumbersWhite1"/>
    <w:rsid w:val="00B93B42"/>
    <w:rPr>
      <w:rFonts w:ascii="Arial" w:hAnsi="Arial"/>
      <w:vanish/>
      <w:color w:val="FFFFFF"/>
      <w:sz w:val="18"/>
      <w:szCs w:val="18"/>
    </w:rPr>
  </w:style>
  <w:style w:type="paragraph" w:styleId="BodyText3">
    <w:name w:val="Body Text 3"/>
    <w:basedOn w:val="Normal"/>
    <w:rPr>
      <w:strike/>
      <w:color w:val="999999"/>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Pr>
      <w:b/>
      <w:noProof w:val="0"/>
      <w:sz w:val="24"/>
      <w:szCs w:val="24"/>
      <w:lang w:val="en-US" w:eastAsia="en-US" w:bidi="ar-SA"/>
    </w:rPr>
  </w:style>
  <w:style w:type="character" w:customStyle="1" w:styleId="ListChar">
    <w:name w:val="List Char"/>
    <w:rPr>
      <w:noProof w:val="0"/>
      <w:sz w:val="24"/>
      <w:lang w:val="en-US" w:eastAsia="en-US" w:bidi="ar-SA"/>
    </w:rPr>
  </w:style>
  <w:style w:type="character" w:customStyle="1" w:styleId="TableTextChar3">
    <w:name w:val="Table Text Char3"/>
    <w:rPr>
      <w:rFonts w:ascii="Arial" w:hAnsi="Arial"/>
      <w:sz w:val="18"/>
      <w:szCs w:val="24"/>
      <w:lang w:val="en-US" w:eastAsia="en-US" w:bidi="ar-SA"/>
    </w:rPr>
  </w:style>
  <w:style w:type="paragraph" w:customStyle="1" w:styleId="ListRole">
    <w:name w:val="List Role"/>
    <w:basedOn w:val="BodyText"/>
    <w:pPr>
      <w:ind w:left="360"/>
    </w:pPr>
  </w:style>
  <w:style w:type="paragraph" w:customStyle="1" w:styleId="Roles">
    <w:name w:val="Roles"/>
    <w:basedOn w:val="BodyText"/>
    <w:link w:val="RolesChar1"/>
    <w:rsid w:val="00237C52"/>
    <w:pPr>
      <w:spacing w:before="0" w:after="0"/>
      <w:ind w:left="288"/>
    </w:pPr>
  </w:style>
  <w:style w:type="character" w:customStyle="1" w:styleId="RolesChar1">
    <w:name w:val="Roles Char1"/>
    <w:basedOn w:val="BodyTextChar"/>
    <w:link w:val="Roles"/>
    <w:rsid w:val="00237C52"/>
    <w:rPr>
      <w:sz w:val="22"/>
      <w:szCs w:val="22"/>
      <w:lang w:val="en-US" w:eastAsia="en-US" w:bidi="ar-SA"/>
    </w:rPr>
  </w:style>
  <w:style w:type="character" w:customStyle="1" w:styleId="RolesChar">
    <w:name w:val="Roles Char"/>
    <w:rPr>
      <w:sz w:val="22"/>
      <w:lang w:val="en-US" w:eastAsia="en-US" w:bidi="ar-SA"/>
    </w:rPr>
  </w:style>
  <w:style w:type="character" w:customStyle="1" w:styleId="TableTextChar5">
    <w:name w:val="Table Text Char5"/>
    <w:rPr>
      <w:rFonts w:ascii="Arial" w:hAnsi="Arial"/>
      <w:sz w:val="18"/>
      <w:szCs w:val="24"/>
      <w:lang w:val="en-US" w:eastAsia="en-US" w:bidi="ar-SA"/>
    </w:rPr>
  </w:style>
  <w:style w:type="character" w:customStyle="1" w:styleId="TableTextNumbersChar2">
    <w:name w:val="Table Text Numbers Char2"/>
    <w:basedOn w:val="TableTextChar5"/>
    <w:rPr>
      <w:rFonts w:ascii="Arial" w:hAnsi="Arial"/>
      <w:sz w:val="18"/>
      <w:szCs w:val="24"/>
      <w:lang w:val="en-US" w:eastAsia="en-US" w:bidi="ar-SA"/>
    </w:rPr>
  </w:style>
  <w:style w:type="paragraph" w:customStyle="1" w:styleId="StyleTableTextBlack">
    <w:name w:val="Style Table Text + Black"/>
    <w:basedOn w:val="TableText"/>
    <w:link w:val="StyleTableTextBlackChar"/>
    <w:rsid w:val="00584AF9"/>
    <w:rPr>
      <w:color w:val="000000"/>
    </w:rPr>
  </w:style>
  <w:style w:type="paragraph" w:customStyle="1" w:styleId="StyleTableTextNumbersWhite2">
    <w:name w:val="Style Table Text Numbers + White2"/>
    <w:basedOn w:val="TableTextNumbers"/>
    <w:link w:val="StyleTableTextNumbersWhite2Char"/>
    <w:rsid w:val="00912F51"/>
    <w:rPr>
      <w:vanish/>
      <w:color w:val="FFFFFF"/>
      <w:szCs w:val="18"/>
    </w:rPr>
  </w:style>
  <w:style w:type="character" w:customStyle="1" w:styleId="StyleTableTextNumbersWhite2Char">
    <w:name w:val="Style Table Text Numbers + White2 Char"/>
    <w:link w:val="StyleTableTextNumbersWhite2"/>
    <w:rsid w:val="00912F51"/>
    <w:rPr>
      <w:rFonts w:ascii="Arial" w:hAnsi="Arial"/>
      <w:vanish/>
      <w:color w:val="FFFFFF"/>
      <w:sz w:val="18"/>
      <w:szCs w:val="18"/>
    </w:rPr>
  </w:style>
  <w:style w:type="character" w:customStyle="1" w:styleId="StyleTableTextBlackChar">
    <w:name w:val="Style Table Text + Black Char"/>
    <w:link w:val="StyleTableTextBlack"/>
    <w:rsid w:val="00584AF9"/>
    <w:rPr>
      <w:rFonts w:ascii="Arial" w:hAnsi="Arial"/>
      <w:color w:val="000000"/>
      <w:sz w:val="18"/>
      <w:szCs w:val="24"/>
      <w:lang w:val="en-US" w:eastAsia="en-US" w:bidi="ar-SA"/>
    </w:rPr>
  </w:style>
  <w:style w:type="paragraph" w:customStyle="1" w:styleId="StyleBodyTextArial9ptBold">
    <w:name w:val="Style Body Text + Arial 9 pt Bold"/>
    <w:basedOn w:val="BodyText"/>
    <w:rsid w:val="00963F12"/>
    <w:pPr>
      <w:spacing w:before="0" w:after="0"/>
    </w:pPr>
    <w:rPr>
      <w:rFonts w:ascii="Arial" w:hAnsi="Arial"/>
      <w:b/>
      <w:bCs/>
      <w:sz w:val="18"/>
    </w:rPr>
  </w:style>
  <w:style w:type="paragraph" w:styleId="List2">
    <w:name w:val="List 2"/>
    <w:basedOn w:val="Normal"/>
    <w:rsid w:val="00FA7E65"/>
    <w:pPr>
      <w:ind w:left="720" w:hanging="360"/>
    </w:pPr>
  </w:style>
  <w:style w:type="paragraph" w:styleId="BodyTextIndent">
    <w:name w:val="Body Text Indent"/>
    <w:basedOn w:val="Normal"/>
    <w:rsid w:val="00FA7E65"/>
    <w:pPr>
      <w:spacing w:after="120"/>
      <w:ind w:left="360"/>
    </w:pPr>
  </w:style>
  <w:style w:type="paragraph" w:styleId="NormalWeb">
    <w:name w:val="Normal (Web)"/>
    <w:basedOn w:val="Normal"/>
    <w:uiPriority w:val="99"/>
    <w:rsid w:val="001D19BF"/>
    <w:pPr>
      <w:spacing w:before="100" w:beforeAutospacing="1" w:after="100" w:afterAutospacing="1"/>
    </w:pPr>
  </w:style>
  <w:style w:type="paragraph" w:customStyle="1" w:styleId="tabletext1">
    <w:name w:val="tabletext"/>
    <w:basedOn w:val="Normal"/>
    <w:rsid w:val="00194509"/>
    <w:rPr>
      <w:rFonts w:ascii="Arial" w:hAnsi="Arial" w:cs="Arial"/>
      <w:color w:val="000000"/>
      <w:sz w:val="18"/>
      <w:szCs w:val="18"/>
    </w:rPr>
  </w:style>
  <w:style w:type="paragraph" w:styleId="Index5">
    <w:name w:val="index 5"/>
    <w:basedOn w:val="Normal"/>
    <w:next w:val="Normal"/>
    <w:autoRedefine/>
    <w:semiHidden/>
    <w:rsid w:val="00E93F17"/>
    <w:pPr>
      <w:ind w:left="1200" w:hanging="240"/>
    </w:pPr>
    <w:rPr>
      <w:sz w:val="18"/>
      <w:szCs w:val="18"/>
    </w:rPr>
  </w:style>
  <w:style w:type="paragraph" w:styleId="Index6">
    <w:name w:val="index 6"/>
    <w:basedOn w:val="Normal"/>
    <w:next w:val="Normal"/>
    <w:autoRedefine/>
    <w:semiHidden/>
    <w:rsid w:val="00E93F17"/>
    <w:pPr>
      <w:ind w:left="1440" w:hanging="240"/>
    </w:pPr>
    <w:rPr>
      <w:sz w:val="18"/>
      <w:szCs w:val="18"/>
    </w:rPr>
  </w:style>
  <w:style w:type="paragraph" w:styleId="Index7">
    <w:name w:val="index 7"/>
    <w:basedOn w:val="Normal"/>
    <w:next w:val="Normal"/>
    <w:autoRedefine/>
    <w:semiHidden/>
    <w:rsid w:val="00E93F17"/>
    <w:pPr>
      <w:ind w:left="1680" w:hanging="240"/>
    </w:pPr>
    <w:rPr>
      <w:sz w:val="18"/>
      <w:szCs w:val="18"/>
    </w:rPr>
  </w:style>
  <w:style w:type="paragraph" w:styleId="Index8">
    <w:name w:val="index 8"/>
    <w:basedOn w:val="Normal"/>
    <w:next w:val="Normal"/>
    <w:autoRedefine/>
    <w:semiHidden/>
    <w:rsid w:val="00E93F17"/>
    <w:pPr>
      <w:ind w:left="1920" w:hanging="240"/>
    </w:pPr>
    <w:rPr>
      <w:sz w:val="18"/>
      <w:szCs w:val="18"/>
    </w:rPr>
  </w:style>
  <w:style w:type="paragraph" w:styleId="Index9">
    <w:name w:val="index 9"/>
    <w:basedOn w:val="Normal"/>
    <w:next w:val="Normal"/>
    <w:autoRedefine/>
    <w:semiHidden/>
    <w:rsid w:val="00E93F17"/>
    <w:pPr>
      <w:ind w:left="2160" w:hanging="240"/>
    </w:pPr>
    <w:rPr>
      <w:sz w:val="18"/>
      <w:szCs w:val="18"/>
    </w:rPr>
  </w:style>
  <w:style w:type="paragraph" w:styleId="IndexHeading">
    <w:name w:val="index heading"/>
    <w:basedOn w:val="Normal"/>
    <w:next w:val="Index1"/>
    <w:uiPriority w:val="99"/>
    <w:semiHidden/>
    <w:rsid w:val="00E93F17"/>
    <w:pPr>
      <w:spacing w:before="240" w:after="120"/>
      <w:jc w:val="center"/>
    </w:pPr>
    <w:rPr>
      <w:b/>
      <w:bCs/>
      <w:sz w:val="26"/>
      <w:szCs w:val="26"/>
    </w:rPr>
  </w:style>
  <w:style w:type="character" w:customStyle="1" w:styleId="VHAISHbrilld">
    <w:name w:val="VHAISHbrilld"/>
    <w:semiHidden/>
    <w:rsid w:val="00DE7D08"/>
    <w:rPr>
      <w:rFonts w:ascii="Arial" w:hAnsi="Arial" w:cs="Arial"/>
      <w:color w:val="auto"/>
      <w:sz w:val="20"/>
      <w:szCs w:val="20"/>
    </w:rPr>
  </w:style>
  <w:style w:type="character" w:customStyle="1" w:styleId="TableTextBulletChar1">
    <w:name w:val="Table Text Bullet Char1"/>
    <w:basedOn w:val="TableTextChar6"/>
    <w:link w:val="TableTextBullet"/>
    <w:rsid w:val="00CC50D7"/>
    <w:rPr>
      <w:rFonts w:ascii="Arial" w:hAnsi="Arial"/>
      <w:sz w:val="18"/>
      <w:szCs w:val="24"/>
      <w:lang w:val="en-US" w:eastAsia="en-US" w:bidi="ar-SA"/>
    </w:rPr>
  </w:style>
  <w:style w:type="character" w:customStyle="1" w:styleId="BodyTextChar1">
    <w:name w:val="Body Text Char1"/>
    <w:rsid w:val="00EE44F1"/>
    <w:rPr>
      <w:sz w:val="22"/>
      <w:szCs w:val="22"/>
      <w:lang w:val="en-US" w:eastAsia="en-US" w:bidi="ar-SA"/>
    </w:rPr>
  </w:style>
  <w:style w:type="character" w:customStyle="1" w:styleId="Heading3Char2">
    <w:name w:val="Heading 3 Char2"/>
    <w:rsid w:val="008A701E"/>
    <w:rPr>
      <w:rFonts w:ascii="Arial" w:hAnsi="Arial" w:cs="Arial"/>
      <w:b/>
      <w:bCs/>
      <w:sz w:val="26"/>
      <w:szCs w:val="26"/>
      <w:lang w:val="en-US" w:eastAsia="en-US" w:bidi="ar-SA"/>
    </w:rPr>
  </w:style>
  <w:style w:type="character" w:customStyle="1" w:styleId="CaptionChar2">
    <w:name w:val="Caption Char2"/>
    <w:rsid w:val="008A701E"/>
    <w:rPr>
      <w:b/>
      <w:sz w:val="22"/>
      <w:szCs w:val="22"/>
      <w:lang w:val="en-US" w:eastAsia="en-US" w:bidi="ar-SA"/>
    </w:rPr>
  </w:style>
  <w:style w:type="character" w:customStyle="1" w:styleId="CommentTextChar">
    <w:name w:val="Comment Text Char"/>
    <w:basedOn w:val="DefaultParagraphFont"/>
    <w:link w:val="CommentText"/>
    <w:uiPriority w:val="99"/>
    <w:rsid w:val="00E36CAB"/>
  </w:style>
  <w:style w:type="character" w:customStyle="1" w:styleId="TableTextCharChar">
    <w:name w:val="Table Text Char Char"/>
    <w:rsid w:val="00D32A05"/>
    <w:rPr>
      <w:rFonts w:ascii="Arial" w:hAnsi="Arial"/>
      <w:sz w:val="18"/>
      <w:szCs w:val="24"/>
      <w:lang w:val="en-US" w:eastAsia="en-US" w:bidi="ar-SA"/>
    </w:rPr>
  </w:style>
  <w:style w:type="paragraph" w:styleId="ListParagraph">
    <w:name w:val="List Paragraph"/>
    <w:basedOn w:val="Normal"/>
    <w:uiPriority w:val="34"/>
    <w:qFormat/>
    <w:rsid w:val="00C33E1D"/>
    <w:pPr>
      <w:spacing w:after="200" w:line="276" w:lineRule="auto"/>
      <w:ind w:left="720"/>
      <w:contextualSpacing/>
    </w:pPr>
    <w:rPr>
      <w:rFonts w:ascii="Calibri" w:eastAsia="Calibri" w:hAnsi="Calibri"/>
      <w:sz w:val="22"/>
      <w:szCs w:val="22"/>
    </w:rPr>
  </w:style>
  <w:style w:type="character" w:customStyle="1" w:styleId="FootnoteTextChar">
    <w:name w:val="Footnote Text Char"/>
    <w:basedOn w:val="DefaultParagraphFont"/>
    <w:link w:val="FootnoteText"/>
    <w:uiPriority w:val="99"/>
    <w:semiHidden/>
    <w:rsid w:val="00FC3B68"/>
  </w:style>
  <w:style w:type="character" w:customStyle="1" w:styleId="Heading2Char">
    <w:name w:val="Heading 2 Char"/>
    <w:aliases w:val="Heading for title Char,head 2 Char"/>
    <w:link w:val="Heading2"/>
    <w:rsid w:val="000F6EEA"/>
    <w:rPr>
      <w:rFonts w:ascii="Arial" w:hAnsi="Arial" w:cs="Arial"/>
      <w:b/>
      <w:bCs/>
      <w:i/>
      <w:iCs/>
      <w:sz w:val="28"/>
      <w:szCs w:val="28"/>
    </w:rPr>
  </w:style>
  <w:style w:type="paragraph" w:styleId="NoSpacing">
    <w:name w:val="No Spacing"/>
    <w:uiPriority w:val="1"/>
    <w:qFormat/>
    <w:rsid w:val="00280C3F"/>
    <w:rPr>
      <w:rFonts w:ascii="Calibri" w:eastAsia="Calibri" w:hAnsi="Calibri"/>
      <w:sz w:val="22"/>
      <w:szCs w:val="22"/>
    </w:rPr>
  </w:style>
  <w:style w:type="paragraph" w:styleId="HTMLPreformatted">
    <w:name w:val="HTML Preformatted"/>
    <w:basedOn w:val="Normal"/>
    <w:link w:val="HTMLPreformattedChar"/>
    <w:rsid w:val="00392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character" w:customStyle="1" w:styleId="HTMLPreformattedChar">
    <w:name w:val="HTML Preformatted Char"/>
    <w:link w:val="HTMLPreformatted"/>
    <w:rsid w:val="00392B0E"/>
    <w:rPr>
      <w:rFonts w:ascii="Courier New" w:hAnsi="Courier New"/>
    </w:rPr>
  </w:style>
  <w:style w:type="paragraph" w:customStyle="1" w:styleId="Substep01">
    <w:name w:val="Substep 01"/>
    <w:basedOn w:val="TableText"/>
    <w:rsid w:val="00DB1497"/>
    <w:pPr>
      <w:numPr>
        <w:numId w:val="44"/>
      </w:numPr>
      <w:jc w:val="right"/>
    </w:pPr>
    <w:rPr>
      <w:color w:val="000000"/>
      <w:szCs w:val="20"/>
    </w:rPr>
  </w:style>
  <w:style w:type="paragraph" w:customStyle="1" w:styleId="CellBodyLeft">
    <w:name w:val="CellBodyLeft"/>
    <w:basedOn w:val="Normal"/>
    <w:rsid w:val="00DC70D1"/>
    <w:pPr>
      <w:spacing w:before="60"/>
      <w:ind w:left="72"/>
    </w:pPr>
    <w:rPr>
      <w:rFonts w:ascii="Arial" w:hAnsi="Arial"/>
      <w:color w:val="000000"/>
      <w:sz w:val="16"/>
      <w:szCs w:val="20"/>
    </w:rPr>
  </w:style>
  <w:style w:type="paragraph" w:customStyle="1" w:styleId="CellBodyCenter">
    <w:name w:val="CellBodyCenter"/>
    <w:basedOn w:val="Normal"/>
    <w:rsid w:val="00DC70D1"/>
    <w:pPr>
      <w:keepLines/>
      <w:jc w:val="center"/>
    </w:pPr>
    <w:rPr>
      <w:rFonts w:ascii="Arial" w:hAnsi="Arial"/>
      <w:color w:val="000000"/>
      <w:sz w:val="16"/>
      <w:szCs w:val="20"/>
    </w:rPr>
  </w:style>
  <w:style w:type="paragraph" w:customStyle="1" w:styleId="Substep02">
    <w:name w:val="Substep 02"/>
    <w:basedOn w:val="Substep01"/>
    <w:rsid w:val="001809EC"/>
    <w:pPr>
      <w:numPr>
        <w:numId w:val="48"/>
      </w:numPr>
    </w:pPr>
  </w:style>
  <w:style w:type="paragraph" w:styleId="PlainText">
    <w:name w:val="Plain Text"/>
    <w:basedOn w:val="Normal"/>
    <w:link w:val="PlainTextChar"/>
    <w:uiPriority w:val="99"/>
    <w:unhideWhenUsed/>
    <w:rsid w:val="00D53DC3"/>
    <w:rPr>
      <w:rFonts w:ascii="Calibri" w:eastAsia="Calibri" w:hAnsi="Calibri"/>
      <w:sz w:val="22"/>
      <w:szCs w:val="21"/>
    </w:rPr>
  </w:style>
  <w:style w:type="character" w:customStyle="1" w:styleId="PlainTextChar">
    <w:name w:val="Plain Text Char"/>
    <w:link w:val="PlainText"/>
    <w:uiPriority w:val="99"/>
    <w:rsid w:val="00D53DC3"/>
    <w:rPr>
      <w:rFonts w:ascii="Calibri" w:eastAsia="Calibri" w:hAnsi="Calibri"/>
      <w:sz w:val="22"/>
      <w:szCs w:val="21"/>
    </w:rPr>
  </w:style>
  <w:style w:type="character" w:customStyle="1" w:styleId="FooterChar">
    <w:name w:val="Footer Char"/>
    <w:link w:val="Footer"/>
    <w:rsid w:val="00B752FE"/>
    <w:rPr>
      <w:sz w:val="24"/>
      <w:szCs w:val="24"/>
    </w:rPr>
  </w:style>
  <w:style w:type="paragraph" w:customStyle="1" w:styleId="TableText2">
    <w:name w:val="TableText"/>
    <w:rsid w:val="00FE0A8D"/>
    <w:rPr>
      <w:rFonts w:ascii="Arial" w:hAnsi="Arial"/>
      <w:noProof/>
      <w:sz w:val="18"/>
    </w:rPr>
  </w:style>
  <w:style w:type="character" w:styleId="UnresolvedMention">
    <w:name w:val="Unresolved Mention"/>
    <w:basedOn w:val="DefaultParagraphFont"/>
    <w:uiPriority w:val="99"/>
    <w:semiHidden/>
    <w:unhideWhenUsed/>
    <w:rsid w:val="00CC16EA"/>
    <w:rPr>
      <w:color w:val="808080"/>
      <w:shd w:val="clear" w:color="auto" w:fill="E6E6E6"/>
    </w:rPr>
  </w:style>
  <w:style w:type="character" w:customStyle="1" w:styleId="normaltextrun">
    <w:name w:val="normaltextrun"/>
    <w:basedOn w:val="DefaultParagraphFont"/>
    <w:rsid w:val="000E2F6A"/>
  </w:style>
  <w:style w:type="character" w:customStyle="1" w:styleId="ui-provider">
    <w:name w:val="ui-provider"/>
    <w:basedOn w:val="DefaultParagraphFont"/>
    <w:rsid w:val="004F6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468">
      <w:bodyDiv w:val="1"/>
      <w:marLeft w:val="0"/>
      <w:marRight w:val="0"/>
      <w:marTop w:val="0"/>
      <w:marBottom w:val="0"/>
      <w:divBdr>
        <w:top w:val="none" w:sz="0" w:space="0" w:color="auto"/>
        <w:left w:val="none" w:sz="0" w:space="0" w:color="auto"/>
        <w:bottom w:val="none" w:sz="0" w:space="0" w:color="auto"/>
        <w:right w:val="none" w:sz="0" w:space="0" w:color="auto"/>
      </w:divBdr>
    </w:div>
    <w:div w:id="31537333">
      <w:bodyDiv w:val="1"/>
      <w:marLeft w:val="0"/>
      <w:marRight w:val="0"/>
      <w:marTop w:val="0"/>
      <w:marBottom w:val="0"/>
      <w:divBdr>
        <w:top w:val="none" w:sz="0" w:space="0" w:color="auto"/>
        <w:left w:val="none" w:sz="0" w:space="0" w:color="auto"/>
        <w:bottom w:val="none" w:sz="0" w:space="0" w:color="auto"/>
        <w:right w:val="none" w:sz="0" w:space="0" w:color="auto"/>
      </w:divBdr>
    </w:div>
    <w:div w:id="100035678">
      <w:bodyDiv w:val="1"/>
      <w:marLeft w:val="0"/>
      <w:marRight w:val="0"/>
      <w:marTop w:val="0"/>
      <w:marBottom w:val="0"/>
      <w:divBdr>
        <w:top w:val="none" w:sz="0" w:space="0" w:color="auto"/>
        <w:left w:val="none" w:sz="0" w:space="0" w:color="auto"/>
        <w:bottom w:val="none" w:sz="0" w:space="0" w:color="auto"/>
        <w:right w:val="none" w:sz="0" w:space="0" w:color="auto"/>
      </w:divBdr>
    </w:div>
    <w:div w:id="131946998">
      <w:bodyDiv w:val="1"/>
      <w:marLeft w:val="0"/>
      <w:marRight w:val="0"/>
      <w:marTop w:val="0"/>
      <w:marBottom w:val="0"/>
      <w:divBdr>
        <w:top w:val="none" w:sz="0" w:space="0" w:color="auto"/>
        <w:left w:val="none" w:sz="0" w:space="0" w:color="auto"/>
        <w:bottom w:val="none" w:sz="0" w:space="0" w:color="auto"/>
        <w:right w:val="none" w:sz="0" w:space="0" w:color="auto"/>
      </w:divBdr>
    </w:div>
    <w:div w:id="157766379">
      <w:bodyDiv w:val="1"/>
      <w:marLeft w:val="0"/>
      <w:marRight w:val="0"/>
      <w:marTop w:val="0"/>
      <w:marBottom w:val="0"/>
      <w:divBdr>
        <w:top w:val="none" w:sz="0" w:space="0" w:color="auto"/>
        <w:left w:val="none" w:sz="0" w:space="0" w:color="auto"/>
        <w:bottom w:val="none" w:sz="0" w:space="0" w:color="auto"/>
        <w:right w:val="none" w:sz="0" w:space="0" w:color="auto"/>
      </w:divBdr>
    </w:div>
    <w:div w:id="161744170">
      <w:bodyDiv w:val="1"/>
      <w:marLeft w:val="0"/>
      <w:marRight w:val="0"/>
      <w:marTop w:val="0"/>
      <w:marBottom w:val="0"/>
      <w:divBdr>
        <w:top w:val="none" w:sz="0" w:space="0" w:color="auto"/>
        <w:left w:val="none" w:sz="0" w:space="0" w:color="auto"/>
        <w:bottom w:val="none" w:sz="0" w:space="0" w:color="auto"/>
        <w:right w:val="none" w:sz="0" w:space="0" w:color="auto"/>
      </w:divBdr>
    </w:div>
    <w:div w:id="270086669">
      <w:bodyDiv w:val="1"/>
      <w:marLeft w:val="0"/>
      <w:marRight w:val="0"/>
      <w:marTop w:val="0"/>
      <w:marBottom w:val="0"/>
      <w:divBdr>
        <w:top w:val="none" w:sz="0" w:space="0" w:color="auto"/>
        <w:left w:val="none" w:sz="0" w:space="0" w:color="auto"/>
        <w:bottom w:val="none" w:sz="0" w:space="0" w:color="auto"/>
        <w:right w:val="none" w:sz="0" w:space="0" w:color="auto"/>
      </w:divBdr>
    </w:div>
    <w:div w:id="345592832">
      <w:bodyDiv w:val="1"/>
      <w:marLeft w:val="0"/>
      <w:marRight w:val="0"/>
      <w:marTop w:val="0"/>
      <w:marBottom w:val="0"/>
      <w:divBdr>
        <w:top w:val="none" w:sz="0" w:space="0" w:color="auto"/>
        <w:left w:val="none" w:sz="0" w:space="0" w:color="auto"/>
        <w:bottom w:val="none" w:sz="0" w:space="0" w:color="auto"/>
        <w:right w:val="none" w:sz="0" w:space="0" w:color="auto"/>
      </w:divBdr>
    </w:div>
    <w:div w:id="418140494">
      <w:bodyDiv w:val="1"/>
      <w:marLeft w:val="0"/>
      <w:marRight w:val="0"/>
      <w:marTop w:val="0"/>
      <w:marBottom w:val="0"/>
      <w:divBdr>
        <w:top w:val="none" w:sz="0" w:space="0" w:color="auto"/>
        <w:left w:val="none" w:sz="0" w:space="0" w:color="auto"/>
        <w:bottom w:val="none" w:sz="0" w:space="0" w:color="auto"/>
        <w:right w:val="none" w:sz="0" w:space="0" w:color="auto"/>
      </w:divBdr>
    </w:div>
    <w:div w:id="435910963">
      <w:bodyDiv w:val="1"/>
      <w:marLeft w:val="0"/>
      <w:marRight w:val="0"/>
      <w:marTop w:val="0"/>
      <w:marBottom w:val="0"/>
      <w:divBdr>
        <w:top w:val="none" w:sz="0" w:space="0" w:color="auto"/>
        <w:left w:val="none" w:sz="0" w:space="0" w:color="auto"/>
        <w:bottom w:val="none" w:sz="0" w:space="0" w:color="auto"/>
        <w:right w:val="none" w:sz="0" w:space="0" w:color="auto"/>
      </w:divBdr>
    </w:div>
    <w:div w:id="452335249">
      <w:bodyDiv w:val="1"/>
      <w:marLeft w:val="0"/>
      <w:marRight w:val="0"/>
      <w:marTop w:val="0"/>
      <w:marBottom w:val="0"/>
      <w:divBdr>
        <w:top w:val="none" w:sz="0" w:space="0" w:color="auto"/>
        <w:left w:val="none" w:sz="0" w:space="0" w:color="auto"/>
        <w:bottom w:val="none" w:sz="0" w:space="0" w:color="auto"/>
        <w:right w:val="none" w:sz="0" w:space="0" w:color="auto"/>
      </w:divBdr>
    </w:div>
    <w:div w:id="470564108">
      <w:bodyDiv w:val="1"/>
      <w:marLeft w:val="0"/>
      <w:marRight w:val="0"/>
      <w:marTop w:val="0"/>
      <w:marBottom w:val="0"/>
      <w:divBdr>
        <w:top w:val="none" w:sz="0" w:space="0" w:color="auto"/>
        <w:left w:val="none" w:sz="0" w:space="0" w:color="auto"/>
        <w:bottom w:val="none" w:sz="0" w:space="0" w:color="auto"/>
        <w:right w:val="none" w:sz="0" w:space="0" w:color="auto"/>
      </w:divBdr>
    </w:div>
    <w:div w:id="532160172">
      <w:bodyDiv w:val="1"/>
      <w:marLeft w:val="0"/>
      <w:marRight w:val="0"/>
      <w:marTop w:val="0"/>
      <w:marBottom w:val="0"/>
      <w:divBdr>
        <w:top w:val="none" w:sz="0" w:space="0" w:color="auto"/>
        <w:left w:val="none" w:sz="0" w:space="0" w:color="auto"/>
        <w:bottom w:val="none" w:sz="0" w:space="0" w:color="auto"/>
        <w:right w:val="none" w:sz="0" w:space="0" w:color="auto"/>
      </w:divBdr>
    </w:div>
    <w:div w:id="600920004">
      <w:bodyDiv w:val="1"/>
      <w:marLeft w:val="0"/>
      <w:marRight w:val="0"/>
      <w:marTop w:val="0"/>
      <w:marBottom w:val="0"/>
      <w:divBdr>
        <w:top w:val="none" w:sz="0" w:space="0" w:color="auto"/>
        <w:left w:val="none" w:sz="0" w:space="0" w:color="auto"/>
        <w:bottom w:val="none" w:sz="0" w:space="0" w:color="auto"/>
        <w:right w:val="none" w:sz="0" w:space="0" w:color="auto"/>
      </w:divBdr>
    </w:div>
    <w:div w:id="641808994">
      <w:bodyDiv w:val="1"/>
      <w:marLeft w:val="0"/>
      <w:marRight w:val="0"/>
      <w:marTop w:val="0"/>
      <w:marBottom w:val="0"/>
      <w:divBdr>
        <w:top w:val="none" w:sz="0" w:space="0" w:color="auto"/>
        <w:left w:val="none" w:sz="0" w:space="0" w:color="auto"/>
        <w:bottom w:val="none" w:sz="0" w:space="0" w:color="auto"/>
        <w:right w:val="none" w:sz="0" w:space="0" w:color="auto"/>
      </w:divBdr>
    </w:div>
    <w:div w:id="688482817">
      <w:bodyDiv w:val="1"/>
      <w:marLeft w:val="0"/>
      <w:marRight w:val="0"/>
      <w:marTop w:val="0"/>
      <w:marBottom w:val="0"/>
      <w:divBdr>
        <w:top w:val="none" w:sz="0" w:space="0" w:color="auto"/>
        <w:left w:val="none" w:sz="0" w:space="0" w:color="auto"/>
        <w:bottom w:val="none" w:sz="0" w:space="0" w:color="auto"/>
        <w:right w:val="none" w:sz="0" w:space="0" w:color="auto"/>
      </w:divBdr>
    </w:div>
    <w:div w:id="737703322">
      <w:bodyDiv w:val="1"/>
      <w:marLeft w:val="0"/>
      <w:marRight w:val="0"/>
      <w:marTop w:val="0"/>
      <w:marBottom w:val="0"/>
      <w:divBdr>
        <w:top w:val="none" w:sz="0" w:space="0" w:color="auto"/>
        <w:left w:val="none" w:sz="0" w:space="0" w:color="auto"/>
        <w:bottom w:val="none" w:sz="0" w:space="0" w:color="auto"/>
        <w:right w:val="none" w:sz="0" w:space="0" w:color="auto"/>
      </w:divBdr>
    </w:div>
    <w:div w:id="743725817">
      <w:bodyDiv w:val="1"/>
      <w:marLeft w:val="0"/>
      <w:marRight w:val="0"/>
      <w:marTop w:val="0"/>
      <w:marBottom w:val="0"/>
      <w:divBdr>
        <w:top w:val="none" w:sz="0" w:space="0" w:color="auto"/>
        <w:left w:val="none" w:sz="0" w:space="0" w:color="auto"/>
        <w:bottom w:val="none" w:sz="0" w:space="0" w:color="auto"/>
        <w:right w:val="none" w:sz="0" w:space="0" w:color="auto"/>
      </w:divBdr>
      <w:divsChild>
        <w:div w:id="1759789068">
          <w:marLeft w:val="0"/>
          <w:marRight w:val="0"/>
          <w:marTop w:val="0"/>
          <w:marBottom w:val="0"/>
          <w:divBdr>
            <w:top w:val="none" w:sz="0" w:space="0" w:color="auto"/>
            <w:left w:val="none" w:sz="0" w:space="0" w:color="auto"/>
            <w:bottom w:val="none" w:sz="0" w:space="0" w:color="auto"/>
            <w:right w:val="none" w:sz="0" w:space="0" w:color="auto"/>
          </w:divBdr>
        </w:div>
      </w:divsChild>
    </w:div>
    <w:div w:id="762922628">
      <w:bodyDiv w:val="1"/>
      <w:marLeft w:val="0"/>
      <w:marRight w:val="0"/>
      <w:marTop w:val="0"/>
      <w:marBottom w:val="0"/>
      <w:divBdr>
        <w:top w:val="none" w:sz="0" w:space="0" w:color="auto"/>
        <w:left w:val="none" w:sz="0" w:space="0" w:color="auto"/>
        <w:bottom w:val="none" w:sz="0" w:space="0" w:color="auto"/>
        <w:right w:val="none" w:sz="0" w:space="0" w:color="auto"/>
      </w:divBdr>
    </w:div>
    <w:div w:id="793910605">
      <w:bodyDiv w:val="1"/>
      <w:marLeft w:val="0"/>
      <w:marRight w:val="0"/>
      <w:marTop w:val="0"/>
      <w:marBottom w:val="0"/>
      <w:divBdr>
        <w:top w:val="none" w:sz="0" w:space="0" w:color="auto"/>
        <w:left w:val="none" w:sz="0" w:space="0" w:color="auto"/>
        <w:bottom w:val="none" w:sz="0" w:space="0" w:color="auto"/>
        <w:right w:val="none" w:sz="0" w:space="0" w:color="auto"/>
      </w:divBdr>
    </w:div>
    <w:div w:id="808742579">
      <w:bodyDiv w:val="1"/>
      <w:marLeft w:val="0"/>
      <w:marRight w:val="0"/>
      <w:marTop w:val="0"/>
      <w:marBottom w:val="0"/>
      <w:divBdr>
        <w:top w:val="none" w:sz="0" w:space="0" w:color="auto"/>
        <w:left w:val="none" w:sz="0" w:space="0" w:color="auto"/>
        <w:bottom w:val="none" w:sz="0" w:space="0" w:color="auto"/>
        <w:right w:val="none" w:sz="0" w:space="0" w:color="auto"/>
      </w:divBdr>
    </w:div>
    <w:div w:id="812596459">
      <w:bodyDiv w:val="1"/>
      <w:marLeft w:val="0"/>
      <w:marRight w:val="0"/>
      <w:marTop w:val="0"/>
      <w:marBottom w:val="0"/>
      <w:divBdr>
        <w:top w:val="none" w:sz="0" w:space="0" w:color="auto"/>
        <w:left w:val="none" w:sz="0" w:space="0" w:color="auto"/>
        <w:bottom w:val="none" w:sz="0" w:space="0" w:color="auto"/>
        <w:right w:val="none" w:sz="0" w:space="0" w:color="auto"/>
      </w:divBdr>
    </w:div>
    <w:div w:id="812789749">
      <w:bodyDiv w:val="1"/>
      <w:marLeft w:val="30"/>
      <w:marRight w:val="30"/>
      <w:marTop w:val="0"/>
      <w:marBottom w:val="0"/>
      <w:divBdr>
        <w:top w:val="none" w:sz="0" w:space="0" w:color="auto"/>
        <w:left w:val="none" w:sz="0" w:space="0" w:color="auto"/>
        <w:bottom w:val="none" w:sz="0" w:space="0" w:color="auto"/>
        <w:right w:val="none" w:sz="0" w:space="0" w:color="auto"/>
      </w:divBdr>
      <w:divsChild>
        <w:div w:id="632369473">
          <w:marLeft w:val="0"/>
          <w:marRight w:val="0"/>
          <w:marTop w:val="0"/>
          <w:marBottom w:val="0"/>
          <w:divBdr>
            <w:top w:val="none" w:sz="0" w:space="0" w:color="auto"/>
            <w:left w:val="none" w:sz="0" w:space="0" w:color="auto"/>
            <w:bottom w:val="none" w:sz="0" w:space="0" w:color="auto"/>
            <w:right w:val="none" w:sz="0" w:space="0" w:color="auto"/>
          </w:divBdr>
          <w:divsChild>
            <w:div w:id="1539126824">
              <w:marLeft w:val="0"/>
              <w:marRight w:val="0"/>
              <w:marTop w:val="0"/>
              <w:marBottom w:val="0"/>
              <w:divBdr>
                <w:top w:val="none" w:sz="0" w:space="0" w:color="auto"/>
                <w:left w:val="none" w:sz="0" w:space="0" w:color="auto"/>
                <w:bottom w:val="none" w:sz="0" w:space="0" w:color="auto"/>
                <w:right w:val="none" w:sz="0" w:space="0" w:color="auto"/>
              </w:divBdr>
              <w:divsChild>
                <w:div w:id="1736971308">
                  <w:marLeft w:val="180"/>
                  <w:marRight w:val="0"/>
                  <w:marTop w:val="0"/>
                  <w:marBottom w:val="0"/>
                  <w:divBdr>
                    <w:top w:val="none" w:sz="0" w:space="0" w:color="auto"/>
                    <w:left w:val="none" w:sz="0" w:space="0" w:color="auto"/>
                    <w:bottom w:val="none" w:sz="0" w:space="0" w:color="auto"/>
                    <w:right w:val="none" w:sz="0" w:space="0" w:color="auto"/>
                  </w:divBdr>
                  <w:divsChild>
                    <w:div w:id="20246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40086">
      <w:bodyDiv w:val="1"/>
      <w:marLeft w:val="0"/>
      <w:marRight w:val="0"/>
      <w:marTop w:val="0"/>
      <w:marBottom w:val="0"/>
      <w:divBdr>
        <w:top w:val="none" w:sz="0" w:space="0" w:color="auto"/>
        <w:left w:val="none" w:sz="0" w:space="0" w:color="auto"/>
        <w:bottom w:val="none" w:sz="0" w:space="0" w:color="auto"/>
        <w:right w:val="none" w:sz="0" w:space="0" w:color="auto"/>
      </w:divBdr>
      <w:divsChild>
        <w:div w:id="1176388080">
          <w:marLeft w:val="0"/>
          <w:marRight w:val="0"/>
          <w:marTop w:val="0"/>
          <w:marBottom w:val="0"/>
          <w:divBdr>
            <w:top w:val="none" w:sz="0" w:space="0" w:color="auto"/>
            <w:left w:val="none" w:sz="0" w:space="0" w:color="auto"/>
            <w:bottom w:val="none" w:sz="0" w:space="0" w:color="auto"/>
            <w:right w:val="none" w:sz="0" w:space="0" w:color="auto"/>
          </w:divBdr>
          <w:divsChild>
            <w:div w:id="1006859337">
              <w:marLeft w:val="0"/>
              <w:marRight w:val="0"/>
              <w:marTop w:val="0"/>
              <w:marBottom w:val="0"/>
              <w:divBdr>
                <w:top w:val="none" w:sz="0" w:space="0" w:color="auto"/>
                <w:left w:val="none" w:sz="0" w:space="0" w:color="auto"/>
                <w:bottom w:val="none" w:sz="0" w:space="0" w:color="auto"/>
                <w:right w:val="none" w:sz="0" w:space="0" w:color="auto"/>
              </w:divBdr>
              <w:divsChild>
                <w:div w:id="1723211576">
                  <w:marLeft w:val="2928"/>
                  <w:marRight w:val="0"/>
                  <w:marTop w:val="720"/>
                  <w:marBottom w:val="0"/>
                  <w:divBdr>
                    <w:top w:val="none" w:sz="0" w:space="0" w:color="auto"/>
                    <w:left w:val="none" w:sz="0" w:space="0" w:color="auto"/>
                    <w:bottom w:val="none" w:sz="0" w:space="0" w:color="auto"/>
                    <w:right w:val="none" w:sz="0" w:space="0" w:color="auto"/>
                  </w:divBdr>
                  <w:divsChild>
                    <w:div w:id="9850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009825">
      <w:bodyDiv w:val="1"/>
      <w:marLeft w:val="0"/>
      <w:marRight w:val="0"/>
      <w:marTop w:val="0"/>
      <w:marBottom w:val="0"/>
      <w:divBdr>
        <w:top w:val="none" w:sz="0" w:space="0" w:color="auto"/>
        <w:left w:val="none" w:sz="0" w:space="0" w:color="auto"/>
        <w:bottom w:val="none" w:sz="0" w:space="0" w:color="auto"/>
        <w:right w:val="none" w:sz="0" w:space="0" w:color="auto"/>
      </w:divBdr>
    </w:div>
    <w:div w:id="915360084">
      <w:bodyDiv w:val="1"/>
      <w:marLeft w:val="0"/>
      <w:marRight w:val="0"/>
      <w:marTop w:val="0"/>
      <w:marBottom w:val="0"/>
      <w:divBdr>
        <w:top w:val="none" w:sz="0" w:space="0" w:color="auto"/>
        <w:left w:val="none" w:sz="0" w:space="0" w:color="auto"/>
        <w:bottom w:val="none" w:sz="0" w:space="0" w:color="auto"/>
        <w:right w:val="none" w:sz="0" w:space="0" w:color="auto"/>
      </w:divBdr>
    </w:div>
    <w:div w:id="1026836370">
      <w:bodyDiv w:val="1"/>
      <w:marLeft w:val="0"/>
      <w:marRight w:val="0"/>
      <w:marTop w:val="0"/>
      <w:marBottom w:val="0"/>
      <w:divBdr>
        <w:top w:val="none" w:sz="0" w:space="0" w:color="auto"/>
        <w:left w:val="none" w:sz="0" w:space="0" w:color="auto"/>
        <w:bottom w:val="none" w:sz="0" w:space="0" w:color="auto"/>
        <w:right w:val="none" w:sz="0" w:space="0" w:color="auto"/>
      </w:divBdr>
    </w:div>
    <w:div w:id="1038776044">
      <w:bodyDiv w:val="1"/>
      <w:marLeft w:val="0"/>
      <w:marRight w:val="0"/>
      <w:marTop w:val="0"/>
      <w:marBottom w:val="0"/>
      <w:divBdr>
        <w:top w:val="none" w:sz="0" w:space="0" w:color="auto"/>
        <w:left w:val="none" w:sz="0" w:space="0" w:color="auto"/>
        <w:bottom w:val="none" w:sz="0" w:space="0" w:color="auto"/>
        <w:right w:val="none" w:sz="0" w:space="0" w:color="auto"/>
      </w:divBdr>
    </w:div>
    <w:div w:id="1069226113">
      <w:bodyDiv w:val="1"/>
      <w:marLeft w:val="0"/>
      <w:marRight w:val="0"/>
      <w:marTop w:val="0"/>
      <w:marBottom w:val="0"/>
      <w:divBdr>
        <w:top w:val="none" w:sz="0" w:space="0" w:color="auto"/>
        <w:left w:val="none" w:sz="0" w:space="0" w:color="auto"/>
        <w:bottom w:val="none" w:sz="0" w:space="0" w:color="auto"/>
        <w:right w:val="none" w:sz="0" w:space="0" w:color="auto"/>
      </w:divBdr>
    </w:div>
    <w:div w:id="1085225097">
      <w:bodyDiv w:val="1"/>
      <w:marLeft w:val="0"/>
      <w:marRight w:val="0"/>
      <w:marTop w:val="0"/>
      <w:marBottom w:val="0"/>
      <w:divBdr>
        <w:top w:val="none" w:sz="0" w:space="0" w:color="auto"/>
        <w:left w:val="none" w:sz="0" w:space="0" w:color="auto"/>
        <w:bottom w:val="none" w:sz="0" w:space="0" w:color="auto"/>
        <w:right w:val="none" w:sz="0" w:space="0" w:color="auto"/>
      </w:divBdr>
    </w:div>
    <w:div w:id="1109079848">
      <w:bodyDiv w:val="1"/>
      <w:marLeft w:val="0"/>
      <w:marRight w:val="0"/>
      <w:marTop w:val="0"/>
      <w:marBottom w:val="0"/>
      <w:divBdr>
        <w:top w:val="none" w:sz="0" w:space="0" w:color="auto"/>
        <w:left w:val="none" w:sz="0" w:space="0" w:color="auto"/>
        <w:bottom w:val="none" w:sz="0" w:space="0" w:color="auto"/>
        <w:right w:val="none" w:sz="0" w:space="0" w:color="auto"/>
      </w:divBdr>
    </w:div>
    <w:div w:id="1123816073">
      <w:bodyDiv w:val="1"/>
      <w:marLeft w:val="0"/>
      <w:marRight w:val="0"/>
      <w:marTop w:val="0"/>
      <w:marBottom w:val="0"/>
      <w:divBdr>
        <w:top w:val="none" w:sz="0" w:space="0" w:color="auto"/>
        <w:left w:val="none" w:sz="0" w:space="0" w:color="auto"/>
        <w:bottom w:val="none" w:sz="0" w:space="0" w:color="auto"/>
        <w:right w:val="none" w:sz="0" w:space="0" w:color="auto"/>
      </w:divBdr>
    </w:div>
    <w:div w:id="1155805781">
      <w:bodyDiv w:val="1"/>
      <w:marLeft w:val="0"/>
      <w:marRight w:val="0"/>
      <w:marTop w:val="0"/>
      <w:marBottom w:val="0"/>
      <w:divBdr>
        <w:top w:val="none" w:sz="0" w:space="0" w:color="auto"/>
        <w:left w:val="none" w:sz="0" w:space="0" w:color="auto"/>
        <w:bottom w:val="none" w:sz="0" w:space="0" w:color="auto"/>
        <w:right w:val="none" w:sz="0" w:space="0" w:color="auto"/>
      </w:divBdr>
    </w:div>
    <w:div w:id="1168979066">
      <w:bodyDiv w:val="1"/>
      <w:marLeft w:val="0"/>
      <w:marRight w:val="0"/>
      <w:marTop w:val="0"/>
      <w:marBottom w:val="0"/>
      <w:divBdr>
        <w:top w:val="none" w:sz="0" w:space="0" w:color="auto"/>
        <w:left w:val="none" w:sz="0" w:space="0" w:color="auto"/>
        <w:bottom w:val="none" w:sz="0" w:space="0" w:color="auto"/>
        <w:right w:val="none" w:sz="0" w:space="0" w:color="auto"/>
      </w:divBdr>
    </w:div>
    <w:div w:id="1189104560">
      <w:bodyDiv w:val="1"/>
      <w:marLeft w:val="0"/>
      <w:marRight w:val="0"/>
      <w:marTop w:val="0"/>
      <w:marBottom w:val="0"/>
      <w:divBdr>
        <w:top w:val="none" w:sz="0" w:space="0" w:color="auto"/>
        <w:left w:val="none" w:sz="0" w:space="0" w:color="auto"/>
        <w:bottom w:val="none" w:sz="0" w:space="0" w:color="auto"/>
        <w:right w:val="none" w:sz="0" w:space="0" w:color="auto"/>
      </w:divBdr>
    </w:div>
    <w:div w:id="1195194650">
      <w:bodyDiv w:val="1"/>
      <w:marLeft w:val="0"/>
      <w:marRight w:val="0"/>
      <w:marTop w:val="0"/>
      <w:marBottom w:val="0"/>
      <w:divBdr>
        <w:top w:val="none" w:sz="0" w:space="0" w:color="auto"/>
        <w:left w:val="none" w:sz="0" w:space="0" w:color="auto"/>
        <w:bottom w:val="none" w:sz="0" w:space="0" w:color="auto"/>
        <w:right w:val="none" w:sz="0" w:space="0" w:color="auto"/>
      </w:divBdr>
    </w:div>
    <w:div w:id="1200625548">
      <w:bodyDiv w:val="1"/>
      <w:marLeft w:val="0"/>
      <w:marRight w:val="0"/>
      <w:marTop w:val="0"/>
      <w:marBottom w:val="0"/>
      <w:divBdr>
        <w:top w:val="none" w:sz="0" w:space="0" w:color="auto"/>
        <w:left w:val="none" w:sz="0" w:space="0" w:color="auto"/>
        <w:bottom w:val="none" w:sz="0" w:space="0" w:color="auto"/>
        <w:right w:val="none" w:sz="0" w:space="0" w:color="auto"/>
      </w:divBdr>
    </w:div>
    <w:div w:id="1223449721">
      <w:bodyDiv w:val="1"/>
      <w:marLeft w:val="0"/>
      <w:marRight w:val="0"/>
      <w:marTop w:val="0"/>
      <w:marBottom w:val="0"/>
      <w:divBdr>
        <w:top w:val="none" w:sz="0" w:space="0" w:color="auto"/>
        <w:left w:val="none" w:sz="0" w:space="0" w:color="auto"/>
        <w:bottom w:val="none" w:sz="0" w:space="0" w:color="auto"/>
        <w:right w:val="none" w:sz="0" w:space="0" w:color="auto"/>
      </w:divBdr>
    </w:div>
    <w:div w:id="1241870287">
      <w:bodyDiv w:val="1"/>
      <w:marLeft w:val="0"/>
      <w:marRight w:val="0"/>
      <w:marTop w:val="0"/>
      <w:marBottom w:val="0"/>
      <w:divBdr>
        <w:top w:val="none" w:sz="0" w:space="0" w:color="auto"/>
        <w:left w:val="none" w:sz="0" w:space="0" w:color="auto"/>
        <w:bottom w:val="none" w:sz="0" w:space="0" w:color="auto"/>
        <w:right w:val="none" w:sz="0" w:space="0" w:color="auto"/>
      </w:divBdr>
    </w:div>
    <w:div w:id="1283146152">
      <w:bodyDiv w:val="1"/>
      <w:marLeft w:val="0"/>
      <w:marRight w:val="0"/>
      <w:marTop w:val="0"/>
      <w:marBottom w:val="0"/>
      <w:divBdr>
        <w:top w:val="none" w:sz="0" w:space="0" w:color="auto"/>
        <w:left w:val="none" w:sz="0" w:space="0" w:color="auto"/>
        <w:bottom w:val="none" w:sz="0" w:space="0" w:color="auto"/>
        <w:right w:val="none" w:sz="0" w:space="0" w:color="auto"/>
      </w:divBdr>
    </w:div>
    <w:div w:id="1394157505">
      <w:bodyDiv w:val="1"/>
      <w:marLeft w:val="30"/>
      <w:marRight w:val="30"/>
      <w:marTop w:val="0"/>
      <w:marBottom w:val="0"/>
      <w:divBdr>
        <w:top w:val="none" w:sz="0" w:space="0" w:color="auto"/>
        <w:left w:val="none" w:sz="0" w:space="0" w:color="auto"/>
        <w:bottom w:val="none" w:sz="0" w:space="0" w:color="auto"/>
        <w:right w:val="none" w:sz="0" w:space="0" w:color="auto"/>
      </w:divBdr>
      <w:divsChild>
        <w:div w:id="829906142">
          <w:marLeft w:val="0"/>
          <w:marRight w:val="0"/>
          <w:marTop w:val="0"/>
          <w:marBottom w:val="0"/>
          <w:divBdr>
            <w:top w:val="none" w:sz="0" w:space="0" w:color="auto"/>
            <w:left w:val="none" w:sz="0" w:space="0" w:color="auto"/>
            <w:bottom w:val="none" w:sz="0" w:space="0" w:color="auto"/>
            <w:right w:val="none" w:sz="0" w:space="0" w:color="auto"/>
          </w:divBdr>
          <w:divsChild>
            <w:div w:id="2076706731">
              <w:marLeft w:val="0"/>
              <w:marRight w:val="0"/>
              <w:marTop w:val="0"/>
              <w:marBottom w:val="0"/>
              <w:divBdr>
                <w:top w:val="none" w:sz="0" w:space="0" w:color="auto"/>
                <w:left w:val="none" w:sz="0" w:space="0" w:color="auto"/>
                <w:bottom w:val="none" w:sz="0" w:space="0" w:color="auto"/>
                <w:right w:val="none" w:sz="0" w:space="0" w:color="auto"/>
              </w:divBdr>
              <w:divsChild>
                <w:div w:id="537623510">
                  <w:marLeft w:val="180"/>
                  <w:marRight w:val="0"/>
                  <w:marTop w:val="0"/>
                  <w:marBottom w:val="0"/>
                  <w:divBdr>
                    <w:top w:val="none" w:sz="0" w:space="0" w:color="auto"/>
                    <w:left w:val="none" w:sz="0" w:space="0" w:color="auto"/>
                    <w:bottom w:val="none" w:sz="0" w:space="0" w:color="auto"/>
                    <w:right w:val="none" w:sz="0" w:space="0" w:color="auto"/>
                  </w:divBdr>
                  <w:divsChild>
                    <w:div w:id="2488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30323">
      <w:bodyDiv w:val="1"/>
      <w:marLeft w:val="0"/>
      <w:marRight w:val="0"/>
      <w:marTop w:val="0"/>
      <w:marBottom w:val="0"/>
      <w:divBdr>
        <w:top w:val="none" w:sz="0" w:space="0" w:color="auto"/>
        <w:left w:val="none" w:sz="0" w:space="0" w:color="auto"/>
        <w:bottom w:val="none" w:sz="0" w:space="0" w:color="auto"/>
        <w:right w:val="none" w:sz="0" w:space="0" w:color="auto"/>
      </w:divBdr>
      <w:divsChild>
        <w:div w:id="1328365962">
          <w:marLeft w:val="0"/>
          <w:marRight w:val="0"/>
          <w:marTop w:val="0"/>
          <w:marBottom w:val="0"/>
          <w:divBdr>
            <w:top w:val="none" w:sz="0" w:space="0" w:color="auto"/>
            <w:left w:val="none" w:sz="0" w:space="0" w:color="auto"/>
            <w:bottom w:val="none" w:sz="0" w:space="0" w:color="auto"/>
            <w:right w:val="none" w:sz="0" w:space="0" w:color="auto"/>
          </w:divBdr>
          <w:divsChild>
            <w:div w:id="281306064">
              <w:marLeft w:val="0"/>
              <w:marRight w:val="0"/>
              <w:marTop w:val="0"/>
              <w:marBottom w:val="0"/>
              <w:divBdr>
                <w:top w:val="none" w:sz="0" w:space="0" w:color="auto"/>
                <w:left w:val="none" w:sz="0" w:space="0" w:color="auto"/>
                <w:bottom w:val="none" w:sz="0" w:space="0" w:color="auto"/>
                <w:right w:val="none" w:sz="0" w:space="0" w:color="auto"/>
              </w:divBdr>
              <w:divsChild>
                <w:div w:id="630088605">
                  <w:marLeft w:val="2928"/>
                  <w:marRight w:val="0"/>
                  <w:marTop w:val="720"/>
                  <w:marBottom w:val="0"/>
                  <w:divBdr>
                    <w:top w:val="none" w:sz="0" w:space="0" w:color="auto"/>
                    <w:left w:val="none" w:sz="0" w:space="0" w:color="auto"/>
                    <w:bottom w:val="none" w:sz="0" w:space="0" w:color="auto"/>
                    <w:right w:val="none" w:sz="0" w:space="0" w:color="auto"/>
                  </w:divBdr>
                  <w:divsChild>
                    <w:div w:id="8531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447790">
      <w:bodyDiv w:val="1"/>
      <w:marLeft w:val="0"/>
      <w:marRight w:val="0"/>
      <w:marTop w:val="0"/>
      <w:marBottom w:val="0"/>
      <w:divBdr>
        <w:top w:val="none" w:sz="0" w:space="0" w:color="auto"/>
        <w:left w:val="none" w:sz="0" w:space="0" w:color="auto"/>
        <w:bottom w:val="none" w:sz="0" w:space="0" w:color="auto"/>
        <w:right w:val="none" w:sz="0" w:space="0" w:color="auto"/>
      </w:divBdr>
    </w:div>
    <w:div w:id="1470442920">
      <w:bodyDiv w:val="1"/>
      <w:marLeft w:val="0"/>
      <w:marRight w:val="0"/>
      <w:marTop w:val="0"/>
      <w:marBottom w:val="0"/>
      <w:divBdr>
        <w:top w:val="none" w:sz="0" w:space="0" w:color="auto"/>
        <w:left w:val="none" w:sz="0" w:space="0" w:color="auto"/>
        <w:bottom w:val="none" w:sz="0" w:space="0" w:color="auto"/>
        <w:right w:val="none" w:sz="0" w:space="0" w:color="auto"/>
      </w:divBdr>
    </w:div>
    <w:div w:id="1478181503">
      <w:bodyDiv w:val="1"/>
      <w:marLeft w:val="0"/>
      <w:marRight w:val="0"/>
      <w:marTop w:val="0"/>
      <w:marBottom w:val="0"/>
      <w:divBdr>
        <w:top w:val="none" w:sz="0" w:space="0" w:color="auto"/>
        <w:left w:val="none" w:sz="0" w:space="0" w:color="auto"/>
        <w:bottom w:val="none" w:sz="0" w:space="0" w:color="auto"/>
        <w:right w:val="none" w:sz="0" w:space="0" w:color="auto"/>
      </w:divBdr>
    </w:div>
    <w:div w:id="1495141324">
      <w:bodyDiv w:val="1"/>
      <w:marLeft w:val="0"/>
      <w:marRight w:val="0"/>
      <w:marTop w:val="0"/>
      <w:marBottom w:val="0"/>
      <w:divBdr>
        <w:top w:val="none" w:sz="0" w:space="0" w:color="auto"/>
        <w:left w:val="none" w:sz="0" w:space="0" w:color="auto"/>
        <w:bottom w:val="none" w:sz="0" w:space="0" w:color="auto"/>
        <w:right w:val="none" w:sz="0" w:space="0" w:color="auto"/>
      </w:divBdr>
    </w:div>
    <w:div w:id="1521969979">
      <w:bodyDiv w:val="1"/>
      <w:marLeft w:val="0"/>
      <w:marRight w:val="0"/>
      <w:marTop w:val="0"/>
      <w:marBottom w:val="0"/>
      <w:divBdr>
        <w:top w:val="none" w:sz="0" w:space="0" w:color="auto"/>
        <w:left w:val="none" w:sz="0" w:space="0" w:color="auto"/>
        <w:bottom w:val="none" w:sz="0" w:space="0" w:color="auto"/>
        <w:right w:val="none" w:sz="0" w:space="0" w:color="auto"/>
      </w:divBdr>
    </w:div>
    <w:div w:id="1546406704">
      <w:bodyDiv w:val="1"/>
      <w:marLeft w:val="0"/>
      <w:marRight w:val="0"/>
      <w:marTop w:val="0"/>
      <w:marBottom w:val="0"/>
      <w:divBdr>
        <w:top w:val="none" w:sz="0" w:space="0" w:color="auto"/>
        <w:left w:val="none" w:sz="0" w:space="0" w:color="auto"/>
        <w:bottom w:val="none" w:sz="0" w:space="0" w:color="auto"/>
        <w:right w:val="none" w:sz="0" w:space="0" w:color="auto"/>
      </w:divBdr>
    </w:div>
    <w:div w:id="1571770610">
      <w:bodyDiv w:val="1"/>
      <w:marLeft w:val="0"/>
      <w:marRight w:val="0"/>
      <w:marTop w:val="0"/>
      <w:marBottom w:val="0"/>
      <w:divBdr>
        <w:top w:val="none" w:sz="0" w:space="0" w:color="auto"/>
        <w:left w:val="none" w:sz="0" w:space="0" w:color="auto"/>
        <w:bottom w:val="none" w:sz="0" w:space="0" w:color="auto"/>
        <w:right w:val="none" w:sz="0" w:space="0" w:color="auto"/>
      </w:divBdr>
    </w:div>
    <w:div w:id="1611820335">
      <w:bodyDiv w:val="1"/>
      <w:marLeft w:val="0"/>
      <w:marRight w:val="0"/>
      <w:marTop w:val="0"/>
      <w:marBottom w:val="0"/>
      <w:divBdr>
        <w:top w:val="none" w:sz="0" w:space="0" w:color="auto"/>
        <w:left w:val="none" w:sz="0" w:space="0" w:color="auto"/>
        <w:bottom w:val="none" w:sz="0" w:space="0" w:color="auto"/>
        <w:right w:val="none" w:sz="0" w:space="0" w:color="auto"/>
      </w:divBdr>
    </w:div>
    <w:div w:id="1716008199">
      <w:bodyDiv w:val="1"/>
      <w:marLeft w:val="0"/>
      <w:marRight w:val="0"/>
      <w:marTop w:val="0"/>
      <w:marBottom w:val="0"/>
      <w:divBdr>
        <w:top w:val="none" w:sz="0" w:space="0" w:color="auto"/>
        <w:left w:val="none" w:sz="0" w:space="0" w:color="auto"/>
        <w:bottom w:val="none" w:sz="0" w:space="0" w:color="auto"/>
        <w:right w:val="none" w:sz="0" w:space="0" w:color="auto"/>
      </w:divBdr>
    </w:div>
    <w:div w:id="1722944796">
      <w:bodyDiv w:val="1"/>
      <w:marLeft w:val="0"/>
      <w:marRight w:val="0"/>
      <w:marTop w:val="0"/>
      <w:marBottom w:val="0"/>
      <w:divBdr>
        <w:top w:val="none" w:sz="0" w:space="0" w:color="auto"/>
        <w:left w:val="none" w:sz="0" w:space="0" w:color="auto"/>
        <w:bottom w:val="none" w:sz="0" w:space="0" w:color="auto"/>
        <w:right w:val="none" w:sz="0" w:space="0" w:color="auto"/>
      </w:divBdr>
    </w:div>
    <w:div w:id="1761678205">
      <w:bodyDiv w:val="1"/>
      <w:marLeft w:val="0"/>
      <w:marRight w:val="0"/>
      <w:marTop w:val="0"/>
      <w:marBottom w:val="0"/>
      <w:divBdr>
        <w:top w:val="none" w:sz="0" w:space="0" w:color="auto"/>
        <w:left w:val="none" w:sz="0" w:space="0" w:color="auto"/>
        <w:bottom w:val="none" w:sz="0" w:space="0" w:color="auto"/>
        <w:right w:val="none" w:sz="0" w:space="0" w:color="auto"/>
      </w:divBdr>
    </w:div>
    <w:div w:id="1768574640">
      <w:bodyDiv w:val="1"/>
      <w:marLeft w:val="0"/>
      <w:marRight w:val="0"/>
      <w:marTop w:val="0"/>
      <w:marBottom w:val="0"/>
      <w:divBdr>
        <w:top w:val="none" w:sz="0" w:space="0" w:color="auto"/>
        <w:left w:val="none" w:sz="0" w:space="0" w:color="auto"/>
        <w:bottom w:val="none" w:sz="0" w:space="0" w:color="auto"/>
        <w:right w:val="none" w:sz="0" w:space="0" w:color="auto"/>
      </w:divBdr>
    </w:div>
    <w:div w:id="1788085837">
      <w:bodyDiv w:val="1"/>
      <w:marLeft w:val="0"/>
      <w:marRight w:val="0"/>
      <w:marTop w:val="0"/>
      <w:marBottom w:val="0"/>
      <w:divBdr>
        <w:top w:val="none" w:sz="0" w:space="0" w:color="auto"/>
        <w:left w:val="none" w:sz="0" w:space="0" w:color="auto"/>
        <w:bottom w:val="none" w:sz="0" w:space="0" w:color="auto"/>
        <w:right w:val="none" w:sz="0" w:space="0" w:color="auto"/>
      </w:divBdr>
    </w:div>
    <w:div w:id="1809011044">
      <w:bodyDiv w:val="1"/>
      <w:marLeft w:val="0"/>
      <w:marRight w:val="0"/>
      <w:marTop w:val="0"/>
      <w:marBottom w:val="0"/>
      <w:divBdr>
        <w:top w:val="none" w:sz="0" w:space="0" w:color="auto"/>
        <w:left w:val="none" w:sz="0" w:space="0" w:color="auto"/>
        <w:bottom w:val="none" w:sz="0" w:space="0" w:color="auto"/>
        <w:right w:val="none" w:sz="0" w:space="0" w:color="auto"/>
      </w:divBdr>
    </w:div>
    <w:div w:id="1829127317">
      <w:bodyDiv w:val="1"/>
      <w:marLeft w:val="0"/>
      <w:marRight w:val="0"/>
      <w:marTop w:val="0"/>
      <w:marBottom w:val="0"/>
      <w:divBdr>
        <w:top w:val="none" w:sz="0" w:space="0" w:color="auto"/>
        <w:left w:val="none" w:sz="0" w:space="0" w:color="auto"/>
        <w:bottom w:val="none" w:sz="0" w:space="0" w:color="auto"/>
        <w:right w:val="none" w:sz="0" w:space="0" w:color="auto"/>
      </w:divBdr>
    </w:div>
    <w:div w:id="1839270799">
      <w:bodyDiv w:val="1"/>
      <w:marLeft w:val="0"/>
      <w:marRight w:val="0"/>
      <w:marTop w:val="0"/>
      <w:marBottom w:val="0"/>
      <w:divBdr>
        <w:top w:val="none" w:sz="0" w:space="0" w:color="auto"/>
        <w:left w:val="none" w:sz="0" w:space="0" w:color="auto"/>
        <w:bottom w:val="none" w:sz="0" w:space="0" w:color="auto"/>
        <w:right w:val="none" w:sz="0" w:space="0" w:color="auto"/>
      </w:divBdr>
    </w:div>
    <w:div w:id="1893685321">
      <w:bodyDiv w:val="1"/>
      <w:marLeft w:val="0"/>
      <w:marRight w:val="0"/>
      <w:marTop w:val="0"/>
      <w:marBottom w:val="0"/>
      <w:divBdr>
        <w:top w:val="none" w:sz="0" w:space="0" w:color="auto"/>
        <w:left w:val="none" w:sz="0" w:space="0" w:color="auto"/>
        <w:bottom w:val="none" w:sz="0" w:space="0" w:color="auto"/>
        <w:right w:val="none" w:sz="0" w:space="0" w:color="auto"/>
      </w:divBdr>
    </w:div>
    <w:div w:id="1896892857">
      <w:bodyDiv w:val="1"/>
      <w:marLeft w:val="0"/>
      <w:marRight w:val="0"/>
      <w:marTop w:val="0"/>
      <w:marBottom w:val="0"/>
      <w:divBdr>
        <w:top w:val="none" w:sz="0" w:space="0" w:color="auto"/>
        <w:left w:val="none" w:sz="0" w:space="0" w:color="auto"/>
        <w:bottom w:val="none" w:sz="0" w:space="0" w:color="auto"/>
        <w:right w:val="none" w:sz="0" w:space="0" w:color="auto"/>
      </w:divBdr>
    </w:div>
    <w:div w:id="1932859667">
      <w:bodyDiv w:val="1"/>
      <w:marLeft w:val="0"/>
      <w:marRight w:val="0"/>
      <w:marTop w:val="0"/>
      <w:marBottom w:val="0"/>
      <w:divBdr>
        <w:top w:val="none" w:sz="0" w:space="0" w:color="auto"/>
        <w:left w:val="none" w:sz="0" w:space="0" w:color="auto"/>
        <w:bottom w:val="none" w:sz="0" w:space="0" w:color="auto"/>
        <w:right w:val="none" w:sz="0" w:space="0" w:color="auto"/>
      </w:divBdr>
    </w:div>
    <w:div w:id="1956591473">
      <w:bodyDiv w:val="1"/>
      <w:marLeft w:val="0"/>
      <w:marRight w:val="0"/>
      <w:marTop w:val="0"/>
      <w:marBottom w:val="0"/>
      <w:divBdr>
        <w:top w:val="none" w:sz="0" w:space="0" w:color="auto"/>
        <w:left w:val="none" w:sz="0" w:space="0" w:color="auto"/>
        <w:bottom w:val="none" w:sz="0" w:space="0" w:color="auto"/>
        <w:right w:val="none" w:sz="0" w:space="0" w:color="auto"/>
      </w:divBdr>
    </w:div>
    <w:div w:id="1971400745">
      <w:bodyDiv w:val="1"/>
      <w:marLeft w:val="0"/>
      <w:marRight w:val="0"/>
      <w:marTop w:val="0"/>
      <w:marBottom w:val="0"/>
      <w:divBdr>
        <w:top w:val="none" w:sz="0" w:space="0" w:color="auto"/>
        <w:left w:val="none" w:sz="0" w:space="0" w:color="auto"/>
        <w:bottom w:val="none" w:sz="0" w:space="0" w:color="auto"/>
        <w:right w:val="none" w:sz="0" w:space="0" w:color="auto"/>
      </w:divBdr>
    </w:div>
    <w:div w:id="1978336924">
      <w:bodyDiv w:val="1"/>
      <w:marLeft w:val="30"/>
      <w:marRight w:val="30"/>
      <w:marTop w:val="0"/>
      <w:marBottom w:val="0"/>
      <w:divBdr>
        <w:top w:val="none" w:sz="0" w:space="0" w:color="auto"/>
        <w:left w:val="none" w:sz="0" w:space="0" w:color="auto"/>
        <w:bottom w:val="none" w:sz="0" w:space="0" w:color="auto"/>
        <w:right w:val="none" w:sz="0" w:space="0" w:color="auto"/>
      </w:divBdr>
      <w:divsChild>
        <w:div w:id="373431204">
          <w:marLeft w:val="0"/>
          <w:marRight w:val="0"/>
          <w:marTop w:val="0"/>
          <w:marBottom w:val="0"/>
          <w:divBdr>
            <w:top w:val="none" w:sz="0" w:space="0" w:color="auto"/>
            <w:left w:val="none" w:sz="0" w:space="0" w:color="auto"/>
            <w:bottom w:val="none" w:sz="0" w:space="0" w:color="auto"/>
            <w:right w:val="none" w:sz="0" w:space="0" w:color="auto"/>
          </w:divBdr>
          <w:divsChild>
            <w:div w:id="616251807">
              <w:marLeft w:val="0"/>
              <w:marRight w:val="0"/>
              <w:marTop w:val="0"/>
              <w:marBottom w:val="0"/>
              <w:divBdr>
                <w:top w:val="none" w:sz="0" w:space="0" w:color="auto"/>
                <w:left w:val="none" w:sz="0" w:space="0" w:color="auto"/>
                <w:bottom w:val="none" w:sz="0" w:space="0" w:color="auto"/>
                <w:right w:val="none" w:sz="0" w:space="0" w:color="auto"/>
              </w:divBdr>
              <w:divsChild>
                <w:div w:id="861091678">
                  <w:marLeft w:val="18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271775">
      <w:bodyDiv w:val="1"/>
      <w:marLeft w:val="0"/>
      <w:marRight w:val="0"/>
      <w:marTop w:val="0"/>
      <w:marBottom w:val="0"/>
      <w:divBdr>
        <w:top w:val="none" w:sz="0" w:space="0" w:color="auto"/>
        <w:left w:val="none" w:sz="0" w:space="0" w:color="auto"/>
        <w:bottom w:val="none" w:sz="0" w:space="0" w:color="auto"/>
        <w:right w:val="none" w:sz="0" w:space="0" w:color="auto"/>
      </w:divBdr>
    </w:div>
    <w:div w:id="205654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image" Target="media/image10.png"/><Relationship Id="rId42" Type="http://schemas.openxmlformats.org/officeDocument/2006/relationships/image" Target="media/image27.png"/><Relationship Id="rId63" Type="http://schemas.openxmlformats.org/officeDocument/2006/relationships/image" Target="media/image44.emf"/><Relationship Id="rId84" Type="http://schemas.openxmlformats.org/officeDocument/2006/relationships/image" Target="media/image55.png"/><Relationship Id="rId138" Type="http://schemas.openxmlformats.org/officeDocument/2006/relationships/image" Target="media/image101.png"/><Relationship Id="rId159" Type="http://schemas.openxmlformats.org/officeDocument/2006/relationships/image" Target="media/image121.png"/><Relationship Id="rId170" Type="http://schemas.openxmlformats.org/officeDocument/2006/relationships/image" Target="media/image131.png"/><Relationship Id="rId191" Type="http://schemas.openxmlformats.org/officeDocument/2006/relationships/image" Target="media/image151.png"/><Relationship Id="rId205" Type="http://schemas.openxmlformats.org/officeDocument/2006/relationships/image" Target="media/image165.png"/><Relationship Id="rId226" Type="http://schemas.openxmlformats.org/officeDocument/2006/relationships/oleObject" Target="embeddings/Microsoft_Visio_2003-2010_Drawing6.vsd"/><Relationship Id="rId247" Type="http://schemas.openxmlformats.org/officeDocument/2006/relationships/header" Target="header6.xml"/><Relationship Id="rId107" Type="http://schemas.openxmlformats.org/officeDocument/2006/relationships/image" Target="media/image70.png"/><Relationship Id="rId11" Type="http://schemas.openxmlformats.org/officeDocument/2006/relationships/footer" Target="footer1.xml"/><Relationship Id="rId32" Type="http://schemas.openxmlformats.org/officeDocument/2006/relationships/footer" Target="footer4.xml"/><Relationship Id="rId53" Type="http://schemas.openxmlformats.org/officeDocument/2006/relationships/image" Target="media/image38.png"/><Relationship Id="rId74" Type="http://schemas.openxmlformats.org/officeDocument/2006/relationships/image" Target="media/image50.png"/><Relationship Id="rId128" Type="http://schemas.openxmlformats.org/officeDocument/2006/relationships/image" Target="media/image91.png"/><Relationship Id="rId149" Type="http://schemas.openxmlformats.org/officeDocument/2006/relationships/image" Target="media/image111.png"/><Relationship Id="rId5" Type="http://schemas.openxmlformats.org/officeDocument/2006/relationships/settings" Target="settings.xml"/><Relationship Id="rId95" Type="http://schemas.openxmlformats.org/officeDocument/2006/relationships/hyperlink" Target="#_View_Special_Instructions_and Trans"/><Relationship Id="rId160" Type="http://schemas.openxmlformats.org/officeDocument/2006/relationships/image" Target="media/image122.png"/><Relationship Id="rId181" Type="http://schemas.openxmlformats.org/officeDocument/2006/relationships/image" Target="media/image141.png"/><Relationship Id="rId216" Type="http://schemas.openxmlformats.org/officeDocument/2006/relationships/footer" Target="footer7.xml"/><Relationship Id="rId237" Type="http://schemas.openxmlformats.org/officeDocument/2006/relationships/oleObject" Target="embeddings/Microsoft_Visio_2003-2010_Drawing11.vsd"/><Relationship Id="rId22" Type="http://schemas.openxmlformats.org/officeDocument/2006/relationships/image" Target="media/image11.png"/><Relationship Id="rId43" Type="http://schemas.openxmlformats.org/officeDocument/2006/relationships/image" Target="media/image28.png"/><Relationship Id="rId64" Type="http://schemas.openxmlformats.org/officeDocument/2006/relationships/image" Target="media/image45.png"/><Relationship Id="rId118" Type="http://schemas.openxmlformats.org/officeDocument/2006/relationships/image" Target="media/image81.png"/><Relationship Id="rId139" Type="http://schemas.openxmlformats.org/officeDocument/2006/relationships/image" Target="media/image102.png"/><Relationship Id="rId85" Type="http://schemas.openxmlformats.org/officeDocument/2006/relationships/image" Target="media/image56.png"/><Relationship Id="rId150" Type="http://schemas.openxmlformats.org/officeDocument/2006/relationships/image" Target="media/image112.png"/><Relationship Id="rId171" Type="http://schemas.openxmlformats.org/officeDocument/2006/relationships/image" Target="media/image132.png"/><Relationship Id="rId192" Type="http://schemas.openxmlformats.org/officeDocument/2006/relationships/image" Target="media/image152.png"/><Relationship Id="rId206" Type="http://schemas.openxmlformats.org/officeDocument/2006/relationships/image" Target="media/image166.png"/><Relationship Id="rId227" Type="http://schemas.openxmlformats.org/officeDocument/2006/relationships/image" Target="media/image176.emf"/><Relationship Id="rId201" Type="http://schemas.openxmlformats.org/officeDocument/2006/relationships/image" Target="media/image161.png"/><Relationship Id="rId222" Type="http://schemas.openxmlformats.org/officeDocument/2006/relationships/header" Target="header5.xml"/><Relationship Id="rId243" Type="http://schemas.openxmlformats.org/officeDocument/2006/relationships/image" Target="media/image183.emf"/><Relationship Id="rId248"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3.png"/><Relationship Id="rId103" Type="http://schemas.openxmlformats.org/officeDocument/2006/relationships/image" Target="media/image66.png"/><Relationship Id="rId108" Type="http://schemas.openxmlformats.org/officeDocument/2006/relationships/image" Target="media/image71.png"/><Relationship Id="rId124" Type="http://schemas.openxmlformats.org/officeDocument/2006/relationships/image" Target="media/image87.png"/><Relationship Id="rId129" Type="http://schemas.openxmlformats.org/officeDocument/2006/relationships/image" Target="media/image92.png"/><Relationship Id="rId54" Type="http://schemas.openxmlformats.org/officeDocument/2006/relationships/image" Target="media/image39.png"/><Relationship Id="rId70" Type="http://schemas.openxmlformats.org/officeDocument/2006/relationships/image" Target="media/image48.png"/><Relationship Id="rId75" Type="http://schemas.openxmlformats.org/officeDocument/2006/relationships/hyperlink" Target="#_Unit_Antigen_Typing"/><Relationship Id="rId91" Type="http://schemas.openxmlformats.org/officeDocument/2006/relationships/hyperlink" Target="#_Post-Transfusion_Information"/><Relationship Id="rId96" Type="http://schemas.openxmlformats.org/officeDocument/2006/relationships/hyperlink" Target="#_Patient_Information_Toolbar:_Recent_1"/><Relationship Id="rId140" Type="http://schemas.openxmlformats.org/officeDocument/2006/relationships/image" Target="media/image103.png"/><Relationship Id="rId145" Type="http://schemas.openxmlformats.org/officeDocument/2006/relationships/header" Target="header3.xml"/><Relationship Id="rId161" Type="http://schemas.openxmlformats.org/officeDocument/2006/relationships/image" Target="media/image123.png"/><Relationship Id="rId166" Type="http://schemas.openxmlformats.org/officeDocument/2006/relationships/image" Target="media/image128.emf"/><Relationship Id="rId182" Type="http://schemas.openxmlformats.org/officeDocument/2006/relationships/image" Target="media/image142.png"/><Relationship Id="rId187" Type="http://schemas.openxmlformats.org/officeDocument/2006/relationships/image" Target="media/image147.png"/><Relationship Id="rId217" Type="http://schemas.openxmlformats.org/officeDocument/2006/relationships/image" Target="media/image172.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70.emf"/><Relationship Id="rId233" Type="http://schemas.openxmlformats.org/officeDocument/2006/relationships/oleObject" Target="embeddings/Microsoft_Visio_2003-2010_Drawing9.vsd"/><Relationship Id="rId238" Type="http://schemas.openxmlformats.org/officeDocument/2006/relationships/footer" Target="footer9.xml"/><Relationship Id="rId23" Type="http://schemas.openxmlformats.org/officeDocument/2006/relationships/hyperlink" Target="https://www.va.gov/vdl/application.asp?appid=182" TargetMode="External"/><Relationship Id="rId28" Type="http://schemas.openxmlformats.org/officeDocument/2006/relationships/footer" Target="footer3.xml"/><Relationship Id="rId49" Type="http://schemas.openxmlformats.org/officeDocument/2006/relationships/image" Target="media/image34.png"/><Relationship Id="rId114" Type="http://schemas.openxmlformats.org/officeDocument/2006/relationships/image" Target="media/image77.png"/><Relationship Id="rId119" Type="http://schemas.openxmlformats.org/officeDocument/2006/relationships/image" Target="media/image82.png"/><Relationship Id="rId44" Type="http://schemas.openxmlformats.org/officeDocument/2006/relationships/image" Target="media/image29.png"/><Relationship Id="rId65" Type="http://schemas.openxmlformats.org/officeDocument/2006/relationships/hyperlink" Target="#_Log_In_Reagents,_Update Inventory, "/><Relationship Id="rId81" Type="http://schemas.openxmlformats.org/officeDocument/2006/relationships/hyperlink" Target="#_Maintain_Specimen_1"/><Relationship Id="rId86" Type="http://schemas.openxmlformats.org/officeDocument/2006/relationships/image" Target="media/image57.png"/><Relationship Id="rId130" Type="http://schemas.openxmlformats.org/officeDocument/2006/relationships/image" Target="media/image93.png"/><Relationship Id="rId135" Type="http://schemas.openxmlformats.org/officeDocument/2006/relationships/image" Target="media/image98.png"/><Relationship Id="rId151" Type="http://schemas.openxmlformats.org/officeDocument/2006/relationships/image" Target="media/image113.png"/><Relationship Id="rId156" Type="http://schemas.openxmlformats.org/officeDocument/2006/relationships/image" Target="media/image118.png"/><Relationship Id="rId177" Type="http://schemas.openxmlformats.org/officeDocument/2006/relationships/image" Target="media/image137.png"/><Relationship Id="rId198" Type="http://schemas.openxmlformats.org/officeDocument/2006/relationships/image" Target="media/image158.png"/><Relationship Id="rId172" Type="http://schemas.openxmlformats.org/officeDocument/2006/relationships/image" Target="media/image133.png"/><Relationship Id="rId193" Type="http://schemas.openxmlformats.org/officeDocument/2006/relationships/image" Target="media/image153.png"/><Relationship Id="rId202" Type="http://schemas.openxmlformats.org/officeDocument/2006/relationships/image" Target="media/image162.png"/><Relationship Id="rId207" Type="http://schemas.openxmlformats.org/officeDocument/2006/relationships/image" Target="media/image167.png"/><Relationship Id="rId223" Type="http://schemas.openxmlformats.org/officeDocument/2006/relationships/image" Target="media/image174.emf"/><Relationship Id="rId228" Type="http://schemas.openxmlformats.org/officeDocument/2006/relationships/oleObject" Target="embeddings/Microsoft_Visio_2003-2010_Drawing7.vsd"/><Relationship Id="rId244" Type="http://schemas.openxmlformats.org/officeDocument/2006/relationships/oleObject" Target="embeddings/Microsoft_Visio_2003-2010_Drawing14.vsd"/><Relationship Id="rId249" Type="http://schemas.openxmlformats.org/officeDocument/2006/relationships/theme" Target="theme/theme1.xml"/><Relationship Id="rId13" Type="http://schemas.openxmlformats.org/officeDocument/2006/relationships/hyperlink" Target="#_Blood_Availability_UC_49"/><Relationship Id="rId18" Type="http://schemas.openxmlformats.org/officeDocument/2006/relationships/image" Target="media/image7.png"/><Relationship Id="rId39" Type="http://schemas.openxmlformats.org/officeDocument/2006/relationships/image" Target="media/image24.png"/><Relationship Id="rId109" Type="http://schemas.openxmlformats.org/officeDocument/2006/relationships/image" Target="media/image72.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1.png"/><Relationship Id="rId97" Type="http://schemas.openxmlformats.org/officeDocument/2006/relationships/hyperlink" Target="#_Patient_Information_Toolbar:_Transf"/><Relationship Id="rId104" Type="http://schemas.openxmlformats.org/officeDocument/2006/relationships/image" Target="media/image67.png"/><Relationship Id="rId120" Type="http://schemas.openxmlformats.org/officeDocument/2006/relationships/image" Target="media/image83.png"/><Relationship Id="rId125" Type="http://schemas.openxmlformats.org/officeDocument/2006/relationships/image" Target="media/image88.png"/><Relationship Id="rId141" Type="http://schemas.openxmlformats.org/officeDocument/2006/relationships/image" Target="media/image104.png"/><Relationship Id="rId146" Type="http://schemas.openxmlformats.org/officeDocument/2006/relationships/image" Target="media/image108.png"/><Relationship Id="rId167" Type="http://schemas.openxmlformats.org/officeDocument/2006/relationships/oleObject" Target="embeddings/Microsoft_Visio_2003-2010_Drawing.vsd"/><Relationship Id="rId188" Type="http://schemas.openxmlformats.org/officeDocument/2006/relationships/image" Target="media/image148.png"/><Relationship Id="rId7" Type="http://schemas.openxmlformats.org/officeDocument/2006/relationships/footnotes" Target="footnotes.xml"/><Relationship Id="rId71" Type="http://schemas.openxmlformats.org/officeDocument/2006/relationships/hyperlink" Target="#_ABO/Rh_Confirmation"/><Relationship Id="rId92" Type="http://schemas.openxmlformats.org/officeDocument/2006/relationships/image" Target="media/image60.png"/><Relationship Id="rId162" Type="http://schemas.openxmlformats.org/officeDocument/2006/relationships/image" Target="media/image124.png"/><Relationship Id="rId183" Type="http://schemas.openxmlformats.org/officeDocument/2006/relationships/image" Target="media/image143.png"/><Relationship Id="rId213" Type="http://schemas.openxmlformats.org/officeDocument/2006/relationships/oleObject" Target="embeddings/Microsoft_Visio_2003-2010_Drawing1.vsd"/><Relationship Id="rId218" Type="http://schemas.openxmlformats.org/officeDocument/2006/relationships/oleObject" Target="embeddings/Microsoft_Visio_2003-2010_Drawing3.vsd"/><Relationship Id="rId234" Type="http://schemas.openxmlformats.org/officeDocument/2006/relationships/image" Target="media/image179.emf"/><Relationship Id="rId239" Type="http://schemas.openxmlformats.org/officeDocument/2006/relationships/image" Target="media/image181.emf"/><Relationship Id="rId2" Type="http://schemas.openxmlformats.org/officeDocument/2006/relationships/customXml" Target="../customXml/item1.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6.png"/><Relationship Id="rId87" Type="http://schemas.openxmlformats.org/officeDocument/2006/relationships/hyperlink" Target="#_Select_Units_1"/><Relationship Id="rId110" Type="http://schemas.openxmlformats.org/officeDocument/2006/relationships/image" Target="media/image73.png"/><Relationship Id="rId115" Type="http://schemas.openxmlformats.org/officeDocument/2006/relationships/image" Target="media/image78.png"/><Relationship Id="rId131" Type="http://schemas.openxmlformats.org/officeDocument/2006/relationships/image" Target="media/image94.png"/><Relationship Id="rId136" Type="http://schemas.openxmlformats.org/officeDocument/2006/relationships/image" Target="media/image99.png"/><Relationship Id="rId157" Type="http://schemas.openxmlformats.org/officeDocument/2006/relationships/image" Target="media/image119.png"/><Relationship Id="rId178" Type="http://schemas.openxmlformats.org/officeDocument/2006/relationships/image" Target="media/image138.png"/><Relationship Id="rId82" Type="http://schemas.openxmlformats.org/officeDocument/2006/relationships/image" Target="media/image54.png"/><Relationship Id="rId152" Type="http://schemas.openxmlformats.org/officeDocument/2006/relationships/image" Target="media/image114.png"/><Relationship Id="rId173" Type="http://schemas.openxmlformats.org/officeDocument/2006/relationships/header" Target="header4.xml"/><Relationship Id="rId194" Type="http://schemas.openxmlformats.org/officeDocument/2006/relationships/image" Target="media/image154.png"/><Relationship Id="rId199" Type="http://schemas.openxmlformats.org/officeDocument/2006/relationships/image" Target="media/image159.png"/><Relationship Id="rId203" Type="http://schemas.openxmlformats.org/officeDocument/2006/relationships/image" Target="media/image163.png"/><Relationship Id="rId208" Type="http://schemas.openxmlformats.org/officeDocument/2006/relationships/image" Target="media/image168.png"/><Relationship Id="rId229" Type="http://schemas.openxmlformats.org/officeDocument/2006/relationships/image" Target="media/image177.emf"/><Relationship Id="rId19" Type="http://schemas.openxmlformats.org/officeDocument/2006/relationships/image" Target="media/image8.png"/><Relationship Id="rId224" Type="http://schemas.openxmlformats.org/officeDocument/2006/relationships/oleObject" Target="embeddings/Microsoft_Visio_2003-2010_Drawing5.vsd"/><Relationship Id="rId240" Type="http://schemas.openxmlformats.org/officeDocument/2006/relationships/oleObject" Target="embeddings/Microsoft_Visio_2003-2010_Drawing12.vsd"/><Relationship Id="rId245" Type="http://schemas.openxmlformats.org/officeDocument/2006/relationships/footer" Target="footer10.xml"/><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hyperlink" Target="#_Outgoing_Shipment"/><Relationship Id="rId100" Type="http://schemas.openxmlformats.org/officeDocument/2006/relationships/image" Target="media/image63.png"/><Relationship Id="rId105" Type="http://schemas.openxmlformats.org/officeDocument/2006/relationships/image" Target="media/image68.png"/><Relationship Id="rId126" Type="http://schemas.openxmlformats.org/officeDocument/2006/relationships/image" Target="media/image89.png"/><Relationship Id="rId147" Type="http://schemas.openxmlformats.org/officeDocument/2006/relationships/image" Target="media/image109.png"/><Relationship Id="rId168" Type="http://schemas.openxmlformats.org/officeDocument/2006/relationships/image" Target="media/image129.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49.png"/><Relationship Id="rId93" Type="http://schemas.openxmlformats.org/officeDocument/2006/relationships/hyperlink" Target="#_Medication_Profile_UC_46"/><Relationship Id="rId98" Type="http://schemas.openxmlformats.org/officeDocument/2006/relationships/image" Target="media/image61.png"/><Relationship Id="rId121" Type="http://schemas.openxmlformats.org/officeDocument/2006/relationships/image" Target="media/image84.png"/><Relationship Id="rId142" Type="http://schemas.openxmlformats.org/officeDocument/2006/relationships/image" Target="media/image105.png"/><Relationship Id="rId163" Type="http://schemas.openxmlformats.org/officeDocument/2006/relationships/image" Target="media/image125.png"/><Relationship Id="rId184" Type="http://schemas.openxmlformats.org/officeDocument/2006/relationships/image" Target="media/image144.png"/><Relationship Id="rId189" Type="http://schemas.openxmlformats.org/officeDocument/2006/relationships/image" Target="media/image149.png"/><Relationship Id="rId219" Type="http://schemas.openxmlformats.org/officeDocument/2006/relationships/image" Target="media/image173.emf"/><Relationship Id="rId3" Type="http://schemas.openxmlformats.org/officeDocument/2006/relationships/numbering" Target="numbering.xml"/><Relationship Id="rId214" Type="http://schemas.openxmlformats.org/officeDocument/2006/relationships/image" Target="media/image171.wmf"/><Relationship Id="rId230" Type="http://schemas.openxmlformats.org/officeDocument/2006/relationships/oleObject" Target="embeddings/Microsoft_Visio_2003-2010_Drawing8.vsd"/><Relationship Id="rId235" Type="http://schemas.openxmlformats.org/officeDocument/2006/relationships/oleObject" Target="embeddings/Microsoft_Visio_2003-2010_Drawing10.vsd"/><Relationship Id="rId25" Type="http://schemas.openxmlformats.org/officeDocument/2006/relationships/image" Target="media/image13.png"/><Relationship Id="rId46" Type="http://schemas.openxmlformats.org/officeDocument/2006/relationships/image" Target="media/image31.png"/><Relationship Id="rId67" Type="http://schemas.openxmlformats.org/officeDocument/2006/relationships/hyperlink" Target="#_Enter_Daily_QC_Results"/><Relationship Id="rId116" Type="http://schemas.openxmlformats.org/officeDocument/2006/relationships/image" Target="media/image79.png"/><Relationship Id="rId137" Type="http://schemas.openxmlformats.org/officeDocument/2006/relationships/image" Target="media/image100.png"/><Relationship Id="rId158" Type="http://schemas.openxmlformats.org/officeDocument/2006/relationships/image" Target="media/image120.png"/><Relationship Id="rId20" Type="http://schemas.openxmlformats.org/officeDocument/2006/relationships/image" Target="media/image9.png"/><Relationship Id="rId41" Type="http://schemas.openxmlformats.org/officeDocument/2006/relationships/image" Target="media/image26.png"/><Relationship Id="rId62" Type="http://schemas.openxmlformats.org/officeDocument/2006/relationships/image" Target="media/image43.emf"/><Relationship Id="rId83" Type="http://schemas.openxmlformats.org/officeDocument/2006/relationships/hyperlink" Target="#_Patient_Testing:_Record_1"/><Relationship Id="rId88" Type="http://schemas.openxmlformats.org/officeDocument/2006/relationships/image" Target="media/image58.png"/><Relationship Id="rId111" Type="http://schemas.openxmlformats.org/officeDocument/2006/relationships/image" Target="media/image74.png"/><Relationship Id="rId132" Type="http://schemas.openxmlformats.org/officeDocument/2006/relationships/image" Target="media/image95.png"/><Relationship Id="rId153" Type="http://schemas.openxmlformats.org/officeDocument/2006/relationships/image" Target="media/image115.png"/><Relationship Id="rId174" Type="http://schemas.openxmlformats.org/officeDocument/2006/relationships/image" Target="media/image134.png"/><Relationship Id="rId179" Type="http://schemas.openxmlformats.org/officeDocument/2006/relationships/image" Target="media/image139.png"/><Relationship Id="rId195" Type="http://schemas.openxmlformats.org/officeDocument/2006/relationships/image" Target="media/image155.png"/><Relationship Id="rId209" Type="http://schemas.openxmlformats.org/officeDocument/2006/relationships/image" Target="media/image169.png"/><Relationship Id="rId190" Type="http://schemas.openxmlformats.org/officeDocument/2006/relationships/image" Target="media/image150.png"/><Relationship Id="rId204" Type="http://schemas.openxmlformats.org/officeDocument/2006/relationships/image" Target="media/image164.png"/><Relationship Id="rId220" Type="http://schemas.openxmlformats.org/officeDocument/2006/relationships/oleObject" Target="embeddings/Microsoft_Visio_2003-2010_Drawing4.vsd"/><Relationship Id="rId225" Type="http://schemas.openxmlformats.org/officeDocument/2006/relationships/image" Target="media/image175.emf"/><Relationship Id="rId241" Type="http://schemas.openxmlformats.org/officeDocument/2006/relationships/image" Target="media/image182.emf"/><Relationship Id="rId246" Type="http://schemas.openxmlformats.org/officeDocument/2006/relationships/footer" Target="footer11.xml"/><Relationship Id="rId15" Type="http://schemas.openxmlformats.org/officeDocument/2006/relationships/image" Target="media/image4.png"/><Relationship Id="rId36" Type="http://schemas.openxmlformats.org/officeDocument/2006/relationships/image" Target="media/image21.png"/><Relationship Id="rId57" Type="http://schemas.openxmlformats.org/officeDocument/2006/relationships/image" Target="media/image42.emf"/><Relationship Id="rId106" Type="http://schemas.openxmlformats.org/officeDocument/2006/relationships/image" Target="media/image69.png"/><Relationship Id="rId127" Type="http://schemas.openxmlformats.org/officeDocument/2006/relationships/image" Target="media/image90.png"/><Relationship Id="rId10" Type="http://schemas.openxmlformats.org/officeDocument/2006/relationships/header" Target="header1.xml"/><Relationship Id="rId31" Type="http://schemas.openxmlformats.org/officeDocument/2006/relationships/header" Target="header2.xml"/><Relationship Id="rId52" Type="http://schemas.openxmlformats.org/officeDocument/2006/relationships/image" Target="media/image37.png"/><Relationship Id="rId73" Type="http://schemas.openxmlformats.org/officeDocument/2006/relationships/hyperlink" Target="#_Modify_Units"/><Relationship Id="rId78" Type="http://schemas.openxmlformats.org/officeDocument/2006/relationships/image" Target="media/image52.png"/><Relationship Id="rId94" Type="http://schemas.openxmlformats.org/officeDocument/2006/relationships/hyperlink" Target="#_Patient_Information_Toolbar:_Recent"/><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85.png"/><Relationship Id="rId143" Type="http://schemas.openxmlformats.org/officeDocument/2006/relationships/image" Target="media/image106.png"/><Relationship Id="rId148" Type="http://schemas.openxmlformats.org/officeDocument/2006/relationships/image" Target="media/image110.png"/><Relationship Id="rId164" Type="http://schemas.openxmlformats.org/officeDocument/2006/relationships/image" Target="media/image126.png"/><Relationship Id="rId169" Type="http://schemas.openxmlformats.org/officeDocument/2006/relationships/image" Target="media/image130.png"/><Relationship Id="rId185" Type="http://schemas.openxmlformats.org/officeDocument/2006/relationships/image" Target="media/image145.png"/><Relationship Id="rId4" Type="http://schemas.openxmlformats.org/officeDocument/2006/relationships/styles" Target="styles.xml"/><Relationship Id="rId9" Type="http://schemas.openxmlformats.org/officeDocument/2006/relationships/image" Target="media/image2.jpeg"/><Relationship Id="rId180" Type="http://schemas.openxmlformats.org/officeDocument/2006/relationships/image" Target="media/image140.png"/><Relationship Id="rId210" Type="http://schemas.openxmlformats.org/officeDocument/2006/relationships/footer" Target="footer5.xml"/><Relationship Id="rId215" Type="http://schemas.openxmlformats.org/officeDocument/2006/relationships/oleObject" Target="embeddings/Microsoft_Visio_2003-2010_Drawing2.vsd"/><Relationship Id="rId236" Type="http://schemas.openxmlformats.org/officeDocument/2006/relationships/image" Target="media/image180.emf"/><Relationship Id="rId26" Type="http://schemas.openxmlformats.org/officeDocument/2006/relationships/image" Target="media/image14.png"/><Relationship Id="rId231" Type="http://schemas.openxmlformats.org/officeDocument/2006/relationships/footer" Target="footer8.xml"/><Relationship Id="rId47" Type="http://schemas.openxmlformats.org/officeDocument/2006/relationships/image" Target="media/image32.png"/><Relationship Id="rId68" Type="http://schemas.openxmlformats.org/officeDocument/2006/relationships/image" Target="media/image47.png"/><Relationship Id="rId89" Type="http://schemas.openxmlformats.org/officeDocument/2006/relationships/hyperlink" Target="#_Issue_Blood_Components"/><Relationship Id="rId112" Type="http://schemas.openxmlformats.org/officeDocument/2006/relationships/image" Target="media/image75.png"/><Relationship Id="rId133" Type="http://schemas.openxmlformats.org/officeDocument/2006/relationships/image" Target="media/image96.png"/><Relationship Id="rId154" Type="http://schemas.openxmlformats.org/officeDocument/2006/relationships/image" Target="media/image116.png"/><Relationship Id="rId175" Type="http://schemas.openxmlformats.org/officeDocument/2006/relationships/image" Target="media/image135.png"/><Relationship Id="rId196" Type="http://schemas.openxmlformats.org/officeDocument/2006/relationships/image" Target="media/image156.png"/><Relationship Id="rId200" Type="http://schemas.openxmlformats.org/officeDocument/2006/relationships/image" Target="media/image160.png"/><Relationship Id="rId16" Type="http://schemas.openxmlformats.org/officeDocument/2006/relationships/image" Target="media/image5.png"/><Relationship Id="rId221" Type="http://schemas.openxmlformats.org/officeDocument/2006/relationships/hyperlink" Target="https://www.va.gov/vdl/application.asp?appid=182" TargetMode="External"/><Relationship Id="rId242" Type="http://schemas.openxmlformats.org/officeDocument/2006/relationships/oleObject" Target="embeddings/Microsoft_Visio_2003-2010_Drawing13.vsd"/><Relationship Id="rId37" Type="http://schemas.openxmlformats.org/officeDocument/2006/relationships/image" Target="media/image22.png"/><Relationship Id="rId79" Type="http://schemas.openxmlformats.org/officeDocument/2006/relationships/hyperlink" Target="#_Accept_Orders:_Accept"/><Relationship Id="rId102" Type="http://schemas.openxmlformats.org/officeDocument/2006/relationships/image" Target="media/image65.png"/><Relationship Id="rId123" Type="http://schemas.openxmlformats.org/officeDocument/2006/relationships/image" Target="media/image86.png"/><Relationship Id="rId144" Type="http://schemas.openxmlformats.org/officeDocument/2006/relationships/image" Target="media/image107.png"/><Relationship Id="rId90" Type="http://schemas.openxmlformats.org/officeDocument/2006/relationships/image" Target="media/image59.png"/><Relationship Id="rId165" Type="http://schemas.openxmlformats.org/officeDocument/2006/relationships/image" Target="media/image127.png"/><Relationship Id="rId186" Type="http://schemas.openxmlformats.org/officeDocument/2006/relationships/image" Target="media/image146.png"/><Relationship Id="rId211" Type="http://schemas.openxmlformats.org/officeDocument/2006/relationships/footer" Target="footer6.xml"/><Relationship Id="rId232" Type="http://schemas.openxmlformats.org/officeDocument/2006/relationships/image" Target="media/image178.emf"/><Relationship Id="rId27" Type="http://schemas.openxmlformats.org/officeDocument/2006/relationships/image" Target="media/image15.png"/><Relationship Id="rId48" Type="http://schemas.openxmlformats.org/officeDocument/2006/relationships/image" Target="media/image33.png"/><Relationship Id="rId69" Type="http://schemas.openxmlformats.org/officeDocument/2006/relationships/hyperlink" Target="#_Incoming_Shipment"/><Relationship Id="rId113" Type="http://schemas.openxmlformats.org/officeDocument/2006/relationships/image" Target="media/image76.png"/><Relationship Id="rId134" Type="http://schemas.openxmlformats.org/officeDocument/2006/relationships/image" Target="media/image97.png"/><Relationship Id="rId80" Type="http://schemas.openxmlformats.org/officeDocument/2006/relationships/image" Target="media/image53.png"/><Relationship Id="rId155" Type="http://schemas.openxmlformats.org/officeDocument/2006/relationships/image" Target="media/image117.png"/><Relationship Id="rId176" Type="http://schemas.openxmlformats.org/officeDocument/2006/relationships/image" Target="media/image136.png"/><Relationship Id="rId197" Type="http://schemas.openxmlformats.org/officeDocument/2006/relationships/image" Target="media/image15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6D689-2F8F-4959-A201-F09103E0E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529</Pages>
  <Words>138012</Words>
  <Characters>789384</Characters>
  <Application>Microsoft Office Word</Application>
  <DocSecurity>0</DocSecurity>
  <Lines>6578</Lines>
  <Paragraphs>1851</Paragraphs>
  <ScaleCrop>false</ScaleCrop>
  <HeadingPairs>
    <vt:vector size="2" baseType="variant">
      <vt:variant>
        <vt:lpstr>Title</vt:lpstr>
      </vt:variant>
      <vt:variant>
        <vt:i4>1</vt:i4>
      </vt:variant>
    </vt:vector>
  </HeadingPairs>
  <TitlesOfParts>
    <vt:vector size="1" baseType="lpstr">
      <vt:lpstr>VBECS 2.3.4 User Guide</vt:lpstr>
    </vt:vector>
  </TitlesOfParts>
  <Company>Leidos</Company>
  <LinksUpToDate>false</LinksUpToDate>
  <CharactersWithSpaces>925545</CharactersWithSpaces>
  <SharedDoc>false</SharedDoc>
  <HLinks>
    <vt:vector size="1578" baseType="variant">
      <vt:variant>
        <vt:i4>4128827</vt:i4>
      </vt:variant>
      <vt:variant>
        <vt:i4>3271</vt:i4>
      </vt:variant>
      <vt:variant>
        <vt:i4>0</vt:i4>
      </vt:variant>
      <vt:variant>
        <vt:i4>5</vt:i4>
      </vt:variant>
      <vt:variant>
        <vt:lpwstr>http://vaww.oed.portal.va.gov/projects/vbecs/VBECS FAQs/Forms/AllItems.aspx</vt:lpwstr>
      </vt:variant>
      <vt:variant>
        <vt:lpwstr/>
      </vt:variant>
      <vt:variant>
        <vt:i4>5963785</vt:i4>
      </vt:variant>
      <vt:variant>
        <vt:i4>3062</vt:i4>
      </vt:variant>
      <vt:variant>
        <vt:i4>0</vt:i4>
      </vt:variant>
      <vt:variant>
        <vt:i4>5</vt:i4>
      </vt:variant>
      <vt:variant>
        <vt:lpwstr>https://www.va.gov/vdl/application.asp?appid=182</vt:lpwstr>
      </vt:variant>
      <vt:variant>
        <vt:lpwstr/>
      </vt:variant>
      <vt:variant>
        <vt:i4>7798830</vt:i4>
      </vt:variant>
      <vt:variant>
        <vt:i4>1812</vt:i4>
      </vt:variant>
      <vt:variant>
        <vt:i4>0</vt:i4>
      </vt:variant>
      <vt:variant>
        <vt:i4>5</vt:i4>
      </vt:variant>
      <vt:variant>
        <vt:lpwstr/>
      </vt:variant>
      <vt:variant>
        <vt:lpwstr>_Blood_Availability_UC_49</vt:lpwstr>
      </vt:variant>
      <vt:variant>
        <vt:i4>2097264</vt:i4>
      </vt:variant>
      <vt:variant>
        <vt:i4>1809</vt:i4>
      </vt:variant>
      <vt:variant>
        <vt:i4>0</vt:i4>
      </vt:variant>
      <vt:variant>
        <vt:i4>5</vt:i4>
      </vt:variant>
      <vt:variant>
        <vt:lpwstr/>
      </vt:variant>
      <vt:variant>
        <vt:lpwstr>_Patient_Information_Toolbar:_Transf</vt:lpwstr>
      </vt:variant>
      <vt:variant>
        <vt:i4>2031670</vt:i4>
      </vt:variant>
      <vt:variant>
        <vt:i4>1806</vt:i4>
      </vt:variant>
      <vt:variant>
        <vt:i4>0</vt:i4>
      </vt:variant>
      <vt:variant>
        <vt:i4>5</vt:i4>
      </vt:variant>
      <vt:variant>
        <vt:lpwstr/>
      </vt:variant>
      <vt:variant>
        <vt:lpwstr>_Patient_Information_Toolbar:_Recent_1</vt:lpwstr>
      </vt:variant>
      <vt:variant>
        <vt:i4>327763</vt:i4>
      </vt:variant>
      <vt:variant>
        <vt:i4>1803</vt:i4>
      </vt:variant>
      <vt:variant>
        <vt:i4>0</vt:i4>
      </vt:variant>
      <vt:variant>
        <vt:i4>5</vt:i4>
      </vt:variant>
      <vt:variant>
        <vt:lpwstr/>
      </vt:variant>
      <vt:variant>
        <vt:lpwstr>_View_Special_Instructions_and Trans</vt:lpwstr>
      </vt:variant>
      <vt:variant>
        <vt:i4>3014761</vt:i4>
      </vt:variant>
      <vt:variant>
        <vt:i4>1800</vt:i4>
      </vt:variant>
      <vt:variant>
        <vt:i4>0</vt:i4>
      </vt:variant>
      <vt:variant>
        <vt:i4>5</vt:i4>
      </vt:variant>
      <vt:variant>
        <vt:lpwstr/>
      </vt:variant>
      <vt:variant>
        <vt:lpwstr>_Patient_Information_Toolbar:_Recent</vt:lpwstr>
      </vt:variant>
      <vt:variant>
        <vt:i4>6160396</vt:i4>
      </vt:variant>
      <vt:variant>
        <vt:i4>1797</vt:i4>
      </vt:variant>
      <vt:variant>
        <vt:i4>0</vt:i4>
      </vt:variant>
      <vt:variant>
        <vt:i4>5</vt:i4>
      </vt:variant>
      <vt:variant>
        <vt:lpwstr/>
      </vt:variant>
      <vt:variant>
        <vt:lpwstr>_Medication_Profile_UC_46</vt:lpwstr>
      </vt:variant>
      <vt:variant>
        <vt:i4>7798830</vt:i4>
      </vt:variant>
      <vt:variant>
        <vt:i4>1794</vt:i4>
      </vt:variant>
      <vt:variant>
        <vt:i4>0</vt:i4>
      </vt:variant>
      <vt:variant>
        <vt:i4>5</vt:i4>
      </vt:variant>
      <vt:variant>
        <vt:lpwstr/>
      </vt:variant>
      <vt:variant>
        <vt:lpwstr>_Blood_Availability_UC_49</vt:lpwstr>
      </vt:variant>
      <vt:variant>
        <vt:i4>6291493</vt:i4>
      </vt:variant>
      <vt:variant>
        <vt:i4>1791</vt:i4>
      </vt:variant>
      <vt:variant>
        <vt:i4>0</vt:i4>
      </vt:variant>
      <vt:variant>
        <vt:i4>5</vt:i4>
      </vt:variant>
      <vt:variant>
        <vt:lpwstr/>
      </vt:variant>
      <vt:variant>
        <vt:lpwstr>_Post-Transfusion_Information</vt:lpwstr>
      </vt:variant>
      <vt:variant>
        <vt:i4>6684741</vt:i4>
      </vt:variant>
      <vt:variant>
        <vt:i4>1788</vt:i4>
      </vt:variant>
      <vt:variant>
        <vt:i4>0</vt:i4>
      </vt:variant>
      <vt:variant>
        <vt:i4>5</vt:i4>
      </vt:variant>
      <vt:variant>
        <vt:lpwstr/>
      </vt:variant>
      <vt:variant>
        <vt:lpwstr>_Issue_Blood_Components</vt:lpwstr>
      </vt:variant>
      <vt:variant>
        <vt:i4>6684740</vt:i4>
      </vt:variant>
      <vt:variant>
        <vt:i4>1785</vt:i4>
      </vt:variant>
      <vt:variant>
        <vt:i4>0</vt:i4>
      </vt:variant>
      <vt:variant>
        <vt:i4>5</vt:i4>
      </vt:variant>
      <vt:variant>
        <vt:lpwstr/>
      </vt:variant>
      <vt:variant>
        <vt:lpwstr>_Select_Units_1</vt:lpwstr>
      </vt:variant>
      <vt:variant>
        <vt:i4>1835039</vt:i4>
      </vt:variant>
      <vt:variant>
        <vt:i4>1782</vt:i4>
      </vt:variant>
      <vt:variant>
        <vt:i4>0</vt:i4>
      </vt:variant>
      <vt:variant>
        <vt:i4>5</vt:i4>
      </vt:variant>
      <vt:variant>
        <vt:lpwstr/>
      </vt:variant>
      <vt:variant>
        <vt:lpwstr>_Patient_Testing:_Record_1</vt:lpwstr>
      </vt:variant>
      <vt:variant>
        <vt:i4>6750234</vt:i4>
      </vt:variant>
      <vt:variant>
        <vt:i4>1779</vt:i4>
      </vt:variant>
      <vt:variant>
        <vt:i4>0</vt:i4>
      </vt:variant>
      <vt:variant>
        <vt:i4>5</vt:i4>
      </vt:variant>
      <vt:variant>
        <vt:lpwstr/>
      </vt:variant>
      <vt:variant>
        <vt:lpwstr>_Maintain_Specimen_1</vt:lpwstr>
      </vt:variant>
      <vt:variant>
        <vt:i4>6553628</vt:i4>
      </vt:variant>
      <vt:variant>
        <vt:i4>1776</vt:i4>
      </vt:variant>
      <vt:variant>
        <vt:i4>0</vt:i4>
      </vt:variant>
      <vt:variant>
        <vt:i4>5</vt:i4>
      </vt:variant>
      <vt:variant>
        <vt:lpwstr/>
      </vt:variant>
      <vt:variant>
        <vt:lpwstr>_Accept_Orders:_Accept</vt:lpwstr>
      </vt:variant>
      <vt:variant>
        <vt:i4>4980826</vt:i4>
      </vt:variant>
      <vt:variant>
        <vt:i4>1773</vt:i4>
      </vt:variant>
      <vt:variant>
        <vt:i4>0</vt:i4>
      </vt:variant>
      <vt:variant>
        <vt:i4>5</vt:i4>
      </vt:variant>
      <vt:variant>
        <vt:lpwstr/>
      </vt:variant>
      <vt:variant>
        <vt:lpwstr>_Outgoing_Shipment</vt:lpwstr>
      </vt:variant>
      <vt:variant>
        <vt:i4>589875</vt:i4>
      </vt:variant>
      <vt:variant>
        <vt:i4>1770</vt:i4>
      </vt:variant>
      <vt:variant>
        <vt:i4>0</vt:i4>
      </vt:variant>
      <vt:variant>
        <vt:i4>5</vt:i4>
      </vt:variant>
      <vt:variant>
        <vt:lpwstr/>
      </vt:variant>
      <vt:variant>
        <vt:lpwstr>_Unit_Antigen_Typing</vt:lpwstr>
      </vt:variant>
      <vt:variant>
        <vt:i4>2752572</vt:i4>
      </vt:variant>
      <vt:variant>
        <vt:i4>1767</vt:i4>
      </vt:variant>
      <vt:variant>
        <vt:i4>0</vt:i4>
      </vt:variant>
      <vt:variant>
        <vt:i4>5</vt:i4>
      </vt:variant>
      <vt:variant>
        <vt:lpwstr/>
      </vt:variant>
      <vt:variant>
        <vt:lpwstr>_Modify_Units</vt:lpwstr>
      </vt:variant>
      <vt:variant>
        <vt:i4>4063336</vt:i4>
      </vt:variant>
      <vt:variant>
        <vt:i4>1764</vt:i4>
      </vt:variant>
      <vt:variant>
        <vt:i4>0</vt:i4>
      </vt:variant>
      <vt:variant>
        <vt:i4>5</vt:i4>
      </vt:variant>
      <vt:variant>
        <vt:lpwstr/>
      </vt:variant>
      <vt:variant>
        <vt:lpwstr>_ABO/Rh_Confirmation</vt:lpwstr>
      </vt:variant>
      <vt:variant>
        <vt:i4>6225993</vt:i4>
      </vt:variant>
      <vt:variant>
        <vt:i4>1761</vt:i4>
      </vt:variant>
      <vt:variant>
        <vt:i4>0</vt:i4>
      </vt:variant>
      <vt:variant>
        <vt:i4>5</vt:i4>
      </vt:variant>
      <vt:variant>
        <vt:lpwstr/>
      </vt:variant>
      <vt:variant>
        <vt:lpwstr>_Incoming_Shipment</vt:lpwstr>
      </vt:variant>
      <vt:variant>
        <vt:i4>6094935</vt:i4>
      </vt:variant>
      <vt:variant>
        <vt:i4>1758</vt:i4>
      </vt:variant>
      <vt:variant>
        <vt:i4>0</vt:i4>
      </vt:variant>
      <vt:variant>
        <vt:i4>5</vt:i4>
      </vt:variant>
      <vt:variant>
        <vt:lpwstr/>
      </vt:variant>
      <vt:variant>
        <vt:lpwstr>_Enter_Daily_QC_Results</vt:lpwstr>
      </vt:variant>
      <vt:variant>
        <vt:i4>5111883</vt:i4>
      </vt:variant>
      <vt:variant>
        <vt:i4>1755</vt:i4>
      </vt:variant>
      <vt:variant>
        <vt:i4>0</vt:i4>
      </vt:variant>
      <vt:variant>
        <vt:i4>5</vt:i4>
      </vt:variant>
      <vt:variant>
        <vt:lpwstr/>
      </vt:variant>
      <vt:variant>
        <vt:lpwstr>_Log_In_Reagents,_Update Inventory, </vt:lpwstr>
      </vt:variant>
      <vt:variant>
        <vt:i4>5963785</vt:i4>
      </vt:variant>
      <vt:variant>
        <vt:i4>1563</vt:i4>
      </vt:variant>
      <vt:variant>
        <vt:i4>0</vt:i4>
      </vt:variant>
      <vt:variant>
        <vt:i4>5</vt:i4>
      </vt:variant>
      <vt:variant>
        <vt:lpwstr>https://www.va.gov/vdl/application.asp?appid=182</vt:lpwstr>
      </vt:variant>
      <vt:variant>
        <vt:lpwstr/>
      </vt:variant>
      <vt:variant>
        <vt:i4>5898259</vt:i4>
      </vt:variant>
      <vt:variant>
        <vt:i4>1560</vt:i4>
      </vt:variant>
      <vt:variant>
        <vt:i4>0</vt:i4>
      </vt:variant>
      <vt:variant>
        <vt:i4>5</vt:i4>
      </vt:variant>
      <vt:variant>
        <vt:lpwstr>http://vaww.oed.portal.va.gov/projects/vbecs/default.aspx</vt:lpwstr>
      </vt:variant>
      <vt:variant>
        <vt:lpwstr/>
      </vt:variant>
      <vt:variant>
        <vt:i4>1900592</vt:i4>
      </vt:variant>
      <vt:variant>
        <vt:i4>1392</vt:i4>
      </vt:variant>
      <vt:variant>
        <vt:i4>0</vt:i4>
      </vt:variant>
      <vt:variant>
        <vt:i4>5</vt:i4>
      </vt:variant>
      <vt:variant>
        <vt:lpwstr>http://www.foia.va.gov/FOIA_Offices.asp</vt:lpwstr>
      </vt:variant>
      <vt:variant>
        <vt:lpwstr/>
      </vt:variant>
      <vt:variant>
        <vt:i4>1441840</vt:i4>
      </vt:variant>
      <vt:variant>
        <vt:i4>1382</vt:i4>
      </vt:variant>
      <vt:variant>
        <vt:i4>0</vt:i4>
      </vt:variant>
      <vt:variant>
        <vt:i4>5</vt:i4>
      </vt:variant>
      <vt:variant>
        <vt:lpwstr/>
      </vt:variant>
      <vt:variant>
        <vt:lpwstr>_Toc510071213</vt:lpwstr>
      </vt:variant>
      <vt:variant>
        <vt:i4>1441840</vt:i4>
      </vt:variant>
      <vt:variant>
        <vt:i4>1376</vt:i4>
      </vt:variant>
      <vt:variant>
        <vt:i4>0</vt:i4>
      </vt:variant>
      <vt:variant>
        <vt:i4>5</vt:i4>
      </vt:variant>
      <vt:variant>
        <vt:lpwstr/>
      </vt:variant>
      <vt:variant>
        <vt:lpwstr>_Toc510071212</vt:lpwstr>
      </vt:variant>
      <vt:variant>
        <vt:i4>1441840</vt:i4>
      </vt:variant>
      <vt:variant>
        <vt:i4>1370</vt:i4>
      </vt:variant>
      <vt:variant>
        <vt:i4>0</vt:i4>
      </vt:variant>
      <vt:variant>
        <vt:i4>5</vt:i4>
      </vt:variant>
      <vt:variant>
        <vt:lpwstr/>
      </vt:variant>
      <vt:variant>
        <vt:lpwstr>_Toc510071211</vt:lpwstr>
      </vt:variant>
      <vt:variant>
        <vt:i4>1441840</vt:i4>
      </vt:variant>
      <vt:variant>
        <vt:i4>1364</vt:i4>
      </vt:variant>
      <vt:variant>
        <vt:i4>0</vt:i4>
      </vt:variant>
      <vt:variant>
        <vt:i4>5</vt:i4>
      </vt:variant>
      <vt:variant>
        <vt:lpwstr/>
      </vt:variant>
      <vt:variant>
        <vt:lpwstr>_Toc510071210</vt:lpwstr>
      </vt:variant>
      <vt:variant>
        <vt:i4>1507376</vt:i4>
      </vt:variant>
      <vt:variant>
        <vt:i4>1358</vt:i4>
      </vt:variant>
      <vt:variant>
        <vt:i4>0</vt:i4>
      </vt:variant>
      <vt:variant>
        <vt:i4>5</vt:i4>
      </vt:variant>
      <vt:variant>
        <vt:lpwstr/>
      </vt:variant>
      <vt:variant>
        <vt:lpwstr>_Toc510071209</vt:lpwstr>
      </vt:variant>
      <vt:variant>
        <vt:i4>1507376</vt:i4>
      </vt:variant>
      <vt:variant>
        <vt:i4>1352</vt:i4>
      </vt:variant>
      <vt:variant>
        <vt:i4>0</vt:i4>
      </vt:variant>
      <vt:variant>
        <vt:i4>5</vt:i4>
      </vt:variant>
      <vt:variant>
        <vt:lpwstr/>
      </vt:variant>
      <vt:variant>
        <vt:lpwstr>_Toc510071208</vt:lpwstr>
      </vt:variant>
      <vt:variant>
        <vt:i4>1507376</vt:i4>
      </vt:variant>
      <vt:variant>
        <vt:i4>1346</vt:i4>
      </vt:variant>
      <vt:variant>
        <vt:i4>0</vt:i4>
      </vt:variant>
      <vt:variant>
        <vt:i4>5</vt:i4>
      </vt:variant>
      <vt:variant>
        <vt:lpwstr/>
      </vt:variant>
      <vt:variant>
        <vt:lpwstr>_Toc510071207</vt:lpwstr>
      </vt:variant>
      <vt:variant>
        <vt:i4>1507376</vt:i4>
      </vt:variant>
      <vt:variant>
        <vt:i4>1340</vt:i4>
      </vt:variant>
      <vt:variant>
        <vt:i4>0</vt:i4>
      </vt:variant>
      <vt:variant>
        <vt:i4>5</vt:i4>
      </vt:variant>
      <vt:variant>
        <vt:lpwstr/>
      </vt:variant>
      <vt:variant>
        <vt:lpwstr>_Toc510071206</vt:lpwstr>
      </vt:variant>
      <vt:variant>
        <vt:i4>1507376</vt:i4>
      </vt:variant>
      <vt:variant>
        <vt:i4>1334</vt:i4>
      </vt:variant>
      <vt:variant>
        <vt:i4>0</vt:i4>
      </vt:variant>
      <vt:variant>
        <vt:i4>5</vt:i4>
      </vt:variant>
      <vt:variant>
        <vt:lpwstr/>
      </vt:variant>
      <vt:variant>
        <vt:lpwstr>_Toc510071205</vt:lpwstr>
      </vt:variant>
      <vt:variant>
        <vt:i4>1507376</vt:i4>
      </vt:variant>
      <vt:variant>
        <vt:i4>1328</vt:i4>
      </vt:variant>
      <vt:variant>
        <vt:i4>0</vt:i4>
      </vt:variant>
      <vt:variant>
        <vt:i4>5</vt:i4>
      </vt:variant>
      <vt:variant>
        <vt:lpwstr/>
      </vt:variant>
      <vt:variant>
        <vt:lpwstr>_Toc510071204</vt:lpwstr>
      </vt:variant>
      <vt:variant>
        <vt:i4>1507376</vt:i4>
      </vt:variant>
      <vt:variant>
        <vt:i4>1322</vt:i4>
      </vt:variant>
      <vt:variant>
        <vt:i4>0</vt:i4>
      </vt:variant>
      <vt:variant>
        <vt:i4>5</vt:i4>
      </vt:variant>
      <vt:variant>
        <vt:lpwstr/>
      </vt:variant>
      <vt:variant>
        <vt:lpwstr>_Toc510071203</vt:lpwstr>
      </vt:variant>
      <vt:variant>
        <vt:i4>1507376</vt:i4>
      </vt:variant>
      <vt:variant>
        <vt:i4>1316</vt:i4>
      </vt:variant>
      <vt:variant>
        <vt:i4>0</vt:i4>
      </vt:variant>
      <vt:variant>
        <vt:i4>5</vt:i4>
      </vt:variant>
      <vt:variant>
        <vt:lpwstr/>
      </vt:variant>
      <vt:variant>
        <vt:lpwstr>_Toc510071202</vt:lpwstr>
      </vt:variant>
      <vt:variant>
        <vt:i4>1507376</vt:i4>
      </vt:variant>
      <vt:variant>
        <vt:i4>1310</vt:i4>
      </vt:variant>
      <vt:variant>
        <vt:i4>0</vt:i4>
      </vt:variant>
      <vt:variant>
        <vt:i4>5</vt:i4>
      </vt:variant>
      <vt:variant>
        <vt:lpwstr/>
      </vt:variant>
      <vt:variant>
        <vt:lpwstr>_Toc510071201</vt:lpwstr>
      </vt:variant>
      <vt:variant>
        <vt:i4>1507376</vt:i4>
      </vt:variant>
      <vt:variant>
        <vt:i4>1304</vt:i4>
      </vt:variant>
      <vt:variant>
        <vt:i4>0</vt:i4>
      </vt:variant>
      <vt:variant>
        <vt:i4>5</vt:i4>
      </vt:variant>
      <vt:variant>
        <vt:lpwstr/>
      </vt:variant>
      <vt:variant>
        <vt:lpwstr>_Toc510071200</vt:lpwstr>
      </vt:variant>
      <vt:variant>
        <vt:i4>1966131</vt:i4>
      </vt:variant>
      <vt:variant>
        <vt:i4>1298</vt:i4>
      </vt:variant>
      <vt:variant>
        <vt:i4>0</vt:i4>
      </vt:variant>
      <vt:variant>
        <vt:i4>5</vt:i4>
      </vt:variant>
      <vt:variant>
        <vt:lpwstr/>
      </vt:variant>
      <vt:variant>
        <vt:lpwstr>_Toc510071199</vt:lpwstr>
      </vt:variant>
      <vt:variant>
        <vt:i4>1966131</vt:i4>
      </vt:variant>
      <vt:variant>
        <vt:i4>1292</vt:i4>
      </vt:variant>
      <vt:variant>
        <vt:i4>0</vt:i4>
      </vt:variant>
      <vt:variant>
        <vt:i4>5</vt:i4>
      </vt:variant>
      <vt:variant>
        <vt:lpwstr/>
      </vt:variant>
      <vt:variant>
        <vt:lpwstr>_Toc510071198</vt:lpwstr>
      </vt:variant>
      <vt:variant>
        <vt:i4>1966131</vt:i4>
      </vt:variant>
      <vt:variant>
        <vt:i4>1286</vt:i4>
      </vt:variant>
      <vt:variant>
        <vt:i4>0</vt:i4>
      </vt:variant>
      <vt:variant>
        <vt:i4>5</vt:i4>
      </vt:variant>
      <vt:variant>
        <vt:lpwstr/>
      </vt:variant>
      <vt:variant>
        <vt:lpwstr>_Toc510071197</vt:lpwstr>
      </vt:variant>
      <vt:variant>
        <vt:i4>1966131</vt:i4>
      </vt:variant>
      <vt:variant>
        <vt:i4>1280</vt:i4>
      </vt:variant>
      <vt:variant>
        <vt:i4>0</vt:i4>
      </vt:variant>
      <vt:variant>
        <vt:i4>5</vt:i4>
      </vt:variant>
      <vt:variant>
        <vt:lpwstr/>
      </vt:variant>
      <vt:variant>
        <vt:lpwstr>_Toc510071196</vt:lpwstr>
      </vt:variant>
      <vt:variant>
        <vt:i4>1966131</vt:i4>
      </vt:variant>
      <vt:variant>
        <vt:i4>1274</vt:i4>
      </vt:variant>
      <vt:variant>
        <vt:i4>0</vt:i4>
      </vt:variant>
      <vt:variant>
        <vt:i4>5</vt:i4>
      </vt:variant>
      <vt:variant>
        <vt:lpwstr/>
      </vt:variant>
      <vt:variant>
        <vt:lpwstr>_Toc510071195</vt:lpwstr>
      </vt:variant>
      <vt:variant>
        <vt:i4>1966131</vt:i4>
      </vt:variant>
      <vt:variant>
        <vt:i4>1268</vt:i4>
      </vt:variant>
      <vt:variant>
        <vt:i4>0</vt:i4>
      </vt:variant>
      <vt:variant>
        <vt:i4>5</vt:i4>
      </vt:variant>
      <vt:variant>
        <vt:lpwstr/>
      </vt:variant>
      <vt:variant>
        <vt:lpwstr>_Toc510071194</vt:lpwstr>
      </vt:variant>
      <vt:variant>
        <vt:i4>1966131</vt:i4>
      </vt:variant>
      <vt:variant>
        <vt:i4>1262</vt:i4>
      </vt:variant>
      <vt:variant>
        <vt:i4>0</vt:i4>
      </vt:variant>
      <vt:variant>
        <vt:i4>5</vt:i4>
      </vt:variant>
      <vt:variant>
        <vt:lpwstr/>
      </vt:variant>
      <vt:variant>
        <vt:lpwstr>_Toc510071193</vt:lpwstr>
      </vt:variant>
      <vt:variant>
        <vt:i4>1966131</vt:i4>
      </vt:variant>
      <vt:variant>
        <vt:i4>1256</vt:i4>
      </vt:variant>
      <vt:variant>
        <vt:i4>0</vt:i4>
      </vt:variant>
      <vt:variant>
        <vt:i4>5</vt:i4>
      </vt:variant>
      <vt:variant>
        <vt:lpwstr/>
      </vt:variant>
      <vt:variant>
        <vt:lpwstr>_Toc510071192</vt:lpwstr>
      </vt:variant>
      <vt:variant>
        <vt:i4>1966131</vt:i4>
      </vt:variant>
      <vt:variant>
        <vt:i4>1250</vt:i4>
      </vt:variant>
      <vt:variant>
        <vt:i4>0</vt:i4>
      </vt:variant>
      <vt:variant>
        <vt:i4>5</vt:i4>
      </vt:variant>
      <vt:variant>
        <vt:lpwstr/>
      </vt:variant>
      <vt:variant>
        <vt:lpwstr>_Toc510071191</vt:lpwstr>
      </vt:variant>
      <vt:variant>
        <vt:i4>1966131</vt:i4>
      </vt:variant>
      <vt:variant>
        <vt:i4>1244</vt:i4>
      </vt:variant>
      <vt:variant>
        <vt:i4>0</vt:i4>
      </vt:variant>
      <vt:variant>
        <vt:i4>5</vt:i4>
      </vt:variant>
      <vt:variant>
        <vt:lpwstr/>
      </vt:variant>
      <vt:variant>
        <vt:lpwstr>_Toc510071190</vt:lpwstr>
      </vt:variant>
      <vt:variant>
        <vt:i4>2031667</vt:i4>
      </vt:variant>
      <vt:variant>
        <vt:i4>1238</vt:i4>
      </vt:variant>
      <vt:variant>
        <vt:i4>0</vt:i4>
      </vt:variant>
      <vt:variant>
        <vt:i4>5</vt:i4>
      </vt:variant>
      <vt:variant>
        <vt:lpwstr/>
      </vt:variant>
      <vt:variant>
        <vt:lpwstr>_Toc510071189</vt:lpwstr>
      </vt:variant>
      <vt:variant>
        <vt:i4>2031667</vt:i4>
      </vt:variant>
      <vt:variant>
        <vt:i4>1232</vt:i4>
      </vt:variant>
      <vt:variant>
        <vt:i4>0</vt:i4>
      </vt:variant>
      <vt:variant>
        <vt:i4>5</vt:i4>
      </vt:variant>
      <vt:variant>
        <vt:lpwstr/>
      </vt:variant>
      <vt:variant>
        <vt:lpwstr>_Toc510071188</vt:lpwstr>
      </vt:variant>
      <vt:variant>
        <vt:i4>2031667</vt:i4>
      </vt:variant>
      <vt:variant>
        <vt:i4>1226</vt:i4>
      </vt:variant>
      <vt:variant>
        <vt:i4>0</vt:i4>
      </vt:variant>
      <vt:variant>
        <vt:i4>5</vt:i4>
      </vt:variant>
      <vt:variant>
        <vt:lpwstr/>
      </vt:variant>
      <vt:variant>
        <vt:lpwstr>_Toc510071187</vt:lpwstr>
      </vt:variant>
      <vt:variant>
        <vt:i4>2031667</vt:i4>
      </vt:variant>
      <vt:variant>
        <vt:i4>1220</vt:i4>
      </vt:variant>
      <vt:variant>
        <vt:i4>0</vt:i4>
      </vt:variant>
      <vt:variant>
        <vt:i4>5</vt:i4>
      </vt:variant>
      <vt:variant>
        <vt:lpwstr/>
      </vt:variant>
      <vt:variant>
        <vt:lpwstr>_Toc510071186</vt:lpwstr>
      </vt:variant>
      <vt:variant>
        <vt:i4>2031667</vt:i4>
      </vt:variant>
      <vt:variant>
        <vt:i4>1214</vt:i4>
      </vt:variant>
      <vt:variant>
        <vt:i4>0</vt:i4>
      </vt:variant>
      <vt:variant>
        <vt:i4>5</vt:i4>
      </vt:variant>
      <vt:variant>
        <vt:lpwstr/>
      </vt:variant>
      <vt:variant>
        <vt:lpwstr>_Toc510071185</vt:lpwstr>
      </vt:variant>
      <vt:variant>
        <vt:i4>2031667</vt:i4>
      </vt:variant>
      <vt:variant>
        <vt:i4>1208</vt:i4>
      </vt:variant>
      <vt:variant>
        <vt:i4>0</vt:i4>
      </vt:variant>
      <vt:variant>
        <vt:i4>5</vt:i4>
      </vt:variant>
      <vt:variant>
        <vt:lpwstr/>
      </vt:variant>
      <vt:variant>
        <vt:lpwstr>_Toc510071184</vt:lpwstr>
      </vt:variant>
      <vt:variant>
        <vt:i4>2031667</vt:i4>
      </vt:variant>
      <vt:variant>
        <vt:i4>1202</vt:i4>
      </vt:variant>
      <vt:variant>
        <vt:i4>0</vt:i4>
      </vt:variant>
      <vt:variant>
        <vt:i4>5</vt:i4>
      </vt:variant>
      <vt:variant>
        <vt:lpwstr/>
      </vt:variant>
      <vt:variant>
        <vt:lpwstr>_Toc510071183</vt:lpwstr>
      </vt:variant>
      <vt:variant>
        <vt:i4>2031667</vt:i4>
      </vt:variant>
      <vt:variant>
        <vt:i4>1196</vt:i4>
      </vt:variant>
      <vt:variant>
        <vt:i4>0</vt:i4>
      </vt:variant>
      <vt:variant>
        <vt:i4>5</vt:i4>
      </vt:variant>
      <vt:variant>
        <vt:lpwstr/>
      </vt:variant>
      <vt:variant>
        <vt:lpwstr>_Toc510071182</vt:lpwstr>
      </vt:variant>
      <vt:variant>
        <vt:i4>2031667</vt:i4>
      </vt:variant>
      <vt:variant>
        <vt:i4>1190</vt:i4>
      </vt:variant>
      <vt:variant>
        <vt:i4>0</vt:i4>
      </vt:variant>
      <vt:variant>
        <vt:i4>5</vt:i4>
      </vt:variant>
      <vt:variant>
        <vt:lpwstr/>
      </vt:variant>
      <vt:variant>
        <vt:lpwstr>_Toc510071181</vt:lpwstr>
      </vt:variant>
      <vt:variant>
        <vt:i4>2031667</vt:i4>
      </vt:variant>
      <vt:variant>
        <vt:i4>1184</vt:i4>
      </vt:variant>
      <vt:variant>
        <vt:i4>0</vt:i4>
      </vt:variant>
      <vt:variant>
        <vt:i4>5</vt:i4>
      </vt:variant>
      <vt:variant>
        <vt:lpwstr/>
      </vt:variant>
      <vt:variant>
        <vt:lpwstr>_Toc510071180</vt:lpwstr>
      </vt:variant>
      <vt:variant>
        <vt:i4>1048627</vt:i4>
      </vt:variant>
      <vt:variant>
        <vt:i4>1178</vt:i4>
      </vt:variant>
      <vt:variant>
        <vt:i4>0</vt:i4>
      </vt:variant>
      <vt:variant>
        <vt:i4>5</vt:i4>
      </vt:variant>
      <vt:variant>
        <vt:lpwstr/>
      </vt:variant>
      <vt:variant>
        <vt:lpwstr>_Toc510071179</vt:lpwstr>
      </vt:variant>
      <vt:variant>
        <vt:i4>1048627</vt:i4>
      </vt:variant>
      <vt:variant>
        <vt:i4>1172</vt:i4>
      </vt:variant>
      <vt:variant>
        <vt:i4>0</vt:i4>
      </vt:variant>
      <vt:variant>
        <vt:i4>5</vt:i4>
      </vt:variant>
      <vt:variant>
        <vt:lpwstr/>
      </vt:variant>
      <vt:variant>
        <vt:lpwstr>_Toc510071178</vt:lpwstr>
      </vt:variant>
      <vt:variant>
        <vt:i4>1048627</vt:i4>
      </vt:variant>
      <vt:variant>
        <vt:i4>1166</vt:i4>
      </vt:variant>
      <vt:variant>
        <vt:i4>0</vt:i4>
      </vt:variant>
      <vt:variant>
        <vt:i4>5</vt:i4>
      </vt:variant>
      <vt:variant>
        <vt:lpwstr/>
      </vt:variant>
      <vt:variant>
        <vt:lpwstr>_Toc510071177</vt:lpwstr>
      </vt:variant>
      <vt:variant>
        <vt:i4>1048627</vt:i4>
      </vt:variant>
      <vt:variant>
        <vt:i4>1160</vt:i4>
      </vt:variant>
      <vt:variant>
        <vt:i4>0</vt:i4>
      </vt:variant>
      <vt:variant>
        <vt:i4>5</vt:i4>
      </vt:variant>
      <vt:variant>
        <vt:lpwstr/>
      </vt:variant>
      <vt:variant>
        <vt:lpwstr>_Toc510071176</vt:lpwstr>
      </vt:variant>
      <vt:variant>
        <vt:i4>1048627</vt:i4>
      </vt:variant>
      <vt:variant>
        <vt:i4>1154</vt:i4>
      </vt:variant>
      <vt:variant>
        <vt:i4>0</vt:i4>
      </vt:variant>
      <vt:variant>
        <vt:i4>5</vt:i4>
      </vt:variant>
      <vt:variant>
        <vt:lpwstr/>
      </vt:variant>
      <vt:variant>
        <vt:lpwstr>_Toc510071175</vt:lpwstr>
      </vt:variant>
      <vt:variant>
        <vt:i4>1048627</vt:i4>
      </vt:variant>
      <vt:variant>
        <vt:i4>1148</vt:i4>
      </vt:variant>
      <vt:variant>
        <vt:i4>0</vt:i4>
      </vt:variant>
      <vt:variant>
        <vt:i4>5</vt:i4>
      </vt:variant>
      <vt:variant>
        <vt:lpwstr/>
      </vt:variant>
      <vt:variant>
        <vt:lpwstr>_Toc510071174</vt:lpwstr>
      </vt:variant>
      <vt:variant>
        <vt:i4>1048627</vt:i4>
      </vt:variant>
      <vt:variant>
        <vt:i4>1142</vt:i4>
      </vt:variant>
      <vt:variant>
        <vt:i4>0</vt:i4>
      </vt:variant>
      <vt:variant>
        <vt:i4>5</vt:i4>
      </vt:variant>
      <vt:variant>
        <vt:lpwstr/>
      </vt:variant>
      <vt:variant>
        <vt:lpwstr>_Toc510071173</vt:lpwstr>
      </vt:variant>
      <vt:variant>
        <vt:i4>1048627</vt:i4>
      </vt:variant>
      <vt:variant>
        <vt:i4>1136</vt:i4>
      </vt:variant>
      <vt:variant>
        <vt:i4>0</vt:i4>
      </vt:variant>
      <vt:variant>
        <vt:i4>5</vt:i4>
      </vt:variant>
      <vt:variant>
        <vt:lpwstr/>
      </vt:variant>
      <vt:variant>
        <vt:lpwstr>_Toc510071172</vt:lpwstr>
      </vt:variant>
      <vt:variant>
        <vt:i4>1048627</vt:i4>
      </vt:variant>
      <vt:variant>
        <vt:i4>1130</vt:i4>
      </vt:variant>
      <vt:variant>
        <vt:i4>0</vt:i4>
      </vt:variant>
      <vt:variant>
        <vt:i4>5</vt:i4>
      </vt:variant>
      <vt:variant>
        <vt:lpwstr/>
      </vt:variant>
      <vt:variant>
        <vt:lpwstr>_Toc510071171</vt:lpwstr>
      </vt:variant>
      <vt:variant>
        <vt:i4>1048627</vt:i4>
      </vt:variant>
      <vt:variant>
        <vt:i4>1124</vt:i4>
      </vt:variant>
      <vt:variant>
        <vt:i4>0</vt:i4>
      </vt:variant>
      <vt:variant>
        <vt:i4>5</vt:i4>
      </vt:variant>
      <vt:variant>
        <vt:lpwstr/>
      </vt:variant>
      <vt:variant>
        <vt:lpwstr>_Toc510071170</vt:lpwstr>
      </vt:variant>
      <vt:variant>
        <vt:i4>1114163</vt:i4>
      </vt:variant>
      <vt:variant>
        <vt:i4>1118</vt:i4>
      </vt:variant>
      <vt:variant>
        <vt:i4>0</vt:i4>
      </vt:variant>
      <vt:variant>
        <vt:i4>5</vt:i4>
      </vt:variant>
      <vt:variant>
        <vt:lpwstr/>
      </vt:variant>
      <vt:variant>
        <vt:lpwstr>_Toc510071169</vt:lpwstr>
      </vt:variant>
      <vt:variant>
        <vt:i4>1114163</vt:i4>
      </vt:variant>
      <vt:variant>
        <vt:i4>1112</vt:i4>
      </vt:variant>
      <vt:variant>
        <vt:i4>0</vt:i4>
      </vt:variant>
      <vt:variant>
        <vt:i4>5</vt:i4>
      </vt:variant>
      <vt:variant>
        <vt:lpwstr/>
      </vt:variant>
      <vt:variant>
        <vt:lpwstr>_Toc510071168</vt:lpwstr>
      </vt:variant>
      <vt:variant>
        <vt:i4>1114163</vt:i4>
      </vt:variant>
      <vt:variant>
        <vt:i4>1106</vt:i4>
      </vt:variant>
      <vt:variant>
        <vt:i4>0</vt:i4>
      </vt:variant>
      <vt:variant>
        <vt:i4>5</vt:i4>
      </vt:variant>
      <vt:variant>
        <vt:lpwstr/>
      </vt:variant>
      <vt:variant>
        <vt:lpwstr>_Toc510071167</vt:lpwstr>
      </vt:variant>
      <vt:variant>
        <vt:i4>1114163</vt:i4>
      </vt:variant>
      <vt:variant>
        <vt:i4>1100</vt:i4>
      </vt:variant>
      <vt:variant>
        <vt:i4>0</vt:i4>
      </vt:variant>
      <vt:variant>
        <vt:i4>5</vt:i4>
      </vt:variant>
      <vt:variant>
        <vt:lpwstr/>
      </vt:variant>
      <vt:variant>
        <vt:lpwstr>_Toc510071166</vt:lpwstr>
      </vt:variant>
      <vt:variant>
        <vt:i4>1114163</vt:i4>
      </vt:variant>
      <vt:variant>
        <vt:i4>1094</vt:i4>
      </vt:variant>
      <vt:variant>
        <vt:i4>0</vt:i4>
      </vt:variant>
      <vt:variant>
        <vt:i4>5</vt:i4>
      </vt:variant>
      <vt:variant>
        <vt:lpwstr/>
      </vt:variant>
      <vt:variant>
        <vt:lpwstr>_Toc510071165</vt:lpwstr>
      </vt:variant>
      <vt:variant>
        <vt:i4>1114163</vt:i4>
      </vt:variant>
      <vt:variant>
        <vt:i4>1088</vt:i4>
      </vt:variant>
      <vt:variant>
        <vt:i4>0</vt:i4>
      </vt:variant>
      <vt:variant>
        <vt:i4>5</vt:i4>
      </vt:variant>
      <vt:variant>
        <vt:lpwstr/>
      </vt:variant>
      <vt:variant>
        <vt:lpwstr>_Toc510071164</vt:lpwstr>
      </vt:variant>
      <vt:variant>
        <vt:i4>1114163</vt:i4>
      </vt:variant>
      <vt:variant>
        <vt:i4>1082</vt:i4>
      </vt:variant>
      <vt:variant>
        <vt:i4>0</vt:i4>
      </vt:variant>
      <vt:variant>
        <vt:i4>5</vt:i4>
      </vt:variant>
      <vt:variant>
        <vt:lpwstr/>
      </vt:variant>
      <vt:variant>
        <vt:lpwstr>_Toc510071163</vt:lpwstr>
      </vt:variant>
      <vt:variant>
        <vt:i4>1114163</vt:i4>
      </vt:variant>
      <vt:variant>
        <vt:i4>1076</vt:i4>
      </vt:variant>
      <vt:variant>
        <vt:i4>0</vt:i4>
      </vt:variant>
      <vt:variant>
        <vt:i4>5</vt:i4>
      </vt:variant>
      <vt:variant>
        <vt:lpwstr/>
      </vt:variant>
      <vt:variant>
        <vt:lpwstr>_Toc510071162</vt:lpwstr>
      </vt:variant>
      <vt:variant>
        <vt:i4>1114163</vt:i4>
      </vt:variant>
      <vt:variant>
        <vt:i4>1070</vt:i4>
      </vt:variant>
      <vt:variant>
        <vt:i4>0</vt:i4>
      </vt:variant>
      <vt:variant>
        <vt:i4>5</vt:i4>
      </vt:variant>
      <vt:variant>
        <vt:lpwstr/>
      </vt:variant>
      <vt:variant>
        <vt:lpwstr>_Toc510071161</vt:lpwstr>
      </vt:variant>
      <vt:variant>
        <vt:i4>1114163</vt:i4>
      </vt:variant>
      <vt:variant>
        <vt:i4>1064</vt:i4>
      </vt:variant>
      <vt:variant>
        <vt:i4>0</vt:i4>
      </vt:variant>
      <vt:variant>
        <vt:i4>5</vt:i4>
      </vt:variant>
      <vt:variant>
        <vt:lpwstr/>
      </vt:variant>
      <vt:variant>
        <vt:lpwstr>_Toc510071160</vt:lpwstr>
      </vt:variant>
      <vt:variant>
        <vt:i4>1179699</vt:i4>
      </vt:variant>
      <vt:variant>
        <vt:i4>1058</vt:i4>
      </vt:variant>
      <vt:variant>
        <vt:i4>0</vt:i4>
      </vt:variant>
      <vt:variant>
        <vt:i4>5</vt:i4>
      </vt:variant>
      <vt:variant>
        <vt:lpwstr/>
      </vt:variant>
      <vt:variant>
        <vt:lpwstr>_Toc510071159</vt:lpwstr>
      </vt:variant>
      <vt:variant>
        <vt:i4>1179699</vt:i4>
      </vt:variant>
      <vt:variant>
        <vt:i4>1052</vt:i4>
      </vt:variant>
      <vt:variant>
        <vt:i4>0</vt:i4>
      </vt:variant>
      <vt:variant>
        <vt:i4>5</vt:i4>
      </vt:variant>
      <vt:variant>
        <vt:lpwstr/>
      </vt:variant>
      <vt:variant>
        <vt:lpwstr>_Toc510071158</vt:lpwstr>
      </vt:variant>
      <vt:variant>
        <vt:i4>1179699</vt:i4>
      </vt:variant>
      <vt:variant>
        <vt:i4>1046</vt:i4>
      </vt:variant>
      <vt:variant>
        <vt:i4>0</vt:i4>
      </vt:variant>
      <vt:variant>
        <vt:i4>5</vt:i4>
      </vt:variant>
      <vt:variant>
        <vt:lpwstr/>
      </vt:variant>
      <vt:variant>
        <vt:lpwstr>_Toc510071157</vt:lpwstr>
      </vt:variant>
      <vt:variant>
        <vt:i4>1179699</vt:i4>
      </vt:variant>
      <vt:variant>
        <vt:i4>1040</vt:i4>
      </vt:variant>
      <vt:variant>
        <vt:i4>0</vt:i4>
      </vt:variant>
      <vt:variant>
        <vt:i4>5</vt:i4>
      </vt:variant>
      <vt:variant>
        <vt:lpwstr/>
      </vt:variant>
      <vt:variant>
        <vt:lpwstr>_Toc510071156</vt:lpwstr>
      </vt:variant>
      <vt:variant>
        <vt:i4>1179699</vt:i4>
      </vt:variant>
      <vt:variant>
        <vt:i4>1034</vt:i4>
      </vt:variant>
      <vt:variant>
        <vt:i4>0</vt:i4>
      </vt:variant>
      <vt:variant>
        <vt:i4>5</vt:i4>
      </vt:variant>
      <vt:variant>
        <vt:lpwstr/>
      </vt:variant>
      <vt:variant>
        <vt:lpwstr>_Toc510071155</vt:lpwstr>
      </vt:variant>
      <vt:variant>
        <vt:i4>1179699</vt:i4>
      </vt:variant>
      <vt:variant>
        <vt:i4>1028</vt:i4>
      </vt:variant>
      <vt:variant>
        <vt:i4>0</vt:i4>
      </vt:variant>
      <vt:variant>
        <vt:i4>5</vt:i4>
      </vt:variant>
      <vt:variant>
        <vt:lpwstr/>
      </vt:variant>
      <vt:variant>
        <vt:lpwstr>_Toc510071154</vt:lpwstr>
      </vt:variant>
      <vt:variant>
        <vt:i4>1179699</vt:i4>
      </vt:variant>
      <vt:variant>
        <vt:i4>1022</vt:i4>
      </vt:variant>
      <vt:variant>
        <vt:i4>0</vt:i4>
      </vt:variant>
      <vt:variant>
        <vt:i4>5</vt:i4>
      </vt:variant>
      <vt:variant>
        <vt:lpwstr/>
      </vt:variant>
      <vt:variant>
        <vt:lpwstr>_Toc510071153</vt:lpwstr>
      </vt:variant>
      <vt:variant>
        <vt:i4>1179699</vt:i4>
      </vt:variant>
      <vt:variant>
        <vt:i4>1016</vt:i4>
      </vt:variant>
      <vt:variant>
        <vt:i4>0</vt:i4>
      </vt:variant>
      <vt:variant>
        <vt:i4>5</vt:i4>
      </vt:variant>
      <vt:variant>
        <vt:lpwstr/>
      </vt:variant>
      <vt:variant>
        <vt:lpwstr>_Toc510071152</vt:lpwstr>
      </vt:variant>
      <vt:variant>
        <vt:i4>1179699</vt:i4>
      </vt:variant>
      <vt:variant>
        <vt:i4>1010</vt:i4>
      </vt:variant>
      <vt:variant>
        <vt:i4>0</vt:i4>
      </vt:variant>
      <vt:variant>
        <vt:i4>5</vt:i4>
      </vt:variant>
      <vt:variant>
        <vt:lpwstr/>
      </vt:variant>
      <vt:variant>
        <vt:lpwstr>_Toc510071151</vt:lpwstr>
      </vt:variant>
      <vt:variant>
        <vt:i4>1179699</vt:i4>
      </vt:variant>
      <vt:variant>
        <vt:i4>1004</vt:i4>
      </vt:variant>
      <vt:variant>
        <vt:i4>0</vt:i4>
      </vt:variant>
      <vt:variant>
        <vt:i4>5</vt:i4>
      </vt:variant>
      <vt:variant>
        <vt:lpwstr/>
      </vt:variant>
      <vt:variant>
        <vt:lpwstr>_Toc510071150</vt:lpwstr>
      </vt:variant>
      <vt:variant>
        <vt:i4>1245235</vt:i4>
      </vt:variant>
      <vt:variant>
        <vt:i4>998</vt:i4>
      </vt:variant>
      <vt:variant>
        <vt:i4>0</vt:i4>
      </vt:variant>
      <vt:variant>
        <vt:i4>5</vt:i4>
      </vt:variant>
      <vt:variant>
        <vt:lpwstr/>
      </vt:variant>
      <vt:variant>
        <vt:lpwstr>_Toc510071149</vt:lpwstr>
      </vt:variant>
      <vt:variant>
        <vt:i4>1245235</vt:i4>
      </vt:variant>
      <vt:variant>
        <vt:i4>992</vt:i4>
      </vt:variant>
      <vt:variant>
        <vt:i4>0</vt:i4>
      </vt:variant>
      <vt:variant>
        <vt:i4>5</vt:i4>
      </vt:variant>
      <vt:variant>
        <vt:lpwstr/>
      </vt:variant>
      <vt:variant>
        <vt:lpwstr>_Toc510071148</vt:lpwstr>
      </vt:variant>
      <vt:variant>
        <vt:i4>1245235</vt:i4>
      </vt:variant>
      <vt:variant>
        <vt:i4>986</vt:i4>
      </vt:variant>
      <vt:variant>
        <vt:i4>0</vt:i4>
      </vt:variant>
      <vt:variant>
        <vt:i4>5</vt:i4>
      </vt:variant>
      <vt:variant>
        <vt:lpwstr/>
      </vt:variant>
      <vt:variant>
        <vt:lpwstr>_Toc510071147</vt:lpwstr>
      </vt:variant>
      <vt:variant>
        <vt:i4>1245235</vt:i4>
      </vt:variant>
      <vt:variant>
        <vt:i4>980</vt:i4>
      </vt:variant>
      <vt:variant>
        <vt:i4>0</vt:i4>
      </vt:variant>
      <vt:variant>
        <vt:i4>5</vt:i4>
      </vt:variant>
      <vt:variant>
        <vt:lpwstr/>
      </vt:variant>
      <vt:variant>
        <vt:lpwstr>_Toc510071146</vt:lpwstr>
      </vt:variant>
      <vt:variant>
        <vt:i4>1245235</vt:i4>
      </vt:variant>
      <vt:variant>
        <vt:i4>974</vt:i4>
      </vt:variant>
      <vt:variant>
        <vt:i4>0</vt:i4>
      </vt:variant>
      <vt:variant>
        <vt:i4>5</vt:i4>
      </vt:variant>
      <vt:variant>
        <vt:lpwstr/>
      </vt:variant>
      <vt:variant>
        <vt:lpwstr>_Toc510071145</vt:lpwstr>
      </vt:variant>
      <vt:variant>
        <vt:i4>1245235</vt:i4>
      </vt:variant>
      <vt:variant>
        <vt:i4>968</vt:i4>
      </vt:variant>
      <vt:variant>
        <vt:i4>0</vt:i4>
      </vt:variant>
      <vt:variant>
        <vt:i4>5</vt:i4>
      </vt:variant>
      <vt:variant>
        <vt:lpwstr/>
      </vt:variant>
      <vt:variant>
        <vt:lpwstr>_Toc510071144</vt:lpwstr>
      </vt:variant>
      <vt:variant>
        <vt:i4>1245235</vt:i4>
      </vt:variant>
      <vt:variant>
        <vt:i4>962</vt:i4>
      </vt:variant>
      <vt:variant>
        <vt:i4>0</vt:i4>
      </vt:variant>
      <vt:variant>
        <vt:i4>5</vt:i4>
      </vt:variant>
      <vt:variant>
        <vt:lpwstr/>
      </vt:variant>
      <vt:variant>
        <vt:lpwstr>_Toc510071143</vt:lpwstr>
      </vt:variant>
      <vt:variant>
        <vt:i4>1245235</vt:i4>
      </vt:variant>
      <vt:variant>
        <vt:i4>956</vt:i4>
      </vt:variant>
      <vt:variant>
        <vt:i4>0</vt:i4>
      </vt:variant>
      <vt:variant>
        <vt:i4>5</vt:i4>
      </vt:variant>
      <vt:variant>
        <vt:lpwstr/>
      </vt:variant>
      <vt:variant>
        <vt:lpwstr>_Toc510071142</vt:lpwstr>
      </vt:variant>
      <vt:variant>
        <vt:i4>1245235</vt:i4>
      </vt:variant>
      <vt:variant>
        <vt:i4>950</vt:i4>
      </vt:variant>
      <vt:variant>
        <vt:i4>0</vt:i4>
      </vt:variant>
      <vt:variant>
        <vt:i4>5</vt:i4>
      </vt:variant>
      <vt:variant>
        <vt:lpwstr/>
      </vt:variant>
      <vt:variant>
        <vt:lpwstr>_Toc510071141</vt:lpwstr>
      </vt:variant>
      <vt:variant>
        <vt:i4>1245235</vt:i4>
      </vt:variant>
      <vt:variant>
        <vt:i4>944</vt:i4>
      </vt:variant>
      <vt:variant>
        <vt:i4>0</vt:i4>
      </vt:variant>
      <vt:variant>
        <vt:i4>5</vt:i4>
      </vt:variant>
      <vt:variant>
        <vt:lpwstr/>
      </vt:variant>
      <vt:variant>
        <vt:lpwstr>_Toc510071140</vt:lpwstr>
      </vt:variant>
      <vt:variant>
        <vt:i4>1310771</vt:i4>
      </vt:variant>
      <vt:variant>
        <vt:i4>938</vt:i4>
      </vt:variant>
      <vt:variant>
        <vt:i4>0</vt:i4>
      </vt:variant>
      <vt:variant>
        <vt:i4>5</vt:i4>
      </vt:variant>
      <vt:variant>
        <vt:lpwstr/>
      </vt:variant>
      <vt:variant>
        <vt:lpwstr>_Toc510071139</vt:lpwstr>
      </vt:variant>
      <vt:variant>
        <vt:i4>1310771</vt:i4>
      </vt:variant>
      <vt:variant>
        <vt:i4>932</vt:i4>
      </vt:variant>
      <vt:variant>
        <vt:i4>0</vt:i4>
      </vt:variant>
      <vt:variant>
        <vt:i4>5</vt:i4>
      </vt:variant>
      <vt:variant>
        <vt:lpwstr/>
      </vt:variant>
      <vt:variant>
        <vt:lpwstr>_Toc510071138</vt:lpwstr>
      </vt:variant>
      <vt:variant>
        <vt:i4>1310771</vt:i4>
      </vt:variant>
      <vt:variant>
        <vt:i4>926</vt:i4>
      </vt:variant>
      <vt:variant>
        <vt:i4>0</vt:i4>
      </vt:variant>
      <vt:variant>
        <vt:i4>5</vt:i4>
      </vt:variant>
      <vt:variant>
        <vt:lpwstr/>
      </vt:variant>
      <vt:variant>
        <vt:lpwstr>_Toc510071137</vt:lpwstr>
      </vt:variant>
      <vt:variant>
        <vt:i4>1310771</vt:i4>
      </vt:variant>
      <vt:variant>
        <vt:i4>920</vt:i4>
      </vt:variant>
      <vt:variant>
        <vt:i4>0</vt:i4>
      </vt:variant>
      <vt:variant>
        <vt:i4>5</vt:i4>
      </vt:variant>
      <vt:variant>
        <vt:lpwstr/>
      </vt:variant>
      <vt:variant>
        <vt:lpwstr>_Toc510071136</vt:lpwstr>
      </vt:variant>
      <vt:variant>
        <vt:i4>1310771</vt:i4>
      </vt:variant>
      <vt:variant>
        <vt:i4>914</vt:i4>
      </vt:variant>
      <vt:variant>
        <vt:i4>0</vt:i4>
      </vt:variant>
      <vt:variant>
        <vt:i4>5</vt:i4>
      </vt:variant>
      <vt:variant>
        <vt:lpwstr/>
      </vt:variant>
      <vt:variant>
        <vt:lpwstr>_Toc510071135</vt:lpwstr>
      </vt:variant>
      <vt:variant>
        <vt:i4>1310771</vt:i4>
      </vt:variant>
      <vt:variant>
        <vt:i4>908</vt:i4>
      </vt:variant>
      <vt:variant>
        <vt:i4>0</vt:i4>
      </vt:variant>
      <vt:variant>
        <vt:i4>5</vt:i4>
      </vt:variant>
      <vt:variant>
        <vt:lpwstr/>
      </vt:variant>
      <vt:variant>
        <vt:lpwstr>_Toc510071134</vt:lpwstr>
      </vt:variant>
      <vt:variant>
        <vt:i4>1310771</vt:i4>
      </vt:variant>
      <vt:variant>
        <vt:i4>902</vt:i4>
      </vt:variant>
      <vt:variant>
        <vt:i4>0</vt:i4>
      </vt:variant>
      <vt:variant>
        <vt:i4>5</vt:i4>
      </vt:variant>
      <vt:variant>
        <vt:lpwstr/>
      </vt:variant>
      <vt:variant>
        <vt:lpwstr>_Toc510071133</vt:lpwstr>
      </vt:variant>
      <vt:variant>
        <vt:i4>1310771</vt:i4>
      </vt:variant>
      <vt:variant>
        <vt:i4>896</vt:i4>
      </vt:variant>
      <vt:variant>
        <vt:i4>0</vt:i4>
      </vt:variant>
      <vt:variant>
        <vt:i4>5</vt:i4>
      </vt:variant>
      <vt:variant>
        <vt:lpwstr/>
      </vt:variant>
      <vt:variant>
        <vt:lpwstr>_Toc510071132</vt:lpwstr>
      </vt:variant>
      <vt:variant>
        <vt:i4>1310771</vt:i4>
      </vt:variant>
      <vt:variant>
        <vt:i4>890</vt:i4>
      </vt:variant>
      <vt:variant>
        <vt:i4>0</vt:i4>
      </vt:variant>
      <vt:variant>
        <vt:i4>5</vt:i4>
      </vt:variant>
      <vt:variant>
        <vt:lpwstr/>
      </vt:variant>
      <vt:variant>
        <vt:lpwstr>_Toc510071131</vt:lpwstr>
      </vt:variant>
      <vt:variant>
        <vt:i4>1310771</vt:i4>
      </vt:variant>
      <vt:variant>
        <vt:i4>884</vt:i4>
      </vt:variant>
      <vt:variant>
        <vt:i4>0</vt:i4>
      </vt:variant>
      <vt:variant>
        <vt:i4>5</vt:i4>
      </vt:variant>
      <vt:variant>
        <vt:lpwstr/>
      </vt:variant>
      <vt:variant>
        <vt:lpwstr>_Toc510071130</vt:lpwstr>
      </vt:variant>
      <vt:variant>
        <vt:i4>1376307</vt:i4>
      </vt:variant>
      <vt:variant>
        <vt:i4>878</vt:i4>
      </vt:variant>
      <vt:variant>
        <vt:i4>0</vt:i4>
      </vt:variant>
      <vt:variant>
        <vt:i4>5</vt:i4>
      </vt:variant>
      <vt:variant>
        <vt:lpwstr/>
      </vt:variant>
      <vt:variant>
        <vt:lpwstr>_Toc510071129</vt:lpwstr>
      </vt:variant>
      <vt:variant>
        <vt:i4>1376307</vt:i4>
      </vt:variant>
      <vt:variant>
        <vt:i4>872</vt:i4>
      </vt:variant>
      <vt:variant>
        <vt:i4>0</vt:i4>
      </vt:variant>
      <vt:variant>
        <vt:i4>5</vt:i4>
      </vt:variant>
      <vt:variant>
        <vt:lpwstr/>
      </vt:variant>
      <vt:variant>
        <vt:lpwstr>_Toc510071128</vt:lpwstr>
      </vt:variant>
      <vt:variant>
        <vt:i4>1376307</vt:i4>
      </vt:variant>
      <vt:variant>
        <vt:i4>866</vt:i4>
      </vt:variant>
      <vt:variant>
        <vt:i4>0</vt:i4>
      </vt:variant>
      <vt:variant>
        <vt:i4>5</vt:i4>
      </vt:variant>
      <vt:variant>
        <vt:lpwstr/>
      </vt:variant>
      <vt:variant>
        <vt:lpwstr>_Toc510071127</vt:lpwstr>
      </vt:variant>
      <vt:variant>
        <vt:i4>1376307</vt:i4>
      </vt:variant>
      <vt:variant>
        <vt:i4>860</vt:i4>
      </vt:variant>
      <vt:variant>
        <vt:i4>0</vt:i4>
      </vt:variant>
      <vt:variant>
        <vt:i4>5</vt:i4>
      </vt:variant>
      <vt:variant>
        <vt:lpwstr/>
      </vt:variant>
      <vt:variant>
        <vt:lpwstr>_Toc510071126</vt:lpwstr>
      </vt:variant>
      <vt:variant>
        <vt:i4>1376307</vt:i4>
      </vt:variant>
      <vt:variant>
        <vt:i4>854</vt:i4>
      </vt:variant>
      <vt:variant>
        <vt:i4>0</vt:i4>
      </vt:variant>
      <vt:variant>
        <vt:i4>5</vt:i4>
      </vt:variant>
      <vt:variant>
        <vt:lpwstr/>
      </vt:variant>
      <vt:variant>
        <vt:lpwstr>_Toc510071125</vt:lpwstr>
      </vt:variant>
      <vt:variant>
        <vt:i4>1376307</vt:i4>
      </vt:variant>
      <vt:variant>
        <vt:i4>848</vt:i4>
      </vt:variant>
      <vt:variant>
        <vt:i4>0</vt:i4>
      </vt:variant>
      <vt:variant>
        <vt:i4>5</vt:i4>
      </vt:variant>
      <vt:variant>
        <vt:lpwstr/>
      </vt:variant>
      <vt:variant>
        <vt:lpwstr>_Toc510071124</vt:lpwstr>
      </vt:variant>
      <vt:variant>
        <vt:i4>1376307</vt:i4>
      </vt:variant>
      <vt:variant>
        <vt:i4>842</vt:i4>
      </vt:variant>
      <vt:variant>
        <vt:i4>0</vt:i4>
      </vt:variant>
      <vt:variant>
        <vt:i4>5</vt:i4>
      </vt:variant>
      <vt:variant>
        <vt:lpwstr/>
      </vt:variant>
      <vt:variant>
        <vt:lpwstr>_Toc510071123</vt:lpwstr>
      </vt:variant>
      <vt:variant>
        <vt:i4>1376307</vt:i4>
      </vt:variant>
      <vt:variant>
        <vt:i4>836</vt:i4>
      </vt:variant>
      <vt:variant>
        <vt:i4>0</vt:i4>
      </vt:variant>
      <vt:variant>
        <vt:i4>5</vt:i4>
      </vt:variant>
      <vt:variant>
        <vt:lpwstr/>
      </vt:variant>
      <vt:variant>
        <vt:lpwstr>_Toc510071122</vt:lpwstr>
      </vt:variant>
      <vt:variant>
        <vt:i4>1376307</vt:i4>
      </vt:variant>
      <vt:variant>
        <vt:i4>830</vt:i4>
      </vt:variant>
      <vt:variant>
        <vt:i4>0</vt:i4>
      </vt:variant>
      <vt:variant>
        <vt:i4>5</vt:i4>
      </vt:variant>
      <vt:variant>
        <vt:lpwstr/>
      </vt:variant>
      <vt:variant>
        <vt:lpwstr>_Toc510071121</vt:lpwstr>
      </vt:variant>
      <vt:variant>
        <vt:i4>1376307</vt:i4>
      </vt:variant>
      <vt:variant>
        <vt:i4>824</vt:i4>
      </vt:variant>
      <vt:variant>
        <vt:i4>0</vt:i4>
      </vt:variant>
      <vt:variant>
        <vt:i4>5</vt:i4>
      </vt:variant>
      <vt:variant>
        <vt:lpwstr/>
      </vt:variant>
      <vt:variant>
        <vt:lpwstr>_Toc510071120</vt:lpwstr>
      </vt:variant>
      <vt:variant>
        <vt:i4>1441843</vt:i4>
      </vt:variant>
      <vt:variant>
        <vt:i4>818</vt:i4>
      </vt:variant>
      <vt:variant>
        <vt:i4>0</vt:i4>
      </vt:variant>
      <vt:variant>
        <vt:i4>5</vt:i4>
      </vt:variant>
      <vt:variant>
        <vt:lpwstr/>
      </vt:variant>
      <vt:variant>
        <vt:lpwstr>_Toc510071119</vt:lpwstr>
      </vt:variant>
      <vt:variant>
        <vt:i4>1441843</vt:i4>
      </vt:variant>
      <vt:variant>
        <vt:i4>812</vt:i4>
      </vt:variant>
      <vt:variant>
        <vt:i4>0</vt:i4>
      </vt:variant>
      <vt:variant>
        <vt:i4>5</vt:i4>
      </vt:variant>
      <vt:variant>
        <vt:lpwstr/>
      </vt:variant>
      <vt:variant>
        <vt:lpwstr>_Toc510071118</vt:lpwstr>
      </vt:variant>
      <vt:variant>
        <vt:i4>1441843</vt:i4>
      </vt:variant>
      <vt:variant>
        <vt:i4>806</vt:i4>
      </vt:variant>
      <vt:variant>
        <vt:i4>0</vt:i4>
      </vt:variant>
      <vt:variant>
        <vt:i4>5</vt:i4>
      </vt:variant>
      <vt:variant>
        <vt:lpwstr/>
      </vt:variant>
      <vt:variant>
        <vt:lpwstr>_Toc510071117</vt:lpwstr>
      </vt:variant>
      <vt:variant>
        <vt:i4>1441843</vt:i4>
      </vt:variant>
      <vt:variant>
        <vt:i4>800</vt:i4>
      </vt:variant>
      <vt:variant>
        <vt:i4>0</vt:i4>
      </vt:variant>
      <vt:variant>
        <vt:i4>5</vt:i4>
      </vt:variant>
      <vt:variant>
        <vt:lpwstr/>
      </vt:variant>
      <vt:variant>
        <vt:lpwstr>_Toc510071116</vt:lpwstr>
      </vt:variant>
      <vt:variant>
        <vt:i4>1441843</vt:i4>
      </vt:variant>
      <vt:variant>
        <vt:i4>794</vt:i4>
      </vt:variant>
      <vt:variant>
        <vt:i4>0</vt:i4>
      </vt:variant>
      <vt:variant>
        <vt:i4>5</vt:i4>
      </vt:variant>
      <vt:variant>
        <vt:lpwstr/>
      </vt:variant>
      <vt:variant>
        <vt:lpwstr>_Toc510071115</vt:lpwstr>
      </vt:variant>
      <vt:variant>
        <vt:i4>1441843</vt:i4>
      </vt:variant>
      <vt:variant>
        <vt:i4>788</vt:i4>
      </vt:variant>
      <vt:variant>
        <vt:i4>0</vt:i4>
      </vt:variant>
      <vt:variant>
        <vt:i4>5</vt:i4>
      </vt:variant>
      <vt:variant>
        <vt:lpwstr/>
      </vt:variant>
      <vt:variant>
        <vt:lpwstr>_Toc510071114</vt:lpwstr>
      </vt:variant>
      <vt:variant>
        <vt:i4>1441843</vt:i4>
      </vt:variant>
      <vt:variant>
        <vt:i4>782</vt:i4>
      </vt:variant>
      <vt:variant>
        <vt:i4>0</vt:i4>
      </vt:variant>
      <vt:variant>
        <vt:i4>5</vt:i4>
      </vt:variant>
      <vt:variant>
        <vt:lpwstr/>
      </vt:variant>
      <vt:variant>
        <vt:lpwstr>_Toc510071113</vt:lpwstr>
      </vt:variant>
      <vt:variant>
        <vt:i4>1441843</vt:i4>
      </vt:variant>
      <vt:variant>
        <vt:i4>776</vt:i4>
      </vt:variant>
      <vt:variant>
        <vt:i4>0</vt:i4>
      </vt:variant>
      <vt:variant>
        <vt:i4>5</vt:i4>
      </vt:variant>
      <vt:variant>
        <vt:lpwstr/>
      </vt:variant>
      <vt:variant>
        <vt:lpwstr>_Toc510071112</vt:lpwstr>
      </vt:variant>
      <vt:variant>
        <vt:i4>1441843</vt:i4>
      </vt:variant>
      <vt:variant>
        <vt:i4>770</vt:i4>
      </vt:variant>
      <vt:variant>
        <vt:i4>0</vt:i4>
      </vt:variant>
      <vt:variant>
        <vt:i4>5</vt:i4>
      </vt:variant>
      <vt:variant>
        <vt:lpwstr/>
      </vt:variant>
      <vt:variant>
        <vt:lpwstr>_Toc510071111</vt:lpwstr>
      </vt:variant>
      <vt:variant>
        <vt:i4>1441843</vt:i4>
      </vt:variant>
      <vt:variant>
        <vt:i4>764</vt:i4>
      </vt:variant>
      <vt:variant>
        <vt:i4>0</vt:i4>
      </vt:variant>
      <vt:variant>
        <vt:i4>5</vt:i4>
      </vt:variant>
      <vt:variant>
        <vt:lpwstr/>
      </vt:variant>
      <vt:variant>
        <vt:lpwstr>_Toc510071110</vt:lpwstr>
      </vt:variant>
      <vt:variant>
        <vt:i4>1507379</vt:i4>
      </vt:variant>
      <vt:variant>
        <vt:i4>758</vt:i4>
      </vt:variant>
      <vt:variant>
        <vt:i4>0</vt:i4>
      </vt:variant>
      <vt:variant>
        <vt:i4>5</vt:i4>
      </vt:variant>
      <vt:variant>
        <vt:lpwstr/>
      </vt:variant>
      <vt:variant>
        <vt:lpwstr>_Toc510071109</vt:lpwstr>
      </vt:variant>
      <vt:variant>
        <vt:i4>1507379</vt:i4>
      </vt:variant>
      <vt:variant>
        <vt:i4>752</vt:i4>
      </vt:variant>
      <vt:variant>
        <vt:i4>0</vt:i4>
      </vt:variant>
      <vt:variant>
        <vt:i4>5</vt:i4>
      </vt:variant>
      <vt:variant>
        <vt:lpwstr/>
      </vt:variant>
      <vt:variant>
        <vt:lpwstr>_Toc510071108</vt:lpwstr>
      </vt:variant>
      <vt:variant>
        <vt:i4>1507379</vt:i4>
      </vt:variant>
      <vt:variant>
        <vt:i4>746</vt:i4>
      </vt:variant>
      <vt:variant>
        <vt:i4>0</vt:i4>
      </vt:variant>
      <vt:variant>
        <vt:i4>5</vt:i4>
      </vt:variant>
      <vt:variant>
        <vt:lpwstr/>
      </vt:variant>
      <vt:variant>
        <vt:lpwstr>_Toc510071107</vt:lpwstr>
      </vt:variant>
      <vt:variant>
        <vt:i4>1507379</vt:i4>
      </vt:variant>
      <vt:variant>
        <vt:i4>740</vt:i4>
      </vt:variant>
      <vt:variant>
        <vt:i4>0</vt:i4>
      </vt:variant>
      <vt:variant>
        <vt:i4>5</vt:i4>
      </vt:variant>
      <vt:variant>
        <vt:lpwstr/>
      </vt:variant>
      <vt:variant>
        <vt:lpwstr>_Toc510071106</vt:lpwstr>
      </vt:variant>
      <vt:variant>
        <vt:i4>1507379</vt:i4>
      </vt:variant>
      <vt:variant>
        <vt:i4>734</vt:i4>
      </vt:variant>
      <vt:variant>
        <vt:i4>0</vt:i4>
      </vt:variant>
      <vt:variant>
        <vt:i4>5</vt:i4>
      </vt:variant>
      <vt:variant>
        <vt:lpwstr/>
      </vt:variant>
      <vt:variant>
        <vt:lpwstr>_Toc510071105</vt:lpwstr>
      </vt:variant>
      <vt:variant>
        <vt:i4>1507379</vt:i4>
      </vt:variant>
      <vt:variant>
        <vt:i4>728</vt:i4>
      </vt:variant>
      <vt:variant>
        <vt:i4>0</vt:i4>
      </vt:variant>
      <vt:variant>
        <vt:i4>5</vt:i4>
      </vt:variant>
      <vt:variant>
        <vt:lpwstr/>
      </vt:variant>
      <vt:variant>
        <vt:lpwstr>_Toc510071104</vt:lpwstr>
      </vt:variant>
      <vt:variant>
        <vt:i4>1507379</vt:i4>
      </vt:variant>
      <vt:variant>
        <vt:i4>722</vt:i4>
      </vt:variant>
      <vt:variant>
        <vt:i4>0</vt:i4>
      </vt:variant>
      <vt:variant>
        <vt:i4>5</vt:i4>
      </vt:variant>
      <vt:variant>
        <vt:lpwstr/>
      </vt:variant>
      <vt:variant>
        <vt:lpwstr>_Toc510071103</vt:lpwstr>
      </vt:variant>
      <vt:variant>
        <vt:i4>1507379</vt:i4>
      </vt:variant>
      <vt:variant>
        <vt:i4>716</vt:i4>
      </vt:variant>
      <vt:variant>
        <vt:i4>0</vt:i4>
      </vt:variant>
      <vt:variant>
        <vt:i4>5</vt:i4>
      </vt:variant>
      <vt:variant>
        <vt:lpwstr/>
      </vt:variant>
      <vt:variant>
        <vt:lpwstr>_Toc510071102</vt:lpwstr>
      </vt:variant>
      <vt:variant>
        <vt:i4>1507379</vt:i4>
      </vt:variant>
      <vt:variant>
        <vt:i4>710</vt:i4>
      </vt:variant>
      <vt:variant>
        <vt:i4>0</vt:i4>
      </vt:variant>
      <vt:variant>
        <vt:i4>5</vt:i4>
      </vt:variant>
      <vt:variant>
        <vt:lpwstr/>
      </vt:variant>
      <vt:variant>
        <vt:lpwstr>_Toc510071101</vt:lpwstr>
      </vt:variant>
      <vt:variant>
        <vt:i4>1507379</vt:i4>
      </vt:variant>
      <vt:variant>
        <vt:i4>704</vt:i4>
      </vt:variant>
      <vt:variant>
        <vt:i4>0</vt:i4>
      </vt:variant>
      <vt:variant>
        <vt:i4>5</vt:i4>
      </vt:variant>
      <vt:variant>
        <vt:lpwstr/>
      </vt:variant>
      <vt:variant>
        <vt:lpwstr>_Toc510071100</vt:lpwstr>
      </vt:variant>
      <vt:variant>
        <vt:i4>1966130</vt:i4>
      </vt:variant>
      <vt:variant>
        <vt:i4>698</vt:i4>
      </vt:variant>
      <vt:variant>
        <vt:i4>0</vt:i4>
      </vt:variant>
      <vt:variant>
        <vt:i4>5</vt:i4>
      </vt:variant>
      <vt:variant>
        <vt:lpwstr/>
      </vt:variant>
      <vt:variant>
        <vt:lpwstr>_Toc510071099</vt:lpwstr>
      </vt:variant>
      <vt:variant>
        <vt:i4>1966130</vt:i4>
      </vt:variant>
      <vt:variant>
        <vt:i4>692</vt:i4>
      </vt:variant>
      <vt:variant>
        <vt:i4>0</vt:i4>
      </vt:variant>
      <vt:variant>
        <vt:i4>5</vt:i4>
      </vt:variant>
      <vt:variant>
        <vt:lpwstr/>
      </vt:variant>
      <vt:variant>
        <vt:lpwstr>_Toc510071098</vt:lpwstr>
      </vt:variant>
      <vt:variant>
        <vt:i4>1966130</vt:i4>
      </vt:variant>
      <vt:variant>
        <vt:i4>686</vt:i4>
      </vt:variant>
      <vt:variant>
        <vt:i4>0</vt:i4>
      </vt:variant>
      <vt:variant>
        <vt:i4>5</vt:i4>
      </vt:variant>
      <vt:variant>
        <vt:lpwstr/>
      </vt:variant>
      <vt:variant>
        <vt:lpwstr>_Toc510071097</vt:lpwstr>
      </vt:variant>
      <vt:variant>
        <vt:i4>1966130</vt:i4>
      </vt:variant>
      <vt:variant>
        <vt:i4>680</vt:i4>
      </vt:variant>
      <vt:variant>
        <vt:i4>0</vt:i4>
      </vt:variant>
      <vt:variant>
        <vt:i4>5</vt:i4>
      </vt:variant>
      <vt:variant>
        <vt:lpwstr/>
      </vt:variant>
      <vt:variant>
        <vt:lpwstr>_Toc510071096</vt:lpwstr>
      </vt:variant>
      <vt:variant>
        <vt:i4>1966130</vt:i4>
      </vt:variant>
      <vt:variant>
        <vt:i4>674</vt:i4>
      </vt:variant>
      <vt:variant>
        <vt:i4>0</vt:i4>
      </vt:variant>
      <vt:variant>
        <vt:i4>5</vt:i4>
      </vt:variant>
      <vt:variant>
        <vt:lpwstr/>
      </vt:variant>
      <vt:variant>
        <vt:lpwstr>_Toc510071095</vt:lpwstr>
      </vt:variant>
      <vt:variant>
        <vt:i4>1966130</vt:i4>
      </vt:variant>
      <vt:variant>
        <vt:i4>668</vt:i4>
      </vt:variant>
      <vt:variant>
        <vt:i4>0</vt:i4>
      </vt:variant>
      <vt:variant>
        <vt:i4>5</vt:i4>
      </vt:variant>
      <vt:variant>
        <vt:lpwstr/>
      </vt:variant>
      <vt:variant>
        <vt:lpwstr>_Toc510071094</vt:lpwstr>
      </vt:variant>
      <vt:variant>
        <vt:i4>1966130</vt:i4>
      </vt:variant>
      <vt:variant>
        <vt:i4>662</vt:i4>
      </vt:variant>
      <vt:variant>
        <vt:i4>0</vt:i4>
      </vt:variant>
      <vt:variant>
        <vt:i4>5</vt:i4>
      </vt:variant>
      <vt:variant>
        <vt:lpwstr/>
      </vt:variant>
      <vt:variant>
        <vt:lpwstr>_Toc510071093</vt:lpwstr>
      </vt:variant>
      <vt:variant>
        <vt:i4>1966130</vt:i4>
      </vt:variant>
      <vt:variant>
        <vt:i4>656</vt:i4>
      </vt:variant>
      <vt:variant>
        <vt:i4>0</vt:i4>
      </vt:variant>
      <vt:variant>
        <vt:i4>5</vt:i4>
      </vt:variant>
      <vt:variant>
        <vt:lpwstr/>
      </vt:variant>
      <vt:variant>
        <vt:lpwstr>_Toc510071092</vt:lpwstr>
      </vt:variant>
      <vt:variant>
        <vt:i4>1966130</vt:i4>
      </vt:variant>
      <vt:variant>
        <vt:i4>650</vt:i4>
      </vt:variant>
      <vt:variant>
        <vt:i4>0</vt:i4>
      </vt:variant>
      <vt:variant>
        <vt:i4>5</vt:i4>
      </vt:variant>
      <vt:variant>
        <vt:lpwstr/>
      </vt:variant>
      <vt:variant>
        <vt:lpwstr>_Toc510071091</vt:lpwstr>
      </vt:variant>
      <vt:variant>
        <vt:i4>1966130</vt:i4>
      </vt:variant>
      <vt:variant>
        <vt:i4>644</vt:i4>
      </vt:variant>
      <vt:variant>
        <vt:i4>0</vt:i4>
      </vt:variant>
      <vt:variant>
        <vt:i4>5</vt:i4>
      </vt:variant>
      <vt:variant>
        <vt:lpwstr/>
      </vt:variant>
      <vt:variant>
        <vt:lpwstr>_Toc510071090</vt:lpwstr>
      </vt:variant>
      <vt:variant>
        <vt:i4>2031666</vt:i4>
      </vt:variant>
      <vt:variant>
        <vt:i4>638</vt:i4>
      </vt:variant>
      <vt:variant>
        <vt:i4>0</vt:i4>
      </vt:variant>
      <vt:variant>
        <vt:i4>5</vt:i4>
      </vt:variant>
      <vt:variant>
        <vt:lpwstr/>
      </vt:variant>
      <vt:variant>
        <vt:lpwstr>_Toc510071089</vt:lpwstr>
      </vt:variant>
      <vt:variant>
        <vt:i4>2031666</vt:i4>
      </vt:variant>
      <vt:variant>
        <vt:i4>632</vt:i4>
      </vt:variant>
      <vt:variant>
        <vt:i4>0</vt:i4>
      </vt:variant>
      <vt:variant>
        <vt:i4>5</vt:i4>
      </vt:variant>
      <vt:variant>
        <vt:lpwstr/>
      </vt:variant>
      <vt:variant>
        <vt:lpwstr>_Toc510071088</vt:lpwstr>
      </vt:variant>
      <vt:variant>
        <vt:i4>2031666</vt:i4>
      </vt:variant>
      <vt:variant>
        <vt:i4>626</vt:i4>
      </vt:variant>
      <vt:variant>
        <vt:i4>0</vt:i4>
      </vt:variant>
      <vt:variant>
        <vt:i4>5</vt:i4>
      </vt:variant>
      <vt:variant>
        <vt:lpwstr/>
      </vt:variant>
      <vt:variant>
        <vt:lpwstr>_Toc510071087</vt:lpwstr>
      </vt:variant>
      <vt:variant>
        <vt:i4>2031666</vt:i4>
      </vt:variant>
      <vt:variant>
        <vt:i4>620</vt:i4>
      </vt:variant>
      <vt:variant>
        <vt:i4>0</vt:i4>
      </vt:variant>
      <vt:variant>
        <vt:i4>5</vt:i4>
      </vt:variant>
      <vt:variant>
        <vt:lpwstr/>
      </vt:variant>
      <vt:variant>
        <vt:lpwstr>_Toc510071086</vt:lpwstr>
      </vt:variant>
      <vt:variant>
        <vt:i4>2031666</vt:i4>
      </vt:variant>
      <vt:variant>
        <vt:i4>614</vt:i4>
      </vt:variant>
      <vt:variant>
        <vt:i4>0</vt:i4>
      </vt:variant>
      <vt:variant>
        <vt:i4>5</vt:i4>
      </vt:variant>
      <vt:variant>
        <vt:lpwstr/>
      </vt:variant>
      <vt:variant>
        <vt:lpwstr>_Toc510071085</vt:lpwstr>
      </vt:variant>
      <vt:variant>
        <vt:i4>2031666</vt:i4>
      </vt:variant>
      <vt:variant>
        <vt:i4>608</vt:i4>
      </vt:variant>
      <vt:variant>
        <vt:i4>0</vt:i4>
      </vt:variant>
      <vt:variant>
        <vt:i4>5</vt:i4>
      </vt:variant>
      <vt:variant>
        <vt:lpwstr/>
      </vt:variant>
      <vt:variant>
        <vt:lpwstr>_Toc510071084</vt:lpwstr>
      </vt:variant>
      <vt:variant>
        <vt:i4>2031666</vt:i4>
      </vt:variant>
      <vt:variant>
        <vt:i4>602</vt:i4>
      </vt:variant>
      <vt:variant>
        <vt:i4>0</vt:i4>
      </vt:variant>
      <vt:variant>
        <vt:i4>5</vt:i4>
      </vt:variant>
      <vt:variant>
        <vt:lpwstr/>
      </vt:variant>
      <vt:variant>
        <vt:lpwstr>_Toc510071083</vt:lpwstr>
      </vt:variant>
      <vt:variant>
        <vt:i4>2031666</vt:i4>
      </vt:variant>
      <vt:variant>
        <vt:i4>596</vt:i4>
      </vt:variant>
      <vt:variant>
        <vt:i4>0</vt:i4>
      </vt:variant>
      <vt:variant>
        <vt:i4>5</vt:i4>
      </vt:variant>
      <vt:variant>
        <vt:lpwstr/>
      </vt:variant>
      <vt:variant>
        <vt:lpwstr>_Toc510071082</vt:lpwstr>
      </vt:variant>
      <vt:variant>
        <vt:i4>2031666</vt:i4>
      </vt:variant>
      <vt:variant>
        <vt:i4>590</vt:i4>
      </vt:variant>
      <vt:variant>
        <vt:i4>0</vt:i4>
      </vt:variant>
      <vt:variant>
        <vt:i4>5</vt:i4>
      </vt:variant>
      <vt:variant>
        <vt:lpwstr/>
      </vt:variant>
      <vt:variant>
        <vt:lpwstr>_Toc510071081</vt:lpwstr>
      </vt:variant>
      <vt:variant>
        <vt:i4>2031666</vt:i4>
      </vt:variant>
      <vt:variant>
        <vt:i4>584</vt:i4>
      </vt:variant>
      <vt:variant>
        <vt:i4>0</vt:i4>
      </vt:variant>
      <vt:variant>
        <vt:i4>5</vt:i4>
      </vt:variant>
      <vt:variant>
        <vt:lpwstr/>
      </vt:variant>
      <vt:variant>
        <vt:lpwstr>_Toc510071080</vt:lpwstr>
      </vt:variant>
      <vt:variant>
        <vt:i4>1048626</vt:i4>
      </vt:variant>
      <vt:variant>
        <vt:i4>578</vt:i4>
      </vt:variant>
      <vt:variant>
        <vt:i4>0</vt:i4>
      </vt:variant>
      <vt:variant>
        <vt:i4>5</vt:i4>
      </vt:variant>
      <vt:variant>
        <vt:lpwstr/>
      </vt:variant>
      <vt:variant>
        <vt:lpwstr>_Toc510071079</vt:lpwstr>
      </vt:variant>
      <vt:variant>
        <vt:i4>1048626</vt:i4>
      </vt:variant>
      <vt:variant>
        <vt:i4>572</vt:i4>
      </vt:variant>
      <vt:variant>
        <vt:i4>0</vt:i4>
      </vt:variant>
      <vt:variant>
        <vt:i4>5</vt:i4>
      </vt:variant>
      <vt:variant>
        <vt:lpwstr/>
      </vt:variant>
      <vt:variant>
        <vt:lpwstr>_Toc510071078</vt:lpwstr>
      </vt:variant>
      <vt:variant>
        <vt:i4>1048626</vt:i4>
      </vt:variant>
      <vt:variant>
        <vt:i4>566</vt:i4>
      </vt:variant>
      <vt:variant>
        <vt:i4>0</vt:i4>
      </vt:variant>
      <vt:variant>
        <vt:i4>5</vt:i4>
      </vt:variant>
      <vt:variant>
        <vt:lpwstr/>
      </vt:variant>
      <vt:variant>
        <vt:lpwstr>_Toc510071077</vt:lpwstr>
      </vt:variant>
      <vt:variant>
        <vt:i4>1048626</vt:i4>
      </vt:variant>
      <vt:variant>
        <vt:i4>560</vt:i4>
      </vt:variant>
      <vt:variant>
        <vt:i4>0</vt:i4>
      </vt:variant>
      <vt:variant>
        <vt:i4>5</vt:i4>
      </vt:variant>
      <vt:variant>
        <vt:lpwstr/>
      </vt:variant>
      <vt:variant>
        <vt:lpwstr>_Toc510071076</vt:lpwstr>
      </vt:variant>
      <vt:variant>
        <vt:i4>1048626</vt:i4>
      </vt:variant>
      <vt:variant>
        <vt:i4>554</vt:i4>
      </vt:variant>
      <vt:variant>
        <vt:i4>0</vt:i4>
      </vt:variant>
      <vt:variant>
        <vt:i4>5</vt:i4>
      </vt:variant>
      <vt:variant>
        <vt:lpwstr/>
      </vt:variant>
      <vt:variant>
        <vt:lpwstr>_Toc510071075</vt:lpwstr>
      </vt:variant>
      <vt:variant>
        <vt:i4>1048626</vt:i4>
      </vt:variant>
      <vt:variant>
        <vt:i4>548</vt:i4>
      </vt:variant>
      <vt:variant>
        <vt:i4>0</vt:i4>
      </vt:variant>
      <vt:variant>
        <vt:i4>5</vt:i4>
      </vt:variant>
      <vt:variant>
        <vt:lpwstr/>
      </vt:variant>
      <vt:variant>
        <vt:lpwstr>_Toc510071074</vt:lpwstr>
      </vt:variant>
      <vt:variant>
        <vt:i4>1048626</vt:i4>
      </vt:variant>
      <vt:variant>
        <vt:i4>542</vt:i4>
      </vt:variant>
      <vt:variant>
        <vt:i4>0</vt:i4>
      </vt:variant>
      <vt:variant>
        <vt:i4>5</vt:i4>
      </vt:variant>
      <vt:variant>
        <vt:lpwstr/>
      </vt:variant>
      <vt:variant>
        <vt:lpwstr>_Toc510071073</vt:lpwstr>
      </vt:variant>
      <vt:variant>
        <vt:i4>1048626</vt:i4>
      </vt:variant>
      <vt:variant>
        <vt:i4>536</vt:i4>
      </vt:variant>
      <vt:variant>
        <vt:i4>0</vt:i4>
      </vt:variant>
      <vt:variant>
        <vt:i4>5</vt:i4>
      </vt:variant>
      <vt:variant>
        <vt:lpwstr/>
      </vt:variant>
      <vt:variant>
        <vt:lpwstr>_Toc510071072</vt:lpwstr>
      </vt:variant>
      <vt:variant>
        <vt:i4>1048626</vt:i4>
      </vt:variant>
      <vt:variant>
        <vt:i4>530</vt:i4>
      </vt:variant>
      <vt:variant>
        <vt:i4>0</vt:i4>
      </vt:variant>
      <vt:variant>
        <vt:i4>5</vt:i4>
      </vt:variant>
      <vt:variant>
        <vt:lpwstr/>
      </vt:variant>
      <vt:variant>
        <vt:lpwstr>_Toc510071071</vt:lpwstr>
      </vt:variant>
      <vt:variant>
        <vt:i4>1048626</vt:i4>
      </vt:variant>
      <vt:variant>
        <vt:i4>524</vt:i4>
      </vt:variant>
      <vt:variant>
        <vt:i4>0</vt:i4>
      </vt:variant>
      <vt:variant>
        <vt:i4>5</vt:i4>
      </vt:variant>
      <vt:variant>
        <vt:lpwstr/>
      </vt:variant>
      <vt:variant>
        <vt:lpwstr>_Toc510071070</vt:lpwstr>
      </vt:variant>
      <vt:variant>
        <vt:i4>1114162</vt:i4>
      </vt:variant>
      <vt:variant>
        <vt:i4>518</vt:i4>
      </vt:variant>
      <vt:variant>
        <vt:i4>0</vt:i4>
      </vt:variant>
      <vt:variant>
        <vt:i4>5</vt:i4>
      </vt:variant>
      <vt:variant>
        <vt:lpwstr/>
      </vt:variant>
      <vt:variant>
        <vt:lpwstr>_Toc510071069</vt:lpwstr>
      </vt:variant>
      <vt:variant>
        <vt:i4>1114162</vt:i4>
      </vt:variant>
      <vt:variant>
        <vt:i4>512</vt:i4>
      </vt:variant>
      <vt:variant>
        <vt:i4>0</vt:i4>
      </vt:variant>
      <vt:variant>
        <vt:i4>5</vt:i4>
      </vt:variant>
      <vt:variant>
        <vt:lpwstr/>
      </vt:variant>
      <vt:variant>
        <vt:lpwstr>_Toc510071068</vt:lpwstr>
      </vt:variant>
      <vt:variant>
        <vt:i4>1114162</vt:i4>
      </vt:variant>
      <vt:variant>
        <vt:i4>506</vt:i4>
      </vt:variant>
      <vt:variant>
        <vt:i4>0</vt:i4>
      </vt:variant>
      <vt:variant>
        <vt:i4>5</vt:i4>
      </vt:variant>
      <vt:variant>
        <vt:lpwstr/>
      </vt:variant>
      <vt:variant>
        <vt:lpwstr>_Toc510071067</vt:lpwstr>
      </vt:variant>
      <vt:variant>
        <vt:i4>1114162</vt:i4>
      </vt:variant>
      <vt:variant>
        <vt:i4>500</vt:i4>
      </vt:variant>
      <vt:variant>
        <vt:i4>0</vt:i4>
      </vt:variant>
      <vt:variant>
        <vt:i4>5</vt:i4>
      </vt:variant>
      <vt:variant>
        <vt:lpwstr/>
      </vt:variant>
      <vt:variant>
        <vt:lpwstr>_Toc510071066</vt:lpwstr>
      </vt:variant>
      <vt:variant>
        <vt:i4>1114162</vt:i4>
      </vt:variant>
      <vt:variant>
        <vt:i4>494</vt:i4>
      </vt:variant>
      <vt:variant>
        <vt:i4>0</vt:i4>
      </vt:variant>
      <vt:variant>
        <vt:i4>5</vt:i4>
      </vt:variant>
      <vt:variant>
        <vt:lpwstr/>
      </vt:variant>
      <vt:variant>
        <vt:lpwstr>_Toc510071065</vt:lpwstr>
      </vt:variant>
      <vt:variant>
        <vt:i4>1114162</vt:i4>
      </vt:variant>
      <vt:variant>
        <vt:i4>488</vt:i4>
      </vt:variant>
      <vt:variant>
        <vt:i4>0</vt:i4>
      </vt:variant>
      <vt:variant>
        <vt:i4>5</vt:i4>
      </vt:variant>
      <vt:variant>
        <vt:lpwstr/>
      </vt:variant>
      <vt:variant>
        <vt:lpwstr>_Toc510071064</vt:lpwstr>
      </vt:variant>
      <vt:variant>
        <vt:i4>1114162</vt:i4>
      </vt:variant>
      <vt:variant>
        <vt:i4>482</vt:i4>
      </vt:variant>
      <vt:variant>
        <vt:i4>0</vt:i4>
      </vt:variant>
      <vt:variant>
        <vt:i4>5</vt:i4>
      </vt:variant>
      <vt:variant>
        <vt:lpwstr/>
      </vt:variant>
      <vt:variant>
        <vt:lpwstr>_Toc510071063</vt:lpwstr>
      </vt:variant>
      <vt:variant>
        <vt:i4>1114162</vt:i4>
      </vt:variant>
      <vt:variant>
        <vt:i4>476</vt:i4>
      </vt:variant>
      <vt:variant>
        <vt:i4>0</vt:i4>
      </vt:variant>
      <vt:variant>
        <vt:i4>5</vt:i4>
      </vt:variant>
      <vt:variant>
        <vt:lpwstr/>
      </vt:variant>
      <vt:variant>
        <vt:lpwstr>_Toc510071062</vt:lpwstr>
      </vt:variant>
      <vt:variant>
        <vt:i4>1114162</vt:i4>
      </vt:variant>
      <vt:variant>
        <vt:i4>470</vt:i4>
      </vt:variant>
      <vt:variant>
        <vt:i4>0</vt:i4>
      </vt:variant>
      <vt:variant>
        <vt:i4>5</vt:i4>
      </vt:variant>
      <vt:variant>
        <vt:lpwstr/>
      </vt:variant>
      <vt:variant>
        <vt:lpwstr>_Toc510071061</vt:lpwstr>
      </vt:variant>
      <vt:variant>
        <vt:i4>1114162</vt:i4>
      </vt:variant>
      <vt:variant>
        <vt:i4>464</vt:i4>
      </vt:variant>
      <vt:variant>
        <vt:i4>0</vt:i4>
      </vt:variant>
      <vt:variant>
        <vt:i4>5</vt:i4>
      </vt:variant>
      <vt:variant>
        <vt:lpwstr/>
      </vt:variant>
      <vt:variant>
        <vt:lpwstr>_Toc510071060</vt:lpwstr>
      </vt:variant>
      <vt:variant>
        <vt:i4>1179698</vt:i4>
      </vt:variant>
      <vt:variant>
        <vt:i4>458</vt:i4>
      </vt:variant>
      <vt:variant>
        <vt:i4>0</vt:i4>
      </vt:variant>
      <vt:variant>
        <vt:i4>5</vt:i4>
      </vt:variant>
      <vt:variant>
        <vt:lpwstr/>
      </vt:variant>
      <vt:variant>
        <vt:lpwstr>_Toc510071059</vt:lpwstr>
      </vt:variant>
      <vt:variant>
        <vt:i4>1179698</vt:i4>
      </vt:variant>
      <vt:variant>
        <vt:i4>452</vt:i4>
      </vt:variant>
      <vt:variant>
        <vt:i4>0</vt:i4>
      </vt:variant>
      <vt:variant>
        <vt:i4>5</vt:i4>
      </vt:variant>
      <vt:variant>
        <vt:lpwstr/>
      </vt:variant>
      <vt:variant>
        <vt:lpwstr>_Toc510071058</vt:lpwstr>
      </vt:variant>
      <vt:variant>
        <vt:i4>1179698</vt:i4>
      </vt:variant>
      <vt:variant>
        <vt:i4>446</vt:i4>
      </vt:variant>
      <vt:variant>
        <vt:i4>0</vt:i4>
      </vt:variant>
      <vt:variant>
        <vt:i4>5</vt:i4>
      </vt:variant>
      <vt:variant>
        <vt:lpwstr/>
      </vt:variant>
      <vt:variant>
        <vt:lpwstr>_Toc510071057</vt:lpwstr>
      </vt:variant>
      <vt:variant>
        <vt:i4>1179698</vt:i4>
      </vt:variant>
      <vt:variant>
        <vt:i4>440</vt:i4>
      </vt:variant>
      <vt:variant>
        <vt:i4>0</vt:i4>
      </vt:variant>
      <vt:variant>
        <vt:i4>5</vt:i4>
      </vt:variant>
      <vt:variant>
        <vt:lpwstr/>
      </vt:variant>
      <vt:variant>
        <vt:lpwstr>_Toc510071056</vt:lpwstr>
      </vt:variant>
      <vt:variant>
        <vt:i4>1179698</vt:i4>
      </vt:variant>
      <vt:variant>
        <vt:i4>434</vt:i4>
      </vt:variant>
      <vt:variant>
        <vt:i4>0</vt:i4>
      </vt:variant>
      <vt:variant>
        <vt:i4>5</vt:i4>
      </vt:variant>
      <vt:variant>
        <vt:lpwstr/>
      </vt:variant>
      <vt:variant>
        <vt:lpwstr>_Toc510071055</vt:lpwstr>
      </vt:variant>
      <vt:variant>
        <vt:i4>1179698</vt:i4>
      </vt:variant>
      <vt:variant>
        <vt:i4>428</vt:i4>
      </vt:variant>
      <vt:variant>
        <vt:i4>0</vt:i4>
      </vt:variant>
      <vt:variant>
        <vt:i4>5</vt:i4>
      </vt:variant>
      <vt:variant>
        <vt:lpwstr/>
      </vt:variant>
      <vt:variant>
        <vt:lpwstr>_Toc510071054</vt:lpwstr>
      </vt:variant>
      <vt:variant>
        <vt:i4>1179698</vt:i4>
      </vt:variant>
      <vt:variant>
        <vt:i4>422</vt:i4>
      </vt:variant>
      <vt:variant>
        <vt:i4>0</vt:i4>
      </vt:variant>
      <vt:variant>
        <vt:i4>5</vt:i4>
      </vt:variant>
      <vt:variant>
        <vt:lpwstr/>
      </vt:variant>
      <vt:variant>
        <vt:lpwstr>_Toc510071053</vt:lpwstr>
      </vt:variant>
      <vt:variant>
        <vt:i4>1179698</vt:i4>
      </vt:variant>
      <vt:variant>
        <vt:i4>416</vt:i4>
      </vt:variant>
      <vt:variant>
        <vt:i4>0</vt:i4>
      </vt:variant>
      <vt:variant>
        <vt:i4>5</vt:i4>
      </vt:variant>
      <vt:variant>
        <vt:lpwstr/>
      </vt:variant>
      <vt:variant>
        <vt:lpwstr>_Toc510071052</vt:lpwstr>
      </vt:variant>
      <vt:variant>
        <vt:i4>1179698</vt:i4>
      </vt:variant>
      <vt:variant>
        <vt:i4>410</vt:i4>
      </vt:variant>
      <vt:variant>
        <vt:i4>0</vt:i4>
      </vt:variant>
      <vt:variant>
        <vt:i4>5</vt:i4>
      </vt:variant>
      <vt:variant>
        <vt:lpwstr/>
      </vt:variant>
      <vt:variant>
        <vt:lpwstr>_Toc510071051</vt:lpwstr>
      </vt:variant>
      <vt:variant>
        <vt:i4>1179698</vt:i4>
      </vt:variant>
      <vt:variant>
        <vt:i4>404</vt:i4>
      </vt:variant>
      <vt:variant>
        <vt:i4>0</vt:i4>
      </vt:variant>
      <vt:variant>
        <vt:i4>5</vt:i4>
      </vt:variant>
      <vt:variant>
        <vt:lpwstr/>
      </vt:variant>
      <vt:variant>
        <vt:lpwstr>_Toc510071050</vt:lpwstr>
      </vt:variant>
      <vt:variant>
        <vt:i4>1245234</vt:i4>
      </vt:variant>
      <vt:variant>
        <vt:i4>398</vt:i4>
      </vt:variant>
      <vt:variant>
        <vt:i4>0</vt:i4>
      </vt:variant>
      <vt:variant>
        <vt:i4>5</vt:i4>
      </vt:variant>
      <vt:variant>
        <vt:lpwstr/>
      </vt:variant>
      <vt:variant>
        <vt:lpwstr>_Toc510071049</vt:lpwstr>
      </vt:variant>
      <vt:variant>
        <vt:i4>1245234</vt:i4>
      </vt:variant>
      <vt:variant>
        <vt:i4>392</vt:i4>
      </vt:variant>
      <vt:variant>
        <vt:i4>0</vt:i4>
      </vt:variant>
      <vt:variant>
        <vt:i4>5</vt:i4>
      </vt:variant>
      <vt:variant>
        <vt:lpwstr/>
      </vt:variant>
      <vt:variant>
        <vt:lpwstr>_Toc510071048</vt:lpwstr>
      </vt:variant>
      <vt:variant>
        <vt:i4>1245234</vt:i4>
      </vt:variant>
      <vt:variant>
        <vt:i4>386</vt:i4>
      </vt:variant>
      <vt:variant>
        <vt:i4>0</vt:i4>
      </vt:variant>
      <vt:variant>
        <vt:i4>5</vt:i4>
      </vt:variant>
      <vt:variant>
        <vt:lpwstr/>
      </vt:variant>
      <vt:variant>
        <vt:lpwstr>_Toc510071047</vt:lpwstr>
      </vt:variant>
      <vt:variant>
        <vt:i4>1245234</vt:i4>
      </vt:variant>
      <vt:variant>
        <vt:i4>380</vt:i4>
      </vt:variant>
      <vt:variant>
        <vt:i4>0</vt:i4>
      </vt:variant>
      <vt:variant>
        <vt:i4>5</vt:i4>
      </vt:variant>
      <vt:variant>
        <vt:lpwstr/>
      </vt:variant>
      <vt:variant>
        <vt:lpwstr>_Toc510071046</vt:lpwstr>
      </vt:variant>
      <vt:variant>
        <vt:i4>1245234</vt:i4>
      </vt:variant>
      <vt:variant>
        <vt:i4>374</vt:i4>
      </vt:variant>
      <vt:variant>
        <vt:i4>0</vt:i4>
      </vt:variant>
      <vt:variant>
        <vt:i4>5</vt:i4>
      </vt:variant>
      <vt:variant>
        <vt:lpwstr/>
      </vt:variant>
      <vt:variant>
        <vt:lpwstr>_Toc510071045</vt:lpwstr>
      </vt:variant>
      <vt:variant>
        <vt:i4>1245234</vt:i4>
      </vt:variant>
      <vt:variant>
        <vt:i4>368</vt:i4>
      </vt:variant>
      <vt:variant>
        <vt:i4>0</vt:i4>
      </vt:variant>
      <vt:variant>
        <vt:i4>5</vt:i4>
      </vt:variant>
      <vt:variant>
        <vt:lpwstr/>
      </vt:variant>
      <vt:variant>
        <vt:lpwstr>_Toc510071044</vt:lpwstr>
      </vt:variant>
      <vt:variant>
        <vt:i4>1245234</vt:i4>
      </vt:variant>
      <vt:variant>
        <vt:i4>362</vt:i4>
      </vt:variant>
      <vt:variant>
        <vt:i4>0</vt:i4>
      </vt:variant>
      <vt:variant>
        <vt:i4>5</vt:i4>
      </vt:variant>
      <vt:variant>
        <vt:lpwstr/>
      </vt:variant>
      <vt:variant>
        <vt:lpwstr>_Toc510071043</vt:lpwstr>
      </vt:variant>
      <vt:variant>
        <vt:i4>1245234</vt:i4>
      </vt:variant>
      <vt:variant>
        <vt:i4>356</vt:i4>
      </vt:variant>
      <vt:variant>
        <vt:i4>0</vt:i4>
      </vt:variant>
      <vt:variant>
        <vt:i4>5</vt:i4>
      </vt:variant>
      <vt:variant>
        <vt:lpwstr/>
      </vt:variant>
      <vt:variant>
        <vt:lpwstr>_Toc510071042</vt:lpwstr>
      </vt:variant>
      <vt:variant>
        <vt:i4>1245234</vt:i4>
      </vt:variant>
      <vt:variant>
        <vt:i4>350</vt:i4>
      </vt:variant>
      <vt:variant>
        <vt:i4>0</vt:i4>
      </vt:variant>
      <vt:variant>
        <vt:i4>5</vt:i4>
      </vt:variant>
      <vt:variant>
        <vt:lpwstr/>
      </vt:variant>
      <vt:variant>
        <vt:lpwstr>_Toc510071041</vt:lpwstr>
      </vt:variant>
      <vt:variant>
        <vt:i4>1245234</vt:i4>
      </vt:variant>
      <vt:variant>
        <vt:i4>344</vt:i4>
      </vt:variant>
      <vt:variant>
        <vt:i4>0</vt:i4>
      </vt:variant>
      <vt:variant>
        <vt:i4>5</vt:i4>
      </vt:variant>
      <vt:variant>
        <vt:lpwstr/>
      </vt:variant>
      <vt:variant>
        <vt:lpwstr>_Toc510071040</vt:lpwstr>
      </vt:variant>
      <vt:variant>
        <vt:i4>1310770</vt:i4>
      </vt:variant>
      <vt:variant>
        <vt:i4>338</vt:i4>
      </vt:variant>
      <vt:variant>
        <vt:i4>0</vt:i4>
      </vt:variant>
      <vt:variant>
        <vt:i4>5</vt:i4>
      </vt:variant>
      <vt:variant>
        <vt:lpwstr/>
      </vt:variant>
      <vt:variant>
        <vt:lpwstr>_Toc510071039</vt:lpwstr>
      </vt:variant>
      <vt:variant>
        <vt:i4>1310770</vt:i4>
      </vt:variant>
      <vt:variant>
        <vt:i4>332</vt:i4>
      </vt:variant>
      <vt:variant>
        <vt:i4>0</vt:i4>
      </vt:variant>
      <vt:variant>
        <vt:i4>5</vt:i4>
      </vt:variant>
      <vt:variant>
        <vt:lpwstr/>
      </vt:variant>
      <vt:variant>
        <vt:lpwstr>_Toc510071038</vt:lpwstr>
      </vt:variant>
      <vt:variant>
        <vt:i4>1310770</vt:i4>
      </vt:variant>
      <vt:variant>
        <vt:i4>326</vt:i4>
      </vt:variant>
      <vt:variant>
        <vt:i4>0</vt:i4>
      </vt:variant>
      <vt:variant>
        <vt:i4>5</vt:i4>
      </vt:variant>
      <vt:variant>
        <vt:lpwstr/>
      </vt:variant>
      <vt:variant>
        <vt:lpwstr>_Toc510071037</vt:lpwstr>
      </vt:variant>
      <vt:variant>
        <vt:i4>1310770</vt:i4>
      </vt:variant>
      <vt:variant>
        <vt:i4>320</vt:i4>
      </vt:variant>
      <vt:variant>
        <vt:i4>0</vt:i4>
      </vt:variant>
      <vt:variant>
        <vt:i4>5</vt:i4>
      </vt:variant>
      <vt:variant>
        <vt:lpwstr/>
      </vt:variant>
      <vt:variant>
        <vt:lpwstr>_Toc510071036</vt:lpwstr>
      </vt:variant>
      <vt:variant>
        <vt:i4>1310770</vt:i4>
      </vt:variant>
      <vt:variant>
        <vt:i4>314</vt:i4>
      </vt:variant>
      <vt:variant>
        <vt:i4>0</vt:i4>
      </vt:variant>
      <vt:variant>
        <vt:i4>5</vt:i4>
      </vt:variant>
      <vt:variant>
        <vt:lpwstr/>
      </vt:variant>
      <vt:variant>
        <vt:lpwstr>_Toc510071035</vt:lpwstr>
      </vt:variant>
      <vt:variant>
        <vt:i4>1310770</vt:i4>
      </vt:variant>
      <vt:variant>
        <vt:i4>308</vt:i4>
      </vt:variant>
      <vt:variant>
        <vt:i4>0</vt:i4>
      </vt:variant>
      <vt:variant>
        <vt:i4>5</vt:i4>
      </vt:variant>
      <vt:variant>
        <vt:lpwstr/>
      </vt:variant>
      <vt:variant>
        <vt:lpwstr>_Toc510071034</vt:lpwstr>
      </vt:variant>
      <vt:variant>
        <vt:i4>1310770</vt:i4>
      </vt:variant>
      <vt:variant>
        <vt:i4>302</vt:i4>
      </vt:variant>
      <vt:variant>
        <vt:i4>0</vt:i4>
      </vt:variant>
      <vt:variant>
        <vt:i4>5</vt:i4>
      </vt:variant>
      <vt:variant>
        <vt:lpwstr/>
      </vt:variant>
      <vt:variant>
        <vt:lpwstr>_Toc510071033</vt:lpwstr>
      </vt:variant>
      <vt:variant>
        <vt:i4>1310770</vt:i4>
      </vt:variant>
      <vt:variant>
        <vt:i4>296</vt:i4>
      </vt:variant>
      <vt:variant>
        <vt:i4>0</vt:i4>
      </vt:variant>
      <vt:variant>
        <vt:i4>5</vt:i4>
      </vt:variant>
      <vt:variant>
        <vt:lpwstr/>
      </vt:variant>
      <vt:variant>
        <vt:lpwstr>_Toc510071032</vt:lpwstr>
      </vt:variant>
      <vt:variant>
        <vt:i4>1310770</vt:i4>
      </vt:variant>
      <vt:variant>
        <vt:i4>290</vt:i4>
      </vt:variant>
      <vt:variant>
        <vt:i4>0</vt:i4>
      </vt:variant>
      <vt:variant>
        <vt:i4>5</vt:i4>
      </vt:variant>
      <vt:variant>
        <vt:lpwstr/>
      </vt:variant>
      <vt:variant>
        <vt:lpwstr>_Toc510071031</vt:lpwstr>
      </vt:variant>
      <vt:variant>
        <vt:i4>1310770</vt:i4>
      </vt:variant>
      <vt:variant>
        <vt:i4>284</vt:i4>
      </vt:variant>
      <vt:variant>
        <vt:i4>0</vt:i4>
      </vt:variant>
      <vt:variant>
        <vt:i4>5</vt:i4>
      </vt:variant>
      <vt:variant>
        <vt:lpwstr/>
      </vt:variant>
      <vt:variant>
        <vt:lpwstr>_Toc510071030</vt:lpwstr>
      </vt:variant>
      <vt:variant>
        <vt:i4>1376306</vt:i4>
      </vt:variant>
      <vt:variant>
        <vt:i4>278</vt:i4>
      </vt:variant>
      <vt:variant>
        <vt:i4>0</vt:i4>
      </vt:variant>
      <vt:variant>
        <vt:i4>5</vt:i4>
      </vt:variant>
      <vt:variant>
        <vt:lpwstr/>
      </vt:variant>
      <vt:variant>
        <vt:lpwstr>_Toc510071029</vt:lpwstr>
      </vt:variant>
      <vt:variant>
        <vt:i4>1376306</vt:i4>
      </vt:variant>
      <vt:variant>
        <vt:i4>272</vt:i4>
      </vt:variant>
      <vt:variant>
        <vt:i4>0</vt:i4>
      </vt:variant>
      <vt:variant>
        <vt:i4>5</vt:i4>
      </vt:variant>
      <vt:variant>
        <vt:lpwstr/>
      </vt:variant>
      <vt:variant>
        <vt:lpwstr>_Toc510071028</vt:lpwstr>
      </vt:variant>
      <vt:variant>
        <vt:i4>1376306</vt:i4>
      </vt:variant>
      <vt:variant>
        <vt:i4>266</vt:i4>
      </vt:variant>
      <vt:variant>
        <vt:i4>0</vt:i4>
      </vt:variant>
      <vt:variant>
        <vt:i4>5</vt:i4>
      </vt:variant>
      <vt:variant>
        <vt:lpwstr/>
      </vt:variant>
      <vt:variant>
        <vt:lpwstr>_Toc510071027</vt:lpwstr>
      </vt:variant>
      <vt:variant>
        <vt:i4>1376306</vt:i4>
      </vt:variant>
      <vt:variant>
        <vt:i4>260</vt:i4>
      </vt:variant>
      <vt:variant>
        <vt:i4>0</vt:i4>
      </vt:variant>
      <vt:variant>
        <vt:i4>5</vt:i4>
      </vt:variant>
      <vt:variant>
        <vt:lpwstr/>
      </vt:variant>
      <vt:variant>
        <vt:lpwstr>_Toc510071026</vt:lpwstr>
      </vt:variant>
      <vt:variant>
        <vt:i4>1376306</vt:i4>
      </vt:variant>
      <vt:variant>
        <vt:i4>254</vt:i4>
      </vt:variant>
      <vt:variant>
        <vt:i4>0</vt:i4>
      </vt:variant>
      <vt:variant>
        <vt:i4>5</vt:i4>
      </vt:variant>
      <vt:variant>
        <vt:lpwstr/>
      </vt:variant>
      <vt:variant>
        <vt:lpwstr>_Toc510071025</vt:lpwstr>
      </vt:variant>
      <vt:variant>
        <vt:i4>1376306</vt:i4>
      </vt:variant>
      <vt:variant>
        <vt:i4>248</vt:i4>
      </vt:variant>
      <vt:variant>
        <vt:i4>0</vt:i4>
      </vt:variant>
      <vt:variant>
        <vt:i4>5</vt:i4>
      </vt:variant>
      <vt:variant>
        <vt:lpwstr/>
      </vt:variant>
      <vt:variant>
        <vt:lpwstr>_Toc510071024</vt:lpwstr>
      </vt:variant>
      <vt:variant>
        <vt:i4>1376306</vt:i4>
      </vt:variant>
      <vt:variant>
        <vt:i4>242</vt:i4>
      </vt:variant>
      <vt:variant>
        <vt:i4>0</vt:i4>
      </vt:variant>
      <vt:variant>
        <vt:i4>5</vt:i4>
      </vt:variant>
      <vt:variant>
        <vt:lpwstr/>
      </vt:variant>
      <vt:variant>
        <vt:lpwstr>_Toc510071023</vt:lpwstr>
      </vt:variant>
      <vt:variant>
        <vt:i4>1376306</vt:i4>
      </vt:variant>
      <vt:variant>
        <vt:i4>236</vt:i4>
      </vt:variant>
      <vt:variant>
        <vt:i4>0</vt:i4>
      </vt:variant>
      <vt:variant>
        <vt:i4>5</vt:i4>
      </vt:variant>
      <vt:variant>
        <vt:lpwstr/>
      </vt:variant>
      <vt:variant>
        <vt:lpwstr>_Toc510071022</vt:lpwstr>
      </vt:variant>
      <vt:variant>
        <vt:i4>1376306</vt:i4>
      </vt:variant>
      <vt:variant>
        <vt:i4>230</vt:i4>
      </vt:variant>
      <vt:variant>
        <vt:i4>0</vt:i4>
      </vt:variant>
      <vt:variant>
        <vt:i4>5</vt:i4>
      </vt:variant>
      <vt:variant>
        <vt:lpwstr/>
      </vt:variant>
      <vt:variant>
        <vt:lpwstr>_Toc510071021</vt:lpwstr>
      </vt:variant>
      <vt:variant>
        <vt:i4>1376306</vt:i4>
      </vt:variant>
      <vt:variant>
        <vt:i4>224</vt:i4>
      </vt:variant>
      <vt:variant>
        <vt:i4>0</vt:i4>
      </vt:variant>
      <vt:variant>
        <vt:i4>5</vt:i4>
      </vt:variant>
      <vt:variant>
        <vt:lpwstr/>
      </vt:variant>
      <vt:variant>
        <vt:lpwstr>_Toc510071020</vt:lpwstr>
      </vt:variant>
      <vt:variant>
        <vt:i4>1441842</vt:i4>
      </vt:variant>
      <vt:variant>
        <vt:i4>218</vt:i4>
      </vt:variant>
      <vt:variant>
        <vt:i4>0</vt:i4>
      </vt:variant>
      <vt:variant>
        <vt:i4>5</vt:i4>
      </vt:variant>
      <vt:variant>
        <vt:lpwstr/>
      </vt:variant>
      <vt:variant>
        <vt:lpwstr>_Toc510071019</vt:lpwstr>
      </vt:variant>
      <vt:variant>
        <vt:i4>1441842</vt:i4>
      </vt:variant>
      <vt:variant>
        <vt:i4>212</vt:i4>
      </vt:variant>
      <vt:variant>
        <vt:i4>0</vt:i4>
      </vt:variant>
      <vt:variant>
        <vt:i4>5</vt:i4>
      </vt:variant>
      <vt:variant>
        <vt:lpwstr/>
      </vt:variant>
      <vt:variant>
        <vt:lpwstr>_Toc510071018</vt:lpwstr>
      </vt:variant>
      <vt:variant>
        <vt:i4>1441842</vt:i4>
      </vt:variant>
      <vt:variant>
        <vt:i4>206</vt:i4>
      </vt:variant>
      <vt:variant>
        <vt:i4>0</vt:i4>
      </vt:variant>
      <vt:variant>
        <vt:i4>5</vt:i4>
      </vt:variant>
      <vt:variant>
        <vt:lpwstr/>
      </vt:variant>
      <vt:variant>
        <vt:lpwstr>_Toc510071017</vt:lpwstr>
      </vt:variant>
      <vt:variant>
        <vt:i4>1441842</vt:i4>
      </vt:variant>
      <vt:variant>
        <vt:i4>200</vt:i4>
      </vt:variant>
      <vt:variant>
        <vt:i4>0</vt:i4>
      </vt:variant>
      <vt:variant>
        <vt:i4>5</vt:i4>
      </vt:variant>
      <vt:variant>
        <vt:lpwstr/>
      </vt:variant>
      <vt:variant>
        <vt:lpwstr>_Toc510071016</vt:lpwstr>
      </vt:variant>
      <vt:variant>
        <vt:i4>1441842</vt:i4>
      </vt:variant>
      <vt:variant>
        <vt:i4>194</vt:i4>
      </vt:variant>
      <vt:variant>
        <vt:i4>0</vt:i4>
      </vt:variant>
      <vt:variant>
        <vt:i4>5</vt:i4>
      </vt:variant>
      <vt:variant>
        <vt:lpwstr/>
      </vt:variant>
      <vt:variant>
        <vt:lpwstr>_Toc510071015</vt:lpwstr>
      </vt:variant>
      <vt:variant>
        <vt:i4>1441842</vt:i4>
      </vt:variant>
      <vt:variant>
        <vt:i4>188</vt:i4>
      </vt:variant>
      <vt:variant>
        <vt:i4>0</vt:i4>
      </vt:variant>
      <vt:variant>
        <vt:i4>5</vt:i4>
      </vt:variant>
      <vt:variant>
        <vt:lpwstr/>
      </vt:variant>
      <vt:variant>
        <vt:lpwstr>_Toc510071014</vt:lpwstr>
      </vt:variant>
      <vt:variant>
        <vt:i4>1441842</vt:i4>
      </vt:variant>
      <vt:variant>
        <vt:i4>182</vt:i4>
      </vt:variant>
      <vt:variant>
        <vt:i4>0</vt:i4>
      </vt:variant>
      <vt:variant>
        <vt:i4>5</vt:i4>
      </vt:variant>
      <vt:variant>
        <vt:lpwstr/>
      </vt:variant>
      <vt:variant>
        <vt:lpwstr>_Toc510071013</vt:lpwstr>
      </vt:variant>
      <vt:variant>
        <vt:i4>1441842</vt:i4>
      </vt:variant>
      <vt:variant>
        <vt:i4>176</vt:i4>
      </vt:variant>
      <vt:variant>
        <vt:i4>0</vt:i4>
      </vt:variant>
      <vt:variant>
        <vt:i4>5</vt:i4>
      </vt:variant>
      <vt:variant>
        <vt:lpwstr/>
      </vt:variant>
      <vt:variant>
        <vt:lpwstr>_Toc510071012</vt:lpwstr>
      </vt:variant>
      <vt:variant>
        <vt:i4>1441842</vt:i4>
      </vt:variant>
      <vt:variant>
        <vt:i4>170</vt:i4>
      </vt:variant>
      <vt:variant>
        <vt:i4>0</vt:i4>
      </vt:variant>
      <vt:variant>
        <vt:i4>5</vt:i4>
      </vt:variant>
      <vt:variant>
        <vt:lpwstr/>
      </vt:variant>
      <vt:variant>
        <vt:lpwstr>_Toc510071011</vt:lpwstr>
      </vt:variant>
      <vt:variant>
        <vt:i4>1441842</vt:i4>
      </vt:variant>
      <vt:variant>
        <vt:i4>164</vt:i4>
      </vt:variant>
      <vt:variant>
        <vt:i4>0</vt:i4>
      </vt:variant>
      <vt:variant>
        <vt:i4>5</vt:i4>
      </vt:variant>
      <vt:variant>
        <vt:lpwstr/>
      </vt:variant>
      <vt:variant>
        <vt:lpwstr>_Toc510071010</vt:lpwstr>
      </vt:variant>
      <vt:variant>
        <vt:i4>1507378</vt:i4>
      </vt:variant>
      <vt:variant>
        <vt:i4>158</vt:i4>
      </vt:variant>
      <vt:variant>
        <vt:i4>0</vt:i4>
      </vt:variant>
      <vt:variant>
        <vt:i4>5</vt:i4>
      </vt:variant>
      <vt:variant>
        <vt:lpwstr/>
      </vt:variant>
      <vt:variant>
        <vt:lpwstr>_Toc510071009</vt:lpwstr>
      </vt:variant>
      <vt:variant>
        <vt:i4>1507378</vt:i4>
      </vt:variant>
      <vt:variant>
        <vt:i4>152</vt:i4>
      </vt:variant>
      <vt:variant>
        <vt:i4>0</vt:i4>
      </vt:variant>
      <vt:variant>
        <vt:i4>5</vt:i4>
      </vt:variant>
      <vt:variant>
        <vt:lpwstr/>
      </vt:variant>
      <vt:variant>
        <vt:lpwstr>_Toc510071008</vt:lpwstr>
      </vt:variant>
      <vt:variant>
        <vt:i4>1507378</vt:i4>
      </vt:variant>
      <vt:variant>
        <vt:i4>146</vt:i4>
      </vt:variant>
      <vt:variant>
        <vt:i4>0</vt:i4>
      </vt:variant>
      <vt:variant>
        <vt:i4>5</vt:i4>
      </vt:variant>
      <vt:variant>
        <vt:lpwstr/>
      </vt:variant>
      <vt:variant>
        <vt:lpwstr>_Toc510071007</vt:lpwstr>
      </vt:variant>
      <vt:variant>
        <vt:i4>1507378</vt:i4>
      </vt:variant>
      <vt:variant>
        <vt:i4>140</vt:i4>
      </vt:variant>
      <vt:variant>
        <vt:i4>0</vt:i4>
      </vt:variant>
      <vt:variant>
        <vt:i4>5</vt:i4>
      </vt:variant>
      <vt:variant>
        <vt:lpwstr/>
      </vt:variant>
      <vt:variant>
        <vt:lpwstr>_Toc510071006</vt:lpwstr>
      </vt:variant>
      <vt:variant>
        <vt:i4>1507378</vt:i4>
      </vt:variant>
      <vt:variant>
        <vt:i4>134</vt:i4>
      </vt:variant>
      <vt:variant>
        <vt:i4>0</vt:i4>
      </vt:variant>
      <vt:variant>
        <vt:i4>5</vt:i4>
      </vt:variant>
      <vt:variant>
        <vt:lpwstr/>
      </vt:variant>
      <vt:variant>
        <vt:lpwstr>_Toc510071005</vt:lpwstr>
      </vt:variant>
      <vt:variant>
        <vt:i4>1507378</vt:i4>
      </vt:variant>
      <vt:variant>
        <vt:i4>128</vt:i4>
      </vt:variant>
      <vt:variant>
        <vt:i4>0</vt:i4>
      </vt:variant>
      <vt:variant>
        <vt:i4>5</vt:i4>
      </vt:variant>
      <vt:variant>
        <vt:lpwstr/>
      </vt:variant>
      <vt:variant>
        <vt:lpwstr>_Toc510071004</vt:lpwstr>
      </vt:variant>
      <vt:variant>
        <vt:i4>1507378</vt:i4>
      </vt:variant>
      <vt:variant>
        <vt:i4>122</vt:i4>
      </vt:variant>
      <vt:variant>
        <vt:i4>0</vt:i4>
      </vt:variant>
      <vt:variant>
        <vt:i4>5</vt:i4>
      </vt:variant>
      <vt:variant>
        <vt:lpwstr/>
      </vt:variant>
      <vt:variant>
        <vt:lpwstr>_Toc510071003</vt:lpwstr>
      </vt:variant>
      <vt:variant>
        <vt:i4>1507378</vt:i4>
      </vt:variant>
      <vt:variant>
        <vt:i4>116</vt:i4>
      </vt:variant>
      <vt:variant>
        <vt:i4>0</vt:i4>
      </vt:variant>
      <vt:variant>
        <vt:i4>5</vt:i4>
      </vt:variant>
      <vt:variant>
        <vt:lpwstr/>
      </vt:variant>
      <vt:variant>
        <vt:lpwstr>_Toc510071002</vt:lpwstr>
      </vt:variant>
      <vt:variant>
        <vt:i4>1507378</vt:i4>
      </vt:variant>
      <vt:variant>
        <vt:i4>110</vt:i4>
      </vt:variant>
      <vt:variant>
        <vt:i4>0</vt:i4>
      </vt:variant>
      <vt:variant>
        <vt:i4>5</vt:i4>
      </vt:variant>
      <vt:variant>
        <vt:lpwstr/>
      </vt:variant>
      <vt:variant>
        <vt:lpwstr>_Toc510071001</vt:lpwstr>
      </vt:variant>
      <vt:variant>
        <vt:i4>1507378</vt:i4>
      </vt:variant>
      <vt:variant>
        <vt:i4>104</vt:i4>
      </vt:variant>
      <vt:variant>
        <vt:i4>0</vt:i4>
      </vt:variant>
      <vt:variant>
        <vt:i4>5</vt:i4>
      </vt:variant>
      <vt:variant>
        <vt:lpwstr/>
      </vt:variant>
      <vt:variant>
        <vt:lpwstr>_Toc510071000</vt:lpwstr>
      </vt:variant>
      <vt:variant>
        <vt:i4>2031675</vt:i4>
      </vt:variant>
      <vt:variant>
        <vt:i4>98</vt:i4>
      </vt:variant>
      <vt:variant>
        <vt:i4>0</vt:i4>
      </vt:variant>
      <vt:variant>
        <vt:i4>5</vt:i4>
      </vt:variant>
      <vt:variant>
        <vt:lpwstr/>
      </vt:variant>
      <vt:variant>
        <vt:lpwstr>_Toc510070999</vt:lpwstr>
      </vt:variant>
      <vt:variant>
        <vt:i4>2031675</vt:i4>
      </vt:variant>
      <vt:variant>
        <vt:i4>92</vt:i4>
      </vt:variant>
      <vt:variant>
        <vt:i4>0</vt:i4>
      </vt:variant>
      <vt:variant>
        <vt:i4>5</vt:i4>
      </vt:variant>
      <vt:variant>
        <vt:lpwstr/>
      </vt:variant>
      <vt:variant>
        <vt:lpwstr>_Toc510070998</vt:lpwstr>
      </vt:variant>
      <vt:variant>
        <vt:i4>2031675</vt:i4>
      </vt:variant>
      <vt:variant>
        <vt:i4>86</vt:i4>
      </vt:variant>
      <vt:variant>
        <vt:i4>0</vt:i4>
      </vt:variant>
      <vt:variant>
        <vt:i4>5</vt:i4>
      </vt:variant>
      <vt:variant>
        <vt:lpwstr/>
      </vt:variant>
      <vt:variant>
        <vt:lpwstr>_Toc510070997</vt:lpwstr>
      </vt:variant>
      <vt:variant>
        <vt:i4>2031675</vt:i4>
      </vt:variant>
      <vt:variant>
        <vt:i4>80</vt:i4>
      </vt:variant>
      <vt:variant>
        <vt:i4>0</vt:i4>
      </vt:variant>
      <vt:variant>
        <vt:i4>5</vt:i4>
      </vt:variant>
      <vt:variant>
        <vt:lpwstr/>
      </vt:variant>
      <vt:variant>
        <vt:lpwstr>_Toc510070996</vt:lpwstr>
      </vt:variant>
      <vt:variant>
        <vt:i4>2031675</vt:i4>
      </vt:variant>
      <vt:variant>
        <vt:i4>74</vt:i4>
      </vt:variant>
      <vt:variant>
        <vt:i4>0</vt:i4>
      </vt:variant>
      <vt:variant>
        <vt:i4>5</vt:i4>
      </vt:variant>
      <vt:variant>
        <vt:lpwstr/>
      </vt:variant>
      <vt:variant>
        <vt:lpwstr>_Toc510070995</vt:lpwstr>
      </vt:variant>
      <vt:variant>
        <vt:i4>2031675</vt:i4>
      </vt:variant>
      <vt:variant>
        <vt:i4>68</vt:i4>
      </vt:variant>
      <vt:variant>
        <vt:i4>0</vt:i4>
      </vt:variant>
      <vt:variant>
        <vt:i4>5</vt:i4>
      </vt:variant>
      <vt:variant>
        <vt:lpwstr/>
      </vt:variant>
      <vt:variant>
        <vt:lpwstr>_Toc510070994</vt:lpwstr>
      </vt:variant>
      <vt:variant>
        <vt:i4>2031675</vt:i4>
      </vt:variant>
      <vt:variant>
        <vt:i4>62</vt:i4>
      </vt:variant>
      <vt:variant>
        <vt:i4>0</vt:i4>
      </vt:variant>
      <vt:variant>
        <vt:i4>5</vt:i4>
      </vt:variant>
      <vt:variant>
        <vt:lpwstr/>
      </vt:variant>
      <vt:variant>
        <vt:lpwstr>_Toc510070993</vt:lpwstr>
      </vt:variant>
      <vt:variant>
        <vt:i4>2031675</vt:i4>
      </vt:variant>
      <vt:variant>
        <vt:i4>56</vt:i4>
      </vt:variant>
      <vt:variant>
        <vt:i4>0</vt:i4>
      </vt:variant>
      <vt:variant>
        <vt:i4>5</vt:i4>
      </vt:variant>
      <vt:variant>
        <vt:lpwstr/>
      </vt:variant>
      <vt:variant>
        <vt:lpwstr>_Toc510070992</vt:lpwstr>
      </vt:variant>
      <vt:variant>
        <vt:i4>2031675</vt:i4>
      </vt:variant>
      <vt:variant>
        <vt:i4>50</vt:i4>
      </vt:variant>
      <vt:variant>
        <vt:i4>0</vt:i4>
      </vt:variant>
      <vt:variant>
        <vt:i4>5</vt:i4>
      </vt:variant>
      <vt:variant>
        <vt:lpwstr/>
      </vt:variant>
      <vt:variant>
        <vt:lpwstr>_Toc510070991</vt:lpwstr>
      </vt:variant>
      <vt:variant>
        <vt:i4>2031675</vt:i4>
      </vt:variant>
      <vt:variant>
        <vt:i4>44</vt:i4>
      </vt:variant>
      <vt:variant>
        <vt:i4>0</vt:i4>
      </vt:variant>
      <vt:variant>
        <vt:i4>5</vt:i4>
      </vt:variant>
      <vt:variant>
        <vt:lpwstr/>
      </vt:variant>
      <vt:variant>
        <vt:lpwstr>_Toc510070990</vt:lpwstr>
      </vt:variant>
      <vt:variant>
        <vt:i4>1966139</vt:i4>
      </vt:variant>
      <vt:variant>
        <vt:i4>38</vt:i4>
      </vt:variant>
      <vt:variant>
        <vt:i4>0</vt:i4>
      </vt:variant>
      <vt:variant>
        <vt:i4>5</vt:i4>
      </vt:variant>
      <vt:variant>
        <vt:lpwstr/>
      </vt:variant>
      <vt:variant>
        <vt:lpwstr>_Toc510070989</vt:lpwstr>
      </vt:variant>
      <vt:variant>
        <vt:i4>1966139</vt:i4>
      </vt:variant>
      <vt:variant>
        <vt:i4>32</vt:i4>
      </vt:variant>
      <vt:variant>
        <vt:i4>0</vt:i4>
      </vt:variant>
      <vt:variant>
        <vt:i4>5</vt:i4>
      </vt:variant>
      <vt:variant>
        <vt:lpwstr/>
      </vt:variant>
      <vt:variant>
        <vt:lpwstr>_Toc510070988</vt:lpwstr>
      </vt:variant>
      <vt:variant>
        <vt:i4>1966139</vt:i4>
      </vt:variant>
      <vt:variant>
        <vt:i4>26</vt:i4>
      </vt:variant>
      <vt:variant>
        <vt:i4>0</vt:i4>
      </vt:variant>
      <vt:variant>
        <vt:i4>5</vt:i4>
      </vt:variant>
      <vt:variant>
        <vt:lpwstr/>
      </vt:variant>
      <vt:variant>
        <vt:lpwstr>_Toc510070987</vt:lpwstr>
      </vt:variant>
      <vt:variant>
        <vt:i4>1966139</vt:i4>
      </vt:variant>
      <vt:variant>
        <vt:i4>20</vt:i4>
      </vt:variant>
      <vt:variant>
        <vt:i4>0</vt:i4>
      </vt:variant>
      <vt:variant>
        <vt:i4>5</vt:i4>
      </vt:variant>
      <vt:variant>
        <vt:lpwstr/>
      </vt:variant>
      <vt:variant>
        <vt:lpwstr>_Toc510070986</vt:lpwstr>
      </vt:variant>
      <vt:variant>
        <vt:i4>1966139</vt:i4>
      </vt:variant>
      <vt:variant>
        <vt:i4>14</vt:i4>
      </vt:variant>
      <vt:variant>
        <vt:i4>0</vt:i4>
      </vt:variant>
      <vt:variant>
        <vt:i4>5</vt:i4>
      </vt:variant>
      <vt:variant>
        <vt:lpwstr/>
      </vt:variant>
      <vt:variant>
        <vt:lpwstr>_Toc510070985</vt:lpwstr>
      </vt:variant>
      <vt:variant>
        <vt:i4>1966139</vt:i4>
      </vt:variant>
      <vt:variant>
        <vt:i4>8</vt:i4>
      </vt:variant>
      <vt:variant>
        <vt:i4>0</vt:i4>
      </vt:variant>
      <vt:variant>
        <vt:i4>5</vt:i4>
      </vt:variant>
      <vt:variant>
        <vt:lpwstr/>
      </vt:variant>
      <vt:variant>
        <vt:lpwstr>_Toc510070984</vt:lpwstr>
      </vt:variant>
      <vt:variant>
        <vt:i4>1966139</vt:i4>
      </vt:variant>
      <vt:variant>
        <vt:i4>2</vt:i4>
      </vt:variant>
      <vt:variant>
        <vt:i4>0</vt:i4>
      </vt:variant>
      <vt:variant>
        <vt:i4>5</vt:i4>
      </vt:variant>
      <vt:variant>
        <vt:lpwstr/>
      </vt:variant>
      <vt:variant>
        <vt:lpwstr>_Toc510070983</vt:lpwstr>
      </vt:variant>
      <vt:variant>
        <vt:i4>8061004</vt:i4>
      </vt:variant>
      <vt:variant>
        <vt:i4>92738</vt:i4>
      </vt:variant>
      <vt:variant>
        <vt:i4>1067</vt:i4>
      </vt:variant>
      <vt:variant>
        <vt:i4>1</vt:i4>
      </vt:variant>
      <vt:variant>
        <vt:lpwstr>cid:image005.jpg@01D3B6E5.93EFD210</vt:lpwstr>
      </vt:variant>
      <vt:variant>
        <vt:lpwstr/>
      </vt:variant>
      <vt:variant>
        <vt:i4>6684762</vt:i4>
      </vt:variant>
      <vt:variant>
        <vt:i4>97849</vt:i4>
      </vt:variant>
      <vt:variant>
        <vt:i4>1070</vt:i4>
      </vt:variant>
      <vt:variant>
        <vt:i4>1</vt:i4>
      </vt:variant>
      <vt:variant>
        <vt:lpwstr>cid:image002.png@01D3A02B.61C03260</vt:lpwstr>
      </vt:variant>
      <vt:variant>
        <vt:lpwstr/>
      </vt:variant>
      <vt:variant>
        <vt:i4>3342347</vt:i4>
      </vt:variant>
      <vt:variant>
        <vt:i4>108591</vt:i4>
      </vt:variant>
      <vt:variant>
        <vt:i4>1073</vt:i4>
      </vt:variant>
      <vt:variant>
        <vt:i4>1</vt:i4>
      </vt:variant>
      <vt:variant>
        <vt:lpwstr>cid:image003.png@01D2B822.A71E8600</vt:lpwstr>
      </vt:variant>
      <vt:variant>
        <vt:lpwstr/>
      </vt:variant>
      <vt:variant>
        <vt:i4>4063243</vt:i4>
      </vt:variant>
      <vt:variant>
        <vt:i4>108723</vt:i4>
      </vt:variant>
      <vt:variant>
        <vt:i4>1074</vt:i4>
      </vt:variant>
      <vt:variant>
        <vt:i4>1</vt:i4>
      </vt:variant>
      <vt:variant>
        <vt:lpwstr>cid:image001.png@01D3BCFE.4CB82D10</vt:lpwstr>
      </vt:variant>
      <vt:variant>
        <vt:lpwstr/>
      </vt:variant>
      <vt:variant>
        <vt:i4>3473453</vt:i4>
      </vt:variant>
      <vt:variant>
        <vt:i4>118697</vt:i4>
      </vt:variant>
      <vt:variant>
        <vt:i4>1097</vt:i4>
      </vt:variant>
      <vt:variant>
        <vt:i4>1</vt:i4>
      </vt:variant>
      <vt:variant>
        <vt:lpwstr>http://msdn.microsoft.com/library/en-us/dnacc/html/atg_keyboardshortcuts_10.gif</vt:lpwstr>
      </vt:variant>
      <vt:variant>
        <vt:lpwstr/>
      </vt:variant>
      <vt:variant>
        <vt:i4>3473453</vt:i4>
      </vt:variant>
      <vt:variant>
        <vt:i4>265471</vt:i4>
      </vt:variant>
      <vt:variant>
        <vt:i4>1177</vt:i4>
      </vt:variant>
      <vt:variant>
        <vt:i4>1</vt:i4>
      </vt:variant>
      <vt:variant>
        <vt:lpwstr>http://msdn.microsoft.com/library/en-us/dnacc/html/atg_keyboardshortcuts_10.gif</vt:lpwstr>
      </vt:variant>
      <vt:variant>
        <vt:lpwstr/>
      </vt:variant>
      <vt:variant>
        <vt:i4>2424896</vt:i4>
      </vt:variant>
      <vt:variant>
        <vt:i4>621855</vt:i4>
      </vt:variant>
      <vt:variant>
        <vt:i4>1275</vt:i4>
      </vt:variant>
      <vt:variant>
        <vt:i4>1</vt:i4>
      </vt:variant>
      <vt:variant>
        <vt:lpwstr>cid:image001.jpg@01CFF8D3.98CB1E30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VBECS 2.3.4 User Guide</dc:title>
  <dc:subject/>
  <dc:creator>Blalock, David W. (Leidos)</dc:creator>
  <cp:keywords/>
  <dc:description/>
  <cp:lastModifiedBy>Department of Veterans Affairs</cp:lastModifiedBy>
  <cp:revision>34</cp:revision>
  <cp:lastPrinted>2024-01-26T21:13:00Z</cp:lastPrinted>
  <dcterms:created xsi:type="dcterms:W3CDTF">2023-10-11T15:10:00Z</dcterms:created>
  <dcterms:modified xsi:type="dcterms:W3CDTF">2024-01-26T22:10:00Z</dcterms:modified>
</cp:coreProperties>
</file>